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36.xml" ContentType="application/vnd.openxmlformats-officedocument.wordprocessingml.header+xml"/>
  <Override PartName="/word/header37.xml" ContentType="application/vnd.openxmlformats-officedocument.wordprocessingml.head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50.xml" ContentType="application/vnd.openxmlformats-officedocument.wordprocessingml.header+xml"/>
  <Override PartName="/word/header51.xml" ContentType="application/vnd.openxmlformats-officedocument.wordprocessingml.head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0.xml" ContentType="application/vnd.openxmlformats-officedocument.wordprocessingml.header+xml"/>
  <Override PartName="/word/footer12.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73.xml" ContentType="application/vnd.openxmlformats-officedocument.wordprocessingml.header+xml"/>
  <Override PartName="/word/footer15.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77.xml" ContentType="application/vnd.openxmlformats-officedocument.wordprocessingml.header+xml"/>
  <Override PartName="/word/footer18.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1BEE874" w14:textId="492CC78F" w:rsidR="00011E51" w:rsidRPr="00675182" w:rsidRDefault="00011E51" w:rsidP="002B3341">
      <w:pPr>
        <w:rPr>
          <w:rFonts w:cstheme="minorHAnsi"/>
        </w:rPr>
      </w:pPr>
      <w:bookmarkStart w:id="0" w:name="_Hlk112077671"/>
    </w:p>
    <w:p w14:paraId="13E84A70" w14:textId="77777777" w:rsidR="00011E51" w:rsidRPr="00675182" w:rsidRDefault="00011E51" w:rsidP="002B3341">
      <w:pPr>
        <w:rPr>
          <w:rFonts w:cstheme="minorHAnsi"/>
        </w:rPr>
      </w:pPr>
    </w:p>
    <w:p w14:paraId="517C692E" w14:textId="77777777" w:rsidR="00011E51" w:rsidRPr="00675182" w:rsidRDefault="00011E51" w:rsidP="002B3341">
      <w:pPr>
        <w:rPr>
          <w:rFonts w:cstheme="minorHAnsi"/>
          <w:b/>
          <w:bCs/>
          <w:caps/>
          <w:sz w:val="28"/>
        </w:rPr>
      </w:pPr>
    </w:p>
    <w:p w14:paraId="2CDBE6EC" w14:textId="77777777" w:rsidR="007F3DB3" w:rsidRPr="00675182" w:rsidRDefault="007F3DB3" w:rsidP="002B3341">
      <w:pPr>
        <w:jc w:val="center"/>
        <w:rPr>
          <w:rFonts w:cstheme="minorHAnsi"/>
        </w:rPr>
      </w:pPr>
    </w:p>
    <w:tbl>
      <w:tblPr>
        <w:tblW w:w="0" w:type="auto"/>
        <w:tblLook w:val="04A0" w:firstRow="1" w:lastRow="0" w:firstColumn="1" w:lastColumn="0" w:noHBand="0" w:noVBand="1"/>
      </w:tblPr>
      <w:tblGrid>
        <w:gridCol w:w="222"/>
        <w:gridCol w:w="7867"/>
        <w:gridCol w:w="222"/>
      </w:tblGrid>
      <w:tr w:rsidR="00B17B76" w:rsidRPr="00675182" w14:paraId="52CCAB6A" w14:textId="77777777" w:rsidTr="00034954">
        <w:tc>
          <w:tcPr>
            <w:tcW w:w="2842" w:type="dxa"/>
            <w:shd w:val="clear" w:color="auto" w:fill="auto"/>
          </w:tcPr>
          <w:p w14:paraId="0B36C414" w14:textId="77777777" w:rsidR="00B17B76" w:rsidRPr="00675182" w:rsidRDefault="00B17B76" w:rsidP="002B3341">
            <w:pPr>
              <w:spacing w:after="60"/>
              <w:jc w:val="center"/>
              <w:rPr>
                <w:rFonts w:cstheme="minorHAnsi"/>
                <w:b/>
                <w:bCs/>
              </w:rPr>
            </w:pPr>
          </w:p>
        </w:tc>
        <w:tc>
          <w:tcPr>
            <w:tcW w:w="2842" w:type="dxa"/>
            <w:shd w:val="clear" w:color="auto" w:fill="auto"/>
          </w:tcPr>
          <w:p w14:paraId="4F0CECA9" w14:textId="77777777" w:rsidR="00B17B76" w:rsidRPr="00675182" w:rsidRDefault="00861EFC" w:rsidP="002B3341">
            <w:pPr>
              <w:spacing w:after="60"/>
              <w:jc w:val="center"/>
              <w:rPr>
                <w:rFonts w:cstheme="minorHAnsi"/>
                <w:b/>
                <w:bCs/>
              </w:rPr>
            </w:pPr>
            <w:r w:rsidRPr="00675182">
              <w:rPr>
                <w:rFonts w:cstheme="minorHAnsi"/>
                <w:noProof/>
                <w:lang w:eastAsia="lv-LV"/>
              </w:rPr>
              <w:drawing>
                <wp:inline distT="0" distB="0" distL="0" distR="0" wp14:anchorId="56C13100" wp14:editId="4C81B5AD">
                  <wp:extent cx="4983480" cy="1004971"/>
                  <wp:effectExtent l="0" t="0" r="0" b="508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08572" cy="1010031"/>
                          </a:xfrm>
                          <a:prstGeom prst="rect">
                            <a:avLst/>
                          </a:prstGeom>
                          <a:noFill/>
                          <a:ln>
                            <a:noFill/>
                          </a:ln>
                        </pic:spPr>
                      </pic:pic>
                    </a:graphicData>
                  </a:graphic>
                </wp:inline>
              </w:drawing>
            </w:r>
          </w:p>
        </w:tc>
        <w:tc>
          <w:tcPr>
            <w:tcW w:w="2843" w:type="dxa"/>
            <w:shd w:val="clear" w:color="auto" w:fill="auto"/>
          </w:tcPr>
          <w:p w14:paraId="3DDFEE7B" w14:textId="77777777" w:rsidR="00B17B76" w:rsidRPr="00675182" w:rsidRDefault="00B17B76" w:rsidP="002B3341">
            <w:pPr>
              <w:spacing w:after="60"/>
              <w:jc w:val="center"/>
              <w:rPr>
                <w:rFonts w:cstheme="minorHAnsi"/>
                <w:b/>
                <w:bCs/>
              </w:rPr>
            </w:pPr>
          </w:p>
        </w:tc>
      </w:tr>
    </w:tbl>
    <w:p w14:paraId="10D8ED55" w14:textId="77777777" w:rsidR="00E26226" w:rsidRPr="00675182" w:rsidRDefault="00E26226" w:rsidP="002B3341">
      <w:pPr>
        <w:spacing w:after="60"/>
        <w:jc w:val="center"/>
        <w:rPr>
          <w:rFonts w:cstheme="minorHAnsi"/>
          <w:b/>
          <w:bCs/>
        </w:rPr>
      </w:pPr>
    </w:p>
    <w:tbl>
      <w:tblPr>
        <w:tblW w:w="0" w:type="auto"/>
        <w:jc w:val="center"/>
        <w:tblLook w:val="04A0" w:firstRow="1" w:lastRow="0" w:firstColumn="1" w:lastColumn="0" w:noHBand="0" w:noVBand="1"/>
      </w:tblPr>
      <w:tblGrid>
        <w:gridCol w:w="6989"/>
      </w:tblGrid>
      <w:tr w:rsidR="009A7584" w:rsidRPr="00675182" w14:paraId="7D89E7D2" w14:textId="77777777" w:rsidTr="009A7584">
        <w:trPr>
          <w:jc w:val="center"/>
        </w:trPr>
        <w:tc>
          <w:tcPr>
            <w:tcW w:w="6989" w:type="dxa"/>
          </w:tcPr>
          <w:p w14:paraId="1D7539D4" w14:textId="77777777" w:rsidR="007B145C" w:rsidRPr="00675182" w:rsidRDefault="007B145C" w:rsidP="002B3341">
            <w:pPr>
              <w:jc w:val="center"/>
              <w:rPr>
                <w:rFonts w:cstheme="minorHAnsi"/>
                <w:b/>
                <w:bCs/>
                <w:caps/>
                <w:sz w:val="36"/>
                <w:szCs w:val="36"/>
              </w:rPr>
            </w:pPr>
          </w:p>
          <w:p w14:paraId="6D1597F7" w14:textId="4C8B4212" w:rsidR="007F3DB3" w:rsidRPr="00675182" w:rsidRDefault="00CD0D92" w:rsidP="002B3341">
            <w:pPr>
              <w:jc w:val="center"/>
              <w:rPr>
                <w:rFonts w:cstheme="minorHAnsi"/>
                <w:b/>
                <w:bCs/>
                <w:caps/>
                <w:sz w:val="36"/>
                <w:szCs w:val="36"/>
              </w:rPr>
            </w:pPr>
            <w:r w:rsidRPr="00675182">
              <w:rPr>
                <w:rFonts w:cstheme="minorHAnsi"/>
                <w:b/>
                <w:bCs/>
                <w:caps/>
                <w:sz w:val="36"/>
                <w:szCs w:val="36"/>
              </w:rPr>
              <w:t>gaujas nacionāl</w:t>
            </w:r>
            <w:r w:rsidR="0085403B" w:rsidRPr="00675182">
              <w:rPr>
                <w:rFonts w:cstheme="minorHAnsi"/>
                <w:b/>
                <w:bCs/>
                <w:caps/>
                <w:sz w:val="36"/>
                <w:szCs w:val="36"/>
              </w:rPr>
              <w:t>Ā</w:t>
            </w:r>
            <w:r w:rsidRPr="00675182">
              <w:rPr>
                <w:rFonts w:cstheme="minorHAnsi"/>
                <w:b/>
                <w:bCs/>
                <w:caps/>
                <w:sz w:val="36"/>
                <w:szCs w:val="36"/>
              </w:rPr>
              <w:t xml:space="preserve"> parka</w:t>
            </w:r>
          </w:p>
          <w:p w14:paraId="7073C082" w14:textId="77777777" w:rsidR="007F3DB3" w:rsidRPr="00675182" w:rsidRDefault="007F3DB3" w:rsidP="002B3341">
            <w:pPr>
              <w:jc w:val="center"/>
              <w:rPr>
                <w:rFonts w:cstheme="minorHAnsi"/>
                <w:b/>
                <w:bCs/>
                <w:caps/>
                <w:sz w:val="36"/>
                <w:szCs w:val="36"/>
              </w:rPr>
            </w:pPr>
            <w:r w:rsidRPr="00675182">
              <w:rPr>
                <w:rFonts w:cstheme="minorHAnsi"/>
                <w:b/>
                <w:bCs/>
                <w:caps/>
                <w:sz w:val="36"/>
                <w:szCs w:val="36"/>
              </w:rPr>
              <w:t>dabas aizsardzības plānS</w:t>
            </w:r>
          </w:p>
          <w:p w14:paraId="23AD3D14" w14:textId="77777777" w:rsidR="001C51D7" w:rsidRPr="00675182" w:rsidRDefault="001C51D7" w:rsidP="002B3341">
            <w:pPr>
              <w:jc w:val="center"/>
              <w:rPr>
                <w:rFonts w:cstheme="minorHAnsi"/>
                <w:b/>
                <w:bCs/>
                <w:caps/>
                <w:sz w:val="36"/>
                <w:szCs w:val="36"/>
              </w:rPr>
            </w:pPr>
          </w:p>
          <w:p w14:paraId="42013DE4" w14:textId="3F048279" w:rsidR="0088662C" w:rsidRPr="00675182" w:rsidRDefault="0088662C" w:rsidP="002B3341">
            <w:pPr>
              <w:jc w:val="center"/>
              <w:rPr>
                <w:rFonts w:cstheme="minorHAnsi"/>
                <w:b/>
                <w:bCs/>
                <w:i/>
                <w:caps/>
                <w:color w:val="FF0000"/>
                <w:sz w:val="28"/>
                <w:szCs w:val="28"/>
              </w:rPr>
            </w:pPr>
          </w:p>
          <w:p w14:paraId="2B0E35F3" w14:textId="77777777" w:rsidR="007B145C" w:rsidRPr="00675182" w:rsidRDefault="007B145C" w:rsidP="002B3341">
            <w:pPr>
              <w:jc w:val="center"/>
              <w:rPr>
                <w:rFonts w:cstheme="minorHAnsi"/>
                <w:b/>
                <w:bCs/>
                <w:i/>
                <w:caps/>
                <w:color w:val="FF0000"/>
                <w:sz w:val="28"/>
                <w:szCs w:val="28"/>
              </w:rPr>
            </w:pPr>
          </w:p>
          <w:p w14:paraId="397CA31A" w14:textId="77777777" w:rsidR="009A7584" w:rsidRPr="00675182" w:rsidRDefault="009A7584" w:rsidP="00414F9A">
            <w:pPr>
              <w:ind w:left="360"/>
              <w:jc w:val="center"/>
              <w:rPr>
                <w:rFonts w:cstheme="minorHAnsi"/>
                <w:b/>
                <w:bCs/>
              </w:rPr>
            </w:pPr>
          </w:p>
        </w:tc>
      </w:tr>
      <w:tr w:rsidR="00E131F4" w:rsidRPr="00675182" w14:paraId="7FED7BC2" w14:textId="77777777" w:rsidTr="009A7584">
        <w:trPr>
          <w:jc w:val="center"/>
        </w:trPr>
        <w:tc>
          <w:tcPr>
            <w:tcW w:w="6989" w:type="dxa"/>
          </w:tcPr>
          <w:p w14:paraId="2E8F5927" w14:textId="77777777" w:rsidR="007F3DB3" w:rsidRPr="00675182" w:rsidRDefault="007F3DB3" w:rsidP="002B3341">
            <w:pPr>
              <w:spacing w:after="60"/>
              <w:jc w:val="center"/>
              <w:rPr>
                <w:rFonts w:cstheme="minorHAnsi"/>
                <w:b/>
                <w:bCs/>
              </w:rPr>
            </w:pPr>
            <w:r w:rsidRPr="00675182">
              <w:rPr>
                <w:rFonts w:cstheme="minorHAnsi"/>
                <w:b/>
                <w:bCs/>
              </w:rPr>
              <w:t>Pasūtītājs: Dabas aizsardzības pārvalde</w:t>
            </w:r>
          </w:p>
          <w:p w14:paraId="4C5BFC5E" w14:textId="77777777" w:rsidR="00E131F4" w:rsidRPr="00675182" w:rsidRDefault="00E131F4" w:rsidP="002B3341">
            <w:pPr>
              <w:rPr>
                <w:rFonts w:cstheme="minorHAnsi"/>
                <w:sz w:val="16"/>
                <w:szCs w:val="16"/>
              </w:rPr>
            </w:pPr>
          </w:p>
        </w:tc>
      </w:tr>
    </w:tbl>
    <w:p w14:paraId="54B1CAF8" w14:textId="77777777" w:rsidR="007F3DB3" w:rsidRPr="00675182" w:rsidRDefault="007F3DB3" w:rsidP="002B3341">
      <w:pPr>
        <w:jc w:val="center"/>
        <w:rPr>
          <w:rFonts w:cstheme="minorHAnsi"/>
          <w:bCs/>
        </w:rPr>
      </w:pPr>
    </w:p>
    <w:p w14:paraId="43C471EC" w14:textId="54E71E3E" w:rsidR="00011E51" w:rsidRPr="00675182" w:rsidRDefault="002C384B" w:rsidP="002B3341">
      <w:pPr>
        <w:jc w:val="center"/>
        <w:rPr>
          <w:rFonts w:cstheme="minorHAnsi"/>
          <w:bCs/>
        </w:rPr>
      </w:pPr>
      <w:r w:rsidRPr="00675182">
        <w:rPr>
          <w:rFonts w:cstheme="minorHAnsi"/>
          <w:bCs/>
        </w:rPr>
        <w:t>Gaujas Nacionālais parks</w:t>
      </w:r>
      <w:r w:rsidR="00011E51" w:rsidRPr="00675182">
        <w:rPr>
          <w:rFonts w:cstheme="minorHAnsi"/>
          <w:bCs/>
        </w:rPr>
        <w:t xml:space="preserve"> atrodas</w:t>
      </w:r>
      <w:r w:rsidR="00277CA6" w:rsidRPr="00675182">
        <w:rPr>
          <w:rFonts w:cstheme="minorHAnsi"/>
          <w:bCs/>
        </w:rPr>
        <w:t xml:space="preserve"> </w:t>
      </w:r>
      <w:bookmarkStart w:id="1" w:name="_Hlk52053758"/>
      <w:r w:rsidRPr="00675182">
        <w:rPr>
          <w:rFonts w:cstheme="minorHAnsi"/>
          <w:bCs/>
        </w:rPr>
        <w:t xml:space="preserve">Cēsu, </w:t>
      </w:r>
      <w:r w:rsidR="00CC098A" w:rsidRPr="00675182">
        <w:rPr>
          <w:rFonts w:cstheme="minorHAnsi"/>
          <w:bCs/>
        </w:rPr>
        <w:t xml:space="preserve">Saulkrastu, </w:t>
      </w:r>
      <w:r w:rsidRPr="00675182">
        <w:rPr>
          <w:rFonts w:cstheme="minorHAnsi"/>
          <w:bCs/>
        </w:rPr>
        <w:t>Siguldas</w:t>
      </w:r>
      <w:r w:rsidR="00CC098A" w:rsidRPr="00675182">
        <w:rPr>
          <w:rFonts w:cstheme="minorHAnsi"/>
          <w:bCs/>
        </w:rPr>
        <w:t xml:space="preserve"> un Valmieras</w:t>
      </w:r>
      <w:r w:rsidRPr="00675182">
        <w:rPr>
          <w:rFonts w:cstheme="minorHAnsi"/>
          <w:bCs/>
        </w:rPr>
        <w:t xml:space="preserve"> novados</w:t>
      </w:r>
      <w:bookmarkEnd w:id="1"/>
    </w:p>
    <w:p w14:paraId="62533ECD" w14:textId="77777777" w:rsidR="00011E51" w:rsidRPr="00675182" w:rsidRDefault="00011E51" w:rsidP="002B3341">
      <w:pPr>
        <w:jc w:val="center"/>
        <w:rPr>
          <w:rFonts w:cstheme="minorHAnsi"/>
          <w:b/>
          <w:bCs/>
        </w:rPr>
      </w:pPr>
    </w:p>
    <w:p w14:paraId="2E9D3709" w14:textId="28BADCF7" w:rsidR="00011E51" w:rsidRPr="00675182" w:rsidRDefault="00011E51" w:rsidP="002B3341">
      <w:pPr>
        <w:jc w:val="center"/>
        <w:rPr>
          <w:rFonts w:cstheme="minorHAnsi"/>
          <w:b/>
          <w:bCs/>
          <w:sz w:val="28"/>
        </w:rPr>
      </w:pPr>
      <w:r w:rsidRPr="00675182">
        <w:rPr>
          <w:rFonts w:cstheme="minorHAnsi"/>
          <w:b/>
          <w:bCs/>
          <w:sz w:val="28"/>
        </w:rPr>
        <w:t>Plāns</w:t>
      </w:r>
      <w:r w:rsidR="009A7584" w:rsidRPr="00675182">
        <w:rPr>
          <w:rFonts w:cstheme="minorHAnsi"/>
          <w:b/>
          <w:bCs/>
          <w:sz w:val="28"/>
        </w:rPr>
        <w:t xml:space="preserve"> izstrādāts laika posmam no </w:t>
      </w:r>
      <w:r w:rsidR="008163B3" w:rsidRPr="00675182">
        <w:rPr>
          <w:rFonts w:cstheme="minorHAnsi"/>
          <w:b/>
          <w:bCs/>
          <w:sz w:val="28"/>
        </w:rPr>
        <w:t>202</w:t>
      </w:r>
      <w:r w:rsidR="00AE0A35" w:rsidRPr="00675182">
        <w:rPr>
          <w:rFonts w:cstheme="minorHAnsi"/>
          <w:b/>
          <w:bCs/>
          <w:sz w:val="28"/>
        </w:rPr>
        <w:t>3</w:t>
      </w:r>
      <w:r w:rsidR="008163B3" w:rsidRPr="00675182">
        <w:rPr>
          <w:rFonts w:cstheme="minorHAnsi"/>
          <w:b/>
          <w:bCs/>
          <w:sz w:val="28"/>
        </w:rPr>
        <w:t xml:space="preserve">. gada līdz </w:t>
      </w:r>
      <w:r w:rsidR="00AE0A35" w:rsidRPr="00675182">
        <w:rPr>
          <w:rFonts w:cstheme="minorHAnsi"/>
          <w:b/>
          <w:bCs/>
          <w:sz w:val="28"/>
        </w:rPr>
        <w:t>2035.</w:t>
      </w:r>
      <w:r w:rsidR="008163B3" w:rsidRPr="00675182">
        <w:rPr>
          <w:rFonts w:cstheme="minorHAnsi"/>
          <w:b/>
          <w:bCs/>
          <w:sz w:val="28"/>
        </w:rPr>
        <w:t xml:space="preserve"> gadam</w:t>
      </w:r>
    </w:p>
    <w:p w14:paraId="605511B6" w14:textId="77777777" w:rsidR="00011E51" w:rsidRPr="00675182" w:rsidRDefault="00011E51" w:rsidP="002B3341">
      <w:pPr>
        <w:jc w:val="center"/>
        <w:rPr>
          <w:rFonts w:cstheme="minorHAnsi"/>
        </w:rPr>
      </w:pPr>
    </w:p>
    <w:p w14:paraId="3A954ADC" w14:textId="77777777" w:rsidR="00011E51" w:rsidRPr="00675182" w:rsidRDefault="009B3824" w:rsidP="002B3341">
      <w:pPr>
        <w:tabs>
          <w:tab w:val="left" w:pos="2988"/>
        </w:tabs>
        <w:rPr>
          <w:rFonts w:cstheme="minorHAnsi"/>
        </w:rPr>
      </w:pPr>
      <w:r w:rsidRPr="00675182">
        <w:rPr>
          <w:rFonts w:cstheme="minorHAnsi"/>
        </w:rPr>
        <w:tab/>
      </w:r>
    </w:p>
    <w:p w14:paraId="0C65A84D" w14:textId="77777777" w:rsidR="00011E51" w:rsidRPr="00675182" w:rsidRDefault="00011E51" w:rsidP="002B3341">
      <w:pPr>
        <w:jc w:val="center"/>
        <w:rPr>
          <w:rFonts w:cstheme="minorHAnsi"/>
          <w:b/>
          <w:bCs/>
        </w:rPr>
      </w:pPr>
      <w:r w:rsidRPr="00675182">
        <w:rPr>
          <w:rFonts w:cstheme="minorHAnsi"/>
          <w:b/>
          <w:bCs/>
        </w:rPr>
        <w:t>Izstrādātājs: SIA “Estonian, Latvian &amp; Lithuanian Environment”</w:t>
      </w:r>
    </w:p>
    <w:p w14:paraId="32F6454D" w14:textId="77777777" w:rsidR="00011E51" w:rsidRPr="00675182" w:rsidRDefault="00011E51" w:rsidP="002B3341">
      <w:pPr>
        <w:jc w:val="center"/>
        <w:rPr>
          <w:rFonts w:cstheme="minorHAnsi"/>
          <w:b/>
          <w:bCs/>
        </w:rPr>
      </w:pPr>
    </w:p>
    <w:p w14:paraId="566ECE71" w14:textId="77777777" w:rsidR="00E13817" w:rsidRPr="00675182" w:rsidRDefault="00E13817" w:rsidP="002B3341">
      <w:pPr>
        <w:jc w:val="center"/>
        <w:rPr>
          <w:rFonts w:cstheme="minorHAnsi"/>
          <w:b/>
        </w:rPr>
      </w:pPr>
    </w:p>
    <w:p w14:paraId="73F297D8" w14:textId="1F5A6254" w:rsidR="00011E51" w:rsidRPr="00675182" w:rsidRDefault="009A7584" w:rsidP="002B3341">
      <w:pPr>
        <w:jc w:val="center"/>
        <w:rPr>
          <w:rFonts w:cstheme="minorHAnsi"/>
          <w:b/>
        </w:rPr>
      </w:pPr>
      <w:r w:rsidRPr="00675182">
        <w:rPr>
          <w:rFonts w:cstheme="minorHAnsi"/>
          <w:b/>
        </w:rPr>
        <w:t xml:space="preserve">Rīga, </w:t>
      </w:r>
      <w:r w:rsidR="0033083B" w:rsidRPr="00675182">
        <w:rPr>
          <w:rFonts w:cstheme="minorHAnsi"/>
          <w:b/>
        </w:rPr>
        <w:t>202</w:t>
      </w:r>
      <w:r w:rsidR="00D20590" w:rsidRPr="00675182">
        <w:rPr>
          <w:rFonts w:cstheme="minorHAnsi"/>
          <w:b/>
        </w:rPr>
        <w:t>3</w:t>
      </w:r>
      <w:r w:rsidR="00011E51" w:rsidRPr="00675182">
        <w:rPr>
          <w:rFonts w:cstheme="minorHAnsi"/>
          <w:b/>
        </w:rPr>
        <w:t xml:space="preserve">. gada </w:t>
      </w:r>
      <w:r w:rsidR="00D20590" w:rsidRPr="00675182">
        <w:rPr>
          <w:rFonts w:cstheme="minorHAnsi"/>
          <w:b/>
        </w:rPr>
        <w:t>janvāris</w:t>
      </w:r>
    </w:p>
    <w:p w14:paraId="3CB82EA8" w14:textId="77777777" w:rsidR="00420275" w:rsidRPr="00675182" w:rsidRDefault="00420275" w:rsidP="002B3341">
      <w:pPr>
        <w:jc w:val="center"/>
        <w:rPr>
          <w:rFonts w:cstheme="minorHAnsi"/>
          <w:b/>
        </w:rPr>
      </w:pPr>
    </w:p>
    <w:p w14:paraId="00E2C02C" w14:textId="77777777" w:rsidR="00BD43F0" w:rsidRPr="00675182" w:rsidRDefault="00E56D8F" w:rsidP="002B3341">
      <w:pPr>
        <w:jc w:val="center"/>
        <w:rPr>
          <w:rFonts w:cstheme="minorHAnsi"/>
          <w:b/>
        </w:rPr>
        <w:sectPr w:rsidR="00BD43F0" w:rsidRPr="00675182" w:rsidSect="00CD74B1">
          <w:pgSz w:w="11905" w:h="16837"/>
          <w:pgMar w:top="1716" w:right="1797" w:bottom="1716" w:left="1797" w:header="1440" w:footer="1440" w:gutter="0"/>
          <w:cols w:space="720"/>
          <w:docGrid w:linePitch="360"/>
        </w:sectPr>
      </w:pPr>
      <w:r w:rsidRPr="00675182">
        <w:rPr>
          <w:rFonts w:cstheme="minorHAnsi"/>
          <w:b/>
          <w:noProof/>
          <w:lang w:eastAsia="lv-LV"/>
        </w:rPr>
        <w:drawing>
          <wp:inline distT="0" distB="0" distL="0" distR="0" wp14:anchorId="27237E2C" wp14:editId="17AC2D09">
            <wp:extent cx="1097280" cy="1602105"/>
            <wp:effectExtent l="0" t="0" r="7620" b="0"/>
            <wp:docPr id="4" name="Picture 4" descr="Green_full_4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een_full_400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7280" cy="1602105"/>
                    </a:xfrm>
                    <a:prstGeom prst="rect">
                      <a:avLst/>
                    </a:prstGeom>
                    <a:noFill/>
                    <a:ln>
                      <a:noFill/>
                    </a:ln>
                  </pic:spPr>
                </pic:pic>
              </a:graphicData>
            </a:graphic>
          </wp:inline>
        </w:drawing>
      </w:r>
    </w:p>
    <w:bookmarkEnd w:id="0"/>
    <w:p w14:paraId="15F302FF" w14:textId="77777777" w:rsidR="00C0027D" w:rsidRPr="00675182" w:rsidRDefault="00C0027D" w:rsidP="002B3341">
      <w:pPr>
        <w:suppressAutoHyphens w:val="0"/>
        <w:rPr>
          <w:rFonts w:cstheme="minorHAnsi"/>
          <w:b/>
        </w:rPr>
      </w:pPr>
      <w:r w:rsidRPr="00675182">
        <w:rPr>
          <w:rFonts w:cstheme="minorHAnsi"/>
          <w:b/>
        </w:rPr>
        <w:br w:type="page"/>
      </w:r>
    </w:p>
    <w:p w14:paraId="26C6AE28" w14:textId="77777777" w:rsidR="00011E51" w:rsidRPr="00675182" w:rsidRDefault="00011E51" w:rsidP="002B3341">
      <w:pPr>
        <w:rPr>
          <w:rFonts w:cstheme="minorHAnsi"/>
          <w:b/>
        </w:rPr>
      </w:pPr>
      <w:r w:rsidRPr="00675182">
        <w:rPr>
          <w:rFonts w:cstheme="minorHAnsi"/>
          <w:b/>
        </w:rPr>
        <w:lastRenderedPageBreak/>
        <w:t>Plāna izstrādē iesaistītie eksperti/speciālisti:</w:t>
      </w:r>
    </w:p>
    <w:p w14:paraId="267723DC" w14:textId="6BFBDE8C" w:rsidR="00CD0D92" w:rsidRPr="00675182" w:rsidRDefault="00CD0D92" w:rsidP="002B3341">
      <w:pPr>
        <w:ind w:left="426" w:hanging="426"/>
        <w:rPr>
          <w:rFonts w:cstheme="minorHAnsi"/>
        </w:rPr>
      </w:pPr>
      <w:r w:rsidRPr="00675182">
        <w:rPr>
          <w:rFonts w:cstheme="minorHAnsi"/>
        </w:rPr>
        <w:t>Lūcija Kursīte – projekta vadītāja</w:t>
      </w:r>
      <w:r w:rsidR="00AE0A35" w:rsidRPr="00675182">
        <w:rPr>
          <w:rFonts w:cstheme="minorHAnsi"/>
        </w:rPr>
        <w:t>;</w:t>
      </w:r>
    </w:p>
    <w:p w14:paraId="78E45614" w14:textId="5B880037" w:rsidR="00A00A8D" w:rsidRPr="00675182" w:rsidRDefault="00A00A8D" w:rsidP="002B3341">
      <w:pPr>
        <w:ind w:left="426" w:hanging="426"/>
        <w:rPr>
          <w:rFonts w:cstheme="minorHAnsi"/>
        </w:rPr>
      </w:pPr>
      <w:r w:rsidRPr="00675182">
        <w:rPr>
          <w:rFonts w:cstheme="minorHAnsi"/>
        </w:rPr>
        <w:t>Aiga Tora – kartogrāfe, projekta koordinatore</w:t>
      </w:r>
      <w:r w:rsidR="00AE0A35" w:rsidRPr="00675182">
        <w:rPr>
          <w:rFonts w:cstheme="minorHAnsi"/>
        </w:rPr>
        <w:t>;</w:t>
      </w:r>
    </w:p>
    <w:p w14:paraId="7B0FBFC1" w14:textId="77777777" w:rsidR="00FD4CED" w:rsidRPr="00675182" w:rsidRDefault="00FD4CED" w:rsidP="00FD4CED">
      <w:pPr>
        <w:ind w:left="567" w:hanging="567"/>
        <w:rPr>
          <w:rFonts w:cstheme="minorHAnsi"/>
        </w:rPr>
      </w:pPr>
      <w:r w:rsidRPr="00675182">
        <w:rPr>
          <w:rFonts w:cstheme="minorHAnsi"/>
        </w:rPr>
        <w:t xml:space="preserve">Gatis Eriņš – </w:t>
      </w:r>
      <w:bookmarkStart w:id="2" w:name="_Hlk6243192"/>
      <w:r w:rsidRPr="00675182">
        <w:rPr>
          <w:rFonts w:cstheme="minorHAnsi"/>
        </w:rPr>
        <w:t>mežu un virsāju, purvu biotopu eksperts</w:t>
      </w:r>
      <w:bookmarkEnd w:id="2"/>
      <w:r w:rsidRPr="00675182">
        <w:rPr>
          <w:rFonts w:cstheme="minorHAnsi"/>
        </w:rPr>
        <w:t>;</w:t>
      </w:r>
    </w:p>
    <w:p w14:paraId="0DCEE789" w14:textId="6E3C9007" w:rsidR="00FD4CED" w:rsidRPr="00675182" w:rsidRDefault="00FD4CED" w:rsidP="00D55669">
      <w:pPr>
        <w:ind w:left="567" w:hanging="567"/>
        <w:rPr>
          <w:rFonts w:cstheme="minorHAnsi"/>
        </w:rPr>
      </w:pPr>
      <w:r w:rsidRPr="00675182">
        <w:rPr>
          <w:rFonts w:cstheme="minorHAnsi"/>
        </w:rPr>
        <w:t>Kristiāna Siliņa – kartogrāfe;</w:t>
      </w:r>
    </w:p>
    <w:p w14:paraId="246E5E8C" w14:textId="40D1E4DC" w:rsidR="00833CF1" w:rsidRPr="00675182" w:rsidRDefault="00833CF1" w:rsidP="00D55669">
      <w:pPr>
        <w:ind w:left="567" w:hanging="567"/>
        <w:rPr>
          <w:rFonts w:cstheme="minorHAnsi"/>
        </w:rPr>
      </w:pPr>
      <w:r w:rsidRPr="00675182">
        <w:rPr>
          <w:rFonts w:cstheme="minorHAnsi"/>
        </w:rPr>
        <w:t>Kristīne Eglīte – kartogrāfe;</w:t>
      </w:r>
    </w:p>
    <w:p w14:paraId="5F25BCDC" w14:textId="54DB5AE6" w:rsidR="002B6AA2" w:rsidRPr="00675182" w:rsidRDefault="00AE0A35" w:rsidP="00D55669">
      <w:pPr>
        <w:ind w:left="567" w:hanging="567"/>
        <w:rPr>
          <w:rFonts w:cstheme="minorHAnsi"/>
        </w:rPr>
      </w:pPr>
      <w:r w:rsidRPr="00675182">
        <w:rPr>
          <w:rFonts w:cstheme="minorHAnsi"/>
        </w:rPr>
        <w:t>Anete Pošiva-Bunkovska – kartogrāfe, mežu un virsāju, zālāju</w:t>
      </w:r>
      <w:r w:rsidR="00423BAF" w:rsidRPr="00675182">
        <w:rPr>
          <w:rFonts w:cstheme="minorHAnsi"/>
        </w:rPr>
        <w:t xml:space="preserve">, </w:t>
      </w:r>
      <w:r w:rsidRPr="00675182">
        <w:rPr>
          <w:rFonts w:cstheme="minorHAnsi"/>
        </w:rPr>
        <w:t>purvu</w:t>
      </w:r>
      <w:r w:rsidR="00423BAF" w:rsidRPr="00675182">
        <w:rPr>
          <w:rFonts w:cstheme="minorHAnsi"/>
        </w:rPr>
        <w:t>, iežu atsegumu un alu</w:t>
      </w:r>
      <w:r w:rsidRPr="00675182">
        <w:rPr>
          <w:rFonts w:cstheme="minorHAnsi"/>
        </w:rPr>
        <w:t xml:space="preserve"> biotopu eksperte</w:t>
      </w:r>
      <w:r w:rsidR="00B75BBC" w:rsidRPr="00675182">
        <w:rPr>
          <w:rFonts w:cstheme="minorHAnsi"/>
        </w:rPr>
        <w:t>;</w:t>
      </w:r>
    </w:p>
    <w:p w14:paraId="6F0BE1A3" w14:textId="5732365A" w:rsidR="002901C9" w:rsidRPr="00675182" w:rsidRDefault="002901C9" w:rsidP="00D55669">
      <w:pPr>
        <w:ind w:left="567" w:hanging="567"/>
        <w:rPr>
          <w:rFonts w:cstheme="minorHAnsi"/>
          <w:szCs w:val="24"/>
        </w:rPr>
      </w:pPr>
      <w:r w:rsidRPr="00675182">
        <w:rPr>
          <w:rFonts w:cstheme="minorHAnsi"/>
          <w:szCs w:val="24"/>
        </w:rPr>
        <w:t>Ilze Kukāre – vaskulāro augu</w:t>
      </w:r>
      <w:r w:rsidR="001F560A" w:rsidRPr="00675182">
        <w:rPr>
          <w:rFonts w:cstheme="minorHAnsi"/>
          <w:szCs w:val="24"/>
        </w:rPr>
        <w:t xml:space="preserve"> un</w:t>
      </w:r>
      <w:r w:rsidR="002B6AA2" w:rsidRPr="00675182">
        <w:rPr>
          <w:rFonts w:cstheme="minorHAnsi"/>
          <w:szCs w:val="24"/>
        </w:rPr>
        <w:t xml:space="preserve"> </w:t>
      </w:r>
      <w:r w:rsidRPr="00675182">
        <w:rPr>
          <w:rFonts w:cstheme="minorHAnsi"/>
          <w:szCs w:val="24"/>
        </w:rPr>
        <w:t>sūnu sugu eksperte</w:t>
      </w:r>
      <w:r w:rsidR="00C838C5" w:rsidRPr="00675182">
        <w:rPr>
          <w:rFonts w:cstheme="minorHAnsi"/>
          <w:szCs w:val="24"/>
        </w:rPr>
        <w:t xml:space="preserve">, iežu atsegumu </w:t>
      </w:r>
      <w:r w:rsidR="002B6AA2" w:rsidRPr="00675182">
        <w:rPr>
          <w:rFonts w:cstheme="minorHAnsi"/>
          <w:szCs w:val="24"/>
        </w:rPr>
        <w:t>un alu biotopu eksperte</w:t>
      </w:r>
      <w:r w:rsidRPr="00675182">
        <w:rPr>
          <w:rFonts w:cstheme="minorHAnsi"/>
          <w:szCs w:val="24"/>
        </w:rPr>
        <w:t>;</w:t>
      </w:r>
    </w:p>
    <w:p w14:paraId="3C5BFC41" w14:textId="56B32E41" w:rsidR="000F377C" w:rsidRPr="00675182" w:rsidRDefault="000F377C" w:rsidP="00D55669">
      <w:pPr>
        <w:ind w:left="567" w:hanging="567"/>
        <w:rPr>
          <w:rFonts w:cstheme="minorHAnsi"/>
          <w:szCs w:val="24"/>
        </w:rPr>
      </w:pPr>
      <w:r w:rsidRPr="00675182">
        <w:rPr>
          <w:rFonts w:cstheme="minorHAnsi"/>
          <w:szCs w:val="24"/>
        </w:rPr>
        <w:t>Ansis Opmanis – sūnu sugu eksperts;</w:t>
      </w:r>
    </w:p>
    <w:p w14:paraId="002BEEF4" w14:textId="759F12AC" w:rsidR="002901C9" w:rsidRPr="00675182" w:rsidRDefault="002901C9" w:rsidP="002901C9">
      <w:pPr>
        <w:rPr>
          <w:rFonts w:cstheme="minorHAnsi"/>
          <w:szCs w:val="24"/>
        </w:rPr>
      </w:pPr>
      <w:r w:rsidRPr="00675182">
        <w:rPr>
          <w:rFonts w:cstheme="minorHAnsi"/>
          <w:szCs w:val="24"/>
        </w:rPr>
        <w:t>Rolands Moisejevs - ķērpju sugu eksperts;</w:t>
      </w:r>
    </w:p>
    <w:p w14:paraId="35DC2CF7" w14:textId="2FFAEDE6" w:rsidR="002901C9" w:rsidRPr="00675182" w:rsidRDefault="002901C9" w:rsidP="002901C9">
      <w:pPr>
        <w:rPr>
          <w:rFonts w:cstheme="minorHAnsi"/>
          <w:szCs w:val="24"/>
        </w:rPr>
      </w:pPr>
      <w:r w:rsidRPr="00675182">
        <w:rPr>
          <w:rFonts w:cstheme="minorHAnsi"/>
          <w:szCs w:val="24"/>
        </w:rPr>
        <w:t>Maija Medne – zālāju biotopu eksperte;</w:t>
      </w:r>
    </w:p>
    <w:p w14:paraId="5AB5D838" w14:textId="77777777" w:rsidR="002901C9" w:rsidRPr="00675182" w:rsidRDefault="002901C9" w:rsidP="002901C9">
      <w:pPr>
        <w:rPr>
          <w:rFonts w:cstheme="minorHAnsi"/>
          <w:szCs w:val="24"/>
        </w:rPr>
      </w:pPr>
      <w:r w:rsidRPr="00675182">
        <w:rPr>
          <w:rFonts w:cstheme="minorHAnsi"/>
          <w:szCs w:val="24"/>
        </w:rPr>
        <w:t>Laura Grīnberga – stāvošu saldūdeņu un tekošu saldūdeņu biotopu eksperte;</w:t>
      </w:r>
    </w:p>
    <w:p w14:paraId="1DACE7CE" w14:textId="77777777" w:rsidR="002901C9" w:rsidRPr="00675182" w:rsidRDefault="002901C9" w:rsidP="002901C9">
      <w:pPr>
        <w:rPr>
          <w:rFonts w:cstheme="minorHAnsi"/>
          <w:szCs w:val="24"/>
        </w:rPr>
      </w:pPr>
      <w:r w:rsidRPr="00675182">
        <w:rPr>
          <w:rFonts w:cstheme="minorHAnsi"/>
          <w:szCs w:val="24"/>
        </w:rPr>
        <w:t>Gaidis Grandāns – ornitofaunas eksperts;</w:t>
      </w:r>
    </w:p>
    <w:p w14:paraId="0D458841" w14:textId="39EF9AC5" w:rsidR="002901C9" w:rsidRPr="00675182" w:rsidRDefault="002901C9" w:rsidP="002901C9">
      <w:pPr>
        <w:rPr>
          <w:rFonts w:cstheme="minorHAnsi"/>
          <w:szCs w:val="24"/>
        </w:rPr>
      </w:pPr>
      <w:r w:rsidRPr="00675182">
        <w:rPr>
          <w:rFonts w:cstheme="minorHAnsi"/>
          <w:szCs w:val="24"/>
        </w:rPr>
        <w:t>Maksims Balalaikins – bezmugurkaulnieku eksperts;</w:t>
      </w:r>
    </w:p>
    <w:p w14:paraId="0B4D4158" w14:textId="77777777" w:rsidR="00E4156F" w:rsidRPr="00675182" w:rsidRDefault="00E4156F" w:rsidP="00E4156F">
      <w:pPr>
        <w:rPr>
          <w:rFonts w:cstheme="minorHAnsi"/>
        </w:rPr>
      </w:pPr>
      <w:r w:rsidRPr="00675182">
        <w:rPr>
          <w:rFonts w:cstheme="minorHAnsi"/>
        </w:rPr>
        <w:t>Jānis Birzaks – ihtiofaunas eksperts;</w:t>
      </w:r>
    </w:p>
    <w:p w14:paraId="2DD07EF3" w14:textId="77777777" w:rsidR="00E4156F" w:rsidRPr="00675182" w:rsidRDefault="00E4156F" w:rsidP="00E4156F">
      <w:pPr>
        <w:rPr>
          <w:rFonts w:cstheme="minorHAnsi"/>
        </w:rPr>
      </w:pPr>
      <w:r w:rsidRPr="00675182">
        <w:rPr>
          <w:rFonts w:cstheme="minorHAnsi"/>
        </w:rPr>
        <w:t>Līga Mihailova – zīdītāju eksperte;</w:t>
      </w:r>
    </w:p>
    <w:p w14:paraId="3F88E4DA" w14:textId="77777777" w:rsidR="002901C9" w:rsidRPr="00675182" w:rsidRDefault="002901C9" w:rsidP="002901C9">
      <w:pPr>
        <w:rPr>
          <w:rFonts w:cstheme="minorHAnsi"/>
          <w:szCs w:val="24"/>
        </w:rPr>
      </w:pPr>
      <w:r w:rsidRPr="00675182">
        <w:rPr>
          <w:rFonts w:cstheme="minorHAnsi"/>
          <w:szCs w:val="24"/>
        </w:rPr>
        <w:t>Viesturs Vintulis – zīdītāju, t.sk. sikspārņu eksperts;</w:t>
      </w:r>
    </w:p>
    <w:p w14:paraId="01C064BA" w14:textId="3BCC5BDB" w:rsidR="002901C9" w:rsidRPr="00675182" w:rsidRDefault="002901C9" w:rsidP="002901C9">
      <w:pPr>
        <w:rPr>
          <w:rFonts w:cstheme="minorHAnsi"/>
          <w:szCs w:val="24"/>
        </w:rPr>
      </w:pPr>
      <w:r w:rsidRPr="00675182">
        <w:rPr>
          <w:rFonts w:cstheme="minorHAnsi"/>
          <w:szCs w:val="24"/>
        </w:rPr>
        <w:t>Margita Deičmane – abinieku un rāpuļu eksperts;</w:t>
      </w:r>
    </w:p>
    <w:p w14:paraId="4CE4EBC4" w14:textId="74C4A3D2" w:rsidR="002901C9" w:rsidRPr="00675182" w:rsidRDefault="002901C9" w:rsidP="002901C9">
      <w:pPr>
        <w:rPr>
          <w:rFonts w:cstheme="minorHAnsi"/>
          <w:szCs w:val="24"/>
        </w:rPr>
      </w:pPr>
      <w:r w:rsidRPr="00675182">
        <w:rPr>
          <w:rFonts w:cstheme="minorHAnsi"/>
          <w:szCs w:val="24"/>
        </w:rPr>
        <w:t>Pēteris Lakovskis – ainavu eksperts;</w:t>
      </w:r>
    </w:p>
    <w:p w14:paraId="36CDB4E3" w14:textId="260BBD66" w:rsidR="002901C9" w:rsidRPr="00675182" w:rsidRDefault="002901C9" w:rsidP="002901C9">
      <w:pPr>
        <w:rPr>
          <w:rFonts w:cstheme="minorHAnsi"/>
          <w:szCs w:val="24"/>
        </w:rPr>
      </w:pPr>
      <w:r w:rsidRPr="00675182">
        <w:rPr>
          <w:rFonts w:cstheme="minorHAnsi"/>
          <w:szCs w:val="24"/>
        </w:rPr>
        <w:t>Andris Klepers – tūrisma eksperts</w:t>
      </w:r>
      <w:r w:rsidR="00335F70" w:rsidRPr="00675182">
        <w:rPr>
          <w:rFonts w:cstheme="minorHAnsi"/>
          <w:szCs w:val="24"/>
        </w:rPr>
        <w:t>;</w:t>
      </w:r>
    </w:p>
    <w:p w14:paraId="628ACFBC" w14:textId="77777777" w:rsidR="00DB49A8" w:rsidRPr="00675182" w:rsidRDefault="00BE4E8A" w:rsidP="002B3341">
      <w:pPr>
        <w:ind w:left="426" w:hanging="426"/>
        <w:rPr>
          <w:rFonts w:cstheme="minorHAnsi"/>
        </w:rPr>
      </w:pPr>
      <w:r w:rsidRPr="00675182">
        <w:rPr>
          <w:rFonts w:cstheme="minorHAnsi"/>
        </w:rPr>
        <w:t>Juris</w:t>
      </w:r>
      <w:r w:rsidR="00E1132D" w:rsidRPr="00675182">
        <w:rPr>
          <w:rFonts w:cstheme="minorHAnsi"/>
        </w:rPr>
        <w:t xml:space="preserve"> Som</w:t>
      </w:r>
      <w:r w:rsidR="00335F70" w:rsidRPr="00675182">
        <w:rPr>
          <w:rFonts w:cstheme="minorHAnsi"/>
        </w:rPr>
        <w:t>s – hidroloģijas eksperts</w:t>
      </w:r>
      <w:r w:rsidR="00DB49A8" w:rsidRPr="00675182">
        <w:rPr>
          <w:rFonts w:cstheme="minorHAnsi"/>
        </w:rPr>
        <w:t>;</w:t>
      </w:r>
    </w:p>
    <w:p w14:paraId="486BEA64" w14:textId="0821BA91" w:rsidR="002901C9" w:rsidRPr="00675182" w:rsidRDefault="00DB49A8" w:rsidP="00DB49A8">
      <w:pPr>
        <w:ind w:left="426" w:hanging="426"/>
        <w:rPr>
          <w:rFonts w:cstheme="minorHAnsi"/>
        </w:rPr>
      </w:pPr>
      <w:r w:rsidRPr="00675182">
        <w:rPr>
          <w:rFonts w:cstheme="minorHAnsi"/>
        </w:rPr>
        <w:t>Māris Krievāns – ģeoloģijas eksperts</w:t>
      </w:r>
      <w:r w:rsidR="008A4FF0" w:rsidRPr="00675182">
        <w:rPr>
          <w:rFonts w:cstheme="minorHAnsi"/>
        </w:rPr>
        <w:t>;</w:t>
      </w:r>
    </w:p>
    <w:p w14:paraId="63E56265" w14:textId="14C482D0" w:rsidR="003D1CCD" w:rsidRPr="00675182" w:rsidRDefault="00EF681B" w:rsidP="00DB49A8">
      <w:pPr>
        <w:ind w:left="426" w:hanging="426"/>
        <w:rPr>
          <w:rFonts w:cstheme="minorHAnsi"/>
        </w:rPr>
      </w:pPr>
      <w:r w:rsidRPr="00675182">
        <w:rPr>
          <w:rFonts w:cstheme="minorHAnsi"/>
        </w:rPr>
        <w:t xml:space="preserve">Ritvars </w:t>
      </w:r>
      <w:r w:rsidR="008A4FF0" w:rsidRPr="00675182">
        <w:rPr>
          <w:rFonts w:cstheme="minorHAnsi"/>
        </w:rPr>
        <w:t>Ritums – kultūrvēstures eksperts</w:t>
      </w:r>
      <w:r w:rsidR="003D1CCD" w:rsidRPr="00675182">
        <w:rPr>
          <w:rFonts w:cstheme="minorHAnsi"/>
        </w:rPr>
        <w:t>;</w:t>
      </w:r>
    </w:p>
    <w:p w14:paraId="1F616456" w14:textId="4D8B0EFE" w:rsidR="00EF681B" w:rsidRPr="00675182" w:rsidRDefault="003D1CCD" w:rsidP="00DB49A8">
      <w:pPr>
        <w:ind w:left="426" w:hanging="426"/>
        <w:rPr>
          <w:rFonts w:cstheme="minorHAnsi"/>
        </w:rPr>
      </w:pPr>
      <w:r w:rsidRPr="00675182">
        <w:rPr>
          <w:rFonts w:cstheme="minorHAnsi"/>
        </w:rPr>
        <w:t>Maija Ušča</w:t>
      </w:r>
      <w:r w:rsidR="006A275F" w:rsidRPr="00675182">
        <w:rPr>
          <w:rFonts w:cstheme="minorHAnsi"/>
        </w:rPr>
        <w:t xml:space="preserve"> – </w:t>
      </w:r>
      <w:r w:rsidRPr="00675182">
        <w:rPr>
          <w:rFonts w:cstheme="minorHAnsi"/>
        </w:rPr>
        <w:t>sabiedrisko attiecību speciāliste</w:t>
      </w:r>
      <w:r w:rsidR="008A4FF0" w:rsidRPr="00675182">
        <w:rPr>
          <w:rFonts w:cstheme="minorHAnsi"/>
        </w:rPr>
        <w:t xml:space="preserve">. </w:t>
      </w:r>
    </w:p>
    <w:p w14:paraId="5513730C" w14:textId="77777777" w:rsidR="000856FC" w:rsidRPr="00675182" w:rsidRDefault="000856FC">
      <w:pPr>
        <w:suppressAutoHyphens w:val="0"/>
        <w:rPr>
          <w:rFonts w:cstheme="minorHAnsi"/>
          <w:b/>
        </w:rPr>
      </w:pPr>
      <w:r w:rsidRPr="00675182">
        <w:rPr>
          <w:rFonts w:cstheme="minorHAnsi"/>
          <w:b/>
        </w:rPr>
        <w:br w:type="page"/>
      </w:r>
    </w:p>
    <w:p w14:paraId="79B60917" w14:textId="16A9C65C" w:rsidR="00011E51" w:rsidRPr="00675182" w:rsidRDefault="00011E51" w:rsidP="002B3341">
      <w:pPr>
        <w:rPr>
          <w:rFonts w:cstheme="minorHAnsi"/>
          <w:b/>
        </w:rPr>
      </w:pPr>
      <w:r w:rsidRPr="00675182">
        <w:rPr>
          <w:rFonts w:cstheme="minorHAnsi"/>
          <w:b/>
        </w:rPr>
        <w:lastRenderedPageBreak/>
        <w:t xml:space="preserve">Plāna izstrādes </w:t>
      </w:r>
      <w:r w:rsidR="00AD392A" w:rsidRPr="00675182">
        <w:rPr>
          <w:rFonts w:cstheme="minorHAnsi"/>
          <w:b/>
        </w:rPr>
        <w:t>K</w:t>
      </w:r>
      <w:r w:rsidR="00B92590" w:rsidRPr="00675182">
        <w:rPr>
          <w:rFonts w:cstheme="minorHAnsi"/>
          <w:b/>
        </w:rPr>
        <w:t>onsultatīv</w:t>
      </w:r>
      <w:r w:rsidR="00AD392A" w:rsidRPr="00675182">
        <w:rPr>
          <w:rFonts w:cstheme="minorHAnsi"/>
          <w:b/>
        </w:rPr>
        <w:t>ā</w:t>
      </w:r>
      <w:r w:rsidRPr="00675182">
        <w:rPr>
          <w:rFonts w:cstheme="minorHAnsi"/>
          <w:b/>
        </w:rPr>
        <w:t xml:space="preserve"> grupa:</w:t>
      </w:r>
    </w:p>
    <w:p w14:paraId="5787C2A5" w14:textId="237DF94E" w:rsidR="004216CD" w:rsidRPr="00675182" w:rsidRDefault="004216CD" w:rsidP="002B3341">
      <w:pPr>
        <w:rPr>
          <w:rFonts w:cstheme="minorHAnsi"/>
          <w:i/>
        </w:rPr>
      </w:pPr>
      <w:r w:rsidRPr="00675182">
        <w:rPr>
          <w:rFonts w:cstheme="minorHAnsi"/>
          <w:i/>
        </w:rPr>
        <w:t xml:space="preserve">(apstiprināta ar Dabas aizsardzības pārvaldes rīkojumu Nr. </w:t>
      </w:r>
      <w:r w:rsidR="00EE2399" w:rsidRPr="00675182">
        <w:rPr>
          <w:rFonts w:cstheme="minorHAnsi"/>
          <w:i/>
        </w:rPr>
        <w:t>1.1/185/2021</w:t>
      </w:r>
      <w:r w:rsidR="00B92590" w:rsidRPr="00675182">
        <w:rPr>
          <w:rFonts w:cstheme="minorHAnsi"/>
          <w:i/>
        </w:rPr>
        <w:t>; grozījumi ar rīkojum</w:t>
      </w:r>
      <w:r w:rsidR="007F0265" w:rsidRPr="00675182">
        <w:rPr>
          <w:rFonts w:cstheme="minorHAnsi"/>
          <w:i/>
        </w:rPr>
        <w:t>iem</w:t>
      </w:r>
      <w:r w:rsidR="00B92590" w:rsidRPr="00675182">
        <w:rPr>
          <w:rFonts w:cstheme="minorHAnsi"/>
          <w:i/>
        </w:rPr>
        <w:t xml:space="preserve"> Nr. 1.1/141/2022</w:t>
      </w:r>
      <w:r w:rsidR="007F0265" w:rsidRPr="00675182">
        <w:rPr>
          <w:rFonts w:cstheme="minorHAnsi"/>
          <w:i/>
        </w:rPr>
        <w:t xml:space="preserve"> un Nr. Nr.1.1/242/2022</w:t>
      </w:r>
      <w:r w:rsidR="00EF144B" w:rsidRPr="00675182">
        <w:rPr>
          <w:rFonts w:cstheme="minorHAnsi"/>
          <w:i/>
        </w:rPr>
        <w:t>)</w:t>
      </w:r>
    </w:p>
    <w:p w14:paraId="372D6CFD" w14:textId="77777777" w:rsidR="00931682" w:rsidRPr="00675182" w:rsidRDefault="00931682" w:rsidP="0019454D">
      <w:pPr>
        <w:suppressAutoHyphens w:val="0"/>
        <w:rPr>
          <w:rFonts w:cstheme="minorHAnsi"/>
          <w:b/>
          <w:bCs/>
        </w:rPr>
      </w:pPr>
      <w:r w:rsidRPr="00675182">
        <w:rPr>
          <w:rFonts w:cstheme="minorHAnsi"/>
          <w:b/>
          <w:bCs/>
        </w:rPr>
        <w:t>Ar balsstiesībām</w:t>
      </w:r>
    </w:p>
    <w:p w14:paraId="2D1EB087" w14:textId="0AA3562B" w:rsidR="00A01FB3" w:rsidRPr="00675182" w:rsidRDefault="0019454D" w:rsidP="0019454D">
      <w:pPr>
        <w:suppressAutoHyphens w:val="0"/>
        <w:rPr>
          <w:rFonts w:cstheme="minorHAnsi"/>
        </w:rPr>
      </w:pPr>
      <w:r w:rsidRPr="00675182">
        <w:rPr>
          <w:rFonts w:cstheme="minorHAnsi"/>
          <w:b/>
          <w:bCs/>
        </w:rPr>
        <w:t>Gita Strode</w:t>
      </w:r>
      <w:r w:rsidR="00A01FB3" w:rsidRPr="00675182">
        <w:rPr>
          <w:rFonts w:cstheme="minorHAnsi"/>
        </w:rPr>
        <w:t xml:space="preserve"> – </w:t>
      </w:r>
      <w:r w:rsidRPr="00675182">
        <w:rPr>
          <w:rFonts w:cstheme="minorHAnsi"/>
        </w:rPr>
        <w:t>Dabas aizsardzības pārvaldes Dabas aizsardzības departamenta direktore</w:t>
      </w:r>
    </w:p>
    <w:p w14:paraId="614493B8" w14:textId="77777777" w:rsidR="00FC43C4" w:rsidRPr="00675182" w:rsidRDefault="00167AC4" w:rsidP="0019454D">
      <w:pPr>
        <w:suppressAutoHyphens w:val="0"/>
        <w:rPr>
          <w:rFonts w:cstheme="minorHAnsi"/>
          <w:b/>
          <w:bCs/>
        </w:rPr>
      </w:pPr>
      <w:r w:rsidRPr="00675182">
        <w:rPr>
          <w:rFonts w:cstheme="minorHAnsi"/>
          <w:b/>
          <w:bCs/>
        </w:rPr>
        <w:t>Ēriks Liepiņš</w:t>
      </w:r>
      <w:r w:rsidRPr="00675182">
        <w:rPr>
          <w:rFonts w:cstheme="minorHAnsi"/>
        </w:rPr>
        <w:t xml:space="preserve"> – Cēsu novada</w:t>
      </w:r>
      <w:r w:rsidR="00931682" w:rsidRPr="00675182">
        <w:rPr>
          <w:rFonts w:cstheme="minorHAnsi"/>
        </w:rPr>
        <w:t xml:space="preserve"> pašvaldības pārstāvis</w:t>
      </w:r>
      <w:r w:rsidRPr="00675182">
        <w:rPr>
          <w:rFonts w:cstheme="minorHAnsi"/>
        </w:rPr>
        <w:t xml:space="preserve"> Līgatnes pārvaldes Plānošanas, nekustamā īpašuma un būvniecības nodaļas vecākais speciālists – mežkopis</w:t>
      </w:r>
      <w:r w:rsidRPr="00675182">
        <w:rPr>
          <w:rFonts w:cstheme="minorHAnsi"/>
          <w:b/>
          <w:bCs/>
        </w:rPr>
        <w:t xml:space="preserve"> </w:t>
      </w:r>
    </w:p>
    <w:p w14:paraId="4D8F8AF6" w14:textId="683C1891" w:rsidR="00167AC4" w:rsidRPr="00675182" w:rsidRDefault="00167AC4" w:rsidP="00167AC4">
      <w:pPr>
        <w:suppressAutoHyphens w:val="0"/>
        <w:rPr>
          <w:rFonts w:cstheme="minorHAnsi"/>
        </w:rPr>
      </w:pPr>
      <w:r w:rsidRPr="00675182">
        <w:rPr>
          <w:rFonts w:cstheme="minorHAnsi"/>
          <w:b/>
          <w:bCs/>
        </w:rPr>
        <w:t>Maija Kovāča</w:t>
      </w:r>
      <w:r w:rsidRPr="00675182">
        <w:rPr>
          <w:rFonts w:cstheme="minorHAnsi"/>
        </w:rPr>
        <w:t xml:space="preserve"> Siguldas novada pašvaldības Teritorijas attīstības pārvaldes Nekustamā īpašuma speciāliste vides un energopārvaldības jautājumos;</w:t>
      </w:r>
    </w:p>
    <w:p w14:paraId="3818D866" w14:textId="3823639D" w:rsidR="00167AC4" w:rsidRPr="00675182" w:rsidRDefault="00167AC4" w:rsidP="0019454D">
      <w:pPr>
        <w:suppressAutoHyphens w:val="0"/>
        <w:rPr>
          <w:rFonts w:cstheme="minorHAnsi"/>
        </w:rPr>
      </w:pPr>
      <w:r w:rsidRPr="00675182">
        <w:rPr>
          <w:rFonts w:cstheme="minorHAnsi"/>
          <w:b/>
          <w:bCs/>
        </w:rPr>
        <w:t xml:space="preserve">Inese Bērziņa - </w:t>
      </w:r>
      <w:r w:rsidR="00B92590" w:rsidRPr="00675182">
        <w:rPr>
          <w:rFonts w:cstheme="minorHAnsi"/>
        </w:rPr>
        <w:t>Valmieras novada pašvaldības Attīstības pārvaldes Attīstības nodaļas vadītāja</w:t>
      </w:r>
    </w:p>
    <w:p w14:paraId="2AC3A801" w14:textId="26451757" w:rsidR="00167AC4" w:rsidRPr="00675182" w:rsidRDefault="00931682" w:rsidP="0019454D">
      <w:pPr>
        <w:suppressAutoHyphens w:val="0"/>
        <w:rPr>
          <w:rFonts w:cstheme="minorHAnsi"/>
        </w:rPr>
      </w:pPr>
      <w:r w:rsidRPr="00675182">
        <w:rPr>
          <w:rFonts w:cstheme="minorHAnsi"/>
          <w:b/>
          <w:bCs/>
        </w:rPr>
        <w:t>Liona Barone</w:t>
      </w:r>
      <w:r w:rsidRPr="00675182">
        <w:rPr>
          <w:rFonts w:cstheme="minorHAnsi"/>
        </w:rPr>
        <w:t xml:space="preserve"> – Saulkrastu novada domes nekustamā īpašuma speciāliste /lauku attīstības konsultante;</w:t>
      </w:r>
    </w:p>
    <w:p w14:paraId="29C53AE5" w14:textId="7C7939D1" w:rsidR="00931682" w:rsidRPr="00675182" w:rsidRDefault="007F0265" w:rsidP="00931682">
      <w:pPr>
        <w:suppressAutoHyphens w:val="0"/>
        <w:rPr>
          <w:rFonts w:cstheme="minorHAnsi"/>
        </w:rPr>
      </w:pPr>
      <w:r w:rsidRPr="00675182">
        <w:rPr>
          <w:rFonts w:cstheme="minorHAnsi"/>
          <w:b/>
          <w:bCs/>
        </w:rPr>
        <w:t xml:space="preserve">Sintija Bikovska </w:t>
      </w:r>
      <w:r w:rsidRPr="00675182">
        <w:rPr>
          <w:rFonts w:cstheme="minorHAnsi"/>
        </w:rPr>
        <w:t>– Valsts vides dienesta Atļauju pārvaldes Būvniecības un attīstības departamenta Teritorijas attīstības daļas vecākā eksperte</w:t>
      </w:r>
      <w:r w:rsidR="00931682" w:rsidRPr="00675182">
        <w:rPr>
          <w:rFonts w:cstheme="minorHAnsi"/>
        </w:rPr>
        <w:t>;</w:t>
      </w:r>
    </w:p>
    <w:p w14:paraId="59EC14D7" w14:textId="77777777" w:rsidR="00931682" w:rsidRPr="00675182" w:rsidRDefault="00931682" w:rsidP="00931682">
      <w:pPr>
        <w:suppressAutoHyphens w:val="0"/>
        <w:rPr>
          <w:rFonts w:cstheme="minorHAnsi"/>
        </w:rPr>
      </w:pPr>
      <w:r w:rsidRPr="00675182">
        <w:rPr>
          <w:rFonts w:cstheme="minorHAnsi"/>
          <w:b/>
          <w:bCs/>
        </w:rPr>
        <w:t>Kaspars Beriņš</w:t>
      </w:r>
      <w:r w:rsidRPr="00675182">
        <w:rPr>
          <w:rFonts w:cstheme="minorHAnsi"/>
        </w:rPr>
        <w:t>, Valsts meža dienesta Ziemeļvidzemes virsmežniecības inženieris vides aizsardzības jautājumos;</w:t>
      </w:r>
    </w:p>
    <w:p w14:paraId="50E86CA6" w14:textId="77777777" w:rsidR="00931682" w:rsidRPr="00675182" w:rsidRDefault="00931682" w:rsidP="00931682">
      <w:pPr>
        <w:suppressAutoHyphens w:val="0"/>
        <w:rPr>
          <w:rFonts w:cstheme="minorHAnsi"/>
        </w:rPr>
      </w:pPr>
      <w:r w:rsidRPr="00675182">
        <w:rPr>
          <w:rFonts w:cstheme="minorHAnsi"/>
          <w:b/>
          <w:bCs/>
        </w:rPr>
        <w:t>Mārtiņš Kalniņš</w:t>
      </w:r>
      <w:r w:rsidRPr="00675182">
        <w:rPr>
          <w:rFonts w:cstheme="minorHAnsi"/>
        </w:rPr>
        <w:t xml:space="preserve"> – AS “Latvijas valsts meži” Rietumvidzemes reģiona vides plānošanas speciālists/vecākais vides eksperts;</w:t>
      </w:r>
    </w:p>
    <w:p w14:paraId="763B2EEE" w14:textId="1D314120" w:rsidR="00931682" w:rsidRPr="00675182" w:rsidRDefault="00B92590" w:rsidP="00931682">
      <w:pPr>
        <w:suppressAutoHyphens w:val="0"/>
        <w:rPr>
          <w:rFonts w:cstheme="minorHAnsi"/>
        </w:rPr>
      </w:pPr>
      <w:r w:rsidRPr="00675182">
        <w:rPr>
          <w:rFonts w:cstheme="minorHAnsi"/>
          <w:b/>
          <w:bCs/>
        </w:rPr>
        <w:t>Didzis Punāns</w:t>
      </w:r>
      <w:r w:rsidR="00931682" w:rsidRPr="00675182">
        <w:rPr>
          <w:rFonts w:cstheme="minorHAnsi"/>
        </w:rPr>
        <w:t xml:space="preserve"> – </w:t>
      </w:r>
      <w:r w:rsidRPr="00675182">
        <w:rPr>
          <w:rFonts w:cstheme="minorHAnsi"/>
        </w:rPr>
        <w:t>Lauku atbalsta dienesta Ziemeļvidzemes reģionālās lauksaimniecības pārvaldes Kontroles un uzraudzības daļas vadītājs</w:t>
      </w:r>
      <w:r w:rsidR="00931682" w:rsidRPr="00675182">
        <w:rPr>
          <w:rFonts w:cstheme="minorHAnsi"/>
        </w:rPr>
        <w:t>;</w:t>
      </w:r>
    </w:p>
    <w:p w14:paraId="439D2545" w14:textId="7D8F3BBE" w:rsidR="00931682" w:rsidRPr="00675182" w:rsidRDefault="00B92590" w:rsidP="00931682">
      <w:pPr>
        <w:suppressAutoHyphens w:val="0"/>
        <w:rPr>
          <w:rFonts w:cstheme="minorHAnsi"/>
        </w:rPr>
      </w:pPr>
      <w:r w:rsidRPr="00675182">
        <w:rPr>
          <w:rFonts w:cstheme="minorHAnsi"/>
          <w:b/>
          <w:bCs/>
        </w:rPr>
        <w:t xml:space="preserve">Linda Kārkliņa </w:t>
      </w:r>
      <w:r w:rsidR="00931682" w:rsidRPr="00675182">
        <w:rPr>
          <w:rFonts w:cstheme="minorHAnsi"/>
        </w:rPr>
        <w:t xml:space="preserve">– </w:t>
      </w:r>
      <w:r w:rsidRPr="00675182">
        <w:rPr>
          <w:rFonts w:cstheme="minorHAnsi"/>
        </w:rPr>
        <w:t>Latvijas Investīciju un Attīstības Aģentūras Tūrisma departamenta Tūrisma produkta attīstības nodaļas vadošā eksperte</w:t>
      </w:r>
    </w:p>
    <w:p w14:paraId="23B51B05" w14:textId="77777777" w:rsidR="00931682" w:rsidRPr="00675182" w:rsidRDefault="00931682" w:rsidP="0019454D">
      <w:pPr>
        <w:suppressAutoHyphens w:val="0"/>
        <w:rPr>
          <w:rFonts w:cstheme="minorHAnsi"/>
          <w:b/>
          <w:bCs/>
        </w:rPr>
      </w:pPr>
    </w:p>
    <w:p w14:paraId="205C2715" w14:textId="77777777" w:rsidR="00931682" w:rsidRPr="00675182" w:rsidRDefault="00931682" w:rsidP="0019454D">
      <w:pPr>
        <w:suppressAutoHyphens w:val="0"/>
        <w:rPr>
          <w:rFonts w:cstheme="minorHAnsi"/>
          <w:b/>
          <w:bCs/>
        </w:rPr>
      </w:pPr>
      <w:r w:rsidRPr="00675182">
        <w:rPr>
          <w:rFonts w:cstheme="minorHAnsi"/>
          <w:b/>
          <w:bCs/>
        </w:rPr>
        <w:t>Ar padomdevēja tiesībām</w:t>
      </w:r>
    </w:p>
    <w:p w14:paraId="3B715837" w14:textId="7C586D9C" w:rsidR="00931682" w:rsidRPr="00675182" w:rsidRDefault="00931682" w:rsidP="00931682">
      <w:pPr>
        <w:suppressAutoHyphens w:val="0"/>
        <w:rPr>
          <w:rFonts w:cstheme="minorHAnsi"/>
          <w:b/>
          <w:bCs/>
        </w:rPr>
      </w:pPr>
      <w:r w:rsidRPr="00675182">
        <w:rPr>
          <w:rFonts w:cstheme="minorHAnsi"/>
          <w:b/>
          <w:bCs/>
        </w:rPr>
        <w:t>Mārtiņš Trons</w:t>
      </w:r>
      <w:r w:rsidRPr="00675182">
        <w:rPr>
          <w:rFonts w:cstheme="minorHAnsi"/>
        </w:rPr>
        <w:t xml:space="preserve"> – biedrības “Zemnieku Saeima” valdes loceklis;</w:t>
      </w:r>
    </w:p>
    <w:p w14:paraId="0651FDB1" w14:textId="4343746F" w:rsidR="00931682" w:rsidRPr="00675182" w:rsidRDefault="00931682" w:rsidP="00931682">
      <w:pPr>
        <w:suppressAutoHyphens w:val="0"/>
        <w:rPr>
          <w:rFonts w:cstheme="minorHAnsi"/>
          <w:b/>
          <w:bCs/>
        </w:rPr>
      </w:pPr>
      <w:r w:rsidRPr="00675182">
        <w:rPr>
          <w:rFonts w:cstheme="minorHAnsi"/>
          <w:b/>
          <w:bCs/>
        </w:rPr>
        <w:t>Dagnis Dubrovskis</w:t>
      </w:r>
      <w:r w:rsidRPr="00675182">
        <w:rPr>
          <w:rFonts w:cstheme="minorHAnsi"/>
        </w:rPr>
        <w:t xml:space="preserve"> – Latvijas Meža īpašnieku biedrības pārstāvis un Latvijas Orientēšanās federācijas valdes priekšsēdētājs un vides komisijas vadītājs;</w:t>
      </w:r>
    </w:p>
    <w:p w14:paraId="127E1C43" w14:textId="19A8C244" w:rsidR="00931682" w:rsidRPr="00675182" w:rsidRDefault="00931682" w:rsidP="00931682">
      <w:pPr>
        <w:suppressAutoHyphens w:val="0"/>
        <w:rPr>
          <w:rFonts w:cstheme="minorHAnsi"/>
          <w:b/>
          <w:bCs/>
        </w:rPr>
      </w:pPr>
      <w:r w:rsidRPr="00675182">
        <w:rPr>
          <w:rFonts w:cstheme="minorHAnsi"/>
          <w:b/>
          <w:bCs/>
        </w:rPr>
        <w:t>Andris Strapcāns</w:t>
      </w:r>
      <w:r w:rsidRPr="00675182">
        <w:rPr>
          <w:rFonts w:cstheme="minorHAnsi"/>
        </w:rPr>
        <w:t xml:space="preserve"> – biedrības “Radītava Zaļā Villa” pārstāvis</w:t>
      </w:r>
      <w:r w:rsidRPr="00675182">
        <w:rPr>
          <w:rFonts w:cstheme="minorHAnsi"/>
          <w:b/>
          <w:bCs/>
        </w:rPr>
        <w:t>;</w:t>
      </w:r>
    </w:p>
    <w:p w14:paraId="0B0EE938" w14:textId="7A317062" w:rsidR="00931682" w:rsidRPr="00675182" w:rsidRDefault="00931682" w:rsidP="00931682">
      <w:pPr>
        <w:suppressAutoHyphens w:val="0"/>
        <w:rPr>
          <w:rFonts w:cstheme="minorHAnsi"/>
          <w:b/>
          <w:bCs/>
        </w:rPr>
      </w:pPr>
      <w:r w:rsidRPr="00675182">
        <w:rPr>
          <w:rFonts w:cstheme="minorHAnsi"/>
          <w:b/>
          <w:bCs/>
        </w:rPr>
        <w:t>Edgars Ricevs</w:t>
      </w:r>
      <w:r w:rsidRPr="00675182">
        <w:rPr>
          <w:rFonts w:cstheme="minorHAnsi"/>
        </w:rPr>
        <w:t xml:space="preserve"> – biedrības “Latvijas Bioloģiskās lauksaimniecības asociācija” pārstāvis</w:t>
      </w:r>
      <w:r w:rsidRPr="00675182">
        <w:rPr>
          <w:rFonts w:cstheme="minorHAnsi"/>
          <w:b/>
          <w:bCs/>
        </w:rPr>
        <w:t>;</w:t>
      </w:r>
    </w:p>
    <w:p w14:paraId="5615C9A2" w14:textId="59CEB061" w:rsidR="00931682" w:rsidRPr="00675182" w:rsidRDefault="00931682" w:rsidP="00931682">
      <w:pPr>
        <w:suppressAutoHyphens w:val="0"/>
        <w:rPr>
          <w:rFonts w:cstheme="minorHAnsi"/>
          <w:b/>
          <w:bCs/>
        </w:rPr>
      </w:pPr>
      <w:r w:rsidRPr="00675182">
        <w:rPr>
          <w:rFonts w:cstheme="minorHAnsi"/>
          <w:b/>
          <w:bCs/>
        </w:rPr>
        <w:t>Andrejs Briedis</w:t>
      </w:r>
      <w:r w:rsidRPr="00675182">
        <w:rPr>
          <w:rFonts w:cstheme="minorHAnsi"/>
        </w:rPr>
        <w:t xml:space="preserve"> – Latvijas Dabas fonda padomes loceklis;</w:t>
      </w:r>
    </w:p>
    <w:p w14:paraId="1CE51FD9" w14:textId="05D5FA2C" w:rsidR="00931682" w:rsidRPr="00675182" w:rsidRDefault="00931682" w:rsidP="00931682">
      <w:pPr>
        <w:suppressAutoHyphens w:val="0"/>
        <w:rPr>
          <w:rFonts w:cstheme="minorHAnsi"/>
          <w:b/>
          <w:bCs/>
        </w:rPr>
      </w:pPr>
      <w:r w:rsidRPr="00675182">
        <w:rPr>
          <w:rFonts w:cstheme="minorHAnsi"/>
          <w:b/>
          <w:bCs/>
        </w:rPr>
        <w:t>Jānis Saulītis</w:t>
      </w:r>
      <w:r w:rsidRPr="00675182">
        <w:rPr>
          <w:rFonts w:cstheme="minorHAnsi"/>
        </w:rPr>
        <w:t xml:space="preserve"> – nodibinājuma “Gaujas Nacionālā parka fonds” valdes loceklis;</w:t>
      </w:r>
      <w:r w:rsidRPr="00675182">
        <w:rPr>
          <w:rFonts w:cstheme="minorHAnsi"/>
          <w:b/>
          <w:bCs/>
        </w:rPr>
        <w:t xml:space="preserve"> </w:t>
      </w:r>
    </w:p>
    <w:p w14:paraId="1D039310" w14:textId="05C8DD14" w:rsidR="00931682" w:rsidRPr="00675182" w:rsidRDefault="00931682" w:rsidP="00931682">
      <w:pPr>
        <w:suppressAutoHyphens w:val="0"/>
        <w:rPr>
          <w:rFonts w:cstheme="minorHAnsi"/>
          <w:b/>
          <w:bCs/>
        </w:rPr>
      </w:pPr>
      <w:r w:rsidRPr="00675182">
        <w:rPr>
          <w:rFonts w:cstheme="minorHAnsi"/>
          <w:b/>
          <w:bCs/>
        </w:rPr>
        <w:t>Āris Kazerovskis</w:t>
      </w:r>
      <w:r w:rsidRPr="00675182">
        <w:rPr>
          <w:rFonts w:cstheme="minorHAnsi"/>
        </w:rPr>
        <w:t xml:space="preserve"> – Medību klubs "VIRSĀJI" valdes priekšsēdētājs</w:t>
      </w:r>
      <w:r w:rsidR="00DB2863" w:rsidRPr="00675182">
        <w:rPr>
          <w:rFonts w:cstheme="minorHAnsi"/>
          <w:b/>
          <w:bCs/>
        </w:rPr>
        <w:t>;</w:t>
      </w:r>
    </w:p>
    <w:p w14:paraId="785C15E8" w14:textId="5526F2AC" w:rsidR="008D580D" w:rsidRPr="00675182" w:rsidRDefault="00931682" w:rsidP="00931682">
      <w:pPr>
        <w:suppressAutoHyphens w:val="0"/>
        <w:rPr>
          <w:rFonts w:cstheme="minorHAnsi"/>
        </w:rPr>
      </w:pPr>
      <w:r w:rsidRPr="00675182">
        <w:rPr>
          <w:rFonts w:cstheme="minorHAnsi"/>
          <w:b/>
          <w:bCs/>
        </w:rPr>
        <w:t>Monvids Krastiņš</w:t>
      </w:r>
      <w:r w:rsidRPr="00675182">
        <w:rPr>
          <w:rFonts w:cstheme="minorHAnsi"/>
        </w:rPr>
        <w:t xml:space="preserve"> – meža zemes īpašnieks</w:t>
      </w:r>
      <w:r w:rsidR="000856FC" w:rsidRPr="00675182">
        <w:rPr>
          <w:rFonts w:cstheme="minorHAnsi"/>
        </w:rPr>
        <w:t>.</w:t>
      </w:r>
      <w:r w:rsidR="0019454D" w:rsidRPr="00675182">
        <w:rPr>
          <w:rFonts w:cstheme="minorHAnsi"/>
        </w:rPr>
        <w:t xml:space="preserve"> </w:t>
      </w:r>
      <w:r w:rsidR="008D580D" w:rsidRPr="00675182">
        <w:rPr>
          <w:rFonts w:cstheme="minorHAnsi"/>
        </w:rPr>
        <w:br w:type="page"/>
      </w:r>
    </w:p>
    <w:p w14:paraId="7FC1645B" w14:textId="77777777" w:rsidR="008D580D" w:rsidRPr="00675182" w:rsidRDefault="008D580D" w:rsidP="002B3341">
      <w:pPr>
        <w:pStyle w:val="TOC1"/>
        <w:tabs>
          <w:tab w:val="right" w:leader="dot" w:pos="8301"/>
        </w:tabs>
        <w:rPr>
          <w:rFonts w:cstheme="minorHAnsi"/>
          <w:i w:val="0"/>
          <w:sz w:val="28"/>
          <w:szCs w:val="24"/>
        </w:rPr>
      </w:pPr>
      <w:r w:rsidRPr="00675182">
        <w:rPr>
          <w:rFonts w:cstheme="minorHAnsi"/>
          <w:i w:val="0"/>
          <w:sz w:val="28"/>
          <w:szCs w:val="24"/>
        </w:rPr>
        <w:lastRenderedPageBreak/>
        <w:t>Saturs</w:t>
      </w:r>
    </w:p>
    <w:p w14:paraId="593E3873" w14:textId="69A9373D" w:rsidR="009C066D" w:rsidRPr="00675182" w:rsidRDefault="00E713E3">
      <w:pPr>
        <w:pStyle w:val="TOC1"/>
        <w:tabs>
          <w:tab w:val="right" w:leader="dot" w:pos="8301"/>
        </w:tabs>
        <w:rPr>
          <w:rFonts w:eastAsiaTheme="minorEastAsia" w:cstheme="minorBidi"/>
          <w:b w:val="0"/>
          <w:bCs w:val="0"/>
          <w:i w:val="0"/>
          <w:iCs w:val="0"/>
          <w:noProof/>
          <w:sz w:val="22"/>
          <w:szCs w:val="22"/>
          <w:lang w:eastAsia="en-GB"/>
        </w:rPr>
      </w:pPr>
      <w:r w:rsidRPr="00675182">
        <w:rPr>
          <w:rFonts w:cstheme="minorHAnsi"/>
          <w:szCs w:val="24"/>
        </w:rPr>
        <w:fldChar w:fldCharType="begin"/>
      </w:r>
      <w:r w:rsidR="00011E51" w:rsidRPr="00675182">
        <w:rPr>
          <w:rFonts w:cstheme="minorHAnsi"/>
          <w:szCs w:val="24"/>
        </w:rPr>
        <w:instrText xml:space="preserve"> TOC \o "1-3" \h</w:instrText>
      </w:r>
      <w:r w:rsidRPr="00675182">
        <w:rPr>
          <w:rFonts w:cstheme="minorHAnsi"/>
          <w:szCs w:val="24"/>
        </w:rPr>
        <w:fldChar w:fldCharType="separate"/>
      </w:r>
      <w:hyperlink w:anchor="_Toc116938377" w:history="1">
        <w:r w:rsidR="009C066D" w:rsidRPr="00675182">
          <w:rPr>
            <w:rStyle w:val="Hyperlink"/>
            <w:noProof/>
          </w:rPr>
          <w:t>Kopsavilkums</w:t>
        </w:r>
        <w:r w:rsidR="009C066D" w:rsidRPr="00675182">
          <w:rPr>
            <w:noProof/>
          </w:rPr>
          <w:tab/>
        </w:r>
        <w:r w:rsidR="009C066D" w:rsidRPr="00675182">
          <w:rPr>
            <w:noProof/>
          </w:rPr>
          <w:fldChar w:fldCharType="begin"/>
        </w:r>
        <w:r w:rsidR="009C066D" w:rsidRPr="00675182">
          <w:rPr>
            <w:noProof/>
          </w:rPr>
          <w:instrText xml:space="preserve"> PAGEREF _Toc116938377 \h </w:instrText>
        </w:r>
        <w:r w:rsidR="009C066D" w:rsidRPr="00675182">
          <w:rPr>
            <w:noProof/>
          </w:rPr>
        </w:r>
        <w:r w:rsidR="009C066D" w:rsidRPr="00675182">
          <w:rPr>
            <w:noProof/>
          </w:rPr>
          <w:fldChar w:fldCharType="separate"/>
        </w:r>
        <w:r w:rsidR="00681FFE">
          <w:rPr>
            <w:noProof/>
          </w:rPr>
          <w:t>9</w:t>
        </w:r>
        <w:r w:rsidR="009C066D" w:rsidRPr="00675182">
          <w:rPr>
            <w:noProof/>
          </w:rPr>
          <w:fldChar w:fldCharType="end"/>
        </w:r>
      </w:hyperlink>
    </w:p>
    <w:p w14:paraId="4308788E" w14:textId="349CD973" w:rsidR="009C066D" w:rsidRPr="00675182" w:rsidRDefault="00411E51">
      <w:pPr>
        <w:pStyle w:val="TOC1"/>
        <w:tabs>
          <w:tab w:val="right" w:leader="dot" w:pos="8301"/>
        </w:tabs>
        <w:rPr>
          <w:rFonts w:eastAsiaTheme="minorEastAsia" w:cstheme="minorBidi"/>
          <w:b w:val="0"/>
          <w:bCs w:val="0"/>
          <w:i w:val="0"/>
          <w:iCs w:val="0"/>
          <w:noProof/>
          <w:sz w:val="22"/>
          <w:szCs w:val="22"/>
          <w:lang w:eastAsia="en-GB"/>
        </w:rPr>
      </w:pPr>
      <w:hyperlink w:anchor="_Toc116938378" w:history="1">
        <w:r w:rsidR="009C066D" w:rsidRPr="00675182">
          <w:rPr>
            <w:rStyle w:val="Hyperlink"/>
            <w:noProof/>
          </w:rPr>
          <w:t>1. Aizsargājamās teritorijas apraksts</w:t>
        </w:r>
        <w:r w:rsidR="009C066D" w:rsidRPr="00675182">
          <w:rPr>
            <w:noProof/>
          </w:rPr>
          <w:tab/>
        </w:r>
        <w:r w:rsidR="009C066D" w:rsidRPr="00675182">
          <w:rPr>
            <w:noProof/>
          </w:rPr>
          <w:fldChar w:fldCharType="begin"/>
        </w:r>
        <w:r w:rsidR="009C066D" w:rsidRPr="00675182">
          <w:rPr>
            <w:noProof/>
          </w:rPr>
          <w:instrText xml:space="preserve"> PAGEREF _Toc116938378 \h </w:instrText>
        </w:r>
        <w:r w:rsidR="009C066D" w:rsidRPr="00675182">
          <w:rPr>
            <w:noProof/>
          </w:rPr>
        </w:r>
        <w:r w:rsidR="009C066D" w:rsidRPr="00675182">
          <w:rPr>
            <w:noProof/>
          </w:rPr>
          <w:fldChar w:fldCharType="separate"/>
        </w:r>
        <w:r w:rsidR="00681FFE">
          <w:rPr>
            <w:noProof/>
          </w:rPr>
          <w:t>15</w:t>
        </w:r>
        <w:r w:rsidR="009C066D" w:rsidRPr="00675182">
          <w:rPr>
            <w:noProof/>
          </w:rPr>
          <w:fldChar w:fldCharType="end"/>
        </w:r>
      </w:hyperlink>
    </w:p>
    <w:p w14:paraId="3705C531" w14:textId="34DF1669"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379" w:history="1">
        <w:r w:rsidR="009C066D" w:rsidRPr="00675182">
          <w:rPr>
            <w:rStyle w:val="Hyperlink"/>
            <w:rFonts w:cstheme="minorHAnsi"/>
            <w:noProof/>
          </w:rPr>
          <w:t>1.1. Vispārēja informācija par aizsargājamo teritoriju</w:t>
        </w:r>
        <w:r w:rsidR="009C066D" w:rsidRPr="00675182">
          <w:rPr>
            <w:noProof/>
          </w:rPr>
          <w:tab/>
        </w:r>
        <w:r w:rsidR="009C066D" w:rsidRPr="00675182">
          <w:rPr>
            <w:noProof/>
          </w:rPr>
          <w:fldChar w:fldCharType="begin"/>
        </w:r>
        <w:r w:rsidR="009C066D" w:rsidRPr="00675182">
          <w:rPr>
            <w:noProof/>
          </w:rPr>
          <w:instrText xml:space="preserve"> PAGEREF _Toc116938379 \h </w:instrText>
        </w:r>
        <w:r w:rsidR="009C066D" w:rsidRPr="00675182">
          <w:rPr>
            <w:noProof/>
          </w:rPr>
        </w:r>
        <w:r w:rsidR="009C066D" w:rsidRPr="00675182">
          <w:rPr>
            <w:noProof/>
          </w:rPr>
          <w:fldChar w:fldCharType="separate"/>
        </w:r>
        <w:r w:rsidR="00681FFE">
          <w:rPr>
            <w:noProof/>
          </w:rPr>
          <w:t>15</w:t>
        </w:r>
        <w:r w:rsidR="009C066D" w:rsidRPr="00675182">
          <w:rPr>
            <w:noProof/>
          </w:rPr>
          <w:fldChar w:fldCharType="end"/>
        </w:r>
      </w:hyperlink>
    </w:p>
    <w:p w14:paraId="736AA7F6" w14:textId="14EC33E9"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80" w:history="1">
        <w:r w:rsidR="009C066D" w:rsidRPr="00675182">
          <w:rPr>
            <w:rStyle w:val="Hyperlink"/>
            <w:rFonts w:cstheme="minorHAnsi"/>
            <w:b/>
            <w:noProof/>
          </w:rPr>
          <w:t>1.1.1. Aizsargājamās teritorijas atrašanās vieta un administratīvi teritoriālais sadalījums</w:t>
        </w:r>
        <w:r w:rsidR="009C066D" w:rsidRPr="00675182">
          <w:rPr>
            <w:noProof/>
          </w:rPr>
          <w:tab/>
        </w:r>
        <w:r w:rsidR="009C066D" w:rsidRPr="00675182">
          <w:rPr>
            <w:noProof/>
          </w:rPr>
          <w:fldChar w:fldCharType="begin"/>
        </w:r>
        <w:r w:rsidR="009C066D" w:rsidRPr="00675182">
          <w:rPr>
            <w:noProof/>
          </w:rPr>
          <w:instrText xml:space="preserve"> PAGEREF _Toc116938380 \h </w:instrText>
        </w:r>
        <w:r w:rsidR="009C066D" w:rsidRPr="00675182">
          <w:rPr>
            <w:noProof/>
          </w:rPr>
        </w:r>
        <w:r w:rsidR="009C066D" w:rsidRPr="00675182">
          <w:rPr>
            <w:noProof/>
          </w:rPr>
          <w:fldChar w:fldCharType="separate"/>
        </w:r>
        <w:r w:rsidR="00681FFE">
          <w:rPr>
            <w:noProof/>
          </w:rPr>
          <w:t>15</w:t>
        </w:r>
        <w:r w:rsidR="009C066D" w:rsidRPr="00675182">
          <w:rPr>
            <w:noProof/>
          </w:rPr>
          <w:fldChar w:fldCharType="end"/>
        </w:r>
      </w:hyperlink>
    </w:p>
    <w:p w14:paraId="5DBA8D4A" w14:textId="05CCC747"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81" w:history="1">
        <w:r w:rsidR="009C066D" w:rsidRPr="00675182">
          <w:rPr>
            <w:rStyle w:val="Hyperlink"/>
            <w:rFonts w:cstheme="minorHAnsi"/>
            <w:b/>
            <w:noProof/>
          </w:rPr>
          <w:t>1.1.2. Aizsargājamās teritorijas zemes izmantošanas veidu raksturojums un zemes īpašuma formu apraksts</w:t>
        </w:r>
        <w:r w:rsidR="009C066D" w:rsidRPr="00675182">
          <w:rPr>
            <w:noProof/>
          </w:rPr>
          <w:tab/>
        </w:r>
        <w:r w:rsidR="009C066D" w:rsidRPr="00675182">
          <w:rPr>
            <w:noProof/>
          </w:rPr>
          <w:fldChar w:fldCharType="begin"/>
        </w:r>
        <w:r w:rsidR="009C066D" w:rsidRPr="00675182">
          <w:rPr>
            <w:noProof/>
          </w:rPr>
          <w:instrText xml:space="preserve"> PAGEREF _Toc116938381 \h </w:instrText>
        </w:r>
        <w:r w:rsidR="009C066D" w:rsidRPr="00675182">
          <w:rPr>
            <w:noProof/>
          </w:rPr>
        </w:r>
        <w:r w:rsidR="009C066D" w:rsidRPr="00675182">
          <w:rPr>
            <w:noProof/>
          </w:rPr>
          <w:fldChar w:fldCharType="separate"/>
        </w:r>
        <w:r w:rsidR="00681FFE">
          <w:rPr>
            <w:noProof/>
          </w:rPr>
          <w:t>17</w:t>
        </w:r>
        <w:r w:rsidR="009C066D" w:rsidRPr="00675182">
          <w:rPr>
            <w:noProof/>
          </w:rPr>
          <w:fldChar w:fldCharType="end"/>
        </w:r>
      </w:hyperlink>
    </w:p>
    <w:p w14:paraId="58CB32B6" w14:textId="5DDBD153"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82" w:history="1">
        <w:r w:rsidR="009C066D" w:rsidRPr="00675182">
          <w:rPr>
            <w:rStyle w:val="Hyperlink"/>
            <w:rFonts w:cstheme="minorHAnsi"/>
            <w:b/>
            <w:noProof/>
          </w:rPr>
          <w:t>1.1.3. Teritorijas plānojuma prasības teritorijas izmantošanai, pašvaldību teritoriju plānojumos noteiktā pašreizējā teritorijas izmantošana un plānotā (atļautā) izmantošana</w:t>
        </w:r>
        <w:r w:rsidR="009C066D" w:rsidRPr="00675182">
          <w:rPr>
            <w:noProof/>
          </w:rPr>
          <w:tab/>
        </w:r>
        <w:r w:rsidR="009C066D" w:rsidRPr="00675182">
          <w:rPr>
            <w:noProof/>
          </w:rPr>
          <w:fldChar w:fldCharType="begin"/>
        </w:r>
        <w:r w:rsidR="009C066D" w:rsidRPr="00675182">
          <w:rPr>
            <w:noProof/>
          </w:rPr>
          <w:instrText xml:space="preserve"> PAGEREF _Toc116938382 \h </w:instrText>
        </w:r>
        <w:r w:rsidR="009C066D" w:rsidRPr="00675182">
          <w:rPr>
            <w:noProof/>
          </w:rPr>
        </w:r>
        <w:r w:rsidR="009C066D" w:rsidRPr="00675182">
          <w:rPr>
            <w:noProof/>
          </w:rPr>
          <w:fldChar w:fldCharType="separate"/>
        </w:r>
        <w:r w:rsidR="00681FFE">
          <w:rPr>
            <w:noProof/>
          </w:rPr>
          <w:t>20</w:t>
        </w:r>
        <w:r w:rsidR="009C066D" w:rsidRPr="00675182">
          <w:rPr>
            <w:noProof/>
          </w:rPr>
          <w:fldChar w:fldCharType="end"/>
        </w:r>
      </w:hyperlink>
    </w:p>
    <w:p w14:paraId="0665605D" w14:textId="1D7F1C93"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83" w:history="1">
        <w:r w:rsidR="009C066D" w:rsidRPr="00675182">
          <w:rPr>
            <w:rStyle w:val="Hyperlink"/>
            <w:rFonts w:cstheme="minorHAnsi"/>
            <w:b/>
            <w:noProof/>
          </w:rPr>
          <w:t>1.1.4. Esošais funkcionālais zonējums</w:t>
        </w:r>
        <w:r w:rsidR="009C066D" w:rsidRPr="00675182">
          <w:rPr>
            <w:noProof/>
          </w:rPr>
          <w:tab/>
        </w:r>
        <w:r w:rsidR="009C066D" w:rsidRPr="00675182">
          <w:rPr>
            <w:noProof/>
          </w:rPr>
          <w:fldChar w:fldCharType="begin"/>
        </w:r>
        <w:r w:rsidR="009C066D" w:rsidRPr="00675182">
          <w:rPr>
            <w:noProof/>
          </w:rPr>
          <w:instrText xml:space="preserve"> PAGEREF _Toc116938383 \h </w:instrText>
        </w:r>
        <w:r w:rsidR="009C066D" w:rsidRPr="00675182">
          <w:rPr>
            <w:noProof/>
          </w:rPr>
        </w:r>
        <w:r w:rsidR="009C066D" w:rsidRPr="00675182">
          <w:rPr>
            <w:noProof/>
          </w:rPr>
          <w:fldChar w:fldCharType="separate"/>
        </w:r>
        <w:r w:rsidR="00681FFE">
          <w:rPr>
            <w:noProof/>
          </w:rPr>
          <w:t>28</w:t>
        </w:r>
        <w:r w:rsidR="009C066D" w:rsidRPr="00675182">
          <w:rPr>
            <w:noProof/>
          </w:rPr>
          <w:fldChar w:fldCharType="end"/>
        </w:r>
      </w:hyperlink>
    </w:p>
    <w:p w14:paraId="7A2E8701" w14:textId="1B7F0ADE"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84" w:history="1">
        <w:r w:rsidR="009C066D" w:rsidRPr="00675182">
          <w:rPr>
            <w:rStyle w:val="Hyperlink"/>
            <w:rFonts w:cstheme="minorHAnsi"/>
            <w:b/>
            <w:noProof/>
          </w:rPr>
          <w:t>1.1.5. Aizsardzības un apsaimniekošanas īsa vēsture</w:t>
        </w:r>
        <w:r w:rsidR="009C066D" w:rsidRPr="00675182">
          <w:rPr>
            <w:noProof/>
          </w:rPr>
          <w:tab/>
        </w:r>
        <w:r w:rsidR="009C066D" w:rsidRPr="00675182">
          <w:rPr>
            <w:noProof/>
          </w:rPr>
          <w:fldChar w:fldCharType="begin"/>
        </w:r>
        <w:r w:rsidR="009C066D" w:rsidRPr="00675182">
          <w:rPr>
            <w:noProof/>
          </w:rPr>
          <w:instrText xml:space="preserve"> PAGEREF _Toc116938384 \h </w:instrText>
        </w:r>
        <w:r w:rsidR="009C066D" w:rsidRPr="00675182">
          <w:rPr>
            <w:noProof/>
          </w:rPr>
        </w:r>
        <w:r w:rsidR="009C066D" w:rsidRPr="00675182">
          <w:rPr>
            <w:noProof/>
          </w:rPr>
          <w:fldChar w:fldCharType="separate"/>
        </w:r>
        <w:r w:rsidR="00681FFE">
          <w:rPr>
            <w:noProof/>
          </w:rPr>
          <w:t>30</w:t>
        </w:r>
        <w:r w:rsidR="009C066D" w:rsidRPr="00675182">
          <w:rPr>
            <w:noProof/>
          </w:rPr>
          <w:fldChar w:fldCharType="end"/>
        </w:r>
      </w:hyperlink>
    </w:p>
    <w:p w14:paraId="65FE2C8B" w14:textId="4B84D123"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85" w:history="1">
        <w:r w:rsidR="009C066D" w:rsidRPr="00675182">
          <w:rPr>
            <w:rStyle w:val="Hyperlink"/>
            <w:rFonts w:cstheme="minorHAnsi"/>
            <w:b/>
            <w:noProof/>
          </w:rPr>
          <w:t>1.1.6. Kultūrvēsturiskais raksturojums</w:t>
        </w:r>
        <w:r w:rsidR="009C066D" w:rsidRPr="00675182">
          <w:rPr>
            <w:noProof/>
          </w:rPr>
          <w:tab/>
        </w:r>
        <w:r w:rsidR="009C066D" w:rsidRPr="00675182">
          <w:rPr>
            <w:noProof/>
          </w:rPr>
          <w:fldChar w:fldCharType="begin"/>
        </w:r>
        <w:r w:rsidR="009C066D" w:rsidRPr="00675182">
          <w:rPr>
            <w:noProof/>
          </w:rPr>
          <w:instrText xml:space="preserve"> PAGEREF _Toc116938385 \h </w:instrText>
        </w:r>
        <w:r w:rsidR="009C066D" w:rsidRPr="00675182">
          <w:rPr>
            <w:noProof/>
          </w:rPr>
        </w:r>
        <w:r w:rsidR="009C066D" w:rsidRPr="00675182">
          <w:rPr>
            <w:noProof/>
          </w:rPr>
          <w:fldChar w:fldCharType="separate"/>
        </w:r>
        <w:r w:rsidR="00681FFE">
          <w:rPr>
            <w:noProof/>
          </w:rPr>
          <w:t>33</w:t>
        </w:r>
        <w:r w:rsidR="009C066D" w:rsidRPr="00675182">
          <w:rPr>
            <w:noProof/>
          </w:rPr>
          <w:fldChar w:fldCharType="end"/>
        </w:r>
      </w:hyperlink>
    </w:p>
    <w:p w14:paraId="62FFC203" w14:textId="17EE16C9"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86" w:history="1">
        <w:r w:rsidR="009C066D" w:rsidRPr="00675182">
          <w:rPr>
            <w:rStyle w:val="Hyperlink"/>
            <w:rFonts w:cstheme="minorHAnsi"/>
            <w:b/>
            <w:noProof/>
          </w:rPr>
          <w:t>1.1.7. Valsts un pašvaldības institūciju funkcijas un atbildība aizsargājamā teritorijā</w:t>
        </w:r>
        <w:r w:rsidR="009C066D" w:rsidRPr="00675182">
          <w:rPr>
            <w:noProof/>
          </w:rPr>
          <w:tab/>
        </w:r>
        <w:r w:rsidR="009C066D" w:rsidRPr="00675182">
          <w:rPr>
            <w:noProof/>
          </w:rPr>
          <w:fldChar w:fldCharType="begin"/>
        </w:r>
        <w:r w:rsidR="009C066D" w:rsidRPr="00675182">
          <w:rPr>
            <w:noProof/>
          </w:rPr>
          <w:instrText xml:space="preserve"> PAGEREF _Toc116938386 \h </w:instrText>
        </w:r>
        <w:r w:rsidR="009C066D" w:rsidRPr="00675182">
          <w:rPr>
            <w:noProof/>
          </w:rPr>
        </w:r>
        <w:r w:rsidR="009C066D" w:rsidRPr="00675182">
          <w:rPr>
            <w:noProof/>
          </w:rPr>
          <w:fldChar w:fldCharType="separate"/>
        </w:r>
        <w:r w:rsidR="00681FFE">
          <w:rPr>
            <w:noProof/>
          </w:rPr>
          <w:t>40</w:t>
        </w:r>
        <w:r w:rsidR="009C066D" w:rsidRPr="00675182">
          <w:rPr>
            <w:noProof/>
          </w:rPr>
          <w:fldChar w:fldCharType="end"/>
        </w:r>
      </w:hyperlink>
    </w:p>
    <w:p w14:paraId="08C2CE0D" w14:textId="2D86CA36"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387" w:history="1">
        <w:r w:rsidR="009C066D" w:rsidRPr="00675182">
          <w:rPr>
            <w:rStyle w:val="Hyperlink"/>
            <w:rFonts w:cstheme="minorHAnsi"/>
            <w:noProof/>
          </w:rPr>
          <w:t>1.2. Īss aizsargājamās teritorijas fiziski ģeogrāfiskais raksturojums</w:t>
        </w:r>
        <w:r w:rsidR="009C066D" w:rsidRPr="00675182">
          <w:rPr>
            <w:noProof/>
          </w:rPr>
          <w:tab/>
        </w:r>
        <w:r w:rsidR="009C066D" w:rsidRPr="00675182">
          <w:rPr>
            <w:noProof/>
          </w:rPr>
          <w:fldChar w:fldCharType="begin"/>
        </w:r>
        <w:r w:rsidR="009C066D" w:rsidRPr="00675182">
          <w:rPr>
            <w:noProof/>
          </w:rPr>
          <w:instrText xml:space="preserve"> PAGEREF _Toc116938387 \h </w:instrText>
        </w:r>
        <w:r w:rsidR="009C066D" w:rsidRPr="00675182">
          <w:rPr>
            <w:noProof/>
          </w:rPr>
        </w:r>
        <w:r w:rsidR="009C066D" w:rsidRPr="00675182">
          <w:rPr>
            <w:noProof/>
          </w:rPr>
          <w:fldChar w:fldCharType="separate"/>
        </w:r>
        <w:r w:rsidR="00681FFE">
          <w:rPr>
            <w:noProof/>
          </w:rPr>
          <w:t>41</w:t>
        </w:r>
        <w:r w:rsidR="009C066D" w:rsidRPr="00675182">
          <w:rPr>
            <w:noProof/>
          </w:rPr>
          <w:fldChar w:fldCharType="end"/>
        </w:r>
      </w:hyperlink>
    </w:p>
    <w:p w14:paraId="34677DD9" w14:textId="7BC76EFC"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88" w:history="1">
        <w:r w:rsidR="009C066D" w:rsidRPr="00675182">
          <w:rPr>
            <w:rStyle w:val="Hyperlink"/>
            <w:rFonts w:cstheme="minorHAnsi"/>
            <w:b/>
            <w:noProof/>
          </w:rPr>
          <w:t>1.2.1. Klimats</w:t>
        </w:r>
        <w:r w:rsidR="009C066D" w:rsidRPr="00675182">
          <w:rPr>
            <w:noProof/>
          </w:rPr>
          <w:tab/>
        </w:r>
        <w:r w:rsidR="009C066D" w:rsidRPr="00675182">
          <w:rPr>
            <w:noProof/>
          </w:rPr>
          <w:fldChar w:fldCharType="begin"/>
        </w:r>
        <w:r w:rsidR="009C066D" w:rsidRPr="00675182">
          <w:rPr>
            <w:noProof/>
          </w:rPr>
          <w:instrText xml:space="preserve"> PAGEREF _Toc116938388 \h </w:instrText>
        </w:r>
        <w:r w:rsidR="009C066D" w:rsidRPr="00675182">
          <w:rPr>
            <w:noProof/>
          </w:rPr>
        </w:r>
        <w:r w:rsidR="009C066D" w:rsidRPr="00675182">
          <w:rPr>
            <w:noProof/>
          </w:rPr>
          <w:fldChar w:fldCharType="separate"/>
        </w:r>
        <w:r w:rsidR="00681FFE">
          <w:rPr>
            <w:noProof/>
          </w:rPr>
          <w:t>41</w:t>
        </w:r>
        <w:r w:rsidR="009C066D" w:rsidRPr="00675182">
          <w:rPr>
            <w:noProof/>
          </w:rPr>
          <w:fldChar w:fldCharType="end"/>
        </w:r>
      </w:hyperlink>
    </w:p>
    <w:p w14:paraId="0153BF5C" w14:textId="5A899733"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89" w:history="1">
        <w:r w:rsidR="009C066D" w:rsidRPr="00675182">
          <w:rPr>
            <w:rStyle w:val="Hyperlink"/>
            <w:rFonts w:cstheme="minorHAnsi"/>
            <w:b/>
            <w:noProof/>
          </w:rPr>
          <w:t>1.2.2. Ģeoloģija un ģeomorfoloģija</w:t>
        </w:r>
        <w:r w:rsidR="009C066D" w:rsidRPr="00675182">
          <w:rPr>
            <w:noProof/>
          </w:rPr>
          <w:tab/>
        </w:r>
        <w:r w:rsidR="009C066D" w:rsidRPr="00675182">
          <w:rPr>
            <w:noProof/>
          </w:rPr>
          <w:fldChar w:fldCharType="begin"/>
        </w:r>
        <w:r w:rsidR="009C066D" w:rsidRPr="00675182">
          <w:rPr>
            <w:noProof/>
          </w:rPr>
          <w:instrText xml:space="preserve"> PAGEREF _Toc116938389 \h </w:instrText>
        </w:r>
        <w:r w:rsidR="009C066D" w:rsidRPr="00675182">
          <w:rPr>
            <w:noProof/>
          </w:rPr>
        </w:r>
        <w:r w:rsidR="009C066D" w:rsidRPr="00675182">
          <w:rPr>
            <w:noProof/>
          </w:rPr>
          <w:fldChar w:fldCharType="separate"/>
        </w:r>
        <w:r w:rsidR="00681FFE">
          <w:rPr>
            <w:noProof/>
          </w:rPr>
          <w:t>42</w:t>
        </w:r>
        <w:r w:rsidR="009C066D" w:rsidRPr="00675182">
          <w:rPr>
            <w:noProof/>
          </w:rPr>
          <w:fldChar w:fldCharType="end"/>
        </w:r>
      </w:hyperlink>
    </w:p>
    <w:p w14:paraId="04E0D184" w14:textId="283AA32D"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90" w:history="1">
        <w:r w:rsidR="009C066D" w:rsidRPr="00675182">
          <w:rPr>
            <w:rStyle w:val="Hyperlink"/>
            <w:rFonts w:cstheme="minorHAnsi"/>
            <w:b/>
            <w:noProof/>
          </w:rPr>
          <w:t>1.2.3. Hidroloģija un ūdens kvalitāte</w:t>
        </w:r>
        <w:r w:rsidR="009C066D" w:rsidRPr="00675182">
          <w:rPr>
            <w:noProof/>
          </w:rPr>
          <w:tab/>
        </w:r>
        <w:r w:rsidR="009C066D" w:rsidRPr="00675182">
          <w:rPr>
            <w:noProof/>
          </w:rPr>
          <w:fldChar w:fldCharType="begin"/>
        </w:r>
        <w:r w:rsidR="009C066D" w:rsidRPr="00675182">
          <w:rPr>
            <w:noProof/>
          </w:rPr>
          <w:instrText xml:space="preserve"> PAGEREF _Toc116938390 \h </w:instrText>
        </w:r>
        <w:r w:rsidR="009C066D" w:rsidRPr="00675182">
          <w:rPr>
            <w:noProof/>
          </w:rPr>
        </w:r>
        <w:r w:rsidR="009C066D" w:rsidRPr="00675182">
          <w:rPr>
            <w:noProof/>
          </w:rPr>
          <w:fldChar w:fldCharType="separate"/>
        </w:r>
        <w:r w:rsidR="00681FFE">
          <w:rPr>
            <w:noProof/>
          </w:rPr>
          <w:t>46</w:t>
        </w:r>
        <w:r w:rsidR="009C066D" w:rsidRPr="00675182">
          <w:rPr>
            <w:noProof/>
          </w:rPr>
          <w:fldChar w:fldCharType="end"/>
        </w:r>
      </w:hyperlink>
    </w:p>
    <w:p w14:paraId="3FD2650F" w14:textId="6F05ECBC"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91" w:history="1">
        <w:r w:rsidR="009C066D" w:rsidRPr="00675182">
          <w:rPr>
            <w:rStyle w:val="Hyperlink"/>
            <w:rFonts w:cstheme="minorHAnsi"/>
            <w:b/>
            <w:noProof/>
          </w:rPr>
          <w:t>1.2.4. Augsne</w:t>
        </w:r>
        <w:r w:rsidR="009C066D" w:rsidRPr="00675182">
          <w:rPr>
            <w:noProof/>
          </w:rPr>
          <w:tab/>
        </w:r>
        <w:r w:rsidR="009C066D" w:rsidRPr="00675182">
          <w:rPr>
            <w:noProof/>
          </w:rPr>
          <w:fldChar w:fldCharType="begin"/>
        </w:r>
        <w:r w:rsidR="009C066D" w:rsidRPr="00675182">
          <w:rPr>
            <w:noProof/>
          </w:rPr>
          <w:instrText xml:space="preserve"> PAGEREF _Toc116938391 \h </w:instrText>
        </w:r>
        <w:r w:rsidR="009C066D" w:rsidRPr="00675182">
          <w:rPr>
            <w:noProof/>
          </w:rPr>
        </w:r>
        <w:r w:rsidR="009C066D" w:rsidRPr="00675182">
          <w:rPr>
            <w:noProof/>
          </w:rPr>
          <w:fldChar w:fldCharType="separate"/>
        </w:r>
        <w:r w:rsidR="00681FFE">
          <w:rPr>
            <w:noProof/>
          </w:rPr>
          <w:t>56</w:t>
        </w:r>
        <w:r w:rsidR="009C066D" w:rsidRPr="00675182">
          <w:rPr>
            <w:noProof/>
          </w:rPr>
          <w:fldChar w:fldCharType="end"/>
        </w:r>
      </w:hyperlink>
    </w:p>
    <w:p w14:paraId="057BC6F4" w14:textId="3E6F8289"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392" w:history="1">
        <w:r w:rsidR="009C066D" w:rsidRPr="00675182">
          <w:rPr>
            <w:rStyle w:val="Hyperlink"/>
            <w:rFonts w:cstheme="minorHAnsi"/>
            <w:noProof/>
          </w:rPr>
          <w:t>1.3. Aizsargājamās teritorijas sociālās un ekonomiskās situācijas apraksts</w:t>
        </w:r>
        <w:r w:rsidR="009C066D" w:rsidRPr="00675182">
          <w:rPr>
            <w:noProof/>
          </w:rPr>
          <w:tab/>
        </w:r>
        <w:r w:rsidR="009C066D" w:rsidRPr="00675182">
          <w:rPr>
            <w:noProof/>
          </w:rPr>
          <w:fldChar w:fldCharType="begin"/>
        </w:r>
        <w:r w:rsidR="009C066D" w:rsidRPr="00675182">
          <w:rPr>
            <w:noProof/>
          </w:rPr>
          <w:instrText xml:space="preserve"> PAGEREF _Toc116938392 \h </w:instrText>
        </w:r>
        <w:r w:rsidR="009C066D" w:rsidRPr="00675182">
          <w:rPr>
            <w:noProof/>
          </w:rPr>
        </w:r>
        <w:r w:rsidR="009C066D" w:rsidRPr="00675182">
          <w:rPr>
            <w:noProof/>
          </w:rPr>
          <w:fldChar w:fldCharType="separate"/>
        </w:r>
        <w:r w:rsidR="00681FFE">
          <w:rPr>
            <w:noProof/>
          </w:rPr>
          <w:t>56</w:t>
        </w:r>
        <w:r w:rsidR="009C066D" w:rsidRPr="00675182">
          <w:rPr>
            <w:noProof/>
          </w:rPr>
          <w:fldChar w:fldCharType="end"/>
        </w:r>
      </w:hyperlink>
    </w:p>
    <w:p w14:paraId="788C3257" w14:textId="6096776F"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93" w:history="1">
        <w:r w:rsidR="009C066D" w:rsidRPr="00675182">
          <w:rPr>
            <w:rStyle w:val="Hyperlink"/>
            <w:rFonts w:cstheme="minorHAnsi"/>
            <w:b/>
            <w:noProof/>
          </w:rPr>
          <w:t>1.3.1. Iedzīvotāji, apdzīvotās vietas, nodarbinātība</w:t>
        </w:r>
        <w:r w:rsidR="009C066D" w:rsidRPr="00675182">
          <w:rPr>
            <w:noProof/>
          </w:rPr>
          <w:tab/>
        </w:r>
        <w:r w:rsidR="009C066D" w:rsidRPr="00675182">
          <w:rPr>
            <w:noProof/>
          </w:rPr>
          <w:fldChar w:fldCharType="begin"/>
        </w:r>
        <w:r w:rsidR="009C066D" w:rsidRPr="00675182">
          <w:rPr>
            <w:noProof/>
          </w:rPr>
          <w:instrText xml:space="preserve"> PAGEREF _Toc116938393 \h </w:instrText>
        </w:r>
        <w:r w:rsidR="009C066D" w:rsidRPr="00675182">
          <w:rPr>
            <w:noProof/>
          </w:rPr>
        </w:r>
        <w:r w:rsidR="009C066D" w:rsidRPr="00675182">
          <w:rPr>
            <w:noProof/>
          </w:rPr>
          <w:fldChar w:fldCharType="separate"/>
        </w:r>
        <w:r w:rsidR="00681FFE">
          <w:rPr>
            <w:noProof/>
          </w:rPr>
          <w:t>56</w:t>
        </w:r>
        <w:r w:rsidR="009C066D" w:rsidRPr="00675182">
          <w:rPr>
            <w:noProof/>
          </w:rPr>
          <w:fldChar w:fldCharType="end"/>
        </w:r>
      </w:hyperlink>
    </w:p>
    <w:p w14:paraId="35741A2F" w14:textId="09C9BFDE"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94" w:history="1">
        <w:r w:rsidR="009C066D" w:rsidRPr="00675182">
          <w:rPr>
            <w:rStyle w:val="Hyperlink"/>
            <w:rFonts w:cstheme="minorHAnsi"/>
            <w:b/>
            <w:noProof/>
          </w:rPr>
          <w:t>1.3.2. Pašreizējā un paredzamā antropogēnā slodze uz aizsargājamo teritoriju</w:t>
        </w:r>
        <w:r w:rsidR="009C066D" w:rsidRPr="00675182">
          <w:rPr>
            <w:noProof/>
          </w:rPr>
          <w:tab/>
        </w:r>
        <w:r w:rsidR="009C066D" w:rsidRPr="00675182">
          <w:rPr>
            <w:noProof/>
          </w:rPr>
          <w:fldChar w:fldCharType="begin"/>
        </w:r>
        <w:r w:rsidR="009C066D" w:rsidRPr="00675182">
          <w:rPr>
            <w:noProof/>
          </w:rPr>
          <w:instrText xml:space="preserve"> PAGEREF _Toc116938394 \h </w:instrText>
        </w:r>
        <w:r w:rsidR="009C066D" w:rsidRPr="00675182">
          <w:rPr>
            <w:noProof/>
          </w:rPr>
        </w:r>
        <w:r w:rsidR="009C066D" w:rsidRPr="00675182">
          <w:rPr>
            <w:noProof/>
          </w:rPr>
          <w:fldChar w:fldCharType="separate"/>
        </w:r>
        <w:r w:rsidR="00681FFE">
          <w:rPr>
            <w:noProof/>
          </w:rPr>
          <w:t>59</w:t>
        </w:r>
        <w:r w:rsidR="009C066D" w:rsidRPr="00675182">
          <w:rPr>
            <w:noProof/>
          </w:rPr>
          <w:fldChar w:fldCharType="end"/>
        </w:r>
      </w:hyperlink>
    </w:p>
    <w:p w14:paraId="421D4A2D" w14:textId="77813D9F"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95" w:history="1">
        <w:r w:rsidR="009C066D" w:rsidRPr="00675182">
          <w:rPr>
            <w:rStyle w:val="Hyperlink"/>
            <w:rFonts w:cstheme="minorHAnsi"/>
            <w:b/>
            <w:noProof/>
          </w:rPr>
          <w:t>1.3.3. Aizsargājamās teritorijas izmantošanas veidi</w:t>
        </w:r>
        <w:r w:rsidR="009C066D" w:rsidRPr="00675182">
          <w:rPr>
            <w:noProof/>
          </w:rPr>
          <w:tab/>
        </w:r>
        <w:r w:rsidR="009C066D" w:rsidRPr="00675182">
          <w:rPr>
            <w:noProof/>
          </w:rPr>
          <w:fldChar w:fldCharType="begin"/>
        </w:r>
        <w:r w:rsidR="009C066D" w:rsidRPr="00675182">
          <w:rPr>
            <w:noProof/>
          </w:rPr>
          <w:instrText xml:space="preserve"> PAGEREF _Toc116938395 \h </w:instrText>
        </w:r>
        <w:r w:rsidR="009C066D" w:rsidRPr="00675182">
          <w:rPr>
            <w:noProof/>
          </w:rPr>
        </w:r>
        <w:r w:rsidR="009C066D" w:rsidRPr="00675182">
          <w:rPr>
            <w:noProof/>
          </w:rPr>
          <w:fldChar w:fldCharType="separate"/>
        </w:r>
        <w:r w:rsidR="00681FFE">
          <w:rPr>
            <w:noProof/>
          </w:rPr>
          <w:t>78</w:t>
        </w:r>
        <w:r w:rsidR="009C066D" w:rsidRPr="00675182">
          <w:rPr>
            <w:noProof/>
          </w:rPr>
          <w:fldChar w:fldCharType="end"/>
        </w:r>
      </w:hyperlink>
    </w:p>
    <w:p w14:paraId="78B376A9" w14:textId="0D3A748E"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396" w:history="1">
        <w:r w:rsidR="009C066D" w:rsidRPr="00675182">
          <w:rPr>
            <w:rStyle w:val="Hyperlink"/>
            <w:rFonts w:cstheme="minorHAnsi"/>
            <w:b/>
            <w:noProof/>
          </w:rPr>
          <w:t>1.3.4. Ekosistēmu pakalpojumu novērtēšana</w:t>
        </w:r>
        <w:r w:rsidR="009C066D" w:rsidRPr="00675182">
          <w:rPr>
            <w:noProof/>
          </w:rPr>
          <w:tab/>
        </w:r>
        <w:r w:rsidR="009C066D" w:rsidRPr="00675182">
          <w:rPr>
            <w:noProof/>
          </w:rPr>
          <w:fldChar w:fldCharType="begin"/>
        </w:r>
        <w:r w:rsidR="009C066D" w:rsidRPr="00675182">
          <w:rPr>
            <w:noProof/>
          </w:rPr>
          <w:instrText xml:space="preserve"> PAGEREF _Toc116938396 \h </w:instrText>
        </w:r>
        <w:r w:rsidR="009C066D" w:rsidRPr="00675182">
          <w:rPr>
            <w:noProof/>
          </w:rPr>
        </w:r>
        <w:r w:rsidR="009C066D" w:rsidRPr="00675182">
          <w:rPr>
            <w:noProof/>
          </w:rPr>
          <w:fldChar w:fldCharType="separate"/>
        </w:r>
        <w:r w:rsidR="00681FFE">
          <w:rPr>
            <w:noProof/>
          </w:rPr>
          <w:t>113</w:t>
        </w:r>
        <w:r w:rsidR="009C066D" w:rsidRPr="00675182">
          <w:rPr>
            <w:noProof/>
          </w:rPr>
          <w:fldChar w:fldCharType="end"/>
        </w:r>
      </w:hyperlink>
    </w:p>
    <w:p w14:paraId="17DC3B31" w14:textId="08545FE5" w:rsidR="009C066D" w:rsidRPr="00675182" w:rsidRDefault="00411E51">
      <w:pPr>
        <w:pStyle w:val="TOC1"/>
        <w:tabs>
          <w:tab w:val="right" w:leader="dot" w:pos="8301"/>
        </w:tabs>
        <w:rPr>
          <w:rFonts w:eastAsiaTheme="minorEastAsia" w:cstheme="minorBidi"/>
          <w:b w:val="0"/>
          <w:bCs w:val="0"/>
          <w:i w:val="0"/>
          <w:iCs w:val="0"/>
          <w:noProof/>
          <w:sz w:val="22"/>
          <w:szCs w:val="22"/>
          <w:lang w:eastAsia="en-GB"/>
        </w:rPr>
      </w:pPr>
      <w:hyperlink w:anchor="_Toc116938397" w:history="1">
        <w:r w:rsidR="009C066D" w:rsidRPr="00675182">
          <w:rPr>
            <w:rStyle w:val="Hyperlink"/>
            <w:noProof/>
          </w:rPr>
          <w:t>2. Aizsargājamās teritorijas novērtējums</w:t>
        </w:r>
        <w:r w:rsidR="009C066D" w:rsidRPr="00675182">
          <w:rPr>
            <w:noProof/>
          </w:rPr>
          <w:tab/>
        </w:r>
        <w:r w:rsidR="009C066D" w:rsidRPr="00675182">
          <w:rPr>
            <w:noProof/>
          </w:rPr>
          <w:fldChar w:fldCharType="begin"/>
        </w:r>
        <w:r w:rsidR="009C066D" w:rsidRPr="00675182">
          <w:rPr>
            <w:noProof/>
          </w:rPr>
          <w:instrText xml:space="preserve"> PAGEREF _Toc116938397 \h </w:instrText>
        </w:r>
        <w:r w:rsidR="009C066D" w:rsidRPr="00675182">
          <w:rPr>
            <w:noProof/>
          </w:rPr>
        </w:r>
        <w:r w:rsidR="009C066D" w:rsidRPr="00675182">
          <w:rPr>
            <w:noProof/>
          </w:rPr>
          <w:fldChar w:fldCharType="separate"/>
        </w:r>
        <w:r w:rsidR="00681FFE">
          <w:rPr>
            <w:noProof/>
          </w:rPr>
          <w:t>120</w:t>
        </w:r>
        <w:r w:rsidR="009C066D" w:rsidRPr="00675182">
          <w:rPr>
            <w:noProof/>
          </w:rPr>
          <w:fldChar w:fldCharType="end"/>
        </w:r>
      </w:hyperlink>
    </w:p>
    <w:p w14:paraId="76D77BC6" w14:textId="0757C951"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398" w:history="1">
        <w:r w:rsidR="009C066D" w:rsidRPr="00675182">
          <w:rPr>
            <w:rStyle w:val="Hyperlink"/>
            <w:rFonts w:cstheme="minorHAnsi"/>
            <w:noProof/>
          </w:rPr>
          <w:t>2.1. Aizsargājamā teritorija kā vienota dabas aizsardzības vērtība un faktori, kas to ietekmē</w:t>
        </w:r>
        <w:r w:rsidR="009C066D" w:rsidRPr="00675182">
          <w:rPr>
            <w:noProof/>
          </w:rPr>
          <w:tab/>
        </w:r>
        <w:r w:rsidR="009C066D" w:rsidRPr="00675182">
          <w:rPr>
            <w:noProof/>
          </w:rPr>
          <w:fldChar w:fldCharType="begin"/>
        </w:r>
        <w:r w:rsidR="009C066D" w:rsidRPr="00675182">
          <w:rPr>
            <w:noProof/>
          </w:rPr>
          <w:instrText xml:space="preserve"> PAGEREF _Toc116938398 \h </w:instrText>
        </w:r>
        <w:r w:rsidR="009C066D" w:rsidRPr="00675182">
          <w:rPr>
            <w:noProof/>
          </w:rPr>
        </w:r>
        <w:r w:rsidR="009C066D" w:rsidRPr="00675182">
          <w:rPr>
            <w:noProof/>
          </w:rPr>
          <w:fldChar w:fldCharType="separate"/>
        </w:r>
        <w:r w:rsidR="00681FFE">
          <w:rPr>
            <w:noProof/>
          </w:rPr>
          <w:t>120</w:t>
        </w:r>
        <w:r w:rsidR="009C066D" w:rsidRPr="00675182">
          <w:rPr>
            <w:noProof/>
          </w:rPr>
          <w:fldChar w:fldCharType="end"/>
        </w:r>
      </w:hyperlink>
    </w:p>
    <w:p w14:paraId="43B444E1" w14:textId="38EEAFBD"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399" w:history="1">
        <w:r w:rsidR="009C066D" w:rsidRPr="00675182">
          <w:rPr>
            <w:rStyle w:val="Hyperlink"/>
            <w:rFonts w:cstheme="minorHAnsi"/>
            <w:noProof/>
          </w:rPr>
          <w:t>2.2. Ainaviskais novērtējums</w:t>
        </w:r>
        <w:r w:rsidR="009C066D" w:rsidRPr="00675182">
          <w:rPr>
            <w:noProof/>
          </w:rPr>
          <w:tab/>
        </w:r>
        <w:r w:rsidR="009C066D" w:rsidRPr="00675182">
          <w:rPr>
            <w:noProof/>
          </w:rPr>
          <w:fldChar w:fldCharType="begin"/>
        </w:r>
        <w:r w:rsidR="009C066D" w:rsidRPr="00675182">
          <w:rPr>
            <w:noProof/>
          </w:rPr>
          <w:instrText xml:space="preserve"> PAGEREF _Toc116938399 \h </w:instrText>
        </w:r>
        <w:r w:rsidR="009C066D" w:rsidRPr="00675182">
          <w:rPr>
            <w:noProof/>
          </w:rPr>
        </w:r>
        <w:r w:rsidR="009C066D" w:rsidRPr="00675182">
          <w:rPr>
            <w:noProof/>
          </w:rPr>
          <w:fldChar w:fldCharType="separate"/>
        </w:r>
        <w:r w:rsidR="00681FFE">
          <w:rPr>
            <w:noProof/>
          </w:rPr>
          <w:t>125</w:t>
        </w:r>
        <w:r w:rsidR="009C066D" w:rsidRPr="00675182">
          <w:rPr>
            <w:noProof/>
          </w:rPr>
          <w:fldChar w:fldCharType="end"/>
        </w:r>
      </w:hyperlink>
    </w:p>
    <w:p w14:paraId="75C33F95" w14:textId="4B9DE40D"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00" w:history="1">
        <w:r w:rsidR="009C066D" w:rsidRPr="00675182">
          <w:rPr>
            <w:rStyle w:val="Hyperlink"/>
            <w:rFonts w:cstheme="minorHAnsi"/>
            <w:b/>
            <w:noProof/>
          </w:rPr>
          <w:t>2.2.1. Apkopojums par pieejamo informāciju</w:t>
        </w:r>
        <w:r w:rsidR="009C066D" w:rsidRPr="00675182">
          <w:rPr>
            <w:noProof/>
          </w:rPr>
          <w:tab/>
        </w:r>
        <w:r w:rsidR="009C066D" w:rsidRPr="00675182">
          <w:rPr>
            <w:noProof/>
          </w:rPr>
          <w:fldChar w:fldCharType="begin"/>
        </w:r>
        <w:r w:rsidR="009C066D" w:rsidRPr="00675182">
          <w:rPr>
            <w:noProof/>
          </w:rPr>
          <w:instrText xml:space="preserve"> PAGEREF _Toc116938400 \h </w:instrText>
        </w:r>
        <w:r w:rsidR="009C066D" w:rsidRPr="00675182">
          <w:rPr>
            <w:noProof/>
          </w:rPr>
        </w:r>
        <w:r w:rsidR="009C066D" w:rsidRPr="00675182">
          <w:rPr>
            <w:noProof/>
          </w:rPr>
          <w:fldChar w:fldCharType="separate"/>
        </w:r>
        <w:r w:rsidR="00681FFE">
          <w:rPr>
            <w:noProof/>
          </w:rPr>
          <w:t>125</w:t>
        </w:r>
        <w:r w:rsidR="009C066D" w:rsidRPr="00675182">
          <w:rPr>
            <w:noProof/>
          </w:rPr>
          <w:fldChar w:fldCharType="end"/>
        </w:r>
      </w:hyperlink>
    </w:p>
    <w:p w14:paraId="5E6B1AC8" w14:textId="671EF3C1"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01" w:history="1">
        <w:r w:rsidR="009C066D" w:rsidRPr="00675182">
          <w:rPr>
            <w:rStyle w:val="Hyperlink"/>
            <w:rFonts w:cstheme="minorHAnsi"/>
            <w:b/>
            <w:noProof/>
          </w:rPr>
          <w:t>2.2.2. GNP ainavu raksturojums un novērtējums</w:t>
        </w:r>
        <w:r w:rsidR="009C066D" w:rsidRPr="00675182">
          <w:rPr>
            <w:noProof/>
          </w:rPr>
          <w:tab/>
        </w:r>
        <w:r w:rsidR="009C066D" w:rsidRPr="00675182">
          <w:rPr>
            <w:noProof/>
          </w:rPr>
          <w:fldChar w:fldCharType="begin"/>
        </w:r>
        <w:r w:rsidR="009C066D" w:rsidRPr="00675182">
          <w:rPr>
            <w:noProof/>
          </w:rPr>
          <w:instrText xml:space="preserve"> PAGEREF _Toc116938401 \h </w:instrText>
        </w:r>
        <w:r w:rsidR="009C066D" w:rsidRPr="00675182">
          <w:rPr>
            <w:noProof/>
          </w:rPr>
        </w:r>
        <w:r w:rsidR="009C066D" w:rsidRPr="00675182">
          <w:rPr>
            <w:noProof/>
          </w:rPr>
          <w:fldChar w:fldCharType="separate"/>
        </w:r>
        <w:r w:rsidR="00681FFE">
          <w:rPr>
            <w:noProof/>
          </w:rPr>
          <w:t>129</w:t>
        </w:r>
        <w:r w:rsidR="009C066D" w:rsidRPr="00675182">
          <w:rPr>
            <w:noProof/>
          </w:rPr>
          <w:fldChar w:fldCharType="end"/>
        </w:r>
      </w:hyperlink>
    </w:p>
    <w:p w14:paraId="4DEF5AF9" w14:textId="4CABEE44"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402" w:history="1">
        <w:r w:rsidR="009C066D" w:rsidRPr="00675182">
          <w:rPr>
            <w:rStyle w:val="Hyperlink"/>
            <w:rFonts w:cstheme="minorHAnsi"/>
            <w:noProof/>
          </w:rPr>
          <w:t>2.3. Biotopi, to sociālekonomiskā vērtība un ietekmējošie faktori</w:t>
        </w:r>
        <w:r w:rsidR="009C066D" w:rsidRPr="00675182">
          <w:rPr>
            <w:noProof/>
          </w:rPr>
          <w:tab/>
        </w:r>
        <w:r w:rsidR="009C066D" w:rsidRPr="00675182">
          <w:rPr>
            <w:noProof/>
          </w:rPr>
          <w:fldChar w:fldCharType="begin"/>
        </w:r>
        <w:r w:rsidR="009C066D" w:rsidRPr="00675182">
          <w:rPr>
            <w:noProof/>
          </w:rPr>
          <w:instrText xml:space="preserve"> PAGEREF _Toc116938402 \h </w:instrText>
        </w:r>
        <w:r w:rsidR="009C066D" w:rsidRPr="00675182">
          <w:rPr>
            <w:noProof/>
          </w:rPr>
        </w:r>
        <w:r w:rsidR="009C066D" w:rsidRPr="00675182">
          <w:rPr>
            <w:noProof/>
          </w:rPr>
          <w:fldChar w:fldCharType="separate"/>
        </w:r>
        <w:r w:rsidR="00681FFE">
          <w:rPr>
            <w:noProof/>
          </w:rPr>
          <w:t>143</w:t>
        </w:r>
        <w:r w:rsidR="009C066D" w:rsidRPr="00675182">
          <w:rPr>
            <w:noProof/>
          </w:rPr>
          <w:fldChar w:fldCharType="end"/>
        </w:r>
      </w:hyperlink>
    </w:p>
    <w:p w14:paraId="7281E702" w14:textId="472561A2"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03" w:history="1">
        <w:r w:rsidR="009C066D" w:rsidRPr="00675182">
          <w:rPr>
            <w:rStyle w:val="Hyperlink"/>
            <w:rFonts w:cstheme="minorHAnsi"/>
            <w:b/>
            <w:noProof/>
          </w:rPr>
          <w:t>2.3.1. Saldūdens biotopi</w:t>
        </w:r>
        <w:r w:rsidR="009C066D" w:rsidRPr="00675182">
          <w:rPr>
            <w:noProof/>
          </w:rPr>
          <w:tab/>
        </w:r>
        <w:r w:rsidR="009C066D" w:rsidRPr="00675182">
          <w:rPr>
            <w:noProof/>
          </w:rPr>
          <w:fldChar w:fldCharType="begin"/>
        </w:r>
        <w:r w:rsidR="009C066D" w:rsidRPr="00675182">
          <w:rPr>
            <w:noProof/>
          </w:rPr>
          <w:instrText xml:space="preserve"> PAGEREF _Toc116938403 \h </w:instrText>
        </w:r>
        <w:r w:rsidR="009C066D" w:rsidRPr="00675182">
          <w:rPr>
            <w:noProof/>
          </w:rPr>
        </w:r>
        <w:r w:rsidR="009C066D" w:rsidRPr="00675182">
          <w:rPr>
            <w:noProof/>
          </w:rPr>
          <w:fldChar w:fldCharType="separate"/>
        </w:r>
        <w:r w:rsidR="00681FFE">
          <w:rPr>
            <w:noProof/>
          </w:rPr>
          <w:t>152</w:t>
        </w:r>
        <w:r w:rsidR="009C066D" w:rsidRPr="00675182">
          <w:rPr>
            <w:noProof/>
          </w:rPr>
          <w:fldChar w:fldCharType="end"/>
        </w:r>
      </w:hyperlink>
    </w:p>
    <w:p w14:paraId="7C882EC9" w14:textId="5646C609"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04" w:history="1">
        <w:r w:rsidR="009C066D" w:rsidRPr="00675182">
          <w:rPr>
            <w:rStyle w:val="Hyperlink"/>
            <w:rFonts w:cstheme="minorHAnsi"/>
            <w:b/>
            <w:noProof/>
          </w:rPr>
          <w:t>2.3.2. Iežu atsegumu un alu biotopi</w:t>
        </w:r>
        <w:r w:rsidR="009C066D" w:rsidRPr="00675182">
          <w:rPr>
            <w:noProof/>
          </w:rPr>
          <w:tab/>
        </w:r>
        <w:r w:rsidR="009C066D" w:rsidRPr="00675182">
          <w:rPr>
            <w:noProof/>
          </w:rPr>
          <w:fldChar w:fldCharType="begin"/>
        </w:r>
        <w:r w:rsidR="009C066D" w:rsidRPr="00675182">
          <w:rPr>
            <w:noProof/>
          </w:rPr>
          <w:instrText xml:space="preserve"> PAGEREF _Toc116938404 \h </w:instrText>
        </w:r>
        <w:r w:rsidR="009C066D" w:rsidRPr="00675182">
          <w:rPr>
            <w:noProof/>
          </w:rPr>
        </w:r>
        <w:r w:rsidR="009C066D" w:rsidRPr="00675182">
          <w:rPr>
            <w:noProof/>
          </w:rPr>
          <w:fldChar w:fldCharType="separate"/>
        </w:r>
        <w:r w:rsidR="00681FFE">
          <w:rPr>
            <w:noProof/>
          </w:rPr>
          <w:t>167</w:t>
        </w:r>
        <w:r w:rsidR="009C066D" w:rsidRPr="00675182">
          <w:rPr>
            <w:noProof/>
          </w:rPr>
          <w:fldChar w:fldCharType="end"/>
        </w:r>
      </w:hyperlink>
    </w:p>
    <w:p w14:paraId="0F77C6FD" w14:textId="1E6EA8EE"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05" w:history="1">
        <w:r w:rsidR="009C066D" w:rsidRPr="00675182">
          <w:rPr>
            <w:rStyle w:val="Hyperlink"/>
            <w:rFonts w:cstheme="minorHAnsi"/>
            <w:b/>
            <w:noProof/>
          </w:rPr>
          <w:t>2.3.3. Zālāju biotopi</w:t>
        </w:r>
        <w:r w:rsidR="009C066D" w:rsidRPr="00675182">
          <w:rPr>
            <w:noProof/>
          </w:rPr>
          <w:tab/>
        </w:r>
        <w:r w:rsidR="009C066D" w:rsidRPr="00675182">
          <w:rPr>
            <w:noProof/>
          </w:rPr>
          <w:fldChar w:fldCharType="begin"/>
        </w:r>
        <w:r w:rsidR="009C066D" w:rsidRPr="00675182">
          <w:rPr>
            <w:noProof/>
          </w:rPr>
          <w:instrText xml:space="preserve"> PAGEREF _Toc116938405 \h </w:instrText>
        </w:r>
        <w:r w:rsidR="009C066D" w:rsidRPr="00675182">
          <w:rPr>
            <w:noProof/>
          </w:rPr>
        </w:r>
        <w:r w:rsidR="009C066D" w:rsidRPr="00675182">
          <w:rPr>
            <w:noProof/>
          </w:rPr>
          <w:fldChar w:fldCharType="separate"/>
        </w:r>
        <w:r w:rsidR="00681FFE">
          <w:rPr>
            <w:noProof/>
          </w:rPr>
          <w:t>173</w:t>
        </w:r>
        <w:r w:rsidR="009C066D" w:rsidRPr="00675182">
          <w:rPr>
            <w:noProof/>
          </w:rPr>
          <w:fldChar w:fldCharType="end"/>
        </w:r>
      </w:hyperlink>
    </w:p>
    <w:p w14:paraId="01199608" w14:textId="191FA77C"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06" w:history="1">
        <w:r w:rsidR="009C066D" w:rsidRPr="00675182">
          <w:rPr>
            <w:rStyle w:val="Hyperlink"/>
            <w:rFonts w:cstheme="minorHAnsi"/>
            <w:b/>
            <w:noProof/>
          </w:rPr>
          <w:t>2.3.4. Purvu biotopi</w:t>
        </w:r>
        <w:r w:rsidR="009C066D" w:rsidRPr="00675182">
          <w:rPr>
            <w:noProof/>
          </w:rPr>
          <w:tab/>
        </w:r>
        <w:r w:rsidR="009C066D" w:rsidRPr="00675182">
          <w:rPr>
            <w:noProof/>
          </w:rPr>
          <w:fldChar w:fldCharType="begin"/>
        </w:r>
        <w:r w:rsidR="009C066D" w:rsidRPr="00675182">
          <w:rPr>
            <w:noProof/>
          </w:rPr>
          <w:instrText xml:space="preserve"> PAGEREF _Toc116938406 \h </w:instrText>
        </w:r>
        <w:r w:rsidR="009C066D" w:rsidRPr="00675182">
          <w:rPr>
            <w:noProof/>
          </w:rPr>
        </w:r>
        <w:r w:rsidR="009C066D" w:rsidRPr="00675182">
          <w:rPr>
            <w:noProof/>
          </w:rPr>
          <w:fldChar w:fldCharType="separate"/>
        </w:r>
        <w:r w:rsidR="00681FFE">
          <w:rPr>
            <w:noProof/>
          </w:rPr>
          <w:t>182</w:t>
        </w:r>
        <w:r w:rsidR="009C066D" w:rsidRPr="00675182">
          <w:rPr>
            <w:noProof/>
          </w:rPr>
          <w:fldChar w:fldCharType="end"/>
        </w:r>
      </w:hyperlink>
    </w:p>
    <w:p w14:paraId="4D9D5446" w14:textId="5985E2B6"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07" w:history="1">
        <w:r w:rsidR="009C066D" w:rsidRPr="00675182">
          <w:rPr>
            <w:rStyle w:val="Hyperlink"/>
            <w:rFonts w:cstheme="minorHAnsi"/>
            <w:b/>
            <w:noProof/>
          </w:rPr>
          <w:t>2.3.5. Mežu biotopi</w:t>
        </w:r>
        <w:r w:rsidR="009C066D" w:rsidRPr="00675182">
          <w:rPr>
            <w:noProof/>
          </w:rPr>
          <w:tab/>
        </w:r>
        <w:r w:rsidR="009C066D" w:rsidRPr="00675182">
          <w:rPr>
            <w:noProof/>
          </w:rPr>
          <w:fldChar w:fldCharType="begin"/>
        </w:r>
        <w:r w:rsidR="009C066D" w:rsidRPr="00675182">
          <w:rPr>
            <w:noProof/>
          </w:rPr>
          <w:instrText xml:space="preserve"> PAGEREF _Toc116938407 \h </w:instrText>
        </w:r>
        <w:r w:rsidR="009C066D" w:rsidRPr="00675182">
          <w:rPr>
            <w:noProof/>
          </w:rPr>
        </w:r>
        <w:r w:rsidR="009C066D" w:rsidRPr="00675182">
          <w:rPr>
            <w:noProof/>
          </w:rPr>
          <w:fldChar w:fldCharType="separate"/>
        </w:r>
        <w:r w:rsidR="00681FFE">
          <w:rPr>
            <w:noProof/>
          </w:rPr>
          <w:t>188</w:t>
        </w:r>
        <w:r w:rsidR="009C066D" w:rsidRPr="00675182">
          <w:rPr>
            <w:noProof/>
          </w:rPr>
          <w:fldChar w:fldCharType="end"/>
        </w:r>
      </w:hyperlink>
    </w:p>
    <w:p w14:paraId="27B6D115" w14:textId="1FC8CA0B"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408" w:history="1">
        <w:r w:rsidR="009C066D" w:rsidRPr="00675182">
          <w:rPr>
            <w:rStyle w:val="Hyperlink"/>
            <w:rFonts w:cstheme="minorHAnsi"/>
            <w:noProof/>
          </w:rPr>
          <w:t>2.4. Sugas, to sociālekonomiskā vērtība un sugas ietekmējošie faktori</w:t>
        </w:r>
        <w:r w:rsidR="009C066D" w:rsidRPr="00675182">
          <w:rPr>
            <w:noProof/>
          </w:rPr>
          <w:tab/>
        </w:r>
        <w:r w:rsidR="009C066D" w:rsidRPr="00675182">
          <w:rPr>
            <w:noProof/>
          </w:rPr>
          <w:fldChar w:fldCharType="begin"/>
        </w:r>
        <w:r w:rsidR="009C066D" w:rsidRPr="00675182">
          <w:rPr>
            <w:noProof/>
          </w:rPr>
          <w:instrText xml:space="preserve"> PAGEREF _Toc116938408 \h </w:instrText>
        </w:r>
        <w:r w:rsidR="009C066D" w:rsidRPr="00675182">
          <w:rPr>
            <w:noProof/>
          </w:rPr>
        </w:r>
        <w:r w:rsidR="009C066D" w:rsidRPr="00675182">
          <w:rPr>
            <w:noProof/>
          </w:rPr>
          <w:fldChar w:fldCharType="separate"/>
        </w:r>
        <w:r w:rsidR="00681FFE">
          <w:rPr>
            <w:noProof/>
          </w:rPr>
          <w:t>198</w:t>
        </w:r>
        <w:r w:rsidR="009C066D" w:rsidRPr="00675182">
          <w:rPr>
            <w:noProof/>
          </w:rPr>
          <w:fldChar w:fldCharType="end"/>
        </w:r>
      </w:hyperlink>
    </w:p>
    <w:p w14:paraId="2B7FD4CB" w14:textId="693163DB"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09" w:history="1">
        <w:r w:rsidR="009C066D" w:rsidRPr="00675182">
          <w:rPr>
            <w:rStyle w:val="Hyperlink"/>
            <w:rFonts w:cstheme="minorHAnsi"/>
            <w:b/>
            <w:noProof/>
          </w:rPr>
          <w:t>2.4.1. Flora</w:t>
        </w:r>
        <w:r w:rsidR="009C066D" w:rsidRPr="00675182">
          <w:rPr>
            <w:noProof/>
          </w:rPr>
          <w:tab/>
        </w:r>
        <w:r w:rsidR="009C066D" w:rsidRPr="00675182">
          <w:rPr>
            <w:noProof/>
          </w:rPr>
          <w:fldChar w:fldCharType="begin"/>
        </w:r>
        <w:r w:rsidR="009C066D" w:rsidRPr="00675182">
          <w:rPr>
            <w:noProof/>
          </w:rPr>
          <w:instrText xml:space="preserve"> PAGEREF _Toc116938409 \h </w:instrText>
        </w:r>
        <w:r w:rsidR="009C066D" w:rsidRPr="00675182">
          <w:rPr>
            <w:noProof/>
          </w:rPr>
        </w:r>
        <w:r w:rsidR="009C066D" w:rsidRPr="00675182">
          <w:rPr>
            <w:noProof/>
          </w:rPr>
          <w:fldChar w:fldCharType="separate"/>
        </w:r>
        <w:r w:rsidR="00681FFE">
          <w:rPr>
            <w:noProof/>
          </w:rPr>
          <w:t>198</w:t>
        </w:r>
        <w:r w:rsidR="009C066D" w:rsidRPr="00675182">
          <w:rPr>
            <w:noProof/>
          </w:rPr>
          <w:fldChar w:fldCharType="end"/>
        </w:r>
      </w:hyperlink>
    </w:p>
    <w:p w14:paraId="62133221" w14:textId="6FAC89E5"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10" w:history="1">
        <w:r w:rsidR="009C066D" w:rsidRPr="00675182">
          <w:rPr>
            <w:rStyle w:val="Hyperlink"/>
            <w:rFonts w:cstheme="minorHAnsi"/>
            <w:b/>
            <w:noProof/>
          </w:rPr>
          <w:t>2.4.2. Fauna</w:t>
        </w:r>
        <w:r w:rsidR="009C066D" w:rsidRPr="00675182">
          <w:rPr>
            <w:noProof/>
          </w:rPr>
          <w:tab/>
        </w:r>
        <w:r w:rsidR="009C066D" w:rsidRPr="00675182">
          <w:rPr>
            <w:noProof/>
          </w:rPr>
          <w:fldChar w:fldCharType="begin"/>
        </w:r>
        <w:r w:rsidR="009C066D" w:rsidRPr="00675182">
          <w:rPr>
            <w:noProof/>
          </w:rPr>
          <w:instrText xml:space="preserve"> PAGEREF _Toc116938410 \h </w:instrText>
        </w:r>
        <w:r w:rsidR="009C066D" w:rsidRPr="00675182">
          <w:rPr>
            <w:noProof/>
          </w:rPr>
        </w:r>
        <w:r w:rsidR="009C066D" w:rsidRPr="00675182">
          <w:rPr>
            <w:noProof/>
          </w:rPr>
          <w:fldChar w:fldCharType="separate"/>
        </w:r>
        <w:r w:rsidR="00681FFE">
          <w:rPr>
            <w:noProof/>
          </w:rPr>
          <w:t>220</w:t>
        </w:r>
        <w:r w:rsidR="009C066D" w:rsidRPr="00675182">
          <w:rPr>
            <w:noProof/>
          </w:rPr>
          <w:fldChar w:fldCharType="end"/>
        </w:r>
      </w:hyperlink>
    </w:p>
    <w:p w14:paraId="157719A5" w14:textId="31BDAF69"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411" w:history="1">
        <w:r w:rsidR="009C066D" w:rsidRPr="00675182">
          <w:rPr>
            <w:rStyle w:val="Hyperlink"/>
            <w:rFonts w:cstheme="minorHAnsi"/>
            <w:noProof/>
          </w:rPr>
          <w:t>2.5. Citas vērtības un tās ietekmējošie faktori</w:t>
        </w:r>
        <w:r w:rsidR="009C066D" w:rsidRPr="00675182">
          <w:rPr>
            <w:noProof/>
          </w:rPr>
          <w:tab/>
        </w:r>
        <w:r w:rsidR="009C066D" w:rsidRPr="00675182">
          <w:rPr>
            <w:noProof/>
          </w:rPr>
          <w:fldChar w:fldCharType="begin"/>
        </w:r>
        <w:r w:rsidR="009C066D" w:rsidRPr="00675182">
          <w:rPr>
            <w:noProof/>
          </w:rPr>
          <w:instrText xml:space="preserve"> PAGEREF _Toc116938411 \h </w:instrText>
        </w:r>
        <w:r w:rsidR="009C066D" w:rsidRPr="00675182">
          <w:rPr>
            <w:noProof/>
          </w:rPr>
        </w:r>
        <w:r w:rsidR="009C066D" w:rsidRPr="00675182">
          <w:rPr>
            <w:noProof/>
          </w:rPr>
          <w:fldChar w:fldCharType="separate"/>
        </w:r>
        <w:r w:rsidR="00681FFE">
          <w:rPr>
            <w:noProof/>
          </w:rPr>
          <w:t>288</w:t>
        </w:r>
        <w:r w:rsidR="009C066D" w:rsidRPr="00675182">
          <w:rPr>
            <w:noProof/>
          </w:rPr>
          <w:fldChar w:fldCharType="end"/>
        </w:r>
      </w:hyperlink>
    </w:p>
    <w:p w14:paraId="151F99DF" w14:textId="31A39D26"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412" w:history="1">
        <w:r w:rsidR="009C066D" w:rsidRPr="00675182">
          <w:rPr>
            <w:rStyle w:val="Hyperlink"/>
            <w:rFonts w:cstheme="minorHAnsi"/>
            <w:noProof/>
          </w:rPr>
          <w:t>2.6. Aizsargājamās teritorijas vērtību apkopojums un pretnostatījums</w:t>
        </w:r>
        <w:r w:rsidR="009C066D" w:rsidRPr="00675182">
          <w:rPr>
            <w:noProof/>
          </w:rPr>
          <w:tab/>
        </w:r>
        <w:r w:rsidR="009C066D" w:rsidRPr="00675182">
          <w:rPr>
            <w:noProof/>
          </w:rPr>
          <w:fldChar w:fldCharType="begin"/>
        </w:r>
        <w:r w:rsidR="009C066D" w:rsidRPr="00675182">
          <w:rPr>
            <w:noProof/>
          </w:rPr>
          <w:instrText xml:space="preserve"> PAGEREF _Toc116938412 \h </w:instrText>
        </w:r>
        <w:r w:rsidR="009C066D" w:rsidRPr="00675182">
          <w:rPr>
            <w:noProof/>
          </w:rPr>
        </w:r>
        <w:r w:rsidR="009C066D" w:rsidRPr="00675182">
          <w:rPr>
            <w:noProof/>
          </w:rPr>
          <w:fldChar w:fldCharType="separate"/>
        </w:r>
        <w:r w:rsidR="00681FFE">
          <w:rPr>
            <w:noProof/>
          </w:rPr>
          <w:t>291</w:t>
        </w:r>
        <w:r w:rsidR="009C066D" w:rsidRPr="00675182">
          <w:rPr>
            <w:noProof/>
          </w:rPr>
          <w:fldChar w:fldCharType="end"/>
        </w:r>
      </w:hyperlink>
    </w:p>
    <w:p w14:paraId="785ECC10" w14:textId="5542FD54" w:rsidR="009C066D" w:rsidRPr="00675182" w:rsidRDefault="00411E51">
      <w:pPr>
        <w:pStyle w:val="TOC1"/>
        <w:tabs>
          <w:tab w:val="right" w:leader="dot" w:pos="8301"/>
        </w:tabs>
        <w:rPr>
          <w:rFonts w:eastAsiaTheme="minorEastAsia" w:cstheme="minorBidi"/>
          <w:b w:val="0"/>
          <w:bCs w:val="0"/>
          <w:i w:val="0"/>
          <w:iCs w:val="0"/>
          <w:noProof/>
          <w:sz w:val="22"/>
          <w:szCs w:val="22"/>
          <w:lang w:eastAsia="en-GB"/>
        </w:rPr>
      </w:pPr>
      <w:hyperlink w:anchor="_Toc116938413" w:history="1">
        <w:r w:rsidR="009C066D" w:rsidRPr="00675182">
          <w:rPr>
            <w:rStyle w:val="Hyperlink"/>
            <w:noProof/>
          </w:rPr>
          <w:t>3. Informācija par aizsargājamās teritorijas apsaimniekošanu</w:t>
        </w:r>
        <w:r w:rsidR="009C066D" w:rsidRPr="00675182">
          <w:rPr>
            <w:noProof/>
          </w:rPr>
          <w:tab/>
        </w:r>
        <w:r w:rsidR="009C066D" w:rsidRPr="00675182">
          <w:rPr>
            <w:noProof/>
          </w:rPr>
          <w:fldChar w:fldCharType="begin"/>
        </w:r>
        <w:r w:rsidR="009C066D" w:rsidRPr="00675182">
          <w:rPr>
            <w:noProof/>
          </w:rPr>
          <w:instrText xml:space="preserve"> PAGEREF _Toc116938413 \h </w:instrText>
        </w:r>
        <w:r w:rsidR="009C066D" w:rsidRPr="00675182">
          <w:rPr>
            <w:noProof/>
          </w:rPr>
        </w:r>
        <w:r w:rsidR="009C066D" w:rsidRPr="00675182">
          <w:rPr>
            <w:noProof/>
          </w:rPr>
          <w:fldChar w:fldCharType="separate"/>
        </w:r>
        <w:r w:rsidR="00681FFE">
          <w:rPr>
            <w:noProof/>
          </w:rPr>
          <w:t>294</w:t>
        </w:r>
        <w:r w:rsidR="009C066D" w:rsidRPr="00675182">
          <w:rPr>
            <w:noProof/>
          </w:rPr>
          <w:fldChar w:fldCharType="end"/>
        </w:r>
      </w:hyperlink>
    </w:p>
    <w:p w14:paraId="67C769A9" w14:textId="0335F542"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414" w:history="1">
        <w:r w:rsidR="009C066D" w:rsidRPr="00675182">
          <w:rPr>
            <w:rStyle w:val="Hyperlink"/>
            <w:rFonts w:cstheme="minorHAnsi"/>
            <w:noProof/>
          </w:rPr>
          <w:t>3.1. Iepriekšējā DA plāna periodā veikto apsaimniekošanas pasākumu izvērtējums</w:t>
        </w:r>
        <w:r w:rsidR="009C066D" w:rsidRPr="00675182">
          <w:rPr>
            <w:noProof/>
          </w:rPr>
          <w:tab/>
        </w:r>
        <w:r w:rsidR="009C066D" w:rsidRPr="00675182">
          <w:rPr>
            <w:noProof/>
          </w:rPr>
          <w:fldChar w:fldCharType="begin"/>
        </w:r>
        <w:r w:rsidR="009C066D" w:rsidRPr="00675182">
          <w:rPr>
            <w:noProof/>
          </w:rPr>
          <w:instrText xml:space="preserve"> PAGEREF _Toc116938414 \h </w:instrText>
        </w:r>
        <w:r w:rsidR="009C066D" w:rsidRPr="00675182">
          <w:rPr>
            <w:noProof/>
          </w:rPr>
        </w:r>
        <w:r w:rsidR="009C066D" w:rsidRPr="00675182">
          <w:rPr>
            <w:noProof/>
          </w:rPr>
          <w:fldChar w:fldCharType="separate"/>
        </w:r>
        <w:r w:rsidR="00681FFE">
          <w:rPr>
            <w:noProof/>
          </w:rPr>
          <w:t>294</w:t>
        </w:r>
        <w:r w:rsidR="009C066D" w:rsidRPr="00675182">
          <w:rPr>
            <w:noProof/>
          </w:rPr>
          <w:fldChar w:fldCharType="end"/>
        </w:r>
      </w:hyperlink>
    </w:p>
    <w:p w14:paraId="682D6F4E" w14:textId="38C63DF1"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415" w:history="1">
        <w:r w:rsidR="009C066D" w:rsidRPr="00675182">
          <w:rPr>
            <w:rStyle w:val="Hyperlink"/>
            <w:rFonts w:cstheme="minorHAnsi"/>
            <w:noProof/>
          </w:rPr>
          <w:t>3.2. Aizsargājamās teritorijas apsaimniekošanas ilgtermiņa un īstermiņa mērķi</w:t>
        </w:r>
        <w:r w:rsidR="009C066D" w:rsidRPr="00675182">
          <w:rPr>
            <w:noProof/>
          </w:rPr>
          <w:tab/>
        </w:r>
        <w:r w:rsidR="009C066D" w:rsidRPr="00675182">
          <w:rPr>
            <w:noProof/>
          </w:rPr>
          <w:fldChar w:fldCharType="begin"/>
        </w:r>
        <w:r w:rsidR="009C066D" w:rsidRPr="00675182">
          <w:rPr>
            <w:noProof/>
          </w:rPr>
          <w:instrText xml:space="preserve"> PAGEREF _Toc116938415 \h </w:instrText>
        </w:r>
        <w:r w:rsidR="009C066D" w:rsidRPr="00675182">
          <w:rPr>
            <w:noProof/>
          </w:rPr>
        </w:r>
        <w:r w:rsidR="009C066D" w:rsidRPr="00675182">
          <w:rPr>
            <w:noProof/>
          </w:rPr>
          <w:fldChar w:fldCharType="separate"/>
        </w:r>
        <w:r w:rsidR="00681FFE">
          <w:rPr>
            <w:noProof/>
          </w:rPr>
          <w:t>295</w:t>
        </w:r>
        <w:r w:rsidR="009C066D" w:rsidRPr="00675182">
          <w:rPr>
            <w:noProof/>
          </w:rPr>
          <w:fldChar w:fldCharType="end"/>
        </w:r>
      </w:hyperlink>
    </w:p>
    <w:p w14:paraId="3213E74B" w14:textId="6FEAAD59"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416" w:history="1">
        <w:r w:rsidR="009C066D" w:rsidRPr="00675182">
          <w:rPr>
            <w:rStyle w:val="Hyperlink"/>
            <w:rFonts w:cstheme="minorHAnsi"/>
            <w:noProof/>
          </w:rPr>
          <w:t>3.3. Apsaimniekošanas pasākumi</w:t>
        </w:r>
        <w:r w:rsidR="009C066D" w:rsidRPr="00675182">
          <w:rPr>
            <w:noProof/>
          </w:rPr>
          <w:tab/>
        </w:r>
        <w:r w:rsidR="009C066D" w:rsidRPr="00675182">
          <w:rPr>
            <w:noProof/>
          </w:rPr>
          <w:fldChar w:fldCharType="begin"/>
        </w:r>
        <w:r w:rsidR="009C066D" w:rsidRPr="00675182">
          <w:rPr>
            <w:noProof/>
          </w:rPr>
          <w:instrText xml:space="preserve"> PAGEREF _Toc116938416 \h </w:instrText>
        </w:r>
        <w:r w:rsidR="009C066D" w:rsidRPr="00675182">
          <w:rPr>
            <w:noProof/>
          </w:rPr>
        </w:r>
        <w:r w:rsidR="009C066D" w:rsidRPr="00675182">
          <w:rPr>
            <w:noProof/>
          </w:rPr>
          <w:fldChar w:fldCharType="separate"/>
        </w:r>
        <w:r w:rsidR="00681FFE">
          <w:rPr>
            <w:noProof/>
          </w:rPr>
          <w:t>297</w:t>
        </w:r>
        <w:r w:rsidR="009C066D" w:rsidRPr="00675182">
          <w:rPr>
            <w:noProof/>
          </w:rPr>
          <w:fldChar w:fldCharType="end"/>
        </w:r>
      </w:hyperlink>
    </w:p>
    <w:p w14:paraId="409CE790" w14:textId="25EDD878"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17" w:history="1">
        <w:r w:rsidR="009C066D" w:rsidRPr="00675182">
          <w:rPr>
            <w:rStyle w:val="Hyperlink"/>
            <w:noProof/>
          </w:rPr>
          <w:t>A. Administratīvie un organizatoriskie mērķi</w:t>
        </w:r>
        <w:r w:rsidR="009C066D" w:rsidRPr="00675182">
          <w:rPr>
            <w:noProof/>
          </w:rPr>
          <w:tab/>
        </w:r>
        <w:r w:rsidR="009C066D" w:rsidRPr="00675182">
          <w:rPr>
            <w:noProof/>
          </w:rPr>
          <w:fldChar w:fldCharType="begin"/>
        </w:r>
        <w:r w:rsidR="009C066D" w:rsidRPr="00675182">
          <w:rPr>
            <w:noProof/>
          </w:rPr>
          <w:instrText xml:space="preserve"> PAGEREF _Toc116938417 \h </w:instrText>
        </w:r>
        <w:r w:rsidR="009C066D" w:rsidRPr="00675182">
          <w:rPr>
            <w:noProof/>
          </w:rPr>
        </w:r>
        <w:r w:rsidR="009C066D" w:rsidRPr="00675182">
          <w:rPr>
            <w:noProof/>
          </w:rPr>
          <w:fldChar w:fldCharType="separate"/>
        </w:r>
        <w:r w:rsidR="00681FFE">
          <w:rPr>
            <w:noProof/>
          </w:rPr>
          <w:t>340</w:t>
        </w:r>
        <w:r w:rsidR="009C066D" w:rsidRPr="00675182">
          <w:rPr>
            <w:noProof/>
          </w:rPr>
          <w:fldChar w:fldCharType="end"/>
        </w:r>
      </w:hyperlink>
    </w:p>
    <w:p w14:paraId="5E6C4572" w14:textId="11639CCC"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18" w:history="1">
        <w:r w:rsidR="009C066D" w:rsidRPr="00675182">
          <w:rPr>
            <w:rStyle w:val="Hyperlink"/>
            <w:noProof/>
          </w:rPr>
          <w:t>B. Dabas vērtību aizsardzība un apsaimniekošana</w:t>
        </w:r>
        <w:r w:rsidR="009C066D" w:rsidRPr="00675182">
          <w:rPr>
            <w:noProof/>
          </w:rPr>
          <w:tab/>
        </w:r>
        <w:r w:rsidR="009C066D" w:rsidRPr="00675182">
          <w:rPr>
            <w:noProof/>
          </w:rPr>
          <w:fldChar w:fldCharType="begin"/>
        </w:r>
        <w:r w:rsidR="009C066D" w:rsidRPr="00675182">
          <w:rPr>
            <w:noProof/>
          </w:rPr>
          <w:instrText xml:space="preserve"> PAGEREF _Toc116938418 \h </w:instrText>
        </w:r>
        <w:r w:rsidR="009C066D" w:rsidRPr="00675182">
          <w:rPr>
            <w:noProof/>
          </w:rPr>
        </w:r>
        <w:r w:rsidR="009C066D" w:rsidRPr="00675182">
          <w:rPr>
            <w:noProof/>
          </w:rPr>
          <w:fldChar w:fldCharType="separate"/>
        </w:r>
        <w:r w:rsidR="00681FFE">
          <w:rPr>
            <w:noProof/>
          </w:rPr>
          <w:t>349</w:t>
        </w:r>
        <w:r w:rsidR="009C066D" w:rsidRPr="00675182">
          <w:rPr>
            <w:noProof/>
          </w:rPr>
          <w:fldChar w:fldCharType="end"/>
        </w:r>
      </w:hyperlink>
    </w:p>
    <w:p w14:paraId="7AB100D9" w14:textId="04FCF595"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19" w:history="1">
        <w:r w:rsidR="009C066D" w:rsidRPr="00675182">
          <w:rPr>
            <w:rStyle w:val="Hyperlink"/>
            <w:noProof/>
          </w:rPr>
          <w:t>C. Ainavisko un kultūrvēsturisko vērtību apsaimniekošana</w:t>
        </w:r>
        <w:r w:rsidR="009C066D" w:rsidRPr="00675182">
          <w:rPr>
            <w:noProof/>
          </w:rPr>
          <w:tab/>
        </w:r>
        <w:r w:rsidR="009C066D" w:rsidRPr="00675182">
          <w:rPr>
            <w:noProof/>
          </w:rPr>
          <w:fldChar w:fldCharType="begin"/>
        </w:r>
        <w:r w:rsidR="009C066D" w:rsidRPr="00675182">
          <w:rPr>
            <w:noProof/>
          </w:rPr>
          <w:instrText xml:space="preserve"> PAGEREF _Toc116938419 \h </w:instrText>
        </w:r>
        <w:r w:rsidR="009C066D" w:rsidRPr="00675182">
          <w:rPr>
            <w:noProof/>
          </w:rPr>
        </w:r>
        <w:r w:rsidR="009C066D" w:rsidRPr="00675182">
          <w:rPr>
            <w:noProof/>
          </w:rPr>
          <w:fldChar w:fldCharType="separate"/>
        </w:r>
        <w:r w:rsidR="00681FFE">
          <w:rPr>
            <w:noProof/>
          </w:rPr>
          <w:t>385</w:t>
        </w:r>
        <w:r w:rsidR="009C066D" w:rsidRPr="00675182">
          <w:rPr>
            <w:noProof/>
          </w:rPr>
          <w:fldChar w:fldCharType="end"/>
        </w:r>
      </w:hyperlink>
    </w:p>
    <w:p w14:paraId="737A8E3F" w14:textId="4F665F54"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20" w:history="1">
        <w:r w:rsidR="009C066D" w:rsidRPr="00675182">
          <w:rPr>
            <w:rStyle w:val="Hyperlink"/>
            <w:noProof/>
          </w:rPr>
          <w:t>D. Rekreācija un tūrisms</w:t>
        </w:r>
        <w:r w:rsidR="009C066D" w:rsidRPr="00675182">
          <w:rPr>
            <w:noProof/>
          </w:rPr>
          <w:tab/>
        </w:r>
        <w:r w:rsidR="009C066D" w:rsidRPr="00675182">
          <w:rPr>
            <w:noProof/>
          </w:rPr>
          <w:fldChar w:fldCharType="begin"/>
        </w:r>
        <w:r w:rsidR="009C066D" w:rsidRPr="00675182">
          <w:rPr>
            <w:noProof/>
          </w:rPr>
          <w:instrText xml:space="preserve"> PAGEREF _Toc116938420 \h </w:instrText>
        </w:r>
        <w:r w:rsidR="009C066D" w:rsidRPr="00675182">
          <w:rPr>
            <w:noProof/>
          </w:rPr>
        </w:r>
        <w:r w:rsidR="009C066D" w:rsidRPr="00675182">
          <w:rPr>
            <w:noProof/>
          </w:rPr>
          <w:fldChar w:fldCharType="separate"/>
        </w:r>
        <w:r w:rsidR="00681FFE">
          <w:rPr>
            <w:noProof/>
          </w:rPr>
          <w:t>390</w:t>
        </w:r>
        <w:r w:rsidR="009C066D" w:rsidRPr="00675182">
          <w:rPr>
            <w:noProof/>
          </w:rPr>
          <w:fldChar w:fldCharType="end"/>
        </w:r>
      </w:hyperlink>
    </w:p>
    <w:p w14:paraId="3FB00C2F" w14:textId="60F20AA5"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21" w:history="1">
        <w:r w:rsidR="009C066D" w:rsidRPr="00675182">
          <w:rPr>
            <w:rStyle w:val="Hyperlink"/>
            <w:noProof/>
          </w:rPr>
          <w:t>E. Sabiedrības informēšana un izglītošana</w:t>
        </w:r>
        <w:r w:rsidR="009C066D" w:rsidRPr="00675182">
          <w:rPr>
            <w:noProof/>
          </w:rPr>
          <w:tab/>
        </w:r>
        <w:r w:rsidR="009C066D" w:rsidRPr="00675182">
          <w:rPr>
            <w:noProof/>
          </w:rPr>
          <w:fldChar w:fldCharType="begin"/>
        </w:r>
        <w:r w:rsidR="009C066D" w:rsidRPr="00675182">
          <w:rPr>
            <w:noProof/>
          </w:rPr>
          <w:instrText xml:space="preserve"> PAGEREF _Toc116938421 \h </w:instrText>
        </w:r>
        <w:r w:rsidR="009C066D" w:rsidRPr="00675182">
          <w:rPr>
            <w:noProof/>
          </w:rPr>
        </w:r>
        <w:r w:rsidR="009C066D" w:rsidRPr="00675182">
          <w:rPr>
            <w:noProof/>
          </w:rPr>
          <w:fldChar w:fldCharType="separate"/>
        </w:r>
        <w:r w:rsidR="00681FFE">
          <w:rPr>
            <w:noProof/>
          </w:rPr>
          <w:t>426</w:t>
        </w:r>
        <w:r w:rsidR="009C066D" w:rsidRPr="00675182">
          <w:rPr>
            <w:noProof/>
          </w:rPr>
          <w:fldChar w:fldCharType="end"/>
        </w:r>
      </w:hyperlink>
    </w:p>
    <w:p w14:paraId="5FD0464E" w14:textId="70CBCC8F" w:rsidR="009C066D" w:rsidRPr="00675182" w:rsidRDefault="00411E51">
      <w:pPr>
        <w:pStyle w:val="TOC3"/>
        <w:tabs>
          <w:tab w:val="right" w:leader="dot" w:pos="8301"/>
        </w:tabs>
        <w:rPr>
          <w:rFonts w:eastAsiaTheme="minorEastAsia" w:cstheme="minorBidi"/>
          <w:i w:val="0"/>
          <w:iCs w:val="0"/>
          <w:noProof/>
          <w:sz w:val="22"/>
          <w:szCs w:val="22"/>
          <w:lang w:eastAsia="en-GB"/>
        </w:rPr>
      </w:pPr>
      <w:hyperlink w:anchor="_Toc116938422" w:history="1">
        <w:r w:rsidR="009C066D" w:rsidRPr="00675182">
          <w:rPr>
            <w:rStyle w:val="Hyperlink"/>
            <w:noProof/>
          </w:rPr>
          <w:t>F. Izpēte un monitorings</w:t>
        </w:r>
        <w:r w:rsidR="009C066D" w:rsidRPr="00675182">
          <w:rPr>
            <w:noProof/>
          </w:rPr>
          <w:tab/>
        </w:r>
        <w:r w:rsidR="009C066D" w:rsidRPr="00675182">
          <w:rPr>
            <w:noProof/>
          </w:rPr>
          <w:fldChar w:fldCharType="begin"/>
        </w:r>
        <w:r w:rsidR="009C066D" w:rsidRPr="00675182">
          <w:rPr>
            <w:noProof/>
          </w:rPr>
          <w:instrText xml:space="preserve"> PAGEREF _Toc116938422 \h </w:instrText>
        </w:r>
        <w:r w:rsidR="009C066D" w:rsidRPr="00675182">
          <w:rPr>
            <w:noProof/>
          </w:rPr>
        </w:r>
        <w:r w:rsidR="009C066D" w:rsidRPr="00675182">
          <w:rPr>
            <w:noProof/>
          </w:rPr>
          <w:fldChar w:fldCharType="separate"/>
        </w:r>
        <w:r w:rsidR="00681FFE">
          <w:rPr>
            <w:noProof/>
          </w:rPr>
          <w:t>429</w:t>
        </w:r>
        <w:r w:rsidR="009C066D" w:rsidRPr="00675182">
          <w:rPr>
            <w:noProof/>
          </w:rPr>
          <w:fldChar w:fldCharType="end"/>
        </w:r>
      </w:hyperlink>
    </w:p>
    <w:p w14:paraId="5426195E" w14:textId="0EC83B2B" w:rsidR="009C066D" w:rsidRPr="00675182" w:rsidRDefault="00411E51">
      <w:pPr>
        <w:pStyle w:val="TOC1"/>
        <w:tabs>
          <w:tab w:val="right" w:leader="dot" w:pos="8301"/>
        </w:tabs>
        <w:rPr>
          <w:rFonts w:eastAsiaTheme="minorEastAsia" w:cstheme="minorBidi"/>
          <w:b w:val="0"/>
          <w:bCs w:val="0"/>
          <w:i w:val="0"/>
          <w:iCs w:val="0"/>
          <w:noProof/>
          <w:sz w:val="22"/>
          <w:szCs w:val="22"/>
          <w:lang w:eastAsia="en-GB"/>
        </w:rPr>
      </w:pPr>
      <w:hyperlink w:anchor="_Toc116938423" w:history="1">
        <w:r w:rsidR="009C066D" w:rsidRPr="00675182">
          <w:rPr>
            <w:rStyle w:val="Hyperlink"/>
            <w:noProof/>
          </w:rPr>
          <w:t>4. Priekšlikumi nepieciešamajiem grozījumiem pašvaldības teritorijas plānojumā</w:t>
        </w:r>
        <w:r w:rsidR="009C066D" w:rsidRPr="00675182">
          <w:rPr>
            <w:noProof/>
          </w:rPr>
          <w:tab/>
        </w:r>
        <w:r w:rsidR="009C066D" w:rsidRPr="00675182">
          <w:rPr>
            <w:noProof/>
          </w:rPr>
          <w:fldChar w:fldCharType="begin"/>
        </w:r>
        <w:r w:rsidR="009C066D" w:rsidRPr="00675182">
          <w:rPr>
            <w:noProof/>
          </w:rPr>
          <w:instrText xml:space="preserve"> PAGEREF _Toc116938423 \h </w:instrText>
        </w:r>
        <w:r w:rsidR="009C066D" w:rsidRPr="00675182">
          <w:rPr>
            <w:noProof/>
          </w:rPr>
        </w:r>
        <w:r w:rsidR="009C066D" w:rsidRPr="00675182">
          <w:rPr>
            <w:noProof/>
          </w:rPr>
          <w:fldChar w:fldCharType="separate"/>
        </w:r>
        <w:r w:rsidR="00681FFE">
          <w:rPr>
            <w:noProof/>
          </w:rPr>
          <w:t>441</w:t>
        </w:r>
        <w:r w:rsidR="009C066D" w:rsidRPr="00675182">
          <w:rPr>
            <w:noProof/>
          </w:rPr>
          <w:fldChar w:fldCharType="end"/>
        </w:r>
      </w:hyperlink>
    </w:p>
    <w:p w14:paraId="54A80EBA" w14:textId="53430BC2" w:rsidR="009C066D" w:rsidRPr="00675182" w:rsidRDefault="00411E51">
      <w:pPr>
        <w:pStyle w:val="TOC1"/>
        <w:tabs>
          <w:tab w:val="right" w:leader="dot" w:pos="8301"/>
        </w:tabs>
        <w:rPr>
          <w:rFonts w:eastAsiaTheme="minorEastAsia" w:cstheme="minorBidi"/>
          <w:b w:val="0"/>
          <w:bCs w:val="0"/>
          <w:i w:val="0"/>
          <w:iCs w:val="0"/>
          <w:noProof/>
          <w:sz w:val="22"/>
          <w:szCs w:val="22"/>
          <w:lang w:eastAsia="en-GB"/>
        </w:rPr>
      </w:pPr>
      <w:hyperlink w:anchor="_Toc116938424" w:history="1">
        <w:r w:rsidR="009C066D" w:rsidRPr="00675182">
          <w:rPr>
            <w:rStyle w:val="Hyperlink"/>
            <w:noProof/>
          </w:rPr>
          <w:t>5. Priekšlikumi aizsargājamās teritorijas individuālo aizsardzības un izmantošanas noteikumu projektam</w:t>
        </w:r>
        <w:r w:rsidR="009C066D" w:rsidRPr="00675182">
          <w:rPr>
            <w:noProof/>
          </w:rPr>
          <w:tab/>
        </w:r>
        <w:r w:rsidR="009C066D" w:rsidRPr="00675182">
          <w:rPr>
            <w:noProof/>
          </w:rPr>
          <w:fldChar w:fldCharType="begin"/>
        </w:r>
        <w:r w:rsidR="009C066D" w:rsidRPr="00675182">
          <w:rPr>
            <w:noProof/>
          </w:rPr>
          <w:instrText xml:space="preserve"> PAGEREF _Toc116938424 \h </w:instrText>
        </w:r>
        <w:r w:rsidR="009C066D" w:rsidRPr="00675182">
          <w:rPr>
            <w:noProof/>
          </w:rPr>
        </w:r>
        <w:r w:rsidR="009C066D" w:rsidRPr="00675182">
          <w:rPr>
            <w:noProof/>
          </w:rPr>
          <w:fldChar w:fldCharType="separate"/>
        </w:r>
        <w:r w:rsidR="00681FFE">
          <w:rPr>
            <w:noProof/>
          </w:rPr>
          <w:t>444</w:t>
        </w:r>
        <w:r w:rsidR="009C066D" w:rsidRPr="00675182">
          <w:rPr>
            <w:noProof/>
          </w:rPr>
          <w:fldChar w:fldCharType="end"/>
        </w:r>
      </w:hyperlink>
    </w:p>
    <w:p w14:paraId="4E49DEC5" w14:textId="3A1A9000"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425" w:history="1">
        <w:r w:rsidR="009C066D" w:rsidRPr="00675182">
          <w:rPr>
            <w:rStyle w:val="Hyperlink"/>
            <w:rFonts w:cstheme="minorHAnsi"/>
            <w:noProof/>
          </w:rPr>
          <w:t>5.1. Priekšlikums teritorijas zonējumam</w:t>
        </w:r>
        <w:r w:rsidR="009C066D" w:rsidRPr="00675182">
          <w:rPr>
            <w:noProof/>
          </w:rPr>
          <w:tab/>
        </w:r>
        <w:r w:rsidR="009C066D" w:rsidRPr="00675182">
          <w:rPr>
            <w:noProof/>
          </w:rPr>
          <w:fldChar w:fldCharType="begin"/>
        </w:r>
        <w:r w:rsidR="009C066D" w:rsidRPr="00675182">
          <w:rPr>
            <w:noProof/>
          </w:rPr>
          <w:instrText xml:space="preserve"> PAGEREF _Toc116938425 \h </w:instrText>
        </w:r>
        <w:r w:rsidR="009C066D" w:rsidRPr="00675182">
          <w:rPr>
            <w:noProof/>
          </w:rPr>
        </w:r>
        <w:r w:rsidR="009C066D" w:rsidRPr="00675182">
          <w:rPr>
            <w:noProof/>
          </w:rPr>
          <w:fldChar w:fldCharType="separate"/>
        </w:r>
        <w:r w:rsidR="00681FFE">
          <w:rPr>
            <w:noProof/>
          </w:rPr>
          <w:t>444</w:t>
        </w:r>
        <w:r w:rsidR="009C066D" w:rsidRPr="00675182">
          <w:rPr>
            <w:noProof/>
          </w:rPr>
          <w:fldChar w:fldCharType="end"/>
        </w:r>
      </w:hyperlink>
    </w:p>
    <w:p w14:paraId="02F4064F" w14:textId="25BC95E4" w:rsidR="009C066D" w:rsidRPr="00675182" w:rsidRDefault="00411E51">
      <w:pPr>
        <w:pStyle w:val="TOC2"/>
        <w:tabs>
          <w:tab w:val="right" w:leader="dot" w:pos="8301"/>
        </w:tabs>
        <w:rPr>
          <w:rFonts w:eastAsiaTheme="minorEastAsia" w:cstheme="minorBidi"/>
          <w:smallCaps w:val="0"/>
          <w:noProof/>
          <w:sz w:val="22"/>
          <w:szCs w:val="22"/>
          <w:lang w:eastAsia="en-GB"/>
        </w:rPr>
      </w:pPr>
      <w:hyperlink w:anchor="_Toc116938426" w:history="1">
        <w:r w:rsidR="009C066D" w:rsidRPr="00675182">
          <w:rPr>
            <w:rStyle w:val="Hyperlink"/>
            <w:rFonts w:cstheme="minorHAnsi"/>
            <w:noProof/>
          </w:rPr>
          <w:t>5.2. Priekšlikumi teritorijas individuālajiem aizsardzības un izmantošanas noteikumiem</w:t>
        </w:r>
        <w:r w:rsidR="009C066D" w:rsidRPr="00675182">
          <w:rPr>
            <w:noProof/>
          </w:rPr>
          <w:tab/>
        </w:r>
        <w:r w:rsidR="009C066D" w:rsidRPr="00675182">
          <w:rPr>
            <w:noProof/>
          </w:rPr>
          <w:fldChar w:fldCharType="begin"/>
        </w:r>
        <w:r w:rsidR="009C066D" w:rsidRPr="00675182">
          <w:rPr>
            <w:noProof/>
          </w:rPr>
          <w:instrText xml:space="preserve"> PAGEREF _Toc116938426 \h </w:instrText>
        </w:r>
        <w:r w:rsidR="009C066D" w:rsidRPr="00675182">
          <w:rPr>
            <w:noProof/>
          </w:rPr>
        </w:r>
        <w:r w:rsidR="009C066D" w:rsidRPr="00675182">
          <w:rPr>
            <w:noProof/>
          </w:rPr>
          <w:fldChar w:fldCharType="separate"/>
        </w:r>
        <w:r w:rsidR="00681FFE">
          <w:rPr>
            <w:noProof/>
          </w:rPr>
          <w:t>451</w:t>
        </w:r>
        <w:r w:rsidR="009C066D" w:rsidRPr="00675182">
          <w:rPr>
            <w:noProof/>
          </w:rPr>
          <w:fldChar w:fldCharType="end"/>
        </w:r>
      </w:hyperlink>
    </w:p>
    <w:p w14:paraId="66A2B6E6" w14:textId="452290B2" w:rsidR="009C066D" w:rsidRPr="00675182" w:rsidRDefault="00411E51">
      <w:pPr>
        <w:pStyle w:val="TOC1"/>
        <w:tabs>
          <w:tab w:val="right" w:leader="dot" w:pos="8301"/>
        </w:tabs>
        <w:rPr>
          <w:rFonts w:eastAsiaTheme="minorEastAsia" w:cstheme="minorBidi"/>
          <w:b w:val="0"/>
          <w:bCs w:val="0"/>
          <w:i w:val="0"/>
          <w:iCs w:val="0"/>
          <w:noProof/>
          <w:sz w:val="22"/>
          <w:szCs w:val="22"/>
          <w:lang w:eastAsia="en-GB"/>
        </w:rPr>
      </w:pPr>
      <w:hyperlink w:anchor="_Toc116938427" w:history="1">
        <w:r w:rsidR="009C066D" w:rsidRPr="00675182">
          <w:rPr>
            <w:rStyle w:val="Hyperlink"/>
            <w:noProof/>
          </w:rPr>
          <w:t>6. Izmantotie informācijas avoti</w:t>
        </w:r>
        <w:r w:rsidR="009C066D" w:rsidRPr="00675182">
          <w:rPr>
            <w:noProof/>
          </w:rPr>
          <w:tab/>
        </w:r>
        <w:r w:rsidR="009C066D" w:rsidRPr="00675182">
          <w:rPr>
            <w:noProof/>
          </w:rPr>
          <w:fldChar w:fldCharType="begin"/>
        </w:r>
        <w:r w:rsidR="009C066D" w:rsidRPr="00675182">
          <w:rPr>
            <w:noProof/>
          </w:rPr>
          <w:instrText xml:space="preserve"> PAGEREF _Toc116938427 \h </w:instrText>
        </w:r>
        <w:r w:rsidR="009C066D" w:rsidRPr="00675182">
          <w:rPr>
            <w:noProof/>
          </w:rPr>
        </w:r>
        <w:r w:rsidR="009C066D" w:rsidRPr="00675182">
          <w:rPr>
            <w:noProof/>
          </w:rPr>
          <w:fldChar w:fldCharType="separate"/>
        </w:r>
        <w:r w:rsidR="00681FFE">
          <w:rPr>
            <w:noProof/>
          </w:rPr>
          <w:t>452</w:t>
        </w:r>
        <w:r w:rsidR="009C066D" w:rsidRPr="00675182">
          <w:rPr>
            <w:noProof/>
          </w:rPr>
          <w:fldChar w:fldCharType="end"/>
        </w:r>
      </w:hyperlink>
    </w:p>
    <w:p w14:paraId="45D155A0" w14:textId="0B4F8A39" w:rsidR="00011E51" w:rsidRPr="00675182" w:rsidRDefault="00E713E3" w:rsidP="002B3341">
      <w:pPr>
        <w:pStyle w:val="TOC1"/>
        <w:tabs>
          <w:tab w:val="right" w:leader="dot" w:pos="8311"/>
        </w:tabs>
        <w:rPr>
          <w:rFonts w:eastAsia="Times New Roman" w:cstheme="minorHAnsi"/>
          <w:caps/>
          <w:szCs w:val="24"/>
        </w:rPr>
        <w:sectPr w:rsidR="00011E51" w:rsidRPr="00675182" w:rsidSect="00CD74B1">
          <w:headerReference w:type="even" r:id="rId13"/>
          <w:headerReference w:type="default" r:id="rId14"/>
          <w:footerReference w:type="even" r:id="rId15"/>
          <w:headerReference w:type="first" r:id="rId16"/>
          <w:footerReference w:type="first" r:id="rId17"/>
          <w:type w:val="continuous"/>
          <w:pgSz w:w="11905" w:h="16837"/>
          <w:pgMar w:top="1440" w:right="1797" w:bottom="1440" w:left="1797" w:header="720" w:footer="720" w:gutter="0"/>
          <w:cols w:space="720"/>
          <w:docGrid w:linePitch="360"/>
        </w:sectPr>
      </w:pPr>
      <w:r w:rsidRPr="00675182">
        <w:rPr>
          <w:rFonts w:cstheme="minorHAnsi"/>
          <w:szCs w:val="24"/>
        </w:rPr>
        <w:fldChar w:fldCharType="end"/>
      </w:r>
    </w:p>
    <w:p w14:paraId="0ACEC800" w14:textId="33CCCBA8" w:rsidR="001610EF" w:rsidRPr="00675182" w:rsidRDefault="001610EF">
      <w:pPr>
        <w:suppressAutoHyphens w:val="0"/>
        <w:rPr>
          <w:rFonts w:cstheme="minorHAnsi"/>
        </w:rPr>
      </w:pPr>
      <w:r w:rsidRPr="00675182">
        <w:rPr>
          <w:rFonts w:cstheme="minorHAnsi"/>
        </w:rPr>
        <w:br w:type="page"/>
      </w:r>
    </w:p>
    <w:p w14:paraId="52ADBB9B" w14:textId="2859077F" w:rsidR="00EF6519" w:rsidRPr="00675182" w:rsidRDefault="00D20446" w:rsidP="002B3341">
      <w:pPr>
        <w:rPr>
          <w:rFonts w:cstheme="minorHAnsi"/>
          <w:b/>
          <w:bCs/>
        </w:rPr>
      </w:pPr>
      <w:r w:rsidRPr="00675182">
        <w:rPr>
          <w:rFonts w:cstheme="minorHAnsi"/>
          <w:b/>
          <w:bCs/>
        </w:rPr>
        <w:lastRenderedPageBreak/>
        <w:t>Pielikumu saraksts</w:t>
      </w:r>
      <w:r w:rsidR="00EA0F1B" w:rsidRPr="00675182">
        <w:rPr>
          <w:rFonts w:cstheme="minorHAnsi"/>
          <w:b/>
          <w:bCs/>
        </w:rPr>
        <w:t>:</w:t>
      </w:r>
    </w:p>
    <w:p w14:paraId="65C1B180" w14:textId="77777777" w:rsidR="00AE3CDE" w:rsidRPr="00675182" w:rsidRDefault="00AE3CDE" w:rsidP="00AE3CDE">
      <w:pPr>
        <w:ind w:left="1418" w:hanging="1418"/>
        <w:rPr>
          <w:rFonts w:cstheme="minorHAnsi"/>
        </w:rPr>
      </w:pPr>
      <w:r w:rsidRPr="00675182">
        <w:rPr>
          <w:rFonts w:cstheme="minorHAnsi"/>
          <w:b/>
        </w:rPr>
        <w:t>1. pielikums</w:t>
      </w:r>
      <w:r w:rsidRPr="00675182">
        <w:rPr>
          <w:rFonts w:cstheme="minorHAnsi"/>
        </w:rPr>
        <w:t>. Plāna izstrādes dokumentācija (elektroniski)</w:t>
      </w:r>
    </w:p>
    <w:p w14:paraId="52C360E1" w14:textId="77777777" w:rsidR="00AE3CDE" w:rsidRPr="00675182" w:rsidRDefault="00AE3CDE" w:rsidP="00AE3CDE">
      <w:pPr>
        <w:ind w:left="1418" w:hanging="1418"/>
        <w:rPr>
          <w:rFonts w:cstheme="minorHAnsi"/>
        </w:rPr>
      </w:pPr>
      <w:r w:rsidRPr="00675182">
        <w:rPr>
          <w:rFonts w:cstheme="minorHAnsi"/>
          <w:b/>
          <w:bCs/>
        </w:rPr>
        <w:t>2. pielikums.</w:t>
      </w:r>
      <w:r w:rsidRPr="00675182">
        <w:rPr>
          <w:rFonts w:cstheme="minorHAnsi"/>
        </w:rPr>
        <w:t xml:space="preserve"> Normatīvie akti, kas attiecas uz Gaujas Nacionālā parka teritoriju</w:t>
      </w:r>
    </w:p>
    <w:p w14:paraId="2C68685D" w14:textId="77777777" w:rsidR="00AE3CDE" w:rsidRPr="00675182" w:rsidRDefault="00AE3CDE" w:rsidP="00AE3CDE">
      <w:pPr>
        <w:ind w:left="1418" w:hanging="1418"/>
        <w:rPr>
          <w:rFonts w:cstheme="minorHAnsi"/>
        </w:rPr>
      </w:pPr>
      <w:r w:rsidRPr="00675182">
        <w:rPr>
          <w:rFonts w:cstheme="minorHAnsi"/>
          <w:b/>
          <w:bCs/>
        </w:rPr>
        <w:t xml:space="preserve">3. pielikums. </w:t>
      </w:r>
      <w:r w:rsidRPr="00675182">
        <w:rPr>
          <w:rFonts w:cstheme="minorHAnsi"/>
        </w:rPr>
        <w:t>Ģeoloģisko un ģeomorfoloģisko pieminekļu saraksts</w:t>
      </w:r>
    </w:p>
    <w:p w14:paraId="3C787C58" w14:textId="77777777" w:rsidR="00AE3CDE" w:rsidRPr="00675182" w:rsidRDefault="00AE3CDE" w:rsidP="00AE3CDE">
      <w:pPr>
        <w:ind w:left="1418" w:hanging="1418"/>
        <w:rPr>
          <w:rFonts w:cstheme="minorHAnsi"/>
        </w:rPr>
      </w:pPr>
      <w:r w:rsidRPr="00675182">
        <w:rPr>
          <w:rFonts w:cstheme="minorHAnsi"/>
          <w:b/>
          <w:bCs/>
        </w:rPr>
        <w:t>4. pielikums</w:t>
      </w:r>
      <w:r w:rsidRPr="00675182">
        <w:rPr>
          <w:rFonts w:cstheme="minorHAnsi"/>
        </w:rPr>
        <w:t>. Kultūrvēstures pieminekļu saraksts</w:t>
      </w:r>
    </w:p>
    <w:p w14:paraId="75471D86" w14:textId="71D1C99E" w:rsidR="00AE3CDE" w:rsidRPr="00675182" w:rsidRDefault="00AE3CDE" w:rsidP="00AE3CDE">
      <w:pPr>
        <w:ind w:left="1418" w:hanging="1418"/>
        <w:rPr>
          <w:rFonts w:cstheme="minorHAnsi"/>
        </w:rPr>
      </w:pPr>
      <w:r w:rsidRPr="00675182">
        <w:rPr>
          <w:rFonts w:cstheme="minorHAnsi"/>
          <w:b/>
          <w:bCs/>
        </w:rPr>
        <w:t>5. pielikums</w:t>
      </w:r>
      <w:r w:rsidRPr="00675182">
        <w:rPr>
          <w:rFonts w:cstheme="minorHAnsi"/>
        </w:rPr>
        <w:t>. Gaujas Nacionālā parka teritorijas ģeoloģijas un ģeomo</w:t>
      </w:r>
      <w:r w:rsidR="002F28B6">
        <w:rPr>
          <w:rFonts w:cstheme="minorHAnsi"/>
        </w:rPr>
        <w:t>r</w:t>
      </w:r>
      <w:r w:rsidRPr="00675182">
        <w:rPr>
          <w:rFonts w:cstheme="minorHAnsi"/>
        </w:rPr>
        <w:t>foloģijas raksturojums</w:t>
      </w:r>
    </w:p>
    <w:p w14:paraId="44448A8D" w14:textId="77777777" w:rsidR="00AE3CDE" w:rsidRPr="00675182" w:rsidRDefault="00AE3CDE" w:rsidP="00AE3CDE">
      <w:pPr>
        <w:ind w:left="1418" w:hanging="1418"/>
        <w:rPr>
          <w:rFonts w:cstheme="minorHAnsi"/>
        </w:rPr>
      </w:pPr>
      <w:r w:rsidRPr="00675182">
        <w:rPr>
          <w:rFonts w:cstheme="minorHAnsi"/>
          <w:b/>
          <w:bCs/>
        </w:rPr>
        <w:t>6. pielikums</w:t>
      </w:r>
      <w:r w:rsidRPr="00675182">
        <w:rPr>
          <w:rFonts w:cstheme="minorHAnsi"/>
        </w:rPr>
        <w:t>. Gaujas Nacionālā parka apmeklētāju plūsmas analīze</w:t>
      </w:r>
    </w:p>
    <w:p w14:paraId="14841A38" w14:textId="77777777" w:rsidR="00AE3CDE" w:rsidRPr="00675182" w:rsidRDefault="00AE3CDE" w:rsidP="00AE3CDE">
      <w:pPr>
        <w:ind w:left="1418" w:hanging="1418"/>
        <w:rPr>
          <w:rFonts w:cstheme="minorHAnsi"/>
        </w:rPr>
      </w:pPr>
      <w:r w:rsidRPr="00675182">
        <w:rPr>
          <w:rFonts w:cstheme="minorHAnsi"/>
          <w:b/>
          <w:bCs/>
        </w:rPr>
        <w:t xml:space="preserve">7. pielikums. </w:t>
      </w:r>
      <w:r w:rsidRPr="00675182">
        <w:rPr>
          <w:rFonts w:cstheme="minorHAnsi"/>
        </w:rPr>
        <w:t xml:space="preserve">Derīgo izrakteņu ieguves apjomi </w:t>
      </w:r>
    </w:p>
    <w:p w14:paraId="2AEE8566" w14:textId="77777777" w:rsidR="00AE3CDE" w:rsidRPr="00675182" w:rsidRDefault="00AE3CDE" w:rsidP="00AE3CDE">
      <w:pPr>
        <w:ind w:left="1418" w:hanging="1418"/>
        <w:rPr>
          <w:rFonts w:cstheme="minorHAnsi"/>
        </w:rPr>
      </w:pPr>
      <w:r w:rsidRPr="00675182">
        <w:rPr>
          <w:rFonts w:cstheme="minorHAnsi"/>
          <w:b/>
          <w:bCs/>
        </w:rPr>
        <w:t>8. pielikums</w:t>
      </w:r>
      <w:r w:rsidRPr="00675182">
        <w:rPr>
          <w:rFonts w:cstheme="minorHAnsi"/>
        </w:rPr>
        <w:t>. Piesārņoto un potenciāli piesārņoto vietu saraksts</w:t>
      </w:r>
    </w:p>
    <w:p w14:paraId="1B807698" w14:textId="77777777" w:rsidR="00AE3CDE" w:rsidRPr="00675182" w:rsidRDefault="00AE3CDE" w:rsidP="00AE3CDE">
      <w:pPr>
        <w:ind w:left="1418" w:hanging="1418"/>
        <w:rPr>
          <w:rFonts w:cstheme="minorHAnsi"/>
        </w:rPr>
      </w:pPr>
      <w:r w:rsidRPr="00675182">
        <w:rPr>
          <w:rFonts w:cstheme="minorHAnsi"/>
          <w:b/>
          <w:bCs/>
        </w:rPr>
        <w:t>9. pielikums.</w:t>
      </w:r>
      <w:r w:rsidRPr="00675182">
        <w:rPr>
          <w:rFonts w:cstheme="minorHAnsi"/>
        </w:rPr>
        <w:t xml:space="preserve"> Detalizēta Gaujas Nacionālā parka dabas vērtību karte</w:t>
      </w:r>
    </w:p>
    <w:p w14:paraId="2A526536" w14:textId="77777777" w:rsidR="00AE3CDE" w:rsidRPr="00675182" w:rsidRDefault="00AE3CDE" w:rsidP="00AE3CDE">
      <w:pPr>
        <w:ind w:left="1418" w:hanging="1418"/>
        <w:rPr>
          <w:rFonts w:cstheme="minorHAnsi"/>
        </w:rPr>
      </w:pPr>
      <w:r w:rsidRPr="00675182">
        <w:rPr>
          <w:rFonts w:cstheme="minorHAnsi"/>
          <w:b/>
          <w:bCs/>
        </w:rPr>
        <w:t>10.pielikums</w:t>
      </w:r>
      <w:r w:rsidRPr="00675182">
        <w:rPr>
          <w:rFonts w:cstheme="minorHAnsi"/>
        </w:rPr>
        <w:t xml:space="preserve">. </w:t>
      </w:r>
      <w:r w:rsidRPr="00675182">
        <w:rPr>
          <w:rFonts w:cstheme="minorHAnsi"/>
          <w:bCs/>
          <w:szCs w:val="24"/>
        </w:rPr>
        <w:t>Īpaši aizsargājamo ķērpju sugu saraksts</w:t>
      </w:r>
    </w:p>
    <w:p w14:paraId="360180BD" w14:textId="77777777" w:rsidR="00AE3CDE" w:rsidRPr="00675182" w:rsidRDefault="00AE3CDE" w:rsidP="00AE3CDE">
      <w:pPr>
        <w:ind w:left="1418" w:hanging="1418"/>
        <w:rPr>
          <w:rFonts w:cstheme="minorHAnsi"/>
          <w:bCs/>
          <w:szCs w:val="24"/>
        </w:rPr>
      </w:pPr>
      <w:r w:rsidRPr="00675182">
        <w:rPr>
          <w:rFonts w:cstheme="minorHAnsi"/>
          <w:b/>
          <w:bCs/>
        </w:rPr>
        <w:t>11.pielikums</w:t>
      </w:r>
      <w:r w:rsidRPr="00675182">
        <w:rPr>
          <w:rFonts w:cstheme="minorHAnsi"/>
        </w:rPr>
        <w:t xml:space="preserve">. </w:t>
      </w:r>
      <w:r w:rsidRPr="00675182">
        <w:rPr>
          <w:rFonts w:cstheme="minorHAnsi"/>
          <w:bCs/>
          <w:szCs w:val="24"/>
        </w:rPr>
        <w:t>Īpaši aizsargājamo sūnu sugu saraksts</w:t>
      </w:r>
    </w:p>
    <w:p w14:paraId="72B4AE5F" w14:textId="77777777" w:rsidR="00AE3CDE" w:rsidRPr="00675182" w:rsidRDefault="00AE3CDE" w:rsidP="00AE3CDE">
      <w:pPr>
        <w:ind w:left="1418" w:hanging="1418"/>
        <w:rPr>
          <w:rFonts w:cstheme="minorHAnsi"/>
          <w:bCs/>
          <w:szCs w:val="24"/>
        </w:rPr>
      </w:pPr>
      <w:r w:rsidRPr="00675182">
        <w:rPr>
          <w:rFonts w:cstheme="minorHAnsi"/>
          <w:b/>
          <w:bCs/>
        </w:rPr>
        <w:t>12.pielikums</w:t>
      </w:r>
      <w:r w:rsidRPr="00675182">
        <w:rPr>
          <w:rFonts w:cstheme="minorHAnsi"/>
        </w:rPr>
        <w:t xml:space="preserve">. </w:t>
      </w:r>
      <w:r w:rsidRPr="00675182">
        <w:rPr>
          <w:rFonts w:cstheme="minorHAnsi"/>
          <w:bCs/>
          <w:szCs w:val="24"/>
        </w:rPr>
        <w:t>Īpaši aizsargājamo bezmugurkaulnieku sugu saraksts</w:t>
      </w:r>
    </w:p>
    <w:p w14:paraId="189258F1" w14:textId="77777777" w:rsidR="00AE3CDE" w:rsidRPr="00675182" w:rsidRDefault="00AE3CDE" w:rsidP="00AE3CDE">
      <w:pPr>
        <w:ind w:left="1418" w:hanging="1418"/>
        <w:rPr>
          <w:rFonts w:cstheme="minorHAnsi"/>
        </w:rPr>
      </w:pPr>
      <w:r w:rsidRPr="00675182">
        <w:rPr>
          <w:rFonts w:cstheme="minorHAnsi"/>
          <w:b/>
          <w:bCs/>
        </w:rPr>
        <w:t>13. pielikums</w:t>
      </w:r>
      <w:r w:rsidRPr="00675182">
        <w:rPr>
          <w:rFonts w:cstheme="minorHAnsi"/>
        </w:rPr>
        <w:t>. Gaujas Nacionālā parka detalizēta tūrisma karte</w:t>
      </w:r>
    </w:p>
    <w:p w14:paraId="416AD4B7" w14:textId="77777777" w:rsidR="00AE3CDE" w:rsidRPr="00675182" w:rsidRDefault="00AE3CDE" w:rsidP="00AE3CDE">
      <w:pPr>
        <w:ind w:left="1418" w:hanging="1418"/>
        <w:rPr>
          <w:rFonts w:cstheme="minorHAnsi"/>
        </w:rPr>
      </w:pPr>
      <w:r w:rsidRPr="00675182">
        <w:rPr>
          <w:rFonts w:cstheme="minorHAnsi"/>
          <w:b/>
          <w:bCs/>
        </w:rPr>
        <w:t>14. pielikums</w:t>
      </w:r>
      <w:r w:rsidRPr="00675182">
        <w:rPr>
          <w:rFonts w:cstheme="minorHAnsi"/>
        </w:rPr>
        <w:t>. Gaujas Nacionālā parka dabas aizsardzības plānā 2004. – 2013. gadam paredzētie apsaimniekošanas pasākumi un to izvērtējums</w:t>
      </w:r>
    </w:p>
    <w:p w14:paraId="3A6F4F0A" w14:textId="77777777" w:rsidR="00AE3CDE" w:rsidRPr="00675182" w:rsidRDefault="00AE3CDE" w:rsidP="00AE3CDE">
      <w:pPr>
        <w:tabs>
          <w:tab w:val="left" w:pos="5812"/>
        </w:tabs>
        <w:ind w:left="1418" w:hanging="1418"/>
        <w:rPr>
          <w:rFonts w:cstheme="minorHAnsi"/>
        </w:rPr>
      </w:pPr>
      <w:r w:rsidRPr="00675182">
        <w:rPr>
          <w:rFonts w:cstheme="minorHAnsi"/>
          <w:b/>
          <w:bCs/>
        </w:rPr>
        <w:t xml:space="preserve">15. pielikums </w:t>
      </w:r>
      <w:r w:rsidRPr="00675182">
        <w:rPr>
          <w:rFonts w:cstheme="minorHAnsi"/>
        </w:rPr>
        <w:t>Susināšanas un vēsturiskās kūdras ieguves ietekmēto purvu hidroloģiskā režīma atjaunošanas iespēju izvērtējums</w:t>
      </w:r>
    </w:p>
    <w:p w14:paraId="5B381550" w14:textId="77777777" w:rsidR="00AE3CDE" w:rsidRPr="00675182" w:rsidRDefault="00AE3CDE" w:rsidP="00AE3CDE">
      <w:pPr>
        <w:tabs>
          <w:tab w:val="left" w:pos="5812"/>
        </w:tabs>
        <w:ind w:left="1418" w:hanging="1418"/>
        <w:rPr>
          <w:rFonts w:cstheme="minorHAnsi"/>
        </w:rPr>
      </w:pPr>
      <w:r w:rsidRPr="00675182">
        <w:rPr>
          <w:rFonts w:cstheme="minorHAnsi"/>
          <w:b/>
          <w:bCs/>
        </w:rPr>
        <w:t>16. pielikums</w:t>
      </w:r>
      <w:r w:rsidRPr="00675182">
        <w:rPr>
          <w:rFonts w:cstheme="minorHAnsi"/>
        </w:rPr>
        <w:t>. Perspektīvo Gaujas Nacionālā parka paplašinājumu teritorijas un to funkcionālā zonējuma priekšlikums</w:t>
      </w:r>
    </w:p>
    <w:p w14:paraId="1196805F" w14:textId="77777777" w:rsidR="00AE3CDE" w:rsidRPr="00675182" w:rsidRDefault="00AE3CDE" w:rsidP="00AE3CDE">
      <w:pPr>
        <w:tabs>
          <w:tab w:val="left" w:pos="5812"/>
        </w:tabs>
        <w:ind w:left="1418" w:hanging="1418"/>
        <w:rPr>
          <w:rFonts w:cstheme="minorHAnsi"/>
          <w:color w:val="FF0000"/>
        </w:rPr>
      </w:pPr>
      <w:r w:rsidRPr="00675182">
        <w:rPr>
          <w:rFonts w:cstheme="minorHAnsi"/>
          <w:b/>
          <w:bCs/>
        </w:rPr>
        <w:t>17. pielikums.</w:t>
      </w:r>
      <w:r w:rsidRPr="00675182">
        <w:rPr>
          <w:rFonts w:cstheme="minorHAnsi"/>
        </w:rPr>
        <w:t xml:space="preserve"> Zinātniskais pamatojums paplašinājumiem</w:t>
      </w:r>
    </w:p>
    <w:p w14:paraId="55C77BFA" w14:textId="77777777" w:rsidR="00AE3CDE" w:rsidRPr="00675182" w:rsidRDefault="00AE3CDE" w:rsidP="00AE3CDE">
      <w:pPr>
        <w:tabs>
          <w:tab w:val="left" w:pos="5812"/>
        </w:tabs>
        <w:ind w:left="1418" w:hanging="1418"/>
        <w:rPr>
          <w:rFonts w:cstheme="minorHAnsi"/>
        </w:rPr>
      </w:pPr>
      <w:r w:rsidRPr="00675182">
        <w:rPr>
          <w:rFonts w:cstheme="minorHAnsi"/>
          <w:b/>
          <w:bCs/>
        </w:rPr>
        <w:t>18. pielikums.</w:t>
      </w:r>
      <w:r w:rsidRPr="00675182">
        <w:rPr>
          <w:rFonts w:cstheme="minorHAnsi"/>
        </w:rPr>
        <w:t xml:space="preserve"> Ekosistēmu pakalpojumu novērtēšanas metodikas teorētiskais pamatojums</w:t>
      </w:r>
    </w:p>
    <w:p w14:paraId="60EBF9E3" w14:textId="77777777" w:rsidR="00AE3CDE" w:rsidRPr="00675182" w:rsidRDefault="00AE3CDE" w:rsidP="00AE3CDE">
      <w:pPr>
        <w:tabs>
          <w:tab w:val="left" w:pos="5812"/>
        </w:tabs>
        <w:ind w:left="1418" w:hanging="1418"/>
        <w:rPr>
          <w:rFonts w:cstheme="minorHAnsi"/>
          <w:bCs/>
          <w:szCs w:val="24"/>
        </w:rPr>
      </w:pPr>
      <w:r w:rsidRPr="00675182">
        <w:rPr>
          <w:rFonts w:cstheme="minorHAnsi"/>
          <w:b/>
          <w:bCs/>
        </w:rPr>
        <w:t>19. pielikums.</w:t>
      </w:r>
      <w:r w:rsidRPr="00675182">
        <w:rPr>
          <w:rFonts w:cstheme="minorHAnsi"/>
        </w:rPr>
        <w:t xml:space="preserve"> </w:t>
      </w:r>
      <w:r w:rsidRPr="00675182">
        <w:rPr>
          <w:rFonts w:cstheme="minorHAnsi"/>
          <w:bCs/>
          <w:szCs w:val="24"/>
        </w:rPr>
        <w:t>Īpaši aizsargājamo putnu sugu saraksts</w:t>
      </w:r>
    </w:p>
    <w:p w14:paraId="57DE7206" w14:textId="77777777" w:rsidR="00AE3CDE" w:rsidRPr="00675182" w:rsidRDefault="00AE3CDE" w:rsidP="00AE3CDE">
      <w:pPr>
        <w:tabs>
          <w:tab w:val="left" w:pos="5812"/>
        </w:tabs>
        <w:ind w:left="1418" w:hanging="1418"/>
        <w:rPr>
          <w:rFonts w:cstheme="minorHAnsi"/>
          <w:bCs/>
          <w:szCs w:val="24"/>
        </w:rPr>
      </w:pPr>
      <w:r w:rsidRPr="00675182">
        <w:rPr>
          <w:rFonts w:cstheme="minorHAnsi"/>
          <w:b/>
          <w:szCs w:val="24"/>
        </w:rPr>
        <w:t>20. pielikums.</w:t>
      </w:r>
      <w:r w:rsidRPr="00675182">
        <w:rPr>
          <w:rFonts w:cstheme="minorHAnsi"/>
          <w:bCs/>
          <w:szCs w:val="24"/>
        </w:rPr>
        <w:t xml:space="preserve"> Informācija par meža ciršu platībām</w:t>
      </w:r>
    </w:p>
    <w:p w14:paraId="0BC933FD" w14:textId="77777777" w:rsidR="00AE3CDE" w:rsidRPr="00675182" w:rsidRDefault="00AE3CDE" w:rsidP="00AE3CDE">
      <w:pPr>
        <w:tabs>
          <w:tab w:val="left" w:pos="5812"/>
        </w:tabs>
        <w:ind w:left="1418" w:hanging="1418"/>
        <w:rPr>
          <w:rFonts w:cstheme="minorHAnsi"/>
        </w:rPr>
      </w:pPr>
      <w:r w:rsidRPr="00675182">
        <w:rPr>
          <w:rFonts w:cstheme="minorHAnsi"/>
          <w:b/>
          <w:szCs w:val="24"/>
        </w:rPr>
        <w:t>21. pielikums</w:t>
      </w:r>
      <w:r w:rsidRPr="00675182">
        <w:rPr>
          <w:rFonts w:cstheme="minorHAnsi"/>
          <w:bCs/>
          <w:szCs w:val="24"/>
        </w:rPr>
        <w:t xml:space="preserve">. </w:t>
      </w:r>
      <w:r w:rsidRPr="00675182">
        <w:rPr>
          <w:rFonts w:cstheme="minorHAnsi"/>
        </w:rPr>
        <w:t>Gaujas Nacionālā parka funkcionālā zonējuma priekšlikums</w:t>
      </w:r>
    </w:p>
    <w:p w14:paraId="40DC224A" w14:textId="77777777" w:rsidR="00AE3CDE" w:rsidRPr="00675182" w:rsidRDefault="00AE3CDE" w:rsidP="00AE3CDE">
      <w:pPr>
        <w:tabs>
          <w:tab w:val="left" w:pos="5812"/>
        </w:tabs>
        <w:ind w:left="1418" w:hanging="1418"/>
        <w:rPr>
          <w:rFonts w:cstheme="minorHAnsi"/>
        </w:rPr>
      </w:pPr>
      <w:r w:rsidRPr="00675182">
        <w:rPr>
          <w:rFonts w:cstheme="minorHAnsi"/>
          <w:b/>
          <w:szCs w:val="24"/>
        </w:rPr>
        <w:t>22</w:t>
      </w:r>
      <w:r w:rsidRPr="00675182">
        <w:rPr>
          <w:rFonts w:cstheme="minorHAnsi"/>
        </w:rPr>
        <w:t xml:space="preserve">. </w:t>
      </w:r>
      <w:r w:rsidRPr="00675182">
        <w:rPr>
          <w:rFonts w:cstheme="minorHAnsi"/>
          <w:b/>
          <w:bCs/>
        </w:rPr>
        <w:t xml:space="preserve">pielikums. </w:t>
      </w:r>
      <w:r w:rsidRPr="00675182">
        <w:rPr>
          <w:rFonts w:cstheme="minorHAnsi"/>
        </w:rPr>
        <w:t>Valsts aizsargāto kultūras pieminekļu apraksti Gaujas Nacionālajā parkā (elektroniski)</w:t>
      </w:r>
    </w:p>
    <w:p w14:paraId="581C3F42" w14:textId="77777777" w:rsidR="00AE3CDE" w:rsidRPr="00675182" w:rsidRDefault="00AE3CDE" w:rsidP="00EB608C">
      <w:pPr>
        <w:ind w:left="1418" w:hanging="1418"/>
        <w:rPr>
          <w:rFonts w:cstheme="minorHAnsi"/>
          <w:color w:val="000000" w:themeColor="text1"/>
          <w:szCs w:val="24"/>
        </w:rPr>
      </w:pPr>
      <w:r w:rsidRPr="00675182">
        <w:rPr>
          <w:rFonts w:cstheme="minorHAnsi"/>
          <w:b/>
          <w:bCs/>
          <w:color w:val="000000" w:themeColor="text1"/>
          <w:szCs w:val="24"/>
        </w:rPr>
        <w:t xml:space="preserve">23. pielikums. </w:t>
      </w:r>
      <w:r w:rsidRPr="00675182">
        <w:rPr>
          <w:rFonts w:cstheme="minorHAnsi"/>
          <w:color w:val="000000" w:themeColor="text1"/>
          <w:szCs w:val="24"/>
        </w:rPr>
        <w:t xml:space="preserve">Pārskats par </w:t>
      </w:r>
      <w:r w:rsidRPr="00675182">
        <w:rPr>
          <w:rFonts w:cstheme="minorHAnsi"/>
        </w:rPr>
        <w:t>Gaujas Nacionālā parka</w:t>
      </w:r>
      <w:r w:rsidRPr="00675182">
        <w:rPr>
          <w:rFonts w:cstheme="minorHAnsi"/>
          <w:color w:val="000000" w:themeColor="text1"/>
          <w:szCs w:val="24"/>
        </w:rPr>
        <w:t xml:space="preserve"> teritorijā esošo meliorācijas sistēmu </w:t>
      </w:r>
    </w:p>
    <w:p w14:paraId="4EB3A0AA" w14:textId="77777777" w:rsidR="00AE3CDE" w:rsidRPr="00675182" w:rsidRDefault="00AE3CDE" w:rsidP="00AE3CDE">
      <w:pPr>
        <w:ind w:left="1418" w:hanging="1418"/>
        <w:rPr>
          <w:rFonts w:cstheme="minorHAnsi"/>
          <w:color w:val="000000" w:themeColor="text1"/>
          <w:szCs w:val="24"/>
        </w:rPr>
      </w:pPr>
      <w:r w:rsidRPr="00675182">
        <w:rPr>
          <w:rFonts w:cstheme="minorHAnsi"/>
          <w:b/>
          <w:bCs/>
          <w:color w:val="000000" w:themeColor="text1"/>
          <w:szCs w:val="24"/>
        </w:rPr>
        <w:t>24. pielikums</w:t>
      </w:r>
      <w:r w:rsidRPr="00675182">
        <w:rPr>
          <w:rFonts w:cstheme="minorHAnsi"/>
          <w:color w:val="000000" w:themeColor="text1"/>
          <w:szCs w:val="24"/>
        </w:rPr>
        <w:t>. Hidroloģisko izmaiņu ietekmē degradēto zālāju kompleksu hidroloģiskā režīma novērtējums</w:t>
      </w:r>
    </w:p>
    <w:p w14:paraId="5C2783DB" w14:textId="77777777" w:rsidR="00AE3CDE" w:rsidRPr="00675182" w:rsidRDefault="00AE3CDE" w:rsidP="00AE3CDE">
      <w:pPr>
        <w:ind w:left="1418" w:hanging="1418"/>
        <w:rPr>
          <w:rFonts w:cstheme="minorHAnsi"/>
        </w:rPr>
      </w:pPr>
      <w:r w:rsidRPr="00675182">
        <w:rPr>
          <w:rFonts w:cstheme="minorHAnsi"/>
          <w:b/>
          <w:bCs/>
        </w:rPr>
        <w:t>25. pielikums</w:t>
      </w:r>
      <w:r w:rsidRPr="00675182">
        <w:rPr>
          <w:rFonts w:cstheme="minorHAnsi"/>
        </w:rPr>
        <w:t>. Gaujas Nacionālā parka detalizēta apsaimniekošanas pasākumu karte</w:t>
      </w:r>
    </w:p>
    <w:p w14:paraId="72FA4A30" w14:textId="385F27F2" w:rsidR="00AE3CDE" w:rsidRPr="00675182" w:rsidRDefault="00AE3CDE" w:rsidP="00AE3CDE">
      <w:pPr>
        <w:ind w:left="1418" w:hanging="1418"/>
        <w:rPr>
          <w:rFonts w:cstheme="minorHAnsi"/>
        </w:rPr>
      </w:pPr>
      <w:r w:rsidRPr="00675182">
        <w:rPr>
          <w:rFonts w:cstheme="minorHAnsi"/>
          <w:b/>
          <w:bCs/>
        </w:rPr>
        <w:t>26. pielikums.</w:t>
      </w:r>
      <w:r w:rsidRPr="00675182">
        <w:rPr>
          <w:rFonts w:cstheme="minorHAnsi"/>
        </w:rPr>
        <w:t xml:space="preserve"> Gaujas Nacionālā parka sociālekonomiskais izvērtējums </w:t>
      </w:r>
      <w:r w:rsidR="00B11BE1" w:rsidRPr="00675182">
        <w:rPr>
          <w:rFonts w:cstheme="minorHAnsi"/>
        </w:rPr>
        <w:t>(elektroniski)</w:t>
      </w:r>
    </w:p>
    <w:p w14:paraId="06FD0748" w14:textId="77777777" w:rsidR="00AE3CDE" w:rsidRPr="00675182" w:rsidRDefault="00AE3CDE" w:rsidP="00AE3CDE">
      <w:pPr>
        <w:ind w:left="1418" w:hanging="1418"/>
        <w:rPr>
          <w:rFonts w:cstheme="minorHAnsi"/>
        </w:rPr>
      </w:pPr>
      <w:r w:rsidRPr="00675182">
        <w:rPr>
          <w:rFonts w:cstheme="minorHAnsi"/>
          <w:b/>
          <w:bCs/>
        </w:rPr>
        <w:t>27. pielikums.</w:t>
      </w:r>
      <w:r w:rsidRPr="00675182">
        <w:rPr>
          <w:rFonts w:cstheme="minorHAnsi"/>
        </w:rPr>
        <w:t xml:space="preserve"> Plāna izstrādē iesaistīto ekspertu atzinumi (elektroniski)</w:t>
      </w:r>
    </w:p>
    <w:p w14:paraId="340D01BD" w14:textId="3E670336" w:rsidR="00AE3CDE" w:rsidRPr="00675182" w:rsidRDefault="00AE3CDE" w:rsidP="00AE3CDE">
      <w:pPr>
        <w:ind w:left="1418" w:hanging="1418"/>
        <w:rPr>
          <w:rFonts w:cstheme="minorHAnsi"/>
        </w:rPr>
      </w:pPr>
      <w:r w:rsidRPr="00675182">
        <w:rPr>
          <w:rFonts w:cstheme="minorHAnsi"/>
          <w:b/>
          <w:bCs/>
        </w:rPr>
        <w:t>28. pielikums.</w:t>
      </w:r>
      <w:r w:rsidRPr="00675182">
        <w:rPr>
          <w:rFonts w:cstheme="minorHAnsi"/>
        </w:rPr>
        <w:t xml:space="preserve"> </w:t>
      </w:r>
      <w:bookmarkStart w:id="3" w:name="OLE_LINK2"/>
      <w:r w:rsidRPr="00675182">
        <w:rPr>
          <w:rFonts w:cstheme="minorHAnsi"/>
        </w:rPr>
        <w:t>Esošās tūrisma infrastruktūras izvērtējums</w:t>
      </w:r>
      <w:bookmarkEnd w:id="3"/>
    </w:p>
    <w:p w14:paraId="10F2F414" w14:textId="00334F20" w:rsidR="00B12531" w:rsidRPr="00675182" w:rsidRDefault="00B12531" w:rsidP="00AE3CDE">
      <w:pPr>
        <w:ind w:left="1418" w:hanging="1418"/>
        <w:rPr>
          <w:rFonts w:ascii="Calibri" w:hAnsi="Calibri"/>
        </w:rPr>
      </w:pPr>
      <w:r w:rsidRPr="00675182">
        <w:rPr>
          <w:rFonts w:cstheme="minorHAnsi"/>
          <w:b/>
          <w:bCs/>
        </w:rPr>
        <w:t>29. pielikums</w:t>
      </w:r>
      <w:r w:rsidRPr="00675182">
        <w:rPr>
          <w:rFonts w:cstheme="minorHAnsi"/>
        </w:rPr>
        <w:t>.</w:t>
      </w:r>
      <w:r w:rsidRPr="00675182">
        <w:rPr>
          <w:rFonts w:ascii="Calibri" w:hAnsi="Calibri"/>
        </w:rPr>
        <w:t xml:space="preserve"> Pārskats par dabas aizsardzības plāna sabiedrisko apspriešanu</w:t>
      </w:r>
    </w:p>
    <w:p w14:paraId="4B6F1E9E" w14:textId="7F7F8303" w:rsidR="00732940" w:rsidRPr="00675182" w:rsidRDefault="00732940" w:rsidP="00AE3CDE">
      <w:pPr>
        <w:ind w:left="1418" w:hanging="1418"/>
        <w:rPr>
          <w:rFonts w:cstheme="minorHAnsi"/>
        </w:rPr>
      </w:pPr>
      <w:r w:rsidRPr="00675182">
        <w:rPr>
          <w:rFonts w:cstheme="minorHAnsi"/>
          <w:b/>
          <w:bCs/>
        </w:rPr>
        <w:t>30.</w:t>
      </w:r>
      <w:r w:rsidRPr="00675182">
        <w:rPr>
          <w:rFonts w:ascii="Calibri" w:hAnsi="Calibri"/>
        </w:rPr>
        <w:t xml:space="preserve"> </w:t>
      </w:r>
      <w:r w:rsidRPr="00675182">
        <w:rPr>
          <w:rFonts w:ascii="Calibri" w:hAnsi="Calibri"/>
          <w:b/>
          <w:bCs/>
        </w:rPr>
        <w:t>pielikums</w:t>
      </w:r>
      <w:r w:rsidRPr="00675182">
        <w:rPr>
          <w:rFonts w:ascii="Calibri" w:hAnsi="Calibri"/>
        </w:rPr>
        <w:t xml:space="preserve">. </w:t>
      </w:r>
      <w:r w:rsidRPr="00675182">
        <w:rPr>
          <w:rFonts w:cstheme="minorHAnsi"/>
        </w:rPr>
        <w:t>Cēsu, Saulkrastu</w:t>
      </w:r>
      <w:r w:rsidR="00C4557E" w:rsidRPr="00675182">
        <w:rPr>
          <w:rFonts w:cstheme="minorHAnsi"/>
        </w:rPr>
        <w:t xml:space="preserve">, </w:t>
      </w:r>
      <w:r w:rsidRPr="00675182">
        <w:rPr>
          <w:rFonts w:cstheme="minorHAnsi"/>
        </w:rPr>
        <w:t>Siguldas</w:t>
      </w:r>
      <w:r w:rsidR="00C4557E" w:rsidRPr="00675182">
        <w:rPr>
          <w:rFonts w:cstheme="minorHAnsi"/>
        </w:rPr>
        <w:t xml:space="preserve"> un Valmieras</w:t>
      </w:r>
      <w:r w:rsidRPr="00675182">
        <w:rPr>
          <w:rFonts w:cstheme="minorHAnsi"/>
        </w:rPr>
        <w:t xml:space="preserve"> novadu pašvaldību</w:t>
      </w:r>
      <w:r w:rsidR="008A1C2C" w:rsidRPr="00675182">
        <w:rPr>
          <w:rFonts w:cstheme="minorHAnsi"/>
        </w:rPr>
        <w:t xml:space="preserve"> </w:t>
      </w:r>
      <w:r w:rsidRPr="00675182">
        <w:rPr>
          <w:rFonts w:cstheme="minorHAnsi"/>
        </w:rPr>
        <w:t>sniegtie atzinumi par dabas aizsardzības plānu izstrādi</w:t>
      </w:r>
    </w:p>
    <w:p w14:paraId="56905CA9" w14:textId="17E11E1F" w:rsidR="00336EBF" w:rsidRPr="00675182" w:rsidRDefault="00903A17" w:rsidP="00336EBF">
      <w:pPr>
        <w:ind w:left="1418" w:hanging="1418"/>
        <w:rPr>
          <w:rFonts w:ascii="Calibri" w:hAnsi="Calibri"/>
        </w:rPr>
      </w:pPr>
      <w:r w:rsidRPr="00DC3428">
        <w:rPr>
          <w:rFonts w:cstheme="minorHAnsi"/>
          <w:b/>
          <w:bCs/>
        </w:rPr>
        <w:t>31.</w:t>
      </w:r>
      <w:r w:rsidRPr="00DC3428">
        <w:rPr>
          <w:rFonts w:ascii="Calibri" w:hAnsi="Calibri"/>
        </w:rPr>
        <w:t xml:space="preserve"> </w:t>
      </w:r>
      <w:r w:rsidRPr="00DC3428">
        <w:rPr>
          <w:rFonts w:ascii="Calibri" w:hAnsi="Calibri"/>
          <w:b/>
          <w:bCs/>
        </w:rPr>
        <w:t>pielikums</w:t>
      </w:r>
      <w:r w:rsidRPr="00DC3428">
        <w:rPr>
          <w:rFonts w:ascii="Calibri" w:hAnsi="Calibri"/>
        </w:rPr>
        <w:t>. Pārskats par pašvaldību sniegtajiem komentāriem</w:t>
      </w:r>
    </w:p>
    <w:p w14:paraId="324D37D8" w14:textId="57244661" w:rsidR="005B283D" w:rsidRPr="00675182" w:rsidRDefault="005B283D" w:rsidP="00336EBF">
      <w:pPr>
        <w:ind w:left="1418" w:hanging="1418"/>
        <w:rPr>
          <w:rFonts w:ascii="Calibri" w:hAnsi="Calibri"/>
        </w:rPr>
      </w:pPr>
      <w:r w:rsidRPr="00675182">
        <w:rPr>
          <w:rFonts w:cstheme="minorHAnsi"/>
          <w:b/>
          <w:bCs/>
        </w:rPr>
        <w:t>32.</w:t>
      </w:r>
      <w:r w:rsidRPr="00675182">
        <w:rPr>
          <w:rFonts w:ascii="Calibri" w:hAnsi="Calibri"/>
        </w:rPr>
        <w:t xml:space="preserve"> </w:t>
      </w:r>
      <w:r w:rsidRPr="00675182">
        <w:rPr>
          <w:rFonts w:ascii="Calibri" w:hAnsi="Calibri"/>
          <w:b/>
          <w:bCs/>
        </w:rPr>
        <w:t>pielikums</w:t>
      </w:r>
      <w:r w:rsidRPr="00675182">
        <w:t>. Pārskats par plānoto biotopu apsaimniekošanas pasākumu apjomiem par ES nozīmes īpaši aizsargājamo biotopos</w:t>
      </w:r>
    </w:p>
    <w:p w14:paraId="47218115" w14:textId="71C60077" w:rsidR="00755627" w:rsidRPr="00675182" w:rsidRDefault="00755627" w:rsidP="00AE3CDE">
      <w:pPr>
        <w:ind w:left="1418" w:hanging="1418"/>
        <w:rPr>
          <w:rFonts w:cstheme="minorHAnsi"/>
        </w:rPr>
      </w:pPr>
      <w:r w:rsidRPr="00675182">
        <w:rPr>
          <w:rFonts w:cstheme="minorHAnsi"/>
          <w:b/>
          <w:bCs/>
        </w:rPr>
        <w:t>3</w:t>
      </w:r>
      <w:r w:rsidR="005B283D" w:rsidRPr="00675182">
        <w:rPr>
          <w:rFonts w:cstheme="minorHAnsi"/>
          <w:b/>
          <w:bCs/>
        </w:rPr>
        <w:t>3</w:t>
      </w:r>
      <w:r w:rsidRPr="00675182">
        <w:rPr>
          <w:rFonts w:cstheme="minorHAnsi"/>
          <w:b/>
          <w:bCs/>
        </w:rPr>
        <w:t>.</w:t>
      </w:r>
      <w:r w:rsidRPr="00675182">
        <w:rPr>
          <w:rFonts w:ascii="Calibri" w:hAnsi="Calibri"/>
        </w:rPr>
        <w:t xml:space="preserve"> </w:t>
      </w:r>
      <w:r w:rsidRPr="00675182">
        <w:rPr>
          <w:rFonts w:ascii="Calibri" w:hAnsi="Calibri"/>
          <w:b/>
          <w:bCs/>
        </w:rPr>
        <w:t>pielikums</w:t>
      </w:r>
      <w:r w:rsidRPr="00675182">
        <w:rPr>
          <w:rFonts w:ascii="Calibri" w:hAnsi="Calibri"/>
        </w:rPr>
        <w:t xml:space="preserve">. </w:t>
      </w:r>
      <w:r w:rsidRPr="00675182">
        <w:rPr>
          <w:rFonts w:cstheme="minorHAnsi"/>
        </w:rPr>
        <w:t>Gaujas Nacionālā parka individuālo aizsardzības un izmantošanas noteikumu projekts</w:t>
      </w:r>
    </w:p>
    <w:p w14:paraId="64A59D4C" w14:textId="44A9AFDD" w:rsidR="00755627" w:rsidRDefault="00755627" w:rsidP="00755627">
      <w:pPr>
        <w:ind w:left="1418" w:hanging="1418"/>
        <w:rPr>
          <w:rFonts w:cstheme="minorHAnsi"/>
        </w:rPr>
      </w:pPr>
      <w:r w:rsidRPr="00675182">
        <w:rPr>
          <w:rFonts w:cstheme="minorHAnsi"/>
          <w:b/>
          <w:bCs/>
        </w:rPr>
        <w:t>3</w:t>
      </w:r>
      <w:r w:rsidR="005B283D" w:rsidRPr="00675182">
        <w:rPr>
          <w:rFonts w:cstheme="minorHAnsi"/>
          <w:b/>
          <w:bCs/>
        </w:rPr>
        <w:t>4</w:t>
      </w:r>
      <w:r w:rsidRPr="00675182">
        <w:rPr>
          <w:rFonts w:cstheme="minorHAnsi"/>
          <w:b/>
          <w:bCs/>
        </w:rPr>
        <w:t>.</w:t>
      </w:r>
      <w:r w:rsidRPr="00675182">
        <w:rPr>
          <w:rFonts w:ascii="Calibri" w:hAnsi="Calibri"/>
        </w:rPr>
        <w:t xml:space="preserve"> </w:t>
      </w:r>
      <w:r w:rsidRPr="00675182">
        <w:rPr>
          <w:rFonts w:ascii="Calibri" w:hAnsi="Calibri"/>
          <w:b/>
          <w:bCs/>
        </w:rPr>
        <w:t>pielikums</w:t>
      </w:r>
      <w:r w:rsidRPr="00675182">
        <w:rPr>
          <w:rFonts w:ascii="Calibri" w:hAnsi="Calibri"/>
        </w:rPr>
        <w:t xml:space="preserve">. </w:t>
      </w:r>
      <w:r w:rsidRPr="00675182">
        <w:rPr>
          <w:rFonts w:cstheme="minorHAnsi"/>
        </w:rPr>
        <w:t>Gaujas Nacionālā parka likuma projekts</w:t>
      </w:r>
    </w:p>
    <w:p w14:paraId="1A5C7B37" w14:textId="5D81F6C9" w:rsidR="009B54DB" w:rsidRPr="00675182" w:rsidRDefault="002F28B6" w:rsidP="00BC4604">
      <w:pPr>
        <w:tabs>
          <w:tab w:val="left" w:pos="5812"/>
        </w:tabs>
        <w:ind w:left="1418" w:hanging="1418"/>
        <w:rPr>
          <w:rFonts w:cstheme="minorHAnsi"/>
        </w:rPr>
      </w:pPr>
      <w:r>
        <w:rPr>
          <w:rFonts w:cstheme="minorHAnsi"/>
          <w:b/>
          <w:bCs/>
        </w:rPr>
        <w:t>35</w:t>
      </w:r>
      <w:r w:rsidRPr="00675182">
        <w:rPr>
          <w:rFonts w:cstheme="minorHAnsi"/>
          <w:b/>
          <w:bCs/>
        </w:rPr>
        <w:t>. pielikums.</w:t>
      </w:r>
      <w:r w:rsidRPr="00675182">
        <w:rPr>
          <w:rFonts w:cstheme="minorHAnsi"/>
        </w:rPr>
        <w:t xml:space="preserve"> </w:t>
      </w:r>
      <w:r w:rsidRPr="00675182">
        <w:rPr>
          <w:rFonts w:cstheme="minorHAnsi"/>
          <w:bCs/>
          <w:szCs w:val="24"/>
        </w:rPr>
        <w:t xml:space="preserve">Īpaši aizsargājamo </w:t>
      </w:r>
      <w:r>
        <w:rPr>
          <w:rFonts w:cstheme="minorHAnsi"/>
          <w:bCs/>
          <w:szCs w:val="24"/>
        </w:rPr>
        <w:t>vaskulāro augu</w:t>
      </w:r>
      <w:r w:rsidRPr="00675182">
        <w:rPr>
          <w:rFonts w:cstheme="minorHAnsi"/>
          <w:bCs/>
          <w:szCs w:val="24"/>
        </w:rPr>
        <w:t xml:space="preserve"> saraksts</w:t>
      </w:r>
    </w:p>
    <w:p w14:paraId="23F50B9A" w14:textId="09B80962" w:rsidR="00601E0F" w:rsidRPr="00675182" w:rsidRDefault="00601E0F" w:rsidP="002B3341">
      <w:pPr>
        <w:rPr>
          <w:rFonts w:cstheme="minorHAnsi"/>
        </w:rPr>
        <w:sectPr w:rsidR="00601E0F" w:rsidRPr="00675182" w:rsidSect="00CD74B1">
          <w:headerReference w:type="even" r:id="rId18"/>
          <w:headerReference w:type="default" r:id="rId19"/>
          <w:footerReference w:type="even" r:id="rId20"/>
          <w:footerReference w:type="default" r:id="rId21"/>
          <w:headerReference w:type="first" r:id="rId22"/>
          <w:footerReference w:type="first" r:id="rId23"/>
          <w:type w:val="continuous"/>
          <w:pgSz w:w="11905" w:h="16837"/>
          <w:pgMar w:top="1440" w:right="1797" w:bottom="1440" w:left="1797" w:header="720" w:footer="720" w:gutter="0"/>
          <w:cols w:space="720"/>
          <w:docGrid w:linePitch="360"/>
        </w:sectPr>
      </w:pPr>
    </w:p>
    <w:p w14:paraId="0ACAD124" w14:textId="77777777" w:rsidR="00002BD3" w:rsidRPr="00675182" w:rsidRDefault="00002BD3" w:rsidP="00BB03AC">
      <w:pPr>
        <w:spacing w:after="120"/>
        <w:rPr>
          <w:rFonts w:cstheme="minorHAnsi"/>
          <w:b/>
          <w:bCs/>
        </w:rPr>
      </w:pPr>
      <w:r w:rsidRPr="00675182">
        <w:rPr>
          <w:rFonts w:cstheme="minorHAnsi"/>
          <w:b/>
          <w:bCs/>
        </w:rPr>
        <w:lastRenderedPageBreak/>
        <w:t>Tekstā izmantotie saīsinājumi</w:t>
      </w:r>
    </w:p>
    <w:p w14:paraId="3CD7465A" w14:textId="23A0C08A" w:rsidR="00223750" w:rsidRDefault="00223750" w:rsidP="00572AC2">
      <w:pPr>
        <w:spacing w:after="120"/>
        <w:jc w:val="both"/>
        <w:rPr>
          <w:rFonts w:cstheme="minorHAnsi"/>
        </w:rPr>
      </w:pPr>
      <w:r w:rsidRPr="00675182">
        <w:rPr>
          <w:rFonts w:ascii="Calibri" w:hAnsi="Calibri"/>
        </w:rPr>
        <w:t xml:space="preserve">AAZ </w:t>
      </w:r>
      <w:r>
        <w:rPr>
          <w:rFonts w:ascii="Calibri" w:hAnsi="Calibri"/>
        </w:rPr>
        <w:t xml:space="preserve">- </w:t>
      </w:r>
      <w:r w:rsidRPr="00675182">
        <w:rPr>
          <w:rFonts w:ascii="Calibri" w:hAnsi="Calibri"/>
        </w:rPr>
        <w:t>ainavu aizsardzības zona</w:t>
      </w:r>
      <w:r>
        <w:rPr>
          <w:rFonts w:ascii="Calibri" w:hAnsi="Calibri"/>
        </w:rPr>
        <w:t xml:space="preserve"> </w:t>
      </w:r>
    </w:p>
    <w:p w14:paraId="5527BF41" w14:textId="6FE4EFFA" w:rsidR="005A331C" w:rsidRPr="00675182" w:rsidRDefault="005A331C" w:rsidP="00572AC2">
      <w:pPr>
        <w:spacing w:after="120"/>
        <w:jc w:val="both"/>
        <w:rPr>
          <w:rFonts w:cstheme="minorHAnsi"/>
        </w:rPr>
      </w:pPr>
      <w:r w:rsidRPr="00675182">
        <w:rPr>
          <w:rFonts w:cstheme="minorHAnsi"/>
        </w:rPr>
        <w:t>AS – akciju sabiedrība</w:t>
      </w:r>
    </w:p>
    <w:p w14:paraId="1AC83D65" w14:textId="3F22F514" w:rsidR="000C3D75" w:rsidRPr="00675182" w:rsidRDefault="000C3D75" w:rsidP="00572AC2">
      <w:pPr>
        <w:spacing w:after="120"/>
        <w:jc w:val="both"/>
        <w:rPr>
          <w:rFonts w:cstheme="minorHAnsi"/>
        </w:rPr>
      </w:pPr>
      <w:r w:rsidRPr="00675182">
        <w:rPr>
          <w:rFonts w:cstheme="minorHAnsi"/>
        </w:rPr>
        <w:t>ATR – administratīvi teritoriālā reforma</w:t>
      </w:r>
    </w:p>
    <w:p w14:paraId="0B0B7F6A" w14:textId="2AC12789" w:rsidR="00157A9F" w:rsidRPr="00675182" w:rsidRDefault="00157A9F" w:rsidP="00572AC2">
      <w:pPr>
        <w:spacing w:after="120"/>
        <w:jc w:val="both"/>
        <w:rPr>
          <w:rFonts w:cstheme="minorHAnsi"/>
        </w:rPr>
      </w:pPr>
      <w:r w:rsidRPr="00675182">
        <w:rPr>
          <w:rFonts w:cstheme="minorHAnsi"/>
        </w:rPr>
        <w:t>Biotopu direktīva – Eiropas Padomes 1992. gada 21. maija direktīva 92/43/EEK par dabisko dzīvotņu, savvaļas faunas un floras aizsardzību</w:t>
      </w:r>
    </w:p>
    <w:p w14:paraId="4F1679BA" w14:textId="36C8C10A" w:rsidR="00F8013B" w:rsidRPr="00675182" w:rsidRDefault="00F8013B" w:rsidP="00572AC2">
      <w:pPr>
        <w:spacing w:after="120"/>
        <w:jc w:val="both"/>
        <w:rPr>
          <w:rFonts w:cstheme="minorHAnsi"/>
        </w:rPr>
      </w:pPr>
      <w:r w:rsidRPr="00675182">
        <w:rPr>
          <w:rFonts w:cstheme="minorHAnsi"/>
        </w:rPr>
        <w:t>BDUZ – Bioloģiskās daudzveidības uzturēšana zālājos" (BDUZ)</w:t>
      </w:r>
    </w:p>
    <w:p w14:paraId="019EBB25" w14:textId="0F830750" w:rsidR="00572AC2" w:rsidRPr="00675182" w:rsidRDefault="00572AC2" w:rsidP="00572AC2">
      <w:pPr>
        <w:spacing w:after="120"/>
        <w:jc w:val="both"/>
        <w:rPr>
          <w:rFonts w:cstheme="minorHAnsi"/>
        </w:rPr>
      </w:pPr>
      <w:r w:rsidRPr="00675182">
        <w:rPr>
          <w:rFonts w:cstheme="minorHAnsi"/>
        </w:rPr>
        <w:t>BVZ – bioloģiski vērtīgie zālāji</w:t>
      </w:r>
    </w:p>
    <w:p w14:paraId="30BC40EF" w14:textId="46D3CCBB" w:rsidR="0056127E" w:rsidRPr="00675182" w:rsidRDefault="0056127E" w:rsidP="00572AC2">
      <w:pPr>
        <w:spacing w:after="120"/>
        <w:jc w:val="both"/>
        <w:rPr>
          <w:rFonts w:cstheme="minorHAnsi"/>
          <w:b/>
          <w:bCs/>
        </w:rPr>
      </w:pPr>
      <w:r w:rsidRPr="00675182">
        <w:rPr>
          <w:rFonts w:cstheme="minorHAnsi"/>
          <w:color w:val="000000" w:themeColor="text1"/>
        </w:rPr>
        <w:t>CLC – Corine Land Cover</w:t>
      </w:r>
    </w:p>
    <w:p w14:paraId="21C5FC6A" w14:textId="77777777" w:rsidR="00F81596" w:rsidRPr="00675182" w:rsidRDefault="00F81596" w:rsidP="00BB03AC">
      <w:pPr>
        <w:spacing w:after="120"/>
        <w:jc w:val="both"/>
        <w:rPr>
          <w:rFonts w:cstheme="minorHAnsi"/>
        </w:rPr>
      </w:pPr>
      <w:r w:rsidRPr="00675182">
        <w:rPr>
          <w:rFonts w:cstheme="minorHAnsi"/>
        </w:rPr>
        <w:t>DAP – Dabas aizsardzības pārvalde</w:t>
      </w:r>
    </w:p>
    <w:p w14:paraId="43713A09" w14:textId="1887585A" w:rsidR="00F81596" w:rsidRPr="00675182" w:rsidRDefault="00F81596" w:rsidP="00BB03AC">
      <w:pPr>
        <w:spacing w:after="120"/>
        <w:jc w:val="both"/>
        <w:rPr>
          <w:rFonts w:cstheme="minorHAnsi"/>
        </w:rPr>
      </w:pPr>
      <w:r w:rsidRPr="00675182">
        <w:rPr>
          <w:rFonts w:cstheme="minorHAnsi"/>
        </w:rPr>
        <w:t>DA plāns – dabas aizsardzības plāns</w:t>
      </w:r>
    </w:p>
    <w:p w14:paraId="1B5542C6" w14:textId="59BB2C95" w:rsidR="00661F35" w:rsidRPr="00675182" w:rsidRDefault="00661F35" w:rsidP="00BB03AC">
      <w:pPr>
        <w:spacing w:after="120"/>
        <w:jc w:val="both"/>
        <w:rPr>
          <w:rFonts w:cstheme="minorHAnsi"/>
        </w:rPr>
      </w:pPr>
      <w:r w:rsidRPr="00675182">
        <w:rPr>
          <w:rFonts w:cstheme="minorHAnsi"/>
        </w:rPr>
        <w:t>DL – dabas liegums</w:t>
      </w:r>
    </w:p>
    <w:p w14:paraId="7CAA2F6F" w14:textId="054CF846" w:rsidR="00661F35" w:rsidRPr="00675182" w:rsidRDefault="00661F35" w:rsidP="00BB03AC">
      <w:pPr>
        <w:spacing w:after="120"/>
        <w:jc w:val="both"/>
        <w:rPr>
          <w:rFonts w:cstheme="minorHAnsi"/>
        </w:rPr>
      </w:pPr>
      <w:r w:rsidRPr="00675182">
        <w:rPr>
          <w:rFonts w:cstheme="minorHAnsi"/>
        </w:rPr>
        <w:t>DLZ</w:t>
      </w:r>
      <w:r w:rsidR="00A2530E" w:rsidRPr="00675182">
        <w:rPr>
          <w:rFonts w:cstheme="minorHAnsi"/>
        </w:rPr>
        <w:t xml:space="preserve"> </w:t>
      </w:r>
      <w:r w:rsidR="000D6757" w:rsidRPr="00675182">
        <w:rPr>
          <w:rFonts w:cstheme="minorHAnsi"/>
        </w:rPr>
        <w:t>–</w:t>
      </w:r>
      <w:r w:rsidR="00A2530E" w:rsidRPr="00675182">
        <w:rPr>
          <w:rFonts w:cstheme="minorHAnsi"/>
        </w:rPr>
        <w:t xml:space="preserve"> </w:t>
      </w:r>
      <w:r w:rsidR="000D6757" w:rsidRPr="00675182">
        <w:rPr>
          <w:rFonts w:cstheme="minorHAnsi"/>
        </w:rPr>
        <w:t>dabas lieguma zona</w:t>
      </w:r>
    </w:p>
    <w:p w14:paraId="69CC48B4" w14:textId="77777777" w:rsidR="003608DD" w:rsidRPr="00675182" w:rsidRDefault="003608DD" w:rsidP="00BB03AC">
      <w:pPr>
        <w:spacing w:after="120"/>
        <w:jc w:val="both"/>
        <w:rPr>
          <w:rFonts w:cstheme="minorHAnsi"/>
        </w:rPr>
      </w:pPr>
      <w:r w:rsidRPr="00675182">
        <w:rPr>
          <w:rFonts w:cstheme="minorHAnsi"/>
        </w:rPr>
        <w:t>DDPS – dabas datu pārvaldības sistēma</w:t>
      </w:r>
    </w:p>
    <w:p w14:paraId="5D0E0EA2" w14:textId="77777777" w:rsidR="00F81596" w:rsidRDefault="00F81596" w:rsidP="00BB03AC">
      <w:pPr>
        <w:spacing w:after="120"/>
        <w:jc w:val="both"/>
        <w:rPr>
          <w:rFonts w:cstheme="minorHAnsi"/>
        </w:rPr>
      </w:pPr>
      <w:r w:rsidRPr="00675182">
        <w:rPr>
          <w:rFonts w:cstheme="minorHAnsi"/>
        </w:rPr>
        <w:t>DMB – dabiskie meža biotopi</w:t>
      </w:r>
    </w:p>
    <w:p w14:paraId="3C6703E6" w14:textId="77FD1828" w:rsidR="00223750" w:rsidRPr="00675182" w:rsidRDefault="00223750" w:rsidP="00BB03AC">
      <w:pPr>
        <w:spacing w:after="120"/>
        <w:jc w:val="both"/>
        <w:rPr>
          <w:rFonts w:cstheme="minorHAnsi"/>
        </w:rPr>
      </w:pPr>
      <w:r w:rsidRPr="00675182">
        <w:rPr>
          <w:rFonts w:ascii="Calibri" w:hAnsi="Calibri"/>
        </w:rPr>
        <w:t xml:space="preserve">DPZ </w:t>
      </w:r>
      <w:r>
        <w:rPr>
          <w:rFonts w:ascii="Calibri" w:hAnsi="Calibri"/>
        </w:rPr>
        <w:t xml:space="preserve"> - </w:t>
      </w:r>
      <w:r w:rsidRPr="00675182">
        <w:rPr>
          <w:rFonts w:ascii="Calibri" w:hAnsi="Calibri"/>
        </w:rPr>
        <w:t>dabas parka zon</w:t>
      </w:r>
      <w:r>
        <w:rPr>
          <w:rFonts w:ascii="Calibri" w:hAnsi="Calibri"/>
        </w:rPr>
        <w:t xml:space="preserve">a </w:t>
      </w:r>
    </w:p>
    <w:p w14:paraId="618B7EE1" w14:textId="008FDE66" w:rsidR="00F81596" w:rsidRPr="00675182" w:rsidRDefault="00F81596" w:rsidP="00BB03AC">
      <w:pPr>
        <w:spacing w:after="120"/>
        <w:jc w:val="both"/>
        <w:rPr>
          <w:rFonts w:cstheme="minorHAnsi"/>
        </w:rPr>
      </w:pPr>
      <w:r w:rsidRPr="00675182">
        <w:rPr>
          <w:rFonts w:cstheme="minorHAnsi"/>
        </w:rPr>
        <w:t>ES – Eiropas Savienība</w:t>
      </w:r>
    </w:p>
    <w:p w14:paraId="2A53A5FB" w14:textId="493B8D13" w:rsidR="00FE044C" w:rsidRPr="00675182" w:rsidRDefault="00FE044C" w:rsidP="00BB03AC">
      <w:pPr>
        <w:spacing w:after="120"/>
        <w:jc w:val="both"/>
        <w:rPr>
          <w:rFonts w:cstheme="minorHAnsi"/>
        </w:rPr>
      </w:pPr>
      <w:r w:rsidRPr="00675182">
        <w:rPr>
          <w:rFonts w:cstheme="minorHAnsi"/>
        </w:rPr>
        <w:t xml:space="preserve">EP – ekosistēmu pakalpojumi </w:t>
      </w:r>
    </w:p>
    <w:p w14:paraId="0C77E370" w14:textId="40E4EB00" w:rsidR="00A90DFC" w:rsidRPr="00675182" w:rsidRDefault="00A90DFC" w:rsidP="00BB03AC">
      <w:pPr>
        <w:spacing w:after="120"/>
        <w:jc w:val="both"/>
        <w:rPr>
          <w:rFonts w:cstheme="minorHAnsi"/>
        </w:rPr>
      </w:pPr>
      <w:r w:rsidRPr="00675182">
        <w:rPr>
          <w:rFonts w:cstheme="minorHAnsi"/>
        </w:rPr>
        <w:t>GNP – Gaujas Nacionālais parks</w:t>
      </w:r>
    </w:p>
    <w:p w14:paraId="68E7044D" w14:textId="7EFAF413" w:rsidR="00D36B67" w:rsidRPr="00675182" w:rsidRDefault="00D36B67" w:rsidP="00BB03AC">
      <w:pPr>
        <w:spacing w:after="120"/>
        <w:jc w:val="both"/>
        <w:rPr>
          <w:rFonts w:cstheme="minorHAnsi"/>
          <w:szCs w:val="24"/>
        </w:rPr>
      </w:pPr>
      <w:r w:rsidRPr="00675182">
        <w:rPr>
          <w:rFonts w:cstheme="minorHAnsi"/>
          <w:szCs w:val="24"/>
        </w:rPr>
        <w:t>gs. – gadsimts</w:t>
      </w:r>
    </w:p>
    <w:p w14:paraId="328C7B2D" w14:textId="485B12A4" w:rsidR="00D55669" w:rsidRPr="00675182" w:rsidRDefault="00D55669" w:rsidP="00BB03AC">
      <w:pPr>
        <w:spacing w:after="120"/>
        <w:jc w:val="both"/>
        <w:rPr>
          <w:rFonts w:cstheme="minorHAnsi"/>
          <w:szCs w:val="24"/>
        </w:rPr>
      </w:pPr>
      <w:r w:rsidRPr="00675182">
        <w:rPr>
          <w:rFonts w:cstheme="minorHAnsi"/>
          <w:szCs w:val="24"/>
        </w:rPr>
        <w:t>HES – hidroelektrostacija</w:t>
      </w:r>
    </w:p>
    <w:p w14:paraId="3F8F6045" w14:textId="7F8B019C" w:rsidR="00F81596" w:rsidRPr="00675182" w:rsidRDefault="00F81596" w:rsidP="002B3341">
      <w:pPr>
        <w:spacing w:after="120"/>
        <w:jc w:val="both"/>
        <w:rPr>
          <w:rFonts w:cstheme="minorHAnsi"/>
        </w:rPr>
      </w:pPr>
      <w:r w:rsidRPr="00675182">
        <w:rPr>
          <w:rFonts w:cstheme="minorHAnsi"/>
        </w:rPr>
        <w:t>IAIN – individuālie aizsardzības un izmantošanas noteikumi</w:t>
      </w:r>
    </w:p>
    <w:p w14:paraId="12C9B63C" w14:textId="29A50FFB" w:rsidR="00BF7D19" w:rsidRPr="00675182" w:rsidRDefault="00BF7D19" w:rsidP="002B3341">
      <w:pPr>
        <w:spacing w:after="120"/>
        <w:jc w:val="both"/>
        <w:rPr>
          <w:rFonts w:cstheme="minorHAnsi"/>
        </w:rPr>
      </w:pPr>
      <w:r w:rsidRPr="00675182">
        <w:rPr>
          <w:rFonts w:cstheme="minorHAnsi"/>
        </w:rPr>
        <w:t>ĪA – īpaši aizsargājama</w:t>
      </w:r>
    </w:p>
    <w:p w14:paraId="71583416" w14:textId="40BA7B47" w:rsidR="00BF7D19" w:rsidRPr="00675182" w:rsidRDefault="00BF7D19" w:rsidP="002B3341">
      <w:pPr>
        <w:spacing w:after="120"/>
        <w:jc w:val="both"/>
        <w:rPr>
          <w:rFonts w:cstheme="minorHAnsi"/>
        </w:rPr>
      </w:pPr>
      <w:r w:rsidRPr="00675182">
        <w:rPr>
          <w:rFonts w:cstheme="minorHAnsi"/>
        </w:rPr>
        <w:t>ĪADT – īpaši aizsargājamas dabas teritorija</w:t>
      </w:r>
    </w:p>
    <w:p w14:paraId="4D1827B0" w14:textId="74DA105E" w:rsidR="00860F04" w:rsidRDefault="00860F04" w:rsidP="002B3341">
      <w:pPr>
        <w:spacing w:after="120"/>
        <w:jc w:val="both"/>
        <w:rPr>
          <w:rFonts w:cstheme="minorHAnsi"/>
        </w:rPr>
      </w:pPr>
      <w:r w:rsidRPr="00675182">
        <w:rPr>
          <w:rFonts w:cstheme="minorHAnsi"/>
        </w:rPr>
        <w:t>KF – Kohēzijas fonds</w:t>
      </w:r>
    </w:p>
    <w:p w14:paraId="6CB2D1EE" w14:textId="58015E76" w:rsidR="003E18DD" w:rsidRPr="00675182" w:rsidRDefault="003E18DD" w:rsidP="002B3341">
      <w:pPr>
        <w:spacing w:after="120"/>
        <w:jc w:val="both"/>
        <w:rPr>
          <w:rFonts w:cstheme="minorHAnsi"/>
        </w:rPr>
      </w:pPr>
      <w:r>
        <w:rPr>
          <w:rFonts w:cstheme="minorHAnsi"/>
        </w:rPr>
        <w:t>KVZ – kultūrvēsturiskā zona</w:t>
      </w:r>
    </w:p>
    <w:p w14:paraId="0BE08C8E" w14:textId="6F9C2C2C" w:rsidR="00572AC2" w:rsidRPr="00675182" w:rsidRDefault="00572AC2" w:rsidP="00572AC2">
      <w:pPr>
        <w:spacing w:after="120"/>
        <w:jc w:val="both"/>
        <w:rPr>
          <w:rFonts w:cstheme="minorHAnsi"/>
        </w:rPr>
      </w:pPr>
      <w:r w:rsidRPr="00675182">
        <w:rPr>
          <w:rFonts w:cstheme="minorHAnsi"/>
        </w:rPr>
        <w:t>LAD – Lauku atbalsta dienests</w:t>
      </w:r>
    </w:p>
    <w:p w14:paraId="5557844D" w14:textId="714ED4C2" w:rsidR="00157A9F" w:rsidRPr="00675182" w:rsidRDefault="00157A9F" w:rsidP="00572AC2">
      <w:pPr>
        <w:spacing w:after="120"/>
        <w:jc w:val="both"/>
        <w:rPr>
          <w:rFonts w:cstheme="minorHAnsi"/>
        </w:rPr>
      </w:pPr>
      <w:r w:rsidRPr="00675182">
        <w:rPr>
          <w:rFonts w:cstheme="minorHAnsi"/>
        </w:rPr>
        <w:t>LIZ – lauksaimniecībā izmantojamās zemes</w:t>
      </w:r>
    </w:p>
    <w:p w14:paraId="7A6D0B6F" w14:textId="3C62C7A2" w:rsidR="00F81596" w:rsidRPr="00675182" w:rsidRDefault="00F81596" w:rsidP="002B3341">
      <w:pPr>
        <w:spacing w:after="120"/>
        <w:jc w:val="both"/>
        <w:rPr>
          <w:rFonts w:cstheme="minorHAnsi"/>
        </w:rPr>
      </w:pPr>
      <w:r w:rsidRPr="00675182">
        <w:rPr>
          <w:rFonts w:cstheme="minorHAnsi"/>
        </w:rPr>
        <w:t>LĢIA – Latvijas Ģeotelpiskās informācijas aģentūra</w:t>
      </w:r>
    </w:p>
    <w:p w14:paraId="34915537" w14:textId="178AAF97" w:rsidR="00FA3761" w:rsidRPr="00675182" w:rsidRDefault="00FA3761" w:rsidP="002B3341">
      <w:pPr>
        <w:spacing w:after="120"/>
        <w:jc w:val="both"/>
        <w:rPr>
          <w:rFonts w:cstheme="minorHAnsi"/>
        </w:rPr>
      </w:pPr>
      <w:r w:rsidRPr="00675182">
        <w:rPr>
          <w:rFonts w:cstheme="minorHAnsi"/>
        </w:rPr>
        <w:t xml:space="preserve">LOB – </w:t>
      </w:r>
      <w:r w:rsidRPr="00675182">
        <w:rPr>
          <w:rFonts w:cstheme="minorHAnsi"/>
          <w:bCs/>
          <w:szCs w:val="24"/>
        </w:rPr>
        <w:t>Latvijas Ornitoloģijas biedrība</w:t>
      </w:r>
    </w:p>
    <w:p w14:paraId="2B23939D" w14:textId="5C7C13A9" w:rsidR="00C474FB" w:rsidRPr="00675182" w:rsidRDefault="00C474FB" w:rsidP="002B3341">
      <w:pPr>
        <w:spacing w:after="120"/>
        <w:jc w:val="both"/>
        <w:rPr>
          <w:rFonts w:cstheme="minorHAnsi"/>
          <w:szCs w:val="24"/>
        </w:rPr>
      </w:pPr>
      <w:r w:rsidRPr="00675182">
        <w:rPr>
          <w:rFonts w:cstheme="minorHAnsi"/>
          <w:szCs w:val="24"/>
        </w:rPr>
        <w:t>LR – Latvijas Republika</w:t>
      </w:r>
    </w:p>
    <w:p w14:paraId="1F0B2E76" w14:textId="42EA6AFB" w:rsidR="00C95EBB" w:rsidRPr="00675182" w:rsidRDefault="00C95EBB" w:rsidP="002B3341">
      <w:pPr>
        <w:spacing w:after="120"/>
        <w:jc w:val="both"/>
        <w:rPr>
          <w:rFonts w:cstheme="minorHAnsi"/>
          <w:b/>
          <w:bCs/>
        </w:rPr>
      </w:pPr>
      <w:r w:rsidRPr="00675182">
        <w:rPr>
          <w:rFonts w:cstheme="minorHAnsi"/>
        </w:rPr>
        <w:t>LSPB – Latvijas sikspārņu pētniecības biedrība</w:t>
      </w:r>
    </w:p>
    <w:p w14:paraId="445C8F65" w14:textId="31327541" w:rsidR="003608DD" w:rsidRPr="00675182" w:rsidRDefault="003608DD" w:rsidP="002B3341">
      <w:pPr>
        <w:spacing w:after="120"/>
        <w:jc w:val="both"/>
        <w:rPr>
          <w:rFonts w:cstheme="minorHAnsi"/>
        </w:rPr>
      </w:pPr>
      <w:r w:rsidRPr="00675182">
        <w:rPr>
          <w:rFonts w:cstheme="minorHAnsi"/>
        </w:rPr>
        <w:t>LVĢMC – VSIA “Latvijas vides, ģeoloģijas un meteoroloģijas centrs”</w:t>
      </w:r>
    </w:p>
    <w:p w14:paraId="77C917C6" w14:textId="7EF0449B" w:rsidR="00807355" w:rsidRPr="00675182" w:rsidRDefault="00807355" w:rsidP="002B3341">
      <w:pPr>
        <w:spacing w:after="120"/>
        <w:jc w:val="both"/>
        <w:rPr>
          <w:rFonts w:cstheme="minorHAnsi"/>
          <w:bCs/>
          <w:szCs w:val="24"/>
        </w:rPr>
      </w:pPr>
      <w:r w:rsidRPr="00675182">
        <w:rPr>
          <w:rFonts w:cstheme="minorHAnsi"/>
          <w:bCs/>
          <w:szCs w:val="24"/>
        </w:rPr>
        <w:t>LVAF – Latvijas vides aizsardzības fond</w:t>
      </w:r>
      <w:r w:rsidR="002C01EF" w:rsidRPr="00675182">
        <w:rPr>
          <w:rFonts w:cstheme="minorHAnsi"/>
          <w:bCs/>
          <w:szCs w:val="24"/>
        </w:rPr>
        <w:t>s</w:t>
      </w:r>
    </w:p>
    <w:p w14:paraId="6284E452" w14:textId="676F4DB5" w:rsidR="00C47AE1" w:rsidRPr="00675182" w:rsidRDefault="00C47AE1" w:rsidP="002B3341">
      <w:pPr>
        <w:spacing w:after="120"/>
        <w:jc w:val="both"/>
        <w:rPr>
          <w:rFonts w:cstheme="minorHAnsi"/>
          <w:bCs/>
          <w:szCs w:val="24"/>
        </w:rPr>
      </w:pPr>
      <w:r w:rsidRPr="00675182">
        <w:rPr>
          <w:rFonts w:cstheme="minorHAnsi"/>
          <w:bCs/>
          <w:szCs w:val="24"/>
        </w:rPr>
        <w:lastRenderedPageBreak/>
        <w:t xml:space="preserve">LVM </w:t>
      </w:r>
      <w:r w:rsidR="00A2530E" w:rsidRPr="00675182">
        <w:rPr>
          <w:rFonts w:cstheme="minorHAnsi"/>
          <w:bCs/>
          <w:szCs w:val="24"/>
        </w:rPr>
        <w:t>–</w:t>
      </w:r>
      <w:r w:rsidRPr="00675182">
        <w:rPr>
          <w:rFonts w:cstheme="minorHAnsi"/>
          <w:bCs/>
          <w:szCs w:val="24"/>
        </w:rPr>
        <w:t xml:space="preserve"> </w:t>
      </w:r>
      <w:r w:rsidR="00A2530E" w:rsidRPr="00675182">
        <w:rPr>
          <w:rFonts w:cstheme="minorHAnsi"/>
          <w:bCs/>
          <w:szCs w:val="24"/>
        </w:rPr>
        <w:t>akciju sabiedrība “Latvijas valsts meži”</w:t>
      </w:r>
    </w:p>
    <w:p w14:paraId="4FCF546F" w14:textId="26A7B77F" w:rsidR="002C01EF" w:rsidRPr="00675182" w:rsidRDefault="002C01EF" w:rsidP="002B3341">
      <w:pPr>
        <w:spacing w:after="120"/>
        <w:jc w:val="both"/>
        <w:rPr>
          <w:rFonts w:cstheme="minorHAnsi"/>
          <w:bCs/>
          <w:szCs w:val="24"/>
        </w:rPr>
      </w:pPr>
      <w:r w:rsidRPr="00675182">
        <w:rPr>
          <w:rFonts w:cstheme="minorHAnsi"/>
          <w:bCs/>
          <w:szCs w:val="24"/>
        </w:rPr>
        <w:t>LU – Latvijas Universitāte</w:t>
      </w:r>
    </w:p>
    <w:p w14:paraId="0B373B43" w14:textId="7C6A1A71" w:rsidR="00142D51" w:rsidRPr="00675182" w:rsidRDefault="00142D51" w:rsidP="002B3341">
      <w:pPr>
        <w:spacing w:after="120"/>
        <w:jc w:val="both"/>
        <w:rPr>
          <w:rFonts w:cstheme="minorHAnsi"/>
        </w:rPr>
      </w:pPr>
      <w:r w:rsidRPr="00675182">
        <w:rPr>
          <w:rFonts w:cstheme="minorHAnsi"/>
          <w:bCs/>
          <w:szCs w:val="24"/>
        </w:rPr>
        <w:t>MAP – meža apsaimniekošanas plāns</w:t>
      </w:r>
    </w:p>
    <w:p w14:paraId="5095740F" w14:textId="525B302D" w:rsidR="00F81596" w:rsidRPr="00675182" w:rsidRDefault="00F81596" w:rsidP="002B3341">
      <w:pPr>
        <w:spacing w:after="120"/>
        <w:jc w:val="both"/>
        <w:rPr>
          <w:rFonts w:cstheme="minorHAnsi"/>
        </w:rPr>
      </w:pPr>
      <w:r w:rsidRPr="00675182">
        <w:rPr>
          <w:rFonts w:cstheme="minorHAnsi"/>
        </w:rPr>
        <w:t>MK – Ministru Kabinets</w:t>
      </w:r>
    </w:p>
    <w:p w14:paraId="0F541514" w14:textId="5E912353" w:rsidR="00CB684D" w:rsidRPr="00675182" w:rsidRDefault="00CB684D" w:rsidP="002B3341">
      <w:pPr>
        <w:spacing w:after="120"/>
        <w:jc w:val="both"/>
        <w:rPr>
          <w:rFonts w:cstheme="minorHAnsi"/>
        </w:rPr>
      </w:pPr>
      <w:r w:rsidRPr="00675182">
        <w:rPr>
          <w:rFonts w:cstheme="minorHAnsi"/>
          <w:szCs w:val="24"/>
        </w:rPr>
        <w:t>MP – Ministru Padome</w:t>
      </w:r>
    </w:p>
    <w:p w14:paraId="54743AFF" w14:textId="2477A821" w:rsidR="00465D32" w:rsidRPr="00675182" w:rsidRDefault="00465D32" w:rsidP="002B3341">
      <w:pPr>
        <w:spacing w:after="120"/>
        <w:jc w:val="both"/>
        <w:rPr>
          <w:rFonts w:cstheme="minorHAnsi"/>
        </w:rPr>
      </w:pPr>
      <w:r w:rsidRPr="00675182">
        <w:rPr>
          <w:rFonts w:cstheme="minorHAnsi"/>
        </w:rPr>
        <w:t>MVR – Meža valsts reģistrs</w:t>
      </w:r>
    </w:p>
    <w:p w14:paraId="064CD6F7" w14:textId="118AA11D" w:rsidR="00572AC2" w:rsidRPr="00675182" w:rsidRDefault="00572AC2" w:rsidP="00572AC2">
      <w:pPr>
        <w:spacing w:after="120"/>
        <w:jc w:val="both"/>
        <w:rPr>
          <w:rFonts w:cstheme="minorHAnsi"/>
        </w:rPr>
      </w:pPr>
      <w:r w:rsidRPr="00675182">
        <w:rPr>
          <w:rFonts w:cstheme="minorHAnsi"/>
        </w:rPr>
        <w:t>NAI – notekūdeņu attīrīšanas iekārtas</w:t>
      </w:r>
    </w:p>
    <w:p w14:paraId="0E539022" w14:textId="04228D84" w:rsidR="0048790C" w:rsidRDefault="0048790C" w:rsidP="00572AC2">
      <w:pPr>
        <w:spacing w:after="120"/>
        <w:jc w:val="both"/>
        <w:rPr>
          <w:rFonts w:cstheme="minorHAnsi"/>
        </w:rPr>
      </w:pPr>
      <w:r w:rsidRPr="00675182">
        <w:rPr>
          <w:rFonts w:cstheme="minorHAnsi"/>
        </w:rPr>
        <w:t>PDMB – potenciālie dabiskie meža biotopi</w:t>
      </w:r>
    </w:p>
    <w:p w14:paraId="3C9BB328" w14:textId="3A678313" w:rsidR="006415E9" w:rsidRPr="00675182" w:rsidRDefault="006415E9" w:rsidP="00572AC2">
      <w:pPr>
        <w:spacing w:after="120"/>
        <w:jc w:val="both"/>
        <w:rPr>
          <w:rFonts w:cstheme="minorHAnsi"/>
        </w:rPr>
      </w:pPr>
      <w:r>
        <w:rPr>
          <w:rFonts w:cstheme="minorHAnsi"/>
        </w:rPr>
        <w:t xml:space="preserve">Putnu direktīva - </w:t>
      </w:r>
      <w:r w:rsidRPr="006415E9">
        <w:rPr>
          <w:rFonts w:cstheme="minorHAnsi"/>
        </w:rPr>
        <w:t>Eiropas Parlamenta un Padomes 2009. gada 30. novembr</w:t>
      </w:r>
      <w:r>
        <w:rPr>
          <w:rFonts w:cstheme="minorHAnsi"/>
        </w:rPr>
        <w:t xml:space="preserve">a </w:t>
      </w:r>
      <w:r w:rsidRPr="006415E9">
        <w:rPr>
          <w:rFonts w:cstheme="minorHAnsi"/>
        </w:rPr>
        <w:t>Direktīva 2009/147/EK par savvaļas putnu aizsardzību</w:t>
      </w:r>
    </w:p>
    <w:p w14:paraId="59703569" w14:textId="7B822611" w:rsidR="002F0941" w:rsidRPr="00675182" w:rsidRDefault="002F0941" w:rsidP="00572AC2">
      <w:pPr>
        <w:spacing w:after="120"/>
        <w:jc w:val="both"/>
        <w:rPr>
          <w:rFonts w:cstheme="minorHAnsi"/>
        </w:rPr>
      </w:pPr>
      <w:r w:rsidRPr="00675182">
        <w:rPr>
          <w:rFonts w:cstheme="minorHAnsi"/>
        </w:rPr>
        <w:t>NKMP – Nacionālā kultūras mantojuma pārvalde</w:t>
      </w:r>
    </w:p>
    <w:p w14:paraId="4AFB4F70" w14:textId="5607C09D" w:rsidR="0070541F" w:rsidRDefault="0070541F" w:rsidP="00572AC2">
      <w:pPr>
        <w:spacing w:after="120"/>
        <w:jc w:val="both"/>
        <w:rPr>
          <w:rFonts w:cstheme="minorHAnsi"/>
        </w:rPr>
      </w:pPr>
      <w:r w:rsidRPr="00675182">
        <w:rPr>
          <w:rFonts w:cstheme="minorHAnsi"/>
        </w:rPr>
        <w:t xml:space="preserve">NVO </w:t>
      </w:r>
      <w:r w:rsidR="003874C6" w:rsidRPr="00675182">
        <w:rPr>
          <w:rFonts w:cstheme="minorHAnsi"/>
        </w:rPr>
        <w:t>–</w:t>
      </w:r>
      <w:r w:rsidRPr="00675182">
        <w:rPr>
          <w:rFonts w:cstheme="minorHAnsi"/>
        </w:rPr>
        <w:t xml:space="preserve"> </w:t>
      </w:r>
      <w:r w:rsidR="003874C6" w:rsidRPr="00675182">
        <w:rPr>
          <w:rFonts w:cstheme="minorHAnsi"/>
        </w:rPr>
        <w:t>nevalstiskā organizācija</w:t>
      </w:r>
    </w:p>
    <w:p w14:paraId="0330CAD6" w14:textId="1B39A2C7" w:rsidR="00223750" w:rsidRPr="00675182" w:rsidRDefault="00223750" w:rsidP="00572AC2">
      <w:pPr>
        <w:spacing w:after="120"/>
        <w:jc w:val="both"/>
        <w:rPr>
          <w:rFonts w:cstheme="minorHAnsi"/>
        </w:rPr>
      </w:pPr>
      <w:r w:rsidRPr="00675182">
        <w:rPr>
          <w:rFonts w:ascii="Calibri" w:hAnsi="Calibri"/>
        </w:rPr>
        <w:t xml:space="preserve">NZ </w:t>
      </w:r>
      <w:r>
        <w:rPr>
          <w:rFonts w:ascii="Calibri" w:hAnsi="Calibri"/>
        </w:rPr>
        <w:t xml:space="preserve">– neitrālā zona </w:t>
      </w:r>
    </w:p>
    <w:p w14:paraId="1D79BE53" w14:textId="1E04C038" w:rsidR="00572AC2" w:rsidRPr="00675182" w:rsidRDefault="00572AC2" w:rsidP="002B3341">
      <w:pPr>
        <w:spacing w:after="120"/>
        <w:jc w:val="both"/>
        <w:rPr>
          <w:rFonts w:cstheme="minorHAnsi"/>
        </w:rPr>
      </w:pPr>
      <w:r w:rsidRPr="00675182">
        <w:rPr>
          <w:rFonts w:cstheme="minorHAnsi"/>
        </w:rPr>
        <w:t>PNV – putniem nozīmīga vieta</w:t>
      </w:r>
    </w:p>
    <w:p w14:paraId="0A081BF6" w14:textId="689A3ECE" w:rsidR="00F81596" w:rsidRPr="00675182" w:rsidRDefault="00F81596" w:rsidP="002B3341">
      <w:pPr>
        <w:spacing w:after="120"/>
        <w:jc w:val="both"/>
        <w:rPr>
          <w:rFonts w:cstheme="minorHAnsi"/>
        </w:rPr>
      </w:pPr>
      <w:r w:rsidRPr="00675182">
        <w:rPr>
          <w:rFonts w:cstheme="minorHAnsi"/>
        </w:rPr>
        <w:t>SDF, Natura 2000 SDF – Natura 2000 teritoriju apraksta standarta datu forma</w:t>
      </w:r>
    </w:p>
    <w:p w14:paraId="006856F5" w14:textId="656C09F0" w:rsidR="00DB00B5" w:rsidRDefault="00DB00B5" w:rsidP="002B3341">
      <w:pPr>
        <w:spacing w:after="120"/>
        <w:jc w:val="both"/>
        <w:rPr>
          <w:rFonts w:cstheme="minorHAnsi"/>
        </w:rPr>
      </w:pPr>
      <w:r w:rsidRPr="00675182">
        <w:rPr>
          <w:rFonts w:cstheme="minorHAnsi"/>
        </w:rPr>
        <w:t>SEG – siltumnīcefektu gāze</w:t>
      </w:r>
    </w:p>
    <w:p w14:paraId="05C200E3" w14:textId="5A15D753" w:rsidR="00223750" w:rsidRPr="00675182" w:rsidRDefault="00223750" w:rsidP="002B3341">
      <w:pPr>
        <w:spacing w:after="120"/>
        <w:jc w:val="both"/>
        <w:rPr>
          <w:rFonts w:cstheme="minorHAnsi"/>
        </w:rPr>
      </w:pPr>
      <w:r w:rsidRPr="00675182">
        <w:rPr>
          <w:rFonts w:ascii="Calibri" w:hAnsi="Calibri"/>
        </w:rPr>
        <w:t xml:space="preserve">SRZ </w:t>
      </w:r>
      <w:r>
        <w:rPr>
          <w:rFonts w:ascii="Calibri" w:hAnsi="Calibri"/>
        </w:rPr>
        <w:t xml:space="preserve">- </w:t>
      </w:r>
      <w:r w:rsidRPr="00675182">
        <w:rPr>
          <w:rFonts w:ascii="Calibri" w:hAnsi="Calibri"/>
        </w:rPr>
        <w:t xml:space="preserve">stingrā režīma zona </w:t>
      </w:r>
    </w:p>
    <w:p w14:paraId="74255F3E" w14:textId="1ADA5F7A" w:rsidR="008955B0" w:rsidRDefault="008955B0" w:rsidP="002B3341">
      <w:pPr>
        <w:spacing w:after="120"/>
        <w:jc w:val="both"/>
        <w:rPr>
          <w:rFonts w:cstheme="minorHAnsi"/>
        </w:rPr>
      </w:pPr>
      <w:r w:rsidRPr="00675182">
        <w:rPr>
          <w:rFonts w:cstheme="minorHAnsi"/>
        </w:rPr>
        <w:t xml:space="preserve">TIAN - </w:t>
      </w:r>
      <w:r w:rsidR="00105EB5" w:rsidRPr="00675182">
        <w:rPr>
          <w:rFonts w:cstheme="minorHAnsi"/>
        </w:rPr>
        <w:t>t</w:t>
      </w:r>
      <w:r w:rsidR="00487311" w:rsidRPr="00675182">
        <w:rPr>
          <w:rFonts w:cstheme="minorHAnsi"/>
        </w:rPr>
        <w:t>eritorijas izmantošanas un apbūves noteikumi</w:t>
      </w:r>
    </w:p>
    <w:p w14:paraId="6A0D4F32" w14:textId="52E1D9F7" w:rsidR="00DC218F" w:rsidRPr="00675182" w:rsidRDefault="00DC218F" w:rsidP="002B3341">
      <w:pPr>
        <w:spacing w:after="120"/>
        <w:jc w:val="both"/>
        <w:rPr>
          <w:rFonts w:cstheme="minorHAnsi"/>
        </w:rPr>
      </w:pPr>
      <w:r>
        <w:rPr>
          <w:rFonts w:cstheme="minorHAnsi"/>
          <w:shd w:val="clear" w:color="auto" w:fill="FFFFFF"/>
        </w:rPr>
        <w:t xml:space="preserve">TIC - </w:t>
      </w:r>
      <w:r w:rsidRPr="00675182">
        <w:rPr>
          <w:rFonts w:cstheme="minorHAnsi"/>
          <w:shd w:val="clear" w:color="auto" w:fill="FFFFFF"/>
        </w:rPr>
        <w:t>tūrisma informācijas centr</w:t>
      </w:r>
      <w:r>
        <w:rPr>
          <w:rFonts w:cstheme="minorHAnsi"/>
          <w:shd w:val="clear" w:color="auto" w:fill="FFFFFF"/>
        </w:rPr>
        <w:t>s</w:t>
      </w:r>
    </w:p>
    <w:p w14:paraId="243123F3" w14:textId="4EC6B793" w:rsidR="00D55669" w:rsidRPr="00675182" w:rsidRDefault="00D55669" w:rsidP="002B3341">
      <w:pPr>
        <w:spacing w:after="120"/>
        <w:jc w:val="both"/>
        <w:rPr>
          <w:rFonts w:cstheme="minorHAnsi"/>
          <w:szCs w:val="24"/>
        </w:rPr>
      </w:pPr>
      <w:r w:rsidRPr="00675182">
        <w:rPr>
          <w:rFonts w:cstheme="minorHAnsi"/>
          <w:szCs w:val="24"/>
        </w:rPr>
        <w:t>UBA</w:t>
      </w:r>
      <w:r w:rsidR="00903048">
        <w:rPr>
          <w:rFonts w:cstheme="minorHAnsi"/>
          <w:szCs w:val="24"/>
        </w:rPr>
        <w:t>A</w:t>
      </w:r>
      <w:r w:rsidRPr="00675182">
        <w:rPr>
          <w:rFonts w:cstheme="minorHAnsi"/>
          <w:szCs w:val="24"/>
        </w:rPr>
        <w:t xml:space="preserve">P – upju baseinu </w:t>
      </w:r>
      <w:r w:rsidR="00903048">
        <w:rPr>
          <w:rFonts w:cstheme="minorHAnsi"/>
          <w:szCs w:val="24"/>
        </w:rPr>
        <w:t xml:space="preserve">apgabala </w:t>
      </w:r>
      <w:r w:rsidRPr="00675182">
        <w:rPr>
          <w:rFonts w:cstheme="minorHAnsi"/>
          <w:szCs w:val="24"/>
        </w:rPr>
        <w:t>apsaimniekošanas plāns</w:t>
      </w:r>
    </w:p>
    <w:p w14:paraId="483B27CB" w14:textId="0688AE32" w:rsidR="001F1DFA" w:rsidRPr="00675182" w:rsidRDefault="001F1DFA" w:rsidP="002B3341">
      <w:pPr>
        <w:spacing w:after="120"/>
        <w:jc w:val="both"/>
        <w:rPr>
          <w:rFonts w:cstheme="minorHAnsi"/>
          <w:szCs w:val="24"/>
        </w:rPr>
      </w:pPr>
      <w:r w:rsidRPr="00675182">
        <w:rPr>
          <w:rFonts w:cstheme="minorHAnsi"/>
          <w:szCs w:val="24"/>
        </w:rPr>
        <w:t>ŪO – ūdensobjekts</w:t>
      </w:r>
    </w:p>
    <w:p w14:paraId="58C3B42D" w14:textId="32537108" w:rsidR="003F23C8" w:rsidRPr="00675182" w:rsidRDefault="003F23C8" w:rsidP="002B3341">
      <w:pPr>
        <w:spacing w:after="120"/>
        <w:jc w:val="both"/>
        <w:rPr>
          <w:rFonts w:cstheme="minorHAnsi"/>
        </w:rPr>
      </w:pPr>
      <w:r w:rsidRPr="00675182">
        <w:rPr>
          <w:rFonts w:cstheme="minorHAnsi"/>
        </w:rPr>
        <w:t xml:space="preserve">VAS – </w:t>
      </w:r>
      <w:r w:rsidR="00D55669" w:rsidRPr="00675182">
        <w:rPr>
          <w:rFonts w:cstheme="minorHAnsi"/>
        </w:rPr>
        <w:t>v</w:t>
      </w:r>
      <w:r w:rsidRPr="00675182">
        <w:rPr>
          <w:rFonts w:cstheme="minorHAnsi"/>
        </w:rPr>
        <w:t>alsts akciju sabiedrība</w:t>
      </w:r>
    </w:p>
    <w:p w14:paraId="66E3F67D" w14:textId="77777777" w:rsidR="00F81596" w:rsidRPr="00675182" w:rsidRDefault="00F81596" w:rsidP="002B3341">
      <w:pPr>
        <w:spacing w:after="120"/>
        <w:jc w:val="both"/>
        <w:rPr>
          <w:rFonts w:cstheme="minorHAnsi"/>
        </w:rPr>
      </w:pPr>
      <w:r w:rsidRPr="00675182">
        <w:rPr>
          <w:rFonts w:cstheme="minorHAnsi"/>
        </w:rPr>
        <w:t>VARAM – Vides aizsardzības un reģionālās attīstības ministrija</w:t>
      </w:r>
    </w:p>
    <w:p w14:paraId="527418F0" w14:textId="4A34AB4B" w:rsidR="00C4286B" w:rsidRPr="00675182" w:rsidRDefault="00C4286B" w:rsidP="002B3341">
      <w:pPr>
        <w:spacing w:after="120"/>
        <w:jc w:val="both"/>
        <w:rPr>
          <w:rFonts w:cstheme="minorHAnsi"/>
        </w:rPr>
      </w:pPr>
      <w:r w:rsidRPr="00675182">
        <w:rPr>
          <w:rFonts w:cstheme="minorHAnsi"/>
        </w:rPr>
        <w:t>vjl. – virs jūras līmeņa</w:t>
      </w:r>
    </w:p>
    <w:p w14:paraId="4AED8EDF" w14:textId="78B87741" w:rsidR="00F81596" w:rsidRPr="00675182" w:rsidRDefault="00F81596" w:rsidP="002B3341">
      <w:pPr>
        <w:spacing w:after="120"/>
        <w:jc w:val="both"/>
        <w:rPr>
          <w:rFonts w:cstheme="minorHAnsi"/>
        </w:rPr>
      </w:pPr>
      <w:r w:rsidRPr="00675182">
        <w:rPr>
          <w:rFonts w:cstheme="minorHAnsi"/>
        </w:rPr>
        <w:t>VMD – Valsts meža dienests</w:t>
      </w:r>
    </w:p>
    <w:p w14:paraId="4FD10229" w14:textId="267A13C5" w:rsidR="00572C00" w:rsidRDefault="00572C00" w:rsidP="002B3341">
      <w:pPr>
        <w:spacing w:after="120"/>
        <w:jc w:val="both"/>
        <w:rPr>
          <w:rFonts w:cstheme="minorHAnsi"/>
        </w:rPr>
      </w:pPr>
      <w:r w:rsidRPr="00675182">
        <w:rPr>
          <w:rFonts w:cstheme="minorHAnsi"/>
        </w:rPr>
        <w:t>VMR – Valsts meža reģistrs</w:t>
      </w:r>
    </w:p>
    <w:p w14:paraId="4BFB443A" w14:textId="7BEB626C" w:rsidR="00942950" w:rsidRPr="00675182" w:rsidRDefault="00942950" w:rsidP="002B3341">
      <w:pPr>
        <w:spacing w:after="120"/>
        <w:jc w:val="both"/>
        <w:rPr>
          <w:rFonts w:cstheme="minorHAnsi"/>
        </w:rPr>
      </w:pPr>
      <w:r>
        <w:rPr>
          <w:rFonts w:cstheme="minorHAnsi"/>
        </w:rPr>
        <w:t>VVD – Valsts vides dienests</w:t>
      </w:r>
    </w:p>
    <w:p w14:paraId="4EE498BC" w14:textId="1AD9A1F9" w:rsidR="00572C00" w:rsidRPr="00675182" w:rsidRDefault="00572C00" w:rsidP="002B3341">
      <w:pPr>
        <w:spacing w:after="120"/>
        <w:jc w:val="both"/>
        <w:rPr>
          <w:rFonts w:cstheme="minorHAnsi"/>
        </w:rPr>
      </w:pPr>
      <w:r w:rsidRPr="00675182">
        <w:rPr>
          <w:rFonts w:cstheme="minorHAnsi"/>
        </w:rPr>
        <w:t>VZD – Valsts zemes dienests</w:t>
      </w:r>
    </w:p>
    <w:p w14:paraId="57C3E2EF" w14:textId="551D0F90" w:rsidR="008274C1" w:rsidRPr="00675182" w:rsidRDefault="008274C1" w:rsidP="002B3341">
      <w:pPr>
        <w:spacing w:after="120"/>
        <w:jc w:val="both"/>
        <w:rPr>
          <w:rFonts w:cstheme="minorHAnsi"/>
        </w:rPr>
      </w:pPr>
      <w:r w:rsidRPr="00675182">
        <w:rPr>
          <w:rFonts w:cstheme="minorHAnsi"/>
        </w:rPr>
        <w:t xml:space="preserve">ZMNI - </w:t>
      </w:r>
      <w:r w:rsidRPr="00675182">
        <w:rPr>
          <w:rStyle w:val="acopre"/>
          <w:rFonts w:cstheme="minorHAnsi"/>
        </w:rPr>
        <w:t>VSIA “Zemkopības ministrijas nekustamie īpašumi”</w:t>
      </w:r>
    </w:p>
    <w:p w14:paraId="168ED921" w14:textId="77777777" w:rsidR="00011E51" w:rsidRPr="00675182" w:rsidRDefault="00002BD3" w:rsidP="00A176D9">
      <w:pPr>
        <w:pStyle w:val="Heading1"/>
      </w:pPr>
      <w:r w:rsidRPr="00675182">
        <w:br w:type="page"/>
      </w:r>
      <w:bookmarkStart w:id="4" w:name="_Toc116938377"/>
      <w:r w:rsidR="00011E51" w:rsidRPr="00675182">
        <w:lastRenderedPageBreak/>
        <w:t>Kopsavilkums</w:t>
      </w:r>
      <w:bookmarkEnd w:id="4"/>
      <w:r w:rsidR="00011E51" w:rsidRPr="00675182">
        <w:t xml:space="preserve"> </w:t>
      </w:r>
    </w:p>
    <w:p w14:paraId="4BF35F29" w14:textId="2E45A220" w:rsidR="00660418" w:rsidRPr="00675182" w:rsidRDefault="00660418" w:rsidP="002B3341">
      <w:pPr>
        <w:tabs>
          <w:tab w:val="num" w:pos="720"/>
        </w:tabs>
        <w:jc w:val="both"/>
        <w:rPr>
          <w:rFonts w:cstheme="minorHAnsi"/>
        </w:rPr>
      </w:pPr>
    </w:p>
    <w:p w14:paraId="1AF31E92" w14:textId="44A6F510" w:rsidR="000224CE" w:rsidRPr="00675182" w:rsidRDefault="000224CE" w:rsidP="002D4CA5">
      <w:pPr>
        <w:jc w:val="both"/>
        <w:rPr>
          <w:rFonts w:ascii="Calibri" w:hAnsi="Calibri"/>
        </w:rPr>
      </w:pPr>
      <w:r w:rsidRPr="00675182">
        <w:rPr>
          <w:rFonts w:ascii="Calibri" w:hAnsi="Calibri"/>
          <w:szCs w:val="24"/>
        </w:rPr>
        <w:t xml:space="preserve">Gaujas Nacionālais parks (turpmāk tekstā - GNP) atrodas Latvijas ziemeļaustrumos, Vidzemē (skat. 1.1.1. attēlu). Tas izveidots 1973. gadā un ir vecākais nacionālais parks Latvijā un otrs vecākais Baltijā. Kopš 2004. gada GNP ir iekļauts Eiropas Savienības </w:t>
      </w:r>
      <w:r w:rsidR="001E2107" w:rsidRPr="00675182">
        <w:rPr>
          <w:rFonts w:ascii="Calibri" w:hAnsi="Calibri"/>
          <w:szCs w:val="24"/>
        </w:rPr>
        <w:t xml:space="preserve">(turpmāk – ES) </w:t>
      </w:r>
      <w:r w:rsidRPr="00675182">
        <w:rPr>
          <w:rFonts w:ascii="Calibri" w:hAnsi="Calibri"/>
          <w:szCs w:val="24"/>
        </w:rPr>
        <w:t xml:space="preserve">nozīmes aizsargājamo teritoriju Natura 2000 tīklā. GNP teritorija ietver Gaujas senieleju aptuveni 95 km garumā ar tai pieguļošajām teritorijām – pieteku ielejām, mežu masīviem, kultūrvēsturiskām teritorijām. Atbilstoši administratīvajam iedalījumam šobrīd GNP ietilpst 4 novadu teritorijās – Cēsu, Saulkrastu, Siguldas un Valmieras novados. Atbilstoši </w:t>
      </w:r>
      <w:r w:rsidRPr="00675182">
        <w:rPr>
          <w:rFonts w:ascii="Calibri" w:hAnsi="Calibri"/>
        </w:rPr>
        <w:t>dabas datu pārvaldības sistēmā</w:t>
      </w:r>
      <w:r w:rsidRPr="00675182">
        <w:rPr>
          <w:rFonts w:ascii="Calibri" w:hAnsi="Calibri"/>
          <w:szCs w:val="24"/>
        </w:rPr>
        <w:t xml:space="preserve"> “Ozols” norādītajai informācijai, GNP platība ir 91 787 ha. </w:t>
      </w:r>
      <w:r w:rsidRPr="00675182">
        <w:rPr>
          <w:rFonts w:ascii="Calibri" w:hAnsi="Calibri"/>
        </w:rPr>
        <w:t>Gaujas nacionālā parka likums (pieņemts 2009. gada 30. aprīlī) nosaka parka robežas, funkcionālās zonas, kā arī definē dažas aizliegtās un atļautās darbības. Savukārt MK</w:t>
      </w:r>
      <w:r w:rsidRPr="00675182" w:rsidDel="00456F1B">
        <w:rPr>
          <w:rFonts w:ascii="Calibri" w:hAnsi="Calibri"/>
        </w:rPr>
        <w:t xml:space="preserve"> </w:t>
      </w:r>
      <w:r w:rsidR="00D05755">
        <w:rPr>
          <w:rFonts w:ascii="Calibri" w:hAnsi="Calibri"/>
        </w:rPr>
        <w:t xml:space="preserve">2012.gada 2.maija </w:t>
      </w:r>
      <w:r w:rsidRPr="00675182">
        <w:rPr>
          <w:rFonts w:ascii="Calibri" w:hAnsi="Calibri"/>
        </w:rPr>
        <w:t>noteikumi Nr. 317 “Gaujas nacionālā parka individuālie aizsardzības un izmantošanas noteikumi” nosaka parka funkcionālo zonu platības un robežu aprakstus, kā arī definē individuālo aizsardzības un izmantošanas kārtību Saskaņā ar spēkā esošajiem normatīvajiem aktiem GNP ir noteiktas 5 funkcionālās zonas: dabas rezervāta jeb stingrā režīma zona, dabas lieguma, ainavu aizsardzības, kultūrvēsturiskā un neitrālā zonā.</w:t>
      </w:r>
    </w:p>
    <w:p w14:paraId="7BE899C2" w14:textId="77777777" w:rsidR="000224CE" w:rsidRPr="00675182" w:rsidRDefault="000224CE" w:rsidP="002D4CA5">
      <w:pPr>
        <w:jc w:val="both"/>
        <w:rPr>
          <w:rFonts w:ascii="Calibri" w:hAnsi="Calibri"/>
        </w:rPr>
      </w:pPr>
    </w:p>
    <w:p w14:paraId="255F95B3" w14:textId="7DF99339" w:rsidR="000224CE" w:rsidRPr="00675182" w:rsidRDefault="00564DB4" w:rsidP="00A84218">
      <w:pPr>
        <w:numPr>
          <w:ilvl w:val="0"/>
          <w:numId w:val="64"/>
        </w:numPr>
        <w:shd w:val="clear" w:color="auto" w:fill="FFFFFF"/>
        <w:suppressAutoHyphens w:val="0"/>
        <w:contextualSpacing/>
        <w:jc w:val="both"/>
        <w:rPr>
          <w:rFonts w:ascii="Calibri" w:hAnsi="Calibri"/>
        </w:rPr>
      </w:pPr>
      <w:r>
        <w:rPr>
          <w:rFonts w:ascii="Calibri" w:hAnsi="Calibri"/>
        </w:rPr>
        <w:t>ES nozīmes biotopi (tai skaitā daļa no tiem atbilst Latvijas īpaši aizsargājamiem biotopiem)</w:t>
      </w:r>
      <w:r w:rsidR="000224CE" w:rsidRPr="00675182">
        <w:rPr>
          <w:rFonts w:ascii="Calibri" w:hAnsi="Calibri"/>
        </w:rPr>
        <w:t xml:space="preserve"> aizņem </w:t>
      </w:r>
      <w:r w:rsidR="00F35F91" w:rsidRPr="00675182">
        <w:rPr>
          <w:rFonts w:cstheme="minorHAnsi"/>
        </w:rPr>
        <w:t>18 5</w:t>
      </w:r>
      <w:r w:rsidR="00B520EE">
        <w:rPr>
          <w:rFonts w:cstheme="minorHAnsi"/>
        </w:rPr>
        <w:t>80</w:t>
      </w:r>
      <w:r w:rsidR="00F35F91" w:rsidRPr="00675182">
        <w:rPr>
          <w:rFonts w:cstheme="minorHAnsi"/>
        </w:rPr>
        <w:t xml:space="preserve"> </w:t>
      </w:r>
      <w:r w:rsidR="000224CE" w:rsidRPr="00675182">
        <w:rPr>
          <w:rFonts w:ascii="Calibri" w:hAnsi="Calibri"/>
        </w:rPr>
        <w:t xml:space="preserve">ha jeb </w:t>
      </w:r>
      <w:r w:rsidR="002D4CA5" w:rsidRPr="00675182">
        <w:rPr>
          <w:rFonts w:ascii="Calibri" w:hAnsi="Calibri"/>
        </w:rPr>
        <w:t>vairāk</w:t>
      </w:r>
      <w:r w:rsidR="000224CE" w:rsidRPr="00675182">
        <w:rPr>
          <w:rFonts w:ascii="Calibri" w:hAnsi="Calibri"/>
        </w:rPr>
        <w:t xml:space="preserve"> 20 % no GNP teritorijas. Informācija par ES nozīmes biotopu</w:t>
      </w:r>
      <w:r w:rsidR="000C0481">
        <w:rPr>
          <w:rStyle w:val="FootnoteReference"/>
          <w:rFonts w:ascii="Calibri" w:hAnsi="Calibri"/>
        </w:rPr>
        <w:footnoteReference w:id="1"/>
      </w:r>
      <w:r w:rsidR="000224CE" w:rsidRPr="00675182">
        <w:rPr>
          <w:rFonts w:ascii="Calibri" w:hAnsi="Calibri"/>
        </w:rPr>
        <w:t xml:space="preserve"> platībām apkopota 2.1. tabulā, bet to izvietojums GNP teritorijā ir attēlots 2.3.1. attēlā un 9. pielikumā:</w:t>
      </w:r>
      <w:r w:rsidR="00ED199D" w:rsidRPr="00675182">
        <w:rPr>
          <w:rFonts w:ascii="Calibri" w:hAnsi="Calibri"/>
        </w:rPr>
        <w:t xml:space="preserve"> </w:t>
      </w:r>
      <w:r w:rsidR="000224CE" w:rsidRPr="00675182">
        <w:rPr>
          <w:rFonts w:ascii="Calibri" w:hAnsi="Calibri"/>
        </w:rPr>
        <w:t>Lielākās aizsargājamo biotopu platības (</w:t>
      </w:r>
      <w:r w:rsidR="007624AA" w:rsidRPr="00675182">
        <w:rPr>
          <w:rFonts w:ascii="Calibri" w:hAnsi="Calibri"/>
        </w:rPr>
        <w:t>vairāk nekā</w:t>
      </w:r>
      <w:r w:rsidR="000224CE" w:rsidRPr="00675182">
        <w:rPr>
          <w:rFonts w:ascii="Calibri" w:hAnsi="Calibri"/>
        </w:rPr>
        <w:t xml:space="preserve"> 13 % no GNP platības un 65% no kopējās aizsargājamo biotopu platības GNP) aizņem dažādi aizsargājami mežu biotopi. </w:t>
      </w:r>
    </w:p>
    <w:p w14:paraId="5EFEAEFF" w14:textId="77777777" w:rsidR="000224CE" w:rsidRPr="00675182" w:rsidRDefault="000224CE" w:rsidP="00A84218">
      <w:pPr>
        <w:numPr>
          <w:ilvl w:val="0"/>
          <w:numId w:val="64"/>
        </w:numPr>
        <w:shd w:val="clear" w:color="auto" w:fill="FFFFFF"/>
        <w:suppressAutoHyphens w:val="0"/>
        <w:contextualSpacing/>
        <w:jc w:val="both"/>
        <w:rPr>
          <w:rFonts w:ascii="Calibri" w:hAnsi="Calibri"/>
        </w:rPr>
      </w:pPr>
      <w:r w:rsidRPr="00675182">
        <w:rPr>
          <w:rFonts w:ascii="Calibri" w:hAnsi="Calibri"/>
        </w:rPr>
        <w:t>Otra lielākā biotopu grupa nacionālā parka teritorijā ir purvu biotopi, kas aizņem ap 4 % no GNP platības un gandrīz 20% no kopējās aizsargājamo biotopu platības.</w:t>
      </w:r>
    </w:p>
    <w:p w14:paraId="6B8C449A" w14:textId="6BB7B127" w:rsidR="000224CE" w:rsidRPr="00675182" w:rsidRDefault="000224CE" w:rsidP="00A84218">
      <w:pPr>
        <w:numPr>
          <w:ilvl w:val="0"/>
          <w:numId w:val="64"/>
        </w:numPr>
        <w:shd w:val="clear" w:color="auto" w:fill="FFFFFF"/>
        <w:suppressAutoHyphens w:val="0"/>
        <w:contextualSpacing/>
        <w:jc w:val="both"/>
        <w:rPr>
          <w:rFonts w:ascii="Calibri" w:hAnsi="Calibri"/>
        </w:rPr>
      </w:pPr>
      <w:r w:rsidRPr="00675182">
        <w:rPr>
          <w:rFonts w:ascii="Calibri" w:hAnsi="Calibri"/>
        </w:rPr>
        <w:t xml:space="preserve">Saldūdeņu biotopi veido neatņemamu GNP ainavas un ekoloģiskās struktūras sastāvdaļu. Kopumā stāvošo un tekošo saldūdeņu biotopi aizņem gandrīz </w:t>
      </w:r>
      <w:r w:rsidR="00681FFE">
        <w:rPr>
          <w:rFonts w:ascii="Calibri" w:hAnsi="Calibri"/>
        </w:rPr>
        <w:t>1882</w:t>
      </w:r>
      <w:r w:rsidRPr="00675182">
        <w:rPr>
          <w:rFonts w:ascii="Calibri" w:hAnsi="Calibri"/>
        </w:rPr>
        <w:t xml:space="preserve"> ha jeb 10 % no kopējās aizsargājamo biotopu platības.</w:t>
      </w:r>
    </w:p>
    <w:p w14:paraId="7F30AB39" w14:textId="1E43F210" w:rsidR="000224CE" w:rsidRPr="00675182" w:rsidRDefault="000224CE" w:rsidP="00A84218">
      <w:pPr>
        <w:numPr>
          <w:ilvl w:val="0"/>
          <w:numId w:val="64"/>
        </w:numPr>
        <w:shd w:val="clear" w:color="auto" w:fill="FFFFFF"/>
        <w:suppressAutoHyphens w:val="0"/>
        <w:contextualSpacing/>
        <w:jc w:val="both"/>
        <w:rPr>
          <w:rFonts w:ascii="Calibri" w:hAnsi="Calibri"/>
        </w:rPr>
      </w:pPr>
      <w:r w:rsidRPr="00675182">
        <w:rPr>
          <w:rFonts w:ascii="Calibri" w:hAnsi="Calibri"/>
        </w:rPr>
        <w:t>Zālāju biotopu platības GNP teritorijā aizņem vairāk nekā 8</w:t>
      </w:r>
      <w:r w:rsidR="00B520EE">
        <w:rPr>
          <w:rFonts w:ascii="Calibri" w:hAnsi="Calibri"/>
        </w:rPr>
        <w:t xml:space="preserve">48 </w:t>
      </w:r>
      <w:r w:rsidRPr="00675182">
        <w:rPr>
          <w:rFonts w:ascii="Calibri" w:hAnsi="Calibri"/>
        </w:rPr>
        <w:t>ha (4,</w:t>
      </w:r>
      <w:r w:rsidR="00681FFE">
        <w:rPr>
          <w:rFonts w:ascii="Calibri" w:hAnsi="Calibri"/>
        </w:rPr>
        <w:t xml:space="preserve">6 </w:t>
      </w:r>
      <w:r w:rsidRPr="00675182">
        <w:rPr>
          <w:rFonts w:ascii="Calibri" w:hAnsi="Calibri"/>
        </w:rPr>
        <w:t>% no GNP platības), potenciālo zālāju biotopu platības – 405 ha.</w:t>
      </w:r>
    </w:p>
    <w:p w14:paraId="09259D7A" w14:textId="3F44A5BB" w:rsidR="000224CE" w:rsidRPr="00675182" w:rsidRDefault="000224CE" w:rsidP="00A84218">
      <w:pPr>
        <w:numPr>
          <w:ilvl w:val="0"/>
          <w:numId w:val="64"/>
        </w:numPr>
        <w:shd w:val="clear" w:color="auto" w:fill="FFFFFF"/>
        <w:suppressAutoHyphens w:val="0"/>
        <w:contextualSpacing/>
        <w:jc w:val="both"/>
        <w:rPr>
          <w:rFonts w:ascii="Calibri" w:hAnsi="Calibri"/>
        </w:rPr>
      </w:pPr>
      <w:r w:rsidRPr="00675182">
        <w:rPr>
          <w:rFonts w:ascii="Calibri" w:hAnsi="Calibri"/>
        </w:rPr>
        <w:t xml:space="preserve">Ļoti nozīmīga biotopu grupa, kas veido ievērojamu daļu no šo biotopu kopējās platības Latvijā, ir alu un iežu atsegumu biotopi. GNP ir konstatēti visi trīs Latvijā sastopamo </w:t>
      </w:r>
      <w:r w:rsidR="00564DB4">
        <w:rPr>
          <w:rFonts w:ascii="Calibri" w:hAnsi="Calibri"/>
        </w:rPr>
        <w:t xml:space="preserve">ES nozīmes </w:t>
      </w:r>
      <w:r w:rsidRPr="00675182">
        <w:rPr>
          <w:rFonts w:ascii="Calibri" w:hAnsi="Calibri"/>
        </w:rPr>
        <w:t xml:space="preserve">iežu atsegumu biotopu veidi, atsevišķu atsegumu kopskaits pārsniedz </w:t>
      </w:r>
      <w:r w:rsidR="002D4CA5" w:rsidRPr="00675182">
        <w:rPr>
          <w:rFonts w:ascii="Calibri" w:hAnsi="Calibri"/>
        </w:rPr>
        <w:t>2040</w:t>
      </w:r>
      <w:r w:rsidRPr="00675182">
        <w:rPr>
          <w:rFonts w:ascii="Calibri" w:hAnsi="Calibri"/>
        </w:rPr>
        <w:t xml:space="preserve">, tāpat nacionālajā parkā šobrīd apzinātas vairāk nekā </w:t>
      </w:r>
      <w:r w:rsidR="002D4CA5" w:rsidRPr="00675182">
        <w:rPr>
          <w:rFonts w:ascii="Calibri" w:hAnsi="Calibri"/>
        </w:rPr>
        <w:t>285</w:t>
      </w:r>
      <w:r w:rsidRPr="00675182">
        <w:rPr>
          <w:rFonts w:ascii="Calibri" w:hAnsi="Calibri"/>
        </w:rPr>
        <w:t xml:space="preserve"> alas.</w:t>
      </w:r>
    </w:p>
    <w:p w14:paraId="0316F6DD" w14:textId="77777777" w:rsidR="000224CE" w:rsidRPr="00675182" w:rsidRDefault="000224CE" w:rsidP="002D4CA5">
      <w:pPr>
        <w:jc w:val="both"/>
        <w:rPr>
          <w:rFonts w:ascii="Calibri" w:hAnsi="Calibri"/>
        </w:rPr>
      </w:pPr>
    </w:p>
    <w:p w14:paraId="23092FD7" w14:textId="6C10C947" w:rsidR="000224CE" w:rsidRPr="00675182" w:rsidRDefault="000224CE" w:rsidP="002D4CA5">
      <w:pPr>
        <w:jc w:val="both"/>
        <w:rPr>
          <w:rFonts w:ascii="Calibri" w:hAnsi="Calibri"/>
        </w:rPr>
      </w:pPr>
      <w:r w:rsidRPr="00675182">
        <w:rPr>
          <w:rFonts w:ascii="Calibri" w:hAnsi="Calibri"/>
        </w:rPr>
        <w:t xml:space="preserve">GNP konstatētas 74 retas vai aizsargājamas vaskulāro augu sugas, 170 retas vai aizsargājamas sūnu sugas, 48 retas vai aizsargājamas ķērpju sugas, GNP teritorijā kā potenciāli ligzdojošas konstatētas 36 putnu sugas, kas iekļautas </w:t>
      </w:r>
      <w:r w:rsidR="00133666">
        <w:rPr>
          <w:rFonts w:ascii="Calibri" w:hAnsi="Calibri"/>
        </w:rPr>
        <w:t>Putnu direktīvas</w:t>
      </w:r>
      <w:r w:rsidRPr="00675182">
        <w:rPr>
          <w:rFonts w:ascii="Calibri" w:hAnsi="Calibri"/>
        </w:rPr>
        <w:t xml:space="preserve"> 1. pielikumā, kā arī 14 </w:t>
      </w:r>
      <w:r w:rsidR="00564DB4" w:rsidRPr="00675182">
        <w:rPr>
          <w:rFonts w:ascii="Calibri" w:hAnsi="Calibri"/>
        </w:rPr>
        <w:t>Latvij</w:t>
      </w:r>
      <w:r w:rsidR="00564DB4">
        <w:rPr>
          <w:rFonts w:ascii="Calibri" w:hAnsi="Calibri"/>
        </w:rPr>
        <w:t>as</w:t>
      </w:r>
      <w:r w:rsidR="00564DB4" w:rsidRPr="00675182">
        <w:rPr>
          <w:rFonts w:ascii="Calibri" w:hAnsi="Calibri"/>
        </w:rPr>
        <w:t xml:space="preserve"> </w:t>
      </w:r>
      <w:r w:rsidR="0084477E">
        <w:rPr>
          <w:rFonts w:ascii="Calibri" w:hAnsi="Calibri"/>
        </w:rPr>
        <w:t>ĪA</w:t>
      </w:r>
      <w:r w:rsidRPr="00675182">
        <w:rPr>
          <w:rFonts w:ascii="Calibri" w:hAnsi="Calibri"/>
        </w:rPr>
        <w:t xml:space="preserve"> putnu sugas. Tāpat nacionālā parka teritorijā sastopama daudzveidīga bezmugurkaulnieku fauna, ir konstatētas 108 </w:t>
      </w:r>
      <w:r w:rsidR="0084477E">
        <w:rPr>
          <w:rFonts w:ascii="Calibri" w:hAnsi="Calibri"/>
        </w:rPr>
        <w:t>ĪA</w:t>
      </w:r>
      <w:r w:rsidRPr="00675182">
        <w:rPr>
          <w:rFonts w:ascii="Calibri" w:hAnsi="Calibri"/>
        </w:rPr>
        <w:t xml:space="preserve"> vai Latvijā retas </w:t>
      </w:r>
      <w:r w:rsidRPr="00675182">
        <w:rPr>
          <w:rFonts w:ascii="Calibri" w:hAnsi="Calibri"/>
        </w:rPr>
        <w:lastRenderedPageBreak/>
        <w:t>bezmugurkaulnieku sugas, no kurām 18 ir iekļautas Eiropas Padomes direktīvas 92/43/EEK (21.05.1992) „Par dabisko dzīvotņu, savvaļas floras un faunas aizsardzību” II pielikumā, bet piecas sugas – IV pielikumā. Papildus tam GNP konstatētās Latvijā un Eiropā aizsargājamas vai retas sugas citās sugu grupās: 24 zīdītāju sugas, 14 abinieku un rāpuļu sugas un 12 zivju vai vēžveidīgo sugas.</w:t>
      </w:r>
    </w:p>
    <w:p w14:paraId="327CFD63" w14:textId="77777777" w:rsidR="000224CE" w:rsidRPr="00675182" w:rsidRDefault="000224CE" w:rsidP="000224CE">
      <w:pPr>
        <w:jc w:val="both"/>
        <w:rPr>
          <w:rFonts w:ascii="Calibri" w:hAnsi="Calibri"/>
          <w:szCs w:val="24"/>
        </w:rPr>
      </w:pPr>
    </w:p>
    <w:p w14:paraId="001184E1" w14:textId="054C3E74" w:rsidR="000224CE" w:rsidRPr="00675182" w:rsidRDefault="000224CE" w:rsidP="000224CE">
      <w:pPr>
        <w:jc w:val="both"/>
        <w:rPr>
          <w:rFonts w:ascii="Calibri" w:hAnsi="Calibri"/>
          <w:szCs w:val="24"/>
        </w:rPr>
      </w:pPr>
      <w:r w:rsidRPr="00675182">
        <w:rPr>
          <w:rFonts w:ascii="Calibri" w:hAnsi="Calibri"/>
          <w:szCs w:val="24"/>
        </w:rPr>
        <w:t xml:space="preserve">GNP teritorijā atrodas </w:t>
      </w:r>
      <w:r w:rsidR="00ED3FC6">
        <w:rPr>
          <w:rFonts w:ascii="Calibri" w:hAnsi="Calibri"/>
          <w:szCs w:val="24"/>
        </w:rPr>
        <w:t>6</w:t>
      </w:r>
      <w:r w:rsidRPr="00675182">
        <w:rPr>
          <w:rFonts w:ascii="Calibri" w:hAnsi="Calibri"/>
          <w:szCs w:val="24"/>
        </w:rPr>
        <w:t xml:space="preserve"> aizsargājamās alejas (</w:t>
      </w:r>
      <w:r w:rsidRPr="00675182">
        <w:rPr>
          <w:rFonts w:ascii="Calibri" w:hAnsi="Calibri"/>
          <w:bCs/>
        </w:rPr>
        <w:t>MK</w:t>
      </w:r>
      <w:r w:rsidR="00D05755">
        <w:rPr>
          <w:rFonts w:ascii="Calibri" w:hAnsi="Calibri"/>
          <w:bCs/>
        </w:rPr>
        <w:t xml:space="preserve"> 20</w:t>
      </w:r>
      <w:r w:rsidR="00FA7B74">
        <w:rPr>
          <w:rFonts w:ascii="Calibri" w:hAnsi="Calibri"/>
          <w:bCs/>
        </w:rPr>
        <w:t>23</w:t>
      </w:r>
      <w:r w:rsidR="00D05755">
        <w:rPr>
          <w:rFonts w:ascii="Calibri" w:hAnsi="Calibri"/>
          <w:bCs/>
        </w:rPr>
        <w:t xml:space="preserve">.gada </w:t>
      </w:r>
      <w:r w:rsidR="00FC26BF">
        <w:rPr>
          <w:rFonts w:ascii="Calibri" w:hAnsi="Calibri"/>
          <w:bCs/>
        </w:rPr>
        <w:t>28</w:t>
      </w:r>
      <w:r w:rsidR="00D05755">
        <w:rPr>
          <w:rFonts w:ascii="Calibri" w:hAnsi="Calibri"/>
          <w:bCs/>
        </w:rPr>
        <w:t>.</w:t>
      </w:r>
      <w:r w:rsidR="00FC26BF">
        <w:rPr>
          <w:rFonts w:ascii="Calibri" w:hAnsi="Calibri"/>
          <w:bCs/>
        </w:rPr>
        <w:t>marta</w:t>
      </w:r>
      <w:r w:rsidR="00D05755">
        <w:rPr>
          <w:rFonts w:ascii="Calibri" w:hAnsi="Calibri"/>
          <w:bCs/>
        </w:rPr>
        <w:t xml:space="preserve"> </w:t>
      </w:r>
      <w:r w:rsidRPr="00675182">
        <w:rPr>
          <w:rFonts w:ascii="Calibri" w:hAnsi="Calibri"/>
          <w:bCs/>
        </w:rPr>
        <w:t xml:space="preserve">noteikumi Nr. </w:t>
      </w:r>
      <w:r w:rsidR="00FC26BF">
        <w:rPr>
          <w:rFonts w:ascii="Calibri" w:hAnsi="Calibri"/>
          <w:bCs/>
        </w:rPr>
        <w:t>143</w:t>
      </w:r>
      <w:r w:rsidRPr="00675182">
        <w:rPr>
          <w:rFonts w:ascii="Calibri" w:hAnsi="Calibri"/>
          <w:bCs/>
        </w:rPr>
        <w:t xml:space="preserve"> </w:t>
      </w:r>
      <w:r w:rsidRPr="00675182">
        <w:rPr>
          <w:rFonts w:ascii="Calibri" w:hAnsi="Calibri"/>
          <w:szCs w:val="24"/>
        </w:rPr>
        <w:t xml:space="preserve">„Noteikumi par aizsargājamām alejām”), </w:t>
      </w:r>
      <w:r w:rsidR="00ED3FC6">
        <w:rPr>
          <w:rFonts w:ascii="Calibri" w:hAnsi="Calibri"/>
          <w:szCs w:val="24"/>
        </w:rPr>
        <w:t>3</w:t>
      </w:r>
      <w:r w:rsidRPr="00675182">
        <w:rPr>
          <w:rFonts w:ascii="Calibri" w:hAnsi="Calibri"/>
          <w:szCs w:val="24"/>
        </w:rPr>
        <w:t xml:space="preserve"> aizsargājamie dendroloģiskie stādījumi</w:t>
      </w:r>
      <w:r w:rsidR="009F5103" w:rsidRPr="00675182">
        <w:rPr>
          <w:rFonts w:ascii="Calibri" w:hAnsi="Calibri"/>
          <w:szCs w:val="24"/>
        </w:rPr>
        <w:t xml:space="preserve"> (</w:t>
      </w:r>
      <w:r w:rsidRPr="00675182">
        <w:rPr>
          <w:rFonts w:ascii="Calibri" w:hAnsi="Calibri"/>
        </w:rPr>
        <w:t>MK</w:t>
      </w:r>
      <w:r w:rsidR="00C005B2">
        <w:rPr>
          <w:rFonts w:ascii="Calibri" w:hAnsi="Calibri"/>
        </w:rPr>
        <w:t xml:space="preserve"> 2023.gada </w:t>
      </w:r>
      <w:r w:rsidR="00FA7B74">
        <w:rPr>
          <w:rFonts w:ascii="Calibri" w:hAnsi="Calibri"/>
        </w:rPr>
        <w:t xml:space="preserve">28.marta </w:t>
      </w:r>
      <w:r w:rsidRPr="00675182">
        <w:rPr>
          <w:rFonts w:ascii="Calibri" w:hAnsi="Calibri"/>
        </w:rPr>
        <w:t>noteikumi Nr. 1</w:t>
      </w:r>
      <w:r w:rsidR="00FC26BF">
        <w:rPr>
          <w:rFonts w:ascii="Calibri" w:hAnsi="Calibri"/>
        </w:rPr>
        <w:t>44</w:t>
      </w:r>
      <w:r w:rsidRPr="00675182">
        <w:rPr>
          <w:rFonts w:ascii="Calibri" w:hAnsi="Calibri"/>
        </w:rPr>
        <w:t xml:space="preserve"> </w:t>
      </w:r>
      <w:r w:rsidRPr="00675182">
        <w:rPr>
          <w:rFonts w:ascii="Calibri" w:hAnsi="Calibri"/>
          <w:szCs w:val="24"/>
        </w:rPr>
        <w:t>„Noteikumi par aizsargājamiem dendroloģiskiem stādījumiem”) un 532 valsts vai vietējas nozīmes dižkoki.</w:t>
      </w:r>
    </w:p>
    <w:p w14:paraId="3B234AE9" w14:textId="77777777" w:rsidR="000224CE" w:rsidRPr="00675182" w:rsidRDefault="000224CE" w:rsidP="000224CE">
      <w:pPr>
        <w:jc w:val="both"/>
        <w:rPr>
          <w:rFonts w:ascii="Calibri" w:hAnsi="Calibri"/>
          <w:szCs w:val="24"/>
        </w:rPr>
      </w:pPr>
    </w:p>
    <w:p w14:paraId="53FD95B3" w14:textId="77777777" w:rsidR="000224CE" w:rsidRPr="00675182" w:rsidRDefault="000224CE" w:rsidP="000224CE">
      <w:pPr>
        <w:jc w:val="both"/>
        <w:rPr>
          <w:rFonts w:ascii="Calibri" w:hAnsi="Calibri"/>
          <w:szCs w:val="24"/>
        </w:rPr>
      </w:pPr>
      <w:r w:rsidRPr="00675182">
        <w:rPr>
          <w:rFonts w:ascii="Calibri" w:hAnsi="Calibri"/>
          <w:szCs w:val="24"/>
        </w:rPr>
        <w:t>GNP ietver vienu no unikālajām Latvijas ainavām – Gaujas senieleju; nozīmīgas ainaviskās un ekoloģiskās vērtības saistītas gan ar to, gan ar Gaujas pieteku ielejām, savukārt, ārpus ielejām atrodami daudzveidīgi Latvijas ainavu tipi.</w:t>
      </w:r>
    </w:p>
    <w:p w14:paraId="4264DF53" w14:textId="77777777" w:rsidR="000224CE" w:rsidRPr="00675182" w:rsidRDefault="000224CE" w:rsidP="000224CE">
      <w:pPr>
        <w:jc w:val="both"/>
        <w:rPr>
          <w:rFonts w:ascii="Calibri" w:hAnsi="Calibri"/>
          <w:szCs w:val="24"/>
        </w:rPr>
      </w:pPr>
    </w:p>
    <w:p w14:paraId="32D85130" w14:textId="77777777" w:rsidR="000224CE" w:rsidRPr="00675182" w:rsidRDefault="000224CE" w:rsidP="000224CE">
      <w:pPr>
        <w:jc w:val="both"/>
        <w:rPr>
          <w:rFonts w:ascii="Calibri" w:hAnsi="Calibri"/>
          <w:szCs w:val="24"/>
        </w:rPr>
      </w:pPr>
      <w:r w:rsidRPr="00675182">
        <w:rPr>
          <w:rFonts w:ascii="Calibri" w:hAnsi="Calibri"/>
          <w:szCs w:val="24"/>
        </w:rPr>
        <w:t>Ainaviskās vērtības papildina GNP raksturīgais kultūrvēsturiskais mantojums – muižu apbūve un apstādījumi, pilskalni un senkapi, arī unikāli objekti kā Āraišu ezerpils, Turaidas muzejrezervāts un Līgatnes papīrfabrikas ciemats. Teritorijā atrodas 173 valsts aizsardzībā esoši kultūras pieminekļi.</w:t>
      </w:r>
    </w:p>
    <w:p w14:paraId="2FAF76B4" w14:textId="77777777" w:rsidR="000224CE" w:rsidRPr="00675182" w:rsidRDefault="000224CE" w:rsidP="000224CE">
      <w:pPr>
        <w:jc w:val="both"/>
        <w:rPr>
          <w:rFonts w:ascii="Calibri" w:hAnsi="Calibri"/>
          <w:szCs w:val="24"/>
        </w:rPr>
      </w:pPr>
    </w:p>
    <w:p w14:paraId="7969B02D" w14:textId="77777777" w:rsidR="000224CE" w:rsidRPr="00675182" w:rsidRDefault="000224CE" w:rsidP="000224CE">
      <w:pPr>
        <w:jc w:val="both"/>
        <w:rPr>
          <w:rFonts w:ascii="Calibri" w:hAnsi="Calibri"/>
          <w:szCs w:val="24"/>
        </w:rPr>
      </w:pPr>
      <w:r w:rsidRPr="00675182">
        <w:rPr>
          <w:rFonts w:ascii="Calibri" w:hAnsi="Calibri"/>
          <w:szCs w:val="24"/>
        </w:rPr>
        <w:t xml:space="preserve">GNP notiek daudzveidīgas sociālekonomiskās aktivitātes, tai skaitā tādas, kuras izmanto GNP dabas un ainaviskos resursus – lauksaimnieciskā darbība, mežizstrāde, derīgo izrakteņu ieguve, tūrisma un rekreācijas pakalpojumi u.c. </w:t>
      </w:r>
    </w:p>
    <w:p w14:paraId="6698B7EA" w14:textId="77777777" w:rsidR="000224CE" w:rsidRPr="00675182" w:rsidRDefault="000224CE" w:rsidP="000224CE">
      <w:pPr>
        <w:jc w:val="both"/>
        <w:rPr>
          <w:rFonts w:ascii="Calibri" w:hAnsi="Calibri"/>
          <w:highlight w:val="lightGray"/>
        </w:rPr>
      </w:pPr>
    </w:p>
    <w:p w14:paraId="0BD478BB" w14:textId="6B1284A7" w:rsidR="000224CE" w:rsidRPr="00675182" w:rsidRDefault="000224CE" w:rsidP="000224CE">
      <w:pPr>
        <w:jc w:val="both"/>
        <w:rPr>
          <w:rFonts w:ascii="Calibri" w:hAnsi="Calibri"/>
        </w:rPr>
      </w:pPr>
      <w:r w:rsidRPr="00675182">
        <w:rPr>
          <w:rFonts w:ascii="Calibri" w:hAnsi="Calibri"/>
        </w:rPr>
        <w:t>DA plāns tiek izstrādāts laika periodā no 2019. gada septembra līdz 2023. gada janvārim un tas ir izstrādāts atbilstoši Ministru kabineta</w:t>
      </w:r>
      <w:r w:rsidR="0045741B">
        <w:rPr>
          <w:rFonts w:ascii="Calibri" w:hAnsi="Calibri"/>
        </w:rPr>
        <w:t xml:space="preserve"> 2007.gada 9.oktobra</w:t>
      </w:r>
      <w:r w:rsidR="00880A11">
        <w:rPr>
          <w:rFonts w:ascii="Calibri" w:hAnsi="Calibri"/>
        </w:rPr>
        <w:t xml:space="preserve"> </w:t>
      </w:r>
      <w:r w:rsidRPr="00675182">
        <w:rPr>
          <w:rFonts w:ascii="Calibri" w:hAnsi="Calibri"/>
        </w:rPr>
        <w:t>noteikumiem Nr.686 ‘’Noteikumi par īpaši aizsargājamās dabas teritorijas dabas aizsardzības plāna saturu un izstrādes kārtību”. Uzsākot DA plānu, tika organizētas informatīvās sanāksmes (2020. gada 11. un 13. februārī). Plāna izstrādes uzraudzībai ar Dabas aizsardzības pārvaldes rīkojumu nodibināta Konsultatīvā grupa</w:t>
      </w:r>
      <w:r w:rsidR="0054457F" w:rsidRPr="00675182">
        <w:rPr>
          <w:rFonts w:ascii="Calibri" w:hAnsi="Calibri"/>
        </w:rPr>
        <w:t xml:space="preserve">, </w:t>
      </w:r>
      <w:r w:rsidRPr="00675182">
        <w:rPr>
          <w:rFonts w:ascii="Calibri" w:hAnsi="Calibri"/>
        </w:rPr>
        <w:t xml:space="preserve">kurā </w:t>
      </w:r>
      <w:r w:rsidR="0054457F" w:rsidRPr="00675182">
        <w:rPr>
          <w:rFonts w:ascii="Calibri" w:hAnsi="Calibri"/>
        </w:rPr>
        <w:t>tika iekļauti</w:t>
      </w:r>
      <w:r w:rsidRPr="00675182">
        <w:rPr>
          <w:rFonts w:ascii="Calibri" w:hAnsi="Calibri"/>
        </w:rPr>
        <w:t xml:space="preserve"> 10 locekļi ar balsstiesībām un 8 locekļi ar padomdevēja tiesībām. Ir notikušas </w:t>
      </w:r>
      <w:r w:rsidR="0054457F" w:rsidRPr="00675182">
        <w:rPr>
          <w:rFonts w:ascii="Calibri" w:hAnsi="Calibri"/>
        </w:rPr>
        <w:t>6</w:t>
      </w:r>
      <w:r w:rsidRPr="00675182">
        <w:rPr>
          <w:rFonts w:ascii="Calibri" w:hAnsi="Calibri"/>
        </w:rPr>
        <w:t xml:space="preserve"> </w:t>
      </w:r>
      <w:r w:rsidR="0054457F" w:rsidRPr="00675182">
        <w:rPr>
          <w:rFonts w:ascii="Calibri" w:hAnsi="Calibri"/>
        </w:rPr>
        <w:t>Konsultatīvās grupas</w:t>
      </w:r>
      <w:r w:rsidRPr="00675182">
        <w:rPr>
          <w:rFonts w:ascii="Calibri" w:hAnsi="Calibri"/>
        </w:rPr>
        <w:t xml:space="preserve"> sanāksmes (2020. gada 8. decembrī, 2021. gada 30. septembrī, 2022. gada 4. aprīlī, 12. jūlijā</w:t>
      </w:r>
      <w:r w:rsidR="0054457F" w:rsidRPr="00675182">
        <w:rPr>
          <w:rFonts w:ascii="Calibri" w:hAnsi="Calibri"/>
        </w:rPr>
        <w:t xml:space="preserve">, </w:t>
      </w:r>
      <w:r w:rsidRPr="00675182">
        <w:rPr>
          <w:rFonts w:ascii="Calibri" w:hAnsi="Calibri"/>
        </w:rPr>
        <w:t>15. augustā</w:t>
      </w:r>
      <w:r w:rsidR="0054457F" w:rsidRPr="00675182">
        <w:rPr>
          <w:rFonts w:ascii="Calibri" w:hAnsi="Calibri"/>
        </w:rPr>
        <w:t>, kā arī 12. decembrī</w:t>
      </w:r>
      <w:r w:rsidRPr="00675182">
        <w:rPr>
          <w:rFonts w:ascii="Calibri" w:hAnsi="Calibri"/>
        </w:rPr>
        <w:t>). Konsultatīvās grupas sanāksmes notikušas gan attālinātā formātā, gan klātienē, un tajās uzaicināti un piedalījušies arī interesenti, kuri izteikuši tādu vēlmi un iesnieguši DA plāna izstrādātājiem savu kontaktinformāciju.</w:t>
      </w:r>
      <w:r w:rsidR="00C90930" w:rsidRPr="00675182">
        <w:rPr>
          <w:rFonts w:ascii="Calibri" w:hAnsi="Calibri"/>
        </w:rPr>
        <w:t xml:space="preserve"> DA plāna</w:t>
      </w:r>
      <w:r w:rsidR="00C90930" w:rsidRPr="00675182">
        <w:rPr>
          <w:rFonts w:cstheme="minorHAnsi"/>
        </w:rPr>
        <w:t xml:space="preserve"> sabiedriskā apspriešana norisinājās laikā no 2022. gada 23. augusta līdz 26. septembrim, kuras laikā klātienē norisinājās 6 sabiedriskās apspriešanas sanāksmes. Sabiedriskās apspriešanas pārskats iekļauts 29.pielikumā. Pēc sabiedriskās apspriešanas DA plāns precizēts un atzinuma saņemšanai iesniegts Cēsu, Saulkrastu, Siguldas un Valmieras novadu pašvaldībās.</w:t>
      </w:r>
      <w:r w:rsidR="00903A17" w:rsidRPr="00675182">
        <w:rPr>
          <w:rFonts w:cstheme="minorHAnsi"/>
        </w:rPr>
        <w:t xml:space="preserve"> </w:t>
      </w:r>
      <w:r w:rsidR="00C93D54" w:rsidRPr="00675182">
        <w:rPr>
          <w:rFonts w:ascii="Calibri" w:hAnsi="Calibri" w:cs="Times New Roman"/>
        </w:rPr>
        <w:t>Saņemtie atzinumi pievienot</w:t>
      </w:r>
      <w:r w:rsidR="0054457F" w:rsidRPr="00675182">
        <w:rPr>
          <w:rFonts w:ascii="Calibri" w:hAnsi="Calibri" w:cs="Times New Roman"/>
        </w:rPr>
        <w:t>i</w:t>
      </w:r>
      <w:r w:rsidR="00C93D54" w:rsidRPr="00675182">
        <w:rPr>
          <w:rFonts w:ascii="Calibri" w:hAnsi="Calibri" w:cs="Times New Roman"/>
        </w:rPr>
        <w:t xml:space="preserve"> DA plāna 30. pielikumā. Pēc atzinumu saņemšanas </w:t>
      </w:r>
      <w:r w:rsidR="00C74E69" w:rsidRPr="00675182">
        <w:rPr>
          <w:rFonts w:ascii="Calibri" w:hAnsi="Calibri" w:cs="Times New Roman"/>
        </w:rPr>
        <w:t>norisinājās</w:t>
      </w:r>
      <w:r w:rsidR="00C93D54" w:rsidRPr="00675182">
        <w:rPr>
          <w:rFonts w:ascii="Calibri" w:hAnsi="Calibri" w:cs="Times New Roman"/>
        </w:rPr>
        <w:t xml:space="preserve"> pēdējā </w:t>
      </w:r>
      <w:r w:rsidR="002607AA" w:rsidRPr="00675182">
        <w:rPr>
          <w:rFonts w:ascii="Calibri" w:hAnsi="Calibri" w:cs="Times New Roman"/>
        </w:rPr>
        <w:t>K</w:t>
      </w:r>
      <w:r w:rsidR="000327A1" w:rsidRPr="00675182">
        <w:rPr>
          <w:rFonts w:ascii="Calibri" w:hAnsi="Calibri" w:cs="Times New Roman"/>
        </w:rPr>
        <w:t>onsultatīvās</w:t>
      </w:r>
      <w:r w:rsidR="00C93D54" w:rsidRPr="00675182">
        <w:rPr>
          <w:rFonts w:ascii="Calibri" w:hAnsi="Calibri" w:cs="Times New Roman"/>
        </w:rPr>
        <w:t xml:space="preserve"> grupas sanāksme 2022. gada 12. decembrī.</w:t>
      </w:r>
    </w:p>
    <w:p w14:paraId="712866E9" w14:textId="77777777" w:rsidR="000224CE" w:rsidRPr="00675182" w:rsidRDefault="000224CE" w:rsidP="000224CE">
      <w:pPr>
        <w:jc w:val="both"/>
        <w:rPr>
          <w:rFonts w:ascii="Calibri" w:hAnsi="Calibri"/>
        </w:rPr>
      </w:pPr>
    </w:p>
    <w:p w14:paraId="3600F5B3" w14:textId="7716A7BE" w:rsidR="000224CE" w:rsidRPr="00675182" w:rsidRDefault="000224CE" w:rsidP="000224CE">
      <w:pPr>
        <w:jc w:val="both"/>
        <w:rPr>
          <w:rFonts w:ascii="Calibri" w:hAnsi="Calibri"/>
        </w:rPr>
      </w:pPr>
      <w:r w:rsidRPr="00675182">
        <w:rPr>
          <w:rFonts w:ascii="Calibri" w:hAnsi="Calibri"/>
        </w:rPr>
        <w:t xml:space="preserve">Plāna izstrādes laikā ir notikušas vairākas konsultācijas ar dažādu institūciju speciālistiem, ir notikušas fokusgrupu diskusijas un tikšanās ar pašvaldību pārstāvjiem, zemes īpašniekiem un dažādu interešu grupu pārstāvjiem (tūrisma operatori, aktīvo sporta veidu pārstāvji, meža īpašnieki u.c.). Visu plāna izstrādes laiku interesenti tika </w:t>
      </w:r>
      <w:r w:rsidRPr="00675182">
        <w:rPr>
          <w:rFonts w:ascii="Calibri" w:hAnsi="Calibri"/>
        </w:rPr>
        <w:lastRenderedPageBreak/>
        <w:t>aicināti sniegt savus priekšlikumus apsaimniekošanai savā īpašumā. Tika saņemti rakstiski un telefoniski komentāri, priekšlikumi un informācija no teritorijas iedzīvotājiem un apmeklētājiem. Ir</w:t>
      </w:r>
      <w:r w:rsidR="00D86A8A" w:rsidRPr="00675182">
        <w:rPr>
          <w:rFonts w:ascii="Calibri" w:hAnsi="Calibri"/>
        </w:rPr>
        <w:t xml:space="preserve"> </w:t>
      </w:r>
      <w:r w:rsidRPr="00675182">
        <w:rPr>
          <w:rFonts w:ascii="Calibri" w:hAnsi="Calibri"/>
        </w:rPr>
        <w:t>veikta GNP iedzīvotāju (275 mājsaimniecības) un apmeklētāju (2015 respondenti) aptauja (skat. plāna 26. pielikumu).</w:t>
      </w:r>
    </w:p>
    <w:p w14:paraId="5DDEB402" w14:textId="77777777" w:rsidR="000224CE" w:rsidRPr="00675182" w:rsidRDefault="000224CE" w:rsidP="000224CE">
      <w:pPr>
        <w:jc w:val="both"/>
        <w:rPr>
          <w:rFonts w:ascii="Calibri" w:hAnsi="Calibri"/>
        </w:rPr>
      </w:pPr>
    </w:p>
    <w:p w14:paraId="43ACA4B7" w14:textId="77777777" w:rsidR="000224CE" w:rsidRPr="00675182" w:rsidRDefault="000224CE" w:rsidP="000224CE">
      <w:pPr>
        <w:jc w:val="both"/>
        <w:rPr>
          <w:rFonts w:ascii="Calibri" w:hAnsi="Calibri"/>
        </w:rPr>
      </w:pPr>
      <w:r w:rsidRPr="00675182">
        <w:rPr>
          <w:rFonts w:ascii="Calibri" w:hAnsi="Calibri"/>
        </w:rPr>
        <w:t>GNP likumā noteiktais teritorijas aizsardzības mērķis ir “</w:t>
      </w:r>
      <w:r w:rsidRPr="00675182">
        <w:rPr>
          <w:rFonts w:ascii="Calibri" w:hAnsi="Calibri"/>
          <w:i/>
          <w:iCs/>
        </w:rPr>
        <w:t>aizsargāt parka mazpārveidotas dabas teritorijas, kam raksturīga liela bioloģiskā daudzveidība, iežu atsegumus, reljefa formas, laukakmeņus, avotus (turpmāk — valsts un vietējās nozīmes ģeoloģiskie un ģeomorfoloģiskie dabas pieminekļi), kā arī tipiskās ainavas, dabas un kultūras pieminekļus un veicināt dabas tūrismu un teritorijas ilgtspējīgu attīstību</w:t>
      </w:r>
      <w:r w:rsidRPr="00675182">
        <w:rPr>
          <w:rFonts w:ascii="Calibri" w:hAnsi="Calibri"/>
        </w:rPr>
        <w:t>”. Līdz ar to teritorijas izpētē, aizsardzības un apsaimniekošanas mērķu un pasākumu definēšanā uzsvērta dabas, ainavisko un kultūrvēsturisko vērtību nozīme, rēķinoties, ka tās ietekmē sociālekonomisko apsvērumu diktēts pieprasījums pēc dažāda veida resursiem, kas var būt pretrunā ar šo vērtību saglabāšanu vismaz līdzšinējā kvalitātē.</w:t>
      </w:r>
    </w:p>
    <w:p w14:paraId="5137E136" w14:textId="77777777" w:rsidR="000224CE" w:rsidRPr="00675182" w:rsidRDefault="000224CE" w:rsidP="000224CE">
      <w:pPr>
        <w:jc w:val="both"/>
        <w:rPr>
          <w:rFonts w:ascii="Calibri" w:hAnsi="Calibri"/>
          <w:highlight w:val="lightGray"/>
        </w:rPr>
      </w:pPr>
    </w:p>
    <w:p w14:paraId="67C7C190" w14:textId="048D038B" w:rsidR="000224CE" w:rsidRPr="00675182" w:rsidRDefault="000224CE" w:rsidP="000224CE">
      <w:pPr>
        <w:jc w:val="both"/>
        <w:rPr>
          <w:rFonts w:ascii="Calibri" w:hAnsi="Calibri"/>
        </w:rPr>
      </w:pPr>
      <w:r w:rsidRPr="00675182">
        <w:rPr>
          <w:rFonts w:ascii="Calibri" w:hAnsi="Calibri"/>
        </w:rPr>
        <w:t xml:space="preserve">Veicot teritorijas izpēti un apkopojot informāciju, konstatēti vairāki dabas vērtības negatīvi ietekmējoši faktori. Nozīmīgākie ietekmējošie faktori ir antropogēnā ietekme – mežsaimnieciskā darbība, vēsturiskā purvu un pārmitro mežu platību nosusināšana, lauksaimniecības intensificēšanās vai grūti apsaimniekojamu lauksaimniecības platību pamešana, atsevišķos gadījumos arī apmeklētāju plūsma teritorijā, kā arī apdzīvotu teritoriju ietekme, piemēram, nepietiekami attīrītu notekūdeņu novadīšana </w:t>
      </w:r>
      <w:r w:rsidR="00DB58E4">
        <w:rPr>
          <w:rFonts w:ascii="Calibri" w:hAnsi="Calibri"/>
        </w:rPr>
        <w:t>ŪO</w:t>
      </w:r>
      <w:r w:rsidRPr="00675182">
        <w:rPr>
          <w:rFonts w:ascii="Calibri" w:hAnsi="Calibri"/>
        </w:rPr>
        <w:t>, atkritumu pārvaldība, invazīvo sugu izplatīšanās apdzīvotu vietu tuvumā. Teritoriju ietekmējošie faktori apkopoti DA plāna 2.2. tabulā. Kā papildus instruments teritorijas zonējuma un aizsardzības un apsaimniekošanas nosacījumu izstrādē izmantots ekosistēmu pakalpojumu novērtējums (skat. 1.3.4. nodaļu).</w:t>
      </w:r>
    </w:p>
    <w:p w14:paraId="75598F32" w14:textId="77777777" w:rsidR="000224CE" w:rsidRPr="00675182" w:rsidRDefault="000224CE" w:rsidP="000224CE">
      <w:pPr>
        <w:jc w:val="both"/>
        <w:rPr>
          <w:rFonts w:ascii="Calibri" w:hAnsi="Calibri"/>
        </w:rPr>
      </w:pPr>
    </w:p>
    <w:p w14:paraId="07D761DC" w14:textId="77777777" w:rsidR="000224CE" w:rsidRPr="00675182" w:rsidRDefault="000224CE" w:rsidP="002517C8">
      <w:pPr>
        <w:jc w:val="both"/>
        <w:rPr>
          <w:rFonts w:ascii="Calibri" w:hAnsi="Calibri"/>
          <w:u w:val="single"/>
        </w:rPr>
      </w:pPr>
      <w:r w:rsidRPr="00675182">
        <w:rPr>
          <w:rFonts w:ascii="Calibri" w:hAnsi="Calibri"/>
        </w:rPr>
        <w:t xml:space="preserve">Izvērtējot teritorijā esošās dabas vērtības, to ietekmējošos faktorus un sociālekonomiskos apsvērumus, </w:t>
      </w:r>
      <w:r w:rsidRPr="00675182">
        <w:rPr>
          <w:rFonts w:ascii="Calibri" w:hAnsi="Calibri"/>
          <w:u w:val="single"/>
        </w:rPr>
        <w:t>definēti šādi GNP aizsardzības ilgtermiņa un īstermiņa mērķi:</w:t>
      </w:r>
    </w:p>
    <w:p w14:paraId="6CD1EF97" w14:textId="77777777" w:rsidR="000224CE" w:rsidRPr="00675182" w:rsidRDefault="000224CE" w:rsidP="002517C8">
      <w:pPr>
        <w:jc w:val="both"/>
        <w:rPr>
          <w:rFonts w:ascii="Calibri" w:hAnsi="Calibri"/>
        </w:rPr>
      </w:pPr>
    </w:p>
    <w:p w14:paraId="4CE15650" w14:textId="77777777" w:rsidR="000224CE" w:rsidRPr="00675182" w:rsidRDefault="000224CE" w:rsidP="002517C8">
      <w:pPr>
        <w:jc w:val="both"/>
        <w:rPr>
          <w:rFonts w:ascii="Calibri" w:hAnsi="Calibri"/>
          <w:b/>
          <w:u w:val="single"/>
        </w:rPr>
      </w:pPr>
      <w:r w:rsidRPr="00675182">
        <w:rPr>
          <w:rFonts w:ascii="Calibri" w:hAnsi="Calibri"/>
          <w:b/>
          <w:u w:val="single"/>
        </w:rPr>
        <w:t>Ilgtermiņa mērķi</w:t>
      </w:r>
    </w:p>
    <w:p w14:paraId="7BB9089C" w14:textId="77777777" w:rsidR="000224CE" w:rsidRPr="00675182" w:rsidRDefault="000224CE" w:rsidP="002517C8">
      <w:pPr>
        <w:numPr>
          <w:ilvl w:val="3"/>
          <w:numId w:val="8"/>
        </w:numPr>
        <w:suppressAutoHyphens w:val="0"/>
        <w:ind w:left="425" w:hanging="357"/>
        <w:jc w:val="both"/>
        <w:rPr>
          <w:rFonts w:ascii="Calibri" w:hAnsi="Calibri"/>
        </w:rPr>
      </w:pPr>
      <w:r w:rsidRPr="00675182">
        <w:rPr>
          <w:rFonts w:ascii="Calibri" w:hAnsi="Calibri"/>
        </w:rPr>
        <w:t xml:space="preserve">Saglabāt GNP dabas, ainaviskās un kultūrvēsturiskās vērtības – sugu un biotopu daudzveidību, teritorijas unikālās ģeoloģiskās vērtības (iežu atsegumus un alas, reljefa formu un cilvēka mijiedarbības veidoto ainavu kompleksus), kultūrvēsturisko objektus, kā arī vēsturiski iecienītos teritorijas rekreācijas resursus. </w:t>
      </w:r>
    </w:p>
    <w:p w14:paraId="048C48CE" w14:textId="77777777" w:rsidR="000224CE" w:rsidRPr="00675182" w:rsidRDefault="000224CE" w:rsidP="002517C8">
      <w:pPr>
        <w:numPr>
          <w:ilvl w:val="3"/>
          <w:numId w:val="8"/>
        </w:numPr>
        <w:suppressAutoHyphens w:val="0"/>
        <w:ind w:left="425" w:hanging="357"/>
        <w:jc w:val="both"/>
        <w:rPr>
          <w:rFonts w:ascii="Calibri" w:hAnsi="Calibri"/>
        </w:rPr>
      </w:pPr>
      <w:r w:rsidRPr="00675182">
        <w:rPr>
          <w:rFonts w:ascii="Calibri" w:hAnsi="Calibri"/>
        </w:rPr>
        <w:t>Veicināt dabas tūrisma attīstību un teritorijas vispusīgu un sabalansētu pārvaldību, vienlaikus veicinot teritorijas ilgtspējīgu attīstību, līdzsvarojot dabas aizsardzības, kultūrvēsturisko vērtību aizsardzības un sociālekonomiskās intereses un dodot ieguldījumu kopējā Eiropas attīstības vīzijas īstenošanā.</w:t>
      </w:r>
    </w:p>
    <w:p w14:paraId="14D1AB54" w14:textId="77777777" w:rsidR="000224CE" w:rsidRPr="00675182" w:rsidRDefault="000224CE" w:rsidP="002517C8">
      <w:pPr>
        <w:jc w:val="both"/>
        <w:rPr>
          <w:rFonts w:ascii="Calibri" w:hAnsi="Calibri"/>
        </w:rPr>
      </w:pPr>
    </w:p>
    <w:p w14:paraId="4AA67A99" w14:textId="77777777" w:rsidR="000224CE" w:rsidRPr="00675182" w:rsidRDefault="000224CE" w:rsidP="004B4B98">
      <w:pPr>
        <w:keepNext/>
        <w:keepLines/>
        <w:jc w:val="both"/>
        <w:rPr>
          <w:rFonts w:ascii="Calibri" w:hAnsi="Calibri"/>
          <w:b/>
          <w:u w:val="single"/>
        </w:rPr>
      </w:pPr>
      <w:r w:rsidRPr="00675182">
        <w:rPr>
          <w:rFonts w:ascii="Calibri" w:hAnsi="Calibri"/>
          <w:b/>
          <w:u w:val="single"/>
        </w:rPr>
        <w:lastRenderedPageBreak/>
        <w:t>Īstermiņa mērķi</w:t>
      </w:r>
    </w:p>
    <w:p w14:paraId="6FBA2B8D" w14:textId="77777777" w:rsidR="000224CE" w:rsidRPr="00675182" w:rsidRDefault="000224CE" w:rsidP="004B4B98">
      <w:pPr>
        <w:keepNext/>
        <w:keepLines/>
        <w:jc w:val="both"/>
        <w:rPr>
          <w:rFonts w:ascii="Calibri" w:hAnsi="Calibri"/>
          <w:szCs w:val="24"/>
        </w:rPr>
      </w:pPr>
      <w:r w:rsidRPr="00675182">
        <w:rPr>
          <w:rFonts w:ascii="Calibri" w:hAnsi="Calibri"/>
          <w:szCs w:val="24"/>
        </w:rPr>
        <w:t>Plānošanas periodā galvenie īstermiņa mērķi tiek sadalīti vairākās grupās:</w:t>
      </w:r>
    </w:p>
    <w:p w14:paraId="5425B69C" w14:textId="77777777" w:rsidR="000224CE" w:rsidRPr="00675182" w:rsidRDefault="000224CE" w:rsidP="004B4B98">
      <w:pPr>
        <w:keepNext/>
        <w:keepLines/>
        <w:jc w:val="both"/>
        <w:rPr>
          <w:rFonts w:ascii="Calibri" w:hAnsi="Calibri"/>
        </w:rPr>
      </w:pPr>
    </w:p>
    <w:p w14:paraId="1E435C65" w14:textId="77777777" w:rsidR="00757EB7" w:rsidRPr="00675182" w:rsidRDefault="00757EB7" w:rsidP="004B4B98">
      <w:pPr>
        <w:keepNext/>
        <w:keepLines/>
        <w:jc w:val="both"/>
        <w:rPr>
          <w:rFonts w:ascii="Calibri" w:hAnsi="Calibri"/>
          <w:b/>
          <w:i/>
          <w:szCs w:val="24"/>
          <w:u w:val="single"/>
        </w:rPr>
      </w:pPr>
      <w:r w:rsidRPr="00675182">
        <w:rPr>
          <w:rFonts w:ascii="Calibri" w:hAnsi="Calibri"/>
          <w:b/>
          <w:i/>
          <w:szCs w:val="24"/>
          <w:u w:val="single"/>
        </w:rPr>
        <w:t>A. Administratīvie un organizatoriskie mērķi</w:t>
      </w:r>
    </w:p>
    <w:p w14:paraId="193C4E29" w14:textId="77777777" w:rsidR="00757EB7" w:rsidRPr="00675182" w:rsidRDefault="00757EB7" w:rsidP="004B4B98">
      <w:pPr>
        <w:keepNext/>
        <w:keepLines/>
        <w:ind w:left="426" w:hanging="426"/>
        <w:jc w:val="both"/>
        <w:rPr>
          <w:rFonts w:ascii="Calibri" w:hAnsi="Calibri"/>
        </w:rPr>
      </w:pPr>
      <w:r w:rsidRPr="00675182">
        <w:rPr>
          <w:rFonts w:ascii="Calibri" w:hAnsi="Calibri"/>
        </w:rPr>
        <w:t>A.1. GNP aizsardzības normatīvā ietvara precizēšana un uzlabošana atbilstoši jaunākajiem datiem un atziņām par teritorijai nepieciešamo aizsardzības režīmu;</w:t>
      </w:r>
    </w:p>
    <w:p w14:paraId="398F289A" w14:textId="77777777" w:rsidR="00757EB7" w:rsidRPr="00675182" w:rsidRDefault="00757EB7" w:rsidP="004B4B98">
      <w:pPr>
        <w:keepNext/>
        <w:keepLines/>
        <w:ind w:left="426" w:hanging="426"/>
        <w:jc w:val="both"/>
        <w:rPr>
          <w:rFonts w:ascii="Calibri" w:hAnsi="Calibri"/>
        </w:rPr>
      </w:pPr>
      <w:r w:rsidRPr="00675182">
        <w:rPr>
          <w:rFonts w:ascii="Calibri" w:hAnsi="Calibri"/>
        </w:rPr>
        <w:t>A.2. GNP robežas atbilstības nodrošināšana kadastra robežām vai dabiskajiem orientieriem iespējami precīzā mērogā;</w:t>
      </w:r>
    </w:p>
    <w:p w14:paraId="44156E24" w14:textId="77777777" w:rsidR="00757EB7" w:rsidRPr="00675182" w:rsidRDefault="00757EB7" w:rsidP="00757EB7">
      <w:pPr>
        <w:ind w:left="426" w:hanging="426"/>
        <w:jc w:val="both"/>
        <w:rPr>
          <w:rFonts w:ascii="Calibri" w:hAnsi="Calibri"/>
        </w:rPr>
      </w:pPr>
      <w:r w:rsidRPr="00675182">
        <w:rPr>
          <w:rFonts w:ascii="Calibri" w:hAnsi="Calibri"/>
        </w:rPr>
        <w:t>A3. GNP ekoloģiskās un kultūrvēsturiskās integritātes nodrošināšanai būtisku platību iekļaušana GNP teritorijā;</w:t>
      </w:r>
    </w:p>
    <w:p w14:paraId="052F3EE3" w14:textId="77777777" w:rsidR="00757EB7" w:rsidRPr="00675182" w:rsidRDefault="00757EB7" w:rsidP="00757EB7">
      <w:pPr>
        <w:ind w:left="426" w:hanging="426"/>
        <w:jc w:val="both"/>
        <w:rPr>
          <w:rFonts w:ascii="Calibri" w:hAnsi="Calibri"/>
        </w:rPr>
      </w:pPr>
      <w:r w:rsidRPr="00675182">
        <w:rPr>
          <w:rFonts w:ascii="Calibri" w:hAnsi="Calibri"/>
        </w:rPr>
        <w:t>A.4. Aktuālas informācijas nodrošināšana par mežaudzēs sastopamajām dabas vērtībām un apsaimniekošanas plānošana atbilstoši GNP aizsardzības mērķiem;</w:t>
      </w:r>
    </w:p>
    <w:p w14:paraId="008C3BD9" w14:textId="77777777" w:rsidR="00757EB7" w:rsidRPr="00675182" w:rsidRDefault="00757EB7" w:rsidP="00757EB7">
      <w:pPr>
        <w:ind w:left="426" w:hanging="426"/>
        <w:jc w:val="both"/>
        <w:rPr>
          <w:rFonts w:ascii="Calibri" w:hAnsi="Calibri"/>
        </w:rPr>
      </w:pPr>
      <w:r w:rsidRPr="00675182">
        <w:rPr>
          <w:rFonts w:ascii="Calibri" w:hAnsi="Calibri"/>
        </w:rPr>
        <w:t>A.5. Mežsaimnieciskās darbības ierobežojumu precizēšana IAIN un to ievērošanas kontrole</w:t>
      </w:r>
    </w:p>
    <w:p w14:paraId="1EE09BD9" w14:textId="77777777" w:rsidR="00757EB7" w:rsidRPr="00675182" w:rsidRDefault="00757EB7" w:rsidP="00757EB7">
      <w:pPr>
        <w:ind w:left="426" w:hanging="426"/>
        <w:rPr>
          <w:rFonts w:ascii="Calibri" w:hAnsi="Calibri"/>
        </w:rPr>
      </w:pPr>
      <w:r w:rsidRPr="00675182">
        <w:rPr>
          <w:rFonts w:ascii="Calibri" w:hAnsi="Calibri"/>
        </w:rPr>
        <w:t>A.6. Bioloģiskās lauksaimniecības platību un saimniecību skaita palielināšana, bioloģiskās lauksaimniecības popularitātes pieaugums GNP teritorijā;</w:t>
      </w:r>
    </w:p>
    <w:p w14:paraId="29C78729" w14:textId="77777777" w:rsidR="00757EB7" w:rsidRPr="00675182" w:rsidRDefault="00757EB7" w:rsidP="00757EB7">
      <w:pPr>
        <w:ind w:left="426" w:hanging="426"/>
        <w:rPr>
          <w:rFonts w:ascii="Calibri" w:hAnsi="Calibri"/>
        </w:rPr>
      </w:pPr>
      <w:r w:rsidRPr="00675182">
        <w:rPr>
          <w:rFonts w:ascii="Calibri" w:hAnsi="Calibri"/>
        </w:rPr>
        <w:t>A.7. Mērķtiecīgas ainavu (t.sk. kultūrvēsturisko vērtību) pārvaldības sistēmas iedzīvināšana</w:t>
      </w:r>
    </w:p>
    <w:p w14:paraId="6698FF21" w14:textId="77777777" w:rsidR="00757EB7" w:rsidRPr="00675182" w:rsidRDefault="00757EB7" w:rsidP="00757EB7">
      <w:pPr>
        <w:ind w:left="426" w:hanging="426"/>
        <w:jc w:val="both"/>
        <w:rPr>
          <w:rFonts w:ascii="Calibri" w:hAnsi="Calibri"/>
        </w:rPr>
      </w:pPr>
      <w:r w:rsidRPr="00675182">
        <w:rPr>
          <w:rFonts w:ascii="Calibri" w:hAnsi="Calibri"/>
        </w:rPr>
        <w:t>A.8. Vienota dialoga uzturēšana starp dabas aizsardzības jomas un pašvaldību speciālistiem un tūrisma un rekreācijas uzņēmējiem GNP kā tūrisma galamērķa pārvaldībai un zināšanu nodošanai</w:t>
      </w:r>
    </w:p>
    <w:p w14:paraId="16808545" w14:textId="77777777" w:rsidR="00757EB7" w:rsidRPr="00675182" w:rsidRDefault="00757EB7" w:rsidP="00757EB7">
      <w:pPr>
        <w:rPr>
          <w:rFonts w:ascii="Calibri" w:hAnsi="Calibri"/>
        </w:rPr>
      </w:pPr>
    </w:p>
    <w:p w14:paraId="5B8575FE" w14:textId="77777777" w:rsidR="00757EB7" w:rsidRPr="00675182" w:rsidRDefault="00757EB7" w:rsidP="00020302">
      <w:pPr>
        <w:jc w:val="both"/>
        <w:rPr>
          <w:rFonts w:ascii="Calibri" w:hAnsi="Calibri"/>
          <w:i/>
          <w:sz w:val="22"/>
          <w:szCs w:val="22"/>
          <w:u w:val="single"/>
        </w:rPr>
      </w:pPr>
      <w:r w:rsidRPr="00675182">
        <w:rPr>
          <w:rFonts w:ascii="Calibri" w:hAnsi="Calibri"/>
          <w:b/>
          <w:i/>
          <w:szCs w:val="24"/>
          <w:u w:val="single"/>
        </w:rPr>
        <w:t>B. Dabas vērtību aizsardzība un apsaimniekošana</w:t>
      </w:r>
      <w:r w:rsidRPr="00675182">
        <w:rPr>
          <w:rFonts w:ascii="Calibri" w:hAnsi="Calibri"/>
          <w:i/>
          <w:sz w:val="22"/>
          <w:szCs w:val="22"/>
          <w:u w:val="single"/>
        </w:rPr>
        <w:t xml:space="preserve"> </w:t>
      </w:r>
    </w:p>
    <w:p w14:paraId="5881882A" w14:textId="77777777" w:rsidR="007624AA" w:rsidRPr="00675182" w:rsidRDefault="007624AA" w:rsidP="00020302">
      <w:pPr>
        <w:pStyle w:val="Footer"/>
        <w:suppressAutoHyphens w:val="0"/>
        <w:ind w:left="426" w:hanging="426"/>
        <w:jc w:val="both"/>
        <w:rPr>
          <w:rFonts w:cstheme="minorHAnsi"/>
          <w:szCs w:val="24"/>
          <w:lang w:val="lv-LV"/>
        </w:rPr>
      </w:pPr>
      <w:r w:rsidRPr="00675182">
        <w:rPr>
          <w:rFonts w:cstheme="minorHAnsi"/>
          <w:szCs w:val="24"/>
          <w:lang w:val="lv-LV"/>
        </w:rPr>
        <w:t>B.1</w:t>
      </w:r>
      <w:r w:rsidRPr="00675182">
        <w:rPr>
          <w:rFonts w:cstheme="minorHAnsi"/>
          <w:lang w:val="lv-LV"/>
        </w:rPr>
        <w:t xml:space="preserve"> </w:t>
      </w:r>
      <w:r w:rsidRPr="00675182">
        <w:rPr>
          <w:rFonts w:cstheme="minorHAnsi"/>
          <w:szCs w:val="24"/>
          <w:lang w:val="lv-LV"/>
        </w:rPr>
        <w:t>Sekmēt saldūdeņu biotopu kvalitātes uzlabošanos 1875 ha platībā, īstenojot apsaimniekošanas pasākumus;</w:t>
      </w:r>
    </w:p>
    <w:p w14:paraId="7C518B85" w14:textId="77777777" w:rsidR="007624AA" w:rsidRPr="00675182" w:rsidRDefault="007624AA" w:rsidP="00020302">
      <w:pPr>
        <w:pStyle w:val="Footer"/>
        <w:suppressAutoHyphens w:val="0"/>
        <w:ind w:left="426" w:hanging="426"/>
        <w:jc w:val="both"/>
        <w:rPr>
          <w:rFonts w:cstheme="minorHAnsi"/>
          <w:szCs w:val="24"/>
          <w:lang w:val="lv-LV"/>
        </w:rPr>
      </w:pPr>
      <w:r w:rsidRPr="00675182">
        <w:rPr>
          <w:rFonts w:cstheme="minorHAnsi"/>
          <w:szCs w:val="24"/>
          <w:lang w:val="lv-LV"/>
        </w:rPr>
        <w:t>B.2. Sekmēt iežu atsegumu un alu biotopu apsaimniekošanu 36,3 ha platībā, īstenojot apsaimniekošanas pasākumus</w:t>
      </w:r>
    </w:p>
    <w:p w14:paraId="5F626C78" w14:textId="77777777" w:rsidR="007624AA" w:rsidRPr="00675182" w:rsidRDefault="007624AA" w:rsidP="00020302">
      <w:pPr>
        <w:pStyle w:val="Footer"/>
        <w:suppressAutoHyphens w:val="0"/>
        <w:ind w:left="426" w:hanging="426"/>
        <w:jc w:val="both"/>
        <w:rPr>
          <w:rFonts w:cstheme="minorHAnsi"/>
          <w:szCs w:val="24"/>
          <w:lang w:val="lv-LV"/>
        </w:rPr>
      </w:pPr>
      <w:r w:rsidRPr="00675182">
        <w:rPr>
          <w:rFonts w:cstheme="minorHAnsi"/>
          <w:szCs w:val="24"/>
          <w:lang w:val="lv-LV"/>
        </w:rPr>
        <w:t>B.3. Sekmēt zālāju biotopu apsaimniekošanu 833 ha platībā, tādējādi uzlabojot zālāju kvalitāti un nodrošinot to platību nesamazināšanos, palielināt aizsargājamo zālāju biotopu platību par 390 ha;</w:t>
      </w:r>
    </w:p>
    <w:p w14:paraId="5DE81ADF" w14:textId="77777777" w:rsidR="007624AA" w:rsidRPr="00675182" w:rsidRDefault="007624AA" w:rsidP="00020302">
      <w:pPr>
        <w:pStyle w:val="Footer"/>
        <w:suppressAutoHyphens w:val="0"/>
        <w:ind w:left="426" w:hanging="426"/>
        <w:jc w:val="both"/>
        <w:rPr>
          <w:rFonts w:cstheme="minorHAnsi"/>
          <w:szCs w:val="24"/>
          <w:lang w:val="lv-LV"/>
        </w:rPr>
      </w:pPr>
      <w:r w:rsidRPr="00675182">
        <w:rPr>
          <w:rFonts w:cstheme="minorHAnsi"/>
          <w:szCs w:val="24"/>
          <w:lang w:val="lv-LV"/>
        </w:rPr>
        <w:t>B.4. Sekmēt purvu biotopu kvalitātes uzlabošanos vismaz 450 ha platībā, uzlabojot to hidroloģiskos apstākļus;</w:t>
      </w:r>
    </w:p>
    <w:p w14:paraId="2C5BD0B4" w14:textId="77777777" w:rsidR="007624AA" w:rsidRPr="00675182" w:rsidRDefault="007624AA" w:rsidP="00020302">
      <w:pPr>
        <w:pStyle w:val="Footer"/>
        <w:suppressAutoHyphens w:val="0"/>
        <w:ind w:left="426" w:hanging="426"/>
        <w:jc w:val="both"/>
        <w:rPr>
          <w:rFonts w:cstheme="minorHAnsi"/>
          <w:szCs w:val="24"/>
          <w:lang w:val="lv-LV"/>
        </w:rPr>
      </w:pPr>
      <w:r w:rsidRPr="00675182">
        <w:rPr>
          <w:rFonts w:cstheme="minorHAnsi"/>
          <w:szCs w:val="24"/>
          <w:lang w:val="lv-LV"/>
        </w:rPr>
        <w:t>B.5. Sekmēt meža biotopu kvalitātes uzlabošanos 12087 ha platībā, īstenojot apsaimniekošanas pasākumus;</w:t>
      </w:r>
    </w:p>
    <w:p w14:paraId="59624E40" w14:textId="77777777" w:rsidR="007624AA" w:rsidRPr="00675182" w:rsidRDefault="007624AA" w:rsidP="00020302">
      <w:pPr>
        <w:pStyle w:val="Footer"/>
        <w:suppressAutoHyphens w:val="0"/>
        <w:ind w:left="426" w:hanging="426"/>
        <w:jc w:val="both"/>
        <w:rPr>
          <w:rFonts w:cstheme="minorHAnsi"/>
          <w:szCs w:val="24"/>
          <w:lang w:val="lv-LV"/>
        </w:rPr>
      </w:pPr>
      <w:r w:rsidRPr="00675182">
        <w:rPr>
          <w:rFonts w:cstheme="minorHAnsi"/>
          <w:szCs w:val="24"/>
          <w:lang w:val="lv-LV"/>
        </w:rPr>
        <w:t>B.6. Uzturēt un palielināt retajām un aizsargājamajām sugām piemērotas dzīvotnes platības;</w:t>
      </w:r>
    </w:p>
    <w:p w14:paraId="42927D7A" w14:textId="3A5833D0" w:rsidR="00757EB7" w:rsidRPr="00675182" w:rsidRDefault="007624AA" w:rsidP="00020302">
      <w:pPr>
        <w:tabs>
          <w:tab w:val="center" w:pos="4153"/>
          <w:tab w:val="right" w:pos="8306"/>
        </w:tabs>
        <w:suppressAutoHyphens w:val="0"/>
        <w:ind w:left="426" w:hanging="426"/>
        <w:jc w:val="both"/>
        <w:rPr>
          <w:rFonts w:cstheme="minorHAnsi"/>
          <w:szCs w:val="24"/>
        </w:rPr>
      </w:pPr>
      <w:r w:rsidRPr="00675182">
        <w:rPr>
          <w:rFonts w:cstheme="minorHAnsi"/>
          <w:szCs w:val="24"/>
        </w:rPr>
        <w:t>B.7. Ierobežot invazīvo sugu izplatību, novēršot ainavas un biotopu degradāciju.</w:t>
      </w:r>
    </w:p>
    <w:p w14:paraId="64C88AFA" w14:textId="77777777" w:rsidR="007624AA" w:rsidRPr="00675182" w:rsidRDefault="007624AA" w:rsidP="00020302">
      <w:pPr>
        <w:tabs>
          <w:tab w:val="center" w:pos="4153"/>
          <w:tab w:val="right" w:pos="8306"/>
        </w:tabs>
        <w:suppressAutoHyphens w:val="0"/>
        <w:ind w:left="426" w:hanging="426"/>
        <w:jc w:val="both"/>
        <w:rPr>
          <w:rFonts w:ascii="Calibri" w:hAnsi="Calibri"/>
          <w:szCs w:val="24"/>
        </w:rPr>
      </w:pPr>
    </w:p>
    <w:p w14:paraId="08E48EDF" w14:textId="77777777" w:rsidR="00757EB7" w:rsidRPr="00675182" w:rsidRDefault="00757EB7" w:rsidP="00020302">
      <w:pPr>
        <w:jc w:val="both"/>
        <w:rPr>
          <w:rFonts w:ascii="Calibri" w:hAnsi="Calibri"/>
          <w:b/>
          <w:i/>
          <w:szCs w:val="24"/>
          <w:u w:val="single"/>
        </w:rPr>
      </w:pPr>
      <w:r w:rsidRPr="00675182">
        <w:rPr>
          <w:rFonts w:ascii="Calibri" w:hAnsi="Calibri"/>
          <w:b/>
          <w:i/>
          <w:szCs w:val="24"/>
          <w:u w:val="single"/>
        </w:rPr>
        <w:t>C. Ainavisko un kultūrvēsturisko vērtību uzturēšana un saglabāšana</w:t>
      </w:r>
    </w:p>
    <w:p w14:paraId="4349BF34" w14:textId="77777777" w:rsidR="00757EB7" w:rsidRPr="00675182" w:rsidRDefault="00757EB7" w:rsidP="00020302">
      <w:pPr>
        <w:ind w:left="426" w:hanging="426"/>
        <w:jc w:val="both"/>
        <w:rPr>
          <w:rFonts w:ascii="Calibri" w:hAnsi="Calibri"/>
          <w:bCs/>
          <w:iCs/>
          <w:szCs w:val="24"/>
        </w:rPr>
      </w:pPr>
      <w:r w:rsidRPr="00675182">
        <w:rPr>
          <w:rFonts w:ascii="Calibri" w:hAnsi="Calibri"/>
          <w:bCs/>
          <w:iCs/>
          <w:szCs w:val="24"/>
        </w:rPr>
        <w:t>C.1. GNP raksturīgās ainavas saglabāšana un attīstība, veicot izpētes, apsaimniekošanas un popularizēšanas pasākumus;</w:t>
      </w:r>
    </w:p>
    <w:p w14:paraId="7F38FE96" w14:textId="77777777" w:rsidR="00757EB7" w:rsidRPr="00675182" w:rsidRDefault="00757EB7" w:rsidP="00020302">
      <w:pPr>
        <w:jc w:val="both"/>
        <w:rPr>
          <w:rFonts w:ascii="Calibri" w:hAnsi="Calibri"/>
          <w:bCs/>
          <w:iCs/>
          <w:szCs w:val="24"/>
        </w:rPr>
      </w:pPr>
      <w:r w:rsidRPr="00675182">
        <w:rPr>
          <w:rFonts w:ascii="Calibri" w:hAnsi="Calibri"/>
          <w:bCs/>
          <w:iCs/>
          <w:szCs w:val="24"/>
        </w:rPr>
        <w:t>C.2. Kultūrvēsturiskā mantojuma saglabāšana un attīstība.</w:t>
      </w:r>
    </w:p>
    <w:p w14:paraId="488BB262" w14:textId="77777777" w:rsidR="00757EB7" w:rsidRPr="00675182" w:rsidRDefault="00757EB7" w:rsidP="00020302">
      <w:pPr>
        <w:jc w:val="both"/>
        <w:rPr>
          <w:rFonts w:ascii="Calibri" w:hAnsi="Calibri"/>
          <w:bCs/>
          <w:iCs/>
        </w:rPr>
      </w:pPr>
    </w:p>
    <w:p w14:paraId="3247370A" w14:textId="77777777" w:rsidR="00757EB7" w:rsidRPr="00675182" w:rsidRDefault="00757EB7" w:rsidP="00757EB7">
      <w:pPr>
        <w:keepNext/>
        <w:keepLines/>
        <w:rPr>
          <w:rFonts w:ascii="Calibri" w:hAnsi="Calibri"/>
          <w:b/>
          <w:i/>
          <w:szCs w:val="24"/>
          <w:u w:val="single"/>
        </w:rPr>
      </w:pPr>
      <w:r w:rsidRPr="00675182">
        <w:rPr>
          <w:rFonts w:ascii="Calibri" w:hAnsi="Calibri"/>
          <w:b/>
          <w:i/>
          <w:szCs w:val="24"/>
          <w:u w:val="single"/>
        </w:rPr>
        <w:t>D. Rekreācija un tūrisms</w:t>
      </w:r>
    </w:p>
    <w:p w14:paraId="71174183" w14:textId="77777777" w:rsidR="00757EB7" w:rsidRPr="00675182" w:rsidRDefault="00757EB7" w:rsidP="00757EB7">
      <w:pPr>
        <w:keepNext/>
        <w:keepLines/>
        <w:ind w:left="567" w:hanging="567"/>
        <w:jc w:val="both"/>
        <w:rPr>
          <w:rFonts w:ascii="Calibri" w:hAnsi="Calibri"/>
          <w:szCs w:val="24"/>
        </w:rPr>
      </w:pPr>
      <w:r w:rsidRPr="00675182">
        <w:rPr>
          <w:rFonts w:ascii="Calibri" w:hAnsi="Calibri"/>
          <w:szCs w:val="24"/>
        </w:rPr>
        <w:t>D.1. Ierīkot, pilnveidot un uzturēt dabas un kultūrvēsturisko vietu apmeklēšanai vajadzīgo infrastruktūru;</w:t>
      </w:r>
    </w:p>
    <w:p w14:paraId="2439385A" w14:textId="77777777" w:rsidR="00757EB7" w:rsidRPr="00675182" w:rsidRDefault="00757EB7" w:rsidP="00757EB7">
      <w:pPr>
        <w:ind w:left="567" w:hanging="567"/>
        <w:jc w:val="both"/>
        <w:rPr>
          <w:rFonts w:ascii="Calibri" w:hAnsi="Calibri"/>
          <w:szCs w:val="24"/>
        </w:rPr>
      </w:pPr>
      <w:r w:rsidRPr="00675182">
        <w:rPr>
          <w:rFonts w:ascii="Calibri" w:hAnsi="Calibri"/>
          <w:szCs w:val="24"/>
        </w:rPr>
        <w:t>D.2. Ierīkot, pilnveidot un uzturēt citu saistīto tūrisma un rekreācijas infrastruktūru;</w:t>
      </w:r>
    </w:p>
    <w:p w14:paraId="42338E9D" w14:textId="77777777" w:rsidR="00757EB7" w:rsidRPr="00675182" w:rsidRDefault="00757EB7" w:rsidP="00757EB7">
      <w:pPr>
        <w:ind w:left="567" w:hanging="567"/>
        <w:jc w:val="both"/>
        <w:rPr>
          <w:rFonts w:ascii="Calibri" w:hAnsi="Calibri"/>
          <w:szCs w:val="24"/>
        </w:rPr>
      </w:pPr>
      <w:r w:rsidRPr="00675182">
        <w:rPr>
          <w:rFonts w:ascii="Calibri" w:hAnsi="Calibri"/>
          <w:szCs w:val="24"/>
        </w:rPr>
        <w:lastRenderedPageBreak/>
        <w:t>D.3. Veicināt ilgtspējīgu un ekonomiski dzīvotspējīgu tūrisma piedāvājuma attīstību, sniedzot jēgpilnu un kvalitatīvu pieredzējumu, aizsargājot dabas un kultūras vērtības, atbalstot vietējo kopienu dzīves kvalitāti.</w:t>
      </w:r>
    </w:p>
    <w:p w14:paraId="4EF30689" w14:textId="77777777" w:rsidR="00757EB7" w:rsidRPr="00675182" w:rsidRDefault="00757EB7" w:rsidP="00757EB7">
      <w:pPr>
        <w:jc w:val="both"/>
        <w:rPr>
          <w:rFonts w:ascii="Calibri" w:hAnsi="Calibri"/>
          <w:szCs w:val="24"/>
        </w:rPr>
      </w:pPr>
    </w:p>
    <w:p w14:paraId="5C4E8604" w14:textId="77777777" w:rsidR="00757EB7" w:rsidRPr="00675182" w:rsidRDefault="00757EB7" w:rsidP="00757EB7">
      <w:pPr>
        <w:jc w:val="both"/>
        <w:rPr>
          <w:rFonts w:ascii="Calibri" w:hAnsi="Calibri"/>
          <w:b/>
          <w:i/>
          <w:szCs w:val="24"/>
          <w:u w:val="single"/>
        </w:rPr>
      </w:pPr>
      <w:r w:rsidRPr="00675182">
        <w:rPr>
          <w:rFonts w:ascii="Calibri" w:hAnsi="Calibri"/>
          <w:b/>
          <w:i/>
          <w:szCs w:val="24"/>
          <w:u w:val="single"/>
        </w:rPr>
        <w:t>E. Sabiedrības informēšana un izglītošana</w:t>
      </w:r>
    </w:p>
    <w:p w14:paraId="4B7835E6" w14:textId="77777777" w:rsidR="00757EB7" w:rsidRPr="00675182" w:rsidRDefault="00757EB7" w:rsidP="00757EB7">
      <w:pPr>
        <w:jc w:val="both"/>
        <w:rPr>
          <w:rFonts w:ascii="Calibri" w:hAnsi="Calibri"/>
          <w:szCs w:val="24"/>
        </w:rPr>
      </w:pPr>
      <w:r w:rsidRPr="00675182">
        <w:rPr>
          <w:rFonts w:ascii="Calibri" w:hAnsi="Calibri"/>
          <w:szCs w:val="24"/>
        </w:rPr>
        <w:t>E.1. Nodrošināt GNP robežu atpazīstamību dabā;</w:t>
      </w:r>
    </w:p>
    <w:p w14:paraId="5DB8885A" w14:textId="77777777" w:rsidR="00757EB7" w:rsidRPr="00675182" w:rsidRDefault="00757EB7" w:rsidP="00757EB7">
      <w:pPr>
        <w:jc w:val="both"/>
        <w:rPr>
          <w:rFonts w:ascii="Calibri" w:hAnsi="Calibri"/>
          <w:bCs/>
          <w:iCs/>
          <w:szCs w:val="24"/>
        </w:rPr>
      </w:pPr>
      <w:r w:rsidRPr="00675182">
        <w:rPr>
          <w:rFonts w:ascii="Calibri" w:hAnsi="Calibri"/>
          <w:bCs/>
          <w:iCs/>
          <w:szCs w:val="24"/>
        </w:rPr>
        <w:t>E.2. Atjaunot, izvietot un uzturēt informācijas stendus un norādes;</w:t>
      </w:r>
    </w:p>
    <w:p w14:paraId="0B53CFB2" w14:textId="77777777" w:rsidR="00757EB7" w:rsidRPr="00675182" w:rsidRDefault="00757EB7" w:rsidP="00757EB7">
      <w:pPr>
        <w:ind w:left="426" w:hanging="426"/>
        <w:jc w:val="both"/>
        <w:rPr>
          <w:rFonts w:ascii="Calibri" w:hAnsi="Calibri"/>
          <w:szCs w:val="24"/>
        </w:rPr>
      </w:pPr>
      <w:r w:rsidRPr="00675182">
        <w:rPr>
          <w:rFonts w:ascii="Calibri" w:hAnsi="Calibri"/>
          <w:szCs w:val="24"/>
        </w:rPr>
        <w:t xml:space="preserve">E.3. Veicināt sabiedrības informēšanu un izglītošanu par teritorijas vērtībām un veicamajiem apsaimniekošanas pasākumiem. </w:t>
      </w:r>
    </w:p>
    <w:p w14:paraId="2953A1D4" w14:textId="77777777" w:rsidR="00757EB7" w:rsidRPr="00675182" w:rsidRDefault="00757EB7" w:rsidP="00757EB7">
      <w:pPr>
        <w:tabs>
          <w:tab w:val="left" w:pos="3147"/>
        </w:tabs>
        <w:jc w:val="both"/>
        <w:rPr>
          <w:rFonts w:ascii="Calibri" w:hAnsi="Calibri"/>
        </w:rPr>
      </w:pPr>
    </w:p>
    <w:p w14:paraId="08740468" w14:textId="77777777" w:rsidR="00757EB7" w:rsidRPr="00675182" w:rsidRDefault="00757EB7" w:rsidP="00757EB7">
      <w:pPr>
        <w:keepNext/>
        <w:keepLines/>
        <w:rPr>
          <w:rFonts w:ascii="Calibri" w:hAnsi="Calibri"/>
          <w:b/>
          <w:i/>
          <w:szCs w:val="24"/>
          <w:u w:val="single"/>
        </w:rPr>
      </w:pPr>
      <w:r w:rsidRPr="00675182">
        <w:rPr>
          <w:rFonts w:ascii="Calibri" w:hAnsi="Calibri"/>
          <w:b/>
          <w:i/>
          <w:szCs w:val="24"/>
          <w:u w:val="single"/>
        </w:rPr>
        <w:t>F. Izpēte un monitorings</w:t>
      </w:r>
    </w:p>
    <w:p w14:paraId="65D9BAB5" w14:textId="77777777" w:rsidR="00757EB7" w:rsidRPr="00675182" w:rsidRDefault="00757EB7" w:rsidP="00757EB7">
      <w:pPr>
        <w:keepNext/>
        <w:keepLines/>
        <w:ind w:left="426" w:hanging="426"/>
        <w:jc w:val="both"/>
        <w:rPr>
          <w:rFonts w:ascii="Calibri" w:hAnsi="Calibri"/>
        </w:rPr>
      </w:pPr>
      <w:r w:rsidRPr="00675182">
        <w:rPr>
          <w:rFonts w:ascii="Calibri" w:hAnsi="Calibri"/>
        </w:rPr>
        <w:t>F.1. Nodrošināt aizsargājamo biotopu stāvokļa un to apsaimniekošanas pasākumu efektivitātes monitoringu;</w:t>
      </w:r>
    </w:p>
    <w:p w14:paraId="6CDCA30B" w14:textId="30CDA93D" w:rsidR="00757EB7" w:rsidRPr="00675182" w:rsidRDefault="00757EB7" w:rsidP="00757EB7">
      <w:pPr>
        <w:ind w:left="426" w:hanging="426"/>
        <w:jc w:val="both"/>
        <w:rPr>
          <w:rFonts w:ascii="Calibri" w:hAnsi="Calibri"/>
        </w:rPr>
      </w:pPr>
      <w:r w:rsidRPr="00675182">
        <w:rPr>
          <w:rFonts w:ascii="Calibri" w:hAnsi="Calibri"/>
        </w:rPr>
        <w:t xml:space="preserve">F.2. Nodrošināt reto un </w:t>
      </w:r>
      <w:r w:rsidR="00CE442F">
        <w:rPr>
          <w:rFonts w:ascii="Calibri" w:hAnsi="Calibri"/>
        </w:rPr>
        <w:t>ĪA</w:t>
      </w:r>
      <w:r w:rsidRPr="00675182">
        <w:rPr>
          <w:rFonts w:ascii="Calibri" w:hAnsi="Calibri"/>
        </w:rPr>
        <w:t xml:space="preserve"> sugu monitoringu un izpēti un to dzīvotņu apsaimniekošanas pasākumu efektivitātes monitoringu;</w:t>
      </w:r>
    </w:p>
    <w:p w14:paraId="6767CF69" w14:textId="77777777" w:rsidR="00757EB7" w:rsidRPr="00675182" w:rsidRDefault="00757EB7" w:rsidP="00757EB7">
      <w:pPr>
        <w:tabs>
          <w:tab w:val="left" w:pos="3147"/>
        </w:tabs>
        <w:jc w:val="both"/>
        <w:rPr>
          <w:rFonts w:ascii="Calibri" w:hAnsi="Calibri"/>
        </w:rPr>
      </w:pPr>
      <w:r w:rsidRPr="00675182">
        <w:rPr>
          <w:rFonts w:ascii="Calibri" w:hAnsi="Calibri"/>
        </w:rPr>
        <w:t>F.3. Nodrošināt ainavu izmaiņu monitoringu;</w:t>
      </w:r>
    </w:p>
    <w:p w14:paraId="148CD713" w14:textId="77777777" w:rsidR="00757EB7" w:rsidRPr="00675182" w:rsidRDefault="00757EB7" w:rsidP="00757EB7">
      <w:pPr>
        <w:tabs>
          <w:tab w:val="left" w:pos="3147"/>
        </w:tabs>
        <w:jc w:val="both"/>
        <w:rPr>
          <w:rFonts w:ascii="Calibri" w:hAnsi="Calibri"/>
        </w:rPr>
      </w:pPr>
      <w:r w:rsidRPr="00675182">
        <w:rPr>
          <w:rFonts w:ascii="Calibri" w:hAnsi="Calibri"/>
        </w:rPr>
        <w:t>F.4. Nodrošināt tūrisma un atpūtas ietekmju monitoringu;</w:t>
      </w:r>
    </w:p>
    <w:p w14:paraId="7A23A4E7" w14:textId="77777777" w:rsidR="00757EB7" w:rsidRPr="00675182" w:rsidRDefault="00757EB7" w:rsidP="00757EB7">
      <w:pPr>
        <w:ind w:left="426" w:hanging="426"/>
        <w:jc w:val="both"/>
        <w:rPr>
          <w:rFonts w:ascii="Calibri" w:hAnsi="Calibri"/>
        </w:rPr>
      </w:pPr>
      <w:r w:rsidRPr="00675182">
        <w:rPr>
          <w:rFonts w:ascii="Calibri" w:hAnsi="Calibri"/>
        </w:rPr>
        <w:t xml:space="preserve">F.5. Īstenot meža ekosistēmu attīstības procesu un meža apsaimniekošanas pasākumu ietekmes zinātnisko izpēti. </w:t>
      </w:r>
    </w:p>
    <w:p w14:paraId="447A2A2E" w14:textId="77777777" w:rsidR="00757EB7" w:rsidRPr="00675182" w:rsidRDefault="00757EB7" w:rsidP="00757EB7">
      <w:pPr>
        <w:ind w:left="426" w:hanging="426"/>
        <w:jc w:val="both"/>
        <w:rPr>
          <w:rFonts w:ascii="Calibri" w:hAnsi="Calibri"/>
        </w:rPr>
      </w:pPr>
      <w:r w:rsidRPr="00675182">
        <w:rPr>
          <w:rFonts w:ascii="Calibri" w:hAnsi="Calibri"/>
        </w:rPr>
        <w:t>F.6. Veikt purvu teritoriju un meža biotopu, kurus ietekmējusi susināšana, hidroloģisko izpēti.</w:t>
      </w:r>
    </w:p>
    <w:p w14:paraId="1DB0EEB8" w14:textId="77777777" w:rsidR="00757EB7" w:rsidRPr="00675182" w:rsidRDefault="00757EB7" w:rsidP="00757EB7">
      <w:pPr>
        <w:ind w:left="426" w:hanging="426"/>
        <w:jc w:val="both"/>
        <w:rPr>
          <w:rFonts w:ascii="Calibri" w:hAnsi="Calibri"/>
        </w:rPr>
      </w:pPr>
      <w:r w:rsidRPr="00675182">
        <w:rPr>
          <w:rFonts w:ascii="Calibri" w:hAnsi="Calibri"/>
        </w:rPr>
        <w:t>F.7. Iegūt informāciju par invazīvo sugu izplatību, plānot un koordinēt invazīvo sugu apkarošanas pasākumus.</w:t>
      </w:r>
    </w:p>
    <w:p w14:paraId="0E975212" w14:textId="77777777" w:rsidR="000224CE" w:rsidRPr="00675182" w:rsidRDefault="000224CE" w:rsidP="000224CE">
      <w:pPr>
        <w:jc w:val="both"/>
        <w:rPr>
          <w:rFonts w:ascii="Calibri" w:hAnsi="Calibri"/>
        </w:rPr>
      </w:pPr>
    </w:p>
    <w:p w14:paraId="5E342752" w14:textId="77777777" w:rsidR="000224CE" w:rsidRPr="00675182" w:rsidRDefault="000224CE" w:rsidP="000224CE">
      <w:pPr>
        <w:jc w:val="both"/>
        <w:rPr>
          <w:rFonts w:ascii="Calibri" w:hAnsi="Calibri"/>
        </w:rPr>
      </w:pPr>
      <w:r w:rsidRPr="00675182">
        <w:rPr>
          <w:rFonts w:ascii="Calibri" w:hAnsi="Calibri"/>
        </w:rPr>
        <w:t xml:space="preserve">Lai nodrošinātu izvirzītos ilgtermiņa un īstermiņa mērķus, ir izstrādāts GNP apsaimniekošanas pasākumu plāns. Apsaimniekošanas pasākumi ir plānoti laika periodam no 2023. gada līdz 2035. gadam, taču tie ir pārskatāmi un maināmi, ņemot vērā monitoringa rezultātus, kā arī, ja rodas neparedzēti apstākļi, tos var mainīt un to nepieciešamību var zinātniski pamatot. </w:t>
      </w:r>
    </w:p>
    <w:p w14:paraId="11D56A21" w14:textId="77777777" w:rsidR="000224CE" w:rsidRPr="00675182" w:rsidRDefault="000224CE" w:rsidP="000224CE">
      <w:pPr>
        <w:jc w:val="both"/>
        <w:rPr>
          <w:rFonts w:ascii="Calibri" w:hAnsi="Calibri"/>
        </w:rPr>
      </w:pPr>
    </w:p>
    <w:p w14:paraId="435538B3" w14:textId="77777777" w:rsidR="000224CE" w:rsidRPr="00675182" w:rsidRDefault="000224CE" w:rsidP="000224CE">
      <w:pPr>
        <w:jc w:val="both"/>
        <w:rPr>
          <w:rFonts w:ascii="Calibri" w:hAnsi="Calibri"/>
        </w:rPr>
      </w:pPr>
      <w:r w:rsidRPr="00675182">
        <w:rPr>
          <w:rFonts w:ascii="Calibri" w:hAnsi="Calibri"/>
        </w:rPr>
        <w:t>Apsaimniekošanas pasākumi ir apkopoti 3.1. tabulā, kura ir lietojama kopā ar apsaimniekošanas pasākumu aprakstu un detalizēto infrastruktūras objektu un apsaimniekošanas pasākumu karti, kas ir pievienota DA plāna 14. pielikumā.</w:t>
      </w:r>
    </w:p>
    <w:p w14:paraId="376CF429" w14:textId="77777777" w:rsidR="000224CE" w:rsidRPr="00675182" w:rsidRDefault="000224CE" w:rsidP="000224CE">
      <w:pPr>
        <w:jc w:val="both"/>
        <w:rPr>
          <w:rFonts w:ascii="Calibri" w:hAnsi="Calibri"/>
        </w:rPr>
      </w:pPr>
    </w:p>
    <w:p w14:paraId="69DF8728" w14:textId="77777777" w:rsidR="000224CE" w:rsidRPr="00675182" w:rsidRDefault="000224CE" w:rsidP="000224CE">
      <w:pPr>
        <w:jc w:val="both"/>
        <w:rPr>
          <w:rFonts w:ascii="Calibri" w:hAnsi="Calibri"/>
        </w:rPr>
      </w:pPr>
      <w:r w:rsidRPr="00675182">
        <w:rPr>
          <w:rFonts w:ascii="Calibri" w:hAnsi="Calibri"/>
        </w:rPr>
        <w:t>3.1. tabulā ir sniegta informācija par katra pasākuma prioritāti, izpildes termiņu, iespējamo finansējuma avotu, aptuveno finansējuma apjomu, ja tāds ir nepieciešams un ja to var aprēķināt. Katrs pasākums ir attiecināts uz konkrētu īstermiņa mērķi, un ir norādīti tā izpildes rādītāji.</w:t>
      </w:r>
    </w:p>
    <w:p w14:paraId="3F510790" w14:textId="77777777" w:rsidR="000224CE" w:rsidRPr="00675182" w:rsidRDefault="000224CE" w:rsidP="000224CE">
      <w:pPr>
        <w:jc w:val="both"/>
        <w:rPr>
          <w:rFonts w:ascii="Calibri" w:hAnsi="Calibri"/>
          <w:highlight w:val="lightGray"/>
        </w:rPr>
      </w:pPr>
    </w:p>
    <w:p w14:paraId="229BE6B9" w14:textId="77777777" w:rsidR="000224CE" w:rsidRPr="00675182" w:rsidRDefault="000224CE" w:rsidP="000224CE">
      <w:pPr>
        <w:tabs>
          <w:tab w:val="num" w:pos="720"/>
        </w:tabs>
        <w:jc w:val="both"/>
        <w:rPr>
          <w:rFonts w:ascii="Calibri" w:hAnsi="Calibri"/>
          <w:szCs w:val="24"/>
        </w:rPr>
      </w:pPr>
      <w:r w:rsidRPr="00675182">
        <w:rPr>
          <w:rFonts w:ascii="Calibri" w:hAnsi="Calibri"/>
        </w:rPr>
        <w:t xml:space="preserve">Ir sagatavots priekšlikums teritorijas funkcionālā zonējuma grozījumiem, mainot funkcionālo zonu iedalījumu – papildus līdzšinējām stingrā režīma zonai (SRZ), dabas lieguma zonai (DLZ), ainavu aizsardzības zonai (AAZ) un neitrālajai zonai (NZ), ieviešot dabas parka zonu (DPZ), savukārt, atsakoties no kultūrvēsturiskās zonas un tajā ietilpstošās teritorijas integrējot citās funkcionālajās zonās. </w:t>
      </w:r>
      <w:r w:rsidRPr="00675182">
        <w:rPr>
          <w:rFonts w:ascii="Calibri" w:hAnsi="Calibri"/>
          <w:szCs w:val="24"/>
        </w:rPr>
        <w:t xml:space="preserve">DA plāna izstrādes ietvaros tika apkopoti un iegūti jauni dati par dabas vērtībām un to ietekmējošiem faktoriem daudz augstākā detalizācijā, tāpēc GNP teritorija ir sadalīta precizētās funkcionālās zonās, ņemot vērā GNP esošo zonējumu, tādējādi nodrošinot spēkā esošā zonējuma </w:t>
      </w:r>
      <w:r w:rsidRPr="00675182">
        <w:rPr>
          <w:rFonts w:ascii="Calibri" w:hAnsi="Calibri"/>
          <w:szCs w:val="24"/>
        </w:rPr>
        <w:lastRenderedPageBreak/>
        <w:t>pēctecību, bet, precizējot to atbilstoši teritorijas aktuālajam novērtējumam, esošajai situācijai un aktuālajiem datiem. Zonējuma aprakstu skat. 5.1. nodaļā.</w:t>
      </w:r>
    </w:p>
    <w:p w14:paraId="51EEFEA7" w14:textId="77777777" w:rsidR="000224CE" w:rsidRPr="00675182" w:rsidRDefault="000224CE" w:rsidP="000224CE">
      <w:pPr>
        <w:tabs>
          <w:tab w:val="num" w:pos="720"/>
        </w:tabs>
        <w:jc w:val="both"/>
        <w:rPr>
          <w:rFonts w:ascii="Calibri" w:hAnsi="Calibri"/>
          <w:szCs w:val="24"/>
        </w:rPr>
      </w:pPr>
    </w:p>
    <w:p w14:paraId="57002653" w14:textId="5B4AF0E3" w:rsidR="000806CF" w:rsidRPr="00675182" w:rsidRDefault="000224CE" w:rsidP="000806CF">
      <w:pPr>
        <w:jc w:val="both"/>
      </w:pPr>
      <w:r w:rsidRPr="00675182">
        <w:rPr>
          <w:rFonts w:ascii="Calibri" w:hAnsi="Calibri"/>
          <w:szCs w:val="24"/>
        </w:rPr>
        <w:t>DA plāna izstrādes ietvaros ir sagatavots priekšlikums GNP likuma un IAIN projektiem. Ir izstrādāts priekšlikums, ka likums turpmāk varētu definēt tikai visa GNP un funkcionālo zonu mērķus un robežas, kā arī GNP pārvaldību. Savukārt IAIN projekts iekļauj nosacījumus individuālai aizsardzības un izmantošanas kārtībai gan visā GNP, gan pa zonām ( skat. 5.2. nodaļu).</w:t>
      </w:r>
      <w:r w:rsidR="000806CF" w:rsidRPr="00675182">
        <w:rPr>
          <w:rFonts w:ascii="Calibri" w:hAnsi="Calibri"/>
          <w:szCs w:val="24"/>
        </w:rPr>
        <w:t xml:space="preserve"> </w:t>
      </w:r>
      <w:r w:rsidR="000806CF" w:rsidRPr="00675182">
        <w:t xml:space="preserve">Likuma un IAIN redakciju gala versijas tiks sagatavotas pēc tam, kad DA plāns tiks iesniegts VARAM, kur ar šīm redakcijām strādās VARAM juristi. Likums stājās spēkā, kad to apstiprina Saeima, bet IAIN stājas spēkā, kad tos apstiprina Ministru kabinets. Tikai tad stājas spēkā ar dabas aizsardzības plānā piedāvātais </w:t>
      </w:r>
      <w:r w:rsidR="002517C8" w:rsidRPr="00675182">
        <w:t xml:space="preserve">funkcionālais </w:t>
      </w:r>
      <w:r w:rsidR="000806CF" w:rsidRPr="00675182">
        <w:t xml:space="preserve">zonējums. </w:t>
      </w:r>
    </w:p>
    <w:p w14:paraId="58AC3664" w14:textId="3BCB33B7" w:rsidR="000224CE" w:rsidRPr="00675182" w:rsidRDefault="000224CE" w:rsidP="000224CE">
      <w:pPr>
        <w:tabs>
          <w:tab w:val="num" w:pos="720"/>
        </w:tabs>
        <w:jc w:val="both"/>
        <w:rPr>
          <w:rFonts w:ascii="Calibri" w:hAnsi="Calibri"/>
          <w:szCs w:val="24"/>
        </w:rPr>
      </w:pPr>
    </w:p>
    <w:p w14:paraId="1FF7F721" w14:textId="4E0CBDD9" w:rsidR="000224CE" w:rsidRPr="00675182" w:rsidRDefault="000224CE" w:rsidP="000327A1">
      <w:pPr>
        <w:suppressAutoHyphens w:val="0"/>
        <w:spacing w:after="160" w:line="259" w:lineRule="auto"/>
        <w:jc w:val="both"/>
        <w:rPr>
          <w:rFonts w:ascii="Calibri" w:hAnsi="Calibri" w:cs="Times New Roman"/>
          <w:sz w:val="22"/>
          <w:szCs w:val="22"/>
          <w:lang w:eastAsia="en-US"/>
        </w:rPr>
      </w:pPr>
      <w:r w:rsidRPr="00675182">
        <w:rPr>
          <w:rFonts w:ascii="Calibri" w:hAnsi="Calibri"/>
        </w:rPr>
        <w:t>DA plāna izstrāde GNP īstenota DAP īstenotā ES Kohēzijas fonda</w:t>
      </w:r>
      <w:r w:rsidR="00717391">
        <w:rPr>
          <w:rFonts w:ascii="Calibri" w:hAnsi="Calibri"/>
        </w:rPr>
        <w:t xml:space="preserve"> (turpmāk – KF)</w:t>
      </w:r>
      <w:r w:rsidRPr="00675182">
        <w:rPr>
          <w:rFonts w:ascii="Calibri" w:hAnsi="Calibri"/>
        </w:rPr>
        <w:t xml:space="preserve"> projekta “Priekšnosacījumu izveide labākai bioloģiskās daudzveidības saglabāšanai un ekosistēmu aizsardzībai Latvijā” Nr. 5.4.2.1./16/I/001 ietvaros.</w:t>
      </w:r>
    </w:p>
    <w:p w14:paraId="1DA40331" w14:textId="77777777" w:rsidR="001D6690" w:rsidRPr="00675182" w:rsidRDefault="001D6690" w:rsidP="002B3341">
      <w:pPr>
        <w:tabs>
          <w:tab w:val="num" w:pos="720"/>
        </w:tabs>
        <w:rPr>
          <w:rFonts w:cstheme="minorHAnsi"/>
        </w:rPr>
        <w:sectPr w:rsidR="001D6690" w:rsidRPr="00675182" w:rsidSect="00A771A7">
          <w:footerReference w:type="default" r:id="rId24"/>
          <w:pgSz w:w="11905" w:h="16837"/>
          <w:pgMar w:top="1440" w:right="1797" w:bottom="1440" w:left="1797" w:header="720" w:footer="720" w:gutter="0"/>
          <w:cols w:space="720"/>
          <w:docGrid w:linePitch="360"/>
        </w:sectPr>
      </w:pPr>
    </w:p>
    <w:p w14:paraId="381B322A" w14:textId="43B081D5" w:rsidR="00011E51" w:rsidRPr="00675182" w:rsidRDefault="00011E51" w:rsidP="00A176D9">
      <w:pPr>
        <w:pStyle w:val="Heading1"/>
        <w:rPr>
          <w:rFonts w:eastAsia="TimesNewRomanPSMT"/>
        </w:rPr>
      </w:pPr>
      <w:bookmarkStart w:id="5" w:name="_Toc116938378"/>
      <w:r w:rsidRPr="00675182">
        <w:lastRenderedPageBreak/>
        <w:t>1. Aizsargājamās teritorijas apraksts</w:t>
      </w:r>
      <w:bookmarkEnd w:id="5"/>
    </w:p>
    <w:p w14:paraId="0660340D" w14:textId="77777777" w:rsidR="00011E51" w:rsidRPr="00675182" w:rsidRDefault="00011E51" w:rsidP="002B3341">
      <w:pPr>
        <w:pStyle w:val="Heading2"/>
        <w:keepNext w:val="0"/>
        <w:rPr>
          <w:rFonts w:cstheme="minorHAnsi"/>
          <w:i w:val="0"/>
          <w:szCs w:val="24"/>
          <w:lang w:val="lv-LV"/>
        </w:rPr>
      </w:pPr>
      <w:bookmarkStart w:id="6" w:name="_Toc116938379"/>
      <w:r w:rsidRPr="00675182">
        <w:rPr>
          <w:rFonts w:cstheme="minorHAnsi"/>
          <w:i w:val="0"/>
          <w:szCs w:val="24"/>
          <w:lang w:val="lv-LV"/>
        </w:rPr>
        <w:t>1.1. Vispārēja informācija par aizsargājamo teritoriju</w:t>
      </w:r>
      <w:bookmarkEnd w:id="6"/>
    </w:p>
    <w:p w14:paraId="33B99271" w14:textId="411ECAFB" w:rsidR="00011E51" w:rsidRPr="00675182" w:rsidRDefault="00011E51" w:rsidP="00BF7348">
      <w:pPr>
        <w:pStyle w:val="Heading3"/>
        <w:keepNext w:val="0"/>
        <w:numPr>
          <w:ilvl w:val="0"/>
          <w:numId w:val="0"/>
        </w:numPr>
        <w:jc w:val="both"/>
        <w:rPr>
          <w:rFonts w:cstheme="minorHAnsi"/>
          <w:b/>
          <w:szCs w:val="24"/>
          <w:lang w:val="lv-LV"/>
        </w:rPr>
      </w:pPr>
      <w:bookmarkStart w:id="7" w:name="_Toc116938380"/>
      <w:r w:rsidRPr="00675182">
        <w:rPr>
          <w:rFonts w:cstheme="minorHAnsi"/>
          <w:b/>
          <w:szCs w:val="24"/>
          <w:lang w:val="lv-LV"/>
        </w:rPr>
        <w:t>1.1.1. Aizsargājamās teritorijas atrašanās vieta un administratīvi teritoriālais sadalījums</w:t>
      </w:r>
      <w:bookmarkEnd w:id="7"/>
    </w:p>
    <w:p w14:paraId="1279804A" w14:textId="77777777" w:rsidR="007008CE" w:rsidRPr="00675182" w:rsidRDefault="007008CE" w:rsidP="00AA184A">
      <w:pPr>
        <w:rPr>
          <w:rFonts w:cstheme="minorHAnsi"/>
          <w:szCs w:val="24"/>
        </w:rPr>
      </w:pPr>
    </w:p>
    <w:p w14:paraId="6CD71EE3" w14:textId="72DC889C" w:rsidR="0031591F" w:rsidRPr="00675182" w:rsidRDefault="000D32D0" w:rsidP="00BF0522">
      <w:pPr>
        <w:jc w:val="both"/>
        <w:rPr>
          <w:rFonts w:cstheme="minorHAnsi"/>
          <w:szCs w:val="24"/>
        </w:rPr>
      </w:pPr>
      <w:r w:rsidRPr="00675182">
        <w:rPr>
          <w:rFonts w:cstheme="minorHAnsi"/>
          <w:szCs w:val="24"/>
        </w:rPr>
        <w:t>GNP</w:t>
      </w:r>
      <w:r w:rsidR="00AA184A" w:rsidRPr="00675182">
        <w:rPr>
          <w:rFonts w:cstheme="minorHAnsi"/>
          <w:szCs w:val="24"/>
        </w:rPr>
        <w:t xml:space="preserve"> atrodas Latvijas </w:t>
      </w:r>
      <w:r w:rsidR="0031591F" w:rsidRPr="00675182">
        <w:rPr>
          <w:rFonts w:cstheme="minorHAnsi"/>
          <w:szCs w:val="24"/>
        </w:rPr>
        <w:t>ziemeļaustrumos, Vidzemē</w:t>
      </w:r>
      <w:r w:rsidR="006E5BD7" w:rsidRPr="00675182">
        <w:rPr>
          <w:rFonts w:cstheme="minorHAnsi"/>
          <w:szCs w:val="24"/>
        </w:rPr>
        <w:t xml:space="preserve"> (skat. 1.1.1. attēlu)</w:t>
      </w:r>
      <w:r w:rsidR="0031591F" w:rsidRPr="00675182">
        <w:rPr>
          <w:rFonts w:cstheme="minorHAnsi"/>
          <w:szCs w:val="24"/>
        </w:rPr>
        <w:t xml:space="preserve">. </w:t>
      </w:r>
      <w:r w:rsidR="006E5BD7" w:rsidRPr="00675182">
        <w:rPr>
          <w:rFonts w:cstheme="minorHAnsi"/>
          <w:szCs w:val="24"/>
        </w:rPr>
        <w:t xml:space="preserve">GNP teritorija </w:t>
      </w:r>
      <w:r w:rsidR="00BF0522" w:rsidRPr="00675182">
        <w:rPr>
          <w:rFonts w:cstheme="minorHAnsi"/>
          <w:szCs w:val="24"/>
        </w:rPr>
        <w:t xml:space="preserve">ietver Gaujas senieleju aptuveni 95 km garumā ar tām pieguļošajām teritorijām – pieteku ielejām, mežu masīviem, kultūrvēsturiskām teritorijām. </w:t>
      </w:r>
    </w:p>
    <w:p w14:paraId="1C6F846D" w14:textId="77777777" w:rsidR="0031591F" w:rsidRPr="00675182" w:rsidRDefault="0031591F" w:rsidP="00AA184A">
      <w:pPr>
        <w:rPr>
          <w:rFonts w:cstheme="minorHAnsi"/>
          <w:szCs w:val="24"/>
        </w:rPr>
      </w:pPr>
    </w:p>
    <w:p w14:paraId="41FA39CF" w14:textId="56D88403" w:rsidR="007008CE" w:rsidRPr="00675182" w:rsidRDefault="00382926" w:rsidP="00314EDF">
      <w:pPr>
        <w:jc w:val="both"/>
        <w:rPr>
          <w:rFonts w:cstheme="minorHAnsi"/>
          <w:szCs w:val="24"/>
        </w:rPr>
      </w:pPr>
      <w:r w:rsidRPr="00675182">
        <w:rPr>
          <w:rFonts w:cstheme="minorHAnsi"/>
          <w:szCs w:val="24"/>
        </w:rPr>
        <w:t xml:space="preserve">Atbilstoši 2004. gadā apstiprinātājā DA plānā norādītajai informācija, GNP platība ir 91 745 ha. </w:t>
      </w:r>
      <w:r w:rsidR="0031591F" w:rsidRPr="00675182">
        <w:rPr>
          <w:rFonts w:cstheme="minorHAnsi"/>
          <w:szCs w:val="24"/>
        </w:rPr>
        <w:t xml:space="preserve">Atbilstoši DDPS “Ozols” norādītajai informācijai, GNP platība ir </w:t>
      </w:r>
      <w:r w:rsidR="006E5BD7" w:rsidRPr="00675182">
        <w:rPr>
          <w:rFonts w:cstheme="minorHAnsi"/>
          <w:szCs w:val="24"/>
        </w:rPr>
        <w:t>91787</w:t>
      </w:r>
      <w:r w:rsidRPr="00675182">
        <w:rPr>
          <w:rFonts w:cstheme="minorHAnsi"/>
          <w:szCs w:val="24"/>
        </w:rPr>
        <w:t xml:space="preserve"> </w:t>
      </w:r>
      <w:r w:rsidR="00314EDF" w:rsidRPr="00675182">
        <w:rPr>
          <w:rFonts w:cstheme="minorHAnsi"/>
          <w:szCs w:val="24"/>
        </w:rPr>
        <w:t>ha</w:t>
      </w:r>
      <w:r w:rsidR="00AA184A" w:rsidRPr="00675182">
        <w:rPr>
          <w:rFonts w:cstheme="minorHAnsi"/>
          <w:szCs w:val="24"/>
        </w:rPr>
        <w:t xml:space="preserve">. </w:t>
      </w:r>
      <w:r w:rsidR="00576A9D" w:rsidRPr="00675182">
        <w:rPr>
          <w:rFonts w:cstheme="minorHAnsi"/>
          <w:szCs w:val="24"/>
        </w:rPr>
        <w:t xml:space="preserve">Spēkā esošā </w:t>
      </w:r>
      <w:r w:rsidR="00867BEC" w:rsidRPr="00675182">
        <w:rPr>
          <w:rFonts w:cstheme="minorHAnsi"/>
          <w:szCs w:val="24"/>
        </w:rPr>
        <w:t>GNP</w:t>
      </w:r>
      <w:r w:rsidR="00576A9D" w:rsidRPr="00675182">
        <w:rPr>
          <w:rFonts w:cstheme="minorHAnsi"/>
          <w:szCs w:val="24"/>
        </w:rPr>
        <w:t xml:space="preserve"> robeža </w:t>
      </w:r>
      <w:r w:rsidR="00867BEC" w:rsidRPr="00675182">
        <w:rPr>
          <w:rFonts w:cstheme="minorHAnsi"/>
          <w:szCs w:val="24"/>
        </w:rPr>
        <w:t>atsevišķos</w:t>
      </w:r>
      <w:r w:rsidR="00576A9D" w:rsidRPr="00675182">
        <w:rPr>
          <w:rFonts w:cstheme="minorHAnsi"/>
          <w:szCs w:val="24"/>
        </w:rPr>
        <w:t xml:space="preserve"> gadījumos nav piesaistāma VZD un </w:t>
      </w:r>
      <w:r w:rsidR="009473F5" w:rsidRPr="00675182">
        <w:rPr>
          <w:rFonts w:cstheme="minorHAnsi"/>
          <w:szCs w:val="24"/>
        </w:rPr>
        <w:t>VMR</w:t>
      </w:r>
      <w:r w:rsidR="00576A9D" w:rsidRPr="00675182">
        <w:rPr>
          <w:rFonts w:cstheme="minorHAnsi"/>
          <w:szCs w:val="24"/>
        </w:rPr>
        <w:t xml:space="preserve"> datubāzēs </w:t>
      </w:r>
      <w:r w:rsidR="00867BEC" w:rsidRPr="00675182">
        <w:rPr>
          <w:rFonts w:cstheme="minorHAnsi"/>
          <w:szCs w:val="24"/>
        </w:rPr>
        <w:t>noteiktajām</w:t>
      </w:r>
      <w:r w:rsidR="00576A9D" w:rsidRPr="00675182">
        <w:rPr>
          <w:rFonts w:cstheme="minorHAnsi"/>
          <w:szCs w:val="24"/>
        </w:rPr>
        <w:t xml:space="preserve"> zemes vienību vai meža nogabalu robežām</w:t>
      </w:r>
      <w:r w:rsidR="00867BEC" w:rsidRPr="00675182">
        <w:rPr>
          <w:rFonts w:cstheme="minorHAnsi"/>
          <w:szCs w:val="24"/>
        </w:rPr>
        <w:t xml:space="preserve">. </w:t>
      </w:r>
      <w:r w:rsidR="00576A9D" w:rsidRPr="00675182">
        <w:rPr>
          <w:rFonts w:cstheme="minorHAnsi"/>
          <w:szCs w:val="24"/>
        </w:rPr>
        <w:t xml:space="preserve">DA plāna izstrādes laikā </w:t>
      </w:r>
      <w:r w:rsidR="00867BEC" w:rsidRPr="00675182">
        <w:rPr>
          <w:rFonts w:cstheme="minorHAnsi"/>
          <w:szCs w:val="24"/>
        </w:rPr>
        <w:t xml:space="preserve">kā viens no plānotajiem apsaimniekošanas pasākumiem tiks </w:t>
      </w:r>
      <w:r w:rsidR="00576A9D" w:rsidRPr="00675182">
        <w:rPr>
          <w:rFonts w:cstheme="minorHAnsi"/>
          <w:szCs w:val="24"/>
        </w:rPr>
        <w:t>sagatavot</w:t>
      </w:r>
      <w:r w:rsidR="00867BEC" w:rsidRPr="00675182">
        <w:rPr>
          <w:rFonts w:cstheme="minorHAnsi"/>
          <w:szCs w:val="24"/>
        </w:rPr>
        <w:t>s</w:t>
      </w:r>
      <w:r w:rsidR="00576A9D" w:rsidRPr="00675182">
        <w:rPr>
          <w:rFonts w:cstheme="minorHAnsi"/>
          <w:szCs w:val="24"/>
        </w:rPr>
        <w:t xml:space="preserve"> priekšlikumi </w:t>
      </w:r>
      <w:r w:rsidR="00867BEC" w:rsidRPr="00675182">
        <w:rPr>
          <w:rFonts w:cstheme="minorHAnsi"/>
          <w:szCs w:val="24"/>
        </w:rPr>
        <w:t>GNP</w:t>
      </w:r>
      <w:r w:rsidR="00576A9D" w:rsidRPr="00675182">
        <w:rPr>
          <w:rFonts w:cstheme="minorHAnsi"/>
          <w:szCs w:val="24"/>
        </w:rPr>
        <w:t xml:space="preserve"> robežu precizēšanai. </w:t>
      </w:r>
    </w:p>
    <w:p w14:paraId="0A9BF83A" w14:textId="77777777" w:rsidR="007008CE" w:rsidRPr="00675182" w:rsidRDefault="007008CE" w:rsidP="00AA184A">
      <w:pPr>
        <w:rPr>
          <w:rFonts w:cstheme="minorHAnsi"/>
          <w:szCs w:val="24"/>
        </w:rPr>
      </w:pPr>
    </w:p>
    <w:p w14:paraId="3EF22D27" w14:textId="37BFD72E" w:rsidR="00382926" w:rsidRPr="00675182" w:rsidRDefault="00382926" w:rsidP="00162901">
      <w:pPr>
        <w:jc w:val="both"/>
        <w:rPr>
          <w:rFonts w:cstheme="minorHAnsi"/>
          <w:szCs w:val="24"/>
        </w:rPr>
      </w:pPr>
      <w:r w:rsidRPr="00675182">
        <w:rPr>
          <w:rFonts w:cstheme="minorHAnsi"/>
          <w:szCs w:val="24"/>
        </w:rPr>
        <w:t xml:space="preserve">Atbilstoši administratīvajam iedalījumam šobrīd GNP ietilpst </w:t>
      </w:r>
      <w:r w:rsidR="000A14CC" w:rsidRPr="00675182">
        <w:rPr>
          <w:rFonts w:cstheme="minorHAnsi"/>
          <w:szCs w:val="24"/>
        </w:rPr>
        <w:t>4</w:t>
      </w:r>
      <w:r w:rsidRPr="00675182">
        <w:rPr>
          <w:rFonts w:cstheme="minorHAnsi"/>
          <w:szCs w:val="24"/>
        </w:rPr>
        <w:t xml:space="preserve"> novad</w:t>
      </w:r>
      <w:r w:rsidR="000A14CC" w:rsidRPr="00675182">
        <w:rPr>
          <w:rFonts w:cstheme="minorHAnsi"/>
          <w:szCs w:val="24"/>
        </w:rPr>
        <w:t>u teritorijās – Cēsu, Saulkrastu, Siguldas un Valmieras</w:t>
      </w:r>
      <w:r w:rsidRPr="00675182">
        <w:rPr>
          <w:rFonts w:cstheme="minorHAnsi"/>
          <w:szCs w:val="24"/>
        </w:rPr>
        <w:t xml:space="preserve"> (skat. 1.1.</w:t>
      </w:r>
      <w:r w:rsidR="00CD5E15" w:rsidRPr="00675182">
        <w:rPr>
          <w:rFonts w:cstheme="minorHAnsi"/>
          <w:szCs w:val="24"/>
        </w:rPr>
        <w:t>1.</w:t>
      </w:r>
      <w:r w:rsidRPr="00675182">
        <w:rPr>
          <w:rFonts w:cstheme="minorHAnsi"/>
          <w:szCs w:val="24"/>
        </w:rPr>
        <w:t xml:space="preserve"> tabulu</w:t>
      </w:r>
      <w:r w:rsidR="001F2CCA" w:rsidRPr="00675182">
        <w:rPr>
          <w:rFonts w:cstheme="minorHAnsi"/>
          <w:szCs w:val="24"/>
        </w:rPr>
        <w:t xml:space="preserve"> un 1.</w:t>
      </w:r>
      <w:r w:rsidR="00CD5E15" w:rsidRPr="00675182">
        <w:rPr>
          <w:rFonts w:cstheme="minorHAnsi"/>
          <w:szCs w:val="24"/>
        </w:rPr>
        <w:t>1.4</w:t>
      </w:r>
      <w:r w:rsidR="00EE357E" w:rsidRPr="00675182">
        <w:rPr>
          <w:rFonts w:cstheme="minorHAnsi"/>
          <w:szCs w:val="24"/>
        </w:rPr>
        <w:t>. attēlu</w:t>
      </w:r>
      <w:r w:rsidRPr="00675182">
        <w:rPr>
          <w:rFonts w:cstheme="minorHAnsi"/>
          <w:szCs w:val="24"/>
        </w:rPr>
        <w:t>).</w:t>
      </w:r>
    </w:p>
    <w:p w14:paraId="1DD4E198" w14:textId="77777777" w:rsidR="00382926" w:rsidRPr="00675182" w:rsidRDefault="00382926" w:rsidP="00162901">
      <w:pPr>
        <w:jc w:val="both"/>
        <w:rPr>
          <w:rFonts w:cstheme="minorHAnsi"/>
          <w:szCs w:val="24"/>
        </w:rPr>
      </w:pPr>
    </w:p>
    <w:p w14:paraId="32737549" w14:textId="4C54378F" w:rsidR="00382926" w:rsidRPr="00675182" w:rsidRDefault="00382926" w:rsidP="00382926">
      <w:pPr>
        <w:pStyle w:val="ListParagraph"/>
        <w:ind w:left="0"/>
        <w:jc w:val="both"/>
        <w:rPr>
          <w:rFonts w:cstheme="minorHAnsi"/>
          <w:b/>
          <w:bCs/>
          <w:i/>
          <w:iCs/>
          <w:szCs w:val="24"/>
        </w:rPr>
      </w:pPr>
      <w:r w:rsidRPr="00675182">
        <w:rPr>
          <w:rFonts w:cstheme="minorHAnsi"/>
          <w:b/>
          <w:bCs/>
          <w:i/>
          <w:iCs/>
          <w:szCs w:val="24"/>
        </w:rPr>
        <w:t>1.1.</w:t>
      </w:r>
      <w:r w:rsidR="0085022A" w:rsidRPr="00675182">
        <w:rPr>
          <w:rFonts w:cstheme="minorHAnsi"/>
          <w:b/>
          <w:bCs/>
          <w:i/>
          <w:iCs/>
          <w:szCs w:val="24"/>
        </w:rPr>
        <w:t>1.</w:t>
      </w:r>
      <w:r w:rsidR="00EE357E" w:rsidRPr="00675182">
        <w:rPr>
          <w:rFonts w:cstheme="minorHAnsi"/>
          <w:b/>
          <w:bCs/>
          <w:i/>
          <w:iCs/>
          <w:szCs w:val="24"/>
        </w:rPr>
        <w:t xml:space="preserve"> </w:t>
      </w:r>
      <w:r w:rsidRPr="00675182">
        <w:rPr>
          <w:rFonts w:cstheme="minorHAnsi"/>
          <w:b/>
          <w:bCs/>
          <w:i/>
          <w:iCs/>
          <w:szCs w:val="24"/>
        </w:rPr>
        <w:t>tabula. GNP ietilpstošās pašvaldības (ha un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3264"/>
        <w:gridCol w:w="2693"/>
      </w:tblGrid>
      <w:tr w:rsidR="000A14CC" w:rsidRPr="00675182" w14:paraId="3D4B8F3D" w14:textId="77777777" w:rsidTr="000A14CC">
        <w:trPr>
          <w:trHeight w:val="525"/>
        </w:trPr>
        <w:tc>
          <w:tcPr>
            <w:tcW w:w="1412"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1F0AE25F" w14:textId="77777777" w:rsidR="000A14CC" w:rsidRPr="00675182" w:rsidRDefault="000A14CC" w:rsidP="00382926">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Pašvaldība</w:t>
            </w:r>
          </w:p>
        </w:tc>
        <w:tc>
          <w:tcPr>
            <w:tcW w:w="1966"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7F9B2B1A" w14:textId="104C6E42" w:rsidR="000A14CC" w:rsidRPr="00675182" w:rsidRDefault="000A14CC" w:rsidP="00382926">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Platība GNP teritorijā, ha</w:t>
            </w:r>
          </w:p>
        </w:tc>
        <w:tc>
          <w:tcPr>
            <w:tcW w:w="1622" w:type="pct"/>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7ED1876B" w14:textId="65E34691" w:rsidR="000A14CC" w:rsidRPr="00675182" w:rsidRDefault="000A14CC" w:rsidP="00382926">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 no GNP teritorijas</w:t>
            </w:r>
          </w:p>
        </w:tc>
      </w:tr>
      <w:tr w:rsidR="00531C32" w:rsidRPr="00675182" w14:paraId="73B98A28" w14:textId="77777777" w:rsidTr="00F413EA">
        <w:trPr>
          <w:trHeight w:val="300"/>
        </w:trPr>
        <w:tc>
          <w:tcPr>
            <w:tcW w:w="1412" w:type="pct"/>
            <w:tcBorders>
              <w:top w:val="single" w:sz="4" w:space="0" w:color="auto"/>
              <w:left w:val="single" w:sz="4" w:space="0" w:color="auto"/>
              <w:bottom w:val="single" w:sz="4" w:space="0" w:color="auto"/>
              <w:right w:val="single" w:sz="4" w:space="0" w:color="auto"/>
            </w:tcBorders>
            <w:noWrap/>
            <w:vAlign w:val="bottom"/>
            <w:hideMark/>
          </w:tcPr>
          <w:p w14:paraId="16C2FA38" w14:textId="6D64E31A" w:rsidR="00531C32" w:rsidRPr="00675182" w:rsidRDefault="00531C32" w:rsidP="00531C32">
            <w:pPr>
              <w:suppressAutoHyphens w:val="0"/>
              <w:rPr>
                <w:rFonts w:eastAsia="Times New Roman" w:cstheme="minorHAnsi"/>
                <w:color w:val="000000"/>
                <w:szCs w:val="24"/>
                <w:lang w:eastAsia="en-GB"/>
              </w:rPr>
            </w:pPr>
            <w:r w:rsidRPr="00675182">
              <w:rPr>
                <w:rFonts w:eastAsia="Times New Roman" w:cstheme="minorHAnsi"/>
                <w:color w:val="000000"/>
                <w:szCs w:val="24"/>
                <w:lang w:eastAsia="en-GB"/>
              </w:rPr>
              <w:t>Cēsu novads</w:t>
            </w:r>
          </w:p>
        </w:tc>
        <w:tc>
          <w:tcPr>
            <w:tcW w:w="1966" w:type="pct"/>
            <w:tcBorders>
              <w:top w:val="single" w:sz="4" w:space="0" w:color="auto"/>
              <w:left w:val="single" w:sz="4" w:space="0" w:color="auto"/>
              <w:bottom w:val="single" w:sz="4" w:space="0" w:color="auto"/>
              <w:right w:val="single" w:sz="4" w:space="0" w:color="auto"/>
            </w:tcBorders>
            <w:noWrap/>
          </w:tcPr>
          <w:p w14:paraId="5105EEC4" w14:textId="1A7EC154" w:rsidR="00531C32" w:rsidRPr="00675182" w:rsidRDefault="00531C32" w:rsidP="00531C32">
            <w:pPr>
              <w:suppressAutoHyphens w:val="0"/>
              <w:jc w:val="center"/>
              <w:rPr>
                <w:rFonts w:eastAsia="Times New Roman" w:cstheme="minorHAnsi"/>
                <w:color w:val="000000"/>
                <w:sz w:val="22"/>
                <w:szCs w:val="22"/>
                <w:lang w:eastAsia="en-GB"/>
              </w:rPr>
            </w:pPr>
            <w:r w:rsidRPr="00675182">
              <w:rPr>
                <w:rFonts w:cstheme="minorHAnsi"/>
              </w:rPr>
              <w:t>63137,6</w:t>
            </w:r>
          </w:p>
        </w:tc>
        <w:tc>
          <w:tcPr>
            <w:tcW w:w="1622" w:type="pct"/>
            <w:tcBorders>
              <w:top w:val="single" w:sz="4" w:space="0" w:color="auto"/>
              <w:left w:val="single" w:sz="4" w:space="0" w:color="auto"/>
              <w:bottom w:val="single" w:sz="4" w:space="0" w:color="auto"/>
              <w:right w:val="single" w:sz="4" w:space="0" w:color="auto"/>
            </w:tcBorders>
            <w:noWrap/>
          </w:tcPr>
          <w:p w14:paraId="6BA5A66C" w14:textId="0BCB66EC" w:rsidR="00531C32" w:rsidRPr="00675182" w:rsidRDefault="00531C32" w:rsidP="00531C32">
            <w:pPr>
              <w:suppressAutoHyphens w:val="0"/>
              <w:jc w:val="center"/>
              <w:rPr>
                <w:rFonts w:eastAsia="Times New Roman" w:cstheme="minorHAnsi"/>
                <w:color w:val="000000"/>
                <w:sz w:val="22"/>
                <w:szCs w:val="22"/>
                <w:lang w:eastAsia="en-GB"/>
              </w:rPr>
            </w:pPr>
            <w:r w:rsidRPr="00675182">
              <w:rPr>
                <w:rFonts w:cstheme="minorHAnsi"/>
              </w:rPr>
              <w:t>68,8</w:t>
            </w:r>
          </w:p>
        </w:tc>
      </w:tr>
      <w:tr w:rsidR="00531C32" w:rsidRPr="00675182" w14:paraId="2F00238A" w14:textId="77777777" w:rsidTr="00F413EA">
        <w:trPr>
          <w:trHeight w:val="300"/>
        </w:trPr>
        <w:tc>
          <w:tcPr>
            <w:tcW w:w="1412" w:type="pct"/>
            <w:tcBorders>
              <w:top w:val="single" w:sz="4" w:space="0" w:color="auto"/>
              <w:left w:val="single" w:sz="4" w:space="0" w:color="auto"/>
              <w:bottom w:val="single" w:sz="4" w:space="0" w:color="auto"/>
              <w:right w:val="single" w:sz="4" w:space="0" w:color="auto"/>
            </w:tcBorders>
            <w:noWrap/>
            <w:vAlign w:val="bottom"/>
            <w:hideMark/>
          </w:tcPr>
          <w:p w14:paraId="2FF6175E" w14:textId="29A045C2" w:rsidR="00531C32" w:rsidRPr="00675182" w:rsidRDefault="00531C32" w:rsidP="00531C32">
            <w:pPr>
              <w:suppressAutoHyphens w:val="0"/>
              <w:rPr>
                <w:rFonts w:eastAsia="Times New Roman" w:cstheme="minorHAnsi"/>
                <w:color w:val="000000"/>
                <w:szCs w:val="24"/>
                <w:lang w:eastAsia="en-GB"/>
              </w:rPr>
            </w:pPr>
            <w:r w:rsidRPr="00675182">
              <w:rPr>
                <w:rFonts w:eastAsia="Times New Roman" w:cstheme="minorHAnsi"/>
                <w:color w:val="000000"/>
                <w:szCs w:val="24"/>
                <w:lang w:eastAsia="en-GB"/>
              </w:rPr>
              <w:t>Siguldas novads</w:t>
            </w:r>
          </w:p>
        </w:tc>
        <w:tc>
          <w:tcPr>
            <w:tcW w:w="1966" w:type="pct"/>
            <w:tcBorders>
              <w:top w:val="single" w:sz="4" w:space="0" w:color="auto"/>
              <w:left w:val="single" w:sz="4" w:space="0" w:color="auto"/>
              <w:bottom w:val="single" w:sz="4" w:space="0" w:color="auto"/>
              <w:right w:val="single" w:sz="4" w:space="0" w:color="auto"/>
            </w:tcBorders>
            <w:noWrap/>
          </w:tcPr>
          <w:p w14:paraId="0EEB4E4A" w14:textId="15381014" w:rsidR="00531C32" w:rsidRPr="00675182" w:rsidRDefault="00531C32" w:rsidP="00531C32">
            <w:pPr>
              <w:suppressAutoHyphens w:val="0"/>
              <w:jc w:val="center"/>
              <w:rPr>
                <w:rFonts w:eastAsia="Times New Roman" w:cstheme="minorHAnsi"/>
                <w:color w:val="000000"/>
                <w:sz w:val="22"/>
                <w:szCs w:val="22"/>
                <w:lang w:eastAsia="en-GB"/>
              </w:rPr>
            </w:pPr>
            <w:r w:rsidRPr="00675182">
              <w:rPr>
                <w:rFonts w:cstheme="minorHAnsi"/>
              </w:rPr>
              <w:t>18431,6</w:t>
            </w:r>
          </w:p>
        </w:tc>
        <w:tc>
          <w:tcPr>
            <w:tcW w:w="1622" w:type="pct"/>
            <w:tcBorders>
              <w:top w:val="single" w:sz="4" w:space="0" w:color="auto"/>
              <w:left w:val="single" w:sz="4" w:space="0" w:color="auto"/>
              <w:bottom w:val="single" w:sz="4" w:space="0" w:color="auto"/>
              <w:right w:val="single" w:sz="4" w:space="0" w:color="auto"/>
            </w:tcBorders>
            <w:noWrap/>
          </w:tcPr>
          <w:p w14:paraId="742717E4" w14:textId="22CD866A" w:rsidR="00531C32" w:rsidRPr="00675182" w:rsidRDefault="00531C32" w:rsidP="00531C32">
            <w:pPr>
              <w:suppressAutoHyphens w:val="0"/>
              <w:jc w:val="center"/>
              <w:rPr>
                <w:rFonts w:eastAsia="Times New Roman" w:cstheme="minorHAnsi"/>
                <w:color w:val="000000"/>
                <w:sz w:val="22"/>
                <w:szCs w:val="22"/>
                <w:lang w:eastAsia="en-GB"/>
              </w:rPr>
            </w:pPr>
            <w:r w:rsidRPr="00675182">
              <w:rPr>
                <w:rFonts w:cstheme="minorHAnsi"/>
              </w:rPr>
              <w:t>20,1</w:t>
            </w:r>
          </w:p>
        </w:tc>
      </w:tr>
      <w:tr w:rsidR="00531C32" w:rsidRPr="00675182" w14:paraId="2E371196" w14:textId="77777777" w:rsidTr="00F413EA">
        <w:trPr>
          <w:trHeight w:val="300"/>
        </w:trPr>
        <w:tc>
          <w:tcPr>
            <w:tcW w:w="1412" w:type="pct"/>
            <w:tcBorders>
              <w:top w:val="single" w:sz="4" w:space="0" w:color="auto"/>
              <w:left w:val="single" w:sz="4" w:space="0" w:color="auto"/>
              <w:bottom w:val="single" w:sz="4" w:space="0" w:color="auto"/>
              <w:right w:val="single" w:sz="4" w:space="0" w:color="auto"/>
            </w:tcBorders>
            <w:noWrap/>
            <w:vAlign w:val="bottom"/>
          </w:tcPr>
          <w:p w14:paraId="1C030F49" w14:textId="04A0DA54" w:rsidR="00531C32" w:rsidRPr="00675182" w:rsidRDefault="00531C32" w:rsidP="00531C32">
            <w:pPr>
              <w:suppressAutoHyphens w:val="0"/>
              <w:rPr>
                <w:rFonts w:eastAsia="Times New Roman" w:cstheme="minorHAnsi"/>
                <w:color w:val="000000"/>
                <w:szCs w:val="24"/>
                <w:lang w:eastAsia="en-GB"/>
              </w:rPr>
            </w:pPr>
            <w:r w:rsidRPr="00675182">
              <w:rPr>
                <w:rFonts w:eastAsia="Times New Roman" w:cstheme="minorHAnsi"/>
                <w:color w:val="000000"/>
                <w:szCs w:val="24"/>
                <w:lang w:eastAsia="en-GB"/>
              </w:rPr>
              <w:t>Valmieras novads</w:t>
            </w:r>
          </w:p>
        </w:tc>
        <w:tc>
          <w:tcPr>
            <w:tcW w:w="1966" w:type="pct"/>
            <w:tcBorders>
              <w:top w:val="single" w:sz="4" w:space="0" w:color="auto"/>
              <w:left w:val="single" w:sz="4" w:space="0" w:color="auto"/>
              <w:bottom w:val="single" w:sz="4" w:space="0" w:color="auto"/>
              <w:right w:val="single" w:sz="4" w:space="0" w:color="auto"/>
            </w:tcBorders>
            <w:noWrap/>
          </w:tcPr>
          <w:p w14:paraId="3C6E2CCD" w14:textId="41AA5E5C" w:rsidR="00531C32" w:rsidRPr="00675182" w:rsidRDefault="00531C32" w:rsidP="00531C32">
            <w:pPr>
              <w:suppressAutoHyphens w:val="0"/>
              <w:jc w:val="center"/>
              <w:rPr>
                <w:rFonts w:eastAsia="Times New Roman" w:cstheme="minorHAnsi"/>
                <w:color w:val="000000"/>
                <w:sz w:val="22"/>
                <w:szCs w:val="22"/>
                <w:lang w:eastAsia="en-GB"/>
              </w:rPr>
            </w:pPr>
            <w:r w:rsidRPr="00675182">
              <w:rPr>
                <w:rFonts w:cstheme="minorHAnsi"/>
              </w:rPr>
              <w:t>10148,9</w:t>
            </w:r>
          </w:p>
        </w:tc>
        <w:tc>
          <w:tcPr>
            <w:tcW w:w="1622" w:type="pct"/>
            <w:tcBorders>
              <w:top w:val="single" w:sz="4" w:space="0" w:color="auto"/>
              <w:left w:val="single" w:sz="4" w:space="0" w:color="auto"/>
              <w:bottom w:val="single" w:sz="4" w:space="0" w:color="auto"/>
              <w:right w:val="single" w:sz="4" w:space="0" w:color="auto"/>
            </w:tcBorders>
            <w:noWrap/>
          </w:tcPr>
          <w:p w14:paraId="69B980AC" w14:textId="3FF2BEB2" w:rsidR="00531C32" w:rsidRPr="00675182" w:rsidRDefault="00531C32" w:rsidP="00531C32">
            <w:pPr>
              <w:suppressAutoHyphens w:val="0"/>
              <w:jc w:val="center"/>
              <w:rPr>
                <w:rFonts w:eastAsia="Times New Roman" w:cstheme="minorHAnsi"/>
                <w:color w:val="000000"/>
                <w:sz w:val="22"/>
                <w:szCs w:val="22"/>
                <w:lang w:eastAsia="en-GB"/>
              </w:rPr>
            </w:pPr>
            <w:r w:rsidRPr="00675182">
              <w:rPr>
                <w:rFonts w:cstheme="minorHAnsi"/>
              </w:rPr>
              <w:t>11,1</w:t>
            </w:r>
          </w:p>
        </w:tc>
      </w:tr>
      <w:tr w:rsidR="00531C32" w:rsidRPr="00675182" w14:paraId="63EE99F6" w14:textId="77777777" w:rsidTr="00F413EA">
        <w:trPr>
          <w:trHeight w:val="300"/>
        </w:trPr>
        <w:tc>
          <w:tcPr>
            <w:tcW w:w="1412" w:type="pct"/>
            <w:tcBorders>
              <w:top w:val="single" w:sz="4" w:space="0" w:color="auto"/>
              <w:left w:val="single" w:sz="4" w:space="0" w:color="auto"/>
              <w:bottom w:val="single" w:sz="4" w:space="0" w:color="auto"/>
              <w:right w:val="single" w:sz="4" w:space="0" w:color="auto"/>
            </w:tcBorders>
            <w:noWrap/>
            <w:vAlign w:val="bottom"/>
          </w:tcPr>
          <w:p w14:paraId="11AA7E43" w14:textId="14E96AF4" w:rsidR="00531C32" w:rsidRPr="00675182" w:rsidRDefault="00531C32" w:rsidP="00531C32">
            <w:pPr>
              <w:suppressAutoHyphens w:val="0"/>
              <w:rPr>
                <w:rFonts w:eastAsia="Times New Roman" w:cstheme="minorHAnsi"/>
                <w:color w:val="000000"/>
                <w:szCs w:val="24"/>
                <w:lang w:eastAsia="en-GB"/>
              </w:rPr>
            </w:pPr>
            <w:r w:rsidRPr="00675182">
              <w:rPr>
                <w:rFonts w:eastAsia="Times New Roman" w:cstheme="minorHAnsi"/>
                <w:color w:val="000000"/>
                <w:szCs w:val="24"/>
                <w:lang w:eastAsia="en-GB"/>
              </w:rPr>
              <w:t>Saulkrastu novads</w:t>
            </w:r>
          </w:p>
        </w:tc>
        <w:tc>
          <w:tcPr>
            <w:tcW w:w="1966" w:type="pct"/>
            <w:tcBorders>
              <w:top w:val="single" w:sz="4" w:space="0" w:color="auto"/>
              <w:left w:val="single" w:sz="4" w:space="0" w:color="auto"/>
              <w:bottom w:val="single" w:sz="4" w:space="0" w:color="auto"/>
              <w:right w:val="single" w:sz="4" w:space="0" w:color="auto"/>
            </w:tcBorders>
            <w:noWrap/>
          </w:tcPr>
          <w:p w14:paraId="54BA90DA" w14:textId="5E8A933F" w:rsidR="00531C32" w:rsidRPr="00675182" w:rsidRDefault="00531C32" w:rsidP="00531C32">
            <w:pPr>
              <w:suppressAutoHyphens w:val="0"/>
              <w:jc w:val="center"/>
              <w:rPr>
                <w:rFonts w:eastAsia="Times New Roman" w:cstheme="minorHAnsi"/>
                <w:color w:val="000000"/>
                <w:sz w:val="22"/>
                <w:szCs w:val="22"/>
                <w:lang w:eastAsia="en-GB"/>
              </w:rPr>
            </w:pPr>
            <w:r w:rsidRPr="00675182">
              <w:rPr>
                <w:rFonts w:cstheme="minorHAnsi"/>
              </w:rPr>
              <w:t>68,7</w:t>
            </w:r>
          </w:p>
        </w:tc>
        <w:tc>
          <w:tcPr>
            <w:tcW w:w="1622" w:type="pct"/>
            <w:tcBorders>
              <w:top w:val="single" w:sz="4" w:space="0" w:color="auto"/>
              <w:left w:val="single" w:sz="4" w:space="0" w:color="auto"/>
              <w:bottom w:val="single" w:sz="4" w:space="0" w:color="auto"/>
              <w:right w:val="single" w:sz="4" w:space="0" w:color="auto"/>
            </w:tcBorders>
            <w:noWrap/>
          </w:tcPr>
          <w:p w14:paraId="1453E419" w14:textId="053FB6E6" w:rsidR="00531C32" w:rsidRPr="00675182" w:rsidRDefault="00531C32" w:rsidP="00531C32">
            <w:pPr>
              <w:suppressAutoHyphens w:val="0"/>
              <w:jc w:val="center"/>
              <w:rPr>
                <w:rFonts w:eastAsia="Times New Roman" w:cstheme="minorHAnsi"/>
                <w:color w:val="000000"/>
                <w:sz w:val="22"/>
                <w:szCs w:val="22"/>
                <w:lang w:eastAsia="en-GB"/>
              </w:rPr>
            </w:pPr>
            <w:r w:rsidRPr="00675182">
              <w:rPr>
                <w:rFonts w:cstheme="minorHAnsi"/>
              </w:rPr>
              <w:t>0,1</w:t>
            </w:r>
          </w:p>
        </w:tc>
      </w:tr>
    </w:tbl>
    <w:p w14:paraId="0B6856B7" w14:textId="40C8C84F" w:rsidR="001532F4" w:rsidRPr="00675182" w:rsidRDefault="001532F4" w:rsidP="001532F4">
      <w:pPr>
        <w:rPr>
          <w:rFonts w:cstheme="minorHAnsi"/>
          <w:sz w:val="20"/>
          <w:szCs w:val="16"/>
        </w:rPr>
      </w:pPr>
      <w:r w:rsidRPr="00675182">
        <w:rPr>
          <w:rFonts w:cstheme="minorHAnsi"/>
          <w:sz w:val="20"/>
          <w:szCs w:val="16"/>
        </w:rPr>
        <w:t>Datu avots: VZD, 2022</w:t>
      </w:r>
    </w:p>
    <w:p w14:paraId="37842EAF" w14:textId="64FFB7E1" w:rsidR="007008CE" w:rsidRPr="00675182" w:rsidRDefault="007008CE" w:rsidP="00AA184A">
      <w:pPr>
        <w:rPr>
          <w:rFonts w:cstheme="minorHAnsi"/>
          <w:szCs w:val="24"/>
        </w:rPr>
      </w:pPr>
    </w:p>
    <w:p w14:paraId="4D38C3C6" w14:textId="65AB74BB" w:rsidR="00AA184A" w:rsidRPr="00675182" w:rsidRDefault="007008CE" w:rsidP="00BF7348">
      <w:pPr>
        <w:jc w:val="both"/>
        <w:rPr>
          <w:rFonts w:cstheme="minorHAnsi"/>
          <w:szCs w:val="24"/>
        </w:rPr>
      </w:pPr>
      <w:r w:rsidRPr="00675182">
        <w:rPr>
          <w:rFonts w:cstheme="minorHAnsi"/>
          <w:szCs w:val="24"/>
        </w:rPr>
        <w:t xml:space="preserve">GNP teritorijā </w:t>
      </w:r>
      <w:r w:rsidR="00314EDF" w:rsidRPr="00675182">
        <w:rPr>
          <w:rFonts w:cstheme="minorHAnsi"/>
          <w:szCs w:val="24"/>
        </w:rPr>
        <w:t xml:space="preserve">atrodas Līgatnes pilsēta, kā arī </w:t>
      </w:r>
      <w:r w:rsidRPr="00675182">
        <w:rPr>
          <w:rFonts w:cstheme="minorHAnsi"/>
          <w:szCs w:val="24"/>
        </w:rPr>
        <w:t>daļēji ietilpst Cēsu un Siguldas pilsētu teritorijas</w:t>
      </w:r>
      <w:r w:rsidR="00314EDF" w:rsidRPr="00675182">
        <w:rPr>
          <w:rFonts w:cstheme="minorHAnsi"/>
          <w:szCs w:val="24"/>
        </w:rPr>
        <w:t xml:space="preserve">, </w:t>
      </w:r>
      <w:r w:rsidRPr="00675182">
        <w:rPr>
          <w:rFonts w:cstheme="minorHAnsi"/>
          <w:szCs w:val="24"/>
        </w:rPr>
        <w:t xml:space="preserve">kā arī </w:t>
      </w:r>
      <w:r w:rsidR="00314EDF" w:rsidRPr="00675182">
        <w:rPr>
          <w:rFonts w:cstheme="minorHAnsi"/>
          <w:szCs w:val="24"/>
        </w:rPr>
        <w:t xml:space="preserve">40 </w:t>
      </w:r>
      <w:r w:rsidRPr="00675182">
        <w:rPr>
          <w:rFonts w:cstheme="minorHAnsi"/>
          <w:szCs w:val="24"/>
        </w:rPr>
        <w:t>ciem</w:t>
      </w:r>
      <w:r w:rsidR="00314EDF" w:rsidRPr="00675182">
        <w:rPr>
          <w:rFonts w:cstheme="minorHAnsi"/>
          <w:szCs w:val="24"/>
        </w:rPr>
        <w:t>u teritorijas.</w:t>
      </w:r>
    </w:p>
    <w:p w14:paraId="7DAA178D" w14:textId="01567277" w:rsidR="00EE6FC7" w:rsidRPr="00675182" w:rsidRDefault="00EE6FC7" w:rsidP="00AA184A">
      <w:pPr>
        <w:rPr>
          <w:rFonts w:cstheme="minorHAnsi"/>
          <w:szCs w:val="24"/>
        </w:rPr>
      </w:pPr>
    </w:p>
    <w:p w14:paraId="6C71E49E" w14:textId="7F2A9D23" w:rsidR="00EE6FC7" w:rsidRPr="00675182" w:rsidRDefault="00EE6FC7" w:rsidP="00EE6FC7">
      <w:pPr>
        <w:jc w:val="both"/>
        <w:rPr>
          <w:rFonts w:cstheme="minorHAnsi"/>
          <w:szCs w:val="24"/>
        </w:rPr>
      </w:pPr>
      <w:r w:rsidRPr="00675182">
        <w:rPr>
          <w:rFonts w:cstheme="minorHAnsi"/>
          <w:szCs w:val="22"/>
          <w:lang w:eastAsia="en-US"/>
        </w:rPr>
        <w:t xml:space="preserve">GNP teritorija robežojas ar valsts galvenajiem autoceļiem A2 Rīga—Sigulda—Igaunijas robeža (Veclaicene) un A3 Inčukalns—Valmiera—Igaunijas robeža (Valka). </w:t>
      </w:r>
    </w:p>
    <w:p w14:paraId="29982ED3" w14:textId="77777777" w:rsidR="00314EDF" w:rsidRPr="00675182" w:rsidRDefault="00314EDF" w:rsidP="00AA184A">
      <w:pPr>
        <w:rPr>
          <w:rFonts w:cstheme="minorHAnsi"/>
          <w:szCs w:val="24"/>
        </w:rPr>
      </w:pPr>
    </w:p>
    <w:p w14:paraId="15BB5ECB" w14:textId="6B0B962A" w:rsidR="00AA184A" w:rsidRPr="00675182" w:rsidRDefault="00393F55" w:rsidP="00AA184A">
      <w:pPr>
        <w:rPr>
          <w:rFonts w:cstheme="minorHAnsi"/>
          <w:szCs w:val="24"/>
        </w:rPr>
      </w:pPr>
      <w:r w:rsidRPr="00675182">
        <w:rPr>
          <w:rFonts w:cstheme="minorHAnsi"/>
          <w:szCs w:val="24"/>
        </w:rPr>
        <w:t>GNP</w:t>
      </w:r>
      <w:r w:rsidR="00AA184A" w:rsidRPr="00675182">
        <w:rPr>
          <w:rFonts w:cstheme="minorHAnsi"/>
          <w:szCs w:val="24"/>
        </w:rPr>
        <w:t xml:space="preserve"> centroīda koordinātes norādītas 1.</w:t>
      </w:r>
      <w:r w:rsidR="00CD5E15" w:rsidRPr="00675182">
        <w:rPr>
          <w:rFonts w:cstheme="minorHAnsi"/>
          <w:szCs w:val="24"/>
        </w:rPr>
        <w:t>1.</w:t>
      </w:r>
      <w:r w:rsidR="00220076" w:rsidRPr="00675182">
        <w:rPr>
          <w:rFonts w:cstheme="minorHAnsi"/>
          <w:szCs w:val="24"/>
        </w:rPr>
        <w:t>2</w:t>
      </w:r>
      <w:r w:rsidR="00AA184A" w:rsidRPr="00675182">
        <w:rPr>
          <w:rFonts w:cstheme="minorHAnsi"/>
          <w:szCs w:val="24"/>
        </w:rPr>
        <w:t>. tabulā.</w:t>
      </w:r>
    </w:p>
    <w:p w14:paraId="6D8263B0" w14:textId="77777777" w:rsidR="00011E51" w:rsidRPr="00675182" w:rsidRDefault="00011E51" w:rsidP="002B3341">
      <w:pPr>
        <w:rPr>
          <w:rFonts w:cstheme="minorHAnsi"/>
        </w:rPr>
      </w:pPr>
    </w:p>
    <w:p w14:paraId="3E374250" w14:textId="72837C44" w:rsidR="00011E51" w:rsidRPr="00675182" w:rsidRDefault="0095109A" w:rsidP="002B3341">
      <w:pPr>
        <w:rPr>
          <w:rFonts w:cstheme="minorHAnsi"/>
          <w:b/>
          <w:i/>
          <w:szCs w:val="24"/>
        </w:rPr>
      </w:pPr>
      <w:r w:rsidRPr="00675182">
        <w:rPr>
          <w:rFonts w:cstheme="minorHAnsi"/>
          <w:b/>
          <w:i/>
          <w:szCs w:val="24"/>
        </w:rPr>
        <w:t>1</w:t>
      </w:r>
      <w:r w:rsidR="000A14CC" w:rsidRPr="00675182">
        <w:rPr>
          <w:rFonts w:cstheme="minorHAnsi"/>
          <w:b/>
          <w:i/>
          <w:szCs w:val="24"/>
        </w:rPr>
        <w:t>.</w:t>
      </w:r>
      <w:r w:rsidR="00CD5E15" w:rsidRPr="00675182">
        <w:rPr>
          <w:rFonts w:cstheme="minorHAnsi"/>
          <w:b/>
          <w:i/>
          <w:szCs w:val="24"/>
        </w:rPr>
        <w:t>1</w:t>
      </w:r>
      <w:r w:rsidRPr="00675182">
        <w:rPr>
          <w:rFonts w:cstheme="minorHAnsi"/>
          <w:b/>
          <w:i/>
          <w:szCs w:val="24"/>
        </w:rPr>
        <w:t>.</w:t>
      </w:r>
      <w:r w:rsidR="00220076" w:rsidRPr="00675182">
        <w:rPr>
          <w:rFonts w:cstheme="minorHAnsi"/>
          <w:b/>
          <w:i/>
          <w:szCs w:val="24"/>
        </w:rPr>
        <w:t>2</w:t>
      </w:r>
      <w:r w:rsidR="001F3A84" w:rsidRPr="00675182">
        <w:rPr>
          <w:rFonts w:cstheme="minorHAnsi"/>
          <w:b/>
          <w:i/>
          <w:szCs w:val="24"/>
        </w:rPr>
        <w:t>.</w:t>
      </w:r>
      <w:r w:rsidR="00011E51" w:rsidRPr="00675182">
        <w:rPr>
          <w:rFonts w:cstheme="minorHAnsi"/>
          <w:b/>
          <w:i/>
          <w:szCs w:val="24"/>
        </w:rPr>
        <w:t xml:space="preserve"> tabula</w:t>
      </w:r>
      <w:r w:rsidR="001F3A84" w:rsidRPr="00675182">
        <w:rPr>
          <w:rFonts w:cstheme="minorHAnsi"/>
          <w:b/>
          <w:i/>
          <w:szCs w:val="24"/>
        </w:rPr>
        <w:t>. GNP</w:t>
      </w:r>
      <w:r w:rsidR="00660418" w:rsidRPr="00675182">
        <w:rPr>
          <w:rFonts w:cstheme="minorHAnsi"/>
          <w:b/>
          <w:i/>
          <w:szCs w:val="24"/>
        </w:rPr>
        <w:t xml:space="preserve"> </w:t>
      </w:r>
      <w:r w:rsidR="00011E51" w:rsidRPr="00675182">
        <w:rPr>
          <w:rFonts w:cstheme="minorHAnsi"/>
          <w:b/>
          <w:i/>
          <w:szCs w:val="24"/>
        </w:rPr>
        <w:t>centroīda koordinātes</w:t>
      </w:r>
    </w:p>
    <w:tbl>
      <w:tblPr>
        <w:tblW w:w="0" w:type="auto"/>
        <w:tblInd w:w="108" w:type="dxa"/>
        <w:tblLayout w:type="fixed"/>
        <w:tblLook w:val="0000" w:firstRow="0" w:lastRow="0" w:firstColumn="0" w:lastColumn="0" w:noHBand="0" w:noVBand="0"/>
      </w:tblPr>
      <w:tblGrid>
        <w:gridCol w:w="1548"/>
        <w:gridCol w:w="900"/>
        <w:gridCol w:w="900"/>
        <w:gridCol w:w="920"/>
      </w:tblGrid>
      <w:tr w:rsidR="00011E51" w:rsidRPr="00675182" w14:paraId="4CE3AFA0" w14:textId="77777777">
        <w:trPr>
          <w:cantSplit/>
        </w:trPr>
        <w:tc>
          <w:tcPr>
            <w:tcW w:w="1548" w:type="dxa"/>
            <w:tcBorders>
              <w:top w:val="single" w:sz="4" w:space="0" w:color="000000"/>
              <w:left w:val="single" w:sz="4" w:space="0" w:color="000000"/>
              <w:bottom w:val="single" w:sz="4" w:space="0" w:color="000000"/>
            </w:tcBorders>
          </w:tcPr>
          <w:p w14:paraId="68F7CCB4" w14:textId="77777777" w:rsidR="00011E51" w:rsidRPr="00675182" w:rsidRDefault="00011E51" w:rsidP="002B3341">
            <w:pPr>
              <w:snapToGrid w:val="0"/>
              <w:rPr>
                <w:rFonts w:cstheme="minorHAnsi"/>
                <w:szCs w:val="24"/>
              </w:rPr>
            </w:pPr>
            <w:r w:rsidRPr="00675182">
              <w:rPr>
                <w:rFonts w:cstheme="minorHAnsi"/>
                <w:szCs w:val="24"/>
              </w:rPr>
              <w:t>Platums (Z):</w:t>
            </w:r>
          </w:p>
        </w:tc>
        <w:tc>
          <w:tcPr>
            <w:tcW w:w="900" w:type="dxa"/>
            <w:tcBorders>
              <w:top w:val="single" w:sz="4" w:space="0" w:color="000000"/>
              <w:left w:val="single" w:sz="4" w:space="0" w:color="000000"/>
              <w:bottom w:val="single" w:sz="4" w:space="0" w:color="000000"/>
            </w:tcBorders>
          </w:tcPr>
          <w:p w14:paraId="057506D6" w14:textId="0224F38E" w:rsidR="00011E51" w:rsidRPr="00675182" w:rsidRDefault="00283396" w:rsidP="002B3341">
            <w:pPr>
              <w:snapToGrid w:val="0"/>
              <w:rPr>
                <w:rFonts w:cstheme="minorHAnsi"/>
                <w:szCs w:val="24"/>
              </w:rPr>
            </w:pPr>
            <w:r w:rsidRPr="00675182">
              <w:rPr>
                <w:rFonts w:cstheme="minorHAnsi"/>
                <w:szCs w:val="24"/>
              </w:rPr>
              <w:t>57°</w:t>
            </w:r>
          </w:p>
        </w:tc>
        <w:tc>
          <w:tcPr>
            <w:tcW w:w="900" w:type="dxa"/>
            <w:tcBorders>
              <w:top w:val="single" w:sz="4" w:space="0" w:color="000000"/>
              <w:left w:val="single" w:sz="4" w:space="0" w:color="000000"/>
              <w:bottom w:val="single" w:sz="4" w:space="0" w:color="000000"/>
            </w:tcBorders>
          </w:tcPr>
          <w:p w14:paraId="7593F35D" w14:textId="3725C424" w:rsidR="00011E51" w:rsidRPr="00675182" w:rsidRDefault="00283396" w:rsidP="002B3341">
            <w:pPr>
              <w:snapToGrid w:val="0"/>
              <w:rPr>
                <w:rFonts w:cstheme="minorHAnsi"/>
                <w:szCs w:val="24"/>
              </w:rPr>
            </w:pPr>
            <w:r w:rsidRPr="00675182">
              <w:rPr>
                <w:rFonts w:cstheme="minorHAnsi"/>
                <w:szCs w:val="24"/>
              </w:rPr>
              <w:t>17’</w:t>
            </w:r>
          </w:p>
        </w:tc>
        <w:tc>
          <w:tcPr>
            <w:tcW w:w="920" w:type="dxa"/>
            <w:tcBorders>
              <w:top w:val="single" w:sz="4" w:space="0" w:color="000000"/>
              <w:left w:val="single" w:sz="4" w:space="0" w:color="000000"/>
              <w:bottom w:val="single" w:sz="4" w:space="0" w:color="000000"/>
              <w:right w:val="single" w:sz="4" w:space="0" w:color="000000"/>
            </w:tcBorders>
          </w:tcPr>
          <w:p w14:paraId="47EC3CC2" w14:textId="044CBFD3" w:rsidR="00011E51" w:rsidRPr="00675182" w:rsidRDefault="00283396" w:rsidP="002B3341">
            <w:pPr>
              <w:snapToGrid w:val="0"/>
              <w:rPr>
                <w:rFonts w:cstheme="minorHAnsi"/>
                <w:szCs w:val="24"/>
              </w:rPr>
            </w:pPr>
            <w:r w:rsidRPr="00675182">
              <w:rPr>
                <w:rFonts w:cstheme="minorHAnsi"/>
              </w:rPr>
              <w:t>25,041</w:t>
            </w:r>
          </w:p>
        </w:tc>
      </w:tr>
      <w:tr w:rsidR="00011E51" w:rsidRPr="00675182" w14:paraId="5140C2EC" w14:textId="77777777">
        <w:trPr>
          <w:cantSplit/>
        </w:trPr>
        <w:tc>
          <w:tcPr>
            <w:tcW w:w="1548" w:type="dxa"/>
            <w:tcBorders>
              <w:top w:val="single" w:sz="4" w:space="0" w:color="000000"/>
              <w:left w:val="single" w:sz="4" w:space="0" w:color="000000"/>
              <w:bottom w:val="single" w:sz="4" w:space="0" w:color="000000"/>
            </w:tcBorders>
          </w:tcPr>
          <w:p w14:paraId="55D55C19" w14:textId="77777777" w:rsidR="00011E51" w:rsidRPr="00675182" w:rsidRDefault="00011E51" w:rsidP="002B3341">
            <w:pPr>
              <w:snapToGrid w:val="0"/>
              <w:rPr>
                <w:rFonts w:cstheme="minorHAnsi"/>
                <w:szCs w:val="24"/>
              </w:rPr>
            </w:pPr>
            <w:r w:rsidRPr="00675182">
              <w:rPr>
                <w:rFonts w:cstheme="minorHAnsi"/>
                <w:szCs w:val="24"/>
              </w:rPr>
              <w:t>Garums (A):</w:t>
            </w:r>
          </w:p>
        </w:tc>
        <w:tc>
          <w:tcPr>
            <w:tcW w:w="900" w:type="dxa"/>
            <w:tcBorders>
              <w:top w:val="single" w:sz="4" w:space="0" w:color="000000"/>
              <w:left w:val="single" w:sz="4" w:space="0" w:color="000000"/>
              <w:bottom w:val="single" w:sz="4" w:space="0" w:color="000000"/>
            </w:tcBorders>
            <w:vAlign w:val="center"/>
          </w:tcPr>
          <w:p w14:paraId="753B1627" w14:textId="01C3F33E" w:rsidR="00011E51" w:rsidRPr="00675182" w:rsidRDefault="00283396" w:rsidP="002B3341">
            <w:pPr>
              <w:snapToGrid w:val="0"/>
              <w:rPr>
                <w:rFonts w:cstheme="minorHAnsi"/>
                <w:szCs w:val="24"/>
              </w:rPr>
            </w:pPr>
            <w:r w:rsidRPr="00675182">
              <w:rPr>
                <w:rFonts w:cstheme="minorHAnsi"/>
                <w:szCs w:val="24"/>
              </w:rPr>
              <w:t>25°</w:t>
            </w:r>
          </w:p>
        </w:tc>
        <w:tc>
          <w:tcPr>
            <w:tcW w:w="900" w:type="dxa"/>
            <w:tcBorders>
              <w:top w:val="single" w:sz="4" w:space="0" w:color="000000"/>
              <w:left w:val="single" w:sz="4" w:space="0" w:color="000000"/>
              <w:bottom w:val="single" w:sz="4" w:space="0" w:color="000000"/>
            </w:tcBorders>
            <w:vAlign w:val="center"/>
          </w:tcPr>
          <w:p w14:paraId="76CDC5A9" w14:textId="09744D5C" w:rsidR="00011E51" w:rsidRPr="00675182" w:rsidRDefault="00283396" w:rsidP="002B3341">
            <w:pPr>
              <w:snapToGrid w:val="0"/>
              <w:rPr>
                <w:rFonts w:cstheme="minorHAnsi"/>
                <w:szCs w:val="24"/>
              </w:rPr>
            </w:pPr>
            <w:r w:rsidRPr="00675182">
              <w:rPr>
                <w:rFonts w:cstheme="minorHAnsi"/>
                <w:szCs w:val="24"/>
              </w:rPr>
              <w:t>8’</w:t>
            </w:r>
          </w:p>
        </w:tc>
        <w:tc>
          <w:tcPr>
            <w:tcW w:w="920" w:type="dxa"/>
            <w:tcBorders>
              <w:top w:val="single" w:sz="4" w:space="0" w:color="000000"/>
              <w:left w:val="single" w:sz="4" w:space="0" w:color="000000"/>
              <w:bottom w:val="single" w:sz="4" w:space="0" w:color="000000"/>
              <w:right w:val="single" w:sz="4" w:space="0" w:color="000000"/>
            </w:tcBorders>
            <w:vAlign w:val="center"/>
          </w:tcPr>
          <w:p w14:paraId="4F24C906" w14:textId="43489697" w:rsidR="00011E51" w:rsidRPr="00675182" w:rsidRDefault="00283396" w:rsidP="002B3341">
            <w:pPr>
              <w:snapToGrid w:val="0"/>
              <w:rPr>
                <w:rFonts w:cstheme="minorHAnsi"/>
                <w:szCs w:val="24"/>
              </w:rPr>
            </w:pPr>
            <w:r w:rsidRPr="00675182">
              <w:rPr>
                <w:rFonts w:cstheme="minorHAnsi"/>
              </w:rPr>
              <w:t>15,065</w:t>
            </w:r>
          </w:p>
        </w:tc>
      </w:tr>
      <w:tr w:rsidR="00011E51" w:rsidRPr="00675182" w14:paraId="49233705" w14:textId="77777777">
        <w:trPr>
          <w:cantSplit/>
        </w:trPr>
        <w:tc>
          <w:tcPr>
            <w:tcW w:w="1548" w:type="dxa"/>
            <w:tcBorders>
              <w:top w:val="single" w:sz="4" w:space="0" w:color="000000"/>
              <w:left w:val="single" w:sz="4" w:space="0" w:color="000000"/>
              <w:bottom w:val="single" w:sz="4" w:space="0" w:color="000000"/>
            </w:tcBorders>
            <w:vAlign w:val="center"/>
          </w:tcPr>
          <w:p w14:paraId="3C82A61C" w14:textId="77777777" w:rsidR="00011E51" w:rsidRPr="00675182" w:rsidRDefault="00011E51" w:rsidP="002B3341">
            <w:pPr>
              <w:snapToGrid w:val="0"/>
              <w:rPr>
                <w:rFonts w:cstheme="minorHAnsi"/>
                <w:szCs w:val="24"/>
              </w:rPr>
            </w:pPr>
            <w:r w:rsidRPr="00675182">
              <w:rPr>
                <w:rFonts w:cstheme="minorHAnsi"/>
                <w:szCs w:val="24"/>
              </w:rPr>
              <w:t>LKS-92 X</w:t>
            </w:r>
          </w:p>
        </w:tc>
        <w:tc>
          <w:tcPr>
            <w:tcW w:w="2720" w:type="dxa"/>
            <w:gridSpan w:val="3"/>
            <w:tcBorders>
              <w:top w:val="single" w:sz="4" w:space="0" w:color="000000"/>
              <w:left w:val="single" w:sz="4" w:space="0" w:color="000000"/>
              <w:bottom w:val="single" w:sz="4" w:space="0" w:color="000000"/>
              <w:right w:val="single" w:sz="4" w:space="0" w:color="000000"/>
            </w:tcBorders>
          </w:tcPr>
          <w:p w14:paraId="7B2B59DC" w14:textId="325D44D1" w:rsidR="00011E51" w:rsidRPr="00675182" w:rsidRDefault="00BA30A5" w:rsidP="002B3341">
            <w:pPr>
              <w:snapToGrid w:val="0"/>
              <w:rPr>
                <w:rFonts w:cstheme="minorHAnsi"/>
                <w:szCs w:val="24"/>
              </w:rPr>
            </w:pPr>
            <w:r w:rsidRPr="00675182">
              <w:rPr>
                <w:rFonts w:cstheme="minorHAnsi"/>
                <w:szCs w:val="24"/>
              </w:rPr>
              <w:t>350273</w:t>
            </w:r>
          </w:p>
        </w:tc>
      </w:tr>
      <w:tr w:rsidR="00011E51" w:rsidRPr="00675182" w14:paraId="1C8E5169" w14:textId="77777777">
        <w:trPr>
          <w:cantSplit/>
        </w:trPr>
        <w:tc>
          <w:tcPr>
            <w:tcW w:w="1548" w:type="dxa"/>
            <w:tcBorders>
              <w:top w:val="single" w:sz="4" w:space="0" w:color="000000"/>
              <w:left w:val="single" w:sz="4" w:space="0" w:color="000000"/>
              <w:bottom w:val="single" w:sz="4" w:space="0" w:color="000000"/>
            </w:tcBorders>
            <w:vAlign w:val="center"/>
          </w:tcPr>
          <w:p w14:paraId="67029C72" w14:textId="77777777" w:rsidR="00011E51" w:rsidRPr="00675182" w:rsidRDefault="00011E51" w:rsidP="002B3341">
            <w:pPr>
              <w:snapToGrid w:val="0"/>
              <w:rPr>
                <w:rFonts w:cstheme="minorHAnsi"/>
                <w:szCs w:val="24"/>
              </w:rPr>
            </w:pPr>
            <w:r w:rsidRPr="00675182">
              <w:rPr>
                <w:rFonts w:cstheme="minorHAnsi"/>
                <w:szCs w:val="24"/>
              </w:rPr>
              <w:t>LKS-92 Y</w:t>
            </w:r>
          </w:p>
        </w:tc>
        <w:tc>
          <w:tcPr>
            <w:tcW w:w="2720" w:type="dxa"/>
            <w:gridSpan w:val="3"/>
            <w:tcBorders>
              <w:top w:val="single" w:sz="4" w:space="0" w:color="000000"/>
              <w:left w:val="single" w:sz="4" w:space="0" w:color="000000"/>
              <w:bottom w:val="single" w:sz="4" w:space="0" w:color="000000"/>
              <w:right w:val="single" w:sz="4" w:space="0" w:color="000000"/>
            </w:tcBorders>
          </w:tcPr>
          <w:p w14:paraId="6A38B540" w14:textId="3C1BE72B" w:rsidR="00011E51" w:rsidRPr="00675182" w:rsidRDefault="00BA30A5" w:rsidP="002B3341">
            <w:pPr>
              <w:snapToGrid w:val="0"/>
              <w:rPr>
                <w:rFonts w:cstheme="minorHAnsi"/>
                <w:szCs w:val="24"/>
              </w:rPr>
            </w:pPr>
            <w:r w:rsidRPr="00675182">
              <w:rPr>
                <w:rFonts w:cstheme="minorHAnsi"/>
                <w:szCs w:val="24"/>
              </w:rPr>
              <w:t>568561</w:t>
            </w:r>
          </w:p>
        </w:tc>
      </w:tr>
    </w:tbl>
    <w:p w14:paraId="1AD5F7F9" w14:textId="77777777" w:rsidR="00972BBF" w:rsidRPr="00675182" w:rsidRDefault="0044186A" w:rsidP="002B3341">
      <w:pPr>
        <w:rPr>
          <w:rFonts w:cstheme="minorHAnsi"/>
          <w:sz w:val="16"/>
          <w:szCs w:val="24"/>
        </w:rPr>
        <w:sectPr w:rsidR="00972BBF" w:rsidRPr="00675182" w:rsidSect="00CD74B1">
          <w:pgSz w:w="11905" w:h="16837"/>
          <w:pgMar w:top="1440" w:right="1797" w:bottom="1440" w:left="1797" w:header="720" w:footer="720" w:gutter="0"/>
          <w:cols w:space="720"/>
          <w:docGrid w:linePitch="360"/>
        </w:sectPr>
      </w:pPr>
      <w:r w:rsidRPr="00675182">
        <w:rPr>
          <w:rFonts w:cstheme="minorHAnsi"/>
          <w:sz w:val="20"/>
          <w:szCs w:val="24"/>
        </w:rPr>
        <w:t>LKS-92 - Latvijas koordinātu sistēma TM projekcijā</w:t>
      </w:r>
    </w:p>
    <w:tbl>
      <w:tblPr>
        <w:tblW w:w="0" w:type="auto"/>
        <w:tblLook w:val="04A0" w:firstRow="1" w:lastRow="0" w:firstColumn="1" w:lastColumn="0" w:noHBand="0" w:noVBand="1"/>
      </w:tblPr>
      <w:tblGrid>
        <w:gridCol w:w="14569"/>
      </w:tblGrid>
      <w:tr w:rsidR="00602B76" w:rsidRPr="00675182" w14:paraId="3BA622CE" w14:textId="77777777" w:rsidTr="00034954">
        <w:tc>
          <w:tcPr>
            <w:tcW w:w="14785" w:type="dxa"/>
            <w:shd w:val="clear" w:color="auto" w:fill="auto"/>
          </w:tcPr>
          <w:p w14:paraId="1D96C23B" w14:textId="7B8EE4E7" w:rsidR="00602B76" w:rsidRPr="00675182" w:rsidRDefault="00F520A6" w:rsidP="00834FC4">
            <w:pPr>
              <w:jc w:val="center"/>
              <w:rPr>
                <w:rFonts w:cstheme="minorHAnsi"/>
                <w:sz w:val="20"/>
                <w:szCs w:val="24"/>
              </w:rPr>
            </w:pPr>
            <w:r w:rsidRPr="00675182">
              <w:rPr>
                <w:rFonts w:cstheme="minorHAnsi"/>
                <w:noProof/>
              </w:rPr>
              <w:lastRenderedPageBreak/>
              <w:drawing>
                <wp:inline distT="0" distB="0" distL="0" distR="0" wp14:anchorId="3A4FF3E0" wp14:editId="1A451DDA">
                  <wp:extent cx="7127239" cy="5040000"/>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27239" cy="5040000"/>
                          </a:xfrm>
                          <a:prstGeom prst="rect">
                            <a:avLst/>
                          </a:prstGeom>
                          <a:noFill/>
                          <a:ln>
                            <a:noFill/>
                          </a:ln>
                        </pic:spPr>
                      </pic:pic>
                    </a:graphicData>
                  </a:graphic>
                </wp:inline>
              </w:drawing>
            </w:r>
          </w:p>
        </w:tc>
      </w:tr>
      <w:tr w:rsidR="00602B76" w:rsidRPr="00675182" w14:paraId="53647730" w14:textId="77777777" w:rsidTr="00034954">
        <w:tc>
          <w:tcPr>
            <w:tcW w:w="14785" w:type="dxa"/>
            <w:shd w:val="clear" w:color="auto" w:fill="auto"/>
          </w:tcPr>
          <w:p w14:paraId="6F921CB6" w14:textId="7C65920A" w:rsidR="00602B76" w:rsidRPr="00675182" w:rsidRDefault="00602B76" w:rsidP="002B3341">
            <w:pPr>
              <w:rPr>
                <w:rFonts w:cstheme="minorHAnsi"/>
                <w:sz w:val="20"/>
                <w:szCs w:val="24"/>
              </w:rPr>
            </w:pPr>
            <w:r w:rsidRPr="00675182">
              <w:rPr>
                <w:rFonts w:cstheme="minorHAnsi"/>
                <w:b/>
                <w:i/>
                <w:szCs w:val="24"/>
              </w:rPr>
              <w:t>1.</w:t>
            </w:r>
            <w:r w:rsidR="00CD5E15" w:rsidRPr="00675182">
              <w:rPr>
                <w:rFonts w:cstheme="minorHAnsi"/>
                <w:b/>
                <w:i/>
                <w:szCs w:val="24"/>
              </w:rPr>
              <w:t>1.</w:t>
            </w:r>
            <w:r w:rsidRPr="00675182">
              <w:rPr>
                <w:rFonts w:cstheme="minorHAnsi"/>
                <w:b/>
                <w:i/>
                <w:szCs w:val="24"/>
              </w:rPr>
              <w:t xml:space="preserve">1. attēls. </w:t>
            </w:r>
            <w:r w:rsidR="003E41FC" w:rsidRPr="00675182">
              <w:rPr>
                <w:rFonts w:cstheme="minorHAnsi"/>
                <w:b/>
                <w:i/>
                <w:szCs w:val="24"/>
              </w:rPr>
              <w:t>GNP</w:t>
            </w:r>
            <w:r w:rsidRPr="00675182">
              <w:rPr>
                <w:rFonts w:cstheme="minorHAnsi"/>
                <w:b/>
                <w:i/>
                <w:szCs w:val="24"/>
              </w:rPr>
              <w:t xml:space="preserve"> teritorija</w:t>
            </w:r>
            <w:r w:rsidR="00013671" w:rsidRPr="00675182">
              <w:rPr>
                <w:rFonts w:cstheme="minorHAnsi"/>
                <w:b/>
                <w:i/>
                <w:szCs w:val="24"/>
              </w:rPr>
              <w:t xml:space="preserve">, </w:t>
            </w:r>
            <w:r w:rsidR="00E46367" w:rsidRPr="00675182">
              <w:rPr>
                <w:rFonts w:cstheme="minorHAnsi"/>
                <w:b/>
                <w:i/>
                <w:szCs w:val="24"/>
              </w:rPr>
              <w:t xml:space="preserve">ģeoloģiskie un ģeomorfoloģiskie pieminekļi, aizsargājamās alejas un dendroloģiskie stādījumi, </w:t>
            </w:r>
            <w:r w:rsidR="00013671" w:rsidRPr="00675182">
              <w:rPr>
                <w:rFonts w:cstheme="minorHAnsi"/>
                <w:b/>
                <w:i/>
                <w:szCs w:val="24"/>
              </w:rPr>
              <w:t>administratīvās robežas</w:t>
            </w:r>
          </w:p>
        </w:tc>
      </w:tr>
    </w:tbl>
    <w:p w14:paraId="503D5D0E" w14:textId="77777777" w:rsidR="00972BBF" w:rsidRPr="00675182" w:rsidRDefault="00972BBF" w:rsidP="002B3341">
      <w:pPr>
        <w:rPr>
          <w:rFonts w:cstheme="minorHAnsi"/>
          <w:sz w:val="20"/>
          <w:szCs w:val="24"/>
        </w:rPr>
        <w:sectPr w:rsidR="00972BBF" w:rsidRPr="00675182" w:rsidSect="005879FA">
          <w:headerReference w:type="default" r:id="rId26"/>
          <w:pgSz w:w="16837" w:h="11905" w:orient="landscape"/>
          <w:pgMar w:top="1531" w:right="1134" w:bottom="1191" w:left="1134" w:header="720" w:footer="720" w:gutter="0"/>
          <w:cols w:space="720"/>
          <w:docGrid w:linePitch="360"/>
        </w:sectPr>
      </w:pPr>
    </w:p>
    <w:p w14:paraId="5D27BC26" w14:textId="77777777" w:rsidR="00011E51" w:rsidRPr="00675182" w:rsidRDefault="00011E51" w:rsidP="002B3341">
      <w:pPr>
        <w:pStyle w:val="Heading3"/>
        <w:keepNext w:val="0"/>
        <w:numPr>
          <w:ilvl w:val="0"/>
          <w:numId w:val="0"/>
        </w:numPr>
        <w:rPr>
          <w:rFonts w:cstheme="minorHAnsi"/>
          <w:b/>
          <w:szCs w:val="24"/>
          <w:lang w:val="lv-LV"/>
        </w:rPr>
      </w:pPr>
      <w:bookmarkStart w:id="9" w:name="_Toc116938381"/>
      <w:r w:rsidRPr="00675182">
        <w:rPr>
          <w:rFonts w:cstheme="minorHAnsi"/>
          <w:b/>
          <w:szCs w:val="24"/>
          <w:lang w:val="lv-LV"/>
        </w:rPr>
        <w:lastRenderedPageBreak/>
        <w:t>1.1.2. Aizsargājamās teritorijas zemes izmantošanas veidu raksturojums un zemes īpašuma formu apraksts</w:t>
      </w:r>
      <w:bookmarkEnd w:id="9"/>
    </w:p>
    <w:p w14:paraId="03640F96" w14:textId="77777777" w:rsidR="00C72167" w:rsidRPr="00675182" w:rsidRDefault="00C72167" w:rsidP="002B3341">
      <w:pPr>
        <w:rPr>
          <w:rFonts w:cstheme="minorHAnsi"/>
          <w:bCs/>
          <w:iCs/>
          <w:szCs w:val="24"/>
        </w:rPr>
      </w:pPr>
    </w:p>
    <w:p w14:paraId="716B50A0" w14:textId="6BFC1EB7" w:rsidR="0095109A" w:rsidRPr="00675182" w:rsidRDefault="00C72167" w:rsidP="00B70596">
      <w:pPr>
        <w:jc w:val="both"/>
        <w:rPr>
          <w:rFonts w:cstheme="minorHAnsi"/>
          <w:bCs/>
          <w:iCs/>
          <w:szCs w:val="24"/>
        </w:rPr>
      </w:pPr>
      <w:r w:rsidRPr="00675182">
        <w:rPr>
          <w:rFonts w:cstheme="minorHAnsi"/>
          <w:bCs/>
          <w:iCs/>
          <w:szCs w:val="24"/>
        </w:rPr>
        <w:t xml:space="preserve">Pamatojoties uz LĢIA sagatavotajām topogrāfiskajām kartēm, kurās atspoguļots zemes izmantošanas veids, </w:t>
      </w:r>
      <w:r w:rsidR="008E3974" w:rsidRPr="00675182">
        <w:rPr>
          <w:rFonts w:cstheme="minorHAnsi"/>
          <w:bCs/>
          <w:iCs/>
          <w:szCs w:val="24"/>
        </w:rPr>
        <w:t>GNP</w:t>
      </w:r>
      <w:r w:rsidRPr="00675182">
        <w:rPr>
          <w:rFonts w:cstheme="minorHAnsi"/>
          <w:bCs/>
          <w:iCs/>
          <w:szCs w:val="24"/>
        </w:rPr>
        <w:t xml:space="preserve"> </w:t>
      </w:r>
      <w:r w:rsidR="008E3974" w:rsidRPr="00675182">
        <w:rPr>
          <w:rFonts w:cstheme="minorHAnsi"/>
          <w:bCs/>
          <w:iCs/>
          <w:szCs w:val="24"/>
        </w:rPr>
        <w:t>vairāk nekā pusi teritorijas</w:t>
      </w:r>
      <w:r w:rsidRPr="00675182">
        <w:rPr>
          <w:rFonts w:cstheme="minorHAnsi"/>
          <w:bCs/>
          <w:iCs/>
          <w:szCs w:val="24"/>
        </w:rPr>
        <w:t xml:space="preserve"> aizņem mež</w:t>
      </w:r>
      <w:r w:rsidR="008E3974" w:rsidRPr="00675182">
        <w:rPr>
          <w:rFonts w:cstheme="minorHAnsi"/>
          <w:bCs/>
          <w:iCs/>
          <w:szCs w:val="24"/>
        </w:rPr>
        <w:t>u</w:t>
      </w:r>
      <w:r w:rsidRPr="00675182">
        <w:rPr>
          <w:rFonts w:cstheme="minorHAnsi"/>
          <w:bCs/>
          <w:iCs/>
          <w:szCs w:val="24"/>
        </w:rPr>
        <w:t xml:space="preserve"> teritorijas (skat 1.1.</w:t>
      </w:r>
      <w:r w:rsidR="00CD5E15" w:rsidRPr="00675182">
        <w:rPr>
          <w:rFonts w:cstheme="minorHAnsi"/>
          <w:bCs/>
          <w:iCs/>
          <w:szCs w:val="24"/>
        </w:rPr>
        <w:t>3.</w:t>
      </w:r>
      <w:r w:rsidRPr="00675182">
        <w:rPr>
          <w:rFonts w:cstheme="minorHAnsi"/>
          <w:bCs/>
          <w:iCs/>
          <w:szCs w:val="24"/>
        </w:rPr>
        <w:t xml:space="preserve"> tabulu un 1.</w:t>
      </w:r>
      <w:r w:rsidR="00F50BD9" w:rsidRPr="00675182">
        <w:rPr>
          <w:rFonts w:cstheme="minorHAnsi"/>
          <w:bCs/>
          <w:iCs/>
          <w:szCs w:val="24"/>
        </w:rPr>
        <w:t>1.</w:t>
      </w:r>
      <w:r w:rsidRPr="00675182">
        <w:rPr>
          <w:rFonts w:cstheme="minorHAnsi"/>
          <w:bCs/>
          <w:iCs/>
          <w:szCs w:val="24"/>
        </w:rPr>
        <w:t>2. attēlu).</w:t>
      </w:r>
      <w:r w:rsidR="008E3974" w:rsidRPr="00675182">
        <w:rPr>
          <w:rFonts w:cstheme="minorHAnsi"/>
          <w:bCs/>
          <w:iCs/>
          <w:szCs w:val="24"/>
        </w:rPr>
        <w:t xml:space="preserve"> </w:t>
      </w:r>
      <w:r w:rsidR="00C010DF" w:rsidRPr="00675182">
        <w:rPr>
          <w:rFonts w:cstheme="minorHAnsi"/>
          <w:bCs/>
          <w:iCs/>
          <w:szCs w:val="24"/>
        </w:rPr>
        <w:t>Tie ir gan lielāki mežu masīvi, piemēram, Gaujas un to pieteku ielejās, gan arī meži, kas mozaīkveidā mijas ar atklātām teritorijām. Lauksaimniecības zemes un citas atklātas teritorijas aizņem 35 % no GNP teritorijas</w:t>
      </w:r>
      <w:r w:rsidR="00B70596" w:rsidRPr="00675182">
        <w:rPr>
          <w:rFonts w:cstheme="minorHAnsi"/>
          <w:bCs/>
          <w:iCs/>
          <w:szCs w:val="24"/>
        </w:rPr>
        <w:t xml:space="preserve">. Ūdeņu teritorijas aizņem 3 % no GNP teritorijas, no kuriem lielākās teritorijas aizņem Gaujas upe, Ungura ezera, Vaidavas ezers, kā arī Raiskuma ezers. Purvu un mitrāju teritoriju platības nepārsniedz 2 % no GNP teritorijas. Aptuveni 2 % no GNP teritorijas aizņem zeme zem apbūves teritorijām, kā arī autoceļiem. </w:t>
      </w:r>
    </w:p>
    <w:p w14:paraId="3D00FFD6" w14:textId="77777777" w:rsidR="00011E51" w:rsidRPr="00675182" w:rsidRDefault="00011E51" w:rsidP="002B3341">
      <w:pPr>
        <w:rPr>
          <w:rFonts w:cstheme="minorHAnsi"/>
          <w:bCs/>
          <w:iCs/>
          <w:szCs w:val="24"/>
        </w:rPr>
      </w:pPr>
    </w:p>
    <w:p w14:paraId="6A639C5E" w14:textId="1609384F" w:rsidR="00011E51" w:rsidRPr="00675182" w:rsidRDefault="005C63B5" w:rsidP="002B3341">
      <w:pPr>
        <w:rPr>
          <w:rFonts w:cstheme="minorHAnsi"/>
          <w:b/>
          <w:i/>
          <w:szCs w:val="24"/>
        </w:rPr>
      </w:pPr>
      <w:r w:rsidRPr="00675182">
        <w:rPr>
          <w:rFonts w:cstheme="minorHAnsi"/>
          <w:b/>
          <w:i/>
          <w:szCs w:val="24"/>
        </w:rPr>
        <w:t>1.</w:t>
      </w:r>
      <w:r w:rsidR="00CD5E15" w:rsidRPr="00675182">
        <w:rPr>
          <w:rFonts w:cstheme="minorHAnsi"/>
          <w:b/>
          <w:i/>
          <w:szCs w:val="24"/>
        </w:rPr>
        <w:t>1.</w:t>
      </w:r>
      <w:r w:rsidR="00EE357E" w:rsidRPr="00675182">
        <w:rPr>
          <w:rFonts w:cstheme="minorHAnsi"/>
          <w:b/>
          <w:i/>
          <w:szCs w:val="24"/>
        </w:rPr>
        <w:t>3</w:t>
      </w:r>
      <w:r w:rsidR="00011E51" w:rsidRPr="00675182">
        <w:rPr>
          <w:rFonts w:cstheme="minorHAnsi"/>
          <w:b/>
          <w:i/>
          <w:szCs w:val="24"/>
        </w:rPr>
        <w:t xml:space="preserve">. tabula. </w:t>
      </w:r>
      <w:r w:rsidR="00D8006F" w:rsidRPr="00675182">
        <w:rPr>
          <w:rFonts w:cstheme="minorHAnsi"/>
          <w:b/>
          <w:i/>
          <w:szCs w:val="24"/>
        </w:rPr>
        <w:t>GNP</w:t>
      </w:r>
      <w:r w:rsidR="00F95F7B" w:rsidRPr="00675182">
        <w:rPr>
          <w:rFonts w:cstheme="minorHAnsi"/>
          <w:b/>
          <w:i/>
          <w:szCs w:val="24"/>
        </w:rPr>
        <w:t xml:space="preserve"> </w:t>
      </w:r>
      <w:r w:rsidR="00011E51" w:rsidRPr="00675182">
        <w:rPr>
          <w:rFonts w:cstheme="minorHAnsi"/>
          <w:b/>
          <w:i/>
          <w:szCs w:val="24"/>
        </w:rPr>
        <w:t xml:space="preserve">zemes </w:t>
      </w:r>
      <w:r w:rsidR="004E3A38" w:rsidRPr="00675182">
        <w:rPr>
          <w:rFonts w:cstheme="minorHAnsi"/>
          <w:b/>
          <w:i/>
          <w:szCs w:val="24"/>
        </w:rPr>
        <w:t>izmantoša</w:t>
      </w:r>
      <w:r w:rsidR="002C4738" w:rsidRPr="00675182">
        <w:rPr>
          <w:rFonts w:cstheme="minorHAnsi"/>
          <w:b/>
          <w:i/>
          <w:szCs w:val="24"/>
        </w:rPr>
        <w:t>na</w:t>
      </w:r>
      <w:r w:rsidR="004E3A38" w:rsidRPr="00675182">
        <w:rPr>
          <w:rFonts w:cstheme="minorHAnsi"/>
          <w:b/>
          <w:i/>
          <w:szCs w:val="24"/>
        </w:rPr>
        <w:t>s</w:t>
      </w:r>
      <w:r w:rsidR="00011E51" w:rsidRPr="00675182">
        <w:rPr>
          <w:rFonts w:cstheme="minorHAnsi"/>
          <w:b/>
          <w:i/>
          <w:szCs w:val="24"/>
        </w:rPr>
        <w:t xml:space="preserve"> veidi</w:t>
      </w:r>
      <w:r w:rsidR="00D8006F" w:rsidRPr="00675182">
        <w:rPr>
          <w:rFonts w:cstheme="minorHAnsi"/>
          <w:b/>
          <w:i/>
          <w:szCs w:val="24"/>
        </w:rPr>
        <w:t xml:space="preserve"> 2019. gadā</w:t>
      </w:r>
    </w:p>
    <w:tbl>
      <w:tblPr>
        <w:tblW w:w="5000" w:type="pct"/>
        <w:tblLook w:val="04A0" w:firstRow="1" w:lastRow="0" w:firstColumn="1" w:lastColumn="0" w:noHBand="0" w:noVBand="1"/>
      </w:tblPr>
      <w:tblGrid>
        <w:gridCol w:w="4499"/>
        <w:gridCol w:w="1222"/>
        <w:gridCol w:w="2580"/>
      </w:tblGrid>
      <w:tr w:rsidR="008C359E" w:rsidRPr="00675182" w14:paraId="62B4753C" w14:textId="77777777" w:rsidTr="00C72167">
        <w:trPr>
          <w:trHeight w:val="300"/>
        </w:trPr>
        <w:tc>
          <w:tcPr>
            <w:tcW w:w="2710" w:type="pct"/>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0A72A402" w14:textId="77777777" w:rsidR="008C359E" w:rsidRPr="00675182" w:rsidRDefault="008C359E" w:rsidP="002B3341">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 xml:space="preserve">Zemes </w:t>
            </w:r>
            <w:r w:rsidR="004E3A38" w:rsidRPr="00675182">
              <w:rPr>
                <w:rFonts w:eastAsia="Times New Roman" w:cstheme="minorHAnsi"/>
                <w:b/>
                <w:bCs/>
                <w:color w:val="000000"/>
                <w:sz w:val="22"/>
                <w:szCs w:val="22"/>
                <w:lang w:eastAsia="en-GB"/>
              </w:rPr>
              <w:t>izmantošanas</w:t>
            </w:r>
            <w:r w:rsidRPr="00675182">
              <w:rPr>
                <w:rFonts w:eastAsia="Times New Roman" w:cstheme="minorHAnsi"/>
                <w:b/>
                <w:bCs/>
                <w:color w:val="000000"/>
                <w:sz w:val="22"/>
                <w:szCs w:val="22"/>
                <w:lang w:eastAsia="en-GB"/>
              </w:rPr>
              <w:t xml:space="preserve"> veids</w:t>
            </w:r>
          </w:p>
        </w:tc>
        <w:tc>
          <w:tcPr>
            <w:tcW w:w="736" w:type="pct"/>
            <w:tcBorders>
              <w:top w:val="single" w:sz="4" w:space="0" w:color="auto"/>
              <w:left w:val="nil"/>
              <w:bottom w:val="single" w:sz="4" w:space="0" w:color="auto"/>
              <w:right w:val="single" w:sz="4" w:space="0" w:color="auto"/>
            </w:tcBorders>
            <w:shd w:val="clear" w:color="000000" w:fill="D8E4BC"/>
            <w:noWrap/>
            <w:vAlign w:val="center"/>
            <w:hideMark/>
          </w:tcPr>
          <w:p w14:paraId="6B0A9CBE" w14:textId="77777777" w:rsidR="008C359E" w:rsidRPr="00675182" w:rsidRDefault="008C359E" w:rsidP="002B3341">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Platība, ha</w:t>
            </w:r>
          </w:p>
        </w:tc>
        <w:tc>
          <w:tcPr>
            <w:tcW w:w="1554" w:type="pct"/>
            <w:tcBorders>
              <w:top w:val="single" w:sz="4" w:space="0" w:color="auto"/>
              <w:left w:val="nil"/>
              <w:bottom w:val="single" w:sz="4" w:space="0" w:color="auto"/>
              <w:right w:val="single" w:sz="4" w:space="0" w:color="auto"/>
            </w:tcBorders>
            <w:shd w:val="clear" w:color="000000" w:fill="D8E4BC"/>
            <w:noWrap/>
            <w:vAlign w:val="center"/>
            <w:hideMark/>
          </w:tcPr>
          <w:p w14:paraId="112C11D3" w14:textId="1419F95E" w:rsidR="008C359E" w:rsidRPr="00675182" w:rsidRDefault="008C359E" w:rsidP="002B3341">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 xml:space="preserve">Procenti no </w:t>
            </w:r>
            <w:r w:rsidR="002B3341" w:rsidRPr="00675182">
              <w:rPr>
                <w:rFonts w:eastAsia="Times New Roman" w:cstheme="minorHAnsi"/>
                <w:b/>
                <w:bCs/>
                <w:color w:val="000000"/>
                <w:sz w:val="22"/>
                <w:szCs w:val="22"/>
                <w:lang w:eastAsia="en-GB"/>
              </w:rPr>
              <w:t>GNP</w:t>
            </w:r>
            <w:r w:rsidRPr="00675182">
              <w:rPr>
                <w:rFonts w:eastAsia="Times New Roman" w:cstheme="minorHAnsi"/>
                <w:b/>
                <w:bCs/>
                <w:color w:val="000000"/>
                <w:sz w:val="22"/>
                <w:szCs w:val="22"/>
                <w:lang w:eastAsia="en-GB"/>
              </w:rPr>
              <w:t xml:space="preserve"> platības</w:t>
            </w:r>
          </w:p>
        </w:tc>
      </w:tr>
      <w:tr w:rsidR="001E13C1" w:rsidRPr="00675182" w14:paraId="768752EE" w14:textId="77777777" w:rsidTr="00C72167">
        <w:trPr>
          <w:trHeight w:val="300"/>
        </w:trPr>
        <w:tc>
          <w:tcPr>
            <w:tcW w:w="27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0277BB" w14:textId="513140DE" w:rsidR="001E13C1" w:rsidRPr="00675182" w:rsidRDefault="001E13C1" w:rsidP="00C72167">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Meži un krūmāji</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82138" w14:textId="4EB09B73" w:rsidR="001E13C1" w:rsidRPr="00675182" w:rsidRDefault="001E13C1"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52525</w:t>
            </w:r>
          </w:p>
        </w:tc>
        <w:tc>
          <w:tcPr>
            <w:tcW w:w="1554" w:type="pct"/>
            <w:tcBorders>
              <w:top w:val="single" w:sz="4" w:space="0" w:color="auto"/>
              <w:left w:val="nil"/>
              <w:bottom w:val="single" w:sz="4" w:space="0" w:color="auto"/>
              <w:right w:val="single" w:sz="4" w:space="0" w:color="auto"/>
            </w:tcBorders>
            <w:shd w:val="clear" w:color="auto" w:fill="auto"/>
            <w:noWrap/>
            <w:vAlign w:val="bottom"/>
          </w:tcPr>
          <w:p w14:paraId="67DF247A" w14:textId="29AC71E3" w:rsidR="001E13C1" w:rsidRPr="00675182" w:rsidRDefault="001E13C1"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57</w:t>
            </w:r>
          </w:p>
        </w:tc>
      </w:tr>
      <w:tr w:rsidR="00C72167" w:rsidRPr="00675182" w14:paraId="4AF1E6A5" w14:textId="77777777" w:rsidTr="00C72167">
        <w:trPr>
          <w:trHeight w:val="300"/>
        </w:trPr>
        <w:tc>
          <w:tcPr>
            <w:tcW w:w="27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8562E8" w14:textId="109E2545" w:rsidR="00C72167" w:rsidRPr="00675182" w:rsidRDefault="00C72167" w:rsidP="00C72167">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Lauksaimniecības zemes un atklātas teritorijas</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02E3B" w14:textId="6848679D"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31992</w:t>
            </w:r>
          </w:p>
        </w:tc>
        <w:tc>
          <w:tcPr>
            <w:tcW w:w="1554" w:type="pct"/>
            <w:tcBorders>
              <w:top w:val="single" w:sz="4" w:space="0" w:color="auto"/>
              <w:left w:val="nil"/>
              <w:bottom w:val="single" w:sz="4" w:space="0" w:color="auto"/>
              <w:right w:val="single" w:sz="4" w:space="0" w:color="auto"/>
            </w:tcBorders>
            <w:shd w:val="clear" w:color="auto" w:fill="auto"/>
            <w:noWrap/>
            <w:vAlign w:val="bottom"/>
          </w:tcPr>
          <w:p w14:paraId="4B6A6001" w14:textId="615F92D1"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35</w:t>
            </w:r>
          </w:p>
        </w:tc>
      </w:tr>
      <w:tr w:rsidR="001E13C1" w:rsidRPr="00675182" w14:paraId="5B899EE2" w14:textId="77777777" w:rsidTr="00C72167">
        <w:trPr>
          <w:trHeight w:val="300"/>
        </w:trPr>
        <w:tc>
          <w:tcPr>
            <w:tcW w:w="27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2A3171" w14:textId="1B6741BA" w:rsidR="001E13C1" w:rsidRPr="00675182" w:rsidRDefault="001E13C1" w:rsidP="00C72167">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Ūdeņi</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78C4D" w14:textId="0BD6BE8F" w:rsidR="001E13C1" w:rsidRPr="00675182" w:rsidRDefault="001E13C1"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268</w:t>
            </w:r>
            <w:r w:rsidR="00C72167" w:rsidRPr="00675182">
              <w:rPr>
                <w:rFonts w:cstheme="minorHAnsi"/>
                <w:color w:val="000000"/>
                <w:sz w:val="22"/>
                <w:szCs w:val="22"/>
              </w:rPr>
              <w:t>5</w:t>
            </w:r>
          </w:p>
        </w:tc>
        <w:tc>
          <w:tcPr>
            <w:tcW w:w="1554" w:type="pct"/>
            <w:tcBorders>
              <w:top w:val="single" w:sz="4" w:space="0" w:color="auto"/>
              <w:left w:val="nil"/>
              <w:bottom w:val="single" w:sz="4" w:space="0" w:color="auto"/>
              <w:right w:val="single" w:sz="4" w:space="0" w:color="auto"/>
            </w:tcBorders>
            <w:shd w:val="clear" w:color="auto" w:fill="auto"/>
            <w:noWrap/>
            <w:vAlign w:val="bottom"/>
          </w:tcPr>
          <w:p w14:paraId="1A8E2E0E" w14:textId="7E9B761F" w:rsidR="001E13C1"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3</w:t>
            </w:r>
          </w:p>
        </w:tc>
      </w:tr>
      <w:tr w:rsidR="00C72167" w:rsidRPr="00675182" w14:paraId="129DD7BE" w14:textId="77777777" w:rsidTr="00C72167">
        <w:trPr>
          <w:trHeight w:val="300"/>
        </w:trPr>
        <w:tc>
          <w:tcPr>
            <w:tcW w:w="27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A12F19" w14:textId="4274BC9C" w:rsidR="00C72167" w:rsidRPr="00675182" w:rsidRDefault="00C72167" w:rsidP="00C72167">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Purvi un mitraines</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8BA9B" w14:textId="1FCBAC74"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1925</w:t>
            </w:r>
          </w:p>
        </w:tc>
        <w:tc>
          <w:tcPr>
            <w:tcW w:w="1554" w:type="pct"/>
            <w:tcBorders>
              <w:top w:val="single" w:sz="4" w:space="0" w:color="auto"/>
              <w:left w:val="nil"/>
              <w:bottom w:val="single" w:sz="4" w:space="0" w:color="auto"/>
              <w:right w:val="single" w:sz="4" w:space="0" w:color="auto"/>
            </w:tcBorders>
            <w:shd w:val="clear" w:color="auto" w:fill="auto"/>
            <w:noWrap/>
            <w:vAlign w:val="bottom"/>
          </w:tcPr>
          <w:p w14:paraId="493BB50F" w14:textId="4944262E"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2</w:t>
            </w:r>
          </w:p>
        </w:tc>
      </w:tr>
      <w:tr w:rsidR="00C72167" w:rsidRPr="00675182" w14:paraId="37592812" w14:textId="77777777" w:rsidTr="00C72167">
        <w:trPr>
          <w:trHeight w:val="300"/>
        </w:trPr>
        <w:tc>
          <w:tcPr>
            <w:tcW w:w="27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518E1C" w14:textId="176BB2A9" w:rsidR="00C72167" w:rsidRPr="00675182" w:rsidRDefault="00C72167" w:rsidP="00C72167">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Apbūves teritorijas</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57A5F" w14:textId="63A39789"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1075</w:t>
            </w:r>
          </w:p>
        </w:tc>
        <w:tc>
          <w:tcPr>
            <w:tcW w:w="1554" w:type="pct"/>
            <w:tcBorders>
              <w:top w:val="single" w:sz="4" w:space="0" w:color="auto"/>
              <w:left w:val="nil"/>
              <w:bottom w:val="single" w:sz="4" w:space="0" w:color="auto"/>
              <w:right w:val="single" w:sz="4" w:space="0" w:color="auto"/>
            </w:tcBorders>
            <w:shd w:val="clear" w:color="auto" w:fill="auto"/>
            <w:noWrap/>
            <w:vAlign w:val="bottom"/>
          </w:tcPr>
          <w:p w14:paraId="58F4832D" w14:textId="1264D421"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1,2</w:t>
            </w:r>
          </w:p>
        </w:tc>
      </w:tr>
      <w:tr w:rsidR="00C72167" w:rsidRPr="00675182" w14:paraId="67B3D7AE" w14:textId="77777777" w:rsidTr="00C72167">
        <w:trPr>
          <w:trHeight w:val="300"/>
        </w:trPr>
        <w:tc>
          <w:tcPr>
            <w:tcW w:w="27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75F893" w14:textId="1D438576" w:rsidR="00C72167" w:rsidRPr="00675182" w:rsidRDefault="00C72167" w:rsidP="00C72167">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Dārzi, parki, kapsētas</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DE41D" w14:textId="1660354B"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933</w:t>
            </w:r>
          </w:p>
        </w:tc>
        <w:tc>
          <w:tcPr>
            <w:tcW w:w="1554" w:type="pct"/>
            <w:tcBorders>
              <w:top w:val="single" w:sz="4" w:space="0" w:color="auto"/>
              <w:left w:val="nil"/>
              <w:bottom w:val="single" w:sz="4" w:space="0" w:color="auto"/>
              <w:right w:val="single" w:sz="4" w:space="0" w:color="auto"/>
            </w:tcBorders>
            <w:shd w:val="clear" w:color="auto" w:fill="auto"/>
            <w:noWrap/>
            <w:vAlign w:val="bottom"/>
          </w:tcPr>
          <w:p w14:paraId="27B50CAC" w14:textId="412A9FF3"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1,0</w:t>
            </w:r>
          </w:p>
        </w:tc>
      </w:tr>
      <w:tr w:rsidR="00C72167" w:rsidRPr="00675182" w14:paraId="7A202DD0" w14:textId="77777777" w:rsidTr="00C72167">
        <w:trPr>
          <w:trHeight w:val="300"/>
        </w:trPr>
        <w:tc>
          <w:tcPr>
            <w:tcW w:w="27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F5006" w14:textId="11EEE263" w:rsidR="00C72167" w:rsidRPr="00675182" w:rsidRDefault="00C72167" w:rsidP="00C72167">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Zeme zem ceļiem</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DB498" w14:textId="26D738D8"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652</w:t>
            </w:r>
          </w:p>
        </w:tc>
        <w:tc>
          <w:tcPr>
            <w:tcW w:w="1554" w:type="pct"/>
            <w:tcBorders>
              <w:top w:val="single" w:sz="4" w:space="0" w:color="auto"/>
              <w:left w:val="nil"/>
              <w:bottom w:val="single" w:sz="4" w:space="0" w:color="auto"/>
              <w:right w:val="single" w:sz="4" w:space="0" w:color="auto"/>
            </w:tcBorders>
            <w:shd w:val="clear" w:color="auto" w:fill="auto"/>
            <w:noWrap/>
            <w:vAlign w:val="bottom"/>
          </w:tcPr>
          <w:p w14:paraId="29E610D3" w14:textId="5E40DAA3" w:rsidR="00C72167" w:rsidRPr="00675182" w:rsidRDefault="00C72167" w:rsidP="00C72167">
            <w:pPr>
              <w:suppressAutoHyphens w:val="0"/>
              <w:jc w:val="center"/>
              <w:rPr>
                <w:rFonts w:eastAsia="Times New Roman" w:cstheme="minorHAnsi"/>
                <w:color w:val="000000"/>
                <w:sz w:val="22"/>
                <w:szCs w:val="22"/>
                <w:lang w:eastAsia="en-GB"/>
              </w:rPr>
            </w:pPr>
            <w:r w:rsidRPr="00675182">
              <w:rPr>
                <w:rFonts w:cstheme="minorHAnsi"/>
                <w:color w:val="000000"/>
                <w:sz w:val="22"/>
                <w:szCs w:val="22"/>
              </w:rPr>
              <w:t>0,71</w:t>
            </w:r>
          </w:p>
        </w:tc>
      </w:tr>
    </w:tbl>
    <w:p w14:paraId="108480C6" w14:textId="6898DB3D" w:rsidR="00B21C86" w:rsidRPr="00675182" w:rsidRDefault="00CD5E15" w:rsidP="002B3341">
      <w:pPr>
        <w:rPr>
          <w:rFonts w:cstheme="minorHAnsi"/>
          <w:sz w:val="20"/>
          <w:szCs w:val="16"/>
        </w:rPr>
      </w:pPr>
      <w:r w:rsidRPr="00675182">
        <w:rPr>
          <w:rFonts w:cstheme="minorHAnsi"/>
          <w:sz w:val="20"/>
          <w:szCs w:val="16"/>
        </w:rPr>
        <w:t>Datu avots: LĢIA, 2016-2018</w:t>
      </w:r>
    </w:p>
    <w:p w14:paraId="4C5C2E3B" w14:textId="77777777" w:rsidR="00CD5E15" w:rsidRPr="00675182" w:rsidRDefault="00CD5E15" w:rsidP="002B3341">
      <w:pPr>
        <w:rPr>
          <w:rFonts w:cstheme="minorHAnsi"/>
        </w:rPr>
      </w:pPr>
    </w:p>
    <w:p w14:paraId="0C715DFC" w14:textId="3662A154" w:rsidR="00E635FD" w:rsidRPr="00675182" w:rsidRDefault="0003411D" w:rsidP="00CD5E15">
      <w:pPr>
        <w:jc w:val="both"/>
        <w:rPr>
          <w:rFonts w:cstheme="minorHAnsi"/>
        </w:rPr>
      </w:pPr>
      <w:r w:rsidRPr="00675182">
        <w:rPr>
          <w:rFonts w:cstheme="minorHAnsi"/>
        </w:rPr>
        <w:t>GNP teritorijā lielākā daļa zemes ir privātīpašumā (skat. 1.1.</w:t>
      </w:r>
      <w:r w:rsidR="00CD5E15" w:rsidRPr="00675182">
        <w:rPr>
          <w:rFonts w:cstheme="minorHAnsi"/>
        </w:rPr>
        <w:t>4</w:t>
      </w:r>
      <w:r w:rsidRPr="00675182">
        <w:rPr>
          <w:rFonts w:cstheme="minorHAnsi"/>
        </w:rPr>
        <w:t xml:space="preserve">. tabulu un 1.1.3. attēlu), kopā 67 % no </w:t>
      </w:r>
      <w:r w:rsidR="00CE3768" w:rsidRPr="00675182">
        <w:rPr>
          <w:rFonts w:cstheme="minorHAnsi"/>
        </w:rPr>
        <w:t>GNP</w:t>
      </w:r>
      <w:r w:rsidRPr="00675182">
        <w:rPr>
          <w:rFonts w:cstheme="minorHAnsi"/>
        </w:rPr>
        <w:t xml:space="preserve"> platības. Samērā daudz ir valsts īpašumu – 2</w:t>
      </w:r>
      <w:r w:rsidR="004F14CA" w:rsidRPr="00675182">
        <w:rPr>
          <w:rFonts w:cstheme="minorHAnsi"/>
        </w:rPr>
        <w:t>9</w:t>
      </w:r>
      <w:r w:rsidRPr="00675182">
        <w:rPr>
          <w:rFonts w:cstheme="minorHAnsi"/>
        </w:rPr>
        <w:t xml:space="preserve"> %, tai skaitā lielākie ezeri un rezervāt</w:t>
      </w:r>
      <w:r w:rsidR="004F5E89" w:rsidRPr="00675182">
        <w:rPr>
          <w:rFonts w:cstheme="minorHAnsi"/>
        </w:rPr>
        <w:t>a zonas</w:t>
      </w:r>
      <w:r w:rsidRPr="00675182">
        <w:rPr>
          <w:rFonts w:cstheme="minorHAnsi"/>
        </w:rPr>
        <w:t xml:space="preserve"> teritorijas.</w:t>
      </w:r>
      <w:r w:rsidR="00CE3768" w:rsidRPr="00675182">
        <w:rPr>
          <w:rFonts w:cstheme="minorHAnsi"/>
        </w:rPr>
        <w:t xml:space="preserve"> Zemes īpašumu skaita ziņā pašvaldībām pieder daudz lielāks zemes vienību skaits nekā valstij, tomēr to vidū ir daudz nelielu platību īpašumu ciemu un pilsētu teritorijās.</w:t>
      </w:r>
    </w:p>
    <w:p w14:paraId="25741B08" w14:textId="77777777" w:rsidR="0003411D" w:rsidRPr="00675182" w:rsidRDefault="0003411D" w:rsidP="002B3341">
      <w:pPr>
        <w:rPr>
          <w:rFonts w:cstheme="minorHAnsi"/>
        </w:rPr>
      </w:pPr>
    </w:p>
    <w:p w14:paraId="742F4809" w14:textId="703EB2F3" w:rsidR="00B56544" w:rsidRPr="00675182" w:rsidRDefault="00B56544" w:rsidP="002B3341">
      <w:pPr>
        <w:rPr>
          <w:rFonts w:cstheme="minorHAnsi"/>
          <w:b/>
          <w:i/>
        </w:rPr>
      </w:pPr>
      <w:r w:rsidRPr="00675182">
        <w:rPr>
          <w:rFonts w:cstheme="minorHAnsi"/>
          <w:b/>
          <w:i/>
        </w:rPr>
        <w:t>1</w:t>
      </w:r>
      <w:r w:rsidR="00EF6181" w:rsidRPr="00675182">
        <w:rPr>
          <w:rFonts w:cstheme="minorHAnsi"/>
          <w:b/>
          <w:i/>
        </w:rPr>
        <w:t>.</w:t>
      </w:r>
      <w:r w:rsidR="00CD5E15" w:rsidRPr="00675182">
        <w:rPr>
          <w:rFonts w:cstheme="minorHAnsi"/>
          <w:b/>
          <w:i/>
        </w:rPr>
        <w:t>1.</w:t>
      </w:r>
      <w:r w:rsidR="00EE357E" w:rsidRPr="00675182">
        <w:rPr>
          <w:rFonts w:cstheme="minorHAnsi"/>
          <w:b/>
          <w:i/>
        </w:rPr>
        <w:t>4</w:t>
      </w:r>
      <w:r w:rsidRPr="00675182">
        <w:rPr>
          <w:rFonts w:cstheme="minorHAnsi"/>
          <w:b/>
          <w:i/>
        </w:rPr>
        <w:t>. tabula. Zemes īpašumu piederība</w:t>
      </w:r>
      <w:r w:rsidR="00D8006F" w:rsidRPr="00675182">
        <w:rPr>
          <w:rFonts w:cstheme="minorHAnsi"/>
          <w:b/>
          <w:i/>
        </w:rPr>
        <w:t xml:space="preserve"> GNP teritorijas</w:t>
      </w:r>
    </w:p>
    <w:tbl>
      <w:tblPr>
        <w:tblW w:w="7811" w:type="dxa"/>
        <w:tblInd w:w="93" w:type="dxa"/>
        <w:tblLook w:val="04A0" w:firstRow="1" w:lastRow="0" w:firstColumn="1" w:lastColumn="0" w:noHBand="0" w:noVBand="1"/>
      </w:tblPr>
      <w:tblGrid>
        <w:gridCol w:w="2640"/>
        <w:gridCol w:w="1203"/>
        <w:gridCol w:w="1984"/>
        <w:gridCol w:w="1984"/>
      </w:tblGrid>
      <w:tr w:rsidR="00534AEE" w:rsidRPr="00675182" w14:paraId="703CE9D3" w14:textId="77777777" w:rsidTr="00B96AD4">
        <w:trPr>
          <w:trHeight w:val="300"/>
        </w:trPr>
        <w:tc>
          <w:tcPr>
            <w:tcW w:w="2640"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54EB8A03" w14:textId="77777777" w:rsidR="00534AEE" w:rsidRPr="00675182" w:rsidRDefault="00534AEE" w:rsidP="002B3341">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Īpašuma piederība</w:t>
            </w:r>
          </w:p>
        </w:tc>
        <w:tc>
          <w:tcPr>
            <w:tcW w:w="1203" w:type="dxa"/>
            <w:tcBorders>
              <w:top w:val="single" w:sz="4" w:space="0" w:color="auto"/>
              <w:left w:val="nil"/>
              <w:bottom w:val="single" w:sz="4" w:space="0" w:color="auto"/>
              <w:right w:val="single" w:sz="4" w:space="0" w:color="auto"/>
            </w:tcBorders>
            <w:shd w:val="clear" w:color="000000" w:fill="D8E4BC"/>
            <w:noWrap/>
            <w:vAlign w:val="center"/>
            <w:hideMark/>
          </w:tcPr>
          <w:p w14:paraId="6B1A81F5" w14:textId="77777777" w:rsidR="00534AEE" w:rsidRPr="00675182" w:rsidRDefault="00534AEE" w:rsidP="002B3341">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Skaits</w:t>
            </w:r>
          </w:p>
        </w:tc>
        <w:tc>
          <w:tcPr>
            <w:tcW w:w="1984" w:type="dxa"/>
            <w:tcBorders>
              <w:top w:val="single" w:sz="4" w:space="0" w:color="auto"/>
              <w:left w:val="nil"/>
              <w:bottom w:val="single" w:sz="4" w:space="0" w:color="auto"/>
              <w:right w:val="single" w:sz="4" w:space="0" w:color="auto"/>
            </w:tcBorders>
            <w:shd w:val="clear" w:color="000000" w:fill="D8E4BC"/>
            <w:noWrap/>
            <w:vAlign w:val="center"/>
            <w:hideMark/>
          </w:tcPr>
          <w:p w14:paraId="72F89148" w14:textId="77777777" w:rsidR="00534AEE" w:rsidRPr="00675182" w:rsidRDefault="00534AEE" w:rsidP="002B3341">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Platība</w:t>
            </w:r>
            <w:r w:rsidR="005278D3" w:rsidRPr="00675182">
              <w:rPr>
                <w:rFonts w:eastAsia="Times New Roman" w:cstheme="minorHAnsi"/>
                <w:b/>
                <w:bCs/>
                <w:color w:val="000000"/>
                <w:sz w:val="22"/>
                <w:szCs w:val="22"/>
                <w:lang w:eastAsia="en-GB"/>
              </w:rPr>
              <w:t xml:space="preserve">, </w:t>
            </w:r>
            <w:r w:rsidRPr="00675182">
              <w:rPr>
                <w:rFonts w:eastAsia="Times New Roman" w:cstheme="minorHAnsi"/>
                <w:b/>
                <w:bCs/>
                <w:color w:val="000000"/>
                <w:sz w:val="22"/>
                <w:szCs w:val="22"/>
                <w:lang w:eastAsia="en-GB"/>
              </w:rPr>
              <w:t>ha</w:t>
            </w:r>
          </w:p>
        </w:tc>
        <w:tc>
          <w:tcPr>
            <w:tcW w:w="1984" w:type="dxa"/>
            <w:tcBorders>
              <w:top w:val="single" w:sz="4" w:space="0" w:color="auto"/>
              <w:left w:val="nil"/>
              <w:bottom w:val="single" w:sz="4" w:space="0" w:color="auto"/>
              <w:right w:val="single" w:sz="4" w:space="0" w:color="auto"/>
            </w:tcBorders>
            <w:shd w:val="clear" w:color="000000" w:fill="D8E4BC"/>
          </w:tcPr>
          <w:p w14:paraId="44EA6BF8" w14:textId="48C41121" w:rsidR="00534AEE" w:rsidRPr="00675182" w:rsidRDefault="00534AEE" w:rsidP="002B3341">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 xml:space="preserve">Procenti no </w:t>
            </w:r>
            <w:r w:rsidR="002B3341" w:rsidRPr="00675182">
              <w:rPr>
                <w:rFonts w:eastAsia="Times New Roman" w:cstheme="minorHAnsi"/>
                <w:b/>
                <w:bCs/>
                <w:color w:val="000000"/>
                <w:sz w:val="22"/>
                <w:szCs w:val="22"/>
                <w:lang w:eastAsia="en-GB"/>
              </w:rPr>
              <w:t>GNP</w:t>
            </w:r>
            <w:r w:rsidRPr="00675182">
              <w:rPr>
                <w:rFonts w:eastAsia="Times New Roman" w:cstheme="minorHAnsi"/>
                <w:b/>
                <w:bCs/>
                <w:color w:val="000000"/>
                <w:sz w:val="22"/>
                <w:szCs w:val="22"/>
                <w:lang w:eastAsia="en-GB"/>
              </w:rPr>
              <w:t xml:space="preserve"> platības</w:t>
            </w:r>
          </w:p>
        </w:tc>
      </w:tr>
      <w:tr w:rsidR="00CE5405" w:rsidRPr="00675182" w14:paraId="6372A5F4" w14:textId="77777777" w:rsidTr="00B96AD4">
        <w:trPr>
          <w:trHeight w:val="311"/>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33099" w14:textId="57F86EE8" w:rsidR="00CE5405" w:rsidRPr="00675182" w:rsidRDefault="00CE5405" w:rsidP="00CE5405">
            <w:pPr>
              <w:suppressAutoHyphens w:val="0"/>
              <w:rPr>
                <w:rFonts w:eastAsia="Times New Roman" w:cstheme="minorHAnsi"/>
                <w:color w:val="000000"/>
                <w:sz w:val="22"/>
                <w:szCs w:val="22"/>
                <w:lang w:eastAsia="en-GB"/>
              </w:rPr>
            </w:pPr>
            <w:r w:rsidRPr="00675182">
              <w:rPr>
                <w:rFonts w:cstheme="minorHAnsi"/>
                <w:color w:val="000000"/>
                <w:sz w:val="22"/>
                <w:szCs w:val="22"/>
              </w:rPr>
              <w:t>Fiziska persona</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C3B9F" w14:textId="26BBC060"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9079</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17F4BE" w14:textId="4324EC6A"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 xml:space="preserve">49 788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D14D66B" w14:textId="48427DBE"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54</w:t>
            </w:r>
          </w:p>
        </w:tc>
      </w:tr>
      <w:tr w:rsidR="00CE5405" w:rsidRPr="00675182" w14:paraId="5A2AB0F2" w14:textId="77777777" w:rsidTr="00B96AD4">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56EBD" w14:textId="70C39B89" w:rsidR="00CE5405" w:rsidRPr="00675182" w:rsidRDefault="00CE5405" w:rsidP="00CE5405">
            <w:pPr>
              <w:suppressAutoHyphens w:val="0"/>
              <w:rPr>
                <w:rFonts w:eastAsia="Times New Roman" w:cstheme="minorHAnsi"/>
                <w:color w:val="000000"/>
                <w:sz w:val="22"/>
                <w:szCs w:val="22"/>
                <w:lang w:eastAsia="en-GB"/>
              </w:rPr>
            </w:pPr>
            <w:r w:rsidRPr="00675182">
              <w:rPr>
                <w:rFonts w:cstheme="minorHAnsi"/>
                <w:color w:val="000000"/>
                <w:sz w:val="22"/>
                <w:szCs w:val="22"/>
              </w:rPr>
              <w:t>Juridiska persona</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860E1F" w14:textId="302D66B8"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1596</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D87D59" w14:textId="678FC2C0"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12 294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414DA11D" w14:textId="57C47E37"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13</w:t>
            </w:r>
          </w:p>
        </w:tc>
      </w:tr>
      <w:tr w:rsidR="00CE5405" w:rsidRPr="00675182" w14:paraId="090D297B" w14:textId="77777777" w:rsidTr="00B96AD4">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AAEFE" w14:textId="1B32CE22" w:rsidR="00CE5405" w:rsidRPr="00675182" w:rsidRDefault="00CE5405" w:rsidP="00CE5405">
            <w:pPr>
              <w:suppressAutoHyphens w:val="0"/>
              <w:rPr>
                <w:rFonts w:eastAsia="Times New Roman" w:cstheme="minorHAnsi"/>
                <w:color w:val="000000"/>
                <w:sz w:val="22"/>
                <w:szCs w:val="22"/>
                <w:lang w:eastAsia="en-GB"/>
              </w:rPr>
            </w:pPr>
            <w:r w:rsidRPr="00675182">
              <w:rPr>
                <w:rFonts w:cstheme="minorHAnsi"/>
                <w:color w:val="000000"/>
                <w:sz w:val="22"/>
                <w:szCs w:val="22"/>
              </w:rPr>
              <w:t>Pašvaldība</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82DE7" w14:textId="11024227"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1696</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5B269" w14:textId="75265B0F"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3 302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98A4887" w14:textId="629B8254"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4</w:t>
            </w:r>
          </w:p>
        </w:tc>
      </w:tr>
      <w:tr w:rsidR="00CE5405" w:rsidRPr="00675182" w14:paraId="7E40EC8F" w14:textId="77777777" w:rsidTr="00B96AD4">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C7955" w14:textId="071AAF78" w:rsidR="00CE5405" w:rsidRPr="00675182" w:rsidRDefault="00CE5405" w:rsidP="00CE5405">
            <w:pPr>
              <w:suppressAutoHyphens w:val="0"/>
              <w:rPr>
                <w:rFonts w:eastAsia="Times New Roman" w:cstheme="minorHAnsi"/>
                <w:color w:val="000000"/>
                <w:sz w:val="22"/>
                <w:szCs w:val="22"/>
                <w:lang w:eastAsia="en-GB"/>
              </w:rPr>
            </w:pPr>
            <w:r w:rsidRPr="00675182">
              <w:rPr>
                <w:rFonts w:cstheme="minorHAnsi"/>
                <w:color w:val="000000"/>
                <w:sz w:val="22"/>
                <w:szCs w:val="22"/>
              </w:rPr>
              <w:t>Valsts</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79C33" w14:textId="77246786"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854</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04723" w14:textId="22861878"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26 384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3F5F83C" w14:textId="069A4A6E" w:rsidR="00CE5405" w:rsidRPr="00675182" w:rsidRDefault="00CE5405" w:rsidP="00CE5405">
            <w:pPr>
              <w:suppressAutoHyphens w:val="0"/>
              <w:jc w:val="center"/>
              <w:rPr>
                <w:rFonts w:eastAsia="Times New Roman" w:cstheme="minorHAnsi"/>
                <w:color w:val="000000"/>
                <w:sz w:val="22"/>
                <w:szCs w:val="22"/>
                <w:lang w:eastAsia="en-GB"/>
              </w:rPr>
            </w:pPr>
            <w:r w:rsidRPr="00675182">
              <w:rPr>
                <w:rFonts w:cstheme="minorHAnsi"/>
                <w:color w:val="000000"/>
                <w:sz w:val="22"/>
                <w:szCs w:val="22"/>
              </w:rPr>
              <w:t>29</w:t>
            </w:r>
          </w:p>
        </w:tc>
      </w:tr>
    </w:tbl>
    <w:p w14:paraId="150E97C6" w14:textId="52C60E4E" w:rsidR="00CD5E15" w:rsidRPr="00675182" w:rsidRDefault="00CD5E15" w:rsidP="00CD5E15">
      <w:pPr>
        <w:ind w:left="142"/>
        <w:rPr>
          <w:rFonts w:cstheme="minorHAnsi"/>
          <w:sz w:val="20"/>
          <w:szCs w:val="16"/>
        </w:rPr>
      </w:pPr>
      <w:r w:rsidRPr="00675182">
        <w:rPr>
          <w:rFonts w:cstheme="minorHAnsi"/>
          <w:sz w:val="20"/>
          <w:szCs w:val="16"/>
        </w:rPr>
        <w:t>Datu avots: VZD, 202</w:t>
      </w:r>
      <w:r w:rsidR="00CE5405" w:rsidRPr="00675182">
        <w:rPr>
          <w:rFonts w:cstheme="minorHAnsi"/>
          <w:sz w:val="20"/>
          <w:szCs w:val="16"/>
        </w:rPr>
        <w:t>2</w:t>
      </w:r>
    </w:p>
    <w:p w14:paraId="32D324D5" w14:textId="77777777" w:rsidR="00472858" w:rsidRPr="00675182" w:rsidRDefault="00472858" w:rsidP="002B3341">
      <w:pPr>
        <w:rPr>
          <w:rFonts w:cstheme="minorHAnsi"/>
          <w:sz w:val="20"/>
        </w:rPr>
        <w:sectPr w:rsidR="00472858" w:rsidRPr="00675182" w:rsidSect="00472858">
          <w:headerReference w:type="default" r:id="rId27"/>
          <w:pgSz w:w="11905" w:h="16837"/>
          <w:pgMar w:top="1440" w:right="1797" w:bottom="1440" w:left="1797" w:header="720" w:footer="720" w:gutter="0"/>
          <w:cols w:space="720"/>
          <w:docGrid w:linePitch="360"/>
        </w:sectPr>
      </w:pPr>
    </w:p>
    <w:tbl>
      <w:tblPr>
        <w:tblW w:w="5000" w:type="pct"/>
        <w:tblLook w:val="04A0" w:firstRow="1" w:lastRow="0" w:firstColumn="1" w:lastColumn="0" w:noHBand="0" w:noVBand="1"/>
      </w:tblPr>
      <w:tblGrid>
        <w:gridCol w:w="13957"/>
      </w:tblGrid>
      <w:tr w:rsidR="0095623C" w:rsidRPr="00675182" w14:paraId="43683CBC" w14:textId="77777777" w:rsidTr="005879FA">
        <w:trPr>
          <w:trHeight w:val="336"/>
        </w:trPr>
        <w:tc>
          <w:tcPr>
            <w:tcW w:w="5000" w:type="pct"/>
          </w:tcPr>
          <w:p w14:paraId="6938CEF3" w14:textId="3C5AD1FD" w:rsidR="0095623C" w:rsidRPr="00675182" w:rsidRDefault="0075397A" w:rsidP="00834FC4">
            <w:pPr>
              <w:jc w:val="center"/>
              <w:rPr>
                <w:rFonts w:cstheme="minorHAnsi"/>
                <w:b/>
                <w:i/>
              </w:rPr>
            </w:pPr>
            <w:r w:rsidRPr="00675182">
              <w:rPr>
                <w:rFonts w:cstheme="minorHAnsi"/>
                <w:noProof/>
              </w:rPr>
              <w:lastRenderedPageBreak/>
              <w:drawing>
                <wp:inline distT="0" distB="0" distL="0" distR="0" wp14:anchorId="0AF96558" wp14:editId="75F019A3">
                  <wp:extent cx="6613154" cy="4680000"/>
                  <wp:effectExtent l="0" t="0" r="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13154" cy="4680000"/>
                          </a:xfrm>
                          <a:prstGeom prst="rect">
                            <a:avLst/>
                          </a:prstGeom>
                          <a:noFill/>
                          <a:ln>
                            <a:noFill/>
                          </a:ln>
                        </pic:spPr>
                      </pic:pic>
                    </a:graphicData>
                  </a:graphic>
                </wp:inline>
              </w:drawing>
            </w:r>
          </w:p>
        </w:tc>
      </w:tr>
      <w:tr w:rsidR="00EC228A" w:rsidRPr="00675182" w14:paraId="334E4DEA" w14:textId="77777777" w:rsidTr="005879FA">
        <w:trPr>
          <w:trHeight w:val="336"/>
        </w:trPr>
        <w:tc>
          <w:tcPr>
            <w:tcW w:w="5000" w:type="pct"/>
          </w:tcPr>
          <w:p w14:paraId="10EEC6D3" w14:textId="42FC8854" w:rsidR="00EC228A" w:rsidRPr="00675182" w:rsidRDefault="00EC228A" w:rsidP="002B3341">
            <w:pPr>
              <w:rPr>
                <w:rFonts w:cstheme="minorHAnsi"/>
                <w:b/>
                <w:i/>
              </w:rPr>
            </w:pPr>
            <w:r w:rsidRPr="00675182">
              <w:rPr>
                <w:rFonts w:cstheme="minorHAnsi"/>
                <w:b/>
                <w:i/>
              </w:rPr>
              <w:t>1.</w:t>
            </w:r>
            <w:r w:rsidR="00EF6181" w:rsidRPr="00675182">
              <w:rPr>
                <w:rFonts w:cstheme="minorHAnsi"/>
                <w:b/>
                <w:i/>
              </w:rPr>
              <w:t>1.</w:t>
            </w:r>
            <w:r w:rsidRPr="00675182">
              <w:rPr>
                <w:rFonts w:cstheme="minorHAnsi"/>
                <w:b/>
                <w:i/>
              </w:rPr>
              <w:t xml:space="preserve">2. attēls. Zemes </w:t>
            </w:r>
            <w:r w:rsidR="004E3A38" w:rsidRPr="00675182">
              <w:rPr>
                <w:rFonts w:cstheme="minorHAnsi"/>
                <w:b/>
                <w:i/>
              </w:rPr>
              <w:t>izmantošanas</w:t>
            </w:r>
            <w:r w:rsidR="00645035" w:rsidRPr="00675182">
              <w:rPr>
                <w:rFonts w:cstheme="minorHAnsi"/>
                <w:b/>
                <w:i/>
              </w:rPr>
              <w:t xml:space="preserve"> </w:t>
            </w:r>
            <w:r w:rsidRPr="00675182">
              <w:rPr>
                <w:rFonts w:cstheme="minorHAnsi"/>
                <w:b/>
                <w:i/>
              </w:rPr>
              <w:t xml:space="preserve">veidi </w:t>
            </w:r>
            <w:r w:rsidR="0075397A" w:rsidRPr="00675182">
              <w:rPr>
                <w:rFonts w:cstheme="minorHAnsi"/>
                <w:b/>
                <w:i/>
              </w:rPr>
              <w:t>GNP</w:t>
            </w:r>
          </w:p>
        </w:tc>
      </w:tr>
    </w:tbl>
    <w:p w14:paraId="0B6C655F" w14:textId="77777777" w:rsidR="00EF6181" w:rsidRPr="00675182" w:rsidRDefault="00EF6181" w:rsidP="00EF6181">
      <w:pPr>
        <w:ind w:left="142"/>
        <w:rPr>
          <w:rFonts w:cstheme="minorHAnsi"/>
          <w:sz w:val="20"/>
          <w:szCs w:val="16"/>
        </w:rPr>
      </w:pPr>
      <w:r w:rsidRPr="00675182">
        <w:rPr>
          <w:rFonts w:cstheme="minorHAnsi"/>
          <w:sz w:val="20"/>
          <w:szCs w:val="16"/>
        </w:rPr>
        <w:t>Datu avots: LĢIA, 2016-2018</w:t>
      </w:r>
    </w:p>
    <w:p w14:paraId="5E0FEBDD" w14:textId="77777777" w:rsidR="005C0290" w:rsidRPr="00675182" w:rsidRDefault="005C0290" w:rsidP="002B3341">
      <w:pPr>
        <w:rPr>
          <w:rFonts w:cstheme="minorHAnsi"/>
        </w:rPr>
        <w:sectPr w:rsidR="005C0290" w:rsidRPr="00675182" w:rsidSect="00C95EBB">
          <w:headerReference w:type="default" r:id="rId29"/>
          <w:pgSz w:w="16837" w:h="11905" w:orient="landscape"/>
          <w:pgMar w:top="1797" w:right="1440" w:bottom="1797" w:left="1440" w:header="720" w:footer="720" w:gutter="0"/>
          <w:cols w:space="720"/>
          <w:docGrid w:linePitch="360"/>
        </w:sectPr>
      </w:pPr>
    </w:p>
    <w:tbl>
      <w:tblPr>
        <w:tblW w:w="5000" w:type="pct"/>
        <w:tblLook w:val="04A0" w:firstRow="1" w:lastRow="0" w:firstColumn="1" w:lastColumn="0" w:noHBand="0" w:noVBand="1"/>
      </w:tblPr>
      <w:tblGrid>
        <w:gridCol w:w="13957"/>
      </w:tblGrid>
      <w:tr w:rsidR="00CD78C1" w:rsidRPr="00675182" w14:paraId="3EDAE98E" w14:textId="77777777" w:rsidTr="00C95EBB">
        <w:tc>
          <w:tcPr>
            <w:tcW w:w="5000" w:type="pct"/>
            <w:shd w:val="clear" w:color="auto" w:fill="auto"/>
          </w:tcPr>
          <w:p w14:paraId="23D85FAB" w14:textId="62FCB951" w:rsidR="00CD78C1" w:rsidRPr="00675182" w:rsidRDefault="00CE5405" w:rsidP="00EF6181">
            <w:pPr>
              <w:ind w:left="360"/>
              <w:jc w:val="center"/>
              <w:rPr>
                <w:rFonts w:cstheme="minorHAnsi"/>
                <w:b/>
                <w:szCs w:val="24"/>
              </w:rPr>
            </w:pPr>
            <w:r w:rsidRPr="00675182">
              <w:rPr>
                <w:noProof/>
              </w:rPr>
              <w:lastRenderedPageBreak/>
              <w:drawing>
                <wp:inline distT="0" distB="0" distL="0" distR="0" wp14:anchorId="145E5316" wp14:editId="53CC86E0">
                  <wp:extent cx="6613715" cy="4680000"/>
                  <wp:effectExtent l="0" t="0" r="0" b="635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13715" cy="4680000"/>
                          </a:xfrm>
                          <a:prstGeom prst="rect">
                            <a:avLst/>
                          </a:prstGeom>
                          <a:noFill/>
                          <a:ln>
                            <a:noFill/>
                          </a:ln>
                        </pic:spPr>
                      </pic:pic>
                    </a:graphicData>
                  </a:graphic>
                </wp:inline>
              </w:drawing>
            </w:r>
          </w:p>
        </w:tc>
      </w:tr>
      <w:tr w:rsidR="00CD78C1" w:rsidRPr="00675182" w14:paraId="54D3A657" w14:textId="77777777" w:rsidTr="00C95EBB">
        <w:tc>
          <w:tcPr>
            <w:tcW w:w="5000" w:type="pct"/>
            <w:shd w:val="clear" w:color="auto" w:fill="auto"/>
          </w:tcPr>
          <w:p w14:paraId="0CBD065C" w14:textId="77777777" w:rsidR="00CD78C1" w:rsidRPr="00675182" w:rsidRDefault="00C40B6C" w:rsidP="0075397A">
            <w:pPr>
              <w:rPr>
                <w:rFonts w:cstheme="minorHAnsi"/>
                <w:b/>
                <w:i/>
              </w:rPr>
            </w:pPr>
            <w:r w:rsidRPr="00675182">
              <w:rPr>
                <w:rFonts w:cstheme="minorHAnsi"/>
                <w:b/>
                <w:i/>
              </w:rPr>
              <w:t>1</w:t>
            </w:r>
            <w:r w:rsidR="00CD78C1" w:rsidRPr="00675182">
              <w:rPr>
                <w:rFonts w:cstheme="minorHAnsi"/>
                <w:b/>
                <w:i/>
              </w:rPr>
              <w:t>.</w:t>
            </w:r>
            <w:r w:rsidR="00EF6181" w:rsidRPr="00675182">
              <w:rPr>
                <w:rFonts w:cstheme="minorHAnsi"/>
                <w:b/>
                <w:i/>
              </w:rPr>
              <w:t>1.</w:t>
            </w:r>
            <w:r w:rsidR="00CD78C1" w:rsidRPr="00675182">
              <w:rPr>
                <w:rFonts w:cstheme="minorHAnsi"/>
                <w:b/>
                <w:i/>
              </w:rPr>
              <w:t xml:space="preserve">3. attēls. Zemes īpašumu piederība </w:t>
            </w:r>
            <w:r w:rsidR="0090463E" w:rsidRPr="00675182">
              <w:rPr>
                <w:rFonts w:cstheme="minorHAnsi"/>
                <w:b/>
                <w:i/>
              </w:rPr>
              <w:t>GNP</w:t>
            </w:r>
          </w:p>
          <w:p w14:paraId="6F3EBC88" w14:textId="240F1C61" w:rsidR="00EF6181" w:rsidRPr="00675182" w:rsidRDefault="00EF6181" w:rsidP="00F520A6">
            <w:pPr>
              <w:ind w:left="142"/>
              <w:rPr>
                <w:rFonts w:cstheme="minorHAnsi"/>
                <w:bCs/>
                <w:szCs w:val="24"/>
              </w:rPr>
            </w:pPr>
            <w:r w:rsidRPr="00675182">
              <w:rPr>
                <w:rFonts w:cstheme="minorHAnsi"/>
                <w:bCs/>
                <w:sz w:val="20"/>
                <w:szCs w:val="16"/>
              </w:rPr>
              <w:t>Datu avots:</w:t>
            </w:r>
            <w:r w:rsidR="00CC245D" w:rsidRPr="00675182">
              <w:rPr>
                <w:rFonts w:cstheme="minorHAnsi"/>
                <w:bCs/>
                <w:sz w:val="20"/>
                <w:szCs w:val="16"/>
              </w:rPr>
              <w:t xml:space="preserve"> </w:t>
            </w:r>
            <w:r w:rsidRPr="00675182">
              <w:rPr>
                <w:rFonts w:cstheme="minorHAnsi"/>
                <w:bCs/>
                <w:sz w:val="20"/>
                <w:szCs w:val="16"/>
              </w:rPr>
              <w:t>VZD,</w:t>
            </w:r>
            <w:r w:rsidR="00F520A6" w:rsidRPr="00675182">
              <w:rPr>
                <w:rFonts w:cstheme="minorHAnsi"/>
                <w:bCs/>
                <w:sz w:val="20"/>
                <w:szCs w:val="16"/>
              </w:rPr>
              <w:t xml:space="preserve"> </w:t>
            </w:r>
            <w:r w:rsidRPr="00675182">
              <w:rPr>
                <w:rFonts w:cstheme="minorHAnsi"/>
                <w:bCs/>
                <w:sz w:val="20"/>
                <w:szCs w:val="16"/>
              </w:rPr>
              <w:t>202</w:t>
            </w:r>
            <w:r w:rsidR="004F14CA" w:rsidRPr="00675182">
              <w:rPr>
                <w:rFonts w:cstheme="minorHAnsi"/>
                <w:bCs/>
                <w:sz w:val="20"/>
                <w:szCs w:val="16"/>
              </w:rPr>
              <w:t>2</w:t>
            </w:r>
          </w:p>
        </w:tc>
      </w:tr>
    </w:tbl>
    <w:p w14:paraId="56A1380A" w14:textId="77777777" w:rsidR="00472858" w:rsidRPr="00675182" w:rsidRDefault="00472858" w:rsidP="002B3341">
      <w:pPr>
        <w:rPr>
          <w:rFonts w:cstheme="minorHAnsi"/>
          <w:b/>
          <w:szCs w:val="24"/>
        </w:rPr>
        <w:sectPr w:rsidR="00472858" w:rsidRPr="00675182" w:rsidSect="00C95EBB">
          <w:headerReference w:type="even" r:id="rId31"/>
          <w:footerReference w:type="even" r:id="rId32"/>
          <w:footerReference w:type="default" r:id="rId33"/>
          <w:headerReference w:type="first" r:id="rId34"/>
          <w:footerReference w:type="first" r:id="rId35"/>
          <w:pgSz w:w="16837" w:h="11905" w:orient="landscape"/>
          <w:pgMar w:top="1797" w:right="1440" w:bottom="1797" w:left="1440" w:header="720" w:footer="720" w:gutter="0"/>
          <w:cols w:space="720"/>
          <w:docGrid w:linePitch="360"/>
        </w:sectPr>
      </w:pPr>
    </w:p>
    <w:p w14:paraId="01EFA8B6" w14:textId="0F805397" w:rsidR="00011E51" w:rsidRPr="00675182" w:rsidRDefault="00011E51" w:rsidP="002B3341">
      <w:pPr>
        <w:pStyle w:val="Heading3"/>
        <w:keepNext w:val="0"/>
        <w:numPr>
          <w:ilvl w:val="0"/>
          <w:numId w:val="0"/>
        </w:numPr>
        <w:rPr>
          <w:rFonts w:cstheme="minorHAnsi"/>
          <w:b/>
          <w:szCs w:val="24"/>
          <w:lang w:val="lv-LV"/>
        </w:rPr>
      </w:pPr>
      <w:bookmarkStart w:id="10" w:name="_Toc116938382"/>
      <w:r w:rsidRPr="00675182">
        <w:rPr>
          <w:rFonts w:cstheme="minorHAnsi"/>
          <w:b/>
          <w:szCs w:val="24"/>
          <w:lang w:val="lv-LV"/>
        </w:rPr>
        <w:lastRenderedPageBreak/>
        <w:t xml:space="preserve">1.1.3. </w:t>
      </w:r>
      <w:r w:rsidR="00B05CEB" w:rsidRPr="00675182">
        <w:rPr>
          <w:rFonts w:cstheme="minorHAnsi"/>
          <w:b/>
          <w:szCs w:val="24"/>
          <w:lang w:val="lv-LV"/>
        </w:rPr>
        <w:t>T</w:t>
      </w:r>
      <w:r w:rsidR="002844CE" w:rsidRPr="00675182">
        <w:rPr>
          <w:rFonts w:cstheme="minorHAnsi"/>
          <w:b/>
          <w:szCs w:val="24"/>
          <w:lang w:val="lv-LV"/>
        </w:rPr>
        <w:t>eritorijas plānojuma prasības teritorijas izmantošanai, pašvaldību teritoriju plānojumos noteiktā pašreizējā teritorijas izmantošana un plānotā (atļautā) izmantošana</w:t>
      </w:r>
      <w:bookmarkEnd w:id="10"/>
    </w:p>
    <w:p w14:paraId="6227EFC2" w14:textId="77777777" w:rsidR="00D826DC" w:rsidRPr="00675182" w:rsidRDefault="00D826DC" w:rsidP="002B3341">
      <w:pPr>
        <w:rPr>
          <w:rFonts w:cstheme="minorHAnsi"/>
          <w:szCs w:val="24"/>
        </w:rPr>
      </w:pPr>
    </w:p>
    <w:p w14:paraId="73DA1540" w14:textId="1171AB95" w:rsidR="00E000A4" w:rsidRPr="00675182" w:rsidRDefault="00E000A4" w:rsidP="002B3341">
      <w:pPr>
        <w:jc w:val="both"/>
        <w:rPr>
          <w:rFonts w:cstheme="minorHAnsi"/>
          <w:szCs w:val="24"/>
        </w:rPr>
      </w:pPr>
      <w:r w:rsidRPr="00675182">
        <w:rPr>
          <w:rFonts w:cstheme="minorHAnsi"/>
          <w:szCs w:val="24"/>
        </w:rPr>
        <w:t xml:space="preserve">Pašvaldību teritorijas plānojumi ir nozīmīgākais instruments teritorijas zemes izmantošanā un ainavu pārvaldībā. Natura 2000 teritoriju tīkls un tam pakārtotie normatīvie akti izstrādāti, balstoties uz aizsargājamo sugu un biotopu direktīvām, līdz ar to mazāku uzmanību veltot ainaviskajiem aspektiem. GNP veido plašas ainavu telpas gan ar unikālām Latvijas dabas ainavām un nozīmīgām lauku kultūrainavām, gan arī Latvijā plaši sastopamām tipiskām lauku ainavām. Tādējādi veidojas situācija, kurā DA plānam pēc būtības jāsniedz priekšlikumi gan aizsargājamo biotopu un sugu atradņu aizsardzībai un apsaimniekošanai, gan ieteikumi ievērojamām platībām ar daudzveidīgiem dabas apstākļiem, gan ekstensīvi un intensīvi apsaimniekotām meža un lauksaimniecības zemēm bez </w:t>
      </w:r>
      <w:r w:rsidR="00CE442F">
        <w:rPr>
          <w:rFonts w:cstheme="minorHAnsi"/>
          <w:szCs w:val="24"/>
        </w:rPr>
        <w:t>ĪA</w:t>
      </w:r>
      <w:r w:rsidRPr="00675182">
        <w:rPr>
          <w:rFonts w:cstheme="minorHAnsi"/>
          <w:szCs w:val="24"/>
        </w:rPr>
        <w:t xml:space="preserve"> dabas vērtībām. Lai sagatavotu priekšlikumus izmaiņām teritorijas plānojumiem, sākotnēji veikts esošo teritorijas plānojumu novērtējums.</w:t>
      </w:r>
    </w:p>
    <w:p w14:paraId="6BC3F690" w14:textId="77777777" w:rsidR="00E000A4" w:rsidRPr="00675182" w:rsidRDefault="00E000A4" w:rsidP="002B3341">
      <w:pPr>
        <w:jc w:val="both"/>
        <w:rPr>
          <w:rFonts w:cstheme="minorHAnsi"/>
          <w:szCs w:val="24"/>
        </w:rPr>
      </w:pPr>
    </w:p>
    <w:p w14:paraId="2F3C7482" w14:textId="515E23E0" w:rsidR="00E000A4" w:rsidRPr="00675182" w:rsidRDefault="00E55B7A" w:rsidP="002B3341">
      <w:pPr>
        <w:jc w:val="both"/>
        <w:rPr>
          <w:rFonts w:cstheme="minorHAnsi"/>
          <w:szCs w:val="24"/>
        </w:rPr>
      </w:pPr>
      <w:r w:rsidRPr="00675182">
        <w:rPr>
          <w:rFonts w:cstheme="minorHAnsi"/>
          <w:szCs w:val="24"/>
        </w:rPr>
        <w:t xml:space="preserve">Atbilstoši Administratīvo teritoriju un apdzīvoto vietu likumam, kas spēkā stājās 2020. gada 23. jūnijā, </w:t>
      </w:r>
      <w:r w:rsidR="006A63BD" w:rsidRPr="00675182">
        <w:rPr>
          <w:rFonts w:cstheme="minorHAnsi"/>
          <w:szCs w:val="24"/>
        </w:rPr>
        <w:t xml:space="preserve">GNP teritorija ietilpst </w:t>
      </w:r>
      <w:r w:rsidR="00266D06" w:rsidRPr="00675182">
        <w:rPr>
          <w:rFonts w:cstheme="minorHAnsi"/>
          <w:szCs w:val="24"/>
        </w:rPr>
        <w:t>Cēsu, Saulkrastu, Siguldas, kā arī Valmieras novados</w:t>
      </w:r>
      <w:r w:rsidRPr="00675182">
        <w:rPr>
          <w:rFonts w:cstheme="minorHAnsi"/>
          <w:szCs w:val="24"/>
        </w:rPr>
        <w:t>. Saskaņā ar Administratīvo teritoriju un apdzīvoto vietu likuma 17. punktu,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r w:rsidR="00E56C2A" w:rsidRPr="00675182">
        <w:rPr>
          <w:rFonts w:cstheme="minorHAnsi"/>
          <w:szCs w:val="24"/>
        </w:rPr>
        <w:t xml:space="preserve">. Tādējādi </w:t>
      </w:r>
      <w:r w:rsidR="00551DC7" w:rsidRPr="00675182">
        <w:rPr>
          <w:rFonts w:cstheme="minorHAnsi"/>
          <w:szCs w:val="24"/>
        </w:rPr>
        <w:t xml:space="preserve">DA plāna izstrādes laikā teritorijas atļauto izmantošanu nosaka </w:t>
      </w:r>
      <w:r w:rsidRPr="00675182">
        <w:rPr>
          <w:rFonts w:cstheme="minorHAnsi"/>
          <w:szCs w:val="24"/>
        </w:rPr>
        <w:t>Amatas, Beverīnas, Cēsu, Inčukalna, Kocēnu</w:t>
      </w:r>
      <w:r w:rsidR="00551DC7" w:rsidRPr="00675182">
        <w:rPr>
          <w:rFonts w:cstheme="minorHAnsi"/>
          <w:szCs w:val="24"/>
        </w:rPr>
        <w:t>,</w:t>
      </w:r>
      <w:r w:rsidRPr="00675182">
        <w:rPr>
          <w:rFonts w:cstheme="minorHAnsi"/>
          <w:szCs w:val="24"/>
        </w:rPr>
        <w:t xml:space="preserve"> Krimuldas, Līgatnes, Pārgaujas, Priekuļu, Sējas un Siguldas novadu teritorijas plānojumi</w:t>
      </w:r>
      <w:r w:rsidR="00266D06" w:rsidRPr="00675182">
        <w:rPr>
          <w:rFonts w:cstheme="minorHAnsi"/>
          <w:szCs w:val="24"/>
        </w:rPr>
        <w:t>.</w:t>
      </w:r>
    </w:p>
    <w:p w14:paraId="075EE927" w14:textId="77777777" w:rsidR="00E000A4" w:rsidRPr="00675182" w:rsidRDefault="00E000A4" w:rsidP="002B3341">
      <w:pPr>
        <w:jc w:val="both"/>
        <w:rPr>
          <w:rFonts w:cstheme="minorHAnsi"/>
          <w:szCs w:val="24"/>
        </w:rPr>
      </w:pPr>
    </w:p>
    <w:p w14:paraId="70A943FE" w14:textId="1DC91086" w:rsidR="00CC3C9A" w:rsidRPr="00675182" w:rsidRDefault="00CC3C9A" w:rsidP="00CC3C9A">
      <w:pPr>
        <w:jc w:val="both"/>
        <w:rPr>
          <w:rFonts w:cstheme="minorHAnsi"/>
          <w:szCs w:val="24"/>
        </w:rPr>
      </w:pPr>
      <w:r w:rsidRPr="00675182">
        <w:rPr>
          <w:rFonts w:cstheme="minorHAnsi"/>
          <w:szCs w:val="24"/>
        </w:rPr>
        <w:t xml:space="preserve">GNP teritorijā esošo novadu teritorijas plānojumos plānotā (atļautā) izmantošanā vislielākās platībās noteiktas kā </w:t>
      </w:r>
      <w:r w:rsidRPr="00675182">
        <w:rPr>
          <w:rFonts w:cstheme="minorHAnsi"/>
          <w:i/>
          <w:iCs/>
          <w:szCs w:val="24"/>
        </w:rPr>
        <w:t>Mežu teritorijas</w:t>
      </w:r>
      <w:r w:rsidRPr="00675182">
        <w:rPr>
          <w:rFonts w:cstheme="minorHAnsi"/>
          <w:szCs w:val="24"/>
        </w:rPr>
        <w:t xml:space="preserve"> un </w:t>
      </w:r>
      <w:r w:rsidRPr="00675182">
        <w:rPr>
          <w:rFonts w:cstheme="minorHAnsi"/>
          <w:i/>
          <w:iCs/>
          <w:szCs w:val="24"/>
        </w:rPr>
        <w:t>Lauksaimniecības teritorijas</w:t>
      </w:r>
      <w:r w:rsidRPr="00675182">
        <w:rPr>
          <w:rFonts w:cstheme="minorHAnsi"/>
          <w:szCs w:val="24"/>
        </w:rPr>
        <w:t xml:space="preserve">, savukārt mazākās platībās </w:t>
      </w:r>
      <w:r w:rsidRPr="00675182">
        <w:rPr>
          <w:rFonts w:cstheme="minorHAnsi"/>
          <w:i/>
          <w:iCs/>
          <w:szCs w:val="24"/>
        </w:rPr>
        <w:t>Ūdeņu teritorijas</w:t>
      </w:r>
      <w:r w:rsidR="00BF0F55" w:rsidRPr="00675182">
        <w:rPr>
          <w:rFonts w:cstheme="minorHAnsi"/>
          <w:i/>
          <w:iCs/>
          <w:szCs w:val="24"/>
        </w:rPr>
        <w:t xml:space="preserve"> (</w:t>
      </w:r>
      <w:r w:rsidR="00BF0F55" w:rsidRPr="00675182">
        <w:rPr>
          <w:rFonts w:cstheme="minorHAnsi"/>
          <w:szCs w:val="24"/>
        </w:rPr>
        <w:t>skat. 1.1.5. tabulu un 1.1.4.attēlu)</w:t>
      </w:r>
      <w:r w:rsidRPr="00675182">
        <w:rPr>
          <w:rFonts w:cstheme="minorHAnsi"/>
          <w:szCs w:val="24"/>
        </w:rPr>
        <w:t>. GNP teritorijā esošajos ciemos un pilsētās, kā arī atsevišķās zemes vienībās ārpus tām, plānotā (atļautā) izmantošanā noteikta kā dzīvojamā apbūve (savrupmāju, mazstāvu u.c. apbūve), rūp</w:t>
      </w:r>
      <w:r w:rsidR="009841E9" w:rsidRPr="00675182">
        <w:rPr>
          <w:rFonts w:cstheme="minorHAnsi"/>
          <w:szCs w:val="24"/>
        </w:rPr>
        <w:t>n</w:t>
      </w:r>
      <w:r w:rsidRPr="00675182">
        <w:rPr>
          <w:rFonts w:cstheme="minorHAnsi"/>
          <w:szCs w:val="24"/>
        </w:rPr>
        <w:t>ie</w:t>
      </w:r>
      <w:r w:rsidR="009841E9" w:rsidRPr="00675182">
        <w:rPr>
          <w:rFonts w:cstheme="minorHAnsi"/>
          <w:szCs w:val="24"/>
        </w:rPr>
        <w:t>c</w:t>
      </w:r>
      <w:r w:rsidRPr="00675182">
        <w:rPr>
          <w:rFonts w:cstheme="minorHAnsi"/>
          <w:szCs w:val="24"/>
        </w:rPr>
        <w:t xml:space="preserve">iskā apbūve, t.sk. derīgo izrakteņu iegūšanai, </w:t>
      </w:r>
      <w:r w:rsidR="00806799" w:rsidRPr="00675182">
        <w:rPr>
          <w:rFonts w:cstheme="minorHAnsi"/>
          <w:szCs w:val="24"/>
        </w:rPr>
        <w:t xml:space="preserve">kā arī </w:t>
      </w:r>
      <w:r w:rsidRPr="00675182">
        <w:rPr>
          <w:rFonts w:cstheme="minorHAnsi"/>
          <w:szCs w:val="24"/>
        </w:rPr>
        <w:t>publiskā un jaukta apbūve, dabas un apstādījumu teritorijas. Visos</w:t>
      </w:r>
      <w:r w:rsidR="00806799" w:rsidRPr="00675182">
        <w:rPr>
          <w:rFonts w:cstheme="minorHAnsi"/>
          <w:szCs w:val="24"/>
        </w:rPr>
        <w:t xml:space="preserve"> pašvaldību</w:t>
      </w:r>
      <w:r w:rsidRPr="00675182">
        <w:rPr>
          <w:rFonts w:cstheme="minorHAnsi"/>
          <w:szCs w:val="24"/>
        </w:rPr>
        <w:t xml:space="preserve"> teritorijas plānojumos ir attēlot</w:t>
      </w:r>
      <w:r w:rsidR="00806799" w:rsidRPr="00675182">
        <w:rPr>
          <w:rFonts w:cstheme="minorHAnsi"/>
          <w:szCs w:val="24"/>
        </w:rPr>
        <w:t>as</w:t>
      </w:r>
      <w:r w:rsidRPr="00675182">
        <w:rPr>
          <w:rFonts w:cstheme="minorHAnsi"/>
          <w:szCs w:val="24"/>
        </w:rPr>
        <w:t xml:space="preserve"> arī GNP </w:t>
      </w:r>
      <w:r w:rsidR="00806799" w:rsidRPr="00675182">
        <w:rPr>
          <w:rFonts w:cstheme="minorHAnsi"/>
          <w:szCs w:val="24"/>
        </w:rPr>
        <w:t xml:space="preserve">teritorijā ietilpstošās </w:t>
      </w:r>
      <w:r w:rsidRPr="00675182">
        <w:rPr>
          <w:rFonts w:cstheme="minorHAnsi"/>
          <w:szCs w:val="24"/>
        </w:rPr>
        <w:t xml:space="preserve">esošās ielas, ceļi un tehniskā apbūve. Teritoriju plānojumu grafiskās daļas plānotās (atļautā) izmantošanas kartēs ir attēlots GNP </w:t>
      </w:r>
      <w:r w:rsidR="00431F66" w:rsidRPr="00675182">
        <w:rPr>
          <w:rFonts w:cstheme="minorHAnsi"/>
          <w:szCs w:val="24"/>
        </w:rPr>
        <w:t xml:space="preserve">teritorija </w:t>
      </w:r>
      <w:r w:rsidRPr="00675182">
        <w:rPr>
          <w:rFonts w:cstheme="minorHAnsi"/>
          <w:szCs w:val="24"/>
        </w:rPr>
        <w:t>un tā funkcionālais zonējums.</w:t>
      </w:r>
    </w:p>
    <w:p w14:paraId="458BB082" w14:textId="1AFF3E2D" w:rsidR="00BF0F55" w:rsidRPr="00675182" w:rsidRDefault="00BF0F55" w:rsidP="00CC3C9A">
      <w:pPr>
        <w:jc w:val="both"/>
        <w:rPr>
          <w:rFonts w:cstheme="minorHAnsi"/>
          <w:szCs w:val="24"/>
        </w:rPr>
      </w:pPr>
    </w:p>
    <w:p w14:paraId="6B66296E" w14:textId="7DA40E1B" w:rsidR="00292900" w:rsidRPr="00675182" w:rsidRDefault="007F398F" w:rsidP="00292900">
      <w:pPr>
        <w:jc w:val="both"/>
        <w:rPr>
          <w:rFonts w:cstheme="minorHAnsi"/>
          <w:szCs w:val="24"/>
        </w:rPr>
      </w:pPr>
      <w:r w:rsidRPr="00675182">
        <w:rPr>
          <w:rFonts w:cstheme="minorHAnsi"/>
          <w:szCs w:val="24"/>
        </w:rPr>
        <w:t>GNP teritorijā ietilpsto</w:t>
      </w:r>
      <w:r w:rsidR="0034403D" w:rsidRPr="00675182">
        <w:rPr>
          <w:rFonts w:cstheme="minorHAnsi"/>
          <w:szCs w:val="24"/>
        </w:rPr>
        <w:t>šo novadu teritorijas plānojumos ir noteikt</w:t>
      </w:r>
      <w:r w:rsidR="00975B3B" w:rsidRPr="00675182">
        <w:rPr>
          <w:rFonts w:cstheme="minorHAnsi"/>
          <w:szCs w:val="24"/>
        </w:rPr>
        <w:t xml:space="preserve">a </w:t>
      </w:r>
      <w:r w:rsidR="00864289" w:rsidRPr="00675182">
        <w:rPr>
          <w:rFonts w:cstheme="minorHAnsi"/>
          <w:szCs w:val="24"/>
        </w:rPr>
        <w:t xml:space="preserve">šāda </w:t>
      </w:r>
      <w:r w:rsidR="00975B3B" w:rsidRPr="00675182">
        <w:rPr>
          <w:rFonts w:cstheme="minorHAnsi"/>
          <w:szCs w:val="24"/>
        </w:rPr>
        <w:t>atļautā izmantošana, kas ietver:</w:t>
      </w:r>
      <w:r w:rsidR="00292900" w:rsidRPr="00675182">
        <w:rPr>
          <w:rFonts w:cstheme="minorHAnsi"/>
          <w:b/>
          <w:bCs/>
          <w:szCs w:val="24"/>
        </w:rPr>
        <w:t xml:space="preserve"> </w:t>
      </w:r>
    </w:p>
    <w:p w14:paraId="49504930" w14:textId="04284A84" w:rsidR="00292900" w:rsidRPr="00675182" w:rsidRDefault="00292900" w:rsidP="00A84218">
      <w:pPr>
        <w:pStyle w:val="ListParagraph"/>
        <w:numPr>
          <w:ilvl w:val="0"/>
          <w:numId w:val="27"/>
        </w:numPr>
        <w:jc w:val="both"/>
        <w:rPr>
          <w:rFonts w:cstheme="minorHAnsi"/>
          <w:szCs w:val="24"/>
        </w:rPr>
      </w:pPr>
      <w:r w:rsidRPr="00675182">
        <w:rPr>
          <w:rFonts w:cstheme="minorHAnsi"/>
          <w:szCs w:val="24"/>
        </w:rPr>
        <w:t>esošo ielu un ceļu atjaunošan</w:t>
      </w:r>
      <w:r w:rsidR="00975B3B" w:rsidRPr="00675182">
        <w:rPr>
          <w:rFonts w:cstheme="minorHAnsi"/>
          <w:szCs w:val="24"/>
        </w:rPr>
        <w:t>u</w:t>
      </w:r>
      <w:r w:rsidRPr="00675182">
        <w:rPr>
          <w:rFonts w:cstheme="minorHAnsi"/>
          <w:szCs w:val="24"/>
        </w:rPr>
        <w:t xml:space="preserve"> un jaunu ceļu un ielu izbūv</w:t>
      </w:r>
      <w:r w:rsidR="00975B3B" w:rsidRPr="00675182">
        <w:rPr>
          <w:rFonts w:cstheme="minorHAnsi"/>
          <w:szCs w:val="24"/>
        </w:rPr>
        <w:t>i</w:t>
      </w:r>
      <w:r w:rsidRPr="00675182">
        <w:rPr>
          <w:rFonts w:cstheme="minorHAnsi"/>
          <w:szCs w:val="24"/>
        </w:rPr>
        <w:t>;</w:t>
      </w:r>
    </w:p>
    <w:p w14:paraId="28148364" w14:textId="00929516" w:rsidR="00292900" w:rsidRPr="00675182" w:rsidRDefault="00292900" w:rsidP="00A84218">
      <w:pPr>
        <w:pStyle w:val="ListParagraph"/>
        <w:numPr>
          <w:ilvl w:val="0"/>
          <w:numId w:val="27"/>
        </w:numPr>
        <w:jc w:val="both"/>
        <w:rPr>
          <w:rFonts w:cstheme="minorHAnsi"/>
          <w:szCs w:val="24"/>
        </w:rPr>
      </w:pPr>
      <w:r w:rsidRPr="00675182">
        <w:rPr>
          <w:rFonts w:cstheme="minorHAnsi"/>
          <w:szCs w:val="24"/>
        </w:rPr>
        <w:t>objektam nepieciešamo transportlīdzekļu stāvvietu izbūv</w:t>
      </w:r>
      <w:r w:rsidR="00975B3B" w:rsidRPr="00675182">
        <w:rPr>
          <w:rFonts w:cstheme="minorHAnsi"/>
          <w:szCs w:val="24"/>
        </w:rPr>
        <w:t>i</w:t>
      </w:r>
      <w:r w:rsidRPr="00675182">
        <w:rPr>
          <w:rFonts w:cstheme="minorHAnsi"/>
          <w:szCs w:val="24"/>
        </w:rPr>
        <w:t>;</w:t>
      </w:r>
    </w:p>
    <w:p w14:paraId="36015BB6" w14:textId="234C1515" w:rsidR="00292900" w:rsidRPr="00675182" w:rsidRDefault="00292900" w:rsidP="00A84218">
      <w:pPr>
        <w:pStyle w:val="ListParagraph"/>
        <w:numPr>
          <w:ilvl w:val="0"/>
          <w:numId w:val="27"/>
        </w:numPr>
        <w:jc w:val="both"/>
        <w:rPr>
          <w:rFonts w:cstheme="minorHAnsi"/>
          <w:szCs w:val="24"/>
        </w:rPr>
      </w:pPr>
      <w:r w:rsidRPr="00675182">
        <w:rPr>
          <w:rFonts w:cstheme="minorHAnsi"/>
          <w:szCs w:val="24"/>
        </w:rPr>
        <w:t>erozijas risku ierobežošanas, pretplūdu aizsardzības būvju un meliorācijas sistēmu izbūv</w:t>
      </w:r>
      <w:r w:rsidR="00975B3B" w:rsidRPr="00675182">
        <w:rPr>
          <w:rFonts w:cstheme="minorHAnsi"/>
          <w:szCs w:val="24"/>
        </w:rPr>
        <w:t>i</w:t>
      </w:r>
      <w:r w:rsidRPr="00675182">
        <w:rPr>
          <w:rFonts w:cstheme="minorHAnsi"/>
          <w:szCs w:val="24"/>
        </w:rPr>
        <w:t>;</w:t>
      </w:r>
    </w:p>
    <w:p w14:paraId="6D281A6C" w14:textId="0140794D" w:rsidR="00292900" w:rsidRPr="00675182" w:rsidRDefault="00975B3B" w:rsidP="00A84218">
      <w:pPr>
        <w:pStyle w:val="ListParagraph"/>
        <w:numPr>
          <w:ilvl w:val="0"/>
          <w:numId w:val="27"/>
        </w:numPr>
        <w:jc w:val="both"/>
        <w:rPr>
          <w:rFonts w:cstheme="minorHAnsi"/>
          <w:szCs w:val="24"/>
        </w:rPr>
      </w:pPr>
      <w:r w:rsidRPr="00675182">
        <w:rPr>
          <w:rFonts w:cstheme="minorHAnsi"/>
          <w:szCs w:val="24"/>
        </w:rPr>
        <w:lastRenderedPageBreak/>
        <w:t>mākslīgu ūdenstilpju</w:t>
      </w:r>
      <w:r w:rsidR="00292900" w:rsidRPr="00675182">
        <w:rPr>
          <w:rFonts w:cstheme="minorHAnsi"/>
          <w:szCs w:val="24"/>
        </w:rPr>
        <w:t xml:space="preserve"> ierīkošan</w:t>
      </w:r>
      <w:r w:rsidRPr="00675182">
        <w:rPr>
          <w:rFonts w:cstheme="minorHAnsi"/>
          <w:szCs w:val="24"/>
        </w:rPr>
        <w:t>u</w:t>
      </w:r>
      <w:r w:rsidR="00292900" w:rsidRPr="00675182">
        <w:rPr>
          <w:rFonts w:cstheme="minorHAnsi"/>
          <w:szCs w:val="24"/>
        </w:rPr>
        <w:t xml:space="preserve"> bez līmeņa regulēšanas būvēm, ja dīķa virsmas laukums nepārsniedz 0,1-0,5 ha, teritorijas labiekārtošanas, ugunsdzēsības u.c. vajadzībām.</w:t>
      </w:r>
    </w:p>
    <w:p w14:paraId="2425C12F" w14:textId="77777777" w:rsidR="00975B3B" w:rsidRPr="00675182" w:rsidRDefault="00975B3B" w:rsidP="00292900">
      <w:pPr>
        <w:jc w:val="both"/>
        <w:rPr>
          <w:rFonts w:cstheme="minorHAnsi"/>
          <w:b/>
          <w:bCs/>
          <w:szCs w:val="24"/>
        </w:rPr>
      </w:pPr>
    </w:p>
    <w:p w14:paraId="65FA2BDD" w14:textId="19BE1128" w:rsidR="00292900" w:rsidRPr="00675182" w:rsidRDefault="00864289" w:rsidP="00B76E32">
      <w:pPr>
        <w:tabs>
          <w:tab w:val="num" w:pos="720"/>
        </w:tabs>
        <w:jc w:val="both"/>
        <w:rPr>
          <w:rFonts w:cstheme="minorHAnsi"/>
          <w:szCs w:val="24"/>
        </w:rPr>
      </w:pPr>
      <w:r w:rsidRPr="00675182">
        <w:rPr>
          <w:rFonts w:cstheme="minorHAnsi"/>
          <w:szCs w:val="24"/>
        </w:rPr>
        <w:t>A</w:t>
      </w:r>
      <w:r w:rsidR="00975B3B" w:rsidRPr="00675182">
        <w:rPr>
          <w:rFonts w:cstheme="minorHAnsi"/>
          <w:szCs w:val="24"/>
        </w:rPr>
        <w:t>tbilstoši IAIN iekļautajiem punktiem visā GNP</w:t>
      </w:r>
      <w:r w:rsidR="00292900" w:rsidRPr="00675182">
        <w:rPr>
          <w:rFonts w:cstheme="minorHAnsi"/>
          <w:szCs w:val="24"/>
        </w:rPr>
        <w:t xml:space="preserve"> teritorijā </w:t>
      </w:r>
      <w:r w:rsidR="00975B3B" w:rsidRPr="00675182">
        <w:rPr>
          <w:rFonts w:cstheme="minorHAnsi"/>
          <w:szCs w:val="24"/>
        </w:rPr>
        <w:t>ir aizli</w:t>
      </w:r>
      <w:r w:rsidR="00B76E32" w:rsidRPr="00675182">
        <w:rPr>
          <w:rFonts w:cstheme="minorHAnsi"/>
          <w:szCs w:val="24"/>
        </w:rPr>
        <w:t>e</w:t>
      </w:r>
      <w:r w:rsidR="00975B3B" w:rsidRPr="00675182">
        <w:rPr>
          <w:rFonts w:cstheme="minorHAnsi"/>
          <w:szCs w:val="24"/>
        </w:rPr>
        <w:t xml:space="preserve">gts </w:t>
      </w:r>
      <w:r w:rsidR="00292900" w:rsidRPr="00675182">
        <w:rPr>
          <w:rFonts w:cstheme="minorHAnsi"/>
          <w:szCs w:val="24"/>
        </w:rPr>
        <w:t>veikt būvniecību piesārņotās teritorijās, ja nav veikta to rekultivācija un/vai sanācija, kā arī izmantot ēkas un būves pirms nav novērsts esošais vides piesārņojums</w:t>
      </w:r>
      <w:r w:rsidR="00B76E32" w:rsidRPr="00675182">
        <w:rPr>
          <w:rFonts w:cstheme="minorHAnsi"/>
          <w:szCs w:val="24"/>
        </w:rPr>
        <w:t xml:space="preserve">. Lai novērstu vides piesārņojuma risku un samazinātu ainavas degradāciju IAIN ir noteikts, ka nav atļauts </w:t>
      </w:r>
      <w:r w:rsidR="00292900" w:rsidRPr="00675182">
        <w:rPr>
          <w:rFonts w:cstheme="minorHAnsi"/>
          <w:szCs w:val="24"/>
        </w:rPr>
        <w:t>atklātā veidā uzkrāt vai uzglabāt atkritumus, metāllūžņus, būvgružus, pamestus, nelietojamus motorizētus satiksmes līdzekļus</w:t>
      </w:r>
      <w:r w:rsidR="00B76E32" w:rsidRPr="00675182">
        <w:rPr>
          <w:rFonts w:cstheme="minorHAnsi"/>
          <w:szCs w:val="24"/>
        </w:rPr>
        <w:t xml:space="preserve">. </w:t>
      </w:r>
    </w:p>
    <w:p w14:paraId="60B6CC75" w14:textId="5FCE98A4" w:rsidR="00292900" w:rsidRPr="00675182" w:rsidRDefault="00292900" w:rsidP="00B76E32">
      <w:pPr>
        <w:tabs>
          <w:tab w:val="num" w:pos="720"/>
        </w:tabs>
        <w:jc w:val="both"/>
        <w:rPr>
          <w:rFonts w:cstheme="minorHAnsi"/>
          <w:szCs w:val="24"/>
        </w:rPr>
      </w:pPr>
    </w:p>
    <w:p w14:paraId="13C2BA40" w14:textId="54FC10AD" w:rsidR="00292900" w:rsidRPr="00675182" w:rsidRDefault="00B76E32" w:rsidP="00B76E32">
      <w:pPr>
        <w:tabs>
          <w:tab w:val="num" w:pos="720"/>
        </w:tabs>
        <w:jc w:val="both"/>
        <w:rPr>
          <w:rFonts w:cstheme="minorHAnsi"/>
          <w:szCs w:val="24"/>
        </w:rPr>
      </w:pPr>
      <w:r w:rsidRPr="00675182">
        <w:rPr>
          <w:rFonts w:cstheme="minorHAnsi"/>
          <w:szCs w:val="24"/>
        </w:rPr>
        <w:t xml:space="preserve">GNP teritorijā ietilpstošo novadu TIAN ir noteikti ierobežojumi </w:t>
      </w:r>
      <w:r w:rsidR="000045C5" w:rsidRPr="00675182">
        <w:rPr>
          <w:rFonts w:cstheme="minorHAnsi"/>
          <w:szCs w:val="24"/>
        </w:rPr>
        <w:t xml:space="preserve">un prasības </w:t>
      </w:r>
      <w:r w:rsidRPr="00675182">
        <w:rPr>
          <w:rFonts w:cstheme="minorHAnsi"/>
          <w:szCs w:val="24"/>
        </w:rPr>
        <w:t>derīgo izrakteņu ieguvei</w:t>
      </w:r>
      <w:r w:rsidR="000045C5" w:rsidRPr="00675182">
        <w:rPr>
          <w:rFonts w:cstheme="minorHAnsi"/>
          <w:szCs w:val="24"/>
        </w:rPr>
        <w:t xml:space="preserve">, </w:t>
      </w:r>
      <w:r w:rsidRPr="00675182">
        <w:rPr>
          <w:rFonts w:cstheme="minorHAnsi"/>
          <w:szCs w:val="24"/>
        </w:rPr>
        <w:t>uzglabāšanai</w:t>
      </w:r>
      <w:r w:rsidR="000045C5" w:rsidRPr="00675182">
        <w:rPr>
          <w:rFonts w:cstheme="minorHAnsi"/>
          <w:szCs w:val="24"/>
        </w:rPr>
        <w:t>, kā arī ieguves vietas rekultivācijai</w:t>
      </w:r>
      <w:r w:rsidRPr="00675182">
        <w:rPr>
          <w:rFonts w:cstheme="minorHAnsi"/>
          <w:szCs w:val="24"/>
        </w:rPr>
        <w:t>, piemēram:</w:t>
      </w:r>
    </w:p>
    <w:p w14:paraId="389E0162" w14:textId="32DAAB58" w:rsidR="00292900" w:rsidRPr="00675182" w:rsidRDefault="00B76E32" w:rsidP="00A84218">
      <w:pPr>
        <w:pStyle w:val="ListParagraph"/>
        <w:numPr>
          <w:ilvl w:val="0"/>
          <w:numId w:val="28"/>
        </w:numPr>
        <w:tabs>
          <w:tab w:val="num" w:pos="720"/>
        </w:tabs>
        <w:jc w:val="both"/>
        <w:rPr>
          <w:rFonts w:cstheme="minorHAnsi"/>
          <w:szCs w:val="24"/>
        </w:rPr>
      </w:pPr>
      <w:r w:rsidRPr="00675182">
        <w:rPr>
          <w:rFonts w:cstheme="minorHAnsi"/>
          <w:szCs w:val="24"/>
        </w:rPr>
        <w:t>Amatas novadā</w:t>
      </w:r>
      <w:r w:rsidR="00E93516" w:rsidRPr="00675182">
        <w:rPr>
          <w:rFonts w:cstheme="minorHAnsi"/>
          <w:szCs w:val="24"/>
        </w:rPr>
        <w:t xml:space="preserve"> (pēc ATR – Cēsu novadā)</w:t>
      </w:r>
      <w:r w:rsidRPr="00675182">
        <w:rPr>
          <w:rFonts w:cstheme="minorHAnsi"/>
          <w:szCs w:val="24"/>
        </w:rPr>
        <w:t xml:space="preserve"> ciemu teritorijās ir aizliegts veikt derīgo izrakteņu ieguvi, kā arī reģistrētā novietnē uzglabāt ilgāk par diviem mēnešiem noderīgo izrakteņu ieguves iegūtos inertos materiālus;</w:t>
      </w:r>
    </w:p>
    <w:p w14:paraId="77512029" w14:textId="6A50B22B" w:rsidR="00B76E32" w:rsidRPr="00675182" w:rsidRDefault="000045C5" w:rsidP="00A84218">
      <w:pPr>
        <w:pStyle w:val="ListParagraph"/>
        <w:numPr>
          <w:ilvl w:val="0"/>
          <w:numId w:val="28"/>
        </w:numPr>
        <w:tabs>
          <w:tab w:val="num" w:pos="720"/>
        </w:tabs>
        <w:jc w:val="both"/>
        <w:rPr>
          <w:rFonts w:cstheme="minorHAnsi"/>
          <w:szCs w:val="24"/>
        </w:rPr>
      </w:pPr>
      <w:r w:rsidRPr="00675182">
        <w:rPr>
          <w:rFonts w:cstheme="minorHAnsi"/>
          <w:szCs w:val="24"/>
        </w:rPr>
        <w:t xml:space="preserve">Krimuldas novada </w:t>
      </w:r>
      <w:r w:rsidR="002E14F8" w:rsidRPr="00675182">
        <w:rPr>
          <w:rFonts w:cstheme="minorHAnsi"/>
          <w:szCs w:val="24"/>
        </w:rPr>
        <w:t xml:space="preserve">(pēc ATR – Siguldas novadā) </w:t>
      </w:r>
      <w:r w:rsidRPr="00675182">
        <w:rPr>
          <w:rFonts w:cstheme="minorHAnsi"/>
          <w:szCs w:val="24"/>
        </w:rPr>
        <w:t>TIAN ir noteikti minimālie attālumi no derīgo izrakteņu izstrādes zemes vienības robežas līdz dzīvojamai un publiskai apbūvei, dabas teritorijām un objektiem (TIAN 146. punkts);</w:t>
      </w:r>
    </w:p>
    <w:p w14:paraId="18E56AE1" w14:textId="57C07E6F" w:rsidR="00B76E32" w:rsidRPr="00675182" w:rsidRDefault="00B76E32" w:rsidP="00A84218">
      <w:pPr>
        <w:pStyle w:val="ListParagraph"/>
        <w:numPr>
          <w:ilvl w:val="0"/>
          <w:numId w:val="28"/>
        </w:numPr>
        <w:tabs>
          <w:tab w:val="num" w:pos="720"/>
        </w:tabs>
        <w:jc w:val="both"/>
        <w:rPr>
          <w:rFonts w:cstheme="minorHAnsi"/>
          <w:szCs w:val="24"/>
        </w:rPr>
      </w:pPr>
      <w:r w:rsidRPr="00675182">
        <w:rPr>
          <w:rFonts w:cstheme="minorHAnsi"/>
          <w:szCs w:val="24"/>
        </w:rPr>
        <w:t>Līgatnes novadā</w:t>
      </w:r>
      <w:r w:rsidR="000045C5" w:rsidRPr="00675182">
        <w:rPr>
          <w:rFonts w:cstheme="minorHAnsi"/>
          <w:szCs w:val="24"/>
        </w:rPr>
        <w:t xml:space="preserve"> un Pārgaujas novadā</w:t>
      </w:r>
      <w:r w:rsidR="007127E0" w:rsidRPr="00675182">
        <w:rPr>
          <w:rFonts w:cstheme="minorHAnsi"/>
          <w:szCs w:val="24"/>
        </w:rPr>
        <w:t xml:space="preserve"> (pēc ATR – Cēsu novadā)</w:t>
      </w:r>
      <w:r w:rsidR="000045C5" w:rsidRPr="00675182">
        <w:rPr>
          <w:rFonts w:cstheme="minorHAnsi"/>
          <w:szCs w:val="24"/>
        </w:rPr>
        <w:t>, plānojot derīgo izrakteņu ieguvi, jāizstrādā transporta kustības shēma, novēršot iespējamo negatīvo ietekmi uz dzīvojamām un publiskās apbūves teritorijām;</w:t>
      </w:r>
    </w:p>
    <w:p w14:paraId="5C5E2AE1" w14:textId="5B70EA62" w:rsidR="00B76E32" w:rsidRPr="00675182" w:rsidRDefault="00B76E32" w:rsidP="00A84218">
      <w:pPr>
        <w:pStyle w:val="ListParagraph"/>
        <w:numPr>
          <w:ilvl w:val="0"/>
          <w:numId w:val="28"/>
        </w:numPr>
        <w:jc w:val="both"/>
        <w:rPr>
          <w:rFonts w:cstheme="minorHAnsi"/>
          <w:szCs w:val="24"/>
        </w:rPr>
      </w:pPr>
      <w:r w:rsidRPr="00675182">
        <w:rPr>
          <w:rFonts w:cstheme="minorHAnsi"/>
          <w:szCs w:val="24"/>
        </w:rPr>
        <w:t>Pārgaujas novad</w:t>
      </w:r>
      <w:r w:rsidR="000045C5" w:rsidRPr="00675182">
        <w:rPr>
          <w:rFonts w:cstheme="minorHAnsi"/>
          <w:szCs w:val="24"/>
        </w:rPr>
        <w:t xml:space="preserve">ā </w:t>
      </w:r>
      <w:r w:rsidR="007127E0" w:rsidRPr="00675182">
        <w:rPr>
          <w:rFonts w:cstheme="minorHAnsi"/>
          <w:szCs w:val="24"/>
        </w:rPr>
        <w:t xml:space="preserve">(pēc ATR – Cēsu novadā) </w:t>
      </w:r>
      <w:r w:rsidR="000045C5" w:rsidRPr="00675182">
        <w:rPr>
          <w:rFonts w:cstheme="minorHAnsi"/>
          <w:szCs w:val="24"/>
        </w:rPr>
        <w:t>derīgo izrakteņu ieguve nav atļauta ainaviski augstvērtīgā teritorijā un pie ainaviskajiem ceļiem.</w:t>
      </w:r>
    </w:p>
    <w:p w14:paraId="7AB8009D" w14:textId="17780C4A" w:rsidR="00292900" w:rsidRPr="00675182" w:rsidRDefault="00292900" w:rsidP="00CC3C9A">
      <w:pPr>
        <w:jc w:val="both"/>
        <w:rPr>
          <w:rFonts w:cstheme="minorHAnsi"/>
          <w:szCs w:val="24"/>
        </w:rPr>
      </w:pPr>
    </w:p>
    <w:p w14:paraId="737C2E60" w14:textId="6BB02F96" w:rsidR="00B76E32" w:rsidRPr="00675182" w:rsidRDefault="00253480" w:rsidP="00CC3C9A">
      <w:pPr>
        <w:jc w:val="both"/>
        <w:rPr>
          <w:rFonts w:cstheme="minorHAnsi"/>
          <w:szCs w:val="24"/>
        </w:rPr>
      </w:pPr>
      <w:r w:rsidRPr="00675182">
        <w:rPr>
          <w:rFonts w:cstheme="minorHAnsi"/>
          <w:szCs w:val="24"/>
        </w:rPr>
        <w:t xml:space="preserve">Atbilstoši TIAN prasībām, lielākajā daļā GNP teritorijas nav atļauts </w:t>
      </w:r>
      <w:r w:rsidR="000045C5" w:rsidRPr="00675182">
        <w:rPr>
          <w:rFonts w:cstheme="minorHAnsi"/>
          <w:szCs w:val="24"/>
        </w:rPr>
        <w:t>par dzīvojamā</w:t>
      </w:r>
      <w:r w:rsidRPr="00675182">
        <w:rPr>
          <w:rFonts w:cstheme="minorHAnsi"/>
          <w:szCs w:val="24"/>
        </w:rPr>
        <w:t>m</w:t>
      </w:r>
      <w:r w:rsidR="000045C5" w:rsidRPr="00675182">
        <w:rPr>
          <w:rFonts w:cstheme="minorHAnsi"/>
          <w:szCs w:val="24"/>
        </w:rPr>
        <w:t xml:space="preserve"> telpām izmantot ceļojumu treilerus, vagonus, saliekamas konstrukcijas, kas nav projektētas kā dzīvojamās ēkas vai telpas ilgstošai lietošanai, izņemot būvlaukumus</w:t>
      </w:r>
      <w:r w:rsidR="00666351" w:rsidRPr="00675182">
        <w:rPr>
          <w:rFonts w:cstheme="minorHAnsi"/>
          <w:szCs w:val="24"/>
        </w:rPr>
        <w:t>.</w:t>
      </w:r>
    </w:p>
    <w:p w14:paraId="224A9ACD" w14:textId="77777777" w:rsidR="000045C5" w:rsidRPr="00675182" w:rsidRDefault="000045C5" w:rsidP="00CC3C9A">
      <w:pPr>
        <w:jc w:val="both"/>
        <w:rPr>
          <w:rFonts w:cstheme="minorHAnsi"/>
          <w:szCs w:val="24"/>
        </w:rPr>
      </w:pPr>
    </w:p>
    <w:p w14:paraId="4CB89F75" w14:textId="176695B6" w:rsidR="007F398F" w:rsidRPr="00675182" w:rsidRDefault="007F398F" w:rsidP="007F398F">
      <w:pPr>
        <w:jc w:val="both"/>
        <w:rPr>
          <w:rFonts w:eastAsiaTheme="minorHAnsi" w:cstheme="minorHAnsi"/>
          <w:sz w:val="22"/>
          <w:lang w:eastAsia="en-US"/>
        </w:rPr>
      </w:pPr>
      <w:r w:rsidRPr="00675182">
        <w:rPr>
          <w:rFonts w:cstheme="minorHAnsi"/>
        </w:rPr>
        <w:t>Ainavu saglabāšanas un attīstības nosacījumi GNP novadu teritorijas plānojumos iestrādāti ar atšķirīgām pieejām – no salīdzinoši detāliem ieteikumiem, kuri iekļauti novadu TIAN, līdz vispārīgai pieejai, atsaucoties tikai uz augstāk stāvošiem GNP IAIN un likumu. Lielākajā daļa teritorijas plānojumu ir sagatavotas ainavu tematiskās kartes, kurās attēlotas nozīmīgākās ainavu teritorijas, ainaviskie ceļi un skatu vietas.</w:t>
      </w:r>
    </w:p>
    <w:p w14:paraId="426C371C" w14:textId="4C8AFF4B" w:rsidR="0067277A" w:rsidRPr="00675182" w:rsidRDefault="0067277A" w:rsidP="00CC3C9A">
      <w:pPr>
        <w:jc w:val="both"/>
        <w:rPr>
          <w:rFonts w:cstheme="minorHAnsi"/>
          <w:szCs w:val="24"/>
        </w:rPr>
      </w:pPr>
    </w:p>
    <w:p w14:paraId="28A26A40" w14:textId="3518352C" w:rsidR="00CC3C9A" w:rsidRPr="00675182" w:rsidRDefault="00CC3C9A" w:rsidP="00CC3C9A">
      <w:pPr>
        <w:jc w:val="both"/>
        <w:rPr>
          <w:rFonts w:cstheme="minorHAnsi"/>
          <w:szCs w:val="24"/>
        </w:rPr>
      </w:pPr>
      <w:r w:rsidRPr="00675182">
        <w:rPr>
          <w:rFonts w:cstheme="minorHAnsi"/>
          <w:b/>
          <w:bCs/>
          <w:szCs w:val="24"/>
        </w:rPr>
        <w:t>Amatas novada teritorijas plānojumā</w:t>
      </w:r>
      <w:r w:rsidRPr="00675182">
        <w:rPr>
          <w:rFonts w:cstheme="minorHAnsi"/>
          <w:szCs w:val="24"/>
        </w:rPr>
        <w:t xml:space="preserve"> </w:t>
      </w:r>
      <w:r w:rsidR="002E14F8" w:rsidRPr="00675182">
        <w:rPr>
          <w:rFonts w:cstheme="minorHAnsi"/>
          <w:szCs w:val="24"/>
        </w:rPr>
        <w:t xml:space="preserve">(pēc ATR – Cēsu novadā) </w:t>
      </w:r>
      <w:r w:rsidRPr="00675182">
        <w:rPr>
          <w:rFonts w:cstheme="minorHAnsi"/>
          <w:szCs w:val="24"/>
        </w:rPr>
        <w:t>2014.-2025. gadam ar 2018. gada grozījumiem (apstiprināts ar Amatas novada domes 2014. gada 26. februāra lēmumu (prot. Nr.16, 1.§)) grafiskās daļas kartēs nav sniegta informācija par aina</w:t>
      </w:r>
      <w:r w:rsidR="00431F66" w:rsidRPr="00675182">
        <w:rPr>
          <w:rFonts w:cstheme="minorHAnsi"/>
          <w:szCs w:val="24"/>
        </w:rPr>
        <w:t>vu raksturojošiem elementiem</w:t>
      </w:r>
      <w:r w:rsidRPr="00675182">
        <w:rPr>
          <w:rFonts w:cstheme="minorHAnsi"/>
          <w:szCs w:val="24"/>
        </w:rPr>
        <w:t xml:space="preserve">, kā arī TIAN ainaviski vērtīgas teritorijas nav noteiktas. </w:t>
      </w:r>
    </w:p>
    <w:p w14:paraId="7DE46854" w14:textId="77777777" w:rsidR="00CC3C9A" w:rsidRPr="00675182" w:rsidRDefault="00CC3C9A" w:rsidP="00CC3C9A">
      <w:pPr>
        <w:jc w:val="both"/>
        <w:rPr>
          <w:rFonts w:cstheme="minorHAnsi"/>
          <w:szCs w:val="24"/>
        </w:rPr>
      </w:pPr>
    </w:p>
    <w:p w14:paraId="79D2E034" w14:textId="62CA3A6A" w:rsidR="00CC3C9A" w:rsidRPr="00675182" w:rsidRDefault="00CC3C9A" w:rsidP="00CC3C9A">
      <w:pPr>
        <w:jc w:val="both"/>
        <w:rPr>
          <w:rFonts w:cstheme="minorHAnsi"/>
          <w:szCs w:val="24"/>
        </w:rPr>
      </w:pPr>
      <w:r w:rsidRPr="00675182">
        <w:rPr>
          <w:rFonts w:cstheme="minorHAnsi"/>
          <w:b/>
          <w:bCs/>
          <w:szCs w:val="24"/>
        </w:rPr>
        <w:t>Beverīnas novada teritorijas plānojuma</w:t>
      </w:r>
      <w:r w:rsidRPr="00675182">
        <w:rPr>
          <w:rFonts w:cstheme="minorHAnsi"/>
          <w:szCs w:val="24"/>
        </w:rPr>
        <w:t xml:space="preserve"> </w:t>
      </w:r>
      <w:r w:rsidR="002E14F8" w:rsidRPr="00675182">
        <w:rPr>
          <w:rFonts w:cstheme="minorHAnsi"/>
          <w:szCs w:val="24"/>
        </w:rPr>
        <w:t xml:space="preserve">(pēc ATR – Valmieras novadā) </w:t>
      </w:r>
      <w:r w:rsidRPr="00675182">
        <w:rPr>
          <w:rFonts w:cstheme="minorHAnsi"/>
          <w:szCs w:val="24"/>
        </w:rPr>
        <w:t xml:space="preserve">2012.-2024. gadam (apstiprināts ar Beverīnas novada pašvaldības 2012. gada 31. oktobra lēmumu (prot. Nr.16, 11.§)) grafiskās daļas kartēs GNP teritorijā ir atzīmētas teritorijas, kas noteiktas kā </w:t>
      </w:r>
      <w:r w:rsidRPr="00675182">
        <w:rPr>
          <w:rFonts w:cstheme="minorHAnsi"/>
          <w:i/>
          <w:iCs/>
          <w:szCs w:val="24"/>
        </w:rPr>
        <w:t>Vērtīgas lauku ainavas</w:t>
      </w:r>
      <w:r w:rsidRPr="00675182">
        <w:rPr>
          <w:rFonts w:cstheme="minorHAnsi"/>
          <w:szCs w:val="24"/>
        </w:rPr>
        <w:t>. Teritorijas plānojuma Paskaidrojuma rakstā ir sniegta informācija par novada ainaviski nozīmīgām teritorijā</w:t>
      </w:r>
      <w:r w:rsidR="00431F66" w:rsidRPr="00675182">
        <w:rPr>
          <w:rFonts w:cstheme="minorHAnsi"/>
          <w:szCs w:val="24"/>
        </w:rPr>
        <w:t>m</w:t>
      </w:r>
      <w:r w:rsidRPr="00675182">
        <w:rPr>
          <w:rFonts w:cstheme="minorHAnsi"/>
          <w:szCs w:val="24"/>
        </w:rPr>
        <w:t>, kurā</w:t>
      </w:r>
      <w:r w:rsidR="00431F66" w:rsidRPr="00675182">
        <w:rPr>
          <w:rFonts w:cstheme="minorHAnsi"/>
          <w:szCs w:val="24"/>
        </w:rPr>
        <w:t>m</w:t>
      </w:r>
      <w:r w:rsidRPr="00675182">
        <w:rPr>
          <w:rFonts w:cstheme="minorHAnsi"/>
          <w:szCs w:val="24"/>
        </w:rPr>
        <w:t xml:space="preserve"> norādīt</w:t>
      </w:r>
      <w:r w:rsidR="00991E57" w:rsidRPr="00675182">
        <w:rPr>
          <w:rFonts w:cstheme="minorHAnsi"/>
          <w:szCs w:val="24"/>
        </w:rPr>
        <w:t xml:space="preserve">a </w:t>
      </w:r>
      <w:r w:rsidRPr="00675182">
        <w:rPr>
          <w:rFonts w:cstheme="minorHAnsi"/>
          <w:szCs w:val="24"/>
        </w:rPr>
        <w:lastRenderedPageBreak/>
        <w:t>definīcija, noteikšanas un atbilstības kritēriji, mērķi un rīcības. Teritorijas plānojum</w:t>
      </w:r>
      <w:r w:rsidR="00991E57" w:rsidRPr="00675182">
        <w:rPr>
          <w:rFonts w:cstheme="minorHAnsi"/>
          <w:szCs w:val="24"/>
        </w:rPr>
        <w:t>a</w:t>
      </w:r>
      <w:r w:rsidRPr="00675182">
        <w:rPr>
          <w:rFonts w:cstheme="minorHAnsi"/>
          <w:szCs w:val="24"/>
        </w:rPr>
        <w:t xml:space="preserve"> TIAN ir noteikti nosacījumi atļautai izmantošanai </w:t>
      </w:r>
      <w:r w:rsidRPr="00675182">
        <w:rPr>
          <w:rFonts w:cstheme="minorHAnsi"/>
          <w:i/>
          <w:iCs/>
          <w:szCs w:val="24"/>
        </w:rPr>
        <w:t>Vērtīgo lauku ainavu teritorijās</w:t>
      </w:r>
      <w:r w:rsidRPr="00675182">
        <w:rPr>
          <w:rFonts w:cstheme="minorHAnsi"/>
          <w:szCs w:val="24"/>
        </w:rPr>
        <w:t xml:space="preserve"> (TIAN 4.41. punkts) un ierobežojumi ĪADT, t.sk., punkts par </w:t>
      </w:r>
      <w:r w:rsidR="00991E57" w:rsidRPr="00675182">
        <w:rPr>
          <w:rFonts w:cstheme="minorHAnsi"/>
          <w:szCs w:val="24"/>
        </w:rPr>
        <w:t>a</w:t>
      </w:r>
      <w:r w:rsidRPr="00675182">
        <w:rPr>
          <w:rFonts w:cstheme="minorHAnsi"/>
          <w:szCs w:val="24"/>
        </w:rPr>
        <w:t xml:space="preserve">inavas saglabāšanu un būvniecību (TIAN 7.3.2. punkts). Atsevišķi Teritorijas plānojuma TIAN ir punkts par nozīmīgām dabas teritorijām, to izmantošanu un aizsardzību (TIAN 7. punkts), kur izdalīts GNP (TIAN 7.2.2. punkts) ar norādi, ka </w:t>
      </w:r>
      <w:r w:rsidR="00991E57" w:rsidRPr="00675182">
        <w:rPr>
          <w:rFonts w:cstheme="minorHAnsi"/>
          <w:szCs w:val="24"/>
        </w:rPr>
        <w:t>“</w:t>
      </w:r>
      <w:r w:rsidRPr="00675182">
        <w:rPr>
          <w:rFonts w:cstheme="minorHAnsi"/>
          <w:i/>
          <w:iCs/>
          <w:szCs w:val="24"/>
        </w:rPr>
        <w:t>jebkādas darbības Gaujas nacionālā parka funkcionālajās zonās veicamas saskaņā ar likumu “Gaujas nacionālā parka likums” un dabas aizsardzības plānu</w:t>
      </w:r>
      <w:r w:rsidR="00991E57" w:rsidRPr="00675182">
        <w:rPr>
          <w:rFonts w:cstheme="minorHAnsi"/>
          <w:i/>
          <w:iCs/>
          <w:szCs w:val="24"/>
        </w:rPr>
        <w:t>”</w:t>
      </w:r>
      <w:r w:rsidRPr="00675182">
        <w:rPr>
          <w:rFonts w:cstheme="minorHAnsi"/>
          <w:szCs w:val="24"/>
        </w:rPr>
        <w:t xml:space="preserve">. </w:t>
      </w:r>
    </w:p>
    <w:p w14:paraId="51C41FEE" w14:textId="77777777" w:rsidR="00CC3C9A" w:rsidRPr="00675182" w:rsidRDefault="00CC3C9A" w:rsidP="00CC3C9A">
      <w:pPr>
        <w:jc w:val="both"/>
        <w:rPr>
          <w:rFonts w:cstheme="minorHAnsi"/>
          <w:szCs w:val="24"/>
        </w:rPr>
      </w:pPr>
    </w:p>
    <w:p w14:paraId="29F02B9E" w14:textId="03925B76" w:rsidR="00CC3C9A" w:rsidRPr="00675182" w:rsidRDefault="00CC3C9A" w:rsidP="00CC3C9A">
      <w:pPr>
        <w:jc w:val="both"/>
        <w:rPr>
          <w:rFonts w:cstheme="minorHAnsi"/>
          <w:szCs w:val="24"/>
        </w:rPr>
      </w:pPr>
      <w:r w:rsidRPr="00675182">
        <w:rPr>
          <w:rFonts w:cstheme="minorHAnsi"/>
          <w:b/>
          <w:bCs/>
          <w:szCs w:val="24"/>
        </w:rPr>
        <w:t>Cēsu novada teritorijas plānojuma</w:t>
      </w:r>
      <w:r w:rsidR="007127E0" w:rsidRPr="00675182">
        <w:rPr>
          <w:rFonts w:cstheme="minorHAnsi"/>
          <w:b/>
          <w:bCs/>
          <w:szCs w:val="24"/>
        </w:rPr>
        <w:t xml:space="preserve"> </w:t>
      </w:r>
      <w:r w:rsidR="007127E0" w:rsidRPr="00675182">
        <w:rPr>
          <w:rFonts w:cstheme="minorHAnsi"/>
          <w:szCs w:val="24"/>
        </w:rPr>
        <w:t>(pēc ATR – Cēsu novadā)</w:t>
      </w:r>
      <w:r w:rsidRPr="00675182">
        <w:rPr>
          <w:rFonts w:cstheme="minorHAnsi"/>
          <w:szCs w:val="24"/>
        </w:rPr>
        <w:t xml:space="preserve"> 2016.-2026. gadam</w:t>
      </w:r>
      <w:r w:rsidR="006C0DA4" w:rsidRPr="00675182">
        <w:rPr>
          <w:rFonts w:cstheme="minorHAnsi"/>
          <w:szCs w:val="24"/>
        </w:rPr>
        <w:t xml:space="preserve"> 2.1. redakciju</w:t>
      </w:r>
      <w:r w:rsidRPr="00675182">
        <w:rPr>
          <w:rFonts w:cstheme="minorHAnsi"/>
          <w:szCs w:val="24"/>
        </w:rPr>
        <w:t xml:space="preserve"> (apstiprināts ar Cēsu novada domes 20</w:t>
      </w:r>
      <w:r w:rsidR="006C0DA4" w:rsidRPr="00675182">
        <w:rPr>
          <w:rFonts w:cstheme="minorHAnsi"/>
          <w:szCs w:val="24"/>
        </w:rPr>
        <w:t>22</w:t>
      </w:r>
      <w:r w:rsidRPr="00675182">
        <w:rPr>
          <w:rFonts w:cstheme="minorHAnsi"/>
          <w:szCs w:val="24"/>
        </w:rPr>
        <w:t xml:space="preserve">. gada </w:t>
      </w:r>
      <w:r w:rsidR="006C0DA4" w:rsidRPr="00675182">
        <w:rPr>
          <w:rFonts w:cstheme="minorHAnsi"/>
          <w:szCs w:val="24"/>
        </w:rPr>
        <w:t>27</w:t>
      </w:r>
      <w:r w:rsidRPr="00675182">
        <w:rPr>
          <w:rFonts w:cstheme="minorHAnsi"/>
          <w:szCs w:val="24"/>
        </w:rPr>
        <w:t xml:space="preserve">. </w:t>
      </w:r>
      <w:r w:rsidR="006C0DA4" w:rsidRPr="00675182">
        <w:rPr>
          <w:rFonts w:cstheme="minorHAnsi"/>
          <w:szCs w:val="24"/>
        </w:rPr>
        <w:t>janvāra</w:t>
      </w:r>
      <w:r w:rsidRPr="00675182">
        <w:rPr>
          <w:rFonts w:cstheme="minorHAnsi"/>
          <w:szCs w:val="24"/>
        </w:rPr>
        <w:t xml:space="preserve"> lēmumu Nr.</w:t>
      </w:r>
      <w:r w:rsidR="006C0DA4" w:rsidRPr="00675182">
        <w:rPr>
          <w:rFonts w:cstheme="minorHAnsi"/>
          <w:szCs w:val="24"/>
        </w:rPr>
        <w:t xml:space="preserve">19) </w:t>
      </w:r>
      <w:r w:rsidRPr="00675182">
        <w:rPr>
          <w:rFonts w:cstheme="minorHAnsi"/>
          <w:szCs w:val="24"/>
        </w:rPr>
        <w:t xml:space="preserve">grafiskajā daļā ir atsevišķi izdalīta </w:t>
      </w:r>
      <w:r w:rsidRPr="00675182">
        <w:rPr>
          <w:rFonts w:cstheme="minorHAnsi"/>
          <w:i/>
          <w:iCs/>
          <w:szCs w:val="24"/>
        </w:rPr>
        <w:t xml:space="preserve">Cēsu novada ainavu vērtību un risku </w:t>
      </w:r>
      <w:r w:rsidRPr="00675182">
        <w:rPr>
          <w:rFonts w:cstheme="minorHAnsi"/>
          <w:szCs w:val="24"/>
        </w:rPr>
        <w:t>karte, kurā iekļauta informācija par ainavu telpām, skatu perspektīvām, ainaviski un ekoloģiski vērtīgām teritorijām un ainavu riska teritorijām. Cēsu pilsēt</w:t>
      </w:r>
      <w:r w:rsidR="00991E57" w:rsidRPr="00675182">
        <w:rPr>
          <w:rFonts w:cstheme="minorHAnsi"/>
          <w:szCs w:val="24"/>
        </w:rPr>
        <w:t>as teritorijai</w:t>
      </w:r>
      <w:r w:rsidRPr="00675182">
        <w:rPr>
          <w:rFonts w:cstheme="minorHAnsi"/>
          <w:szCs w:val="24"/>
        </w:rPr>
        <w:t xml:space="preserve"> ir pieejama </w:t>
      </w:r>
      <w:r w:rsidRPr="00675182">
        <w:rPr>
          <w:rFonts w:cstheme="minorHAnsi"/>
          <w:i/>
          <w:iCs/>
          <w:szCs w:val="24"/>
        </w:rPr>
        <w:t>Dabas teritoriju un objektu, ainavu skatu punktu</w:t>
      </w:r>
      <w:r w:rsidRPr="00675182">
        <w:rPr>
          <w:rFonts w:cstheme="minorHAnsi"/>
          <w:szCs w:val="24"/>
        </w:rPr>
        <w:t xml:space="preserve"> karte. Teritorijas plānojums TIAN </w:t>
      </w:r>
      <w:r w:rsidR="00991E57" w:rsidRPr="00675182">
        <w:rPr>
          <w:rFonts w:cstheme="minorHAnsi"/>
          <w:szCs w:val="24"/>
        </w:rPr>
        <w:t xml:space="preserve">ietver </w:t>
      </w:r>
      <w:r w:rsidRPr="00675182">
        <w:rPr>
          <w:rFonts w:cstheme="minorHAnsi"/>
          <w:szCs w:val="24"/>
        </w:rPr>
        <w:t xml:space="preserve">nosacījumus </w:t>
      </w:r>
      <w:r w:rsidRPr="00675182">
        <w:rPr>
          <w:rFonts w:cstheme="minorHAnsi"/>
          <w:i/>
          <w:iCs/>
          <w:szCs w:val="24"/>
        </w:rPr>
        <w:t>Ainaviski vērtīgām teritorijām</w:t>
      </w:r>
      <w:r w:rsidRPr="00675182">
        <w:rPr>
          <w:rFonts w:cstheme="minorHAnsi"/>
          <w:szCs w:val="24"/>
        </w:rPr>
        <w:t xml:space="preserve"> (TIAN 769.-793. punkts), kur detalizēti aprakstīts, kādi nosacījumi jāievēro ainaviski vērtīgās teritorijās gan attiecībā uz apbūves struktūru un apjomu, gan saimniecisko darbību, t.sk. apmežošan</w:t>
      </w:r>
      <w:r w:rsidR="00991E57" w:rsidRPr="00675182">
        <w:rPr>
          <w:rFonts w:cstheme="minorHAnsi"/>
          <w:szCs w:val="24"/>
        </w:rPr>
        <w:t>u</w:t>
      </w:r>
      <w:r w:rsidRPr="00675182">
        <w:rPr>
          <w:rFonts w:cstheme="minorHAnsi"/>
          <w:szCs w:val="24"/>
        </w:rPr>
        <w:t xml:space="preserve"> un vēja elektrostaciju būvniecīb</w:t>
      </w:r>
      <w:r w:rsidR="00991E57" w:rsidRPr="00675182">
        <w:rPr>
          <w:rFonts w:cstheme="minorHAnsi"/>
          <w:szCs w:val="24"/>
        </w:rPr>
        <w:t>u</w:t>
      </w:r>
      <w:r w:rsidRPr="00675182">
        <w:rPr>
          <w:rFonts w:cstheme="minorHAnsi"/>
          <w:szCs w:val="24"/>
        </w:rPr>
        <w:t xml:space="preserve">. Cēsu novada TIAN noteikts, ka ainaviski vērtīgās teritorijās nav atļauta vēja parku būvniecība. </w:t>
      </w:r>
    </w:p>
    <w:p w14:paraId="50B0A9CE" w14:textId="77777777" w:rsidR="00CC3C9A" w:rsidRPr="00675182" w:rsidRDefault="00CC3C9A" w:rsidP="00CC3C9A">
      <w:pPr>
        <w:jc w:val="both"/>
        <w:rPr>
          <w:rFonts w:cstheme="minorHAnsi"/>
          <w:szCs w:val="24"/>
        </w:rPr>
      </w:pPr>
    </w:p>
    <w:p w14:paraId="7DC628A2" w14:textId="5B5EA0D7" w:rsidR="00CC3C9A" w:rsidRPr="00675182" w:rsidRDefault="00CC3C9A" w:rsidP="00CC3C9A">
      <w:pPr>
        <w:jc w:val="both"/>
        <w:rPr>
          <w:rFonts w:cstheme="minorHAnsi"/>
          <w:szCs w:val="24"/>
        </w:rPr>
      </w:pPr>
      <w:r w:rsidRPr="00675182">
        <w:rPr>
          <w:rFonts w:cstheme="minorHAnsi"/>
          <w:b/>
          <w:bCs/>
          <w:szCs w:val="24"/>
        </w:rPr>
        <w:t>Inčukalna novada teritorijas plānojuma</w:t>
      </w:r>
      <w:r w:rsidRPr="00675182">
        <w:rPr>
          <w:rFonts w:cstheme="minorHAnsi"/>
          <w:szCs w:val="24"/>
        </w:rPr>
        <w:t xml:space="preserve"> </w:t>
      </w:r>
      <w:r w:rsidR="007127E0" w:rsidRPr="00675182">
        <w:rPr>
          <w:rFonts w:cstheme="minorHAnsi"/>
          <w:szCs w:val="24"/>
        </w:rPr>
        <w:t xml:space="preserve">(pēc ATR – Siguldas novadā) </w:t>
      </w:r>
      <w:r w:rsidRPr="00675182">
        <w:rPr>
          <w:rFonts w:cstheme="minorHAnsi"/>
          <w:szCs w:val="24"/>
        </w:rPr>
        <w:t>2013.-2024. gadam (apstiprināts ar Inčukalna novada pašvaldības 2013. gada 17. aprīļa lēmumu (prot. Nr. 11, 92.§) grafiskās daļas kartēs nav sniegta informācija par ainav</w:t>
      </w:r>
      <w:r w:rsidR="00EA3731" w:rsidRPr="00675182">
        <w:rPr>
          <w:rFonts w:cstheme="minorHAnsi"/>
          <w:szCs w:val="24"/>
        </w:rPr>
        <w:t xml:space="preserve">u raksturojošiem elementiem. </w:t>
      </w:r>
      <w:r w:rsidRPr="00675182">
        <w:rPr>
          <w:rFonts w:cstheme="minorHAnsi"/>
          <w:szCs w:val="24"/>
        </w:rPr>
        <w:t xml:space="preserve">Teritorijas plānojuma TIAN ir iekļautas prasības ainavu aizsardzībai un pārvaldībai (TIAN 19.-25. punkts), kur norādītais </w:t>
      </w:r>
      <w:r w:rsidRPr="00675182">
        <w:rPr>
          <w:rFonts w:cstheme="minorHAnsi"/>
          <w:i/>
          <w:iCs/>
          <w:szCs w:val="24"/>
        </w:rPr>
        <w:t>teritorijas ainavu aizsardzības un pārvaldības mērķis ir saglabāt un aizsargāt Inčukalna novadam raksturīgās mežu, Gaujas upes, mozaīkveida lauksaimniecības zemju un</w:t>
      </w:r>
      <w:r w:rsidRPr="00675182">
        <w:rPr>
          <w:rFonts w:cstheme="minorHAnsi"/>
          <w:i/>
          <w:iCs/>
          <w:color w:val="000000"/>
          <w:szCs w:val="24"/>
        </w:rPr>
        <w:t xml:space="preserve"> ainavas ar dabas un kultūrvēsturiskajiem elementiem kā Pašvaldības teritorijas identitātes atspoguļotāju</w:t>
      </w:r>
      <w:r w:rsidRPr="00675182">
        <w:rPr>
          <w:rFonts w:cstheme="minorHAnsi"/>
          <w:szCs w:val="24"/>
        </w:rPr>
        <w:t xml:space="preserve">, un </w:t>
      </w:r>
      <w:r w:rsidR="00EA3731" w:rsidRPr="00675182">
        <w:rPr>
          <w:rFonts w:cstheme="minorHAnsi"/>
          <w:szCs w:val="24"/>
        </w:rPr>
        <w:t>izvirzīti</w:t>
      </w:r>
      <w:r w:rsidRPr="00675182">
        <w:rPr>
          <w:rFonts w:cstheme="minorHAnsi"/>
          <w:szCs w:val="24"/>
        </w:rPr>
        <w:t xml:space="preserve"> nosacījumi būvniecīb</w:t>
      </w:r>
      <w:r w:rsidR="001607E7" w:rsidRPr="00675182">
        <w:rPr>
          <w:rFonts w:cstheme="minorHAnsi"/>
          <w:szCs w:val="24"/>
        </w:rPr>
        <w:t xml:space="preserve">ai, kā arī norādīts, </w:t>
      </w:r>
      <w:r w:rsidRPr="00675182">
        <w:rPr>
          <w:rFonts w:cstheme="minorHAnsi"/>
          <w:szCs w:val="24"/>
        </w:rPr>
        <w:t>kādas prasības var izvirzīt pašvaldība. TIAN ir izvirzītas prasības par teritorijām un vietām ar īpašiem noteikumiem (TIAN 26.-37. punkts), t.sk., norādītas prasības attiecībā uz GNP, kur</w:t>
      </w:r>
      <w:r w:rsidRPr="00675182">
        <w:rPr>
          <w:rFonts w:cstheme="minorHAnsi"/>
          <w:i/>
          <w:iCs/>
          <w:szCs w:val="24"/>
        </w:rPr>
        <w:t xml:space="preserve"> teritorijas izmantošana veicama saskaņā ar 01.01.2011. Gaujas nacionālā parka likumu, Ministru kabineta</w:t>
      </w:r>
      <w:r w:rsidR="00880A11">
        <w:rPr>
          <w:rFonts w:cstheme="minorHAnsi"/>
          <w:i/>
          <w:iCs/>
          <w:szCs w:val="24"/>
        </w:rPr>
        <w:t xml:space="preserve"> 2012.gada </w:t>
      </w:r>
      <w:r w:rsidR="006C33FE">
        <w:rPr>
          <w:rFonts w:cstheme="minorHAnsi"/>
          <w:i/>
          <w:iCs/>
          <w:szCs w:val="24"/>
        </w:rPr>
        <w:t>2.maija</w:t>
      </w:r>
      <w:r w:rsidRPr="00675182">
        <w:rPr>
          <w:rFonts w:cstheme="minorHAnsi"/>
          <w:i/>
          <w:iCs/>
          <w:szCs w:val="24"/>
        </w:rPr>
        <w:t xml:space="preserve"> noteikumiem Nr.317 „Gaujas nacionālā parka individuālie aizsardzības un izmantošanas noteikumi”, kā arī teritorijas apsaimniekošanā jāievēro Gaujas nacionālā parka dabas aizsardzības plānā noteiktās prasības Gaujas senielejas un tās pieteku ieleju dabas, kultūrvēsturiskās un ainaviskās vērtības saglabāšanai</w:t>
      </w:r>
      <w:r w:rsidRPr="00675182">
        <w:rPr>
          <w:rFonts w:cstheme="minorHAnsi"/>
          <w:szCs w:val="24"/>
        </w:rPr>
        <w:t>.</w:t>
      </w:r>
    </w:p>
    <w:p w14:paraId="56060531" w14:textId="77777777" w:rsidR="00CC3C9A" w:rsidRPr="00675182" w:rsidRDefault="00CC3C9A" w:rsidP="00CC3C9A">
      <w:pPr>
        <w:jc w:val="both"/>
        <w:rPr>
          <w:rFonts w:cstheme="minorHAnsi"/>
          <w:i/>
          <w:iCs/>
          <w:color w:val="000000"/>
          <w:szCs w:val="24"/>
        </w:rPr>
      </w:pPr>
    </w:p>
    <w:p w14:paraId="287C9BA1" w14:textId="12627C4C" w:rsidR="00CC3C9A" w:rsidRPr="00675182" w:rsidRDefault="00CC3C9A" w:rsidP="00CC3C9A">
      <w:pPr>
        <w:jc w:val="both"/>
        <w:rPr>
          <w:rFonts w:cstheme="minorHAnsi"/>
          <w:szCs w:val="24"/>
        </w:rPr>
      </w:pPr>
      <w:r w:rsidRPr="00675182">
        <w:rPr>
          <w:rFonts w:cstheme="minorHAnsi"/>
          <w:b/>
          <w:bCs/>
          <w:szCs w:val="24"/>
        </w:rPr>
        <w:t>Kocēnu novada teritorijas plānojuma</w:t>
      </w:r>
      <w:r w:rsidRPr="00675182">
        <w:rPr>
          <w:rFonts w:cstheme="minorHAnsi"/>
          <w:szCs w:val="24"/>
        </w:rPr>
        <w:t xml:space="preserve"> </w:t>
      </w:r>
      <w:r w:rsidR="007127E0" w:rsidRPr="00675182">
        <w:rPr>
          <w:rFonts w:cstheme="minorHAnsi"/>
          <w:szCs w:val="24"/>
        </w:rPr>
        <w:t xml:space="preserve">(pēc ATR – Valmieras novadā) </w:t>
      </w:r>
      <w:r w:rsidRPr="00675182">
        <w:rPr>
          <w:rFonts w:cstheme="minorHAnsi"/>
          <w:szCs w:val="24"/>
        </w:rPr>
        <w:t xml:space="preserve">2014.-2025. gadam (apstiprināts ar Kocēnu novada domes 2013. gada 13. novembra lēmumu (prot. Nr.6, 1.§)) grafiskās daļas kartēs ir GNP teritorijā norādītas ainaviski vērtīgas teritorijas, ainaviskie ceļi, izcilas skatu vietas. Teritorijas plānojuma TIAN iekļautas prasības ainavu aizsardzībai un </w:t>
      </w:r>
      <w:r w:rsidR="001607E7" w:rsidRPr="00675182">
        <w:rPr>
          <w:rFonts w:cstheme="minorHAnsi"/>
          <w:szCs w:val="24"/>
        </w:rPr>
        <w:t>pārvaldībai</w:t>
      </w:r>
      <w:r w:rsidRPr="00675182">
        <w:rPr>
          <w:rFonts w:cstheme="minorHAnsi"/>
          <w:szCs w:val="24"/>
        </w:rPr>
        <w:t xml:space="preserve"> (TIAN 20.-23. punkts), kur noteikts, ka </w:t>
      </w:r>
      <w:r w:rsidRPr="00675182">
        <w:rPr>
          <w:rFonts w:cstheme="minorHAnsi"/>
          <w:i/>
          <w:iCs/>
          <w:szCs w:val="24"/>
        </w:rPr>
        <w:t>ainavu aizsardzībai izstrādā ainavu plānus</w:t>
      </w:r>
      <w:r w:rsidRPr="00675182">
        <w:rPr>
          <w:rFonts w:cstheme="minorHAnsi"/>
          <w:szCs w:val="24"/>
        </w:rPr>
        <w:t xml:space="preserve"> un izvirzītas prasības ainavu plānam. TIAN iekļautas papildus prasības attiecīb</w:t>
      </w:r>
      <w:r w:rsidR="001607E7" w:rsidRPr="00675182">
        <w:rPr>
          <w:rFonts w:cstheme="minorHAnsi"/>
          <w:szCs w:val="24"/>
        </w:rPr>
        <w:t>ā</w:t>
      </w:r>
      <w:r w:rsidRPr="00675182">
        <w:rPr>
          <w:rFonts w:cstheme="minorHAnsi"/>
          <w:szCs w:val="24"/>
        </w:rPr>
        <w:t xml:space="preserve"> uz ainaviski vērtīgām teritorijām (TIAN, 378.-385. punkts), kur norādīts, ka </w:t>
      </w:r>
      <w:r w:rsidRPr="00675182">
        <w:rPr>
          <w:rFonts w:cstheme="minorHAnsi"/>
          <w:i/>
          <w:iCs/>
          <w:szCs w:val="24"/>
        </w:rPr>
        <w:t xml:space="preserve">Ainaviski vērtīgajās teritorijās nav pieļaujamas tādas darbības, kā </w:t>
      </w:r>
      <w:r w:rsidRPr="00675182">
        <w:rPr>
          <w:rFonts w:cstheme="minorHAnsi"/>
          <w:i/>
          <w:iCs/>
          <w:szCs w:val="24"/>
        </w:rPr>
        <w:lastRenderedPageBreak/>
        <w:t>rezultātā notiek būtiskas ainavas struktūras izmaiņas un apvidum neraksturīgu elementu un būvformu parādīšanās,</w:t>
      </w:r>
      <w:r w:rsidRPr="00675182">
        <w:rPr>
          <w:rFonts w:cstheme="minorHAnsi"/>
          <w:szCs w:val="24"/>
        </w:rPr>
        <w:t xml:space="preserve"> kā arī detalizēti aprakstīts kādas darbības nav atļau</w:t>
      </w:r>
      <w:r w:rsidR="001607E7" w:rsidRPr="00675182">
        <w:rPr>
          <w:rFonts w:cstheme="minorHAnsi"/>
          <w:szCs w:val="24"/>
        </w:rPr>
        <w:t>t</w:t>
      </w:r>
      <w:r w:rsidRPr="00675182">
        <w:rPr>
          <w:rFonts w:cstheme="minorHAnsi"/>
          <w:szCs w:val="24"/>
        </w:rPr>
        <w:t xml:space="preserve">as, iekļautas prasības jaunajai attīstībai, apmežošanai, </w:t>
      </w:r>
      <w:r w:rsidR="001607E7" w:rsidRPr="00675182">
        <w:rPr>
          <w:rFonts w:cstheme="minorHAnsi"/>
          <w:szCs w:val="24"/>
        </w:rPr>
        <w:t xml:space="preserve">kā arī </w:t>
      </w:r>
      <w:r w:rsidRPr="00675182">
        <w:rPr>
          <w:rFonts w:cstheme="minorHAnsi"/>
          <w:szCs w:val="24"/>
        </w:rPr>
        <w:t xml:space="preserve">jaunu objektu būvniecībai. Paskaidrojuma raksta 2. sējumā iekļauts 2007. gadā sagatavots ainavu izvērtējums Kocēnu pagasta teritorijas plānojumā (4.1. sadaļa). Teritorijas plānojuma TIAN ir iekļautas prasības </w:t>
      </w:r>
      <w:r w:rsidR="00CE442F">
        <w:rPr>
          <w:rFonts w:cstheme="minorHAnsi"/>
          <w:szCs w:val="24"/>
        </w:rPr>
        <w:t>ĪADT</w:t>
      </w:r>
      <w:r w:rsidRPr="00675182">
        <w:rPr>
          <w:rFonts w:cstheme="minorHAnsi"/>
          <w:szCs w:val="24"/>
        </w:rPr>
        <w:t xml:space="preserve"> (TIAN 35.-39. punkts), kur norādīts, ka </w:t>
      </w:r>
      <w:r w:rsidR="00E035BD" w:rsidRPr="00675182">
        <w:rPr>
          <w:rFonts w:cstheme="minorHAnsi"/>
          <w:szCs w:val="24"/>
        </w:rPr>
        <w:t>GNP aizsardzība un izmantošana veicama saskaņā ar normatīvajiem aktiem</w:t>
      </w:r>
      <w:r w:rsidRPr="00675182">
        <w:rPr>
          <w:rFonts w:cstheme="minorHAnsi"/>
          <w:szCs w:val="24"/>
        </w:rPr>
        <w:t xml:space="preserve">. </w:t>
      </w:r>
    </w:p>
    <w:p w14:paraId="61F3D86B" w14:textId="77777777" w:rsidR="00CC3C9A" w:rsidRPr="00675182" w:rsidRDefault="00CC3C9A" w:rsidP="00CC3C9A">
      <w:pPr>
        <w:jc w:val="both"/>
        <w:rPr>
          <w:rFonts w:eastAsiaTheme="minorHAnsi" w:cstheme="minorHAnsi"/>
          <w:szCs w:val="24"/>
          <w:u w:val="single"/>
          <w:lang w:eastAsia="en-US"/>
        </w:rPr>
      </w:pPr>
    </w:p>
    <w:p w14:paraId="5743D116" w14:textId="67473BF6" w:rsidR="00CC3C9A" w:rsidRPr="00675182" w:rsidRDefault="00CC3C9A" w:rsidP="001607E7">
      <w:pPr>
        <w:jc w:val="both"/>
        <w:rPr>
          <w:rFonts w:cstheme="minorHAnsi"/>
          <w:szCs w:val="24"/>
        </w:rPr>
      </w:pPr>
      <w:r w:rsidRPr="00675182">
        <w:rPr>
          <w:rFonts w:cstheme="minorHAnsi"/>
          <w:b/>
          <w:bCs/>
          <w:szCs w:val="24"/>
        </w:rPr>
        <w:t>Krimuldas novada teritorijas plānojuma</w:t>
      </w:r>
      <w:r w:rsidRPr="00675182">
        <w:rPr>
          <w:rFonts w:cstheme="minorHAnsi"/>
          <w:szCs w:val="24"/>
        </w:rPr>
        <w:t xml:space="preserve"> </w:t>
      </w:r>
      <w:r w:rsidR="007127E0" w:rsidRPr="00675182">
        <w:rPr>
          <w:rFonts w:cstheme="minorHAnsi"/>
          <w:szCs w:val="24"/>
        </w:rPr>
        <w:t xml:space="preserve">(pēc ATR – Siguldas novadā) </w:t>
      </w:r>
      <w:r w:rsidRPr="00675182">
        <w:rPr>
          <w:rFonts w:cstheme="minorHAnsi"/>
          <w:szCs w:val="24"/>
        </w:rPr>
        <w:t xml:space="preserve">no 2016. gada (apstiprināts ar Krimuldas novada domes 2016. gada 29. jūlija lēmumu (prot. Nr.8, 3. §)) grafiskās daļas kartēs GNP teritorijā ir atzīmētas ainaviski vērtīgās teritorijas un skatu punkti. Teritorijas plānojuma TIAN iekļautas prasības ainaviski vērtīgām teritorijām (TIAN 561.-565. punkts), kur norādīti </w:t>
      </w:r>
      <w:r w:rsidR="001607E7" w:rsidRPr="00675182">
        <w:rPr>
          <w:rFonts w:cstheme="minorHAnsi"/>
          <w:szCs w:val="24"/>
        </w:rPr>
        <w:t xml:space="preserve">gan </w:t>
      </w:r>
      <w:r w:rsidRPr="00675182">
        <w:rPr>
          <w:rFonts w:cstheme="minorHAnsi"/>
          <w:szCs w:val="24"/>
        </w:rPr>
        <w:t>būvniecības nosacījumi GNP</w:t>
      </w:r>
      <w:r w:rsidR="001607E7" w:rsidRPr="00675182">
        <w:rPr>
          <w:rFonts w:cstheme="minorHAnsi"/>
          <w:szCs w:val="24"/>
        </w:rPr>
        <w:t xml:space="preserve"> teritorijā</w:t>
      </w:r>
      <w:r w:rsidRPr="00675182">
        <w:rPr>
          <w:rFonts w:cstheme="minorHAnsi"/>
          <w:szCs w:val="24"/>
        </w:rPr>
        <w:t xml:space="preserve">, </w:t>
      </w:r>
      <w:r w:rsidR="001607E7" w:rsidRPr="00675182">
        <w:rPr>
          <w:rFonts w:cstheme="minorHAnsi"/>
          <w:szCs w:val="24"/>
        </w:rPr>
        <w:t xml:space="preserve">gan </w:t>
      </w:r>
      <w:r w:rsidRPr="00675182">
        <w:rPr>
          <w:rFonts w:cstheme="minorHAnsi"/>
          <w:szCs w:val="24"/>
        </w:rPr>
        <w:t xml:space="preserve">kādas darbības aizliegtas ainaviski vērtīgā teritorijā gar Braslas upi un to, ka nav pieļaujama ainavisko skatu virzienu aizsegšana. TIAN iekļautas prasības </w:t>
      </w:r>
      <w:r w:rsidR="00F25483">
        <w:rPr>
          <w:rFonts w:cstheme="minorHAnsi"/>
          <w:szCs w:val="24"/>
        </w:rPr>
        <w:t>ĪADT</w:t>
      </w:r>
      <w:r w:rsidRPr="00675182">
        <w:rPr>
          <w:rFonts w:cstheme="minorHAnsi"/>
          <w:szCs w:val="24"/>
        </w:rPr>
        <w:t xml:space="preserve"> un objektu izmantošanai un aizsardzībai (TIAN 581.-590. punkts), kur norādīts, ka ĪADT, t. sk. GNP aizsardzība un </w:t>
      </w:r>
      <w:r w:rsidR="001607E7" w:rsidRPr="00675182">
        <w:rPr>
          <w:rFonts w:cstheme="minorHAnsi"/>
          <w:szCs w:val="24"/>
        </w:rPr>
        <w:t>izmantošana</w:t>
      </w:r>
      <w:r w:rsidRPr="00675182">
        <w:rPr>
          <w:rFonts w:cstheme="minorHAnsi"/>
          <w:szCs w:val="24"/>
        </w:rPr>
        <w:t xml:space="preserve"> veicama saskaņā ar normatīvajiem aktiem un DA plānu. </w:t>
      </w:r>
    </w:p>
    <w:p w14:paraId="61AA8854" w14:textId="77777777" w:rsidR="001607E7" w:rsidRPr="00675182" w:rsidRDefault="001607E7" w:rsidP="001607E7">
      <w:pPr>
        <w:jc w:val="both"/>
        <w:rPr>
          <w:rFonts w:cstheme="minorHAnsi"/>
          <w:szCs w:val="24"/>
        </w:rPr>
      </w:pPr>
    </w:p>
    <w:p w14:paraId="5FB924E3" w14:textId="52CE3C74" w:rsidR="00CC3C9A" w:rsidRPr="00675182" w:rsidRDefault="00CC3C9A" w:rsidP="00CC3C9A">
      <w:pPr>
        <w:jc w:val="both"/>
        <w:rPr>
          <w:rFonts w:cstheme="minorHAnsi"/>
          <w:szCs w:val="24"/>
        </w:rPr>
      </w:pPr>
      <w:r w:rsidRPr="00675182">
        <w:rPr>
          <w:rFonts w:cstheme="minorHAnsi"/>
          <w:b/>
          <w:bCs/>
          <w:szCs w:val="24"/>
        </w:rPr>
        <w:t>Līgatnes novada teritorijas plānojuma</w:t>
      </w:r>
      <w:r w:rsidRPr="00675182">
        <w:rPr>
          <w:rFonts w:cstheme="minorHAnsi"/>
          <w:szCs w:val="24"/>
        </w:rPr>
        <w:t xml:space="preserve"> </w:t>
      </w:r>
      <w:r w:rsidR="007127E0" w:rsidRPr="00675182">
        <w:rPr>
          <w:rFonts w:cstheme="minorHAnsi"/>
          <w:szCs w:val="24"/>
        </w:rPr>
        <w:t xml:space="preserve">(pēc ATR – Cēsu novadā) </w:t>
      </w:r>
      <w:r w:rsidRPr="00675182">
        <w:rPr>
          <w:rFonts w:cstheme="minorHAnsi"/>
          <w:szCs w:val="24"/>
        </w:rPr>
        <w:t>2012.-2023.</w:t>
      </w:r>
      <w:r w:rsidR="001607E7" w:rsidRPr="00675182">
        <w:rPr>
          <w:rFonts w:cstheme="minorHAnsi"/>
          <w:szCs w:val="24"/>
        </w:rPr>
        <w:t xml:space="preserve"> </w:t>
      </w:r>
      <w:r w:rsidRPr="00675182">
        <w:rPr>
          <w:rFonts w:cstheme="minorHAnsi"/>
          <w:szCs w:val="24"/>
        </w:rPr>
        <w:t>gadam (apstiprināts ar Līgatnes novada domes 2012. gada 6. septembrī lēmumu (prot. Nr.11, 5.§)) grafiskās daļas kartēs ir norādītas ainaviski vērtīgās teritorijas. Teritorijas plānojuma TIAN iekļautas prasības īpašām teritorijām un objektiem, t.sk. punkts par prasībām ainavu saglabāšanai (TIAN 10.2. punkts), kurā norādīts, ka ainaviski vērtīgās teritorijas ir Gaujas senlejas un Līgatnes ielejas ainavu telpu</w:t>
      </w:r>
      <w:r w:rsidR="001607E7" w:rsidRPr="00675182">
        <w:rPr>
          <w:rFonts w:cstheme="minorHAnsi"/>
          <w:szCs w:val="24"/>
        </w:rPr>
        <w:t xml:space="preserve">. TIAN </w:t>
      </w:r>
      <w:r w:rsidRPr="00675182">
        <w:rPr>
          <w:rFonts w:cstheme="minorHAnsi"/>
          <w:szCs w:val="24"/>
        </w:rPr>
        <w:t xml:space="preserve">aprakstītas prasības attiecībā uz būvniecību, un to, ka </w:t>
      </w:r>
      <w:r w:rsidRPr="00675182">
        <w:rPr>
          <w:rFonts w:cstheme="minorHAnsi"/>
          <w:i/>
          <w:iCs/>
          <w:szCs w:val="24"/>
        </w:rPr>
        <w:t xml:space="preserve">ainaviski vērtīgajās teritorijās nav pieļaujama ainaviski nozīmīgu skatu punktu aizsegšana, aizbūvējot ar ēkām, apstādot ar kokiem, vai aizaudzējot ar krūmiem, kā arī reljefa pārveidošana, </w:t>
      </w:r>
      <w:r w:rsidRPr="00675182">
        <w:rPr>
          <w:rFonts w:cstheme="minorHAnsi"/>
          <w:szCs w:val="24"/>
        </w:rPr>
        <w:t xml:space="preserve">un pašvaldības darbības attiecībā uz </w:t>
      </w:r>
      <w:r w:rsidR="001607E7" w:rsidRPr="00675182">
        <w:rPr>
          <w:rFonts w:cstheme="minorHAnsi"/>
          <w:szCs w:val="24"/>
        </w:rPr>
        <w:t>ainavas</w:t>
      </w:r>
      <w:r w:rsidRPr="00675182">
        <w:rPr>
          <w:rFonts w:cstheme="minorHAnsi"/>
          <w:szCs w:val="24"/>
        </w:rPr>
        <w:t xml:space="preserve"> degradācijas novēršanu. </w:t>
      </w:r>
      <w:r w:rsidRPr="00675182">
        <w:rPr>
          <w:rFonts w:eastAsia="Times New Roman" w:cstheme="minorHAnsi"/>
          <w:color w:val="000000"/>
          <w:szCs w:val="24"/>
          <w:lang w:eastAsia="en-GB"/>
        </w:rPr>
        <w:t>Paskaidrojuma rakstā iekļauta informācija par ainavu raksturojumu (2.5.11. sadaļa), t</w:t>
      </w:r>
      <w:r w:rsidR="001607E7" w:rsidRPr="00675182">
        <w:rPr>
          <w:rFonts w:eastAsia="Times New Roman" w:cstheme="minorHAnsi"/>
          <w:color w:val="000000"/>
          <w:szCs w:val="24"/>
          <w:lang w:eastAsia="en-GB"/>
        </w:rPr>
        <w:t>ai</w:t>
      </w:r>
      <w:r w:rsidRPr="00675182">
        <w:rPr>
          <w:rFonts w:eastAsia="Times New Roman" w:cstheme="minorHAnsi"/>
          <w:color w:val="000000"/>
          <w:szCs w:val="24"/>
          <w:lang w:eastAsia="en-GB"/>
        </w:rPr>
        <w:t xml:space="preserve"> skaitā par GNP teritorijām esošajām ainavu telpām. </w:t>
      </w:r>
      <w:r w:rsidRPr="00675182">
        <w:rPr>
          <w:rFonts w:cstheme="minorHAnsi"/>
          <w:szCs w:val="24"/>
        </w:rPr>
        <w:t xml:space="preserve">Teritorija plānojumā TIAN iekļautas prasībās attiecībā uz ĪADT izmantošanu (TIAN 10.1. punkts), kur norādīts, ka ĪADT, t.sk. GNP aizsardzība un izmantošana veicama saskaņā ar normatīvajiem aktiem, kā arī to, ka </w:t>
      </w:r>
      <w:r w:rsidRPr="00675182">
        <w:rPr>
          <w:rFonts w:cstheme="minorHAnsi"/>
          <w:i/>
          <w:iCs/>
          <w:szCs w:val="24"/>
        </w:rPr>
        <w:t>Gaujas nacionālā parka dabas lieguma zonā esošu zemes gabalu drīkst sadalīt tikai tad, ja katra atsevišķā zemes gabala platība pēc sadalīšanas nav mazāka par 10 hektāriem</w:t>
      </w:r>
      <w:r w:rsidRPr="00675182">
        <w:rPr>
          <w:rFonts w:cstheme="minorHAnsi"/>
          <w:szCs w:val="24"/>
        </w:rPr>
        <w:t xml:space="preserve"> (neattiecas uz pilsētas un ciemu robežām).</w:t>
      </w:r>
    </w:p>
    <w:p w14:paraId="5CC907E2" w14:textId="77777777" w:rsidR="00CC3C9A" w:rsidRPr="00675182" w:rsidRDefault="00CC3C9A" w:rsidP="00CC3C9A">
      <w:pPr>
        <w:rPr>
          <w:rFonts w:cstheme="minorHAnsi"/>
          <w:szCs w:val="24"/>
        </w:rPr>
      </w:pPr>
    </w:p>
    <w:p w14:paraId="274046C4" w14:textId="5DD349A2" w:rsidR="00CC3C9A" w:rsidRPr="00675182" w:rsidRDefault="00CC3C9A" w:rsidP="00CC3C9A">
      <w:pPr>
        <w:jc w:val="both"/>
        <w:rPr>
          <w:rFonts w:cstheme="minorHAnsi"/>
          <w:szCs w:val="24"/>
        </w:rPr>
      </w:pPr>
      <w:r w:rsidRPr="00675182">
        <w:rPr>
          <w:rFonts w:cstheme="minorHAnsi"/>
          <w:b/>
          <w:bCs/>
          <w:szCs w:val="24"/>
        </w:rPr>
        <w:t>Pārgaujas novada teritorijas plānojuma</w:t>
      </w:r>
      <w:r w:rsidRPr="00675182">
        <w:rPr>
          <w:rFonts w:cstheme="minorHAnsi"/>
          <w:szCs w:val="24"/>
        </w:rPr>
        <w:t xml:space="preserve"> </w:t>
      </w:r>
      <w:r w:rsidR="007127E0" w:rsidRPr="00675182">
        <w:rPr>
          <w:rFonts w:cstheme="minorHAnsi"/>
          <w:szCs w:val="24"/>
        </w:rPr>
        <w:t xml:space="preserve">(pēc ATR – Cēsu novadā) </w:t>
      </w:r>
      <w:r w:rsidRPr="00675182">
        <w:rPr>
          <w:rFonts w:cstheme="minorHAnsi"/>
          <w:szCs w:val="24"/>
        </w:rPr>
        <w:t xml:space="preserve">2013.-2024. gadam (apstiprināts ar Pārgaujas novada domes 2013. gada 27. jūnija lēmumu (prot. Nr.9, 2.§)) </w:t>
      </w:r>
      <w:bookmarkStart w:id="11" w:name="_Hlk57283745"/>
      <w:r w:rsidRPr="00675182">
        <w:rPr>
          <w:rFonts w:cstheme="minorHAnsi"/>
          <w:szCs w:val="24"/>
        </w:rPr>
        <w:t xml:space="preserve">grafiskās daļas kartēs ir </w:t>
      </w:r>
      <w:bookmarkEnd w:id="11"/>
      <w:r w:rsidRPr="00675182">
        <w:rPr>
          <w:rFonts w:cstheme="minorHAnsi"/>
          <w:szCs w:val="24"/>
        </w:rPr>
        <w:t xml:space="preserve">norādītas ainaviski vērtīgās teritorijas, ainaviskais ceļš un skatu punkti. Teritorija plānojuma TIAN ir iekļautas prasības teritorijā ar īpašiem noteikumiem, to skaitā </w:t>
      </w:r>
      <w:r w:rsidR="0041335C" w:rsidRPr="00675182">
        <w:rPr>
          <w:rFonts w:cstheme="minorHAnsi"/>
          <w:szCs w:val="24"/>
        </w:rPr>
        <w:t>ainaviski</w:t>
      </w:r>
      <w:r w:rsidRPr="00675182">
        <w:rPr>
          <w:rFonts w:cstheme="minorHAnsi"/>
          <w:szCs w:val="24"/>
        </w:rPr>
        <w:t xml:space="preserve"> vērtīgām teritorijām, skatu punktiem un ainaviskiem ceļiem (TIAN 505.-510. punkts), kur norādīts, ka nav pieļaujama ainavisko skatu punktu un ceļu aizsegšana un noteikti būvniecība</w:t>
      </w:r>
      <w:r w:rsidR="0041335C" w:rsidRPr="00675182">
        <w:rPr>
          <w:rFonts w:cstheme="minorHAnsi"/>
          <w:szCs w:val="24"/>
        </w:rPr>
        <w:t>s</w:t>
      </w:r>
      <w:r w:rsidRPr="00675182">
        <w:rPr>
          <w:rFonts w:cstheme="minorHAnsi"/>
          <w:szCs w:val="24"/>
        </w:rPr>
        <w:t xml:space="preserve"> nosacījumi, kā arī to, ka </w:t>
      </w:r>
      <w:r w:rsidRPr="00675182">
        <w:rPr>
          <w:rFonts w:cstheme="minorHAnsi"/>
          <w:i/>
          <w:iCs/>
          <w:szCs w:val="24"/>
        </w:rPr>
        <w:t xml:space="preserve">ainaviski vērtīgās teritorijās nav atļauta komunikācijas torņu būvniecība, lauksaimniecībā izmantojamo zemju apmežošana, neparedzēt ēkas un būves augstākas par 10 m, aizliegts ierīkot derīgo izrakteņu ieguves teritorijas, izņemot esošo derīgo izrakteņu ieguves vietu </w:t>
      </w:r>
      <w:r w:rsidRPr="00675182">
        <w:rPr>
          <w:rFonts w:cstheme="minorHAnsi"/>
          <w:i/>
          <w:iCs/>
          <w:szCs w:val="24"/>
        </w:rPr>
        <w:lastRenderedPageBreak/>
        <w:t>paplašināšanu</w:t>
      </w:r>
      <w:r w:rsidRPr="00675182">
        <w:rPr>
          <w:rFonts w:cstheme="minorHAnsi"/>
          <w:szCs w:val="24"/>
        </w:rPr>
        <w:t xml:space="preserve">. TIAN ir iekļautas prasības </w:t>
      </w:r>
      <w:r w:rsidR="0041335C" w:rsidRPr="00675182">
        <w:rPr>
          <w:rFonts w:cstheme="minorHAnsi"/>
          <w:szCs w:val="24"/>
        </w:rPr>
        <w:t>ĪADT</w:t>
      </w:r>
      <w:r w:rsidRPr="00675182">
        <w:rPr>
          <w:rFonts w:cstheme="minorHAnsi"/>
          <w:szCs w:val="24"/>
        </w:rPr>
        <w:t xml:space="preserve"> un objektiem (TIAN 550.-555. punkts), kur norādīts, ka GNP aizsardzība un izmantošana veicama saskaņā ar normatīvajiem aktiem. </w:t>
      </w:r>
    </w:p>
    <w:p w14:paraId="67E782A0" w14:textId="77777777" w:rsidR="00CC3C9A" w:rsidRPr="00675182" w:rsidRDefault="00CC3C9A" w:rsidP="00CC3C9A">
      <w:pPr>
        <w:rPr>
          <w:rFonts w:cstheme="minorHAnsi"/>
          <w:szCs w:val="24"/>
        </w:rPr>
      </w:pPr>
    </w:p>
    <w:p w14:paraId="378B2185" w14:textId="12A79AFC" w:rsidR="00CC3C9A" w:rsidRPr="00675182" w:rsidRDefault="00CC3C9A" w:rsidP="00CC3C9A">
      <w:pPr>
        <w:jc w:val="both"/>
        <w:rPr>
          <w:rFonts w:cstheme="minorHAnsi"/>
          <w:szCs w:val="24"/>
        </w:rPr>
      </w:pPr>
      <w:r w:rsidRPr="00675182">
        <w:rPr>
          <w:rFonts w:cstheme="minorHAnsi"/>
          <w:b/>
          <w:bCs/>
          <w:szCs w:val="24"/>
        </w:rPr>
        <w:t>Priekuļu novada teritorijas plānojuma</w:t>
      </w:r>
      <w:r w:rsidRPr="00675182">
        <w:rPr>
          <w:rFonts w:cstheme="minorHAnsi"/>
          <w:szCs w:val="24"/>
        </w:rPr>
        <w:t xml:space="preserve"> </w:t>
      </w:r>
      <w:r w:rsidR="007127E0" w:rsidRPr="00675182">
        <w:rPr>
          <w:rFonts w:cstheme="minorHAnsi"/>
          <w:szCs w:val="24"/>
        </w:rPr>
        <w:t xml:space="preserve">(pēc ATR – Cēsu novadā) </w:t>
      </w:r>
      <w:r w:rsidRPr="00675182">
        <w:rPr>
          <w:rFonts w:cstheme="minorHAnsi"/>
          <w:szCs w:val="24"/>
        </w:rPr>
        <w:t xml:space="preserve">2017.-2029. gadam (nav stājies spēkā, atbildīgā ministrija nav noteikusi dienu, kad vietējā pašvaldība var uzsākt attiecīgo saistošo noteikumu īstenošanu) grafiskajā daļā ir atsevišķi izdalīta </w:t>
      </w:r>
      <w:r w:rsidRPr="00675182">
        <w:rPr>
          <w:rFonts w:cstheme="minorHAnsi"/>
          <w:i/>
          <w:iCs/>
          <w:szCs w:val="24"/>
        </w:rPr>
        <w:t xml:space="preserve">Dabas vērtību </w:t>
      </w:r>
      <w:r w:rsidRPr="00675182">
        <w:rPr>
          <w:rFonts w:cstheme="minorHAnsi"/>
          <w:szCs w:val="24"/>
        </w:rPr>
        <w:t>karte, kurā iekļauta informācija</w:t>
      </w:r>
      <w:r w:rsidR="0041335C" w:rsidRPr="00675182">
        <w:rPr>
          <w:rFonts w:cstheme="minorHAnsi"/>
          <w:szCs w:val="24"/>
        </w:rPr>
        <w:t xml:space="preserve"> par</w:t>
      </w:r>
      <w:r w:rsidRPr="00675182">
        <w:rPr>
          <w:rFonts w:cstheme="minorHAnsi"/>
          <w:szCs w:val="24"/>
        </w:rPr>
        <w:t xml:space="preserve"> ĪADT pamatteritorijām, t.sk.</w:t>
      </w:r>
      <w:r w:rsidR="0041335C" w:rsidRPr="00675182">
        <w:rPr>
          <w:rFonts w:cstheme="minorHAnsi"/>
          <w:szCs w:val="24"/>
        </w:rPr>
        <w:t>,</w:t>
      </w:r>
      <w:r w:rsidRPr="00675182">
        <w:rPr>
          <w:rFonts w:cstheme="minorHAnsi"/>
          <w:szCs w:val="24"/>
        </w:rPr>
        <w:t xml:space="preserve"> GNP un tā funkcionālo zonējumu, un </w:t>
      </w:r>
      <w:r w:rsidRPr="00675182">
        <w:rPr>
          <w:rFonts w:cstheme="minorHAnsi"/>
          <w:i/>
          <w:iCs/>
          <w:szCs w:val="24"/>
        </w:rPr>
        <w:t>Ainaviski vērtīgo teritoriju</w:t>
      </w:r>
      <w:r w:rsidRPr="00675182">
        <w:rPr>
          <w:rFonts w:cstheme="minorHAnsi"/>
          <w:szCs w:val="24"/>
        </w:rPr>
        <w:t xml:space="preserve"> karte, kurā norādīts ainaviski vērtīgo teritoriju (TIN5) izvietojums. Teritorijas plānojuma TIAN ir iekļautas prasības </w:t>
      </w:r>
      <w:r w:rsidR="0041335C" w:rsidRPr="00675182">
        <w:rPr>
          <w:rFonts w:cstheme="minorHAnsi"/>
          <w:szCs w:val="24"/>
        </w:rPr>
        <w:t>ainaviski</w:t>
      </w:r>
      <w:r w:rsidRPr="00675182">
        <w:rPr>
          <w:rFonts w:cstheme="minorHAnsi"/>
          <w:szCs w:val="24"/>
        </w:rPr>
        <w:t xml:space="preserve"> vērtīgām teritorijām (TIAN 416.-417. punkts), kur nav izvirzītas prasības apbūves parametriem, bet ir norādīts, ka </w:t>
      </w:r>
      <w:r w:rsidRPr="00675182">
        <w:rPr>
          <w:rFonts w:cstheme="minorHAnsi"/>
          <w:i/>
          <w:iCs/>
          <w:szCs w:val="24"/>
        </w:rPr>
        <w:t>saņemot būvniecības ieceres iesniegumu (vai Paskaidrojuma rakstu vai apliecinājuma karti) par būvniecību Ainaviski vērtīgā teritorijā, Būvvalde, konsultējoties ar pašvaldību, izvērtē un, ja nepieciešams, papildus pieprasa ainavu arhitekta slēdzienu par būvniecības ieceres ietekmi uz ainavu, kuru ņem vērā sagatavojot projektēšanas nosacījumus</w:t>
      </w:r>
      <w:r w:rsidRPr="00675182">
        <w:rPr>
          <w:rFonts w:cstheme="minorHAnsi"/>
          <w:szCs w:val="24"/>
        </w:rPr>
        <w:t xml:space="preserve">. </w:t>
      </w:r>
      <w:r w:rsidRPr="00675182">
        <w:rPr>
          <w:rFonts w:eastAsia="Times New Roman" w:cstheme="minorHAnsi"/>
          <w:color w:val="000000"/>
          <w:szCs w:val="24"/>
          <w:lang w:eastAsia="en-GB"/>
        </w:rPr>
        <w:t xml:space="preserve">Paskaidrojuma rakstā iekļauta informācija par ainaviski vērtīgām teritorijām (3.4.3. sadaļa). </w:t>
      </w:r>
    </w:p>
    <w:p w14:paraId="6F91CCA5" w14:textId="77777777" w:rsidR="00CC3C9A" w:rsidRPr="00675182" w:rsidRDefault="00CC3C9A" w:rsidP="00CC3C9A">
      <w:pPr>
        <w:rPr>
          <w:rFonts w:eastAsia="Times New Roman" w:cstheme="minorHAnsi"/>
          <w:color w:val="000000"/>
          <w:szCs w:val="24"/>
          <w:lang w:eastAsia="en-GB"/>
        </w:rPr>
      </w:pPr>
    </w:p>
    <w:p w14:paraId="4764D445" w14:textId="6EE731B5" w:rsidR="00CC3C9A" w:rsidRPr="00675182" w:rsidRDefault="00CC3C9A" w:rsidP="00CC3C9A">
      <w:pPr>
        <w:jc w:val="both"/>
        <w:rPr>
          <w:rFonts w:eastAsiaTheme="minorHAnsi" w:cstheme="minorHAnsi"/>
          <w:szCs w:val="24"/>
          <w:lang w:eastAsia="en-US"/>
        </w:rPr>
      </w:pPr>
      <w:r w:rsidRPr="00675182">
        <w:rPr>
          <w:rFonts w:cstheme="minorHAnsi"/>
          <w:b/>
          <w:bCs/>
          <w:szCs w:val="24"/>
        </w:rPr>
        <w:t xml:space="preserve">Sējas novada teritorijas plānojumā </w:t>
      </w:r>
      <w:r w:rsidR="007127E0" w:rsidRPr="00675182">
        <w:rPr>
          <w:rFonts w:cstheme="minorHAnsi"/>
          <w:szCs w:val="24"/>
        </w:rPr>
        <w:t xml:space="preserve">(pēc ATR – Saulkrastu novadā) </w:t>
      </w:r>
      <w:r w:rsidRPr="00675182">
        <w:rPr>
          <w:rFonts w:cstheme="minorHAnsi"/>
          <w:szCs w:val="24"/>
        </w:rPr>
        <w:t>2013. – 2024. gadam (apstiprināts ar Sējas novada domes 2013. gada 19. februāra lēmumu (prot. Nr.2,1.§)) grafiskās daļas kartēs nav sniegta informācija par ainav</w:t>
      </w:r>
      <w:r w:rsidR="0041335C" w:rsidRPr="00675182">
        <w:rPr>
          <w:rFonts w:cstheme="minorHAnsi"/>
          <w:szCs w:val="24"/>
        </w:rPr>
        <w:t>u raksturojošiem elementiem</w:t>
      </w:r>
      <w:r w:rsidRPr="00675182">
        <w:rPr>
          <w:rFonts w:cstheme="minorHAnsi"/>
          <w:szCs w:val="24"/>
        </w:rPr>
        <w:t xml:space="preserve">. Teritorijas plānojuma TIAN ir iekļautas prasības attiecībā uz ainavas saglabāšanu un būvniecību (TIAN 466.-471. punkts), kur norādīta informācija </w:t>
      </w:r>
      <w:r w:rsidR="0041335C" w:rsidRPr="00675182">
        <w:rPr>
          <w:rFonts w:cstheme="minorHAnsi"/>
          <w:szCs w:val="24"/>
        </w:rPr>
        <w:t>par</w:t>
      </w:r>
      <w:r w:rsidRPr="00675182">
        <w:rPr>
          <w:rFonts w:cstheme="minorHAnsi"/>
          <w:szCs w:val="24"/>
        </w:rPr>
        <w:t xml:space="preserve"> būvniecību un to, ka nav pieļaujama ainaviski nozīmīgu skatu punktu aizsegšana.</w:t>
      </w:r>
      <w:r w:rsidRPr="00675182">
        <w:rPr>
          <w:rFonts w:eastAsia="Times New Roman" w:cstheme="minorHAnsi"/>
          <w:color w:val="000000"/>
          <w:szCs w:val="24"/>
          <w:lang w:eastAsia="en-GB"/>
        </w:rPr>
        <w:t xml:space="preserve"> Paskaidrojuma rakstā iekļauta informācija par Sējas novada ainavām (3.13. sadaļa), kurā sniegta informāciju par novadā esošajām ainavām, t.sk. Gaujas senlejas ainavu. </w:t>
      </w:r>
      <w:r w:rsidRPr="00675182">
        <w:rPr>
          <w:rFonts w:cstheme="minorHAnsi"/>
          <w:szCs w:val="24"/>
        </w:rPr>
        <w:t xml:space="preserve">TIAN ir iekļauti noteikumi </w:t>
      </w:r>
      <w:r w:rsidR="0041335C" w:rsidRPr="00675182">
        <w:rPr>
          <w:rFonts w:cstheme="minorHAnsi"/>
          <w:szCs w:val="24"/>
        </w:rPr>
        <w:t>ĪADT</w:t>
      </w:r>
      <w:r w:rsidRPr="00675182">
        <w:rPr>
          <w:rFonts w:cstheme="minorHAnsi"/>
          <w:szCs w:val="24"/>
        </w:rPr>
        <w:t xml:space="preserve"> un objektos (TIAN 459.-463. punkts), kur norādīts, ka GNP teritorijas izmantošana veicama saskaņā ar normatīvajiem aktiem. </w:t>
      </w:r>
    </w:p>
    <w:p w14:paraId="02303E80" w14:textId="77777777" w:rsidR="00CC3C9A" w:rsidRPr="00675182" w:rsidRDefault="00CC3C9A" w:rsidP="00CC3C9A">
      <w:pPr>
        <w:jc w:val="both"/>
        <w:rPr>
          <w:rFonts w:cstheme="minorHAnsi"/>
          <w:szCs w:val="24"/>
          <w:u w:val="single"/>
        </w:rPr>
      </w:pPr>
    </w:p>
    <w:p w14:paraId="0FDA6967" w14:textId="4F2768C3" w:rsidR="00CC3C9A" w:rsidRPr="00675182" w:rsidRDefault="00CC3C9A" w:rsidP="00CC3C9A">
      <w:pPr>
        <w:jc w:val="both"/>
        <w:rPr>
          <w:rFonts w:cstheme="minorHAnsi"/>
          <w:szCs w:val="24"/>
        </w:rPr>
      </w:pPr>
      <w:r w:rsidRPr="00675182">
        <w:rPr>
          <w:rFonts w:cstheme="minorHAnsi"/>
          <w:b/>
          <w:bCs/>
          <w:szCs w:val="24"/>
        </w:rPr>
        <w:t>Sigulda</w:t>
      </w:r>
      <w:r w:rsidR="0041335C" w:rsidRPr="00675182">
        <w:rPr>
          <w:rFonts w:cstheme="minorHAnsi"/>
          <w:b/>
          <w:bCs/>
          <w:szCs w:val="24"/>
        </w:rPr>
        <w:t>s</w:t>
      </w:r>
      <w:r w:rsidRPr="00675182">
        <w:rPr>
          <w:rFonts w:cstheme="minorHAnsi"/>
          <w:b/>
          <w:bCs/>
          <w:szCs w:val="24"/>
        </w:rPr>
        <w:t xml:space="preserve"> novada teritorijas plānojumā </w:t>
      </w:r>
      <w:r w:rsidR="007127E0" w:rsidRPr="00675182">
        <w:rPr>
          <w:rFonts w:cstheme="minorHAnsi"/>
          <w:szCs w:val="24"/>
        </w:rPr>
        <w:t xml:space="preserve">(pēc ATR – Siguldas novadā) </w:t>
      </w:r>
      <w:r w:rsidRPr="00675182">
        <w:rPr>
          <w:rFonts w:cstheme="minorHAnsi"/>
          <w:szCs w:val="24"/>
        </w:rPr>
        <w:t xml:space="preserve">2012.–2024. gadam (apstiprināts ar Siguldas novada domes 2012. gada 29. augusta lēmumu (prot. Nr.15, 1.§)) grafiskās daļas kartēs ir izdalītas vizuāli nozīmīgas ainavas, meža ainavas, senās kultūrainavas, skatu vietas un skatu līnijas. Teritorija plānojuma pielikumos ir iekļauti divi pielikumi ar ainavu plānu – </w:t>
      </w:r>
      <w:r w:rsidRPr="00675182">
        <w:rPr>
          <w:rFonts w:cstheme="minorHAnsi"/>
          <w:i/>
          <w:iCs/>
          <w:szCs w:val="24"/>
        </w:rPr>
        <w:t>Īpašo ainavu areālu</w:t>
      </w:r>
      <w:r w:rsidRPr="00675182">
        <w:rPr>
          <w:rFonts w:cstheme="minorHAnsi"/>
          <w:szCs w:val="24"/>
        </w:rPr>
        <w:t xml:space="preserve"> karte, kur izdalītas ainavas pēc to nozīmes, un </w:t>
      </w:r>
      <w:r w:rsidRPr="00675182">
        <w:rPr>
          <w:rFonts w:cstheme="minorHAnsi"/>
          <w:i/>
          <w:iCs/>
          <w:szCs w:val="24"/>
        </w:rPr>
        <w:t xml:space="preserve">Ainavu vērtību un risku </w:t>
      </w:r>
      <w:r w:rsidRPr="00675182">
        <w:rPr>
          <w:rFonts w:cstheme="minorHAnsi"/>
          <w:szCs w:val="24"/>
        </w:rPr>
        <w:t xml:space="preserve">karte, kurā ir </w:t>
      </w:r>
      <w:r w:rsidR="0041335C" w:rsidRPr="00675182">
        <w:rPr>
          <w:rFonts w:cstheme="minorHAnsi"/>
          <w:szCs w:val="24"/>
        </w:rPr>
        <w:t xml:space="preserve">iekļauta </w:t>
      </w:r>
      <w:r w:rsidRPr="00675182">
        <w:rPr>
          <w:rFonts w:cstheme="minorHAnsi"/>
          <w:szCs w:val="24"/>
        </w:rPr>
        <w:t>detalizēta informācija par ainavu telpā</w:t>
      </w:r>
      <w:r w:rsidR="0041335C" w:rsidRPr="00675182">
        <w:rPr>
          <w:rFonts w:cstheme="minorHAnsi"/>
          <w:szCs w:val="24"/>
        </w:rPr>
        <w:t>m</w:t>
      </w:r>
      <w:r w:rsidRPr="00675182">
        <w:rPr>
          <w:rFonts w:cstheme="minorHAnsi"/>
          <w:szCs w:val="24"/>
        </w:rPr>
        <w:t>, eleme</w:t>
      </w:r>
      <w:r w:rsidR="0041335C" w:rsidRPr="00675182">
        <w:rPr>
          <w:rFonts w:cstheme="minorHAnsi"/>
          <w:szCs w:val="24"/>
        </w:rPr>
        <w:t>n</w:t>
      </w:r>
      <w:r w:rsidRPr="00675182">
        <w:rPr>
          <w:rFonts w:cstheme="minorHAnsi"/>
          <w:szCs w:val="24"/>
        </w:rPr>
        <w:t xml:space="preserve">tiem un riska vietām, kā arī ir atzīmēta GNP </w:t>
      </w:r>
      <w:r w:rsidR="0041335C" w:rsidRPr="00675182">
        <w:rPr>
          <w:rFonts w:cstheme="minorHAnsi"/>
          <w:szCs w:val="24"/>
        </w:rPr>
        <w:t xml:space="preserve">teritorija </w:t>
      </w:r>
      <w:r w:rsidRPr="00675182">
        <w:rPr>
          <w:rFonts w:cstheme="minorHAnsi"/>
          <w:szCs w:val="24"/>
        </w:rPr>
        <w:t xml:space="preserve">un tā funkcionālā zonējuma robežas. Teritorijas plānojuma TIAN ir iekļautas prasības novada teritorijas ainavu aizsardzībai un pārvaldībai (TIAN 86.-93. punkts), atzīmējot, ka </w:t>
      </w:r>
      <w:r w:rsidRPr="00675182">
        <w:rPr>
          <w:rFonts w:cstheme="minorHAnsi"/>
          <w:i/>
          <w:iCs/>
          <w:szCs w:val="24"/>
        </w:rPr>
        <w:t xml:space="preserve">visa Siguldas novada teritorija izmantojama atbilstoši teritorijas plānojumam tādā veidā, lai netiktu mazināta vides kvalitāte un, plānojot jebkādu darbību, uzmanība jāpievērš to ainavas elementu saglabāšanai, kas nodrošina </w:t>
      </w:r>
      <w:r w:rsidR="0041335C" w:rsidRPr="00675182">
        <w:rPr>
          <w:rFonts w:cstheme="minorHAnsi"/>
          <w:i/>
          <w:iCs/>
          <w:szCs w:val="24"/>
        </w:rPr>
        <w:t>bioloģiskās</w:t>
      </w:r>
      <w:r w:rsidRPr="00675182">
        <w:rPr>
          <w:rFonts w:cstheme="minorHAnsi"/>
          <w:i/>
          <w:iCs/>
          <w:szCs w:val="24"/>
        </w:rPr>
        <w:t xml:space="preserve"> daudzveidības uzturēšanu vai arī – ir attīstības vizuālais resurss</w:t>
      </w:r>
      <w:r w:rsidRPr="00675182">
        <w:rPr>
          <w:rFonts w:cstheme="minorHAnsi"/>
          <w:szCs w:val="24"/>
        </w:rPr>
        <w:t xml:space="preserve">, ka arī ir noteikti ainavu aizsardzības mērķi, nepieciešamās darbības novada teritorijā, aizliegtās darbības, nosacījumi ainavu plānā. </w:t>
      </w:r>
      <w:bookmarkStart w:id="12" w:name="_Hlk83219679"/>
      <w:r w:rsidRPr="00675182">
        <w:rPr>
          <w:rFonts w:cstheme="minorHAnsi"/>
          <w:szCs w:val="24"/>
        </w:rPr>
        <w:t>TIAN ir arī noteiktas vispārīgās prasības īpašas nozīmes ainavās (TIAN 95.-100. punkts), kur norādītas nepieciešamās darbības plānojumā noteiktajās sen</w:t>
      </w:r>
      <w:r w:rsidR="0041335C" w:rsidRPr="00675182">
        <w:rPr>
          <w:rFonts w:cstheme="minorHAnsi"/>
          <w:szCs w:val="24"/>
        </w:rPr>
        <w:t>a</w:t>
      </w:r>
      <w:r w:rsidRPr="00675182">
        <w:rPr>
          <w:rFonts w:cstheme="minorHAnsi"/>
          <w:szCs w:val="24"/>
        </w:rPr>
        <w:t>j</w:t>
      </w:r>
      <w:r w:rsidR="0041335C" w:rsidRPr="00675182">
        <w:rPr>
          <w:rFonts w:cstheme="minorHAnsi"/>
          <w:szCs w:val="24"/>
        </w:rPr>
        <w:t>ā</w:t>
      </w:r>
      <w:r w:rsidRPr="00675182">
        <w:rPr>
          <w:rFonts w:cstheme="minorHAnsi"/>
          <w:szCs w:val="24"/>
        </w:rPr>
        <w:t>s kultūrainavās, vizuāli nozīmīgajās ainavās un prasības attiecībā uz lokālo ainavu plānu</w:t>
      </w:r>
      <w:bookmarkEnd w:id="12"/>
      <w:r w:rsidRPr="00675182">
        <w:rPr>
          <w:rFonts w:cstheme="minorHAnsi"/>
          <w:szCs w:val="24"/>
        </w:rPr>
        <w:t xml:space="preserve">, </w:t>
      </w:r>
      <w:r w:rsidRPr="00675182">
        <w:rPr>
          <w:rFonts w:cstheme="minorHAnsi"/>
          <w:szCs w:val="24"/>
        </w:rPr>
        <w:lastRenderedPageBreak/>
        <w:t xml:space="preserve">tā kā </w:t>
      </w:r>
      <w:r w:rsidRPr="00675182">
        <w:rPr>
          <w:rFonts w:cstheme="minorHAnsi"/>
          <w:i/>
          <w:iCs/>
          <w:szCs w:val="24"/>
        </w:rPr>
        <w:t>teritorijas plānojumā noteiktajiem vizuāli nozīmīgām ainavām gar vēsturiskajiem ceļiem vizuālas ainavu telpas veidošanas pamatojumam, vizuālo resursu saglabāšanai, uzturēšanai un veidošanai ainavisko ceļu joslās, saskatāmās telpas apjomā izstrādājami lokālie ainavu plāni</w:t>
      </w:r>
      <w:r w:rsidRPr="00675182">
        <w:rPr>
          <w:rFonts w:cstheme="minorHAnsi"/>
          <w:szCs w:val="24"/>
        </w:rPr>
        <w:t xml:space="preserve">. </w:t>
      </w:r>
      <w:r w:rsidRPr="00675182">
        <w:rPr>
          <w:rFonts w:eastAsia="Times New Roman" w:cstheme="minorHAnsi"/>
          <w:color w:val="000000"/>
          <w:szCs w:val="24"/>
          <w:lang w:eastAsia="en-GB"/>
        </w:rPr>
        <w:t xml:space="preserve">Paskaidrojuma rakstā ir iekļauta detalizēts raksturojums par Siguldas novada ainavu (2.7. sadaļa). </w:t>
      </w:r>
      <w:r w:rsidRPr="00675182">
        <w:rPr>
          <w:rFonts w:cstheme="minorHAnsi"/>
          <w:szCs w:val="24"/>
        </w:rPr>
        <w:t xml:space="preserve">TIAN iekļautas prasības </w:t>
      </w:r>
      <w:r w:rsidR="0041335C" w:rsidRPr="00675182">
        <w:rPr>
          <w:rFonts w:cstheme="minorHAnsi"/>
          <w:szCs w:val="24"/>
        </w:rPr>
        <w:t>ĪADT</w:t>
      </w:r>
      <w:r w:rsidRPr="00675182">
        <w:rPr>
          <w:rFonts w:cstheme="minorHAnsi"/>
          <w:szCs w:val="24"/>
        </w:rPr>
        <w:t xml:space="preserve"> izmantošanai (TIAN 101.-107. punkts), kur norādīts, ka GNP izmantošanu nosaka saskaņā ar normatīvajiem aktiem. </w:t>
      </w:r>
    </w:p>
    <w:p w14:paraId="1BC33717" w14:textId="2B253969" w:rsidR="00551998" w:rsidRPr="00675182" w:rsidRDefault="00551998" w:rsidP="00CC3C9A">
      <w:pPr>
        <w:jc w:val="both"/>
        <w:rPr>
          <w:rFonts w:cstheme="minorHAnsi"/>
          <w:szCs w:val="24"/>
        </w:rPr>
      </w:pPr>
    </w:p>
    <w:p w14:paraId="115B4141" w14:textId="5F1D528B" w:rsidR="00551998" w:rsidRPr="00675182" w:rsidRDefault="00551998" w:rsidP="00551998">
      <w:pPr>
        <w:jc w:val="both"/>
        <w:rPr>
          <w:rFonts w:cstheme="minorHAnsi"/>
          <w:szCs w:val="24"/>
        </w:rPr>
      </w:pPr>
      <w:r w:rsidRPr="00675182">
        <w:rPr>
          <w:rFonts w:cstheme="minorHAnsi"/>
          <w:szCs w:val="24"/>
        </w:rPr>
        <w:t>Katra novada TIAN ir noteiktas minimālā jaunizveidojamā zemes gabala platība, atbilstoši funkcionālajam zonējumam. GNP teritorijā ietilpstošo novadu TIAN minimālās jaunizveidojamā zemes gabala platības ir noteiktas:</w:t>
      </w:r>
    </w:p>
    <w:p w14:paraId="74E30A44" w14:textId="32D429BB" w:rsidR="00551998" w:rsidRPr="00675182" w:rsidRDefault="006536A3" w:rsidP="00A84218">
      <w:pPr>
        <w:pStyle w:val="ListParagraph"/>
        <w:numPr>
          <w:ilvl w:val="0"/>
          <w:numId w:val="26"/>
        </w:numPr>
        <w:jc w:val="both"/>
        <w:rPr>
          <w:rFonts w:cstheme="minorHAnsi"/>
          <w:szCs w:val="24"/>
        </w:rPr>
      </w:pPr>
      <w:r w:rsidRPr="00675182">
        <w:rPr>
          <w:rFonts w:cstheme="minorHAnsi"/>
          <w:szCs w:val="24"/>
        </w:rPr>
        <w:t xml:space="preserve">savrupmāju </w:t>
      </w:r>
      <w:r w:rsidR="00551998" w:rsidRPr="00675182">
        <w:rPr>
          <w:rFonts w:cstheme="minorHAnsi"/>
          <w:szCs w:val="24"/>
        </w:rPr>
        <w:t>apbūvei (DzS): 600-2000 m</w:t>
      </w:r>
      <w:r w:rsidR="00551998" w:rsidRPr="00675182">
        <w:rPr>
          <w:rFonts w:cstheme="minorHAnsi"/>
          <w:szCs w:val="24"/>
          <w:vertAlign w:val="superscript"/>
        </w:rPr>
        <w:t>2</w:t>
      </w:r>
      <w:r w:rsidR="00551998" w:rsidRPr="00675182">
        <w:rPr>
          <w:rFonts w:cstheme="minorHAnsi"/>
          <w:szCs w:val="24"/>
        </w:rPr>
        <w:t>;</w:t>
      </w:r>
    </w:p>
    <w:p w14:paraId="450DC09F" w14:textId="1051AADA" w:rsidR="00551998" w:rsidRPr="00675182" w:rsidRDefault="006536A3" w:rsidP="00A84218">
      <w:pPr>
        <w:pStyle w:val="ListParagraph"/>
        <w:numPr>
          <w:ilvl w:val="0"/>
          <w:numId w:val="26"/>
        </w:numPr>
        <w:jc w:val="both"/>
        <w:rPr>
          <w:rFonts w:cstheme="minorHAnsi"/>
          <w:szCs w:val="24"/>
        </w:rPr>
      </w:pPr>
      <w:r w:rsidRPr="00675182">
        <w:rPr>
          <w:rFonts w:cstheme="minorHAnsi"/>
          <w:szCs w:val="24"/>
        </w:rPr>
        <w:t xml:space="preserve">mazstāvu </w:t>
      </w:r>
      <w:r w:rsidR="00551998" w:rsidRPr="00675182">
        <w:rPr>
          <w:rFonts w:cstheme="minorHAnsi"/>
          <w:szCs w:val="24"/>
        </w:rPr>
        <w:t>dzīvojamās apbūves teritorijai (DzM): 600-750 m</w:t>
      </w:r>
      <w:r w:rsidR="00551998" w:rsidRPr="00675182">
        <w:rPr>
          <w:rFonts w:cstheme="minorHAnsi"/>
          <w:szCs w:val="24"/>
          <w:vertAlign w:val="superscript"/>
        </w:rPr>
        <w:t xml:space="preserve">2 </w:t>
      </w:r>
      <w:r w:rsidR="00551998" w:rsidRPr="00675182">
        <w:rPr>
          <w:rFonts w:cstheme="minorHAnsi"/>
          <w:szCs w:val="24"/>
        </w:rPr>
        <w:t>rindu mājām, 1000-2000 m</w:t>
      </w:r>
      <w:r w:rsidR="00551998" w:rsidRPr="00675182">
        <w:rPr>
          <w:rFonts w:cstheme="minorHAnsi"/>
          <w:szCs w:val="24"/>
          <w:vertAlign w:val="superscript"/>
        </w:rPr>
        <w:t xml:space="preserve">2 </w:t>
      </w:r>
      <w:r w:rsidR="00551998" w:rsidRPr="00675182">
        <w:rPr>
          <w:rFonts w:cstheme="minorHAnsi"/>
          <w:szCs w:val="24"/>
        </w:rPr>
        <w:t>savrupmājām, 10 000 m</w:t>
      </w:r>
      <w:r w:rsidR="00551998" w:rsidRPr="00675182">
        <w:rPr>
          <w:rFonts w:cstheme="minorHAnsi"/>
          <w:szCs w:val="24"/>
          <w:vertAlign w:val="superscript"/>
        </w:rPr>
        <w:t xml:space="preserve">2 </w:t>
      </w:r>
      <w:r w:rsidR="00551998" w:rsidRPr="00675182">
        <w:rPr>
          <w:rFonts w:cstheme="minorHAnsi"/>
          <w:szCs w:val="24"/>
        </w:rPr>
        <w:t>daudzstāvu mājām;</w:t>
      </w:r>
    </w:p>
    <w:p w14:paraId="3BA37F96" w14:textId="28141E5A" w:rsidR="00551998" w:rsidRPr="00675182" w:rsidRDefault="006536A3" w:rsidP="00A84218">
      <w:pPr>
        <w:pStyle w:val="ListParagraph"/>
        <w:numPr>
          <w:ilvl w:val="0"/>
          <w:numId w:val="26"/>
        </w:numPr>
        <w:jc w:val="both"/>
        <w:rPr>
          <w:rFonts w:cstheme="minorHAnsi"/>
          <w:szCs w:val="24"/>
        </w:rPr>
      </w:pPr>
      <w:r w:rsidRPr="00675182">
        <w:rPr>
          <w:rFonts w:cstheme="minorHAnsi"/>
          <w:szCs w:val="24"/>
        </w:rPr>
        <w:t xml:space="preserve">daudzstāvu </w:t>
      </w:r>
      <w:r w:rsidR="00551998" w:rsidRPr="00675182">
        <w:rPr>
          <w:rFonts w:cstheme="minorHAnsi"/>
          <w:szCs w:val="24"/>
        </w:rPr>
        <w:t>dzīvojamās apbūves teritorijai (DzD): 600-750 m</w:t>
      </w:r>
      <w:r w:rsidR="00551998" w:rsidRPr="00675182">
        <w:rPr>
          <w:rFonts w:cstheme="minorHAnsi"/>
          <w:szCs w:val="24"/>
          <w:vertAlign w:val="superscript"/>
        </w:rPr>
        <w:t xml:space="preserve">2 </w:t>
      </w:r>
      <w:r w:rsidR="00551998" w:rsidRPr="00675182">
        <w:rPr>
          <w:rFonts w:cstheme="minorHAnsi"/>
          <w:szCs w:val="24"/>
        </w:rPr>
        <w:t>rindu mājām, 10 000 m</w:t>
      </w:r>
      <w:r w:rsidR="00551998" w:rsidRPr="00675182">
        <w:rPr>
          <w:rFonts w:cstheme="minorHAnsi"/>
          <w:szCs w:val="24"/>
          <w:vertAlign w:val="superscript"/>
        </w:rPr>
        <w:t>2</w:t>
      </w:r>
      <w:r w:rsidR="00551998" w:rsidRPr="00675182">
        <w:rPr>
          <w:rFonts w:cstheme="minorHAnsi"/>
          <w:szCs w:val="24"/>
        </w:rPr>
        <w:t xml:space="preserve"> daudzstāvu mājām;</w:t>
      </w:r>
    </w:p>
    <w:p w14:paraId="0A625F95" w14:textId="26DD1C2B" w:rsidR="00551998" w:rsidRPr="00675182" w:rsidRDefault="006536A3" w:rsidP="00A84218">
      <w:pPr>
        <w:pStyle w:val="ListParagraph"/>
        <w:numPr>
          <w:ilvl w:val="0"/>
          <w:numId w:val="26"/>
        </w:numPr>
        <w:jc w:val="both"/>
        <w:rPr>
          <w:rFonts w:cstheme="minorHAnsi"/>
          <w:szCs w:val="24"/>
        </w:rPr>
      </w:pPr>
      <w:r w:rsidRPr="00675182">
        <w:rPr>
          <w:rFonts w:cstheme="minorHAnsi"/>
          <w:szCs w:val="24"/>
        </w:rPr>
        <w:t xml:space="preserve">publiskās </w:t>
      </w:r>
      <w:r w:rsidR="00551998" w:rsidRPr="00675182">
        <w:rPr>
          <w:rFonts w:cstheme="minorHAnsi"/>
          <w:szCs w:val="24"/>
        </w:rPr>
        <w:t>apbūves teritorijai (P): 1500 m</w:t>
      </w:r>
      <w:r w:rsidR="00551998" w:rsidRPr="00675182">
        <w:rPr>
          <w:rFonts w:cstheme="minorHAnsi"/>
          <w:szCs w:val="24"/>
          <w:vertAlign w:val="superscript"/>
        </w:rPr>
        <w:t>2</w:t>
      </w:r>
      <w:r w:rsidR="00551998" w:rsidRPr="00675182">
        <w:rPr>
          <w:rFonts w:cstheme="minorHAnsi"/>
          <w:szCs w:val="24"/>
        </w:rPr>
        <w:t>līdz 6000 m</w:t>
      </w:r>
      <w:r w:rsidR="00551998" w:rsidRPr="00675182">
        <w:rPr>
          <w:rFonts w:cstheme="minorHAnsi"/>
          <w:szCs w:val="24"/>
          <w:vertAlign w:val="superscript"/>
        </w:rPr>
        <w:t>2</w:t>
      </w:r>
      <w:r w:rsidR="00551998" w:rsidRPr="00675182">
        <w:rPr>
          <w:rFonts w:cstheme="minorHAnsi"/>
          <w:szCs w:val="24"/>
        </w:rPr>
        <w:t>;</w:t>
      </w:r>
    </w:p>
    <w:p w14:paraId="7AF9928B" w14:textId="0B8E5D50" w:rsidR="00551998" w:rsidRPr="00675182" w:rsidRDefault="006536A3" w:rsidP="00A84218">
      <w:pPr>
        <w:pStyle w:val="ListParagraph"/>
        <w:numPr>
          <w:ilvl w:val="0"/>
          <w:numId w:val="26"/>
        </w:numPr>
        <w:jc w:val="both"/>
        <w:rPr>
          <w:rFonts w:cstheme="minorHAnsi"/>
          <w:szCs w:val="24"/>
        </w:rPr>
      </w:pPr>
      <w:r w:rsidRPr="00675182">
        <w:rPr>
          <w:rFonts w:cstheme="minorHAnsi"/>
          <w:szCs w:val="24"/>
        </w:rPr>
        <w:t xml:space="preserve">rūpnieciskās </w:t>
      </w:r>
      <w:r w:rsidR="00551998" w:rsidRPr="00675182">
        <w:rPr>
          <w:rFonts w:cstheme="minorHAnsi"/>
          <w:szCs w:val="24"/>
        </w:rPr>
        <w:t xml:space="preserve">apbūves teritorijai (R): Atbilstoši funkcionālai un tehnoloģiskai nepieciešamībai; </w:t>
      </w:r>
    </w:p>
    <w:p w14:paraId="5377E045" w14:textId="6F9E88AC" w:rsidR="00551998" w:rsidRPr="00675182" w:rsidRDefault="006536A3" w:rsidP="00A84218">
      <w:pPr>
        <w:pStyle w:val="ListParagraph"/>
        <w:numPr>
          <w:ilvl w:val="0"/>
          <w:numId w:val="26"/>
        </w:numPr>
        <w:jc w:val="both"/>
        <w:rPr>
          <w:rFonts w:cstheme="minorHAnsi"/>
          <w:szCs w:val="24"/>
        </w:rPr>
      </w:pPr>
      <w:r w:rsidRPr="00675182">
        <w:rPr>
          <w:rFonts w:cstheme="minorHAnsi"/>
          <w:szCs w:val="24"/>
        </w:rPr>
        <w:t xml:space="preserve">mežu </w:t>
      </w:r>
      <w:r w:rsidR="00551998" w:rsidRPr="00675182">
        <w:rPr>
          <w:rFonts w:cstheme="minorHAnsi"/>
          <w:szCs w:val="24"/>
        </w:rPr>
        <w:t>teritorijai (M): 20 000 m</w:t>
      </w:r>
      <w:r w:rsidR="00551998" w:rsidRPr="00675182">
        <w:rPr>
          <w:rFonts w:cstheme="minorHAnsi"/>
          <w:szCs w:val="24"/>
          <w:vertAlign w:val="superscript"/>
        </w:rPr>
        <w:t>2</w:t>
      </w:r>
      <w:r w:rsidR="00551998" w:rsidRPr="00675182">
        <w:rPr>
          <w:rFonts w:cstheme="minorHAnsi"/>
          <w:szCs w:val="24"/>
        </w:rPr>
        <w:t>;</w:t>
      </w:r>
    </w:p>
    <w:p w14:paraId="38E3A7FC" w14:textId="2FEE1AAF" w:rsidR="00551998" w:rsidRPr="00675182" w:rsidRDefault="006536A3" w:rsidP="00A84218">
      <w:pPr>
        <w:pStyle w:val="ListParagraph"/>
        <w:numPr>
          <w:ilvl w:val="0"/>
          <w:numId w:val="26"/>
        </w:numPr>
        <w:jc w:val="both"/>
        <w:rPr>
          <w:rFonts w:cstheme="minorHAnsi"/>
          <w:szCs w:val="24"/>
        </w:rPr>
      </w:pPr>
      <w:r w:rsidRPr="00675182">
        <w:rPr>
          <w:rFonts w:cstheme="minorHAnsi"/>
          <w:szCs w:val="24"/>
        </w:rPr>
        <w:t xml:space="preserve">lauksaimniecības </w:t>
      </w:r>
      <w:r w:rsidR="00551998" w:rsidRPr="00675182">
        <w:rPr>
          <w:rFonts w:cstheme="minorHAnsi"/>
          <w:szCs w:val="24"/>
        </w:rPr>
        <w:t>teritorijai (L): 20 000 m</w:t>
      </w:r>
      <w:r w:rsidR="00551998" w:rsidRPr="00675182">
        <w:rPr>
          <w:rFonts w:cstheme="minorHAnsi"/>
          <w:szCs w:val="24"/>
          <w:vertAlign w:val="superscript"/>
        </w:rPr>
        <w:t>2</w:t>
      </w:r>
      <w:r w:rsidR="00551998" w:rsidRPr="00675182">
        <w:rPr>
          <w:rFonts w:cstheme="minorHAnsi"/>
          <w:szCs w:val="24"/>
        </w:rPr>
        <w:t>.</w:t>
      </w:r>
    </w:p>
    <w:p w14:paraId="1F1BB8DA" w14:textId="77777777" w:rsidR="00EC14F3" w:rsidRPr="00675182" w:rsidRDefault="00EC14F3">
      <w:pPr>
        <w:suppressAutoHyphens w:val="0"/>
        <w:rPr>
          <w:rFonts w:cstheme="minorHAnsi"/>
          <w:szCs w:val="24"/>
        </w:rPr>
      </w:pPr>
    </w:p>
    <w:p w14:paraId="5DE9C4D1" w14:textId="77777777" w:rsidR="00A079DE" w:rsidRPr="00675182" w:rsidRDefault="00A079DE" w:rsidP="00A079DE">
      <w:pPr>
        <w:suppressAutoHyphens w:val="0"/>
        <w:jc w:val="both"/>
        <w:rPr>
          <w:rFonts w:cstheme="minorHAnsi"/>
          <w:szCs w:val="24"/>
        </w:rPr>
      </w:pPr>
      <w:r w:rsidRPr="00675182">
        <w:rPr>
          <w:rFonts w:cstheme="minorHAnsi"/>
          <w:szCs w:val="24"/>
        </w:rPr>
        <w:t>GNP likuma 8. panta 7. punktā ir noteikts, ka: “</w:t>
      </w:r>
      <w:r w:rsidRPr="00675182">
        <w:rPr>
          <w:rFonts w:cstheme="minorHAnsi"/>
          <w:i/>
          <w:iCs/>
          <w:szCs w:val="24"/>
        </w:rPr>
        <w:t>Dabas lieguma zonā esošu zemes gabalu drīkst sadalīt tikai tad, ja katra atsevišķā zemes gabala platība pēc sadalīšanas nav mazāka par 10 hektāriem. Šis nosacījums neattiecas uz vietējās pašvaldības teritorijas plānojumā noteiktajām pilsētu un ciemu robežām</w:t>
      </w:r>
      <w:r w:rsidRPr="00675182">
        <w:rPr>
          <w:rFonts w:cstheme="minorHAnsi"/>
          <w:szCs w:val="24"/>
        </w:rPr>
        <w:t xml:space="preserve">”. </w:t>
      </w:r>
    </w:p>
    <w:p w14:paraId="1BA7DC66" w14:textId="77777777" w:rsidR="00A079DE" w:rsidRPr="00675182" w:rsidRDefault="00A079DE" w:rsidP="00A079DE">
      <w:pPr>
        <w:suppressAutoHyphens w:val="0"/>
        <w:jc w:val="both"/>
        <w:rPr>
          <w:rFonts w:cstheme="minorHAnsi"/>
          <w:szCs w:val="24"/>
        </w:rPr>
      </w:pPr>
    </w:p>
    <w:p w14:paraId="35DBA032" w14:textId="5C826A23" w:rsidR="00A079DE" w:rsidRPr="00675182" w:rsidRDefault="00EC14F3" w:rsidP="00A079DE">
      <w:pPr>
        <w:suppressAutoHyphens w:val="0"/>
        <w:jc w:val="both"/>
        <w:rPr>
          <w:rFonts w:cstheme="minorHAnsi"/>
          <w:szCs w:val="24"/>
        </w:rPr>
      </w:pPr>
      <w:r w:rsidRPr="00675182">
        <w:rPr>
          <w:rFonts w:cstheme="minorHAnsi"/>
          <w:szCs w:val="24"/>
        </w:rPr>
        <w:t>Lai gan lielākajā daļā pašvaldību TIAN nav noteikta minimālā jaunizveidoj</w:t>
      </w:r>
      <w:r w:rsidR="00A079DE" w:rsidRPr="00675182">
        <w:rPr>
          <w:rFonts w:cstheme="minorHAnsi"/>
          <w:szCs w:val="24"/>
        </w:rPr>
        <w:t>a</w:t>
      </w:r>
      <w:r w:rsidRPr="00675182">
        <w:rPr>
          <w:rFonts w:cstheme="minorHAnsi"/>
          <w:szCs w:val="24"/>
        </w:rPr>
        <w:t>m</w:t>
      </w:r>
      <w:r w:rsidR="00A079DE" w:rsidRPr="00675182">
        <w:rPr>
          <w:rFonts w:cstheme="minorHAnsi"/>
          <w:szCs w:val="24"/>
        </w:rPr>
        <w:t>ā</w:t>
      </w:r>
      <w:r w:rsidRPr="00675182">
        <w:rPr>
          <w:rFonts w:cstheme="minorHAnsi"/>
          <w:szCs w:val="24"/>
        </w:rPr>
        <w:t xml:space="preserve"> zemes vienības platība atkarībā no funkcionālās zonas</w:t>
      </w:r>
      <w:r w:rsidR="00A079DE" w:rsidRPr="00675182">
        <w:rPr>
          <w:rFonts w:cstheme="minorHAnsi"/>
          <w:szCs w:val="24"/>
        </w:rPr>
        <w:t xml:space="preserve"> (izņemot </w:t>
      </w:r>
      <w:r w:rsidR="00FD1CA9" w:rsidRPr="00675182">
        <w:rPr>
          <w:rFonts w:cstheme="minorHAnsi"/>
          <w:szCs w:val="24"/>
        </w:rPr>
        <w:t>DLZ</w:t>
      </w:r>
      <w:r w:rsidR="00A079DE" w:rsidRPr="00675182">
        <w:rPr>
          <w:rFonts w:cstheme="minorHAnsi"/>
          <w:szCs w:val="24"/>
        </w:rPr>
        <w:t>)</w:t>
      </w:r>
      <w:r w:rsidRPr="00675182">
        <w:rPr>
          <w:rFonts w:cstheme="minorHAnsi"/>
          <w:szCs w:val="24"/>
        </w:rPr>
        <w:t xml:space="preserve">, tomēr kā izņēmumi minami Beverīnas novads un </w:t>
      </w:r>
      <w:r w:rsidR="00A079DE" w:rsidRPr="00675182">
        <w:rPr>
          <w:rFonts w:cstheme="minorHAnsi"/>
          <w:szCs w:val="24"/>
        </w:rPr>
        <w:t>Krimuldas</w:t>
      </w:r>
      <w:r w:rsidRPr="00675182">
        <w:rPr>
          <w:rFonts w:cstheme="minorHAnsi"/>
          <w:szCs w:val="24"/>
        </w:rPr>
        <w:t xml:space="preserve"> novads. </w:t>
      </w:r>
      <w:r w:rsidR="00C23630" w:rsidRPr="00675182">
        <w:rPr>
          <w:rFonts w:cstheme="minorHAnsi"/>
          <w:szCs w:val="24"/>
        </w:rPr>
        <w:t>Beverīnas novada TIAN ir noteikts, ka lauksa</w:t>
      </w:r>
      <w:r w:rsidR="00A079DE" w:rsidRPr="00675182">
        <w:rPr>
          <w:rFonts w:cstheme="minorHAnsi"/>
          <w:szCs w:val="24"/>
        </w:rPr>
        <w:t xml:space="preserve">imniecības un mežu zemēs minimālā jaunveidojamā zemes gabala platība ainavu aizsardzības zonā ir 2 ha. Krimuldas novada TIAN </w:t>
      </w:r>
      <w:r w:rsidR="00FC2661" w:rsidRPr="00675182">
        <w:rPr>
          <w:rFonts w:cstheme="minorHAnsi"/>
          <w:szCs w:val="24"/>
        </w:rPr>
        <w:t xml:space="preserve">424. punktā </w:t>
      </w:r>
      <w:r w:rsidR="00A079DE" w:rsidRPr="00675182">
        <w:rPr>
          <w:rFonts w:cstheme="minorHAnsi"/>
          <w:szCs w:val="24"/>
        </w:rPr>
        <w:t>ir noteikt</w:t>
      </w:r>
      <w:r w:rsidR="00FC2661" w:rsidRPr="00675182">
        <w:rPr>
          <w:rFonts w:cstheme="minorHAnsi"/>
          <w:szCs w:val="24"/>
        </w:rPr>
        <w:t>s</w:t>
      </w:r>
      <w:r w:rsidR="00A079DE" w:rsidRPr="00675182">
        <w:rPr>
          <w:rFonts w:cstheme="minorHAnsi"/>
          <w:szCs w:val="24"/>
        </w:rPr>
        <w:t xml:space="preserve">, ka </w:t>
      </w:r>
      <w:r w:rsidR="00FC2661" w:rsidRPr="00675182">
        <w:rPr>
          <w:rFonts w:cstheme="minorHAnsi"/>
          <w:szCs w:val="24"/>
        </w:rPr>
        <w:t xml:space="preserve">minimālā jaunveidojamās zemes vienības platība gan meža teritorijās, gan lauksaimniecības zemēs, kas atrodas GNP, ir 5 ha. </w:t>
      </w:r>
    </w:p>
    <w:p w14:paraId="3ED3D4EB" w14:textId="28EC3EB4" w:rsidR="007127E0" w:rsidRPr="00675182" w:rsidRDefault="007127E0" w:rsidP="00A079DE">
      <w:pPr>
        <w:suppressAutoHyphens w:val="0"/>
        <w:jc w:val="both"/>
        <w:rPr>
          <w:rFonts w:cstheme="minorHAnsi"/>
          <w:szCs w:val="24"/>
        </w:rPr>
      </w:pPr>
      <w:r w:rsidRPr="00675182">
        <w:rPr>
          <w:rFonts w:cstheme="minorHAnsi"/>
          <w:szCs w:val="24"/>
        </w:rPr>
        <w:br w:type="page"/>
      </w:r>
    </w:p>
    <w:p w14:paraId="7053093D" w14:textId="1ACC9995" w:rsidR="002169CA" w:rsidRPr="00675182" w:rsidRDefault="002169CA" w:rsidP="002B3341">
      <w:pPr>
        <w:rPr>
          <w:rFonts w:cstheme="minorHAnsi"/>
          <w:b/>
          <w:i/>
          <w:szCs w:val="24"/>
        </w:rPr>
      </w:pPr>
      <w:r w:rsidRPr="00675182">
        <w:rPr>
          <w:rFonts w:cstheme="minorHAnsi"/>
          <w:b/>
          <w:i/>
          <w:szCs w:val="24"/>
        </w:rPr>
        <w:lastRenderedPageBreak/>
        <w:t>1.</w:t>
      </w:r>
      <w:r w:rsidR="00EF6181" w:rsidRPr="00675182">
        <w:rPr>
          <w:rFonts w:cstheme="minorHAnsi"/>
          <w:b/>
          <w:i/>
          <w:szCs w:val="24"/>
        </w:rPr>
        <w:t>1.</w:t>
      </w:r>
      <w:r w:rsidR="00712E6F" w:rsidRPr="00675182">
        <w:rPr>
          <w:rFonts w:cstheme="minorHAnsi"/>
          <w:b/>
          <w:i/>
          <w:szCs w:val="24"/>
        </w:rPr>
        <w:t>5</w:t>
      </w:r>
      <w:r w:rsidRPr="00675182">
        <w:rPr>
          <w:rFonts w:cstheme="minorHAnsi"/>
          <w:b/>
          <w:i/>
          <w:szCs w:val="24"/>
        </w:rPr>
        <w:t xml:space="preserve">. tabula. Plānotā (atļautā) teritorijas izmantošana </w:t>
      </w:r>
      <w:r w:rsidR="00D415B3" w:rsidRPr="00675182">
        <w:rPr>
          <w:rFonts w:cstheme="minorHAnsi"/>
          <w:b/>
          <w:i/>
          <w:szCs w:val="24"/>
        </w:rPr>
        <w:t>GNP</w:t>
      </w:r>
      <w:r w:rsidR="00CC3C9A" w:rsidRPr="00675182">
        <w:rPr>
          <w:rFonts w:cstheme="minorHAnsi"/>
          <w:b/>
          <w:i/>
          <w:szCs w:val="24"/>
        </w:rPr>
        <w:t xml:space="preserve"> </w:t>
      </w:r>
      <w:r w:rsidRPr="00675182">
        <w:rPr>
          <w:rFonts w:cstheme="minorHAnsi"/>
          <w:b/>
          <w:i/>
          <w:szCs w:val="24"/>
        </w:rPr>
        <w:t xml:space="preserve">atbilstoši </w:t>
      </w:r>
      <w:r w:rsidR="00D15434" w:rsidRPr="00675182">
        <w:rPr>
          <w:rFonts w:cstheme="minorHAnsi"/>
          <w:b/>
          <w:i/>
          <w:szCs w:val="24"/>
        </w:rPr>
        <w:t>novad</w:t>
      </w:r>
      <w:r w:rsidR="002B3341" w:rsidRPr="00675182">
        <w:rPr>
          <w:rFonts w:cstheme="minorHAnsi"/>
          <w:b/>
          <w:i/>
          <w:szCs w:val="24"/>
        </w:rPr>
        <w:t>u</w:t>
      </w:r>
      <w:r w:rsidR="00D15434" w:rsidRPr="00675182">
        <w:rPr>
          <w:rFonts w:cstheme="minorHAnsi"/>
          <w:b/>
          <w:i/>
          <w:szCs w:val="24"/>
        </w:rPr>
        <w:t xml:space="preserve"> teritorijas plānojum</w:t>
      </w:r>
      <w:r w:rsidR="00292900" w:rsidRPr="00675182">
        <w:rPr>
          <w:rFonts w:cstheme="minorHAnsi"/>
          <w:b/>
          <w:i/>
          <w:szCs w:val="24"/>
        </w:rPr>
        <w:t>iem</w:t>
      </w:r>
    </w:p>
    <w:tbl>
      <w:tblPr>
        <w:tblW w:w="8593" w:type="dxa"/>
        <w:tblInd w:w="93" w:type="dxa"/>
        <w:tblLook w:val="04A0" w:firstRow="1" w:lastRow="0" w:firstColumn="1" w:lastColumn="0" w:noHBand="0" w:noVBand="1"/>
      </w:tblPr>
      <w:tblGrid>
        <w:gridCol w:w="5640"/>
        <w:gridCol w:w="1373"/>
        <w:gridCol w:w="1580"/>
      </w:tblGrid>
      <w:tr w:rsidR="002169CA" w:rsidRPr="00675182" w14:paraId="02227613" w14:textId="77777777" w:rsidTr="001A1092">
        <w:trPr>
          <w:trHeight w:val="300"/>
          <w:tblHeader/>
        </w:trPr>
        <w:tc>
          <w:tcPr>
            <w:tcW w:w="5640"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3C96519C" w14:textId="77777777" w:rsidR="002169CA" w:rsidRPr="00675182" w:rsidRDefault="002169CA" w:rsidP="002B3341">
            <w:pPr>
              <w:suppressAutoHyphens w:val="0"/>
              <w:rPr>
                <w:rFonts w:eastAsia="Times New Roman" w:cstheme="minorHAnsi"/>
                <w:b/>
                <w:bCs/>
                <w:color w:val="000000"/>
                <w:szCs w:val="24"/>
                <w:lang w:eastAsia="en-GB"/>
              </w:rPr>
            </w:pPr>
            <w:r w:rsidRPr="00675182">
              <w:rPr>
                <w:rFonts w:eastAsia="Times New Roman" w:cstheme="minorHAnsi"/>
                <w:b/>
                <w:bCs/>
                <w:color w:val="000000"/>
                <w:szCs w:val="24"/>
                <w:lang w:eastAsia="en-GB"/>
              </w:rPr>
              <w:t>Plānotā (atļautā) teritorijas izmantošana</w:t>
            </w:r>
          </w:p>
        </w:tc>
        <w:tc>
          <w:tcPr>
            <w:tcW w:w="1373" w:type="dxa"/>
            <w:tcBorders>
              <w:top w:val="single" w:sz="4" w:space="0" w:color="auto"/>
              <w:left w:val="nil"/>
              <w:bottom w:val="single" w:sz="4" w:space="0" w:color="auto"/>
              <w:right w:val="single" w:sz="4" w:space="0" w:color="auto"/>
            </w:tcBorders>
            <w:shd w:val="clear" w:color="000000" w:fill="D8E4BC"/>
            <w:noWrap/>
            <w:vAlign w:val="center"/>
            <w:hideMark/>
          </w:tcPr>
          <w:p w14:paraId="6DC5AF9A" w14:textId="77777777" w:rsidR="002169CA" w:rsidRPr="00675182" w:rsidRDefault="002169CA" w:rsidP="00CE3768">
            <w:pPr>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Platība, ha</w:t>
            </w:r>
          </w:p>
        </w:tc>
        <w:tc>
          <w:tcPr>
            <w:tcW w:w="1580" w:type="dxa"/>
            <w:tcBorders>
              <w:top w:val="single" w:sz="4" w:space="0" w:color="auto"/>
              <w:left w:val="nil"/>
              <w:bottom w:val="single" w:sz="4" w:space="0" w:color="auto"/>
              <w:right w:val="single" w:sz="4" w:space="0" w:color="auto"/>
            </w:tcBorders>
            <w:shd w:val="clear" w:color="000000" w:fill="D8E4BC"/>
            <w:noWrap/>
            <w:vAlign w:val="center"/>
            <w:hideMark/>
          </w:tcPr>
          <w:p w14:paraId="53EE904B" w14:textId="3DAACFE8" w:rsidR="002169CA" w:rsidRPr="00675182" w:rsidRDefault="002169CA" w:rsidP="00CE3768">
            <w:pPr>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 xml:space="preserve">Procenti no </w:t>
            </w:r>
            <w:r w:rsidR="002B3341" w:rsidRPr="00675182">
              <w:rPr>
                <w:rFonts w:eastAsia="Times New Roman" w:cstheme="minorHAnsi"/>
                <w:b/>
                <w:bCs/>
                <w:color w:val="000000"/>
                <w:szCs w:val="24"/>
                <w:lang w:eastAsia="en-GB"/>
              </w:rPr>
              <w:t>GNP</w:t>
            </w:r>
            <w:r w:rsidR="00D36D55" w:rsidRPr="00675182">
              <w:rPr>
                <w:rFonts w:eastAsia="Times New Roman" w:cstheme="minorHAnsi"/>
                <w:b/>
                <w:bCs/>
                <w:color w:val="000000"/>
                <w:szCs w:val="24"/>
                <w:lang w:eastAsia="en-GB"/>
              </w:rPr>
              <w:t xml:space="preserve"> </w:t>
            </w:r>
            <w:r w:rsidRPr="00675182">
              <w:rPr>
                <w:rFonts w:eastAsia="Times New Roman" w:cstheme="minorHAnsi"/>
                <w:b/>
                <w:bCs/>
                <w:color w:val="000000"/>
                <w:szCs w:val="24"/>
                <w:lang w:eastAsia="en-GB"/>
              </w:rPr>
              <w:t>teritorijas</w:t>
            </w:r>
          </w:p>
        </w:tc>
      </w:tr>
      <w:tr w:rsidR="00292900" w:rsidRPr="00675182" w14:paraId="64BF0BC1" w14:textId="77777777" w:rsidTr="002D55F7">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186ECC" w14:textId="641D09FD" w:rsidR="00292900" w:rsidRPr="00675182" w:rsidRDefault="00292900" w:rsidP="00292900">
            <w:pPr>
              <w:rPr>
                <w:rFonts w:cstheme="minorHAnsi"/>
                <w:color w:val="000000"/>
                <w:szCs w:val="24"/>
              </w:rPr>
            </w:pPr>
            <w:r w:rsidRPr="00675182">
              <w:rPr>
                <w:rFonts w:cstheme="minorHAnsi"/>
                <w:color w:val="000000"/>
                <w:sz w:val="22"/>
                <w:szCs w:val="22"/>
              </w:rPr>
              <w:t>Mežu teritorija</w:t>
            </w:r>
          </w:p>
        </w:tc>
        <w:tc>
          <w:tcPr>
            <w:tcW w:w="1373" w:type="dxa"/>
            <w:tcBorders>
              <w:top w:val="single" w:sz="8" w:space="0" w:color="auto"/>
              <w:left w:val="nil"/>
              <w:bottom w:val="single" w:sz="8" w:space="0" w:color="auto"/>
              <w:right w:val="single" w:sz="8" w:space="0" w:color="auto"/>
            </w:tcBorders>
            <w:shd w:val="clear" w:color="auto" w:fill="auto"/>
            <w:noWrap/>
            <w:vAlign w:val="bottom"/>
          </w:tcPr>
          <w:p w14:paraId="675F7548" w14:textId="491515A3" w:rsidR="00292900" w:rsidRPr="00675182" w:rsidRDefault="00292900" w:rsidP="00292900">
            <w:pPr>
              <w:jc w:val="right"/>
              <w:rPr>
                <w:rFonts w:cstheme="minorHAnsi"/>
                <w:color w:val="000000"/>
                <w:szCs w:val="24"/>
              </w:rPr>
            </w:pPr>
            <w:r w:rsidRPr="00675182">
              <w:rPr>
                <w:rFonts w:cstheme="minorHAnsi"/>
                <w:color w:val="000000"/>
                <w:sz w:val="22"/>
                <w:szCs w:val="22"/>
              </w:rPr>
              <w:t>52058</w:t>
            </w:r>
          </w:p>
        </w:tc>
        <w:tc>
          <w:tcPr>
            <w:tcW w:w="1580" w:type="dxa"/>
            <w:tcBorders>
              <w:top w:val="single" w:sz="8" w:space="0" w:color="auto"/>
              <w:left w:val="nil"/>
              <w:bottom w:val="single" w:sz="8" w:space="0" w:color="auto"/>
              <w:right w:val="single" w:sz="8" w:space="0" w:color="auto"/>
            </w:tcBorders>
            <w:shd w:val="clear" w:color="auto" w:fill="auto"/>
            <w:noWrap/>
            <w:vAlign w:val="bottom"/>
          </w:tcPr>
          <w:p w14:paraId="54232E96" w14:textId="48EBE92D" w:rsidR="00292900" w:rsidRPr="00675182" w:rsidRDefault="00292900" w:rsidP="00292900">
            <w:pPr>
              <w:jc w:val="right"/>
              <w:rPr>
                <w:rFonts w:cstheme="minorHAnsi"/>
                <w:color w:val="000000"/>
                <w:szCs w:val="24"/>
              </w:rPr>
            </w:pPr>
            <w:r w:rsidRPr="00675182">
              <w:rPr>
                <w:rFonts w:cstheme="minorHAnsi"/>
                <w:color w:val="000000"/>
                <w:sz w:val="22"/>
                <w:szCs w:val="22"/>
              </w:rPr>
              <w:t>56,72</w:t>
            </w:r>
          </w:p>
        </w:tc>
      </w:tr>
      <w:tr w:rsidR="00292900" w:rsidRPr="00675182" w14:paraId="2883ED1B" w14:textId="77777777" w:rsidTr="002D55F7">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32CE19" w14:textId="1D5D50D2" w:rsidR="00292900" w:rsidRPr="00675182" w:rsidRDefault="00292900" w:rsidP="00292900">
            <w:pPr>
              <w:rPr>
                <w:rFonts w:cstheme="minorHAnsi"/>
                <w:color w:val="000000"/>
                <w:szCs w:val="24"/>
              </w:rPr>
            </w:pPr>
            <w:r w:rsidRPr="00675182">
              <w:rPr>
                <w:rFonts w:cstheme="minorHAnsi"/>
                <w:color w:val="000000"/>
                <w:sz w:val="22"/>
                <w:szCs w:val="22"/>
              </w:rPr>
              <w:t>Lauksaimniecības teritorija</w:t>
            </w:r>
          </w:p>
        </w:tc>
        <w:tc>
          <w:tcPr>
            <w:tcW w:w="1373" w:type="dxa"/>
            <w:tcBorders>
              <w:top w:val="nil"/>
              <w:left w:val="nil"/>
              <w:bottom w:val="single" w:sz="8" w:space="0" w:color="auto"/>
              <w:right w:val="single" w:sz="8" w:space="0" w:color="auto"/>
            </w:tcBorders>
            <w:shd w:val="clear" w:color="auto" w:fill="auto"/>
            <w:noWrap/>
            <w:vAlign w:val="bottom"/>
          </w:tcPr>
          <w:p w14:paraId="0819468A" w14:textId="1FF24A3A" w:rsidR="00292900" w:rsidRPr="00675182" w:rsidRDefault="00292900" w:rsidP="00292900">
            <w:pPr>
              <w:jc w:val="right"/>
              <w:rPr>
                <w:rFonts w:cstheme="minorHAnsi"/>
                <w:color w:val="000000"/>
                <w:szCs w:val="24"/>
              </w:rPr>
            </w:pPr>
            <w:r w:rsidRPr="00675182">
              <w:rPr>
                <w:rFonts w:cstheme="minorHAnsi"/>
                <w:color w:val="000000"/>
                <w:sz w:val="22"/>
                <w:szCs w:val="22"/>
              </w:rPr>
              <w:t>31673</w:t>
            </w:r>
          </w:p>
        </w:tc>
        <w:tc>
          <w:tcPr>
            <w:tcW w:w="1580" w:type="dxa"/>
            <w:tcBorders>
              <w:top w:val="nil"/>
              <w:left w:val="nil"/>
              <w:bottom w:val="single" w:sz="8" w:space="0" w:color="auto"/>
              <w:right w:val="single" w:sz="8" w:space="0" w:color="auto"/>
            </w:tcBorders>
            <w:shd w:val="clear" w:color="auto" w:fill="auto"/>
            <w:noWrap/>
            <w:vAlign w:val="bottom"/>
          </w:tcPr>
          <w:p w14:paraId="4CB3CB1D" w14:textId="2D1666EB" w:rsidR="00292900" w:rsidRPr="00675182" w:rsidRDefault="00292900" w:rsidP="00292900">
            <w:pPr>
              <w:jc w:val="right"/>
              <w:rPr>
                <w:rFonts w:cstheme="minorHAnsi"/>
                <w:color w:val="000000"/>
                <w:szCs w:val="24"/>
              </w:rPr>
            </w:pPr>
            <w:r w:rsidRPr="00675182">
              <w:rPr>
                <w:rFonts w:cstheme="minorHAnsi"/>
                <w:color w:val="000000"/>
                <w:sz w:val="22"/>
                <w:szCs w:val="22"/>
              </w:rPr>
              <w:t>34,51</w:t>
            </w:r>
          </w:p>
        </w:tc>
      </w:tr>
      <w:tr w:rsidR="00292900" w:rsidRPr="00675182" w14:paraId="2C5A0A1E"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2BE8EB" w14:textId="4F7702A9" w:rsidR="00292900" w:rsidRPr="00675182" w:rsidRDefault="00292900" w:rsidP="00292900">
            <w:pPr>
              <w:rPr>
                <w:rFonts w:cstheme="minorHAnsi"/>
                <w:color w:val="000000"/>
                <w:szCs w:val="24"/>
              </w:rPr>
            </w:pPr>
            <w:r w:rsidRPr="00675182">
              <w:rPr>
                <w:rFonts w:cstheme="minorHAnsi"/>
                <w:color w:val="000000"/>
                <w:sz w:val="22"/>
                <w:szCs w:val="22"/>
              </w:rPr>
              <w:t>Ūdeņu teritorija</w:t>
            </w:r>
          </w:p>
        </w:tc>
        <w:tc>
          <w:tcPr>
            <w:tcW w:w="1373" w:type="dxa"/>
            <w:tcBorders>
              <w:top w:val="nil"/>
              <w:left w:val="nil"/>
              <w:bottom w:val="single" w:sz="4" w:space="0" w:color="auto"/>
              <w:right w:val="single" w:sz="8" w:space="0" w:color="auto"/>
            </w:tcBorders>
            <w:shd w:val="clear" w:color="auto" w:fill="auto"/>
            <w:noWrap/>
            <w:vAlign w:val="bottom"/>
          </w:tcPr>
          <w:p w14:paraId="77935D7A" w14:textId="23ADFD90" w:rsidR="00292900" w:rsidRPr="00675182" w:rsidRDefault="00292900" w:rsidP="00292900">
            <w:pPr>
              <w:jc w:val="right"/>
              <w:rPr>
                <w:rFonts w:cstheme="minorHAnsi"/>
                <w:color w:val="000000"/>
                <w:szCs w:val="24"/>
              </w:rPr>
            </w:pPr>
            <w:r w:rsidRPr="00675182">
              <w:rPr>
                <w:rFonts w:cstheme="minorHAnsi"/>
                <w:color w:val="000000"/>
                <w:sz w:val="22"/>
                <w:szCs w:val="22"/>
              </w:rPr>
              <w:t>2588</w:t>
            </w:r>
          </w:p>
        </w:tc>
        <w:tc>
          <w:tcPr>
            <w:tcW w:w="1580" w:type="dxa"/>
            <w:tcBorders>
              <w:top w:val="nil"/>
              <w:left w:val="nil"/>
              <w:bottom w:val="single" w:sz="4" w:space="0" w:color="auto"/>
              <w:right w:val="single" w:sz="8" w:space="0" w:color="auto"/>
            </w:tcBorders>
            <w:shd w:val="clear" w:color="auto" w:fill="auto"/>
            <w:noWrap/>
            <w:vAlign w:val="bottom"/>
          </w:tcPr>
          <w:p w14:paraId="6B7616EA" w14:textId="64E553ED" w:rsidR="00292900" w:rsidRPr="00675182" w:rsidRDefault="00292900" w:rsidP="00292900">
            <w:pPr>
              <w:jc w:val="right"/>
              <w:rPr>
                <w:rFonts w:cstheme="minorHAnsi"/>
                <w:color w:val="000000"/>
                <w:szCs w:val="24"/>
              </w:rPr>
            </w:pPr>
            <w:r w:rsidRPr="00675182">
              <w:rPr>
                <w:rFonts w:cstheme="minorHAnsi"/>
                <w:color w:val="000000"/>
                <w:sz w:val="22"/>
                <w:szCs w:val="22"/>
              </w:rPr>
              <w:t>2,82</w:t>
            </w:r>
          </w:p>
        </w:tc>
      </w:tr>
      <w:tr w:rsidR="00292900" w:rsidRPr="00675182" w14:paraId="644C8EE5"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2E529" w14:textId="4CD1AA66" w:rsidR="00292900" w:rsidRPr="00675182" w:rsidRDefault="00292900" w:rsidP="00292900">
            <w:pPr>
              <w:rPr>
                <w:rFonts w:cstheme="minorHAnsi"/>
                <w:color w:val="000000"/>
                <w:szCs w:val="24"/>
              </w:rPr>
            </w:pPr>
            <w:r w:rsidRPr="00675182">
              <w:rPr>
                <w:rFonts w:cstheme="minorHAnsi"/>
                <w:color w:val="000000"/>
                <w:sz w:val="22"/>
                <w:szCs w:val="22"/>
              </w:rPr>
              <w:t>Dabas un apstādījumu teritorija</w:t>
            </w:r>
          </w:p>
        </w:tc>
        <w:tc>
          <w:tcPr>
            <w:tcW w:w="1373" w:type="dxa"/>
            <w:tcBorders>
              <w:top w:val="single" w:sz="4" w:space="0" w:color="auto"/>
              <w:left w:val="nil"/>
              <w:bottom w:val="single" w:sz="4" w:space="0" w:color="auto"/>
              <w:right w:val="single" w:sz="4" w:space="0" w:color="auto"/>
            </w:tcBorders>
            <w:shd w:val="clear" w:color="auto" w:fill="auto"/>
            <w:noWrap/>
            <w:vAlign w:val="bottom"/>
          </w:tcPr>
          <w:p w14:paraId="425E1B94" w14:textId="2282FC33" w:rsidR="00292900" w:rsidRPr="00675182" w:rsidRDefault="00292900" w:rsidP="00292900">
            <w:pPr>
              <w:jc w:val="right"/>
              <w:rPr>
                <w:rFonts w:cstheme="minorHAnsi"/>
                <w:color w:val="000000"/>
                <w:szCs w:val="24"/>
              </w:rPr>
            </w:pPr>
            <w:r w:rsidRPr="00675182">
              <w:rPr>
                <w:rFonts w:cstheme="minorHAnsi"/>
                <w:color w:val="000000"/>
                <w:sz w:val="22"/>
                <w:szCs w:val="22"/>
              </w:rPr>
              <w:t>1216</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4D3C2" w14:textId="1611EEA5" w:rsidR="00292900" w:rsidRPr="00675182" w:rsidRDefault="00292900" w:rsidP="00292900">
            <w:pPr>
              <w:jc w:val="right"/>
              <w:rPr>
                <w:rFonts w:cstheme="minorHAnsi"/>
                <w:color w:val="000000"/>
                <w:szCs w:val="24"/>
              </w:rPr>
            </w:pPr>
            <w:r w:rsidRPr="00675182">
              <w:rPr>
                <w:rFonts w:cstheme="minorHAnsi"/>
                <w:color w:val="000000"/>
                <w:sz w:val="22"/>
                <w:szCs w:val="22"/>
              </w:rPr>
              <w:t>1,32</w:t>
            </w:r>
          </w:p>
        </w:tc>
      </w:tr>
      <w:tr w:rsidR="00292900" w:rsidRPr="00675182" w14:paraId="30D6B9B1"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0C7A4" w14:textId="48FCF9AC" w:rsidR="00292900" w:rsidRPr="00675182" w:rsidRDefault="00292900" w:rsidP="00292900">
            <w:pPr>
              <w:rPr>
                <w:rFonts w:cstheme="minorHAnsi"/>
                <w:color w:val="000000"/>
                <w:szCs w:val="24"/>
              </w:rPr>
            </w:pPr>
            <w:r w:rsidRPr="00675182">
              <w:rPr>
                <w:rFonts w:cstheme="minorHAnsi"/>
                <w:color w:val="000000"/>
                <w:sz w:val="22"/>
                <w:szCs w:val="22"/>
              </w:rPr>
              <w:t>Rūpnieciskās apbūves teritorija</w:t>
            </w:r>
          </w:p>
        </w:tc>
        <w:tc>
          <w:tcPr>
            <w:tcW w:w="1373" w:type="dxa"/>
            <w:tcBorders>
              <w:top w:val="single" w:sz="4" w:space="0" w:color="auto"/>
              <w:left w:val="nil"/>
              <w:bottom w:val="single" w:sz="4" w:space="0" w:color="auto"/>
              <w:right w:val="single" w:sz="4" w:space="0" w:color="auto"/>
            </w:tcBorders>
            <w:shd w:val="clear" w:color="auto" w:fill="auto"/>
            <w:noWrap/>
            <w:vAlign w:val="bottom"/>
          </w:tcPr>
          <w:p w14:paraId="2CE7A6BC" w14:textId="2C030B22" w:rsidR="00292900" w:rsidRPr="00675182" w:rsidRDefault="00292900" w:rsidP="00292900">
            <w:pPr>
              <w:jc w:val="right"/>
              <w:rPr>
                <w:rFonts w:cstheme="minorHAnsi"/>
                <w:color w:val="000000"/>
                <w:szCs w:val="24"/>
              </w:rPr>
            </w:pPr>
            <w:r w:rsidRPr="00675182">
              <w:rPr>
                <w:rFonts w:cstheme="minorHAnsi"/>
                <w:color w:val="000000"/>
                <w:sz w:val="22"/>
                <w:szCs w:val="22"/>
              </w:rPr>
              <w:t>1285</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F45110" w14:textId="0BCEF46A" w:rsidR="00292900" w:rsidRPr="00675182" w:rsidRDefault="00292900" w:rsidP="00292900">
            <w:pPr>
              <w:jc w:val="right"/>
              <w:rPr>
                <w:rFonts w:cstheme="minorHAnsi"/>
                <w:color w:val="000000"/>
                <w:szCs w:val="24"/>
              </w:rPr>
            </w:pPr>
            <w:r w:rsidRPr="00675182">
              <w:rPr>
                <w:rFonts w:cstheme="minorHAnsi"/>
                <w:color w:val="000000"/>
                <w:sz w:val="22"/>
                <w:szCs w:val="22"/>
              </w:rPr>
              <w:t>1,40</w:t>
            </w:r>
          </w:p>
        </w:tc>
      </w:tr>
      <w:tr w:rsidR="00292900" w:rsidRPr="00675182" w14:paraId="31FB68BA"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C0D63E" w14:textId="1D8350EA" w:rsidR="00292900" w:rsidRPr="00675182" w:rsidRDefault="00292900" w:rsidP="00292900">
            <w:pPr>
              <w:rPr>
                <w:rFonts w:cstheme="minorHAnsi"/>
                <w:color w:val="000000"/>
                <w:szCs w:val="24"/>
              </w:rPr>
            </w:pPr>
            <w:r w:rsidRPr="00675182">
              <w:rPr>
                <w:rFonts w:cstheme="minorHAnsi"/>
                <w:color w:val="000000"/>
                <w:sz w:val="22"/>
                <w:szCs w:val="22"/>
              </w:rPr>
              <w:t>Savrupmāju apbūves teritorija</w:t>
            </w:r>
          </w:p>
        </w:tc>
        <w:tc>
          <w:tcPr>
            <w:tcW w:w="1373" w:type="dxa"/>
            <w:tcBorders>
              <w:top w:val="single" w:sz="4" w:space="0" w:color="auto"/>
              <w:left w:val="nil"/>
              <w:bottom w:val="single" w:sz="4" w:space="0" w:color="auto"/>
              <w:right w:val="single" w:sz="4" w:space="0" w:color="auto"/>
            </w:tcBorders>
            <w:shd w:val="clear" w:color="auto" w:fill="auto"/>
            <w:noWrap/>
            <w:vAlign w:val="bottom"/>
          </w:tcPr>
          <w:p w14:paraId="30E7E955" w14:textId="51C3E2A5" w:rsidR="00292900" w:rsidRPr="00675182" w:rsidRDefault="00292900" w:rsidP="00292900">
            <w:pPr>
              <w:jc w:val="right"/>
              <w:rPr>
                <w:rFonts w:cstheme="minorHAnsi"/>
                <w:color w:val="000000"/>
                <w:szCs w:val="24"/>
              </w:rPr>
            </w:pPr>
            <w:r w:rsidRPr="00675182">
              <w:rPr>
                <w:rFonts w:cstheme="minorHAnsi"/>
                <w:color w:val="000000"/>
                <w:sz w:val="22"/>
                <w:szCs w:val="22"/>
              </w:rPr>
              <w:t>1098</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F2F6E" w14:textId="62DAB246" w:rsidR="00292900" w:rsidRPr="00675182" w:rsidRDefault="00292900" w:rsidP="00292900">
            <w:pPr>
              <w:jc w:val="right"/>
              <w:rPr>
                <w:rFonts w:cstheme="minorHAnsi"/>
                <w:color w:val="000000"/>
                <w:szCs w:val="24"/>
              </w:rPr>
            </w:pPr>
            <w:r w:rsidRPr="00675182">
              <w:rPr>
                <w:rFonts w:cstheme="minorHAnsi"/>
                <w:color w:val="000000"/>
                <w:sz w:val="22"/>
                <w:szCs w:val="22"/>
              </w:rPr>
              <w:t>1,20</w:t>
            </w:r>
          </w:p>
        </w:tc>
      </w:tr>
      <w:tr w:rsidR="00292900" w:rsidRPr="00675182" w14:paraId="7CA3AC80"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3E81C4" w14:textId="7AF61B91" w:rsidR="00292900" w:rsidRPr="00675182" w:rsidRDefault="00292900" w:rsidP="00292900">
            <w:pPr>
              <w:rPr>
                <w:rFonts w:cstheme="minorHAnsi"/>
                <w:color w:val="000000"/>
                <w:szCs w:val="24"/>
              </w:rPr>
            </w:pPr>
            <w:r w:rsidRPr="00675182">
              <w:rPr>
                <w:rFonts w:cstheme="minorHAnsi"/>
                <w:color w:val="000000"/>
                <w:sz w:val="22"/>
                <w:szCs w:val="22"/>
              </w:rPr>
              <w:t>Transporta infrastruktūras teritorija</w:t>
            </w:r>
          </w:p>
        </w:tc>
        <w:tc>
          <w:tcPr>
            <w:tcW w:w="1373" w:type="dxa"/>
            <w:tcBorders>
              <w:top w:val="single" w:sz="4" w:space="0" w:color="auto"/>
              <w:left w:val="nil"/>
              <w:bottom w:val="single" w:sz="4" w:space="0" w:color="auto"/>
              <w:right w:val="single" w:sz="4" w:space="0" w:color="auto"/>
            </w:tcBorders>
            <w:shd w:val="clear" w:color="auto" w:fill="auto"/>
            <w:noWrap/>
            <w:vAlign w:val="bottom"/>
          </w:tcPr>
          <w:p w14:paraId="440523C1" w14:textId="4E8C7858" w:rsidR="00292900" w:rsidRPr="00675182" w:rsidRDefault="00292900" w:rsidP="00292900">
            <w:pPr>
              <w:jc w:val="right"/>
              <w:rPr>
                <w:rFonts w:cstheme="minorHAnsi"/>
                <w:color w:val="000000"/>
                <w:szCs w:val="24"/>
              </w:rPr>
            </w:pPr>
            <w:r w:rsidRPr="00675182">
              <w:rPr>
                <w:rFonts w:cstheme="minorHAnsi"/>
                <w:color w:val="000000"/>
                <w:sz w:val="22"/>
                <w:szCs w:val="22"/>
              </w:rPr>
              <w:t>680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97E01" w14:textId="7DF1ACBE" w:rsidR="00292900" w:rsidRPr="00675182" w:rsidRDefault="00292900" w:rsidP="00292900">
            <w:pPr>
              <w:jc w:val="right"/>
              <w:rPr>
                <w:rFonts w:cstheme="minorHAnsi"/>
                <w:color w:val="000000"/>
                <w:szCs w:val="24"/>
              </w:rPr>
            </w:pPr>
            <w:r w:rsidRPr="00675182">
              <w:rPr>
                <w:rFonts w:cstheme="minorHAnsi"/>
                <w:color w:val="000000"/>
                <w:sz w:val="22"/>
                <w:szCs w:val="22"/>
              </w:rPr>
              <w:t>0,74</w:t>
            </w:r>
          </w:p>
        </w:tc>
      </w:tr>
      <w:tr w:rsidR="00292900" w:rsidRPr="00675182" w14:paraId="41EF0E07"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0DE57B" w14:textId="3B7D00FD" w:rsidR="00292900" w:rsidRPr="00675182" w:rsidRDefault="00292900" w:rsidP="00292900">
            <w:pPr>
              <w:rPr>
                <w:rFonts w:cstheme="minorHAnsi"/>
                <w:color w:val="000000"/>
                <w:szCs w:val="24"/>
              </w:rPr>
            </w:pPr>
            <w:r w:rsidRPr="00675182">
              <w:rPr>
                <w:rFonts w:cstheme="minorHAnsi"/>
                <w:color w:val="000000"/>
                <w:sz w:val="22"/>
                <w:szCs w:val="22"/>
              </w:rPr>
              <w:t>Publiskās apbūves teritorija</w:t>
            </w:r>
          </w:p>
        </w:tc>
        <w:tc>
          <w:tcPr>
            <w:tcW w:w="1373" w:type="dxa"/>
            <w:tcBorders>
              <w:top w:val="single" w:sz="4" w:space="0" w:color="auto"/>
              <w:left w:val="nil"/>
              <w:bottom w:val="single" w:sz="4" w:space="0" w:color="auto"/>
              <w:right w:val="single" w:sz="4" w:space="0" w:color="auto"/>
            </w:tcBorders>
            <w:shd w:val="clear" w:color="auto" w:fill="auto"/>
            <w:noWrap/>
            <w:vAlign w:val="bottom"/>
          </w:tcPr>
          <w:p w14:paraId="74294E70" w14:textId="459BCF70" w:rsidR="00292900" w:rsidRPr="00675182" w:rsidRDefault="00292900" w:rsidP="00292900">
            <w:pPr>
              <w:jc w:val="right"/>
              <w:rPr>
                <w:rFonts w:cstheme="minorHAnsi"/>
                <w:color w:val="000000"/>
                <w:szCs w:val="24"/>
              </w:rPr>
            </w:pPr>
            <w:r w:rsidRPr="00675182">
              <w:rPr>
                <w:rFonts w:cstheme="minorHAnsi"/>
                <w:color w:val="000000"/>
                <w:sz w:val="22"/>
                <w:szCs w:val="22"/>
              </w:rPr>
              <w:t>409</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B305B6" w14:textId="0571DA40" w:rsidR="00292900" w:rsidRPr="00675182" w:rsidRDefault="00292900" w:rsidP="00292900">
            <w:pPr>
              <w:jc w:val="right"/>
              <w:rPr>
                <w:rFonts w:cstheme="minorHAnsi"/>
                <w:color w:val="000000"/>
                <w:szCs w:val="24"/>
              </w:rPr>
            </w:pPr>
            <w:r w:rsidRPr="00675182">
              <w:rPr>
                <w:rFonts w:cstheme="minorHAnsi"/>
                <w:color w:val="000000"/>
                <w:sz w:val="22"/>
                <w:szCs w:val="22"/>
              </w:rPr>
              <w:t>0,45</w:t>
            </w:r>
          </w:p>
        </w:tc>
      </w:tr>
      <w:tr w:rsidR="00292900" w:rsidRPr="00675182" w14:paraId="753C62D2"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C5517" w14:textId="7BCE8590" w:rsidR="00292900" w:rsidRPr="00675182" w:rsidRDefault="00292900" w:rsidP="00292900">
            <w:pPr>
              <w:rPr>
                <w:rFonts w:cstheme="minorHAnsi"/>
                <w:color w:val="000000"/>
                <w:szCs w:val="24"/>
              </w:rPr>
            </w:pPr>
            <w:r w:rsidRPr="00675182">
              <w:rPr>
                <w:rFonts w:cstheme="minorHAnsi"/>
                <w:color w:val="000000"/>
                <w:sz w:val="22"/>
                <w:szCs w:val="22"/>
              </w:rPr>
              <w:t>Mazstāvu dzīvojamās apbūves teritorija</w:t>
            </w:r>
          </w:p>
        </w:tc>
        <w:tc>
          <w:tcPr>
            <w:tcW w:w="1373" w:type="dxa"/>
            <w:tcBorders>
              <w:top w:val="single" w:sz="4" w:space="0" w:color="auto"/>
              <w:left w:val="nil"/>
              <w:bottom w:val="single" w:sz="4" w:space="0" w:color="auto"/>
              <w:right w:val="single" w:sz="4" w:space="0" w:color="auto"/>
            </w:tcBorders>
            <w:shd w:val="clear" w:color="auto" w:fill="auto"/>
            <w:noWrap/>
            <w:vAlign w:val="bottom"/>
          </w:tcPr>
          <w:p w14:paraId="1DA932E4" w14:textId="3CE6EDFB" w:rsidR="00292900" w:rsidRPr="00675182" w:rsidRDefault="00292900" w:rsidP="00292900">
            <w:pPr>
              <w:jc w:val="right"/>
              <w:rPr>
                <w:rFonts w:cstheme="minorHAnsi"/>
                <w:color w:val="000000"/>
                <w:szCs w:val="24"/>
              </w:rPr>
            </w:pPr>
            <w:r w:rsidRPr="00675182">
              <w:rPr>
                <w:rFonts w:cstheme="minorHAnsi"/>
                <w:color w:val="000000"/>
                <w:sz w:val="22"/>
                <w:szCs w:val="22"/>
              </w:rPr>
              <w:t>404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121F01" w14:textId="02449C04" w:rsidR="00292900" w:rsidRPr="00675182" w:rsidRDefault="00292900" w:rsidP="00292900">
            <w:pPr>
              <w:jc w:val="right"/>
              <w:rPr>
                <w:rFonts w:cstheme="minorHAnsi"/>
                <w:color w:val="000000"/>
                <w:szCs w:val="24"/>
              </w:rPr>
            </w:pPr>
            <w:r w:rsidRPr="00675182">
              <w:rPr>
                <w:rFonts w:cstheme="minorHAnsi"/>
                <w:color w:val="000000"/>
                <w:sz w:val="22"/>
                <w:szCs w:val="22"/>
              </w:rPr>
              <w:t>0,44</w:t>
            </w:r>
          </w:p>
        </w:tc>
      </w:tr>
      <w:tr w:rsidR="00292900" w:rsidRPr="00675182" w14:paraId="7DF0CD5A"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6D7F6" w14:textId="1D21F329" w:rsidR="00292900" w:rsidRPr="00675182" w:rsidRDefault="00292900" w:rsidP="00292900">
            <w:pPr>
              <w:rPr>
                <w:rFonts w:cstheme="minorHAnsi"/>
                <w:color w:val="000000"/>
                <w:szCs w:val="24"/>
              </w:rPr>
            </w:pPr>
            <w:r w:rsidRPr="00675182">
              <w:rPr>
                <w:rFonts w:cstheme="minorHAnsi"/>
                <w:color w:val="000000"/>
                <w:sz w:val="22"/>
                <w:szCs w:val="22"/>
              </w:rPr>
              <w:t>Tehniskās apbūves teritorija</w:t>
            </w:r>
          </w:p>
        </w:tc>
        <w:tc>
          <w:tcPr>
            <w:tcW w:w="1373" w:type="dxa"/>
            <w:tcBorders>
              <w:top w:val="single" w:sz="4" w:space="0" w:color="auto"/>
              <w:left w:val="nil"/>
              <w:bottom w:val="single" w:sz="4" w:space="0" w:color="auto"/>
              <w:right w:val="single" w:sz="4" w:space="0" w:color="auto"/>
            </w:tcBorders>
            <w:shd w:val="clear" w:color="auto" w:fill="auto"/>
            <w:noWrap/>
            <w:vAlign w:val="bottom"/>
          </w:tcPr>
          <w:p w14:paraId="6B57CE3C" w14:textId="3A7A3E18" w:rsidR="00292900" w:rsidRPr="00675182" w:rsidRDefault="00292900" w:rsidP="00292900">
            <w:pPr>
              <w:jc w:val="right"/>
              <w:rPr>
                <w:rFonts w:cstheme="minorHAnsi"/>
                <w:color w:val="000000"/>
                <w:szCs w:val="24"/>
              </w:rPr>
            </w:pPr>
            <w:r w:rsidRPr="00675182">
              <w:rPr>
                <w:rFonts w:cstheme="minorHAnsi"/>
                <w:color w:val="000000"/>
                <w:sz w:val="22"/>
                <w:szCs w:val="22"/>
              </w:rPr>
              <w:t>335</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FB3C8" w14:textId="7EACF329" w:rsidR="00292900" w:rsidRPr="00675182" w:rsidRDefault="00292900" w:rsidP="00292900">
            <w:pPr>
              <w:jc w:val="right"/>
              <w:rPr>
                <w:rFonts w:cstheme="minorHAnsi"/>
                <w:color w:val="000000"/>
                <w:szCs w:val="24"/>
              </w:rPr>
            </w:pPr>
            <w:r w:rsidRPr="00675182">
              <w:rPr>
                <w:rFonts w:cstheme="minorHAnsi"/>
                <w:color w:val="000000"/>
                <w:sz w:val="22"/>
                <w:szCs w:val="22"/>
              </w:rPr>
              <w:t>0,36</w:t>
            </w:r>
          </w:p>
        </w:tc>
      </w:tr>
      <w:tr w:rsidR="00292900" w:rsidRPr="00675182" w14:paraId="379EB66F"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FAE9A" w14:textId="4BF960EF" w:rsidR="00292900" w:rsidRPr="00675182" w:rsidRDefault="00292900" w:rsidP="00292900">
            <w:pPr>
              <w:rPr>
                <w:rFonts w:cstheme="minorHAnsi"/>
                <w:color w:val="000000"/>
                <w:szCs w:val="24"/>
              </w:rPr>
            </w:pPr>
            <w:r w:rsidRPr="00675182">
              <w:rPr>
                <w:rFonts w:cstheme="minorHAnsi"/>
                <w:color w:val="000000"/>
                <w:sz w:val="22"/>
                <w:szCs w:val="22"/>
              </w:rPr>
              <w:t>Daudzstāvu dzīvojamās apbūves teritorija</w:t>
            </w:r>
          </w:p>
        </w:tc>
        <w:tc>
          <w:tcPr>
            <w:tcW w:w="1373" w:type="dxa"/>
            <w:tcBorders>
              <w:top w:val="single" w:sz="4" w:space="0" w:color="auto"/>
              <w:left w:val="nil"/>
              <w:bottom w:val="single" w:sz="4" w:space="0" w:color="auto"/>
              <w:right w:val="single" w:sz="4" w:space="0" w:color="auto"/>
            </w:tcBorders>
            <w:shd w:val="clear" w:color="auto" w:fill="auto"/>
            <w:noWrap/>
            <w:vAlign w:val="bottom"/>
          </w:tcPr>
          <w:p w14:paraId="17AA483D" w14:textId="3908802D" w:rsidR="00292900" w:rsidRPr="00675182" w:rsidRDefault="00292900" w:rsidP="00292900">
            <w:pPr>
              <w:jc w:val="right"/>
              <w:rPr>
                <w:rFonts w:cstheme="minorHAnsi"/>
                <w:color w:val="000000"/>
                <w:szCs w:val="24"/>
              </w:rPr>
            </w:pPr>
            <w:r w:rsidRPr="00675182">
              <w:rPr>
                <w:rFonts w:cstheme="minorHAnsi"/>
                <w:color w:val="000000"/>
                <w:sz w:val="22"/>
                <w:szCs w:val="22"/>
              </w:rPr>
              <w:t>22</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A218CF" w14:textId="1629FF8A" w:rsidR="00292900" w:rsidRPr="00675182" w:rsidRDefault="00292900" w:rsidP="00292900">
            <w:pPr>
              <w:jc w:val="right"/>
              <w:rPr>
                <w:rFonts w:cstheme="minorHAnsi"/>
                <w:color w:val="000000"/>
                <w:szCs w:val="24"/>
              </w:rPr>
            </w:pPr>
            <w:r w:rsidRPr="00675182">
              <w:rPr>
                <w:rFonts w:cstheme="minorHAnsi"/>
                <w:color w:val="000000"/>
                <w:sz w:val="22"/>
                <w:szCs w:val="22"/>
              </w:rPr>
              <w:t>0,02</w:t>
            </w:r>
          </w:p>
        </w:tc>
      </w:tr>
      <w:tr w:rsidR="00292900" w:rsidRPr="00675182" w14:paraId="4DAC7E85" w14:textId="77777777" w:rsidTr="00513D6E">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ABC3F4" w14:textId="643D05A8" w:rsidR="00292900" w:rsidRPr="00675182" w:rsidRDefault="00292900" w:rsidP="00292900">
            <w:pPr>
              <w:rPr>
                <w:rFonts w:cstheme="minorHAnsi"/>
                <w:color w:val="000000"/>
                <w:szCs w:val="24"/>
              </w:rPr>
            </w:pPr>
            <w:r w:rsidRPr="00675182">
              <w:rPr>
                <w:rFonts w:cstheme="minorHAnsi"/>
                <w:color w:val="000000"/>
                <w:sz w:val="22"/>
                <w:szCs w:val="22"/>
              </w:rPr>
              <w:t>Jaukta centra apbūves teritorija</w:t>
            </w:r>
          </w:p>
        </w:tc>
        <w:tc>
          <w:tcPr>
            <w:tcW w:w="1373" w:type="dxa"/>
            <w:tcBorders>
              <w:top w:val="single" w:sz="4" w:space="0" w:color="auto"/>
              <w:left w:val="nil"/>
              <w:bottom w:val="single" w:sz="4" w:space="0" w:color="auto"/>
              <w:right w:val="single" w:sz="4" w:space="0" w:color="auto"/>
            </w:tcBorders>
            <w:shd w:val="clear" w:color="auto" w:fill="auto"/>
            <w:noWrap/>
            <w:vAlign w:val="bottom"/>
          </w:tcPr>
          <w:p w14:paraId="118931AC" w14:textId="140EE489" w:rsidR="00292900" w:rsidRPr="00675182" w:rsidRDefault="00292900" w:rsidP="00292900">
            <w:pPr>
              <w:jc w:val="right"/>
              <w:rPr>
                <w:rFonts w:cstheme="minorHAnsi"/>
                <w:color w:val="000000"/>
                <w:szCs w:val="24"/>
              </w:rPr>
            </w:pPr>
            <w:r w:rsidRPr="00675182">
              <w:rPr>
                <w:rFonts w:cstheme="minorHAnsi"/>
                <w:color w:val="000000"/>
                <w:sz w:val="22"/>
                <w:szCs w:val="22"/>
              </w:rPr>
              <w:t>20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4358A4" w14:textId="1A6221D5" w:rsidR="00292900" w:rsidRPr="00675182" w:rsidRDefault="00292900" w:rsidP="00292900">
            <w:pPr>
              <w:jc w:val="right"/>
              <w:rPr>
                <w:rFonts w:cstheme="minorHAnsi"/>
                <w:color w:val="000000"/>
                <w:szCs w:val="24"/>
              </w:rPr>
            </w:pPr>
            <w:r w:rsidRPr="00675182">
              <w:rPr>
                <w:rFonts w:cstheme="minorHAnsi"/>
                <w:color w:val="000000"/>
                <w:sz w:val="22"/>
                <w:szCs w:val="22"/>
              </w:rPr>
              <w:t>0,02</w:t>
            </w:r>
          </w:p>
        </w:tc>
      </w:tr>
    </w:tbl>
    <w:p w14:paraId="34C916DF" w14:textId="3393DB03" w:rsidR="00230E72" w:rsidRPr="00675182" w:rsidRDefault="00EF6181" w:rsidP="002B3341">
      <w:pPr>
        <w:jc w:val="both"/>
        <w:rPr>
          <w:rFonts w:cstheme="minorHAnsi"/>
          <w:sz w:val="20"/>
          <w:szCs w:val="16"/>
        </w:rPr>
        <w:sectPr w:rsidR="00230E72" w:rsidRPr="00675182" w:rsidSect="001F0956">
          <w:headerReference w:type="default" r:id="rId36"/>
          <w:pgSz w:w="11905" w:h="16837"/>
          <w:pgMar w:top="1440" w:right="1797" w:bottom="1440" w:left="1797" w:header="720" w:footer="720" w:gutter="0"/>
          <w:cols w:space="720"/>
          <w:docGrid w:linePitch="360"/>
        </w:sectPr>
      </w:pPr>
      <w:r w:rsidRPr="00675182">
        <w:rPr>
          <w:rFonts w:cstheme="minorHAnsi"/>
          <w:sz w:val="20"/>
          <w:szCs w:val="16"/>
        </w:rPr>
        <w:t>Datu avots: TAPIS, 202</w:t>
      </w:r>
      <w:r w:rsidR="0033309E" w:rsidRPr="00675182">
        <w:rPr>
          <w:rFonts w:cstheme="minorHAnsi"/>
          <w:sz w:val="20"/>
          <w:szCs w:val="16"/>
        </w:rPr>
        <w:t>1</w:t>
      </w:r>
    </w:p>
    <w:tbl>
      <w:tblPr>
        <w:tblW w:w="5000" w:type="pct"/>
        <w:tblLook w:val="04A0" w:firstRow="1" w:lastRow="0" w:firstColumn="1" w:lastColumn="0" w:noHBand="0" w:noVBand="1"/>
      </w:tblPr>
      <w:tblGrid>
        <w:gridCol w:w="13957"/>
      </w:tblGrid>
      <w:tr w:rsidR="002169CA" w:rsidRPr="00675182" w14:paraId="45284978" w14:textId="77777777" w:rsidTr="00230E72">
        <w:trPr>
          <w:trHeight w:val="322"/>
        </w:trPr>
        <w:tc>
          <w:tcPr>
            <w:tcW w:w="5000" w:type="pct"/>
          </w:tcPr>
          <w:p w14:paraId="459D7898" w14:textId="1806648E" w:rsidR="002169CA" w:rsidRPr="00675182" w:rsidRDefault="00F520A6" w:rsidP="00230E72">
            <w:pPr>
              <w:jc w:val="center"/>
              <w:rPr>
                <w:rFonts w:cstheme="minorHAnsi"/>
                <w:b/>
                <w:i/>
                <w:szCs w:val="24"/>
              </w:rPr>
            </w:pPr>
            <w:r w:rsidRPr="00675182">
              <w:rPr>
                <w:rFonts w:cstheme="minorHAnsi"/>
                <w:noProof/>
              </w:rPr>
              <w:lastRenderedPageBreak/>
              <w:drawing>
                <wp:inline distT="0" distB="0" distL="0" distR="0" wp14:anchorId="1A7497AF" wp14:editId="61D73C72">
                  <wp:extent cx="6918378" cy="48960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918378" cy="4896000"/>
                          </a:xfrm>
                          <a:prstGeom prst="rect">
                            <a:avLst/>
                          </a:prstGeom>
                          <a:noFill/>
                          <a:ln>
                            <a:noFill/>
                          </a:ln>
                        </pic:spPr>
                      </pic:pic>
                    </a:graphicData>
                  </a:graphic>
                </wp:inline>
              </w:drawing>
            </w:r>
          </w:p>
        </w:tc>
      </w:tr>
      <w:tr w:rsidR="003F0374" w:rsidRPr="00675182" w14:paraId="07F702B6" w14:textId="77777777" w:rsidTr="00230E72">
        <w:trPr>
          <w:trHeight w:val="322"/>
        </w:trPr>
        <w:tc>
          <w:tcPr>
            <w:tcW w:w="5000" w:type="pct"/>
          </w:tcPr>
          <w:p w14:paraId="2F2004AA" w14:textId="77777777" w:rsidR="003F0374" w:rsidRPr="00675182" w:rsidRDefault="00A8595C" w:rsidP="00EF6181">
            <w:pPr>
              <w:rPr>
                <w:rFonts w:cstheme="minorHAnsi"/>
                <w:b/>
                <w:i/>
                <w:szCs w:val="24"/>
              </w:rPr>
            </w:pPr>
            <w:r w:rsidRPr="00675182">
              <w:rPr>
                <w:rFonts w:cstheme="minorHAnsi"/>
                <w:b/>
                <w:i/>
                <w:szCs w:val="24"/>
              </w:rPr>
              <w:t>1.</w:t>
            </w:r>
            <w:r w:rsidR="00EF6181" w:rsidRPr="00675182">
              <w:rPr>
                <w:rFonts w:cstheme="minorHAnsi"/>
                <w:b/>
                <w:i/>
                <w:szCs w:val="24"/>
              </w:rPr>
              <w:t>1.</w:t>
            </w:r>
            <w:r w:rsidRPr="00675182">
              <w:rPr>
                <w:rFonts w:cstheme="minorHAnsi"/>
                <w:b/>
                <w:i/>
                <w:szCs w:val="24"/>
              </w:rPr>
              <w:t>4</w:t>
            </w:r>
            <w:r w:rsidR="003F0374" w:rsidRPr="00675182">
              <w:rPr>
                <w:rFonts w:cstheme="minorHAnsi"/>
                <w:b/>
                <w:i/>
                <w:szCs w:val="24"/>
              </w:rPr>
              <w:t xml:space="preserve">. attēls. Plānotā (atļautā) teritorijas izmantošana </w:t>
            </w:r>
            <w:r w:rsidR="002944CA" w:rsidRPr="00675182">
              <w:rPr>
                <w:rFonts w:cstheme="minorHAnsi"/>
                <w:b/>
                <w:i/>
                <w:szCs w:val="24"/>
              </w:rPr>
              <w:t>GNP</w:t>
            </w:r>
          </w:p>
          <w:p w14:paraId="359749CD" w14:textId="74FC0C2A" w:rsidR="00EF6181" w:rsidRPr="00675182" w:rsidRDefault="00EF6181" w:rsidP="00EF6181">
            <w:pPr>
              <w:rPr>
                <w:rFonts w:cstheme="minorHAnsi"/>
                <w:bCs/>
                <w:i/>
                <w:szCs w:val="24"/>
              </w:rPr>
            </w:pPr>
            <w:r w:rsidRPr="00675182">
              <w:rPr>
                <w:rFonts w:cstheme="minorHAnsi"/>
                <w:bCs/>
                <w:i/>
                <w:sz w:val="20"/>
              </w:rPr>
              <w:t>Datu avots: TAPIS, 202</w:t>
            </w:r>
            <w:r w:rsidR="0033309E" w:rsidRPr="00675182">
              <w:rPr>
                <w:rFonts w:cstheme="minorHAnsi"/>
                <w:bCs/>
                <w:i/>
                <w:sz w:val="20"/>
              </w:rPr>
              <w:t>1</w:t>
            </w:r>
          </w:p>
        </w:tc>
      </w:tr>
    </w:tbl>
    <w:p w14:paraId="2A2FAD4D" w14:textId="77777777" w:rsidR="002169CA" w:rsidRPr="00675182" w:rsidRDefault="002169CA" w:rsidP="002B3341">
      <w:pPr>
        <w:pStyle w:val="Heading3"/>
        <w:keepNext w:val="0"/>
        <w:numPr>
          <w:ilvl w:val="0"/>
          <w:numId w:val="0"/>
        </w:numPr>
        <w:rPr>
          <w:rFonts w:cstheme="minorHAnsi"/>
          <w:b/>
          <w:lang w:val="lv-LV"/>
        </w:rPr>
        <w:sectPr w:rsidR="002169CA" w:rsidRPr="00675182" w:rsidSect="00230E72">
          <w:headerReference w:type="default" r:id="rId38"/>
          <w:pgSz w:w="16837" w:h="11905" w:orient="landscape"/>
          <w:pgMar w:top="1797" w:right="1440" w:bottom="1797" w:left="1440" w:header="720" w:footer="720" w:gutter="0"/>
          <w:cols w:space="720"/>
          <w:docGrid w:linePitch="360"/>
        </w:sectPr>
      </w:pPr>
    </w:p>
    <w:p w14:paraId="02182AC2" w14:textId="77777777" w:rsidR="00011E51" w:rsidRPr="00675182" w:rsidRDefault="00011E51" w:rsidP="002B3341">
      <w:pPr>
        <w:pStyle w:val="Heading3"/>
        <w:keepNext w:val="0"/>
        <w:numPr>
          <w:ilvl w:val="0"/>
          <w:numId w:val="0"/>
        </w:numPr>
        <w:rPr>
          <w:rFonts w:cstheme="minorHAnsi"/>
          <w:b/>
          <w:lang w:val="lv-LV"/>
        </w:rPr>
      </w:pPr>
      <w:bookmarkStart w:id="13" w:name="_Toc116938383"/>
      <w:r w:rsidRPr="00675182">
        <w:rPr>
          <w:rFonts w:cstheme="minorHAnsi"/>
          <w:b/>
          <w:lang w:val="lv-LV"/>
        </w:rPr>
        <w:lastRenderedPageBreak/>
        <w:t>1.1.4. Esošais funkcionālais zonējums</w:t>
      </w:r>
      <w:bookmarkEnd w:id="13"/>
    </w:p>
    <w:p w14:paraId="742D0866" w14:textId="77777777" w:rsidR="008F0B02" w:rsidRPr="00675182" w:rsidRDefault="008F0B02" w:rsidP="002B3341">
      <w:pPr>
        <w:rPr>
          <w:rFonts w:cstheme="minorHAnsi"/>
        </w:rPr>
      </w:pPr>
    </w:p>
    <w:p w14:paraId="6A0EAA7F" w14:textId="0A445A56" w:rsidR="007F04AF" w:rsidRPr="00675182" w:rsidRDefault="00D415B3" w:rsidP="002B3341">
      <w:pPr>
        <w:jc w:val="both"/>
        <w:rPr>
          <w:rFonts w:cstheme="minorHAnsi"/>
        </w:rPr>
      </w:pPr>
      <w:r w:rsidRPr="00675182">
        <w:rPr>
          <w:rFonts w:cstheme="minorHAnsi"/>
        </w:rPr>
        <w:t xml:space="preserve">GNP funkcionālais zonējums noteikts </w:t>
      </w:r>
      <w:r w:rsidR="007F04AF" w:rsidRPr="00675182">
        <w:rPr>
          <w:rFonts w:cstheme="minorHAnsi"/>
        </w:rPr>
        <w:t xml:space="preserve">Gaujas nacionālā parka likumā (pieņemts 2009. gada 30. aprīlī), kā arī </w:t>
      </w:r>
      <w:r w:rsidRPr="00675182">
        <w:rPr>
          <w:rFonts w:cstheme="minorHAnsi"/>
        </w:rPr>
        <w:t xml:space="preserve">MK 2012. gada </w:t>
      </w:r>
      <w:r w:rsidR="007F04AF" w:rsidRPr="00675182">
        <w:rPr>
          <w:rFonts w:cstheme="minorHAnsi"/>
        </w:rPr>
        <w:t>2</w:t>
      </w:r>
      <w:r w:rsidRPr="00675182">
        <w:rPr>
          <w:rFonts w:cstheme="minorHAnsi"/>
        </w:rPr>
        <w:t xml:space="preserve">. </w:t>
      </w:r>
      <w:r w:rsidR="007F04AF" w:rsidRPr="00675182">
        <w:rPr>
          <w:rFonts w:cstheme="minorHAnsi"/>
        </w:rPr>
        <w:t>maija</w:t>
      </w:r>
      <w:r w:rsidRPr="00675182">
        <w:rPr>
          <w:rFonts w:cstheme="minorHAnsi"/>
        </w:rPr>
        <w:t xml:space="preserve"> noteikumos Nr. </w:t>
      </w:r>
      <w:r w:rsidR="007F04AF" w:rsidRPr="00675182">
        <w:rPr>
          <w:rFonts w:cstheme="minorHAnsi"/>
        </w:rPr>
        <w:t>317</w:t>
      </w:r>
      <w:r w:rsidRPr="00675182">
        <w:rPr>
          <w:rFonts w:cstheme="minorHAnsi"/>
        </w:rPr>
        <w:t xml:space="preserve"> “</w:t>
      </w:r>
      <w:r w:rsidR="007F04AF" w:rsidRPr="00675182">
        <w:rPr>
          <w:rFonts w:cstheme="minorHAnsi"/>
        </w:rPr>
        <w:t>Gaujas nacionālā parka individuālie aizsardzības un izmantošanas noteikumi</w:t>
      </w:r>
      <w:r w:rsidRPr="00675182">
        <w:rPr>
          <w:rFonts w:cstheme="minorHAnsi"/>
        </w:rPr>
        <w:t xml:space="preserve">”. </w:t>
      </w:r>
    </w:p>
    <w:p w14:paraId="226E85C2" w14:textId="77777777" w:rsidR="007F04AF" w:rsidRPr="00675182" w:rsidRDefault="007F04AF" w:rsidP="002B3341">
      <w:pPr>
        <w:jc w:val="both"/>
        <w:rPr>
          <w:rFonts w:cstheme="minorHAnsi"/>
        </w:rPr>
      </w:pPr>
    </w:p>
    <w:p w14:paraId="5A3B9041" w14:textId="0788F761" w:rsidR="00220076" w:rsidRPr="00675182" w:rsidRDefault="00D415B3" w:rsidP="00292900">
      <w:pPr>
        <w:suppressAutoHyphens w:val="0"/>
        <w:jc w:val="both"/>
        <w:rPr>
          <w:rFonts w:eastAsia="Times New Roman" w:cstheme="minorHAnsi"/>
          <w:szCs w:val="24"/>
          <w:lang w:eastAsia="en-GB"/>
        </w:rPr>
      </w:pPr>
      <w:r w:rsidRPr="00675182">
        <w:rPr>
          <w:rFonts w:cstheme="minorHAnsi"/>
        </w:rPr>
        <w:t>Saskaņā ar spēkā esošajiem normatīvajiem aktiem GNP ir noteiktas 5 funkcionālās zonas</w:t>
      </w:r>
      <w:r w:rsidR="00B56CF3" w:rsidRPr="00675182">
        <w:rPr>
          <w:rFonts w:cstheme="minorHAnsi"/>
        </w:rPr>
        <w:t>: dabas rezervāta</w:t>
      </w:r>
      <w:r w:rsidR="00220076" w:rsidRPr="00675182">
        <w:rPr>
          <w:rFonts w:cstheme="minorHAnsi"/>
        </w:rPr>
        <w:t xml:space="preserve"> jeb stingrā režīma</w:t>
      </w:r>
      <w:r w:rsidR="00B56CF3" w:rsidRPr="00675182">
        <w:rPr>
          <w:rFonts w:cstheme="minorHAnsi"/>
        </w:rPr>
        <w:t xml:space="preserve">, dabas lieguma, ainavu aizsardzības, kultūrvēsturiskā un neitrālā zonā (skat. </w:t>
      </w:r>
      <w:r w:rsidR="007F04AF" w:rsidRPr="00675182">
        <w:rPr>
          <w:rFonts w:cstheme="minorHAnsi"/>
        </w:rPr>
        <w:t>1.</w:t>
      </w:r>
      <w:r w:rsidR="00EF6181" w:rsidRPr="00675182">
        <w:rPr>
          <w:rFonts w:cstheme="minorHAnsi"/>
        </w:rPr>
        <w:t>1.</w:t>
      </w:r>
      <w:r w:rsidR="00712E6F" w:rsidRPr="00675182">
        <w:rPr>
          <w:rFonts w:cstheme="minorHAnsi"/>
        </w:rPr>
        <w:t>6</w:t>
      </w:r>
      <w:r w:rsidR="007F04AF" w:rsidRPr="00675182">
        <w:rPr>
          <w:rFonts w:cstheme="minorHAnsi"/>
        </w:rPr>
        <w:t xml:space="preserve">. tabulu un </w:t>
      </w:r>
      <w:r w:rsidR="00B56CF3" w:rsidRPr="00675182">
        <w:rPr>
          <w:rFonts w:cstheme="minorHAnsi"/>
        </w:rPr>
        <w:t>1.</w:t>
      </w:r>
      <w:r w:rsidR="00EF6181" w:rsidRPr="00675182">
        <w:rPr>
          <w:rFonts w:cstheme="minorHAnsi"/>
        </w:rPr>
        <w:t>1.</w:t>
      </w:r>
      <w:r w:rsidR="00712E6F" w:rsidRPr="00675182">
        <w:rPr>
          <w:rFonts w:cstheme="minorHAnsi"/>
        </w:rPr>
        <w:t>5</w:t>
      </w:r>
      <w:r w:rsidR="00B56CF3" w:rsidRPr="00675182">
        <w:rPr>
          <w:rFonts w:cstheme="minorHAnsi"/>
        </w:rPr>
        <w:t xml:space="preserve">. attēlu). Lielākās platības GNP teritorijā aizņem </w:t>
      </w:r>
      <w:r w:rsidR="00051218">
        <w:rPr>
          <w:rFonts w:cstheme="minorHAnsi"/>
        </w:rPr>
        <w:t>AAZ</w:t>
      </w:r>
      <w:r w:rsidR="00B56CF3" w:rsidRPr="00675182">
        <w:rPr>
          <w:rFonts w:cstheme="minorHAnsi"/>
        </w:rPr>
        <w:t xml:space="preserve"> (41837 ha jeb gandrīz 46 %). </w:t>
      </w:r>
      <w:r w:rsidR="00E01104" w:rsidRPr="00675182">
        <w:rPr>
          <w:rFonts w:cstheme="minorHAnsi"/>
        </w:rPr>
        <w:t>DLZ</w:t>
      </w:r>
      <w:r w:rsidR="00B56CF3" w:rsidRPr="00675182">
        <w:rPr>
          <w:rFonts w:cstheme="minorHAnsi"/>
        </w:rPr>
        <w:t xml:space="preserve"> platība ir 31884 ha jeb aptuveni 35 % no GNP teritorijas. </w:t>
      </w:r>
      <w:r w:rsidR="00051218">
        <w:rPr>
          <w:rFonts w:cstheme="minorHAnsi"/>
        </w:rPr>
        <w:t>NZ</w:t>
      </w:r>
      <w:r w:rsidR="00FC6C46" w:rsidRPr="00675182">
        <w:rPr>
          <w:rFonts w:cstheme="minorHAnsi"/>
        </w:rPr>
        <w:t xml:space="preserve"> ir izvietota ap pilsētām un lielākām apdzīvotām vietām, aizņemot ir 11837 ha jeb 12 % GNP teritorijas. </w:t>
      </w:r>
      <w:r w:rsidR="00051218">
        <w:rPr>
          <w:rFonts w:cstheme="minorHAnsi"/>
        </w:rPr>
        <w:t>DRZ</w:t>
      </w:r>
      <w:r w:rsidR="00220076" w:rsidRPr="00675182">
        <w:rPr>
          <w:rFonts w:cstheme="minorHAnsi"/>
        </w:rPr>
        <w:t xml:space="preserve"> ir iekļautas vairākas īpaši bioloģiski vērtīgas teritorijas - Nurmižu grava, Roču mež</w:t>
      </w:r>
      <w:r w:rsidR="00712E6F" w:rsidRPr="00675182">
        <w:rPr>
          <w:rFonts w:cstheme="minorHAnsi"/>
        </w:rPr>
        <w:t>s</w:t>
      </w:r>
      <w:r w:rsidR="00220076" w:rsidRPr="00675182">
        <w:rPr>
          <w:rFonts w:cstheme="minorHAnsi"/>
        </w:rPr>
        <w:t xml:space="preserve">, Inciema senkrasts un Sudas purva rezervāta zonas, kuru kopējā platība ir 3685 ha jeb 4% no GNP teritorijas. </w:t>
      </w:r>
      <w:r w:rsidR="00051218">
        <w:rPr>
          <w:rFonts w:cstheme="minorHAnsi"/>
        </w:rPr>
        <w:t>KVZ</w:t>
      </w:r>
      <w:r w:rsidR="00220076" w:rsidRPr="00675182">
        <w:rPr>
          <w:rFonts w:cstheme="minorHAnsi"/>
        </w:rPr>
        <w:t xml:space="preserve"> aizņem 2569 ha jeb mazāk nekā 3% no GNP teritorijas.</w:t>
      </w:r>
      <w:r w:rsidR="00220076" w:rsidRPr="00675182">
        <w:rPr>
          <w:rFonts w:eastAsia="Times New Roman" w:cstheme="minorHAnsi"/>
          <w:szCs w:val="24"/>
          <w:lang w:eastAsia="en-GB"/>
        </w:rPr>
        <w:t xml:space="preserve"> </w:t>
      </w:r>
    </w:p>
    <w:p w14:paraId="0C1717D6" w14:textId="3A19F1A5" w:rsidR="007F04AF" w:rsidRPr="00675182" w:rsidRDefault="007F04AF" w:rsidP="002B3341">
      <w:pPr>
        <w:jc w:val="both"/>
        <w:rPr>
          <w:rFonts w:cstheme="minorHAnsi"/>
        </w:rPr>
      </w:pPr>
    </w:p>
    <w:p w14:paraId="365BC6CC" w14:textId="3C123F79" w:rsidR="007F04AF" w:rsidRPr="00675182" w:rsidRDefault="007F04AF" w:rsidP="002B3341">
      <w:pPr>
        <w:jc w:val="both"/>
        <w:rPr>
          <w:rFonts w:cstheme="minorHAnsi"/>
        </w:rPr>
      </w:pPr>
      <w:r w:rsidRPr="00675182">
        <w:rPr>
          <w:rFonts w:cstheme="minorHAnsi"/>
        </w:rPr>
        <w:t>Papildus esošajam teritorijas funkcionālajam zonējuma</w:t>
      </w:r>
      <w:r w:rsidR="00220076" w:rsidRPr="00675182">
        <w:rPr>
          <w:rFonts w:cstheme="minorHAnsi"/>
        </w:rPr>
        <w:t>m</w:t>
      </w:r>
      <w:r w:rsidRPr="00675182">
        <w:rPr>
          <w:rFonts w:cstheme="minorHAnsi"/>
        </w:rPr>
        <w:t xml:space="preserve">, ir jāievēro arī GNP izveidoto mikroliegumu un to buferzonās noteiktie saimnieciskās darbības ierobežojumi. GNP teritorijā ietilpst </w:t>
      </w:r>
      <w:r w:rsidR="00543ABE" w:rsidRPr="00675182">
        <w:rPr>
          <w:rFonts w:cstheme="minorHAnsi"/>
        </w:rPr>
        <w:t>23</w:t>
      </w:r>
      <w:r w:rsidRPr="00675182">
        <w:rPr>
          <w:rFonts w:cstheme="minorHAnsi"/>
        </w:rPr>
        <w:t xml:space="preserve"> mikroliegumi 1</w:t>
      </w:r>
      <w:r w:rsidR="00543ABE" w:rsidRPr="00675182">
        <w:rPr>
          <w:rFonts w:cstheme="minorHAnsi"/>
        </w:rPr>
        <w:t>7</w:t>
      </w:r>
      <w:r w:rsidRPr="00675182">
        <w:rPr>
          <w:rFonts w:cstheme="minorHAnsi"/>
        </w:rPr>
        <w:t xml:space="preserve">5 ha platībā, kā arī </w:t>
      </w:r>
      <w:r w:rsidR="0023316A" w:rsidRPr="00675182">
        <w:rPr>
          <w:rFonts w:cstheme="minorHAnsi"/>
        </w:rPr>
        <w:t>9</w:t>
      </w:r>
      <w:r w:rsidRPr="00675182">
        <w:rPr>
          <w:rFonts w:cstheme="minorHAnsi"/>
        </w:rPr>
        <w:t xml:space="preserve"> mikroliegumiem ir noteiktas buferzonas ar kopējo platību </w:t>
      </w:r>
      <w:r w:rsidR="0023316A" w:rsidRPr="00675182">
        <w:rPr>
          <w:rFonts w:cstheme="minorHAnsi"/>
        </w:rPr>
        <w:t>324</w:t>
      </w:r>
      <w:r w:rsidRPr="00675182">
        <w:rPr>
          <w:rFonts w:cstheme="minorHAnsi"/>
        </w:rPr>
        <w:t xml:space="preserve"> ha. </w:t>
      </w:r>
    </w:p>
    <w:p w14:paraId="54CC5DD5" w14:textId="77777777" w:rsidR="007F04AF" w:rsidRPr="00675182" w:rsidRDefault="007F04AF" w:rsidP="002B3341">
      <w:pPr>
        <w:jc w:val="both"/>
        <w:rPr>
          <w:rFonts w:cstheme="minorHAnsi"/>
        </w:rPr>
      </w:pPr>
    </w:p>
    <w:p w14:paraId="30B211C7" w14:textId="0807D473" w:rsidR="0090463E" w:rsidRPr="00675182" w:rsidRDefault="007F04AF" w:rsidP="002B3341">
      <w:pPr>
        <w:jc w:val="both"/>
        <w:rPr>
          <w:rFonts w:cstheme="minorHAnsi"/>
        </w:rPr>
      </w:pPr>
      <w:r w:rsidRPr="00675182">
        <w:rPr>
          <w:rFonts w:cstheme="minorHAnsi"/>
          <w:b/>
          <w:bCs/>
          <w:i/>
          <w:iCs/>
        </w:rPr>
        <w:t>1.</w:t>
      </w:r>
      <w:r w:rsidR="00EF6181" w:rsidRPr="00675182">
        <w:rPr>
          <w:rFonts w:cstheme="minorHAnsi"/>
          <w:b/>
          <w:bCs/>
          <w:i/>
          <w:iCs/>
        </w:rPr>
        <w:t>1.6</w:t>
      </w:r>
      <w:r w:rsidRPr="00675182">
        <w:rPr>
          <w:rFonts w:cstheme="minorHAnsi"/>
          <w:b/>
          <w:bCs/>
          <w:i/>
          <w:iCs/>
        </w:rPr>
        <w:t xml:space="preserve">. tabula. </w:t>
      </w:r>
      <w:r w:rsidRPr="00675182">
        <w:rPr>
          <w:rFonts w:cstheme="minorHAnsi"/>
          <w:b/>
          <w:bCs/>
          <w:i/>
          <w:iCs/>
          <w:szCs w:val="24"/>
        </w:rPr>
        <w:t>Esošais</w:t>
      </w:r>
      <w:r w:rsidRPr="00675182">
        <w:rPr>
          <w:rFonts w:cstheme="minorHAnsi"/>
          <w:b/>
          <w:i/>
          <w:szCs w:val="24"/>
        </w:rPr>
        <w:t xml:space="preserve"> funkcionālais zonējums GNP teritorijā</w:t>
      </w:r>
    </w:p>
    <w:tbl>
      <w:tblPr>
        <w:tblStyle w:val="TableGrid"/>
        <w:tblW w:w="0" w:type="auto"/>
        <w:tblLook w:val="04A0" w:firstRow="1" w:lastRow="0" w:firstColumn="1" w:lastColumn="0" w:noHBand="0" w:noVBand="1"/>
      </w:tblPr>
      <w:tblGrid>
        <w:gridCol w:w="2767"/>
        <w:gridCol w:w="2767"/>
        <w:gridCol w:w="2767"/>
      </w:tblGrid>
      <w:tr w:rsidR="00CE3768" w:rsidRPr="00675182" w14:paraId="342FA751" w14:textId="77777777" w:rsidTr="00CE3768">
        <w:tc>
          <w:tcPr>
            <w:tcW w:w="2767" w:type="dxa"/>
            <w:shd w:val="clear" w:color="auto" w:fill="D6E3BC" w:themeFill="accent3" w:themeFillTint="66"/>
            <w:vAlign w:val="center"/>
          </w:tcPr>
          <w:p w14:paraId="44D7959E" w14:textId="6B8C3040" w:rsidR="00CE3768" w:rsidRPr="00675182" w:rsidRDefault="00CE3768" w:rsidP="00CE3768">
            <w:pPr>
              <w:jc w:val="center"/>
              <w:rPr>
                <w:rFonts w:cstheme="minorHAnsi"/>
                <w:b/>
                <w:bCs/>
              </w:rPr>
            </w:pPr>
            <w:r w:rsidRPr="00675182">
              <w:rPr>
                <w:rFonts w:cstheme="minorHAnsi"/>
                <w:b/>
                <w:bCs/>
              </w:rPr>
              <w:t>Funkcionālā zona</w:t>
            </w:r>
          </w:p>
        </w:tc>
        <w:tc>
          <w:tcPr>
            <w:tcW w:w="2767" w:type="dxa"/>
            <w:shd w:val="clear" w:color="auto" w:fill="D6E3BC" w:themeFill="accent3" w:themeFillTint="66"/>
            <w:vAlign w:val="center"/>
          </w:tcPr>
          <w:p w14:paraId="1D93B667" w14:textId="3FB3F923" w:rsidR="00CE3768" w:rsidRPr="00675182" w:rsidRDefault="00CE3768" w:rsidP="00CE3768">
            <w:pPr>
              <w:jc w:val="center"/>
              <w:rPr>
                <w:rFonts w:cstheme="minorHAnsi"/>
                <w:b/>
                <w:bCs/>
              </w:rPr>
            </w:pPr>
            <w:r w:rsidRPr="00675182">
              <w:rPr>
                <w:rFonts w:eastAsia="Times New Roman" w:cstheme="minorHAnsi"/>
                <w:b/>
                <w:bCs/>
                <w:color w:val="000000"/>
                <w:szCs w:val="24"/>
                <w:lang w:eastAsia="en-GB"/>
              </w:rPr>
              <w:t>Platība, ha</w:t>
            </w:r>
          </w:p>
        </w:tc>
        <w:tc>
          <w:tcPr>
            <w:tcW w:w="2767" w:type="dxa"/>
            <w:shd w:val="clear" w:color="auto" w:fill="D6E3BC" w:themeFill="accent3" w:themeFillTint="66"/>
            <w:vAlign w:val="center"/>
          </w:tcPr>
          <w:p w14:paraId="46C950DA" w14:textId="76697D97" w:rsidR="00CE3768" w:rsidRPr="00675182" w:rsidRDefault="00CE3768" w:rsidP="00CE3768">
            <w:pPr>
              <w:jc w:val="center"/>
              <w:rPr>
                <w:rFonts w:cstheme="minorHAnsi"/>
                <w:b/>
                <w:bCs/>
              </w:rPr>
            </w:pPr>
            <w:r w:rsidRPr="00675182">
              <w:rPr>
                <w:rFonts w:eastAsia="Times New Roman" w:cstheme="minorHAnsi"/>
                <w:b/>
                <w:bCs/>
                <w:color w:val="000000"/>
                <w:szCs w:val="24"/>
                <w:lang w:eastAsia="en-GB"/>
              </w:rPr>
              <w:t>Procenti no GNP teritorijas</w:t>
            </w:r>
          </w:p>
        </w:tc>
      </w:tr>
      <w:tr w:rsidR="009D6BDE" w:rsidRPr="00675182" w14:paraId="7DDC8E5D" w14:textId="77777777" w:rsidTr="003B385A">
        <w:tc>
          <w:tcPr>
            <w:tcW w:w="2767" w:type="dxa"/>
            <w:shd w:val="clear" w:color="auto" w:fill="auto"/>
            <w:vAlign w:val="bottom"/>
          </w:tcPr>
          <w:p w14:paraId="59E12C80" w14:textId="45CF5E51" w:rsidR="009D6BDE" w:rsidRPr="00675182" w:rsidRDefault="009D6BDE" w:rsidP="009D6BDE">
            <w:pPr>
              <w:jc w:val="both"/>
              <w:rPr>
                <w:rFonts w:cstheme="minorHAnsi"/>
              </w:rPr>
            </w:pPr>
            <w:r w:rsidRPr="00675182">
              <w:rPr>
                <w:rFonts w:cstheme="minorHAnsi"/>
                <w:color w:val="000000"/>
                <w:sz w:val="22"/>
                <w:szCs w:val="22"/>
              </w:rPr>
              <w:t>Dabas rezervāta</w:t>
            </w:r>
            <w:r w:rsidR="00220076" w:rsidRPr="00675182">
              <w:rPr>
                <w:rFonts w:cstheme="minorHAnsi"/>
                <w:color w:val="000000"/>
                <w:sz w:val="22"/>
                <w:szCs w:val="22"/>
              </w:rPr>
              <w:t xml:space="preserve"> jeb stingrā režīma</w:t>
            </w:r>
            <w:r w:rsidRPr="00675182">
              <w:rPr>
                <w:rFonts w:cstheme="minorHAnsi"/>
                <w:color w:val="000000"/>
                <w:sz w:val="22"/>
                <w:szCs w:val="22"/>
              </w:rPr>
              <w:t xml:space="preserve"> zona</w:t>
            </w:r>
            <w:r w:rsidR="00051218">
              <w:rPr>
                <w:rFonts w:cstheme="minorHAnsi"/>
                <w:color w:val="000000"/>
                <w:sz w:val="22"/>
                <w:szCs w:val="22"/>
              </w:rPr>
              <w:t xml:space="preserve"> (DRZ)</w:t>
            </w:r>
          </w:p>
        </w:tc>
        <w:tc>
          <w:tcPr>
            <w:tcW w:w="2767" w:type="dxa"/>
            <w:shd w:val="clear" w:color="auto" w:fill="auto"/>
            <w:vAlign w:val="center"/>
          </w:tcPr>
          <w:p w14:paraId="2E751A25" w14:textId="07419621" w:rsidR="009D6BDE" w:rsidRPr="00675182" w:rsidRDefault="009D6BDE" w:rsidP="003B385A">
            <w:pPr>
              <w:jc w:val="center"/>
              <w:rPr>
                <w:rFonts w:cstheme="minorHAnsi"/>
              </w:rPr>
            </w:pPr>
            <w:r w:rsidRPr="00675182">
              <w:rPr>
                <w:rFonts w:cstheme="minorHAnsi"/>
                <w:color w:val="000000"/>
                <w:sz w:val="22"/>
                <w:szCs w:val="22"/>
              </w:rPr>
              <w:t>3685</w:t>
            </w:r>
          </w:p>
        </w:tc>
        <w:tc>
          <w:tcPr>
            <w:tcW w:w="2767" w:type="dxa"/>
            <w:shd w:val="clear" w:color="auto" w:fill="auto"/>
            <w:vAlign w:val="center"/>
          </w:tcPr>
          <w:p w14:paraId="5D78C9A4" w14:textId="7A2911C7" w:rsidR="009D6BDE" w:rsidRPr="00675182" w:rsidRDefault="009D6BDE" w:rsidP="003B385A">
            <w:pPr>
              <w:jc w:val="center"/>
              <w:rPr>
                <w:rFonts w:cstheme="minorHAnsi"/>
              </w:rPr>
            </w:pPr>
            <w:r w:rsidRPr="00675182">
              <w:rPr>
                <w:rFonts w:cstheme="minorHAnsi"/>
                <w:color w:val="000000"/>
                <w:sz w:val="22"/>
                <w:szCs w:val="22"/>
              </w:rPr>
              <w:t>4</w:t>
            </w:r>
          </w:p>
        </w:tc>
      </w:tr>
      <w:tr w:rsidR="009D6BDE" w:rsidRPr="00675182" w14:paraId="34D6FB95" w14:textId="77777777" w:rsidTr="003B385A">
        <w:tc>
          <w:tcPr>
            <w:tcW w:w="2767" w:type="dxa"/>
            <w:shd w:val="clear" w:color="auto" w:fill="auto"/>
            <w:vAlign w:val="bottom"/>
          </w:tcPr>
          <w:p w14:paraId="114E744F" w14:textId="7BAF38E8" w:rsidR="009D6BDE" w:rsidRPr="00675182" w:rsidRDefault="009D6BDE" w:rsidP="009D6BDE">
            <w:pPr>
              <w:jc w:val="both"/>
              <w:rPr>
                <w:rFonts w:cstheme="minorHAnsi"/>
              </w:rPr>
            </w:pPr>
            <w:r w:rsidRPr="00675182">
              <w:rPr>
                <w:rFonts w:cstheme="minorHAnsi"/>
                <w:color w:val="000000"/>
                <w:sz w:val="22"/>
                <w:szCs w:val="22"/>
              </w:rPr>
              <w:t>Dabas lieguma zona</w:t>
            </w:r>
            <w:r w:rsidR="00051218">
              <w:rPr>
                <w:rFonts w:cstheme="minorHAnsi"/>
                <w:color w:val="000000"/>
                <w:sz w:val="22"/>
                <w:szCs w:val="22"/>
              </w:rPr>
              <w:t xml:space="preserve"> (DLZ)</w:t>
            </w:r>
          </w:p>
        </w:tc>
        <w:tc>
          <w:tcPr>
            <w:tcW w:w="2767" w:type="dxa"/>
            <w:shd w:val="clear" w:color="auto" w:fill="auto"/>
            <w:vAlign w:val="center"/>
          </w:tcPr>
          <w:p w14:paraId="09D0AB2E" w14:textId="3F2FA243" w:rsidR="009D6BDE" w:rsidRPr="00675182" w:rsidRDefault="009D6BDE" w:rsidP="003B385A">
            <w:pPr>
              <w:jc w:val="center"/>
              <w:rPr>
                <w:rFonts w:cstheme="minorHAnsi"/>
              </w:rPr>
            </w:pPr>
            <w:r w:rsidRPr="00675182">
              <w:rPr>
                <w:rFonts w:cstheme="minorHAnsi"/>
                <w:color w:val="000000"/>
                <w:sz w:val="22"/>
                <w:szCs w:val="22"/>
              </w:rPr>
              <w:t>31884</w:t>
            </w:r>
          </w:p>
        </w:tc>
        <w:tc>
          <w:tcPr>
            <w:tcW w:w="2767" w:type="dxa"/>
            <w:shd w:val="clear" w:color="auto" w:fill="auto"/>
            <w:vAlign w:val="center"/>
          </w:tcPr>
          <w:p w14:paraId="2543CB32" w14:textId="2170B4D1" w:rsidR="009D6BDE" w:rsidRPr="00675182" w:rsidRDefault="009D6BDE" w:rsidP="003B385A">
            <w:pPr>
              <w:jc w:val="center"/>
              <w:rPr>
                <w:rFonts w:cstheme="minorHAnsi"/>
              </w:rPr>
            </w:pPr>
            <w:r w:rsidRPr="00675182">
              <w:rPr>
                <w:rFonts w:cstheme="minorHAnsi"/>
                <w:color w:val="000000"/>
                <w:sz w:val="22"/>
                <w:szCs w:val="22"/>
              </w:rPr>
              <w:t>35</w:t>
            </w:r>
          </w:p>
        </w:tc>
      </w:tr>
      <w:tr w:rsidR="009D6BDE" w:rsidRPr="00675182" w14:paraId="4CDB9476" w14:textId="77777777" w:rsidTr="003B385A">
        <w:tc>
          <w:tcPr>
            <w:tcW w:w="2767" w:type="dxa"/>
            <w:shd w:val="clear" w:color="auto" w:fill="auto"/>
            <w:vAlign w:val="bottom"/>
          </w:tcPr>
          <w:p w14:paraId="367E425F" w14:textId="3E296F5F" w:rsidR="009D6BDE" w:rsidRPr="00675182" w:rsidRDefault="009D6BDE" w:rsidP="009D6BDE">
            <w:pPr>
              <w:jc w:val="both"/>
              <w:rPr>
                <w:rFonts w:cstheme="minorHAnsi"/>
              </w:rPr>
            </w:pPr>
            <w:r w:rsidRPr="00675182">
              <w:rPr>
                <w:rFonts w:cstheme="minorHAnsi"/>
                <w:color w:val="000000"/>
                <w:sz w:val="22"/>
                <w:szCs w:val="22"/>
              </w:rPr>
              <w:t>Ainavu aizsardzības zona</w:t>
            </w:r>
            <w:r w:rsidR="00051218">
              <w:rPr>
                <w:rFonts w:cstheme="minorHAnsi"/>
                <w:color w:val="000000"/>
                <w:sz w:val="22"/>
                <w:szCs w:val="22"/>
              </w:rPr>
              <w:t xml:space="preserve"> (AAZ)</w:t>
            </w:r>
          </w:p>
        </w:tc>
        <w:tc>
          <w:tcPr>
            <w:tcW w:w="2767" w:type="dxa"/>
            <w:shd w:val="clear" w:color="auto" w:fill="auto"/>
            <w:vAlign w:val="center"/>
          </w:tcPr>
          <w:p w14:paraId="24C4F5AE" w14:textId="45B220A8" w:rsidR="009D6BDE" w:rsidRPr="00675182" w:rsidRDefault="009D6BDE" w:rsidP="003B385A">
            <w:pPr>
              <w:jc w:val="center"/>
              <w:rPr>
                <w:rFonts w:cstheme="minorHAnsi"/>
              </w:rPr>
            </w:pPr>
            <w:r w:rsidRPr="00675182">
              <w:rPr>
                <w:rFonts w:cstheme="minorHAnsi"/>
                <w:color w:val="000000"/>
                <w:sz w:val="22"/>
                <w:szCs w:val="22"/>
              </w:rPr>
              <w:t>41812</w:t>
            </w:r>
          </w:p>
        </w:tc>
        <w:tc>
          <w:tcPr>
            <w:tcW w:w="2767" w:type="dxa"/>
            <w:shd w:val="clear" w:color="auto" w:fill="auto"/>
            <w:vAlign w:val="center"/>
          </w:tcPr>
          <w:p w14:paraId="3311CC69" w14:textId="5D9BB927" w:rsidR="009D6BDE" w:rsidRPr="00675182" w:rsidRDefault="009D6BDE" w:rsidP="003B385A">
            <w:pPr>
              <w:jc w:val="center"/>
              <w:rPr>
                <w:rFonts w:cstheme="minorHAnsi"/>
              </w:rPr>
            </w:pPr>
            <w:r w:rsidRPr="00675182">
              <w:rPr>
                <w:rFonts w:cstheme="minorHAnsi"/>
                <w:color w:val="000000"/>
                <w:sz w:val="22"/>
                <w:szCs w:val="22"/>
              </w:rPr>
              <w:t>46</w:t>
            </w:r>
          </w:p>
        </w:tc>
      </w:tr>
      <w:tr w:rsidR="009D6BDE" w:rsidRPr="00675182" w14:paraId="6E418A0C" w14:textId="77777777" w:rsidTr="003B385A">
        <w:tc>
          <w:tcPr>
            <w:tcW w:w="2767" w:type="dxa"/>
            <w:shd w:val="clear" w:color="auto" w:fill="auto"/>
            <w:vAlign w:val="bottom"/>
          </w:tcPr>
          <w:p w14:paraId="1EDB552D" w14:textId="118BEFF4" w:rsidR="009D6BDE" w:rsidRPr="00675182" w:rsidRDefault="009D6BDE" w:rsidP="009D6BDE">
            <w:pPr>
              <w:jc w:val="both"/>
              <w:rPr>
                <w:rFonts w:cstheme="minorHAnsi"/>
              </w:rPr>
            </w:pPr>
            <w:r w:rsidRPr="00675182">
              <w:rPr>
                <w:rFonts w:cstheme="minorHAnsi"/>
                <w:color w:val="000000"/>
                <w:sz w:val="22"/>
                <w:szCs w:val="22"/>
              </w:rPr>
              <w:t>Kultūrvēsturiskā zona</w:t>
            </w:r>
            <w:r w:rsidR="00051218">
              <w:rPr>
                <w:rFonts w:cstheme="minorHAnsi"/>
                <w:color w:val="000000"/>
                <w:sz w:val="22"/>
                <w:szCs w:val="22"/>
              </w:rPr>
              <w:t xml:space="preserve"> (KVZ)</w:t>
            </w:r>
          </w:p>
        </w:tc>
        <w:tc>
          <w:tcPr>
            <w:tcW w:w="2767" w:type="dxa"/>
            <w:shd w:val="clear" w:color="auto" w:fill="auto"/>
            <w:vAlign w:val="center"/>
          </w:tcPr>
          <w:p w14:paraId="5F5F5ECF" w14:textId="35BB2249" w:rsidR="009D6BDE" w:rsidRPr="00675182" w:rsidRDefault="009D6BDE" w:rsidP="003B385A">
            <w:pPr>
              <w:jc w:val="center"/>
              <w:rPr>
                <w:rFonts w:cstheme="minorHAnsi"/>
              </w:rPr>
            </w:pPr>
            <w:r w:rsidRPr="00675182">
              <w:rPr>
                <w:rFonts w:cstheme="minorHAnsi"/>
                <w:color w:val="000000"/>
                <w:sz w:val="22"/>
                <w:szCs w:val="22"/>
              </w:rPr>
              <w:t>2569</w:t>
            </w:r>
          </w:p>
        </w:tc>
        <w:tc>
          <w:tcPr>
            <w:tcW w:w="2767" w:type="dxa"/>
            <w:shd w:val="clear" w:color="auto" w:fill="auto"/>
            <w:vAlign w:val="center"/>
          </w:tcPr>
          <w:p w14:paraId="68C525A1" w14:textId="671F276E" w:rsidR="009D6BDE" w:rsidRPr="00675182" w:rsidRDefault="009D6BDE" w:rsidP="003B385A">
            <w:pPr>
              <w:jc w:val="center"/>
              <w:rPr>
                <w:rFonts w:cstheme="minorHAnsi"/>
              </w:rPr>
            </w:pPr>
            <w:r w:rsidRPr="00675182">
              <w:rPr>
                <w:rFonts w:cstheme="minorHAnsi"/>
                <w:color w:val="000000"/>
                <w:sz w:val="22"/>
                <w:szCs w:val="22"/>
              </w:rPr>
              <w:t>3</w:t>
            </w:r>
          </w:p>
        </w:tc>
      </w:tr>
      <w:tr w:rsidR="009D6BDE" w:rsidRPr="00675182" w14:paraId="0804A791" w14:textId="77777777" w:rsidTr="009D6BDE">
        <w:tc>
          <w:tcPr>
            <w:tcW w:w="2767" w:type="dxa"/>
            <w:shd w:val="clear" w:color="auto" w:fill="auto"/>
            <w:vAlign w:val="bottom"/>
          </w:tcPr>
          <w:p w14:paraId="6359D229" w14:textId="6031DEB9" w:rsidR="009D6BDE" w:rsidRPr="00675182" w:rsidRDefault="009D6BDE" w:rsidP="009D6BDE">
            <w:pPr>
              <w:jc w:val="both"/>
              <w:rPr>
                <w:rFonts w:cstheme="minorHAnsi"/>
              </w:rPr>
            </w:pPr>
            <w:r w:rsidRPr="00675182">
              <w:rPr>
                <w:rFonts w:cstheme="minorHAnsi"/>
                <w:color w:val="000000"/>
                <w:sz w:val="22"/>
                <w:szCs w:val="22"/>
              </w:rPr>
              <w:t>Neitrālā zona</w:t>
            </w:r>
            <w:r w:rsidR="00051218">
              <w:rPr>
                <w:rFonts w:cstheme="minorHAnsi"/>
                <w:color w:val="000000"/>
                <w:sz w:val="22"/>
                <w:szCs w:val="22"/>
              </w:rPr>
              <w:t xml:space="preserve"> (NZ)</w:t>
            </w:r>
          </w:p>
        </w:tc>
        <w:tc>
          <w:tcPr>
            <w:tcW w:w="2767" w:type="dxa"/>
            <w:shd w:val="clear" w:color="auto" w:fill="auto"/>
            <w:vAlign w:val="bottom"/>
          </w:tcPr>
          <w:p w14:paraId="07E06D01" w14:textId="610AFAA0" w:rsidR="009D6BDE" w:rsidRPr="00675182" w:rsidRDefault="009D6BDE" w:rsidP="009D6BDE">
            <w:pPr>
              <w:jc w:val="center"/>
              <w:rPr>
                <w:rFonts w:cstheme="minorHAnsi"/>
              </w:rPr>
            </w:pPr>
            <w:r w:rsidRPr="00675182">
              <w:rPr>
                <w:rFonts w:cstheme="minorHAnsi"/>
                <w:color w:val="000000"/>
                <w:sz w:val="22"/>
                <w:szCs w:val="22"/>
              </w:rPr>
              <w:t>11838</w:t>
            </w:r>
          </w:p>
        </w:tc>
        <w:tc>
          <w:tcPr>
            <w:tcW w:w="2767" w:type="dxa"/>
            <w:shd w:val="clear" w:color="auto" w:fill="auto"/>
            <w:vAlign w:val="bottom"/>
          </w:tcPr>
          <w:p w14:paraId="47C26760" w14:textId="7D3DA9B5" w:rsidR="009D6BDE" w:rsidRPr="00675182" w:rsidRDefault="009D6BDE" w:rsidP="009D6BDE">
            <w:pPr>
              <w:jc w:val="center"/>
              <w:rPr>
                <w:rFonts w:cstheme="minorHAnsi"/>
              </w:rPr>
            </w:pPr>
            <w:r w:rsidRPr="00675182">
              <w:rPr>
                <w:rFonts w:cstheme="minorHAnsi"/>
                <w:color w:val="000000"/>
                <w:sz w:val="22"/>
                <w:szCs w:val="22"/>
              </w:rPr>
              <w:t>13</w:t>
            </w:r>
          </w:p>
        </w:tc>
      </w:tr>
    </w:tbl>
    <w:p w14:paraId="7F85CF86" w14:textId="43458B60" w:rsidR="0090463E" w:rsidRPr="00675182" w:rsidRDefault="00EF6181" w:rsidP="002B3341">
      <w:pPr>
        <w:jc w:val="both"/>
        <w:rPr>
          <w:rFonts w:cstheme="minorHAnsi"/>
          <w:sz w:val="20"/>
          <w:szCs w:val="16"/>
        </w:rPr>
      </w:pPr>
      <w:r w:rsidRPr="00675182">
        <w:rPr>
          <w:rFonts w:cstheme="minorHAnsi"/>
          <w:sz w:val="20"/>
          <w:szCs w:val="16"/>
        </w:rPr>
        <w:t>Datu avots: DDPS “Ozols”</w:t>
      </w:r>
      <w:r w:rsidR="0033309E" w:rsidRPr="00675182">
        <w:rPr>
          <w:rFonts w:cstheme="minorHAnsi"/>
          <w:sz w:val="20"/>
          <w:szCs w:val="16"/>
        </w:rPr>
        <w:t>, 202</w:t>
      </w:r>
      <w:r w:rsidR="00A56047" w:rsidRPr="00675182">
        <w:rPr>
          <w:rFonts w:cstheme="minorHAnsi"/>
          <w:sz w:val="20"/>
          <w:szCs w:val="16"/>
        </w:rPr>
        <w:t>2</w:t>
      </w:r>
    </w:p>
    <w:p w14:paraId="4624C3C1" w14:textId="77777777" w:rsidR="0090463E" w:rsidRPr="00675182" w:rsidRDefault="0090463E" w:rsidP="002B3341">
      <w:pPr>
        <w:jc w:val="both"/>
        <w:rPr>
          <w:rFonts w:cstheme="minorHAnsi"/>
        </w:rPr>
      </w:pPr>
    </w:p>
    <w:p w14:paraId="519BCA2E" w14:textId="6E98B773" w:rsidR="0090463E" w:rsidRPr="00675182" w:rsidRDefault="0090463E" w:rsidP="002B3341">
      <w:pPr>
        <w:jc w:val="both"/>
        <w:rPr>
          <w:rFonts w:cstheme="minorHAnsi"/>
        </w:rPr>
        <w:sectPr w:rsidR="0090463E" w:rsidRPr="00675182" w:rsidSect="00CD74B1">
          <w:headerReference w:type="default" r:id="rId39"/>
          <w:pgSz w:w="11905" w:h="16837"/>
          <w:pgMar w:top="1440" w:right="1797" w:bottom="1440" w:left="1797" w:header="720" w:footer="720" w:gutter="0"/>
          <w:cols w:space="720"/>
          <w:docGrid w:linePitch="360"/>
        </w:sectPr>
      </w:pPr>
    </w:p>
    <w:tbl>
      <w:tblPr>
        <w:tblW w:w="5000" w:type="pct"/>
        <w:jc w:val="center"/>
        <w:tblLook w:val="04A0" w:firstRow="1" w:lastRow="0" w:firstColumn="1" w:lastColumn="0" w:noHBand="0" w:noVBand="1"/>
      </w:tblPr>
      <w:tblGrid>
        <w:gridCol w:w="13957"/>
      </w:tblGrid>
      <w:tr w:rsidR="005E2BC6" w:rsidRPr="00675182" w14:paraId="6C90669A" w14:textId="77777777" w:rsidTr="00FC6C46">
        <w:trPr>
          <w:jc w:val="center"/>
        </w:trPr>
        <w:tc>
          <w:tcPr>
            <w:tcW w:w="5000" w:type="pct"/>
            <w:shd w:val="clear" w:color="auto" w:fill="auto"/>
          </w:tcPr>
          <w:p w14:paraId="6867AE23" w14:textId="07ED83DE" w:rsidR="005E2BC6" w:rsidRPr="00675182" w:rsidRDefault="00C327F3" w:rsidP="00834FC4">
            <w:pPr>
              <w:jc w:val="center"/>
              <w:rPr>
                <w:rFonts w:cstheme="minorHAnsi"/>
              </w:rPr>
            </w:pPr>
            <w:r w:rsidRPr="00675182">
              <w:rPr>
                <w:rFonts w:cstheme="minorHAnsi"/>
                <w:noProof/>
              </w:rPr>
              <w:lastRenderedPageBreak/>
              <w:drawing>
                <wp:inline distT="0" distB="0" distL="0" distR="0" wp14:anchorId="3DE889BB" wp14:editId="43B810C7">
                  <wp:extent cx="6613154" cy="46800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13154" cy="4680000"/>
                          </a:xfrm>
                          <a:prstGeom prst="rect">
                            <a:avLst/>
                          </a:prstGeom>
                          <a:noFill/>
                          <a:ln>
                            <a:noFill/>
                          </a:ln>
                        </pic:spPr>
                      </pic:pic>
                    </a:graphicData>
                  </a:graphic>
                </wp:inline>
              </w:drawing>
            </w:r>
          </w:p>
        </w:tc>
      </w:tr>
      <w:tr w:rsidR="005E2BC6" w:rsidRPr="00675182" w14:paraId="455DD758" w14:textId="77777777" w:rsidTr="00EF6181">
        <w:trPr>
          <w:trHeight w:val="133"/>
          <w:jc w:val="center"/>
        </w:trPr>
        <w:tc>
          <w:tcPr>
            <w:tcW w:w="5000" w:type="pct"/>
            <w:shd w:val="clear" w:color="auto" w:fill="auto"/>
          </w:tcPr>
          <w:p w14:paraId="7ABD25BE" w14:textId="19431D56" w:rsidR="005E2BC6" w:rsidRPr="00675182" w:rsidRDefault="005E2BC6" w:rsidP="007F04AF">
            <w:pPr>
              <w:rPr>
                <w:rFonts w:cstheme="minorHAnsi"/>
              </w:rPr>
            </w:pPr>
            <w:r w:rsidRPr="00675182">
              <w:rPr>
                <w:rFonts w:cstheme="minorHAnsi"/>
                <w:b/>
                <w:i/>
                <w:szCs w:val="24"/>
              </w:rPr>
              <w:t>1.</w:t>
            </w:r>
            <w:r w:rsidR="00EF6181" w:rsidRPr="00675182">
              <w:rPr>
                <w:rFonts w:cstheme="minorHAnsi"/>
                <w:b/>
                <w:i/>
                <w:szCs w:val="24"/>
              </w:rPr>
              <w:t>1.5</w:t>
            </w:r>
            <w:r w:rsidRPr="00675182">
              <w:rPr>
                <w:rFonts w:cstheme="minorHAnsi"/>
                <w:b/>
                <w:i/>
                <w:szCs w:val="24"/>
              </w:rPr>
              <w:t xml:space="preserve">. attēls. Esošais funkcionālais zonējums </w:t>
            </w:r>
            <w:r w:rsidR="008901C1" w:rsidRPr="00675182">
              <w:rPr>
                <w:rFonts w:cstheme="minorHAnsi"/>
                <w:b/>
                <w:i/>
                <w:szCs w:val="24"/>
              </w:rPr>
              <w:t>GNP</w:t>
            </w:r>
          </w:p>
        </w:tc>
      </w:tr>
    </w:tbl>
    <w:p w14:paraId="07686EA6" w14:textId="190BEEF0" w:rsidR="00EF6181" w:rsidRPr="00675182" w:rsidRDefault="00EF6181" w:rsidP="00EF6181">
      <w:pPr>
        <w:ind w:left="142"/>
        <w:jc w:val="both"/>
        <w:rPr>
          <w:rFonts w:cstheme="minorHAnsi"/>
          <w:sz w:val="20"/>
          <w:szCs w:val="16"/>
        </w:rPr>
      </w:pPr>
      <w:r w:rsidRPr="00675182">
        <w:rPr>
          <w:rFonts w:cstheme="minorHAnsi"/>
          <w:sz w:val="20"/>
          <w:szCs w:val="16"/>
        </w:rPr>
        <w:t>Datu avots: DDPS “Ozols”</w:t>
      </w:r>
      <w:r w:rsidR="0033309E" w:rsidRPr="00675182">
        <w:rPr>
          <w:rFonts w:cstheme="minorHAnsi"/>
          <w:sz w:val="20"/>
          <w:szCs w:val="16"/>
        </w:rPr>
        <w:t>, 202</w:t>
      </w:r>
      <w:r w:rsidR="00A56047" w:rsidRPr="00675182">
        <w:rPr>
          <w:rFonts w:cstheme="minorHAnsi"/>
          <w:sz w:val="20"/>
          <w:szCs w:val="16"/>
        </w:rPr>
        <w:t>2</w:t>
      </w:r>
    </w:p>
    <w:p w14:paraId="3C1B2568" w14:textId="77777777" w:rsidR="005E2BC6" w:rsidRPr="00675182" w:rsidRDefault="005E2BC6" w:rsidP="002B3341">
      <w:pPr>
        <w:rPr>
          <w:rFonts w:cstheme="minorHAnsi"/>
        </w:rPr>
        <w:sectPr w:rsidR="005E2BC6" w:rsidRPr="00675182" w:rsidSect="00230E72">
          <w:headerReference w:type="default" r:id="rId41"/>
          <w:pgSz w:w="16837" w:h="11905" w:orient="landscape"/>
          <w:pgMar w:top="1797" w:right="1440" w:bottom="1797" w:left="1440" w:header="720" w:footer="720" w:gutter="0"/>
          <w:cols w:space="720"/>
          <w:docGrid w:linePitch="360"/>
        </w:sectPr>
      </w:pPr>
    </w:p>
    <w:p w14:paraId="7876E9D5" w14:textId="77777777" w:rsidR="00011E51" w:rsidRPr="00675182" w:rsidRDefault="00011E51" w:rsidP="002B3341">
      <w:pPr>
        <w:pStyle w:val="Heading3"/>
        <w:keepNext w:val="0"/>
        <w:numPr>
          <w:ilvl w:val="0"/>
          <w:numId w:val="0"/>
        </w:numPr>
        <w:rPr>
          <w:rFonts w:cstheme="minorHAnsi"/>
          <w:b/>
          <w:szCs w:val="24"/>
          <w:lang w:val="lv-LV"/>
        </w:rPr>
      </w:pPr>
      <w:bookmarkStart w:id="14" w:name="_Toc116938384"/>
      <w:r w:rsidRPr="00675182">
        <w:rPr>
          <w:rFonts w:cstheme="minorHAnsi"/>
          <w:b/>
          <w:szCs w:val="24"/>
          <w:lang w:val="lv-LV"/>
        </w:rPr>
        <w:lastRenderedPageBreak/>
        <w:t>1.1.5. Aizsardzības un apsaimniekošanas īsa vēsture</w:t>
      </w:r>
      <w:bookmarkEnd w:id="14"/>
    </w:p>
    <w:p w14:paraId="04F59588" w14:textId="54035417" w:rsidR="001C4D40" w:rsidRPr="00675182" w:rsidRDefault="001C4D40" w:rsidP="002B3341">
      <w:pPr>
        <w:rPr>
          <w:rFonts w:cstheme="minorHAnsi"/>
        </w:rPr>
      </w:pPr>
    </w:p>
    <w:p w14:paraId="1EBDC721" w14:textId="2C86F518" w:rsidR="00D563E4" w:rsidRPr="00675182" w:rsidRDefault="006A6281" w:rsidP="002B3341">
      <w:pPr>
        <w:rPr>
          <w:rFonts w:cstheme="minorHAnsi"/>
        </w:rPr>
      </w:pPr>
      <w:r w:rsidRPr="00675182">
        <w:rPr>
          <w:rFonts w:cstheme="minorHAnsi"/>
        </w:rPr>
        <w:t>GNP</w:t>
      </w:r>
      <w:r w:rsidR="00D563E4" w:rsidRPr="00675182">
        <w:rPr>
          <w:rFonts w:cstheme="minorHAnsi"/>
        </w:rPr>
        <w:t xml:space="preserve"> ir viena no senākajām aizsargājamām teritorijām Latvijā. </w:t>
      </w:r>
    </w:p>
    <w:p w14:paraId="6C623868" w14:textId="77777777" w:rsidR="00D563E4" w:rsidRPr="00675182" w:rsidRDefault="00D563E4" w:rsidP="002B3341">
      <w:pPr>
        <w:rPr>
          <w:rFonts w:cstheme="minorHAnsi"/>
        </w:rPr>
      </w:pPr>
    </w:p>
    <w:p w14:paraId="2BC8FFFC" w14:textId="44E6176F" w:rsidR="00041E6F" w:rsidRPr="00675182" w:rsidRDefault="00041E6F" w:rsidP="00041E6F">
      <w:pPr>
        <w:jc w:val="both"/>
        <w:rPr>
          <w:rFonts w:cstheme="minorHAnsi"/>
        </w:rPr>
      </w:pPr>
      <w:r w:rsidRPr="00675182">
        <w:rPr>
          <w:rFonts w:cstheme="minorHAnsi"/>
        </w:rPr>
        <w:t>1922. gada 18.</w:t>
      </w:r>
      <w:r w:rsidR="00882B86" w:rsidRPr="00675182">
        <w:rPr>
          <w:rFonts w:cstheme="minorHAnsi"/>
        </w:rPr>
        <w:t xml:space="preserve"> </w:t>
      </w:r>
      <w:r w:rsidRPr="00675182">
        <w:rPr>
          <w:rFonts w:cstheme="minorHAnsi"/>
        </w:rPr>
        <w:t xml:space="preserve">jūlijā </w:t>
      </w:r>
      <w:r w:rsidR="00882B86" w:rsidRPr="00675182">
        <w:rPr>
          <w:rFonts w:cstheme="minorHAnsi"/>
        </w:rPr>
        <w:t>tika apstiprināts</w:t>
      </w:r>
      <w:r w:rsidRPr="00675182">
        <w:rPr>
          <w:rFonts w:cstheme="minorHAnsi"/>
        </w:rPr>
        <w:t xml:space="preserve"> </w:t>
      </w:r>
      <w:r w:rsidR="00882B86" w:rsidRPr="00675182">
        <w:rPr>
          <w:rFonts w:cstheme="minorHAnsi"/>
        </w:rPr>
        <w:t>pirmais aizsargājamo mežu un parku saraksts, kurā iekļautas arī trīs teritorijas Gaujas senielejā</w:t>
      </w:r>
      <w:r w:rsidRPr="00675182">
        <w:rPr>
          <w:rFonts w:cstheme="minorHAnsi"/>
        </w:rPr>
        <w:t>:</w:t>
      </w:r>
    </w:p>
    <w:p w14:paraId="707ECE99" w14:textId="77777777" w:rsidR="00041E6F" w:rsidRPr="00675182" w:rsidRDefault="00041E6F" w:rsidP="00245166">
      <w:pPr>
        <w:pStyle w:val="ListParagraph"/>
        <w:numPr>
          <w:ilvl w:val="0"/>
          <w:numId w:val="4"/>
        </w:numPr>
        <w:jc w:val="both"/>
        <w:rPr>
          <w:rFonts w:cstheme="minorHAnsi"/>
        </w:rPr>
      </w:pPr>
      <w:r w:rsidRPr="00675182">
        <w:rPr>
          <w:rFonts w:cstheme="minorHAnsi"/>
        </w:rPr>
        <w:t>Turaidas muižas mežs gar Gaujas malu (190 ha);</w:t>
      </w:r>
    </w:p>
    <w:p w14:paraId="330E5DE3" w14:textId="77777777" w:rsidR="00041E6F" w:rsidRPr="00675182" w:rsidRDefault="00041E6F" w:rsidP="00245166">
      <w:pPr>
        <w:pStyle w:val="ListParagraph"/>
        <w:numPr>
          <w:ilvl w:val="0"/>
          <w:numId w:val="4"/>
        </w:numPr>
        <w:jc w:val="both"/>
        <w:rPr>
          <w:rFonts w:cstheme="minorHAnsi"/>
        </w:rPr>
      </w:pPr>
      <w:r w:rsidRPr="00675182">
        <w:rPr>
          <w:rFonts w:cstheme="minorHAnsi"/>
        </w:rPr>
        <w:t>Krimuldas parks (72 ha)</w:t>
      </w:r>
    </w:p>
    <w:p w14:paraId="0322F719" w14:textId="41D4332F" w:rsidR="00041E6F" w:rsidRPr="00675182" w:rsidRDefault="00041E6F" w:rsidP="00245166">
      <w:pPr>
        <w:pStyle w:val="ListParagraph"/>
        <w:numPr>
          <w:ilvl w:val="0"/>
          <w:numId w:val="4"/>
        </w:numPr>
        <w:jc w:val="both"/>
        <w:rPr>
          <w:rFonts w:cstheme="minorHAnsi"/>
        </w:rPr>
      </w:pPr>
      <w:r w:rsidRPr="00675182">
        <w:rPr>
          <w:rFonts w:cstheme="minorHAnsi"/>
        </w:rPr>
        <w:t xml:space="preserve">Gaujas krasti (294 ha). </w:t>
      </w:r>
    </w:p>
    <w:p w14:paraId="7101AF6F" w14:textId="77777777" w:rsidR="00041E6F" w:rsidRPr="00675182" w:rsidRDefault="00041E6F" w:rsidP="00041E6F">
      <w:pPr>
        <w:jc w:val="both"/>
        <w:rPr>
          <w:rFonts w:cstheme="minorHAnsi"/>
        </w:rPr>
      </w:pPr>
    </w:p>
    <w:p w14:paraId="6A6C9070" w14:textId="02AA72BA" w:rsidR="00041E6F" w:rsidRPr="00675182" w:rsidRDefault="00882B86" w:rsidP="00041E6F">
      <w:pPr>
        <w:jc w:val="both"/>
        <w:rPr>
          <w:rFonts w:cstheme="minorHAnsi"/>
        </w:rPr>
      </w:pPr>
      <w:r w:rsidRPr="00675182">
        <w:rPr>
          <w:rFonts w:cstheme="minorHAnsi"/>
        </w:rPr>
        <w:t>Savukārt 20. gs. 20. gados starp Siguldu un Turaidu tika izveidots nacionālais parks 375 ha platībā.</w:t>
      </w:r>
    </w:p>
    <w:p w14:paraId="6144C3B7" w14:textId="77777777" w:rsidR="00882B86" w:rsidRPr="00675182" w:rsidRDefault="00882B86" w:rsidP="00041E6F">
      <w:pPr>
        <w:jc w:val="both"/>
        <w:rPr>
          <w:rFonts w:cstheme="minorHAnsi"/>
        </w:rPr>
      </w:pPr>
    </w:p>
    <w:p w14:paraId="16F12ACA" w14:textId="4E3ED5B8" w:rsidR="007F6008" w:rsidRPr="00675182" w:rsidRDefault="00041E6F" w:rsidP="00041E6F">
      <w:pPr>
        <w:jc w:val="both"/>
        <w:rPr>
          <w:rFonts w:cstheme="minorHAnsi"/>
          <w:szCs w:val="24"/>
        </w:rPr>
      </w:pPr>
      <w:r w:rsidRPr="00675182">
        <w:rPr>
          <w:rFonts w:cstheme="minorHAnsi"/>
        </w:rPr>
        <w:t>Gaujas senielejas Siguldas iecirkņa aizsardzības darbi atsākušies pēc II Pasaules kara</w:t>
      </w:r>
      <w:r w:rsidR="00AF78D8" w:rsidRPr="00675182">
        <w:rPr>
          <w:rFonts w:cstheme="minorHAnsi"/>
        </w:rPr>
        <w:t>.</w:t>
      </w:r>
      <w:r w:rsidRPr="00675182">
        <w:rPr>
          <w:rFonts w:cstheme="minorHAnsi"/>
        </w:rPr>
        <w:t xml:space="preserve"> 1957.</w:t>
      </w:r>
      <w:r w:rsidR="00882B86" w:rsidRPr="00675182">
        <w:rPr>
          <w:rFonts w:cstheme="minorHAnsi"/>
        </w:rPr>
        <w:t xml:space="preserve"> </w:t>
      </w:r>
      <w:r w:rsidRPr="00675182">
        <w:rPr>
          <w:rFonts w:cstheme="minorHAnsi"/>
        </w:rPr>
        <w:t xml:space="preserve">gadā par aizsargājamu teritoriju tika noteikta Gaujas ielejas daļa no Braslas ietekas </w:t>
      </w:r>
      <w:r w:rsidRPr="00675182">
        <w:rPr>
          <w:rFonts w:cstheme="minorHAnsi"/>
          <w:szCs w:val="24"/>
        </w:rPr>
        <w:t xml:space="preserve">(ieskaitot Braslas lejteces ieleju) līdz Murjāņu tiltam pāri Gaujai. </w:t>
      </w:r>
    </w:p>
    <w:p w14:paraId="42967D55" w14:textId="77777777" w:rsidR="007F6008" w:rsidRPr="00675182" w:rsidRDefault="007F6008" w:rsidP="00041E6F">
      <w:pPr>
        <w:jc w:val="both"/>
        <w:rPr>
          <w:rFonts w:cstheme="minorHAnsi"/>
          <w:szCs w:val="24"/>
        </w:rPr>
      </w:pPr>
    </w:p>
    <w:p w14:paraId="2B099EF7" w14:textId="77777777" w:rsidR="00AB636B" w:rsidRPr="00675182" w:rsidRDefault="00041E6F" w:rsidP="00041E6F">
      <w:pPr>
        <w:jc w:val="both"/>
        <w:rPr>
          <w:rFonts w:cstheme="minorHAnsi"/>
          <w:szCs w:val="24"/>
        </w:rPr>
      </w:pPr>
      <w:r w:rsidRPr="00675182">
        <w:rPr>
          <w:rFonts w:cstheme="minorHAnsi"/>
          <w:szCs w:val="24"/>
        </w:rPr>
        <w:t xml:space="preserve">Pirms </w:t>
      </w:r>
      <w:r w:rsidR="007F6008" w:rsidRPr="00675182">
        <w:rPr>
          <w:rFonts w:cstheme="minorHAnsi"/>
          <w:szCs w:val="24"/>
        </w:rPr>
        <w:t>GNP</w:t>
      </w:r>
      <w:r w:rsidRPr="00675182">
        <w:rPr>
          <w:rFonts w:cstheme="minorHAnsi"/>
          <w:szCs w:val="24"/>
        </w:rPr>
        <w:t xml:space="preserve"> </w:t>
      </w:r>
      <w:r w:rsidR="007F6008" w:rsidRPr="00675182">
        <w:rPr>
          <w:rFonts w:cstheme="minorHAnsi"/>
          <w:szCs w:val="24"/>
        </w:rPr>
        <w:t>dibināšanas</w:t>
      </w:r>
      <w:r w:rsidRPr="00675182">
        <w:rPr>
          <w:rFonts w:cstheme="minorHAnsi"/>
          <w:szCs w:val="24"/>
        </w:rPr>
        <w:t xml:space="preserve"> aizsargājams bija vēl viens Gaujas senielejas posms - no "Cīrulī</w:t>
      </w:r>
      <w:r w:rsidR="007F6008" w:rsidRPr="00675182">
        <w:rPr>
          <w:rFonts w:cstheme="minorHAnsi"/>
          <w:szCs w:val="24"/>
        </w:rPr>
        <w:t>š</w:t>
      </w:r>
      <w:r w:rsidRPr="00675182">
        <w:rPr>
          <w:rFonts w:cstheme="minorHAnsi"/>
          <w:szCs w:val="24"/>
        </w:rPr>
        <w:t>iem" (Cēsīs) līdz Līgatnes ietekai, ieskaitot Amatas lejteces ielejas iecirkni. Aizsardzībā</w:t>
      </w:r>
      <w:r w:rsidR="007F6008" w:rsidRPr="00675182">
        <w:rPr>
          <w:rFonts w:cstheme="minorHAnsi"/>
          <w:szCs w:val="24"/>
        </w:rPr>
        <w:t xml:space="preserve"> </w:t>
      </w:r>
      <w:r w:rsidRPr="00675182">
        <w:rPr>
          <w:rFonts w:cstheme="minorHAnsi"/>
          <w:szCs w:val="24"/>
        </w:rPr>
        <w:t>atradās arī atsevi</w:t>
      </w:r>
      <w:r w:rsidR="007F6008" w:rsidRPr="00675182">
        <w:rPr>
          <w:rFonts w:cstheme="minorHAnsi"/>
          <w:szCs w:val="24"/>
        </w:rPr>
        <w:t>š</w:t>
      </w:r>
      <w:r w:rsidRPr="00675182">
        <w:rPr>
          <w:rFonts w:cstheme="minorHAnsi"/>
          <w:szCs w:val="24"/>
        </w:rPr>
        <w:t xml:space="preserve">ķi ļoti nozīmīgi dabas veidojumi </w:t>
      </w:r>
      <w:r w:rsidR="00AB636B" w:rsidRPr="00675182">
        <w:rPr>
          <w:rFonts w:cstheme="minorHAnsi"/>
          <w:szCs w:val="24"/>
        </w:rPr>
        <w:t>–</w:t>
      </w:r>
      <w:r w:rsidRPr="00675182">
        <w:rPr>
          <w:rFonts w:cstheme="minorHAnsi"/>
          <w:szCs w:val="24"/>
        </w:rPr>
        <w:t xml:space="preserve"> Sietiņiezis, Liepas Ellīte, Vinterala, Ērgļu (Ērģeļu) klintis, Dolomītu alas Līgatnes krastos, Lībānu - Jaunzemju saldūdens kaļķakmeņu krauja, Gūtmaņala. </w:t>
      </w:r>
    </w:p>
    <w:p w14:paraId="25F6CF9B" w14:textId="77777777" w:rsidR="00AB636B" w:rsidRPr="00675182" w:rsidRDefault="00AB636B" w:rsidP="00041E6F">
      <w:pPr>
        <w:jc w:val="both"/>
        <w:rPr>
          <w:rFonts w:cstheme="minorHAnsi"/>
          <w:szCs w:val="24"/>
        </w:rPr>
      </w:pPr>
    </w:p>
    <w:p w14:paraId="0FC99699" w14:textId="434E86DD" w:rsidR="00CB684D" w:rsidRPr="00675182" w:rsidRDefault="00882B86" w:rsidP="00041E6F">
      <w:pPr>
        <w:jc w:val="both"/>
        <w:rPr>
          <w:rFonts w:cstheme="minorHAnsi"/>
        </w:rPr>
      </w:pPr>
      <w:r w:rsidRPr="00675182">
        <w:rPr>
          <w:rFonts w:cstheme="minorHAnsi"/>
        </w:rPr>
        <w:t>1970. gadā, pamatojoties uz veiktajiem pētījumiem, tika nolemts nacionālo parku veidot Gaujas senielejas un tās apkārtnes teritorijā. GNP izveidošana iezīmē jaunu periodu teritorijas izpētē. Tika veikti visaptveroši ģeoloģiskie, hidroloģiskie un bioloģiskie – galvenokārt floras un veģetācijas, pētījumi.</w:t>
      </w:r>
    </w:p>
    <w:p w14:paraId="3287CCB4" w14:textId="77777777" w:rsidR="00882B86" w:rsidRPr="00675182" w:rsidRDefault="00882B86" w:rsidP="00041E6F">
      <w:pPr>
        <w:jc w:val="both"/>
        <w:rPr>
          <w:rFonts w:cstheme="minorHAnsi"/>
          <w:szCs w:val="24"/>
        </w:rPr>
      </w:pPr>
    </w:p>
    <w:p w14:paraId="7CAB0E31" w14:textId="22D21830" w:rsidR="00CB684D" w:rsidRPr="00675182" w:rsidRDefault="00AF78D8" w:rsidP="00041E6F">
      <w:pPr>
        <w:jc w:val="both"/>
        <w:rPr>
          <w:rFonts w:cstheme="minorHAnsi"/>
          <w:szCs w:val="24"/>
        </w:rPr>
      </w:pPr>
      <w:r w:rsidRPr="00675182">
        <w:rPr>
          <w:rFonts w:cstheme="minorHAnsi"/>
          <w:szCs w:val="24"/>
        </w:rPr>
        <w:t xml:space="preserve">1973. gada 14. septembrī tika apstiprināts GNP nolikuma un ģenerālshēma, kas bija juridisks pamats pirmā nacionālā parka izveidošanai Latvijā (LPSR MP lēmums). </w:t>
      </w:r>
      <w:r w:rsidR="00CB684D" w:rsidRPr="00675182">
        <w:rPr>
          <w:rFonts w:cstheme="minorHAnsi"/>
          <w:szCs w:val="24"/>
        </w:rPr>
        <w:t xml:space="preserve">Nolikumā tika definēti </w:t>
      </w:r>
      <w:r w:rsidR="004251E5" w:rsidRPr="00675182">
        <w:rPr>
          <w:rFonts w:cstheme="minorHAnsi"/>
          <w:szCs w:val="24"/>
        </w:rPr>
        <w:t>GNP</w:t>
      </w:r>
      <w:r w:rsidR="00CB684D" w:rsidRPr="00675182">
        <w:rPr>
          <w:rFonts w:cstheme="minorHAnsi"/>
          <w:szCs w:val="24"/>
        </w:rPr>
        <w:t xml:space="preserve"> mērķi, zonējums, katras funkcionālās zonas galvenie uzdevumi un funkcijas, to apsaimnieko</w:t>
      </w:r>
      <w:r w:rsidR="004251E5" w:rsidRPr="00675182">
        <w:rPr>
          <w:rFonts w:cstheme="minorHAnsi"/>
          <w:szCs w:val="24"/>
        </w:rPr>
        <w:t>š</w:t>
      </w:r>
      <w:r w:rsidR="00CB684D" w:rsidRPr="00675182">
        <w:rPr>
          <w:rFonts w:cstheme="minorHAnsi"/>
          <w:szCs w:val="24"/>
        </w:rPr>
        <w:t>anas re</w:t>
      </w:r>
      <w:r w:rsidR="004251E5" w:rsidRPr="00675182">
        <w:rPr>
          <w:rFonts w:cstheme="minorHAnsi"/>
          <w:szCs w:val="24"/>
        </w:rPr>
        <w:t>ž</w:t>
      </w:r>
      <w:r w:rsidR="00CB684D" w:rsidRPr="00675182">
        <w:rPr>
          <w:rFonts w:cstheme="minorHAnsi"/>
          <w:szCs w:val="24"/>
        </w:rPr>
        <w:t xml:space="preserve">īms un regulācijas, kā arī </w:t>
      </w:r>
      <w:r w:rsidR="004251E5" w:rsidRPr="00675182">
        <w:rPr>
          <w:rFonts w:cstheme="minorHAnsi"/>
          <w:szCs w:val="24"/>
        </w:rPr>
        <w:t>GNP</w:t>
      </w:r>
      <w:r w:rsidR="00CB684D" w:rsidRPr="00675182">
        <w:rPr>
          <w:rFonts w:cstheme="minorHAnsi"/>
          <w:szCs w:val="24"/>
        </w:rPr>
        <w:t xml:space="preserve"> juridiskais statuss, pārvaldes sistēma un finansējuma avoti. Ģenerālshēma mūsdienu izpratnē pēc satura un būtības atbilda </w:t>
      </w:r>
      <w:r w:rsidR="004251E5" w:rsidRPr="00675182">
        <w:rPr>
          <w:rFonts w:cstheme="minorHAnsi"/>
          <w:szCs w:val="24"/>
        </w:rPr>
        <w:t>DA</w:t>
      </w:r>
      <w:r w:rsidR="00CB684D" w:rsidRPr="00675182">
        <w:rPr>
          <w:rFonts w:cstheme="minorHAnsi"/>
          <w:szCs w:val="24"/>
        </w:rPr>
        <w:t xml:space="preserve"> plānam, kurā dots ārējo un zonējuma robe</w:t>
      </w:r>
      <w:r w:rsidR="004251E5" w:rsidRPr="00675182">
        <w:rPr>
          <w:rFonts w:cstheme="minorHAnsi"/>
          <w:szCs w:val="24"/>
        </w:rPr>
        <w:t>ž</w:t>
      </w:r>
      <w:r w:rsidR="00CB684D" w:rsidRPr="00675182">
        <w:rPr>
          <w:rFonts w:cstheme="minorHAnsi"/>
          <w:szCs w:val="24"/>
        </w:rPr>
        <w:t>u apraksts, apskatīta teritorijas ģeoloģija, hidroloģija, fauna un flora, ainavas, dabas un kultūrvēstures objekti, zemju sadalījums, administratīvā un infrastruktūra, kā arī saimnieciskā darbība lauksaimniecībā, me</w:t>
      </w:r>
      <w:r w:rsidR="004251E5" w:rsidRPr="00675182">
        <w:rPr>
          <w:rFonts w:cstheme="minorHAnsi"/>
          <w:szCs w:val="24"/>
        </w:rPr>
        <w:t>ž</w:t>
      </w:r>
      <w:r w:rsidR="00CB684D" w:rsidRPr="00675182">
        <w:rPr>
          <w:rFonts w:cstheme="minorHAnsi"/>
          <w:szCs w:val="24"/>
        </w:rPr>
        <w:t>saimniecībā, rūpniecībā, kā arī doti uzdevumi katras funkcionālās zonas aizsardzībai un apsaimnieko</w:t>
      </w:r>
      <w:r w:rsidR="004251E5" w:rsidRPr="00675182">
        <w:rPr>
          <w:rFonts w:cstheme="minorHAnsi"/>
          <w:szCs w:val="24"/>
        </w:rPr>
        <w:t>š</w:t>
      </w:r>
      <w:r w:rsidR="00CB684D" w:rsidRPr="00675182">
        <w:rPr>
          <w:rFonts w:cstheme="minorHAnsi"/>
          <w:szCs w:val="24"/>
        </w:rPr>
        <w:t>anai,</w:t>
      </w:r>
      <w:r w:rsidR="004251E5" w:rsidRPr="00675182">
        <w:rPr>
          <w:rFonts w:cstheme="minorHAnsi"/>
          <w:szCs w:val="24"/>
        </w:rPr>
        <w:t xml:space="preserve"> </w:t>
      </w:r>
      <w:r w:rsidR="00CB684D" w:rsidRPr="00675182">
        <w:rPr>
          <w:rFonts w:cstheme="minorHAnsi"/>
          <w:szCs w:val="24"/>
        </w:rPr>
        <w:t>pievienots arī kartogrāfiskais materiāls. Tika nolemts, ka nacionālais parks būs pakļauts LPSR</w:t>
      </w:r>
      <w:r w:rsidR="004251E5" w:rsidRPr="00675182">
        <w:rPr>
          <w:rFonts w:cstheme="minorHAnsi"/>
          <w:szCs w:val="24"/>
        </w:rPr>
        <w:t xml:space="preserve"> </w:t>
      </w:r>
      <w:r w:rsidR="00CB684D" w:rsidRPr="00675182">
        <w:rPr>
          <w:rFonts w:cstheme="minorHAnsi"/>
          <w:szCs w:val="24"/>
        </w:rPr>
        <w:t>Me</w:t>
      </w:r>
      <w:r w:rsidR="004251E5" w:rsidRPr="00675182">
        <w:rPr>
          <w:rFonts w:cstheme="minorHAnsi"/>
          <w:szCs w:val="24"/>
        </w:rPr>
        <w:t>ž</w:t>
      </w:r>
      <w:r w:rsidR="00CB684D" w:rsidRPr="00675182">
        <w:rPr>
          <w:rFonts w:cstheme="minorHAnsi"/>
          <w:szCs w:val="24"/>
        </w:rPr>
        <w:t>saimniecības un me</w:t>
      </w:r>
      <w:r w:rsidR="004251E5" w:rsidRPr="00675182">
        <w:rPr>
          <w:rFonts w:cstheme="minorHAnsi"/>
          <w:szCs w:val="24"/>
        </w:rPr>
        <w:t>ž</w:t>
      </w:r>
      <w:r w:rsidR="00CB684D" w:rsidRPr="00675182">
        <w:rPr>
          <w:rFonts w:cstheme="minorHAnsi"/>
          <w:szCs w:val="24"/>
        </w:rPr>
        <w:t>rūpniecības ministrijai.</w:t>
      </w:r>
    </w:p>
    <w:p w14:paraId="2D490528" w14:textId="6557930A" w:rsidR="004251E5" w:rsidRPr="00675182" w:rsidRDefault="004251E5" w:rsidP="00041E6F">
      <w:pPr>
        <w:jc w:val="both"/>
        <w:rPr>
          <w:rFonts w:cstheme="minorHAnsi"/>
          <w:szCs w:val="24"/>
        </w:rPr>
      </w:pPr>
    </w:p>
    <w:p w14:paraId="2A9835CF" w14:textId="4072C8BB" w:rsidR="004251E5" w:rsidRPr="00675182" w:rsidRDefault="004251E5" w:rsidP="00041E6F">
      <w:pPr>
        <w:jc w:val="both"/>
        <w:rPr>
          <w:rFonts w:cstheme="minorHAnsi"/>
          <w:szCs w:val="24"/>
        </w:rPr>
      </w:pPr>
      <w:r w:rsidRPr="00675182">
        <w:rPr>
          <w:rFonts w:cstheme="minorHAnsi"/>
          <w:szCs w:val="24"/>
        </w:rPr>
        <w:t>1988.</w:t>
      </w:r>
      <w:r w:rsidR="00FF71A1" w:rsidRPr="00675182">
        <w:rPr>
          <w:rFonts w:cstheme="minorHAnsi"/>
          <w:szCs w:val="24"/>
        </w:rPr>
        <w:t xml:space="preserve"> </w:t>
      </w:r>
      <w:r w:rsidRPr="00675182">
        <w:rPr>
          <w:rFonts w:cstheme="minorHAnsi"/>
          <w:szCs w:val="24"/>
        </w:rPr>
        <w:t xml:space="preserve">gadā </w:t>
      </w:r>
      <w:r w:rsidR="00137968" w:rsidRPr="00675182">
        <w:rPr>
          <w:rFonts w:cstheme="minorHAnsi"/>
          <w:szCs w:val="24"/>
        </w:rPr>
        <w:t>pēc</w:t>
      </w:r>
      <w:r w:rsidRPr="00675182">
        <w:rPr>
          <w:rFonts w:cstheme="minorHAnsi"/>
          <w:szCs w:val="24"/>
        </w:rPr>
        <w:t xml:space="preserve"> me</w:t>
      </w:r>
      <w:r w:rsidR="00FF71A1" w:rsidRPr="00675182">
        <w:rPr>
          <w:rFonts w:cstheme="minorHAnsi"/>
          <w:szCs w:val="24"/>
        </w:rPr>
        <w:t>ž</w:t>
      </w:r>
      <w:r w:rsidRPr="00675182">
        <w:rPr>
          <w:rFonts w:cstheme="minorHAnsi"/>
          <w:szCs w:val="24"/>
        </w:rPr>
        <w:t>saimniecības un me</w:t>
      </w:r>
      <w:r w:rsidR="00FF71A1" w:rsidRPr="00675182">
        <w:rPr>
          <w:rFonts w:cstheme="minorHAnsi"/>
          <w:szCs w:val="24"/>
        </w:rPr>
        <w:t>ž</w:t>
      </w:r>
      <w:r w:rsidRPr="00675182">
        <w:rPr>
          <w:rFonts w:cstheme="minorHAnsi"/>
          <w:szCs w:val="24"/>
        </w:rPr>
        <w:t>rūpniecības nozares reorganizācija</w:t>
      </w:r>
      <w:r w:rsidR="00137968" w:rsidRPr="00675182">
        <w:rPr>
          <w:rFonts w:cstheme="minorHAnsi"/>
          <w:szCs w:val="24"/>
        </w:rPr>
        <w:t>s</w:t>
      </w:r>
      <w:r w:rsidRPr="00675182">
        <w:rPr>
          <w:rFonts w:cstheme="minorHAnsi"/>
          <w:szCs w:val="24"/>
        </w:rPr>
        <w:t xml:space="preserve"> </w:t>
      </w:r>
      <w:r w:rsidR="00FF71A1" w:rsidRPr="00675182">
        <w:rPr>
          <w:rFonts w:cstheme="minorHAnsi"/>
          <w:szCs w:val="24"/>
        </w:rPr>
        <w:t xml:space="preserve">GNP </w:t>
      </w:r>
      <w:r w:rsidRPr="00675182">
        <w:rPr>
          <w:rFonts w:cstheme="minorHAnsi"/>
          <w:szCs w:val="24"/>
        </w:rPr>
        <w:t xml:space="preserve">tika </w:t>
      </w:r>
      <w:r w:rsidR="00137968" w:rsidRPr="00675182">
        <w:rPr>
          <w:rFonts w:cstheme="minorHAnsi"/>
          <w:szCs w:val="24"/>
        </w:rPr>
        <w:t>nodots</w:t>
      </w:r>
      <w:r w:rsidRPr="00675182">
        <w:rPr>
          <w:rFonts w:cstheme="minorHAnsi"/>
          <w:szCs w:val="24"/>
        </w:rPr>
        <w:t xml:space="preserve"> ra</w:t>
      </w:r>
      <w:r w:rsidR="00F35A23" w:rsidRPr="00675182">
        <w:rPr>
          <w:rFonts w:cstheme="minorHAnsi"/>
          <w:szCs w:val="24"/>
        </w:rPr>
        <w:t>ž</w:t>
      </w:r>
      <w:r w:rsidRPr="00675182">
        <w:rPr>
          <w:rFonts w:cstheme="minorHAnsi"/>
          <w:szCs w:val="24"/>
        </w:rPr>
        <w:t>o</w:t>
      </w:r>
      <w:r w:rsidR="00F35A23" w:rsidRPr="00675182">
        <w:rPr>
          <w:rFonts w:cstheme="minorHAnsi"/>
          <w:szCs w:val="24"/>
        </w:rPr>
        <w:t>š</w:t>
      </w:r>
      <w:r w:rsidRPr="00675182">
        <w:rPr>
          <w:rFonts w:cstheme="minorHAnsi"/>
          <w:szCs w:val="24"/>
        </w:rPr>
        <w:t>anas apvienība</w:t>
      </w:r>
      <w:r w:rsidR="00137968" w:rsidRPr="00675182">
        <w:rPr>
          <w:rFonts w:cstheme="minorHAnsi"/>
          <w:szCs w:val="24"/>
        </w:rPr>
        <w:t>s</w:t>
      </w:r>
      <w:r w:rsidRPr="00675182">
        <w:rPr>
          <w:rFonts w:cstheme="minorHAnsi"/>
          <w:szCs w:val="24"/>
        </w:rPr>
        <w:t xml:space="preserve"> "Latvijas me</w:t>
      </w:r>
      <w:r w:rsidR="00F35A23" w:rsidRPr="00675182">
        <w:rPr>
          <w:rFonts w:cstheme="minorHAnsi"/>
          <w:szCs w:val="24"/>
        </w:rPr>
        <w:t>ž</w:t>
      </w:r>
      <w:r w:rsidRPr="00675182">
        <w:rPr>
          <w:rFonts w:cstheme="minorHAnsi"/>
          <w:szCs w:val="24"/>
        </w:rPr>
        <w:t>s"</w:t>
      </w:r>
      <w:r w:rsidR="00137968" w:rsidRPr="00675182">
        <w:rPr>
          <w:rFonts w:cstheme="minorHAnsi"/>
          <w:szCs w:val="24"/>
        </w:rPr>
        <w:t xml:space="preserve"> pārvaldībā.</w:t>
      </w:r>
      <w:r w:rsidRPr="00675182">
        <w:rPr>
          <w:rFonts w:cstheme="minorHAnsi"/>
          <w:szCs w:val="24"/>
        </w:rPr>
        <w:t xml:space="preserve"> Pēc neatkarīgas Latvijas Republikas (LR) </w:t>
      </w:r>
      <w:r w:rsidR="00F35A23" w:rsidRPr="00675182">
        <w:rPr>
          <w:rFonts w:cstheme="minorHAnsi"/>
          <w:szCs w:val="24"/>
        </w:rPr>
        <w:t>izveidošan</w:t>
      </w:r>
      <w:r w:rsidR="00AF78D8" w:rsidRPr="00675182">
        <w:rPr>
          <w:rFonts w:cstheme="minorHAnsi"/>
          <w:szCs w:val="24"/>
        </w:rPr>
        <w:t>a</w:t>
      </w:r>
      <w:r w:rsidR="00F35A23" w:rsidRPr="00675182">
        <w:rPr>
          <w:rFonts w:cstheme="minorHAnsi"/>
          <w:szCs w:val="24"/>
        </w:rPr>
        <w:t>s</w:t>
      </w:r>
      <w:r w:rsidRPr="00675182">
        <w:rPr>
          <w:rFonts w:cstheme="minorHAnsi"/>
          <w:szCs w:val="24"/>
        </w:rPr>
        <w:t xml:space="preserve"> 1990.</w:t>
      </w:r>
      <w:r w:rsidR="00F35A23" w:rsidRPr="00675182">
        <w:rPr>
          <w:rFonts w:cstheme="minorHAnsi"/>
          <w:szCs w:val="24"/>
        </w:rPr>
        <w:t xml:space="preserve"> </w:t>
      </w:r>
      <w:r w:rsidRPr="00675182">
        <w:rPr>
          <w:rFonts w:cstheme="minorHAnsi"/>
          <w:szCs w:val="24"/>
        </w:rPr>
        <w:t xml:space="preserve">gadā </w:t>
      </w:r>
      <w:r w:rsidR="00F35A23" w:rsidRPr="00675182">
        <w:rPr>
          <w:rFonts w:cstheme="minorHAnsi"/>
          <w:szCs w:val="24"/>
        </w:rPr>
        <w:t>mežsaimniecības</w:t>
      </w:r>
      <w:r w:rsidRPr="00675182">
        <w:rPr>
          <w:rFonts w:cstheme="minorHAnsi"/>
          <w:szCs w:val="24"/>
        </w:rPr>
        <w:t xml:space="preserve"> nozari</w:t>
      </w:r>
      <w:r w:rsidR="00137968" w:rsidRPr="00675182">
        <w:rPr>
          <w:rFonts w:cstheme="minorHAnsi"/>
          <w:szCs w:val="24"/>
        </w:rPr>
        <w:t>, kā arī GNP pārvaldību</w:t>
      </w:r>
      <w:r w:rsidRPr="00675182">
        <w:rPr>
          <w:rFonts w:cstheme="minorHAnsi"/>
          <w:szCs w:val="24"/>
        </w:rPr>
        <w:t xml:space="preserve"> pārņēma LR Me</w:t>
      </w:r>
      <w:r w:rsidR="00F35A23" w:rsidRPr="00675182">
        <w:rPr>
          <w:rFonts w:cstheme="minorHAnsi"/>
          <w:szCs w:val="24"/>
        </w:rPr>
        <w:t>ž</w:t>
      </w:r>
      <w:r w:rsidRPr="00675182">
        <w:rPr>
          <w:rFonts w:cstheme="minorHAnsi"/>
          <w:szCs w:val="24"/>
        </w:rPr>
        <w:t>a ministrija</w:t>
      </w:r>
      <w:r w:rsidR="00137968" w:rsidRPr="00675182">
        <w:rPr>
          <w:rFonts w:cstheme="minorHAnsi"/>
          <w:szCs w:val="24"/>
        </w:rPr>
        <w:t>, bet laika periodā no</w:t>
      </w:r>
      <w:r w:rsidRPr="00675182">
        <w:rPr>
          <w:rFonts w:cstheme="minorHAnsi"/>
          <w:szCs w:val="24"/>
        </w:rPr>
        <w:t xml:space="preserve"> 1993. līdz 1999.</w:t>
      </w:r>
      <w:r w:rsidR="00F35A23" w:rsidRPr="00675182">
        <w:rPr>
          <w:rFonts w:cstheme="minorHAnsi"/>
          <w:szCs w:val="24"/>
        </w:rPr>
        <w:t xml:space="preserve"> </w:t>
      </w:r>
      <w:r w:rsidRPr="00675182">
        <w:rPr>
          <w:rFonts w:cstheme="minorHAnsi"/>
          <w:szCs w:val="24"/>
        </w:rPr>
        <w:t xml:space="preserve">gadam </w:t>
      </w:r>
      <w:r w:rsidR="00137968" w:rsidRPr="00675182">
        <w:rPr>
          <w:rFonts w:cstheme="minorHAnsi"/>
          <w:szCs w:val="24"/>
        </w:rPr>
        <w:t>GNP atradās VMD pārvaldībā</w:t>
      </w:r>
      <w:r w:rsidRPr="00675182">
        <w:rPr>
          <w:rFonts w:cstheme="minorHAnsi"/>
          <w:szCs w:val="24"/>
        </w:rPr>
        <w:t>.</w:t>
      </w:r>
    </w:p>
    <w:p w14:paraId="1E7AEAD5" w14:textId="6C8FC26C" w:rsidR="00D42DBE" w:rsidRPr="00675182" w:rsidRDefault="00D42DBE" w:rsidP="00041E6F">
      <w:pPr>
        <w:jc w:val="both"/>
        <w:rPr>
          <w:rFonts w:cstheme="minorHAnsi"/>
          <w:szCs w:val="24"/>
        </w:rPr>
      </w:pPr>
    </w:p>
    <w:p w14:paraId="0EDE65B1" w14:textId="4669B96C" w:rsidR="00B9733C" w:rsidRPr="00675182" w:rsidRDefault="00177B63" w:rsidP="00D42DBE">
      <w:pPr>
        <w:jc w:val="both"/>
        <w:rPr>
          <w:rFonts w:cstheme="minorHAnsi"/>
          <w:szCs w:val="24"/>
        </w:rPr>
      </w:pPr>
      <w:r w:rsidRPr="00675182">
        <w:rPr>
          <w:rFonts w:cstheme="minorHAnsi"/>
        </w:rPr>
        <w:lastRenderedPageBreak/>
        <w:t>Pašreizējais teritorijas statuss nostiprināts 02.03.1993. likumā „Par īpaši aizsargājamām dabas teritorijām</w:t>
      </w:r>
      <w:r w:rsidRPr="00675182">
        <w:rPr>
          <w:rFonts w:cstheme="minorHAnsi"/>
          <w:szCs w:val="24"/>
        </w:rPr>
        <w:t xml:space="preserve">”, kur </w:t>
      </w:r>
      <w:r w:rsidR="00D42DBE" w:rsidRPr="00675182">
        <w:rPr>
          <w:rFonts w:cstheme="minorHAnsi"/>
          <w:szCs w:val="24"/>
        </w:rPr>
        <w:t>tika saglabāt</w:t>
      </w:r>
      <w:r w:rsidR="00341B87" w:rsidRPr="00675182">
        <w:rPr>
          <w:rFonts w:cstheme="minorHAnsi"/>
          <w:szCs w:val="24"/>
        </w:rPr>
        <w:t>a</w:t>
      </w:r>
      <w:r w:rsidR="00D42DBE" w:rsidRPr="00675182">
        <w:rPr>
          <w:rFonts w:cstheme="minorHAnsi"/>
          <w:szCs w:val="24"/>
        </w:rPr>
        <w:t>s vēsturiski apstiprināt</w:t>
      </w:r>
      <w:r w:rsidR="00341B87" w:rsidRPr="00675182">
        <w:rPr>
          <w:rFonts w:cstheme="minorHAnsi"/>
          <w:szCs w:val="24"/>
        </w:rPr>
        <w:t>ās GNP</w:t>
      </w:r>
      <w:r w:rsidR="00D42DBE" w:rsidRPr="00675182">
        <w:rPr>
          <w:rFonts w:cstheme="minorHAnsi"/>
          <w:szCs w:val="24"/>
        </w:rPr>
        <w:t xml:space="preserve"> robe</w:t>
      </w:r>
      <w:r w:rsidR="00B9733C" w:rsidRPr="00675182">
        <w:rPr>
          <w:rFonts w:cstheme="minorHAnsi"/>
          <w:szCs w:val="24"/>
        </w:rPr>
        <w:t>ž</w:t>
      </w:r>
      <w:r w:rsidR="00341B87" w:rsidRPr="00675182">
        <w:rPr>
          <w:rFonts w:cstheme="minorHAnsi"/>
          <w:szCs w:val="24"/>
        </w:rPr>
        <w:t xml:space="preserve">as. 1994. gadā </w:t>
      </w:r>
      <w:r w:rsidR="00D42DBE" w:rsidRPr="00675182">
        <w:rPr>
          <w:rFonts w:cstheme="minorHAnsi"/>
          <w:szCs w:val="24"/>
        </w:rPr>
        <w:t>izstrādā</w:t>
      </w:r>
      <w:r w:rsidR="00341B87" w:rsidRPr="00675182">
        <w:rPr>
          <w:rFonts w:cstheme="minorHAnsi"/>
          <w:szCs w:val="24"/>
        </w:rPr>
        <w:t xml:space="preserve">ti un </w:t>
      </w:r>
      <w:r w:rsidR="00590FB2" w:rsidRPr="00675182">
        <w:rPr>
          <w:rFonts w:cstheme="minorHAnsi"/>
          <w:szCs w:val="24"/>
        </w:rPr>
        <w:t>apstiprināti</w:t>
      </w:r>
      <w:r w:rsidR="00341B87" w:rsidRPr="00675182">
        <w:rPr>
          <w:rFonts w:cstheme="minorHAnsi"/>
          <w:szCs w:val="24"/>
        </w:rPr>
        <w:t xml:space="preserve"> GNP IAIN, kur</w:t>
      </w:r>
      <w:r w:rsidR="00D42DBE" w:rsidRPr="00675182">
        <w:rPr>
          <w:rFonts w:cstheme="minorHAnsi"/>
          <w:szCs w:val="24"/>
        </w:rPr>
        <w:t xml:space="preserve"> </w:t>
      </w:r>
      <w:r w:rsidR="00341B87" w:rsidRPr="00675182">
        <w:rPr>
          <w:rFonts w:cstheme="minorHAnsi"/>
          <w:szCs w:val="24"/>
        </w:rPr>
        <w:t>tika noteikti ierobežojumi</w:t>
      </w:r>
      <w:r w:rsidR="00D42DBE" w:rsidRPr="00675182">
        <w:rPr>
          <w:rFonts w:cstheme="minorHAnsi"/>
          <w:szCs w:val="24"/>
        </w:rPr>
        <w:t>, me</w:t>
      </w:r>
      <w:r w:rsidR="00B9733C" w:rsidRPr="00675182">
        <w:rPr>
          <w:rFonts w:cstheme="minorHAnsi"/>
          <w:szCs w:val="24"/>
        </w:rPr>
        <w:t>ž</w:t>
      </w:r>
      <w:r w:rsidR="00D42DBE" w:rsidRPr="00675182">
        <w:rPr>
          <w:rFonts w:cstheme="minorHAnsi"/>
          <w:szCs w:val="24"/>
        </w:rPr>
        <w:t>a apsaimnieko</w:t>
      </w:r>
      <w:r w:rsidR="00B9733C" w:rsidRPr="00675182">
        <w:rPr>
          <w:rFonts w:cstheme="minorHAnsi"/>
          <w:szCs w:val="24"/>
        </w:rPr>
        <w:t>š</w:t>
      </w:r>
      <w:r w:rsidR="00D42DBE" w:rsidRPr="00675182">
        <w:rPr>
          <w:rFonts w:cstheme="minorHAnsi"/>
          <w:szCs w:val="24"/>
        </w:rPr>
        <w:t>anas un izmanto</w:t>
      </w:r>
      <w:r w:rsidR="00B9733C" w:rsidRPr="00675182">
        <w:rPr>
          <w:rFonts w:cstheme="minorHAnsi"/>
          <w:szCs w:val="24"/>
        </w:rPr>
        <w:t>š</w:t>
      </w:r>
      <w:r w:rsidR="00D42DBE" w:rsidRPr="00675182">
        <w:rPr>
          <w:rFonts w:cstheme="minorHAnsi"/>
          <w:szCs w:val="24"/>
        </w:rPr>
        <w:t>anas kārtīb</w:t>
      </w:r>
      <w:r w:rsidR="00341B87" w:rsidRPr="00675182">
        <w:rPr>
          <w:rFonts w:cstheme="minorHAnsi"/>
          <w:szCs w:val="24"/>
        </w:rPr>
        <w:t>a</w:t>
      </w:r>
      <w:r w:rsidR="00D42DBE" w:rsidRPr="00675182">
        <w:rPr>
          <w:rFonts w:cstheme="minorHAnsi"/>
          <w:szCs w:val="24"/>
        </w:rPr>
        <w:t>, kā</w:t>
      </w:r>
      <w:r w:rsidR="00B9733C" w:rsidRPr="00675182">
        <w:rPr>
          <w:rFonts w:cstheme="minorHAnsi"/>
          <w:szCs w:val="24"/>
        </w:rPr>
        <w:t xml:space="preserve"> </w:t>
      </w:r>
      <w:r w:rsidR="00D42DBE" w:rsidRPr="00675182">
        <w:rPr>
          <w:rFonts w:cstheme="minorHAnsi"/>
          <w:szCs w:val="24"/>
        </w:rPr>
        <w:t>arī katras funkcionālās zonas uzdevumus, regulācijas un apsaimnieko</w:t>
      </w:r>
      <w:r w:rsidR="00B9733C" w:rsidRPr="00675182">
        <w:rPr>
          <w:rFonts w:cstheme="minorHAnsi"/>
          <w:szCs w:val="24"/>
        </w:rPr>
        <w:t>š</w:t>
      </w:r>
      <w:r w:rsidR="00D42DBE" w:rsidRPr="00675182">
        <w:rPr>
          <w:rFonts w:cstheme="minorHAnsi"/>
          <w:szCs w:val="24"/>
        </w:rPr>
        <w:t>anas re</w:t>
      </w:r>
      <w:r w:rsidR="00B9733C" w:rsidRPr="00675182">
        <w:rPr>
          <w:rFonts w:cstheme="minorHAnsi"/>
          <w:szCs w:val="24"/>
        </w:rPr>
        <w:t>ž</w:t>
      </w:r>
      <w:r w:rsidR="00D42DBE" w:rsidRPr="00675182">
        <w:rPr>
          <w:rFonts w:cstheme="minorHAnsi"/>
          <w:szCs w:val="24"/>
        </w:rPr>
        <w:t>īm</w:t>
      </w:r>
      <w:r w:rsidR="00341B87" w:rsidRPr="00675182">
        <w:rPr>
          <w:rFonts w:cstheme="minorHAnsi"/>
          <w:szCs w:val="24"/>
        </w:rPr>
        <w:t>s</w:t>
      </w:r>
      <w:r w:rsidR="00D42DBE" w:rsidRPr="00675182">
        <w:rPr>
          <w:rFonts w:cstheme="minorHAnsi"/>
          <w:szCs w:val="24"/>
        </w:rPr>
        <w:t xml:space="preserve">. </w:t>
      </w:r>
    </w:p>
    <w:p w14:paraId="3CF3BACE" w14:textId="77777777" w:rsidR="00177B63" w:rsidRPr="00675182" w:rsidRDefault="00177B63" w:rsidP="00177B63">
      <w:pPr>
        <w:jc w:val="both"/>
        <w:rPr>
          <w:rFonts w:cstheme="minorHAnsi"/>
          <w:szCs w:val="24"/>
        </w:rPr>
      </w:pPr>
    </w:p>
    <w:p w14:paraId="4731B7BE" w14:textId="2C65EF47" w:rsidR="00177B63" w:rsidRPr="00675182" w:rsidRDefault="00177B63" w:rsidP="00177B63">
      <w:pPr>
        <w:jc w:val="both"/>
        <w:rPr>
          <w:rFonts w:cstheme="minorHAnsi"/>
          <w:szCs w:val="24"/>
        </w:rPr>
      </w:pPr>
      <w:r w:rsidRPr="00675182">
        <w:rPr>
          <w:rFonts w:cstheme="minorHAnsi"/>
          <w:szCs w:val="24"/>
        </w:rPr>
        <w:t xml:space="preserve">Atbilstoši spēkā esošajai likumdošanai, 1999. gada decembrī tika pieņemts “Gaujas nacionālā parka likums”, kurā tika noteiktas parka robežas, funkcionālās zonas un uzdevumi, teritorijas aizsardzības un izmantošanas vispārējās prasības, parka juridiskais statuss. </w:t>
      </w:r>
      <w:r w:rsidRPr="00675182">
        <w:rPr>
          <w:rFonts w:cstheme="minorHAnsi"/>
        </w:rPr>
        <w:t xml:space="preserve">Likumā tika noteiks, ka parka pārvaldi īsteno </w:t>
      </w:r>
      <w:r w:rsidR="006E129C" w:rsidRPr="00675182">
        <w:rPr>
          <w:rFonts w:cstheme="minorHAnsi"/>
        </w:rPr>
        <w:t>GNP administrācija.</w:t>
      </w:r>
      <w:r w:rsidRPr="00675182">
        <w:rPr>
          <w:rFonts w:cstheme="minorHAnsi"/>
          <w:szCs w:val="24"/>
        </w:rPr>
        <w:t xml:space="preserve"> 2001. gada 7. august</w:t>
      </w:r>
      <w:r w:rsidR="00D05755">
        <w:rPr>
          <w:rFonts w:cstheme="minorHAnsi"/>
          <w:szCs w:val="24"/>
        </w:rPr>
        <w:t>ā</w:t>
      </w:r>
      <w:r w:rsidRPr="00675182">
        <w:rPr>
          <w:rFonts w:cstheme="minorHAnsi"/>
          <w:szCs w:val="24"/>
        </w:rPr>
        <w:t xml:space="preserve"> tika apstiprināti MK noteikumi Nr. 352 "Gaujas nacionālā parka individuālie aizsardzības un izmantošanas noteikumi. </w:t>
      </w:r>
    </w:p>
    <w:p w14:paraId="3EDB8376" w14:textId="30F369B9" w:rsidR="0034524A" w:rsidRPr="00675182" w:rsidRDefault="0034524A" w:rsidP="00D42DBE">
      <w:pPr>
        <w:jc w:val="both"/>
        <w:rPr>
          <w:rFonts w:cstheme="minorHAnsi"/>
          <w:szCs w:val="24"/>
        </w:rPr>
      </w:pPr>
    </w:p>
    <w:p w14:paraId="1AC7B9CA" w14:textId="7C48FC17" w:rsidR="00282B95" w:rsidRPr="00675182" w:rsidRDefault="007E4C98" w:rsidP="00D563E4">
      <w:pPr>
        <w:shd w:val="clear" w:color="auto" w:fill="FFFFFF" w:themeFill="background1"/>
        <w:tabs>
          <w:tab w:val="num" w:pos="720"/>
        </w:tabs>
        <w:jc w:val="both"/>
        <w:rPr>
          <w:rFonts w:cstheme="minorHAnsi"/>
          <w:szCs w:val="24"/>
        </w:rPr>
      </w:pPr>
      <w:r w:rsidRPr="00675182">
        <w:rPr>
          <w:rFonts w:cstheme="minorHAnsi"/>
        </w:rPr>
        <w:t xml:space="preserve">Ar </w:t>
      </w:r>
      <w:r w:rsidR="00177B63" w:rsidRPr="00675182">
        <w:rPr>
          <w:rFonts w:cstheme="minorHAnsi"/>
        </w:rPr>
        <w:t xml:space="preserve">MK </w:t>
      </w:r>
      <w:r w:rsidRPr="00675182">
        <w:rPr>
          <w:rFonts w:cstheme="minorHAnsi"/>
        </w:rPr>
        <w:t xml:space="preserve">2022. gada 14. jūlija </w:t>
      </w:r>
      <w:r w:rsidR="00177B63" w:rsidRPr="00675182">
        <w:rPr>
          <w:rFonts w:cstheme="minorHAnsi"/>
        </w:rPr>
        <w:t xml:space="preserve">noteikumiem Nr. </w:t>
      </w:r>
      <w:r w:rsidR="001C1935" w:rsidRPr="00675182">
        <w:rPr>
          <w:rFonts w:cstheme="minorHAnsi"/>
        </w:rPr>
        <w:t>461</w:t>
      </w:r>
      <w:r w:rsidR="00177B63" w:rsidRPr="00675182">
        <w:rPr>
          <w:rFonts w:cstheme="minorHAnsi"/>
        </w:rPr>
        <w:t xml:space="preserve"> „</w:t>
      </w:r>
      <w:r w:rsidR="00177B63" w:rsidRPr="00675182">
        <w:rPr>
          <w:rFonts w:cstheme="minorHAnsi"/>
          <w:szCs w:val="24"/>
        </w:rPr>
        <w:t>Noteikumi par aizsargājamiem ģeoloģiskajiem un ģeomorfoloģiskajiem dabas pieminekļiem</w:t>
      </w:r>
      <w:r w:rsidR="00177B63" w:rsidRPr="00675182">
        <w:rPr>
          <w:rFonts w:cstheme="minorHAnsi"/>
        </w:rPr>
        <w:t xml:space="preserve">” apstiprinātas </w:t>
      </w:r>
      <w:r w:rsidR="00177B63" w:rsidRPr="00675182">
        <w:rPr>
          <w:rFonts w:cstheme="minorHAnsi"/>
          <w:szCs w:val="24"/>
        </w:rPr>
        <w:t xml:space="preserve">ģeoloģisko un ģeomorfoloģisko dabas pieminekļu robežas. </w:t>
      </w:r>
      <w:r w:rsidR="00456243" w:rsidRPr="00675182">
        <w:rPr>
          <w:rFonts w:cstheme="minorHAnsi"/>
        </w:rPr>
        <w:t xml:space="preserve">Ar </w:t>
      </w:r>
      <w:r w:rsidR="00177B63" w:rsidRPr="00675182">
        <w:rPr>
          <w:rFonts w:cstheme="minorHAnsi"/>
        </w:rPr>
        <w:t xml:space="preserve">MK </w:t>
      </w:r>
      <w:r w:rsidR="00456243" w:rsidRPr="00675182">
        <w:rPr>
          <w:rFonts w:cstheme="minorHAnsi"/>
        </w:rPr>
        <w:t>20</w:t>
      </w:r>
      <w:r w:rsidR="002722C8">
        <w:rPr>
          <w:rFonts w:cstheme="minorHAnsi"/>
        </w:rPr>
        <w:t>23</w:t>
      </w:r>
      <w:r w:rsidR="00456243" w:rsidRPr="00675182">
        <w:rPr>
          <w:rFonts w:cstheme="minorHAnsi"/>
        </w:rPr>
        <w:t xml:space="preserve">. gada </w:t>
      </w:r>
      <w:r w:rsidR="00236544" w:rsidRPr="00675182">
        <w:rPr>
          <w:rFonts w:cstheme="minorHAnsi"/>
        </w:rPr>
        <w:t>2</w:t>
      </w:r>
      <w:r w:rsidR="002722C8">
        <w:rPr>
          <w:rFonts w:cstheme="minorHAnsi"/>
        </w:rPr>
        <w:t>8</w:t>
      </w:r>
      <w:r w:rsidR="00236544" w:rsidRPr="00675182">
        <w:rPr>
          <w:rFonts w:cstheme="minorHAnsi"/>
        </w:rPr>
        <w:t xml:space="preserve">. marta </w:t>
      </w:r>
      <w:r w:rsidR="00177B63" w:rsidRPr="00675182">
        <w:rPr>
          <w:rFonts w:cstheme="minorHAnsi"/>
        </w:rPr>
        <w:t>noteikumiem Nr. 1</w:t>
      </w:r>
      <w:r w:rsidR="002722C8">
        <w:rPr>
          <w:rFonts w:cstheme="minorHAnsi"/>
        </w:rPr>
        <w:t>44</w:t>
      </w:r>
      <w:r w:rsidR="00177B63" w:rsidRPr="00675182">
        <w:rPr>
          <w:rFonts w:cstheme="minorHAnsi"/>
        </w:rPr>
        <w:t xml:space="preserve"> „Noteikumi par aizsargājamiem dendroloģiskajiem stādījumiem” apstiprinātas dendroloģisko stādījumu robežas un aizsardzības statuss</w:t>
      </w:r>
      <w:r w:rsidR="009F5103" w:rsidRPr="00675182">
        <w:rPr>
          <w:rStyle w:val="FootnoteReference"/>
          <w:rFonts w:cstheme="minorHAnsi"/>
        </w:rPr>
        <w:footnoteReference w:id="2"/>
      </w:r>
      <w:r w:rsidR="00177B63" w:rsidRPr="00675182">
        <w:rPr>
          <w:rFonts w:cstheme="minorHAnsi"/>
        </w:rPr>
        <w:t xml:space="preserve">. </w:t>
      </w:r>
      <w:r w:rsidRPr="00675182">
        <w:rPr>
          <w:rFonts w:cstheme="minorHAnsi"/>
        </w:rPr>
        <w:t xml:space="preserve">Ar </w:t>
      </w:r>
      <w:r w:rsidR="00177B63" w:rsidRPr="00675182">
        <w:rPr>
          <w:rFonts w:cstheme="minorHAnsi"/>
        </w:rPr>
        <w:t xml:space="preserve">MK </w:t>
      </w:r>
      <w:r w:rsidRPr="00675182">
        <w:rPr>
          <w:rFonts w:cstheme="minorHAnsi"/>
        </w:rPr>
        <w:t>20</w:t>
      </w:r>
      <w:r w:rsidR="00B73917">
        <w:rPr>
          <w:rFonts w:cstheme="minorHAnsi"/>
        </w:rPr>
        <w:t>23</w:t>
      </w:r>
      <w:r w:rsidRPr="00675182">
        <w:rPr>
          <w:rFonts w:cstheme="minorHAnsi"/>
        </w:rPr>
        <w:t xml:space="preserve">. gada </w:t>
      </w:r>
      <w:r w:rsidR="00E40ADA">
        <w:rPr>
          <w:rFonts w:cstheme="minorHAnsi"/>
        </w:rPr>
        <w:t>28</w:t>
      </w:r>
      <w:r w:rsidRPr="00675182">
        <w:rPr>
          <w:rFonts w:cstheme="minorHAnsi"/>
        </w:rPr>
        <w:t xml:space="preserve">. </w:t>
      </w:r>
      <w:r w:rsidR="00E40ADA">
        <w:rPr>
          <w:rFonts w:cstheme="minorHAnsi"/>
        </w:rPr>
        <w:t>marta</w:t>
      </w:r>
      <w:r w:rsidRPr="00675182">
        <w:rPr>
          <w:rFonts w:cstheme="minorHAnsi"/>
        </w:rPr>
        <w:t xml:space="preserve"> </w:t>
      </w:r>
      <w:r w:rsidR="00177B63" w:rsidRPr="00675182">
        <w:rPr>
          <w:rFonts w:cstheme="minorHAnsi"/>
        </w:rPr>
        <w:t>noteikumiem Nr. 1</w:t>
      </w:r>
      <w:r w:rsidR="00E40ADA">
        <w:rPr>
          <w:rFonts w:cstheme="minorHAnsi"/>
        </w:rPr>
        <w:t>43</w:t>
      </w:r>
      <w:r w:rsidR="00177B63" w:rsidRPr="00675182">
        <w:rPr>
          <w:rFonts w:cstheme="minorHAnsi"/>
        </w:rPr>
        <w:t xml:space="preserve"> „</w:t>
      </w:r>
      <w:r w:rsidR="00177B63" w:rsidRPr="00675182">
        <w:rPr>
          <w:rFonts w:cstheme="minorHAnsi"/>
          <w:szCs w:val="24"/>
        </w:rPr>
        <w:t xml:space="preserve"> Noteikumi par aizsargājamām alejām</w:t>
      </w:r>
      <w:r w:rsidR="00177B63" w:rsidRPr="00675182">
        <w:rPr>
          <w:rFonts w:cstheme="minorHAnsi"/>
        </w:rPr>
        <w:t xml:space="preserve">” apstiprinātas </w:t>
      </w:r>
      <w:r w:rsidR="00177B63" w:rsidRPr="00675182">
        <w:rPr>
          <w:rFonts w:cstheme="minorHAnsi"/>
          <w:szCs w:val="24"/>
        </w:rPr>
        <w:t xml:space="preserve">aizsargājamo aleju robežas un aizsardzības stāvoklis. </w:t>
      </w:r>
    </w:p>
    <w:p w14:paraId="6D9DEB1D" w14:textId="5E51A8AD" w:rsidR="006E129C" w:rsidRPr="00675182" w:rsidRDefault="006E129C" w:rsidP="00177B63">
      <w:pPr>
        <w:tabs>
          <w:tab w:val="num" w:pos="720"/>
        </w:tabs>
        <w:jc w:val="both"/>
        <w:rPr>
          <w:rFonts w:cstheme="minorHAnsi"/>
          <w:szCs w:val="24"/>
        </w:rPr>
      </w:pPr>
    </w:p>
    <w:p w14:paraId="6A63F4FC" w14:textId="5B15BC83" w:rsidR="006E129C" w:rsidRPr="00675182" w:rsidRDefault="006E129C" w:rsidP="006E129C">
      <w:pPr>
        <w:pStyle w:val="ListParagraph"/>
        <w:ind w:left="0"/>
        <w:jc w:val="both"/>
        <w:rPr>
          <w:rFonts w:cstheme="minorHAnsi"/>
          <w:bCs/>
        </w:rPr>
      </w:pPr>
      <w:r w:rsidRPr="00675182">
        <w:rPr>
          <w:rFonts w:cstheme="minorHAnsi"/>
          <w:bCs/>
        </w:rPr>
        <w:t xml:space="preserve">Kopš 2006. gada GNP sastāvā ir iekļauts Cēsu pilsētas dabas un kultūras parks, kas izveidots kā pašvaldības nozīmes </w:t>
      </w:r>
      <w:r w:rsidR="00675182" w:rsidRPr="00675182">
        <w:rPr>
          <w:rFonts w:cstheme="minorHAnsi"/>
          <w:bCs/>
        </w:rPr>
        <w:t>ĪADT</w:t>
      </w:r>
      <w:r w:rsidRPr="00675182">
        <w:rPr>
          <w:rFonts w:cstheme="minorHAnsi"/>
          <w:bCs/>
        </w:rPr>
        <w:t xml:space="preserve">, kuras galvenā funkcija ir saglabāt dabisko vides ainavu un bioloģisko daudzveidību pilsētas teritorijā, kā arī nodrošināt rekreācijas iespējas. </w:t>
      </w:r>
    </w:p>
    <w:p w14:paraId="2FCCB73E" w14:textId="77777777" w:rsidR="006E129C" w:rsidRPr="00675182" w:rsidRDefault="006E129C" w:rsidP="006E129C">
      <w:pPr>
        <w:pStyle w:val="ListParagraph"/>
        <w:ind w:left="0"/>
        <w:jc w:val="both"/>
        <w:rPr>
          <w:rFonts w:cstheme="minorHAnsi"/>
          <w:bCs/>
        </w:rPr>
      </w:pPr>
    </w:p>
    <w:p w14:paraId="5BFC0871" w14:textId="6BEDCDB8" w:rsidR="00826369" w:rsidRPr="00675182" w:rsidRDefault="00177B63" w:rsidP="00826369">
      <w:pPr>
        <w:jc w:val="both"/>
        <w:rPr>
          <w:rFonts w:cstheme="minorHAnsi"/>
        </w:rPr>
      </w:pPr>
      <w:r w:rsidRPr="00675182">
        <w:rPr>
          <w:rFonts w:cstheme="minorHAnsi"/>
        </w:rPr>
        <w:t xml:space="preserve">2009. gada 30. aprīlī tika apstiprināts </w:t>
      </w:r>
      <w:r w:rsidR="00826369" w:rsidRPr="00675182">
        <w:rPr>
          <w:rFonts w:cstheme="minorHAnsi"/>
        </w:rPr>
        <w:t xml:space="preserve">Gaujas </w:t>
      </w:r>
      <w:r w:rsidR="009F508B">
        <w:rPr>
          <w:rFonts w:cstheme="minorHAnsi"/>
        </w:rPr>
        <w:t>n</w:t>
      </w:r>
      <w:r w:rsidR="00826369" w:rsidRPr="00675182">
        <w:rPr>
          <w:rFonts w:cstheme="minorHAnsi"/>
        </w:rPr>
        <w:t>acionālā parka likum</w:t>
      </w:r>
      <w:r w:rsidR="008F7998" w:rsidRPr="00675182">
        <w:rPr>
          <w:rFonts w:cstheme="minorHAnsi"/>
        </w:rPr>
        <w:t>s</w:t>
      </w:r>
      <w:r w:rsidRPr="00675182">
        <w:rPr>
          <w:rFonts w:cstheme="minorHAnsi"/>
        </w:rPr>
        <w:t>, kurā precizētas</w:t>
      </w:r>
      <w:r w:rsidR="006E129C" w:rsidRPr="00675182">
        <w:rPr>
          <w:rFonts w:cstheme="minorHAnsi"/>
        </w:rPr>
        <w:t xml:space="preserve"> </w:t>
      </w:r>
      <w:r w:rsidR="00826369" w:rsidRPr="00675182">
        <w:rPr>
          <w:rFonts w:cstheme="minorHAnsi"/>
        </w:rPr>
        <w:t xml:space="preserve">GNP funkcionālās zonas, GNP robežas, kā arī </w:t>
      </w:r>
      <w:r w:rsidR="006E129C" w:rsidRPr="00675182">
        <w:rPr>
          <w:rFonts w:cstheme="minorHAnsi"/>
        </w:rPr>
        <w:t xml:space="preserve">ietverti </w:t>
      </w:r>
      <w:r w:rsidR="00826369" w:rsidRPr="00675182">
        <w:rPr>
          <w:rFonts w:cstheme="minorHAnsi"/>
        </w:rPr>
        <w:t>vispārēj</w:t>
      </w:r>
      <w:r w:rsidR="006E129C" w:rsidRPr="00675182">
        <w:rPr>
          <w:rFonts w:cstheme="minorHAnsi"/>
        </w:rPr>
        <w:t xml:space="preserve">ie </w:t>
      </w:r>
      <w:r w:rsidR="00826369" w:rsidRPr="00675182">
        <w:rPr>
          <w:rFonts w:cstheme="minorHAnsi"/>
        </w:rPr>
        <w:t>aizliegum</w:t>
      </w:r>
      <w:r w:rsidR="00675182" w:rsidRPr="00675182">
        <w:rPr>
          <w:rFonts w:cstheme="minorHAnsi"/>
        </w:rPr>
        <w:t>i</w:t>
      </w:r>
      <w:r w:rsidR="00826369" w:rsidRPr="00675182">
        <w:rPr>
          <w:rFonts w:cstheme="minorHAnsi"/>
        </w:rPr>
        <w:t>, kas jāievēro parka teritorijā. Likums nosaka, ka parka pārvaldi īsteno DAP.</w:t>
      </w:r>
      <w:r w:rsidR="006E129C" w:rsidRPr="00675182">
        <w:rPr>
          <w:rFonts w:cstheme="minorHAnsi"/>
        </w:rPr>
        <w:t xml:space="preserve"> </w:t>
      </w:r>
    </w:p>
    <w:p w14:paraId="6EDCC6C4" w14:textId="77777777" w:rsidR="00826369" w:rsidRPr="00675182" w:rsidRDefault="00826369" w:rsidP="00826369">
      <w:pPr>
        <w:jc w:val="both"/>
        <w:rPr>
          <w:rFonts w:cstheme="minorHAnsi"/>
        </w:rPr>
      </w:pPr>
    </w:p>
    <w:p w14:paraId="0B414B3A" w14:textId="0DCDB0F2" w:rsidR="00282B95" w:rsidRPr="00675182" w:rsidRDefault="00826369" w:rsidP="00D42DBE">
      <w:pPr>
        <w:jc w:val="both"/>
        <w:rPr>
          <w:rFonts w:cstheme="minorHAnsi"/>
        </w:rPr>
      </w:pPr>
      <w:r w:rsidRPr="00675182">
        <w:rPr>
          <w:rFonts w:cstheme="minorHAnsi"/>
        </w:rPr>
        <w:t>2012. gada 2. maij</w:t>
      </w:r>
      <w:r w:rsidR="006E129C" w:rsidRPr="00675182">
        <w:rPr>
          <w:rFonts w:cstheme="minorHAnsi"/>
        </w:rPr>
        <w:t>ā tika apstiprināti</w:t>
      </w:r>
      <w:r w:rsidRPr="00675182">
        <w:rPr>
          <w:rFonts w:cstheme="minorHAnsi"/>
        </w:rPr>
        <w:t xml:space="preserve"> </w:t>
      </w:r>
      <w:r w:rsidR="006E129C" w:rsidRPr="00675182">
        <w:rPr>
          <w:rFonts w:cstheme="minorHAnsi"/>
        </w:rPr>
        <w:t xml:space="preserve">MK </w:t>
      </w:r>
      <w:r w:rsidRPr="00675182">
        <w:rPr>
          <w:rFonts w:cstheme="minorHAnsi"/>
        </w:rPr>
        <w:t>noteikumi Nr. 317 „Gaujas nacionālā parka individuālie aizsardzības un izmantošanas noteikumi”</w:t>
      </w:r>
      <w:r w:rsidR="006E129C" w:rsidRPr="00675182">
        <w:rPr>
          <w:rFonts w:cstheme="minorHAnsi"/>
        </w:rPr>
        <w:t xml:space="preserve">, kas </w:t>
      </w:r>
      <w:r w:rsidRPr="00675182">
        <w:rPr>
          <w:rFonts w:cstheme="minorHAnsi"/>
        </w:rPr>
        <w:t xml:space="preserve">nosaka </w:t>
      </w:r>
      <w:r w:rsidR="006E129C" w:rsidRPr="00675182">
        <w:rPr>
          <w:rFonts w:cstheme="minorHAnsi"/>
        </w:rPr>
        <w:t xml:space="preserve">pašreizējo </w:t>
      </w:r>
      <w:r w:rsidRPr="00675182">
        <w:rPr>
          <w:rFonts w:cstheme="minorHAnsi"/>
        </w:rPr>
        <w:t>GNP individuālo aizsardzības un izmantošanas kārtību, nacionālā parka funkcionālo zonu platības un robežu aprakstus, nacionālā parka teritorijas apzīmēšanai lietojamās speciālās informatīvās zīmes paraugu un tās izveidošanas un lietošanas kārtību, kā arī GNP teritorijā esošos dabas pieminekļus un to aizsardzības un izmantošanas kārtību.</w:t>
      </w:r>
    </w:p>
    <w:p w14:paraId="6F9151E1" w14:textId="6B0D8B4F" w:rsidR="00CB684D" w:rsidRPr="00675182" w:rsidRDefault="00CB684D" w:rsidP="00041E6F">
      <w:pPr>
        <w:jc w:val="both"/>
        <w:rPr>
          <w:rFonts w:cstheme="minorHAnsi"/>
          <w:szCs w:val="24"/>
        </w:rPr>
      </w:pPr>
    </w:p>
    <w:p w14:paraId="01A657B4" w14:textId="02CA0CF4" w:rsidR="00AA184A" w:rsidRPr="00675182" w:rsidRDefault="00207FA7" w:rsidP="00041E6F">
      <w:pPr>
        <w:jc w:val="both"/>
        <w:rPr>
          <w:rFonts w:cstheme="minorHAnsi"/>
          <w:szCs w:val="24"/>
        </w:rPr>
      </w:pPr>
      <w:r w:rsidRPr="00675182">
        <w:rPr>
          <w:rFonts w:cstheme="minorHAnsi"/>
          <w:szCs w:val="24"/>
        </w:rPr>
        <w:t>1998. gadā tika uzsākta GNP DA plāna izstrāde</w:t>
      </w:r>
      <w:r w:rsidR="00AF78D8" w:rsidRPr="00675182">
        <w:rPr>
          <w:rFonts w:cstheme="minorHAnsi"/>
          <w:szCs w:val="24"/>
        </w:rPr>
        <w:t>, kuru</w:t>
      </w:r>
      <w:r w:rsidR="00B33E2B" w:rsidRPr="00675182">
        <w:rPr>
          <w:rFonts w:cstheme="minorHAnsi"/>
          <w:szCs w:val="24"/>
        </w:rPr>
        <w:t xml:space="preserve"> </w:t>
      </w:r>
      <w:r w:rsidRPr="00675182">
        <w:rPr>
          <w:rFonts w:cstheme="minorHAnsi"/>
          <w:szCs w:val="24"/>
        </w:rPr>
        <w:t>izstrādāja GNP administrācija sadarbībā ar Dānijas uzņēmumu Holsteinborg Consult. DA</w:t>
      </w:r>
      <w:r w:rsidR="00AF78D8" w:rsidRPr="00675182">
        <w:rPr>
          <w:rFonts w:cstheme="minorHAnsi"/>
          <w:szCs w:val="24"/>
        </w:rPr>
        <w:t xml:space="preserve"> plāna</w:t>
      </w:r>
      <w:r w:rsidRPr="00675182">
        <w:rPr>
          <w:rFonts w:cstheme="minorHAnsi"/>
          <w:szCs w:val="24"/>
        </w:rPr>
        <w:t xml:space="preserve"> </w:t>
      </w:r>
      <w:r w:rsidR="00AF78D8" w:rsidRPr="00675182">
        <w:rPr>
          <w:rFonts w:cstheme="minorHAnsi"/>
          <w:szCs w:val="24"/>
        </w:rPr>
        <w:t>galvenās sadaļas</w:t>
      </w:r>
      <w:r w:rsidR="00047F1F" w:rsidRPr="00675182">
        <w:rPr>
          <w:rFonts w:cstheme="minorHAnsi"/>
          <w:szCs w:val="24"/>
        </w:rPr>
        <w:t>:</w:t>
      </w:r>
    </w:p>
    <w:p w14:paraId="0295F0E8" w14:textId="71CD638D" w:rsidR="00047F1F" w:rsidRPr="00675182" w:rsidRDefault="00047F1F" w:rsidP="00245166">
      <w:pPr>
        <w:pStyle w:val="ListParagraph"/>
        <w:numPr>
          <w:ilvl w:val="0"/>
          <w:numId w:val="5"/>
        </w:numPr>
        <w:jc w:val="both"/>
        <w:rPr>
          <w:rFonts w:cstheme="minorHAnsi"/>
          <w:szCs w:val="24"/>
        </w:rPr>
      </w:pPr>
      <w:r w:rsidRPr="00675182">
        <w:rPr>
          <w:rFonts w:cstheme="minorHAnsi"/>
          <w:szCs w:val="24"/>
        </w:rPr>
        <w:t>GNP apraksts;</w:t>
      </w:r>
    </w:p>
    <w:p w14:paraId="092AA6A3" w14:textId="43AA65FA" w:rsidR="00047F1F" w:rsidRPr="00675182" w:rsidRDefault="00047F1F" w:rsidP="00245166">
      <w:pPr>
        <w:pStyle w:val="ListParagraph"/>
        <w:numPr>
          <w:ilvl w:val="0"/>
          <w:numId w:val="5"/>
        </w:numPr>
        <w:jc w:val="both"/>
        <w:rPr>
          <w:rFonts w:cstheme="minorHAnsi"/>
          <w:szCs w:val="24"/>
        </w:rPr>
      </w:pPr>
      <w:r w:rsidRPr="00675182">
        <w:rPr>
          <w:rFonts w:cstheme="minorHAnsi"/>
          <w:szCs w:val="24"/>
        </w:rPr>
        <w:t xml:space="preserve">GNP teritorijas kopējie attīstības mērķi, </w:t>
      </w:r>
      <w:r w:rsidR="000D32D0" w:rsidRPr="00675182">
        <w:rPr>
          <w:rFonts w:cstheme="minorHAnsi"/>
          <w:szCs w:val="24"/>
        </w:rPr>
        <w:t xml:space="preserve">problēmu </w:t>
      </w:r>
      <w:r w:rsidR="00AF78D8" w:rsidRPr="00675182">
        <w:rPr>
          <w:rFonts w:cstheme="minorHAnsi"/>
          <w:szCs w:val="24"/>
        </w:rPr>
        <w:t xml:space="preserve">un to </w:t>
      </w:r>
      <w:r w:rsidR="000D32D0" w:rsidRPr="00675182">
        <w:rPr>
          <w:rFonts w:cstheme="minorHAnsi"/>
          <w:szCs w:val="24"/>
        </w:rPr>
        <w:t>iespējamie</w:t>
      </w:r>
      <w:r w:rsidRPr="00675182">
        <w:rPr>
          <w:rFonts w:cstheme="minorHAnsi"/>
          <w:szCs w:val="24"/>
        </w:rPr>
        <w:t xml:space="preserve"> risinājum</w:t>
      </w:r>
      <w:r w:rsidR="000D32D0" w:rsidRPr="00675182">
        <w:rPr>
          <w:rFonts w:cstheme="minorHAnsi"/>
          <w:szCs w:val="24"/>
        </w:rPr>
        <w:t>i</w:t>
      </w:r>
      <w:r w:rsidRPr="00675182">
        <w:rPr>
          <w:rFonts w:cstheme="minorHAnsi"/>
          <w:szCs w:val="24"/>
        </w:rPr>
        <w:t>;</w:t>
      </w:r>
    </w:p>
    <w:p w14:paraId="0DC1C691" w14:textId="5FA66057" w:rsidR="00047F1F" w:rsidRPr="00675182" w:rsidRDefault="00047F1F" w:rsidP="00245166">
      <w:pPr>
        <w:pStyle w:val="ListParagraph"/>
        <w:numPr>
          <w:ilvl w:val="0"/>
          <w:numId w:val="5"/>
        </w:numPr>
        <w:jc w:val="both"/>
        <w:rPr>
          <w:rFonts w:cstheme="minorHAnsi"/>
          <w:szCs w:val="24"/>
        </w:rPr>
      </w:pPr>
      <w:r w:rsidRPr="00675182">
        <w:rPr>
          <w:rFonts w:cstheme="minorHAnsi"/>
          <w:szCs w:val="24"/>
        </w:rPr>
        <w:t>reglamentējamās darbības GNP mērķu sasniegšanai;</w:t>
      </w:r>
    </w:p>
    <w:p w14:paraId="5CED9CCB" w14:textId="46746B41" w:rsidR="00047F1F" w:rsidRPr="00675182" w:rsidRDefault="00047F1F" w:rsidP="00245166">
      <w:pPr>
        <w:pStyle w:val="ListParagraph"/>
        <w:numPr>
          <w:ilvl w:val="0"/>
          <w:numId w:val="5"/>
        </w:numPr>
        <w:jc w:val="both"/>
        <w:rPr>
          <w:rFonts w:cstheme="minorHAnsi"/>
          <w:szCs w:val="24"/>
        </w:rPr>
      </w:pPr>
      <w:r w:rsidRPr="00675182">
        <w:rPr>
          <w:rFonts w:cstheme="minorHAnsi"/>
          <w:szCs w:val="24"/>
        </w:rPr>
        <w:lastRenderedPageBreak/>
        <w:t>institucionālie aspekti;</w:t>
      </w:r>
    </w:p>
    <w:p w14:paraId="7B4381FD" w14:textId="636F0DB3" w:rsidR="00047F1F" w:rsidRPr="00675182" w:rsidRDefault="00047F1F" w:rsidP="00245166">
      <w:pPr>
        <w:pStyle w:val="ListParagraph"/>
        <w:numPr>
          <w:ilvl w:val="0"/>
          <w:numId w:val="5"/>
        </w:numPr>
        <w:jc w:val="both"/>
        <w:rPr>
          <w:rFonts w:cstheme="minorHAnsi"/>
          <w:szCs w:val="24"/>
        </w:rPr>
      </w:pPr>
      <w:r w:rsidRPr="00675182">
        <w:rPr>
          <w:rFonts w:cstheme="minorHAnsi"/>
          <w:szCs w:val="24"/>
        </w:rPr>
        <w:t>GNP ilgtermiņa un īstermiņa apsaimniekošanas mērķi;</w:t>
      </w:r>
    </w:p>
    <w:p w14:paraId="366D8184" w14:textId="3A68A731" w:rsidR="00047F1F" w:rsidRPr="00675182" w:rsidRDefault="00047F1F" w:rsidP="00245166">
      <w:pPr>
        <w:pStyle w:val="ListParagraph"/>
        <w:numPr>
          <w:ilvl w:val="0"/>
          <w:numId w:val="5"/>
        </w:numPr>
        <w:jc w:val="both"/>
        <w:rPr>
          <w:rFonts w:cstheme="minorHAnsi"/>
          <w:szCs w:val="24"/>
        </w:rPr>
      </w:pPr>
      <w:r w:rsidRPr="00675182">
        <w:rPr>
          <w:rFonts w:cstheme="minorHAnsi"/>
          <w:szCs w:val="24"/>
        </w:rPr>
        <w:t>GNP administrācijas uzdevumi</w:t>
      </w:r>
      <w:r w:rsidR="000D32D0" w:rsidRPr="00675182">
        <w:rPr>
          <w:rFonts w:cstheme="minorHAnsi"/>
          <w:szCs w:val="24"/>
        </w:rPr>
        <w:t>.</w:t>
      </w:r>
    </w:p>
    <w:p w14:paraId="0AF97696" w14:textId="77777777" w:rsidR="002A5F17" w:rsidRPr="00675182" w:rsidRDefault="002A5F17" w:rsidP="00B33E2B">
      <w:pPr>
        <w:jc w:val="both"/>
        <w:rPr>
          <w:rFonts w:cstheme="minorHAnsi"/>
          <w:bCs/>
        </w:rPr>
      </w:pPr>
    </w:p>
    <w:p w14:paraId="0A9EA535" w14:textId="560F8816" w:rsidR="00B33E2B" w:rsidRPr="00675182" w:rsidRDefault="00B33E2B" w:rsidP="00B33E2B">
      <w:pPr>
        <w:jc w:val="both"/>
        <w:rPr>
          <w:rFonts w:cstheme="minorHAnsi"/>
          <w:bCs/>
        </w:rPr>
      </w:pPr>
      <w:r w:rsidRPr="00675182">
        <w:rPr>
          <w:rFonts w:cstheme="minorHAnsi"/>
          <w:bCs/>
        </w:rPr>
        <w:t xml:space="preserve">DA plāns tika izstrādāts laika periodam no 2004. līdz 2013. gadam, tomēr 2014. gada 27. februāri ar rīkojumu Nr.102 „Par dabas aizsardzības plānu darbības termiņa pagarināšanu” </w:t>
      </w:r>
      <w:r w:rsidR="002A5F17" w:rsidRPr="00675182">
        <w:rPr>
          <w:rFonts w:cstheme="minorHAnsi"/>
          <w:bCs/>
        </w:rPr>
        <w:t>GN</w:t>
      </w:r>
      <w:r w:rsidR="0093552A" w:rsidRPr="00675182">
        <w:rPr>
          <w:rFonts w:cstheme="minorHAnsi"/>
          <w:bCs/>
        </w:rPr>
        <w:t>P</w:t>
      </w:r>
      <w:r w:rsidRPr="00675182">
        <w:rPr>
          <w:rFonts w:cstheme="minorHAnsi"/>
          <w:bCs/>
        </w:rPr>
        <w:t xml:space="preserve"> dabas aizsardzības plāna darbības termiņš </w:t>
      </w:r>
      <w:r w:rsidR="002A5F17" w:rsidRPr="00675182">
        <w:rPr>
          <w:rFonts w:cstheme="minorHAnsi"/>
          <w:bCs/>
        </w:rPr>
        <w:t xml:space="preserve">tika </w:t>
      </w:r>
      <w:r w:rsidRPr="00675182">
        <w:rPr>
          <w:rFonts w:cstheme="minorHAnsi"/>
          <w:bCs/>
        </w:rPr>
        <w:t>pagarināts līdz 2018.</w:t>
      </w:r>
      <w:r w:rsidR="0093552A" w:rsidRPr="00675182">
        <w:rPr>
          <w:rFonts w:cstheme="minorHAnsi"/>
          <w:bCs/>
        </w:rPr>
        <w:t xml:space="preserve"> </w:t>
      </w:r>
      <w:r w:rsidRPr="00675182">
        <w:rPr>
          <w:rFonts w:cstheme="minorHAnsi"/>
          <w:bCs/>
        </w:rPr>
        <w:t>gada 31.</w:t>
      </w:r>
      <w:r w:rsidR="00282B95" w:rsidRPr="00675182">
        <w:rPr>
          <w:rFonts w:cstheme="minorHAnsi"/>
          <w:bCs/>
        </w:rPr>
        <w:t xml:space="preserve"> </w:t>
      </w:r>
      <w:r w:rsidRPr="00675182">
        <w:rPr>
          <w:rFonts w:cstheme="minorHAnsi"/>
          <w:bCs/>
        </w:rPr>
        <w:t>decembrim.</w:t>
      </w:r>
    </w:p>
    <w:p w14:paraId="2CE49A0C" w14:textId="58F680F8" w:rsidR="00282B95" w:rsidRPr="00675182" w:rsidRDefault="00282B95" w:rsidP="00B33E2B">
      <w:pPr>
        <w:jc w:val="both"/>
        <w:rPr>
          <w:rFonts w:cstheme="minorHAnsi"/>
          <w:bCs/>
        </w:rPr>
      </w:pPr>
    </w:p>
    <w:p w14:paraId="5FAFBC2D" w14:textId="341FB12C" w:rsidR="002A5F17" w:rsidRPr="00675182" w:rsidRDefault="00AF78D8" w:rsidP="002A5F17">
      <w:pPr>
        <w:jc w:val="both"/>
        <w:rPr>
          <w:rFonts w:cstheme="minorHAnsi"/>
          <w:bCs/>
        </w:rPr>
      </w:pPr>
      <w:r w:rsidRPr="00675182">
        <w:rPr>
          <w:rFonts w:cstheme="minorHAnsi"/>
          <w:bCs/>
        </w:rPr>
        <w:t xml:space="preserve">GNP ir iekļauts Eiropas nozīmes aizsargājamo teritoriju tīklā Natura 2000 (2005. gada 15. septembra grozījumi likumā “Par īpaši aizsargājamām dabas teritorijām”) kā C kategorijas teritorija (kods Nr. </w:t>
      </w:r>
      <w:r w:rsidRPr="00675182">
        <w:rPr>
          <w:rFonts w:cstheme="minorHAnsi"/>
        </w:rPr>
        <w:t>LV0200100</w:t>
      </w:r>
      <w:r w:rsidRPr="00675182">
        <w:rPr>
          <w:rFonts w:cstheme="minorHAnsi"/>
          <w:bCs/>
        </w:rPr>
        <w:t xml:space="preserve">), kas izveidota </w:t>
      </w:r>
      <w:r w:rsidR="003D4AD6">
        <w:rPr>
          <w:rFonts w:cstheme="minorHAnsi"/>
        </w:rPr>
        <w:t>ĪA</w:t>
      </w:r>
      <w:r w:rsidRPr="00675182">
        <w:rPr>
          <w:rFonts w:cstheme="minorHAnsi"/>
        </w:rPr>
        <w:t xml:space="preserve"> sugu un </w:t>
      </w:r>
      <w:r w:rsidR="003D4AD6">
        <w:rPr>
          <w:rFonts w:cstheme="minorHAnsi"/>
        </w:rPr>
        <w:t xml:space="preserve">ĪA </w:t>
      </w:r>
      <w:r w:rsidRPr="00675182">
        <w:rPr>
          <w:rFonts w:cstheme="minorHAnsi"/>
        </w:rPr>
        <w:t>biotopu aizsardzībai</w:t>
      </w:r>
      <w:r w:rsidRPr="00675182">
        <w:rPr>
          <w:rFonts w:cstheme="minorHAnsi"/>
          <w:bCs/>
        </w:rPr>
        <w:t>. Par GNP ir aizpildīta un iesniegta standarta datu forma (turpmāk-SDF) Eiropas Vides aģentūrā, kurā atrodama informācija par Putnu un Biotopu direktīvu sugām un biotopiem</w:t>
      </w:r>
      <w:r w:rsidR="003D4AD6">
        <w:rPr>
          <w:rFonts w:cstheme="minorHAnsi"/>
          <w:bCs/>
        </w:rPr>
        <w:t>.</w:t>
      </w:r>
      <w:r w:rsidRPr="00675182">
        <w:rPr>
          <w:rFonts w:cstheme="minorHAnsi"/>
          <w:bCs/>
        </w:rPr>
        <w:t xml:space="preserve"> Informācija pēdējo reizi ir atjaunota un papildināta 2019. gadā. Tā ir publiski pieejama Eiropas Vides aģentūras </w:t>
      </w:r>
      <w:r w:rsidR="00EC5D6B">
        <w:rPr>
          <w:rFonts w:cstheme="minorHAnsi"/>
          <w:bCs/>
        </w:rPr>
        <w:t>interneta vietnē</w:t>
      </w:r>
      <w:r w:rsidRPr="00675182">
        <w:rPr>
          <w:rFonts w:cstheme="minorHAnsi"/>
          <w:bCs/>
        </w:rPr>
        <w:t xml:space="preserve">: </w:t>
      </w:r>
      <w:hyperlink r:id="rId42" w:history="1">
        <w:r w:rsidR="00A30DD6" w:rsidRPr="007959E0">
          <w:rPr>
            <w:rStyle w:val="Hyperlink"/>
            <w:rFonts w:cstheme="minorHAnsi"/>
            <w:bCs/>
          </w:rPr>
          <w:t>https://natura2000.eea.europa.eu</w:t>
        </w:r>
      </w:hyperlink>
      <w:r w:rsidR="00A30DD6">
        <w:rPr>
          <w:rFonts w:cstheme="minorHAnsi"/>
          <w:bCs/>
        </w:rPr>
        <w:t>.</w:t>
      </w:r>
    </w:p>
    <w:p w14:paraId="4819A03D" w14:textId="77777777" w:rsidR="00AF78D8" w:rsidRPr="00675182" w:rsidRDefault="00AF78D8" w:rsidP="002A5F17">
      <w:pPr>
        <w:jc w:val="both"/>
        <w:rPr>
          <w:rFonts w:cstheme="minorHAnsi"/>
          <w:bCs/>
        </w:rPr>
      </w:pPr>
    </w:p>
    <w:p w14:paraId="6B000296" w14:textId="1BEDBEC9" w:rsidR="006E2560" w:rsidRPr="00675182" w:rsidRDefault="005973B5" w:rsidP="00AD775D">
      <w:pPr>
        <w:jc w:val="both"/>
        <w:rPr>
          <w:rFonts w:eastAsia="Times New Roman" w:cstheme="minorHAnsi"/>
          <w:szCs w:val="24"/>
          <w:lang w:eastAsia="lv-LV"/>
        </w:rPr>
      </w:pPr>
      <w:r w:rsidRPr="00675182">
        <w:rPr>
          <w:rFonts w:cstheme="minorHAnsi"/>
          <w:bCs/>
          <w:szCs w:val="24"/>
        </w:rPr>
        <w:t xml:space="preserve">Saskaņā ar SDF, </w:t>
      </w:r>
      <w:r w:rsidR="002A5F17" w:rsidRPr="00675182">
        <w:rPr>
          <w:rFonts w:cstheme="minorHAnsi"/>
          <w:bCs/>
          <w:szCs w:val="24"/>
        </w:rPr>
        <w:t xml:space="preserve">teritorijā uz DA plāna izstrādes sākuma brīdi bija zināmi </w:t>
      </w:r>
      <w:r w:rsidR="00DB6B2D" w:rsidRPr="00675182">
        <w:rPr>
          <w:rFonts w:cstheme="minorHAnsi"/>
          <w:bCs/>
          <w:szCs w:val="24"/>
        </w:rPr>
        <w:t>34</w:t>
      </w:r>
      <w:r w:rsidR="002A5F17" w:rsidRPr="00675182">
        <w:rPr>
          <w:rFonts w:cstheme="minorHAnsi"/>
          <w:bCs/>
          <w:szCs w:val="24"/>
        </w:rPr>
        <w:t xml:space="preserve"> ES nozīmes  biotopi (no tiem </w:t>
      </w:r>
      <w:r w:rsidR="00DB6B2D" w:rsidRPr="00675182">
        <w:rPr>
          <w:rFonts w:cstheme="minorHAnsi"/>
          <w:bCs/>
          <w:szCs w:val="24"/>
        </w:rPr>
        <w:t>12</w:t>
      </w:r>
      <w:r w:rsidR="002A5F17" w:rsidRPr="00675182">
        <w:rPr>
          <w:rFonts w:cstheme="minorHAnsi"/>
          <w:bCs/>
          <w:szCs w:val="24"/>
        </w:rPr>
        <w:t xml:space="preserve"> prioritāri aizsargājamie biotopi), kā arī sastopamas </w:t>
      </w:r>
      <w:r w:rsidR="00DB6B2D" w:rsidRPr="00675182">
        <w:rPr>
          <w:rFonts w:cstheme="minorHAnsi"/>
          <w:bCs/>
          <w:szCs w:val="24"/>
        </w:rPr>
        <w:t>85</w:t>
      </w:r>
      <w:r w:rsidR="002A5F17" w:rsidRPr="00675182">
        <w:rPr>
          <w:rFonts w:cstheme="minorHAnsi"/>
          <w:bCs/>
          <w:szCs w:val="24"/>
        </w:rPr>
        <w:t xml:space="preserve"> Putnu/Biotopu direktīvās iekļautās sugas. Kā teritorijas galvenās vērtības, kuru aizsardzībai ir izveidots </w:t>
      </w:r>
      <w:r w:rsidR="00DB6B2D" w:rsidRPr="00675182">
        <w:rPr>
          <w:rFonts w:cstheme="minorHAnsi"/>
          <w:bCs/>
          <w:szCs w:val="24"/>
        </w:rPr>
        <w:t>GNP</w:t>
      </w:r>
      <w:r w:rsidR="002A5F17" w:rsidRPr="00675182">
        <w:rPr>
          <w:rFonts w:cstheme="minorHAnsi"/>
          <w:bCs/>
          <w:szCs w:val="24"/>
        </w:rPr>
        <w:t xml:space="preserve">, </w:t>
      </w:r>
      <w:r w:rsidR="00AD775D" w:rsidRPr="00675182">
        <w:rPr>
          <w:rFonts w:cstheme="minorHAnsi"/>
          <w:bCs/>
          <w:szCs w:val="24"/>
        </w:rPr>
        <w:t>SDF</w:t>
      </w:r>
      <w:r w:rsidR="002A5F17" w:rsidRPr="00675182">
        <w:rPr>
          <w:rFonts w:cstheme="minorHAnsi"/>
          <w:bCs/>
          <w:szCs w:val="24"/>
        </w:rPr>
        <w:t xml:space="preserve"> norādīti ES nozīmes  biotopi: </w:t>
      </w:r>
      <w:r w:rsidR="00BF0522" w:rsidRPr="00675182">
        <w:rPr>
          <w:rFonts w:cstheme="minorHAnsi"/>
          <w:bCs/>
          <w:szCs w:val="24"/>
        </w:rPr>
        <w:t xml:space="preserve">3130 </w:t>
      </w:r>
      <w:r w:rsidR="00BF0522" w:rsidRPr="00675182">
        <w:rPr>
          <w:rFonts w:cstheme="minorHAnsi"/>
          <w:bCs/>
          <w:i/>
          <w:iCs/>
          <w:szCs w:val="24"/>
        </w:rPr>
        <w:t>Ezeri ar oligotrofām līdz mezotrofām augu sabiedrībām</w:t>
      </w:r>
      <w:r w:rsidR="00DB6B2D" w:rsidRPr="00675182">
        <w:rPr>
          <w:rFonts w:cstheme="minorHAnsi"/>
          <w:bCs/>
          <w:szCs w:val="24"/>
        </w:rPr>
        <w:t xml:space="preserve">, </w:t>
      </w:r>
      <w:r w:rsidR="00BF0522" w:rsidRPr="00675182">
        <w:rPr>
          <w:rFonts w:cstheme="minorHAnsi"/>
          <w:bCs/>
          <w:szCs w:val="24"/>
        </w:rPr>
        <w:t xml:space="preserve">3150 </w:t>
      </w:r>
      <w:r w:rsidR="00BF0522" w:rsidRPr="00675182">
        <w:rPr>
          <w:rFonts w:cstheme="minorHAnsi"/>
          <w:bCs/>
          <w:i/>
          <w:iCs/>
          <w:szCs w:val="24"/>
        </w:rPr>
        <w:t>Eitrofi ezeri ar iegrimušo ūdensaugu un peldaugu augāju</w:t>
      </w:r>
      <w:r w:rsidR="00BF0522" w:rsidRPr="00675182">
        <w:rPr>
          <w:rFonts w:cstheme="minorHAnsi"/>
          <w:bCs/>
          <w:szCs w:val="24"/>
        </w:rPr>
        <w:t xml:space="preserve">, 3160 </w:t>
      </w:r>
      <w:r w:rsidR="00BF0522" w:rsidRPr="00675182">
        <w:rPr>
          <w:rFonts w:cstheme="minorHAnsi"/>
          <w:bCs/>
          <w:i/>
          <w:iCs/>
          <w:szCs w:val="24"/>
        </w:rPr>
        <w:t>Distrofi ezeri</w:t>
      </w:r>
      <w:r w:rsidR="00BF0522" w:rsidRPr="00675182">
        <w:rPr>
          <w:rFonts w:cstheme="minorHAnsi"/>
          <w:bCs/>
          <w:szCs w:val="24"/>
        </w:rPr>
        <w:t xml:space="preserve">, 3260 </w:t>
      </w:r>
      <w:r w:rsidR="00BF0522" w:rsidRPr="00675182">
        <w:rPr>
          <w:rFonts w:cstheme="minorHAnsi"/>
          <w:bCs/>
          <w:i/>
          <w:iCs/>
          <w:szCs w:val="24"/>
        </w:rPr>
        <w:t>Upju straujteces un dabiski upju posmi</w:t>
      </w:r>
      <w:r w:rsidR="00DB6B2D" w:rsidRPr="00675182">
        <w:rPr>
          <w:rFonts w:cstheme="minorHAnsi"/>
          <w:bCs/>
          <w:szCs w:val="24"/>
        </w:rPr>
        <w:t xml:space="preserve">, </w:t>
      </w:r>
      <w:r w:rsidR="00BF0522" w:rsidRPr="00675182">
        <w:rPr>
          <w:rFonts w:cstheme="minorHAnsi"/>
          <w:bCs/>
          <w:szCs w:val="24"/>
        </w:rPr>
        <w:t xml:space="preserve">6210 </w:t>
      </w:r>
      <w:r w:rsidR="00BF0522" w:rsidRPr="00675182">
        <w:rPr>
          <w:rFonts w:cstheme="minorHAnsi"/>
          <w:bCs/>
          <w:i/>
          <w:iCs/>
          <w:szCs w:val="24"/>
        </w:rPr>
        <w:t>Sausi zālāji kaļķainās augsnēs</w:t>
      </w:r>
      <w:r w:rsidR="00BF0522" w:rsidRPr="00675182">
        <w:rPr>
          <w:rFonts w:cstheme="minorHAnsi"/>
          <w:bCs/>
          <w:szCs w:val="24"/>
        </w:rPr>
        <w:t xml:space="preserve">, </w:t>
      </w:r>
      <w:r w:rsidR="00BF0522" w:rsidRPr="00675182">
        <w:rPr>
          <w:rFonts w:eastAsia="Times New Roman" w:cstheme="minorHAnsi"/>
          <w:szCs w:val="24"/>
          <w:lang w:eastAsia="lv-LV"/>
        </w:rPr>
        <w:t xml:space="preserve">6510 </w:t>
      </w:r>
      <w:r w:rsidR="00BF0522" w:rsidRPr="00675182">
        <w:rPr>
          <w:rFonts w:eastAsia="Times New Roman" w:cstheme="minorHAnsi"/>
          <w:i/>
          <w:iCs/>
          <w:szCs w:val="24"/>
          <w:lang w:eastAsia="lv-LV"/>
        </w:rPr>
        <w:t>Mēreni mitras pļavas</w:t>
      </w:r>
      <w:r w:rsidR="00BF0522" w:rsidRPr="00675182">
        <w:rPr>
          <w:rFonts w:eastAsia="Times New Roman" w:cstheme="minorHAnsi"/>
          <w:szCs w:val="24"/>
          <w:lang w:eastAsia="lv-LV"/>
        </w:rPr>
        <w:t xml:space="preserve">, 7110* </w:t>
      </w:r>
      <w:r w:rsidR="00BF0522" w:rsidRPr="00675182">
        <w:rPr>
          <w:rFonts w:eastAsia="Times New Roman" w:cstheme="minorHAnsi"/>
          <w:i/>
          <w:iCs/>
          <w:szCs w:val="24"/>
          <w:lang w:eastAsia="lv-LV"/>
        </w:rPr>
        <w:t>Aktīvi augstie purvi</w:t>
      </w:r>
      <w:r w:rsidR="00BF0522" w:rsidRPr="00675182">
        <w:rPr>
          <w:rFonts w:eastAsia="Times New Roman" w:cstheme="minorHAnsi"/>
          <w:szCs w:val="24"/>
          <w:lang w:eastAsia="lv-LV"/>
        </w:rPr>
        <w:t xml:space="preserve">, 7140 </w:t>
      </w:r>
      <w:r w:rsidR="00BF0522" w:rsidRPr="00675182">
        <w:rPr>
          <w:rFonts w:eastAsia="Times New Roman" w:cstheme="minorHAnsi"/>
          <w:i/>
          <w:iCs/>
          <w:szCs w:val="24"/>
          <w:lang w:eastAsia="lv-LV"/>
        </w:rPr>
        <w:t>Pārejas purvi un slīkšņas</w:t>
      </w:r>
      <w:r w:rsidR="00BF0522" w:rsidRPr="00675182">
        <w:rPr>
          <w:rFonts w:eastAsia="Times New Roman" w:cstheme="minorHAnsi"/>
          <w:szCs w:val="24"/>
          <w:lang w:eastAsia="lv-LV"/>
        </w:rPr>
        <w:t xml:space="preserve">, 7160 </w:t>
      </w:r>
      <w:r w:rsidR="00BF0522" w:rsidRPr="00675182">
        <w:rPr>
          <w:rFonts w:eastAsia="Times New Roman" w:cstheme="minorHAnsi"/>
          <w:i/>
          <w:iCs/>
          <w:szCs w:val="24"/>
          <w:lang w:eastAsia="lv-LV"/>
        </w:rPr>
        <w:t>Minerālvielām bagāti avoti un avotu purvi</w:t>
      </w:r>
      <w:r w:rsidR="00BF0522" w:rsidRPr="00675182">
        <w:rPr>
          <w:rFonts w:eastAsia="Times New Roman" w:cstheme="minorHAnsi"/>
          <w:szCs w:val="24"/>
          <w:lang w:eastAsia="lv-LV"/>
        </w:rPr>
        <w:t xml:space="preserve">, 8220 </w:t>
      </w:r>
      <w:r w:rsidR="00BF0522" w:rsidRPr="00675182">
        <w:rPr>
          <w:rFonts w:eastAsia="Times New Roman" w:cstheme="minorHAnsi"/>
          <w:i/>
          <w:iCs/>
          <w:szCs w:val="24"/>
          <w:lang w:eastAsia="lv-LV"/>
        </w:rPr>
        <w:t>Smilšakmens atsegumi</w:t>
      </w:r>
      <w:r w:rsidR="00BF0522" w:rsidRPr="00675182">
        <w:rPr>
          <w:rFonts w:eastAsia="Times New Roman" w:cstheme="minorHAnsi"/>
          <w:szCs w:val="24"/>
          <w:lang w:eastAsia="lv-LV"/>
        </w:rPr>
        <w:t xml:space="preserve">, 8310 </w:t>
      </w:r>
      <w:r w:rsidR="00BF0522" w:rsidRPr="00675182">
        <w:rPr>
          <w:rFonts w:eastAsia="Times New Roman" w:cstheme="minorHAnsi"/>
          <w:i/>
          <w:iCs/>
          <w:szCs w:val="24"/>
          <w:lang w:eastAsia="lv-LV"/>
        </w:rPr>
        <w:t>Netraucētas alas</w:t>
      </w:r>
      <w:r w:rsidR="006E2560" w:rsidRPr="00675182">
        <w:rPr>
          <w:rFonts w:eastAsia="Times New Roman" w:cstheme="minorHAnsi"/>
          <w:szCs w:val="24"/>
          <w:lang w:eastAsia="lv-LV"/>
        </w:rPr>
        <w:t xml:space="preserve">, </w:t>
      </w:r>
      <w:r w:rsidR="006E2560" w:rsidRPr="00675182">
        <w:rPr>
          <w:rFonts w:cstheme="minorHAnsi"/>
          <w:bCs/>
          <w:szCs w:val="24"/>
        </w:rPr>
        <w:t xml:space="preserve">9010* </w:t>
      </w:r>
      <w:r w:rsidR="006E2560" w:rsidRPr="00675182">
        <w:rPr>
          <w:rFonts w:cstheme="minorHAnsi"/>
          <w:bCs/>
          <w:i/>
          <w:iCs/>
          <w:szCs w:val="24"/>
        </w:rPr>
        <w:t>Veci vai dabiski boreāli meži</w:t>
      </w:r>
      <w:r w:rsidR="006E2560" w:rsidRPr="00675182">
        <w:rPr>
          <w:rFonts w:cstheme="minorHAnsi"/>
          <w:bCs/>
          <w:szCs w:val="24"/>
        </w:rPr>
        <w:t xml:space="preserve">, </w:t>
      </w:r>
      <w:r w:rsidR="006E2560" w:rsidRPr="00675182">
        <w:rPr>
          <w:rFonts w:eastAsia="Times New Roman" w:cstheme="minorHAnsi"/>
          <w:szCs w:val="24"/>
          <w:lang w:eastAsia="lv-LV"/>
        </w:rPr>
        <w:t xml:space="preserve">9180* </w:t>
      </w:r>
      <w:r w:rsidR="006E2560" w:rsidRPr="00675182">
        <w:rPr>
          <w:rFonts w:eastAsia="Times New Roman" w:cstheme="minorHAnsi"/>
          <w:i/>
          <w:iCs/>
          <w:szCs w:val="24"/>
          <w:lang w:eastAsia="lv-LV"/>
        </w:rPr>
        <w:t>Nogāžu un gravu meži</w:t>
      </w:r>
      <w:r w:rsidR="006E2560" w:rsidRPr="00675182">
        <w:rPr>
          <w:rFonts w:eastAsia="Times New Roman" w:cstheme="minorHAnsi"/>
          <w:szCs w:val="24"/>
          <w:lang w:eastAsia="lv-LV"/>
        </w:rPr>
        <w:t>, 91E0*</w:t>
      </w:r>
      <w:r w:rsidR="006E2560" w:rsidRPr="00675182">
        <w:rPr>
          <w:rFonts w:eastAsia="Times New Roman" w:cstheme="minorHAnsi"/>
          <w:i/>
          <w:iCs/>
          <w:szCs w:val="24"/>
          <w:lang w:eastAsia="lv-LV"/>
        </w:rPr>
        <w:t>Aluviāli meži (aluviāli krastmalu un palieņu meži)</w:t>
      </w:r>
      <w:r w:rsidR="006E2560" w:rsidRPr="00675182">
        <w:rPr>
          <w:rFonts w:eastAsia="Times New Roman" w:cstheme="minorHAnsi"/>
          <w:szCs w:val="24"/>
          <w:lang w:eastAsia="lv-LV"/>
        </w:rPr>
        <w:t xml:space="preserve">. </w:t>
      </w:r>
      <w:r w:rsidR="00AD775D" w:rsidRPr="00675182">
        <w:rPr>
          <w:rFonts w:eastAsia="Times New Roman" w:cstheme="minorHAnsi"/>
          <w:szCs w:val="24"/>
          <w:lang w:eastAsia="lv-LV"/>
        </w:rPr>
        <w:t xml:space="preserve">Natura </w:t>
      </w:r>
      <w:r w:rsidR="00771BEF">
        <w:rPr>
          <w:rFonts w:eastAsia="Times New Roman" w:cstheme="minorHAnsi"/>
          <w:szCs w:val="24"/>
          <w:lang w:eastAsia="lv-LV"/>
        </w:rPr>
        <w:t xml:space="preserve">2000 </w:t>
      </w:r>
      <w:r w:rsidR="00AD775D" w:rsidRPr="00675182">
        <w:rPr>
          <w:rFonts w:eastAsia="Times New Roman" w:cstheme="minorHAnsi"/>
          <w:szCs w:val="24"/>
          <w:lang w:eastAsia="lv-LV"/>
        </w:rPr>
        <w:t xml:space="preserve">SDF norādīts, ka GNP teritorijā ir konstatētas 341 nacionālajā vai Eiropas līmenī aizsargājamas sugas – 202 dzīvnieku sugas, piemēram, </w:t>
      </w:r>
      <w:r w:rsidR="00AD775D" w:rsidRPr="00675182">
        <w:rPr>
          <w:rFonts w:cstheme="minorHAnsi"/>
          <w:szCs w:val="24"/>
        </w:rPr>
        <w:t>zirgskābeņu</w:t>
      </w:r>
      <w:r w:rsidR="00AD775D" w:rsidRPr="00675182">
        <w:rPr>
          <w:rFonts w:cstheme="minorHAnsi"/>
        </w:rPr>
        <w:t xml:space="preserve"> zilenītis </w:t>
      </w:r>
      <w:r w:rsidR="00AD775D" w:rsidRPr="00675182">
        <w:rPr>
          <w:rFonts w:cstheme="minorHAnsi"/>
          <w:i/>
          <w:iCs/>
        </w:rPr>
        <w:t xml:space="preserve">Lycaena dispar, </w:t>
      </w:r>
      <w:r w:rsidR="00AD775D" w:rsidRPr="00675182">
        <w:rPr>
          <w:rFonts w:cstheme="minorHAnsi"/>
        </w:rPr>
        <w:t xml:space="preserve">skabiozu pļavraibenis </w:t>
      </w:r>
      <w:r w:rsidR="00AD775D" w:rsidRPr="00675182">
        <w:rPr>
          <w:rFonts w:cstheme="minorHAnsi"/>
          <w:i/>
          <w:color w:val="000000"/>
        </w:rPr>
        <w:t>Euphydryas aurinia</w:t>
      </w:r>
      <w:r w:rsidR="00B839E7" w:rsidRPr="00675182">
        <w:rPr>
          <w:rFonts w:cstheme="minorHAnsi"/>
          <w:i/>
          <w:color w:val="000000"/>
        </w:rPr>
        <w:t xml:space="preserve">, </w:t>
      </w:r>
      <w:r w:rsidR="00B839E7" w:rsidRPr="00675182">
        <w:rPr>
          <w:rFonts w:cstheme="minorHAnsi"/>
          <w:color w:val="000000"/>
        </w:rPr>
        <w:t>,</w:t>
      </w:r>
      <w:r w:rsidR="00B839E7" w:rsidRPr="00675182">
        <w:rPr>
          <w:rFonts w:cstheme="minorHAnsi"/>
          <w:i/>
          <w:color w:val="000000"/>
          <w:sz w:val="20"/>
        </w:rPr>
        <w:t xml:space="preserve"> </w:t>
      </w:r>
      <w:r w:rsidR="00B839E7" w:rsidRPr="00675182">
        <w:rPr>
          <w:rFonts w:cstheme="minorHAnsi"/>
        </w:rPr>
        <w:t xml:space="preserve">tumšā pūcīte </w:t>
      </w:r>
      <w:hyperlink r:id="rId43" w:tgtFrame="&#10;                                blank&#10;                              " w:history="1">
        <w:r w:rsidR="00B839E7" w:rsidRPr="00675182">
          <w:rPr>
            <w:rStyle w:val="Hyperlink"/>
            <w:rFonts w:cstheme="minorHAnsi"/>
            <w:i/>
            <w:color w:val="000000" w:themeColor="text1"/>
            <w:szCs w:val="24"/>
            <w:u w:val="none"/>
            <w:shd w:val="clear" w:color="auto" w:fill="FFFFFF"/>
          </w:rPr>
          <w:t>Xylomoia strix</w:t>
        </w:r>
      </w:hyperlink>
      <w:r w:rsidR="00B839E7" w:rsidRPr="00675182">
        <w:rPr>
          <w:rStyle w:val="Hyperlink"/>
          <w:rFonts w:cstheme="minorHAnsi"/>
          <w:i/>
          <w:color w:val="000000" w:themeColor="text1"/>
          <w:szCs w:val="24"/>
          <w:shd w:val="clear" w:color="auto" w:fill="FFFFFF"/>
        </w:rPr>
        <w:t>,</w:t>
      </w:r>
      <w:r w:rsidR="00B839E7" w:rsidRPr="00675182">
        <w:rPr>
          <w:rStyle w:val="Hyperlink"/>
          <w:rFonts w:cstheme="minorHAnsi"/>
          <w:i/>
          <w:color w:val="000000" w:themeColor="text1"/>
          <w:szCs w:val="24"/>
          <w:u w:val="none"/>
          <w:shd w:val="clear" w:color="auto" w:fill="FFFFFF"/>
        </w:rPr>
        <w:t xml:space="preserve"> </w:t>
      </w:r>
      <w:r w:rsidR="00B839E7" w:rsidRPr="00675182">
        <w:rPr>
          <w:rStyle w:val="Hyperlink"/>
          <w:rFonts w:cstheme="minorHAnsi"/>
          <w:iCs/>
          <w:color w:val="000000" w:themeColor="text1"/>
          <w:szCs w:val="24"/>
          <w:u w:val="none"/>
          <w:shd w:val="clear" w:color="auto" w:fill="FFFFFF"/>
        </w:rPr>
        <w:t xml:space="preserve">mazais ērglis </w:t>
      </w:r>
      <w:r w:rsidR="00B839E7" w:rsidRPr="00675182">
        <w:rPr>
          <w:rFonts w:cstheme="minorHAnsi"/>
          <w:bCs/>
          <w:i/>
          <w:iCs/>
        </w:rPr>
        <w:t xml:space="preserve">Aquila pomarina, </w:t>
      </w:r>
      <w:r w:rsidR="00B839E7" w:rsidRPr="00675182">
        <w:rPr>
          <w:rFonts w:cstheme="minorHAnsi"/>
          <w:bCs/>
        </w:rPr>
        <w:t>grieze</w:t>
      </w:r>
      <w:r w:rsidR="00B839E7" w:rsidRPr="00675182">
        <w:rPr>
          <w:rFonts w:cstheme="minorHAnsi"/>
          <w:bCs/>
          <w:i/>
          <w:iCs/>
        </w:rPr>
        <w:t xml:space="preserve"> Crex crex</w:t>
      </w:r>
      <w:r w:rsidR="00B839E7" w:rsidRPr="00675182">
        <w:rPr>
          <w:rFonts w:cstheme="minorHAnsi"/>
          <w:bCs/>
        </w:rPr>
        <w:t xml:space="preserve">; ūpis </w:t>
      </w:r>
      <w:r w:rsidR="00B839E7" w:rsidRPr="00675182">
        <w:rPr>
          <w:rFonts w:cstheme="minorHAnsi"/>
          <w:bCs/>
          <w:i/>
          <w:iCs/>
        </w:rPr>
        <w:t xml:space="preserve">Bubo bubo, </w:t>
      </w:r>
      <w:r w:rsidR="00B839E7" w:rsidRPr="00675182">
        <w:rPr>
          <w:rFonts w:cstheme="minorHAnsi"/>
          <w:bCs/>
        </w:rPr>
        <w:t xml:space="preserve">baltmugurdzenis </w:t>
      </w:r>
      <w:r w:rsidR="00B839E7" w:rsidRPr="00675182">
        <w:rPr>
          <w:rFonts w:cstheme="minorHAnsi"/>
          <w:bCs/>
          <w:i/>
          <w:iCs/>
        </w:rPr>
        <w:t xml:space="preserve">Dendrocopus leucotus, </w:t>
      </w:r>
      <w:r w:rsidR="00B839E7" w:rsidRPr="00675182">
        <w:rPr>
          <w:rFonts w:cstheme="minorHAnsi"/>
          <w:bCs/>
        </w:rPr>
        <w:t xml:space="preserve">Eirāzijas ūdrs </w:t>
      </w:r>
      <w:r w:rsidR="00B839E7" w:rsidRPr="00675182">
        <w:rPr>
          <w:rFonts w:cstheme="minorHAnsi"/>
          <w:bCs/>
          <w:i/>
          <w:iCs/>
        </w:rPr>
        <w:t xml:space="preserve">Lutra lutra, </w:t>
      </w:r>
      <w:r w:rsidR="00B839E7" w:rsidRPr="00675182">
        <w:rPr>
          <w:rFonts w:cstheme="minorHAnsi"/>
          <w:bCs/>
        </w:rPr>
        <w:t xml:space="preserve">121 augu sugas, piemēram, spilvainais ancītis </w:t>
      </w:r>
      <w:r w:rsidR="00B839E7" w:rsidRPr="00675182">
        <w:rPr>
          <w:rFonts w:cstheme="minorHAnsi"/>
          <w:bCs/>
          <w:i/>
          <w:iCs/>
        </w:rPr>
        <w:t>Agrimonia pilosa</w:t>
      </w:r>
      <w:r w:rsidR="00B839E7" w:rsidRPr="00675182">
        <w:rPr>
          <w:rFonts w:cstheme="minorHAnsi"/>
          <w:bCs/>
        </w:rPr>
        <w:t xml:space="preserve">, </w:t>
      </w:r>
      <w:r w:rsidR="00B839E7" w:rsidRPr="00675182">
        <w:rPr>
          <w:rFonts w:cstheme="minorHAnsi"/>
          <w:szCs w:val="24"/>
        </w:rPr>
        <w:t xml:space="preserve">meža silpurene </w:t>
      </w:r>
      <w:r w:rsidR="00B839E7" w:rsidRPr="00675182">
        <w:rPr>
          <w:rFonts w:cstheme="minorHAnsi"/>
          <w:i/>
          <w:iCs/>
          <w:szCs w:val="24"/>
        </w:rPr>
        <w:t xml:space="preserve">Pulsatilla patens, </w:t>
      </w:r>
      <w:r w:rsidR="00B839E7" w:rsidRPr="00675182">
        <w:rPr>
          <w:rFonts w:cstheme="minorHAnsi"/>
          <w:szCs w:val="24"/>
        </w:rPr>
        <w:t>dzelt</w:t>
      </w:r>
      <w:r w:rsidR="00B933BE" w:rsidRPr="00675182">
        <w:rPr>
          <w:rFonts w:cstheme="minorHAnsi"/>
          <w:szCs w:val="24"/>
        </w:rPr>
        <w:t>e</w:t>
      </w:r>
      <w:r w:rsidR="00B839E7" w:rsidRPr="00675182">
        <w:rPr>
          <w:rFonts w:cstheme="minorHAnsi"/>
          <w:szCs w:val="24"/>
        </w:rPr>
        <w:t xml:space="preserve">nā dzegužkurpīte </w:t>
      </w:r>
      <w:r w:rsidR="00B839E7" w:rsidRPr="00675182">
        <w:rPr>
          <w:rFonts w:cstheme="minorHAnsi"/>
          <w:bCs/>
          <w:i/>
          <w:iCs/>
        </w:rPr>
        <w:t>Cypripedium calceolus</w:t>
      </w:r>
      <w:r w:rsidR="00B839E7" w:rsidRPr="00675182">
        <w:rPr>
          <w:rFonts w:cstheme="minorHAnsi"/>
          <w:bCs/>
        </w:rPr>
        <w:t xml:space="preserve">, spīdīgā āķīte </w:t>
      </w:r>
      <w:r w:rsidR="00B839E7" w:rsidRPr="00675182">
        <w:rPr>
          <w:rFonts w:cstheme="minorHAnsi"/>
          <w:bCs/>
          <w:i/>
          <w:iCs/>
        </w:rPr>
        <w:t>Drepanocladus vernicosus</w:t>
      </w:r>
      <w:r w:rsidR="00B839E7" w:rsidRPr="00675182">
        <w:rPr>
          <w:rFonts w:cstheme="minorHAnsi"/>
          <w:bCs/>
        </w:rPr>
        <w:t xml:space="preserve">, kā arī 18 sēņu sugas. </w:t>
      </w:r>
    </w:p>
    <w:p w14:paraId="1D882AED" w14:textId="77777777" w:rsidR="00BF0522" w:rsidRPr="00675182" w:rsidRDefault="00BF0522" w:rsidP="002A5F17">
      <w:pPr>
        <w:jc w:val="both"/>
        <w:rPr>
          <w:rFonts w:cstheme="minorHAnsi"/>
          <w:bCs/>
        </w:rPr>
      </w:pPr>
    </w:p>
    <w:p w14:paraId="5D7B3372" w14:textId="26EF6124" w:rsidR="00B33E2B" w:rsidRPr="00675182" w:rsidRDefault="00B839E7" w:rsidP="00B839E7">
      <w:pPr>
        <w:jc w:val="both"/>
        <w:rPr>
          <w:rFonts w:cstheme="minorHAnsi"/>
        </w:rPr>
      </w:pPr>
      <w:r w:rsidRPr="00675182">
        <w:rPr>
          <w:rFonts w:cstheme="minorHAnsi"/>
        </w:rPr>
        <w:t xml:space="preserve">2017. gadā </w:t>
      </w:r>
      <w:r w:rsidR="00AF78D8" w:rsidRPr="00675182">
        <w:rPr>
          <w:rFonts w:cstheme="minorHAnsi"/>
        </w:rPr>
        <w:t>tika sagatavota</w:t>
      </w:r>
      <w:r w:rsidRPr="00675182">
        <w:rPr>
          <w:rFonts w:cstheme="minorHAnsi"/>
        </w:rPr>
        <w:t xml:space="preserve"> “Natura 2000 nacionālā aizsardzības un apsaimniekošanas programma no 2018. līdz 2030. gadam” (turpmāk tekstā – Natura 2000 programma). GNP kā apsaimniekošanas un aizsardzības prioritātes ir norādītas</w:t>
      </w:r>
      <w:r w:rsidR="00AF78D8" w:rsidRPr="00675182">
        <w:rPr>
          <w:rFonts w:cstheme="minorHAnsi"/>
        </w:rPr>
        <w:t xml:space="preserve"> šādas</w:t>
      </w:r>
      <w:r w:rsidRPr="00675182">
        <w:rPr>
          <w:rFonts w:cstheme="minorHAnsi"/>
        </w:rPr>
        <w:t>:</w:t>
      </w:r>
    </w:p>
    <w:p w14:paraId="28F09D28" w14:textId="0C1A772C" w:rsidR="00B839E7" w:rsidRPr="00675182" w:rsidRDefault="00F8055F" w:rsidP="00A84218">
      <w:pPr>
        <w:pStyle w:val="ListParagraph"/>
        <w:numPr>
          <w:ilvl w:val="0"/>
          <w:numId w:val="17"/>
        </w:numPr>
        <w:jc w:val="both"/>
        <w:rPr>
          <w:rFonts w:cstheme="minorHAnsi"/>
          <w:bCs/>
        </w:rPr>
      </w:pPr>
      <w:r>
        <w:rPr>
          <w:rFonts w:cstheme="minorHAnsi"/>
          <w:bCs/>
        </w:rPr>
        <w:t>p</w:t>
      </w:r>
      <w:r w:rsidRPr="00675182">
        <w:rPr>
          <w:rFonts w:cstheme="minorHAnsi"/>
          <w:bCs/>
        </w:rPr>
        <w:t xml:space="preserve">iešķirt </w:t>
      </w:r>
      <w:r w:rsidR="00B839E7" w:rsidRPr="00675182">
        <w:rPr>
          <w:rFonts w:cstheme="minorHAnsi"/>
          <w:bCs/>
        </w:rPr>
        <w:t>aizsardzības statusu ģeoloģiskajiem objektiem, kas nav iekļauti valsts nozīmes dabas pieminekļu kategorijā</w:t>
      </w:r>
      <w:r>
        <w:rPr>
          <w:rFonts w:cstheme="minorHAnsi"/>
          <w:bCs/>
        </w:rPr>
        <w:t>;</w:t>
      </w:r>
    </w:p>
    <w:p w14:paraId="1D0DCFAF" w14:textId="211637DA" w:rsidR="00B839E7" w:rsidRPr="00675182" w:rsidRDefault="00F8055F" w:rsidP="00A84218">
      <w:pPr>
        <w:pStyle w:val="ListParagraph"/>
        <w:numPr>
          <w:ilvl w:val="0"/>
          <w:numId w:val="17"/>
        </w:numPr>
        <w:jc w:val="both"/>
        <w:rPr>
          <w:rFonts w:cstheme="minorHAnsi"/>
          <w:bCs/>
        </w:rPr>
      </w:pPr>
      <w:r>
        <w:rPr>
          <w:rFonts w:cstheme="minorHAnsi"/>
          <w:bCs/>
        </w:rPr>
        <w:t>a</w:t>
      </w:r>
      <w:r w:rsidRPr="00675182">
        <w:rPr>
          <w:rFonts w:cstheme="minorHAnsi"/>
          <w:bCs/>
        </w:rPr>
        <w:t xml:space="preserve">pturēt </w:t>
      </w:r>
      <w:r w:rsidR="00B839E7" w:rsidRPr="00675182">
        <w:rPr>
          <w:rFonts w:cstheme="minorHAnsi"/>
          <w:bCs/>
        </w:rPr>
        <w:t>cilvēku darbības izraisītos augsnes erozijas un pamatiežu izskalošanās procesus ģeoloģiskajos objektos, veidojot infrastruktūru, norobežojumus, u.tml.</w:t>
      </w:r>
      <w:r>
        <w:rPr>
          <w:rFonts w:cstheme="minorHAnsi"/>
          <w:bCs/>
        </w:rPr>
        <w:t>;</w:t>
      </w:r>
    </w:p>
    <w:p w14:paraId="0A548A7E" w14:textId="6C69758B" w:rsidR="0093552A" w:rsidRPr="00675182" w:rsidRDefault="00F8055F" w:rsidP="00A84218">
      <w:pPr>
        <w:pStyle w:val="ListParagraph"/>
        <w:numPr>
          <w:ilvl w:val="0"/>
          <w:numId w:val="17"/>
        </w:numPr>
        <w:jc w:val="both"/>
        <w:rPr>
          <w:rFonts w:cstheme="minorHAnsi"/>
          <w:bCs/>
        </w:rPr>
      </w:pPr>
      <w:r>
        <w:rPr>
          <w:rFonts w:cstheme="minorHAnsi"/>
          <w:bCs/>
        </w:rPr>
        <w:lastRenderedPageBreak/>
        <w:t>i</w:t>
      </w:r>
      <w:r w:rsidRPr="00675182">
        <w:rPr>
          <w:rFonts w:cstheme="minorHAnsi"/>
          <w:bCs/>
        </w:rPr>
        <w:t xml:space="preserve">zstrādāt </w:t>
      </w:r>
      <w:r w:rsidR="00B839E7" w:rsidRPr="00675182">
        <w:rPr>
          <w:rFonts w:cstheme="minorHAnsi"/>
          <w:bCs/>
        </w:rPr>
        <w:t>atsegumu un alu biotopu un ar tiem saistīto reto un aizsargājamo sugu aizsardzības un tūrisma organizācijas plānu</w:t>
      </w:r>
      <w:r w:rsidR="0093552A" w:rsidRPr="00675182">
        <w:rPr>
          <w:rFonts w:cstheme="minorHAnsi"/>
          <w:bCs/>
        </w:rPr>
        <w:t>;</w:t>
      </w:r>
    </w:p>
    <w:p w14:paraId="0C6CA16E" w14:textId="24CF3D0D" w:rsidR="00B839E7" w:rsidRPr="00675182" w:rsidRDefault="00F8055F" w:rsidP="00A84218">
      <w:pPr>
        <w:pStyle w:val="ListParagraph"/>
        <w:numPr>
          <w:ilvl w:val="0"/>
          <w:numId w:val="17"/>
        </w:numPr>
        <w:jc w:val="both"/>
        <w:rPr>
          <w:rFonts w:cstheme="minorHAnsi"/>
          <w:bCs/>
        </w:rPr>
      </w:pPr>
      <w:r>
        <w:rPr>
          <w:rFonts w:cstheme="minorHAnsi"/>
          <w:bCs/>
        </w:rPr>
        <w:t>i</w:t>
      </w:r>
      <w:r w:rsidRPr="00675182">
        <w:rPr>
          <w:rFonts w:cstheme="minorHAnsi"/>
          <w:bCs/>
        </w:rPr>
        <w:t xml:space="preserve">zstrādāt </w:t>
      </w:r>
      <w:r w:rsidR="00B839E7" w:rsidRPr="00675182">
        <w:rPr>
          <w:rFonts w:cstheme="minorHAnsi"/>
          <w:bCs/>
        </w:rPr>
        <w:t>hidroloģiskā režīma atjaunošanas plānus</w:t>
      </w:r>
      <w:r w:rsidR="0093552A" w:rsidRPr="00675182">
        <w:rPr>
          <w:rFonts w:cstheme="minorHAnsi"/>
          <w:bCs/>
        </w:rPr>
        <w:t xml:space="preserve"> </w:t>
      </w:r>
      <w:r w:rsidR="00B839E7" w:rsidRPr="00675182">
        <w:rPr>
          <w:rFonts w:cstheme="minorHAnsi"/>
          <w:bCs/>
        </w:rPr>
        <w:t>purviem, kurus nelabvēlīgi ietekmē nosusināšana</w:t>
      </w:r>
      <w:r w:rsidR="0093552A" w:rsidRPr="00675182">
        <w:rPr>
          <w:rFonts w:cstheme="minorHAnsi"/>
          <w:bCs/>
        </w:rPr>
        <w:t>;</w:t>
      </w:r>
    </w:p>
    <w:p w14:paraId="4B2B70CB" w14:textId="3D65D066" w:rsidR="002A5F17" w:rsidRPr="00675182" w:rsidRDefault="00F8055F" w:rsidP="00A84218">
      <w:pPr>
        <w:pStyle w:val="ListParagraph"/>
        <w:numPr>
          <w:ilvl w:val="0"/>
          <w:numId w:val="17"/>
        </w:numPr>
        <w:jc w:val="both"/>
        <w:rPr>
          <w:rFonts w:cstheme="minorHAnsi"/>
          <w:bCs/>
        </w:rPr>
      </w:pPr>
      <w:r>
        <w:rPr>
          <w:rFonts w:cstheme="minorHAnsi"/>
          <w:bCs/>
        </w:rPr>
        <w:t>i</w:t>
      </w:r>
      <w:r w:rsidRPr="00675182">
        <w:rPr>
          <w:rFonts w:cstheme="minorHAnsi"/>
          <w:bCs/>
        </w:rPr>
        <w:t xml:space="preserve">zstrādāt </w:t>
      </w:r>
      <w:r w:rsidR="00B839E7" w:rsidRPr="00675182">
        <w:rPr>
          <w:rFonts w:cstheme="minorHAnsi"/>
          <w:bCs/>
        </w:rPr>
        <w:t>un ieviest dabisko zālāju atjaunošanas un</w:t>
      </w:r>
      <w:r w:rsidR="0093552A" w:rsidRPr="00675182">
        <w:rPr>
          <w:rFonts w:cstheme="minorHAnsi"/>
          <w:bCs/>
        </w:rPr>
        <w:t xml:space="preserve"> </w:t>
      </w:r>
      <w:r w:rsidR="00B839E7" w:rsidRPr="00675182">
        <w:rPr>
          <w:rFonts w:cstheme="minorHAnsi"/>
          <w:bCs/>
        </w:rPr>
        <w:t>aizsardzības plānu</w:t>
      </w:r>
      <w:r w:rsidR="0093552A" w:rsidRPr="00675182">
        <w:rPr>
          <w:rFonts w:cstheme="minorHAnsi"/>
          <w:bCs/>
        </w:rPr>
        <w:t>;</w:t>
      </w:r>
    </w:p>
    <w:p w14:paraId="03D6FBAE" w14:textId="05F8A722" w:rsidR="0093552A" w:rsidRPr="00675182" w:rsidRDefault="00F8055F" w:rsidP="00A84218">
      <w:pPr>
        <w:pStyle w:val="ListParagraph"/>
        <w:numPr>
          <w:ilvl w:val="0"/>
          <w:numId w:val="17"/>
        </w:numPr>
        <w:jc w:val="both"/>
        <w:rPr>
          <w:rFonts w:cstheme="minorHAnsi"/>
          <w:bCs/>
        </w:rPr>
      </w:pPr>
      <w:r>
        <w:rPr>
          <w:rFonts w:cstheme="minorHAnsi"/>
          <w:bCs/>
        </w:rPr>
        <w:t>m</w:t>
      </w:r>
      <w:r w:rsidRPr="00675182">
        <w:rPr>
          <w:rFonts w:cstheme="minorHAnsi"/>
          <w:bCs/>
        </w:rPr>
        <w:t xml:space="preserve">odernizēt </w:t>
      </w:r>
      <w:r w:rsidR="0093552A" w:rsidRPr="00675182">
        <w:rPr>
          <w:rFonts w:cstheme="minorHAnsi"/>
          <w:bCs/>
        </w:rPr>
        <w:t>esošās NAI un kanalizācijas sistēmas un apdzīvotajās teritorijās izbūvēt jaunas;</w:t>
      </w:r>
    </w:p>
    <w:p w14:paraId="297B4B45" w14:textId="72D822D6" w:rsidR="0093552A" w:rsidRPr="00675182" w:rsidRDefault="00F8055F" w:rsidP="00A84218">
      <w:pPr>
        <w:pStyle w:val="ListParagraph"/>
        <w:numPr>
          <w:ilvl w:val="0"/>
          <w:numId w:val="17"/>
        </w:numPr>
        <w:jc w:val="both"/>
        <w:rPr>
          <w:rFonts w:cstheme="minorHAnsi"/>
          <w:bCs/>
        </w:rPr>
      </w:pPr>
      <w:r>
        <w:rPr>
          <w:rFonts w:cstheme="minorHAnsi"/>
          <w:bCs/>
        </w:rPr>
        <w:t>i</w:t>
      </w:r>
      <w:r w:rsidRPr="00675182">
        <w:rPr>
          <w:rFonts w:cstheme="minorHAnsi"/>
          <w:bCs/>
        </w:rPr>
        <w:t xml:space="preserve">zpētīt </w:t>
      </w:r>
      <w:r w:rsidR="0093552A" w:rsidRPr="00675182">
        <w:rPr>
          <w:rFonts w:cstheme="minorHAnsi"/>
          <w:bCs/>
        </w:rPr>
        <w:t xml:space="preserve">veģetāciju un noteikt atbilstošu aizsardzības režīmu </w:t>
      </w:r>
      <w:r>
        <w:rPr>
          <w:rFonts w:cstheme="minorHAnsi"/>
          <w:bCs/>
        </w:rPr>
        <w:t>ĪA</w:t>
      </w:r>
      <w:r w:rsidR="0093552A" w:rsidRPr="00675182">
        <w:rPr>
          <w:rFonts w:cstheme="minorHAnsi"/>
          <w:bCs/>
        </w:rPr>
        <w:t xml:space="preserve"> sugu un biotopu atradnēm Ungura, Driškina, Plaužu, Pulles, Pūricu, Rābuta, Kaņepu, Mazmuižnieku, Pidēnu, Āraišu, Briežu, Vaidavas,</w:t>
      </w:r>
      <w:r w:rsidR="00B933BE" w:rsidRPr="00675182">
        <w:rPr>
          <w:rFonts w:cstheme="minorHAnsi"/>
          <w:bCs/>
        </w:rPr>
        <w:t xml:space="preserve"> </w:t>
      </w:r>
      <w:r w:rsidR="0093552A" w:rsidRPr="00675182">
        <w:rPr>
          <w:rFonts w:cstheme="minorHAnsi"/>
          <w:bCs/>
        </w:rPr>
        <w:t>Auciema dzelvju un vecupju, Raiskuma, Melnezera un Niniera ezeros;</w:t>
      </w:r>
    </w:p>
    <w:p w14:paraId="53C9FA2F" w14:textId="68BD723C" w:rsidR="0093552A" w:rsidRPr="00675182" w:rsidRDefault="00F8055F" w:rsidP="00A84218">
      <w:pPr>
        <w:pStyle w:val="ListParagraph"/>
        <w:numPr>
          <w:ilvl w:val="0"/>
          <w:numId w:val="17"/>
        </w:numPr>
        <w:jc w:val="both"/>
        <w:rPr>
          <w:rFonts w:cstheme="minorHAnsi"/>
          <w:bCs/>
        </w:rPr>
      </w:pPr>
      <w:r>
        <w:rPr>
          <w:rFonts w:cstheme="minorHAnsi"/>
          <w:bCs/>
        </w:rPr>
        <w:t>i</w:t>
      </w:r>
      <w:r w:rsidRPr="00675182">
        <w:rPr>
          <w:rFonts w:cstheme="minorHAnsi"/>
          <w:bCs/>
        </w:rPr>
        <w:t xml:space="preserve">zstrādāt </w:t>
      </w:r>
      <w:r w:rsidR="0093552A" w:rsidRPr="00675182">
        <w:rPr>
          <w:rFonts w:cstheme="minorHAnsi"/>
          <w:bCs/>
        </w:rPr>
        <w:t>un īstenot publisko ezeru (Āraišu, Vaidavas, Ungura) apsaimniekošanas, aizsardzības un renovācijas plānus;</w:t>
      </w:r>
    </w:p>
    <w:p w14:paraId="22D5403D" w14:textId="5DEB9691" w:rsidR="0093552A" w:rsidRPr="00675182" w:rsidRDefault="00F8055F" w:rsidP="00A84218">
      <w:pPr>
        <w:pStyle w:val="ListParagraph"/>
        <w:numPr>
          <w:ilvl w:val="0"/>
          <w:numId w:val="17"/>
        </w:numPr>
        <w:jc w:val="both"/>
        <w:rPr>
          <w:rFonts w:cstheme="minorHAnsi"/>
          <w:bCs/>
        </w:rPr>
      </w:pPr>
      <w:r>
        <w:rPr>
          <w:rFonts w:cstheme="minorHAnsi"/>
          <w:bCs/>
        </w:rPr>
        <w:t>v</w:t>
      </w:r>
      <w:r w:rsidRPr="00675182">
        <w:rPr>
          <w:rFonts w:cstheme="minorHAnsi"/>
          <w:bCs/>
        </w:rPr>
        <w:t xml:space="preserve">eikt </w:t>
      </w:r>
      <w:r w:rsidR="0093552A" w:rsidRPr="00675182">
        <w:rPr>
          <w:rFonts w:cstheme="minorHAnsi"/>
          <w:bCs/>
        </w:rPr>
        <w:t>invazīvo sugu iznīcināšanu (prioritātes – Sosnovska latvānis</w:t>
      </w:r>
      <w:r w:rsidR="009F508B">
        <w:rPr>
          <w:rFonts w:cstheme="minorHAnsi"/>
          <w:bCs/>
        </w:rPr>
        <w:t xml:space="preserve"> </w:t>
      </w:r>
      <w:r w:rsidR="009F508B" w:rsidRPr="00BF7348">
        <w:rPr>
          <w:rFonts w:ascii="Times New Roman" w:hAnsi="Times New Roman" w:cs="Times New Roman"/>
          <w:i/>
          <w:iCs/>
          <w:color w:val="4D5156"/>
          <w:szCs w:val="24"/>
          <w:shd w:val="clear" w:color="auto" w:fill="FFFFFF"/>
        </w:rPr>
        <w:t>Heracleum sosnowsky</w:t>
      </w:r>
      <w:r w:rsidR="0093552A" w:rsidRPr="00675182">
        <w:rPr>
          <w:rFonts w:cstheme="minorHAnsi"/>
          <w:bCs/>
        </w:rPr>
        <w:t>, puķu sprigane</w:t>
      </w:r>
      <w:r w:rsidR="009F508B">
        <w:rPr>
          <w:rFonts w:cstheme="minorHAnsi"/>
          <w:bCs/>
        </w:rPr>
        <w:t xml:space="preserve"> </w:t>
      </w:r>
      <w:r w:rsidR="009F508B" w:rsidRPr="00BF7348">
        <w:rPr>
          <w:rFonts w:cstheme="minorHAnsi"/>
          <w:bCs/>
          <w:i/>
          <w:iCs/>
        </w:rPr>
        <w:t>Impatiens glandulifera</w:t>
      </w:r>
      <w:r w:rsidR="0093552A" w:rsidRPr="00675182">
        <w:rPr>
          <w:rFonts w:cstheme="minorHAnsi"/>
          <w:bCs/>
        </w:rPr>
        <w:t>, Amerikas ūdele</w:t>
      </w:r>
      <w:r w:rsidR="009F508B">
        <w:rPr>
          <w:rFonts w:cstheme="minorHAnsi"/>
          <w:bCs/>
        </w:rPr>
        <w:t xml:space="preserve"> </w:t>
      </w:r>
      <w:r w:rsidR="009F508B" w:rsidRPr="00BF7348">
        <w:rPr>
          <w:rFonts w:cstheme="minorHAnsi"/>
          <w:bCs/>
          <w:i/>
          <w:iCs/>
        </w:rPr>
        <w:t>Neovison vison</w:t>
      </w:r>
      <w:r w:rsidR="0093552A" w:rsidRPr="00675182">
        <w:rPr>
          <w:rFonts w:cstheme="minorHAnsi"/>
          <w:bCs/>
        </w:rPr>
        <w:t>, signālvēzis</w:t>
      </w:r>
      <w:r w:rsidR="009F508B">
        <w:rPr>
          <w:rFonts w:cstheme="minorHAnsi"/>
          <w:bCs/>
        </w:rPr>
        <w:t xml:space="preserve"> </w:t>
      </w:r>
      <w:r w:rsidR="009F508B" w:rsidRPr="00BF7348">
        <w:rPr>
          <w:rFonts w:cstheme="minorHAnsi"/>
          <w:bCs/>
          <w:i/>
          <w:iCs/>
        </w:rPr>
        <w:t>Pacifastacus leniusculus</w:t>
      </w:r>
      <w:r w:rsidR="0093552A" w:rsidRPr="00675182">
        <w:rPr>
          <w:rFonts w:cstheme="minorHAnsi"/>
          <w:bCs/>
        </w:rPr>
        <w:t>, taču nozīmīgu nelabvēlīgu ietekmi rada arī citas sugas)</w:t>
      </w:r>
      <w:r w:rsidR="00B2116D">
        <w:rPr>
          <w:rFonts w:cstheme="minorHAnsi"/>
          <w:bCs/>
        </w:rPr>
        <w:t>;</w:t>
      </w:r>
    </w:p>
    <w:p w14:paraId="59AA1F0B" w14:textId="08A9678F" w:rsidR="0093552A" w:rsidRPr="00675182" w:rsidRDefault="00B2116D" w:rsidP="00A84218">
      <w:pPr>
        <w:pStyle w:val="ListParagraph"/>
        <w:numPr>
          <w:ilvl w:val="0"/>
          <w:numId w:val="17"/>
        </w:numPr>
        <w:jc w:val="both"/>
        <w:rPr>
          <w:rFonts w:cstheme="minorHAnsi"/>
          <w:bCs/>
        </w:rPr>
      </w:pPr>
      <w:r>
        <w:rPr>
          <w:rFonts w:cstheme="minorHAnsi"/>
          <w:bCs/>
        </w:rPr>
        <w:t>l</w:t>
      </w:r>
      <w:r w:rsidRPr="00675182">
        <w:rPr>
          <w:rFonts w:cstheme="minorHAnsi"/>
          <w:bCs/>
        </w:rPr>
        <w:t xml:space="preserve">ikvidēt </w:t>
      </w:r>
      <w:r w:rsidR="0093552A" w:rsidRPr="00675182">
        <w:rPr>
          <w:rFonts w:cstheme="minorHAnsi"/>
          <w:bCs/>
        </w:rPr>
        <w:t xml:space="preserve">bebru </w:t>
      </w:r>
      <w:r w:rsidR="009F508B" w:rsidRPr="00BF7348">
        <w:rPr>
          <w:rFonts w:cstheme="minorHAnsi"/>
          <w:bCs/>
          <w:i/>
          <w:iCs/>
        </w:rPr>
        <w:t>Castor fiber</w:t>
      </w:r>
      <w:r w:rsidR="009F508B">
        <w:rPr>
          <w:rFonts w:cstheme="minorHAnsi"/>
          <w:bCs/>
        </w:rPr>
        <w:t xml:space="preserve"> </w:t>
      </w:r>
      <w:r w:rsidR="0093552A" w:rsidRPr="00675182">
        <w:rPr>
          <w:rFonts w:cstheme="minorHAnsi"/>
          <w:bCs/>
        </w:rPr>
        <w:t xml:space="preserve">veidotos </w:t>
      </w:r>
      <w:r w:rsidRPr="00675182">
        <w:rPr>
          <w:rFonts w:cstheme="minorHAnsi"/>
          <w:bCs/>
        </w:rPr>
        <w:t>uzpl</w:t>
      </w:r>
      <w:r>
        <w:rPr>
          <w:rFonts w:cstheme="minorHAnsi"/>
          <w:bCs/>
        </w:rPr>
        <w:t>u</w:t>
      </w:r>
      <w:r w:rsidRPr="00675182">
        <w:rPr>
          <w:rFonts w:cstheme="minorHAnsi"/>
          <w:bCs/>
        </w:rPr>
        <w:t>dinājumus</w:t>
      </w:r>
      <w:r w:rsidR="0093552A" w:rsidRPr="00675182">
        <w:rPr>
          <w:rFonts w:cstheme="minorHAnsi"/>
          <w:bCs/>
        </w:rPr>
        <w:t>, kur tie ir nevēlami no sugu vai biotopu aizsardzības viedokļa</w:t>
      </w:r>
      <w:r>
        <w:rPr>
          <w:rFonts w:cstheme="minorHAnsi"/>
          <w:bCs/>
        </w:rPr>
        <w:t>,</w:t>
      </w:r>
      <w:r w:rsidRPr="00675182">
        <w:rPr>
          <w:rFonts w:cstheme="minorHAnsi"/>
          <w:bCs/>
        </w:rPr>
        <w:t xml:space="preserve"> </w:t>
      </w:r>
      <w:r w:rsidR="0093552A" w:rsidRPr="00675182">
        <w:rPr>
          <w:rFonts w:cstheme="minorHAnsi"/>
          <w:bCs/>
        </w:rPr>
        <w:t>samazināt bebru skaitu;</w:t>
      </w:r>
    </w:p>
    <w:p w14:paraId="6BC6C85C" w14:textId="3D0333F4" w:rsidR="0093552A" w:rsidRPr="00675182" w:rsidRDefault="00B2116D" w:rsidP="00A84218">
      <w:pPr>
        <w:pStyle w:val="ListParagraph"/>
        <w:numPr>
          <w:ilvl w:val="0"/>
          <w:numId w:val="17"/>
        </w:numPr>
        <w:jc w:val="both"/>
        <w:rPr>
          <w:rFonts w:cstheme="minorHAnsi"/>
          <w:bCs/>
        </w:rPr>
      </w:pPr>
      <w:r>
        <w:rPr>
          <w:rFonts w:cstheme="minorHAnsi"/>
          <w:bCs/>
        </w:rPr>
        <w:t>a</w:t>
      </w:r>
      <w:r w:rsidRPr="00675182">
        <w:rPr>
          <w:rFonts w:cstheme="minorHAnsi"/>
          <w:bCs/>
        </w:rPr>
        <w:t xml:space="preserve">psekot </w:t>
      </w:r>
      <w:r w:rsidR="0093552A" w:rsidRPr="00675182">
        <w:rPr>
          <w:rFonts w:cstheme="minorHAnsi"/>
          <w:bCs/>
        </w:rPr>
        <w:t xml:space="preserve">vecupes un noteikt prioritātes turpmākai apsaimniekošanai medicīniskās dēles </w:t>
      </w:r>
      <w:r w:rsidR="009F508B" w:rsidRPr="00BF7348">
        <w:rPr>
          <w:rFonts w:cstheme="minorHAnsi"/>
          <w:bCs/>
          <w:i/>
          <w:iCs/>
        </w:rPr>
        <w:t>Hirudo medicinalis</w:t>
      </w:r>
      <w:r w:rsidR="009F508B">
        <w:rPr>
          <w:rFonts w:cstheme="minorHAnsi"/>
          <w:bCs/>
        </w:rPr>
        <w:t xml:space="preserve"> </w:t>
      </w:r>
      <w:r w:rsidR="0093552A" w:rsidRPr="00675182">
        <w:rPr>
          <w:rFonts w:cstheme="minorHAnsi"/>
          <w:bCs/>
        </w:rPr>
        <w:t>un reto, aizsargājamo spāru un ūdens kukaiņu sugu aizsardzībai. Uzturēt vecupju funkcionalitāti, neļaujot tām aizaugt un aizpildīties ar organiskas izcelsmes sanešiem</w:t>
      </w:r>
      <w:r>
        <w:rPr>
          <w:rFonts w:cstheme="minorHAnsi"/>
          <w:bCs/>
        </w:rPr>
        <w:t>;</w:t>
      </w:r>
    </w:p>
    <w:p w14:paraId="05A4C1FC" w14:textId="3EECEB90" w:rsidR="0093552A" w:rsidRPr="00675182" w:rsidRDefault="00B2116D" w:rsidP="00A84218">
      <w:pPr>
        <w:pStyle w:val="ListParagraph"/>
        <w:numPr>
          <w:ilvl w:val="0"/>
          <w:numId w:val="17"/>
        </w:numPr>
        <w:jc w:val="both"/>
        <w:rPr>
          <w:rFonts w:cstheme="minorHAnsi"/>
          <w:bCs/>
        </w:rPr>
      </w:pPr>
      <w:r>
        <w:rPr>
          <w:rFonts w:cstheme="minorHAnsi"/>
          <w:bCs/>
        </w:rPr>
        <w:t>i</w:t>
      </w:r>
      <w:r w:rsidRPr="00675182">
        <w:rPr>
          <w:rFonts w:cstheme="minorHAnsi"/>
          <w:bCs/>
        </w:rPr>
        <w:t xml:space="preserve">erīkot </w:t>
      </w:r>
      <w:r w:rsidR="0093552A" w:rsidRPr="00675182">
        <w:rPr>
          <w:rFonts w:cstheme="minorHAnsi"/>
          <w:bCs/>
        </w:rPr>
        <w:t>zivju ceļus pie HES un citiem mākslīgiem šķēršļiem.</w:t>
      </w:r>
    </w:p>
    <w:p w14:paraId="40AADF6D" w14:textId="6835E8D4" w:rsidR="0093552A" w:rsidRPr="00675182" w:rsidRDefault="0093552A" w:rsidP="0093552A">
      <w:pPr>
        <w:jc w:val="both"/>
        <w:rPr>
          <w:rFonts w:cstheme="minorHAnsi"/>
          <w:bCs/>
        </w:rPr>
      </w:pPr>
    </w:p>
    <w:p w14:paraId="42B45902" w14:textId="77777777" w:rsidR="00011E51" w:rsidRPr="00675182" w:rsidRDefault="00011E51" w:rsidP="002B3341">
      <w:pPr>
        <w:pStyle w:val="Heading3"/>
        <w:keepNext w:val="0"/>
        <w:numPr>
          <w:ilvl w:val="0"/>
          <w:numId w:val="0"/>
        </w:numPr>
        <w:rPr>
          <w:rFonts w:cstheme="minorHAnsi"/>
          <w:b/>
          <w:szCs w:val="24"/>
          <w:lang w:val="lv-LV"/>
        </w:rPr>
      </w:pPr>
      <w:bookmarkStart w:id="15" w:name="_Toc116938385"/>
      <w:r w:rsidRPr="00675182">
        <w:rPr>
          <w:rFonts w:cstheme="minorHAnsi"/>
          <w:b/>
          <w:szCs w:val="24"/>
          <w:lang w:val="lv-LV"/>
        </w:rPr>
        <w:t>1.1.6. Kultūrvēsturiskais raksturojums</w:t>
      </w:r>
      <w:bookmarkEnd w:id="15"/>
    </w:p>
    <w:p w14:paraId="1BC77A85" w14:textId="77777777" w:rsidR="008879F5" w:rsidRPr="00675182" w:rsidRDefault="008879F5" w:rsidP="002B3341">
      <w:pPr>
        <w:rPr>
          <w:rFonts w:cstheme="minorHAnsi"/>
        </w:rPr>
      </w:pPr>
    </w:p>
    <w:p w14:paraId="791D0B14" w14:textId="473AAC62" w:rsidR="00B92B9C" w:rsidRPr="00675182" w:rsidRDefault="00B92B9C" w:rsidP="00B92B9C">
      <w:pPr>
        <w:jc w:val="both"/>
        <w:rPr>
          <w:rFonts w:cstheme="minorHAnsi"/>
          <w:szCs w:val="24"/>
        </w:rPr>
      </w:pPr>
      <w:r w:rsidRPr="00675182">
        <w:rPr>
          <w:rFonts w:cstheme="minorHAnsi"/>
          <w:szCs w:val="24"/>
        </w:rPr>
        <w:t>Ģeoloģiskie procesi daudzu simtu tūkstošu gadu laikā veidoj</w:t>
      </w:r>
      <w:r w:rsidR="00EB01EC" w:rsidRPr="00675182">
        <w:rPr>
          <w:rFonts w:cstheme="minorHAnsi"/>
          <w:szCs w:val="24"/>
        </w:rPr>
        <w:t>uši</w:t>
      </w:r>
      <w:r w:rsidRPr="00675182">
        <w:rPr>
          <w:rFonts w:cstheme="minorHAnsi"/>
          <w:szCs w:val="24"/>
        </w:rPr>
        <w:t xml:space="preserve"> GNP teritorijas pamatu. Tagad redzamo veidolu ainava ieguva pēdējā ledus laikmeta beigās</w:t>
      </w:r>
      <w:r w:rsidR="00EB01EC" w:rsidRPr="00675182">
        <w:rPr>
          <w:rFonts w:cstheme="minorHAnsi"/>
          <w:szCs w:val="24"/>
        </w:rPr>
        <w:t>,</w:t>
      </w:r>
      <w:r w:rsidRPr="00675182">
        <w:rPr>
          <w:rFonts w:cstheme="minorHAnsi"/>
          <w:szCs w:val="24"/>
        </w:rPr>
        <w:t xml:space="preserve"> apmēram pirms 12 000 gadiem, kad kusa simtiem metru biezās ledus masas un iestājās gigantisku palu laiks. Šajā laikā sāka veidoties Gaujas un tās pieteku ielejas, iezīmējot vairākas terases, kas atspoguļo plūstošo straumju līmeņus. Tie, savukārt, bija atkarīgi no pašreizējās Baltijas jūras attīstības fāzēm (Baltijas ledus ezers, Litorīnas jūra) un ūdens līmeņa izmaiņām tajās. Kad Litorīnas jūras ūdens līmenis pazeminājās līdz tagadējam Baltijas jūras līmenim, arī Gauja un tās pieteku gravu tīkls ieguva raksturīgo veidolu.</w:t>
      </w:r>
    </w:p>
    <w:p w14:paraId="73C7EDA7" w14:textId="77777777" w:rsidR="00B92B9C" w:rsidRPr="00675182" w:rsidRDefault="00B92B9C" w:rsidP="00B92B9C">
      <w:pPr>
        <w:jc w:val="both"/>
        <w:rPr>
          <w:rFonts w:cstheme="minorHAnsi"/>
          <w:szCs w:val="24"/>
        </w:rPr>
      </w:pPr>
    </w:p>
    <w:p w14:paraId="2FAB7B8D" w14:textId="071C5B96" w:rsidR="00B92B9C" w:rsidRPr="00675182" w:rsidRDefault="00B92B9C" w:rsidP="00B92B9C">
      <w:pPr>
        <w:jc w:val="both"/>
        <w:rPr>
          <w:rFonts w:cstheme="minorHAnsi"/>
          <w:szCs w:val="24"/>
        </w:rPr>
      </w:pPr>
      <w:r w:rsidRPr="00675182">
        <w:rPr>
          <w:rFonts w:cstheme="minorHAnsi"/>
          <w:szCs w:val="24"/>
        </w:rPr>
        <w:t>Gauja un tās ieleja ir parka centrālā ass un arī dabiska transporta artērija. Šie apstākļi bija veicinoši, lai Gaujas krasti kļūtu apdzīvoti. Upe transportam</w:t>
      </w:r>
      <w:r w:rsidR="00EB01EC" w:rsidRPr="00675182">
        <w:rPr>
          <w:rFonts w:cstheme="minorHAnsi"/>
          <w:szCs w:val="24"/>
        </w:rPr>
        <w:t xml:space="preserve">, </w:t>
      </w:r>
      <w:r w:rsidRPr="00675182">
        <w:rPr>
          <w:rFonts w:cstheme="minorHAnsi"/>
          <w:szCs w:val="24"/>
        </w:rPr>
        <w:t>augstie krasti un gravu stūri bija piemēroti drošu dzīvesvietu ierīkošanai, savukārt ģeoloģiskie objekti – alas, gravas, avoti, akmeņi, kalni – nereti kļuva par kulta vietām.</w:t>
      </w:r>
    </w:p>
    <w:p w14:paraId="5460343C" w14:textId="77777777" w:rsidR="00B92B9C" w:rsidRPr="00675182" w:rsidRDefault="00B92B9C" w:rsidP="00B92B9C">
      <w:pPr>
        <w:jc w:val="both"/>
        <w:rPr>
          <w:rFonts w:cstheme="minorHAnsi"/>
          <w:szCs w:val="24"/>
        </w:rPr>
      </w:pPr>
    </w:p>
    <w:p w14:paraId="60AF91EF" w14:textId="75FE0CD4" w:rsidR="00B92B9C" w:rsidRPr="00675182" w:rsidRDefault="00B92B9C" w:rsidP="00B92B9C">
      <w:pPr>
        <w:jc w:val="both"/>
        <w:rPr>
          <w:rFonts w:cstheme="minorHAnsi"/>
          <w:szCs w:val="24"/>
        </w:rPr>
      </w:pPr>
      <w:r w:rsidRPr="00675182">
        <w:rPr>
          <w:rFonts w:cstheme="minorHAnsi"/>
          <w:szCs w:val="24"/>
        </w:rPr>
        <w:t>Kad vēlajā paleolītā (senākā akmens laikmeta beigās) pirms 12</w:t>
      </w:r>
      <w:r w:rsidR="00EB01EC" w:rsidRPr="00675182">
        <w:rPr>
          <w:rFonts w:cstheme="minorHAnsi"/>
          <w:szCs w:val="24"/>
        </w:rPr>
        <w:t xml:space="preserve"> </w:t>
      </w:r>
      <w:r w:rsidRPr="00675182">
        <w:rPr>
          <w:rFonts w:cstheme="minorHAnsi"/>
          <w:szCs w:val="24"/>
        </w:rPr>
        <w:t>000 gadiem ledāji atkāpās, tagadējās Latvijas teritorijā izveidojās tundras veģetācija. Šajā vidē bija sastopami ziemeļbrieži, tiem sekoja senie cilvēki – mednieki. Latvijas teritorijā atrasti ziemeļbriežu ragi, kaula un raga harpūnas, krama rīki, ko izgatavoja senie cilvēki.</w:t>
      </w:r>
    </w:p>
    <w:p w14:paraId="4574A526" w14:textId="77777777" w:rsidR="00B92B9C" w:rsidRPr="00675182" w:rsidRDefault="00B92B9C" w:rsidP="00B92B9C">
      <w:pPr>
        <w:jc w:val="both"/>
        <w:rPr>
          <w:rFonts w:cstheme="minorHAnsi"/>
          <w:szCs w:val="24"/>
        </w:rPr>
      </w:pPr>
    </w:p>
    <w:p w14:paraId="4A7E6321" w14:textId="68BBABA0" w:rsidR="00B92B9C" w:rsidRPr="00675182" w:rsidRDefault="00705ED1" w:rsidP="00B92B9C">
      <w:pPr>
        <w:jc w:val="both"/>
        <w:rPr>
          <w:rFonts w:cstheme="minorHAnsi"/>
          <w:szCs w:val="24"/>
        </w:rPr>
      </w:pPr>
      <w:r w:rsidRPr="00675182">
        <w:rPr>
          <w:rFonts w:cstheme="minorHAnsi"/>
          <w:szCs w:val="24"/>
        </w:rPr>
        <w:t>V</w:t>
      </w:r>
      <w:r w:rsidR="00B92B9C" w:rsidRPr="00675182">
        <w:rPr>
          <w:rFonts w:cstheme="minorHAnsi"/>
          <w:szCs w:val="24"/>
        </w:rPr>
        <w:t>idējā akmens laikmeta jeb mezolīta periodā apmēram pirms 11</w:t>
      </w:r>
      <w:r w:rsidR="00EB01EC" w:rsidRPr="00675182">
        <w:rPr>
          <w:rFonts w:cstheme="minorHAnsi"/>
          <w:szCs w:val="24"/>
        </w:rPr>
        <w:t xml:space="preserve"> </w:t>
      </w:r>
      <w:r w:rsidR="00B92B9C" w:rsidRPr="00675182">
        <w:rPr>
          <w:rFonts w:cstheme="minorHAnsi"/>
          <w:szCs w:val="24"/>
        </w:rPr>
        <w:t>000-7</w:t>
      </w:r>
      <w:r w:rsidR="00EB01EC" w:rsidRPr="00675182">
        <w:rPr>
          <w:rFonts w:cstheme="minorHAnsi"/>
          <w:szCs w:val="24"/>
        </w:rPr>
        <w:t xml:space="preserve"> </w:t>
      </w:r>
      <w:r w:rsidR="00B92B9C" w:rsidRPr="00675182">
        <w:rPr>
          <w:rFonts w:cstheme="minorHAnsi"/>
          <w:szCs w:val="24"/>
        </w:rPr>
        <w:t>500 gadiem Baltijas austrumu piekrastē</w:t>
      </w:r>
      <w:r w:rsidR="00EB01EC" w:rsidRPr="00675182">
        <w:rPr>
          <w:rFonts w:cstheme="minorHAnsi"/>
          <w:szCs w:val="24"/>
        </w:rPr>
        <w:t xml:space="preserve"> </w:t>
      </w:r>
      <w:r w:rsidR="00B92B9C" w:rsidRPr="00675182">
        <w:rPr>
          <w:rFonts w:cstheme="minorHAnsi"/>
          <w:szCs w:val="24"/>
        </w:rPr>
        <w:t>upju un ezeru krastos dzīvoja mednieku, zvejnieku un augu vācēju kopienas, kas lietoja kaula, raga un krama rīkus. Savas cilts mirušos locekļus apglabāja īpaši izveidotos kapulaukos. Pēdējais akmens laikmeta posms vai neolīts, kas noslēdzās aptuveni pirms 3</w:t>
      </w:r>
      <w:r w:rsidR="00EB01EC" w:rsidRPr="00675182">
        <w:rPr>
          <w:rFonts w:cstheme="minorHAnsi"/>
          <w:szCs w:val="24"/>
        </w:rPr>
        <w:t xml:space="preserve"> </w:t>
      </w:r>
      <w:r w:rsidR="00B92B9C" w:rsidRPr="00675182">
        <w:rPr>
          <w:rFonts w:cstheme="minorHAnsi"/>
          <w:szCs w:val="24"/>
        </w:rPr>
        <w:t xml:space="preserve">800 gadiem, raksturīgs ar keramikas </w:t>
      </w:r>
      <w:r w:rsidRPr="00675182">
        <w:rPr>
          <w:rFonts w:cstheme="minorHAnsi"/>
          <w:szCs w:val="24"/>
        </w:rPr>
        <w:t>(</w:t>
      </w:r>
      <w:r w:rsidR="00B92B9C" w:rsidRPr="00675182">
        <w:rPr>
          <w:rFonts w:cstheme="minorHAnsi"/>
          <w:szCs w:val="24"/>
        </w:rPr>
        <w:t>pirmā mākslīgi radītā materiāla parādīšanos</w:t>
      </w:r>
      <w:r w:rsidRPr="00675182">
        <w:rPr>
          <w:rFonts w:cstheme="minorHAnsi"/>
          <w:szCs w:val="24"/>
        </w:rPr>
        <w:t>)</w:t>
      </w:r>
      <w:r w:rsidR="00B92B9C" w:rsidRPr="00675182">
        <w:rPr>
          <w:rFonts w:cstheme="minorHAnsi"/>
          <w:szCs w:val="24"/>
        </w:rPr>
        <w:t xml:space="preserve">, </w:t>
      </w:r>
      <w:r w:rsidRPr="00675182">
        <w:rPr>
          <w:rFonts w:cstheme="minorHAnsi"/>
          <w:szCs w:val="24"/>
        </w:rPr>
        <w:t xml:space="preserve">kā arī </w:t>
      </w:r>
      <w:r w:rsidR="00B92B9C" w:rsidRPr="00675182">
        <w:rPr>
          <w:rFonts w:cstheme="minorHAnsi"/>
          <w:szCs w:val="24"/>
        </w:rPr>
        <w:t>ar metāla priekšmetu izplatīšanos. Tas iezīmēja pāreju uz bronzas laikmetu (kas ilga no 3</w:t>
      </w:r>
      <w:r w:rsidRPr="00675182">
        <w:rPr>
          <w:rFonts w:cstheme="minorHAnsi"/>
          <w:szCs w:val="24"/>
        </w:rPr>
        <w:t xml:space="preserve"> </w:t>
      </w:r>
      <w:r w:rsidR="00B92B9C" w:rsidRPr="00675182">
        <w:rPr>
          <w:rFonts w:cstheme="minorHAnsi"/>
          <w:szCs w:val="24"/>
        </w:rPr>
        <w:t>800 līdz 2</w:t>
      </w:r>
      <w:r w:rsidRPr="00675182">
        <w:rPr>
          <w:rFonts w:cstheme="minorHAnsi"/>
          <w:szCs w:val="24"/>
        </w:rPr>
        <w:t xml:space="preserve"> </w:t>
      </w:r>
      <w:r w:rsidR="00B92B9C" w:rsidRPr="00675182">
        <w:rPr>
          <w:rFonts w:cstheme="minorHAnsi"/>
          <w:szCs w:val="24"/>
        </w:rPr>
        <w:t>500 gadam). Bronzas laikmeta sākuma posmā turpināja pastāvēt atklātas mednieku – zvejnieku apmetnes, bet perioda vidū izveidojās jauns dzīvesvietas tips – nocietinātās apmetnes vai pilskalni. Radās arī jauna mirušo apbedīšanas tradīcija – veidoja kapu uzkalniņus ar akmens šķirstiem, ieviesās arī mirušo kremācija. Bronza tika iegūta maiņas sak</w:t>
      </w:r>
      <w:r w:rsidRPr="00675182">
        <w:rPr>
          <w:rFonts w:cstheme="minorHAnsi"/>
          <w:szCs w:val="24"/>
        </w:rPr>
        <w:t>a</w:t>
      </w:r>
      <w:r w:rsidR="00B92B9C" w:rsidRPr="00675182">
        <w:rPr>
          <w:rFonts w:cstheme="minorHAnsi"/>
          <w:szCs w:val="24"/>
        </w:rPr>
        <w:t>ru rezultātā, iezīmējoties sakaru ceļiem ar Skandināviju pāri Baltijas jūrai, arī Daugavas un citiem tirdzniecības ceļiem. Saimniecībā joprojām liela nozīme bija medībām un zvejai, taču arvien vairāk attīstījās lopkopība, zemkopība, amatniecība un maiņa.</w:t>
      </w:r>
    </w:p>
    <w:p w14:paraId="7D21B5A7" w14:textId="77777777" w:rsidR="00705ED1" w:rsidRPr="00675182" w:rsidRDefault="00705ED1" w:rsidP="00B92B9C">
      <w:pPr>
        <w:jc w:val="both"/>
        <w:rPr>
          <w:rFonts w:cstheme="minorHAnsi"/>
          <w:szCs w:val="24"/>
        </w:rPr>
      </w:pPr>
    </w:p>
    <w:p w14:paraId="6DADB2A4" w14:textId="5D31BE91" w:rsidR="00B92B9C" w:rsidRPr="00675182" w:rsidRDefault="00B92B9C" w:rsidP="00B92B9C">
      <w:pPr>
        <w:jc w:val="both"/>
        <w:rPr>
          <w:rFonts w:cstheme="minorHAnsi"/>
          <w:szCs w:val="24"/>
        </w:rPr>
      </w:pPr>
      <w:r w:rsidRPr="00675182">
        <w:rPr>
          <w:rFonts w:cstheme="minorHAnsi"/>
          <w:szCs w:val="24"/>
        </w:rPr>
        <w:t>GNP teritorijā līdz šim nav zināmas akmens laikmeta apmetnes vai kapulauki, taču kaula harpūnu savrupatradumi, kas datēti ar vidējo akmens laikmetu (mezolītu) un atrastas Amatas krastos, liecina par cilvēku klātbūtni. Domājams, ka arī bronzas laikmetā cilvēki sporādiski uzturējās Gaujas krastos.</w:t>
      </w:r>
    </w:p>
    <w:p w14:paraId="5868A18F" w14:textId="77777777" w:rsidR="00B92B9C" w:rsidRPr="00675182" w:rsidRDefault="00B92B9C" w:rsidP="00B92B9C">
      <w:pPr>
        <w:jc w:val="both"/>
        <w:rPr>
          <w:rFonts w:cstheme="minorHAnsi"/>
          <w:szCs w:val="24"/>
        </w:rPr>
      </w:pPr>
    </w:p>
    <w:p w14:paraId="3BAB2C9F" w14:textId="6D3697EB" w:rsidR="00B92B9C" w:rsidRPr="00675182" w:rsidRDefault="00B92B9C" w:rsidP="00B92B9C">
      <w:pPr>
        <w:jc w:val="both"/>
        <w:rPr>
          <w:rFonts w:cstheme="minorHAnsi"/>
          <w:szCs w:val="24"/>
        </w:rPr>
      </w:pPr>
      <w:r w:rsidRPr="00675182">
        <w:rPr>
          <w:rFonts w:cstheme="minorHAnsi"/>
          <w:szCs w:val="24"/>
        </w:rPr>
        <w:t xml:space="preserve">Senākā dzelzs laikmetā, kas tagadējā Latvijas teritorijā ilga no 500. līdz 100. gadam </w:t>
      </w:r>
      <w:r w:rsidR="00705ED1" w:rsidRPr="00675182">
        <w:rPr>
          <w:rFonts w:cstheme="minorHAnsi"/>
          <w:szCs w:val="24"/>
        </w:rPr>
        <w:t>pirms Kristus,</w:t>
      </w:r>
      <w:r w:rsidRPr="00675182">
        <w:rPr>
          <w:rFonts w:cstheme="minorHAnsi"/>
          <w:szCs w:val="24"/>
        </w:rPr>
        <w:t xml:space="preserve"> turpinājās bronzas laikmeta tradīcijas dzīvesveidā, ekonomikā un apbedīšanas rituālos. Ar senāko dzelzs laikmetu datējama Sārumkalna – pilskalna apdzīvotības sākumi. Senvieta atrodas GNP teritorijā no dabas labi aizsargātā vietā Vaives un Kapupītes satekā. Šeit 19.</w:t>
      </w:r>
      <w:r w:rsidR="00705ED1" w:rsidRPr="00675182">
        <w:rPr>
          <w:rFonts w:cstheme="minorHAnsi"/>
          <w:szCs w:val="24"/>
        </w:rPr>
        <w:t xml:space="preserve"> </w:t>
      </w:r>
      <w:r w:rsidRPr="00675182">
        <w:rPr>
          <w:rFonts w:cstheme="minorHAnsi"/>
          <w:szCs w:val="24"/>
        </w:rPr>
        <w:t>gs. otrajā pusē un 20.</w:t>
      </w:r>
      <w:r w:rsidR="00705ED1" w:rsidRPr="00675182">
        <w:rPr>
          <w:rFonts w:cstheme="minorHAnsi"/>
          <w:szCs w:val="24"/>
        </w:rPr>
        <w:t xml:space="preserve"> </w:t>
      </w:r>
      <w:r w:rsidRPr="00675182">
        <w:rPr>
          <w:rFonts w:cstheme="minorHAnsi"/>
          <w:szCs w:val="24"/>
        </w:rPr>
        <w:t xml:space="preserve">gs. sākumā vairākkārt izdarīti arheoloģiskie izrakumi. Konstatēts, ka senvieta </w:t>
      </w:r>
      <w:r w:rsidR="00705ED1" w:rsidRPr="00675182">
        <w:rPr>
          <w:rFonts w:cstheme="minorHAnsi"/>
          <w:szCs w:val="24"/>
        </w:rPr>
        <w:t xml:space="preserve">bijusi </w:t>
      </w:r>
      <w:r w:rsidRPr="00675182">
        <w:rPr>
          <w:rFonts w:cstheme="minorHAnsi"/>
          <w:szCs w:val="24"/>
        </w:rPr>
        <w:t>apdzīvota līdz pat 13.</w:t>
      </w:r>
      <w:r w:rsidR="00705ED1" w:rsidRPr="00675182">
        <w:rPr>
          <w:rFonts w:cstheme="minorHAnsi"/>
          <w:szCs w:val="24"/>
        </w:rPr>
        <w:t xml:space="preserve"> </w:t>
      </w:r>
      <w:r w:rsidRPr="00675182">
        <w:rPr>
          <w:rFonts w:cstheme="minorHAnsi"/>
          <w:szCs w:val="24"/>
        </w:rPr>
        <w:t>gs</w:t>
      </w:r>
    </w:p>
    <w:p w14:paraId="5E7F8582" w14:textId="77777777" w:rsidR="00B92B9C" w:rsidRPr="00675182" w:rsidRDefault="00B92B9C" w:rsidP="00B92B9C">
      <w:pPr>
        <w:jc w:val="both"/>
        <w:rPr>
          <w:rFonts w:cstheme="minorHAnsi"/>
          <w:szCs w:val="24"/>
        </w:rPr>
      </w:pPr>
    </w:p>
    <w:p w14:paraId="30DBB118" w14:textId="279EF0EC" w:rsidR="00B92B9C" w:rsidRPr="00675182" w:rsidRDefault="00B92B9C" w:rsidP="00B92B9C">
      <w:pPr>
        <w:jc w:val="both"/>
        <w:rPr>
          <w:rFonts w:cstheme="minorHAnsi"/>
          <w:szCs w:val="24"/>
        </w:rPr>
      </w:pPr>
      <w:r w:rsidRPr="00675182">
        <w:rPr>
          <w:rFonts w:cstheme="minorHAnsi"/>
          <w:szCs w:val="24"/>
        </w:rPr>
        <w:t>Agrajā dzelzs laikmetā (1.-4.</w:t>
      </w:r>
      <w:r w:rsidR="00705ED1" w:rsidRPr="00675182">
        <w:rPr>
          <w:rFonts w:cstheme="minorHAnsi"/>
          <w:szCs w:val="24"/>
        </w:rPr>
        <w:t xml:space="preserve"> </w:t>
      </w:r>
      <w:r w:rsidRPr="00675182">
        <w:rPr>
          <w:rFonts w:cstheme="minorHAnsi"/>
          <w:szCs w:val="24"/>
        </w:rPr>
        <w:t xml:space="preserve">gs.) tika apgūtas agrāk neapdzīvotās vai vāji apdzīvotās teritorijas. Apdzīvotības ainu rāda pilskalnu, apmetņu un senkapu izplatība. Pētījumi liecina, ka šajā laikā ekonomikā galvenā loma bija zemkopībai, ko īpaši sekmēja dzelzs darbarīku ieviešanās. Dzelzi ieguva no vietējās purva rūdas. Audzēja miežus, kviešus, prosu, arī eļļas augus un šķierdaugus. Līdumu zemkopības attīstība sekmēja arī lopkopības attīstību, jo pieauga pļavu platības. Šajā laikā jau var diezgan skaidri izšķirt baltu un Baltijas somu apdzīvotās teritorijas. Svarīgākais rādītājs ir atšķirīgās apbedīšanas tradīcijas. GNP </w:t>
      </w:r>
      <w:r w:rsidR="00705ED1" w:rsidRPr="00675182">
        <w:rPr>
          <w:rFonts w:cstheme="minorHAnsi"/>
          <w:szCs w:val="24"/>
        </w:rPr>
        <w:t>ziemeļu</w:t>
      </w:r>
      <w:r w:rsidRPr="00675182">
        <w:rPr>
          <w:rFonts w:cstheme="minorHAnsi"/>
          <w:szCs w:val="24"/>
        </w:rPr>
        <w:t xml:space="preserve"> daļā ir akmeņu krāvumu kapeņu areāls, kas raksturīgs Baltijas somiem (Zaļkalnu, Brasliņu, Sveķu sila senkapi u.c.), bet </w:t>
      </w:r>
      <w:r w:rsidR="00705ED1" w:rsidRPr="00675182">
        <w:rPr>
          <w:rFonts w:cstheme="minorHAnsi"/>
          <w:szCs w:val="24"/>
        </w:rPr>
        <w:t>dienvidu</w:t>
      </w:r>
      <w:r w:rsidRPr="00675182">
        <w:rPr>
          <w:rFonts w:cstheme="minorHAnsi"/>
          <w:szCs w:val="24"/>
        </w:rPr>
        <w:t xml:space="preserve"> daļā </w:t>
      </w:r>
      <w:r w:rsidR="00705ED1" w:rsidRPr="00675182">
        <w:rPr>
          <w:rFonts w:cstheme="minorHAnsi"/>
          <w:szCs w:val="24"/>
        </w:rPr>
        <w:t xml:space="preserve">– </w:t>
      </w:r>
      <w:r w:rsidRPr="00675182">
        <w:rPr>
          <w:rFonts w:cstheme="minorHAnsi"/>
          <w:szCs w:val="24"/>
        </w:rPr>
        <w:t>kapu uzkalniņi ar skeletapbedījumiem (Lielgaujmaļu, Pūricu, Zanderu senkapi u.c.)</w:t>
      </w:r>
      <w:r w:rsidR="00705ED1" w:rsidRPr="00675182">
        <w:rPr>
          <w:rFonts w:cstheme="minorHAnsi"/>
          <w:szCs w:val="24"/>
        </w:rPr>
        <w:t>, kas ir</w:t>
      </w:r>
      <w:r w:rsidRPr="00675182">
        <w:rPr>
          <w:rFonts w:cstheme="minorHAnsi"/>
          <w:szCs w:val="24"/>
        </w:rPr>
        <w:t xml:space="preserve"> piederīgi baltiem. </w:t>
      </w:r>
    </w:p>
    <w:p w14:paraId="178D4961" w14:textId="77777777" w:rsidR="00705ED1" w:rsidRPr="00675182" w:rsidRDefault="00705ED1" w:rsidP="00B92B9C">
      <w:pPr>
        <w:jc w:val="both"/>
        <w:rPr>
          <w:rFonts w:cstheme="minorHAnsi"/>
          <w:szCs w:val="24"/>
        </w:rPr>
      </w:pPr>
    </w:p>
    <w:p w14:paraId="7725BDAE" w14:textId="2244D832" w:rsidR="00B92B9C" w:rsidRPr="00675182" w:rsidRDefault="00B92B9C" w:rsidP="00B92B9C">
      <w:pPr>
        <w:jc w:val="both"/>
        <w:rPr>
          <w:rFonts w:cstheme="minorHAnsi"/>
          <w:szCs w:val="24"/>
        </w:rPr>
      </w:pPr>
      <w:r w:rsidRPr="00675182">
        <w:rPr>
          <w:rFonts w:cstheme="minorHAnsi"/>
          <w:szCs w:val="24"/>
        </w:rPr>
        <w:t>Vidējā dzelzs laikmetā (400.-800.</w:t>
      </w:r>
      <w:r w:rsidR="00705ED1" w:rsidRPr="00675182">
        <w:rPr>
          <w:rFonts w:cstheme="minorHAnsi"/>
          <w:szCs w:val="24"/>
        </w:rPr>
        <w:t xml:space="preserve"> </w:t>
      </w:r>
      <w:r w:rsidRPr="00675182">
        <w:rPr>
          <w:rFonts w:cstheme="minorHAnsi"/>
          <w:szCs w:val="24"/>
        </w:rPr>
        <w:t xml:space="preserve">gads) no arheoloģiskajām kultūrām izveidojās baltu sentautas – latgaļi, sēļi, zemgaļi, kurši. Šajā laikā veidojās savdabīgs nocietinātas dzīves vietas veids kā ezerpilis. GNP teritorijā ir visplašāk pētītā un rekonstruētā šī veida dzīvesvieta – Āraišu ezerpils. Āraišu ezerpils iedzīvotāji apbedīti Liepiņu kapulaukā. Līdzi dotās senlietas raksturīgas senajiem latgaļiem. </w:t>
      </w:r>
    </w:p>
    <w:p w14:paraId="4FE93530" w14:textId="77777777" w:rsidR="00B92B9C" w:rsidRPr="00675182" w:rsidRDefault="00B92B9C" w:rsidP="00B92B9C">
      <w:pPr>
        <w:jc w:val="both"/>
        <w:rPr>
          <w:rFonts w:cstheme="minorHAnsi"/>
          <w:szCs w:val="24"/>
        </w:rPr>
      </w:pPr>
    </w:p>
    <w:p w14:paraId="7DEAC5DA" w14:textId="59008B21" w:rsidR="00B92B9C" w:rsidRPr="00675182" w:rsidRDefault="00B92B9C" w:rsidP="00B92B9C">
      <w:pPr>
        <w:jc w:val="both"/>
        <w:rPr>
          <w:rFonts w:cstheme="minorHAnsi"/>
          <w:szCs w:val="24"/>
        </w:rPr>
      </w:pPr>
      <w:r w:rsidRPr="00675182">
        <w:rPr>
          <w:rFonts w:cstheme="minorHAnsi"/>
          <w:szCs w:val="24"/>
        </w:rPr>
        <w:lastRenderedPageBreak/>
        <w:t>Vēlo dzelzs laikmetu (800.-1200.</w:t>
      </w:r>
      <w:r w:rsidR="00705ED1" w:rsidRPr="00675182">
        <w:rPr>
          <w:rFonts w:cstheme="minorHAnsi"/>
          <w:szCs w:val="24"/>
        </w:rPr>
        <w:t xml:space="preserve"> </w:t>
      </w:r>
      <w:r w:rsidRPr="00675182">
        <w:rPr>
          <w:rFonts w:cstheme="minorHAnsi"/>
          <w:szCs w:val="24"/>
        </w:rPr>
        <w:t xml:space="preserve">gads) raksturo progresīvas pārmaiņas saimniecībā, sabiedriskajās un etniskajās attiecībās. Vairākas reizes palielinājās iedzīvotāju skaits, radās pirmie valstiskie veidojumi, notika iepazīšanās ar kristietību. Vēlajā dzelzs laikmetā dažādu senvietu skaits ir krietni lielāks, salīdzinot ar iepriekšējiem periodiem. Šajā laikā līdz ar lietiskajiem avotiem (senlietām) parādās arī rakstītās liecības (hronikas, rūnakmeņi, sāgas u.c.) par Latvijas teritorijas iedzīvotājiem un vietvārdiem. Latvijas teritorijas ģeogrāfiskais novietojums un tranzīta satiksme pa Daugavu un zemes ceļiem gar Gauju veicināja tirdzniecības uzplaukumu. </w:t>
      </w:r>
      <w:r w:rsidR="008567AC" w:rsidRPr="00675182">
        <w:rPr>
          <w:rFonts w:cstheme="minorHAnsi"/>
          <w:szCs w:val="24"/>
        </w:rPr>
        <w:t>Par to liecina arī atrastie priekšmeti - saliekamie svariņi, atsvariņi, citzemju monētu depozīti.</w:t>
      </w:r>
    </w:p>
    <w:p w14:paraId="070D4DD1" w14:textId="77777777" w:rsidR="00B92B9C" w:rsidRPr="00675182" w:rsidRDefault="00B92B9C" w:rsidP="00B92B9C">
      <w:pPr>
        <w:jc w:val="both"/>
        <w:rPr>
          <w:rFonts w:cstheme="minorHAnsi"/>
          <w:szCs w:val="24"/>
        </w:rPr>
      </w:pPr>
    </w:p>
    <w:p w14:paraId="32B52FF6" w14:textId="2AA2680F" w:rsidR="00B92B9C" w:rsidRPr="00675182" w:rsidRDefault="00B92B9C" w:rsidP="00B92B9C">
      <w:pPr>
        <w:jc w:val="both"/>
        <w:rPr>
          <w:rFonts w:cstheme="minorHAnsi"/>
          <w:szCs w:val="24"/>
        </w:rPr>
      </w:pPr>
      <w:r w:rsidRPr="00675182">
        <w:rPr>
          <w:rFonts w:cstheme="minorHAnsi"/>
          <w:szCs w:val="24"/>
        </w:rPr>
        <w:t>GNP teritorijā pašlaik zināmi 19 pilskalni. Tie ierīkoti apkārtnes augstākajās vietās šķēršļotā apvidū Gaujas krastos, pie mazu upīšu satekām, pie ezeriem</w:t>
      </w:r>
      <w:r w:rsidR="008567AC" w:rsidRPr="00675182">
        <w:rPr>
          <w:rFonts w:cstheme="minorHAnsi"/>
          <w:szCs w:val="24"/>
        </w:rPr>
        <w:t xml:space="preserve"> ar fortifikāciju sistēmām (vaļņiem, grāvjiem, terasēm u.c.)</w:t>
      </w:r>
      <w:r w:rsidRPr="00675182">
        <w:rPr>
          <w:rFonts w:cstheme="minorHAnsi"/>
          <w:szCs w:val="24"/>
        </w:rPr>
        <w:t xml:space="preserve">, pielāgojot šīs vietas aizsardzības vajadzībām. Vēlajā dzelzs laikmetā GNP teritorijā pastāvēja divi kapulauku veidi – līdzenie un uzkalniņu senkapi. Līdzenie kapulauki atrodas galvenokārt Gaujas kreisajā krastā, un tie pieder senajiem latgaļiem un arī vendiem (lībiešiem, ienācējiem no Ziemeļkurzemes). Tādi ir, piemēram Liepiņu, Ainavu, Kampu – Ģūģeru u.c. senkapi. </w:t>
      </w:r>
    </w:p>
    <w:p w14:paraId="7CC9EBBF" w14:textId="77777777" w:rsidR="00B92B9C" w:rsidRPr="00675182" w:rsidRDefault="00B92B9C" w:rsidP="00B92B9C">
      <w:pPr>
        <w:jc w:val="both"/>
        <w:rPr>
          <w:rFonts w:cstheme="minorHAnsi"/>
          <w:szCs w:val="24"/>
        </w:rPr>
      </w:pPr>
    </w:p>
    <w:p w14:paraId="6BFDBC44" w14:textId="5CED694A" w:rsidR="00B92B9C" w:rsidRPr="00675182" w:rsidRDefault="00261C88" w:rsidP="00B92B9C">
      <w:pPr>
        <w:jc w:val="both"/>
        <w:rPr>
          <w:rFonts w:cstheme="minorHAnsi"/>
          <w:szCs w:val="24"/>
        </w:rPr>
      </w:pPr>
      <w:r w:rsidRPr="00675182">
        <w:rPr>
          <w:rFonts w:cstheme="minorHAnsi"/>
          <w:szCs w:val="24"/>
        </w:rPr>
        <w:t>Lībiešu k</w:t>
      </w:r>
      <w:r w:rsidR="00B92B9C" w:rsidRPr="00675182">
        <w:rPr>
          <w:rFonts w:cstheme="minorHAnsi"/>
          <w:szCs w:val="24"/>
        </w:rPr>
        <w:t xml:space="preserve">apu uzkalniņi parasti izvietoti cieši blakus viens otram upju vai ezeru krastos. Uzkalniņu skaits dažāds - no dažiem desmitiem (Liepeņu, Tālēnu senkapi) līdz vairākiem simtiem (Priežu senkapi). Vēlā dzelzs laikmeta beigās apmēram pusi tagadējā GNP teritorijas apdzīvoja latgaļi, otru pusi – lībieši, idumieši un vendi. GNP ziemeļdaļā Gaujas krastos līdz Jumāras un Amatas upei bija latgaļu zemes. Gaujas labo krastu no Jumāras līdz Braslai apdzīvoja idumieši – lībieši kopā ar latgaļiem. Parka </w:t>
      </w:r>
      <w:r w:rsidR="007D1652" w:rsidRPr="00675182">
        <w:rPr>
          <w:rFonts w:cstheme="minorHAnsi"/>
          <w:szCs w:val="24"/>
        </w:rPr>
        <w:t>dienvidrietumos</w:t>
      </w:r>
      <w:r w:rsidR="00B92B9C" w:rsidRPr="00675182">
        <w:rPr>
          <w:rFonts w:cstheme="minorHAnsi"/>
          <w:szCs w:val="24"/>
        </w:rPr>
        <w:t xml:space="preserve"> abos Gaujas krastos atradās lībiešu novadi. No Kurzemes atnākušie vendi dzīvoja starp latgaļiem nelielā teritorijā, kuras centrs bija Riekstu kalns – pilskalns Cēsīs. Vēlā dzelzs laikmeta periods noslēdzās ar vācu krustnešu ekspansiju</w:t>
      </w:r>
      <w:r w:rsidRPr="00675182">
        <w:rPr>
          <w:rFonts w:cstheme="minorHAnsi"/>
          <w:szCs w:val="24"/>
        </w:rPr>
        <w:t>.</w:t>
      </w:r>
    </w:p>
    <w:p w14:paraId="04B05EB9" w14:textId="77777777" w:rsidR="00B92B9C" w:rsidRPr="00675182" w:rsidRDefault="00B92B9C" w:rsidP="00B92B9C">
      <w:pPr>
        <w:jc w:val="both"/>
        <w:rPr>
          <w:rFonts w:cstheme="minorHAnsi"/>
          <w:szCs w:val="24"/>
        </w:rPr>
      </w:pPr>
    </w:p>
    <w:p w14:paraId="1768C7D9" w14:textId="7CE04696" w:rsidR="0033309E" w:rsidRPr="00675182" w:rsidRDefault="00B92B9C" w:rsidP="00B92B9C">
      <w:pPr>
        <w:jc w:val="both"/>
        <w:rPr>
          <w:rFonts w:cstheme="minorHAnsi"/>
          <w:szCs w:val="24"/>
        </w:rPr>
      </w:pPr>
      <w:r w:rsidRPr="00675182">
        <w:rPr>
          <w:rFonts w:cstheme="minorHAnsi"/>
          <w:szCs w:val="24"/>
        </w:rPr>
        <w:t>Viduslaiku periodu Latvijā datē ar laiku no 12.gs. vidus, kad sākās Rietumu kristīgās ticības ekspansija, līdz 16.gs. sākumam vai vidum, kad beidza pastāvēt Livonijas konfederācija (1561./1562.g.).</w:t>
      </w:r>
    </w:p>
    <w:p w14:paraId="4300E6AC" w14:textId="77777777" w:rsidR="007D1652" w:rsidRPr="00675182" w:rsidRDefault="007D1652" w:rsidP="00B92B9C">
      <w:pPr>
        <w:jc w:val="both"/>
        <w:rPr>
          <w:rFonts w:cstheme="minorHAnsi"/>
          <w:szCs w:val="24"/>
        </w:rPr>
      </w:pPr>
    </w:p>
    <w:p w14:paraId="2D5708C3" w14:textId="0B203124" w:rsidR="00261C88" w:rsidRPr="00675182" w:rsidRDefault="00261C88" w:rsidP="00261C88">
      <w:pPr>
        <w:jc w:val="both"/>
        <w:rPr>
          <w:rFonts w:cstheme="minorHAnsi"/>
          <w:szCs w:val="24"/>
        </w:rPr>
      </w:pPr>
      <w:r w:rsidRPr="00675182">
        <w:rPr>
          <w:rFonts w:cstheme="minorHAnsi"/>
          <w:szCs w:val="24"/>
        </w:rPr>
        <w:t>Viduslaiku posmā GNP, līdzīgi kā citur tagadējā Latvijas teritorijā, rietumu celtniecības tradīciju ietekmē sāka būvēt mūra pilis, veidojās pilsētas, lauku ciemi. GNP teritorijā ir gan vācu ordeņa mūra pilis (Āraišu, Siguldas viduslaiku pilis), gan Rīgas arhibīskapijas pilis (Turaidas, Krimuldas pilis un Lielstraupes pils, kas bija bīskapa vasaļa pils). Gauja bija robeža starp ordeņa un bīskapa īpašumiem. Turaidas un arī Cēsu pils ir arheoloģiski visplašāk pētītās viduslaiku pilis Latvijā. Pie Lielstraupes viduslaiku pils izveidojās pilsētiņa, kas 1374.</w:t>
      </w:r>
      <w:r w:rsidR="00D51D20" w:rsidRPr="00675182">
        <w:rPr>
          <w:rFonts w:cstheme="minorHAnsi"/>
          <w:szCs w:val="24"/>
        </w:rPr>
        <w:t xml:space="preserve"> </w:t>
      </w:r>
      <w:r w:rsidRPr="00675182">
        <w:rPr>
          <w:rFonts w:cstheme="minorHAnsi"/>
          <w:szCs w:val="24"/>
        </w:rPr>
        <w:t xml:space="preserve">gadā ieguva Rīgas pilsētas tiesības un pastāvēja līdz 17.gs. Kā tirdzniecības centrs pie Pleskavas ceļa Straupe iesaistījās Hanzas savienībā. </w:t>
      </w:r>
    </w:p>
    <w:p w14:paraId="3C67ECA3" w14:textId="77777777" w:rsidR="00D51D20" w:rsidRPr="00675182" w:rsidRDefault="00D51D20" w:rsidP="00261C88">
      <w:pPr>
        <w:jc w:val="both"/>
        <w:rPr>
          <w:rFonts w:cstheme="minorHAnsi"/>
          <w:szCs w:val="24"/>
        </w:rPr>
      </w:pPr>
    </w:p>
    <w:p w14:paraId="7EF7F8F4" w14:textId="122A9A48" w:rsidR="00261C88" w:rsidRPr="00675182" w:rsidRDefault="00261C88" w:rsidP="00261C88">
      <w:pPr>
        <w:jc w:val="both"/>
        <w:rPr>
          <w:rFonts w:cstheme="minorHAnsi"/>
          <w:szCs w:val="24"/>
        </w:rPr>
      </w:pPr>
      <w:r w:rsidRPr="00675182">
        <w:rPr>
          <w:rFonts w:cstheme="minorHAnsi"/>
          <w:szCs w:val="24"/>
        </w:rPr>
        <w:t xml:space="preserve">Ciemi bija lauku apdzīvotās vietas tips. Viduslaikos ciems bija kā sociāla vienība ar zemes kopīpašumu un kopīgu atbildību par nodevu nomaksu. Senlietu savrupatradumi netieši norāda, ka arī GNP teritorijā varētu būt bijuši lībiešu ciemi, līdzīgi kā pie Daugavas lībiešiem.  </w:t>
      </w:r>
    </w:p>
    <w:p w14:paraId="076D7D59" w14:textId="77777777" w:rsidR="00D51D20" w:rsidRPr="00675182" w:rsidRDefault="00D51D20" w:rsidP="00261C88">
      <w:pPr>
        <w:jc w:val="both"/>
        <w:rPr>
          <w:rFonts w:cstheme="minorHAnsi"/>
          <w:szCs w:val="24"/>
        </w:rPr>
      </w:pPr>
    </w:p>
    <w:p w14:paraId="2D3090AC" w14:textId="2215B793" w:rsidR="00D51D20" w:rsidRPr="00675182" w:rsidRDefault="00261C88" w:rsidP="00261C88">
      <w:pPr>
        <w:jc w:val="both"/>
        <w:rPr>
          <w:rFonts w:cstheme="minorHAnsi"/>
          <w:szCs w:val="24"/>
        </w:rPr>
      </w:pPr>
      <w:r w:rsidRPr="00675182">
        <w:rPr>
          <w:rFonts w:cstheme="minorHAnsi"/>
          <w:szCs w:val="24"/>
        </w:rPr>
        <w:lastRenderedPageBreak/>
        <w:t>Līdz ar kristīgās ticības izplatīšanos tika celtas jauna tipa sakrālās ēkas – baznīcas, kas sākotnēji parasti bija koka būves, ko vēlāk aizvietoja mūra celtnes. Arī tās vēlākajos gadsimtos piedzīvoj</w:t>
      </w:r>
      <w:r w:rsidR="00DA0F14" w:rsidRPr="00675182">
        <w:rPr>
          <w:rFonts w:cstheme="minorHAnsi"/>
          <w:szCs w:val="24"/>
        </w:rPr>
        <w:t>a</w:t>
      </w:r>
      <w:r w:rsidRPr="00675182">
        <w:rPr>
          <w:rFonts w:cstheme="minorHAnsi"/>
          <w:szCs w:val="24"/>
        </w:rPr>
        <w:t xml:space="preserve"> pārbūves. GNP teritorijā ir piecas baznīcas (ja neskaita baznīcas Cēsu pilsētas teritorijā) un viena baznīcas un kapsētas vieta (Baukalna viduslaiku kapsēta un baznīcas vieta). Sakrālo celtņu pirmsākumi Āraišos, Rubenē, Siguldā, Lielstraupē </w:t>
      </w:r>
      <w:r w:rsidR="00DA0F14" w:rsidRPr="00675182">
        <w:rPr>
          <w:rFonts w:cstheme="minorHAnsi"/>
          <w:szCs w:val="24"/>
        </w:rPr>
        <w:t xml:space="preserve">ir </w:t>
      </w:r>
      <w:r w:rsidRPr="00675182">
        <w:rPr>
          <w:rFonts w:cstheme="minorHAnsi"/>
          <w:szCs w:val="24"/>
        </w:rPr>
        <w:t>attiecināmi uz 13.</w:t>
      </w:r>
      <w:r w:rsidR="00D51D20" w:rsidRPr="00675182">
        <w:rPr>
          <w:rFonts w:cstheme="minorHAnsi"/>
          <w:szCs w:val="24"/>
        </w:rPr>
        <w:t xml:space="preserve"> un </w:t>
      </w:r>
      <w:r w:rsidRPr="00675182">
        <w:rPr>
          <w:rFonts w:cstheme="minorHAnsi"/>
          <w:szCs w:val="24"/>
        </w:rPr>
        <w:t>14.</w:t>
      </w:r>
      <w:r w:rsidR="00D51D20" w:rsidRPr="00675182">
        <w:rPr>
          <w:rFonts w:cstheme="minorHAnsi"/>
          <w:szCs w:val="24"/>
        </w:rPr>
        <w:t xml:space="preserve"> </w:t>
      </w:r>
      <w:r w:rsidR="008A37F9" w:rsidRPr="00675182">
        <w:rPr>
          <w:rFonts w:cstheme="minorHAnsi"/>
          <w:szCs w:val="24"/>
        </w:rPr>
        <w:t>g</w:t>
      </w:r>
      <w:r w:rsidR="008A37F9">
        <w:rPr>
          <w:rFonts w:cstheme="minorHAnsi"/>
          <w:szCs w:val="24"/>
        </w:rPr>
        <w:t>s</w:t>
      </w:r>
      <w:r w:rsidRPr="00675182">
        <w:rPr>
          <w:rFonts w:cstheme="minorHAnsi"/>
          <w:szCs w:val="24"/>
        </w:rPr>
        <w:t>.</w:t>
      </w:r>
      <w:r w:rsidR="00D51D20" w:rsidRPr="00675182">
        <w:rPr>
          <w:rFonts w:cstheme="minorHAnsi"/>
          <w:szCs w:val="24"/>
        </w:rPr>
        <w:t xml:space="preserve"> </w:t>
      </w:r>
    </w:p>
    <w:p w14:paraId="785B3CF1" w14:textId="77777777" w:rsidR="00D51D20" w:rsidRPr="00675182" w:rsidRDefault="00D51D20" w:rsidP="00261C88">
      <w:pPr>
        <w:jc w:val="both"/>
        <w:rPr>
          <w:rFonts w:cstheme="minorHAnsi"/>
          <w:szCs w:val="24"/>
        </w:rPr>
      </w:pPr>
    </w:p>
    <w:p w14:paraId="066EBC36" w14:textId="67C57FF8" w:rsidR="00261C88" w:rsidRPr="00675182" w:rsidRDefault="00261C88" w:rsidP="00261C88">
      <w:pPr>
        <w:jc w:val="both"/>
        <w:rPr>
          <w:rFonts w:cstheme="minorHAnsi"/>
          <w:szCs w:val="24"/>
        </w:rPr>
      </w:pPr>
      <w:r w:rsidRPr="00675182">
        <w:rPr>
          <w:rFonts w:cstheme="minorHAnsi"/>
          <w:szCs w:val="24"/>
        </w:rPr>
        <w:t>Ar baznīcu celtniecību cieši saistīta arī sakrālās mākslas pieminekļu rašanās – baznīcu inventārs, interjera priekšmeti, ērģeles, vitrāžas, gleznojumi. Neraugoties uz laikmetu griežiem, kariem, ugunsgrēkiem un vandalisma aktiem, visās baznīcās ir saglabāti vai atjaunoti vērtīgi mākslas objekti.</w:t>
      </w:r>
      <w:r w:rsidR="00D51D20" w:rsidRPr="00675182">
        <w:rPr>
          <w:rFonts w:cstheme="minorHAnsi"/>
          <w:szCs w:val="24"/>
        </w:rPr>
        <w:t xml:space="preserve"> </w:t>
      </w:r>
      <w:r w:rsidRPr="00675182">
        <w:rPr>
          <w:rFonts w:cstheme="minorHAnsi"/>
          <w:szCs w:val="24"/>
        </w:rPr>
        <w:t xml:space="preserve">Pie sakrālajām būvēm piederēja arī kapelas. Nelielie lūgšanu namiņi, arī krucifiksi, parasti bija koka būves, kas līdz mūsu dienām nav saglabājušās. Šīs vietas nereti ir saistītas ar viduslaiku apbedījumiem. GNP kā aizsargājams arheoloģijas piemineklis zināma Incēnu viduslaiku kapsēta un kapelas vieta. Kapelas kā atsevišķas sakrālas telpas bija izbūvētas arī viduslaiku pilīs. </w:t>
      </w:r>
    </w:p>
    <w:p w14:paraId="5BA58DDB" w14:textId="77777777" w:rsidR="00D51D20" w:rsidRPr="00675182" w:rsidRDefault="00D51D20" w:rsidP="00261C88">
      <w:pPr>
        <w:jc w:val="both"/>
        <w:rPr>
          <w:rFonts w:cstheme="minorHAnsi"/>
          <w:szCs w:val="24"/>
        </w:rPr>
      </w:pPr>
    </w:p>
    <w:p w14:paraId="61370928" w14:textId="7381A668" w:rsidR="00261C88" w:rsidRPr="00675182" w:rsidRDefault="00261C88" w:rsidP="00261C88">
      <w:pPr>
        <w:jc w:val="both"/>
        <w:rPr>
          <w:rFonts w:cstheme="minorHAnsi"/>
          <w:szCs w:val="24"/>
        </w:rPr>
      </w:pPr>
      <w:r w:rsidRPr="00675182">
        <w:rPr>
          <w:rFonts w:cstheme="minorHAnsi"/>
          <w:szCs w:val="24"/>
        </w:rPr>
        <w:t>Līdz ar kristietības izplatīšanos ieviesās arī jaunas mirušo apbedīšanas tradīcijas. Līdz 18.</w:t>
      </w:r>
      <w:r w:rsidR="00DA0F14" w:rsidRPr="00675182">
        <w:rPr>
          <w:rFonts w:cstheme="minorHAnsi"/>
          <w:szCs w:val="24"/>
        </w:rPr>
        <w:t xml:space="preserve"> </w:t>
      </w:r>
      <w:r w:rsidRPr="00675182">
        <w:rPr>
          <w:rFonts w:cstheme="minorHAnsi"/>
          <w:szCs w:val="24"/>
        </w:rPr>
        <w:t>gs. beigām baznīcu iekšienē apbedīja sociāli augstāko kārtu pārstāvjus. 18.</w:t>
      </w:r>
      <w:r w:rsidR="00DA0F14" w:rsidRPr="00675182">
        <w:rPr>
          <w:rFonts w:cstheme="minorHAnsi"/>
          <w:szCs w:val="24"/>
        </w:rPr>
        <w:t xml:space="preserve"> </w:t>
      </w:r>
      <w:r w:rsidRPr="00675182">
        <w:rPr>
          <w:rFonts w:cstheme="minorHAnsi"/>
          <w:szCs w:val="24"/>
        </w:rPr>
        <w:t>gs.</w:t>
      </w:r>
      <w:r w:rsidR="00B9387E" w:rsidRPr="00675182">
        <w:rPr>
          <w:rFonts w:cstheme="minorHAnsi"/>
          <w:szCs w:val="24"/>
        </w:rPr>
        <w:t xml:space="preserve"> </w:t>
      </w:r>
      <w:r w:rsidRPr="00675182">
        <w:rPr>
          <w:rFonts w:cstheme="minorHAnsi"/>
          <w:szCs w:val="24"/>
        </w:rPr>
        <w:t>beigās, kad mirušo apbedīšanu baznīcās aizliedza, augstāko sabiedrības slāņu pārstāvjus (muižniekus, garīdzniekus) apbedīja blakus baznīcām vai arī ierīkoja īpašas kapličas vai mauzolejus (GNP - baronu Kampenhauzenu kapliča Ungurmuižā) .</w:t>
      </w:r>
    </w:p>
    <w:p w14:paraId="278AFC4B" w14:textId="77777777" w:rsidR="00D51D20" w:rsidRPr="00675182" w:rsidRDefault="00D51D20" w:rsidP="00261C88">
      <w:pPr>
        <w:jc w:val="both"/>
        <w:rPr>
          <w:rFonts w:cstheme="minorHAnsi"/>
          <w:szCs w:val="24"/>
        </w:rPr>
      </w:pPr>
    </w:p>
    <w:p w14:paraId="17671D73" w14:textId="12127B2B" w:rsidR="00261C88" w:rsidRPr="00675182" w:rsidRDefault="00261C88" w:rsidP="00261C88">
      <w:pPr>
        <w:jc w:val="both"/>
        <w:rPr>
          <w:rFonts w:cstheme="minorHAnsi"/>
          <w:szCs w:val="24"/>
        </w:rPr>
      </w:pPr>
      <w:r w:rsidRPr="00675182">
        <w:rPr>
          <w:rFonts w:cstheme="minorHAnsi"/>
          <w:szCs w:val="24"/>
        </w:rPr>
        <w:t xml:space="preserve">Pilsētu un lauku draudžu vienkāršo mirušo locekļu apbedīšana notika īpaši ierīkotās kapsētās, ko sankcionēja un iesvētīja kristīgā baznīca. Līdz minimumam saruka mirušajiem līdzi doto priekšmetu daudzums (kāda monēta, saktiņa, nazis), mirušie tika apbedīti koka šķirstos ar galvu uz rietumiem. Kapsētas teritoriju ierobežoja akmeņu sēta vai zemes valnis. Kapsētās dažkārt tika likti krustakmeņi </w:t>
      </w:r>
      <w:r w:rsidR="00B9387E" w:rsidRPr="00675182">
        <w:rPr>
          <w:rFonts w:cstheme="minorHAnsi"/>
          <w:szCs w:val="24"/>
        </w:rPr>
        <w:t>–</w:t>
      </w:r>
      <w:r w:rsidRPr="00675182">
        <w:rPr>
          <w:rFonts w:cstheme="minorHAnsi"/>
          <w:szCs w:val="24"/>
        </w:rPr>
        <w:t xml:space="preserve"> piemiņas un individuālas kapa zīmes; atsevišķos gadījumos tie varēja būt saistīti ar apbedīšanas vietas centrālajiem simboliem. GNP </w:t>
      </w:r>
      <w:r w:rsidR="00DA0F14" w:rsidRPr="00675182">
        <w:rPr>
          <w:rFonts w:cstheme="minorHAnsi"/>
          <w:szCs w:val="24"/>
        </w:rPr>
        <w:t xml:space="preserve">ir </w:t>
      </w:r>
      <w:r w:rsidRPr="00675182">
        <w:rPr>
          <w:rFonts w:cstheme="minorHAnsi"/>
          <w:szCs w:val="24"/>
        </w:rPr>
        <w:t xml:space="preserve">zināmas vairāk nekā 20 viduslaiku apbedījumu vietas. Vairākās no tām </w:t>
      </w:r>
      <w:r w:rsidR="00DA0F14" w:rsidRPr="00675182">
        <w:rPr>
          <w:rFonts w:cstheme="minorHAnsi"/>
          <w:szCs w:val="24"/>
        </w:rPr>
        <w:t xml:space="preserve">ir </w:t>
      </w:r>
      <w:r w:rsidRPr="00675182">
        <w:rPr>
          <w:rFonts w:cstheme="minorHAnsi"/>
          <w:szCs w:val="24"/>
        </w:rPr>
        <w:t>veikti arheoloģiskie izrakumi (Veselavas, Uplantu viduslaiku kapsēta, Turaidas Baznīckalns u.c.).</w:t>
      </w:r>
    </w:p>
    <w:p w14:paraId="101743A6" w14:textId="77777777" w:rsidR="00B9387E" w:rsidRPr="00675182" w:rsidRDefault="00B9387E" w:rsidP="00261C88">
      <w:pPr>
        <w:jc w:val="both"/>
        <w:rPr>
          <w:rFonts w:cstheme="minorHAnsi"/>
          <w:szCs w:val="24"/>
        </w:rPr>
      </w:pPr>
    </w:p>
    <w:p w14:paraId="69E1770D" w14:textId="46974288" w:rsidR="00261C88" w:rsidRPr="00675182" w:rsidRDefault="00261C88" w:rsidP="00261C88">
      <w:pPr>
        <w:jc w:val="both"/>
        <w:rPr>
          <w:rFonts w:cstheme="minorHAnsi"/>
          <w:szCs w:val="24"/>
        </w:rPr>
      </w:pPr>
      <w:r w:rsidRPr="00675182">
        <w:rPr>
          <w:rFonts w:cstheme="minorHAnsi"/>
          <w:szCs w:val="24"/>
        </w:rPr>
        <w:t xml:space="preserve">Lai savienotu ekonomiskos un tirdzniecības centrus, Latvijas teritorijā izveidojās sazarots sauszemes satiksmes ceļu tīkls. Tas nodrošināja gan vietējos sakarus Livonijas ietvaros, gan starptautisko satiksmi ar Lietuvu, Prūsiju, Krievzemi u.c. vietām. Satiksmes artērijas bija arī ūdensceļi (Daugava, Gauja, Venta, Lielupe u.c.), ko izmantoja gan dažādu peldlīdzekļu satiksmei, gan kokmateriālu pludināšanai. GNP teritoriju šķērsoja gan vietējās, gan starptautiskas nozīmes sakaru ceļi. Gar Gaujas kreiso krastu veda ceļš no Rīgas caur Straupi, Rubeni un Valmieru uz Tartu un Pleskavu. Arī Gaujas labajā krastā ceļš Livonijas saimnieciskos centrus caur Siguldu un Cēsīm savienoja ar Pleskavu un Novgorodu. </w:t>
      </w:r>
    </w:p>
    <w:p w14:paraId="33E032D9" w14:textId="77777777" w:rsidR="00B9387E" w:rsidRPr="00675182" w:rsidRDefault="00B9387E" w:rsidP="00261C88">
      <w:pPr>
        <w:jc w:val="both"/>
        <w:rPr>
          <w:rFonts w:cstheme="minorHAnsi"/>
          <w:szCs w:val="24"/>
        </w:rPr>
      </w:pPr>
    </w:p>
    <w:p w14:paraId="09A1295C" w14:textId="77777777" w:rsidR="00261C88" w:rsidRPr="00675182" w:rsidRDefault="00261C88" w:rsidP="00261C88">
      <w:pPr>
        <w:jc w:val="both"/>
        <w:rPr>
          <w:rFonts w:cstheme="minorHAnsi"/>
          <w:szCs w:val="24"/>
        </w:rPr>
      </w:pPr>
      <w:r w:rsidRPr="00675182">
        <w:rPr>
          <w:rFonts w:cstheme="minorHAnsi"/>
          <w:szCs w:val="24"/>
        </w:rPr>
        <w:t xml:space="preserve">Vietējās nozīmes ceļi, kas braslos un pārceltuvēs šķērsoja Gauju, savienoja centrālās satiksmes artērijas, kā arī administratīvos un saimnieciskos centrus abos upes krastos. </w:t>
      </w:r>
    </w:p>
    <w:p w14:paraId="06BC56AA" w14:textId="2195B69D" w:rsidR="00261C88" w:rsidRPr="00675182" w:rsidRDefault="00261C88" w:rsidP="00261C88">
      <w:pPr>
        <w:jc w:val="both"/>
        <w:rPr>
          <w:rFonts w:cstheme="minorHAnsi"/>
          <w:szCs w:val="24"/>
        </w:rPr>
      </w:pPr>
      <w:r w:rsidRPr="00675182">
        <w:rPr>
          <w:rFonts w:cstheme="minorHAnsi"/>
          <w:szCs w:val="24"/>
        </w:rPr>
        <w:t xml:space="preserve">Par saimnieciskās dzīves aktivitātēm un vērienu liecina ekonomiskie depozīti – dažādu uzkrāto vērtību (monētu, rotaslietu u.c.) noslēpšana zemē vai citās vietās briesmu brīžos u.c. gadījumos. Gaujas augšteces baseinā līdz šim ir ziņas par 21 depozītu, kas </w:t>
      </w:r>
      <w:r w:rsidRPr="00675182">
        <w:rPr>
          <w:rFonts w:cstheme="minorHAnsi"/>
          <w:szCs w:val="24"/>
        </w:rPr>
        <w:lastRenderedPageBreak/>
        <w:t>attiecināmi uz Livonijas konfederācijas laiku (no 13.</w:t>
      </w:r>
      <w:r w:rsidR="00B9387E" w:rsidRPr="00675182">
        <w:rPr>
          <w:rFonts w:cstheme="minorHAnsi"/>
          <w:szCs w:val="24"/>
        </w:rPr>
        <w:t xml:space="preserve"> </w:t>
      </w:r>
      <w:r w:rsidRPr="00675182">
        <w:rPr>
          <w:rFonts w:cstheme="minorHAnsi"/>
          <w:szCs w:val="24"/>
        </w:rPr>
        <w:t>gs.</w:t>
      </w:r>
      <w:r w:rsidR="00B9387E" w:rsidRPr="00675182">
        <w:rPr>
          <w:rFonts w:cstheme="minorHAnsi"/>
          <w:szCs w:val="24"/>
        </w:rPr>
        <w:t xml:space="preserve"> </w:t>
      </w:r>
      <w:r w:rsidRPr="00675182">
        <w:rPr>
          <w:rFonts w:cstheme="minorHAnsi"/>
          <w:szCs w:val="24"/>
        </w:rPr>
        <w:t>līdz 1583.</w:t>
      </w:r>
      <w:r w:rsidR="00B9387E" w:rsidRPr="00675182">
        <w:rPr>
          <w:rFonts w:cstheme="minorHAnsi"/>
          <w:szCs w:val="24"/>
        </w:rPr>
        <w:t xml:space="preserve"> </w:t>
      </w:r>
      <w:r w:rsidRPr="00675182">
        <w:rPr>
          <w:rFonts w:cstheme="minorHAnsi"/>
          <w:szCs w:val="24"/>
        </w:rPr>
        <w:t>gadam). 15 no tiem atrasti GNP teritorijā, 9</w:t>
      </w:r>
      <w:r w:rsidR="00B9387E" w:rsidRPr="00675182">
        <w:rPr>
          <w:rFonts w:cstheme="minorHAnsi"/>
          <w:szCs w:val="24"/>
        </w:rPr>
        <w:t xml:space="preserve"> – </w:t>
      </w:r>
      <w:r w:rsidRPr="00675182">
        <w:rPr>
          <w:rFonts w:cstheme="minorHAnsi"/>
          <w:szCs w:val="24"/>
        </w:rPr>
        <w:t xml:space="preserve">Cēsu Livonijas pilī. </w:t>
      </w:r>
    </w:p>
    <w:p w14:paraId="4E2CA3D3" w14:textId="77777777" w:rsidR="00B9387E" w:rsidRPr="00675182" w:rsidRDefault="00B9387E" w:rsidP="00261C88">
      <w:pPr>
        <w:jc w:val="both"/>
        <w:rPr>
          <w:rFonts w:cstheme="minorHAnsi"/>
          <w:szCs w:val="24"/>
        </w:rPr>
      </w:pPr>
    </w:p>
    <w:p w14:paraId="025559A1" w14:textId="79E2B65C" w:rsidR="00261C88" w:rsidRPr="00675182" w:rsidRDefault="00261C88" w:rsidP="00261C88">
      <w:pPr>
        <w:jc w:val="both"/>
        <w:rPr>
          <w:rFonts w:cstheme="minorHAnsi"/>
          <w:szCs w:val="24"/>
        </w:rPr>
      </w:pPr>
      <w:r w:rsidRPr="00675182">
        <w:rPr>
          <w:rFonts w:cstheme="minorHAnsi"/>
          <w:szCs w:val="24"/>
        </w:rPr>
        <w:t xml:space="preserve">Pēc Livonijas konfederācijas sabrukuma jaunajos un jaunākajos laikos veidojās jaunas politiskās, sociālās un saimnieciskās attiecības. Parādījās jaunas sabiedrības kārtas, amati, ražotnes, nostiprinājās pilsētas. Šīs izmaiņas atspoguļojās materiālajā un garīgajā kultūrā, kas veidoja šī perioda kultūras mantojumu. Pie iepriekš minētajiem vietējās un starptautiskās satiksmes ceļiem veidojās jauni šīs infrastruktūras elementi – zirgu pasta stacijas un krogi. Muižas ar dzīvojamām mājām, parkiem un saimniecībās ēkām – dzirnavām, brūžiem u.c. veidojās kā novadu administratīvie un saimnieciskie centri. GNP teritorijā šīs kultūras mantojuma grupas pārstāv Vāveres un Āža krogs, Lielstraupes zirgu pasta stacija. Nozīmīgi arhitektūras pieminekļu kompleksi ir Ungurmuižas apbūve ar parku, Veismaņu muižas apbūve, Āraišu muzejparka vēsturiskā apbūve. Daudzveidīgas kultūrvēsturiskās vērtības glabā valsts nozīmes pilsētbūvniecības piemineklis </w:t>
      </w:r>
      <w:r w:rsidR="00B9387E" w:rsidRPr="00675182">
        <w:rPr>
          <w:rFonts w:cstheme="minorHAnsi"/>
          <w:szCs w:val="24"/>
        </w:rPr>
        <w:t>–</w:t>
      </w:r>
      <w:r w:rsidRPr="00675182">
        <w:rPr>
          <w:rFonts w:cstheme="minorHAnsi"/>
          <w:szCs w:val="24"/>
        </w:rPr>
        <w:t xml:space="preserve"> Siguldas, Turaidas un Krimuldas vēsturiskā centra apbūve. </w:t>
      </w:r>
    </w:p>
    <w:p w14:paraId="0566C8C5" w14:textId="77777777" w:rsidR="00B9387E" w:rsidRPr="00675182" w:rsidRDefault="00B9387E" w:rsidP="00261C88">
      <w:pPr>
        <w:jc w:val="both"/>
        <w:rPr>
          <w:rFonts w:cstheme="minorHAnsi"/>
          <w:szCs w:val="24"/>
        </w:rPr>
      </w:pPr>
    </w:p>
    <w:p w14:paraId="1F5C2CDD" w14:textId="364166D6" w:rsidR="00261C88" w:rsidRPr="00675182" w:rsidRDefault="00261C88" w:rsidP="00261C88">
      <w:pPr>
        <w:jc w:val="both"/>
        <w:rPr>
          <w:rFonts w:cstheme="minorHAnsi"/>
          <w:szCs w:val="24"/>
        </w:rPr>
      </w:pPr>
      <w:r w:rsidRPr="00675182">
        <w:rPr>
          <w:rFonts w:cstheme="minorHAnsi"/>
          <w:szCs w:val="24"/>
        </w:rPr>
        <w:t>Eiropas mēroga nozīme ir Līgatnes papīra ražošanas centram un tā arhitektūrai. Papīra ražošanas tradīcijas te aizsākušās jau 17.</w:t>
      </w:r>
      <w:r w:rsidR="00767A33" w:rsidRPr="00675182">
        <w:rPr>
          <w:rFonts w:cstheme="minorHAnsi"/>
          <w:szCs w:val="24"/>
        </w:rPr>
        <w:t xml:space="preserve"> </w:t>
      </w:r>
      <w:r w:rsidRPr="00675182">
        <w:rPr>
          <w:rFonts w:cstheme="minorHAnsi"/>
          <w:szCs w:val="24"/>
        </w:rPr>
        <w:t>gs.</w:t>
      </w:r>
      <w:r w:rsidR="00767A33" w:rsidRPr="00675182">
        <w:rPr>
          <w:rFonts w:cstheme="minorHAnsi"/>
          <w:szCs w:val="24"/>
        </w:rPr>
        <w:t xml:space="preserve"> </w:t>
      </w:r>
      <w:r w:rsidRPr="00675182">
        <w:rPr>
          <w:rFonts w:cstheme="minorHAnsi"/>
          <w:szCs w:val="24"/>
        </w:rPr>
        <w:t>sākumā. 19.</w:t>
      </w:r>
      <w:r w:rsidR="00767A33" w:rsidRPr="00675182">
        <w:rPr>
          <w:rFonts w:cstheme="minorHAnsi"/>
          <w:szCs w:val="24"/>
        </w:rPr>
        <w:t xml:space="preserve"> </w:t>
      </w:r>
      <w:r w:rsidRPr="00675182">
        <w:rPr>
          <w:rFonts w:cstheme="minorHAnsi"/>
          <w:szCs w:val="24"/>
        </w:rPr>
        <w:t>gs. sākumā ražotne atdzima un ieguva jaunu veidolu, 19.</w:t>
      </w:r>
      <w:r w:rsidR="00881816" w:rsidRPr="00675182">
        <w:rPr>
          <w:rFonts w:cstheme="minorHAnsi"/>
          <w:szCs w:val="24"/>
        </w:rPr>
        <w:t xml:space="preserve"> </w:t>
      </w:r>
      <w:r w:rsidRPr="00675182">
        <w:rPr>
          <w:rFonts w:cstheme="minorHAnsi"/>
          <w:szCs w:val="24"/>
        </w:rPr>
        <w:t>gs. beigās tika izplānots un uzcelts tam laikam moderns ciemats ražotnes strādniekiem.</w:t>
      </w:r>
    </w:p>
    <w:p w14:paraId="40638C54" w14:textId="77777777" w:rsidR="00767A33" w:rsidRPr="00675182" w:rsidRDefault="00767A33" w:rsidP="00261C88">
      <w:pPr>
        <w:jc w:val="both"/>
        <w:rPr>
          <w:rFonts w:cstheme="minorHAnsi"/>
          <w:szCs w:val="24"/>
        </w:rPr>
      </w:pPr>
    </w:p>
    <w:p w14:paraId="2E31D6AE" w14:textId="77B47CB8" w:rsidR="00261C88" w:rsidRPr="00675182" w:rsidRDefault="00261C88" w:rsidP="00261C88">
      <w:pPr>
        <w:jc w:val="both"/>
        <w:rPr>
          <w:rFonts w:cstheme="minorHAnsi"/>
          <w:szCs w:val="24"/>
        </w:rPr>
      </w:pPr>
      <w:r w:rsidRPr="00675182">
        <w:rPr>
          <w:rFonts w:cstheme="minorHAnsi"/>
          <w:szCs w:val="24"/>
        </w:rPr>
        <w:t xml:space="preserve">GNP </w:t>
      </w:r>
      <w:r w:rsidR="00590407" w:rsidRPr="00675182">
        <w:rPr>
          <w:rFonts w:cstheme="minorHAnsi"/>
          <w:szCs w:val="24"/>
        </w:rPr>
        <w:t>atrodas</w:t>
      </w:r>
      <w:r w:rsidRPr="00675182">
        <w:rPr>
          <w:rFonts w:cstheme="minorHAnsi"/>
          <w:szCs w:val="24"/>
        </w:rPr>
        <w:t xml:space="preserve"> virkne savrupu 19.</w:t>
      </w:r>
      <w:r w:rsidR="00767A33" w:rsidRPr="00675182">
        <w:rPr>
          <w:rFonts w:cstheme="minorHAnsi"/>
          <w:szCs w:val="24"/>
        </w:rPr>
        <w:t xml:space="preserve"> un</w:t>
      </w:r>
      <w:r w:rsidRPr="00675182">
        <w:rPr>
          <w:rFonts w:cstheme="minorHAnsi"/>
          <w:szCs w:val="24"/>
        </w:rPr>
        <w:t xml:space="preserve"> 20.</w:t>
      </w:r>
      <w:r w:rsidR="00767A33" w:rsidRPr="00675182">
        <w:rPr>
          <w:rFonts w:cstheme="minorHAnsi"/>
          <w:szCs w:val="24"/>
        </w:rPr>
        <w:t xml:space="preserve"> </w:t>
      </w:r>
      <w:r w:rsidRPr="00675182">
        <w:rPr>
          <w:rFonts w:cstheme="minorHAnsi"/>
          <w:szCs w:val="24"/>
        </w:rPr>
        <w:t>gs. ēku, kam ir arhitektūras pieminekļa statuss. Piemēram, 19.</w:t>
      </w:r>
      <w:r w:rsidR="00767A33" w:rsidRPr="00675182">
        <w:rPr>
          <w:rFonts w:cstheme="minorHAnsi"/>
          <w:szCs w:val="24"/>
        </w:rPr>
        <w:t xml:space="preserve"> </w:t>
      </w:r>
      <w:r w:rsidRPr="00675182">
        <w:rPr>
          <w:rFonts w:cstheme="minorHAnsi"/>
          <w:szCs w:val="24"/>
        </w:rPr>
        <w:t>gs. tautas arhitektūras paraugs ir Melturu dzīvojamā rija. Iespaidīgā 19.</w:t>
      </w:r>
      <w:r w:rsidR="00590407" w:rsidRPr="00675182">
        <w:rPr>
          <w:rFonts w:cstheme="minorHAnsi"/>
          <w:szCs w:val="24"/>
        </w:rPr>
        <w:t xml:space="preserve"> </w:t>
      </w:r>
      <w:r w:rsidRPr="00675182">
        <w:rPr>
          <w:rFonts w:cstheme="minorHAnsi"/>
          <w:szCs w:val="24"/>
        </w:rPr>
        <w:t>gs.</w:t>
      </w:r>
      <w:r w:rsidR="00590407" w:rsidRPr="00675182">
        <w:rPr>
          <w:rFonts w:cstheme="minorHAnsi"/>
          <w:szCs w:val="24"/>
        </w:rPr>
        <w:t xml:space="preserve"> </w:t>
      </w:r>
      <w:r w:rsidRPr="00675182">
        <w:rPr>
          <w:rFonts w:cstheme="minorHAnsi"/>
          <w:szCs w:val="24"/>
        </w:rPr>
        <w:t>otrajā pusē neogotikas formās celtā Siguldas Jaunā pils ir rūpīgi restaurēta, tajā apskatāmi vēlāk radītie greznie nacionālā stilā veidotie interjeri. 20.</w:t>
      </w:r>
      <w:r w:rsidR="00590407" w:rsidRPr="00675182">
        <w:rPr>
          <w:rFonts w:cstheme="minorHAnsi"/>
          <w:szCs w:val="24"/>
        </w:rPr>
        <w:t xml:space="preserve"> </w:t>
      </w:r>
      <w:r w:rsidRPr="00675182">
        <w:rPr>
          <w:rFonts w:cstheme="minorHAnsi"/>
          <w:szCs w:val="24"/>
        </w:rPr>
        <w:t>gs. sākumā celtais Līgatnes papīrfabrikas direktoru viesu nams ir raksturīgs jūgendstila paraugs ar Šveices stila iezīmēm. Ēkā saglabājušās unikālas podiņu krāsnis un kokgriezumiem rotātas kāpnes.</w:t>
      </w:r>
    </w:p>
    <w:p w14:paraId="3F33A6EB" w14:textId="77777777" w:rsidR="00767A33" w:rsidRPr="00675182" w:rsidRDefault="00767A33" w:rsidP="00261C88">
      <w:pPr>
        <w:jc w:val="both"/>
        <w:rPr>
          <w:rFonts w:cstheme="minorHAnsi"/>
          <w:szCs w:val="24"/>
        </w:rPr>
      </w:pPr>
    </w:p>
    <w:p w14:paraId="4905AB20" w14:textId="71982723" w:rsidR="00261C88" w:rsidRPr="00675182" w:rsidRDefault="00261C88" w:rsidP="00261C88">
      <w:pPr>
        <w:jc w:val="both"/>
        <w:rPr>
          <w:rFonts w:cstheme="minorHAnsi"/>
          <w:szCs w:val="24"/>
        </w:rPr>
      </w:pPr>
      <w:r w:rsidRPr="00675182">
        <w:rPr>
          <w:rFonts w:cstheme="minorHAnsi"/>
          <w:szCs w:val="24"/>
        </w:rPr>
        <w:t xml:space="preserve">Jaunāko laiku vēsturisko notikumu un piemiņas vietu skaitā </w:t>
      </w:r>
      <w:r w:rsidR="00590407" w:rsidRPr="00675182">
        <w:rPr>
          <w:rFonts w:cstheme="minorHAnsi"/>
          <w:szCs w:val="24"/>
        </w:rPr>
        <w:t xml:space="preserve">ir </w:t>
      </w:r>
      <w:r w:rsidRPr="00675182">
        <w:rPr>
          <w:rFonts w:cstheme="minorHAnsi"/>
          <w:szCs w:val="24"/>
        </w:rPr>
        <w:t>minama Cēsu kauju piemiņas vieta – piemineklis Liepā, ko atklāja 1935.</w:t>
      </w:r>
      <w:r w:rsidR="00767A33" w:rsidRPr="00675182">
        <w:rPr>
          <w:rFonts w:cstheme="minorHAnsi"/>
          <w:szCs w:val="24"/>
        </w:rPr>
        <w:t xml:space="preserve"> </w:t>
      </w:r>
      <w:r w:rsidRPr="00675182">
        <w:rPr>
          <w:rFonts w:cstheme="minorHAnsi"/>
          <w:szCs w:val="24"/>
        </w:rPr>
        <w:t>gadā. Pieminekli no vietējā šūnakmens veidojis Liepas tēlnieks A.</w:t>
      </w:r>
      <w:r w:rsidR="00590407" w:rsidRPr="00675182">
        <w:rPr>
          <w:rFonts w:cstheme="minorHAnsi"/>
          <w:szCs w:val="24"/>
        </w:rPr>
        <w:t xml:space="preserve"> </w:t>
      </w:r>
      <w:r w:rsidRPr="00675182">
        <w:rPr>
          <w:rFonts w:cstheme="minorHAnsi"/>
          <w:szCs w:val="24"/>
        </w:rPr>
        <w:t>Julla. Valsts nozīmes vēstures pieminekļa statuss ir dzejnieka E.Treimaņa - Zvārguļa dzīves vietai – 20.</w:t>
      </w:r>
      <w:r w:rsidR="00767A33" w:rsidRPr="00675182">
        <w:rPr>
          <w:rFonts w:cstheme="minorHAnsi"/>
          <w:szCs w:val="24"/>
        </w:rPr>
        <w:t xml:space="preserve"> </w:t>
      </w:r>
      <w:r w:rsidRPr="00675182">
        <w:rPr>
          <w:rFonts w:cstheme="minorHAnsi"/>
          <w:szCs w:val="24"/>
        </w:rPr>
        <w:t>gs.</w:t>
      </w:r>
      <w:r w:rsidR="00767A33" w:rsidRPr="00675182">
        <w:rPr>
          <w:rFonts w:cstheme="minorHAnsi"/>
          <w:szCs w:val="24"/>
        </w:rPr>
        <w:t xml:space="preserve"> </w:t>
      </w:r>
      <w:r w:rsidRPr="00675182">
        <w:rPr>
          <w:rFonts w:cstheme="minorHAnsi"/>
          <w:szCs w:val="24"/>
        </w:rPr>
        <w:t>sākumā celtajai dzīvojamajai mājai “Leukādij</w:t>
      </w:r>
      <w:r w:rsidR="00767A33" w:rsidRPr="00675182">
        <w:rPr>
          <w:rFonts w:cstheme="minorHAnsi"/>
          <w:szCs w:val="24"/>
        </w:rPr>
        <w:t>as</w:t>
      </w:r>
      <w:r w:rsidRPr="00675182">
        <w:rPr>
          <w:rFonts w:cstheme="minorHAnsi"/>
          <w:szCs w:val="24"/>
        </w:rPr>
        <w:t>” un dzejnieka kapam mājas dārzā. Valsts nozīmes vēsturiska notikumu vieta ir tēlnieku K.Jansona un A.Jansona dzīves un darba vietai “Siļķēs”.</w:t>
      </w:r>
    </w:p>
    <w:p w14:paraId="76FE8006" w14:textId="77777777" w:rsidR="00767A33" w:rsidRPr="00675182" w:rsidRDefault="00767A33" w:rsidP="00261C88">
      <w:pPr>
        <w:jc w:val="both"/>
        <w:rPr>
          <w:rFonts w:cstheme="minorHAnsi"/>
          <w:szCs w:val="24"/>
        </w:rPr>
      </w:pPr>
    </w:p>
    <w:p w14:paraId="3EAC5751" w14:textId="67C5ADF1" w:rsidR="00767A33" w:rsidRPr="00675182" w:rsidRDefault="00767A33" w:rsidP="00767A33">
      <w:pPr>
        <w:jc w:val="both"/>
        <w:rPr>
          <w:rFonts w:cstheme="minorHAnsi"/>
          <w:szCs w:val="24"/>
        </w:rPr>
      </w:pPr>
      <w:r w:rsidRPr="00675182">
        <w:rPr>
          <w:rFonts w:cstheme="minorHAnsi"/>
          <w:szCs w:val="24"/>
        </w:rPr>
        <w:t>GNP</w:t>
      </w:r>
      <w:r w:rsidR="00261C88" w:rsidRPr="00675182">
        <w:rPr>
          <w:rFonts w:cstheme="minorHAnsi"/>
          <w:szCs w:val="24"/>
        </w:rPr>
        <w:t xml:space="preserve"> līdz ar dabas bagātībām – gleznaino Gaujas senleju, augu, putnu un dzīvnieku daudzveidību, ir vairāki simti kultūras un vēstures pieminekļu. Liela daļa no tiem ir valsts aizsardzībā. Šiem objektiem ir noteikta teritorija un pieminekļa aizsardzības zona. Potenciāli tādu objektu skaits var palielināties, atklājot jaunas vietas ar kultūrvēsturisku nozīmi. GNP teritorijā atrodami gandrīz visu vērtību kategoriju, tipoloģisko grupu un datējuma kultūras objekti – valsts un vietējās nozīmes arheoloģijas pieminekļi, mākslas, arhitektūras un pilsētbūvniecības pieminekļi. Šeit ir ražošanas, amatniecības, transporta, teritoriju infrastruktūras attīstību, politisko un militāro vēsturi atspoguļojoši pieminekļi, vietas, kas saistītas ar nozīmīgiem vēsturiskiem notikumiem un ievērojamām personībām.</w:t>
      </w:r>
      <w:r w:rsidRPr="00675182">
        <w:rPr>
          <w:rFonts w:cstheme="minorHAnsi"/>
          <w:szCs w:val="24"/>
        </w:rPr>
        <w:t xml:space="preserve"> Pēc </w:t>
      </w:r>
      <w:bookmarkStart w:id="16" w:name="_Hlk57665972"/>
      <w:r w:rsidR="00D432AA" w:rsidRPr="00675182">
        <w:rPr>
          <w:rFonts w:cstheme="minorHAnsi"/>
          <w:szCs w:val="24"/>
        </w:rPr>
        <w:t>NKMP</w:t>
      </w:r>
      <w:r w:rsidRPr="00675182">
        <w:rPr>
          <w:rFonts w:cstheme="minorHAnsi"/>
          <w:szCs w:val="24"/>
        </w:rPr>
        <w:t xml:space="preserve"> </w:t>
      </w:r>
      <w:bookmarkEnd w:id="16"/>
      <w:r w:rsidRPr="00675182">
        <w:rPr>
          <w:rFonts w:cstheme="minorHAnsi"/>
          <w:szCs w:val="24"/>
        </w:rPr>
        <w:t xml:space="preserve">datiem GNP </w:t>
      </w:r>
      <w:r w:rsidRPr="00675182">
        <w:rPr>
          <w:rFonts w:cstheme="minorHAnsi"/>
          <w:szCs w:val="24"/>
        </w:rPr>
        <w:lastRenderedPageBreak/>
        <w:t xml:space="preserve">teritorijā atrodas 124 valsts nozīmes aizsargājamie kultūras pieminekļi un 55 vietējas nozīmes kultūrvēsturiskie objekti (skat. 1.1.6. attēlu). </w:t>
      </w:r>
      <w:r w:rsidR="00D42D4E" w:rsidRPr="00675182">
        <w:rPr>
          <w:rFonts w:cstheme="minorHAnsi"/>
          <w:szCs w:val="24"/>
        </w:rPr>
        <w:t>4. pielikumā ir uzskaitīti vi</w:t>
      </w:r>
      <w:r w:rsidR="009E2044" w:rsidRPr="00675182">
        <w:rPr>
          <w:rFonts w:cstheme="minorHAnsi"/>
          <w:szCs w:val="24"/>
        </w:rPr>
        <w:t>s</w:t>
      </w:r>
      <w:r w:rsidR="00D42D4E" w:rsidRPr="00675182">
        <w:rPr>
          <w:rFonts w:cstheme="minorHAnsi"/>
          <w:szCs w:val="24"/>
        </w:rPr>
        <w:t xml:space="preserve">i GNP </w:t>
      </w:r>
      <w:r w:rsidR="009E2044" w:rsidRPr="00675182">
        <w:rPr>
          <w:rFonts w:cstheme="minorHAnsi"/>
          <w:szCs w:val="24"/>
        </w:rPr>
        <w:t xml:space="preserve">teritorijā </w:t>
      </w:r>
      <w:r w:rsidR="00D42D4E" w:rsidRPr="00675182">
        <w:rPr>
          <w:rFonts w:cstheme="minorHAnsi"/>
          <w:szCs w:val="24"/>
        </w:rPr>
        <w:t xml:space="preserve">sastopamie </w:t>
      </w:r>
      <w:r w:rsidRPr="00675182">
        <w:rPr>
          <w:rFonts w:cstheme="minorHAnsi"/>
          <w:szCs w:val="24"/>
        </w:rPr>
        <w:t>kultūrvēsturisk</w:t>
      </w:r>
      <w:r w:rsidR="009E2044" w:rsidRPr="00675182">
        <w:rPr>
          <w:rFonts w:cstheme="minorHAnsi"/>
          <w:szCs w:val="24"/>
        </w:rPr>
        <w:t xml:space="preserve">ie </w:t>
      </w:r>
      <w:r w:rsidRPr="00675182">
        <w:rPr>
          <w:rFonts w:cstheme="minorHAnsi"/>
          <w:szCs w:val="24"/>
        </w:rPr>
        <w:t>pieminekļi</w:t>
      </w:r>
      <w:r w:rsidR="009E2044" w:rsidRPr="00675182">
        <w:rPr>
          <w:rFonts w:cstheme="minorHAnsi"/>
          <w:szCs w:val="24"/>
        </w:rPr>
        <w:t xml:space="preserve">. </w:t>
      </w:r>
      <w:r w:rsidR="002164B2" w:rsidRPr="00675182">
        <w:rPr>
          <w:rFonts w:cstheme="minorHAnsi"/>
          <w:szCs w:val="24"/>
        </w:rPr>
        <w:t xml:space="preserve">DA plāna 22. pielikumā ir iekļauta detalizēta informācija ar kultūrvēsturisko pieminekļu aprakstiem. </w:t>
      </w:r>
    </w:p>
    <w:p w14:paraId="441E9ED5" w14:textId="77777777" w:rsidR="00767A33" w:rsidRPr="00675182" w:rsidRDefault="00767A33" w:rsidP="00767A33">
      <w:pPr>
        <w:jc w:val="both"/>
        <w:rPr>
          <w:rFonts w:cstheme="minorHAnsi"/>
          <w:szCs w:val="24"/>
        </w:rPr>
      </w:pPr>
    </w:p>
    <w:p w14:paraId="3DB8AD45" w14:textId="20D83333" w:rsidR="00767A33" w:rsidRPr="00675182" w:rsidRDefault="00767A33" w:rsidP="00767A33">
      <w:pPr>
        <w:jc w:val="both"/>
        <w:rPr>
          <w:rFonts w:cstheme="minorHAnsi"/>
        </w:rPr>
      </w:pPr>
      <w:r w:rsidRPr="00675182">
        <w:rPr>
          <w:rFonts w:cstheme="minorHAnsi"/>
          <w:szCs w:val="24"/>
        </w:rPr>
        <w:t xml:space="preserve">Kā nozīmīgākie kultūrvēsturiskie kompleksi </w:t>
      </w:r>
      <w:r w:rsidR="009E2044" w:rsidRPr="00675182">
        <w:rPr>
          <w:rFonts w:cstheme="minorHAnsi"/>
          <w:szCs w:val="24"/>
        </w:rPr>
        <w:t xml:space="preserve">ir </w:t>
      </w:r>
      <w:r w:rsidRPr="00675182">
        <w:rPr>
          <w:rFonts w:cstheme="minorHAnsi"/>
          <w:szCs w:val="24"/>
        </w:rPr>
        <w:t>minami Turaidas muzejrezervāts, kā arī Āraišu ezerpils arheoloģiskais parks. Turaidas muzejrezervāts ir izveidots Turaidas vēsturiskajā centrā un aptver 43,63 h</w:t>
      </w:r>
      <w:r w:rsidR="00D42D4E" w:rsidRPr="00675182">
        <w:rPr>
          <w:rFonts w:cstheme="minorHAnsi"/>
          <w:szCs w:val="24"/>
        </w:rPr>
        <w:t>a</w:t>
      </w:r>
      <w:r w:rsidRPr="00675182">
        <w:rPr>
          <w:rFonts w:cstheme="minorHAnsi"/>
          <w:szCs w:val="24"/>
        </w:rPr>
        <w:t xml:space="preserve"> lielu teritoriju. Muzejrezervātā pieminekļos un kultūrvidē ir iekārtotas 38 muzeja ekspozīcijas, kas vēsta par notikumiem šajā teritorijā Latvijas un Eiropas vēstures notikumu kontekstā. Ā</w:t>
      </w:r>
      <w:r w:rsidRPr="00675182">
        <w:rPr>
          <w:rFonts w:cstheme="minorHAnsi"/>
        </w:rPr>
        <w:t>raišu arheoloģiskais parks ietver senas 9 - 10.</w:t>
      </w:r>
      <w:r w:rsidR="009E2044" w:rsidRPr="00675182">
        <w:rPr>
          <w:rFonts w:cstheme="minorHAnsi"/>
        </w:rPr>
        <w:t xml:space="preserve"> </w:t>
      </w:r>
      <w:r w:rsidRPr="00675182">
        <w:rPr>
          <w:rFonts w:cstheme="minorHAnsi"/>
        </w:rPr>
        <w:t>gs. dzīvesvietas - ezerpils rekonstrukcijas koka apbūves kompleksu, 14. - 17. gs. viduslaiku pilsdrupas, kā arī akmens un bronzas laikmetu mājokļu ekspozīciju Meitu salā.</w:t>
      </w:r>
    </w:p>
    <w:p w14:paraId="3F30BC98" w14:textId="77777777" w:rsidR="00767A33" w:rsidRPr="00675182" w:rsidRDefault="00767A33" w:rsidP="00261C88">
      <w:pPr>
        <w:jc w:val="both"/>
        <w:rPr>
          <w:rFonts w:cstheme="minorHAnsi"/>
          <w:szCs w:val="24"/>
        </w:rPr>
      </w:pPr>
    </w:p>
    <w:p w14:paraId="785850EB" w14:textId="65C0334F" w:rsidR="00B92B9C" w:rsidRPr="00675182" w:rsidRDefault="00261C88" w:rsidP="00261C88">
      <w:pPr>
        <w:jc w:val="both"/>
        <w:rPr>
          <w:rFonts w:cstheme="minorHAnsi"/>
          <w:szCs w:val="24"/>
        </w:rPr>
      </w:pPr>
      <w:r w:rsidRPr="00675182">
        <w:rPr>
          <w:rFonts w:cstheme="minorHAnsi"/>
          <w:szCs w:val="24"/>
        </w:rPr>
        <w:t xml:space="preserve">Visu GNP vērtību sargāšana, saglabāšana un saprātīga izmantošana ir atbildīgs un sarežģīts uzdevums, kas prasa ilglaicīgu un koordinētu sadarbību starp dabas un kultūras mantojuma sargājošām organizācijām, pašvaldībām, saimnieciskās darbības veicējiem (mežu izstrāde, zemes dzīļu izmantošana u.c.), tūrisma un aktīvās atpūtas organizētājiem un vietējiem iedzīvotājiem.  </w:t>
      </w:r>
    </w:p>
    <w:p w14:paraId="73D176E0" w14:textId="77777777" w:rsidR="00230E72" w:rsidRPr="00675182" w:rsidRDefault="00230E72" w:rsidP="002B3341">
      <w:pPr>
        <w:jc w:val="both"/>
        <w:rPr>
          <w:rFonts w:cstheme="minorHAnsi"/>
          <w:szCs w:val="24"/>
        </w:rPr>
        <w:sectPr w:rsidR="00230E72" w:rsidRPr="00675182" w:rsidSect="00BB10AC">
          <w:headerReference w:type="default" r:id="rId44"/>
          <w:pgSz w:w="11905" w:h="16837"/>
          <w:pgMar w:top="1440" w:right="1797" w:bottom="1440" w:left="1797" w:header="720"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7"/>
      </w:tblGrid>
      <w:tr w:rsidR="00E31BB7" w:rsidRPr="00675182" w14:paraId="6BBE2D8D" w14:textId="77777777" w:rsidTr="00230E72">
        <w:tc>
          <w:tcPr>
            <w:tcW w:w="5000" w:type="pct"/>
          </w:tcPr>
          <w:p w14:paraId="06BBBFEA" w14:textId="5EF37826" w:rsidR="00E31BB7" w:rsidRPr="00675182" w:rsidRDefault="002F0941" w:rsidP="00116607">
            <w:pPr>
              <w:jc w:val="center"/>
              <w:rPr>
                <w:rFonts w:cstheme="minorHAnsi"/>
              </w:rPr>
            </w:pPr>
            <w:r w:rsidRPr="00675182">
              <w:rPr>
                <w:rFonts w:cstheme="minorHAnsi"/>
                <w:noProof/>
              </w:rPr>
              <w:lastRenderedPageBreak/>
              <w:drawing>
                <wp:inline distT="0" distB="0" distL="0" distR="0" wp14:anchorId="164EF58F" wp14:editId="60CDD579">
                  <wp:extent cx="6969250" cy="4932000"/>
                  <wp:effectExtent l="0" t="0" r="3175" b="2540"/>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969250" cy="4932000"/>
                          </a:xfrm>
                          <a:prstGeom prst="rect">
                            <a:avLst/>
                          </a:prstGeom>
                          <a:noFill/>
                          <a:ln>
                            <a:noFill/>
                          </a:ln>
                        </pic:spPr>
                      </pic:pic>
                    </a:graphicData>
                  </a:graphic>
                </wp:inline>
              </w:drawing>
            </w:r>
          </w:p>
        </w:tc>
      </w:tr>
      <w:tr w:rsidR="00E31BB7" w:rsidRPr="00675182" w14:paraId="17139A74" w14:textId="77777777" w:rsidTr="00230E72">
        <w:tc>
          <w:tcPr>
            <w:tcW w:w="5000" w:type="pct"/>
          </w:tcPr>
          <w:p w14:paraId="79E6673D" w14:textId="22AB9A9C" w:rsidR="00E31BB7" w:rsidRPr="00675182" w:rsidRDefault="00FF7DA5" w:rsidP="000225B9">
            <w:pPr>
              <w:rPr>
                <w:rFonts w:cstheme="minorHAnsi"/>
                <w:b/>
                <w:bCs/>
                <w:i/>
                <w:iCs/>
              </w:rPr>
            </w:pPr>
            <w:r w:rsidRPr="00675182">
              <w:rPr>
                <w:rFonts w:cstheme="minorHAnsi"/>
                <w:b/>
                <w:bCs/>
                <w:i/>
                <w:iCs/>
              </w:rPr>
              <w:t>1.</w:t>
            </w:r>
            <w:r w:rsidR="00900C0C" w:rsidRPr="00675182">
              <w:rPr>
                <w:rFonts w:cstheme="minorHAnsi"/>
                <w:b/>
                <w:bCs/>
                <w:i/>
                <w:iCs/>
              </w:rPr>
              <w:t>1.6</w:t>
            </w:r>
            <w:r w:rsidRPr="00675182">
              <w:rPr>
                <w:rFonts w:cstheme="minorHAnsi"/>
                <w:b/>
                <w:bCs/>
                <w:i/>
                <w:iCs/>
              </w:rPr>
              <w:t xml:space="preserve">. attēls. </w:t>
            </w:r>
            <w:r w:rsidR="00F34238" w:rsidRPr="00675182">
              <w:rPr>
                <w:rFonts w:cstheme="minorHAnsi"/>
                <w:b/>
                <w:bCs/>
                <w:i/>
                <w:iCs/>
              </w:rPr>
              <w:t xml:space="preserve">Kultūras pieminekļu </w:t>
            </w:r>
            <w:r w:rsidR="002F0941" w:rsidRPr="00675182">
              <w:rPr>
                <w:rFonts w:cstheme="minorHAnsi"/>
                <w:b/>
                <w:bCs/>
                <w:i/>
                <w:iCs/>
              </w:rPr>
              <w:t xml:space="preserve">un to aizsardzības zonu </w:t>
            </w:r>
            <w:r w:rsidR="00F34238" w:rsidRPr="00675182">
              <w:rPr>
                <w:rFonts w:cstheme="minorHAnsi"/>
                <w:b/>
                <w:bCs/>
                <w:i/>
                <w:iCs/>
              </w:rPr>
              <w:t>izvietojums GNP teritorijā</w:t>
            </w:r>
          </w:p>
        </w:tc>
      </w:tr>
    </w:tbl>
    <w:p w14:paraId="3C281F0F" w14:textId="36304816" w:rsidR="00900C0C" w:rsidRPr="00675182" w:rsidRDefault="00900C0C" w:rsidP="00900C0C">
      <w:pPr>
        <w:ind w:left="142"/>
        <w:rPr>
          <w:rFonts w:cstheme="minorHAnsi"/>
          <w:sz w:val="20"/>
          <w:szCs w:val="16"/>
        </w:rPr>
      </w:pPr>
      <w:r w:rsidRPr="00675182">
        <w:rPr>
          <w:rFonts w:cstheme="minorHAnsi"/>
          <w:sz w:val="20"/>
          <w:szCs w:val="16"/>
        </w:rPr>
        <w:t xml:space="preserve">Datu avots: </w:t>
      </w:r>
      <w:r w:rsidR="00D0634F">
        <w:rPr>
          <w:rFonts w:cstheme="minorHAnsi"/>
          <w:sz w:val="20"/>
          <w:szCs w:val="16"/>
        </w:rPr>
        <w:t>NKMP</w:t>
      </w:r>
      <w:r w:rsidRPr="00675182">
        <w:rPr>
          <w:rFonts w:cstheme="minorHAnsi"/>
          <w:sz w:val="20"/>
          <w:szCs w:val="16"/>
        </w:rPr>
        <w:t>, 202</w:t>
      </w:r>
      <w:r w:rsidR="002F0941" w:rsidRPr="00675182">
        <w:rPr>
          <w:rFonts w:cstheme="minorHAnsi"/>
          <w:sz w:val="20"/>
          <w:szCs w:val="16"/>
        </w:rPr>
        <w:t>2</w:t>
      </w:r>
    </w:p>
    <w:p w14:paraId="0363844A" w14:textId="77777777" w:rsidR="00230E72" w:rsidRPr="00675182" w:rsidRDefault="00230E72" w:rsidP="002B3341">
      <w:pPr>
        <w:rPr>
          <w:rFonts w:cstheme="minorHAnsi"/>
        </w:rPr>
        <w:sectPr w:rsidR="00230E72" w:rsidRPr="00675182" w:rsidSect="00230E72">
          <w:headerReference w:type="default" r:id="rId46"/>
          <w:pgSz w:w="16837" w:h="11905" w:orient="landscape"/>
          <w:pgMar w:top="1797" w:right="1440" w:bottom="1797" w:left="1440" w:header="720" w:footer="720" w:gutter="0"/>
          <w:cols w:space="720"/>
          <w:docGrid w:linePitch="360"/>
        </w:sectPr>
      </w:pPr>
    </w:p>
    <w:p w14:paraId="6D9B7850" w14:textId="77777777" w:rsidR="00011E51" w:rsidRPr="00675182" w:rsidRDefault="00011E51" w:rsidP="002B3341">
      <w:pPr>
        <w:pStyle w:val="Heading3"/>
        <w:keepNext w:val="0"/>
        <w:numPr>
          <w:ilvl w:val="0"/>
          <w:numId w:val="0"/>
        </w:numPr>
        <w:rPr>
          <w:rFonts w:cstheme="minorHAnsi"/>
          <w:b/>
          <w:szCs w:val="24"/>
          <w:lang w:val="lv-LV"/>
        </w:rPr>
      </w:pPr>
      <w:bookmarkStart w:id="17" w:name="_Toc116938386"/>
      <w:r w:rsidRPr="00675182">
        <w:rPr>
          <w:rFonts w:cstheme="minorHAnsi"/>
          <w:b/>
          <w:szCs w:val="24"/>
          <w:lang w:val="lv-LV"/>
        </w:rPr>
        <w:lastRenderedPageBreak/>
        <w:t>1.1.7. Valsts un pašvaldības institūciju funkcijas un atbildība aizsargājamā teritorijā</w:t>
      </w:r>
      <w:bookmarkEnd w:id="17"/>
    </w:p>
    <w:p w14:paraId="2C07EFAD" w14:textId="77777777" w:rsidR="002B3341" w:rsidRPr="00675182" w:rsidRDefault="002B3341" w:rsidP="002B3341">
      <w:pPr>
        <w:rPr>
          <w:rFonts w:cstheme="minorHAnsi"/>
        </w:rPr>
      </w:pPr>
    </w:p>
    <w:p w14:paraId="11426B1F" w14:textId="07408D81" w:rsidR="00D35ED8" w:rsidRPr="00675182" w:rsidRDefault="006478DC" w:rsidP="00AC44FE">
      <w:pPr>
        <w:jc w:val="both"/>
        <w:rPr>
          <w:rFonts w:cstheme="minorHAnsi"/>
          <w:szCs w:val="24"/>
        </w:rPr>
      </w:pPr>
      <w:r w:rsidRPr="00675182">
        <w:rPr>
          <w:rFonts w:cstheme="minorHAnsi"/>
          <w:szCs w:val="24"/>
        </w:rPr>
        <w:t xml:space="preserve">GNP </w:t>
      </w:r>
      <w:r w:rsidR="00D35ED8" w:rsidRPr="00675182">
        <w:rPr>
          <w:rFonts w:cstheme="minorHAnsi"/>
          <w:szCs w:val="24"/>
        </w:rPr>
        <w:t xml:space="preserve">pārvaldi īsteno </w:t>
      </w:r>
      <w:r w:rsidRPr="00675182">
        <w:rPr>
          <w:rFonts w:cstheme="minorHAnsi"/>
          <w:szCs w:val="24"/>
        </w:rPr>
        <w:t>VARAM</w:t>
      </w:r>
      <w:r w:rsidR="00D35ED8" w:rsidRPr="00675182">
        <w:rPr>
          <w:rFonts w:cstheme="minorHAnsi"/>
          <w:szCs w:val="24"/>
        </w:rPr>
        <w:t xml:space="preserve"> pakļautībā esošās </w:t>
      </w:r>
      <w:r w:rsidRPr="00675182">
        <w:rPr>
          <w:rFonts w:cstheme="minorHAnsi"/>
          <w:szCs w:val="24"/>
        </w:rPr>
        <w:t>DAP</w:t>
      </w:r>
      <w:r w:rsidR="00D35ED8" w:rsidRPr="00675182">
        <w:rPr>
          <w:rFonts w:cstheme="minorHAnsi"/>
          <w:szCs w:val="24"/>
        </w:rPr>
        <w:t xml:space="preserve"> Vidzemes reģionālā administrācija, kura uzrauga </w:t>
      </w:r>
      <w:r w:rsidRPr="00675182">
        <w:rPr>
          <w:rFonts w:cstheme="minorHAnsi"/>
          <w:szCs w:val="24"/>
        </w:rPr>
        <w:t>arī DA</w:t>
      </w:r>
      <w:r w:rsidR="00D35ED8" w:rsidRPr="00675182">
        <w:rPr>
          <w:rFonts w:cstheme="minorHAnsi"/>
          <w:szCs w:val="24"/>
        </w:rPr>
        <w:t xml:space="preserve"> plāna izstrādes gaitu un pēc plāna apstiprināšanas veicina tā ieviešanu. </w:t>
      </w:r>
      <w:r w:rsidRPr="00675182">
        <w:rPr>
          <w:rFonts w:cstheme="minorHAnsi"/>
          <w:szCs w:val="24"/>
        </w:rPr>
        <w:t>Teritoriju apsaimnieko zemes īpašnieki un tiesiskie valdītāji</w:t>
      </w:r>
      <w:r w:rsidR="00FA2D42" w:rsidRPr="00675182">
        <w:rPr>
          <w:rFonts w:cstheme="minorHAnsi"/>
          <w:szCs w:val="24"/>
        </w:rPr>
        <w:t>.</w:t>
      </w:r>
    </w:p>
    <w:p w14:paraId="3C143F75" w14:textId="77777777" w:rsidR="00D35ED8" w:rsidRPr="00675182" w:rsidRDefault="00D35ED8" w:rsidP="00D35ED8">
      <w:pPr>
        <w:rPr>
          <w:rFonts w:cstheme="minorHAnsi"/>
          <w:szCs w:val="24"/>
        </w:rPr>
      </w:pPr>
    </w:p>
    <w:p w14:paraId="3685B07E" w14:textId="754A4AFB" w:rsidR="00551DC7" w:rsidRPr="00675182" w:rsidRDefault="00551DC7" w:rsidP="00551DC7">
      <w:pPr>
        <w:jc w:val="both"/>
        <w:rPr>
          <w:rFonts w:cstheme="minorHAnsi"/>
          <w:szCs w:val="24"/>
        </w:rPr>
      </w:pPr>
      <w:r w:rsidRPr="00675182">
        <w:rPr>
          <w:rFonts w:cstheme="minorHAnsi"/>
          <w:szCs w:val="24"/>
        </w:rPr>
        <w:t xml:space="preserve">Atbilstoši Administratīvo teritoriju un apdzīvoto vietu likumam, kas stājās </w:t>
      </w:r>
      <w:r w:rsidR="001A132C" w:rsidRPr="00675182">
        <w:rPr>
          <w:rFonts w:cstheme="minorHAnsi"/>
          <w:szCs w:val="24"/>
        </w:rPr>
        <w:t xml:space="preserve">spēkā </w:t>
      </w:r>
      <w:r w:rsidRPr="00675182">
        <w:rPr>
          <w:rFonts w:cstheme="minorHAnsi"/>
          <w:szCs w:val="24"/>
        </w:rPr>
        <w:t>2020.gada 23. jūnijā, GNP teritorija ietilpst Cēsu, Saulkrastu, Siguldas, kā arī Valmieras novados. Saskaņā ar Administratīvo teritoriju un apdzīvoto vietu likuma 17. punktu,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Tādējādi DA plāna izstrādes laikā teritorijas atļauto izmantošanu nosaka Amatas, Beverīnas, Cēsu, Inčukalna, Kocēnu, Krimuldas, Līgatnes, Pārgaujas, Priekuļu, Sējas un Siguldas novadu teritorijas plānojumi.</w:t>
      </w:r>
    </w:p>
    <w:p w14:paraId="2FD6D1CE" w14:textId="77777777" w:rsidR="006478DC" w:rsidRPr="00675182" w:rsidRDefault="006478DC" w:rsidP="00D36B67">
      <w:pPr>
        <w:jc w:val="both"/>
        <w:rPr>
          <w:rFonts w:cstheme="minorHAnsi"/>
          <w:szCs w:val="24"/>
        </w:rPr>
      </w:pPr>
    </w:p>
    <w:p w14:paraId="16F9A3B1" w14:textId="77777777" w:rsidR="00AE686A" w:rsidRPr="00675182" w:rsidRDefault="00D35ED8" w:rsidP="00D36B67">
      <w:pPr>
        <w:jc w:val="both"/>
        <w:rPr>
          <w:rFonts w:cstheme="minorHAnsi"/>
          <w:szCs w:val="24"/>
        </w:rPr>
      </w:pPr>
      <w:r w:rsidRPr="00675182">
        <w:rPr>
          <w:rFonts w:cstheme="minorHAnsi"/>
          <w:szCs w:val="24"/>
        </w:rPr>
        <w:t xml:space="preserve">Vispārējo dabas aizsardzības prasību ievērošanas valsts kontroli īsteno </w:t>
      </w:r>
      <w:r w:rsidR="006478DC" w:rsidRPr="00675182">
        <w:rPr>
          <w:rFonts w:cstheme="minorHAnsi"/>
          <w:szCs w:val="24"/>
        </w:rPr>
        <w:t>DAP</w:t>
      </w:r>
      <w:r w:rsidRPr="00675182">
        <w:rPr>
          <w:rFonts w:cstheme="minorHAnsi"/>
          <w:szCs w:val="24"/>
        </w:rPr>
        <w:t xml:space="preserve">. </w:t>
      </w:r>
    </w:p>
    <w:p w14:paraId="3F609228" w14:textId="77777777" w:rsidR="00AE686A" w:rsidRPr="00675182" w:rsidRDefault="00AE686A" w:rsidP="00D36B67">
      <w:pPr>
        <w:jc w:val="both"/>
        <w:rPr>
          <w:rFonts w:cstheme="minorHAnsi"/>
          <w:szCs w:val="24"/>
        </w:rPr>
      </w:pPr>
    </w:p>
    <w:p w14:paraId="36A96154" w14:textId="77777777" w:rsidR="00AE686A" w:rsidRPr="00675182" w:rsidRDefault="00D35ED8" w:rsidP="00D36B67">
      <w:pPr>
        <w:jc w:val="both"/>
        <w:rPr>
          <w:rFonts w:cstheme="minorHAnsi"/>
          <w:szCs w:val="24"/>
        </w:rPr>
      </w:pPr>
      <w:r w:rsidRPr="00675182">
        <w:rPr>
          <w:rFonts w:cstheme="minorHAnsi"/>
          <w:szCs w:val="24"/>
        </w:rPr>
        <w:t xml:space="preserve">Meža apsaimniekošanas un izmantošanas normatīvo aktu ievērošanu teritorijā kontrolē </w:t>
      </w:r>
      <w:r w:rsidR="00AE686A" w:rsidRPr="00675182">
        <w:rPr>
          <w:rFonts w:cstheme="minorHAnsi"/>
          <w:szCs w:val="24"/>
        </w:rPr>
        <w:t>VMD</w:t>
      </w:r>
      <w:r w:rsidRPr="00675182">
        <w:rPr>
          <w:rFonts w:cstheme="minorHAnsi"/>
          <w:szCs w:val="24"/>
        </w:rPr>
        <w:t xml:space="preserve"> </w:t>
      </w:r>
      <w:r w:rsidR="00AE686A" w:rsidRPr="00675182">
        <w:rPr>
          <w:rFonts w:cstheme="minorHAnsi"/>
          <w:szCs w:val="24"/>
        </w:rPr>
        <w:t>Ziemeļvidzemes</w:t>
      </w:r>
      <w:r w:rsidRPr="00675182">
        <w:rPr>
          <w:rFonts w:cstheme="minorHAnsi"/>
          <w:szCs w:val="24"/>
        </w:rPr>
        <w:t xml:space="preserve"> reģionālā virsmežniecība</w:t>
      </w:r>
      <w:r w:rsidR="00AE686A" w:rsidRPr="00675182">
        <w:rPr>
          <w:rFonts w:cstheme="minorHAnsi"/>
          <w:szCs w:val="24"/>
        </w:rPr>
        <w:t>, Centrālvidzemes reģionālā virsmežniecība</w:t>
      </w:r>
      <w:r w:rsidR="00AC44FE" w:rsidRPr="00675182">
        <w:rPr>
          <w:rFonts w:cstheme="minorHAnsi"/>
          <w:szCs w:val="24"/>
        </w:rPr>
        <w:t xml:space="preserve"> un </w:t>
      </w:r>
      <w:r w:rsidR="00AE686A" w:rsidRPr="00675182">
        <w:rPr>
          <w:rFonts w:cstheme="minorHAnsi"/>
          <w:szCs w:val="24"/>
        </w:rPr>
        <w:t>Rīgas reģionālā virsmežniecība</w:t>
      </w:r>
      <w:r w:rsidRPr="00675182">
        <w:rPr>
          <w:rFonts w:cstheme="minorHAnsi"/>
          <w:szCs w:val="24"/>
        </w:rPr>
        <w:t xml:space="preserve">. </w:t>
      </w:r>
    </w:p>
    <w:p w14:paraId="1139063C" w14:textId="77777777" w:rsidR="00AE686A" w:rsidRPr="00675182" w:rsidRDefault="00AE686A" w:rsidP="00D36B67">
      <w:pPr>
        <w:jc w:val="both"/>
        <w:rPr>
          <w:rFonts w:cstheme="minorHAnsi"/>
          <w:szCs w:val="24"/>
        </w:rPr>
      </w:pPr>
    </w:p>
    <w:p w14:paraId="6FD33202" w14:textId="7636B2BE" w:rsidR="00D35ED8" w:rsidRPr="00675182" w:rsidRDefault="00D35ED8" w:rsidP="00D36B67">
      <w:pPr>
        <w:jc w:val="both"/>
        <w:rPr>
          <w:rFonts w:cstheme="minorHAnsi"/>
          <w:szCs w:val="24"/>
        </w:rPr>
      </w:pPr>
      <w:r w:rsidRPr="00675182">
        <w:rPr>
          <w:rFonts w:cstheme="minorHAnsi"/>
          <w:szCs w:val="24"/>
        </w:rPr>
        <w:t xml:space="preserve">Vides aizsardzības un dabas resursu izmantošanas valsts kontroli veic </w:t>
      </w:r>
      <w:r w:rsidR="00AE686A" w:rsidRPr="00675182">
        <w:rPr>
          <w:rFonts w:cstheme="minorHAnsi"/>
          <w:szCs w:val="24"/>
        </w:rPr>
        <w:t>VVD</w:t>
      </w:r>
      <w:r w:rsidRPr="00675182">
        <w:rPr>
          <w:rFonts w:cstheme="minorHAnsi"/>
          <w:szCs w:val="24"/>
        </w:rPr>
        <w:t xml:space="preserve"> </w:t>
      </w:r>
      <w:r w:rsidR="00AE686A" w:rsidRPr="00675182">
        <w:rPr>
          <w:rFonts w:cstheme="minorHAnsi"/>
          <w:szCs w:val="24"/>
        </w:rPr>
        <w:t>Vidzemes</w:t>
      </w:r>
      <w:r w:rsidR="00AC44FE" w:rsidRPr="00675182">
        <w:rPr>
          <w:rFonts w:cstheme="minorHAnsi"/>
          <w:szCs w:val="24"/>
        </w:rPr>
        <w:t xml:space="preserve"> </w:t>
      </w:r>
      <w:r w:rsidR="00AE686A" w:rsidRPr="00675182">
        <w:rPr>
          <w:rFonts w:cstheme="minorHAnsi"/>
          <w:szCs w:val="24"/>
        </w:rPr>
        <w:t>reģionālā vides pārvalde un Lielrīgas reģionālā pārvalde</w:t>
      </w:r>
      <w:r w:rsidRPr="00675182">
        <w:rPr>
          <w:rFonts w:cstheme="minorHAnsi"/>
          <w:szCs w:val="24"/>
        </w:rPr>
        <w:t>.</w:t>
      </w:r>
    </w:p>
    <w:p w14:paraId="14327402" w14:textId="77777777" w:rsidR="00D35ED8" w:rsidRPr="00675182" w:rsidRDefault="00D35ED8" w:rsidP="00D36B67">
      <w:pPr>
        <w:jc w:val="both"/>
        <w:rPr>
          <w:rFonts w:cstheme="minorHAnsi"/>
          <w:szCs w:val="24"/>
        </w:rPr>
      </w:pPr>
    </w:p>
    <w:p w14:paraId="24A8861F" w14:textId="36B02DC9" w:rsidR="00AE686A" w:rsidRPr="00675182" w:rsidRDefault="00AE686A" w:rsidP="00AE686A">
      <w:pPr>
        <w:jc w:val="both"/>
        <w:rPr>
          <w:rFonts w:cstheme="minorHAnsi"/>
          <w:szCs w:val="24"/>
        </w:rPr>
      </w:pPr>
      <w:r w:rsidRPr="00675182">
        <w:rPr>
          <w:rFonts w:cstheme="minorHAnsi"/>
          <w:szCs w:val="24"/>
        </w:rPr>
        <w:t>LAD Ziemeļ</w:t>
      </w:r>
      <w:r w:rsidR="00D21940" w:rsidRPr="00675182">
        <w:rPr>
          <w:rFonts w:cstheme="minorHAnsi"/>
          <w:szCs w:val="24"/>
        </w:rPr>
        <w:t xml:space="preserve">vidzemes </w:t>
      </w:r>
      <w:r w:rsidRPr="00675182">
        <w:rPr>
          <w:rFonts w:cstheme="minorHAnsi"/>
          <w:szCs w:val="24"/>
        </w:rPr>
        <w:t xml:space="preserve">reģionālās lauksaimniecības pārvalde </w:t>
      </w:r>
      <w:r w:rsidR="00D21940" w:rsidRPr="00675182">
        <w:rPr>
          <w:rFonts w:cstheme="minorHAnsi"/>
          <w:szCs w:val="24"/>
        </w:rPr>
        <w:t xml:space="preserve">un Lielrīgas reģionālās lauksaimniecības pārvalde </w:t>
      </w:r>
      <w:r w:rsidRPr="00675182">
        <w:rPr>
          <w:rFonts w:cstheme="minorHAnsi"/>
          <w:szCs w:val="24"/>
        </w:rPr>
        <w:t>uzrauga normatīvo aktu ievērošanu lauksaimniecības nozarē un pilda ar lauksaimniecību un lauku atbalsta politikas īstenošanu saistītas funkcijas.</w:t>
      </w:r>
    </w:p>
    <w:p w14:paraId="1FD94B44" w14:textId="77777777" w:rsidR="00DD12E9" w:rsidRPr="00675182" w:rsidRDefault="00DD12E9" w:rsidP="00AE686A">
      <w:pPr>
        <w:jc w:val="both"/>
        <w:rPr>
          <w:rFonts w:cstheme="minorHAnsi"/>
          <w:szCs w:val="24"/>
        </w:rPr>
      </w:pPr>
    </w:p>
    <w:p w14:paraId="6E993F2D" w14:textId="3E2B7AF7" w:rsidR="00D35ED8" w:rsidRPr="00675182" w:rsidRDefault="00D35ED8" w:rsidP="00D36B67">
      <w:pPr>
        <w:jc w:val="both"/>
        <w:rPr>
          <w:rFonts w:cstheme="minorHAnsi"/>
          <w:szCs w:val="24"/>
        </w:rPr>
      </w:pPr>
      <w:r w:rsidRPr="00675182">
        <w:rPr>
          <w:rFonts w:cstheme="minorHAnsi"/>
          <w:szCs w:val="24"/>
        </w:rPr>
        <w:t xml:space="preserve">Valsts kultūras un vēstures pieminekļu aizsardzību realizē </w:t>
      </w:r>
      <w:r w:rsidR="00CE4CD5">
        <w:rPr>
          <w:rFonts w:cstheme="minorHAnsi"/>
          <w:szCs w:val="24"/>
        </w:rPr>
        <w:t>NKMP</w:t>
      </w:r>
      <w:r w:rsidRPr="00675182">
        <w:rPr>
          <w:rFonts w:cstheme="minorHAnsi"/>
          <w:szCs w:val="24"/>
        </w:rPr>
        <w:t xml:space="preserve">. </w:t>
      </w:r>
    </w:p>
    <w:p w14:paraId="0DA6195B" w14:textId="77777777" w:rsidR="00D35ED8" w:rsidRPr="00675182" w:rsidRDefault="00D35ED8" w:rsidP="00D36B67">
      <w:pPr>
        <w:jc w:val="both"/>
        <w:rPr>
          <w:rFonts w:cstheme="minorHAnsi"/>
          <w:szCs w:val="24"/>
        </w:rPr>
      </w:pPr>
    </w:p>
    <w:p w14:paraId="76661C97" w14:textId="020DC638" w:rsidR="002B3341" w:rsidRPr="00675182" w:rsidRDefault="00AC44FE" w:rsidP="00DD71C3">
      <w:pPr>
        <w:jc w:val="both"/>
        <w:rPr>
          <w:rFonts w:cstheme="minorHAnsi"/>
          <w:szCs w:val="24"/>
        </w:rPr>
      </w:pPr>
      <w:r w:rsidRPr="00675182">
        <w:rPr>
          <w:rFonts w:cstheme="minorHAnsi"/>
          <w:szCs w:val="24"/>
        </w:rPr>
        <w:t>GNP</w:t>
      </w:r>
      <w:r w:rsidR="00D35ED8" w:rsidRPr="00675182">
        <w:rPr>
          <w:rFonts w:cstheme="minorHAnsi"/>
          <w:szCs w:val="24"/>
        </w:rPr>
        <w:t xml:space="preserve"> esošo autoceļu uzturēšanu veic valsts, pašvaldība vai zemes īpašnieki tiem piederošajos ceļu posmos.</w:t>
      </w:r>
    </w:p>
    <w:p w14:paraId="083AFF05" w14:textId="1C25C189" w:rsidR="00401B7F" w:rsidRPr="00675182" w:rsidRDefault="00401B7F" w:rsidP="002B3341">
      <w:pPr>
        <w:jc w:val="both"/>
        <w:rPr>
          <w:rFonts w:cstheme="minorHAnsi"/>
          <w:i/>
        </w:rPr>
      </w:pPr>
    </w:p>
    <w:p w14:paraId="5A56249A" w14:textId="561037CE" w:rsidR="00011E51" w:rsidRPr="00675182" w:rsidRDefault="00011E51" w:rsidP="00AA2DC7">
      <w:pPr>
        <w:pStyle w:val="Heading2"/>
        <w:keepLines/>
        <w:rPr>
          <w:rFonts w:cstheme="minorHAnsi"/>
          <w:i w:val="0"/>
          <w:szCs w:val="24"/>
          <w:lang w:val="lv-LV"/>
        </w:rPr>
      </w:pPr>
      <w:bookmarkStart w:id="18" w:name="_Toc116938387"/>
      <w:r w:rsidRPr="00675182">
        <w:rPr>
          <w:rFonts w:cstheme="minorHAnsi"/>
          <w:i w:val="0"/>
          <w:szCs w:val="24"/>
          <w:lang w:val="lv-LV"/>
        </w:rPr>
        <w:lastRenderedPageBreak/>
        <w:t>1.</w:t>
      </w:r>
      <w:r w:rsidR="008A0F48" w:rsidRPr="00675182">
        <w:rPr>
          <w:rFonts w:cstheme="minorHAnsi"/>
          <w:i w:val="0"/>
          <w:szCs w:val="24"/>
          <w:lang w:val="lv-LV"/>
        </w:rPr>
        <w:t>2</w:t>
      </w:r>
      <w:r w:rsidRPr="00675182">
        <w:rPr>
          <w:rFonts w:cstheme="minorHAnsi"/>
          <w:i w:val="0"/>
          <w:szCs w:val="24"/>
          <w:lang w:val="lv-LV"/>
        </w:rPr>
        <w:t>. Īss aizsargājamās teritorijas fiziski ģeogrāfiskais raksturojums</w:t>
      </w:r>
      <w:bookmarkEnd w:id="18"/>
    </w:p>
    <w:p w14:paraId="0BC9B4A3" w14:textId="77777777" w:rsidR="002B3341" w:rsidRPr="00675182" w:rsidRDefault="002B3341" w:rsidP="00AA2DC7">
      <w:pPr>
        <w:keepNext/>
        <w:keepLines/>
        <w:rPr>
          <w:rFonts w:cstheme="minorHAnsi"/>
        </w:rPr>
      </w:pPr>
    </w:p>
    <w:p w14:paraId="35C71438" w14:textId="0B6CA87F" w:rsidR="00011E51" w:rsidRPr="00675182" w:rsidRDefault="002832A1" w:rsidP="00AA2DC7">
      <w:pPr>
        <w:pStyle w:val="Heading3"/>
        <w:keepLines/>
        <w:numPr>
          <w:ilvl w:val="0"/>
          <w:numId w:val="0"/>
        </w:numPr>
        <w:rPr>
          <w:rFonts w:cstheme="minorHAnsi"/>
          <w:b/>
          <w:szCs w:val="24"/>
          <w:lang w:val="lv-LV"/>
        </w:rPr>
      </w:pPr>
      <w:bookmarkStart w:id="19" w:name="_Toc116938388"/>
      <w:r w:rsidRPr="00675182">
        <w:rPr>
          <w:rFonts w:cstheme="minorHAnsi"/>
          <w:b/>
          <w:szCs w:val="24"/>
          <w:lang w:val="lv-LV"/>
        </w:rPr>
        <w:t>1.</w:t>
      </w:r>
      <w:r w:rsidR="008A0F48" w:rsidRPr="00675182">
        <w:rPr>
          <w:rFonts w:cstheme="minorHAnsi"/>
          <w:b/>
          <w:szCs w:val="24"/>
          <w:lang w:val="lv-LV"/>
        </w:rPr>
        <w:t>2</w:t>
      </w:r>
      <w:r w:rsidRPr="00675182">
        <w:rPr>
          <w:rFonts w:cstheme="minorHAnsi"/>
          <w:b/>
          <w:szCs w:val="24"/>
          <w:lang w:val="lv-LV"/>
        </w:rPr>
        <w:t xml:space="preserve">.1. </w:t>
      </w:r>
      <w:r w:rsidR="00011E51" w:rsidRPr="00675182">
        <w:rPr>
          <w:rFonts w:cstheme="minorHAnsi"/>
          <w:b/>
          <w:szCs w:val="24"/>
          <w:lang w:val="lv-LV"/>
        </w:rPr>
        <w:t>Klimats</w:t>
      </w:r>
      <w:bookmarkEnd w:id="19"/>
    </w:p>
    <w:p w14:paraId="315F6DE1" w14:textId="77777777" w:rsidR="00690FAD" w:rsidRPr="00675182" w:rsidRDefault="00690FAD" w:rsidP="00AA2DC7">
      <w:pPr>
        <w:keepNext/>
        <w:keepLines/>
        <w:rPr>
          <w:rFonts w:cstheme="minorHAnsi"/>
        </w:rPr>
      </w:pPr>
    </w:p>
    <w:p w14:paraId="70758E97" w14:textId="234A2067" w:rsidR="000B0D8F" w:rsidRPr="00675182" w:rsidRDefault="000B0D8F" w:rsidP="00AA2DC7">
      <w:pPr>
        <w:keepNext/>
        <w:keepLines/>
        <w:jc w:val="both"/>
        <w:rPr>
          <w:rFonts w:cstheme="minorHAnsi"/>
        </w:rPr>
      </w:pPr>
      <w:r w:rsidRPr="00675182">
        <w:rPr>
          <w:rFonts w:cstheme="minorHAnsi"/>
        </w:rPr>
        <w:t xml:space="preserve">Saskaņā ar esošo Latvijas klimatisko rajonēšanu (Kalniņa, 1995), GNP teritorija atrodas klimatiskajā rajonā - Vidzemes centrālā augstiene un teritorija uz ziemeļiem no tās. Parks atrodas Baltijas jūras ietekmes apgabalā, tāpēc klimatam ir raksturīgas piejūras klimata iezīmes: izteikti cikloniski laika apstākļi, liels nokrišņu daudzums un samērā izlīdzināta temperatūras gada gaita. </w:t>
      </w:r>
      <w:r w:rsidR="0033309E" w:rsidRPr="00675182">
        <w:rPr>
          <w:rFonts w:cstheme="minorHAnsi"/>
        </w:rPr>
        <w:t>Tai pašā laikā</w:t>
      </w:r>
      <w:r w:rsidRPr="00675182">
        <w:rPr>
          <w:rFonts w:cstheme="minorHAnsi"/>
        </w:rPr>
        <w:t xml:space="preserve"> vērojamas stipras mikroklimatiskās atšķirības, piemēram, upju ielejās. </w:t>
      </w:r>
    </w:p>
    <w:p w14:paraId="2DFEECFF" w14:textId="77777777" w:rsidR="000B0D8F" w:rsidRPr="00675182" w:rsidRDefault="000B0D8F" w:rsidP="000B0D8F">
      <w:pPr>
        <w:jc w:val="both"/>
        <w:rPr>
          <w:rFonts w:cstheme="minorHAnsi"/>
        </w:rPr>
      </w:pPr>
    </w:p>
    <w:p w14:paraId="68EC2F6A" w14:textId="6DC9E6A2" w:rsidR="000B0D8F" w:rsidRPr="00675182" w:rsidRDefault="000B0D8F" w:rsidP="000B0D8F">
      <w:pPr>
        <w:jc w:val="both"/>
        <w:rPr>
          <w:rFonts w:cstheme="minorHAnsi"/>
        </w:rPr>
      </w:pPr>
      <w:r w:rsidRPr="00675182">
        <w:rPr>
          <w:rFonts w:cstheme="minorHAnsi"/>
        </w:rPr>
        <w:t>Gorčinska (Gorczyński, 1920) kontinentalitātes indekss, kurš novērtē reģiona kontinentalitāti</w:t>
      </w:r>
      <w:r w:rsidR="0033309E" w:rsidRPr="00675182">
        <w:rPr>
          <w:rFonts w:cstheme="minorHAnsi"/>
        </w:rPr>
        <w:t>,</w:t>
      </w:r>
      <w:r w:rsidRPr="00675182">
        <w:rPr>
          <w:rFonts w:cstheme="minorHAnsi"/>
        </w:rPr>
        <w:t xml:space="preserve"> balstoties uz gaisa temperatūras ampiltūd</w:t>
      </w:r>
      <w:r w:rsidR="00AF78D8" w:rsidRPr="00675182">
        <w:rPr>
          <w:rFonts w:cstheme="minorHAnsi"/>
        </w:rPr>
        <w:t>as</w:t>
      </w:r>
      <w:r w:rsidRPr="00675182">
        <w:rPr>
          <w:rFonts w:cstheme="minorHAnsi"/>
        </w:rPr>
        <w:t xml:space="preserve"> vērtībām gada griezumā un konkrētās vietas ģeogrāfisko platumu, teritorijā vērtējams no 22-23 (LVĢMC,</w:t>
      </w:r>
      <w:r w:rsidR="00F42129" w:rsidRPr="00675182">
        <w:rPr>
          <w:rFonts w:cstheme="minorHAnsi"/>
        </w:rPr>
        <w:t xml:space="preserve"> </w:t>
      </w:r>
      <w:r w:rsidRPr="00675182">
        <w:rPr>
          <w:rFonts w:cstheme="minorHAnsi"/>
        </w:rPr>
        <w:t>2017).</w:t>
      </w:r>
    </w:p>
    <w:p w14:paraId="55C2A3B6" w14:textId="77777777" w:rsidR="00AF78D8" w:rsidRPr="00675182" w:rsidRDefault="00AF78D8" w:rsidP="000B0D8F">
      <w:pPr>
        <w:jc w:val="both"/>
        <w:rPr>
          <w:rFonts w:cstheme="minorHAnsi"/>
        </w:rPr>
      </w:pPr>
    </w:p>
    <w:p w14:paraId="47E3D963" w14:textId="75A1BF2C" w:rsidR="000B0D8F" w:rsidRPr="00675182" w:rsidRDefault="00F42129" w:rsidP="000B0D8F">
      <w:pPr>
        <w:jc w:val="both"/>
        <w:rPr>
          <w:rFonts w:cstheme="minorHAnsi"/>
        </w:rPr>
      </w:pPr>
      <w:r w:rsidRPr="00675182">
        <w:rPr>
          <w:rFonts w:cstheme="minorHAnsi"/>
        </w:rPr>
        <w:t>GN</w:t>
      </w:r>
      <w:r w:rsidR="0033309E" w:rsidRPr="00675182">
        <w:rPr>
          <w:rFonts w:cstheme="minorHAnsi"/>
        </w:rPr>
        <w:t>P</w:t>
      </w:r>
      <w:r w:rsidR="000B0D8F" w:rsidRPr="00675182">
        <w:rPr>
          <w:rFonts w:cstheme="minorHAnsi"/>
        </w:rPr>
        <w:t xml:space="preserve"> teritorij</w:t>
      </w:r>
      <w:r w:rsidRPr="00675182">
        <w:rPr>
          <w:rFonts w:cstheme="minorHAnsi"/>
        </w:rPr>
        <w:t>ai tuvākā LVĢMC</w:t>
      </w:r>
      <w:r w:rsidR="000B0D8F" w:rsidRPr="00675182">
        <w:rPr>
          <w:rFonts w:cstheme="minorHAnsi"/>
        </w:rPr>
        <w:t xml:space="preserve"> </w:t>
      </w:r>
      <w:r w:rsidR="00AF78D8" w:rsidRPr="00675182">
        <w:rPr>
          <w:rFonts w:cstheme="minorHAnsi"/>
        </w:rPr>
        <w:t xml:space="preserve">novērojumu stacija </w:t>
      </w:r>
      <w:r w:rsidR="000B0D8F" w:rsidRPr="00675182">
        <w:rPr>
          <w:rFonts w:cstheme="minorHAnsi"/>
        </w:rPr>
        <w:t>atrodas Priekuļ</w:t>
      </w:r>
      <w:r w:rsidRPr="00675182">
        <w:rPr>
          <w:rFonts w:cstheme="minorHAnsi"/>
        </w:rPr>
        <w:t>os, Priekuļu novadā</w:t>
      </w:r>
      <w:r w:rsidR="000B0D8F" w:rsidRPr="00675182">
        <w:rPr>
          <w:rFonts w:cstheme="minorHAnsi"/>
        </w:rPr>
        <w:t>. Balstoties</w:t>
      </w:r>
      <w:r w:rsidRPr="00675182">
        <w:rPr>
          <w:rFonts w:cstheme="minorHAnsi"/>
        </w:rPr>
        <w:t xml:space="preserve"> </w:t>
      </w:r>
      <w:r w:rsidR="000B0D8F" w:rsidRPr="00675182">
        <w:rPr>
          <w:rFonts w:cstheme="minorHAnsi"/>
        </w:rPr>
        <w:t xml:space="preserve">uz </w:t>
      </w:r>
      <w:r w:rsidRPr="00675182">
        <w:rPr>
          <w:rFonts w:cstheme="minorHAnsi"/>
        </w:rPr>
        <w:t>Priekuļu novērojumu stacijā</w:t>
      </w:r>
      <w:r w:rsidR="000B0D8F" w:rsidRPr="00675182">
        <w:rPr>
          <w:rFonts w:cstheme="minorHAnsi"/>
        </w:rPr>
        <w:t xml:space="preserve"> ilggadīgi fiksēto meteoroloģisko informāciju</w:t>
      </w:r>
      <w:r w:rsidRPr="00675182">
        <w:rPr>
          <w:rFonts w:cstheme="minorHAnsi"/>
        </w:rPr>
        <w:t>,</w:t>
      </w:r>
      <w:r w:rsidR="000B0D8F" w:rsidRPr="00675182">
        <w:rPr>
          <w:rFonts w:cstheme="minorHAnsi"/>
        </w:rPr>
        <w:t xml:space="preserve"> </w:t>
      </w:r>
      <w:r w:rsidR="00AF78D8" w:rsidRPr="00675182">
        <w:rPr>
          <w:rFonts w:cstheme="minorHAnsi"/>
        </w:rPr>
        <w:t>sagatavots</w:t>
      </w:r>
      <w:r w:rsidR="000B0D8F" w:rsidRPr="00675182">
        <w:rPr>
          <w:rFonts w:cstheme="minorHAnsi"/>
        </w:rPr>
        <w:t xml:space="preserve"> </w:t>
      </w:r>
      <w:r w:rsidRPr="00675182">
        <w:rPr>
          <w:rFonts w:cstheme="minorHAnsi"/>
        </w:rPr>
        <w:t>GNP</w:t>
      </w:r>
      <w:r w:rsidR="000B0D8F" w:rsidRPr="00675182">
        <w:rPr>
          <w:rFonts w:cstheme="minorHAnsi"/>
        </w:rPr>
        <w:t xml:space="preserve"> klimatiskais raksturojums. </w:t>
      </w:r>
    </w:p>
    <w:p w14:paraId="6D3F2435" w14:textId="77777777" w:rsidR="000B0D8F" w:rsidRPr="00675182" w:rsidRDefault="000B0D8F" w:rsidP="000B0D8F">
      <w:pPr>
        <w:jc w:val="both"/>
        <w:rPr>
          <w:rFonts w:cstheme="minorHAnsi"/>
        </w:rPr>
      </w:pPr>
    </w:p>
    <w:p w14:paraId="0B1789AE" w14:textId="5B4BEF2B" w:rsidR="000B0D8F" w:rsidRPr="00675182" w:rsidRDefault="000B0D8F" w:rsidP="000B0D8F">
      <w:pPr>
        <w:jc w:val="both"/>
        <w:rPr>
          <w:rFonts w:cstheme="minorHAnsi"/>
        </w:rPr>
      </w:pPr>
      <w:r w:rsidRPr="00675182">
        <w:rPr>
          <w:rFonts w:cstheme="minorHAnsi"/>
        </w:rPr>
        <w:t xml:space="preserve">Ilggadīgā gada vidējā temperatūra </w:t>
      </w:r>
      <w:r w:rsidR="00F42129" w:rsidRPr="00675182">
        <w:rPr>
          <w:rFonts w:cstheme="minorHAnsi"/>
        </w:rPr>
        <w:t>GNP</w:t>
      </w:r>
      <w:r w:rsidRPr="00675182">
        <w:rPr>
          <w:rFonts w:cstheme="minorHAnsi"/>
        </w:rPr>
        <w:t xml:space="preserve"> teritorijā ir </w:t>
      </w:r>
      <w:r w:rsidR="00F42129" w:rsidRPr="00675182">
        <w:rPr>
          <w:rFonts w:cstheme="minorHAnsi"/>
        </w:rPr>
        <w:t xml:space="preserve">aptuveni </w:t>
      </w:r>
      <w:r w:rsidRPr="00675182">
        <w:rPr>
          <w:rFonts w:cstheme="minorHAnsi"/>
        </w:rPr>
        <w:t>+5,7°C. Visaukstākie mēneši ir janvāris un februāris ar vidējo gaisa temperatūru no -5°C līdz -7°C, savukārt vissiltākie mēneši ir jūnijs un jūlijs ar vidējo gaisa temperatūru no +16,5°C līdz +17°C (</w:t>
      </w:r>
      <w:r w:rsidR="00F42129" w:rsidRPr="00675182">
        <w:rPr>
          <w:rFonts w:cstheme="minorHAnsi"/>
        </w:rPr>
        <w:t>Briede</w:t>
      </w:r>
      <w:r w:rsidRPr="00675182">
        <w:rPr>
          <w:rFonts w:cstheme="minorHAnsi"/>
        </w:rPr>
        <w:t>,</w:t>
      </w:r>
      <w:r w:rsidR="00F42129" w:rsidRPr="00675182">
        <w:rPr>
          <w:rFonts w:cstheme="minorHAnsi"/>
        </w:rPr>
        <w:t xml:space="preserve"> </w:t>
      </w:r>
      <w:r w:rsidRPr="00675182">
        <w:rPr>
          <w:rFonts w:cstheme="minorHAnsi"/>
        </w:rPr>
        <w:t>2018). 2019.</w:t>
      </w:r>
      <w:r w:rsidR="00F42129" w:rsidRPr="00675182">
        <w:rPr>
          <w:rFonts w:cstheme="minorHAnsi"/>
        </w:rPr>
        <w:t xml:space="preserve"> </w:t>
      </w:r>
      <w:r w:rsidRPr="00675182">
        <w:rPr>
          <w:rFonts w:cstheme="minorHAnsi"/>
        </w:rPr>
        <w:t xml:space="preserve">gadā minimālā gaisa temperatūra </w:t>
      </w:r>
      <w:r w:rsidR="00F42129" w:rsidRPr="00675182">
        <w:rPr>
          <w:rFonts w:cstheme="minorHAnsi"/>
        </w:rPr>
        <w:t xml:space="preserve">NS </w:t>
      </w:r>
      <w:r w:rsidRPr="00675182">
        <w:rPr>
          <w:rFonts w:cstheme="minorHAnsi"/>
        </w:rPr>
        <w:t>Priekuļ</w:t>
      </w:r>
      <w:r w:rsidR="00F42129" w:rsidRPr="00675182">
        <w:rPr>
          <w:rFonts w:cstheme="minorHAnsi"/>
        </w:rPr>
        <w:t>i</w:t>
      </w:r>
      <w:r w:rsidRPr="00675182">
        <w:rPr>
          <w:rFonts w:cstheme="minorHAnsi"/>
        </w:rPr>
        <w:t xml:space="preserve"> -17,1 °C fiksēta janvārī, savukārt maksimālā </w:t>
      </w:r>
      <w:r w:rsidR="00F42129" w:rsidRPr="00675182">
        <w:rPr>
          <w:rFonts w:cstheme="minorHAnsi"/>
        </w:rPr>
        <w:t>+</w:t>
      </w:r>
      <w:r w:rsidRPr="00675182">
        <w:rPr>
          <w:rFonts w:cstheme="minorHAnsi"/>
        </w:rPr>
        <w:t>29,4 °C jūnijā (LVĢMC,</w:t>
      </w:r>
      <w:r w:rsidR="00F42129" w:rsidRPr="00675182">
        <w:rPr>
          <w:rFonts w:cstheme="minorHAnsi"/>
        </w:rPr>
        <w:t xml:space="preserve"> </w:t>
      </w:r>
      <w:r w:rsidRPr="00675182">
        <w:rPr>
          <w:rFonts w:cstheme="minorHAnsi"/>
        </w:rPr>
        <w:t>201</w:t>
      </w:r>
      <w:r w:rsidR="00AF78D8" w:rsidRPr="00675182">
        <w:rPr>
          <w:rFonts w:cstheme="minorHAnsi"/>
        </w:rPr>
        <w:t>9</w:t>
      </w:r>
      <w:r w:rsidRPr="00675182">
        <w:rPr>
          <w:rFonts w:cstheme="minorHAnsi"/>
        </w:rPr>
        <w:t>).</w:t>
      </w:r>
    </w:p>
    <w:p w14:paraId="1FD266D1" w14:textId="77777777" w:rsidR="00F42129" w:rsidRPr="00675182" w:rsidRDefault="00F42129" w:rsidP="000B0D8F">
      <w:pPr>
        <w:jc w:val="both"/>
        <w:rPr>
          <w:rFonts w:cstheme="minorHAnsi"/>
        </w:rPr>
      </w:pPr>
    </w:p>
    <w:p w14:paraId="21097C1B" w14:textId="52AA410E" w:rsidR="000B0D8F" w:rsidRPr="00675182" w:rsidRDefault="000B0D8F" w:rsidP="000B0D8F">
      <w:pPr>
        <w:jc w:val="both"/>
        <w:rPr>
          <w:rFonts w:cstheme="minorHAnsi"/>
        </w:rPr>
      </w:pPr>
      <w:r w:rsidRPr="00675182">
        <w:rPr>
          <w:rFonts w:cstheme="minorHAnsi"/>
        </w:rPr>
        <w:t xml:space="preserve">Pēdējo 50 gadu laikā Latvijā novērota vienmērīga gaisa temperatūras paaugstināšanās. Ilglaicīgā periodā statistiski nozīmīgākais gaisa temperatūras pieaugums novērots tieši gada vidējām temperatūrām. Aprēķināta lielākā skaitliskā pieauguma vērtība gada vidējām temperatūrām pēdējos 10 gados iegūta </w:t>
      </w:r>
      <w:r w:rsidR="00C95A22">
        <w:rPr>
          <w:rFonts w:cstheme="minorHAnsi"/>
        </w:rPr>
        <w:t>novērojumu stacijā</w:t>
      </w:r>
      <w:r w:rsidR="00C95A22" w:rsidRPr="00675182">
        <w:rPr>
          <w:rFonts w:cstheme="minorHAnsi"/>
        </w:rPr>
        <w:t xml:space="preserve"> </w:t>
      </w:r>
      <w:r w:rsidRPr="00675182">
        <w:rPr>
          <w:rFonts w:cstheme="minorHAnsi"/>
        </w:rPr>
        <w:t>Priekuļi – 0,31°C (vid.</w:t>
      </w:r>
      <w:r w:rsidR="00F42129" w:rsidRPr="00675182">
        <w:rPr>
          <w:rFonts w:cstheme="minorHAnsi"/>
        </w:rPr>
        <w:t xml:space="preserve"> </w:t>
      </w:r>
      <w:r w:rsidRPr="00675182">
        <w:rPr>
          <w:rFonts w:cstheme="minorHAnsi"/>
        </w:rPr>
        <w:t>0,26°C). Mēnešu griezumā statistiski nozīmīgākais pieaugums iegūts marta, aprīļa un augusta vidējām gaisa temperatūrām (LVĢMC,</w:t>
      </w:r>
      <w:r w:rsidR="00F42129" w:rsidRPr="00675182">
        <w:rPr>
          <w:rFonts w:cstheme="minorHAnsi"/>
        </w:rPr>
        <w:t xml:space="preserve"> </w:t>
      </w:r>
      <w:r w:rsidRPr="00675182">
        <w:rPr>
          <w:rFonts w:cstheme="minorHAnsi"/>
        </w:rPr>
        <w:t>2017).</w:t>
      </w:r>
    </w:p>
    <w:p w14:paraId="5760C2F9" w14:textId="77777777" w:rsidR="00F42129" w:rsidRPr="00675182" w:rsidRDefault="00F42129" w:rsidP="000B0D8F">
      <w:pPr>
        <w:jc w:val="both"/>
        <w:rPr>
          <w:rFonts w:cstheme="minorHAnsi"/>
        </w:rPr>
      </w:pPr>
    </w:p>
    <w:p w14:paraId="03EACB83" w14:textId="0E6D9141" w:rsidR="000B0D8F" w:rsidRPr="00675182" w:rsidRDefault="000B0D8F" w:rsidP="000B0D8F">
      <w:pPr>
        <w:jc w:val="both"/>
        <w:rPr>
          <w:rFonts w:cstheme="minorHAnsi"/>
        </w:rPr>
      </w:pPr>
      <w:r w:rsidRPr="00675182">
        <w:rPr>
          <w:rFonts w:cstheme="minorHAnsi"/>
        </w:rPr>
        <w:t>Veģetācijas perioda ilgums ir atkarīgs no gaisa temperatūras, ko ietekmē vairāki faktori – atrašanās vieta, augstums virs jūras līmeņa un reljefs. Parka teritorijā ilggadīgais vidējais veģetācijas periods ir vidēji 192-196 dienas. Vidējais veģetācijas perioda iestāšanās laiks parka teritorijā ir 11.</w:t>
      </w:r>
      <w:r w:rsidR="00CD1490" w:rsidRPr="00675182">
        <w:rPr>
          <w:rFonts w:cstheme="minorHAnsi"/>
        </w:rPr>
        <w:t xml:space="preserve"> </w:t>
      </w:r>
      <w:r w:rsidRPr="00675182">
        <w:rPr>
          <w:rFonts w:cstheme="minorHAnsi"/>
        </w:rPr>
        <w:t>aprīlis, savukārt vidējais veģetācijas perioda beigu datums ir 21.</w:t>
      </w:r>
      <w:r w:rsidR="00292DDF">
        <w:rPr>
          <w:rFonts w:cstheme="minorHAnsi"/>
        </w:rPr>
        <w:t xml:space="preserve"> </w:t>
      </w:r>
      <w:r w:rsidRPr="00675182">
        <w:rPr>
          <w:rFonts w:cstheme="minorHAnsi"/>
        </w:rPr>
        <w:t>oktobris (</w:t>
      </w:r>
      <w:r w:rsidR="00CD1490" w:rsidRPr="00675182">
        <w:rPr>
          <w:rFonts w:cstheme="minorHAnsi"/>
        </w:rPr>
        <w:t>Briede</w:t>
      </w:r>
      <w:r w:rsidRPr="00675182">
        <w:rPr>
          <w:rFonts w:cstheme="minorHAnsi"/>
        </w:rPr>
        <w:t>,</w:t>
      </w:r>
      <w:r w:rsidR="00CD1490" w:rsidRPr="00675182">
        <w:rPr>
          <w:rFonts w:cstheme="minorHAnsi"/>
        </w:rPr>
        <w:t xml:space="preserve"> </w:t>
      </w:r>
      <w:r w:rsidRPr="00675182">
        <w:rPr>
          <w:rFonts w:cstheme="minorHAnsi"/>
        </w:rPr>
        <w:t>2018).</w:t>
      </w:r>
    </w:p>
    <w:p w14:paraId="214BAFB3" w14:textId="77777777" w:rsidR="00CD1490" w:rsidRPr="00675182" w:rsidRDefault="00CD1490" w:rsidP="000B0D8F">
      <w:pPr>
        <w:jc w:val="both"/>
        <w:rPr>
          <w:rFonts w:cstheme="minorHAnsi"/>
        </w:rPr>
      </w:pPr>
    </w:p>
    <w:p w14:paraId="618E20CD" w14:textId="7C4EC434" w:rsidR="000B0D8F" w:rsidRPr="00675182" w:rsidRDefault="000B0D8F" w:rsidP="000B0D8F">
      <w:pPr>
        <w:jc w:val="both"/>
        <w:rPr>
          <w:rFonts w:cstheme="minorHAnsi"/>
        </w:rPr>
      </w:pPr>
      <w:r w:rsidRPr="00675182">
        <w:rPr>
          <w:rFonts w:cstheme="minorHAnsi"/>
        </w:rPr>
        <w:t xml:space="preserve">Sniegs </w:t>
      </w:r>
      <w:r w:rsidR="00CD1490" w:rsidRPr="00675182">
        <w:rPr>
          <w:rFonts w:cstheme="minorHAnsi"/>
        </w:rPr>
        <w:t>GNP</w:t>
      </w:r>
      <w:r w:rsidRPr="00675182">
        <w:rPr>
          <w:rFonts w:cstheme="minorHAnsi"/>
        </w:rPr>
        <w:t xml:space="preserve"> teritorijā klāj vidēji 112 dienas gadā, savukārt sals novērojams 130</w:t>
      </w:r>
      <w:r w:rsidR="00CD1490" w:rsidRPr="00675182">
        <w:rPr>
          <w:rFonts w:cstheme="minorHAnsi"/>
        </w:rPr>
        <w:t xml:space="preserve"> </w:t>
      </w:r>
      <w:r w:rsidRPr="00675182">
        <w:rPr>
          <w:rFonts w:cstheme="minorHAnsi"/>
        </w:rPr>
        <w:t>-</w:t>
      </w:r>
      <w:r w:rsidR="00CD1490" w:rsidRPr="00675182">
        <w:rPr>
          <w:rFonts w:cstheme="minorHAnsi"/>
        </w:rPr>
        <w:t xml:space="preserve"> </w:t>
      </w:r>
      <w:r w:rsidRPr="00675182">
        <w:rPr>
          <w:rFonts w:cstheme="minorHAnsi"/>
        </w:rPr>
        <w:t>140 dienas gadā. Pirmais sniegs mēdz uzkrist jau oktobra sākumā, vairāk vai mazāk paliekoša sniega sega izveidojas decembra vidū, sniegs nokūst aprīļa sākumā. Vidējais sniega segas biezums parasti no 15-20 cm. Pēdējo 10 gadu periods raksturojas ar siltām, pat bezsniega ziemām. Gadā vidēji 10 dienas ir ar apledojumu (</w:t>
      </w:r>
      <w:r w:rsidR="008A0F48" w:rsidRPr="00675182">
        <w:rPr>
          <w:rFonts w:cstheme="minorHAnsi"/>
        </w:rPr>
        <w:t>Briede</w:t>
      </w:r>
      <w:r w:rsidRPr="00675182">
        <w:rPr>
          <w:rFonts w:cstheme="minorHAnsi"/>
        </w:rPr>
        <w:t>,</w:t>
      </w:r>
      <w:r w:rsidR="008A0F48" w:rsidRPr="00675182">
        <w:rPr>
          <w:rFonts w:cstheme="minorHAnsi"/>
        </w:rPr>
        <w:t xml:space="preserve"> </w:t>
      </w:r>
      <w:r w:rsidRPr="00675182">
        <w:rPr>
          <w:rFonts w:cstheme="minorHAnsi"/>
        </w:rPr>
        <w:t>2018).</w:t>
      </w:r>
    </w:p>
    <w:p w14:paraId="248D4BDD" w14:textId="77777777" w:rsidR="000B0D8F" w:rsidRPr="00675182" w:rsidRDefault="000B0D8F" w:rsidP="000B0D8F">
      <w:pPr>
        <w:jc w:val="both"/>
        <w:rPr>
          <w:rFonts w:cstheme="minorHAnsi"/>
        </w:rPr>
      </w:pPr>
    </w:p>
    <w:p w14:paraId="5BA42CA2" w14:textId="7A2CC5F9" w:rsidR="000B0D8F" w:rsidRPr="00675182" w:rsidRDefault="000B0D8F" w:rsidP="000B0D8F">
      <w:pPr>
        <w:jc w:val="both"/>
        <w:rPr>
          <w:rFonts w:cstheme="minorHAnsi"/>
        </w:rPr>
      </w:pPr>
      <w:r w:rsidRPr="00675182">
        <w:rPr>
          <w:rFonts w:cstheme="minorHAnsi"/>
        </w:rPr>
        <w:lastRenderedPageBreak/>
        <w:t xml:space="preserve">Vidējais gada nokrišņu daudzums </w:t>
      </w:r>
      <w:r w:rsidR="00CD1490" w:rsidRPr="00675182">
        <w:rPr>
          <w:rFonts w:cstheme="minorHAnsi"/>
        </w:rPr>
        <w:t>GNP</w:t>
      </w:r>
      <w:r w:rsidRPr="00675182">
        <w:rPr>
          <w:rFonts w:cstheme="minorHAnsi"/>
        </w:rPr>
        <w:t xml:space="preserve"> teritorijā ir 700-800 mm. Vislielākās nokrišņu summas tiek novērotas no jūnija līdz oktobrim. Ilggadīgais vidējais gada maksimālais vienas diennakts nokrišņu daudzums ir 34,7 mm (LVĢMC,</w:t>
      </w:r>
      <w:r w:rsidR="00CD1490" w:rsidRPr="00675182">
        <w:rPr>
          <w:rFonts w:cstheme="minorHAnsi"/>
        </w:rPr>
        <w:t xml:space="preserve"> </w:t>
      </w:r>
      <w:r w:rsidRPr="00675182">
        <w:rPr>
          <w:rFonts w:cstheme="minorHAnsi"/>
        </w:rPr>
        <w:t>2017).</w:t>
      </w:r>
    </w:p>
    <w:p w14:paraId="7DCB4541" w14:textId="77777777" w:rsidR="00CD1490" w:rsidRPr="00675182" w:rsidRDefault="00CD1490" w:rsidP="000B0D8F">
      <w:pPr>
        <w:jc w:val="both"/>
        <w:rPr>
          <w:rFonts w:cstheme="minorHAnsi"/>
        </w:rPr>
      </w:pPr>
    </w:p>
    <w:p w14:paraId="44512A67" w14:textId="396EF041" w:rsidR="000B0D8F" w:rsidRPr="00675182" w:rsidRDefault="000B0D8F" w:rsidP="000B0D8F">
      <w:pPr>
        <w:jc w:val="both"/>
        <w:rPr>
          <w:rFonts w:cstheme="minorHAnsi"/>
        </w:rPr>
      </w:pPr>
      <w:r w:rsidRPr="00675182">
        <w:rPr>
          <w:rFonts w:cstheme="minorHAnsi"/>
        </w:rPr>
        <w:t>Vidējais saules spīdēšanas ilgums Latvijas teritorijā ir 1790 stundas gadā. Parka teritorijā vidēji 1459 stundas gadā (</w:t>
      </w:r>
      <w:r w:rsidR="00CD1490" w:rsidRPr="00675182">
        <w:rPr>
          <w:rFonts w:cstheme="minorHAnsi"/>
        </w:rPr>
        <w:t>Briede</w:t>
      </w:r>
      <w:r w:rsidRPr="00675182">
        <w:rPr>
          <w:rFonts w:cstheme="minorHAnsi"/>
        </w:rPr>
        <w:t>,</w:t>
      </w:r>
      <w:r w:rsidR="00CD1490" w:rsidRPr="00675182">
        <w:rPr>
          <w:rFonts w:cstheme="minorHAnsi"/>
        </w:rPr>
        <w:t xml:space="preserve"> </w:t>
      </w:r>
      <w:r w:rsidRPr="00675182">
        <w:rPr>
          <w:rFonts w:cstheme="minorHAnsi"/>
        </w:rPr>
        <w:t>2018).</w:t>
      </w:r>
    </w:p>
    <w:p w14:paraId="7003BD56" w14:textId="77777777" w:rsidR="00CD1490" w:rsidRPr="00675182" w:rsidRDefault="00CD1490" w:rsidP="000B0D8F">
      <w:pPr>
        <w:jc w:val="both"/>
        <w:rPr>
          <w:rFonts w:cstheme="minorHAnsi"/>
        </w:rPr>
      </w:pPr>
    </w:p>
    <w:p w14:paraId="38A05523" w14:textId="306D7D12" w:rsidR="000B0D8F" w:rsidRPr="00675182" w:rsidRDefault="000B0D8F" w:rsidP="000B0D8F">
      <w:pPr>
        <w:jc w:val="both"/>
        <w:rPr>
          <w:rFonts w:cstheme="minorHAnsi"/>
        </w:rPr>
      </w:pPr>
      <w:r w:rsidRPr="00675182">
        <w:rPr>
          <w:rFonts w:cstheme="minorHAnsi"/>
        </w:rPr>
        <w:t xml:space="preserve">Valdošie ir </w:t>
      </w:r>
      <w:r w:rsidR="00CD1490" w:rsidRPr="00675182">
        <w:rPr>
          <w:rFonts w:cstheme="minorHAnsi"/>
        </w:rPr>
        <w:t>dienvidrietumu</w:t>
      </w:r>
      <w:r w:rsidRPr="00675182">
        <w:rPr>
          <w:rFonts w:cstheme="minorHAnsi"/>
        </w:rPr>
        <w:t xml:space="preserve"> vēji, to vidējais ātrums ir 3,6 m sekundē (LVĢMC,2019).</w:t>
      </w:r>
      <w:r w:rsidR="00CD1490" w:rsidRPr="00675182">
        <w:rPr>
          <w:rFonts w:cstheme="minorHAnsi"/>
        </w:rPr>
        <w:t xml:space="preserve"> </w:t>
      </w:r>
      <w:r w:rsidRPr="00675182">
        <w:rPr>
          <w:rFonts w:cstheme="minorHAnsi"/>
        </w:rPr>
        <w:t>Ilggadīgās</w:t>
      </w:r>
      <w:r w:rsidR="00CD1490" w:rsidRPr="00675182">
        <w:rPr>
          <w:rFonts w:cstheme="minorHAnsi"/>
        </w:rPr>
        <w:t xml:space="preserve"> maksimālās</w:t>
      </w:r>
      <w:r w:rsidRPr="00675182">
        <w:rPr>
          <w:rFonts w:cstheme="minorHAnsi"/>
        </w:rPr>
        <w:t xml:space="preserve"> vidējās maksimālas vēja brāzmas parka teritorijā sasniedz 20 līdz 23 m/sek. Vislielākais dienu skaits ar stipru vēju ir rudenī un ziemā. Vidēji gadā ir 20 dienas ar negaisu (</w:t>
      </w:r>
      <w:r w:rsidR="00CD1490" w:rsidRPr="00675182">
        <w:rPr>
          <w:rFonts w:cstheme="minorHAnsi"/>
        </w:rPr>
        <w:t>Briede</w:t>
      </w:r>
      <w:r w:rsidRPr="00675182">
        <w:rPr>
          <w:rFonts w:cstheme="minorHAnsi"/>
        </w:rPr>
        <w:t>,</w:t>
      </w:r>
      <w:r w:rsidR="0033309E" w:rsidRPr="00675182">
        <w:rPr>
          <w:rFonts w:cstheme="minorHAnsi"/>
        </w:rPr>
        <w:t xml:space="preserve"> </w:t>
      </w:r>
      <w:r w:rsidRPr="00675182">
        <w:rPr>
          <w:rFonts w:cstheme="minorHAnsi"/>
        </w:rPr>
        <w:t>2018).</w:t>
      </w:r>
    </w:p>
    <w:p w14:paraId="609DA61C" w14:textId="77777777" w:rsidR="000B0D8F" w:rsidRPr="00675182" w:rsidRDefault="000B0D8F" w:rsidP="00C75348">
      <w:pPr>
        <w:jc w:val="both"/>
        <w:rPr>
          <w:rFonts w:cstheme="minorHAnsi"/>
        </w:rPr>
      </w:pPr>
    </w:p>
    <w:p w14:paraId="158E0ED6" w14:textId="7ED96C1B" w:rsidR="00FC6C46" w:rsidRPr="00675182" w:rsidRDefault="00AA5858" w:rsidP="00C75348">
      <w:pPr>
        <w:jc w:val="both"/>
        <w:rPr>
          <w:rFonts w:cstheme="minorHAnsi"/>
        </w:rPr>
      </w:pPr>
      <w:r w:rsidRPr="00675182">
        <w:rPr>
          <w:rFonts w:cstheme="minorHAnsi"/>
        </w:rPr>
        <w:t xml:space="preserve">Gaujas </w:t>
      </w:r>
      <w:r w:rsidR="00CD1490" w:rsidRPr="00675182">
        <w:rPr>
          <w:rFonts w:cstheme="minorHAnsi"/>
        </w:rPr>
        <w:t xml:space="preserve">un tās pieteku </w:t>
      </w:r>
      <w:r w:rsidRPr="00675182">
        <w:rPr>
          <w:rFonts w:cstheme="minorHAnsi"/>
        </w:rPr>
        <w:t>ielejā</w:t>
      </w:r>
      <w:r w:rsidR="00CD1490" w:rsidRPr="00675182">
        <w:rPr>
          <w:rFonts w:cstheme="minorHAnsi"/>
        </w:rPr>
        <w:t>s</w:t>
      </w:r>
      <w:r w:rsidRPr="00675182">
        <w:rPr>
          <w:rFonts w:cstheme="minorHAnsi"/>
        </w:rPr>
        <w:t xml:space="preserve"> mikroklimatiskie apstākļi atšķiras no apkārtējām teritorijām. Upes ūdens masas un krastu ekspozīcija veido apstākļus, kas nosaka nedaudz zemākas dienas temperatūras un nedaudz augstākas nakts temperatūras, kā arī lielāku relatīvo gaisa mitrumu ielejā.</w:t>
      </w:r>
    </w:p>
    <w:p w14:paraId="08A4D4F3" w14:textId="77777777" w:rsidR="00AA5858" w:rsidRPr="00675182" w:rsidRDefault="00AA5858" w:rsidP="002B3341">
      <w:pPr>
        <w:rPr>
          <w:rFonts w:cstheme="minorHAnsi"/>
        </w:rPr>
      </w:pPr>
    </w:p>
    <w:p w14:paraId="34A47EE0" w14:textId="04A52989" w:rsidR="00011E51" w:rsidRPr="00675182" w:rsidRDefault="002832A1" w:rsidP="002B3341">
      <w:pPr>
        <w:pStyle w:val="Heading3"/>
        <w:keepNext w:val="0"/>
        <w:numPr>
          <w:ilvl w:val="0"/>
          <w:numId w:val="0"/>
        </w:numPr>
        <w:rPr>
          <w:rFonts w:cstheme="minorHAnsi"/>
          <w:b/>
          <w:szCs w:val="24"/>
          <w:lang w:val="lv-LV"/>
        </w:rPr>
      </w:pPr>
      <w:bookmarkStart w:id="20" w:name="_Toc116938389"/>
      <w:r w:rsidRPr="00675182">
        <w:rPr>
          <w:rFonts w:cstheme="minorHAnsi"/>
          <w:b/>
          <w:szCs w:val="24"/>
          <w:lang w:val="lv-LV"/>
        </w:rPr>
        <w:t>1.</w:t>
      </w:r>
      <w:r w:rsidR="008A0F48" w:rsidRPr="00675182">
        <w:rPr>
          <w:rFonts w:cstheme="minorHAnsi"/>
          <w:b/>
          <w:szCs w:val="24"/>
          <w:lang w:val="lv-LV"/>
        </w:rPr>
        <w:t>2</w:t>
      </w:r>
      <w:r w:rsidRPr="00675182">
        <w:rPr>
          <w:rFonts w:cstheme="minorHAnsi"/>
          <w:b/>
          <w:szCs w:val="24"/>
          <w:lang w:val="lv-LV"/>
        </w:rPr>
        <w:t xml:space="preserve">.2. </w:t>
      </w:r>
      <w:r w:rsidR="00011E51" w:rsidRPr="00675182">
        <w:rPr>
          <w:rFonts w:cstheme="minorHAnsi"/>
          <w:b/>
          <w:szCs w:val="24"/>
          <w:lang w:val="lv-LV"/>
        </w:rPr>
        <w:t>Ģeoloģija un ģeomorfoloģija</w:t>
      </w:r>
      <w:bookmarkEnd w:id="20"/>
    </w:p>
    <w:p w14:paraId="0A912F69" w14:textId="29622C19" w:rsidR="007065C0" w:rsidRPr="00675182" w:rsidRDefault="007065C0" w:rsidP="007065C0">
      <w:pPr>
        <w:rPr>
          <w:rFonts w:cstheme="minorHAnsi"/>
        </w:rPr>
      </w:pPr>
    </w:p>
    <w:p w14:paraId="39E737AE" w14:textId="51AFB920"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GNP izvietots</w:t>
      </w:r>
      <w:r w:rsidR="004471D5" w:rsidRPr="00675182">
        <w:rPr>
          <w:rFonts w:eastAsia="Times New Roman" w:cstheme="minorHAnsi"/>
          <w:szCs w:val="24"/>
          <w:lang w:eastAsia="lv-LV"/>
        </w:rPr>
        <w:t>,</w:t>
      </w:r>
      <w:r w:rsidRPr="00675182">
        <w:rPr>
          <w:rFonts w:eastAsia="Times New Roman" w:cstheme="minorHAnsi"/>
          <w:szCs w:val="24"/>
          <w:lang w:eastAsia="lv-LV"/>
        </w:rPr>
        <w:t xml:space="preserve"> dabas apstākļu un ģeomorfoloģiskā ziņā, atšķirīgos fizioģeogrāfiskos apvidos vai to daļās (skat. 1.2.1</w:t>
      </w:r>
      <w:r w:rsidR="0033309E" w:rsidRPr="00675182">
        <w:rPr>
          <w:rFonts w:eastAsia="Times New Roman" w:cstheme="minorHAnsi"/>
          <w:szCs w:val="24"/>
          <w:lang w:eastAsia="lv-LV"/>
        </w:rPr>
        <w:t>. attēlu</w:t>
      </w:r>
      <w:r w:rsidRPr="00675182">
        <w:rPr>
          <w:rFonts w:eastAsia="Times New Roman" w:cstheme="minorHAnsi"/>
          <w:szCs w:val="24"/>
          <w:lang w:eastAsia="lv-LV"/>
        </w:rPr>
        <w:t>):</w:t>
      </w:r>
    </w:p>
    <w:p w14:paraId="764FE8CC" w14:textId="688E9492" w:rsidR="00E80087" w:rsidRPr="00675182" w:rsidRDefault="00E80087" w:rsidP="00A84218">
      <w:pPr>
        <w:pStyle w:val="ListParagraph"/>
        <w:numPr>
          <w:ilvl w:val="0"/>
          <w:numId w:val="23"/>
        </w:numPr>
        <w:suppressAutoHyphens w:val="0"/>
        <w:jc w:val="both"/>
        <w:rPr>
          <w:rFonts w:eastAsia="Times New Roman" w:cstheme="minorHAnsi"/>
          <w:szCs w:val="24"/>
          <w:lang w:eastAsia="lv-LV"/>
        </w:rPr>
      </w:pPr>
      <w:r w:rsidRPr="00675182">
        <w:rPr>
          <w:rFonts w:eastAsia="Times New Roman" w:cstheme="minorHAnsi"/>
          <w:szCs w:val="24"/>
          <w:lang w:eastAsia="lv-LV"/>
        </w:rPr>
        <w:t>Vidzemes augstienes Mežoles pauguraines ziemeļu daļā</w:t>
      </w:r>
      <w:r w:rsidR="00292DDF">
        <w:rPr>
          <w:rFonts w:eastAsia="Times New Roman" w:cstheme="minorHAnsi"/>
          <w:szCs w:val="24"/>
          <w:lang w:eastAsia="lv-LV"/>
        </w:rPr>
        <w:t>;</w:t>
      </w:r>
    </w:p>
    <w:p w14:paraId="72A2CB19" w14:textId="77777777" w:rsidR="00E80087" w:rsidRPr="00675182" w:rsidRDefault="00E80087" w:rsidP="00A84218">
      <w:pPr>
        <w:pStyle w:val="ListParagraph"/>
        <w:numPr>
          <w:ilvl w:val="0"/>
          <w:numId w:val="23"/>
        </w:numPr>
        <w:suppressAutoHyphens w:val="0"/>
        <w:jc w:val="both"/>
        <w:rPr>
          <w:rFonts w:eastAsia="Times New Roman" w:cstheme="minorHAnsi"/>
          <w:szCs w:val="24"/>
          <w:lang w:eastAsia="lv-LV"/>
        </w:rPr>
      </w:pPr>
      <w:r w:rsidRPr="00675182">
        <w:rPr>
          <w:rFonts w:eastAsia="Times New Roman" w:cstheme="minorHAnsi"/>
          <w:szCs w:val="24"/>
          <w:lang w:eastAsia="lv-LV"/>
        </w:rPr>
        <w:t>Idumejas augstienes Gaujas senlejā, Limbažu viļņotā līdzenuma dienvidos;</w:t>
      </w:r>
    </w:p>
    <w:p w14:paraId="6A567AFC" w14:textId="77777777" w:rsidR="00E80087" w:rsidRPr="00675182" w:rsidRDefault="00E80087" w:rsidP="00A84218">
      <w:pPr>
        <w:pStyle w:val="ListParagraph"/>
        <w:numPr>
          <w:ilvl w:val="0"/>
          <w:numId w:val="23"/>
        </w:numPr>
        <w:suppressAutoHyphens w:val="0"/>
        <w:jc w:val="both"/>
        <w:rPr>
          <w:rFonts w:eastAsia="Times New Roman" w:cstheme="minorHAnsi"/>
          <w:szCs w:val="24"/>
          <w:lang w:eastAsia="lv-LV"/>
        </w:rPr>
      </w:pPr>
      <w:r w:rsidRPr="00675182">
        <w:rPr>
          <w:rFonts w:eastAsia="Times New Roman" w:cstheme="minorHAnsi"/>
          <w:szCs w:val="24"/>
          <w:lang w:eastAsia="lv-LV"/>
        </w:rPr>
        <w:t>Augstrozes (Dauguļu-Raiskuma pēc Āboltiņš, 1971) paugurvaļņa centrālajā un dienvidu daļā;</w:t>
      </w:r>
    </w:p>
    <w:p w14:paraId="12B90DF6" w14:textId="40E680C0" w:rsidR="00E80087" w:rsidRPr="00675182" w:rsidRDefault="00E80087" w:rsidP="00A84218">
      <w:pPr>
        <w:pStyle w:val="ListParagraph"/>
        <w:numPr>
          <w:ilvl w:val="0"/>
          <w:numId w:val="23"/>
        </w:numPr>
        <w:suppressAutoHyphens w:val="0"/>
        <w:jc w:val="both"/>
        <w:rPr>
          <w:rFonts w:eastAsia="Times New Roman" w:cstheme="minorHAnsi"/>
          <w:szCs w:val="24"/>
          <w:lang w:eastAsia="lv-LV"/>
        </w:rPr>
      </w:pPr>
      <w:r w:rsidRPr="00675182">
        <w:rPr>
          <w:rFonts w:eastAsia="Times New Roman" w:cstheme="minorHAnsi"/>
          <w:szCs w:val="24"/>
          <w:lang w:eastAsia="lv-LV"/>
        </w:rPr>
        <w:t>Gaujas ielejai pieguļošajā Ziemeļvidzemes zemienes Burtnieka līdzenuma dienvidos;</w:t>
      </w:r>
    </w:p>
    <w:p w14:paraId="605945DF" w14:textId="65E62C2D" w:rsidR="00E80087" w:rsidRPr="00675182" w:rsidRDefault="00E80087" w:rsidP="00A84218">
      <w:pPr>
        <w:pStyle w:val="ListParagraph"/>
        <w:numPr>
          <w:ilvl w:val="0"/>
          <w:numId w:val="23"/>
        </w:numPr>
        <w:suppressAutoHyphens w:val="0"/>
        <w:jc w:val="both"/>
        <w:rPr>
          <w:rFonts w:eastAsia="Times New Roman" w:cstheme="minorHAnsi"/>
          <w:szCs w:val="24"/>
          <w:lang w:eastAsia="lv-LV"/>
        </w:rPr>
      </w:pPr>
      <w:r w:rsidRPr="00675182">
        <w:rPr>
          <w:rFonts w:eastAsia="Times New Roman" w:cstheme="minorHAnsi"/>
          <w:szCs w:val="24"/>
          <w:lang w:eastAsia="lv-LV"/>
        </w:rPr>
        <w:t>Trikātas pacēluma dienvidrietumu daļā, kā arī Viduslatvijas zemienes Madlienes nolaidenuma ziemeļu stūrī, ietverot pavisam nelielu Ropažu līdzenuma ziemeļu daļu</w:t>
      </w:r>
      <w:r w:rsidR="00292DDF">
        <w:rPr>
          <w:rFonts w:eastAsia="Times New Roman" w:cstheme="minorHAnsi"/>
          <w:szCs w:val="24"/>
          <w:lang w:eastAsia="lv-LV"/>
        </w:rPr>
        <w:t>.</w:t>
      </w:r>
    </w:p>
    <w:p w14:paraId="5BDA5BFE" w14:textId="77777777" w:rsidR="00E80087" w:rsidRPr="00675182" w:rsidRDefault="00E80087" w:rsidP="00E80087">
      <w:pPr>
        <w:suppressAutoHyphens w:val="0"/>
        <w:jc w:val="both"/>
        <w:rPr>
          <w:rFonts w:eastAsia="Times New Roman" w:cstheme="minorHAnsi"/>
          <w:szCs w:val="24"/>
          <w:lang w:eastAsia="lv-LV"/>
        </w:rPr>
      </w:pPr>
    </w:p>
    <w:p w14:paraId="63081343" w14:textId="7643F845" w:rsidR="00E80087" w:rsidRPr="00675182" w:rsidRDefault="00E80087" w:rsidP="00E80087">
      <w:pPr>
        <w:suppressAutoHyphens w:val="0"/>
        <w:jc w:val="both"/>
        <w:rPr>
          <w:rFonts w:eastAsia="Times New Roman" w:cstheme="minorHAnsi"/>
          <w:color w:val="FF0000"/>
          <w:szCs w:val="24"/>
          <w:lang w:eastAsia="lv-LV"/>
        </w:rPr>
      </w:pPr>
      <w:r w:rsidRPr="00675182">
        <w:rPr>
          <w:rFonts w:eastAsia="Times New Roman" w:cstheme="minorHAnsi"/>
          <w:szCs w:val="24"/>
          <w:lang w:eastAsia="lv-LV"/>
        </w:rPr>
        <w:t>Detalizēts GNP teritorijas ģeoloģijas un ģeomorfoloģijas apraksts sniegts 5. pielikumā.</w:t>
      </w:r>
    </w:p>
    <w:p w14:paraId="47D7D212" w14:textId="77777777" w:rsidR="00E80087" w:rsidRPr="00675182" w:rsidRDefault="00E80087" w:rsidP="00E80087">
      <w:pPr>
        <w:suppressAutoHyphens w:val="0"/>
        <w:jc w:val="both"/>
        <w:rPr>
          <w:rFonts w:eastAsia="Times New Roman" w:cstheme="minorHAnsi"/>
          <w:szCs w:val="24"/>
          <w:lang w:eastAsia="lv-LV"/>
        </w:rPr>
      </w:pPr>
    </w:p>
    <w:p w14:paraId="3DA2E97C" w14:textId="77777777"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 xml:space="preserve">Ģeogrāfiskā ainava, virsmas topogrāfija un ģeoloģiskā uzbūve GNP teritorijā raksturojas ar lielu daudzveidību un zemes virsmas augstums mainās no 7,5 m v.j.l. Gaujas lejtecē līdz 181 m v.j.l. Bērzukroga dienvidrietumu daļā, GNP vidējais reljefa augstums ir 77 m v.j.l. </w:t>
      </w:r>
    </w:p>
    <w:p w14:paraId="2DE417EF" w14:textId="77777777" w:rsidR="00E80087" w:rsidRPr="00675182" w:rsidRDefault="00E80087" w:rsidP="00E80087">
      <w:pPr>
        <w:suppressAutoHyphens w:val="0"/>
        <w:jc w:val="both"/>
        <w:rPr>
          <w:rFonts w:eastAsia="Times New Roman" w:cstheme="minorHAnsi"/>
          <w:szCs w:val="24"/>
          <w:lang w:eastAsia="lv-LV"/>
        </w:rPr>
      </w:pPr>
    </w:p>
    <w:p w14:paraId="2276F628" w14:textId="77777777"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GNP teritorija raksturojas ar Latvijā plašāko un daudzveidīgāko ģeoloģisko un ģeomorfoloģisko objektu skaitu, kas ietver devona nogulumiežus, kas ir Latvijā pazīstamākie nogulumieži, un kvartāra nogulumus.</w:t>
      </w:r>
    </w:p>
    <w:p w14:paraId="48CE1733" w14:textId="77777777" w:rsidR="00E80087" w:rsidRPr="00675182" w:rsidRDefault="00E80087" w:rsidP="00E80087">
      <w:pPr>
        <w:suppressAutoHyphens w:val="0"/>
        <w:jc w:val="both"/>
        <w:rPr>
          <w:rFonts w:eastAsia="Times New Roman" w:cstheme="minorHAnsi"/>
          <w:szCs w:val="24"/>
          <w:lang w:eastAsia="lv-LV"/>
        </w:rPr>
      </w:pPr>
    </w:p>
    <w:p w14:paraId="255CE1FC" w14:textId="0CA18A73"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 xml:space="preserve">GNP atrodas </w:t>
      </w:r>
      <w:r w:rsidR="001963E6">
        <w:rPr>
          <w:rFonts w:eastAsia="Times New Roman" w:cstheme="minorHAnsi"/>
          <w:szCs w:val="24"/>
          <w:lang w:eastAsia="lv-LV"/>
        </w:rPr>
        <w:t>53</w:t>
      </w:r>
      <w:r w:rsidRPr="00675182">
        <w:rPr>
          <w:rFonts w:eastAsia="Times New Roman" w:cstheme="minorHAnsi"/>
          <w:szCs w:val="24"/>
          <w:lang w:eastAsia="lv-LV"/>
        </w:rPr>
        <w:t xml:space="preserve"> </w:t>
      </w:r>
      <w:r w:rsidR="009F508B" w:rsidRPr="00675182">
        <w:rPr>
          <w:rFonts w:eastAsia="Times New Roman" w:cstheme="minorHAnsi"/>
          <w:szCs w:val="24"/>
          <w:lang w:eastAsia="lv-LV"/>
        </w:rPr>
        <w:t>ģeoloģisk</w:t>
      </w:r>
      <w:r w:rsidR="009F508B">
        <w:rPr>
          <w:rFonts w:eastAsia="Times New Roman" w:cstheme="minorHAnsi"/>
          <w:szCs w:val="24"/>
          <w:lang w:eastAsia="lv-LV"/>
        </w:rPr>
        <w:t>ie</w:t>
      </w:r>
      <w:r w:rsidR="009F508B" w:rsidRPr="00675182">
        <w:rPr>
          <w:rFonts w:eastAsia="Times New Roman" w:cstheme="minorHAnsi"/>
          <w:szCs w:val="24"/>
          <w:lang w:eastAsia="lv-LV"/>
        </w:rPr>
        <w:t xml:space="preserve"> </w:t>
      </w:r>
      <w:r w:rsidR="004471D5" w:rsidRPr="00675182">
        <w:rPr>
          <w:rFonts w:eastAsia="Times New Roman" w:cstheme="minorHAnsi"/>
          <w:szCs w:val="24"/>
          <w:lang w:eastAsia="lv-LV"/>
        </w:rPr>
        <w:t xml:space="preserve">un </w:t>
      </w:r>
      <w:r w:rsidR="009F508B" w:rsidRPr="00675182">
        <w:rPr>
          <w:rFonts w:eastAsia="Times New Roman" w:cstheme="minorHAnsi"/>
          <w:szCs w:val="24"/>
          <w:lang w:eastAsia="lv-LV"/>
        </w:rPr>
        <w:t>ģeomorfoloģisk</w:t>
      </w:r>
      <w:r w:rsidR="009F508B">
        <w:rPr>
          <w:rFonts w:eastAsia="Times New Roman" w:cstheme="minorHAnsi"/>
          <w:szCs w:val="24"/>
          <w:lang w:eastAsia="lv-LV"/>
        </w:rPr>
        <w:t>ie</w:t>
      </w:r>
      <w:r w:rsidR="009F508B" w:rsidRPr="00675182">
        <w:rPr>
          <w:rFonts w:eastAsia="Times New Roman" w:cstheme="minorHAnsi"/>
          <w:szCs w:val="24"/>
          <w:lang w:eastAsia="lv-LV"/>
        </w:rPr>
        <w:t xml:space="preserve"> </w:t>
      </w:r>
      <w:r w:rsidRPr="00675182">
        <w:rPr>
          <w:rFonts w:eastAsia="Times New Roman" w:cstheme="minorHAnsi"/>
          <w:szCs w:val="24"/>
          <w:lang w:eastAsia="lv-LV"/>
        </w:rPr>
        <w:t>pieminek</w:t>
      </w:r>
      <w:r w:rsidR="009F508B">
        <w:rPr>
          <w:rFonts w:eastAsia="Times New Roman" w:cstheme="minorHAnsi"/>
          <w:szCs w:val="24"/>
          <w:lang w:eastAsia="lv-LV"/>
        </w:rPr>
        <w:t>ļi</w:t>
      </w:r>
      <w:r w:rsidRPr="00675182">
        <w:rPr>
          <w:rFonts w:eastAsia="Times New Roman" w:cstheme="minorHAnsi"/>
          <w:szCs w:val="24"/>
          <w:lang w:eastAsia="lv-LV"/>
        </w:rPr>
        <w:t>. Pilns pieminekļu saraksts sniegts 3. pielikumā</w:t>
      </w:r>
      <w:r w:rsidR="008F7998" w:rsidRPr="00675182">
        <w:rPr>
          <w:rFonts w:eastAsia="Times New Roman" w:cstheme="minorHAnsi"/>
          <w:szCs w:val="24"/>
          <w:lang w:eastAsia="lv-LV"/>
        </w:rPr>
        <w:t>,</w:t>
      </w:r>
      <w:r w:rsidRPr="00675182">
        <w:rPr>
          <w:rFonts w:eastAsia="Times New Roman" w:cstheme="minorHAnsi"/>
          <w:szCs w:val="24"/>
          <w:lang w:eastAsia="lv-LV"/>
        </w:rPr>
        <w:t xml:space="preserve"> un to atrašanās vietas attēlotas 1.1.1. attēlā. </w:t>
      </w:r>
    </w:p>
    <w:p w14:paraId="77564DF2" w14:textId="77777777" w:rsidR="00E80087" w:rsidRPr="00675182" w:rsidRDefault="00E80087" w:rsidP="00E80087">
      <w:pPr>
        <w:suppressAutoHyphens w:val="0"/>
        <w:jc w:val="both"/>
        <w:rPr>
          <w:rFonts w:eastAsia="Times New Roman" w:cstheme="minorHAnsi"/>
          <w:szCs w:val="24"/>
          <w:lang w:eastAsia="lv-LV"/>
        </w:rPr>
      </w:pPr>
    </w:p>
    <w:p w14:paraId="44F92F1B" w14:textId="4BAA8882"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Ģeoloģisko objektu veidošanās saistāma ar nogulumu sedimentāciju, devona periodā,</w:t>
      </w:r>
      <w:r w:rsidRPr="00675182">
        <w:rPr>
          <w:rFonts w:cstheme="minorHAnsi"/>
        </w:rPr>
        <w:t xml:space="preserve"> </w:t>
      </w:r>
      <w:r w:rsidRPr="00675182">
        <w:rPr>
          <w:rFonts w:eastAsia="Times New Roman" w:cstheme="minorHAnsi"/>
          <w:szCs w:val="24"/>
          <w:lang w:eastAsia="lv-LV"/>
        </w:rPr>
        <w:t xml:space="preserve">kas ilga apmēram 56 miljonus gadu (no 416 līdz 359,2 milj. g.). Parka teritorijā senākie </w:t>
      </w:r>
      <w:r w:rsidRPr="00675182">
        <w:rPr>
          <w:rFonts w:eastAsia="Times New Roman" w:cstheme="minorHAnsi"/>
          <w:szCs w:val="24"/>
          <w:lang w:eastAsia="lv-LV"/>
        </w:rPr>
        <w:lastRenderedPageBreak/>
        <w:t>ir vidējā devona Burtnieku un Gaujas svītas nogulumieži, kurus veido terigēnie nogulumieži. Ar Burtnieku svītu sākas Gaujas un to pieteku krastos atsegto nogulumu griezums. Jāpiezīmē, ka vienīgais šīs svītas atsegums ir Gaujas labajā krastā virs Jumāras ietekas. Burtnieku svītas smilšakmeņi, aleirolīti un māli GNP teritorijā sastopami pārsvarā zem jaunāku devona svītu nogulumiežiem. Tieši zem kvartāra nogulumiem tie sastopami senajos pirmskvartāra iegrauzumos, piemēram, Kazu lejas gultnē, Raunas, Rauņa un Vaives ieleju lejtecēs</w:t>
      </w:r>
      <w:r w:rsidRPr="00675182">
        <w:rPr>
          <w:rFonts w:cstheme="minorHAnsi"/>
        </w:rPr>
        <w:t xml:space="preserve">, kā arī </w:t>
      </w:r>
      <w:r w:rsidRPr="00675182">
        <w:rPr>
          <w:rFonts w:eastAsia="Times New Roman" w:cstheme="minorHAnsi"/>
          <w:szCs w:val="24"/>
          <w:lang w:eastAsia="lv-LV"/>
        </w:rPr>
        <w:t xml:space="preserve">Straupes, Plāča un Vaidavas apraktajās ielejās un Gaujas senielejas gultnē. </w:t>
      </w:r>
    </w:p>
    <w:p w14:paraId="2690F1C2" w14:textId="77777777" w:rsidR="00E80087" w:rsidRPr="00675182" w:rsidRDefault="00E80087" w:rsidP="00E80087">
      <w:pPr>
        <w:suppressAutoHyphens w:val="0"/>
        <w:jc w:val="both"/>
        <w:rPr>
          <w:rFonts w:eastAsia="Times New Roman" w:cstheme="minorHAnsi"/>
          <w:szCs w:val="24"/>
          <w:lang w:eastAsia="lv-LV"/>
        </w:rPr>
      </w:pPr>
    </w:p>
    <w:p w14:paraId="219755E0" w14:textId="05580015"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 xml:space="preserve">Burtnieku svītu pārsedz Gaujas svīta, kas apakšdaļā sastāv no sarkanīgiem un gaišpelēkiem smilšakmeņiem, bet augšdaļā no sarkaniem aleirolītiem ar pelēku, treknu mālu lēcām. Zem kvartāra nogulumiem Gaujas svītas nogulumieži izplatīti lielākajā GNP teritorijas daļā. Gaujas svītas nogulumieži plaši sastopami dabiskajos atsegumos Gaujas un Amatas krastos. Nozīmīgākie Gaujas svītas atsegumi ir Kazu iezis, Ērgļu (Ērģeļu) klintis, Ķūķu iezis, Katrīnas iezis, Launaga iezis, Velnalas iezis, Zvārtes iezis, no kuriem vairāki ir šīs svītas stratotipi. GNP </w:t>
      </w:r>
      <w:r w:rsidR="00BF3BC4" w:rsidRPr="00675182">
        <w:rPr>
          <w:rFonts w:eastAsia="Times New Roman" w:cstheme="minorHAnsi"/>
          <w:szCs w:val="24"/>
          <w:lang w:eastAsia="lv-LV"/>
        </w:rPr>
        <w:t>ziem</w:t>
      </w:r>
      <w:r w:rsidR="00BF3BC4">
        <w:rPr>
          <w:rFonts w:eastAsia="Times New Roman" w:cstheme="minorHAnsi"/>
          <w:szCs w:val="24"/>
          <w:lang w:eastAsia="lv-LV"/>
        </w:rPr>
        <w:t>eļ</w:t>
      </w:r>
      <w:r w:rsidR="00BF3BC4" w:rsidRPr="00675182">
        <w:rPr>
          <w:rFonts w:eastAsia="Times New Roman" w:cstheme="minorHAnsi"/>
          <w:szCs w:val="24"/>
          <w:lang w:eastAsia="lv-LV"/>
        </w:rPr>
        <w:t xml:space="preserve">austrumu </w:t>
      </w:r>
      <w:r w:rsidRPr="00675182">
        <w:rPr>
          <w:rFonts w:eastAsia="Times New Roman" w:cstheme="minorHAnsi"/>
          <w:szCs w:val="24"/>
          <w:lang w:eastAsia="lv-LV"/>
        </w:rPr>
        <w:t>daļā Gaujas reģionālo stāvu iedala divās d</w:t>
      </w:r>
      <w:r w:rsidR="00BF3BC4">
        <w:rPr>
          <w:rFonts w:eastAsia="Times New Roman" w:cstheme="minorHAnsi"/>
          <w:szCs w:val="24"/>
          <w:lang w:eastAsia="lv-LV"/>
        </w:rPr>
        <w:t>aļ</w:t>
      </w:r>
      <w:r w:rsidRPr="00675182">
        <w:rPr>
          <w:rFonts w:eastAsia="Times New Roman" w:cstheme="minorHAnsi"/>
          <w:szCs w:val="24"/>
          <w:lang w:eastAsia="lv-LV"/>
        </w:rPr>
        <w:t>ās – Sietiņu svīta apakšdaļā un Lodes svīta augšdaļā. Sietiņu svīta sastāv no tīriem gaišpelēkiem kvarca smilšakmeņiem. Sietiņu svītas smilšakmeņi atsedzas tikai starp Vaidavas ieteku Gaujā un Valmieru, vislabāk zināmais šīs svītas dabiskais atsegums ir Sietiņiezis. Lodes svīta sastāv no sarkaniem un raibiem aleirolītiem un mālainiem aleirolītiem, kuros ietilpst treknu mālu lēcas. Mālus plaši lieto keramiskajā rūpniecībā (Lodes karjers). Pelēko mālu lēcās atklāta plaši pazīstamā Lodes karjera "zivju kapsēta", kas izraisa lielu paleontologu interesi.</w:t>
      </w:r>
    </w:p>
    <w:p w14:paraId="45C64745" w14:textId="77777777" w:rsidR="00E80087" w:rsidRPr="00675182" w:rsidRDefault="00E80087" w:rsidP="00E80087">
      <w:pPr>
        <w:suppressAutoHyphens w:val="0"/>
        <w:jc w:val="both"/>
        <w:rPr>
          <w:rFonts w:eastAsia="Times New Roman" w:cstheme="minorHAnsi"/>
          <w:szCs w:val="24"/>
          <w:lang w:eastAsia="lv-LV"/>
        </w:rPr>
      </w:pPr>
    </w:p>
    <w:p w14:paraId="62A8F430" w14:textId="77777777"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Jaunākos augšdevona nogulumiežus GNP teritorijā veido Amatas, Pļaviņu, Salaspils, Daugavas, Ogres un Katlešu svītas. Amatas svītā dominē smilšakmeņi, aleirolīti un māli</w:t>
      </w:r>
      <w:r w:rsidRPr="00675182">
        <w:rPr>
          <w:rFonts w:cstheme="minorHAnsi"/>
        </w:rPr>
        <w:t xml:space="preserve">, </w:t>
      </w:r>
      <w:r w:rsidRPr="00675182">
        <w:rPr>
          <w:rFonts w:eastAsia="Times New Roman" w:cstheme="minorHAnsi"/>
          <w:szCs w:val="24"/>
          <w:lang w:eastAsia="lv-LV"/>
        </w:rPr>
        <w:t xml:space="preserve">svītas augšdaļā diezgan bieži konstatēti klastiskie nogulumi ar karbonātu konkrēcijām, dzīslām un cementu (lodīšu smilšakmens un dolokrēti), kas pēdējos gados izraisījuši pastiprinātu zinātnieku interesi. Svītai atbilst samērā daudzi lieli dabīgie atsegumi. Sevišķi daudz to ir Gaujas pieteku krastos, piemēram, pie Amatas no Melturiem līdz ietekai Gaujā (Dolomīta krauja, Ainavu krauja, Stūķu iezis, Vizuļu iezis, Egļu krauja, Zvārtes iezis), Raunas, Rauņa un Strīķupītes (Raganu katls, Kautraka gravas), Gaujas (Ķūķu iezis) krastu kraujās. Arī Liepas Ellīte un Velna ala pie Inčukalna ir izveidojušās Amatas svītas smilšakmeņos. Dolokrēti atrodami Ainavu kraujā, Vizuļu iezī, Kautraku gravās, Sviķupītes un Jodupītes krastos un pieguļošajās gravās, kā arī Daudas ūdenskritumā, kur apakšējā kāplē sastopami arī lodīšu smilšakmeņi. </w:t>
      </w:r>
    </w:p>
    <w:p w14:paraId="06ACB247" w14:textId="77777777" w:rsidR="00E80087" w:rsidRPr="00675182" w:rsidRDefault="00E80087" w:rsidP="00E80087">
      <w:pPr>
        <w:suppressAutoHyphens w:val="0"/>
        <w:jc w:val="both"/>
        <w:rPr>
          <w:rFonts w:eastAsia="Times New Roman" w:cstheme="minorHAnsi"/>
          <w:szCs w:val="24"/>
          <w:lang w:eastAsia="lv-LV"/>
        </w:rPr>
      </w:pPr>
    </w:p>
    <w:p w14:paraId="2A40034B" w14:textId="77777777"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 xml:space="preserve">Sviķupītes ielejas kreisajā krastā ar karbonātiem cementētos Amatas svītas smilšakmeņos izveidojusies Kodaļu ala, kuras griestus veido lodīšu smilšakmens. </w:t>
      </w:r>
    </w:p>
    <w:p w14:paraId="74CB223E" w14:textId="77777777"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Amatas un Pļaviņu svītas iezīmē robežu starp augšdevona terigēnajiem un karbonātiskajiem nogulumiežiem. GNP teritorijā Amatas svīta sastopama abos Gaujas ielejas krastos un tiem pieguļošajā teritorijā, savukārt Pļaviņu un jaunākas svītas izsekojamas tikai senielejas kreisajā krastā. Pļaviņu svītu veido dolomīts, dolomītmerģelis un māls. Atšķirībā no vecāku svītu nogulumiežiem Pļaviņu svītas nogulumu atsegumi GNP teritorijā sastopami mazāk - Amatas (Dolomītu krauja), Līgatnes, Vaives, Vējupītes krastos un Kazu lejas augšējās krantes atsegumos, kā arī Cēsu karjerā, kas mūsdienās ir daļēji aizplūdis ar ūdeni.</w:t>
      </w:r>
    </w:p>
    <w:p w14:paraId="2FEDA819" w14:textId="77777777" w:rsidR="00E80087" w:rsidRPr="00675182" w:rsidRDefault="00E80087" w:rsidP="00E80087">
      <w:pPr>
        <w:suppressAutoHyphens w:val="0"/>
        <w:jc w:val="both"/>
        <w:rPr>
          <w:rFonts w:eastAsia="Times New Roman" w:cstheme="minorHAnsi"/>
          <w:szCs w:val="24"/>
          <w:lang w:eastAsia="lv-LV"/>
        </w:rPr>
      </w:pPr>
    </w:p>
    <w:p w14:paraId="4B569F6C" w14:textId="77777777"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Jaunāku svītu nogulumi GNP teritorijā dabiskajos atsegumos nav sastopami, bet tie ir konstatēti ģeoloģiskajos urbumos. Augšdevona Salaspils svītas dolomīts, dolomītmerģelis, māls un ģipsis subkvartārajā virsmā ieguļ Sudas purva apgabalā un nelielā areālā uz ziemeļiem no Rīdzenes. Starp Sudas purva dienvidu daļu un Mori pamatiežu virsmu veido augšdevona Daugavas svītas dolomīts, dolomītmerģelis un māls. Uz ziemeļiem no Mores ļoti nelielā areālā pamatieži sastāv no Ogres un Katlešu svītas dolomīta, merģeļa, māla un smilšakmens.</w:t>
      </w:r>
      <w:r w:rsidRPr="00675182">
        <w:rPr>
          <w:rFonts w:cstheme="minorHAnsi"/>
        </w:rPr>
        <w:t xml:space="preserve"> </w:t>
      </w:r>
    </w:p>
    <w:p w14:paraId="552ED1FE" w14:textId="77777777" w:rsidR="00E80087" w:rsidRPr="00675182" w:rsidRDefault="00E80087" w:rsidP="00E80087">
      <w:pPr>
        <w:suppressAutoHyphens w:val="0"/>
        <w:jc w:val="both"/>
        <w:rPr>
          <w:rFonts w:eastAsia="Times New Roman" w:cstheme="minorHAnsi"/>
          <w:szCs w:val="24"/>
          <w:lang w:eastAsia="lv-LV"/>
        </w:rPr>
      </w:pPr>
    </w:p>
    <w:p w14:paraId="003ADC5D" w14:textId="77777777" w:rsidR="00E80087" w:rsidRPr="00675182" w:rsidRDefault="00E80087" w:rsidP="00E80087">
      <w:pPr>
        <w:suppressAutoHyphens w:val="0"/>
        <w:jc w:val="both"/>
        <w:rPr>
          <w:rFonts w:eastAsia="Times New Roman" w:cstheme="minorHAnsi"/>
          <w:szCs w:val="24"/>
          <w:lang w:eastAsia="lv-LV"/>
        </w:rPr>
      </w:pPr>
      <w:r w:rsidRPr="00675182">
        <w:rPr>
          <w:rFonts w:eastAsia="Times New Roman" w:cstheme="minorHAnsi"/>
          <w:szCs w:val="24"/>
          <w:lang w:eastAsia="lv-LV"/>
        </w:rPr>
        <w:t xml:space="preserve">GNP teritorijas reljefa saposmojums saistāms ne tikai ar vairākiem apledojumiem, kas kvartāra periodā klāja Latvijas teritoriju, bet arī ar pamatiežu virsmas saposmojumu, kas radies jaunākajos ģeoloģiskajos periodos, kad Latvijas teritoriju vairs neklāja sekla jūra un bija iestājušies sauszemes apstākļi. </w:t>
      </w:r>
    </w:p>
    <w:p w14:paraId="059EE18E" w14:textId="420DA79C" w:rsidR="00900C0C" w:rsidRPr="00675182" w:rsidRDefault="00900C0C" w:rsidP="002B3341">
      <w:pPr>
        <w:rPr>
          <w:rFonts w:cstheme="minorHAnsi"/>
        </w:rPr>
      </w:pPr>
    </w:p>
    <w:p w14:paraId="2198DF49" w14:textId="6D0A9FC0" w:rsidR="00C07530" w:rsidRPr="00675182" w:rsidRDefault="00C07530" w:rsidP="00151C79">
      <w:pPr>
        <w:jc w:val="both"/>
        <w:rPr>
          <w:rFonts w:cstheme="minorHAnsi"/>
          <w:noProof/>
        </w:rPr>
        <w:sectPr w:rsidR="00C07530" w:rsidRPr="00675182" w:rsidSect="00BB10AC">
          <w:headerReference w:type="default" r:id="rId47"/>
          <w:pgSz w:w="11905" w:h="16837"/>
          <w:pgMar w:top="1440" w:right="1797" w:bottom="1440"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7"/>
      </w:tblGrid>
      <w:tr w:rsidR="009A184E" w:rsidRPr="00675182" w14:paraId="3F46F5BE" w14:textId="77777777" w:rsidTr="00C75348">
        <w:tc>
          <w:tcPr>
            <w:tcW w:w="13947" w:type="dxa"/>
          </w:tcPr>
          <w:p w14:paraId="2A66A7FA" w14:textId="1E119EDB" w:rsidR="009A184E" w:rsidRPr="00675182" w:rsidRDefault="009A184E" w:rsidP="008274C1">
            <w:pPr>
              <w:jc w:val="center"/>
              <w:rPr>
                <w:rFonts w:cstheme="minorHAnsi"/>
                <w:noProof/>
              </w:rPr>
            </w:pPr>
            <w:r w:rsidRPr="00675182">
              <w:rPr>
                <w:rFonts w:cstheme="minorHAnsi"/>
                <w:noProof/>
              </w:rPr>
              <w:lastRenderedPageBreak/>
              <w:drawing>
                <wp:inline distT="0" distB="0" distL="0" distR="0" wp14:anchorId="313546BA" wp14:editId="18BD0AD2">
                  <wp:extent cx="6613154" cy="4680000"/>
                  <wp:effectExtent l="0" t="0" r="0" b="635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13154" cy="4680000"/>
                          </a:xfrm>
                          <a:prstGeom prst="rect">
                            <a:avLst/>
                          </a:prstGeom>
                          <a:noFill/>
                          <a:ln>
                            <a:noFill/>
                          </a:ln>
                        </pic:spPr>
                      </pic:pic>
                    </a:graphicData>
                  </a:graphic>
                </wp:inline>
              </w:drawing>
            </w:r>
          </w:p>
        </w:tc>
      </w:tr>
      <w:tr w:rsidR="009A184E" w:rsidRPr="00675182" w14:paraId="74B83C33" w14:textId="77777777" w:rsidTr="00C75348">
        <w:tc>
          <w:tcPr>
            <w:tcW w:w="13947" w:type="dxa"/>
          </w:tcPr>
          <w:p w14:paraId="204E3E49" w14:textId="5E00AAA1" w:rsidR="009A184E" w:rsidRPr="00675182" w:rsidRDefault="009A184E" w:rsidP="002B3341">
            <w:pPr>
              <w:rPr>
                <w:rFonts w:cstheme="minorHAnsi"/>
                <w:b/>
                <w:bCs/>
                <w:i/>
                <w:iCs/>
                <w:noProof/>
              </w:rPr>
            </w:pPr>
            <w:r w:rsidRPr="00675182">
              <w:rPr>
                <w:rFonts w:cstheme="minorHAnsi"/>
                <w:b/>
                <w:bCs/>
                <w:i/>
                <w:iCs/>
                <w:noProof/>
              </w:rPr>
              <w:t>1.</w:t>
            </w:r>
            <w:r w:rsidR="008274C1" w:rsidRPr="00675182">
              <w:rPr>
                <w:rFonts w:cstheme="minorHAnsi"/>
                <w:b/>
                <w:bCs/>
                <w:i/>
                <w:iCs/>
                <w:noProof/>
              </w:rPr>
              <w:t>2</w:t>
            </w:r>
            <w:r w:rsidRPr="00675182">
              <w:rPr>
                <w:rFonts w:cstheme="minorHAnsi"/>
                <w:b/>
                <w:bCs/>
                <w:i/>
                <w:iCs/>
                <w:noProof/>
              </w:rPr>
              <w:t>.</w:t>
            </w:r>
            <w:r w:rsidR="008274C1" w:rsidRPr="00675182">
              <w:rPr>
                <w:rFonts w:cstheme="minorHAnsi"/>
                <w:b/>
                <w:bCs/>
                <w:i/>
                <w:iCs/>
                <w:noProof/>
              </w:rPr>
              <w:t>1</w:t>
            </w:r>
            <w:r w:rsidR="00A56047" w:rsidRPr="00675182">
              <w:rPr>
                <w:rFonts w:cstheme="minorHAnsi"/>
                <w:b/>
                <w:bCs/>
                <w:i/>
                <w:iCs/>
                <w:noProof/>
              </w:rPr>
              <w:t>.</w:t>
            </w:r>
            <w:r w:rsidRPr="00675182">
              <w:rPr>
                <w:rFonts w:cstheme="minorHAnsi"/>
                <w:b/>
                <w:bCs/>
                <w:i/>
                <w:iCs/>
                <w:noProof/>
              </w:rPr>
              <w:t xml:space="preserve"> attēls.</w:t>
            </w:r>
            <w:r w:rsidR="00AF78D8" w:rsidRPr="00675182">
              <w:rPr>
                <w:rFonts w:cstheme="minorHAnsi"/>
                <w:b/>
                <w:i/>
              </w:rPr>
              <w:t xml:space="preserve"> GNP</w:t>
            </w:r>
            <w:r w:rsidR="00D77CF7" w:rsidRPr="00675182">
              <w:rPr>
                <w:rFonts w:cstheme="minorHAnsi"/>
                <w:b/>
                <w:i/>
              </w:rPr>
              <w:t xml:space="preserve"> digitālais augstuma modelis un teritorijas izvietojums fizioģeogrāfiskajos dabas apvidos</w:t>
            </w:r>
          </w:p>
        </w:tc>
      </w:tr>
    </w:tbl>
    <w:p w14:paraId="35EC9DE6" w14:textId="7B3A9049" w:rsidR="00C07530" w:rsidRPr="00675182" w:rsidRDefault="008274C1" w:rsidP="008274C1">
      <w:pPr>
        <w:ind w:left="142" w:hanging="142"/>
        <w:rPr>
          <w:rFonts w:cstheme="minorHAnsi"/>
          <w:noProof/>
          <w:sz w:val="20"/>
          <w:szCs w:val="16"/>
        </w:rPr>
        <w:sectPr w:rsidR="00C07530" w:rsidRPr="00675182" w:rsidSect="00C07530">
          <w:headerReference w:type="default" r:id="rId49"/>
          <w:pgSz w:w="16837" w:h="11905" w:orient="landscape"/>
          <w:pgMar w:top="1797" w:right="1440" w:bottom="1797" w:left="1440" w:header="720" w:footer="720" w:gutter="0"/>
          <w:cols w:space="720"/>
          <w:docGrid w:linePitch="360"/>
        </w:sectPr>
      </w:pPr>
      <w:r w:rsidRPr="00675182">
        <w:rPr>
          <w:rFonts w:cstheme="minorHAnsi"/>
          <w:noProof/>
          <w:sz w:val="20"/>
          <w:szCs w:val="16"/>
        </w:rPr>
        <w:t>Datu avots: LĢIA, 2013-2019</w:t>
      </w:r>
    </w:p>
    <w:p w14:paraId="51726302" w14:textId="10FF6103" w:rsidR="00011E51" w:rsidRPr="00675182" w:rsidRDefault="002832A1" w:rsidP="002B3341">
      <w:pPr>
        <w:pStyle w:val="Heading3"/>
        <w:keepNext w:val="0"/>
        <w:numPr>
          <w:ilvl w:val="0"/>
          <w:numId w:val="0"/>
        </w:numPr>
        <w:rPr>
          <w:rFonts w:cstheme="minorHAnsi"/>
          <w:b/>
          <w:lang w:val="lv-LV"/>
        </w:rPr>
      </w:pPr>
      <w:bookmarkStart w:id="21" w:name="_Toc116938390"/>
      <w:r w:rsidRPr="00675182">
        <w:rPr>
          <w:rFonts w:cstheme="minorHAnsi"/>
          <w:b/>
          <w:lang w:val="lv-LV"/>
        </w:rPr>
        <w:lastRenderedPageBreak/>
        <w:t>1.</w:t>
      </w:r>
      <w:r w:rsidR="008A0F48" w:rsidRPr="00675182">
        <w:rPr>
          <w:rFonts w:cstheme="minorHAnsi"/>
          <w:b/>
          <w:lang w:val="lv-LV"/>
        </w:rPr>
        <w:t>2</w:t>
      </w:r>
      <w:r w:rsidRPr="00675182">
        <w:rPr>
          <w:rFonts w:cstheme="minorHAnsi"/>
          <w:b/>
          <w:lang w:val="lv-LV"/>
        </w:rPr>
        <w:t xml:space="preserve">.3. </w:t>
      </w:r>
      <w:r w:rsidR="00011E51" w:rsidRPr="00675182">
        <w:rPr>
          <w:rFonts w:cstheme="minorHAnsi"/>
          <w:b/>
          <w:lang w:val="lv-LV"/>
        </w:rPr>
        <w:t>Hidroloģija un ūdens kvalitāte</w:t>
      </w:r>
      <w:bookmarkEnd w:id="21"/>
    </w:p>
    <w:p w14:paraId="2C4D377E" w14:textId="77777777" w:rsidR="00EE728B" w:rsidRPr="00675182" w:rsidRDefault="00EE728B" w:rsidP="002B3341">
      <w:pPr>
        <w:rPr>
          <w:rFonts w:cstheme="minorHAnsi"/>
        </w:rPr>
      </w:pPr>
    </w:p>
    <w:p w14:paraId="501BCD42" w14:textId="68DE07CE" w:rsidR="004C3C9D" w:rsidRPr="00675182" w:rsidRDefault="004C3C9D" w:rsidP="004C3C9D">
      <w:pPr>
        <w:jc w:val="both"/>
        <w:rPr>
          <w:rFonts w:cstheme="minorHAnsi"/>
          <w:bCs/>
        </w:rPr>
      </w:pPr>
      <w:r w:rsidRPr="00675182">
        <w:rPr>
          <w:rFonts w:cstheme="minorHAnsi"/>
          <w:bCs/>
        </w:rPr>
        <w:t>GNP teritorija, atbilstoši valsts hidroloģiskajai rajonēšanai (Pastors, 1995), ietilpst Vidzemes augstienes upju hidroloģiskajā rajonā. GNP teritorijas lielākā daļa, t.i. 874,49 km</w:t>
      </w:r>
      <w:r w:rsidRPr="00675182">
        <w:rPr>
          <w:rFonts w:cstheme="minorHAnsi"/>
          <w:bCs/>
          <w:vertAlign w:val="superscript"/>
        </w:rPr>
        <w:t>2</w:t>
      </w:r>
      <w:r w:rsidRPr="00675182">
        <w:rPr>
          <w:rFonts w:cstheme="minorHAnsi"/>
          <w:bCs/>
        </w:rPr>
        <w:t xml:space="preserve"> jeb 95,3% ietilpst Gaujas lielbaseinā, tikai relatīvi neliela platība – 43,38 km</w:t>
      </w:r>
      <w:r w:rsidRPr="00675182">
        <w:rPr>
          <w:rFonts w:cstheme="minorHAnsi"/>
          <w:bCs/>
          <w:vertAlign w:val="superscript"/>
        </w:rPr>
        <w:t>2</w:t>
      </w:r>
      <w:r w:rsidRPr="00675182">
        <w:rPr>
          <w:rFonts w:cstheme="minorHAnsi"/>
          <w:bCs/>
        </w:rPr>
        <w:t xml:space="preserve"> jeb 4,7%, kurā atrodas Sudas purva dienvidu daļa un tai piegulošā Mežoles pauguraines rietumu nogāze, ietilpst Daugavas lielbaseinā (skat. 1.2.2. attēlu).</w:t>
      </w:r>
    </w:p>
    <w:p w14:paraId="28DE4EFE" w14:textId="738921FD" w:rsidR="004C3C9D" w:rsidRPr="00675182" w:rsidRDefault="004C3C9D" w:rsidP="004C3C9D">
      <w:pPr>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4C3C9D" w:rsidRPr="00675182" w14:paraId="10700630" w14:textId="77777777" w:rsidTr="00F520A6">
        <w:tc>
          <w:tcPr>
            <w:tcW w:w="8301" w:type="dxa"/>
          </w:tcPr>
          <w:p w14:paraId="0E2083E1" w14:textId="1453337A" w:rsidR="004C3C9D" w:rsidRPr="00675182" w:rsidRDefault="004C3C9D" w:rsidP="004C3C9D">
            <w:pPr>
              <w:jc w:val="both"/>
              <w:rPr>
                <w:rFonts w:cstheme="minorHAnsi"/>
                <w:bCs/>
              </w:rPr>
            </w:pPr>
            <w:r w:rsidRPr="00675182">
              <w:rPr>
                <w:rFonts w:cstheme="minorHAnsi"/>
                <w:noProof/>
              </w:rPr>
              <w:drawing>
                <wp:inline distT="0" distB="0" distL="0" distR="0" wp14:anchorId="56EA8E7C" wp14:editId="16204F3E">
                  <wp:extent cx="5194800" cy="4572000"/>
                  <wp:effectExtent l="0" t="0" r="635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194800" cy="4572000"/>
                          </a:xfrm>
                          <a:prstGeom prst="rect">
                            <a:avLst/>
                          </a:prstGeom>
                        </pic:spPr>
                      </pic:pic>
                    </a:graphicData>
                  </a:graphic>
                </wp:inline>
              </w:drawing>
            </w:r>
          </w:p>
        </w:tc>
      </w:tr>
      <w:tr w:rsidR="004C3C9D" w:rsidRPr="00675182" w14:paraId="7E05D142" w14:textId="77777777" w:rsidTr="00F520A6">
        <w:tc>
          <w:tcPr>
            <w:tcW w:w="8301" w:type="dxa"/>
          </w:tcPr>
          <w:p w14:paraId="6BA4A9A2" w14:textId="59EF48C1" w:rsidR="004C3C9D" w:rsidRPr="00675182" w:rsidRDefault="004C3C9D" w:rsidP="004C3C9D">
            <w:pPr>
              <w:jc w:val="both"/>
              <w:rPr>
                <w:rFonts w:cstheme="minorHAnsi"/>
                <w:bCs/>
              </w:rPr>
            </w:pPr>
            <w:r w:rsidRPr="00675182">
              <w:rPr>
                <w:rFonts w:cstheme="minorHAnsi"/>
                <w:b/>
                <w:bCs/>
                <w:i/>
                <w:iCs/>
                <w:noProof/>
              </w:rPr>
              <w:t>1.2.2. attēls.</w:t>
            </w:r>
            <w:r w:rsidRPr="00675182">
              <w:rPr>
                <w:rFonts w:cstheme="minorHAnsi"/>
                <w:b/>
                <w:i/>
              </w:rPr>
              <w:t xml:space="preserve"> GNP teritorijas izvietojums Daugavas un Gaujas lielbaseinos</w:t>
            </w:r>
          </w:p>
          <w:p w14:paraId="34AA22CD" w14:textId="4C4CCB31" w:rsidR="004C3C9D" w:rsidRPr="00675182" w:rsidRDefault="004C3C9D" w:rsidP="004C3C9D">
            <w:pPr>
              <w:jc w:val="both"/>
              <w:rPr>
                <w:rFonts w:cstheme="minorHAnsi"/>
                <w:bCs/>
              </w:rPr>
            </w:pPr>
            <w:r w:rsidRPr="00675182">
              <w:rPr>
                <w:rFonts w:cstheme="minorHAnsi"/>
                <w:bCs/>
              </w:rPr>
              <w:t>Datu avots: LĢIA, 2013-2019; LVĢMC, 20</w:t>
            </w:r>
            <w:r w:rsidR="001A1092" w:rsidRPr="00675182">
              <w:rPr>
                <w:rFonts w:cstheme="minorHAnsi"/>
                <w:bCs/>
              </w:rPr>
              <w:t>21</w:t>
            </w:r>
            <w:r w:rsidRPr="00675182">
              <w:rPr>
                <w:rFonts w:cstheme="minorHAnsi"/>
                <w:bCs/>
              </w:rPr>
              <w:t xml:space="preserve">. </w:t>
            </w:r>
          </w:p>
        </w:tc>
      </w:tr>
    </w:tbl>
    <w:p w14:paraId="6EE9DE32" w14:textId="77777777" w:rsidR="004C3C9D" w:rsidRPr="00675182" w:rsidRDefault="004C3C9D" w:rsidP="004C3C9D">
      <w:pPr>
        <w:jc w:val="both"/>
        <w:rPr>
          <w:rFonts w:cstheme="minorHAnsi"/>
          <w:bCs/>
        </w:rPr>
      </w:pPr>
    </w:p>
    <w:p w14:paraId="7E9948C3" w14:textId="7830EE84" w:rsidR="004C3C9D" w:rsidRPr="00675182" w:rsidRDefault="004C3C9D" w:rsidP="004C3C9D">
      <w:pPr>
        <w:jc w:val="both"/>
        <w:rPr>
          <w:rFonts w:cstheme="minorHAnsi"/>
          <w:szCs w:val="24"/>
        </w:rPr>
      </w:pPr>
      <w:r w:rsidRPr="00675182">
        <w:rPr>
          <w:rFonts w:cstheme="minorHAnsi"/>
          <w:szCs w:val="24"/>
        </w:rPr>
        <w:t>Kopējā virszemes ūdeņu platība GNP teritorijā ir 2685 ha jeb 3 % no parka teritorijas. Kopējais upju (garākas par 10 km) tīkla blīvums GNP ir 345 m uz 1 km</w:t>
      </w:r>
      <w:r w:rsidRPr="00675182">
        <w:rPr>
          <w:rFonts w:cstheme="minorHAnsi"/>
          <w:szCs w:val="24"/>
          <w:vertAlign w:val="superscript"/>
        </w:rPr>
        <w:t>2</w:t>
      </w:r>
      <w:r w:rsidRPr="00675182">
        <w:rPr>
          <w:rFonts w:cstheme="minorHAnsi"/>
          <w:szCs w:val="24"/>
        </w:rPr>
        <w:t>, taču GNP teritorija ir daudz īsu upju un strautu. It sevišķi liels daudzums gan pastāvīgu, gan periodisku ūdensteču ir dziļajās gravās, kas saposmo Gaujas un tās pieteku ieleju nogāzes un veido tā saucamo Piegaujas erozijas joslu (Āboltiņš, 1971; Āboltiņš un Eniņš, 1979). Līdz ar to faktiskais hidrogrāfiskā tīkla blīvums ir lielāks, lokāli sasniedzot pat vērtības &gt; 10 km uz km</w:t>
      </w:r>
      <w:r w:rsidRPr="00675182">
        <w:rPr>
          <w:rFonts w:cstheme="minorHAnsi"/>
          <w:szCs w:val="24"/>
          <w:vertAlign w:val="superscript"/>
        </w:rPr>
        <w:t>2</w:t>
      </w:r>
      <w:r w:rsidRPr="00675182">
        <w:rPr>
          <w:rFonts w:cstheme="minorHAnsi"/>
          <w:szCs w:val="24"/>
        </w:rPr>
        <w:t xml:space="preserve">, tādējādi tas ir vislielākais Latvijā (Ciseļonoka, 2015). Jāatzīmē, ka daudzām upītēm un gravu strautiem GNP teritorijā ir saglabājušies senie hidronīmi (Jurģītis, </w:t>
      </w:r>
      <w:r w:rsidRPr="00675182">
        <w:rPr>
          <w:rFonts w:cstheme="minorHAnsi"/>
        </w:rPr>
        <w:t>2001</w:t>
      </w:r>
      <w:r w:rsidRPr="00675182">
        <w:rPr>
          <w:rFonts w:cstheme="minorHAnsi"/>
          <w:szCs w:val="24"/>
        </w:rPr>
        <w:t xml:space="preserve">), tādējādi šīs nelielās ūdensteces ir ne dabas objekti, bet tās satur arī kultūrvēsturiskās un novadpētnieciskās informācijas slāni. Līdztekus </w:t>
      </w:r>
      <w:r w:rsidRPr="00675182">
        <w:rPr>
          <w:rFonts w:cstheme="minorHAnsi"/>
          <w:szCs w:val="24"/>
        </w:rPr>
        <w:lastRenderedPageBreak/>
        <w:t>dabiskajiem hidrogrāfiskā tīkla elementiem, no GNP un tam piegulošās teritorijas ūdeņus aizvada arī meliorācijas grāvji un ieraktās drenāžas sistēmas.</w:t>
      </w:r>
    </w:p>
    <w:p w14:paraId="2933605C" w14:textId="77777777" w:rsidR="004C3C9D" w:rsidRPr="00675182" w:rsidRDefault="004C3C9D" w:rsidP="00B22523">
      <w:pPr>
        <w:jc w:val="both"/>
        <w:rPr>
          <w:rFonts w:cstheme="minorHAnsi"/>
          <w:bCs/>
        </w:rPr>
      </w:pPr>
    </w:p>
    <w:p w14:paraId="56061E33" w14:textId="0B4EB1FC" w:rsidR="00836AD2" w:rsidRPr="00675182" w:rsidRDefault="00836AD2" w:rsidP="002B3341">
      <w:pPr>
        <w:jc w:val="both"/>
        <w:rPr>
          <w:rFonts w:cstheme="minorHAnsi"/>
          <w:szCs w:val="24"/>
        </w:rPr>
      </w:pPr>
      <w:r w:rsidRPr="00675182">
        <w:rPr>
          <w:rFonts w:cstheme="minorHAnsi"/>
          <w:szCs w:val="24"/>
        </w:rPr>
        <w:t>GNP</w:t>
      </w:r>
      <w:r w:rsidR="006B1E59" w:rsidRPr="00675182">
        <w:rPr>
          <w:rFonts w:cstheme="minorHAnsi"/>
          <w:szCs w:val="24"/>
        </w:rPr>
        <w:t xml:space="preserve"> teritorijā esošās ūdensteces var iedalīt </w:t>
      </w:r>
      <w:r w:rsidRPr="00675182">
        <w:rPr>
          <w:rFonts w:cstheme="minorHAnsi"/>
          <w:szCs w:val="24"/>
        </w:rPr>
        <w:t>4</w:t>
      </w:r>
      <w:r w:rsidR="006B1E59" w:rsidRPr="00675182">
        <w:rPr>
          <w:rFonts w:cstheme="minorHAnsi"/>
          <w:szCs w:val="24"/>
        </w:rPr>
        <w:t xml:space="preserve"> grupās</w:t>
      </w:r>
      <w:r w:rsidR="004C3C9D" w:rsidRPr="00675182">
        <w:rPr>
          <w:rFonts w:cstheme="minorHAnsi"/>
          <w:szCs w:val="24"/>
        </w:rPr>
        <w:t xml:space="preserve"> (Pilāts (red.), 2007)</w:t>
      </w:r>
      <w:r w:rsidR="006B1E59" w:rsidRPr="00675182">
        <w:rPr>
          <w:rFonts w:cstheme="minorHAnsi"/>
          <w:szCs w:val="24"/>
        </w:rPr>
        <w:t>:</w:t>
      </w:r>
    </w:p>
    <w:p w14:paraId="19608F7A" w14:textId="29C8C058" w:rsidR="00836AD2" w:rsidRPr="00675182" w:rsidRDefault="006B1E59" w:rsidP="00A84218">
      <w:pPr>
        <w:pStyle w:val="ListParagraph"/>
        <w:numPr>
          <w:ilvl w:val="1"/>
          <w:numId w:val="17"/>
        </w:numPr>
        <w:jc w:val="both"/>
        <w:rPr>
          <w:rFonts w:cstheme="minorHAnsi"/>
          <w:szCs w:val="24"/>
        </w:rPr>
      </w:pPr>
      <w:r w:rsidRPr="00675182">
        <w:rPr>
          <w:rFonts w:cstheme="minorHAnsi"/>
          <w:szCs w:val="24"/>
        </w:rPr>
        <w:t>lielās upes – Gauja;</w:t>
      </w:r>
    </w:p>
    <w:p w14:paraId="3140260C" w14:textId="591C3276" w:rsidR="00836AD2" w:rsidRPr="00675182" w:rsidRDefault="006B1E59" w:rsidP="00A84218">
      <w:pPr>
        <w:pStyle w:val="ListParagraph"/>
        <w:numPr>
          <w:ilvl w:val="1"/>
          <w:numId w:val="17"/>
        </w:numPr>
        <w:jc w:val="both"/>
        <w:rPr>
          <w:rFonts w:cstheme="minorHAnsi"/>
          <w:szCs w:val="24"/>
        </w:rPr>
      </w:pPr>
      <w:r w:rsidRPr="00675182">
        <w:rPr>
          <w:rFonts w:cstheme="minorHAnsi"/>
          <w:szCs w:val="24"/>
        </w:rPr>
        <w:t>vidējās upes – Brasla, Rauna, Amata</w:t>
      </w:r>
      <w:r w:rsidR="00082786" w:rsidRPr="00675182">
        <w:rPr>
          <w:rFonts w:cstheme="minorHAnsi"/>
          <w:szCs w:val="24"/>
        </w:rPr>
        <w:t xml:space="preserve">, </w:t>
      </w:r>
      <w:r w:rsidR="00082786" w:rsidRPr="00675182">
        <w:rPr>
          <w:rFonts w:cstheme="minorHAnsi"/>
          <w:bCs/>
        </w:rPr>
        <w:t>Vaive, Strīķupe;</w:t>
      </w:r>
    </w:p>
    <w:p w14:paraId="3BAF9C67" w14:textId="59A5995E" w:rsidR="00836AD2" w:rsidRPr="00675182" w:rsidRDefault="006B1E59" w:rsidP="00A84218">
      <w:pPr>
        <w:pStyle w:val="ListParagraph"/>
        <w:numPr>
          <w:ilvl w:val="1"/>
          <w:numId w:val="17"/>
        </w:numPr>
        <w:jc w:val="both"/>
        <w:rPr>
          <w:rFonts w:cstheme="minorHAnsi"/>
          <w:szCs w:val="24"/>
        </w:rPr>
      </w:pPr>
      <w:r w:rsidRPr="00675182">
        <w:rPr>
          <w:rFonts w:cstheme="minorHAnsi"/>
          <w:szCs w:val="24"/>
        </w:rPr>
        <w:t xml:space="preserve">mazās upes – vairums </w:t>
      </w:r>
      <w:r w:rsidR="00836AD2" w:rsidRPr="00675182">
        <w:rPr>
          <w:rFonts w:cstheme="minorHAnsi"/>
          <w:szCs w:val="24"/>
        </w:rPr>
        <w:t>GNP</w:t>
      </w:r>
      <w:r w:rsidRPr="00675182">
        <w:rPr>
          <w:rFonts w:cstheme="minorHAnsi"/>
          <w:szCs w:val="24"/>
        </w:rPr>
        <w:t xml:space="preserve"> upju;</w:t>
      </w:r>
    </w:p>
    <w:p w14:paraId="32DB03B9" w14:textId="1E2B4E96" w:rsidR="006B1E59" w:rsidRPr="00675182" w:rsidRDefault="006B1E59" w:rsidP="00A84218">
      <w:pPr>
        <w:pStyle w:val="ListParagraph"/>
        <w:numPr>
          <w:ilvl w:val="1"/>
          <w:numId w:val="17"/>
        </w:numPr>
        <w:jc w:val="both"/>
        <w:rPr>
          <w:rFonts w:cstheme="minorHAnsi"/>
          <w:szCs w:val="24"/>
        </w:rPr>
      </w:pPr>
      <w:r w:rsidRPr="00675182">
        <w:rPr>
          <w:rFonts w:cstheme="minorHAnsi"/>
          <w:szCs w:val="24"/>
        </w:rPr>
        <w:t>avoti un strauti</w:t>
      </w:r>
      <w:r w:rsidR="00836AD2" w:rsidRPr="00675182">
        <w:rPr>
          <w:rFonts w:cstheme="minorHAnsi"/>
          <w:szCs w:val="24"/>
        </w:rPr>
        <w:t>.</w:t>
      </w:r>
    </w:p>
    <w:p w14:paraId="57FEA03B" w14:textId="77777777" w:rsidR="006B1E59" w:rsidRPr="00675182" w:rsidRDefault="006B1E59" w:rsidP="002B3341">
      <w:pPr>
        <w:jc w:val="both"/>
        <w:rPr>
          <w:rFonts w:cstheme="minorHAnsi"/>
          <w:szCs w:val="24"/>
        </w:rPr>
      </w:pPr>
    </w:p>
    <w:p w14:paraId="23D4A23A" w14:textId="4D30B128" w:rsidR="00081F49" w:rsidRPr="00675182" w:rsidRDefault="00335F70" w:rsidP="002B3341">
      <w:pPr>
        <w:jc w:val="both"/>
        <w:rPr>
          <w:rFonts w:cstheme="minorHAnsi"/>
          <w:szCs w:val="24"/>
        </w:rPr>
      </w:pPr>
      <w:r w:rsidRPr="00675182">
        <w:rPr>
          <w:rFonts w:cstheme="minorHAnsi"/>
          <w:szCs w:val="24"/>
        </w:rPr>
        <w:t xml:space="preserve">GNP </w:t>
      </w:r>
      <w:r w:rsidR="00B22523" w:rsidRPr="00675182">
        <w:rPr>
          <w:rFonts w:cstheme="minorHAnsi"/>
          <w:szCs w:val="24"/>
        </w:rPr>
        <w:t>nozīmīgākā</w:t>
      </w:r>
      <w:r w:rsidRPr="00675182">
        <w:rPr>
          <w:rFonts w:cstheme="minorHAnsi"/>
          <w:szCs w:val="24"/>
        </w:rPr>
        <w:t xml:space="preserve"> ūdenstece ir Gaujas upe. Tās kopējais garums ir 452 km, GNP teritorijā </w:t>
      </w:r>
      <w:r w:rsidR="007714D0" w:rsidRPr="00675182">
        <w:rPr>
          <w:rFonts w:cstheme="minorHAnsi"/>
          <w:szCs w:val="24"/>
        </w:rPr>
        <w:t>–</w:t>
      </w:r>
      <w:r w:rsidRPr="00675182">
        <w:rPr>
          <w:rFonts w:cstheme="minorHAnsi"/>
          <w:szCs w:val="24"/>
        </w:rPr>
        <w:t xml:space="preserve"> </w:t>
      </w:r>
      <w:r w:rsidR="006B1E59" w:rsidRPr="00675182">
        <w:rPr>
          <w:rFonts w:cstheme="minorHAnsi"/>
          <w:szCs w:val="24"/>
        </w:rPr>
        <w:t>aptuveni 9</w:t>
      </w:r>
      <w:r w:rsidR="004C3C9D" w:rsidRPr="00675182">
        <w:rPr>
          <w:rFonts w:cstheme="minorHAnsi"/>
          <w:szCs w:val="24"/>
        </w:rPr>
        <w:t>6,8</w:t>
      </w:r>
      <w:r w:rsidR="007714D0" w:rsidRPr="00675182">
        <w:rPr>
          <w:rFonts w:cstheme="minorHAnsi"/>
          <w:szCs w:val="24"/>
        </w:rPr>
        <w:t xml:space="preserve"> km. </w:t>
      </w:r>
      <w:r w:rsidR="00511379" w:rsidRPr="00675182">
        <w:rPr>
          <w:rFonts w:cstheme="minorHAnsi"/>
          <w:szCs w:val="24"/>
        </w:rPr>
        <w:t xml:space="preserve">Gaujas </w:t>
      </w:r>
      <w:r w:rsidR="006B1E59" w:rsidRPr="00675182">
        <w:rPr>
          <w:rFonts w:cstheme="minorHAnsi"/>
          <w:szCs w:val="24"/>
        </w:rPr>
        <w:t xml:space="preserve">upes </w:t>
      </w:r>
      <w:r w:rsidR="00511379" w:rsidRPr="00675182">
        <w:rPr>
          <w:rFonts w:cstheme="minorHAnsi"/>
          <w:szCs w:val="24"/>
        </w:rPr>
        <w:t>baseina platība Latvijas teritorijā ir 7920 km</w:t>
      </w:r>
      <w:r w:rsidR="00511379" w:rsidRPr="00675182">
        <w:rPr>
          <w:rFonts w:cstheme="minorHAnsi"/>
          <w:szCs w:val="24"/>
          <w:vertAlign w:val="superscript"/>
        </w:rPr>
        <w:t>2</w:t>
      </w:r>
      <w:r w:rsidR="00511379" w:rsidRPr="00675182">
        <w:rPr>
          <w:rFonts w:cstheme="minorHAnsi"/>
          <w:szCs w:val="24"/>
        </w:rPr>
        <w:t xml:space="preserve"> (kop</w:t>
      </w:r>
      <w:r w:rsidR="006B1E59" w:rsidRPr="00675182">
        <w:rPr>
          <w:rFonts w:cstheme="minorHAnsi"/>
          <w:szCs w:val="24"/>
        </w:rPr>
        <w:t>ē</w:t>
      </w:r>
      <w:r w:rsidR="00511379" w:rsidRPr="00675182">
        <w:rPr>
          <w:rFonts w:cstheme="minorHAnsi"/>
          <w:szCs w:val="24"/>
        </w:rPr>
        <w:t>jā platība</w:t>
      </w:r>
      <w:r w:rsidR="006B1E59" w:rsidRPr="00675182">
        <w:rPr>
          <w:rFonts w:cstheme="minorHAnsi"/>
          <w:szCs w:val="24"/>
        </w:rPr>
        <w:t xml:space="preserve"> -</w:t>
      </w:r>
      <w:r w:rsidR="00511379" w:rsidRPr="00675182">
        <w:rPr>
          <w:rFonts w:cstheme="minorHAnsi"/>
          <w:szCs w:val="24"/>
        </w:rPr>
        <w:t xml:space="preserve"> 9080 km</w:t>
      </w:r>
      <w:r w:rsidR="00511379" w:rsidRPr="00675182">
        <w:rPr>
          <w:rFonts w:cstheme="minorHAnsi"/>
          <w:szCs w:val="24"/>
          <w:vertAlign w:val="superscript"/>
        </w:rPr>
        <w:t>2</w:t>
      </w:r>
      <w:r w:rsidR="00511379" w:rsidRPr="00675182">
        <w:rPr>
          <w:rFonts w:cstheme="minorHAnsi"/>
          <w:szCs w:val="24"/>
        </w:rPr>
        <w:t xml:space="preserve">). </w:t>
      </w:r>
      <w:r w:rsidR="003021C0" w:rsidRPr="00675182">
        <w:rPr>
          <w:rFonts w:cstheme="minorHAnsi"/>
          <w:szCs w:val="24"/>
        </w:rPr>
        <w:t>Vidējais noteces apjoms ir 2,5 km</w:t>
      </w:r>
      <w:r w:rsidR="003021C0" w:rsidRPr="00675182">
        <w:rPr>
          <w:rFonts w:cstheme="minorHAnsi"/>
          <w:szCs w:val="24"/>
          <w:vertAlign w:val="superscript"/>
        </w:rPr>
        <w:t>3</w:t>
      </w:r>
      <w:r w:rsidR="003021C0" w:rsidRPr="00675182">
        <w:rPr>
          <w:rFonts w:cstheme="minorHAnsi"/>
          <w:szCs w:val="24"/>
        </w:rPr>
        <w:t xml:space="preserve"> un 560 tūkst. t dažāda veida sanešu gadā. Diennakts caurplūdums ir no 6 m</w:t>
      </w:r>
      <w:r w:rsidR="003021C0" w:rsidRPr="00675182">
        <w:rPr>
          <w:rFonts w:cstheme="minorHAnsi"/>
          <w:szCs w:val="24"/>
          <w:vertAlign w:val="superscript"/>
        </w:rPr>
        <w:t>3</w:t>
      </w:r>
      <w:r w:rsidR="003021C0" w:rsidRPr="00675182">
        <w:rPr>
          <w:rFonts w:cstheme="minorHAnsi"/>
          <w:szCs w:val="24"/>
        </w:rPr>
        <w:t>/s mazūdens periodā līdz 800 m</w:t>
      </w:r>
      <w:r w:rsidR="003021C0" w:rsidRPr="00675182">
        <w:rPr>
          <w:rFonts w:cstheme="minorHAnsi"/>
          <w:szCs w:val="24"/>
          <w:vertAlign w:val="superscript"/>
        </w:rPr>
        <w:t>3</w:t>
      </w:r>
      <w:r w:rsidR="003021C0" w:rsidRPr="00675182">
        <w:rPr>
          <w:rFonts w:cstheme="minorHAnsi"/>
          <w:szCs w:val="24"/>
        </w:rPr>
        <w:t>/s palu laikā. Straumes ātrums mazūdens periodā ir 0,2-0,4 m/s, vietām 0,6-0,8 m/s, bet palu laikā 2-3 m/s</w:t>
      </w:r>
      <w:r w:rsidR="00A10DE2" w:rsidRPr="00675182">
        <w:rPr>
          <w:rFonts w:cstheme="minorHAnsi"/>
          <w:szCs w:val="24"/>
        </w:rPr>
        <w:t xml:space="preserve"> (</w:t>
      </w:r>
      <w:r w:rsidR="006B1E59" w:rsidRPr="00675182">
        <w:rPr>
          <w:rFonts w:cstheme="minorHAnsi"/>
          <w:szCs w:val="24"/>
        </w:rPr>
        <w:t>Apsīte, 2018</w:t>
      </w:r>
      <w:r w:rsidR="00A10DE2" w:rsidRPr="00675182">
        <w:rPr>
          <w:rFonts w:cstheme="minorHAnsi"/>
          <w:szCs w:val="24"/>
        </w:rPr>
        <w:t>)</w:t>
      </w:r>
      <w:r w:rsidR="003021C0" w:rsidRPr="00675182">
        <w:rPr>
          <w:rFonts w:cstheme="minorHAnsi"/>
          <w:szCs w:val="24"/>
        </w:rPr>
        <w:t xml:space="preserve">. </w:t>
      </w:r>
    </w:p>
    <w:p w14:paraId="501C529E" w14:textId="699A4EFD" w:rsidR="00951DED" w:rsidRPr="00675182" w:rsidRDefault="00951DED" w:rsidP="002B3341">
      <w:pPr>
        <w:jc w:val="both"/>
        <w:rPr>
          <w:rFonts w:cstheme="minorHAnsi"/>
          <w:szCs w:val="24"/>
        </w:rPr>
      </w:pPr>
    </w:p>
    <w:p w14:paraId="5FD526B6" w14:textId="1C07E7F1" w:rsidR="00951DED" w:rsidRPr="00675182" w:rsidRDefault="00951DED" w:rsidP="002B3341">
      <w:pPr>
        <w:jc w:val="both"/>
        <w:rPr>
          <w:rFonts w:cstheme="minorHAnsi"/>
          <w:szCs w:val="24"/>
        </w:rPr>
      </w:pPr>
      <w:r w:rsidRPr="00675182">
        <w:rPr>
          <w:rFonts w:cstheme="minorHAnsi"/>
          <w:szCs w:val="24"/>
        </w:rPr>
        <w:t xml:space="preserve">Gaujas gultne </w:t>
      </w:r>
      <w:r w:rsidR="00452E1C" w:rsidRPr="00675182">
        <w:rPr>
          <w:rFonts w:cstheme="minorHAnsi"/>
          <w:szCs w:val="24"/>
        </w:rPr>
        <w:t>GNP teritorijā</w:t>
      </w:r>
      <w:r w:rsidRPr="00675182">
        <w:rPr>
          <w:rFonts w:cstheme="minorHAnsi"/>
          <w:szCs w:val="24"/>
        </w:rPr>
        <w:t xml:space="preserve"> ir 50 līdz 120 m plata ar mainīgu dziļumu (no 0,3-1 m līdz 5-7 m) un daudzām salām, sēkļiem un dzelmēm</w:t>
      </w:r>
      <w:r w:rsidR="00B22523" w:rsidRPr="00675182">
        <w:rPr>
          <w:rFonts w:cstheme="minorHAnsi"/>
          <w:szCs w:val="24"/>
        </w:rPr>
        <w:t xml:space="preserve">. </w:t>
      </w:r>
      <w:r w:rsidRPr="00675182">
        <w:rPr>
          <w:rFonts w:cstheme="minorHAnsi"/>
          <w:szCs w:val="24"/>
        </w:rPr>
        <w:t xml:space="preserve">Gaujas krasti </w:t>
      </w:r>
      <w:r w:rsidR="00B22523" w:rsidRPr="00675182">
        <w:rPr>
          <w:rFonts w:cstheme="minorHAnsi"/>
          <w:szCs w:val="24"/>
        </w:rPr>
        <w:t>GNP</w:t>
      </w:r>
      <w:r w:rsidRPr="00675182">
        <w:rPr>
          <w:rFonts w:cstheme="minorHAnsi"/>
          <w:szCs w:val="24"/>
        </w:rPr>
        <w:t xml:space="preserve"> teritorijā pārsvarā ir smilšaini, 1 </w:t>
      </w:r>
      <w:r w:rsidR="0000710F">
        <w:rPr>
          <w:rFonts w:cstheme="minorHAnsi"/>
          <w:szCs w:val="24"/>
        </w:rPr>
        <w:t>-</w:t>
      </w:r>
      <w:r w:rsidR="0000710F" w:rsidRPr="00675182">
        <w:rPr>
          <w:rFonts w:cstheme="minorHAnsi"/>
          <w:szCs w:val="24"/>
        </w:rPr>
        <w:t xml:space="preserve"> </w:t>
      </w:r>
      <w:r w:rsidRPr="00675182">
        <w:rPr>
          <w:rFonts w:cstheme="minorHAnsi"/>
          <w:szCs w:val="24"/>
        </w:rPr>
        <w:t>5 m augsti, vietām izskaloti. Gaujai nav izteikta biotopa upes piekrastes virsūdens augu josla. Tas saistīts ar lielajām ūdenslīmeņa svārstībām un īpašo gultnes raksturu – vāji saistītām un viegli pārvietojamām smiltīm. Tikai atsevišķās vietās Gaujā sastopami oļaini vai akmeņaini posmi – straujteces un krāces</w:t>
      </w:r>
      <w:r w:rsidR="004003F4" w:rsidRPr="00675182">
        <w:rPr>
          <w:rFonts w:cstheme="minorHAnsi"/>
          <w:szCs w:val="24"/>
        </w:rPr>
        <w:t xml:space="preserve"> (Pilāts (red.), 2007)</w:t>
      </w:r>
      <w:r w:rsidRPr="00675182">
        <w:rPr>
          <w:rFonts w:cstheme="minorHAnsi"/>
          <w:szCs w:val="24"/>
        </w:rPr>
        <w:t>.</w:t>
      </w:r>
    </w:p>
    <w:p w14:paraId="63E6DD3F" w14:textId="2AC293F4" w:rsidR="003021C0" w:rsidRPr="00675182" w:rsidRDefault="003021C0" w:rsidP="002B3341">
      <w:pPr>
        <w:jc w:val="both"/>
        <w:rPr>
          <w:rFonts w:cstheme="minorHAnsi"/>
          <w:szCs w:val="24"/>
        </w:rPr>
      </w:pPr>
    </w:p>
    <w:p w14:paraId="05B2B7DC" w14:textId="14466F9A" w:rsidR="003021C0" w:rsidRPr="00675182" w:rsidRDefault="003021C0" w:rsidP="002B3341">
      <w:pPr>
        <w:jc w:val="both"/>
        <w:rPr>
          <w:rFonts w:cstheme="minorHAnsi"/>
          <w:szCs w:val="24"/>
        </w:rPr>
      </w:pPr>
      <w:r w:rsidRPr="00675182">
        <w:rPr>
          <w:rFonts w:cstheme="minorHAnsi"/>
          <w:szCs w:val="24"/>
        </w:rPr>
        <w:t xml:space="preserve">Palu laikā Gaujas līmenis augšējā daļā maksimāli ceļas par 2,5 m, vidusdaļā par 3-3,5 m, bet senlejā par 5 m. </w:t>
      </w:r>
    </w:p>
    <w:p w14:paraId="5D2FF7E8" w14:textId="77777777" w:rsidR="006B1E59" w:rsidRPr="00675182" w:rsidRDefault="006B1E59" w:rsidP="002B3341">
      <w:pPr>
        <w:jc w:val="both"/>
        <w:rPr>
          <w:rFonts w:cstheme="minorHAnsi"/>
          <w:szCs w:val="24"/>
        </w:rPr>
      </w:pPr>
    </w:p>
    <w:p w14:paraId="5CBEA5BB" w14:textId="09DA122D" w:rsidR="00452E1C" w:rsidRPr="00675182" w:rsidRDefault="00452E1C" w:rsidP="00452E1C">
      <w:pPr>
        <w:jc w:val="both"/>
        <w:rPr>
          <w:rFonts w:cstheme="minorHAnsi"/>
          <w:szCs w:val="24"/>
        </w:rPr>
      </w:pPr>
      <w:r w:rsidRPr="00675182">
        <w:rPr>
          <w:rFonts w:cstheme="minorHAnsi"/>
          <w:szCs w:val="24"/>
        </w:rPr>
        <w:t xml:space="preserve">Visā GNP teritorijā Gauja ir saglabājusi savu dabisko tecējumu, kopumā Gaujas gultne ir līkumaina. Upes līkumainības koeficients </w:t>
      </w:r>
      <w:r w:rsidRPr="00675182">
        <w:rPr>
          <w:rFonts w:cstheme="minorHAnsi"/>
          <w:i/>
          <w:iCs/>
          <w:szCs w:val="24"/>
        </w:rPr>
        <w:t>L</w:t>
      </w:r>
      <w:r w:rsidRPr="00675182">
        <w:rPr>
          <w:rFonts w:cstheme="minorHAnsi"/>
          <w:szCs w:val="24"/>
          <w:vertAlign w:val="subscript"/>
        </w:rPr>
        <w:t>sin</w:t>
      </w:r>
      <w:r w:rsidRPr="00675182">
        <w:rPr>
          <w:rFonts w:cstheme="minorHAnsi"/>
          <w:szCs w:val="24"/>
        </w:rPr>
        <w:t xml:space="preserve"> ir 1,31, kas atbilst stipri meandrējošām gultnēm (1,30 &lt; </w:t>
      </w:r>
      <w:r w:rsidRPr="00675182">
        <w:rPr>
          <w:rFonts w:cstheme="minorHAnsi"/>
          <w:i/>
          <w:iCs/>
          <w:szCs w:val="24"/>
        </w:rPr>
        <w:t>L</w:t>
      </w:r>
      <w:r w:rsidRPr="00675182">
        <w:rPr>
          <w:rFonts w:cstheme="minorHAnsi"/>
          <w:szCs w:val="24"/>
          <w:vertAlign w:val="subscript"/>
        </w:rPr>
        <w:t>sin</w:t>
      </w:r>
      <w:r w:rsidRPr="00675182">
        <w:rPr>
          <w:rFonts w:cstheme="minorHAnsi"/>
          <w:szCs w:val="24"/>
        </w:rPr>
        <w:t xml:space="preserve"> &lt; 1,50 pēc Rosgen, 1994). Šis upes līkumainības rādītājs ir uzskatāms par labu dabiskas fluviālas vides indikatoru, jo tas norāda uz dzīvotņu potenciālo daudzveidību upē, kas, savukārt, ir priekšnoteikums dažādu ūdens floras un faunas sugu daudzveidībai. Morfoloģiskā ziņā GNP teritorijā Gauja ierindojama ierobežoti meandrējošu upju gultņu tipā.</w:t>
      </w:r>
    </w:p>
    <w:p w14:paraId="0DF7F36F" w14:textId="77777777" w:rsidR="00452E1C" w:rsidRPr="00675182" w:rsidRDefault="00452E1C" w:rsidP="00452E1C">
      <w:pPr>
        <w:jc w:val="both"/>
        <w:rPr>
          <w:rFonts w:cstheme="minorHAnsi"/>
          <w:szCs w:val="24"/>
        </w:rPr>
      </w:pPr>
    </w:p>
    <w:p w14:paraId="5C3F778C" w14:textId="7C42ADCE" w:rsidR="00452E1C" w:rsidRPr="00675182" w:rsidRDefault="00452E1C" w:rsidP="00452E1C">
      <w:pPr>
        <w:jc w:val="both"/>
        <w:rPr>
          <w:rFonts w:cstheme="minorHAnsi"/>
          <w:szCs w:val="24"/>
        </w:rPr>
      </w:pPr>
      <w:r w:rsidRPr="00675182">
        <w:rPr>
          <w:rFonts w:cstheme="minorHAnsi"/>
          <w:szCs w:val="24"/>
        </w:rPr>
        <w:t>Upes dibens ir nelīdzens, smilšains, ļoti mainīgs – tajā ir daudz sēkļu, škēršņu un iedzelmju. Tam ir raksturīgs zemūdens vālu un straumes ripsnājuma mikroreljefs. Izskaloto smilšaino krastu tuvumā upe veido piegultnes sēres un vidussēres. Gultnes meandrēšana un nepārtrauktā smilšu nogulumu pārvietošana rada biežu gultnes lokalizācijas maiņu – saskaņā ar G. Eberharda veikto pētījumu rezultātiem (Eberhards, 1991), GNP teritorijā Gaujas gultne vietām pavirzījusies par 200 – 400 m. Upe līdz ar gultnes izmaiņām sadzen smilšu sēres vai izskalo dziļus atvarus. Šīs specifiskās iezīmes ir arī upes lielās ūdens duļķainības iemesls (Apsīte, 2018).</w:t>
      </w:r>
    </w:p>
    <w:p w14:paraId="4DA1E0DB" w14:textId="77777777" w:rsidR="00B22523" w:rsidRPr="00675182" w:rsidRDefault="00B22523" w:rsidP="006B1E59">
      <w:pPr>
        <w:pStyle w:val="ListParagraph"/>
        <w:ind w:left="0"/>
        <w:jc w:val="both"/>
        <w:rPr>
          <w:rFonts w:cstheme="minorHAnsi"/>
          <w:bCs/>
        </w:rPr>
      </w:pPr>
    </w:p>
    <w:p w14:paraId="26DAF965" w14:textId="0C4E7D50" w:rsidR="00452E1C" w:rsidRPr="00675182" w:rsidRDefault="00452E1C" w:rsidP="00452E1C">
      <w:pPr>
        <w:jc w:val="both"/>
        <w:rPr>
          <w:rFonts w:cstheme="minorHAnsi"/>
          <w:szCs w:val="24"/>
        </w:rPr>
      </w:pPr>
      <w:r w:rsidRPr="00675182">
        <w:rPr>
          <w:rFonts w:cstheme="minorHAnsi"/>
          <w:szCs w:val="24"/>
        </w:rPr>
        <w:t xml:space="preserve">Gauja aizsalst decembra vidū vai beigās, parasti ledus uzlūst marta beigās. Gadā 100 dienas upe ir klāta ar ledu, bet 230 dienas ir brīva no tā. Dažādos upes posmos ledus biezums ziemā ir vidēji 20 - 45 cm. Atsevišķās siltās ziemās stabila ledus sega neizveidojas. Ņemot vērā, ka gan Gauja, gan tās pietekas to lejteču daļās plūst par </w:t>
      </w:r>
      <w:r w:rsidRPr="00675182">
        <w:rPr>
          <w:rFonts w:cstheme="minorHAnsi"/>
          <w:szCs w:val="24"/>
        </w:rPr>
        <w:lastRenderedPageBreak/>
        <w:t xml:space="preserve">dziļām ielejām, GNP teritorijā nav raksturīga lielu ledus sastrēgumu veidošanās un ar tiem saistītā plašu piekrastes teritoriju applūšana. Papildus faktors, kas aizkavē strauju ūdens līmeņa celšanos un attiecīgi teritoriju applūšanu, ir mežu masīvu un purvu klātbūtne gan GNP teritorijā, gan Gaujas lielbaseinā. Mežos sniega kušana notiek lēnāk, turklāt nokrišņu un sniega kušanas ūdeņi mežos un purvos tiek akumulēti pavasarī, un pēc tam pakāpeniski drenēti mazūdens periodā. Līdz ar to meža un purvu platību saglabāšana ir būtiska ne tikai plūdu riska pārvaldībai, bet arī izlīdzināta, dabiska hidroloģiskā režīma saglabāšanai GNP. </w:t>
      </w:r>
    </w:p>
    <w:p w14:paraId="399E52E3" w14:textId="77777777" w:rsidR="00452E1C" w:rsidRPr="00675182" w:rsidRDefault="00452E1C" w:rsidP="00452E1C">
      <w:pPr>
        <w:jc w:val="both"/>
        <w:rPr>
          <w:rFonts w:cstheme="minorHAnsi"/>
          <w:szCs w:val="24"/>
        </w:rPr>
      </w:pPr>
    </w:p>
    <w:p w14:paraId="09DE94FA" w14:textId="2575336F" w:rsidR="00452E1C" w:rsidRPr="00675182" w:rsidRDefault="00452E1C" w:rsidP="00452E1C">
      <w:pPr>
        <w:pStyle w:val="ListParagraph"/>
        <w:ind w:left="0"/>
        <w:jc w:val="both"/>
        <w:rPr>
          <w:rFonts w:cstheme="minorHAnsi"/>
          <w:szCs w:val="24"/>
        </w:rPr>
      </w:pPr>
      <w:r w:rsidRPr="00675182">
        <w:rPr>
          <w:rFonts w:cstheme="minorHAnsi"/>
          <w:bCs/>
        </w:rPr>
        <w:t>Gaujas senlejas un tā</w:t>
      </w:r>
      <w:r w:rsidR="001A132C" w:rsidRPr="00675182">
        <w:rPr>
          <w:rFonts w:cstheme="minorHAnsi"/>
          <w:bCs/>
        </w:rPr>
        <w:t>s</w:t>
      </w:r>
      <w:r w:rsidRPr="00675182">
        <w:rPr>
          <w:rFonts w:cstheme="minorHAnsi"/>
          <w:bCs/>
        </w:rPr>
        <w:t xml:space="preserve"> pieteku ieleju ģeoloģiskā uzbūve, konkrēti – kontakts starp ūdens mazcaurlaidīgiem mālainiem, aleirolītiskiem vai karbonātiskiem devona pamatiežiem un tos pārsedzošiem kvartāra nogulumiem ar augtākām ūdens filtrācijas vērtībām, ir veicinājis pazemes ūdeņu izplūdes vietu un daudzu avotu veidošanos. Gaujā un tās pietekās, kā arī vecupēs ietek vai reizēm izplūst no gultnes daudz avotu un avotu strautu, kas uzlabo gan ūdens kvalitāti, gan ietekmē temperatūras režīmu. </w:t>
      </w:r>
      <w:r w:rsidRPr="00675182">
        <w:rPr>
          <w:rFonts w:cstheme="minorHAnsi"/>
          <w:szCs w:val="24"/>
        </w:rPr>
        <w:t>Intensīva pazemes ūdeņu ieplūšana samazina ledus biezumu dažādos upes posmos, bet vasarā pazemina ūdens temperatūru (Apsīte, 2018).</w:t>
      </w:r>
    </w:p>
    <w:p w14:paraId="053AF8A9" w14:textId="77777777" w:rsidR="00452E1C" w:rsidRPr="00675182" w:rsidRDefault="00452E1C" w:rsidP="00452E1C">
      <w:pPr>
        <w:pStyle w:val="ListParagraph"/>
        <w:ind w:left="0"/>
        <w:jc w:val="both"/>
        <w:rPr>
          <w:rFonts w:cstheme="minorHAnsi"/>
          <w:bCs/>
        </w:rPr>
      </w:pPr>
    </w:p>
    <w:p w14:paraId="3B05EB60" w14:textId="77777777" w:rsidR="00452E1C" w:rsidRPr="00675182" w:rsidRDefault="00452E1C" w:rsidP="00452E1C">
      <w:pPr>
        <w:pStyle w:val="ListParagraph"/>
        <w:ind w:left="0"/>
        <w:jc w:val="both"/>
        <w:rPr>
          <w:rFonts w:cstheme="minorHAnsi"/>
          <w:bCs/>
        </w:rPr>
      </w:pPr>
      <w:r w:rsidRPr="00675182">
        <w:rPr>
          <w:rFonts w:cstheme="minorHAnsi"/>
          <w:bCs/>
        </w:rPr>
        <w:t>Visvairāk avotu ir pie Līču-Laņģu klintīm un Sautas kalna. Liela ir avotu un strautu daudzveidība. Tā pēc saistības ar pazemes ūdeņu horizontiem GNP teritorijā sastopami gan krītošie jeb gravitārie avoti, kas veidojas gruntsūdeņu izplūdes vietās, gan kāpjošie jeb spiedienūdens avoti, kas veidojas starpslāņu un artēzisko ūdeņu izplūdes vietās. Savukārt pēc ūdens ķīmiskā sastāva sastopami gan dzidrūdens (ar relatīvi zemu mineralizācijas pakāpi), gan kaļķainie (no karbonātiskiem nogulumiežiem, galvenokārt dolomītiem, izplūstošie), gan dzelzs (parasti no smilšakmens izplūstošie) avoti. GNP teritorijas tuvumā ir konstatēti arī sēravoti (piemēram, Zušu sēravoti). Karbonātisko ūdeņu pastiprinātas izplūdes vietās veidojas avotkaļķi (Lībānu-Jaunzemu saldūdens kaļķiežu atradne) (Pilāts (red.), 2007). Kopējais avotu skaits GNP teritorijā nav apzināts un to faktiski arī nav iespējams paveikt, jo daudzi avoti izplūst Gaujas un tās pieteku gultnēs, kā arī ezeros zem ūdens līmeņa. Tomēr daudzi avoti vai to grupas ir arī būtiski ģeomantojuma un ģeodaudzveidības elementi, virkne no tiem – arī aizsargājami ģeoloģiski un ģeomorfoloģiski dabas pieminekļi, piemēram, Dāvida dzirnavu avoti, Kalna Klauku alas avots, Līdumnieku avots, Lībānu-Jaunzemju avoti Kazugravā u.c. Daudzi avoti lokāli tiek izmantoti ūdensguves vajadzībām, retāk vērojams, ka avoti kā objekti ir integrēti tūristu piesaistes un dabas rekreācijas vietās, piemēram, Gūtmaņa alas avots, Sateseles pilskalna avots u.c.</w:t>
      </w:r>
    </w:p>
    <w:p w14:paraId="05BB0BF5" w14:textId="77777777" w:rsidR="006B1E59" w:rsidRPr="00675182" w:rsidRDefault="006B1E59" w:rsidP="002B3341">
      <w:pPr>
        <w:jc w:val="both"/>
        <w:rPr>
          <w:rFonts w:cstheme="minorHAnsi"/>
          <w:szCs w:val="24"/>
        </w:rPr>
      </w:pPr>
    </w:p>
    <w:p w14:paraId="6D009E10" w14:textId="34A98025" w:rsidR="00A11994" w:rsidRPr="00675182" w:rsidRDefault="00845862" w:rsidP="00082786">
      <w:pPr>
        <w:jc w:val="both"/>
        <w:rPr>
          <w:rFonts w:eastAsia="Times New Roman" w:cstheme="minorHAnsi"/>
          <w:bCs/>
          <w:szCs w:val="24"/>
          <w:lang w:eastAsia="en-US"/>
        </w:rPr>
      </w:pPr>
      <w:r w:rsidRPr="00675182">
        <w:rPr>
          <w:rFonts w:cstheme="minorHAnsi"/>
          <w:bCs/>
          <w:szCs w:val="24"/>
        </w:rPr>
        <w:t>GNP teritorijā</w:t>
      </w:r>
      <w:r w:rsidR="00082786" w:rsidRPr="00675182">
        <w:rPr>
          <w:rFonts w:cstheme="minorHAnsi"/>
          <w:bCs/>
          <w:szCs w:val="24"/>
        </w:rPr>
        <w:t xml:space="preserve"> </w:t>
      </w:r>
      <w:r w:rsidRPr="00675182">
        <w:rPr>
          <w:rFonts w:cstheme="minorHAnsi"/>
          <w:bCs/>
          <w:szCs w:val="24"/>
        </w:rPr>
        <w:t>k</w:t>
      </w:r>
      <w:r w:rsidR="00082786" w:rsidRPr="00675182">
        <w:rPr>
          <w:rFonts w:cstheme="minorHAnsi"/>
          <w:bCs/>
          <w:szCs w:val="24"/>
        </w:rPr>
        <w:t xml:space="preserve">opējais regulēto </w:t>
      </w:r>
      <w:r w:rsidRPr="00675182">
        <w:rPr>
          <w:rFonts w:cstheme="minorHAnsi"/>
          <w:bCs/>
          <w:szCs w:val="24"/>
        </w:rPr>
        <w:t xml:space="preserve">valsts nozīmes ūdensnoteku </w:t>
      </w:r>
      <w:r w:rsidR="00082786" w:rsidRPr="00675182">
        <w:rPr>
          <w:rFonts w:cstheme="minorHAnsi"/>
          <w:bCs/>
          <w:szCs w:val="24"/>
        </w:rPr>
        <w:t xml:space="preserve">posmu garums sastāda aptuveni </w:t>
      </w:r>
      <w:r w:rsidRPr="00675182">
        <w:rPr>
          <w:rFonts w:cstheme="minorHAnsi"/>
          <w:bCs/>
          <w:szCs w:val="24"/>
        </w:rPr>
        <w:t>28</w:t>
      </w:r>
      <w:r w:rsidR="00082786" w:rsidRPr="00675182">
        <w:rPr>
          <w:rFonts w:cstheme="minorHAnsi"/>
          <w:bCs/>
          <w:szCs w:val="24"/>
        </w:rPr>
        <w:t xml:space="preserve"> km. Regulētie valsts nozīmes ūdensnoteku posmi: Grīviņupīte,</w:t>
      </w:r>
      <w:r w:rsidR="00082786" w:rsidRPr="00675182">
        <w:rPr>
          <w:rFonts w:cstheme="minorHAnsi"/>
          <w:szCs w:val="24"/>
        </w:rPr>
        <w:t xml:space="preserve"> Krīvupīte, </w:t>
      </w:r>
      <w:r w:rsidR="00951DED" w:rsidRPr="00675182">
        <w:rPr>
          <w:rFonts w:cstheme="minorHAnsi"/>
          <w:szCs w:val="24"/>
        </w:rPr>
        <w:t>Ķikutupe</w:t>
      </w:r>
      <w:r w:rsidR="00F50BD9" w:rsidRPr="00675182">
        <w:rPr>
          <w:rFonts w:cstheme="minorHAnsi"/>
          <w:szCs w:val="24"/>
        </w:rPr>
        <w:t xml:space="preserve">, </w:t>
      </w:r>
      <w:r w:rsidR="00951DED" w:rsidRPr="00675182">
        <w:rPr>
          <w:rFonts w:cstheme="minorHAnsi"/>
          <w:szCs w:val="24"/>
        </w:rPr>
        <w:t>Skaļupe, Līčupe, Lenčupe, Suda, Nurmižupīte, Tarupe, Grašupe</w:t>
      </w:r>
      <w:r w:rsidR="00E652D3" w:rsidRPr="00675182">
        <w:rPr>
          <w:rFonts w:cstheme="minorHAnsi"/>
          <w:szCs w:val="24"/>
        </w:rPr>
        <w:t>.</w:t>
      </w:r>
      <w:r w:rsidR="00951DED" w:rsidRPr="00675182">
        <w:rPr>
          <w:rFonts w:cstheme="minorHAnsi"/>
          <w:szCs w:val="24"/>
        </w:rPr>
        <w:t xml:space="preserve"> </w:t>
      </w:r>
    </w:p>
    <w:p w14:paraId="4BBCAE91" w14:textId="77777777" w:rsidR="00A11994" w:rsidRPr="00675182" w:rsidRDefault="00A11994" w:rsidP="005B1718">
      <w:pPr>
        <w:rPr>
          <w:rFonts w:cstheme="minorHAnsi"/>
          <w:b/>
          <w:bCs/>
          <w:szCs w:val="24"/>
        </w:rPr>
      </w:pPr>
      <w:r w:rsidRPr="00675182">
        <w:rPr>
          <w:rFonts w:cstheme="minorHAnsi"/>
          <w:b/>
          <w:bCs/>
          <w:szCs w:val="24"/>
        </w:rPr>
        <w:t xml:space="preserve"> </w:t>
      </w:r>
    </w:p>
    <w:p w14:paraId="77CEFE8F" w14:textId="6BBBBD32" w:rsidR="005B1718" w:rsidRPr="00675182" w:rsidRDefault="005B1718" w:rsidP="00D1160C">
      <w:pPr>
        <w:jc w:val="both"/>
        <w:rPr>
          <w:rFonts w:cstheme="minorHAnsi"/>
          <w:szCs w:val="24"/>
        </w:rPr>
      </w:pPr>
      <w:r w:rsidRPr="00675182">
        <w:rPr>
          <w:rStyle w:val="fontstyle01"/>
          <w:rFonts w:asciiTheme="minorHAnsi" w:hAnsiTheme="minorHAnsi" w:cstheme="minorHAnsi"/>
          <w:sz w:val="24"/>
          <w:szCs w:val="24"/>
        </w:rPr>
        <w:t>Parka teritorij</w:t>
      </w:r>
      <w:r w:rsidRPr="00675182">
        <w:rPr>
          <w:rStyle w:val="fontstyle21"/>
          <w:rFonts w:asciiTheme="minorHAnsi" w:hAnsiTheme="minorHAnsi" w:cstheme="minorHAnsi"/>
          <w:sz w:val="24"/>
          <w:szCs w:val="24"/>
        </w:rPr>
        <w:t xml:space="preserve">ā </w:t>
      </w:r>
      <w:r w:rsidRPr="00675182">
        <w:rPr>
          <w:rStyle w:val="fontstyle01"/>
          <w:rFonts w:asciiTheme="minorHAnsi" w:hAnsiTheme="minorHAnsi" w:cstheme="minorHAnsi"/>
          <w:sz w:val="24"/>
          <w:szCs w:val="24"/>
        </w:rPr>
        <w:t xml:space="preserve">atrodas aptuveni 90 </w:t>
      </w:r>
      <w:r w:rsidRPr="00675182">
        <w:rPr>
          <w:rStyle w:val="fontstyle21"/>
          <w:rFonts w:asciiTheme="minorHAnsi" w:hAnsiTheme="minorHAnsi" w:cstheme="minorHAnsi"/>
          <w:sz w:val="24"/>
          <w:szCs w:val="24"/>
        </w:rPr>
        <w:t>ū</w:t>
      </w:r>
      <w:r w:rsidRPr="00675182">
        <w:rPr>
          <w:rStyle w:val="fontstyle01"/>
          <w:rFonts w:asciiTheme="minorHAnsi" w:hAnsiTheme="minorHAnsi" w:cstheme="minorHAnsi"/>
          <w:sz w:val="24"/>
          <w:szCs w:val="24"/>
        </w:rPr>
        <w:t xml:space="preserve">denstilpes - ezeri, dzirnavezeri, atteku ezeri un vecupju ezeri. </w:t>
      </w:r>
      <w:r w:rsidR="00D1160C" w:rsidRPr="00675182">
        <w:rPr>
          <w:rStyle w:val="fontstyle01"/>
          <w:rFonts w:asciiTheme="minorHAnsi" w:hAnsiTheme="minorHAnsi" w:cstheme="minorHAnsi"/>
          <w:sz w:val="24"/>
          <w:szCs w:val="24"/>
        </w:rPr>
        <w:t xml:space="preserve">Lielākā daļa no ūdenstilpēm ir ezeri. Pēc morfoģenētiskā tipa ezeri GNP teritorijā ir glaciālie un purvu ezeri (attiecīgi 32 un 20 ezeri, kas lielāki par 1 ha). Tie lielākoties ir nelieli, sekli vai vidēji dziļi (0,8-3 m). Lielākie ezeri GNP teritorijā ir Ungurs (393,6 ha), Vaidavas ezers (87,2 ha) un Raiskuma ezers (78,6 ha). </w:t>
      </w:r>
    </w:p>
    <w:p w14:paraId="76B21C65" w14:textId="77777777" w:rsidR="005B1718" w:rsidRPr="00675182" w:rsidRDefault="005B1718" w:rsidP="00095F5C">
      <w:pPr>
        <w:jc w:val="both"/>
        <w:rPr>
          <w:rFonts w:cstheme="minorHAnsi"/>
          <w:szCs w:val="24"/>
        </w:rPr>
      </w:pPr>
    </w:p>
    <w:p w14:paraId="5DDC6A05" w14:textId="146FCC86" w:rsidR="00246ECC" w:rsidRPr="00675182" w:rsidRDefault="00E652D3" w:rsidP="00A3157F">
      <w:pPr>
        <w:jc w:val="both"/>
        <w:rPr>
          <w:rFonts w:cstheme="minorHAnsi"/>
          <w:szCs w:val="24"/>
        </w:rPr>
      </w:pPr>
      <w:r w:rsidRPr="00675182">
        <w:rPr>
          <w:rFonts w:cstheme="minorHAnsi"/>
          <w:szCs w:val="24"/>
        </w:rPr>
        <w:t xml:space="preserve">Pēc Gaujas un Daugavas </w:t>
      </w:r>
      <w:r w:rsidR="00364B67">
        <w:rPr>
          <w:rFonts w:cstheme="minorHAnsi"/>
          <w:szCs w:val="24"/>
        </w:rPr>
        <w:t>UBAAP</w:t>
      </w:r>
      <w:r w:rsidR="009259DB" w:rsidRPr="00675182">
        <w:rPr>
          <w:rFonts w:cstheme="minorHAnsi"/>
        </w:rPr>
        <w:t xml:space="preserve"> </w:t>
      </w:r>
      <w:r w:rsidR="00A3106E" w:rsidRPr="00675182">
        <w:rPr>
          <w:rFonts w:cstheme="minorHAnsi"/>
        </w:rPr>
        <w:t>20</w:t>
      </w:r>
      <w:r w:rsidR="00153B64" w:rsidRPr="00675182">
        <w:rPr>
          <w:rFonts w:cstheme="minorHAnsi"/>
        </w:rPr>
        <w:t>22</w:t>
      </w:r>
      <w:r w:rsidR="00A3106E" w:rsidRPr="00675182">
        <w:rPr>
          <w:rFonts w:cstheme="minorHAnsi"/>
        </w:rPr>
        <w:t>. līdz 202</w:t>
      </w:r>
      <w:r w:rsidR="00153B64" w:rsidRPr="00675182">
        <w:rPr>
          <w:rFonts w:cstheme="minorHAnsi"/>
        </w:rPr>
        <w:t>7</w:t>
      </w:r>
      <w:r w:rsidR="00A3106E" w:rsidRPr="00675182">
        <w:rPr>
          <w:rFonts w:cstheme="minorHAnsi"/>
        </w:rPr>
        <w:t>. gadam</w:t>
      </w:r>
      <w:r w:rsidR="00A3106E" w:rsidRPr="00675182">
        <w:rPr>
          <w:rFonts w:cstheme="minorHAnsi"/>
          <w:szCs w:val="24"/>
        </w:rPr>
        <w:t xml:space="preserve"> </w:t>
      </w:r>
      <w:r w:rsidRPr="00675182">
        <w:rPr>
          <w:rFonts w:cstheme="minorHAnsi"/>
          <w:szCs w:val="24"/>
        </w:rPr>
        <w:t xml:space="preserve">izstrādātā iedalījuma </w:t>
      </w:r>
      <w:r w:rsidR="009537FE" w:rsidRPr="00675182">
        <w:rPr>
          <w:rFonts w:cstheme="minorHAnsi"/>
          <w:szCs w:val="24"/>
        </w:rPr>
        <w:t>GNP</w:t>
      </w:r>
      <w:r w:rsidRPr="00675182">
        <w:rPr>
          <w:rFonts w:cstheme="minorHAnsi"/>
          <w:szCs w:val="24"/>
        </w:rPr>
        <w:t xml:space="preserve"> </w:t>
      </w:r>
      <w:r w:rsidR="009F3F55" w:rsidRPr="00675182">
        <w:rPr>
          <w:rFonts w:cstheme="minorHAnsi"/>
          <w:szCs w:val="24"/>
        </w:rPr>
        <w:t>atrodas</w:t>
      </w:r>
      <w:r w:rsidRPr="00675182">
        <w:rPr>
          <w:rFonts w:cstheme="minorHAnsi"/>
          <w:szCs w:val="24"/>
        </w:rPr>
        <w:t xml:space="preserve"> </w:t>
      </w:r>
      <w:r w:rsidR="00A3106E" w:rsidRPr="00675182">
        <w:rPr>
          <w:rFonts w:cstheme="minorHAnsi"/>
          <w:szCs w:val="24"/>
        </w:rPr>
        <w:t>27</w:t>
      </w:r>
      <w:r w:rsidRPr="00675182">
        <w:rPr>
          <w:rFonts w:cstheme="minorHAnsi"/>
          <w:szCs w:val="24"/>
        </w:rPr>
        <w:t xml:space="preserve"> virszemes </w:t>
      </w:r>
      <w:r w:rsidR="00EB7442">
        <w:rPr>
          <w:rFonts w:cstheme="minorHAnsi"/>
          <w:szCs w:val="24"/>
        </w:rPr>
        <w:t>ŪO</w:t>
      </w:r>
      <w:r w:rsidR="00253276">
        <w:rPr>
          <w:rFonts w:cstheme="minorHAnsi"/>
          <w:szCs w:val="24"/>
        </w:rPr>
        <w:t xml:space="preserve"> </w:t>
      </w:r>
      <w:r w:rsidR="00A3106E" w:rsidRPr="00675182">
        <w:rPr>
          <w:rFonts w:cstheme="minorHAnsi"/>
          <w:szCs w:val="24"/>
        </w:rPr>
        <w:t xml:space="preserve">(skat. </w:t>
      </w:r>
      <w:r w:rsidRPr="00675182">
        <w:rPr>
          <w:rFonts w:cstheme="minorHAnsi"/>
          <w:szCs w:val="24"/>
        </w:rPr>
        <w:t>1.</w:t>
      </w:r>
      <w:r w:rsidR="008A0F48" w:rsidRPr="00675182">
        <w:rPr>
          <w:rFonts w:cstheme="minorHAnsi"/>
          <w:szCs w:val="24"/>
        </w:rPr>
        <w:t>2</w:t>
      </w:r>
      <w:r w:rsidRPr="00675182">
        <w:rPr>
          <w:rFonts w:cstheme="minorHAnsi"/>
          <w:szCs w:val="24"/>
        </w:rPr>
        <w:t>.</w:t>
      </w:r>
      <w:r w:rsidR="00D36057" w:rsidRPr="00675182">
        <w:rPr>
          <w:rFonts w:cstheme="minorHAnsi"/>
          <w:szCs w:val="24"/>
        </w:rPr>
        <w:t>3</w:t>
      </w:r>
      <w:r w:rsidRPr="00675182">
        <w:rPr>
          <w:rFonts w:cstheme="minorHAnsi"/>
          <w:szCs w:val="24"/>
        </w:rPr>
        <w:t>. attēlu)</w:t>
      </w:r>
      <w:r w:rsidR="009259DB" w:rsidRPr="00675182">
        <w:rPr>
          <w:rFonts w:cstheme="minorHAnsi"/>
          <w:spacing w:val="-1"/>
        </w:rPr>
        <w:t xml:space="preserve"> – 3 ezeru ŪO un 24 upju ŪO</w:t>
      </w:r>
      <w:r w:rsidRPr="00675182">
        <w:rPr>
          <w:rFonts w:cstheme="minorHAnsi"/>
          <w:szCs w:val="24"/>
        </w:rPr>
        <w:t xml:space="preserve">. </w:t>
      </w:r>
      <w:r w:rsidR="00246ECC" w:rsidRPr="00675182">
        <w:rPr>
          <w:rFonts w:cstheme="minorHAnsi"/>
          <w:spacing w:val="-1"/>
        </w:rPr>
        <w:t>GNP teritorijas lielākā daļa ietilpst Gaujas upju baseina teritorijā, tomēr neliela daļa ietilpst arī Daugavas sateces baseinā</w:t>
      </w:r>
      <w:r w:rsidR="00016E62" w:rsidRPr="00675182">
        <w:rPr>
          <w:rFonts w:cstheme="minorHAnsi"/>
          <w:spacing w:val="-1"/>
        </w:rPr>
        <w:t xml:space="preserve">. </w:t>
      </w:r>
    </w:p>
    <w:p w14:paraId="62803E19" w14:textId="1198BCBC" w:rsidR="00A3157F" w:rsidRPr="00675182" w:rsidRDefault="00A3157F" w:rsidP="00A3157F">
      <w:pPr>
        <w:jc w:val="both"/>
        <w:rPr>
          <w:rFonts w:cstheme="minorHAnsi"/>
          <w:szCs w:val="24"/>
        </w:rPr>
      </w:pPr>
    </w:p>
    <w:p w14:paraId="436A86F9" w14:textId="13B9DEC1" w:rsidR="00246ECC" w:rsidRPr="00675182" w:rsidRDefault="00246ECC" w:rsidP="00246ECC">
      <w:pPr>
        <w:jc w:val="both"/>
        <w:rPr>
          <w:rFonts w:cstheme="minorHAnsi"/>
          <w:bCs/>
        </w:rPr>
      </w:pPr>
      <w:r w:rsidRPr="00675182">
        <w:rPr>
          <w:rFonts w:cstheme="minorHAnsi"/>
        </w:rPr>
        <w:t>UBA</w:t>
      </w:r>
      <w:r w:rsidR="00976FAD">
        <w:rPr>
          <w:rFonts w:cstheme="minorHAnsi"/>
        </w:rPr>
        <w:t>A</w:t>
      </w:r>
      <w:r w:rsidRPr="00675182">
        <w:rPr>
          <w:rFonts w:cstheme="minorHAnsi"/>
        </w:rPr>
        <w:t xml:space="preserve">P ir novērtēta katra </w:t>
      </w:r>
      <w:r w:rsidR="00253276">
        <w:rPr>
          <w:rFonts w:cstheme="minorHAnsi"/>
        </w:rPr>
        <w:t>ŪO</w:t>
      </w:r>
      <w:r w:rsidR="00253276" w:rsidRPr="00675182">
        <w:rPr>
          <w:rFonts w:cstheme="minorHAnsi"/>
        </w:rPr>
        <w:t xml:space="preserve"> </w:t>
      </w:r>
      <w:r w:rsidRPr="00675182">
        <w:rPr>
          <w:rFonts w:cstheme="minorHAnsi"/>
        </w:rPr>
        <w:t>ekoloģiskā kvalitāte.</w:t>
      </w:r>
      <w:r w:rsidRPr="00675182">
        <w:rPr>
          <w:rFonts w:cstheme="minorHAnsi"/>
          <w:szCs w:val="24"/>
        </w:rPr>
        <w:t xml:space="preserve"> GNP teritorijā </w:t>
      </w:r>
      <w:r w:rsidR="00253276">
        <w:rPr>
          <w:rFonts w:cstheme="minorHAnsi"/>
        </w:rPr>
        <w:t>viena ŪO</w:t>
      </w:r>
      <w:r w:rsidRPr="00675182">
        <w:rPr>
          <w:rFonts w:cstheme="minorHAnsi"/>
        </w:rPr>
        <w:t xml:space="preserve"> (G202 Līgatne) ekoloģiskā kvalitāte/potenciāls ir novērtēts kā </w:t>
      </w:r>
      <w:r w:rsidR="00364B67" w:rsidRPr="00675182">
        <w:rPr>
          <w:rFonts w:cstheme="minorHAnsi"/>
        </w:rPr>
        <w:t>augst</w:t>
      </w:r>
      <w:r w:rsidR="00364B67">
        <w:rPr>
          <w:rFonts w:cstheme="minorHAnsi"/>
        </w:rPr>
        <w:t>s</w:t>
      </w:r>
      <w:r w:rsidRPr="00675182">
        <w:rPr>
          <w:rFonts w:cstheme="minorHAnsi"/>
        </w:rPr>
        <w:t xml:space="preserve">, bet </w:t>
      </w:r>
      <w:r w:rsidR="00253276">
        <w:rPr>
          <w:rFonts w:cstheme="minorHAnsi"/>
          <w:szCs w:val="24"/>
        </w:rPr>
        <w:t>12</w:t>
      </w:r>
      <w:r w:rsidR="00253276" w:rsidRPr="00675182">
        <w:rPr>
          <w:rFonts w:cstheme="minorHAnsi"/>
          <w:szCs w:val="24"/>
        </w:rPr>
        <w:t xml:space="preserve"> </w:t>
      </w:r>
      <w:r w:rsidR="00253276">
        <w:rPr>
          <w:rFonts w:cstheme="minorHAnsi"/>
          <w:szCs w:val="24"/>
        </w:rPr>
        <w:t>ŪO</w:t>
      </w:r>
      <w:r w:rsidR="00253276" w:rsidRPr="00675182">
        <w:rPr>
          <w:rFonts w:cstheme="minorHAnsi"/>
          <w:szCs w:val="24"/>
        </w:rPr>
        <w:t xml:space="preserve"> </w:t>
      </w:r>
      <w:r w:rsidRPr="00675182">
        <w:rPr>
          <w:rFonts w:cstheme="minorHAnsi"/>
          <w:szCs w:val="24"/>
        </w:rPr>
        <w:t xml:space="preserve">– kā </w:t>
      </w:r>
      <w:r w:rsidR="00364B67" w:rsidRPr="00675182">
        <w:rPr>
          <w:rFonts w:cstheme="minorHAnsi"/>
          <w:szCs w:val="24"/>
        </w:rPr>
        <w:t>lab</w:t>
      </w:r>
      <w:r w:rsidR="00364B67">
        <w:rPr>
          <w:rFonts w:cstheme="minorHAnsi"/>
          <w:szCs w:val="24"/>
        </w:rPr>
        <w:t>s</w:t>
      </w:r>
      <w:r w:rsidRPr="00675182">
        <w:rPr>
          <w:rFonts w:cstheme="minorHAnsi"/>
          <w:bCs/>
        </w:rPr>
        <w:t xml:space="preserve">, līdz ar to izvirzītais kvalitātes mērķis šiem </w:t>
      </w:r>
      <w:r w:rsidR="00253276">
        <w:rPr>
          <w:rFonts w:cstheme="minorHAnsi"/>
          <w:bCs/>
        </w:rPr>
        <w:t>ŪO</w:t>
      </w:r>
      <w:r w:rsidR="00253276" w:rsidRPr="00675182">
        <w:rPr>
          <w:rFonts w:cstheme="minorHAnsi"/>
          <w:bCs/>
        </w:rPr>
        <w:t xml:space="preserve"> </w:t>
      </w:r>
      <w:r w:rsidRPr="00675182">
        <w:rPr>
          <w:rFonts w:cstheme="minorHAnsi"/>
          <w:bCs/>
        </w:rPr>
        <w:t xml:space="preserve">ir esošās kvalitātes saglabāšana nemainīgā līmenī. 13 </w:t>
      </w:r>
      <w:r w:rsidR="00253276">
        <w:rPr>
          <w:rFonts w:cstheme="minorHAnsi"/>
          <w:bCs/>
        </w:rPr>
        <w:t>ŪO</w:t>
      </w:r>
      <w:r w:rsidR="00253276" w:rsidRPr="00675182">
        <w:rPr>
          <w:rFonts w:cstheme="minorHAnsi"/>
          <w:bCs/>
        </w:rPr>
        <w:t xml:space="preserve"> </w:t>
      </w:r>
      <w:r w:rsidRPr="00675182">
        <w:rPr>
          <w:rFonts w:cstheme="minorHAnsi"/>
          <w:bCs/>
        </w:rPr>
        <w:t xml:space="preserve">ekoloģiskā kvalitāte/potenciāls atbilst vidējai, bet </w:t>
      </w:r>
      <w:r w:rsidR="00253276">
        <w:rPr>
          <w:rFonts w:cstheme="minorHAnsi"/>
          <w:bCs/>
        </w:rPr>
        <w:t>viena</w:t>
      </w:r>
      <w:r w:rsidR="00253276" w:rsidRPr="00675182">
        <w:rPr>
          <w:rFonts w:cstheme="minorHAnsi"/>
          <w:bCs/>
        </w:rPr>
        <w:t xml:space="preserve"> </w:t>
      </w:r>
      <w:r w:rsidR="00253276">
        <w:rPr>
          <w:rFonts w:cstheme="minorHAnsi"/>
          <w:bCs/>
        </w:rPr>
        <w:t>ŪO</w:t>
      </w:r>
      <w:r w:rsidR="00253276" w:rsidRPr="00675182">
        <w:rPr>
          <w:rFonts w:cstheme="minorHAnsi"/>
          <w:bCs/>
        </w:rPr>
        <w:t xml:space="preserve"> </w:t>
      </w:r>
      <w:r w:rsidRPr="00675182">
        <w:rPr>
          <w:rFonts w:cstheme="minorHAnsi"/>
          <w:bCs/>
        </w:rPr>
        <w:t>(G209 Gauja_15) – sliktai</w:t>
      </w:r>
      <w:r w:rsidR="00F14267" w:rsidRPr="00675182">
        <w:rPr>
          <w:rFonts w:cstheme="minorHAnsi"/>
          <w:bCs/>
        </w:rPr>
        <w:t>.</w:t>
      </w:r>
      <w:r w:rsidRPr="00675182">
        <w:rPr>
          <w:rFonts w:cstheme="minorHAnsi"/>
          <w:bCs/>
        </w:rPr>
        <w:t xml:space="preserve"> </w:t>
      </w:r>
      <w:r w:rsidR="00016E62" w:rsidRPr="00675182">
        <w:rPr>
          <w:rFonts w:cstheme="minorHAnsi"/>
        </w:rPr>
        <w:t xml:space="preserve">Informācija par upju un ezeru </w:t>
      </w:r>
      <w:r w:rsidR="00253276">
        <w:rPr>
          <w:rFonts w:cstheme="minorHAnsi"/>
        </w:rPr>
        <w:t>ŪO</w:t>
      </w:r>
      <w:r w:rsidR="00253276" w:rsidRPr="00675182">
        <w:rPr>
          <w:rFonts w:cstheme="minorHAnsi"/>
        </w:rPr>
        <w:t xml:space="preserve"> </w:t>
      </w:r>
      <w:r w:rsidR="00016E62" w:rsidRPr="00675182">
        <w:rPr>
          <w:rFonts w:cstheme="minorHAnsi"/>
        </w:rPr>
        <w:t>ekoloģisko kvalitāti/potenciālu ir attēlota 1.2.1.</w:t>
      </w:r>
      <w:r w:rsidR="004173A2" w:rsidRPr="00675182">
        <w:rPr>
          <w:rFonts w:cstheme="minorHAnsi"/>
        </w:rPr>
        <w:t xml:space="preserve"> </w:t>
      </w:r>
      <w:r w:rsidR="00016E62" w:rsidRPr="00675182">
        <w:rPr>
          <w:rFonts w:cstheme="minorHAnsi"/>
        </w:rPr>
        <w:t xml:space="preserve">tabulā un 1.2.3. attēlā. </w:t>
      </w:r>
      <w:r w:rsidRPr="00675182">
        <w:rPr>
          <w:rFonts w:cstheme="minorHAnsi"/>
          <w:bCs/>
        </w:rPr>
        <w:t xml:space="preserve">Kā galvenās </w:t>
      </w:r>
      <w:r w:rsidR="00253276">
        <w:rPr>
          <w:rFonts w:cstheme="minorHAnsi"/>
          <w:bCs/>
        </w:rPr>
        <w:t>ŪO</w:t>
      </w:r>
      <w:r w:rsidR="00253276" w:rsidRPr="00675182">
        <w:rPr>
          <w:rFonts w:cstheme="minorHAnsi"/>
          <w:bCs/>
        </w:rPr>
        <w:t xml:space="preserve"> </w:t>
      </w:r>
      <w:r w:rsidRPr="00675182">
        <w:rPr>
          <w:rFonts w:cstheme="minorHAnsi"/>
          <w:bCs/>
        </w:rPr>
        <w:t>ietekmējošās slodzes upju baseinu apsaimniekošanas plānos ir norādītas punktveida izkliedētas slodzes, kā arī hidromorfoloģiskie pārveidojumi.</w:t>
      </w:r>
      <w:r w:rsidR="00F14267" w:rsidRPr="00675182">
        <w:rPr>
          <w:rFonts w:cstheme="minorHAnsi"/>
        </w:rPr>
        <w:t xml:space="preserve"> </w:t>
      </w:r>
      <w:r w:rsidR="00F14267" w:rsidRPr="00675182">
        <w:rPr>
          <w:rFonts w:cstheme="minorHAnsi"/>
          <w:bCs/>
        </w:rPr>
        <w:t>Gaujas un Daugavas UBAAP 2022. – 2027. gadam kā galvenais mērķis ir norādīts sasniegt vismaz labas ekoloģiskās kvalitātes/potenciāla klases zemāko robežu visos ŪO, kā arī noteikti apsaimniekošanas mērķi, lai nodrošinātu biogēnu slodzes samazinājumu, ŪO nepārtrauktību un ekoloģisko caurplūdumu.</w:t>
      </w:r>
    </w:p>
    <w:p w14:paraId="2B8D2D0C" w14:textId="68C8E4E2" w:rsidR="00246ECC" w:rsidRPr="00675182" w:rsidRDefault="00246ECC" w:rsidP="00A3157F">
      <w:pPr>
        <w:jc w:val="both"/>
        <w:rPr>
          <w:rFonts w:cstheme="minorHAnsi"/>
          <w:szCs w:val="24"/>
        </w:rPr>
      </w:pPr>
    </w:p>
    <w:p w14:paraId="287F46B1" w14:textId="00ED89CC" w:rsidR="002C09DC" w:rsidRPr="00675182" w:rsidRDefault="00F14267" w:rsidP="002C09DC">
      <w:pPr>
        <w:pStyle w:val="BodyText"/>
        <w:spacing w:after="0"/>
        <w:jc w:val="both"/>
        <w:rPr>
          <w:rFonts w:cstheme="minorHAnsi"/>
          <w:lang w:val="lv-LV"/>
        </w:rPr>
      </w:pPr>
      <w:r w:rsidRPr="00675182">
        <w:rPr>
          <w:rFonts w:cstheme="minorHAnsi"/>
          <w:spacing w:val="-1"/>
          <w:lang w:val="lv-LV"/>
        </w:rPr>
        <w:t>Virszemes</w:t>
      </w:r>
      <w:r w:rsidRPr="00675182">
        <w:rPr>
          <w:rFonts w:cstheme="minorHAnsi"/>
          <w:lang w:val="lv-LV"/>
        </w:rPr>
        <w:t xml:space="preserve"> </w:t>
      </w:r>
      <w:r w:rsidRPr="00675182">
        <w:rPr>
          <w:rFonts w:cstheme="minorHAnsi"/>
          <w:spacing w:val="-1"/>
          <w:lang w:val="lv-LV"/>
        </w:rPr>
        <w:t>ŪO</w:t>
      </w:r>
      <w:r w:rsidRPr="00675182">
        <w:rPr>
          <w:rFonts w:cstheme="minorHAnsi"/>
          <w:spacing w:val="-2"/>
          <w:lang w:val="lv-LV"/>
        </w:rPr>
        <w:t xml:space="preserve"> </w:t>
      </w:r>
      <w:r w:rsidRPr="00675182">
        <w:rPr>
          <w:rFonts w:cstheme="minorHAnsi"/>
          <w:spacing w:val="-1"/>
          <w:lang w:val="lv-LV"/>
        </w:rPr>
        <w:t>ķīmiskā</w:t>
      </w:r>
      <w:r w:rsidRPr="00675182">
        <w:rPr>
          <w:rFonts w:cstheme="minorHAnsi"/>
          <w:spacing w:val="-2"/>
          <w:lang w:val="lv-LV"/>
        </w:rPr>
        <w:t xml:space="preserve"> </w:t>
      </w:r>
      <w:r w:rsidRPr="00675182">
        <w:rPr>
          <w:rFonts w:cstheme="minorHAnsi"/>
          <w:spacing w:val="-1"/>
          <w:lang w:val="lv-LV"/>
        </w:rPr>
        <w:t>kvalitāte</w:t>
      </w:r>
      <w:r w:rsidRPr="00675182">
        <w:rPr>
          <w:rFonts w:cstheme="minorHAnsi"/>
          <w:spacing w:val="-2"/>
          <w:lang w:val="lv-LV"/>
        </w:rPr>
        <w:t xml:space="preserve"> </w:t>
      </w:r>
      <w:r w:rsidRPr="00675182">
        <w:rPr>
          <w:rFonts w:cstheme="minorHAnsi"/>
          <w:spacing w:val="-1"/>
          <w:lang w:val="lv-LV"/>
        </w:rPr>
        <w:t>tiek</w:t>
      </w:r>
      <w:r w:rsidRPr="00675182">
        <w:rPr>
          <w:rFonts w:cstheme="minorHAnsi"/>
          <w:spacing w:val="-2"/>
          <w:lang w:val="lv-LV"/>
        </w:rPr>
        <w:t xml:space="preserve"> </w:t>
      </w:r>
      <w:r w:rsidRPr="00675182">
        <w:rPr>
          <w:rFonts w:cstheme="minorHAnsi"/>
          <w:spacing w:val="-1"/>
          <w:lang w:val="lv-LV"/>
        </w:rPr>
        <w:t>vērtēta,</w:t>
      </w:r>
      <w:r w:rsidRPr="00675182">
        <w:rPr>
          <w:rFonts w:cstheme="minorHAnsi"/>
          <w:lang w:val="lv-LV"/>
        </w:rPr>
        <w:t xml:space="preserve"> b</w:t>
      </w:r>
      <w:r w:rsidRPr="00675182">
        <w:rPr>
          <w:rFonts w:cstheme="minorHAnsi"/>
          <w:spacing w:val="-1"/>
          <w:lang w:val="lv-LV"/>
        </w:rPr>
        <w:t>alstoties uz monitoringa ietvaros konstatētajām prioritāro vielu koncentrācijām un normatīvajos</w:t>
      </w:r>
      <w:r w:rsidRPr="00675182">
        <w:rPr>
          <w:rFonts w:cstheme="minorHAnsi"/>
          <w:spacing w:val="-2"/>
          <w:lang w:val="lv-LV"/>
        </w:rPr>
        <w:t xml:space="preserve"> </w:t>
      </w:r>
      <w:r w:rsidRPr="00675182">
        <w:rPr>
          <w:rFonts w:cstheme="minorHAnsi"/>
          <w:spacing w:val="-1"/>
          <w:lang w:val="lv-LV"/>
        </w:rPr>
        <w:t>aktos</w:t>
      </w:r>
      <w:r w:rsidRPr="00675182">
        <w:rPr>
          <w:rFonts w:cstheme="minorHAnsi"/>
          <w:spacing w:val="-5"/>
          <w:lang w:val="lv-LV"/>
        </w:rPr>
        <w:t xml:space="preserve"> </w:t>
      </w:r>
      <w:r w:rsidRPr="00675182">
        <w:rPr>
          <w:rFonts w:cstheme="minorHAnsi"/>
          <w:spacing w:val="-1"/>
          <w:lang w:val="lv-LV"/>
        </w:rPr>
        <w:t>noteiktajiem</w:t>
      </w:r>
      <w:r w:rsidRPr="00675182">
        <w:rPr>
          <w:rFonts w:cstheme="minorHAnsi"/>
          <w:spacing w:val="1"/>
          <w:lang w:val="lv-LV"/>
        </w:rPr>
        <w:t xml:space="preserve"> </w:t>
      </w:r>
      <w:r w:rsidRPr="00675182">
        <w:rPr>
          <w:rFonts w:cstheme="minorHAnsi"/>
          <w:spacing w:val="-1"/>
          <w:lang w:val="lv-LV"/>
        </w:rPr>
        <w:t>robežlielumiem gada vidējām koncentrācijām.</w:t>
      </w:r>
      <w:r w:rsidRPr="00675182">
        <w:rPr>
          <w:rFonts w:cstheme="minorHAnsi"/>
          <w:spacing w:val="-3"/>
          <w:lang w:val="lv-LV"/>
        </w:rPr>
        <w:t xml:space="preserve"> </w:t>
      </w:r>
      <w:r w:rsidRPr="00675182">
        <w:rPr>
          <w:rFonts w:cstheme="minorHAnsi"/>
          <w:spacing w:val="-1"/>
          <w:lang w:val="lv-LV"/>
        </w:rPr>
        <w:t>Saskaņā</w:t>
      </w:r>
      <w:r w:rsidRPr="00675182">
        <w:rPr>
          <w:rFonts w:cstheme="minorHAnsi"/>
          <w:lang w:val="lv-LV"/>
        </w:rPr>
        <w:t xml:space="preserve"> </w:t>
      </w:r>
      <w:r w:rsidRPr="00675182">
        <w:rPr>
          <w:rFonts w:cstheme="minorHAnsi"/>
          <w:spacing w:val="-1"/>
          <w:lang w:val="lv-LV"/>
        </w:rPr>
        <w:t>ar</w:t>
      </w:r>
      <w:r w:rsidRPr="00675182">
        <w:rPr>
          <w:rFonts w:cstheme="minorHAnsi"/>
          <w:spacing w:val="-2"/>
          <w:lang w:val="lv-LV"/>
        </w:rPr>
        <w:t xml:space="preserve"> </w:t>
      </w:r>
      <w:r w:rsidRPr="00675182">
        <w:rPr>
          <w:rFonts w:cstheme="minorHAnsi"/>
          <w:spacing w:val="-1"/>
          <w:lang w:val="lv-LV"/>
        </w:rPr>
        <w:t>Gaujas un Daugavas</w:t>
      </w:r>
      <w:r w:rsidRPr="00675182">
        <w:rPr>
          <w:rFonts w:cstheme="minorHAnsi"/>
          <w:spacing w:val="71"/>
          <w:lang w:val="lv-LV"/>
        </w:rPr>
        <w:t xml:space="preserve"> </w:t>
      </w:r>
      <w:r w:rsidRPr="00675182">
        <w:rPr>
          <w:rFonts w:cstheme="minorHAnsi"/>
          <w:spacing w:val="-1"/>
          <w:lang w:val="lv-LV"/>
        </w:rPr>
        <w:t>UBAAP</w:t>
      </w:r>
      <w:r w:rsidRPr="00675182">
        <w:rPr>
          <w:rFonts w:cstheme="minorHAnsi"/>
          <w:spacing w:val="1"/>
          <w:lang w:val="lv-LV"/>
        </w:rPr>
        <w:t xml:space="preserve"> </w:t>
      </w:r>
      <w:r w:rsidRPr="00675182">
        <w:rPr>
          <w:rFonts w:cstheme="minorHAnsi"/>
          <w:spacing w:val="-1"/>
          <w:lang w:val="lv-LV"/>
        </w:rPr>
        <w:t>2022.–2027.</w:t>
      </w:r>
      <w:r w:rsidRPr="00675182">
        <w:rPr>
          <w:rFonts w:cstheme="minorHAnsi"/>
          <w:lang w:val="lv-LV"/>
        </w:rPr>
        <w:t xml:space="preserve"> </w:t>
      </w:r>
      <w:r w:rsidRPr="00675182">
        <w:rPr>
          <w:rFonts w:cstheme="minorHAnsi"/>
          <w:spacing w:val="-1"/>
          <w:lang w:val="lv-LV"/>
        </w:rPr>
        <w:t>gadam</w:t>
      </w:r>
      <w:r w:rsidRPr="00675182">
        <w:rPr>
          <w:rFonts w:cstheme="minorHAnsi"/>
          <w:lang w:val="lv-LV"/>
        </w:rPr>
        <w:t xml:space="preserve"> </w:t>
      </w:r>
      <w:r w:rsidRPr="00675182">
        <w:rPr>
          <w:rFonts w:cstheme="minorHAnsi"/>
          <w:spacing w:val="-1"/>
          <w:lang w:val="lv-LV"/>
        </w:rPr>
        <w:t>datiem,</w:t>
      </w:r>
      <w:r w:rsidRPr="00675182">
        <w:rPr>
          <w:rFonts w:cstheme="minorHAnsi"/>
          <w:lang w:val="lv-LV"/>
        </w:rPr>
        <w:t xml:space="preserve"> </w:t>
      </w:r>
      <w:r w:rsidRPr="00675182">
        <w:rPr>
          <w:rFonts w:cstheme="minorHAnsi"/>
          <w:spacing w:val="-1"/>
          <w:lang w:val="lv-LV"/>
        </w:rPr>
        <w:t>ķīmiskā</w:t>
      </w:r>
      <w:r w:rsidRPr="00675182">
        <w:rPr>
          <w:rFonts w:cstheme="minorHAnsi"/>
          <w:lang w:val="lv-LV"/>
        </w:rPr>
        <w:t xml:space="preserve"> </w:t>
      </w:r>
      <w:r w:rsidRPr="00675182">
        <w:rPr>
          <w:rFonts w:cstheme="minorHAnsi"/>
          <w:spacing w:val="-1"/>
          <w:lang w:val="lv-LV"/>
        </w:rPr>
        <w:t>kvalitāte</w:t>
      </w:r>
      <w:r w:rsidRPr="00675182">
        <w:rPr>
          <w:rFonts w:cstheme="minorHAnsi"/>
          <w:spacing w:val="1"/>
          <w:lang w:val="lv-LV"/>
        </w:rPr>
        <w:t xml:space="preserve"> GNP teritorijā </w:t>
      </w:r>
      <w:r w:rsidRPr="00675182">
        <w:rPr>
          <w:rFonts w:cstheme="minorHAnsi"/>
          <w:spacing w:val="-1"/>
          <w:lang w:val="lv-LV"/>
        </w:rPr>
        <w:t>ir</w:t>
      </w:r>
      <w:r w:rsidRPr="00675182">
        <w:rPr>
          <w:rFonts w:cstheme="minorHAnsi"/>
          <w:spacing w:val="-2"/>
          <w:lang w:val="lv-LV"/>
        </w:rPr>
        <w:t xml:space="preserve"> </w:t>
      </w:r>
      <w:r w:rsidRPr="00675182">
        <w:rPr>
          <w:rFonts w:cstheme="minorHAnsi"/>
          <w:spacing w:val="-1"/>
          <w:lang w:val="lv-LV"/>
        </w:rPr>
        <w:t>vērtēta</w:t>
      </w:r>
      <w:r w:rsidRPr="00675182">
        <w:rPr>
          <w:rFonts w:cstheme="minorHAnsi"/>
          <w:spacing w:val="-2"/>
          <w:lang w:val="lv-LV"/>
        </w:rPr>
        <w:t xml:space="preserve"> </w:t>
      </w:r>
      <w:r w:rsidR="002C09DC" w:rsidRPr="00675182">
        <w:rPr>
          <w:rFonts w:cstheme="minorHAnsi"/>
          <w:spacing w:val="-1"/>
          <w:lang w:val="lv-LV"/>
        </w:rPr>
        <w:t>6</w:t>
      </w:r>
      <w:r w:rsidRPr="00675182">
        <w:rPr>
          <w:rFonts w:cstheme="minorHAnsi"/>
          <w:lang w:val="lv-LV"/>
        </w:rPr>
        <w:t xml:space="preserve"> </w:t>
      </w:r>
      <w:r w:rsidR="00903048">
        <w:rPr>
          <w:rFonts w:cstheme="minorHAnsi"/>
          <w:spacing w:val="-1"/>
          <w:lang w:val="lv-LV"/>
        </w:rPr>
        <w:t>ŪO</w:t>
      </w:r>
      <w:r w:rsidR="00B254AA" w:rsidRPr="00675182">
        <w:rPr>
          <w:rFonts w:cstheme="minorHAnsi"/>
          <w:lang w:val="lv-LV"/>
        </w:rPr>
        <w:t xml:space="preserve">, no kuriem </w:t>
      </w:r>
      <w:r w:rsidR="002C09DC" w:rsidRPr="00675182">
        <w:rPr>
          <w:rFonts w:cstheme="minorHAnsi"/>
          <w:lang w:val="lv-LV"/>
        </w:rPr>
        <w:t>5</w:t>
      </w:r>
      <w:r w:rsidR="00B254AA" w:rsidRPr="00675182">
        <w:rPr>
          <w:rFonts w:cstheme="minorHAnsi"/>
          <w:lang w:val="lv-LV"/>
        </w:rPr>
        <w:t xml:space="preserve"> (</w:t>
      </w:r>
      <w:r w:rsidR="002C09DC" w:rsidRPr="00675182">
        <w:rPr>
          <w:rFonts w:cstheme="minorHAnsi"/>
          <w:lang w:val="lv-LV"/>
        </w:rPr>
        <w:t xml:space="preserve">G205 Gauja_16, G206 Brasla_3, G209 Gauja_15, G215 Gauja_11, G278 Gauja_14) </w:t>
      </w:r>
      <w:r w:rsidR="002C09DC" w:rsidRPr="00675182">
        <w:rPr>
          <w:rFonts w:cstheme="minorHAnsi"/>
          <w:spacing w:val="-1"/>
          <w:lang w:val="lv-LV"/>
        </w:rPr>
        <w:t>ir novērtēta kā slikta,</w:t>
      </w:r>
      <w:r w:rsidR="002C09DC" w:rsidRPr="00675182">
        <w:rPr>
          <w:rFonts w:cstheme="minorHAnsi"/>
          <w:lang w:val="lv-LV"/>
        </w:rPr>
        <w:t xml:space="preserve"> bet vienā (G277 Gauja_13) kā laba. Visos ŪO kā vielas, kas nosaka sliktu ķīmisko kvalitāti minētas, benz(a)pirēns un heptahlors.</w:t>
      </w:r>
    </w:p>
    <w:p w14:paraId="24A064A5" w14:textId="77777777" w:rsidR="002C09DC" w:rsidRPr="00675182" w:rsidRDefault="002C09DC" w:rsidP="002C09DC">
      <w:pPr>
        <w:pStyle w:val="BodyText"/>
        <w:spacing w:after="0"/>
        <w:jc w:val="both"/>
        <w:rPr>
          <w:rFonts w:cstheme="minorHAnsi"/>
          <w:lang w:val="lv-LV"/>
        </w:rPr>
      </w:pPr>
    </w:p>
    <w:p w14:paraId="4C7AB59F" w14:textId="33CBFBAD" w:rsidR="00D36057" w:rsidRPr="00675182" w:rsidRDefault="00D36057" w:rsidP="002C09DC">
      <w:pPr>
        <w:pStyle w:val="BodyText"/>
        <w:spacing w:after="0"/>
        <w:jc w:val="both"/>
        <w:rPr>
          <w:rFonts w:cstheme="minorHAnsi"/>
          <w:bCs/>
          <w:lang w:val="lv-LV"/>
        </w:rPr>
      </w:pPr>
      <w:r w:rsidRPr="00675182">
        <w:rPr>
          <w:rFonts w:cstheme="minorHAnsi"/>
          <w:bCs/>
          <w:lang w:val="lv-LV"/>
        </w:rPr>
        <w:t xml:space="preserve">Ūdens kvalitāti GNP teritorijā lielā mērā nosaka tās upes, kuras plūst caur ĪADT vai kuras drenē noteci no saviem baseiniem un daļbaseiniem pa straumi augšpus no GNP. Šādā kontekstā ietekmes izvērtējamas plašākā teritorijā, ietverot Gaujas plūdumu Latvijas un Igaunijas teritorijā līdz GNP teritorijai, kā arī virkni mazo upju un upīšu, no kurām lielākās ir Amata, Rauna, Brasla, Kumada, Grūba, Skaļupe, Līgatne, Loja, Lorupe, Inčupe u.c. Katra šī virszemes </w:t>
      </w:r>
      <w:r w:rsidR="009834A0">
        <w:rPr>
          <w:rFonts w:cstheme="minorHAnsi"/>
          <w:bCs/>
          <w:lang w:val="lv-LV"/>
        </w:rPr>
        <w:t>ŪO</w:t>
      </w:r>
      <w:r w:rsidR="009834A0" w:rsidRPr="00675182">
        <w:rPr>
          <w:rFonts w:cstheme="minorHAnsi"/>
          <w:bCs/>
          <w:lang w:val="lv-LV"/>
        </w:rPr>
        <w:t xml:space="preserve"> </w:t>
      </w:r>
      <w:r w:rsidRPr="00675182">
        <w:rPr>
          <w:rFonts w:cstheme="minorHAnsi"/>
          <w:bCs/>
          <w:lang w:val="lv-LV"/>
        </w:rPr>
        <w:t>ekoloģiskā kvalitāte veidojas summējoties punktveida un difūzā piesārņojuma slodzēm, kuras savukārt nosaka ūdens kvalitāti Gaujā un arī GNP.</w:t>
      </w:r>
    </w:p>
    <w:p w14:paraId="339F644D" w14:textId="04D799EB" w:rsidR="00D36057" w:rsidRPr="00675182" w:rsidRDefault="00D36057" w:rsidP="00966A1C">
      <w:pPr>
        <w:pStyle w:val="ListParagraph"/>
        <w:ind w:left="0"/>
        <w:jc w:val="both"/>
        <w:rPr>
          <w:rFonts w:cstheme="minorHAnsi"/>
          <w:bCs/>
        </w:rPr>
      </w:pPr>
    </w:p>
    <w:p w14:paraId="523F33C0" w14:textId="400755E8" w:rsidR="00D36057" w:rsidRPr="00675182" w:rsidRDefault="00D36057" w:rsidP="00D36057">
      <w:pPr>
        <w:pStyle w:val="ListParagraph"/>
        <w:ind w:left="0"/>
        <w:jc w:val="both"/>
        <w:rPr>
          <w:rFonts w:cstheme="minorHAnsi"/>
          <w:bCs/>
        </w:rPr>
      </w:pPr>
      <w:r w:rsidRPr="00675182">
        <w:rPr>
          <w:rFonts w:cstheme="minorHAnsi"/>
          <w:bCs/>
        </w:rPr>
        <w:t>Galvenie punktveida piesārņojumu radošie avoti ir sadzīves un rūpnieciskie notekūdeņi no NAI. Kopumā ĪADT un tās tiešā tuvumā ir 65 NAI, kurām izsniegtas B kategorijas piesārņojošās darbības atļauj</w:t>
      </w:r>
      <w:r w:rsidR="00937781" w:rsidRPr="00675182">
        <w:rPr>
          <w:rFonts w:cstheme="minorHAnsi"/>
          <w:bCs/>
        </w:rPr>
        <w:t>as</w:t>
      </w:r>
      <w:r w:rsidRPr="00675182">
        <w:rPr>
          <w:rFonts w:cstheme="minorHAnsi"/>
          <w:bCs/>
        </w:rPr>
        <w:t>, no tām tieši GNP teritorijā – 26. Lielākie notekūdeņu avoti GNP teritorijā un tās tiešā tuvumā ir Valmiera (24868 iedzīvotāji; PMLP Iedzīvotāju reģistra statistika 2021. g. dati), Cēsis (16632 iedzīvotāji, PMLP Iedzīvotāju reģistra statistika 2021. g. dati) un Sigulda (14885 iedzīvotāji, PMLP Iedzīvotāju reģistra statistika 2021. g. dati).</w:t>
      </w:r>
    </w:p>
    <w:p w14:paraId="10DE37A1" w14:textId="3808D662" w:rsidR="002A1B40" w:rsidRPr="00675182" w:rsidRDefault="002A1B40" w:rsidP="00966A1C">
      <w:pPr>
        <w:pStyle w:val="ListParagraph"/>
        <w:ind w:left="0"/>
        <w:jc w:val="both"/>
        <w:rPr>
          <w:rFonts w:cstheme="minorHAnsi"/>
          <w:bCs/>
        </w:rPr>
      </w:pPr>
    </w:p>
    <w:p w14:paraId="3B43C9A1" w14:textId="281C60FC" w:rsidR="002A1B40" w:rsidRPr="00675182" w:rsidRDefault="002A1B40" w:rsidP="002A1B40">
      <w:pPr>
        <w:keepNext/>
        <w:rPr>
          <w:rFonts w:cstheme="minorHAnsi"/>
          <w:b/>
          <w:i/>
          <w:szCs w:val="24"/>
        </w:rPr>
      </w:pPr>
      <w:r w:rsidRPr="00675182">
        <w:rPr>
          <w:rFonts w:cstheme="minorHAnsi"/>
          <w:b/>
          <w:i/>
          <w:szCs w:val="24"/>
        </w:rPr>
        <w:lastRenderedPageBreak/>
        <w:t>1.</w:t>
      </w:r>
      <w:r w:rsidR="008A0F48" w:rsidRPr="00675182">
        <w:rPr>
          <w:rFonts w:cstheme="minorHAnsi"/>
          <w:b/>
          <w:i/>
          <w:szCs w:val="24"/>
        </w:rPr>
        <w:t>2</w:t>
      </w:r>
      <w:r w:rsidRPr="00675182">
        <w:rPr>
          <w:rFonts w:cstheme="minorHAnsi"/>
          <w:b/>
          <w:i/>
          <w:szCs w:val="24"/>
        </w:rPr>
        <w:t xml:space="preserve">.1. tabula. Virszemes </w:t>
      </w:r>
      <w:r w:rsidR="00946E3F">
        <w:rPr>
          <w:rFonts w:cstheme="minorHAnsi"/>
          <w:b/>
          <w:i/>
          <w:szCs w:val="24"/>
        </w:rPr>
        <w:t>ŪO</w:t>
      </w:r>
      <w:r w:rsidRPr="00675182">
        <w:rPr>
          <w:rFonts w:cstheme="minorHAnsi"/>
          <w:b/>
          <w:i/>
          <w:szCs w:val="24"/>
        </w:rPr>
        <w:t>, to</w:t>
      </w:r>
      <w:r w:rsidR="009C40A5" w:rsidRPr="00675182">
        <w:rPr>
          <w:rFonts w:cstheme="minorHAnsi"/>
          <w:b/>
          <w:i/>
          <w:szCs w:val="24"/>
        </w:rPr>
        <w:t xml:space="preserve"> ekoloģiskā</w:t>
      </w:r>
      <w:r w:rsidRPr="00675182">
        <w:rPr>
          <w:rFonts w:cstheme="minorHAnsi"/>
          <w:b/>
          <w:i/>
          <w:szCs w:val="24"/>
        </w:rPr>
        <w:t xml:space="preserve"> kvalitāte</w:t>
      </w:r>
      <w:r w:rsidR="00B00E6E" w:rsidRPr="00675182">
        <w:rPr>
          <w:rFonts w:cstheme="minorHAnsi"/>
          <w:b/>
          <w:i/>
          <w:szCs w:val="24"/>
        </w:rPr>
        <w:t>/potenciāls</w:t>
      </w:r>
      <w:r w:rsidRPr="00675182">
        <w:rPr>
          <w:rFonts w:cstheme="minorHAnsi"/>
          <w:b/>
          <w:i/>
          <w:szCs w:val="24"/>
        </w:rPr>
        <w:t xml:space="preserve"> un ietekmējošie faktori GNP teritorijā</w:t>
      </w:r>
    </w:p>
    <w:tbl>
      <w:tblPr>
        <w:tblW w:w="5000" w:type="pct"/>
        <w:tblLayout w:type="fixed"/>
        <w:tblLook w:val="04A0" w:firstRow="1" w:lastRow="0" w:firstColumn="1" w:lastColumn="0" w:noHBand="0" w:noVBand="1"/>
      </w:tblPr>
      <w:tblGrid>
        <w:gridCol w:w="702"/>
        <w:gridCol w:w="1561"/>
        <w:gridCol w:w="994"/>
        <w:gridCol w:w="1416"/>
        <w:gridCol w:w="2127"/>
        <w:gridCol w:w="1501"/>
      </w:tblGrid>
      <w:tr w:rsidR="00951DED" w:rsidRPr="00675182" w14:paraId="490091E2" w14:textId="77777777" w:rsidTr="00951DED">
        <w:trPr>
          <w:trHeight w:val="57"/>
          <w:tblHeader/>
        </w:trPr>
        <w:tc>
          <w:tcPr>
            <w:tcW w:w="423"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70AA2A4E" w14:textId="77777777" w:rsidR="00883DD8" w:rsidRPr="00675182" w:rsidRDefault="00883DD8" w:rsidP="00883DD8">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Kods</w:t>
            </w:r>
          </w:p>
        </w:tc>
        <w:tc>
          <w:tcPr>
            <w:tcW w:w="940"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4B25DAB6" w14:textId="77777777" w:rsidR="00883DD8" w:rsidRPr="00675182" w:rsidRDefault="00883DD8" w:rsidP="00883DD8">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Ūdensobjekta nosaukums</w:t>
            </w:r>
          </w:p>
        </w:tc>
        <w:tc>
          <w:tcPr>
            <w:tcW w:w="599" w:type="pct"/>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6445302" w14:textId="77777777" w:rsidR="00883DD8" w:rsidRPr="00675182" w:rsidRDefault="00883DD8" w:rsidP="00883DD8">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Platība, ha</w:t>
            </w:r>
          </w:p>
        </w:tc>
        <w:tc>
          <w:tcPr>
            <w:tcW w:w="853" w:type="pct"/>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63133DE" w14:textId="77777777" w:rsidR="00883DD8" w:rsidRPr="00675182" w:rsidRDefault="00883DD8" w:rsidP="00883DD8">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T.sk. platība (ha) GNP teritorijā</w:t>
            </w:r>
          </w:p>
        </w:tc>
        <w:tc>
          <w:tcPr>
            <w:tcW w:w="1281"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289F91B5" w14:textId="77777777" w:rsidR="00883DD8" w:rsidRPr="00675182" w:rsidRDefault="00883DD8" w:rsidP="00883DD8">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Slodzes veids</w:t>
            </w:r>
          </w:p>
        </w:tc>
        <w:tc>
          <w:tcPr>
            <w:tcW w:w="904"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0CA5A03A" w14:textId="09554D18" w:rsidR="00883DD8" w:rsidRPr="00675182" w:rsidRDefault="004814AD" w:rsidP="00883DD8">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Ekoloģiskā kvalitāte/potenciāls</w:t>
            </w:r>
          </w:p>
        </w:tc>
      </w:tr>
      <w:tr w:rsidR="00951DED" w:rsidRPr="00675182" w14:paraId="62C89434" w14:textId="77777777" w:rsidTr="00951DE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35E96983"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G202</w:t>
            </w:r>
          </w:p>
        </w:tc>
        <w:tc>
          <w:tcPr>
            <w:tcW w:w="940" w:type="pct"/>
            <w:tcBorders>
              <w:top w:val="nil"/>
              <w:left w:val="nil"/>
              <w:bottom w:val="single" w:sz="4" w:space="0" w:color="auto"/>
              <w:right w:val="single" w:sz="4" w:space="0" w:color="auto"/>
            </w:tcBorders>
            <w:shd w:val="clear" w:color="auto" w:fill="auto"/>
            <w:noWrap/>
            <w:vAlign w:val="center"/>
            <w:hideMark/>
          </w:tcPr>
          <w:p w14:paraId="56819B55"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Līgatne</w:t>
            </w:r>
          </w:p>
        </w:tc>
        <w:tc>
          <w:tcPr>
            <w:tcW w:w="599" w:type="pct"/>
            <w:tcBorders>
              <w:top w:val="nil"/>
              <w:left w:val="nil"/>
              <w:bottom w:val="single" w:sz="4" w:space="0" w:color="auto"/>
              <w:right w:val="single" w:sz="4" w:space="0" w:color="auto"/>
            </w:tcBorders>
            <w:shd w:val="clear" w:color="auto" w:fill="auto"/>
            <w:noWrap/>
            <w:vAlign w:val="center"/>
            <w:hideMark/>
          </w:tcPr>
          <w:p w14:paraId="4530F66D"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8885</w:t>
            </w:r>
          </w:p>
        </w:tc>
        <w:tc>
          <w:tcPr>
            <w:tcW w:w="853" w:type="pct"/>
            <w:tcBorders>
              <w:top w:val="nil"/>
              <w:left w:val="nil"/>
              <w:bottom w:val="single" w:sz="4" w:space="0" w:color="auto"/>
              <w:right w:val="single" w:sz="4" w:space="0" w:color="auto"/>
            </w:tcBorders>
            <w:shd w:val="clear" w:color="auto" w:fill="auto"/>
            <w:noWrap/>
            <w:vAlign w:val="center"/>
            <w:hideMark/>
          </w:tcPr>
          <w:p w14:paraId="026A98AE"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2613</w:t>
            </w:r>
          </w:p>
        </w:tc>
        <w:tc>
          <w:tcPr>
            <w:tcW w:w="1281" w:type="pct"/>
            <w:tcBorders>
              <w:top w:val="nil"/>
              <w:left w:val="nil"/>
              <w:bottom w:val="single" w:sz="4" w:space="0" w:color="auto"/>
              <w:right w:val="single" w:sz="4" w:space="0" w:color="auto"/>
            </w:tcBorders>
            <w:shd w:val="clear" w:color="auto" w:fill="auto"/>
            <w:vAlign w:val="center"/>
            <w:hideMark/>
          </w:tcPr>
          <w:p w14:paraId="4E6FFFF6" w14:textId="1DB8D4EB" w:rsidR="00883DD8" w:rsidRPr="00675182" w:rsidRDefault="00883DD8" w:rsidP="00883DD8">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00B0F0"/>
            <w:noWrap/>
            <w:vAlign w:val="center"/>
            <w:hideMark/>
          </w:tcPr>
          <w:p w14:paraId="39BB556A" w14:textId="5D0F2FD8" w:rsidR="00883DD8" w:rsidRPr="00675182" w:rsidRDefault="004814AD"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Augsta</w:t>
            </w:r>
          </w:p>
        </w:tc>
      </w:tr>
      <w:tr w:rsidR="00951DED" w:rsidRPr="00675182" w14:paraId="04FB2418" w14:textId="77777777" w:rsidTr="00951DE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43EA80C8"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G203</w:t>
            </w:r>
          </w:p>
        </w:tc>
        <w:tc>
          <w:tcPr>
            <w:tcW w:w="940" w:type="pct"/>
            <w:tcBorders>
              <w:top w:val="nil"/>
              <w:left w:val="nil"/>
              <w:bottom w:val="single" w:sz="4" w:space="0" w:color="auto"/>
              <w:right w:val="single" w:sz="4" w:space="0" w:color="auto"/>
            </w:tcBorders>
            <w:shd w:val="clear" w:color="auto" w:fill="auto"/>
            <w:noWrap/>
            <w:vAlign w:val="center"/>
            <w:hideMark/>
          </w:tcPr>
          <w:p w14:paraId="165B5618"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Lenčupe</w:t>
            </w:r>
          </w:p>
        </w:tc>
        <w:tc>
          <w:tcPr>
            <w:tcW w:w="599" w:type="pct"/>
            <w:tcBorders>
              <w:top w:val="nil"/>
              <w:left w:val="nil"/>
              <w:bottom w:val="single" w:sz="4" w:space="0" w:color="auto"/>
              <w:right w:val="single" w:sz="4" w:space="0" w:color="auto"/>
            </w:tcBorders>
            <w:shd w:val="clear" w:color="auto" w:fill="auto"/>
            <w:noWrap/>
            <w:vAlign w:val="center"/>
            <w:hideMark/>
          </w:tcPr>
          <w:p w14:paraId="49029D9A"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8347</w:t>
            </w:r>
          </w:p>
        </w:tc>
        <w:tc>
          <w:tcPr>
            <w:tcW w:w="853" w:type="pct"/>
            <w:tcBorders>
              <w:top w:val="nil"/>
              <w:left w:val="nil"/>
              <w:bottom w:val="single" w:sz="4" w:space="0" w:color="auto"/>
              <w:right w:val="single" w:sz="4" w:space="0" w:color="auto"/>
            </w:tcBorders>
            <w:shd w:val="clear" w:color="auto" w:fill="auto"/>
            <w:noWrap/>
            <w:vAlign w:val="center"/>
            <w:hideMark/>
          </w:tcPr>
          <w:p w14:paraId="0464F058"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4114</w:t>
            </w:r>
          </w:p>
        </w:tc>
        <w:tc>
          <w:tcPr>
            <w:tcW w:w="1281" w:type="pct"/>
            <w:tcBorders>
              <w:top w:val="nil"/>
              <w:left w:val="nil"/>
              <w:bottom w:val="single" w:sz="4" w:space="0" w:color="auto"/>
              <w:right w:val="single" w:sz="4" w:space="0" w:color="auto"/>
            </w:tcBorders>
            <w:shd w:val="clear" w:color="auto" w:fill="auto"/>
            <w:vAlign w:val="center"/>
            <w:hideMark/>
          </w:tcPr>
          <w:p w14:paraId="2F6519D1" w14:textId="56CD0A58" w:rsidR="00883DD8" w:rsidRPr="00675182" w:rsidRDefault="00883DD8" w:rsidP="00883DD8">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vAlign w:val="center"/>
            <w:hideMark/>
          </w:tcPr>
          <w:p w14:paraId="549C2318" w14:textId="48C4E941" w:rsidR="00883DD8" w:rsidRPr="00675182" w:rsidRDefault="004814AD"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0B6567C1"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31A44E10"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G204</w:t>
            </w:r>
          </w:p>
        </w:tc>
        <w:tc>
          <w:tcPr>
            <w:tcW w:w="940" w:type="pct"/>
            <w:tcBorders>
              <w:top w:val="nil"/>
              <w:left w:val="nil"/>
              <w:bottom w:val="single" w:sz="4" w:space="0" w:color="auto"/>
              <w:right w:val="single" w:sz="4" w:space="0" w:color="auto"/>
            </w:tcBorders>
            <w:shd w:val="clear" w:color="auto" w:fill="auto"/>
            <w:noWrap/>
            <w:vAlign w:val="center"/>
            <w:hideMark/>
          </w:tcPr>
          <w:p w14:paraId="07538F23"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Strīķupe</w:t>
            </w:r>
          </w:p>
        </w:tc>
        <w:tc>
          <w:tcPr>
            <w:tcW w:w="599" w:type="pct"/>
            <w:tcBorders>
              <w:top w:val="nil"/>
              <w:left w:val="nil"/>
              <w:bottom w:val="single" w:sz="4" w:space="0" w:color="auto"/>
              <w:right w:val="single" w:sz="4" w:space="0" w:color="auto"/>
            </w:tcBorders>
            <w:shd w:val="clear" w:color="auto" w:fill="auto"/>
            <w:noWrap/>
            <w:vAlign w:val="center"/>
            <w:hideMark/>
          </w:tcPr>
          <w:p w14:paraId="2BA6E498"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3655</w:t>
            </w:r>
          </w:p>
        </w:tc>
        <w:tc>
          <w:tcPr>
            <w:tcW w:w="853" w:type="pct"/>
            <w:tcBorders>
              <w:top w:val="nil"/>
              <w:left w:val="nil"/>
              <w:bottom w:val="single" w:sz="4" w:space="0" w:color="auto"/>
              <w:right w:val="single" w:sz="4" w:space="0" w:color="auto"/>
            </w:tcBorders>
            <w:shd w:val="clear" w:color="auto" w:fill="auto"/>
            <w:noWrap/>
            <w:vAlign w:val="center"/>
            <w:hideMark/>
          </w:tcPr>
          <w:p w14:paraId="3C9C5B82"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2726</w:t>
            </w:r>
          </w:p>
        </w:tc>
        <w:tc>
          <w:tcPr>
            <w:tcW w:w="1281" w:type="pct"/>
            <w:tcBorders>
              <w:top w:val="nil"/>
              <w:left w:val="nil"/>
              <w:bottom w:val="single" w:sz="4" w:space="0" w:color="auto"/>
              <w:right w:val="single" w:sz="4" w:space="0" w:color="auto"/>
            </w:tcBorders>
            <w:shd w:val="clear" w:color="auto" w:fill="auto"/>
            <w:vAlign w:val="center"/>
            <w:hideMark/>
          </w:tcPr>
          <w:p w14:paraId="556F5E38" w14:textId="1312BD0B"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2C7E7BF0" w14:textId="1C319245"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3E6EFBE5"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4C4A081E"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G205</w:t>
            </w:r>
          </w:p>
        </w:tc>
        <w:tc>
          <w:tcPr>
            <w:tcW w:w="940" w:type="pct"/>
            <w:tcBorders>
              <w:top w:val="nil"/>
              <w:left w:val="nil"/>
              <w:bottom w:val="single" w:sz="4" w:space="0" w:color="auto"/>
              <w:right w:val="single" w:sz="4" w:space="0" w:color="auto"/>
            </w:tcBorders>
            <w:shd w:val="clear" w:color="auto" w:fill="auto"/>
            <w:noWrap/>
            <w:vAlign w:val="center"/>
            <w:hideMark/>
          </w:tcPr>
          <w:p w14:paraId="4F2638CB"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Gauja_16</w:t>
            </w:r>
          </w:p>
        </w:tc>
        <w:tc>
          <w:tcPr>
            <w:tcW w:w="599" w:type="pct"/>
            <w:tcBorders>
              <w:top w:val="nil"/>
              <w:left w:val="nil"/>
              <w:bottom w:val="single" w:sz="4" w:space="0" w:color="auto"/>
              <w:right w:val="single" w:sz="4" w:space="0" w:color="auto"/>
            </w:tcBorders>
            <w:shd w:val="clear" w:color="auto" w:fill="auto"/>
            <w:noWrap/>
            <w:vAlign w:val="center"/>
            <w:hideMark/>
          </w:tcPr>
          <w:p w14:paraId="085DB20B"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15754</w:t>
            </w:r>
          </w:p>
        </w:tc>
        <w:tc>
          <w:tcPr>
            <w:tcW w:w="853" w:type="pct"/>
            <w:tcBorders>
              <w:top w:val="nil"/>
              <w:left w:val="nil"/>
              <w:bottom w:val="single" w:sz="4" w:space="0" w:color="auto"/>
              <w:right w:val="single" w:sz="4" w:space="0" w:color="auto"/>
            </w:tcBorders>
            <w:shd w:val="clear" w:color="auto" w:fill="auto"/>
            <w:noWrap/>
            <w:vAlign w:val="center"/>
            <w:hideMark/>
          </w:tcPr>
          <w:p w14:paraId="0D8411DD"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10628</w:t>
            </w:r>
          </w:p>
        </w:tc>
        <w:tc>
          <w:tcPr>
            <w:tcW w:w="1281" w:type="pct"/>
            <w:tcBorders>
              <w:top w:val="nil"/>
              <w:left w:val="nil"/>
              <w:bottom w:val="single" w:sz="4" w:space="0" w:color="auto"/>
              <w:right w:val="single" w:sz="4" w:space="0" w:color="auto"/>
            </w:tcBorders>
            <w:shd w:val="clear" w:color="auto" w:fill="auto"/>
            <w:vAlign w:val="center"/>
            <w:hideMark/>
          </w:tcPr>
          <w:p w14:paraId="1EADF1CD" w14:textId="50EB1820"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122206E3" w14:textId="0A414CAF"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2C6F53CC" w14:textId="77777777" w:rsidTr="004814A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42C25A55"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G206</w:t>
            </w:r>
          </w:p>
        </w:tc>
        <w:tc>
          <w:tcPr>
            <w:tcW w:w="940" w:type="pct"/>
            <w:tcBorders>
              <w:top w:val="nil"/>
              <w:left w:val="nil"/>
              <w:bottom w:val="single" w:sz="4" w:space="0" w:color="auto"/>
              <w:right w:val="single" w:sz="4" w:space="0" w:color="auto"/>
            </w:tcBorders>
            <w:shd w:val="clear" w:color="auto" w:fill="auto"/>
            <w:noWrap/>
            <w:vAlign w:val="center"/>
            <w:hideMark/>
          </w:tcPr>
          <w:p w14:paraId="35103610"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Brasla_3</w:t>
            </w:r>
          </w:p>
        </w:tc>
        <w:tc>
          <w:tcPr>
            <w:tcW w:w="599" w:type="pct"/>
            <w:tcBorders>
              <w:top w:val="nil"/>
              <w:left w:val="nil"/>
              <w:bottom w:val="single" w:sz="4" w:space="0" w:color="auto"/>
              <w:right w:val="single" w:sz="4" w:space="0" w:color="auto"/>
            </w:tcBorders>
            <w:shd w:val="clear" w:color="auto" w:fill="auto"/>
            <w:noWrap/>
            <w:vAlign w:val="center"/>
            <w:hideMark/>
          </w:tcPr>
          <w:p w14:paraId="49F6CCB8"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4571</w:t>
            </w:r>
          </w:p>
        </w:tc>
        <w:tc>
          <w:tcPr>
            <w:tcW w:w="853" w:type="pct"/>
            <w:tcBorders>
              <w:top w:val="nil"/>
              <w:left w:val="nil"/>
              <w:bottom w:val="single" w:sz="4" w:space="0" w:color="auto"/>
              <w:right w:val="single" w:sz="4" w:space="0" w:color="auto"/>
            </w:tcBorders>
            <w:shd w:val="clear" w:color="auto" w:fill="auto"/>
            <w:noWrap/>
            <w:vAlign w:val="center"/>
            <w:hideMark/>
          </w:tcPr>
          <w:p w14:paraId="1C187E92"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3423</w:t>
            </w:r>
          </w:p>
        </w:tc>
        <w:tc>
          <w:tcPr>
            <w:tcW w:w="1281" w:type="pct"/>
            <w:tcBorders>
              <w:top w:val="nil"/>
              <w:left w:val="nil"/>
              <w:bottom w:val="single" w:sz="4" w:space="0" w:color="auto"/>
              <w:right w:val="single" w:sz="4" w:space="0" w:color="auto"/>
            </w:tcBorders>
            <w:shd w:val="clear" w:color="auto" w:fill="auto"/>
            <w:vAlign w:val="center"/>
            <w:hideMark/>
          </w:tcPr>
          <w:p w14:paraId="72BC64B4"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Hidromorfoloģiski pārveidojumi</w:t>
            </w:r>
          </w:p>
        </w:tc>
        <w:tc>
          <w:tcPr>
            <w:tcW w:w="904" w:type="pct"/>
            <w:tcBorders>
              <w:top w:val="nil"/>
              <w:left w:val="nil"/>
              <w:bottom w:val="single" w:sz="4" w:space="0" w:color="auto"/>
              <w:right w:val="single" w:sz="4" w:space="0" w:color="auto"/>
            </w:tcBorders>
            <w:shd w:val="clear" w:color="000000" w:fill="FFFF00"/>
            <w:noWrap/>
            <w:vAlign w:val="center"/>
            <w:hideMark/>
          </w:tcPr>
          <w:p w14:paraId="40703A09" w14:textId="101A64F2"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4814AD" w:rsidRPr="00675182" w14:paraId="45AB4B86" w14:textId="77777777" w:rsidTr="004814A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45EE7B7F"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G207</w:t>
            </w:r>
          </w:p>
        </w:tc>
        <w:tc>
          <w:tcPr>
            <w:tcW w:w="940" w:type="pct"/>
            <w:tcBorders>
              <w:top w:val="nil"/>
              <w:left w:val="nil"/>
              <w:bottom w:val="single" w:sz="4" w:space="0" w:color="auto"/>
              <w:right w:val="single" w:sz="4" w:space="0" w:color="auto"/>
            </w:tcBorders>
            <w:shd w:val="clear" w:color="auto" w:fill="auto"/>
            <w:noWrap/>
            <w:vAlign w:val="center"/>
            <w:hideMark/>
          </w:tcPr>
          <w:p w14:paraId="69048E6D"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Brasla_2</w:t>
            </w:r>
          </w:p>
        </w:tc>
        <w:tc>
          <w:tcPr>
            <w:tcW w:w="599" w:type="pct"/>
            <w:tcBorders>
              <w:top w:val="nil"/>
              <w:left w:val="nil"/>
              <w:bottom w:val="single" w:sz="4" w:space="0" w:color="auto"/>
              <w:right w:val="single" w:sz="4" w:space="0" w:color="auto"/>
            </w:tcBorders>
            <w:shd w:val="clear" w:color="auto" w:fill="auto"/>
            <w:noWrap/>
            <w:vAlign w:val="center"/>
            <w:hideMark/>
          </w:tcPr>
          <w:p w14:paraId="6ED8DCE3"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24321</w:t>
            </w:r>
          </w:p>
        </w:tc>
        <w:tc>
          <w:tcPr>
            <w:tcW w:w="853" w:type="pct"/>
            <w:tcBorders>
              <w:top w:val="nil"/>
              <w:left w:val="nil"/>
              <w:bottom w:val="single" w:sz="4" w:space="0" w:color="auto"/>
              <w:right w:val="single" w:sz="4" w:space="0" w:color="auto"/>
            </w:tcBorders>
            <w:shd w:val="clear" w:color="auto" w:fill="auto"/>
            <w:noWrap/>
            <w:vAlign w:val="center"/>
            <w:hideMark/>
          </w:tcPr>
          <w:p w14:paraId="109EE2E2"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5367</w:t>
            </w:r>
          </w:p>
        </w:tc>
        <w:tc>
          <w:tcPr>
            <w:tcW w:w="1281" w:type="pct"/>
            <w:tcBorders>
              <w:top w:val="nil"/>
              <w:left w:val="nil"/>
              <w:bottom w:val="single" w:sz="4" w:space="0" w:color="auto"/>
              <w:right w:val="single" w:sz="4" w:space="0" w:color="auto"/>
            </w:tcBorders>
            <w:shd w:val="clear" w:color="auto" w:fill="auto"/>
            <w:vAlign w:val="center"/>
            <w:hideMark/>
          </w:tcPr>
          <w:p w14:paraId="3A72B9AA"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Zivju migrācijas neiespējamība</w:t>
            </w:r>
          </w:p>
        </w:tc>
        <w:tc>
          <w:tcPr>
            <w:tcW w:w="904" w:type="pct"/>
            <w:tcBorders>
              <w:top w:val="nil"/>
              <w:left w:val="nil"/>
              <w:bottom w:val="single" w:sz="4" w:space="0" w:color="auto"/>
              <w:right w:val="single" w:sz="4" w:space="0" w:color="auto"/>
            </w:tcBorders>
            <w:shd w:val="clear" w:color="000000" w:fill="FFFF00"/>
            <w:noWrap/>
            <w:vAlign w:val="center"/>
            <w:hideMark/>
          </w:tcPr>
          <w:p w14:paraId="5E49861F" w14:textId="7C83B3DA"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951DED" w:rsidRPr="00675182" w14:paraId="2C5AC5BA" w14:textId="77777777" w:rsidTr="00951DE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577D1B9C"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G209</w:t>
            </w:r>
          </w:p>
        </w:tc>
        <w:tc>
          <w:tcPr>
            <w:tcW w:w="940" w:type="pct"/>
            <w:tcBorders>
              <w:top w:val="nil"/>
              <w:left w:val="nil"/>
              <w:bottom w:val="single" w:sz="4" w:space="0" w:color="auto"/>
              <w:right w:val="single" w:sz="4" w:space="0" w:color="auto"/>
            </w:tcBorders>
            <w:shd w:val="clear" w:color="auto" w:fill="auto"/>
            <w:noWrap/>
            <w:vAlign w:val="center"/>
            <w:hideMark/>
          </w:tcPr>
          <w:p w14:paraId="759917E5"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Gauja_15</w:t>
            </w:r>
          </w:p>
        </w:tc>
        <w:tc>
          <w:tcPr>
            <w:tcW w:w="599" w:type="pct"/>
            <w:tcBorders>
              <w:top w:val="nil"/>
              <w:left w:val="nil"/>
              <w:bottom w:val="single" w:sz="4" w:space="0" w:color="auto"/>
              <w:right w:val="single" w:sz="4" w:space="0" w:color="auto"/>
            </w:tcBorders>
            <w:shd w:val="clear" w:color="auto" w:fill="auto"/>
            <w:noWrap/>
            <w:vAlign w:val="center"/>
            <w:hideMark/>
          </w:tcPr>
          <w:p w14:paraId="0D369F6F"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12497</w:t>
            </w:r>
          </w:p>
        </w:tc>
        <w:tc>
          <w:tcPr>
            <w:tcW w:w="853" w:type="pct"/>
            <w:tcBorders>
              <w:top w:val="nil"/>
              <w:left w:val="nil"/>
              <w:bottom w:val="single" w:sz="4" w:space="0" w:color="auto"/>
              <w:right w:val="single" w:sz="4" w:space="0" w:color="auto"/>
            </w:tcBorders>
            <w:shd w:val="clear" w:color="auto" w:fill="auto"/>
            <w:noWrap/>
            <w:vAlign w:val="center"/>
            <w:hideMark/>
          </w:tcPr>
          <w:p w14:paraId="038F26E4"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11147</w:t>
            </w:r>
          </w:p>
        </w:tc>
        <w:tc>
          <w:tcPr>
            <w:tcW w:w="1281" w:type="pct"/>
            <w:tcBorders>
              <w:top w:val="nil"/>
              <w:left w:val="nil"/>
              <w:bottom w:val="single" w:sz="4" w:space="0" w:color="auto"/>
              <w:right w:val="single" w:sz="4" w:space="0" w:color="auto"/>
            </w:tcBorders>
            <w:shd w:val="clear" w:color="auto" w:fill="auto"/>
            <w:vAlign w:val="center"/>
            <w:hideMark/>
          </w:tcPr>
          <w:p w14:paraId="25D3A9D5" w14:textId="77777777" w:rsidR="00883DD8" w:rsidRPr="00675182" w:rsidRDefault="00883DD8" w:rsidP="00883DD8">
            <w:pPr>
              <w:suppressAutoHyphens w:val="0"/>
              <w:jc w:val="center"/>
              <w:rPr>
                <w:rFonts w:eastAsia="Times New Roman" w:cstheme="minorHAnsi"/>
                <w:sz w:val="22"/>
                <w:szCs w:val="22"/>
                <w:lang w:eastAsia="en-GB"/>
              </w:rPr>
            </w:pPr>
            <w:r w:rsidRPr="00675182">
              <w:rPr>
                <w:rFonts w:eastAsia="Times New Roman" w:cstheme="minorHAnsi"/>
                <w:sz w:val="22"/>
                <w:szCs w:val="22"/>
                <w:lang w:eastAsia="en-GB"/>
              </w:rPr>
              <w:t>Neskaidrība problēmas cēlonī</w:t>
            </w:r>
          </w:p>
        </w:tc>
        <w:tc>
          <w:tcPr>
            <w:tcW w:w="904" w:type="pct"/>
            <w:tcBorders>
              <w:top w:val="nil"/>
              <w:left w:val="nil"/>
              <w:bottom w:val="single" w:sz="4" w:space="0" w:color="auto"/>
              <w:right w:val="single" w:sz="4" w:space="0" w:color="auto"/>
            </w:tcBorders>
            <w:shd w:val="clear" w:color="000000" w:fill="FFC000"/>
            <w:noWrap/>
            <w:vAlign w:val="center"/>
            <w:hideMark/>
          </w:tcPr>
          <w:p w14:paraId="44272247" w14:textId="3F5DFB08" w:rsidR="00883DD8" w:rsidRPr="00675182" w:rsidRDefault="004814AD"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Slikta</w:t>
            </w:r>
          </w:p>
        </w:tc>
      </w:tr>
      <w:tr w:rsidR="004814AD" w:rsidRPr="00675182" w14:paraId="354C6B13" w14:textId="77777777" w:rsidTr="004814A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3160326F"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G210</w:t>
            </w:r>
          </w:p>
        </w:tc>
        <w:tc>
          <w:tcPr>
            <w:tcW w:w="940" w:type="pct"/>
            <w:tcBorders>
              <w:top w:val="nil"/>
              <w:left w:val="nil"/>
              <w:bottom w:val="single" w:sz="4" w:space="0" w:color="auto"/>
              <w:right w:val="single" w:sz="4" w:space="0" w:color="auto"/>
            </w:tcBorders>
            <w:shd w:val="clear" w:color="auto" w:fill="auto"/>
            <w:noWrap/>
            <w:vAlign w:val="center"/>
            <w:hideMark/>
          </w:tcPr>
          <w:p w14:paraId="527B9933"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Amata_2</w:t>
            </w:r>
          </w:p>
        </w:tc>
        <w:tc>
          <w:tcPr>
            <w:tcW w:w="599" w:type="pct"/>
            <w:tcBorders>
              <w:top w:val="nil"/>
              <w:left w:val="nil"/>
              <w:bottom w:val="single" w:sz="4" w:space="0" w:color="auto"/>
              <w:right w:val="single" w:sz="4" w:space="0" w:color="auto"/>
            </w:tcBorders>
            <w:shd w:val="clear" w:color="auto" w:fill="auto"/>
            <w:noWrap/>
            <w:vAlign w:val="center"/>
            <w:hideMark/>
          </w:tcPr>
          <w:p w14:paraId="6AB1214D"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12824</w:t>
            </w:r>
          </w:p>
        </w:tc>
        <w:tc>
          <w:tcPr>
            <w:tcW w:w="853" w:type="pct"/>
            <w:tcBorders>
              <w:top w:val="nil"/>
              <w:left w:val="nil"/>
              <w:bottom w:val="single" w:sz="4" w:space="0" w:color="auto"/>
              <w:right w:val="single" w:sz="4" w:space="0" w:color="auto"/>
            </w:tcBorders>
            <w:shd w:val="clear" w:color="auto" w:fill="auto"/>
            <w:noWrap/>
            <w:vAlign w:val="center"/>
            <w:hideMark/>
          </w:tcPr>
          <w:p w14:paraId="285776C4"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3203</w:t>
            </w:r>
          </w:p>
        </w:tc>
        <w:tc>
          <w:tcPr>
            <w:tcW w:w="1281" w:type="pct"/>
            <w:tcBorders>
              <w:top w:val="nil"/>
              <w:left w:val="nil"/>
              <w:bottom w:val="single" w:sz="4" w:space="0" w:color="auto"/>
              <w:right w:val="single" w:sz="4" w:space="0" w:color="auto"/>
            </w:tcBorders>
            <w:shd w:val="clear" w:color="auto" w:fill="auto"/>
            <w:vAlign w:val="center"/>
            <w:hideMark/>
          </w:tcPr>
          <w:p w14:paraId="3E741758"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Izkliedētā slodze, hidromorfoloģiski pārveidojumi</w:t>
            </w:r>
          </w:p>
        </w:tc>
        <w:tc>
          <w:tcPr>
            <w:tcW w:w="904" w:type="pct"/>
            <w:tcBorders>
              <w:top w:val="nil"/>
              <w:left w:val="nil"/>
              <w:bottom w:val="single" w:sz="4" w:space="0" w:color="auto"/>
              <w:right w:val="single" w:sz="4" w:space="0" w:color="auto"/>
            </w:tcBorders>
            <w:shd w:val="clear" w:color="000000" w:fill="FFFF00"/>
            <w:noWrap/>
            <w:vAlign w:val="center"/>
            <w:hideMark/>
          </w:tcPr>
          <w:p w14:paraId="06B05228" w14:textId="13186032"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4814AD" w:rsidRPr="00675182" w14:paraId="62A44EF2" w14:textId="77777777" w:rsidTr="004814A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4FB487A0"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G215</w:t>
            </w:r>
          </w:p>
        </w:tc>
        <w:tc>
          <w:tcPr>
            <w:tcW w:w="940" w:type="pct"/>
            <w:tcBorders>
              <w:top w:val="nil"/>
              <w:left w:val="nil"/>
              <w:bottom w:val="single" w:sz="4" w:space="0" w:color="auto"/>
              <w:right w:val="single" w:sz="4" w:space="0" w:color="auto"/>
            </w:tcBorders>
            <w:shd w:val="clear" w:color="auto" w:fill="auto"/>
            <w:noWrap/>
            <w:vAlign w:val="center"/>
            <w:hideMark/>
          </w:tcPr>
          <w:p w14:paraId="5BC3E927"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Gauja_11</w:t>
            </w:r>
          </w:p>
        </w:tc>
        <w:tc>
          <w:tcPr>
            <w:tcW w:w="599" w:type="pct"/>
            <w:tcBorders>
              <w:top w:val="nil"/>
              <w:left w:val="nil"/>
              <w:bottom w:val="single" w:sz="4" w:space="0" w:color="auto"/>
              <w:right w:val="single" w:sz="4" w:space="0" w:color="auto"/>
            </w:tcBorders>
            <w:shd w:val="clear" w:color="auto" w:fill="auto"/>
            <w:noWrap/>
            <w:vAlign w:val="center"/>
            <w:hideMark/>
          </w:tcPr>
          <w:p w14:paraId="05D469D1"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11068</w:t>
            </w:r>
          </w:p>
        </w:tc>
        <w:tc>
          <w:tcPr>
            <w:tcW w:w="853" w:type="pct"/>
            <w:tcBorders>
              <w:top w:val="nil"/>
              <w:left w:val="nil"/>
              <w:bottom w:val="single" w:sz="4" w:space="0" w:color="auto"/>
              <w:right w:val="single" w:sz="4" w:space="0" w:color="auto"/>
            </w:tcBorders>
            <w:shd w:val="clear" w:color="auto" w:fill="auto"/>
            <w:noWrap/>
            <w:vAlign w:val="center"/>
            <w:hideMark/>
          </w:tcPr>
          <w:p w14:paraId="40EC38F0"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1286</w:t>
            </w:r>
          </w:p>
        </w:tc>
        <w:tc>
          <w:tcPr>
            <w:tcW w:w="1281" w:type="pct"/>
            <w:tcBorders>
              <w:top w:val="nil"/>
              <w:left w:val="nil"/>
              <w:bottom w:val="single" w:sz="4" w:space="0" w:color="auto"/>
              <w:right w:val="single" w:sz="4" w:space="0" w:color="auto"/>
            </w:tcBorders>
            <w:shd w:val="clear" w:color="auto" w:fill="auto"/>
            <w:vAlign w:val="center"/>
            <w:hideMark/>
          </w:tcPr>
          <w:p w14:paraId="41512A00"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Punktveida slodze no piesārņotas vietas</w:t>
            </w:r>
          </w:p>
        </w:tc>
        <w:tc>
          <w:tcPr>
            <w:tcW w:w="904" w:type="pct"/>
            <w:tcBorders>
              <w:top w:val="nil"/>
              <w:left w:val="nil"/>
              <w:bottom w:val="single" w:sz="4" w:space="0" w:color="auto"/>
              <w:right w:val="single" w:sz="4" w:space="0" w:color="auto"/>
            </w:tcBorders>
            <w:shd w:val="clear" w:color="000000" w:fill="FFFF00"/>
            <w:noWrap/>
            <w:vAlign w:val="center"/>
            <w:hideMark/>
          </w:tcPr>
          <w:p w14:paraId="61C52188" w14:textId="0F9EDCEA"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4814AD" w:rsidRPr="00675182" w14:paraId="2CD1E747" w14:textId="77777777" w:rsidTr="004814A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5475935F"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G216</w:t>
            </w:r>
          </w:p>
        </w:tc>
        <w:tc>
          <w:tcPr>
            <w:tcW w:w="940" w:type="pct"/>
            <w:tcBorders>
              <w:top w:val="nil"/>
              <w:left w:val="nil"/>
              <w:bottom w:val="single" w:sz="4" w:space="0" w:color="auto"/>
              <w:right w:val="single" w:sz="4" w:space="0" w:color="auto"/>
            </w:tcBorders>
            <w:shd w:val="clear" w:color="auto" w:fill="auto"/>
            <w:noWrap/>
            <w:vAlign w:val="center"/>
            <w:hideMark/>
          </w:tcPr>
          <w:p w14:paraId="3DA38E36"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Rauna_3</w:t>
            </w:r>
          </w:p>
        </w:tc>
        <w:tc>
          <w:tcPr>
            <w:tcW w:w="599" w:type="pct"/>
            <w:tcBorders>
              <w:top w:val="nil"/>
              <w:left w:val="nil"/>
              <w:bottom w:val="single" w:sz="4" w:space="0" w:color="auto"/>
              <w:right w:val="single" w:sz="4" w:space="0" w:color="auto"/>
            </w:tcBorders>
            <w:shd w:val="clear" w:color="auto" w:fill="auto"/>
            <w:noWrap/>
            <w:vAlign w:val="center"/>
            <w:hideMark/>
          </w:tcPr>
          <w:p w14:paraId="46937A45"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1302</w:t>
            </w:r>
          </w:p>
        </w:tc>
        <w:tc>
          <w:tcPr>
            <w:tcW w:w="853" w:type="pct"/>
            <w:tcBorders>
              <w:top w:val="nil"/>
              <w:left w:val="nil"/>
              <w:bottom w:val="single" w:sz="4" w:space="0" w:color="auto"/>
              <w:right w:val="single" w:sz="4" w:space="0" w:color="auto"/>
            </w:tcBorders>
            <w:shd w:val="clear" w:color="auto" w:fill="auto"/>
            <w:noWrap/>
            <w:vAlign w:val="center"/>
            <w:hideMark/>
          </w:tcPr>
          <w:p w14:paraId="22C67BF0"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1302</w:t>
            </w:r>
          </w:p>
        </w:tc>
        <w:tc>
          <w:tcPr>
            <w:tcW w:w="1281" w:type="pct"/>
            <w:tcBorders>
              <w:top w:val="nil"/>
              <w:left w:val="nil"/>
              <w:bottom w:val="single" w:sz="4" w:space="0" w:color="auto"/>
              <w:right w:val="single" w:sz="4" w:space="0" w:color="auto"/>
            </w:tcBorders>
            <w:shd w:val="clear" w:color="auto" w:fill="auto"/>
            <w:vAlign w:val="center"/>
            <w:hideMark/>
          </w:tcPr>
          <w:p w14:paraId="338D7BFB" w14:textId="77777777" w:rsidR="004814AD" w:rsidRPr="00675182" w:rsidRDefault="004814AD" w:rsidP="004814AD">
            <w:pPr>
              <w:suppressAutoHyphens w:val="0"/>
              <w:jc w:val="center"/>
              <w:rPr>
                <w:rFonts w:eastAsia="Times New Roman" w:cstheme="minorHAnsi"/>
                <w:sz w:val="22"/>
                <w:szCs w:val="22"/>
                <w:lang w:eastAsia="en-GB"/>
              </w:rPr>
            </w:pPr>
            <w:r w:rsidRPr="00675182">
              <w:rPr>
                <w:rFonts w:eastAsia="Times New Roman" w:cstheme="minorHAnsi"/>
                <w:sz w:val="22"/>
                <w:szCs w:val="22"/>
                <w:lang w:eastAsia="en-GB"/>
              </w:rPr>
              <w:t>Neskaidrība problēmas cēlonī</w:t>
            </w:r>
          </w:p>
        </w:tc>
        <w:tc>
          <w:tcPr>
            <w:tcW w:w="904" w:type="pct"/>
            <w:tcBorders>
              <w:top w:val="nil"/>
              <w:left w:val="nil"/>
              <w:bottom w:val="single" w:sz="4" w:space="0" w:color="auto"/>
              <w:right w:val="single" w:sz="4" w:space="0" w:color="auto"/>
            </w:tcBorders>
            <w:shd w:val="clear" w:color="000000" w:fill="FFFF00"/>
            <w:noWrap/>
            <w:vAlign w:val="center"/>
            <w:hideMark/>
          </w:tcPr>
          <w:p w14:paraId="55DA2533" w14:textId="443C6543"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4814AD" w:rsidRPr="00675182" w14:paraId="6269DE6B" w14:textId="77777777" w:rsidTr="004814A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0BA248CA"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G217</w:t>
            </w:r>
          </w:p>
        </w:tc>
        <w:tc>
          <w:tcPr>
            <w:tcW w:w="940" w:type="pct"/>
            <w:tcBorders>
              <w:top w:val="nil"/>
              <w:left w:val="nil"/>
              <w:bottom w:val="single" w:sz="4" w:space="0" w:color="auto"/>
              <w:right w:val="single" w:sz="4" w:space="0" w:color="auto"/>
            </w:tcBorders>
            <w:shd w:val="clear" w:color="auto" w:fill="auto"/>
            <w:noWrap/>
            <w:vAlign w:val="center"/>
            <w:hideMark/>
          </w:tcPr>
          <w:p w14:paraId="6BCF377C"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Rauna_2</w:t>
            </w:r>
          </w:p>
        </w:tc>
        <w:tc>
          <w:tcPr>
            <w:tcW w:w="599" w:type="pct"/>
            <w:tcBorders>
              <w:top w:val="nil"/>
              <w:left w:val="nil"/>
              <w:bottom w:val="single" w:sz="4" w:space="0" w:color="auto"/>
              <w:right w:val="single" w:sz="4" w:space="0" w:color="auto"/>
            </w:tcBorders>
            <w:shd w:val="clear" w:color="auto" w:fill="auto"/>
            <w:noWrap/>
            <w:vAlign w:val="center"/>
            <w:hideMark/>
          </w:tcPr>
          <w:p w14:paraId="0790828B"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6271</w:t>
            </w:r>
          </w:p>
        </w:tc>
        <w:tc>
          <w:tcPr>
            <w:tcW w:w="853" w:type="pct"/>
            <w:tcBorders>
              <w:top w:val="nil"/>
              <w:left w:val="nil"/>
              <w:bottom w:val="single" w:sz="4" w:space="0" w:color="auto"/>
              <w:right w:val="single" w:sz="4" w:space="0" w:color="auto"/>
            </w:tcBorders>
            <w:shd w:val="clear" w:color="auto" w:fill="auto"/>
            <w:noWrap/>
            <w:vAlign w:val="center"/>
            <w:hideMark/>
          </w:tcPr>
          <w:p w14:paraId="4DECB097"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2352</w:t>
            </w:r>
          </w:p>
        </w:tc>
        <w:tc>
          <w:tcPr>
            <w:tcW w:w="1281" w:type="pct"/>
            <w:tcBorders>
              <w:top w:val="nil"/>
              <w:left w:val="nil"/>
              <w:bottom w:val="single" w:sz="4" w:space="0" w:color="auto"/>
              <w:right w:val="single" w:sz="4" w:space="0" w:color="auto"/>
            </w:tcBorders>
            <w:shd w:val="clear" w:color="auto" w:fill="auto"/>
            <w:vAlign w:val="center"/>
            <w:hideMark/>
          </w:tcPr>
          <w:p w14:paraId="0C3F5D23" w14:textId="77777777" w:rsidR="004814AD" w:rsidRPr="00675182" w:rsidRDefault="004814AD" w:rsidP="004814AD">
            <w:pPr>
              <w:suppressAutoHyphens w:val="0"/>
              <w:jc w:val="center"/>
              <w:rPr>
                <w:rFonts w:eastAsia="Times New Roman" w:cstheme="minorHAnsi"/>
                <w:sz w:val="22"/>
                <w:szCs w:val="22"/>
                <w:lang w:eastAsia="en-GB"/>
              </w:rPr>
            </w:pPr>
            <w:r w:rsidRPr="00675182">
              <w:rPr>
                <w:rFonts w:eastAsia="Times New Roman" w:cstheme="minorHAnsi"/>
                <w:sz w:val="22"/>
                <w:szCs w:val="22"/>
                <w:lang w:eastAsia="en-GB"/>
              </w:rPr>
              <w:t>Neskaidrība problēmas cēlonī</w:t>
            </w:r>
          </w:p>
        </w:tc>
        <w:tc>
          <w:tcPr>
            <w:tcW w:w="904" w:type="pct"/>
            <w:tcBorders>
              <w:top w:val="nil"/>
              <w:left w:val="nil"/>
              <w:bottom w:val="single" w:sz="4" w:space="0" w:color="auto"/>
              <w:right w:val="single" w:sz="4" w:space="0" w:color="auto"/>
            </w:tcBorders>
            <w:shd w:val="clear" w:color="000000" w:fill="FFFF00"/>
            <w:noWrap/>
            <w:vAlign w:val="center"/>
            <w:hideMark/>
          </w:tcPr>
          <w:p w14:paraId="75E4B7BE" w14:textId="5A44D965"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4814AD" w:rsidRPr="00675182" w14:paraId="332D8B8B"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1286AC61"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G219</w:t>
            </w:r>
          </w:p>
        </w:tc>
        <w:tc>
          <w:tcPr>
            <w:tcW w:w="940" w:type="pct"/>
            <w:tcBorders>
              <w:top w:val="nil"/>
              <w:left w:val="nil"/>
              <w:bottom w:val="single" w:sz="4" w:space="0" w:color="auto"/>
              <w:right w:val="single" w:sz="4" w:space="0" w:color="auto"/>
            </w:tcBorders>
            <w:shd w:val="clear" w:color="auto" w:fill="auto"/>
            <w:noWrap/>
            <w:vAlign w:val="center"/>
            <w:hideMark/>
          </w:tcPr>
          <w:p w14:paraId="538FC23B"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Raunis</w:t>
            </w:r>
          </w:p>
        </w:tc>
        <w:tc>
          <w:tcPr>
            <w:tcW w:w="599" w:type="pct"/>
            <w:tcBorders>
              <w:top w:val="nil"/>
              <w:left w:val="nil"/>
              <w:bottom w:val="single" w:sz="4" w:space="0" w:color="auto"/>
              <w:right w:val="single" w:sz="4" w:space="0" w:color="auto"/>
            </w:tcBorders>
            <w:shd w:val="clear" w:color="auto" w:fill="auto"/>
            <w:noWrap/>
            <w:vAlign w:val="center"/>
            <w:hideMark/>
          </w:tcPr>
          <w:p w14:paraId="4D1B25BA"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8109</w:t>
            </w:r>
          </w:p>
        </w:tc>
        <w:tc>
          <w:tcPr>
            <w:tcW w:w="853" w:type="pct"/>
            <w:tcBorders>
              <w:top w:val="nil"/>
              <w:left w:val="nil"/>
              <w:bottom w:val="single" w:sz="4" w:space="0" w:color="auto"/>
              <w:right w:val="single" w:sz="4" w:space="0" w:color="auto"/>
            </w:tcBorders>
            <w:shd w:val="clear" w:color="auto" w:fill="auto"/>
            <w:noWrap/>
            <w:vAlign w:val="center"/>
            <w:hideMark/>
          </w:tcPr>
          <w:p w14:paraId="258337AC"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2198</w:t>
            </w:r>
          </w:p>
        </w:tc>
        <w:tc>
          <w:tcPr>
            <w:tcW w:w="1281" w:type="pct"/>
            <w:tcBorders>
              <w:top w:val="nil"/>
              <w:left w:val="nil"/>
              <w:bottom w:val="single" w:sz="4" w:space="0" w:color="auto"/>
              <w:right w:val="single" w:sz="4" w:space="0" w:color="auto"/>
            </w:tcBorders>
            <w:shd w:val="clear" w:color="auto" w:fill="auto"/>
            <w:vAlign w:val="center"/>
            <w:hideMark/>
          </w:tcPr>
          <w:p w14:paraId="35FB98ED" w14:textId="66096840"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102694F7" w14:textId="2FDC156F"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22770CA4"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754F15BB"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G224</w:t>
            </w:r>
          </w:p>
        </w:tc>
        <w:tc>
          <w:tcPr>
            <w:tcW w:w="940" w:type="pct"/>
            <w:tcBorders>
              <w:top w:val="nil"/>
              <w:left w:val="nil"/>
              <w:bottom w:val="single" w:sz="4" w:space="0" w:color="auto"/>
              <w:right w:val="single" w:sz="4" w:space="0" w:color="auto"/>
            </w:tcBorders>
            <w:shd w:val="clear" w:color="auto" w:fill="auto"/>
            <w:noWrap/>
            <w:vAlign w:val="center"/>
            <w:hideMark/>
          </w:tcPr>
          <w:p w14:paraId="760196A6"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Miegupīte</w:t>
            </w:r>
          </w:p>
        </w:tc>
        <w:tc>
          <w:tcPr>
            <w:tcW w:w="599" w:type="pct"/>
            <w:tcBorders>
              <w:top w:val="nil"/>
              <w:left w:val="nil"/>
              <w:bottom w:val="single" w:sz="4" w:space="0" w:color="auto"/>
              <w:right w:val="single" w:sz="4" w:space="0" w:color="auto"/>
            </w:tcBorders>
            <w:shd w:val="clear" w:color="auto" w:fill="auto"/>
            <w:noWrap/>
            <w:vAlign w:val="center"/>
            <w:hideMark/>
          </w:tcPr>
          <w:p w14:paraId="35FD57EA"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8463</w:t>
            </w:r>
          </w:p>
        </w:tc>
        <w:tc>
          <w:tcPr>
            <w:tcW w:w="853" w:type="pct"/>
            <w:tcBorders>
              <w:top w:val="nil"/>
              <w:left w:val="nil"/>
              <w:bottom w:val="single" w:sz="4" w:space="0" w:color="auto"/>
              <w:right w:val="single" w:sz="4" w:space="0" w:color="auto"/>
            </w:tcBorders>
            <w:shd w:val="clear" w:color="auto" w:fill="auto"/>
            <w:noWrap/>
            <w:vAlign w:val="center"/>
            <w:hideMark/>
          </w:tcPr>
          <w:p w14:paraId="53227E5A"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87</w:t>
            </w:r>
          </w:p>
        </w:tc>
        <w:tc>
          <w:tcPr>
            <w:tcW w:w="1281" w:type="pct"/>
            <w:tcBorders>
              <w:top w:val="nil"/>
              <w:left w:val="nil"/>
              <w:bottom w:val="single" w:sz="4" w:space="0" w:color="auto"/>
              <w:right w:val="single" w:sz="4" w:space="0" w:color="auto"/>
            </w:tcBorders>
            <w:shd w:val="clear" w:color="auto" w:fill="auto"/>
            <w:vAlign w:val="center"/>
            <w:hideMark/>
          </w:tcPr>
          <w:p w14:paraId="6D56346F" w14:textId="11F15D48"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1F267C30" w14:textId="0C3FEB4F"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4DB21439"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4C2CA2D4"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G226</w:t>
            </w:r>
          </w:p>
        </w:tc>
        <w:tc>
          <w:tcPr>
            <w:tcW w:w="940" w:type="pct"/>
            <w:tcBorders>
              <w:top w:val="nil"/>
              <w:left w:val="nil"/>
              <w:bottom w:val="single" w:sz="4" w:space="0" w:color="auto"/>
              <w:right w:val="single" w:sz="4" w:space="0" w:color="auto"/>
            </w:tcBorders>
            <w:shd w:val="clear" w:color="auto" w:fill="auto"/>
            <w:noWrap/>
            <w:vAlign w:val="center"/>
            <w:hideMark/>
          </w:tcPr>
          <w:p w14:paraId="676F8225"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Vaive</w:t>
            </w:r>
          </w:p>
        </w:tc>
        <w:tc>
          <w:tcPr>
            <w:tcW w:w="599" w:type="pct"/>
            <w:tcBorders>
              <w:top w:val="nil"/>
              <w:left w:val="nil"/>
              <w:bottom w:val="single" w:sz="4" w:space="0" w:color="auto"/>
              <w:right w:val="single" w:sz="4" w:space="0" w:color="auto"/>
            </w:tcBorders>
            <w:shd w:val="clear" w:color="auto" w:fill="auto"/>
            <w:noWrap/>
            <w:vAlign w:val="center"/>
            <w:hideMark/>
          </w:tcPr>
          <w:p w14:paraId="3BE0AB32"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7369</w:t>
            </w:r>
          </w:p>
        </w:tc>
        <w:tc>
          <w:tcPr>
            <w:tcW w:w="853" w:type="pct"/>
            <w:tcBorders>
              <w:top w:val="nil"/>
              <w:left w:val="nil"/>
              <w:bottom w:val="single" w:sz="4" w:space="0" w:color="auto"/>
              <w:right w:val="single" w:sz="4" w:space="0" w:color="auto"/>
            </w:tcBorders>
            <w:shd w:val="clear" w:color="auto" w:fill="auto"/>
            <w:noWrap/>
            <w:vAlign w:val="center"/>
            <w:hideMark/>
          </w:tcPr>
          <w:p w14:paraId="35146A44"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5175</w:t>
            </w:r>
          </w:p>
        </w:tc>
        <w:tc>
          <w:tcPr>
            <w:tcW w:w="1281" w:type="pct"/>
            <w:tcBorders>
              <w:top w:val="nil"/>
              <w:left w:val="nil"/>
              <w:bottom w:val="single" w:sz="4" w:space="0" w:color="auto"/>
              <w:right w:val="single" w:sz="4" w:space="0" w:color="auto"/>
            </w:tcBorders>
            <w:shd w:val="clear" w:color="auto" w:fill="auto"/>
            <w:vAlign w:val="center"/>
            <w:hideMark/>
          </w:tcPr>
          <w:p w14:paraId="6B3D8905" w14:textId="73945A8F"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32BE683F" w14:textId="3B5912D2"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318C9F20"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43BEB8A8"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G259</w:t>
            </w:r>
          </w:p>
        </w:tc>
        <w:tc>
          <w:tcPr>
            <w:tcW w:w="940" w:type="pct"/>
            <w:tcBorders>
              <w:top w:val="nil"/>
              <w:left w:val="nil"/>
              <w:bottom w:val="single" w:sz="4" w:space="0" w:color="auto"/>
              <w:right w:val="single" w:sz="4" w:space="0" w:color="auto"/>
            </w:tcBorders>
            <w:shd w:val="clear" w:color="auto" w:fill="auto"/>
            <w:noWrap/>
            <w:vAlign w:val="center"/>
            <w:hideMark/>
          </w:tcPr>
          <w:p w14:paraId="06BED8BB"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Loja</w:t>
            </w:r>
          </w:p>
        </w:tc>
        <w:tc>
          <w:tcPr>
            <w:tcW w:w="599" w:type="pct"/>
            <w:tcBorders>
              <w:top w:val="nil"/>
              <w:left w:val="nil"/>
              <w:bottom w:val="single" w:sz="4" w:space="0" w:color="auto"/>
              <w:right w:val="single" w:sz="4" w:space="0" w:color="auto"/>
            </w:tcBorders>
            <w:shd w:val="clear" w:color="auto" w:fill="auto"/>
            <w:noWrap/>
            <w:vAlign w:val="center"/>
            <w:hideMark/>
          </w:tcPr>
          <w:p w14:paraId="628D2D49"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8799</w:t>
            </w:r>
          </w:p>
        </w:tc>
        <w:tc>
          <w:tcPr>
            <w:tcW w:w="853" w:type="pct"/>
            <w:tcBorders>
              <w:top w:val="nil"/>
              <w:left w:val="nil"/>
              <w:bottom w:val="single" w:sz="4" w:space="0" w:color="auto"/>
              <w:right w:val="single" w:sz="4" w:space="0" w:color="auto"/>
            </w:tcBorders>
            <w:shd w:val="clear" w:color="auto" w:fill="auto"/>
            <w:noWrap/>
            <w:vAlign w:val="center"/>
            <w:hideMark/>
          </w:tcPr>
          <w:p w14:paraId="5D0F41EE"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3311</w:t>
            </w:r>
          </w:p>
        </w:tc>
        <w:tc>
          <w:tcPr>
            <w:tcW w:w="1281" w:type="pct"/>
            <w:tcBorders>
              <w:top w:val="nil"/>
              <w:left w:val="nil"/>
              <w:bottom w:val="single" w:sz="4" w:space="0" w:color="auto"/>
              <w:right w:val="single" w:sz="4" w:space="0" w:color="auto"/>
            </w:tcBorders>
            <w:shd w:val="clear" w:color="auto" w:fill="auto"/>
            <w:vAlign w:val="center"/>
            <w:hideMark/>
          </w:tcPr>
          <w:p w14:paraId="2D611D55" w14:textId="1D632420"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01AEFF81" w14:textId="587F44ED"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951DED" w:rsidRPr="00675182" w14:paraId="7C24ED97" w14:textId="77777777" w:rsidTr="00951DE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7AC16F5B"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G262</w:t>
            </w:r>
          </w:p>
        </w:tc>
        <w:tc>
          <w:tcPr>
            <w:tcW w:w="940" w:type="pct"/>
            <w:tcBorders>
              <w:top w:val="nil"/>
              <w:left w:val="nil"/>
              <w:bottom w:val="single" w:sz="4" w:space="0" w:color="auto"/>
              <w:right w:val="single" w:sz="4" w:space="0" w:color="auto"/>
            </w:tcBorders>
            <w:shd w:val="clear" w:color="auto" w:fill="auto"/>
            <w:noWrap/>
            <w:vAlign w:val="center"/>
            <w:hideMark/>
          </w:tcPr>
          <w:p w14:paraId="69D9FA01"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Pēterupe</w:t>
            </w:r>
          </w:p>
        </w:tc>
        <w:tc>
          <w:tcPr>
            <w:tcW w:w="599" w:type="pct"/>
            <w:tcBorders>
              <w:top w:val="nil"/>
              <w:left w:val="nil"/>
              <w:bottom w:val="single" w:sz="4" w:space="0" w:color="auto"/>
              <w:right w:val="single" w:sz="4" w:space="0" w:color="auto"/>
            </w:tcBorders>
            <w:shd w:val="clear" w:color="auto" w:fill="auto"/>
            <w:noWrap/>
            <w:vAlign w:val="center"/>
            <w:hideMark/>
          </w:tcPr>
          <w:p w14:paraId="6A58F39E"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15622</w:t>
            </w:r>
          </w:p>
        </w:tc>
        <w:tc>
          <w:tcPr>
            <w:tcW w:w="853" w:type="pct"/>
            <w:tcBorders>
              <w:top w:val="nil"/>
              <w:left w:val="nil"/>
              <w:bottom w:val="single" w:sz="4" w:space="0" w:color="auto"/>
              <w:right w:val="single" w:sz="4" w:space="0" w:color="auto"/>
            </w:tcBorders>
            <w:shd w:val="clear" w:color="auto" w:fill="auto"/>
            <w:noWrap/>
            <w:vAlign w:val="center"/>
            <w:hideMark/>
          </w:tcPr>
          <w:p w14:paraId="7186ECE1"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501</w:t>
            </w:r>
          </w:p>
        </w:tc>
        <w:tc>
          <w:tcPr>
            <w:tcW w:w="1281" w:type="pct"/>
            <w:tcBorders>
              <w:top w:val="nil"/>
              <w:left w:val="nil"/>
              <w:bottom w:val="single" w:sz="4" w:space="0" w:color="auto"/>
              <w:right w:val="single" w:sz="4" w:space="0" w:color="auto"/>
            </w:tcBorders>
            <w:shd w:val="clear" w:color="auto" w:fill="auto"/>
            <w:vAlign w:val="center"/>
            <w:hideMark/>
          </w:tcPr>
          <w:p w14:paraId="603A76F0"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Rekreācijas slodze</w:t>
            </w:r>
          </w:p>
        </w:tc>
        <w:tc>
          <w:tcPr>
            <w:tcW w:w="904" w:type="pct"/>
            <w:tcBorders>
              <w:top w:val="nil"/>
              <w:left w:val="nil"/>
              <w:bottom w:val="single" w:sz="4" w:space="0" w:color="auto"/>
              <w:right w:val="single" w:sz="4" w:space="0" w:color="auto"/>
            </w:tcBorders>
            <w:shd w:val="clear" w:color="000000" w:fill="FFFF00"/>
            <w:noWrap/>
            <w:vAlign w:val="center"/>
            <w:hideMark/>
          </w:tcPr>
          <w:p w14:paraId="3DF1B120" w14:textId="62D77089" w:rsidR="00883DD8" w:rsidRPr="00675182" w:rsidRDefault="00325FF4"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951DED" w:rsidRPr="00675182" w14:paraId="73B62512" w14:textId="77777777" w:rsidTr="00951DE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2FBBB94F"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G276</w:t>
            </w:r>
          </w:p>
        </w:tc>
        <w:tc>
          <w:tcPr>
            <w:tcW w:w="940" w:type="pct"/>
            <w:tcBorders>
              <w:top w:val="nil"/>
              <w:left w:val="nil"/>
              <w:bottom w:val="single" w:sz="4" w:space="0" w:color="auto"/>
              <w:right w:val="single" w:sz="4" w:space="0" w:color="auto"/>
            </w:tcBorders>
            <w:shd w:val="clear" w:color="auto" w:fill="auto"/>
            <w:noWrap/>
            <w:vAlign w:val="center"/>
            <w:hideMark/>
          </w:tcPr>
          <w:p w14:paraId="4FC0E47D"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Gauja_12</w:t>
            </w:r>
          </w:p>
        </w:tc>
        <w:tc>
          <w:tcPr>
            <w:tcW w:w="599" w:type="pct"/>
            <w:tcBorders>
              <w:top w:val="nil"/>
              <w:left w:val="nil"/>
              <w:bottom w:val="single" w:sz="4" w:space="0" w:color="auto"/>
              <w:right w:val="single" w:sz="4" w:space="0" w:color="auto"/>
            </w:tcBorders>
            <w:shd w:val="clear" w:color="auto" w:fill="auto"/>
            <w:noWrap/>
            <w:vAlign w:val="center"/>
            <w:hideMark/>
          </w:tcPr>
          <w:p w14:paraId="360A729E"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9773</w:t>
            </w:r>
          </w:p>
        </w:tc>
        <w:tc>
          <w:tcPr>
            <w:tcW w:w="853" w:type="pct"/>
            <w:tcBorders>
              <w:top w:val="nil"/>
              <w:left w:val="nil"/>
              <w:bottom w:val="single" w:sz="4" w:space="0" w:color="auto"/>
              <w:right w:val="single" w:sz="4" w:space="0" w:color="auto"/>
            </w:tcBorders>
            <w:shd w:val="clear" w:color="auto" w:fill="auto"/>
            <w:noWrap/>
            <w:vAlign w:val="center"/>
            <w:hideMark/>
          </w:tcPr>
          <w:p w14:paraId="49DBDDC1"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6226</w:t>
            </w:r>
          </w:p>
        </w:tc>
        <w:tc>
          <w:tcPr>
            <w:tcW w:w="1281" w:type="pct"/>
            <w:tcBorders>
              <w:top w:val="nil"/>
              <w:left w:val="nil"/>
              <w:bottom w:val="single" w:sz="4" w:space="0" w:color="auto"/>
              <w:right w:val="single" w:sz="4" w:space="0" w:color="auto"/>
            </w:tcBorders>
            <w:shd w:val="clear" w:color="auto" w:fill="auto"/>
            <w:vAlign w:val="center"/>
            <w:hideMark/>
          </w:tcPr>
          <w:p w14:paraId="12D72476" w14:textId="7F6DA2FB" w:rsidR="00883DD8" w:rsidRPr="00675182" w:rsidRDefault="00883DD8" w:rsidP="00883DD8">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FFFF00"/>
            <w:noWrap/>
            <w:vAlign w:val="center"/>
            <w:hideMark/>
          </w:tcPr>
          <w:p w14:paraId="629E7332" w14:textId="2838A907" w:rsidR="00883DD8" w:rsidRPr="00675182" w:rsidRDefault="00325FF4"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4814AD" w:rsidRPr="00675182" w14:paraId="3D4E013E"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2DB91090"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G277</w:t>
            </w:r>
          </w:p>
        </w:tc>
        <w:tc>
          <w:tcPr>
            <w:tcW w:w="940" w:type="pct"/>
            <w:tcBorders>
              <w:top w:val="nil"/>
              <w:left w:val="nil"/>
              <w:bottom w:val="single" w:sz="4" w:space="0" w:color="auto"/>
              <w:right w:val="single" w:sz="4" w:space="0" w:color="auto"/>
            </w:tcBorders>
            <w:shd w:val="clear" w:color="auto" w:fill="auto"/>
            <w:noWrap/>
            <w:vAlign w:val="center"/>
            <w:hideMark/>
          </w:tcPr>
          <w:p w14:paraId="2FBD22E1"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Gauja_13</w:t>
            </w:r>
          </w:p>
        </w:tc>
        <w:tc>
          <w:tcPr>
            <w:tcW w:w="599" w:type="pct"/>
            <w:tcBorders>
              <w:top w:val="nil"/>
              <w:left w:val="nil"/>
              <w:bottom w:val="single" w:sz="4" w:space="0" w:color="auto"/>
              <w:right w:val="single" w:sz="4" w:space="0" w:color="auto"/>
            </w:tcBorders>
            <w:shd w:val="clear" w:color="auto" w:fill="auto"/>
            <w:noWrap/>
            <w:vAlign w:val="center"/>
            <w:hideMark/>
          </w:tcPr>
          <w:p w14:paraId="05EFDEEB"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5526</w:t>
            </w:r>
          </w:p>
        </w:tc>
        <w:tc>
          <w:tcPr>
            <w:tcW w:w="853" w:type="pct"/>
            <w:tcBorders>
              <w:top w:val="nil"/>
              <w:left w:val="nil"/>
              <w:bottom w:val="single" w:sz="4" w:space="0" w:color="auto"/>
              <w:right w:val="single" w:sz="4" w:space="0" w:color="auto"/>
            </w:tcBorders>
            <w:shd w:val="clear" w:color="auto" w:fill="auto"/>
            <w:noWrap/>
            <w:vAlign w:val="center"/>
            <w:hideMark/>
          </w:tcPr>
          <w:p w14:paraId="5E47944B"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5515</w:t>
            </w:r>
          </w:p>
        </w:tc>
        <w:tc>
          <w:tcPr>
            <w:tcW w:w="1281" w:type="pct"/>
            <w:tcBorders>
              <w:top w:val="nil"/>
              <w:left w:val="nil"/>
              <w:bottom w:val="single" w:sz="4" w:space="0" w:color="auto"/>
              <w:right w:val="single" w:sz="4" w:space="0" w:color="auto"/>
            </w:tcBorders>
            <w:shd w:val="clear" w:color="auto" w:fill="auto"/>
            <w:vAlign w:val="center"/>
            <w:hideMark/>
          </w:tcPr>
          <w:p w14:paraId="7B10E08D" w14:textId="2C1282B4"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51838339" w14:textId="737631E0"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733E316A"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749271B3"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G278</w:t>
            </w:r>
          </w:p>
        </w:tc>
        <w:tc>
          <w:tcPr>
            <w:tcW w:w="940" w:type="pct"/>
            <w:tcBorders>
              <w:top w:val="nil"/>
              <w:left w:val="nil"/>
              <w:bottom w:val="single" w:sz="4" w:space="0" w:color="auto"/>
              <w:right w:val="single" w:sz="4" w:space="0" w:color="auto"/>
            </w:tcBorders>
            <w:shd w:val="clear" w:color="auto" w:fill="auto"/>
            <w:noWrap/>
            <w:vAlign w:val="center"/>
            <w:hideMark/>
          </w:tcPr>
          <w:p w14:paraId="3120D97D"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Gauja_14</w:t>
            </w:r>
          </w:p>
        </w:tc>
        <w:tc>
          <w:tcPr>
            <w:tcW w:w="599" w:type="pct"/>
            <w:tcBorders>
              <w:top w:val="nil"/>
              <w:left w:val="nil"/>
              <w:bottom w:val="single" w:sz="4" w:space="0" w:color="auto"/>
              <w:right w:val="single" w:sz="4" w:space="0" w:color="auto"/>
            </w:tcBorders>
            <w:shd w:val="clear" w:color="auto" w:fill="auto"/>
            <w:noWrap/>
            <w:vAlign w:val="center"/>
            <w:hideMark/>
          </w:tcPr>
          <w:p w14:paraId="544454D2"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10199</w:t>
            </w:r>
          </w:p>
        </w:tc>
        <w:tc>
          <w:tcPr>
            <w:tcW w:w="853" w:type="pct"/>
            <w:tcBorders>
              <w:top w:val="nil"/>
              <w:left w:val="nil"/>
              <w:bottom w:val="single" w:sz="4" w:space="0" w:color="auto"/>
              <w:right w:val="single" w:sz="4" w:space="0" w:color="auto"/>
            </w:tcBorders>
            <w:shd w:val="clear" w:color="auto" w:fill="auto"/>
            <w:noWrap/>
            <w:vAlign w:val="center"/>
            <w:hideMark/>
          </w:tcPr>
          <w:p w14:paraId="5C76CFE8"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7196</w:t>
            </w:r>
          </w:p>
        </w:tc>
        <w:tc>
          <w:tcPr>
            <w:tcW w:w="1281" w:type="pct"/>
            <w:tcBorders>
              <w:top w:val="nil"/>
              <w:left w:val="nil"/>
              <w:bottom w:val="single" w:sz="4" w:space="0" w:color="auto"/>
              <w:right w:val="single" w:sz="4" w:space="0" w:color="auto"/>
            </w:tcBorders>
            <w:shd w:val="clear" w:color="auto" w:fill="auto"/>
            <w:vAlign w:val="center"/>
            <w:hideMark/>
          </w:tcPr>
          <w:p w14:paraId="5512EC65" w14:textId="5D2CEF42"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5203B4DC" w14:textId="59A4D284"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1B9495DD"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33FA9303"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G279</w:t>
            </w:r>
          </w:p>
        </w:tc>
        <w:tc>
          <w:tcPr>
            <w:tcW w:w="940" w:type="pct"/>
            <w:tcBorders>
              <w:top w:val="nil"/>
              <w:left w:val="nil"/>
              <w:bottom w:val="single" w:sz="4" w:space="0" w:color="auto"/>
              <w:right w:val="single" w:sz="4" w:space="0" w:color="auto"/>
            </w:tcBorders>
            <w:shd w:val="clear" w:color="auto" w:fill="auto"/>
            <w:noWrap/>
            <w:vAlign w:val="center"/>
            <w:hideMark/>
          </w:tcPr>
          <w:p w14:paraId="2EE6BC52"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Gauja_17</w:t>
            </w:r>
          </w:p>
        </w:tc>
        <w:tc>
          <w:tcPr>
            <w:tcW w:w="599" w:type="pct"/>
            <w:tcBorders>
              <w:top w:val="nil"/>
              <w:left w:val="nil"/>
              <w:bottom w:val="single" w:sz="4" w:space="0" w:color="auto"/>
              <w:right w:val="single" w:sz="4" w:space="0" w:color="auto"/>
            </w:tcBorders>
            <w:shd w:val="clear" w:color="auto" w:fill="auto"/>
            <w:noWrap/>
            <w:vAlign w:val="center"/>
            <w:hideMark/>
          </w:tcPr>
          <w:p w14:paraId="64D374A5"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17013</w:t>
            </w:r>
          </w:p>
        </w:tc>
        <w:tc>
          <w:tcPr>
            <w:tcW w:w="853" w:type="pct"/>
            <w:tcBorders>
              <w:top w:val="nil"/>
              <w:left w:val="nil"/>
              <w:bottom w:val="single" w:sz="4" w:space="0" w:color="auto"/>
              <w:right w:val="single" w:sz="4" w:space="0" w:color="auto"/>
            </w:tcBorders>
            <w:shd w:val="clear" w:color="auto" w:fill="auto"/>
            <w:noWrap/>
            <w:vAlign w:val="center"/>
            <w:hideMark/>
          </w:tcPr>
          <w:p w14:paraId="1F2EDC7F"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347</w:t>
            </w:r>
          </w:p>
        </w:tc>
        <w:tc>
          <w:tcPr>
            <w:tcW w:w="1281" w:type="pct"/>
            <w:tcBorders>
              <w:top w:val="nil"/>
              <w:left w:val="nil"/>
              <w:bottom w:val="single" w:sz="4" w:space="0" w:color="auto"/>
              <w:right w:val="single" w:sz="4" w:space="0" w:color="auto"/>
            </w:tcBorders>
            <w:shd w:val="clear" w:color="auto" w:fill="auto"/>
            <w:vAlign w:val="center"/>
            <w:hideMark/>
          </w:tcPr>
          <w:p w14:paraId="63CDC5F5" w14:textId="1FE395D7"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68302F54" w14:textId="108C17D2"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1E4AC0C0" w14:textId="77777777" w:rsidTr="000225B9">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2E460BCA"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G280</w:t>
            </w:r>
          </w:p>
        </w:tc>
        <w:tc>
          <w:tcPr>
            <w:tcW w:w="940" w:type="pct"/>
            <w:tcBorders>
              <w:top w:val="nil"/>
              <w:left w:val="nil"/>
              <w:bottom w:val="single" w:sz="4" w:space="0" w:color="auto"/>
              <w:right w:val="single" w:sz="4" w:space="0" w:color="auto"/>
            </w:tcBorders>
            <w:shd w:val="clear" w:color="auto" w:fill="auto"/>
            <w:noWrap/>
            <w:vAlign w:val="center"/>
            <w:hideMark/>
          </w:tcPr>
          <w:p w14:paraId="503F0951"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Egļupe</w:t>
            </w:r>
          </w:p>
        </w:tc>
        <w:tc>
          <w:tcPr>
            <w:tcW w:w="599" w:type="pct"/>
            <w:tcBorders>
              <w:top w:val="nil"/>
              <w:left w:val="nil"/>
              <w:bottom w:val="single" w:sz="4" w:space="0" w:color="auto"/>
              <w:right w:val="single" w:sz="4" w:space="0" w:color="auto"/>
            </w:tcBorders>
            <w:shd w:val="clear" w:color="auto" w:fill="auto"/>
            <w:noWrap/>
            <w:vAlign w:val="center"/>
            <w:hideMark/>
          </w:tcPr>
          <w:p w14:paraId="1D554677"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3909</w:t>
            </w:r>
          </w:p>
        </w:tc>
        <w:tc>
          <w:tcPr>
            <w:tcW w:w="853" w:type="pct"/>
            <w:tcBorders>
              <w:top w:val="nil"/>
              <w:left w:val="nil"/>
              <w:bottom w:val="single" w:sz="4" w:space="0" w:color="auto"/>
              <w:right w:val="single" w:sz="4" w:space="0" w:color="auto"/>
            </w:tcBorders>
            <w:shd w:val="clear" w:color="auto" w:fill="auto"/>
            <w:noWrap/>
            <w:vAlign w:val="center"/>
            <w:hideMark/>
          </w:tcPr>
          <w:p w14:paraId="6B7CF521"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152</w:t>
            </w:r>
          </w:p>
        </w:tc>
        <w:tc>
          <w:tcPr>
            <w:tcW w:w="1281" w:type="pct"/>
            <w:tcBorders>
              <w:top w:val="nil"/>
              <w:left w:val="nil"/>
              <w:bottom w:val="single" w:sz="4" w:space="0" w:color="auto"/>
              <w:right w:val="single" w:sz="4" w:space="0" w:color="auto"/>
            </w:tcBorders>
            <w:shd w:val="clear" w:color="auto" w:fill="auto"/>
            <w:vAlign w:val="center"/>
            <w:hideMark/>
          </w:tcPr>
          <w:p w14:paraId="33D4F225" w14:textId="78F80AEE" w:rsidR="004814AD" w:rsidRPr="00675182" w:rsidRDefault="004814AD" w:rsidP="004814AD">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hideMark/>
          </w:tcPr>
          <w:p w14:paraId="0B5A325D" w14:textId="1FF217F3"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4814AD" w:rsidRPr="00675182" w14:paraId="50B0E2BE" w14:textId="77777777" w:rsidTr="004814A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34D14A9C"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G281</w:t>
            </w:r>
          </w:p>
        </w:tc>
        <w:tc>
          <w:tcPr>
            <w:tcW w:w="940" w:type="pct"/>
            <w:tcBorders>
              <w:top w:val="nil"/>
              <w:left w:val="nil"/>
              <w:bottom w:val="single" w:sz="4" w:space="0" w:color="auto"/>
              <w:right w:val="single" w:sz="4" w:space="0" w:color="auto"/>
            </w:tcBorders>
            <w:shd w:val="clear" w:color="auto" w:fill="auto"/>
            <w:noWrap/>
            <w:vAlign w:val="center"/>
            <w:hideMark/>
          </w:tcPr>
          <w:p w14:paraId="5C2819BD"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Jumara</w:t>
            </w:r>
          </w:p>
        </w:tc>
        <w:tc>
          <w:tcPr>
            <w:tcW w:w="599" w:type="pct"/>
            <w:tcBorders>
              <w:top w:val="nil"/>
              <w:left w:val="nil"/>
              <w:bottom w:val="single" w:sz="4" w:space="0" w:color="auto"/>
              <w:right w:val="single" w:sz="4" w:space="0" w:color="auto"/>
            </w:tcBorders>
            <w:shd w:val="clear" w:color="auto" w:fill="auto"/>
            <w:noWrap/>
            <w:vAlign w:val="center"/>
            <w:hideMark/>
          </w:tcPr>
          <w:p w14:paraId="0970440D"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9708</w:t>
            </w:r>
          </w:p>
        </w:tc>
        <w:tc>
          <w:tcPr>
            <w:tcW w:w="853" w:type="pct"/>
            <w:tcBorders>
              <w:top w:val="nil"/>
              <w:left w:val="nil"/>
              <w:bottom w:val="single" w:sz="4" w:space="0" w:color="auto"/>
              <w:right w:val="single" w:sz="4" w:space="0" w:color="auto"/>
            </w:tcBorders>
            <w:shd w:val="clear" w:color="auto" w:fill="auto"/>
            <w:noWrap/>
            <w:vAlign w:val="center"/>
            <w:hideMark/>
          </w:tcPr>
          <w:p w14:paraId="32EF58C7"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825</w:t>
            </w:r>
          </w:p>
        </w:tc>
        <w:tc>
          <w:tcPr>
            <w:tcW w:w="1281" w:type="pct"/>
            <w:tcBorders>
              <w:top w:val="nil"/>
              <w:left w:val="nil"/>
              <w:bottom w:val="single" w:sz="4" w:space="0" w:color="auto"/>
              <w:right w:val="single" w:sz="4" w:space="0" w:color="auto"/>
            </w:tcBorders>
            <w:shd w:val="clear" w:color="auto" w:fill="auto"/>
            <w:vAlign w:val="center"/>
            <w:hideMark/>
          </w:tcPr>
          <w:p w14:paraId="232D8AA9"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Punktveida slodze no komunālā sektora un piesārņotas vietas, hidromorgoloģiskie pārveidojumi</w:t>
            </w:r>
          </w:p>
        </w:tc>
        <w:tc>
          <w:tcPr>
            <w:tcW w:w="904" w:type="pct"/>
            <w:tcBorders>
              <w:top w:val="nil"/>
              <w:left w:val="nil"/>
              <w:bottom w:val="single" w:sz="4" w:space="0" w:color="auto"/>
              <w:right w:val="single" w:sz="4" w:space="0" w:color="auto"/>
            </w:tcBorders>
            <w:shd w:val="clear" w:color="000000" w:fill="FFFF00"/>
            <w:noWrap/>
            <w:vAlign w:val="center"/>
            <w:hideMark/>
          </w:tcPr>
          <w:p w14:paraId="252D29FF" w14:textId="0DB0BF25"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4814AD" w:rsidRPr="00675182" w14:paraId="7C2C8186" w14:textId="77777777" w:rsidTr="004814A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2CF77B53"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D407</w:t>
            </w:r>
          </w:p>
        </w:tc>
        <w:tc>
          <w:tcPr>
            <w:tcW w:w="940" w:type="pct"/>
            <w:tcBorders>
              <w:top w:val="nil"/>
              <w:left w:val="nil"/>
              <w:bottom w:val="single" w:sz="4" w:space="0" w:color="auto"/>
              <w:right w:val="single" w:sz="4" w:space="0" w:color="auto"/>
            </w:tcBorders>
            <w:shd w:val="clear" w:color="auto" w:fill="auto"/>
            <w:noWrap/>
            <w:vAlign w:val="center"/>
            <w:hideMark/>
          </w:tcPr>
          <w:p w14:paraId="2D42F300"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Suda</w:t>
            </w:r>
          </w:p>
        </w:tc>
        <w:tc>
          <w:tcPr>
            <w:tcW w:w="599" w:type="pct"/>
            <w:tcBorders>
              <w:top w:val="nil"/>
              <w:left w:val="nil"/>
              <w:bottom w:val="single" w:sz="4" w:space="0" w:color="auto"/>
              <w:right w:val="single" w:sz="4" w:space="0" w:color="auto"/>
            </w:tcBorders>
            <w:shd w:val="clear" w:color="auto" w:fill="auto"/>
            <w:noWrap/>
            <w:vAlign w:val="center"/>
            <w:hideMark/>
          </w:tcPr>
          <w:p w14:paraId="7C71044A"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16888</w:t>
            </w:r>
          </w:p>
        </w:tc>
        <w:tc>
          <w:tcPr>
            <w:tcW w:w="853" w:type="pct"/>
            <w:tcBorders>
              <w:top w:val="nil"/>
              <w:left w:val="nil"/>
              <w:bottom w:val="single" w:sz="4" w:space="0" w:color="auto"/>
              <w:right w:val="single" w:sz="4" w:space="0" w:color="auto"/>
            </w:tcBorders>
            <w:shd w:val="clear" w:color="auto" w:fill="auto"/>
            <w:noWrap/>
            <w:vAlign w:val="center"/>
            <w:hideMark/>
          </w:tcPr>
          <w:p w14:paraId="16BE7B0E"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4320</w:t>
            </w:r>
          </w:p>
        </w:tc>
        <w:tc>
          <w:tcPr>
            <w:tcW w:w="1281" w:type="pct"/>
            <w:tcBorders>
              <w:top w:val="nil"/>
              <w:left w:val="nil"/>
              <w:bottom w:val="single" w:sz="4" w:space="0" w:color="auto"/>
              <w:right w:val="single" w:sz="4" w:space="0" w:color="auto"/>
            </w:tcBorders>
            <w:shd w:val="clear" w:color="auto" w:fill="auto"/>
            <w:vAlign w:val="center"/>
            <w:hideMark/>
          </w:tcPr>
          <w:p w14:paraId="2483786B"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Lejteces ŪO HES ietekme</w:t>
            </w:r>
          </w:p>
        </w:tc>
        <w:tc>
          <w:tcPr>
            <w:tcW w:w="904" w:type="pct"/>
            <w:tcBorders>
              <w:top w:val="nil"/>
              <w:left w:val="nil"/>
              <w:bottom w:val="single" w:sz="4" w:space="0" w:color="auto"/>
              <w:right w:val="single" w:sz="4" w:space="0" w:color="auto"/>
            </w:tcBorders>
            <w:shd w:val="clear" w:color="000000" w:fill="FFFF00"/>
            <w:noWrap/>
            <w:vAlign w:val="center"/>
            <w:hideMark/>
          </w:tcPr>
          <w:p w14:paraId="62AF5A6A" w14:textId="650F778E"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4814AD" w:rsidRPr="00675182" w14:paraId="5434C450" w14:textId="77777777" w:rsidTr="004814A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5271FCE5"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D409</w:t>
            </w:r>
          </w:p>
        </w:tc>
        <w:tc>
          <w:tcPr>
            <w:tcW w:w="940" w:type="pct"/>
            <w:tcBorders>
              <w:top w:val="nil"/>
              <w:left w:val="nil"/>
              <w:bottom w:val="single" w:sz="4" w:space="0" w:color="auto"/>
              <w:right w:val="single" w:sz="4" w:space="0" w:color="auto"/>
            </w:tcBorders>
            <w:shd w:val="clear" w:color="auto" w:fill="auto"/>
            <w:noWrap/>
            <w:vAlign w:val="center"/>
            <w:hideMark/>
          </w:tcPr>
          <w:p w14:paraId="79FFC9E9"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Mergupe_1</w:t>
            </w:r>
          </w:p>
        </w:tc>
        <w:tc>
          <w:tcPr>
            <w:tcW w:w="599" w:type="pct"/>
            <w:tcBorders>
              <w:top w:val="nil"/>
              <w:left w:val="nil"/>
              <w:bottom w:val="single" w:sz="4" w:space="0" w:color="auto"/>
              <w:right w:val="single" w:sz="4" w:space="0" w:color="auto"/>
            </w:tcBorders>
            <w:shd w:val="clear" w:color="auto" w:fill="auto"/>
            <w:noWrap/>
            <w:vAlign w:val="center"/>
            <w:hideMark/>
          </w:tcPr>
          <w:p w14:paraId="64F1DEFC"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29089</w:t>
            </w:r>
          </w:p>
        </w:tc>
        <w:tc>
          <w:tcPr>
            <w:tcW w:w="853" w:type="pct"/>
            <w:tcBorders>
              <w:top w:val="nil"/>
              <w:left w:val="nil"/>
              <w:bottom w:val="single" w:sz="4" w:space="0" w:color="auto"/>
              <w:right w:val="single" w:sz="4" w:space="0" w:color="auto"/>
            </w:tcBorders>
            <w:shd w:val="clear" w:color="auto" w:fill="auto"/>
            <w:noWrap/>
            <w:vAlign w:val="center"/>
            <w:hideMark/>
          </w:tcPr>
          <w:p w14:paraId="2E0466C1"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17</w:t>
            </w:r>
          </w:p>
        </w:tc>
        <w:tc>
          <w:tcPr>
            <w:tcW w:w="1281" w:type="pct"/>
            <w:tcBorders>
              <w:top w:val="nil"/>
              <w:left w:val="nil"/>
              <w:bottom w:val="single" w:sz="4" w:space="0" w:color="auto"/>
              <w:right w:val="single" w:sz="4" w:space="0" w:color="auto"/>
            </w:tcBorders>
            <w:shd w:val="clear" w:color="auto" w:fill="auto"/>
            <w:vAlign w:val="center"/>
            <w:hideMark/>
          </w:tcPr>
          <w:p w14:paraId="79E6C197" w14:textId="7777777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Lejteces ŪO HES ietekme. Atkritumi upē.</w:t>
            </w:r>
          </w:p>
        </w:tc>
        <w:tc>
          <w:tcPr>
            <w:tcW w:w="904" w:type="pct"/>
            <w:tcBorders>
              <w:top w:val="nil"/>
              <w:left w:val="nil"/>
              <w:bottom w:val="single" w:sz="4" w:space="0" w:color="auto"/>
              <w:right w:val="single" w:sz="4" w:space="0" w:color="auto"/>
            </w:tcBorders>
            <w:shd w:val="clear" w:color="000000" w:fill="FFFF00"/>
            <w:noWrap/>
            <w:vAlign w:val="center"/>
            <w:hideMark/>
          </w:tcPr>
          <w:p w14:paraId="249DC900" w14:textId="19E913E7" w:rsidR="004814AD" w:rsidRPr="00675182" w:rsidRDefault="004814AD" w:rsidP="004814AD">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951DED" w:rsidRPr="00675182" w14:paraId="16BCB990" w14:textId="77777777" w:rsidTr="00951DE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075C1D90"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E200</w:t>
            </w:r>
          </w:p>
        </w:tc>
        <w:tc>
          <w:tcPr>
            <w:tcW w:w="940" w:type="pct"/>
            <w:tcBorders>
              <w:top w:val="nil"/>
              <w:left w:val="nil"/>
              <w:bottom w:val="single" w:sz="4" w:space="0" w:color="auto"/>
              <w:right w:val="single" w:sz="4" w:space="0" w:color="auto"/>
            </w:tcBorders>
            <w:shd w:val="clear" w:color="auto" w:fill="auto"/>
            <w:noWrap/>
            <w:vAlign w:val="center"/>
            <w:hideMark/>
          </w:tcPr>
          <w:p w14:paraId="73E6D163"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Raiskuma ezers</w:t>
            </w:r>
          </w:p>
        </w:tc>
        <w:tc>
          <w:tcPr>
            <w:tcW w:w="599" w:type="pct"/>
            <w:tcBorders>
              <w:top w:val="nil"/>
              <w:left w:val="nil"/>
              <w:bottom w:val="single" w:sz="4" w:space="0" w:color="auto"/>
              <w:right w:val="single" w:sz="4" w:space="0" w:color="auto"/>
            </w:tcBorders>
            <w:shd w:val="clear" w:color="auto" w:fill="auto"/>
            <w:noWrap/>
            <w:vAlign w:val="center"/>
            <w:hideMark/>
          </w:tcPr>
          <w:p w14:paraId="78FBA604"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2204</w:t>
            </w:r>
          </w:p>
        </w:tc>
        <w:tc>
          <w:tcPr>
            <w:tcW w:w="853" w:type="pct"/>
            <w:tcBorders>
              <w:top w:val="nil"/>
              <w:left w:val="nil"/>
              <w:bottom w:val="single" w:sz="4" w:space="0" w:color="auto"/>
              <w:right w:val="single" w:sz="4" w:space="0" w:color="auto"/>
            </w:tcBorders>
            <w:shd w:val="clear" w:color="auto" w:fill="auto"/>
            <w:noWrap/>
            <w:vAlign w:val="center"/>
            <w:hideMark/>
          </w:tcPr>
          <w:p w14:paraId="691CECC0"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2204</w:t>
            </w:r>
          </w:p>
        </w:tc>
        <w:tc>
          <w:tcPr>
            <w:tcW w:w="1281" w:type="pct"/>
            <w:tcBorders>
              <w:top w:val="nil"/>
              <w:left w:val="nil"/>
              <w:bottom w:val="single" w:sz="4" w:space="0" w:color="auto"/>
              <w:right w:val="single" w:sz="4" w:space="0" w:color="auto"/>
            </w:tcBorders>
            <w:shd w:val="clear" w:color="auto" w:fill="auto"/>
            <w:noWrap/>
            <w:vAlign w:val="center"/>
            <w:hideMark/>
          </w:tcPr>
          <w:p w14:paraId="15B360FD"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Atkritumi iztekošajā Sveķupītē</w:t>
            </w:r>
          </w:p>
        </w:tc>
        <w:tc>
          <w:tcPr>
            <w:tcW w:w="904" w:type="pct"/>
            <w:tcBorders>
              <w:top w:val="nil"/>
              <w:left w:val="nil"/>
              <w:bottom w:val="single" w:sz="4" w:space="0" w:color="auto"/>
              <w:right w:val="single" w:sz="4" w:space="0" w:color="auto"/>
            </w:tcBorders>
            <w:shd w:val="clear" w:color="000000" w:fill="FFFF00"/>
            <w:noWrap/>
            <w:vAlign w:val="center"/>
            <w:hideMark/>
          </w:tcPr>
          <w:p w14:paraId="1D9C7838" w14:textId="58338215" w:rsidR="00883DD8" w:rsidRPr="00675182" w:rsidRDefault="004814AD"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r w:rsidR="00951DED" w:rsidRPr="00675182" w14:paraId="1AA237A3" w14:textId="77777777" w:rsidTr="00951DE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61278C26"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E201</w:t>
            </w:r>
          </w:p>
        </w:tc>
        <w:tc>
          <w:tcPr>
            <w:tcW w:w="940" w:type="pct"/>
            <w:tcBorders>
              <w:top w:val="nil"/>
              <w:left w:val="nil"/>
              <w:bottom w:val="single" w:sz="4" w:space="0" w:color="auto"/>
              <w:right w:val="single" w:sz="4" w:space="0" w:color="auto"/>
            </w:tcBorders>
            <w:shd w:val="clear" w:color="auto" w:fill="auto"/>
            <w:noWrap/>
            <w:vAlign w:val="center"/>
            <w:hideMark/>
          </w:tcPr>
          <w:p w14:paraId="4538688B"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Unguru (Rustēgs)</w:t>
            </w:r>
          </w:p>
        </w:tc>
        <w:tc>
          <w:tcPr>
            <w:tcW w:w="599" w:type="pct"/>
            <w:tcBorders>
              <w:top w:val="nil"/>
              <w:left w:val="nil"/>
              <w:bottom w:val="single" w:sz="4" w:space="0" w:color="auto"/>
              <w:right w:val="single" w:sz="4" w:space="0" w:color="auto"/>
            </w:tcBorders>
            <w:shd w:val="clear" w:color="auto" w:fill="auto"/>
            <w:noWrap/>
            <w:vAlign w:val="center"/>
            <w:hideMark/>
          </w:tcPr>
          <w:p w14:paraId="200F7510"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1805</w:t>
            </w:r>
          </w:p>
        </w:tc>
        <w:tc>
          <w:tcPr>
            <w:tcW w:w="853" w:type="pct"/>
            <w:tcBorders>
              <w:top w:val="nil"/>
              <w:left w:val="nil"/>
              <w:bottom w:val="single" w:sz="4" w:space="0" w:color="auto"/>
              <w:right w:val="single" w:sz="4" w:space="0" w:color="auto"/>
            </w:tcBorders>
            <w:shd w:val="clear" w:color="auto" w:fill="auto"/>
            <w:noWrap/>
            <w:vAlign w:val="center"/>
            <w:hideMark/>
          </w:tcPr>
          <w:p w14:paraId="0C0AB51E"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1805</w:t>
            </w:r>
          </w:p>
        </w:tc>
        <w:tc>
          <w:tcPr>
            <w:tcW w:w="1281" w:type="pct"/>
            <w:tcBorders>
              <w:top w:val="nil"/>
              <w:left w:val="nil"/>
              <w:bottom w:val="single" w:sz="4" w:space="0" w:color="auto"/>
              <w:right w:val="single" w:sz="4" w:space="0" w:color="auto"/>
            </w:tcBorders>
            <w:shd w:val="clear" w:color="auto" w:fill="auto"/>
            <w:noWrap/>
            <w:vAlign w:val="center"/>
            <w:hideMark/>
          </w:tcPr>
          <w:p w14:paraId="11D2EC42" w14:textId="5EC844A5" w:rsidR="00883DD8" w:rsidRPr="00675182" w:rsidRDefault="00883DD8" w:rsidP="00883DD8">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92D050"/>
            <w:noWrap/>
            <w:vAlign w:val="center"/>
            <w:hideMark/>
          </w:tcPr>
          <w:p w14:paraId="63BE67D5" w14:textId="71835FF3" w:rsidR="00883DD8" w:rsidRPr="00675182" w:rsidRDefault="004814AD"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Laba</w:t>
            </w:r>
          </w:p>
        </w:tc>
      </w:tr>
      <w:tr w:rsidR="00951DED" w:rsidRPr="00675182" w14:paraId="312F4963" w14:textId="77777777" w:rsidTr="00951DED">
        <w:trPr>
          <w:trHeight w:val="5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5C3D3936"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E202</w:t>
            </w:r>
          </w:p>
        </w:tc>
        <w:tc>
          <w:tcPr>
            <w:tcW w:w="940" w:type="pct"/>
            <w:tcBorders>
              <w:top w:val="nil"/>
              <w:left w:val="nil"/>
              <w:bottom w:val="single" w:sz="4" w:space="0" w:color="auto"/>
              <w:right w:val="single" w:sz="4" w:space="0" w:color="auto"/>
            </w:tcBorders>
            <w:shd w:val="clear" w:color="auto" w:fill="auto"/>
            <w:noWrap/>
            <w:vAlign w:val="center"/>
            <w:hideMark/>
          </w:tcPr>
          <w:p w14:paraId="33C8B405"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Vaidavas ezers</w:t>
            </w:r>
          </w:p>
        </w:tc>
        <w:tc>
          <w:tcPr>
            <w:tcW w:w="599" w:type="pct"/>
            <w:tcBorders>
              <w:top w:val="nil"/>
              <w:left w:val="nil"/>
              <w:bottom w:val="single" w:sz="4" w:space="0" w:color="auto"/>
              <w:right w:val="single" w:sz="4" w:space="0" w:color="auto"/>
            </w:tcBorders>
            <w:shd w:val="clear" w:color="auto" w:fill="auto"/>
            <w:noWrap/>
            <w:vAlign w:val="center"/>
            <w:hideMark/>
          </w:tcPr>
          <w:p w14:paraId="35AEF0C5"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6092</w:t>
            </w:r>
          </w:p>
        </w:tc>
        <w:tc>
          <w:tcPr>
            <w:tcW w:w="853" w:type="pct"/>
            <w:tcBorders>
              <w:top w:val="nil"/>
              <w:left w:val="nil"/>
              <w:bottom w:val="single" w:sz="4" w:space="0" w:color="auto"/>
              <w:right w:val="single" w:sz="4" w:space="0" w:color="auto"/>
            </w:tcBorders>
            <w:shd w:val="clear" w:color="auto" w:fill="auto"/>
            <w:noWrap/>
            <w:vAlign w:val="center"/>
            <w:hideMark/>
          </w:tcPr>
          <w:p w14:paraId="13577DF3" w14:textId="77777777" w:rsidR="00883DD8" w:rsidRPr="00675182" w:rsidRDefault="00883DD8"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3745</w:t>
            </w:r>
          </w:p>
        </w:tc>
        <w:tc>
          <w:tcPr>
            <w:tcW w:w="1281" w:type="pct"/>
            <w:tcBorders>
              <w:top w:val="nil"/>
              <w:left w:val="nil"/>
              <w:bottom w:val="single" w:sz="4" w:space="0" w:color="auto"/>
              <w:right w:val="single" w:sz="4" w:space="0" w:color="auto"/>
            </w:tcBorders>
            <w:shd w:val="clear" w:color="auto" w:fill="auto"/>
            <w:noWrap/>
            <w:vAlign w:val="center"/>
            <w:hideMark/>
          </w:tcPr>
          <w:p w14:paraId="1E879897" w14:textId="43FE5545" w:rsidR="00883DD8" w:rsidRPr="00675182" w:rsidRDefault="00883DD8" w:rsidP="00883DD8">
            <w:pPr>
              <w:suppressAutoHyphens w:val="0"/>
              <w:jc w:val="center"/>
              <w:rPr>
                <w:rFonts w:eastAsia="Times New Roman" w:cstheme="minorHAnsi"/>
                <w:color w:val="000000"/>
                <w:sz w:val="22"/>
                <w:szCs w:val="22"/>
                <w:lang w:eastAsia="en-GB"/>
              </w:rPr>
            </w:pPr>
          </w:p>
        </w:tc>
        <w:tc>
          <w:tcPr>
            <w:tcW w:w="904" w:type="pct"/>
            <w:tcBorders>
              <w:top w:val="nil"/>
              <w:left w:val="nil"/>
              <w:bottom w:val="single" w:sz="4" w:space="0" w:color="auto"/>
              <w:right w:val="single" w:sz="4" w:space="0" w:color="auto"/>
            </w:tcBorders>
            <w:shd w:val="clear" w:color="000000" w:fill="FFFF00"/>
            <w:noWrap/>
            <w:vAlign w:val="center"/>
            <w:hideMark/>
          </w:tcPr>
          <w:p w14:paraId="52F58D01" w14:textId="295D9ECA" w:rsidR="00883DD8" w:rsidRPr="00675182" w:rsidRDefault="004814AD" w:rsidP="00883DD8">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Vidēja</w:t>
            </w:r>
          </w:p>
        </w:tc>
      </w:tr>
    </w:tbl>
    <w:p w14:paraId="190E9EC0" w14:textId="0EC0A9FD" w:rsidR="002A1B40" w:rsidRPr="00675182" w:rsidRDefault="002A1B40" w:rsidP="002A1B40">
      <w:pPr>
        <w:rPr>
          <w:rFonts w:cstheme="minorHAnsi"/>
          <w:szCs w:val="24"/>
        </w:rPr>
      </w:pPr>
      <w:r w:rsidRPr="00675182">
        <w:rPr>
          <w:rFonts w:cstheme="minorHAnsi"/>
          <w:sz w:val="20"/>
          <w:szCs w:val="24"/>
        </w:rPr>
        <w:t xml:space="preserve">Datu avots: </w:t>
      </w:r>
      <w:r w:rsidR="001823B7" w:rsidRPr="00675182">
        <w:rPr>
          <w:rFonts w:cstheme="minorHAnsi"/>
          <w:sz w:val="20"/>
          <w:szCs w:val="24"/>
        </w:rPr>
        <w:t>Gaujas un Daugavas UBA</w:t>
      </w:r>
      <w:r w:rsidR="00520266">
        <w:rPr>
          <w:rFonts w:cstheme="minorHAnsi"/>
          <w:sz w:val="20"/>
          <w:szCs w:val="24"/>
        </w:rPr>
        <w:t>A</w:t>
      </w:r>
      <w:r w:rsidR="00364B67">
        <w:rPr>
          <w:rFonts w:cstheme="minorHAnsi"/>
          <w:sz w:val="20"/>
          <w:szCs w:val="24"/>
        </w:rPr>
        <w:t>P</w:t>
      </w:r>
      <w:r w:rsidR="00520266">
        <w:rPr>
          <w:rFonts w:cstheme="minorHAnsi"/>
          <w:sz w:val="20"/>
          <w:szCs w:val="24"/>
        </w:rPr>
        <w:t xml:space="preserve"> </w:t>
      </w:r>
      <w:r w:rsidR="001823B7" w:rsidRPr="00675182">
        <w:rPr>
          <w:rFonts w:cstheme="minorHAnsi"/>
          <w:sz w:val="20"/>
          <w:szCs w:val="24"/>
        </w:rPr>
        <w:t>2022. – 2027. gadam, 202</w:t>
      </w:r>
      <w:r w:rsidR="00D57E1B" w:rsidRPr="00675182">
        <w:rPr>
          <w:rFonts w:cstheme="minorHAnsi"/>
          <w:sz w:val="20"/>
          <w:szCs w:val="24"/>
        </w:rPr>
        <w:t>2</w:t>
      </w:r>
    </w:p>
    <w:p w14:paraId="46153E99" w14:textId="77777777" w:rsidR="002A1B40" w:rsidRPr="00675182" w:rsidRDefault="002A1B40" w:rsidP="00966A1C">
      <w:pPr>
        <w:pStyle w:val="ListParagraph"/>
        <w:ind w:left="0"/>
        <w:jc w:val="both"/>
        <w:rPr>
          <w:rFonts w:cstheme="minorHAnsi"/>
          <w:bCs/>
        </w:rPr>
      </w:pPr>
    </w:p>
    <w:p w14:paraId="39F785D0" w14:textId="77777777" w:rsidR="00386BE6" w:rsidRPr="00675182" w:rsidRDefault="00D36057" w:rsidP="00D36057">
      <w:pPr>
        <w:jc w:val="both"/>
        <w:rPr>
          <w:rFonts w:cstheme="minorHAnsi"/>
          <w:szCs w:val="24"/>
        </w:rPr>
      </w:pPr>
      <w:r w:rsidRPr="00675182">
        <w:rPr>
          <w:rFonts w:cstheme="minorHAnsi"/>
          <w:szCs w:val="24"/>
        </w:rPr>
        <w:t>Izkliedētais piesārņojums ūdens vidē nonāk nekoncentrētā veidā no dažādiem difūziem avotiem GNP teritorijā. Tas rodas, lietus un sniega kušanas ūdeņiem notekot no apdzīvotu vietu teritorijām, lauksaimniecības zemēm, kūtsmēslu novietnēm un ceļiem, kā arī nokrišņu veidā ar tajos esošām piesārņojošām vielām. Lai arī biogēno elementu notece no mežiem ir dabisks process, saimnieciskā darbība, piemēram, kailcirtes, purvu un mežu meliorēšana noteces apjomu var ievērojami palielināt. Tāpēc arī cilvēka darbības izraisītā antropogēnā notece no mežiem tiek pieskaitīta izkliedētajam piesārņojumam (LVĢMC, 2016). Jāatzīmē, ka lauksaimniecība ir viens no galvenajiem izkliedētā piesārņojuma cēloņiem un biogēno elementu emisijas avotiem (Freshwater quality, 2015).</w:t>
      </w:r>
      <w:r w:rsidR="00386BE6" w:rsidRPr="00675182">
        <w:rPr>
          <w:rFonts w:cstheme="minorHAnsi"/>
          <w:szCs w:val="24"/>
        </w:rPr>
        <w:t xml:space="preserve"> </w:t>
      </w:r>
    </w:p>
    <w:p w14:paraId="7DDF24E8" w14:textId="77777777" w:rsidR="00386BE6" w:rsidRPr="00675182" w:rsidRDefault="00386BE6" w:rsidP="00D36057">
      <w:pPr>
        <w:jc w:val="both"/>
        <w:rPr>
          <w:rFonts w:cstheme="minorHAnsi"/>
          <w:szCs w:val="24"/>
        </w:rPr>
      </w:pPr>
    </w:p>
    <w:p w14:paraId="2FC52D7C" w14:textId="5775E899" w:rsidR="00D36057" w:rsidRPr="00675182" w:rsidRDefault="00386BE6" w:rsidP="00D36057">
      <w:pPr>
        <w:jc w:val="both"/>
        <w:rPr>
          <w:rFonts w:cstheme="minorHAnsi"/>
          <w:szCs w:val="24"/>
        </w:rPr>
      </w:pPr>
      <w:r w:rsidRPr="00675182">
        <w:rPr>
          <w:rFonts w:cstheme="minorHAnsi"/>
          <w:szCs w:val="24"/>
        </w:rPr>
        <w:t>Saskaņā ar MK 2014. gada 23. decembra noteikumiem Nr. 834 „Prasības ūdens, augsnes un gaisa aizsardzībai no lauksaimnieciskās darbības izraisīta piesārņojuma” daļa no Siguldas novada teritorijas ir definēta kā īpaši jutīga teritorija. Veicot lauksaimniecības darbības īpaši jutīgajās teritorijās, ir jāievēro papildus prasības, kas ir vērstas uz ūdens piesārņojuma samazināšanu ar nitrātiem lauksaimniecības darbības rezultātā.</w:t>
      </w:r>
    </w:p>
    <w:p w14:paraId="3A6EA9C4" w14:textId="77777777" w:rsidR="00D36057" w:rsidRPr="00675182" w:rsidRDefault="00D36057" w:rsidP="00D36057">
      <w:pPr>
        <w:jc w:val="both"/>
        <w:rPr>
          <w:rFonts w:cstheme="minorHAnsi"/>
          <w:szCs w:val="24"/>
        </w:rPr>
      </w:pPr>
    </w:p>
    <w:p w14:paraId="42739520" w14:textId="69159ECA" w:rsidR="00D36057" w:rsidRPr="00675182" w:rsidRDefault="00D36057" w:rsidP="00D36057">
      <w:pPr>
        <w:jc w:val="both"/>
        <w:rPr>
          <w:rFonts w:cstheme="minorHAnsi"/>
          <w:szCs w:val="24"/>
        </w:rPr>
      </w:pPr>
      <w:r w:rsidRPr="00675182">
        <w:rPr>
          <w:rFonts w:cstheme="minorHAnsi"/>
          <w:szCs w:val="24"/>
        </w:rPr>
        <w:t xml:space="preserve">Līdztekus punktveida un difūzā piesārņojuma avotiem GNP un piesārņojuma pārnesei no baseina ārpus GNP, vides kvalitāti ĪADT teritorijā, ES nozīmes upju biotopus 3260 </w:t>
      </w:r>
      <w:r w:rsidRPr="00675182">
        <w:rPr>
          <w:rFonts w:cstheme="minorHAnsi"/>
          <w:i/>
          <w:iCs/>
          <w:szCs w:val="24"/>
        </w:rPr>
        <w:t>Upju straujteces un dabiski upju posmi</w:t>
      </w:r>
      <w:r w:rsidRPr="00675182">
        <w:rPr>
          <w:rFonts w:cstheme="minorHAnsi"/>
          <w:szCs w:val="24"/>
        </w:rPr>
        <w:t xml:space="preserve"> un citas dabas vērtības ietekmē arī uz upēm uzceltās hidrotehniskās būves, kas atrodas gan GNP teritorijā, gan izvietotas uz dabiskajām ūdenstecēm pa straumi uz augšu no nacionālā parka.</w:t>
      </w:r>
    </w:p>
    <w:p w14:paraId="46B6E257" w14:textId="77777777" w:rsidR="005F3259" w:rsidRPr="00675182" w:rsidRDefault="005F3259" w:rsidP="00D36057">
      <w:pPr>
        <w:jc w:val="both"/>
        <w:rPr>
          <w:rFonts w:cstheme="minorHAnsi"/>
          <w:szCs w:val="24"/>
        </w:rPr>
      </w:pPr>
    </w:p>
    <w:p w14:paraId="672CCD0E" w14:textId="3D9083FF" w:rsidR="00D36057" w:rsidRPr="00675182" w:rsidRDefault="00D36057" w:rsidP="00D36057">
      <w:pPr>
        <w:jc w:val="both"/>
        <w:rPr>
          <w:rFonts w:cstheme="minorHAnsi"/>
          <w:szCs w:val="24"/>
        </w:rPr>
      </w:pPr>
      <w:r w:rsidRPr="00675182">
        <w:rPr>
          <w:rFonts w:cstheme="minorHAnsi"/>
          <w:szCs w:val="24"/>
        </w:rPr>
        <w:t>Hidromorfoloģisko ietekmi GNP galvenokārt rada hidrotehniskās būves – dzirnavezeru aizsprosti un mazo HES aizsprosti. Lielākā daļa no dzirnavezeru aizsprostiem pārstājušai funkcionēt to sākotnējās saimnieciskās izmantošanas kontekstā jau pirms GNP izveides 1973. gadā. Tomēr līdz mūsdienām saglabājušies 14 aizsprosti uz sekojošām mazajām upēm: Strīķupe (Vaidavas dzirnavezers), Nurmižupīte (Nurmižu dzirnavezers), Ūdensrijēju upītes pieteka (Ramas dzirnavezers), Rakšupes labā krasta pieteka (Mālnieku dīķis), Dzirnupe (Muižas dīķis), Vaive (Vaives dzirnavezers), Triečupītes kreisā krasta pieteka pie Strautmaļiem (Purmaļu ūdenskrātuve un Bleikšu dīķis), Pūrica (Milmēnu dīķis), Dzirnupīte (Unguru dzirnavezers), Līčupīte (Stalbes ūdenskrātuve), Brasla (Braslas HES ūdenskrātuve), Lenčupe (Kalna dzirnavezers) un Amata (Amatas HES ūdenskrātuve – Kārļu dzirnavezers).</w:t>
      </w:r>
    </w:p>
    <w:p w14:paraId="539DC5AA" w14:textId="77777777" w:rsidR="005F3259" w:rsidRPr="00675182" w:rsidRDefault="005F3259" w:rsidP="00D36057">
      <w:pPr>
        <w:jc w:val="both"/>
        <w:rPr>
          <w:rFonts w:cstheme="minorHAnsi"/>
          <w:szCs w:val="24"/>
        </w:rPr>
      </w:pPr>
    </w:p>
    <w:p w14:paraId="3CC38986" w14:textId="66B4E5CB" w:rsidR="00D36057" w:rsidRPr="00675182" w:rsidRDefault="00D36057" w:rsidP="00D36057">
      <w:pPr>
        <w:jc w:val="both"/>
        <w:rPr>
          <w:rFonts w:cstheme="minorHAnsi"/>
          <w:szCs w:val="24"/>
        </w:rPr>
      </w:pPr>
      <w:r w:rsidRPr="00675182">
        <w:rPr>
          <w:rFonts w:cstheme="minorHAnsi"/>
          <w:szCs w:val="24"/>
        </w:rPr>
        <w:t>Lai gan hidrotehnisko būvju ietekmei ir arī pozitīvā puse (ūdens bagātināšana ar skābekli, pašattīrīšanās procesa veicināšana uztverot cietvielu noteci un veicinot ķīmisko un bioķīmisko oksidēšanos), tomēr kopumā šo mākslīgo objektu ietekmē ir ticis izmainīts ūdensteču dabiskais plūdums, kas savukārt izmainīja piekrastes un ūdens ekosistēmu ilgā periodā izveidojušos līdzsvaru. Upju ūdens režīma izmaiņām sekas ir ne tikai hidrotehnisko būvju aizsprosta appludinātajos un pārveidotos posmos, bet arī uz leju no regulētajiem posmiem un tiem pieguļošajās teritorijās. Īpaši raksturīgs tas ir mazām upēm, kuru ekosistēmas ir daudzveidīgākas un jutīgākas pret izmaiņām. Kā būtiskākās negatīvās iezīmes jāmin ietekmi uz ūdens organismu migrāciju un apdraudējumu zivju resursiem.</w:t>
      </w:r>
    </w:p>
    <w:p w14:paraId="44E0912F" w14:textId="77777777" w:rsidR="005F3259" w:rsidRPr="00675182" w:rsidRDefault="005F3259" w:rsidP="00D36057">
      <w:pPr>
        <w:jc w:val="both"/>
        <w:rPr>
          <w:rFonts w:cstheme="minorHAnsi"/>
          <w:szCs w:val="24"/>
        </w:rPr>
      </w:pPr>
    </w:p>
    <w:p w14:paraId="347FA1B0" w14:textId="762E9C40" w:rsidR="00D36057" w:rsidRPr="00675182" w:rsidRDefault="00D36057" w:rsidP="00D36057">
      <w:pPr>
        <w:jc w:val="both"/>
        <w:rPr>
          <w:rFonts w:cstheme="minorHAnsi"/>
          <w:szCs w:val="24"/>
        </w:rPr>
      </w:pPr>
      <w:r w:rsidRPr="00675182">
        <w:rPr>
          <w:rFonts w:cstheme="minorHAnsi"/>
          <w:szCs w:val="24"/>
        </w:rPr>
        <w:t>Hidroloģiskā režīma un dabiskā plūduma izmaiņu negatīvās ietekmes upīšu posmos lejpus hidrotehniskām būvēm papildina arī termiskā režīma izmaiņas. Respektīvi, HES un dzirnavezeru uzstādinājumos ūdens uzsilst vairāk nekā dabiskajā gultnē, un uzsilušais ūdens ar paaugstinātu temperatūru maina ūdensteces dabisko termisko režīmu. Šāda uzsilšana atstāj nelabvēlīgu ietekmi uz reofīlām hidrobiontu sugām, kuru attīstībai nepieciešama zemāka ūdens temperatūra. Ūdens uzsilšana atstāj arī nelabvēlīgu ietekmi uz vairāku zivju sugu, it sevišķi lašveidīgo zivju sugu mazuļu attīstību.</w:t>
      </w:r>
    </w:p>
    <w:p w14:paraId="1F6AA5C5" w14:textId="2579B8DF" w:rsidR="00D36057" w:rsidRPr="00675182" w:rsidRDefault="00D36057" w:rsidP="00D36057">
      <w:pPr>
        <w:jc w:val="both"/>
        <w:rPr>
          <w:rFonts w:cstheme="minorHAnsi"/>
          <w:szCs w:val="24"/>
        </w:rPr>
      </w:pPr>
    </w:p>
    <w:p w14:paraId="2ABC3D42" w14:textId="53065E57" w:rsidR="00F14267" w:rsidRPr="00675182" w:rsidRDefault="00B64E04" w:rsidP="00F14267">
      <w:pPr>
        <w:jc w:val="both"/>
        <w:rPr>
          <w:rFonts w:cstheme="minorHAnsi"/>
        </w:rPr>
      </w:pPr>
      <w:r w:rsidRPr="00675182">
        <w:rPr>
          <w:rFonts w:cstheme="minorHAnsi"/>
        </w:rPr>
        <w:t>Gaujas</w:t>
      </w:r>
      <w:r w:rsidR="00F14267" w:rsidRPr="00675182">
        <w:rPr>
          <w:rFonts w:cstheme="minorHAnsi"/>
        </w:rPr>
        <w:t xml:space="preserve"> un </w:t>
      </w:r>
      <w:r w:rsidRPr="00675182">
        <w:rPr>
          <w:rFonts w:cstheme="minorHAnsi"/>
        </w:rPr>
        <w:t>Daugavas</w:t>
      </w:r>
      <w:r w:rsidR="00F14267" w:rsidRPr="00675182">
        <w:rPr>
          <w:rFonts w:cstheme="minorHAnsi"/>
        </w:rPr>
        <w:t xml:space="preserve"> UBAAP 2022. – 2027. gadam ir iekļauta informācija par pasākumiem, kuri ir izvirzīti ar mērķi saglabāt vai sasniegt vismaz labu ūdeņu kvalitāti tajos </w:t>
      </w:r>
      <w:r w:rsidR="00DE693F">
        <w:rPr>
          <w:rFonts w:cstheme="minorHAnsi"/>
        </w:rPr>
        <w:t>ŪO</w:t>
      </w:r>
      <w:r w:rsidR="00F14267" w:rsidRPr="00675182">
        <w:rPr>
          <w:rFonts w:cstheme="minorHAnsi"/>
        </w:rPr>
        <w:t>, kuros tā ir vidēja vai zemāka par vidēju. GNP teritorijā</w:t>
      </w:r>
      <w:r w:rsidR="00B04471" w:rsidRPr="00675182">
        <w:rPr>
          <w:rFonts w:cstheme="minorHAnsi"/>
        </w:rPr>
        <w:t xml:space="preserve"> vai tās tiešā tuvumā</w:t>
      </w:r>
      <w:r w:rsidR="00F14267" w:rsidRPr="00675182">
        <w:rPr>
          <w:rFonts w:cstheme="minorHAnsi"/>
        </w:rPr>
        <w:t xml:space="preserve"> paralēli pamata pasākumiem un nacionālā mēroga papildus pasākumiem, kā papildus pasākumi </w:t>
      </w:r>
      <w:r w:rsidR="00091FE2">
        <w:rPr>
          <w:rFonts w:cstheme="minorHAnsi"/>
        </w:rPr>
        <w:t>ŪO</w:t>
      </w:r>
      <w:r w:rsidR="00091FE2" w:rsidRPr="00675182">
        <w:rPr>
          <w:rFonts w:cstheme="minorHAnsi"/>
        </w:rPr>
        <w:t xml:space="preserve"> </w:t>
      </w:r>
      <w:r w:rsidR="00F14267" w:rsidRPr="00675182">
        <w:rPr>
          <w:rFonts w:cstheme="minorHAnsi"/>
        </w:rPr>
        <w:t>mērogā ir minēti:</w:t>
      </w:r>
    </w:p>
    <w:p w14:paraId="6EFFFA81" w14:textId="50E228FB" w:rsidR="00604EBB" w:rsidRPr="00675182" w:rsidRDefault="00091FE2" w:rsidP="00A84218">
      <w:pPr>
        <w:pStyle w:val="ListParagraph"/>
        <w:numPr>
          <w:ilvl w:val="0"/>
          <w:numId w:val="40"/>
        </w:numPr>
        <w:ind w:hanging="294"/>
        <w:jc w:val="both"/>
        <w:rPr>
          <w:rFonts w:cstheme="minorHAnsi"/>
        </w:rPr>
      </w:pPr>
      <w:r>
        <w:rPr>
          <w:rFonts w:cstheme="minorHAnsi"/>
        </w:rPr>
        <w:t>s</w:t>
      </w:r>
      <w:r w:rsidRPr="00675182">
        <w:rPr>
          <w:rFonts w:cstheme="minorHAnsi"/>
        </w:rPr>
        <w:t xml:space="preserve">amazināt </w:t>
      </w:r>
      <w:r w:rsidR="00604EBB" w:rsidRPr="00675182">
        <w:rPr>
          <w:rFonts w:cstheme="minorHAnsi"/>
        </w:rPr>
        <w:t>notekūdeņu radīto punktveida piesārņojumu</w:t>
      </w:r>
      <w:r>
        <w:rPr>
          <w:rFonts w:cstheme="minorHAnsi"/>
        </w:rPr>
        <w:t>:</w:t>
      </w:r>
    </w:p>
    <w:p w14:paraId="59D2E6FE" w14:textId="4D81FFB1" w:rsidR="00F14267" w:rsidRPr="00675182" w:rsidRDefault="00091FE2" w:rsidP="00A84218">
      <w:pPr>
        <w:pStyle w:val="ListParagraph"/>
        <w:numPr>
          <w:ilvl w:val="1"/>
          <w:numId w:val="25"/>
        </w:numPr>
        <w:jc w:val="both"/>
        <w:rPr>
          <w:rFonts w:cstheme="minorHAnsi"/>
        </w:rPr>
      </w:pPr>
      <w:r>
        <w:rPr>
          <w:rFonts w:cstheme="minorHAnsi"/>
        </w:rPr>
        <w:t>u</w:t>
      </w:r>
      <w:r w:rsidRPr="00675182">
        <w:rPr>
          <w:rFonts w:cstheme="minorHAnsi"/>
        </w:rPr>
        <w:t xml:space="preserve">zlabot </w:t>
      </w:r>
      <w:r w:rsidR="00B64E04" w:rsidRPr="00675182">
        <w:rPr>
          <w:rFonts w:cstheme="minorHAnsi"/>
        </w:rPr>
        <w:t xml:space="preserve">NAI darbību, lai sasniegtu prasības </w:t>
      </w:r>
      <w:r>
        <w:rPr>
          <w:rFonts w:cstheme="minorHAnsi"/>
        </w:rPr>
        <w:t>ŪO</w:t>
      </w:r>
      <w:r w:rsidRPr="00675182">
        <w:rPr>
          <w:rFonts w:cstheme="minorHAnsi"/>
        </w:rPr>
        <w:t xml:space="preserve"> </w:t>
      </w:r>
      <w:r w:rsidR="00B64E04" w:rsidRPr="00675182">
        <w:rPr>
          <w:rFonts w:cstheme="minorHAnsi"/>
        </w:rPr>
        <w:t>kvalitātes mērķa sasniegšanai, atbilstoši VVD veiktajām izmaiņām piesārņojošās darbības atļaujā (G281 Jumara);</w:t>
      </w:r>
    </w:p>
    <w:p w14:paraId="5BDAD73C" w14:textId="686CB14C" w:rsidR="00B64E04" w:rsidRPr="00675182" w:rsidRDefault="00091FE2" w:rsidP="00A84218">
      <w:pPr>
        <w:pStyle w:val="ListParagraph"/>
        <w:numPr>
          <w:ilvl w:val="1"/>
          <w:numId w:val="25"/>
        </w:numPr>
        <w:jc w:val="both"/>
        <w:rPr>
          <w:rFonts w:cstheme="minorHAnsi"/>
        </w:rPr>
      </w:pPr>
      <w:r>
        <w:rPr>
          <w:rFonts w:cstheme="minorHAnsi"/>
        </w:rPr>
        <w:t>ī</w:t>
      </w:r>
      <w:r w:rsidRPr="00675182">
        <w:rPr>
          <w:rFonts w:cstheme="minorHAnsi"/>
        </w:rPr>
        <w:t xml:space="preserve">stenot </w:t>
      </w:r>
      <w:r w:rsidR="00B64E04" w:rsidRPr="00675182">
        <w:rPr>
          <w:rFonts w:cstheme="minorHAnsi"/>
        </w:rPr>
        <w:t>LVĢMC un VVD izstrādātos priekšlikumus NAI darbības uzlabošanai (</w:t>
      </w:r>
      <w:r w:rsidR="00604EBB" w:rsidRPr="00675182">
        <w:rPr>
          <w:rFonts w:cstheme="minorHAnsi"/>
        </w:rPr>
        <w:t>definēts kontroles rezultātā</w:t>
      </w:r>
      <w:r w:rsidR="00B64E04" w:rsidRPr="00675182">
        <w:rPr>
          <w:rFonts w:cstheme="minorHAnsi"/>
        </w:rPr>
        <w:t>)</w:t>
      </w:r>
      <w:r>
        <w:rPr>
          <w:rFonts w:cstheme="minorHAnsi"/>
        </w:rPr>
        <w:t>.</w:t>
      </w:r>
    </w:p>
    <w:p w14:paraId="6F692908" w14:textId="590957E9" w:rsidR="00604EBB" w:rsidRPr="00675182" w:rsidRDefault="00091FE2" w:rsidP="00A84218">
      <w:pPr>
        <w:pStyle w:val="ListParagraph"/>
        <w:numPr>
          <w:ilvl w:val="0"/>
          <w:numId w:val="25"/>
        </w:numPr>
        <w:jc w:val="both"/>
        <w:rPr>
          <w:rFonts w:cstheme="minorHAnsi"/>
        </w:rPr>
      </w:pPr>
      <w:r>
        <w:rPr>
          <w:rFonts w:cstheme="minorHAnsi"/>
        </w:rPr>
        <w:t>s</w:t>
      </w:r>
      <w:r w:rsidRPr="00675182">
        <w:rPr>
          <w:rFonts w:cstheme="minorHAnsi"/>
        </w:rPr>
        <w:t xml:space="preserve">amazināt </w:t>
      </w:r>
      <w:r w:rsidR="00604EBB" w:rsidRPr="00675182">
        <w:rPr>
          <w:rFonts w:cstheme="minorHAnsi"/>
        </w:rPr>
        <w:t>lauksaimniecības darbības rezultātā radīto piesārņojumu</w:t>
      </w:r>
      <w:r>
        <w:rPr>
          <w:rFonts w:cstheme="minorHAnsi"/>
        </w:rPr>
        <w:t>:</w:t>
      </w:r>
    </w:p>
    <w:p w14:paraId="257C6BC8" w14:textId="567E7044" w:rsidR="00021866" w:rsidRPr="00675182" w:rsidRDefault="00091FE2" w:rsidP="00A84218">
      <w:pPr>
        <w:pStyle w:val="ListParagraph"/>
        <w:numPr>
          <w:ilvl w:val="1"/>
          <w:numId w:val="25"/>
        </w:numPr>
        <w:jc w:val="both"/>
        <w:rPr>
          <w:rFonts w:cstheme="minorHAnsi"/>
        </w:rPr>
      </w:pPr>
      <w:r>
        <w:rPr>
          <w:rFonts w:cstheme="minorHAnsi"/>
        </w:rPr>
        <w:t>i</w:t>
      </w:r>
      <w:r w:rsidRPr="00675182">
        <w:rPr>
          <w:rFonts w:cstheme="minorHAnsi"/>
        </w:rPr>
        <w:t xml:space="preserve">erīkot </w:t>
      </w:r>
      <w:r w:rsidR="009A1FB5" w:rsidRPr="00675182">
        <w:rPr>
          <w:rFonts w:cstheme="minorHAnsi"/>
        </w:rPr>
        <w:t>ilggadīgos stādījumus aramzemēs (E202 Vaidavas ezers);</w:t>
      </w:r>
    </w:p>
    <w:p w14:paraId="12B57D1B" w14:textId="32ACB8BE" w:rsidR="009A1FB5" w:rsidRPr="00675182" w:rsidRDefault="00091FE2" w:rsidP="00A84218">
      <w:pPr>
        <w:pStyle w:val="ListParagraph"/>
        <w:numPr>
          <w:ilvl w:val="1"/>
          <w:numId w:val="25"/>
        </w:numPr>
        <w:jc w:val="both"/>
        <w:rPr>
          <w:rFonts w:cstheme="minorHAnsi"/>
        </w:rPr>
      </w:pPr>
      <w:r>
        <w:rPr>
          <w:rFonts w:cstheme="minorHAnsi"/>
        </w:rPr>
        <w:t>i</w:t>
      </w:r>
      <w:r w:rsidRPr="00675182">
        <w:rPr>
          <w:rFonts w:cstheme="minorHAnsi"/>
        </w:rPr>
        <w:t xml:space="preserve">eviest </w:t>
      </w:r>
      <w:r w:rsidR="009A1FB5" w:rsidRPr="00675182">
        <w:rPr>
          <w:rFonts w:cstheme="minorHAnsi"/>
        </w:rPr>
        <w:t>konservējošo (minimālo) augsnes apstrādi (E202 Vaidavas ezers)</w:t>
      </w:r>
      <w:r>
        <w:rPr>
          <w:rFonts w:cstheme="minorHAnsi"/>
        </w:rPr>
        <w:t>.</w:t>
      </w:r>
    </w:p>
    <w:p w14:paraId="7F2E9888" w14:textId="30279997" w:rsidR="009A1FB5" w:rsidRPr="00675182" w:rsidRDefault="00091FE2" w:rsidP="00A84218">
      <w:pPr>
        <w:pStyle w:val="ListParagraph"/>
        <w:numPr>
          <w:ilvl w:val="0"/>
          <w:numId w:val="25"/>
        </w:numPr>
        <w:jc w:val="both"/>
        <w:rPr>
          <w:rFonts w:cstheme="minorHAnsi"/>
        </w:rPr>
      </w:pPr>
      <w:r>
        <w:rPr>
          <w:rFonts w:cstheme="minorHAnsi"/>
        </w:rPr>
        <w:t>s</w:t>
      </w:r>
      <w:r w:rsidRPr="00675182">
        <w:rPr>
          <w:rFonts w:cstheme="minorHAnsi"/>
        </w:rPr>
        <w:t xml:space="preserve">amazināt </w:t>
      </w:r>
      <w:r w:rsidR="009A1FB5" w:rsidRPr="00675182">
        <w:rPr>
          <w:rFonts w:cstheme="minorHAnsi"/>
        </w:rPr>
        <w:t xml:space="preserve">izkliedētā piesārņojuma slodzi </w:t>
      </w:r>
      <w:r w:rsidR="00187DCC" w:rsidRPr="00675182">
        <w:rPr>
          <w:rFonts w:cstheme="minorHAnsi"/>
        </w:rPr>
        <w:t>no decentralizētajām kanalizācijas sistēmām</w:t>
      </w:r>
      <w:r>
        <w:rPr>
          <w:rFonts w:cstheme="minorHAnsi"/>
        </w:rPr>
        <w:t>:</w:t>
      </w:r>
    </w:p>
    <w:p w14:paraId="1743A80D" w14:textId="7A3BF5D7" w:rsidR="00187DCC" w:rsidRPr="00675182" w:rsidRDefault="00091FE2" w:rsidP="00A84218">
      <w:pPr>
        <w:pStyle w:val="ListParagraph"/>
        <w:numPr>
          <w:ilvl w:val="1"/>
          <w:numId w:val="25"/>
        </w:numPr>
        <w:jc w:val="both"/>
        <w:rPr>
          <w:rFonts w:cstheme="minorHAnsi"/>
        </w:rPr>
      </w:pPr>
      <w:r>
        <w:rPr>
          <w:rFonts w:cstheme="minorHAnsi"/>
        </w:rPr>
        <w:t>k</w:t>
      </w:r>
      <w:r w:rsidRPr="00675182">
        <w:rPr>
          <w:rFonts w:cstheme="minorHAnsi"/>
        </w:rPr>
        <w:t xml:space="preserve">ontrolēt </w:t>
      </w:r>
      <w:r w:rsidR="00187DCC" w:rsidRPr="00675182">
        <w:rPr>
          <w:rFonts w:cstheme="minorHAnsi"/>
        </w:rPr>
        <w:t>decentralizētās kanalizācijas sistēmas un veikt atbilstošu apsaimniekošanu (G210 Amata_2);</w:t>
      </w:r>
    </w:p>
    <w:p w14:paraId="7CC7A94B" w14:textId="397C956E" w:rsidR="00187DCC" w:rsidRPr="00675182" w:rsidRDefault="00091FE2" w:rsidP="00A84218">
      <w:pPr>
        <w:pStyle w:val="ListParagraph"/>
        <w:numPr>
          <w:ilvl w:val="1"/>
          <w:numId w:val="25"/>
        </w:numPr>
        <w:jc w:val="both"/>
        <w:rPr>
          <w:rFonts w:cstheme="minorHAnsi"/>
        </w:rPr>
      </w:pPr>
      <w:r>
        <w:rPr>
          <w:rFonts w:cstheme="minorHAnsi"/>
        </w:rPr>
        <w:t>s</w:t>
      </w:r>
      <w:r w:rsidRPr="00675182">
        <w:rPr>
          <w:rFonts w:cstheme="minorHAnsi"/>
        </w:rPr>
        <w:t xml:space="preserve">amazināt </w:t>
      </w:r>
      <w:r w:rsidR="00187DCC" w:rsidRPr="00675182">
        <w:rPr>
          <w:rFonts w:cstheme="minorHAnsi"/>
        </w:rPr>
        <w:t>izkliedēto biogēno slodzi tūrisma mītnēs, kempingos un rekreācijas teritorijās (G262 Pēterupe</w:t>
      </w:r>
      <w:r w:rsidRPr="00675182">
        <w:rPr>
          <w:rFonts w:cstheme="minorHAnsi"/>
        </w:rPr>
        <w:t>)</w:t>
      </w:r>
      <w:r>
        <w:rPr>
          <w:rFonts w:cstheme="minorHAnsi"/>
        </w:rPr>
        <w:t>.</w:t>
      </w:r>
    </w:p>
    <w:p w14:paraId="2FEC1BE3" w14:textId="1471E89C" w:rsidR="00187DCC" w:rsidRPr="00675182" w:rsidRDefault="00091FE2" w:rsidP="00A84218">
      <w:pPr>
        <w:pStyle w:val="ListParagraph"/>
        <w:numPr>
          <w:ilvl w:val="0"/>
          <w:numId w:val="25"/>
        </w:numPr>
        <w:jc w:val="both"/>
        <w:rPr>
          <w:rFonts w:cstheme="minorHAnsi"/>
        </w:rPr>
      </w:pPr>
      <w:r>
        <w:rPr>
          <w:rFonts w:cstheme="minorHAnsi"/>
        </w:rPr>
        <w:t>s</w:t>
      </w:r>
      <w:r w:rsidRPr="00675182">
        <w:rPr>
          <w:rFonts w:cstheme="minorHAnsi"/>
        </w:rPr>
        <w:t xml:space="preserve">amazināt </w:t>
      </w:r>
      <w:r w:rsidR="00415F53" w:rsidRPr="00675182">
        <w:rPr>
          <w:rFonts w:cstheme="minorHAnsi"/>
        </w:rPr>
        <w:t>hidroloģisko, morfoloģisko pārveidojumu un meliorācijas ietekmi</w:t>
      </w:r>
      <w:r>
        <w:rPr>
          <w:rFonts w:cstheme="minorHAnsi"/>
        </w:rPr>
        <w:t>:</w:t>
      </w:r>
    </w:p>
    <w:p w14:paraId="67C83AB6" w14:textId="70F55A59" w:rsidR="00415F53" w:rsidRPr="00675182" w:rsidRDefault="00091FE2" w:rsidP="00A84218">
      <w:pPr>
        <w:pStyle w:val="ListParagraph"/>
        <w:numPr>
          <w:ilvl w:val="1"/>
          <w:numId w:val="25"/>
        </w:numPr>
        <w:jc w:val="both"/>
        <w:rPr>
          <w:rFonts w:cstheme="minorHAnsi"/>
        </w:rPr>
      </w:pPr>
      <w:r>
        <w:rPr>
          <w:rFonts w:cstheme="minorHAnsi"/>
        </w:rPr>
        <w:t>i</w:t>
      </w:r>
      <w:r w:rsidRPr="00675182">
        <w:rPr>
          <w:rFonts w:cstheme="minorHAnsi"/>
        </w:rPr>
        <w:t xml:space="preserve">zstrādāt </w:t>
      </w:r>
      <w:r w:rsidR="00415F53" w:rsidRPr="00675182">
        <w:rPr>
          <w:rFonts w:cstheme="minorHAnsi"/>
        </w:rPr>
        <w:t>vadlīnijas saskaņotai, videi draudzīgai darbībai HES kaskādēs (G210 Amata_2 (Kārļu HES, Billes HES));</w:t>
      </w:r>
    </w:p>
    <w:p w14:paraId="47CAEB1F" w14:textId="0F97F295" w:rsidR="00415F53" w:rsidRPr="00675182" w:rsidRDefault="00091FE2" w:rsidP="00A84218">
      <w:pPr>
        <w:pStyle w:val="ListParagraph"/>
        <w:numPr>
          <w:ilvl w:val="1"/>
          <w:numId w:val="25"/>
        </w:numPr>
        <w:jc w:val="both"/>
        <w:rPr>
          <w:rFonts w:cstheme="minorHAnsi"/>
        </w:rPr>
      </w:pPr>
      <w:r>
        <w:rPr>
          <w:rFonts w:cstheme="minorHAnsi"/>
        </w:rPr>
        <w:t>n</w:t>
      </w:r>
      <w:r w:rsidRPr="00675182">
        <w:rPr>
          <w:rFonts w:cstheme="minorHAnsi"/>
        </w:rPr>
        <w:t xml:space="preserve">odrošināt </w:t>
      </w:r>
      <w:r w:rsidR="00415F53" w:rsidRPr="00675182">
        <w:rPr>
          <w:rFonts w:cstheme="minorHAnsi"/>
        </w:rPr>
        <w:t>saskaņotu, videi draudzīgu darbību HES kaskādēs atbilstoši VVD veiktajām izmaiņām ūdens resursu lietošanas atļaujā (G210 Amata_2 (Kārļu HES, Billes HES));</w:t>
      </w:r>
    </w:p>
    <w:p w14:paraId="723438DB" w14:textId="5342077C" w:rsidR="007509F2" w:rsidRPr="00675182" w:rsidRDefault="00091FE2" w:rsidP="00A84218">
      <w:pPr>
        <w:pStyle w:val="ListParagraph"/>
        <w:numPr>
          <w:ilvl w:val="1"/>
          <w:numId w:val="25"/>
        </w:numPr>
        <w:jc w:val="both"/>
        <w:rPr>
          <w:rFonts w:cstheme="minorHAnsi"/>
        </w:rPr>
      </w:pPr>
      <w:r>
        <w:rPr>
          <w:rFonts w:cstheme="minorHAnsi"/>
        </w:rPr>
        <w:t>n</w:t>
      </w:r>
      <w:r w:rsidRPr="00675182">
        <w:rPr>
          <w:rFonts w:cstheme="minorHAnsi"/>
        </w:rPr>
        <w:t xml:space="preserve">odrošināt </w:t>
      </w:r>
      <w:r w:rsidR="007509F2" w:rsidRPr="00675182">
        <w:rPr>
          <w:rFonts w:cstheme="minorHAnsi"/>
        </w:rPr>
        <w:t>upes laterālo nepārtrauktību - uzlabot upes gultnes dabiskumu (G262 Pēterupe, 259 Loja, G281 Jumara);</w:t>
      </w:r>
    </w:p>
    <w:p w14:paraId="32F36337" w14:textId="2725F338" w:rsidR="007509F2" w:rsidRPr="00675182" w:rsidRDefault="00091FE2" w:rsidP="00A84218">
      <w:pPr>
        <w:pStyle w:val="ListParagraph"/>
        <w:numPr>
          <w:ilvl w:val="1"/>
          <w:numId w:val="25"/>
        </w:numPr>
        <w:jc w:val="both"/>
        <w:rPr>
          <w:rFonts w:cstheme="minorHAnsi"/>
        </w:rPr>
      </w:pPr>
      <w:r>
        <w:rPr>
          <w:rFonts w:cstheme="minorHAnsi"/>
        </w:rPr>
        <w:t>n</w:t>
      </w:r>
      <w:r w:rsidRPr="00675182">
        <w:rPr>
          <w:rFonts w:cstheme="minorHAnsi"/>
        </w:rPr>
        <w:t xml:space="preserve">ojaukt </w:t>
      </w:r>
      <w:r w:rsidR="007509F2" w:rsidRPr="00675182">
        <w:rPr>
          <w:rFonts w:cstheme="minorHAnsi"/>
        </w:rPr>
        <w:t>aizsprostu, lai nodrošinātu upes garenisko nepārtrauktību</w:t>
      </w:r>
      <w:r w:rsidR="00FE0436" w:rsidRPr="00675182">
        <w:rPr>
          <w:rFonts w:cstheme="minorHAnsi"/>
        </w:rPr>
        <w:t xml:space="preserve"> (G206 Brasla_3, G210 Amata_2)</w:t>
      </w:r>
      <w:r w:rsidR="007509F2" w:rsidRPr="00675182">
        <w:rPr>
          <w:rFonts w:cstheme="minorHAnsi"/>
        </w:rPr>
        <w:t>.</w:t>
      </w:r>
    </w:p>
    <w:p w14:paraId="5AAA3E36" w14:textId="39B592FD" w:rsidR="00FE0436" w:rsidRPr="00675182" w:rsidRDefault="00091FE2" w:rsidP="00A84218">
      <w:pPr>
        <w:pStyle w:val="ListParagraph"/>
        <w:numPr>
          <w:ilvl w:val="0"/>
          <w:numId w:val="25"/>
        </w:numPr>
        <w:jc w:val="both"/>
        <w:rPr>
          <w:rFonts w:cstheme="minorHAnsi"/>
        </w:rPr>
      </w:pPr>
      <w:r>
        <w:rPr>
          <w:rFonts w:cstheme="minorHAnsi"/>
        </w:rPr>
        <w:t>v</w:t>
      </w:r>
      <w:r w:rsidRPr="00675182">
        <w:rPr>
          <w:rFonts w:cstheme="minorHAnsi"/>
        </w:rPr>
        <w:t xml:space="preserve">eikt </w:t>
      </w:r>
      <w:r w:rsidR="00FE0436" w:rsidRPr="00675182">
        <w:rPr>
          <w:rFonts w:cstheme="minorHAnsi"/>
        </w:rPr>
        <w:t>papildu izpēti un/vai kontroli, papildināt zināšanas</w:t>
      </w:r>
      <w:r>
        <w:rPr>
          <w:rFonts w:cstheme="minorHAnsi"/>
        </w:rPr>
        <w:t>:</w:t>
      </w:r>
    </w:p>
    <w:p w14:paraId="5A88F2ED" w14:textId="05D4C62F" w:rsidR="00F142C0" w:rsidRPr="00675182" w:rsidRDefault="00091FE2" w:rsidP="00A84218">
      <w:pPr>
        <w:pStyle w:val="ListParagraph"/>
        <w:numPr>
          <w:ilvl w:val="1"/>
          <w:numId w:val="25"/>
        </w:numPr>
        <w:jc w:val="both"/>
        <w:rPr>
          <w:rFonts w:cstheme="minorHAnsi"/>
        </w:rPr>
      </w:pPr>
      <w:r>
        <w:rPr>
          <w:rFonts w:cstheme="minorHAnsi"/>
        </w:rPr>
        <w:t>n</w:t>
      </w:r>
      <w:r w:rsidRPr="00675182">
        <w:rPr>
          <w:rFonts w:cstheme="minorHAnsi"/>
        </w:rPr>
        <w:t xml:space="preserve">oteikt </w:t>
      </w:r>
      <w:r w:rsidR="00F142C0" w:rsidRPr="00675182">
        <w:rPr>
          <w:rFonts w:cstheme="minorHAnsi"/>
        </w:rPr>
        <w:t>heptahlora, heptahlora epoksīda, dzīvsudraba rašanās avotus un īstenot pasākumus tā piesārņojuma samazināšanai</w:t>
      </w:r>
      <w:r w:rsidR="00C21EA4" w:rsidRPr="00675182">
        <w:rPr>
          <w:rFonts w:cstheme="minorHAnsi"/>
        </w:rPr>
        <w:t xml:space="preserve"> (</w:t>
      </w:r>
      <w:r w:rsidR="00F142C0" w:rsidRPr="00675182">
        <w:rPr>
          <w:rFonts w:cstheme="minorHAnsi"/>
        </w:rPr>
        <w:t>G205 Gauja_16, G209 Gauja_15, G278 Gauja_14, G206 Brasla_3</w:t>
      </w:r>
      <w:r w:rsidR="00C21EA4" w:rsidRPr="00675182">
        <w:rPr>
          <w:rFonts w:cstheme="minorHAnsi"/>
        </w:rPr>
        <w:t>);</w:t>
      </w:r>
    </w:p>
    <w:p w14:paraId="4EC49684" w14:textId="464911AB" w:rsidR="00C21EA4" w:rsidRPr="00675182" w:rsidRDefault="00091FE2" w:rsidP="00A84218">
      <w:pPr>
        <w:pStyle w:val="ListParagraph"/>
        <w:numPr>
          <w:ilvl w:val="1"/>
          <w:numId w:val="25"/>
        </w:numPr>
        <w:jc w:val="both"/>
        <w:rPr>
          <w:rFonts w:cstheme="minorHAnsi"/>
        </w:rPr>
      </w:pPr>
      <w:r>
        <w:rPr>
          <w:rFonts w:cstheme="minorHAnsi"/>
        </w:rPr>
        <w:t>p</w:t>
      </w:r>
      <w:r w:rsidRPr="00675182">
        <w:rPr>
          <w:rFonts w:cstheme="minorHAnsi"/>
        </w:rPr>
        <w:t xml:space="preserve">astiprināti </w:t>
      </w:r>
      <w:r w:rsidR="00F142C0" w:rsidRPr="00675182">
        <w:rPr>
          <w:rFonts w:cstheme="minorHAnsi"/>
        </w:rPr>
        <w:t>kontrolēt NAI darbības efektivitāt</w:t>
      </w:r>
      <w:r w:rsidR="004D5F0B" w:rsidRPr="00675182">
        <w:rPr>
          <w:rFonts w:cstheme="minorHAnsi"/>
        </w:rPr>
        <w:t>i</w:t>
      </w:r>
      <w:r w:rsidR="00C21EA4" w:rsidRPr="00675182">
        <w:rPr>
          <w:rFonts w:cstheme="minorHAnsi"/>
        </w:rPr>
        <w:t>, kā arī s</w:t>
      </w:r>
      <w:r w:rsidR="00F142C0" w:rsidRPr="00675182">
        <w:rPr>
          <w:rFonts w:cstheme="minorHAnsi"/>
        </w:rPr>
        <w:t>agatavot priekšlikumus NAI darbības uzlabošanai</w:t>
      </w:r>
      <w:r w:rsidR="00C21EA4" w:rsidRPr="00675182">
        <w:rPr>
          <w:rFonts w:cstheme="minorHAnsi"/>
        </w:rPr>
        <w:t xml:space="preserve"> (</w:t>
      </w:r>
      <w:r w:rsidR="00F142C0" w:rsidRPr="00675182">
        <w:rPr>
          <w:rFonts w:cstheme="minorHAnsi"/>
        </w:rPr>
        <w:t xml:space="preserve">G202 Līgatne (Līgatnes </w:t>
      </w:r>
      <w:r w:rsidR="00F142C0" w:rsidRPr="00675182">
        <w:rPr>
          <w:rFonts w:cstheme="minorHAnsi"/>
        </w:rPr>
        <w:lastRenderedPageBreak/>
        <w:t>komunālserviss, Līgatnes papīrfabrika), G207 Brasla_2 (SIA "Straupe")</w:t>
      </w:r>
      <w:r w:rsidR="00152A09" w:rsidRPr="00675182">
        <w:rPr>
          <w:rFonts w:cstheme="minorHAnsi"/>
        </w:rPr>
        <w:t>, G210 Amata_2, G224 Miegupīte</w:t>
      </w:r>
      <w:r w:rsidR="00F142C0" w:rsidRPr="00675182">
        <w:rPr>
          <w:rFonts w:cstheme="minorHAnsi"/>
        </w:rPr>
        <w:t>, G226 Vaive (Rīdzenes ciema NAI), G279 Gauja_17 (Vangažu avots (Vangaži), Kārļzemnieki)</w:t>
      </w:r>
      <w:r w:rsidR="00C21EA4" w:rsidRPr="00675182">
        <w:rPr>
          <w:rFonts w:cstheme="minorHAnsi"/>
        </w:rPr>
        <w:t>;</w:t>
      </w:r>
    </w:p>
    <w:p w14:paraId="50220A6C" w14:textId="7C63902D" w:rsidR="00FE0436" w:rsidRPr="00675182" w:rsidRDefault="00346C0D" w:rsidP="00A84218">
      <w:pPr>
        <w:pStyle w:val="ListParagraph"/>
        <w:numPr>
          <w:ilvl w:val="1"/>
          <w:numId w:val="25"/>
        </w:numPr>
        <w:jc w:val="both"/>
        <w:rPr>
          <w:rFonts w:cstheme="minorHAnsi"/>
        </w:rPr>
      </w:pPr>
      <w:r>
        <w:rPr>
          <w:rFonts w:cstheme="minorHAnsi"/>
        </w:rPr>
        <w:t>v</w:t>
      </w:r>
      <w:r w:rsidRPr="00675182">
        <w:rPr>
          <w:rFonts w:cstheme="minorHAnsi"/>
        </w:rPr>
        <w:t xml:space="preserve">eikt </w:t>
      </w:r>
      <w:r w:rsidR="00152A09" w:rsidRPr="00675182">
        <w:rPr>
          <w:rFonts w:cstheme="minorHAnsi"/>
        </w:rPr>
        <w:t>izpēti biogēnu slodzes avotiem un to ietekmei, kā arī priekšlikumu sagatavošanu slodžu novēršanai (262 Pēterupe, G281 Jumara</w:t>
      </w:r>
      <w:r w:rsidRPr="00675182">
        <w:rPr>
          <w:rFonts w:cstheme="minorHAnsi"/>
        </w:rPr>
        <w:t>)</w:t>
      </w:r>
      <w:r>
        <w:rPr>
          <w:rFonts w:cstheme="minorHAnsi"/>
        </w:rPr>
        <w:t>.</w:t>
      </w:r>
    </w:p>
    <w:p w14:paraId="3075A7E1" w14:textId="129F0A5B" w:rsidR="00152A09" w:rsidRPr="00675182" w:rsidRDefault="00346C0D" w:rsidP="00A84218">
      <w:pPr>
        <w:pStyle w:val="ListParagraph"/>
        <w:numPr>
          <w:ilvl w:val="0"/>
          <w:numId w:val="25"/>
        </w:numPr>
        <w:jc w:val="both"/>
        <w:rPr>
          <w:rFonts w:cstheme="minorHAnsi"/>
        </w:rPr>
      </w:pPr>
      <w:r>
        <w:rPr>
          <w:rFonts w:cstheme="minorHAnsi"/>
        </w:rPr>
        <w:t>v</w:t>
      </w:r>
      <w:r w:rsidRPr="00675182">
        <w:rPr>
          <w:rFonts w:cstheme="minorHAnsi"/>
        </w:rPr>
        <w:t xml:space="preserve">eikt </w:t>
      </w:r>
      <w:r w:rsidR="00152A09" w:rsidRPr="00675182">
        <w:rPr>
          <w:rFonts w:cstheme="minorHAnsi"/>
        </w:rPr>
        <w:t>izmaiņas piesārņojošās darbības, ūdens resursu izmantošanas u.c. atļaujās</w:t>
      </w:r>
      <w:r>
        <w:rPr>
          <w:rFonts w:cstheme="minorHAnsi"/>
        </w:rPr>
        <w:t>:</w:t>
      </w:r>
    </w:p>
    <w:p w14:paraId="6B4212AF" w14:textId="7A5D1035" w:rsidR="00152A09" w:rsidRPr="00675182" w:rsidRDefault="00346C0D" w:rsidP="00A84218">
      <w:pPr>
        <w:pStyle w:val="ListParagraph"/>
        <w:numPr>
          <w:ilvl w:val="1"/>
          <w:numId w:val="25"/>
        </w:numPr>
        <w:jc w:val="both"/>
        <w:rPr>
          <w:rFonts w:cstheme="minorHAnsi"/>
        </w:rPr>
      </w:pPr>
      <w:r>
        <w:rPr>
          <w:rFonts w:cstheme="minorHAnsi"/>
        </w:rPr>
        <w:t>p</w:t>
      </w:r>
      <w:r w:rsidRPr="00675182">
        <w:rPr>
          <w:rFonts w:cstheme="minorHAnsi"/>
        </w:rPr>
        <w:t xml:space="preserve">ārskatīt </w:t>
      </w:r>
      <w:r w:rsidR="00152A09" w:rsidRPr="00675182">
        <w:rPr>
          <w:rFonts w:cstheme="minorHAnsi"/>
        </w:rPr>
        <w:t>NAI operatoriem izsniegtās piesārņojošās darbības atļaujas, veikt izmaiņas atļautajos piesārņojošo vielu novadīšanas apjomos (281 Jumara);</w:t>
      </w:r>
    </w:p>
    <w:p w14:paraId="1FD8D028" w14:textId="5F43C893" w:rsidR="00F142C0" w:rsidRPr="00675182" w:rsidRDefault="00346C0D" w:rsidP="00A84218">
      <w:pPr>
        <w:pStyle w:val="ListParagraph"/>
        <w:numPr>
          <w:ilvl w:val="1"/>
          <w:numId w:val="25"/>
        </w:numPr>
        <w:jc w:val="both"/>
        <w:rPr>
          <w:rFonts w:cstheme="minorHAnsi"/>
        </w:rPr>
      </w:pPr>
      <w:r>
        <w:rPr>
          <w:rFonts w:cstheme="minorHAnsi"/>
        </w:rPr>
        <w:t>n</w:t>
      </w:r>
      <w:r w:rsidRPr="00675182">
        <w:rPr>
          <w:rFonts w:cstheme="minorHAnsi"/>
        </w:rPr>
        <w:t xml:space="preserve">oteikt </w:t>
      </w:r>
      <w:r w:rsidR="00F142C0" w:rsidRPr="00675182">
        <w:rPr>
          <w:rFonts w:cstheme="minorHAnsi"/>
        </w:rPr>
        <w:t>atbilstošas prasības</w:t>
      </w:r>
      <w:r w:rsidR="00D57E1B" w:rsidRPr="00675182">
        <w:rPr>
          <w:rFonts w:cstheme="minorHAnsi"/>
        </w:rPr>
        <w:t xml:space="preserve"> HES saskaņotai darbībai kaskādēs, vadoties pēc HES kaskāžu darbības vadlīnijām </w:t>
      </w:r>
      <w:r w:rsidR="00E96B89" w:rsidRPr="00675182">
        <w:rPr>
          <w:rFonts w:cstheme="minorHAnsi"/>
        </w:rPr>
        <w:t>(</w:t>
      </w:r>
      <w:r w:rsidR="00F142C0" w:rsidRPr="00675182">
        <w:rPr>
          <w:rFonts w:cstheme="minorHAnsi"/>
        </w:rPr>
        <w:t xml:space="preserve">G210 Amata_2 (Kārļu HES, </w:t>
      </w:r>
      <w:r w:rsidR="00E96B89" w:rsidRPr="00675182">
        <w:rPr>
          <w:rFonts w:cstheme="minorHAnsi"/>
        </w:rPr>
        <w:t>B</w:t>
      </w:r>
      <w:r w:rsidR="00F142C0" w:rsidRPr="00675182">
        <w:rPr>
          <w:rFonts w:cstheme="minorHAnsi"/>
        </w:rPr>
        <w:t>illes HES</w:t>
      </w:r>
      <w:r w:rsidR="00D57E1B" w:rsidRPr="00675182">
        <w:rPr>
          <w:rFonts w:cstheme="minorHAnsi"/>
        </w:rPr>
        <w:t>)</w:t>
      </w:r>
      <w:r w:rsidR="00F142C0" w:rsidRPr="00675182">
        <w:rPr>
          <w:rFonts w:cstheme="minorHAnsi"/>
        </w:rPr>
        <w:t>)</w:t>
      </w:r>
      <w:r w:rsidR="00D57E1B" w:rsidRPr="00675182">
        <w:rPr>
          <w:rFonts w:cstheme="minorHAnsi"/>
        </w:rPr>
        <w:t>.</w:t>
      </w:r>
    </w:p>
    <w:p w14:paraId="67FA7548" w14:textId="77777777" w:rsidR="00D36057" w:rsidRPr="00675182" w:rsidRDefault="00D36057" w:rsidP="002B3341">
      <w:pPr>
        <w:jc w:val="both"/>
        <w:rPr>
          <w:rFonts w:cstheme="minorHAnsi"/>
          <w:szCs w:val="24"/>
        </w:rPr>
      </w:pPr>
    </w:p>
    <w:p w14:paraId="5C372C68" w14:textId="198E780D" w:rsidR="001675E9" w:rsidRPr="00675182" w:rsidRDefault="001675E9" w:rsidP="001675E9">
      <w:pPr>
        <w:jc w:val="both"/>
        <w:rPr>
          <w:rFonts w:cstheme="minorHAnsi"/>
          <w:color w:val="000000" w:themeColor="text1"/>
          <w:szCs w:val="24"/>
        </w:rPr>
      </w:pPr>
      <w:r w:rsidRPr="00675182">
        <w:rPr>
          <w:rFonts w:cstheme="minorHAnsi"/>
          <w:color w:val="000000" w:themeColor="text1"/>
          <w:szCs w:val="24"/>
        </w:rPr>
        <w:t>Līdztekus dabiskajiem hidrogrāfiskā tīkla elementiem, no GNP un tam piegulošās teritorijas ūdeņus aizvada arī meliorācijas grāvji un ieraktās drenāžas sistēmas. Saskaņā ar VSIA “Zemkopības ministrijas nekustamie īpašumi” sniegto informāciju, GNP teritorijā atrodas 20 valsts nozīmes ūdensnotekas. GNP teritorijā galvenokārt lauksaimniecības zemēs un purvu teritorijās ir izveidots plašs meliorācijas grāvju, 1. un 2. pakāpes ierakto drenu un drenu kolektoru tīkls. Kopējais meliorācijas grāvju garums GNP teritorijā sastāda 550,9 km, bet drenu kolektoru - 1849,5 km (skat. 1.2.4. attēlu). Mākslīgās drenāžas sistēmas veidotā meliorācijas grāvju tīkla vidējais blīvums GNP teritorijā ir 602 m uz 1 km</w:t>
      </w:r>
      <w:r w:rsidRPr="00675182">
        <w:rPr>
          <w:rFonts w:cstheme="minorHAnsi"/>
          <w:color w:val="000000" w:themeColor="text1"/>
          <w:szCs w:val="24"/>
          <w:vertAlign w:val="superscript"/>
        </w:rPr>
        <w:t>2</w:t>
      </w:r>
      <w:r w:rsidRPr="00675182">
        <w:rPr>
          <w:rFonts w:cstheme="minorHAnsi"/>
          <w:color w:val="000000" w:themeColor="text1"/>
          <w:szCs w:val="24"/>
        </w:rPr>
        <w:t>, bet drenu tīkla vidējais blīvums – 2015 m uz 1 km</w:t>
      </w:r>
      <w:r w:rsidRPr="00675182">
        <w:rPr>
          <w:rFonts w:cstheme="minorHAnsi"/>
          <w:color w:val="000000" w:themeColor="text1"/>
          <w:szCs w:val="24"/>
          <w:vertAlign w:val="superscript"/>
        </w:rPr>
        <w:t>2</w:t>
      </w:r>
      <w:r w:rsidRPr="00675182">
        <w:rPr>
          <w:rFonts w:cstheme="minorHAnsi"/>
          <w:color w:val="000000" w:themeColor="text1"/>
          <w:szCs w:val="24"/>
        </w:rPr>
        <w:t>. Tās attiecīgi ir 1,7 reizes un 5,8 reizes lielākas vērtības, nekā kopējais upju (garākas par 10 km) tīkla blīvums GNP, kas ir 345 m uz 1 km</w:t>
      </w:r>
      <w:r w:rsidRPr="00675182">
        <w:rPr>
          <w:rFonts w:cstheme="minorHAnsi"/>
          <w:color w:val="000000" w:themeColor="text1"/>
          <w:szCs w:val="24"/>
          <w:vertAlign w:val="superscript"/>
        </w:rPr>
        <w:t>2</w:t>
      </w:r>
      <w:r w:rsidRPr="00675182">
        <w:rPr>
          <w:rFonts w:cstheme="minorHAnsi"/>
          <w:color w:val="000000" w:themeColor="text1"/>
          <w:szCs w:val="24"/>
        </w:rPr>
        <w:t>, tomēr faktiskais dabiskā hidrogrāfiskā tīkla blīvums ir lielāks, lokāli sasniedzot pat vērtības &gt; 10 000 m uz km</w:t>
      </w:r>
      <w:r w:rsidRPr="00675182">
        <w:rPr>
          <w:rFonts w:cstheme="minorHAnsi"/>
          <w:color w:val="000000" w:themeColor="text1"/>
          <w:szCs w:val="24"/>
          <w:vertAlign w:val="superscript"/>
        </w:rPr>
        <w:t>2</w:t>
      </w:r>
      <w:r w:rsidRPr="00675182">
        <w:rPr>
          <w:rFonts w:cstheme="minorHAnsi"/>
          <w:color w:val="000000" w:themeColor="text1"/>
          <w:szCs w:val="24"/>
        </w:rPr>
        <w:t>. Jebkurā gadījumā iepriekš minētās skaitliskās vērtības norāda uz mākslīgās drenāžas sistēmas ļoti būtisko lomu virszemes un pazemes noteces savākšanā un novadīšanā GNP teritorijā.</w:t>
      </w:r>
    </w:p>
    <w:p w14:paraId="3FF8FE98" w14:textId="77777777" w:rsidR="001675E9" w:rsidRPr="00675182" w:rsidRDefault="001675E9" w:rsidP="001675E9">
      <w:pPr>
        <w:jc w:val="both"/>
        <w:rPr>
          <w:rFonts w:cstheme="minorHAnsi"/>
          <w:color w:val="000000" w:themeColor="text1"/>
          <w:szCs w:val="24"/>
        </w:rPr>
      </w:pPr>
    </w:p>
    <w:p w14:paraId="4BAF82EC" w14:textId="1968F721" w:rsidR="001675E9" w:rsidRPr="00675182" w:rsidRDefault="001675E9" w:rsidP="001675E9">
      <w:pPr>
        <w:jc w:val="both"/>
        <w:rPr>
          <w:rFonts w:cstheme="minorHAnsi"/>
          <w:color w:val="000000" w:themeColor="text1"/>
          <w:szCs w:val="24"/>
        </w:rPr>
      </w:pPr>
      <w:r w:rsidRPr="00675182">
        <w:rPr>
          <w:rFonts w:cstheme="minorHAnsi"/>
          <w:color w:val="000000" w:themeColor="text1"/>
          <w:szCs w:val="24"/>
        </w:rPr>
        <w:t>Izvērtējot ģeogrāfiski atšķirī</w:t>
      </w:r>
      <w:r w:rsidR="00477BA6" w:rsidRPr="00675182">
        <w:rPr>
          <w:rFonts w:cstheme="minorHAnsi"/>
          <w:color w:val="000000" w:themeColor="text1"/>
          <w:szCs w:val="24"/>
        </w:rPr>
        <w:t>g</w:t>
      </w:r>
      <w:r w:rsidRPr="00675182">
        <w:rPr>
          <w:rFonts w:cstheme="minorHAnsi"/>
          <w:color w:val="000000" w:themeColor="text1"/>
          <w:szCs w:val="24"/>
        </w:rPr>
        <w:t>as meliorācijas sistēmas telpiskajā izvietojumā, var konstatēt, ka GNP ietvaros salīdzinoši plašākas platības, kurās ierīkota mākslīgā drenāžas sistēma, atrodas Gaujas kreisajam krastam piegulošajās teritorijās un Gaujas kreisā krasta pieteku baseinos, it sevišķi Vaives, Raunas, Rauņa, Nurmižupītes, Vējupītes u.c. baseinos. Savukārt Gaujas labajam krastam piegulošajā teritorijā plašākas meliorētās platības ir labā krasta pieteku Strīķupes, Līčupes, Grašupes, Lojas u.c. baseinos. Administratīvi plašākas meliorētās platības ir Cēsu novada Līgatnes, Drabešu, Vaives un Veselavas pagastos un Siguldas novada Siguldas pagastā un Krimuldas pagastā.</w:t>
      </w:r>
    </w:p>
    <w:p w14:paraId="4142FEEE" w14:textId="423AC91A" w:rsidR="001675E9" w:rsidRPr="00675182" w:rsidRDefault="001675E9" w:rsidP="001675E9">
      <w:pPr>
        <w:jc w:val="both"/>
        <w:rPr>
          <w:rFonts w:cstheme="minorHAnsi"/>
          <w:color w:val="000000" w:themeColor="text1"/>
          <w:szCs w:val="24"/>
        </w:rPr>
      </w:pPr>
    </w:p>
    <w:p w14:paraId="5099C76A" w14:textId="18D0BB7D" w:rsidR="001675E9" w:rsidRPr="00675182" w:rsidRDefault="001675E9" w:rsidP="001675E9">
      <w:pPr>
        <w:jc w:val="both"/>
        <w:rPr>
          <w:rFonts w:cstheme="minorHAnsi"/>
          <w:color w:val="000000" w:themeColor="text1"/>
          <w:szCs w:val="24"/>
        </w:rPr>
      </w:pPr>
      <w:r w:rsidRPr="00675182">
        <w:rPr>
          <w:rFonts w:cstheme="minorHAnsi"/>
          <w:color w:val="000000" w:themeColor="text1"/>
          <w:szCs w:val="24"/>
        </w:rPr>
        <w:t xml:space="preserve">Detalizēts meliorācijas sistēmas novērtējums GNP ir apkopots DA plāna 23. pielikumā. </w:t>
      </w:r>
    </w:p>
    <w:p w14:paraId="7D054A20" w14:textId="26C4D3B4" w:rsidR="001675E9" w:rsidRPr="00675182" w:rsidRDefault="001675E9" w:rsidP="002B3341">
      <w:pPr>
        <w:jc w:val="both"/>
        <w:rPr>
          <w:rFonts w:cstheme="minorHAnsi"/>
          <w:szCs w:val="24"/>
        </w:rPr>
        <w:sectPr w:rsidR="001675E9" w:rsidRPr="00675182" w:rsidSect="00CD74B1">
          <w:headerReference w:type="default" r:id="rId51"/>
          <w:pgSz w:w="11905" w:h="16837"/>
          <w:pgMar w:top="1440" w:right="1797" w:bottom="1440" w:left="1797" w:header="720"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7"/>
      </w:tblGrid>
      <w:tr w:rsidR="0090463E" w:rsidRPr="00675182" w14:paraId="0FF27777" w14:textId="77777777" w:rsidTr="00856648">
        <w:trPr>
          <w:trHeight w:val="7354"/>
        </w:trPr>
        <w:tc>
          <w:tcPr>
            <w:tcW w:w="5000" w:type="pct"/>
          </w:tcPr>
          <w:p w14:paraId="78AFEBB5" w14:textId="11D6010D" w:rsidR="0090463E" w:rsidRPr="00675182" w:rsidRDefault="00246ECC" w:rsidP="008274C1">
            <w:pPr>
              <w:jc w:val="center"/>
              <w:rPr>
                <w:rFonts w:cstheme="minorHAnsi"/>
                <w:szCs w:val="24"/>
              </w:rPr>
            </w:pPr>
            <w:r w:rsidRPr="00675182">
              <w:rPr>
                <w:rFonts w:cstheme="minorHAnsi"/>
                <w:noProof/>
              </w:rPr>
              <w:lastRenderedPageBreak/>
              <w:drawing>
                <wp:inline distT="0" distB="0" distL="0" distR="0" wp14:anchorId="5273097C" wp14:editId="7D6F752F">
                  <wp:extent cx="6969250" cy="4932000"/>
                  <wp:effectExtent l="0" t="0" r="3175" b="254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969250" cy="4932000"/>
                          </a:xfrm>
                          <a:prstGeom prst="rect">
                            <a:avLst/>
                          </a:prstGeom>
                          <a:noFill/>
                          <a:ln>
                            <a:noFill/>
                          </a:ln>
                        </pic:spPr>
                      </pic:pic>
                    </a:graphicData>
                  </a:graphic>
                </wp:inline>
              </w:drawing>
            </w:r>
          </w:p>
        </w:tc>
      </w:tr>
      <w:tr w:rsidR="0090463E" w:rsidRPr="00675182" w14:paraId="51419F0A" w14:textId="77777777" w:rsidTr="00D545DB">
        <w:tc>
          <w:tcPr>
            <w:tcW w:w="5000" w:type="pct"/>
          </w:tcPr>
          <w:p w14:paraId="11FF757F" w14:textId="3AB69993" w:rsidR="0090463E" w:rsidRPr="00675182" w:rsidRDefault="001E00DE" w:rsidP="002B3341">
            <w:pPr>
              <w:jc w:val="both"/>
              <w:rPr>
                <w:rFonts w:cstheme="minorHAnsi"/>
                <w:b/>
                <w:bCs/>
                <w:i/>
                <w:iCs/>
                <w:szCs w:val="24"/>
              </w:rPr>
            </w:pPr>
            <w:r w:rsidRPr="00675182">
              <w:rPr>
                <w:rFonts w:cstheme="minorHAnsi"/>
                <w:b/>
                <w:bCs/>
                <w:i/>
                <w:iCs/>
                <w:szCs w:val="24"/>
              </w:rPr>
              <w:t>1.</w:t>
            </w:r>
            <w:r w:rsidR="008274C1" w:rsidRPr="00675182">
              <w:rPr>
                <w:rFonts w:cstheme="minorHAnsi"/>
                <w:b/>
                <w:bCs/>
                <w:i/>
                <w:iCs/>
                <w:szCs w:val="24"/>
              </w:rPr>
              <w:t>2</w:t>
            </w:r>
            <w:r w:rsidRPr="00675182">
              <w:rPr>
                <w:rFonts w:cstheme="minorHAnsi"/>
                <w:b/>
                <w:bCs/>
                <w:i/>
                <w:iCs/>
                <w:szCs w:val="24"/>
              </w:rPr>
              <w:t>.</w:t>
            </w:r>
            <w:r w:rsidR="00016E62" w:rsidRPr="00675182">
              <w:rPr>
                <w:rFonts w:cstheme="minorHAnsi"/>
                <w:b/>
                <w:bCs/>
                <w:i/>
                <w:iCs/>
                <w:szCs w:val="24"/>
              </w:rPr>
              <w:t>3</w:t>
            </w:r>
            <w:r w:rsidRPr="00675182">
              <w:rPr>
                <w:rFonts w:cstheme="minorHAnsi"/>
                <w:b/>
                <w:bCs/>
                <w:i/>
                <w:iCs/>
                <w:szCs w:val="24"/>
              </w:rPr>
              <w:t xml:space="preserve">. attēls. </w:t>
            </w:r>
            <w:r w:rsidR="00442D0B" w:rsidRPr="00675182">
              <w:rPr>
                <w:rFonts w:cstheme="minorHAnsi"/>
                <w:b/>
                <w:bCs/>
                <w:i/>
                <w:iCs/>
              </w:rPr>
              <w:t>Virszemes ŪO izvietojums GNP teritorijā un to ekoloģiskā kvalitāte/potenciāls</w:t>
            </w:r>
          </w:p>
          <w:p w14:paraId="63DDDBAE" w14:textId="46728B0A" w:rsidR="008274C1" w:rsidRPr="00675182" w:rsidRDefault="008274C1" w:rsidP="002B3341">
            <w:pPr>
              <w:jc w:val="both"/>
              <w:rPr>
                <w:rFonts w:cstheme="minorHAnsi"/>
                <w:szCs w:val="24"/>
              </w:rPr>
            </w:pPr>
            <w:r w:rsidRPr="00675182">
              <w:rPr>
                <w:rFonts w:cstheme="minorHAnsi"/>
                <w:sz w:val="20"/>
              </w:rPr>
              <w:t xml:space="preserve">Datu avots: Gaujas un Daugavas </w:t>
            </w:r>
            <w:r w:rsidR="00D02915">
              <w:rPr>
                <w:rFonts w:cstheme="minorHAnsi"/>
                <w:sz w:val="20"/>
              </w:rPr>
              <w:t>U</w:t>
            </w:r>
            <w:r w:rsidR="00AB70E6">
              <w:rPr>
                <w:rFonts w:cstheme="minorHAnsi"/>
                <w:sz w:val="20"/>
              </w:rPr>
              <w:t>BAAP</w:t>
            </w:r>
            <w:r w:rsidRPr="00675182">
              <w:rPr>
                <w:rFonts w:cstheme="minorHAnsi"/>
                <w:sz w:val="20"/>
              </w:rPr>
              <w:t xml:space="preserve"> </w:t>
            </w:r>
            <w:r w:rsidR="00D57E1B" w:rsidRPr="00675182">
              <w:rPr>
                <w:rFonts w:cstheme="minorHAnsi"/>
                <w:sz w:val="20"/>
              </w:rPr>
              <w:t>plāni</w:t>
            </w:r>
            <w:r w:rsidR="00F14267" w:rsidRPr="00675182">
              <w:rPr>
                <w:rFonts w:cstheme="minorHAnsi"/>
                <w:sz w:val="20"/>
              </w:rPr>
              <w:t xml:space="preserve"> </w:t>
            </w:r>
            <w:r w:rsidRPr="00675182">
              <w:rPr>
                <w:rFonts w:cstheme="minorHAnsi"/>
                <w:sz w:val="20"/>
              </w:rPr>
              <w:t>20</w:t>
            </w:r>
            <w:r w:rsidR="00F14267" w:rsidRPr="00675182">
              <w:rPr>
                <w:rFonts w:cstheme="minorHAnsi"/>
                <w:sz w:val="20"/>
              </w:rPr>
              <w:t>22</w:t>
            </w:r>
            <w:r w:rsidRPr="00675182">
              <w:rPr>
                <w:rFonts w:cstheme="minorHAnsi"/>
                <w:sz w:val="20"/>
              </w:rPr>
              <w:t>.-202</w:t>
            </w:r>
            <w:r w:rsidR="00F14267" w:rsidRPr="00675182">
              <w:rPr>
                <w:rFonts w:cstheme="minorHAnsi"/>
                <w:sz w:val="20"/>
              </w:rPr>
              <w:t>7</w:t>
            </w:r>
            <w:r w:rsidRPr="00675182">
              <w:rPr>
                <w:rFonts w:cstheme="minorHAnsi"/>
                <w:sz w:val="20"/>
              </w:rPr>
              <w:t>. gadam</w:t>
            </w:r>
            <w:r w:rsidR="00F14267" w:rsidRPr="00675182">
              <w:rPr>
                <w:rFonts w:cstheme="minorHAnsi"/>
                <w:sz w:val="20"/>
              </w:rPr>
              <w:t>, 202</w:t>
            </w:r>
            <w:r w:rsidR="00D57E1B" w:rsidRPr="00675182">
              <w:rPr>
                <w:rFonts w:cstheme="minorHAnsi"/>
                <w:sz w:val="20"/>
              </w:rPr>
              <w:t>2</w:t>
            </w:r>
          </w:p>
        </w:tc>
      </w:tr>
      <w:tr w:rsidR="00856648" w:rsidRPr="00675182" w14:paraId="649D8429" w14:textId="77777777" w:rsidTr="00D545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tcBorders>
              <w:top w:val="nil"/>
              <w:left w:val="nil"/>
              <w:bottom w:val="nil"/>
              <w:right w:val="nil"/>
            </w:tcBorders>
          </w:tcPr>
          <w:p w14:paraId="7E4CD53D" w14:textId="71F6E7D9" w:rsidR="00856648" w:rsidRPr="00675182" w:rsidRDefault="00E84083" w:rsidP="008274C1">
            <w:pPr>
              <w:jc w:val="center"/>
              <w:rPr>
                <w:rFonts w:cstheme="minorHAnsi"/>
                <w:szCs w:val="24"/>
              </w:rPr>
            </w:pPr>
            <w:bookmarkStart w:id="22" w:name="_Hlk107766968"/>
            <w:r w:rsidRPr="00675182">
              <w:rPr>
                <w:rFonts w:cstheme="minorHAnsi"/>
                <w:noProof/>
              </w:rPr>
              <w:lastRenderedPageBreak/>
              <w:drawing>
                <wp:inline distT="0" distB="0" distL="0" distR="0" wp14:anchorId="2680C34D" wp14:editId="7925EC59">
                  <wp:extent cx="6613717" cy="4680000"/>
                  <wp:effectExtent l="0" t="0" r="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13717" cy="4680000"/>
                          </a:xfrm>
                          <a:prstGeom prst="rect">
                            <a:avLst/>
                          </a:prstGeom>
                          <a:noFill/>
                          <a:ln>
                            <a:noFill/>
                          </a:ln>
                        </pic:spPr>
                      </pic:pic>
                    </a:graphicData>
                  </a:graphic>
                </wp:inline>
              </w:drawing>
            </w:r>
          </w:p>
        </w:tc>
      </w:tr>
      <w:tr w:rsidR="00856648" w:rsidRPr="00675182" w14:paraId="0DF72D84" w14:textId="77777777" w:rsidTr="00D545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tcBorders>
              <w:top w:val="nil"/>
              <w:left w:val="nil"/>
              <w:bottom w:val="nil"/>
              <w:right w:val="nil"/>
            </w:tcBorders>
          </w:tcPr>
          <w:p w14:paraId="09E4149B" w14:textId="336BE37E" w:rsidR="00856648" w:rsidRPr="00675182" w:rsidRDefault="00856648" w:rsidP="002008F9">
            <w:pPr>
              <w:jc w:val="both"/>
              <w:rPr>
                <w:rFonts w:cstheme="minorHAnsi"/>
                <w:szCs w:val="24"/>
              </w:rPr>
            </w:pPr>
            <w:r w:rsidRPr="00675182">
              <w:rPr>
                <w:rFonts w:cstheme="minorHAnsi"/>
                <w:b/>
                <w:bCs/>
                <w:i/>
                <w:iCs/>
                <w:szCs w:val="24"/>
              </w:rPr>
              <w:t>1.</w:t>
            </w:r>
            <w:r w:rsidR="008274C1" w:rsidRPr="00675182">
              <w:rPr>
                <w:rFonts w:cstheme="minorHAnsi"/>
                <w:b/>
                <w:bCs/>
                <w:i/>
                <w:iCs/>
                <w:szCs w:val="24"/>
              </w:rPr>
              <w:t>2</w:t>
            </w:r>
            <w:r w:rsidRPr="00675182">
              <w:rPr>
                <w:rFonts w:cstheme="minorHAnsi"/>
                <w:b/>
                <w:bCs/>
                <w:i/>
                <w:iCs/>
                <w:szCs w:val="24"/>
              </w:rPr>
              <w:t>.</w:t>
            </w:r>
            <w:r w:rsidR="00DF4FF2" w:rsidRPr="00675182">
              <w:rPr>
                <w:rFonts w:cstheme="minorHAnsi"/>
                <w:b/>
                <w:bCs/>
                <w:i/>
                <w:iCs/>
                <w:szCs w:val="24"/>
              </w:rPr>
              <w:t>4.</w:t>
            </w:r>
            <w:r w:rsidRPr="00675182">
              <w:rPr>
                <w:rFonts w:cstheme="minorHAnsi"/>
                <w:b/>
                <w:bCs/>
                <w:i/>
                <w:iCs/>
                <w:szCs w:val="24"/>
              </w:rPr>
              <w:t xml:space="preserve"> attēls. Meliorācijas sistēma GNP teritorijā</w:t>
            </w:r>
          </w:p>
        </w:tc>
      </w:tr>
    </w:tbl>
    <w:p w14:paraId="10308245" w14:textId="3532CB92" w:rsidR="00856648" w:rsidRPr="00675182" w:rsidRDefault="008274C1" w:rsidP="008274C1">
      <w:pPr>
        <w:ind w:left="142"/>
        <w:jc w:val="both"/>
        <w:rPr>
          <w:rFonts w:cstheme="minorHAnsi"/>
          <w:sz w:val="20"/>
        </w:rPr>
        <w:sectPr w:rsidR="00856648" w:rsidRPr="00675182" w:rsidSect="0090463E">
          <w:headerReference w:type="default" r:id="rId54"/>
          <w:pgSz w:w="16837" w:h="11905" w:orient="landscape"/>
          <w:pgMar w:top="1797" w:right="1440" w:bottom="1797" w:left="1440" w:header="720" w:footer="720" w:gutter="0"/>
          <w:cols w:space="720"/>
          <w:docGrid w:linePitch="360"/>
        </w:sectPr>
      </w:pPr>
      <w:r w:rsidRPr="00675182">
        <w:rPr>
          <w:rFonts w:cstheme="minorHAnsi"/>
          <w:sz w:val="20"/>
        </w:rPr>
        <w:t xml:space="preserve">Datu avots: ZMNI,2020 </w:t>
      </w:r>
    </w:p>
    <w:p w14:paraId="2F604DD5" w14:textId="188D5DFC" w:rsidR="00011E51" w:rsidRPr="00675182" w:rsidRDefault="002832A1" w:rsidP="002B3341">
      <w:pPr>
        <w:pStyle w:val="Heading3"/>
        <w:keepNext w:val="0"/>
        <w:numPr>
          <w:ilvl w:val="0"/>
          <w:numId w:val="0"/>
        </w:numPr>
        <w:rPr>
          <w:rFonts w:cstheme="minorHAnsi"/>
          <w:b/>
          <w:lang w:val="lv-LV"/>
        </w:rPr>
      </w:pPr>
      <w:bookmarkStart w:id="23" w:name="_Toc116938391"/>
      <w:bookmarkEnd w:id="22"/>
      <w:r w:rsidRPr="00675182">
        <w:rPr>
          <w:rFonts w:cstheme="minorHAnsi"/>
          <w:b/>
          <w:lang w:val="lv-LV"/>
        </w:rPr>
        <w:lastRenderedPageBreak/>
        <w:t>1.</w:t>
      </w:r>
      <w:r w:rsidR="008A0F48" w:rsidRPr="00675182">
        <w:rPr>
          <w:rFonts w:cstheme="minorHAnsi"/>
          <w:b/>
          <w:lang w:val="lv-LV"/>
        </w:rPr>
        <w:t>2</w:t>
      </w:r>
      <w:r w:rsidRPr="00675182">
        <w:rPr>
          <w:rFonts w:cstheme="minorHAnsi"/>
          <w:b/>
          <w:lang w:val="lv-LV"/>
        </w:rPr>
        <w:t xml:space="preserve">.4. </w:t>
      </w:r>
      <w:r w:rsidR="00011E51" w:rsidRPr="00675182">
        <w:rPr>
          <w:rFonts w:cstheme="minorHAnsi"/>
          <w:b/>
          <w:lang w:val="lv-LV"/>
        </w:rPr>
        <w:t>Augsne</w:t>
      </w:r>
      <w:bookmarkEnd w:id="23"/>
    </w:p>
    <w:p w14:paraId="1C96B827" w14:textId="77777777" w:rsidR="00011E51" w:rsidRPr="00675182" w:rsidRDefault="00011E51" w:rsidP="002B3341">
      <w:pPr>
        <w:rPr>
          <w:rFonts w:cstheme="minorHAnsi"/>
          <w:color w:val="000000"/>
          <w:szCs w:val="18"/>
        </w:rPr>
      </w:pPr>
    </w:p>
    <w:p w14:paraId="321FBDB3" w14:textId="223D26D4" w:rsidR="00137FEA" w:rsidRPr="00675182" w:rsidRDefault="0073283B" w:rsidP="0073283B">
      <w:pPr>
        <w:jc w:val="both"/>
        <w:rPr>
          <w:rFonts w:cstheme="minorHAnsi"/>
          <w:szCs w:val="24"/>
        </w:rPr>
      </w:pPr>
      <w:r w:rsidRPr="00675182">
        <w:rPr>
          <w:rFonts w:cstheme="minorHAnsi"/>
          <w:szCs w:val="24"/>
        </w:rPr>
        <w:t xml:space="preserve">Pamatojoties uz augšņu kartēšanas materiāliem, </w:t>
      </w:r>
      <w:r w:rsidR="009C04BC" w:rsidRPr="00675182">
        <w:rPr>
          <w:rFonts w:cstheme="minorHAnsi"/>
          <w:szCs w:val="24"/>
        </w:rPr>
        <w:t>GNP</w:t>
      </w:r>
      <w:r w:rsidRPr="00675182">
        <w:rPr>
          <w:rFonts w:cstheme="minorHAnsi"/>
          <w:szCs w:val="24"/>
        </w:rPr>
        <w:t xml:space="preserve"> ietilpst trīs augšņu rajonos. Parka </w:t>
      </w:r>
      <w:r w:rsidR="006A63BD" w:rsidRPr="00675182">
        <w:rPr>
          <w:rFonts w:cstheme="minorHAnsi"/>
          <w:szCs w:val="24"/>
        </w:rPr>
        <w:t>ziemeļrietumu</w:t>
      </w:r>
      <w:r w:rsidRPr="00675182">
        <w:rPr>
          <w:rFonts w:cstheme="minorHAnsi"/>
          <w:szCs w:val="24"/>
        </w:rPr>
        <w:t xml:space="preserve"> daļa atrodas Ziemeļlatvijas līdzenuma augšņu rajonā, kurā pārsvarā ir izveidojušās podzolaugsnes, gleja un purvu augsnes. Austrumos un dienvidaustrumos no Cēsīm atrodas Vidzemes pauguraino augstieņu augšņu rajona Vidzemes augstienes apakšrajons, kurā izplatītas podzolaugsnes. Augstienē pauguru nogāzes ir erodētas, bet starppauguru ieplakās izveidojušās purvu, kā arī podzolaugsnes un glejaugsnes. Parka dienvidu daļa atrodas Viduslatvijas zemienes un Sēlijas paugurvaļņa augšņu rajona Viduslatvijas nolaidenuma apakšrajonā. Šajā rajonā galvenokārt izplatītas podzolaugsnes (Autoru kolektīvs, 2004).</w:t>
      </w:r>
    </w:p>
    <w:p w14:paraId="03B4EBEC" w14:textId="77777777" w:rsidR="0073283B" w:rsidRPr="00675182" w:rsidRDefault="0073283B" w:rsidP="0073283B">
      <w:pPr>
        <w:jc w:val="both"/>
        <w:rPr>
          <w:rFonts w:cstheme="minorHAnsi"/>
        </w:rPr>
      </w:pPr>
    </w:p>
    <w:p w14:paraId="06BD5246" w14:textId="00B7033D" w:rsidR="00BD1F6F" w:rsidRPr="00675182" w:rsidRDefault="00011E51" w:rsidP="002B3341">
      <w:pPr>
        <w:pStyle w:val="Heading2"/>
        <w:keepNext w:val="0"/>
        <w:rPr>
          <w:rFonts w:cstheme="minorHAnsi"/>
          <w:i w:val="0"/>
          <w:szCs w:val="24"/>
          <w:lang w:val="lv-LV"/>
        </w:rPr>
      </w:pPr>
      <w:bookmarkStart w:id="24" w:name="_Toc116938392"/>
      <w:r w:rsidRPr="00675182">
        <w:rPr>
          <w:rFonts w:cstheme="minorHAnsi"/>
          <w:i w:val="0"/>
          <w:szCs w:val="24"/>
          <w:lang w:val="lv-LV"/>
        </w:rPr>
        <w:t>1.</w:t>
      </w:r>
      <w:r w:rsidR="008A0F48" w:rsidRPr="00675182">
        <w:rPr>
          <w:rFonts w:cstheme="minorHAnsi"/>
          <w:i w:val="0"/>
          <w:szCs w:val="24"/>
          <w:lang w:val="lv-LV"/>
        </w:rPr>
        <w:t>3</w:t>
      </w:r>
      <w:r w:rsidRPr="00675182">
        <w:rPr>
          <w:rFonts w:cstheme="minorHAnsi"/>
          <w:i w:val="0"/>
          <w:szCs w:val="24"/>
          <w:lang w:val="lv-LV"/>
        </w:rPr>
        <w:t>. Aizsargājamās teritorijas sociālās un ekonomiskās situācijas apraksts</w:t>
      </w:r>
      <w:bookmarkEnd w:id="24"/>
    </w:p>
    <w:p w14:paraId="2809FD88" w14:textId="77777777" w:rsidR="0058255E" w:rsidRPr="00675182" w:rsidRDefault="0058255E" w:rsidP="002B3341">
      <w:pPr>
        <w:rPr>
          <w:rFonts w:cstheme="minorHAnsi"/>
        </w:rPr>
      </w:pPr>
    </w:p>
    <w:p w14:paraId="2250036E" w14:textId="16B0B0E0" w:rsidR="00011E51" w:rsidRPr="00675182" w:rsidRDefault="00011E51" w:rsidP="002B3341">
      <w:pPr>
        <w:pStyle w:val="Heading3"/>
        <w:keepNext w:val="0"/>
        <w:numPr>
          <w:ilvl w:val="0"/>
          <w:numId w:val="0"/>
        </w:numPr>
        <w:rPr>
          <w:rFonts w:cstheme="minorHAnsi"/>
          <w:b/>
          <w:szCs w:val="24"/>
          <w:lang w:val="lv-LV"/>
        </w:rPr>
      </w:pPr>
      <w:bookmarkStart w:id="25" w:name="_Toc116938393"/>
      <w:r w:rsidRPr="00675182">
        <w:rPr>
          <w:rFonts w:cstheme="minorHAnsi"/>
          <w:b/>
          <w:szCs w:val="24"/>
          <w:lang w:val="lv-LV"/>
        </w:rPr>
        <w:t>1.</w:t>
      </w:r>
      <w:r w:rsidR="008A0F48" w:rsidRPr="00675182">
        <w:rPr>
          <w:rFonts w:cstheme="minorHAnsi"/>
          <w:b/>
          <w:szCs w:val="24"/>
          <w:lang w:val="lv-LV"/>
        </w:rPr>
        <w:t>3</w:t>
      </w:r>
      <w:r w:rsidRPr="00675182">
        <w:rPr>
          <w:rFonts w:cstheme="minorHAnsi"/>
          <w:b/>
          <w:szCs w:val="24"/>
          <w:lang w:val="lv-LV"/>
        </w:rPr>
        <w:t>.1. Iedzīvotāji, apdzīvotās vietas, nodarbinātība</w:t>
      </w:r>
      <w:bookmarkEnd w:id="25"/>
    </w:p>
    <w:p w14:paraId="2ACF5EC7" w14:textId="7073B3EF" w:rsidR="00C72167" w:rsidRPr="00675182" w:rsidRDefault="00C72167" w:rsidP="00C72167">
      <w:pPr>
        <w:rPr>
          <w:rFonts w:cstheme="minorHAnsi"/>
        </w:rPr>
      </w:pPr>
    </w:p>
    <w:p w14:paraId="0189CE44" w14:textId="5BA1D8B5" w:rsidR="00F20947" w:rsidRPr="00675182" w:rsidRDefault="00F20947" w:rsidP="00F20947">
      <w:pPr>
        <w:jc w:val="both"/>
        <w:rPr>
          <w:rFonts w:cs="Times New Roman"/>
          <w:szCs w:val="22"/>
          <w:lang w:eastAsia="en-US"/>
        </w:rPr>
      </w:pPr>
      <w:r w:rsidRPr="00675182">
        <w:rPr>
          <w:rFonts w:cs="Times New Roman"/>
          <w:szCs w:val="22"/>
          <w:lang w:eastAsia="en-US"/>
        </w:rPr>
        <w:t xml:space="preserve">Tā kā dati par iedzīvotāju skaitu un citiem sociālekonomiskajiem rādītājiem nav pieejami tieši par GNP teritoriju, informācija sniegta par katru no novadiem, balstoties uz attiecīgā novada teritorijas plānojumā iekļautajiem datiem, Centrālās statistikas pārvaldes un Nodarbinātības valsts aģentūras </w:t>
      </w:r>
      <w:r w:rsidR="00664CB8">
        <w:rPr>
          <w:rFonts w:cs="Times New Roman"/>
          <w:szCs w:val="22"/>
          <w:lang w:eastAsia="en-US"/>
        </w:rPr>
        <w:t>interneta vietnēs</w:t>
      </w:r>
      <w:r w:rsidRPr="00675182">
        <w:rPr>
          <w:rFonts w:cs="Times New Roman"/>
          <w:szCs w:val="22"/>
          <w:lang w:eastAsia="en-US"/>
        </w:rPr>
        <w:t xml:space="preserve"> pieejamo statistikas informāciju.</w:t>
      </w:r>
    </w:p>
    <w:p w14:paraId="2C79A62A" w14:textId="77777777" w:rsidR="00BE1B36" w:rsidRPr="00675182" w:rsidRDefault="00BE1B36" w:rsidP="00FC4B89">
      <w:pPr>
        <w:jc w:val="both"/>
        <w:rPr>
          <w:rFonts w:cstheme="minorHAnsi"/>
          <w:szCs w:val="22"/>
          <w:highlight w:val="yellow"/>
          <w:lang w:eastAsia="en-US"/>
        </w:rPr>
      </w:pPr>
    </w:p>
    <w:p w14:paraId="09B9CFB1" w14:textId="356D8D53" w:rsidR="003C7B0C" w:rsidRPr="00675182" w:rsidRDefault="00BE1B36" w:rsidP="00FC4B89">
      <w:pPr>
        <w:jc w:val="both"/>
        <w:rPr>
          <w:rFonts w:cstheme="minorHAnsi"/>
          <w:szCs w:val="24"/>
        </w:rPr>
      </w:pPr>
      <w:r w:rsidRPr="00675182">
        <w:rPr>
          <w:rFonts w:cstheme="minorHAnsi"/>
          <w:szCs w:val="24"/>
        </w:rPr>
        <w:t xml:space="preserve">Atbilstoši administratīvajam iedalījumam </w:t>
      </w:r>
      <w:r w:rsidR="00016E62" w:rsidRPr="00675182">
        <w:rPr>
          <w:rFonts w:cstheme="minorHAnsi"/>
          <w:szCs w:val="24"/>
        </w:rPr>
        <w:t xml:space="preserve">pēc 2021. gada 1. jūlija </w:t>
      </w:r>
      <w:r w:rsidRPr="00675182">
        <w:rPr>
          <w:rFonts w:cstheme="minorHAnsi"/>
          <w:szCs w:val="24"/>
        </w:rPr>
        <w:t xml:space="preserve">GNP teritorija ietilpst </w:t>
      </w:r>
      <w:r w:rsidR="00551DC7" w:rsidRPr="00675182">
        <w:rPr>
          <w:rFonts w:cstheme="minorHAnsi"/>
          <w:szCs w:val="24"/>
        </w:rPr>
        <w:t>Cēsu, Saulkrastu, Siguldas, kā arī Valmieras novados</w:t>
      </w:r>
      <w:r w:rsidRPr="00675182">
        <w:rPr>
          <w:rFonts w:cstheme="minorHAnsi"/>
          <w:szCs w:val="24"/>
        </w:rPr>
        <w:t xml:space="preserve">. GNP teritorijā atrodas Līgatnes pilsēta, kā arī daļēji ietilpst Cēsu un Siguldas pilsētu teritorijas, kā arī </w:t>
      </w:r>
      <w:r w:rsidR="001C52C2" w:rsidRPr="00675182">
        <w:rPr>
          <w:rFonts w:cstheme="minorHAnsi"/>
          <w:szCs w:val="24"/>
        </w:rPr>
        <w:t>41</w:t>
      </w:r>
      <w:r w:rsidRPr="00675182">
        <w:rPr>
          <w:rFonts w:cstheme="minorHAnsi"/>
          <w:szCs w:val="24"/>
        </w:rPr>
        <w:t xml:space="preserve"> ciemu teritorijas.</w:t>
      </w:r>
    </w:p>
    <w:p w14:paraId="79562A1F" w14:textId="77777777" w:rsidR="003C7B0C" w:rsidRPr="00675182" w:rsidRDefault="003C7B0C" w:rsidP="00FC4B89">
      <w:pPr>
        <w:jc w:val="both"/>
        <w:rPr>
          <w:rFonts w:cstheme="minorHAnsi"/>
          <w:szCs w:val="24"/>
          <w:highlight w:val="yellow"/>
        </w:rPr>
      </w:pPr>
    </w:p>
    <w:p w14:paraId="271D1171" w14:textId="1E82A24B" w:rsidR="00B96D30" w:rsidRPr="00675182" w:rsidRDefault="007A2E2D" w:rsidP="00FC4B89">
      <w:pPr>
        <w:jc w:val="both"/>
        <w:rPr>
          <w:rFonts w:cstheme="minorHAnsi"/>
          <w:szCs w:val="22"/>
          <w:lang w:eastAsia="en-US"/>
        </w:rPr>
      </w:pPr>
      <w:r w:rsidRPr="00675182">
        <w:rPr>
          <w:rFonts w:cstheme="minorHAnsi"/>
          <w:szCs w:val="22"/>
          <w:lang w:eastAsia="en-US"/>
        </w:rPr>
        <w:t>GNP teritorijā iedzīvotāju izvietojums nav viendabīgs. Lielāks iedzīvotājus blīvums ir vērojams pilsētu un ciemu teritorijās (skat. 1.</w:t>
      </w:r>
      <w:r w:rsidR="008A0F48" w:rsidRPr="00675182">
        <w:rPr>
          <w:rFonts w:cstheme="minorHAnsi"/>
          <w:szCs w:val="22"/>
          <w:lang w:eastAsia="en-US"/>
        </w:rPr>
        <w:t>3</w:t>
      </w:r>
      <w:r w:rsidRPr="00675182">
        <w:rPr>
          <w:rFonts w:cstheme="minorHAnsi"/>
          <w:szCs w:val="22"/>
          <w:lang w:eastAsia="en-US"/>
        </w:rPr>
        <w:t>.</w:t>
      </w:r>
      <w:r w:rsidR="00C25F16" w:rsidRPr="00675182">
        <w:rPr>
          <w:rFonts w:cstheme="minorHAnsi"/>
          <w:szCs w:val="22"/>
          <w:lang w:eastAsia="en-US"/>
        </w:rPr>
        <w:t>2</w:t>
      </w:r>
      <w:r w:rsidRPr="00675182">
        <w:rPr>
          <w:rFonts w:cstheme="minorHAnsi"/>
          <w:szCs w:val="22"/>
          <w:lang w:eastAsia="en-US"/>
        </w:rPr>
        <w:t xml:space="preserve">. attēlu). </w:t>
      </w:r>
      <w:r w:rsidR="003C7B0C" w:rsidRPr="00675182">
        <w:rPr>
          <w:rFonts w:cstheme="minorHAnsi"/>
          <w:szCs w:val="22"/>
          <w:lang w:eastAsia="en-US"/>
        </w:rPr>
        <w:t>Ciemu teritorijās reģistrēto pastāvīgo iedzīvotāju skaits ir robežās no 5 līdz vairāk nekā 2800. Pilsētu un c</w:t>
      </w:r>
      <w:r w:rsidRPr="00675182">
        <w:rPr>
          <w:rFonts w:cstheme="minorHAnsi"/>
          <w:szCs w:val="22"/>
          <w:lang w:eastAsia="en-US"/>
        </w:rPr>
        <w:t xml:space="preserve">iemu teritorijas galvenokārt ir izvietotas valsts galveno autoceļu A2 Rīga—Sigulda—Igaunijas robeža (Veclaicene) un A3 Inčukalns—Valmiera—Igaunijas robeža (Valka) tuvumā. </w:t>
      </w:r>
    </w:p>
    <w:p w14:paraId="1498E566" w14:textId="48A53ED7" w:rsidR="00815305" w:rsidRPr="00675182" w:rsidRDefault="00815305" w:rsidP="00FC4B89">
      <w:pPr>
        <w:jc w:val="both"/>
        <w:rPr>
          <w:rFonts w:cstheme="minorHAnsi"/>
          <w:szCs w:val="22"/>
          <w:highlight w:val="yellow"/>
          <w:lang w:eastAsia="en-US"/>
        </w:rPr>
      </w:pPr>
    </w:p>
    <w:p w14:paraId="205C69B1" w14:textId="2C127574" w:rsidR="00177281" w:rsidRPr="00675182" w:rsidRDefault="004478AD" w:rsidP="00FC4B89">
      <w:pPr>
        <w:jc w:val="both"/>
        <w:rPr>
          <w:rFonts w:cstheme="minorHAnsi"/>
          <w:szCs w:val="22"/>
          <w:lang w:eastAsia="en-US"/>
        </w:rPr>
      </w:pPr>
      <w:r w:rsidRPr="00675182">
        <w:rPr>
          <w:rFonts w:cstheme="minorHAnsi"/>
          <w:szCs w:val="22"/>
          <w:lang w:eastAsia="en-US"/>
        </w:rPr>
        <w:t>Saskaņā ar tautas skaitīšanas rezu</w:t>
      </w:r>
      <w:r w:rsidR="009F75F4" w:rsidRPr="00675182">
        <w:rPr>
          <w:rFonts w:cstheme="minorHAnsi"/>
          <w:szCs w:val="22"/>
          <w:lang w:eastAsia="en-US"/>
        </w:rPr>
        <w:t>ltātiem, Latvijā maksimālais iedzīvotāju skaits reģistrēts 1989. gadā, bet pēc tam iedzīvotāju skaits ir samazinājies. Līdzīga situācija ir lielākajā daļā GNP teritorijā ietilpstošajos novado</w:t>
      </w:r>
      <w:r w:rsidR="0003735D" w:rsidRPr="00675182">
        <w:rPr>
          <w:rFonts w:cstheme="minorHAnsi"/>
          <w:szCs w:val="22"/>
          <w:lang w:eastAsia="en-US"/>
        </w:rPr>
        <w:t>s</w:t>
      </w:r>
      <w:r w:rsidR="009F75F4" w:rsidRPr="00675182">
        <w:rPr>
          <w:rFonts w:cstheme="minorHAnsi"/>
          <w:szCs w:val="22"/>
          <w:lang w:eastAsia="en-US"/>
        </w:rPr>
        <w:t xml:space="preserve">, kur laika periodā no </w:t>
      </w:r>
      <w:r w:rsidR="005A7557" w:rsidRPr="00675182">
        <w:rPr>
          <w:rFonts w:cstheme="minorHAnsi"/>
          <w:szCs w:val="22"/>
          <w:lang w:eastAsia="en-US"/>
        </w:rPr>
        <w:t>200</w:t>
      </w:r>
      <w:r w:rsidR="009F75F4" w:rsidRPr="00675182">
        <w:rPr>
          <w:rFonts w:cstheme="minorHAnsi"/>
          <w:szCs w:val="22"/>
          <w:lang w:eastAsia="en-US"/>
        </w:rPr>
        <w:t>0. līdz 202</w:t>
      </w:r>
      <w:r w:rsidR="005A7557" w:rsidRPr="00675182">
        <w:rPr>
          <w:rFonts w:cstheme="minorHAnsi"/>
          <w:szCs w:val="22"/>
          <w:lang w:eastAsia="en-US"/>
        </w:rPr>
        <w:t>1</w:t>
      </w:r>
      <w:r w:rsidR="009F75F4" w:rsidRPr="00675182">
        <w:rPr>
          <w:rFonts w:cstheme="minorHAnsi"/>
          <w:szCs w:val="22"/>
          <w:lang w:eastAsia="en-US"/>
        </w:rPr>
        <w:t xml:space="preserve">. gadam iedzīvotāju skaits vidēji ir samazinājies par </w:t>
      </w:r>
      <w:r w:rsidR="005A7557" w:rsidRPr="00675182">
        <w:rPr>
          <w:rFonts w:cstheme="minorHAnsi"/>
          <w:szCs w:val="22"/>
          <w:lang w:eastAsia="en-US"/>
        </w:rPr>
        <w:t>10</w:t>
      </w:r>
      <w:r w:rsidR="009F75F4" w:rsidRPr="00675182">
        <w:rPr>
          <w:rFonts w:cstheme="minorHAnsi"/>
          <w:szCs w:val="22"/>
          <w:lang w:eastAsia="en-US"/>
        </w:rPr>
        <w:t xml:space="preserve"> – </w:t>
      </w:r>
      <w:r w:rsidR="005A7557" w:rsidRPr="00675182">
        <w:rPr>
          <w:rFonts w:cstheme="minorHAnsi"/>
          <w:szCs w:val="22"/>
          <w:lang w:eastAsia="en-US"/>
        </w:rPr>
        <w:t>35</w:t>
      </w:r>
      <w:r w:rsidR="009F75F4" w:rsidRPr="00675182">
        <w:rPr>
          <w:rFonts w:cstheme="minorHAnsi"/>
          <w:szCs w:val="22"/>
          <w:lang w:eastAsia="en-US"/>
        </w:rPr>
        <w:t xml:space="preserve"> %</w:t>
      </w:r>
      <w:r w:rsidR="00C25F16" w:rsidRPr="00675182">
        <w:rPr>
          <w:rFonts w:cstheme="minorHAnsi"/>
          <w:szCs w:val="22"/>
          <w:lang w:eastAsia="en-US"/>
        </w:rPr>
        <w:t xml:space="preserve"> (skat. 1.3.1. attēlu)</w:t>
      </w:r>
      <w:r w:rsidR="009F75F4" w:rsidRPr="00675182">
        <w:rPr>
          <w:rFonts w:cstheme="minorHAnsi"/>
          <w:szCs w:val="22"/>
          <w:lang w:eastAsia="en-US"/>
        </w:rPr>
        <w:t>, lai gan pēdējos gados samazinājuma temps ir kļuvis lēnāks. Kā izņēmums ir minam</w:t>
      </w:r>
      <w:r w:rsidR="00365D94" w:rsidRPr="00675182">
        <w:rPr>
          <w:rFonts w:cstheme="minorHAnsi"/>
          <w:szCs w:val="22"/>
          <w:lang w:eastAsia="en-US"/>
        </w:rPr>
        <w:t>s</w:t>
      </w:r>
      <w:r w:rsidR="009F75F4" w:rsidRPr="00675182">
        <w:rPr>
          <w:rFonts w:cstheme="minorHAnsi"/>
          <w:szCs w:val="22"/>
          <w:lang w:eastAsia="en-US"/>
        </w:rPr>
        <w:t xml:space="preserve"> Siguldas novad</w:t>
      </w:r>
      <w:r w:rsidR="005A7557" w:rsidRPr="00675182">
        <w:rPr>
          <w:rFonts w:cstheme="minorHAnsi"/>
          <w:szCs w:val="22"/>
          <w:lang w:eastAsia="en-US"/>
        </w:rPr>
        <w:t xml:space="preserve">a Inčukalna pagasts un Siguldas pagasts, kā </w:t>
      </w:r>
      <w:r w:rsidR="00365D94" w:rsidRPr="00675182">
        <w:rPr>
          <w:rFonts w:cstheme="minorHAnsi"/>
          <w:szCs w:val="22"/>
          <w:lang w:eastAsia="en-US"/>
        </w:rPr>
        <w:t xml:space="preserve">Siguldas pilsēta, kur iedzīvotāju skaits ir pieaudzis par </w:t>
      </w:r>
      <w:r w:rsidR="005A7557" w:rsidRPr="00675182">
        <w:rPr>
          <w:rFonts w:cstheme="minorHAnsi"/>
          <w:szCs w:val="22"/>
          <w:lang w:eastAsia="en-US"/>
        </w:rPr>
        <w:t>5-10</w:t>
      </w:r>
      <w:r w:rsidR="00365D94" w:rsidRPr="00675182">
        <w:rPr>
          <w:rFonts w:cstheme="minorHAnsi"/>
          <w:szCs w:val="22"/>
          <w:lang w:eastAsia="en-US"/>
        </w:rPr>
        <w:t xml:space="preserve"> %. Jāmin, ka no kopējā iedzīvotāju skaita ekonomiski aktīvie iedzīvotāji (vecumā no 15 līdz 64 gadiem) sastāda 60 – 65 % no kopējā iedzīvotāju skaita</w:t>
      </w:r>
      <w:r w:rsidR="008F17C6" w:rsidRPr="00675182">
        <w:rPr>
          <w:rFonts w:cstheme="minorHAnsi"/>
          <w:szCs w:val="22"/>
          <w:lang w:eastAsia="en-US"/>
        </w:rPr>
        <w:t>. GNP teritorijā pastāvīgo iedzīvotāju vidējais vecums ir palielinājies no 36 gadiem 2000. gadā līdz 43 gadiem 20</w:t>
      </w:r>
      <w:r w:rsidR="00C40D41" w:rsidRPr="00675182">
        <w:rPr>
          <w:rFonts w:cstheme="minorHAnsi"/>
          <w:szCs w:val="22"/>
          <w:lang w:eastAsia="en-US"/>
        </w:rPr>
        <w:t>2</w:t>
      </w:r>
      <w:r w:rsidR="005A7557" w:rsidRPr="00675182">
        <w:rPr>
          <w:rFonts w:cstheme="minorHAnsi"/>
          <w:szCs w:val="22"/>
          <w:lang w:eastAsia="en-US"/>
        </w:rPr>
        <w:t>1</w:t>
      </w:r>
      <w:r w:rsidR="008F17C6" w:rsidRPr="00675182">
        <w:rPr>
          <w:rFonts w:cstheme="minorHAnsi"/>
          <w:szCs w:val="22"/>
          <w:lang w:eastAsia="en-US"/>
        </w:rPr>
        <w:t xml:space="preserve">. gadā. </w:t>
      </w:r>
    </w:p>
    <w:p w14:paraId="1E59AD60" w14:textId="0E9E6462" w:rsidR="004478AD" w:rsidRPr="00675182" w:rsidRDefault="004478AD" w:rsidP="00FC4B89">
      <w:pPr>
        <w:jc w:val="both"/>
        <w:rPr>
          <w:rFonts w:cstheme="minorHAnsi"/>
          <w:szCs w:val="22"/>
          <w:lang w:eastAsia="en-US"/>
        </w:rPr>
      </w:pPr>
    </w:p>
    <w:p w14:paraId="6D7DAE88" w14:textId="1486B641" w:rsidR="00B96D30" w:rsidRPr="00675182" w:rsidRDefault="00041E38" w:rsidP="00FC4B89">
      <w:pPr>
        <w:jc w:val="both"/>
        <w:rPr>
          <w:rFonts w:cstheme="minorHAnsi"/>
          <w:szCs w:val="22"/>
          <w:lang w:eastAsia="en-US"/>
        </w:rPr>
      </w:pPr>
      <w:r w:rsidRPr="00675182">
        <w:rPr>
          <w:rFonts w:cstheme="minorHAnsi"/>
          <w:szCs w:val="22"/>
          <w:lang w:eastAsia="en-US"/>
        </w:rPr>
        <w:lastRenderedPageBreak/>
        <w:t>Iedzīvotāju skaita izmaiņas galvenokārt nosaka 2 faktori – dabiskā kustība (dzimstība un mirstība) un migrācija. 2000.-to gadu sākumā visās GNP teritorijā ietilpstošajos novados dzimstība bi</w:t>
      </w:r>
      <w:r w:rsidR="00280E63" w:rsidRPr="00675182">
        <w:rPr>
          <w:rFonts w:cstheme="minorHAnsi"/>
          <w:szCs w:val="22"/>
          <w:lang w:eastAsia="en-US"/>
        </w:rPr>
        <w:t>jusi</w:t>
      </w:r>
      <w:r w:rsidRPr="00675182">
        <w:rPr>
          <w:rFonts w:cstheme="minorHAnsi"/>
          <w:szCs w:val="22"/>
          <w:lang w:eastAsia="en-US"/>
        </w:rPr>
        <w:t xml:space="preserve"> zemāka </w:t>
      </w:r>
      <w:r w:rsidR="00280E63" w:rsidRPr="00675182">
        <w:rPr>
          <w:rFonts w:cstheme="minorHAnsi"/>
          <w:szCs w:val="22"/>
          <w:lang w:eastAsia="en-US"/>
        </w:rPr>
        <w:t>nekā</w:t>
      </w:r>
      <w:r w:rsidRPr="00675182">
        <w:rPr>
          <w:rFonts w:cstheme="minorHAnsi"/>
          <w:szCs w:val="22"/>
          <w:lang w:eastAsia="en-US"/>
        </w:rPr>
        <w:t xml:space="preserve"> mirstīb</w:t>
      </w:r>
      <w:r w:rsidR="00280E63" w:rsidRPr="00675182">
        <w:rPr>
          <w:rFonts w:cstheme="minorHAnsi"/>
          <w:szCs w:val="22"/>
          <w:lang w:eastAsia="en-US"/>
        </w:rPr>
        <w:t>a</w:t>
      </w:r>
      <w:r w:rsidRPr="00675182">
        <w:rPr>
          <w:rFonts w:cstheme="minorHAnsi"/>
          <w:szCs w:val="22"/>
          <w:lang w:eastAsia="en-US"/>
        </w:rPr>
        <w:t>, tādēļ dabiskais pieaugums ir bijis negatīvs. Tomēr pēdējos gados ir novērojama tendence, ka dabiskais pieaugums ir bijis pozitīvs Rīgai tuvākajos novados –</w:t>
      </w:r>
      <w:r w:rsidR="00BD167E" w:rsidRPr="00675182">
        <w:rPr>
          <w:rFonts w:cstheme="minorHAnsi"/>
          <w:szCs w:val="22"/>
          <w:lang w:eastAsia="en-US"/>
        </w:rPr>
        <w:t xml:space="preserve"> Saulkrastu novada</w:t>
      </w:r>
      <w:r w:rsidRPr="00675182">
        <w:rPr>
          <w:rFonts w:cstheme="minorHAnsi"/>
          <w:szCs w:val="22"/>
          <w:lang w:eastAsia="en-US"/>
        </w:rPr>
        <w:t xml:space="preserve"> Sējas </w:t>
      </w:r>
      <w:r w:rsidR="00BD167E" w:rsidRPr="00675182">
        <w:rPr>
          <w:rFonts w:cstheme="minorHAnsi"/>
          <w:szCs w:val="22"/>
          <w:lang w:eastAsia="en-US"/>
        </w:rPr>
        <w:t>pagastā</w:t>
      </w:r>
      <w:r w:rsidRPr="00675182">
        <w:rPr>
          <w:rFonts w:cstheme="minorHAnsi"/>
          <w:szCs w:val="22"/>
          <w:lang w:eastAsia="en-US"/>
        </w:rPr>
        <w:t xml:space="preserve">, </w:t>
      </w:r>
      <w:r w:rsidR="00BD167E" w:rsidRPr="00675182">
        <w:rPr>
          <w:rFonts w:cstheme="minorHAnsi"/>
          <w:szCs w:val="22"/>
          <w:lang w:eastAsia="en-US"/>
        </w:rPr>
        <w:t xml:space="preserve">Siguldas novada </w:t>
      </w:r>
      <w:r w:rsidRPr="00675182">
        <w:rPr>
          <w:rFonts w:cstheme="minorHAnsi"/>
          <w:szCs w:val="22"/>
          <w:lang w:eastAsia="en-US"/>
        </w:rPr>
        <w:t>Inčukalna</w:t>
      </w:r>
      <w:r w:rsidR="00BD167E" w:rsidRPr="00675182">
        <w:rPr>
          <w:rFonts w:cstheme="minorHAnsi"/>
          <w:szCs w:val="22"/>
          <w:lang w:eastAsia="en-US"/>
        </w:rPr>
        <w:t xml:space="preserve"> un </w:t>
      </w:r>
      <w:r w:rsidRPr="00675182">
        <w:rPr>
          <w:rFonts w:cstheme="minorHAnsi"/>
          <w:szCs w:val="22"/>
          <w:lang w:eastAsia="en-US"/>
        </w:rPr>
        <w:t xml:space="preserve">Krimuldas </w:t>
      </w:r>
      <w:r w:rsidR="00BD167E" w:rsidRPr="00675182">
        <w:rPr>
          <w:rFonts w:cstheme="minorHAnsi"/>
          <w:szCs w:val="22"/>
          <w:lang w:eastAsia="en-US"/>
        </w:rPr>
        <w:t>pagastos</w:t>
      </w:r>
      <w:r w:rsidRPr="00675182">
        <w:rPr>
          <w:rFonts w:cstheme="minorHAnsi"/>
          <w:szCs w:val="22"/>
          <w:lang w:eastAsia="en-US"/>
        </w:rPr>
        <w:t xml:space="preserve">, kā arī Siguldas </w:t>
      </w:r>
      <w:r w:rsidR="00BD167E" w:rsidRPr="00675182">
        <w:rPr>
          <w:rFonts w:cstheme="minorHAnsi"/>
          <w:szCs w:val="22"/>
          <w:lang w:eastAsia="en-US"/>
        </w:rPr>
        <w:t>pilsētā</w:t>
      </w:r>
      <w:r w:rsidRPr="00675182">
        <w:rPr>
          <w:rFonts w:cstheme="minorHAnsi"/>
          <w:szCs w:val="22"/>
          <w:lang w:eastAsia="en-US"/>
        </w:rPr>
        <w:t xml:space="preserve">. </w:t>
      </w:r>
      <w:r w:rsidR="00280E63" w:rsidRPr="00675182">
        <w:rPr>
          <w:rFonts w:cstheme="minorHAnsi"/>
          <w:szCs w:val="22"/>
          <w:lang w:eastAsia="en-US"/>
        </w:rPr>
        <w:t xml:space="preserve">Ilgtermiņa migrācija GNP ietilpstošo novadu teritorijās lielākoties ir bijusi negatīva, tomēr pēdējos gados ir novērojama pozitīva tendence. </w:t>
      </w:r>
    </w:p>
    <w:p w14:paraId="566C1518" w14:textId="4965F3B0" w:rsidR="00280E63" w:rsidRPr="00675182" w:rsidRDefault="00280E63" w:rsidP="00FC4B89">
      <w:pPr>
        <w:jc w:val="both"/>
        <w:rPr>
          <w:rFonts w:cstheme="minorHAnsi"/>
          <w:szCs w:val="22"/>
          <w:highlight w:val="yellow"/>
          <w:lang w:eastAsia="en-US"/>
        </w:rPr>
      </w:pPr>
    </w:p>
    <w:p w14:paraId="62628FDE" w14:textId="4ECC9045" w:rsidR="00BE1B36" w:rsidRPr="00675182" w:rsidRDefault="00680BEE" w:rsidP="00FC4B89">
      <w:pPr>
        <w:jc w:val="both"/>
        <w:rPr>
          <w:rFonts w:cstheme="minorHAnsi"/>
          <w:szCs w:val="22"/>
          <w:lang w:eastAsia="en-US"/>
        </w:rPr>
      </w:pPr>
      <w:r w:rsidRPr="00675182">
        <w:rPr>
          <w:rFonts w:cstheme="minorHAnsi"/>
          <w:szCs w:val="22"/>
          <w:lang w:eastAsia="en-US"/>
        </w:rPr>
        <w:t xml:space="preserve">GNP teritorijā ietilpstošajos novados ir raksturīga ikdienas vai iknedēļas svārstmigrācija. Visaugstākā ikdienas svārstmigrācija ir saistīta ar Rīgu, kas saistīts ar galvaspilsētas sasniedzamību, t.i., no jebkura punkta GNP teritorijā ir iespējams sasniegt Rīgu divu stundu laikā. Reģiona attīstības centri – Sigulda, Cēsis un Valmiera – </w:t>
      </w:r>
      <w:r w:rsidR="00BE1B36" w:rsidRPr="00675182">
        <w:rPr>
          <w:rFonts w:cstheme="minorHAnsi"/>
          <w:szCs w:val="22"/>
          <w:lang w:eastAsia="en-US"/>
        </w:rPr>
        <w:t xml:space="preserve">atrodas 20 – 40 minūšu sasniedzamības attālumā. </w:t>
      </w:r>
      <w:r w:rsidR="00BE6501" w:rsidRPr="00675182">
        <w:rPr>
          <w:rFonts w:cstheme="minorHAnsi"/>
          <w:szCs w:val="22"/>
          <w:lang w:eastAsia="en-US"/>
        </w:rPr>
        <w:t>Jāmin, ka GNP teritorijā lielākoties 30-40 % no nodarbinātiem strādā savā pašvaldībā</w:t>
      </w:r>
      <w:r w:rsidR="005340B6" w:rsidRPr="00675182">
        <w:rPr>
          <w:rFonts w:cstheme="minorHAnsi"/>
          <w:szCs w:val="22"/>
          <w:lang w:eastAsia="en-US"/>
        </w:rPr>
        <w:t xml:space="preserve">, kā arī lielāks īpatsvars (vairāk nekā 40 %) Lielrīgā strādājošo ir </w:t>
      </w:r>
      <w:r w:rsidR="00BD167E" w:rsidRPr="00675182">
        <w:rPr>
          <w:rFonts w:cstheme="minorHAnsi"/>
          <w:szCs w:val="22"/>
          <w:lang w:eastAsia="en-US"/>
        </w:rPr>
        <w:t xml:space="preserve">Siguldas novada </w:t>
      </w:r>
      <w:r w:rsidR="005340B6" w:rsidRPr="00675182">
        <w:rPr>
          <w:rFonts w:cstheme="minorHAnsi"/>
          <w:szCs w:val="22"/>
          <w:lang w:eastAsia="en-US"/>
        </w:rPr>
        <w:t>Krimuldas</w:t>
      </w:r>
      <w:r w:rsidR="00BD167E" w:rsidRPr="00675182">
        <w:rPr>
          <w:rFonts w:cstheme="minorHAnsi"/>
          <w:szCs w:val="22"/>
          <w:lang w:eastAsia="en-US"/>
        </w:rPr>
        <w:t>, Inčukalna un Siguldas pagastos, kā arī Siguldas pilsētā</w:t>
      </w:r>
      <w:r w:rsidR="005340B6" w:rsidRPr="00675182">
        <w:rPr>
          <w:rFonts w:cstheme="minorHAnsi"/>
          <w:szCs w:val="22"/>
          <w:lang w:eastAsia="en-US"/>
        </w:rPr>
        <w:t xml:space="preserve">, </w:t>
      </w:r>
      <w:r w:rsidR="00BD167E" w:rsidRPr="00675182">
        <w:rPr>
          <w:rFonts w:cstheme="minorHAnsi"/>
          <w:szCs w:val="22"/>
          <w:lang w:eastAsia="en-US"/>
        </w:rPr>
        <w:t xml:space="preserve">kā arī Saulkrastu novada </w:t>
      </w:r>
      <w:r w:rsidR="005340B6" w:rsidRPr="00675182">
        <w:rPr>
          <w:rFonts w:cstheme="minorHAnsi"/>
          <w:szCs w:val="22"/>
          <w:lang w:eastAsia="en-US"/>
        </w:rPr>
        <w:t>Sējas</w:t>
      </w:r>
      <w:r w:rsidR="00BD167E" w:rsidRPr="00675182">
        <w:rPr>
          <w:rFonts w:cstheme="minorHAnsi"/>
          <w:szCs w:val="22"/>
          <w:lang w:eastAsia="en-US"/>
        </w:rPr>
        <w:t xml:space="preserve"> pagastā.</w:t>
      </w:r>
      <w:r w:rsidR="005340B6" w:rsidRPr="00675182">
        <w:rPr>
          <w:rFonts w:cstheme="minorHAnsi"/>
          <w:szCs w:val="22"/>
          <w:lang w:eastAsia="en-US"/>
        </w:rPr>
        <w:t xml:space="preserve"> </w:t>
      </w:r>
    </w:p>
    <w:p w14:paraId="355644BD" w14:textId="7A362112" w:rsidR="00280E63" w:rsidRPr="00675182" w:rsidRDefault="00680BEE" w:rsidP="00FC4B89">
      <w:pPr>
        <w:jc w:val="both"/>
        <w:rPr>
          <w:rFonts w:cstheme="minorHAnsi"/>
          <w:szCs w:val="22"/>
          <w:highlight w:val="yellow"/>
          <w:lang w:eastAsia="en-US"/>
        </w:rPr>
      </w:pPr>
      <w:r w:rsidRPr="00675182">
        <w:rPr>
          <w:rFonts w:cstheme="minorHAnsi"/>
          <w:szCs w:val="22"/>
          <w:highlight w:val="yellow"/>
          <w:lang w:eastAsia="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8311"/>
      </w:tblGrid>
      <w:tr w:rsidR="004478AD" w:rsidRPr="00675182" w14:paraId="5CF66678" w14:textId="77777777" w:rsidTr="00B3711E">
        <w:tc>
          <w:tcPr>
            <w:tcW w:w="8301" w:type="dxa"/>
          </w:tcPr>
          <w:p w14:paraId="2EC8807F" w14:textId="78ED46B0" w:rsidR="004478AD" w:rsidRPr="00675182" w:rsidRDefault="00B3711E" w:rsidP="00FC4B89">
            <w:pPr>
              <w:jc w:val="both"/>
              <w:rPr>
                <w:rFonts w:cstheme="minorHAnsi"/>
                <w:szCs w:val="24"/>
                <w:highlight w:val="yellow"/>
              </w:rPr>
            </w:pPr>
            <w:r w:rsidRPr="00675182">
              <w:rPr>
                <w:noProof/>
              </w:rPr>
              <w:drawing>
                <wp:inline distT="0" distB="0" distL="0" distR="0" wp14:anchorId="41BDC885" wp14:editId="28C27673">
                  <wp:extent cx="5277485" cy="3460750"/>
                  <wp:effectExtent l="0" t="0" r="18415" b="6350"/>
                  <wp:docPr id="217" name="Chart 217">
                    <a:extLst xmlns:a="http://schemas.openxmlformats.org/drawingml/2006/main">
                      <a:ext uri="{FF2B5EF4-FFF2-40B4-BE49-F238E27FC236}">
                        <a16:creationId xmlns:a16="http://schemas.microsoft.com/office/drawing/2014/main" id="{D8646318-27BE-169C-95A6-0129F7E4E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r>
      <w:tr w:rsidR="004478AD" w:rsidRPr="00675182" w14:paraId="0DA3DD9B" w14:textId="77777777" w:rsidTr="00C7072E">
        <w:tblPrEx>
          <w:tblCellMar>
            <w:left w:w="108" w:type="dxa"/>
            <w:right w:w="108" w:type="dxa"/>
          </w:tblCellMar>
        </w:tblPrEx>
        <w:tc>
          <w:tcPr>
            <w:tcW w:w="8301" w:type="dxa"/>
          </w:tcPr>
          <w:p w14:paraId="5D46DDC3" w14:textId="77777777" w:rsidR="004478AD" w:rsidRPr="00675182" w:rsidRDefault="004478AD" w:rsidP="00FC4B89">
            <w:pPr>
              <w:jc w:val="both"/>
              <w:rPr>
                <w:rFonts w:cstheme="minorHAnsi"/>
                <w:b/>
                <w:bCs/>
                <w:i/>
                <w:iCs/>
                <w:szCs w:val="24"/>
              </w:rPr>
            </w:pPr>
            <w:r w:rsidRPr="00675182">
              <w:rPr>
                <w:rFonts w:cstheme="minorHAnsi"/>
                <w:b/>
                <w:bCs/>
                <w:i/>
                <w:iCs/>
                <w:szCs w:val="24"/>
              </w:rPr>
              <w:t>1.</w:t>
            </w:r>
            <w:r w:rsidR="008A0F48" w:rsidRPr="00675182">
              <w:rPr>
                <w:rFonts w:cstheme="minorHAnsi"/>
                <w:b/>
                <w:bCs/>
                <w:i/>
                <w:iCs/>
                <w:szCs w:val="24"/>
              </w:rPr>
              <w:t>3</w:t>
            </w:r>
            <w:r w:rsidRPr="00675182">
              <w:rPr>
                <w:rFonts w:cstheme="minorHAnsi"/>
                <w:b/>
                <w:bCs/>
                <w:i/>
                <w:iCs/>
                <w:szCs w:val="24"/>
              </w:rPr>
              <w:t>.</w:t>
            </w:r>
            <w:r w:rsidR="008274C1" w:rsidRPr="00675182">
              <w:rPr>
                <w:rFonts w:cstheme="minorHAnsi"/>
                <w:b/>
                <w:bCs/>
                <w:i/>
                <w:iCs/>
                <w:szCs w:val="24"/>
              </w:rPr>
              <w:t>1</w:t>
            </w:r>
            <w:r w:rsidRPr="00675182">
              <w:rPr>
                <w:rFonts w:cstheme="minorHAnsi"/>
                <w:b/>
                <w:bCs/>
                <w:i/>
                <w:iCs/>
                <w:szCs w:val="24"/>
              </w:rPr>
              <w:t xml:space="preserve">. attēls. Iedzīvotāju skaita izmaiņas </w:t>
            </w:r>
          </w:p>
          <w:p w14:paraId="73C5FDBB" w14:textId="334CDE18" w:rsidR="0076288C" w:rsidRPr="00675182" w:rsidRDefault="008274C1" w:rsidP="002F2568">
            <w:pPr>
              <w:jc w:val="both"/>
              <w:rPr>
                <w:rFonts w:cstheme="minorHAnsi"/>
                <w:szCs w:val="24"/>
              </w:rPr>
            </w:pPr>
            <w:r w:rsidRPr="00675182">
              <w:rPr>
                <w:rFonts w:cstheme="minorHAnsi"/>
                <w:sz w:val="20"/>
              </w:rPr>
              <w:t xml:space="preserve">Datu avots: </w:t>
            </w:r>
            <w:r w:rsidR="00AC42CC" w:rsidRPr="00675182">
              <w:rPr>
                <w:rFonts w:cstheme="minorHAnsi"/>
                <w:sz w:val="20"/>
              </w:rPr>
              <w:t>C</w:t>
            </w:r>
            <w:r w:rsidR="00AC42CC">
              <w:rPr>
                <w:rFonts w:cstheme="minorHAnsi"/>
                <w:sz w:val="20"/>
              </w:rPr>
              <w:t>entrālā statistikas pārvalde</w:t>
            </w:r>
            <w:r w:rsidRPr="00675182">
              <w:rPr>
                <w:rFonts w:cstheme="minorHAnsi"/>
                <w:sz w:val="20"/>
              </w:rPr>
              <w:t>, 202</w:t>
            </w:r>
            <w:r w:rsidR="00B3711E" w:rsidRPr="00675182">
              <w:rPr>
                <w:rFonts w:cstheme="minorHAnsi"/>
                <w:sz w:val="20"/>
              </w:rPr>
              <w:t>2</w:t>
            </w:r>
          </w:p>
        </w:tc>
      </w:tr>
    </w:tbl>
    <w:p w14:paraId="17178D32" w14:textId="77777777" w:rsidR="004478AD" w:rsidRPr="00675182" w:rsidRDefault="004478AD" w:rsidP="00FC4B89">
      <w:pPr>
        <w:jc w:val="both"/>
        <w:rPr>
          <w:rFonts w:cstheme="minorHAnsi"/>
          <w:szCs w:val="24"/>
        </w:rPr>
      </w:pPr>
    </w:p>
    <w:p w14:paraId="360CCD4B" w14:textId="03DE145C" w:rsidR="00177281" w:rsidRPr="00675182" w:rsidRDefault="00177281" w:rsidP="002B3341">
      <w:pPr>
        <w:jc w:val="both"/>
        <w:rPr>
          <w:rFonts w:cstheme="minorHAnsi"/>
        </w:rPr>
      </w:pPr>
      <w:r w:rsidRPr="00675182">
        <w:rPr>
          <w:rFonts w:cstheme="minorHAnsi"/>
        </w:rPr>
        <w:t xml:space="preserve">2020. gada </w:t>
      </w:r>
      <w:r w:rsidR="00BE6501" w:rsidRPr="00675182">
        <w:rPr>
          <w:rFonts w:cstheme="minorHAnsi"/>
        </w:rPr>
        <w:t>janvārī</w:t>
      </w:r>
      <w:r w:rsidRPr="00675182">
        <w:rPr>
          <w:rFonts w:cstheme="minorHAnsi"/>
        </w:rPr>
        <w:t xml:space="preserve"> bezdarba līmenis GNP teritorijā ietilpstošajos novados ir bijis robežās no 3,2 līdz 5,0 %, kas</w:t>
      </w:r>
      <w:r w:rsidRPr="00675182">
        <w:rPr>
          <w:rFonts w:cstheme="minorHAnsi"/>
          <w:szCs w:val="22"/>
          <w:lang w:eastAsia="en-US"/>
        </w:rPr>
        <w:t xml:space="preserve"> </w:t>
      </w:r>
      <w:r w:rsidR="00BE6501" w:rsidRPr="00675182">
        <w:rPr>
          <w:rFonts w:cstheme="minorHAnsi"/>
          <w:szCs w:val="22"/>
          <w:lang w:eastAsia="en-US"/>
        </w:rPr>
        <w:t>bija</w:t>
      </w:r>
      <w:r w:rsidRPr="00675182">
        <w:rPr>
          <w:rFonts w:cstheme="minorHAnsi"/>
          <w:szCs w:val="22"/>
          <w:lang w:eastAsia="en-US"/>
        </w:rPr>
        <w:t xml:space="preserve"> zemāk nekā vidēji Latvijā (6,6 %)</w:t>
      </w:r>
      <w:r w:rsidR="00BE6501" w:rsidRPr="00675182">
        <w:rPr>
          <w:rFonts w:cstheme="minorHAnsi"/>
        </w:rPr>
        <w:t xml:space="preserve">. Salīdzinot ar 2017. gadu, bezdarba līmenis ir samazinājies par aptuveni 2 %. 2020. gadā Covid-19 infekcijas ietekmē ir paredzams bezdarba līmeņa pieaugums visā Latvijas teritorijas, t.sk., GNP teritorijā. </w:t>
      </w:r>
    </w:p>
    <w:p w14:paraId="4123DD3A" w14:textId="6B04E688" w:rsidR="00177281" w:rsidRPr="00675182" w:rsidRDefault="00177281" w:rsidP="002B3341">
      <w:pPr>
        <w:jc w:val="both"/>
        <w:rPr>
          <w:rFonts w:cstheme="minorHAnsi"/>
        </w:rPr>
        <w:sectPr w:rsidR="00177281" w:rsidRPr="00675182" w:rsidSect="00CD74B1">
          <w:headerReference w:type="default" r:id="rId56"/>
          <w:pgSz w:w="11905" w:h="16837"/>
          <w:pgMar w:top="1440" w:right="1797" w:bottom="1440" w:left="1797" w:header="720"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7"/>
      </w:tblGrid>
      <w:tr w:rsidR="009E547F" w:rsidRPr="00675182" w14:paraId="435645D0" w14:textId="77777777" w:rsidTr="001E00DE">
        <w:tc>
          <w:tcPr>
            <w:tcW w:w="5000" w:type="pct"/>
          </w:tcPr>
          <w:p w14:paraId="38D44B37" w14:textId="6550E57C" w:rsidR="009E547F" w:rsidRPr="00675182" w:rsidRDefault="001C52C2" w:rsidP="00C25F16">
            <w:pPr>
              <w:jc w:val="center"/>
              <w:rPr>
                <w:rFonts w:cstheme="minorHAnsi"/>
              </w:rPr>
            </w:pPr>
            <w:r w:rsidRPr="00675182">
              <w:rPr>
                <w:noProof/>
              </w:rPr>
              <w:lastRenderedPageBreak/>
              <w:drawing>
                <wp:inline distT="0" distB="0" distL="0" distR="0" wp14:anchorId="04689FC7" wp14:editId="219C5BE5">
                  <wp:extent cx="6969250" cy="4932000"/>
                  <wp:effectExtent l="0" t="0" r="3175" b="254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969250" cy="4932000"/>
                          </a:xfrm>
                          <a:prstGeom prst="rect">
                            <a:avLst/>
                          </a:prstGeom>
                          <a:noFill/>
                          <a:ln>
                            <a:noFill/>
                          </a:ln>
                        </pic:spPr>
                      </pic:pic>
                    </a:graphicData>
                  </a:graphic>
                </wp:inline>
              </w:drawing>
            </w:r>
          </w:p>
        </w:tc>
      </w:tr>
      <w:tr w:rsidR="009E547F" w:rsidRPr="00675182" w14:paraId="0AF5DC94" w14:textId="77777777" w:rsidTr="001E00DE">
        <w:tc>
          <w:tcPr>
            <w:tcW w:w="5000" w:type="pct"/>
          </w:tcPr>
          <w:p w14:paraId="1E7DE877" w14:textId="35DF77CD" w:rsidR="009E547F" w:rsidRPr="00675182" w:rsidRDefault="00202A34" w:rsidP="002B3341">
            <w:pPr>
              <w:jc w:val="both"/>
              <w:rPr>
                <w:rFonts w:cstheme="minorHAnsi"/>
                <w:b/>
                <w:bCs/>
                <w:i/>
                <w:iCs/>
              </w:rPr>
            </w:pPr>
            <w:r w:rsidRPr="00675182">
              <w:rPr>
                <w:rFonts w:cstheme="minorHAnsi"/>
                <w:b/>
                <w:bCs/>
                <w:i/>
                <w:iCs/>
              </w:rPr>
              <w:t>1.</w:t>
            </w:r>
            <w:r w:rsidR="008A0F48" w:rsidRPr="00675182">
              <w:rPr>
                <w:rFonts w:cstheme="minorHAnsi"/>
                <w:b/>
                <w:bCs/>
                <w:i/>
                <w:iCs/>
              </w:rPr>
              <w:t>3</w:t>
            </w:r>
            <w:r w:rsidRPr="00675182">
              <w:rPr>
                <w:rFonts w:cstheme="minorHAnsi"/>
                <w:b/>
                <w:bCs/>
                <w:i/>
                <w:iCs/>
              </w:rPr>
              <w:t>.</w:t>
            </w:r>
            <w:r w:rsidR="00BD167E" w:rsidRPr="00675182">
              <w:rPr>
                <w:rFonts w:cstheme="minorHAnsi"/>
                <w:b/>
                <w:bCs/>
                <w:i/>
                <w:iCs/>
              </w:rPr>
              <w:t>1</w:t>
            </w:r>
            <w:r w:rsidR="00C25F16" w:rsidRPr="00675182">
              <w:rPr>
                <w:rFonts w:cstheme="minorHAnsi"/>
                <w:b/>
                <w:bCs/>
                <w:i/>
                <w:iCs/>
              </w:rPr>
              <w:t>.</w:t>
            </w:r>
            <w:r w:rsidRPr="00675182">
              <w:rPr>
                <w:rFonts w:cstheme="minorHAnsi"/>
                <w:b/>
                <w:bCs/>
                <w:i/>
                <w:iCs/>
              </w:rPr>
              <w:t xml:space="preserve"> attēls. Iedzīvotāju blīvums un apdzīvotu vietu izvietojums GNP teritorijā</w:t>
            </w:r>
            <w:r w:rsidR="00545F4C" w:rsidRPr="00675182">
              <w:rPr>
                <w:rFonts w:cstheme="minorHAnsi"/>
                <w:b/>
                <w:bCs/>
                <w:i/>
                <w:iCs/>
              </w:rPr>
              <w:t xml:space="preserve"> </w:t>
            </w:r>
          </w:p>
          <w:p w14:paraId="5FC10551" w14:textId="26F101EE" w:rsidR="0076288C" w:rsidRPr="00675182" w:rsidRDefault="00C25F16" w:rsidP="002F2568">
            <w:pPr>
              <w:jc w:val="both"/>
              <w:rPr>
                <w:rFonts w:cstheme="minorHAnsi"/>
                <w:i/>
                <w:iCs/>
              </w:rPr>
            </w:pPr>
            <w:r w:rsidRPr="00675182">
              <w:rPr>
                <w:rFonts w:cstheme="minorHAnsi"/>
                <w:i/>
                <w:iCs/>
                <w:sz w:val="20"/>
                <w:szCs w:val="16"/>
              </w:rPr>
              <w:t xml:space="preserve">Datu avots: </w:t>
            </w:r>
            <w:r w:rsidR="002B28A5" w:rsidRPr="00675182">
              <w:rPr>
                <w:rFonts w:cstheme="minorHAnsi"/>
                <w:i/>
                <w:iCs/>
                <w:sz w:val="20"/>
                <w:szCs w:val="16"/>
              </w:rPr>
              <w:t>C</w:t>
            </w:r>
            <w:r w:rsidR="002B28A5">
              <w:rPr>
                <w:rFonts w:cstheme="minorHAnsi"/>
                <w:i/>
                <w:iCs/>
                <w:sz w:val="20"/>
                <w:szCs w:val="16"/>
              </w:rPr>
              <w:t>entrālā statistikas pārvalde</w:t>
            </w:r>
            <w:r w:rsidRPr="00675182">
              <w:rPr>
                <w:rFonts w:cstheme="minorHAnsi"/>
                <w:i/>
                <w:iCs/>
                <w:sz w:val="20"/>
                <w:szCs w:val="16"/>
              </w:rPr>
              <w:t>,</w:t>
            </w:r>
            <w:r w:rsidR="0076288C" w:rsidRPr="00675182">
              <w:rPr>
                <w:rFonts w:cstheme="minorHAnsi"/>
                <w:i/>
                <w:iCs/>
                <w:sz w:val="20"/>
                <w:szCs w:val="16"/>
              </w:rPr>
              <w:t xml:space="preserve"> </w:t>
            </w:r>
            <w:r w:rsidRPr="00675182">
              <w:rPr>
                <w:rFonts w:cstheme="minorHAnsi"/>
                <w:i/>
                <w:iCs/>
                <w:sz w:val="20"/>
                <w:szCs w:val="16"/>
              </w:rPr>
              <w:t>202</w:t>
            </w:r>
            <w:r w:rsidR="001C52C2" w:rsidRPr="00675182">
              <w:rPr>
                <w:rFonts w:cstheme="minorHAnsi"/>
                <w:i/>
                <w:iCs/>
                <w:sz w:val="20"/>
                <w:szCs w:val="16"/>
              </w:rPr>
              <w:t>2</w:t>
            </w:r>
          </w:p>
        </w:tc>
      </w:tr>
    </w:tbl>
    <w:p w14:paraId="2823940F" w14:textId="77777777" w:rsidR="00503C2E" w:rsidRPr="00675182" w:rsidRDefault="00503C2E" w:rsidP="002B3341">
      <w:pPr>
        <w:jc w:val="both"/>
        <w:rPr>
          <w:rFonts w:cstheme="minorHAnsi"/>
        </w:rPr>
        <w:sectPr w:rsidR="00503C2E" w:rsidRPr="00675182" w:rsidSect="00FF7DA5">
          <w:headerReference w:type="default" r:id="rId58"/>
          <w:pgSz w:w="16837" w:h="11905" w:orient="landscape"/>
          <w:pgMar w:top="1797" w:right="1440" w:bottom="1797" w:left="1440" w:header="720" w:footer="720" w:gutter="0"/>
          <w:cols w:space="720"/>
          <w:docGrid w:linePitch="360"/>
        </w:sectPr>
      </w:pPr>
    </w:p>
    <w:p w14:paraId="2D4DB833" w14:textId="77777777" w:rsidR="00BE37FF" w:rsidRPr="00675182" w:rsidRDefault="00BE37FF" w:rsidP="002B3341">
      <w:pPr>
        <w:rPr>
          <w:rFonts w:cstheme="minorHAnsi"/>
        </w:rPr>
      </w:pPr>
    </w:p>
    <w:p w14:paraId="19A04EF3" w14:textId="5A73833A" w:rsidR="00011E51" w:rsidRPr="00675182" w:rsidRDefault="00011E51" w:rsidP="002B3341">
      <w:pPr>
        <w:pStyle w:val="Heading3"/>
        <w:keepNext w:val="0"/>
        <w:numPr>
          <w:ilvl w:val="0"/>
          <w:numId w:val="0"/>
        </w:numPr>
        <w:rPr>
          <w:rFonts w:cstheme="minorHAnsi"/>
          <w:b/>
          <w:lang w:val="lv-LV"/>
        </w:rPr>
      </w:pPr>
      <w:bookmarkStart w:id="26" w:name="_Toc116938394"/>
      <w:r w:rsidRPr="00675182">
        <w:rPr>
          <w:rFonts w:cstheme="minorHAnsi"/>
          <w:b/>
          <w:lang w:val="lv-LV"/>
        </w:rPr>
        <w:t>1.</w:t>
      </w:r>
      <w:r w:rsidR="008A0F48" w:rsidRPr="00675182">
        <w:rPr>
          <w:rFonts w:cstheme="minorHAnsi"/>
          <w:b/>
          <w:lang w:val="lv-LV"/>
        </w:rPr>
        <w:t>3</w:t>
      </w:r>
      <w:r w:rsidRPr="00675182">
        <w:rPr>
          <w:rFonts w:cstheme="minorHAnsi"/>
          <w:b/>
          <w:lang w:val="lv-LV"/>
        </w:rPr>
        <w:t>.2. Pašreizējā un paredzamā antropogēnā slodze uz aizsargājamo teritoriju</w:t>
      </w:r>
      <w:bookmarkEnd w:id="26"/>
    </w:p>
    <w:p w14:paraId="360192A0" w14:textId="7BA18A4F" w:rsidR="00EE728B" w:rsidRPr="00675182" w:rsidRDefault="00EE728B" w:rsidP="002B3341">
      <w:pPr>
        <w:rPr>
          <w:rFonts w:cstheme="minorHAnsi"/>
        </w:rPr>
      </w:pPr>
    </w:p>
    <w:p w14:paraId="7F43FA52" w14:textId="1D973413" w:rsidR="00311BBE" w:rsidRPr="00675182" w:rsidRDefault="00311BBE" w:rsidP="00A2611F">
      <w:pPr>
        <w:jc w:val="both"/>
        <w:rPr>
          <w:rFonts w:cstheme="minorHAnsi"/>
        </w:rPr>
      </w:pPr>
      <w:r w:rsidRPr="00675182">
        <w:rPr>
          <w:rFonts w:cstheme="minorHAnsi"/>
        </w:rPr>
        <w:t xml:space="preserve">Pārskats par apdraudējumiem, slodzēm un darbībām, kas ietekmē teritoriju apkopots </w:t>
      </w:r>
      <w:r w:rsidR="00CF6E71" w:rsidRPr="00675182">
        <w:rPr>
          <w:rFonts w:cstheme="minorHAnsi"/>
        </w:rPr>
        <w:t>2</w:t>
      </w:r>
      <w:r w:rsidRPr="00675182">
        <w:rPr>
          <w:rFonts w:cstheme="minorHAnsi"/>
        </w:rPr>
        <w:t>.</w:t>
      </w:r>
      <w:r w:rsidR="00CF6E71" w:rsidRPr="00675182">
        <w:rPr>
          <w:rFonts w:cstheme="minorHAnsi"/>
        </w:rPr>
        <w:t>2</w:t>
      </w:r>
      <w:r w:rsidRPr="00675182">
        <w:rPr>
          <w:rFonts w:cstheme="minorHAnsi"/>
        </w:rPr>
        <w:t xml:space="preserve">. tabulā, kur iekļautā informācija sagatavota atbilstoši ietekmju un </w:t>
      </w:r>
      <w:r w:rsidR="00A2611F" w:rsidRPr="00675182">
        <w:rPr>
          <w:rFonts w:cstheme="minorHAnsi"/>
        </w:rPr>
        <w:t>a</w:t>
      </w:r>
      <w:r w:rsidR="00DC721C" w:rsidRPr="00675182">
        <w:rPr>
          <w:rFonts w:cstheme="minorHAnsi"/>
        </w:rPr>
        <w:t>p</w:t>
      </w:r>
      <w:r w:rsidRPr="00675182">
        <w:rPr>
          <w:rFonts w:cstheme="minorHAnsi"/>
        </w:rPr>
        <w:t>draudējumu sarakstam, kas tiek izmantots, sagatavojot ziņojumu Eiropas Komisijai par Natura 2000 teritorijām (skat. http://cdr.eionet.europa.eu/help/natura2000 12. sadaļu).</w:t>
      </w:r>
    </w:p>
    <w:p w14:paraId="1490FBCD" w14:textId="77777777" w:rsidR="00311BBE" w:rsidRPr="00675182" w:rsidRDefault="00311BBE" w:rsidP="002B3341">
      <w:pPr>
        <w:rPr>
          <w:rFonts w:cstheme="minorHAnsi"/>
        </w:rPr>
      </w:pPr>
    </w:p>
    <w:p w14:paraId="01BE944C" w14:textId="3190CF28" w:rsidR="002747F3" w:rsidRPr="00675182" w:rsidRDefault="002747F3" w:rsidP="002747F3">
      <w:pPr>
        <w:pStyle w:val="Heading4"/>
        <w:rPr>
          <w:rFonts w:asciiTheme="minorHAnsi" w:hAnsiTheme="minorHAnsi" w:cstheme="minorHAnsi"/>
        </w:rPr>
      </w:pPr>
      <w:r w:rsidRPr="00675182">
        <w:rPr>
          <w:rFonts w:asciiTheme="minorHAnsi" w:hAnsiTheme="minorHAnsi" w:cstheme="minorHAnsi"/>
        </w:rPr>
        <w:t>1.</w:t>
      </w:r>
      <w:r w:rsidR="008A0F48" w:rsidRPr="00675182">
        <w:rPr>
          <w:rFonts w:asciiTheme="minorHAnsi" w:hAnsiTheme="minorHAnsi" w:cstheme="minorHAnsi"/>
        </w:rPr>
        <w:t>3</w:t>
      </w:r>
      <w:r w:rsidRPr="00675182">
        <w:rPr>
          <w:rFonts w:asciiTheme="minorHAnsi" w:hAnsiTheme="minorHAnsi" w:cstheme="minorHAnsi"/>
        </w:rPr>
        <w:t xml:space="preserve">.2.1. Teritorijas apmeklētāju radītā slodze </w:t>
      </w:r>
    </w:p>
    <w:p w14:paraId="3D8A4584" w14:textId="77777777" w:rsidR="002747F3" w:rsidRPr="00675182" w:rsidRDefault="002747F3" w:rsidP="002B3341">
      <w:pPr>
        <w:rPr>
          <w:rFonts w:cstheme="minorHAnsi"/>
        </w:rPr>
      </w:pPr>
    </w:p>
    <w:p w14:paraId="115D616D" w14:textId="301AE093" w:rsidR="008503B6" w:rsidRPr="00675182" w:rsidRDefault="008503B6" w:rsidP="008503B6">
      <w:pPr>
        <w:jc w:val="both"/>
        <w:rPr>
          <w:rFonts w:cstheme="minorHAnsi"/>
          <w:shd w:val="clear" w:color="auto" w:fill="FFFFFF"/>
        </w:rPr>
      </w:pPr>
      <w:r w:rsidRPr="00675182">
        <w:rPr>
          <w:rFonts w:cstheme="minorHAnsi"/>
          <w:shd w:val="clear" w:color="auto" w:fill="FFFFFF"/>
        </w:rPr>
        <w:t>Lai arī GNP ir starp tūristu, viendienas ceļotāju un vietējo atpūtnieku iecienītākajiem galamērķiem, līdz šim ir bijis maz visaptverošu pētījumu par apmeklētāju plūsmu un tās ietekmi uz vidi, antropogēno slodzi. Papildu tūrismam un ceļošanai</w:t>
      </w:r>
      <w:r w:rsidR="00477BA6" w:rsidRPr="00675182">
        <w:rPr>
          <w:rFonts w:cstheme="minorHAnsi"/>
          <w:shd w:val="clear" w:color="auto" w:fill="FFFFFF"/>
        </w:rPr>
        <w:t>, plūsmu veido</w:t>
      </w:r>
      <w:r w:rsidRPr="00675182">
        <w:rPr>
          <w:rFonts w:cstheme="minorHAnsi"/>
          <w:shd w:val="clear" w:color="auto" w:fill="FFFFFF"/>
        </w:rPr>
        <w:t xml:space="preserve"> arī ikdienas transportlīdzekļu tranzītplūsma un vietējo iedzīvotāju rekreācija GNP āra vidē. Detalizētāk apmeklējuma plūsmu veido ārvalstu un vietējie tūristi, vietējie (vai Igaunijas) viendienas ceļotāji un atpūtnieki no tuvākās apkārtnes, vietējo iedzīvotāju ikdienas pārvietošanās nacionālajā parkā (ar nolūku atpūsties, apmeklēt publisku pasākumu, ciemoties pie radiem, draugiem vai paziņām, pārvietojoties ikdienā u.c.). Kopumā tie rada antropogēno slodzi, ko būtiski ietekmē apmeklējumu skaits, taču arī intensitāte, regularitāte, sezona, atpūtas veids, pārvietošanās veids u.c. Piemēram, motorizēto līdzekļu braukšana, bezceļu motorizēto līdzekļu braukšana, plaša infrastruktūras labiekārtošana, degradējot vidi atpūtas un izklaides nolūkiem, rada daudz lielāku traucējumu, nekā uz atbildīgu dabas izzināšanu vērsti tūrisma veidi. Vienlaikus, ENOS pētījumā par āra vides sporta veidu ietekmi uz aizsargājamām dabas teritorijām minēta arī pozitīvā ietekme: dabas un vides vērtību atzīšana, regulāra vajadzība pēc dabas, tās devums veselībai un dzīves kvalitātei, socializēšanās u.c.</w:t>
      </w:r>
    </w:p>
    <w:p w14:paraId="466F4433" w14:textId="77777777" w:rsidR="008503B6" w:rsidRPr="00675182" w:rsidRDefault="008503B6" w:rsidP="008503B6">
      <w:pPr>
        <w:jc w:val="both"/>
        <w:rPr>
          <w:rFonts w:cstheme="minorHAnsi"/>
          <w:shd w:val="clear" w:color="auto" w:fill="FFFFFF"/>
        </w:rPr>
      </w:pPr>
    </w:p>
    <w:p w14:paraId="35983BCF" w14:textId="415EB9E7" w:rsidR="008503B6" w:rsidRPr="00675182" w:rsidRDefault="008503B6" w:rsidP="008503B6">
      <w:pPr>
        <w:jc w:val="both"/>
        <w:rPr>
          <w:rFonts w:cstheme="minorHAnsi"/>
          <w:shd w:val="clear" w:color="auto" w:fill="FFFFFF"/>
        </w:rPr>
      </w:pPr>
      <w:r w:rsidRPr="00675182">
        <w:rPr>
          <w:rFonts w:cstheme="minorHAnsi"/>
          <w:shd w:val="clear" w:color="auto" w:fill="FFFFFF"/>
        </w:rPr>
        <w:t>2005. gadā Jura Smaļinska veiktajā pētījumā “Tūrisma ietekme uz vidi un t</w:t>
      </w:r>
      <w:r w:rsidR="00477BA6" w:rsidRPr="00675182">
        <w:rPr>
          <w:rFonts w:cstheme="minorHAnsi"/>
          <w:shd w:val="clear" w:color="auto" w:fill="FFFFFF"/>
        </w:rPr>
        <w:t>ās</w:t>
      </w:r>
      <w:r w:rsidRPr="00675182">
        <w:rPr>
          <w:rFonts w:cstheme="minorHAnsi"/>
          <w:shd w:val="clear" w:color="auto" w:fill="FFFFFF"/>
        </w:rPr>
        <w:t xml:space="preserve"> analīze Gaujas nacionālā parka tūristu apmetnēs” ar mērķi noskaidrot ūdenstūrisma radītās ietekmes tūristu apmetnēs, tika secināts, ka GNP tūristu apmetnēs un to apkārtnē pastāv vismaz 46 dažādi tūrisma ietekmju veidi. Pētījuma laikā tika izstrādāta praktiski pielietojama ilgtermiņa metodika un priekšlikumi ilgtspējīgai tūrisma attīstībai. Dokumentā iekļauts GNP nākotnes attīstības redzējums (ar akcentu uz Gauju) tūrisma kontekstā.</w:t>
      </w:r>
    </w:p>
    <w:p w14:paraId="2C3B4187" w14:textId="77777777" w:rsidR="008503B6" w:rsidRPr="00675182" w:rsidRDefault="008503B6" w:rsidP="008503B6">
      <w:pPr>
        <w:jc w:val="both"/>
        <w:rPr>
          <w:rFonts w:cstheme="minorHAnsi"/>
          <w:shd w:val="clear" w:color="auto" w:fill="FFFFFF"/>
        </w:rPr>
      </w:pPr>
    </w:p>
    <w:p w14:paraId="784D9CE6" w14:textId="77777777" w:rsidR="008503B6" w:rsidRPr="00675182" w:rsidRDefault="008503B6" w:rsidP="008503B6">
      <w:pPr>
        <w:jc w:val="both"/>
        <w:rPr>
          <w:rFonts w:cstheme="minorHAnsi"/>
          <w:shd w:val="clear" w:color="auto" w:fill="FFFFFF"/>
        </w:rPr>
      </w:pPr>
      <w:r w:rsidRPr="00675182">
        <w:rPr>
          <w:rFonts w:cstheme="minorHAnsi"/>
          <w:shd w:val="clear" w:color="auto" w:fill="FFFFFF"/>
        </w:rPr>
        <w:t>Slodzi rada apmeklētāju plūsma, turklāt ietekme dažādās sezonās atšķiras. Lai iegūtu informāciju par dabas taku un dabas objektu apmeklētību GNP teritorijā, mērķtiecīgi tika izvietoti apmeklētāju plūsmas automātiskie skaitītāji (skat. 1.3.6. attēlu). Tika apkopoti un strukturēti vēsturiskie un aktuālie pieejamie dati par vietu un objektu apmeklētību, biļešu pārdošanu, tūristu mītņu noslodzi, autoceļu noslodzi u.tml. Metodiskā pieeja, izmantojot stacionāros skaitītājus (vai precīzus datus par ieejas biļetēm attiecīgā gada ietvaros) un pārvietojamos skaitītājus, kas tiek izvietoti uz īsāku laiku dažādos objektos, novērtējot apmeklētību vismaz vienas nedēļas garumā, rada iespēju iegūtos datus vispārināt un veikt aprēķinus arī par citām līdzīgām vietām, gan apmeklētību gada ietvaros.</w:t>
      </w:r>
    </w:p>
    <w:p w14:paraId="548920FC" w14:textId="77777777" w:rsidR="008503B6" w:rsidRPr="00675182" w:rsidRDefault="008503B6" w:rsidP="008503B6">
      <w:pPr>
        <w:jc w:val="both"/>
        <w:rPr>
          <w:rFonts w:cstheme="minorHAnsi"/>
          <w:shd w:val="clear" w:color="auto" w:fill="FFFFFF"/>
        </w:rPr>
      </w:pPr>
    </w:p>
    <w:p w14:paraId="2BC34016" w14:textId="1435BAAC" w:rsidR="008503B6" w:rsidRPr="00675182" w:rsidRDefault="008503B6" w:rsidP="008503B6">
      <w:pPr>
        <w:jc w:val="both"/>
        <w:rPr>
          <w:rFonts w:cstheme="minorHAnsi"/>
          <w:shd w:val="clear" w:color="auto" w:fill="FFFFFF"/>
        </w:rPr>
      </w:pPr>
      <w:r w:rsidRPr="00675182">
        <w:rPr>
          <w:rFonts w:cstheme="minorHAnsi"/>
          <w:shd w:val="clear" w:color="auto" w:fill="FFFFFF"/>
        </w:rPr>
        <w:t>Par GNP teritorijas apmeklējumu pārsvarā ir fragmentāra informācija. Literatūrā minēts, ka 1989. gadā Gūtmaņalu apmeklē 1,5 miljoni ekskursantu, kas tolaik bija visvairāk apmeklētā ala Padomju Savienībā (Kuršs u.c., 1989). Kopš 20. gs. 90. gadiem apkopoti tūrisma informācijas centru (TIC) vai atsevišķu tūrisma pakalpojumu sniedzēju sniegtie dati, arī GNP administrācijas vērtējumi. GNP apmeklētība kopumā pārsvarā bijusi nenovērtēta – acīmredzami trūcis gan resursu, gan tehnoloģisko iespēju, gan metodoloģijas zināšanu, lai to izdarītu. Uzdevumu sarežģī tūristu, viendienas ceļotāju un vietējo atpūtnieku segmentēšana. Slodzes uz dabas daudzveidību kontekstā svarīgs ir apmeklējums kā pamata vienība, tāpēc to nevar attiecināt tikai uz tūristiem, bet gan atpūtniekiem visplašākajā nozīmē.</w:t>
      </w:r>
    </w:p>
    <w:p w14:paraId="6C470DE8" w14:textId="77777777" w:rsidR="008503B6" w:rsidRPr="00675182" w:rsidRDefault="008503B6" w:rsidP="008503B6">
      <w:pPr>
        <w:jc w:val="both"/>
        <w:rPr>
          <w:rFonts w:cstheme="minorHAnsi"/>
          <w:shd w:val="clear" w:color="auto" w:fill="FFFFFF"/>
        </w:rPr>
      </w:pPr>
    </w:p>
    <w:p w14:paraId="647D5928" w14:textId="7CED6AAC" w:rsidR="00611541" w:rsidRPr="00675182" w:rsidRDefault="008503B6" w:rsidP="008503B6">
      <w:pPr>
        <w:jc w:val="both"/>
        <w:rPr>
          <w:rFonts w:cstheme="minorHAnsi"/>
          <w:shd w:val="clear" w:color="auto" w:fill="FFFFFF"/>
        </w:rPr>
      </w:pPr>
      <w:r w:rsidRPr="00675182">
        <w:rPr>
          <w:rFonts w:cstheme="minorHAnsi"/>
          <w:shd w:val="clear" w:color="auto" w:fill="FFFFFF"/>
        </w:rPr>
        <w:t>Piemēram, pētnieces Ilutas Bērziņas veiktajā apkopojumā (2012) par GNP apmeklētību (atsaucoties uz GNP administrācijas vai DAP gada pārskatos iekļauto informāciju), minēti šādi skaitļi (skat. 1.3.1. tabulu):</w:t>
      </w:r>
    </w:p>
    <w:p w14:paraId="3B22502E" w14:textId="77777777" w:rsidR="008503B6" w:rsidRPr="00675182" w:rsidRDefault="008503B6" w:rsidP="008503B6">
      <w:pPr>
        <w:jc w:val="both"/>
        <w:rPr>
          <w:rFonts w:cstheme="minorHAnsi"/>
          <w:shd w:val="clear" w:color="auto" w:fill="FFFFFF"/>
        </w:rPr>
      </w:pPr>
    </w:p>
    <w:p w14:paraId="0F034668" w14:textId="2AFC84F7" w:rsidR="00391323" w:rsidRPr="00675182" w:rsidRDefault="00391323" w:rsidP="00391323">
      <w:pPr>
        <w:jc w:val="both"/>
        <w:rPr>
          <w:rFonts w:cstheme="minorHAnsi"/>
          <w:b/>
          <w:bCs/>
          <w:i/>
          <w:iCs/>
          <w:shd w:val="clear" w:color="auto" w:fill="FFFFFF"/>
        </w:rPr>
      </w:pPr>
      <w:r w:rsidRPr="00675182">
        <w:rPr>
          <w:rFonts w:cstheme="minorHAnsi"/>
          <w:b/>
          <w:bCs/>
          <w:i/>
          <w:iCs/>
          <w:shd w:val="clear" w:color="auto" w:fill="FFFFFF"/>
        </w:rPr>
        <w:t xml:space="preserve">1.3.1. tabula. GNP apmeklētības skaita vērtējums </w:t>
      </w:r>
      <w:r w:rsidR="008C5536" w:rsidRPr="00675182">
        <w:rPr>
          <w:rFonts w:cstheme="minorHAnsi"/>
          <w:b/>
          <w:bCs/>
          <w:i/>
          <w:iCs/>
          <w:shd w:val="clear" w:color="auto" w:fill="FFFFFF"/>
        </w:rPr>
        <w:t>(I</w:t>
      </w:r>
      <w:r w:rsidR="008617B3">
        <w:rPr>
          <w:rFonts w:cstheme="minorHAnsi"/>
          <w:b/>
          <w:bCs/>
          <w:i/>
          <w:iCs/>
          <w:shd w:val="clear" w:color="auto" w:fill="FFFFFF"/>
        </w:rPr>
        <w:t>.</w:t>
      </w:r>
      <w:r w:rsidR="008C5536" w:rsidRPr="00675182">
        <w:rPr>
          <w:rFonts w:cstheme="minorHAnsi"/>
          <w:b/>
          <w:bCs/>
          <w:i/>
          <w:iCs/>
          <w:shd w:val="clear" w:color="auto" w:fill="FFFFFF"/>
        </w:rPr>
        <w:t xml:space="preserve"> Bērziņa, 2012)</w:t>
      </w:r>
    </w:p>
    <w:tbl>
      <w:tblPr>
        <w:tblStyle w:val="TableGrid"/>
        <w:tblW w:w="5000" w:type="pct"/>
        <w:tblLook w:val="04A0" w:firstRow="1" w:lastRow="0" w:firstColumn="1" w:lastColumn="0" w:noHBand="0" w:noVBand="1"/>
      </w:tblPr>
      <w:tblGrid>
        <w:gridCol w:w="1384"/>
        <w:gridCol w:w="1385"/>
        <w:gridCol w:w="1385"/>
        <w:gridCol w:w="1383"/>
        <w:gridCol w:w="1383"/>
        <w:gridCol w:w="1381"/>
      </w:tblGrid>
      <w:tr w:rsidR="00391323" w:rsidRPr="00675182" w14:paraId="66EDCEA0" w14:textId="77777777" w:rsidTr="00F413EA">
        <w:tc>
          <w:tcPr>
            <w:tcW w:w="834" w:type="pct"/>
            <w:shd w:val="clear" w:color="auto" w:fill="D6E3BC" w:themeFill="accent3" w:themeFillTint="66"/>
          </w:tcPr>
          <w:p w14:paraId="0BB0AE1F" w14:textId="77777777" w:rsidR="00391323" w:rsidRPr="00675182" w:rsidRDefault="00391323" w:rsidP="00F413EA">
            <w:pPr>
              <w:jc w:val="center"/>
              <w:rPr>
                <w:rFonts w:cstheme="minorHAnsi"/>
                <w:b/>
                <w:bCs/>
                <w:szCs w:val="24"/>
              </w:rPr>
            </w:pPr>
            <w:r w:rsidRPr="00675182">
              <w:rPr>
                <w:rFonts w:cstheme="minorHAnsi"/>
                <w:b/>
                <w:bCs/>
                <w:szCs w:val="24"/>
              </w:rPr>
              <w:t>2005</w:t>
            </w:r>
          </w:p>
        </w:tc>
        <w:tc>
          <w:tcPr>
            <w:tcW w:w="834" w:type="pct"/>
            <w:shd w:val="clear" w:color="auto" w:fill="D6E3BC" w:themeFill="accent3" w:themeFillTint="66"/>
          </w:tcPr>
          <w:p w14:paraId="1414806E" w14:textId="77777777" w:rsidR="00391323" w:rsidRPr="00675182" w:rsidRDefault="00391323" w:rsidP="00F413EA">
            <w:pPr>
              <w:jc w:val="center"/>
              <w:rPr>
                <w:rFonts w:cstheme="minorHAnsi"/>
                <w:b/>
                <w:bCs/>
                <w:szCs w:val="24"/>
              </w:rPr>
            </w:pPr>
            <w:r w:rsidRPr="00675182">
              <w:rPr>
                <w:rFonts w:cstheme="minorHAnsi"/>
                <w:b/>
                <w:bCs/>
                <w:szCs w:val="24"/>
              </w:rPr>
              <w:t>2006</w:t>
            </w:r>
          </w:p>
        </w:tc>
        <w:tc>
          <w:tcPr>
            <w:tcW w:w="834" w:type="pct"/>
            <w:shd w:val="clear" w:color="auto" w:fill="D6E3BC" w:themeFill="accent3" w:themeFillTint="66"/>
          </w:tcPr>
          <w:p w14:paraId="718FB308" w14:textId="77777777" w:rsidR="00391323" w:rsidRPr="00675182" w:rsidRDefault="00391323" w:rsidP="00F413EA">
            <w:pPr>
              <w:jc w:val="center"/>
              <w:rPr>
                <w:rFonts w:cstheme="minorHAnsi"/>
                <w:b/>
                <w:bCs/>
                <w:szCs w:val="24"/>
              </w:rPr>
            </w:pPr>
            <w:r w:rsidRPr="00675182">
              <w:rPr>
                <w:rFonts w:cstheme="minorHAnsi"/>
                <w:b/>
                <w:bCs/>
                <w:szCs w:val="24"/>
              </w:rPr>
              <w:t>2007</w:t>
            </w:r>
          </w:p>
        </w:tc>
        <w:tc>
          <w:tcPr>
            <w:tcW w:w="833" w:type="pct"/>
            <w:shd w:val="clear" w:color="auto" w:fill="D6E3BC" w:themeFill="accent3" w:themeFillTint="66"/>
          </w:tcPr>
          <w:p w14:paraId="30D42727" w14:textId="77777777" w:rsidR="00391323" w:rsidRPr="00675182" w:rsidRDefault="00391323" w:rsidP="00F413EA">
            <w:pPr>
              <w:jc w:val="center"/>
              <w:rPr>
                <w:rFonts w:cstheme="minorHAnsi"/>
                <w:b/>
                <w:bCs/>
                <w:szCs w:val="24"/>
              </w:rPr>
            </w:pPr>
            <w:r w:rsidRPr="00675182">
              <w:rPr>
                <w:rFonts w:cstheme="minorHAnsi"/>
                <w:b/>
                <w:bCs/>
                <w:szCs w:val="24"/>
              </w:rPr>
              <w:t>2008</w:t>
            </w:r>
          </w:p>
        </w:tc>
        <w:tc>
          <w:tcPr>
            <w:tcW w:w="833" w:type="pct"/>
            <w:shd w:val="clear" w:color="auto" w:fill="D6E3BC" w:themeFill="accent3" w:themeFillTint="66"/>
          </w:tcPr>
          <w:p w14:paraId="55EED6B6" w14:textId="77777777" w:rsidR="00391323" w:rsidRPr="00675182" w:rsidRDefault="00391323" w:rsidP="00F413EA">
            <w:pPr>
              <w:jc w:val="center"/>
              <w:rPr>
                <w:rFonts w:cstheme="minorHAnsi"/>
                <w:b/>
                <w:bCs/>
                <w:szCs w:val="24"/>
              </w:rPr>
            </w:pPr>
            <w:r w:rsidRPr="00675182">
              <w:rPr>
                <w:rFonts w:cstheme="minorHAnsi"/>
                <w:b/>
                <w:bCs/>
                <w:szCs w:val="24"/>
              </w:rPr>
              <w:t>2009</w:t>
            </w:r>
          </w:p>
        </w:tc>
        <w:tc>
          <w:tcPr>
            <w:tcW w:w="833" w:type="pct"/>
            <w:shd w:val="clear" w:color="auto" w:fill="D6E3BC" w:themeFill="accent3" w:themeFillTint="66"/>
          </w:tcPr>
          <w:p w14:paraId="46AFF243" w14:textId="77777777" w:rsidR="00391323" w:rsidRPr="00675182" w:rsidRDefault="00391323" w:rsidP="00F413EA">
            <w:pPr>
              <w:jc w:val="center"/>
              <w:rPr>
                <w:rFonts w:cstheme="minorHAnsi"/>
                <w:b/>
                <w:bCs/>
                <w:szCs w:val="24"/>
              </w:rPr>
            </w:pPr>
            <w:r w:rsidRPr="00675182">
              <w:rPr>
                <w:rFonts w:cstheme="minorHAnsi"/>
                <w:b/>
                <w:bCs/>
                <w:szCs w:val="24"/>
              </w:rPr>
              <w:t>2010</w:t>
            </w:r>
          </w:p>
        </w:tc>
      </w:tr>
      <w:tr w:rsidR="00391323" w:rsidRPr="00675182" w14:paraId="657056B7" w14:textId="77777777" w:rsidTr="00F413EA">
        <w:tc>
          <w:tcPr>
            <w:tcW w:w="834" w:type="pct"/>
          </w:tcPr>
          <w:p w14:paraId="4C1CCB9B" w14:textId="77777777" w:rsidR="00391323" w:rsidRPr="00675182" w:rsidRDefault="00391323" w:rsidP="00F413EA">
            <w:pPr>
              <w:jc w:val="center"/>
              <w:rPr>
                <w:rFonts w:cstheme="minorHAnsi"/>
                <w:szCs w:val="24"/>
              </w:rPr>
            </w:pPr>
            <w:r w:rsidRPr="00675182">
              <w:rPr>
                <w:rFonts w:cstheme="minorHAnsi"/>
                <w:shd w:val="clear" w:color="auto" w:fill="FFFFFF"/>
              </w:rPr>
              <w:t>109265</w:t>
            </w:r>
          </w:p>
        </w:tc>
        <w:tc>
          <w:tcPr>
            <w:tcW w:w="834" w:type="pct"/>
          </w:tcPr>
          <w:p w14:paraId="07BBE057" w14:textId="77777777" w:rsidR="00391323" w:rsidRPr="00675182" w:rsidRDefault="00391323" w:rsidP="00F413EA">
            <w:pPr>
              <w:jc w:val="center"/>
              <w:rPr>
                <w:rFonts w:cstheme="minorHAnsi"/>
                <w:szCs w:val="24"/>
              </w:rPr>
            </w:pPr>
            <w:r w:rsidRPr="00675182">
              <w:rPr>
                <w:rFonts w:cstheme="minorHAnsi"/>
                <w:shd w:val="clear" w:color="auto" w:fill="FFFFFF"/>
              </w:rPr>
              <w:t>104986</w:t>
            </w:r>
          </w:p>
        </w:tc>
        <w:tc>
          <w:tcPr>
            <w:tcW w:w="834" w:type="pct"/>
          </w:tcPr>
          <w:p w14:paraId="4D9A13B7" w14:textId="77777777" w:rsidR="00391323" w:rsidRPr="00675182" w:rsidRDefault="00391323" w:rsidP="00F413EA">
            <w:pPr>
              <w:jc w:val="center"/>
              <w:rPr>
                <w:rFonts w:cstheme="minorHAnsi"/>
                <w:szCs w:val="24"/>
              </w:rPr>
            </w:pPr>
            <w:r w:rsidRPr="00675182">
              <w:rPr>
                <w:rFonts w:cstheme="minorHAnsi"/>
                <w:shd w:val="clear" w:color="auto" w:fill="FFFFFF"/>
              </w:rPr>
              <w:t>98353</w:t>
            </w:r>
          </w:p>
        </w:tc>
        <w:tc>
          <w:tcPr>
            <w:tcW w:w="833" w:type="pct"/>
          </w:tcPr>
          <w:p w14:paraId="2AF33078" w14:textId="77777777" w:rsidR="00391323" w:rsidRPr="00675182" w:rsidRDefault="00391323" w:rsidP="00F413EA">
            <w:pPr>
              <w:jc w:val="center"/>
              <w:rPr>
                <w:rFonts w:cstheme="minorHAnsi"/>
                <w:szCs w:val="24"/>
              </w:rPr>
            </w:pPr>
            <w:r w:rsidRPr="00675182">
              <w:rPr>
                <w:rFonts w:cstheme="minorHAnsi"/>
                <w:shd w:val="clear" w:color="auto" w:fill="FFFFFF"/>
              </w:rPr>
              <w:t>85288</w:t>
            </w:r>
          </w:p>
        </w:tc>
        <w:tc>
          <w:tcPr>
            <w:tcW w:w="833" w:type="pct"/>
          </w:tcPr>
          <w:p w14:paraId="4E972F07" w14:textId="77777777" w:rsidR="00391323" w:rsidRPr="00675182" w:rsidRDefault="00391323" w:rsidP="00F413EA">
            <w:pPr>
              <w:jc w:val="center"/>
              <w:rPr>
                <w:rFonts w:cstheme="minorHAnsi"/>
                <w:szCs w:val="24"/>
              </w:rPr>
            </w:pPr>
            <w:r w:rsidRPr="00675182">
              <w:rPr>
                <w:rFonts w:cstheme="minorHAnsi"/>
                <w:shd w:val="clear" w:color="auto" w:fill="FFFFFF"/>
              </w:rPr>
              <w:t>126034</w:t>
            </w:r>
          </w:p>
        </w:tc>
        <w:tc>
          <w:tcPr>
            <w:tcW w:w="833" w:type="pct"/>
          </w:tcPr>
          <w:p w14:paraId="18F40BAB" w14:textId="77777777" w:rsidR="00391323" w:rsidRPr="00675182" w:rsidRDefault="00391323" w:rsidP="00F413EA">
            <w:pPr>
              <w:jc w:val="center"/>
              <w:rPr>
                <w:rFonts w:cstheme="minorHAnsi"/>
                <w:szCs w:val="24"/>
              </w:rPr>
            </w:pPr>
            <w:r w:rsidRPr="00675182">
              <w:rPr>
                <w:rFonts w:cstheme="minorHAnsi"/>
                <w:shd w:val="clear" w:color="auto" w:fill="FFFFFF"/>
              </w:rPr>
              <w:t>119588</w:t>
            </w:r>
          </w:p>
        </w:tc>
      </w:tr>
    </w:tbl>
    <w:p w14:paraId="21BBA225" w14:textId="77777777" w:rsidR="00391323" w:rsidRPr="00675182" w:rsidRDefault="00391323" w:rsidP="00391323">
      <w:pPr>
        <w:jc w:val="both"/>
        <w:rPr>
          <w:rFonts w:cstheme="minorHAnsi"/>
          <w:sz w:val="20"/>
        </w:rPr>
      </w:pPr>
      <w:r w:rsidRPr="00675182">
        <w:rPr>
          <w:rFonts w:cstheme="minorHAnsi"/>
          <w:sz w:val="20"/>
          <w:szCs w:val="16"/>
          <w:shd w:val="clear" w:color="auto" w:fill="FFFFFF"/>
        </w:rPr>
        <w:t>Datu avots: Bērziņa, 2012</w:t>
      </w:r>
    </w:p>
    <w:p w14:paraId="36481BFD" w14:textId="77777777" w:rsidR="00391323" w:rsidRPr="00675182" w:rsidRDefault="00391323" w:rsidP="00391323">
      <w:pPr>
        <w:jc w:val="both"/>
        <w:rPr>
          <w:rFonts w:cstheme="minorHAnsi"/>
          <w:szCs w:val="24"/>
        </w:rPr>
      </w:pPr>
    </w:p>
    <w:p w14:paraId="1245FC20" w14:textId="77777777" w:rsidR="008503B6" w:rsidRPr="00675182" w:rsidRDefault="008503B6" w:rsidP="008503B6">
      <w:pPr>
        <w:jc w:val="both"/>
        <w:rPr>
          <w:rFonts w:cstheme="minorHAnsi"/>
          <w:shd w:val="clear" w:color="auto" w:fill="FFFFFF"/>
        </w:rPr>
      </w:pPr>
      <w:r w:rsidRPr="00675182">
        <w:rPr>
          <w:rFonts w:cstheme="minorHAnsi"/>
          <w:shd w:val="clear" w:color="auto" w:fill="FFFFFF"/>
        </w:rPr>
        <w:t>I. Bērziņas pētījumā GNP apmeklētību raksturojošie skaitļi ir novērtēti daudz par zemu. Lai arī skaidrojumā minēts, ka datu ieguvei apmeklētāju uzskaites veiktas TIC, apmeklētāju centros, pie Zvārtes ieža, pie Gūtmaņalas, Līgatnes dabas takās, Siguldā „Baltajā pilī”, Līgatnes pārceltuvē, Āraišu vējdzirnavās un ezerpilī vai GNP administrācijas rīkotajos pasākumos, kā arī norādīts, ka šie dati neietver Turaidas pils apmeklētību (nav gan pamatojuma, kāpēc tā, jo Turaidas pils ir starp populārākajām GNP apmeklētajām vietām).</w:t>
      </w:r>
    </w:p>
    <w:p w14:paraId="21E61DC3" w14:textId="77777777" w:rsidR="008503B6" w:rsidRPr="00675182" w:rsidRDefault="008503B6" w:rsidP="008503B6">
      <w:pPr>
        <w:jc w:val="both"/>
        <w:rPr>
          <w:rFonts w:cstheme="minorHAnsi"/>
          <w:shd w:val="clear" w:color="auto" w:fill="FFFFFF"/>
        </w:rPr>
      </w:pPr>
    </w:p>
    <w:p w14:paraId="1DD9B1AF" w14:textId="56887510" w:rsidR="00391323" w:rsidRPr="00675182" w:rsidRDefault="008503B6" w:rsidP="008503B6">
      <w:pPr>
        <w:jc w:val="both"/>
        <w:rPr>
          <w:rFonts w:cstheme="minorHAnsi"/>
          <w:shd w:val="clear" w:color="auto" w:fill="FFFFFF"/>
        </w:rPr>
      </w:pPr>
      <w:r w:rsidRPr="00675182">
        <w:rPr>
          <w:rFonts w:cstheme="minorHAnsi"/>
          <w:shd w:val="clear" w:color="auto" w:fill="FFFFFF"/>
        </w:rPr>
        <w:t>Spānijas Nacionālās Pētījumu padomes pētnieks Rodrigess 2008. gadā īstenoja pētījumu „GNP publiskā lietošana”. Pētījuma laikā tika veikti aprēķini par kopējo GNP apmeklētāju skaitu, pieņemot, ka GNP trijos apmeklētāju centros viesojas 20 % no visiem nacionālā parka apmeklētājiem. Attiecīgi pēc viņa aprēķiniem kopējais apmeklējumu skaits GNP svārstījās starp 280 un 460 tūkstošiem (sk. 1.3.2. tabulu). Rodrigess pētījumā arī norāda, ka 1998. gadā GNP tūristu mītnēs tiek piedāvātas 975 gultas vietas viesiem, bet desmit gadu laikā to skaits trīskāršojies. Jāņem vērā, ka daļu no slodzes uz GNP veido tieši tajā esošās tūristu mītnes, bet nozīmīgu daļu arī parka tiešā tuvumā izvietotās tūristu mītnes, kuru kapacitāte ir vēl daudzkārt lielāka.</w:t>
      </w:r>
    </w:p>
    <w:p w14:paraId="4BFFC599" w14:textId="77777777" w:rsidR="008503B6" w:rsidRPr="00675182" w:rsidRDefault="008503B6" w:rsidP="008503B6">
      <w:pPr>
        <w:jc w:val="both"/>
        <w:rPr>
          <w:rFonts w:cstheme="minorHAnsi"/>
          <w:szCs w:val="24"/>
        </w:rPr>
      </w:pPr>
    </w:p>
    <w:p w14:paraId="438251BA" w14:textId="0612D125" w:rsidR="00391323" w:rsidRPr="00675182" w:rsidRDefault="00391323" w:rsidP="00391323">
      <w:pPr>
        <w:jc w:val="both"/>
        <w:rPr>
          <w:rFonts w:cstheme="minorHAnsi"/>
          <w:b/>
          <w:bCs/>
          <w:i/>
          <w:iCs/>
          <w:shd w:val="clear" w:color="auto" w:fill="FFFFFF"/>
        </w:rPr>
      </w:pPr>
      <w:r w:rsidRPr="00675182">
        <w:rPr>
          <w:rFonts w:cstheme="minorHAnsi"/>
          <w:b/>
          <w:bCs/>
          <w:i/>
          <w:iCs/>
          <w:shd w:val="clear" w:color="auto" w:fill="FFFFFF"/>
        </w:rPr>
        <w:t xml:space="preserve">1.3.2. tabula. GNP apmeklētības skaita vērtējums </w:t>
      </w:r>
      <w:r w:rsidR="008C5536" w:rsidRPr="00675182">
        <w:rPr>
          <w:rFonts w:cstheme="minorHAnsi"/>
          <w:b/>
          <w:bCs/>
          <w:i/>
          <w:iCs/>
          <w:shd w:val="clear" w:color="auto" w:fill="FFFFFF"/>
        </w:rPr>
        <w:t xml:space="preserve"> (Rodrigess, 2008)</w:t>
      </w:r>
    </w:p>
    <w:tbl>
      <w:tblPr>
        <w:tblStyle w:val="TableGrid"/>
        <w:tblW w:w="5000" w:type="pct"/>
        <w:tblLook w:val="04A0" w:firstRow="1" w:lastRow="0" w:firstColumn="1" w:lastColumn="0" w:noHBand="0" w:noVBand="1"/>
      </w:tblPr>
      <w:tblGrid>
        <w:gridCol w:w="1189"/>
        <w:gridCol w:w="1189"/>
        <w:gridCol w:w="1187"/>
        <w:gridCol w:w="1185"/>
        <w:gridCol w:w="1185"/>
        <w:gridCol w:w="1184"/>
        <w:gridCol w:w="1182"/>
      </w:tblGrid>
      <w:tr w:rsidR="00391323" w:rsidRPr="00675182" w14:paraId="6083299E" w14:textId="77777777" w:rsidTr="00F413EA">
        <w:tc>
          <w:tcPr>
            <w:tcW w:w="716" w:type="pct"/>
            <w:shd w:val="clear" w:color="auto" w:fill="D6E3BC" w:themeFill="accent3" w:themeFillTint="66"/>
          </w:tcPr>
          <w:p w14:paraId="79862D86" w14:textId="77777777" w:rsidR="00391323" w:rsidRPr="00675182" w:rsidRDefault="00391323" w:rsidP="00F413EA">
            <w:pPr>
              <w:jc w:val="center"/>
              <w:rPr>
                <w:rFonts w:cstheme="minorHAnsi"/>
                <w:b/>
                <w:bCs/>
                <w:szCs w:val="24"/>
              </w:rPr>
            </w:pPr>
            <w:r w:rsidRPr="00675182">
              <w:rPr>
                <w:rFonts w:cstheme="minorHAnsi"/>
                <w:b/>
                <w:bCs/>
                <w:szCs w:val="24"/>
              </w:rPr>
              <w:t>2001</w:t>
            </w:r>
          </w:p>
        </w:tc>
        <w:tc>
          <w:tcPr>
            <w:tcW w:w="716" w:type="pct"/>
            <w:shd w:val="clear" w:color="auto" w:fill="D6E3BC" w:themeFill="accent3" w:themeFillTint="66"/>
          </w:tcPr>
          <w:p w14:paraId="2B8D6F88" w14:textId="77777777" w:rsidR="00391323" w:rsidRPr="00675182" w:rsidRDefault="00391323" w:rsidP="00F413EA">
            <w:pPr>
              <w:jc w:val="center"/>
              <w:rPr>
                <w:rFonts w:cstheme="minorHAnsi"/>
                <w:b/>
                <w:bCs/>
                <w:szCs w:val="24"/>
              </w:rPr>
            </w:pPr>
            <w:r w:rsidRPr="00675182">
              <w:rPr>
                <w:rFonts w:cstheme="minorHAnsi"/>
                <w:b/>
                <w:bCs/>
                <w:szCs w:val="24"/>
              </w:rPr>
              <w:t>2002</w:t>
            </w:r>
          </w:p>
        </w:tc>
        <w:tc>
          <w:tcPr>
            <w:tcW w:w="715" w:type="pct"/>
            <w:shd w:val="clear" w:color="auto" w:fill="D6E3BC" w:themeFill="accent3" w:themeFillTint="66"/>
          </w:tcPr>
          <w:p w14:paraId="6BFC8600" w14:textId="77777777" w:rsidR="00391323" w:rsidRPr="00675182" w:rsidRDefault="00391323" w:rsidP="00F413EA">
            <w:pPr>
              <w:jc w:val="center"/>
              <w:rPr>
                <w:rFonts w:cstheme="minorHAnsi"/>
                <w:b/>
                <w:bCs/>
                <w:szCs w:val="24"/>
              </w:rPr>
            </w:pPr>
            <w:r w:rsidRPr="00675182">
              <w:rPr>
                <w:rFonts w:cstheme="minorHAnsi"/>
                <w:b/>
                <w:bCs/>
                <w:szCs w:val="24"/>
              </w:rPr>
              <w:t>2003</w:t>
            </w:r>
          </w:p>
        </w:tc>
        <w:tc>
          <w:tcPr>
            <w:tcW w:w="714" w:type="pct"/>
            <w:shd w:val="clear" w:color="auto" w:fill="D6E3BC" w:themeFill="accent3" w:themeFillTint="66"/>
          </w:tcPr>
          <w:p w14:paraId="51ADA6C9" w14:textId="77777777" w:rsidR="00391323" w:rsidRPr="00675182" w:rsidRDefault="00391323" w:rsidP="00F413EA">
            <w:pPr>
              <w:jc w:val="center"/>
              <w:rPr>
                <w:rFonts w:cstheme="minorHAnsi"/>
                <w:b/>
                <w:bCs/>
                <w:szCs w:val="24"/>
              </w:rPr>
            </w:pPr>
            <w:r w:rsidRPr="00675182">
              <w:rPr>
                <w:rFonts w:cstheme="minorHAnsi"/>
                <w:b/>
                <w:bCs/>
                <w:szCs w:val="24"/>
              </w:rPr>
              <w:t>2004</w:t>
            </w:r>
          </w:p>
        </w:tc>
        <w:tc>
          <w:tcPr>
            <w:tcW w:w="714" w:type="pct"/>
            <w:shd w:val="clear" w:color="auto" w:fill="D6E3BC" w:themeFill="accent3" w:themeFillTint="66"/>
          </w:tcPr>
          <w:p w14:paraId="0DE43F5E" w14:textId="77777777" w:rsidR="00391323" w:rsidRPr="00675182" w:rsidRDefault="00391323" w:rsidP="00F413EA">
            <w:pPr>
              <w:jc w:val="center"/>
              <w:rPr>
                <w:rFonts w:cstheme="minorHAnsi"/>
                <w:b/>
                <w:bCs/>
                <w:szCs w:val="24"/>
              </w:rPr>
            </w:pPr>
            <w:r w:rsidRPr="00675182">
              <w:rPr>
                <w:rFonts w:cstheme="minorHAnsi"/>
                <w:b/>
                <w:bCs/>
                <w:szCs w:val="24"/>
              </w:rPr>
              <w:t>2005</w:t>
            </w:r>
          </w:p>
        </w:tc>
        <w:tc>
          <w:tcPr>
            <w:tcW w:w="713" w:type="pct"/>
            <w:shd w:val="clear" w:color="auto" w:fill="D6E3BC" w:themeFill="accent3" w:themeFillTint="66"/>
          </w:tcPr>
          <w:p w14:paraId="085FC488" w14:textId="77777777" w:rsidR="00391323" w:rsidRPr="00675182" w:rsidRDefault="00391323" w:rsidP="00F413EA">
            <w:pPr>
              <w:jc w:val="center"/>
              <w:rPr>
                <w:rFonts w:cstheme="minorHAnsi"/>
                <w:b/>
                <w:bCs/>
                <w:szCs w:val="24"/>
              </w:rPr>
            </w:pPr>
            <w:r w:rsidRPr="00675182">
              <w:rPr>
                <w:rFonts w:cstheme="minorHAnsi"/>
                <w:b/>
                <w:bCs/>
                <w:szCs w:val="24"/>
              </w:rPr>
              <w:t>2006</w:t>
            </w:r>
          </w:p>
        </w:tc>
        <w:tc>
          <w:tcPr>
            <w:tcW w:w="712" w:type="pct"/>
            <w:shd w:val="clear" w:color="auto" w:fill="D6E3BC" w:themeFill="accent3" w:themeFillTint="66"/>
          </w:tcPr>
          <w:p w14:paraId="5D033E8A" w14:textId="77777777" w:rsidR="00391323" w:rsidRPr="00675182" w:rsidRDefault="00391323" w:rsidP="00F413EA">
            <w:pPr>
              <w:jc w:val="center"/>
              <w:rPr>
                <w:rFonts w:cstheme="minorHAnsi"/>
                <w:b/>
                <w:bCs/>
                <w:szCs w:val="24"/>
              </w:rPr>
            </w:pPr>
            <w:r w:rsidRPr="00675182">
              <w:rPr>
                <w:rFonts w:cstheme="minorHAnsi"/>
                <w:b/>
                <w:bCs/>
                <w:szCs w:val="24"/>
              </w:rPr>
              <w:t>2007</w:t>
            </w:r>
          </w:p>
        </w:tc>
      </w:tr>
      <w:tr w:rsidR="00391323" w:rsidRPr="00675182" w14:paraId="54B8E16B" w14:textId="77777777" w:rsidTr="00F413EA">
        <w:tc>
          <w:tcPr>
            <w:tcW w:w="716" w:type="pct"/>
          </w:tcPr>
          <w:p w14:paraId="22E08B69" w14:textId="77777777" w:rsidR="00391323" w:rsidRPr="00675182" w:rsidRDefault="00391323" w:rsidP="00F413EA">
            <w:pPr>
              <w:jc w:val="center"/>
              <w:rPr>
                <w:rFonts w:cstheme="minorHAnsi"/>
                <w:szCs w:val="24"/>
              </w:rPr>
            </w:pPr>
            <w:r w:rsidRPr="00675182">
              <w:rPr>
                <w:rFonts w:cstheme="minorHAnsi"/>
              </w:rPr>
              <w:t>284380</w:t>
            </w:r>
          </w:p>
        </w:tc>
        <w:tc>
          <w:tcPr>
            <w:tcW w:w="716" w:type="pct"/>
          </w:tcPr>
          <w:p w14:paraId="1B50FC09" w14:textId="77777777" w:rsidR="00391323" w:rsidRPr="00675182" w:rsidRDefault="00391323" w:rsidP="00F413EA">
            <w:pPr>
              <w:jc w:val="center"/>
              <w:rPr>
                <w:rFonts w:cstheme="minorHAnsi"/>
                <w:szCs w:val="24"/>
              </w:rPr>
            </w:pPr>
            <w:r w:rsidRPr="00675182">
              <w:rPr>
                <w:rFonts w:cstheme="minorHAnsi"/>
              </w:rPr>
              <w:t>370965</w:t>
            </w:r>
          </w:p>
        </w:tc>
        <w:tc>
          <w:tcPr>
            <w:tcW w:w="715" w:type="pct"/>
          </w:tcPr>
          <w:p w14:paraId="0CE1A44A" w14:textId="77777777" w:rsidR="00391323" w:rsidRPr="00675182" w:rsidRDefault="00391323" w:rsidP="00F413EA">
            <w:pPr>
              <w:jc w:val="center"/>
              <w:rPr>
                <w:rFonts w:cstheme="minorHAnsi"/>
                <w:szCs w:val="24"/>
              </w:rPr>
            </w:pPr>
            <w:r w:rsidRPr="00675182">
              <w:rPr>
                <w:rFonts w:cstheme="minorHAnsi"/>
              </w:rPr>
              <w:t>448095</w:t>
            </w:r>
          </w:p>
        </w:tc>
        <w:tc>
          <w:tcPr>
            <w:tcW w:w="714" w:type="pct"/>
          </w:tcPr>
          <w:p w14:paraId="47685524" w14:textId="77777777" w:rsidR="00391323" w:rsidRPr="00675182" w:rsidRDefault="00391323" w:rsidP="00F413EA">
            <w:pPr>
              <w:jc w:val="center"/>
              <w:rPr>
                <w:rFonts w:cstheme="minorHAnsi"/>
                <w:szCs w:val="24"/>
              </w:rPr>
            </w:pPr>
            <w:r w:rsidRPr="00675182">
              <w:rPr>
                <w:rFonts w:cstheme="minorHAnsi"/>
              </w:rPr>
              <w:t>410255</w:t>
            </w:r>
          </w:p>
        </w:tc>
        <w:tc>
          <w:tcPr>
            <w:tcW w:w="714" w:type="pct"/>
          </w:tcPr>
          <w:p w14:paraId="08973101" w14:textId="77777777" w:rsidR="00391323" w:rsidRPr="00675182" w:rsidRDefault="00391323" w:rsidP="00F413EA">
            <w:pPr>
              <w:jc w:val="center"/>
              <w:rPr>
                <w:rFonts w:cstheme="minorHAnsi"/>
                <w:szCs w:val="24"/>
              </w:rPr>
            </w:pPr>
            <w:r w:rsidRPr="00675182">
              <w:rPr>
                <w:rFonts w:cstheme="minorHAnsi"/>
              </w:rPr>
              <w:t>457875</w:t>
            </w:r>
          </w:p>
        </w:tc>
        <w:tc>
          <w:tcPr>
            <w:tcW w:w="713" w:type="pct"/>
          </w:tcPr>
          <w:p w14:paraId="2B3FAE8F" w14:textId="77777777" w:rsidR="00391323" w:rsidRPr="00675182" w:rsidRDefault="00391323" w:rsidP="00F413EA">
            <w:pPr>
              <w:jc w:val="center"/>
              <w:rPr>
                <w:rFonts w:cstheme="minorHAnsi"/>
                <w:szCs w:val="24"/>
              </w:rPr>
            </w:pPr>
            <w:r w:rsidRPr="00675182">
              <w:rPr>
                <w:rFonts w:cstheme="minorHAnsi"/>
              </w:rPr>
              <w:t>435280</w:t>
            </w:r>
          </w:p>
        </w:tc>
        <w:tc>
          <w:tcPr>
            <w:tcW w:w="712" w:type="pct"/>
          </w:tcPr>
          <w:p w14:paraId="45186A75" w14:textId="77777777" w:rsidR="00391323" w:rsidRPr="00675182" w:rsidRDefault="00391323" w:rsidP="00F413EA">
            <w:pPr>
              <w:jc w:val="center"/>
              <w:rPr>
                <w:rFonts w:cstheme="minorHAnsi"/>
                <w:shd w:val="clear" w:color="auto" w:fill="FFFFFF"/>
              </w:rPr>
            </w:pPr>
            <w:r w:rsidRPr="00675182">
              <w:rPr>
                <w:rFonts w:cstheme="minorHAnsi"/>
              </w:rPr>
              <w:t>418515</w:t>
            </w:r>
          </w:p>
        </w:tc>
      </w:tr>
    </w:tbl>
    <w:p w14:paraId="53ACBAAF" w14:textId="77777777" w:rsidR="00391323" w:rsidRPr="00675182" w:rsidRDefault="00391323" w:rsidP="00391323">
      <w:pPr>
        <w:jc w:val="both"/>
        <w:rPr>
          <w:rFonts w:cstheme="minorHAnsi"/>
          <w:sz w:val="20"/>
          <w:szCs w:val="16"/>
          <w:shd w:val="clear" w:color="auto" w:fill="FFFFFF"/>
        </w:rPr>
      </w:pPr>
      <w:r w:rsidRPr="00675182">
        <w:rPr>
          <w:rFonts w:cstheme="minorHAnsi"/>
          <w:sz w:val="20"/>
          <w:szCs w:val="16"/>
          <w:shd w:val="clear" w:color="auto" w:fill="FFFFFF"/>
        </w:rPr>
        <w:t xml:space="preserve">Datu avots: Rodriguez, 2008 </w:t>
      </w:r>
    </w:p>
    <w:p w14:paraId="2482AC3C" w14:textId="77777777" w:rsidR="00391323" w:rsidRPr="00675182" w:rsidRDefault="00391323" w:rsidP="00391323">
      <w:pPr>
        <w:jc w:val="both"/>
        <w:rPr>
          <w:rFonts w:cstheme="minorHAnsi"/>
          <w:szCs w:val="24"/>
        </w:rPr>
      </w:pPr>
    </w:p>
    <w:p w14:paraId="44163969" w14:textId="6C906E76" w:rsidR="00391323" w:rsidRPr="00675182" w:rsidRDefault="008503B6" w:rsidP="00391323">
      <w:pPr>
        <w:jc w:val="both"/>
        <w:rPr>
          <w:rFonts w:cstheme="minorHAnsi"/>
          <w:shd w:val="clear" w:color="auto" w:fill="FFFFFF"/>
        </w:rPr>
      </w:pPr>
      <w:r w:rsidRPr="00675182">
        <w:rPr>
          <w:rFonts w:cstheme="minorHAnsi"/>
          <w:szCs w:val="24"/>
        </w:rPr>
        <w:t xml:space="preserve">Par GNP apmeklējumu skaitu daļēji var spriest arī pēc populārākās tūristu piesaistes, kur ilgstoši veikta apmeklētāju uzskaite – Turaidas muzejrezervāta apmeklētības, kas kopš 2000. gada (skat. 1.3.3. attēlu) bijusi vidēji 211 tūkstoši apmeklējumu gadā. </w:t>
      </w:r>
      <w:r w:rsidRPr="00675182">
        <w:rPr>
          <w:rFonts w:cstheme="minorHAnsi"/>
          <w:szCs w:val="24"/>
        </w:rPr>
        <w:lastRenderedPageBreak/>
        <w:t>Turklāt liela daļa no šīs tūristu piesaistes apmeklētāju plūsmas var tikt attiecināta arī uz tuvākajiem dabas objektiem, piemēram, Gūtmaņalu vai Siguldas apkārtnes dabas takām.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391323" w:rsidRPr="00675182" w14:paraId="1873C920" w14:textId="77777777" w:rsidTr="00F413EA">
        <w:tc>
          <w:tcPr>
            <w:tcW w:w="8301" w:type="dxa"/>
          </w:tcPr>
          <w:p w14:paraId="23A55327" w14:textId="77777777" w:rsidR="00391323" w:rsidRPr="00675182" w:rsidRDefault="00391323" w:rsidP="00F413EA">
            <w:pPr>
              <w:jc w:val="both"/>
              <w:rPr>
                <w:rFonts w:cstheme="minorHAnsi"/>
                <w:szCs w:val="24"/>
              </w:rPr>
            </w:pPr>
            <w:r w:rsidRPr="00675182">
              <w:rPr>
                <w:rFonts w:cstheme="minorHAnsi"/>
                <w:noProof/>
              </w:rPr>
              <w:drawing>
                <wp:inline distT="0" distB="0" distL="0" distR="0" wp14:anchorId="2D29C635" wp14:editId="36A5AD68">
                  <wp:extent cx="5187231" cy="3136900"/>
                  <wp:effectExtent l="0" t="0" r="0" b="6350"/>
                  <wp:docPr id="190" name="Picture 19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Graphical user interface, application&#10;&#10;Description automatically generated"/>
                          <pic:cNvPicPr/>
                        </pic:nvPicPr>
                        <pic:blipFill rotWithShape="1">
                          <a:blip r:embed="rId59"/>
                          <a:srcRect l="16957" t="32143" r="30094" b="10935"/>
                          <a:stretch/>
                        </pic:blipFill>
                        <pic:spPr bwMode="auto">
                          <a:xfrm>
                            <a:off x="0" y="0"/>
                            <a:ext cx="5221559" cy="3157659"/>
                          </a:xfrm>
                          <a:prstGeom prst="rect">
                            <a:avLst/>
                          </a:prstGeom>
                          <a:ln>
                            <a:noFill/>
                          </a:ln>
                          <a:extLst>
                            <a:ext uri="{53640926-AAD7-44D8-BBD7-CCE9431645EC}">
                              <a14:shadowObscured xmlns:a14="http://schemas.microsoft.com/office/drawing/2010/main"/>
                            </a:ext>
                          </a:extLst>
                        </pic:spPr>
                      </pic:pic>
                    </a:graphicData>
                  </a:graphic>
                </wp:inline>
              </w:drawing>
            </w:r>
          </w:p>
        </w:tc>
      </w:tr>
      <w:tr w:rsidR="00391323" w:rsidRPr="00675182" w14:paraId="0B6D9DA8" w14:textId="77777777" w:rsidTr="00F413EA">
        <w:tc>
          <w:tcPr>
            <w:tcW w:w="8301" w:type="dxa"/>
          </w:tcPr>
          <w:p w14:paraId="2CF78ED1" w14:textId="77777777" w:rsidR="00391323" w:rsidRPr="00675182" w:rsidRDefault="00391323" w:rsidP="00F413EA">
            <w:pPr>
              <w:jc w:val="both"/>
              <w:rPr>
                <w:rFonts w:cstheme="minorHAnsi"/>
                <w:b/>
                <w:bCs/>
                <w:i/>
                <w:iCs/>
                <w:shd w:val="clear" w:color="auto" w:fill="FFFFFF"/>
              </w:rPr>
            </w:pPr>
            <w:r w:rsidRPr="00675182">
              <w:rPr>
                <w:rFonts w:cstheme="minorHAnsi"/>
                <w:b/>
                <w:bCs/>
                <w:i/>
                <w:iCs/>
                <w:szCs w:val="24"/>
              </w:rPr>
              <w:t xml:space="preserve">1.3.3. attēls. </w:t>
            </w:r>
            <w:r w:rsidRPr="00675182">
              <w:rPr>
                <w:rFonts w:cstheme="minorHAnsi"/>
                <w:b/>
                <w:bCs/>
                <w:i/>
                <w:iCs/>
                <w:shd w:val="clear" w:color="auto" w:fill="FFFFFF"/>
              </w:rPr>
              <w:t>GNP populārākā kultūras mantojuma tūrisma objekta – Turaidas muzejrezervāta apmeklētības dinamika</w:t>
            </w:r>
          </w:p>
          <w:p w14:paraId="302EB8A0" w14:textId="30FA6DE3" w:rsidR="00391323" w:rsidRPr="00675182" w:rsidRDefault="00391323" w:rsidP="00F413EA">
            <w:pPr>
              <w:jc w:val="both"/>
              <w:rPr>
                <w:rFonts w:cstheme="minorHAnsi"/>
                <w:i/>
                <w:iCs/>
                <w:szCs w:val="24"/>
              </w:rPr>
            </w:pPr>
            <w:r w:rsidRPr="00675182">
              <w:rPr>
                <w:rFonts w:cstheme="minorHAnsi"/>
                <w:i/>
                <w:iCs/>
                <w:sz w:val="20"/>
                <w:szCs w:val="16"/>
                <w:shd w:val="clear" w:color="auto" w:fill="FFFFFF"/>
              </w:rPr>
              <w:t xml:space="preserve">Datu avots: portāls </w:t>
            </w:r>
            <w:r w:rsidRPr="00675182">
              <w:rPr>
                <w:rFonts w:cstheme="minorHAnsi"/>
                <w:i/>
                <w:iCs/>
                <w:sz w:val="20"/>
                <w:szCs w:val="16"/>
              </w:rPr>
              <w:t>Kulturasdati.lv, 2021; Turaidas muzejrezervāta gada pārskati 1993-2014</w:t>
            </w:r>
            <w:r w:rsidR="00C67D11" w:rsidRPr="00675182">
              <w:rPr>
                <w:rFonts w:cstheme="minorHAnsi"/>
                <w:i/>
                <w:iCs/>
                <w:sz w:val="20"/>
                <w:szCs w:val="16"/>
              </w:rPr>
              <w:t>, ViA HESPI datu bāze</w:t>
            </w:r>
          </w:p>
        </w:tc>
      </w:tr>
    </w:tbl>
    <w:p w14:paraId="0745ED1B" w14:textId="6C12BEFD" w:rsidR="00391323" w:rsidRPr="00675182" w:rsidRDefault="00CA4AD1" w:rsidP="00391323">
      <w:pPr>
        <w:jc w:val="both"/>
        <w:rPr>
          <w:rFonts w:cstheme="minorHAnsi"/>
          <w:color w:val="1F497D" w:themeColor="text2"/>
          <w:szCs w:val="24"/>
        </w:rPr>
      </w:pPr>
      <w:r w:rsidRPr="00675182">
        <w:rPr>
          <w:rFonts w:cstheme="minorHAnsi"/>
          <w:color w:val="1F497D" w:themeColor="text2"/>
          <w:szCs w:val="24"/>
        </w:rPr>
        <w:t xml:space="preserve"> </w:t>
      </w:r>
    </w:p>
    <w:p w14:paraId="251C7B9C" w14:textId="77777777" w:rsidR="00C67D11" w:rsidRPr="00675182" w:rsidRDefault="00C67D11" w:rsidP="00BF7348">
      <w:pPr>
        <w:jc w:val="both"/>
        <w:rPr>
          <w:rFonts w:cstheme="minorHAnsi"/>
          <w:shd w:val="clear" w:color="auto" w:fill="FFFFFF"/>
        </w:rPr>
      </w:pPr>
      <w:r w:rsidRPr="00675182">
        <w:rPr>
          <w:rFonts w:cstheme="minorHAnsi"/>
          <w:shd w:val="clear" w:color="auto" w:fill="FFFFFF"/>
        </w:rPr>
        <w:t>2012. gada februārī izstrādātajā GNP tūrisma klastera attīstības stratēģijā 2012.-2019. gadam tika analizēta tūrisma plūsma plašākā galamērķa reģionā, vērtējot apkārtni arī ārpus Natura 2000 teritorijas (līdz pat 20 km attālumam, kas saistījās ar tūrisma pakalpojumu sniedzēju ieinteresētību, jo tādā attālumā joprojām jūt pieprasījuma ietekmi no populārā tūrisma galamērķa). Minētajā dokumentā minēti vairāki fakti par apmeklētību:</w:t>
      </w:r>
    </w:p>
    <w:p w14:paraId="50BEE0D2" w14:textId="06E3DEAE" w:rsidR="00C67D11" w:rsidRPr="00675182" w:rsidRDefault="00C67D11" w:rsidP="00C67D11">
      <w:pPr>
        <w:ind w:left="720" w:hanging="294"/>
        <w:jc w:val="both"/>
        <w:rPr>
          <w:rFonts w:cstheme="minorHAnsi"/>
          <w:shd w:val="clear" w:color="auto" w:fill="FFFFFF"/>
        </w:rPr>
      </w:pPr>
      <w:r w:rsidRPr="00675182">
        <w:rPr>
          <w:rFonts w:cstheme="minorHAnsi"/>
          <w:shd w:val="clear" w:color="auto" w:fill="FFFFFF"/>
        </w:rPr>
        <w:t xml:space="preserve">(a) </w:t>
      </w:r>
      <w:r w:rsidR="00B54135">
        <w:rPr>
          <w:rFonts w:cstheme="minorHAnsi"/>
          <w:shd w:val="clear" w:color="auto" w:fill="FFFFFF"/>
        </w:rPr>
        <w:t>t</w:t>
      </w:r>
      <w:r w:rsidR="00B54135" w:rsidRPr="00675182">
        <w:rPr>
          <w:rFonts w:cstheme="minorHAnsi"/>
          <w:shd w:val="clear" w:color="auto" w:fill="FFFFFF"/>
        </w:rPr>
        <w:t xml:space="preserve">ūrisma </w:t>
      </w:r>
      <w:r w:rsidRPr="00675182">
        <w:rPr>
          <w:rFonts w:cstheme="minorHAnsi"/>
          <w:shd w:val="clear" w:color="auto" w:fill="FFFFFF"/>
        </w:rPr>
        <w:t>eksports GNP pēdējo divu gadu laikā veido 40,2 % no komerciālajās tūristu mītnēs nakšņojošajiem. GNP klasterī ietilpstošo atsevišķo vietu konkurētspēja tūrismā ir augsta, taču mērķtiecīgi konsolidējot resursus un organizāciju, iespējams panākt turpmāku izaugsmi. GNP ir trešais eksportspējīgākais tūrisma galamērķis valstī pēc Rīgas un Jūrmalas;</w:t>
      </w:r>
    </w:p>
    <w:p w14:paraId="45C3A743" w14:textId="6EE27D2B" w:rsidR="00C67D11" w:rsidRPr="00675182" w:rsidRDefault="00C67D11" w:rsidP="00C67D11">
      <w:pPr>
        <w:ind w:left="720" w:hanging="294"/>
        <w:jc w:val="both"/>
        <w:rPr>
          <w:rFonts w:cstheme="minorHAnsi"/>
          <w:shd w:val="clear" w:color="auto" w:fill="FFFFFF"/>
        </w:rPr>
      </w:pPr>
      <w:r w:rsidRPr="00675182">
        <w:rPr>
          <w:rFonts w:cstheme="minorHAnsi"/>
          <w:shd w:val="clear" w:color="auto" w:fill="FFFFFF"/>
        </w:rPr>
        <w:t xml:space="preserve">(b) </w:t>
      </w:r>
      <w:r w:rsidR="00B54135">
        <w:rPr>
          <w:rFonts w:cstheme="minorHAnsi"/>
          <w:shd w:val="clear" w:color="auto" w:fill="FFFFFF"/>
        </w:rPr>
        <w:t>s</w:t>
      </w:r>
      <w:r w:rsidR="00B54135" w:rsidRPr="00675182">
        <w:rPr>
          <w:rFonts w:cstheme="minorHAnsi"/>
          <w:shd w:val="clear" w:color="auto" w:fill="FFFFFF"/>
        </w:rPr>
        <w:t xml:space="preserve">alīdzinot </w:t>
      </w:r>
      <w:r w:rsidRPr="00675182">
        <w:rPr>
          <w:rFonts w:cstheme="minorHAnsi"/>
          <w:shd w:val="clear" w:color="auto" w:fill="FFFFFF"/>
        </w:rPr>
        <w:t>apmeklējumu skaitu 2009. gadā dažādās GNP tūristu piesaistēs, attiecība starp nakšņojošiem tūristiem un viendienas ceļotājiem, atpūtniekiem ir aptuveni 1:22 (tātad tikai katrs 22. ceļotājs vai atpūtnieks ir palicis nakšņot viesnīcā GNP vai tuvākajā apkārtnē). Tobrīd nakšņojumu skaits bija ap 50 tūkstošiem, un stratēģijā tika iekļauts, ka apmeklējumu skaits gadā “pārsniedz vienu miljonu apmeklējumu”. 2015. gadā nakšņojumu skaits GNP tūrisma reģionā pārsniedza 200 tūkstošus. Tas nozīmē, ka GNP un tā apkārtnē līdz 20 km attālumam viendienas apmeklējumu skaits jau 2015. gadā pārsniedza četrus miljonus, ja pielieto to pašu proporciju;</w:t>
      </w:r>
    </w:p>
    <w:p w14:paraId="7DF4A069" w14:textId="5BACD328" w:rsidR="00C67D11" w:rsidRPr="00675182" w:rsidRDefault="00C67D11" w:rsidP="00C67D11">
      <w:pPr>
        <w:ind w:left="720" w:hanging="294"/>
        <w:jc w:val="both"/>
        <w:rPr>
          <w:rFonts w:cstheme="minorHAnsi"/>
          <w:shd w:val="clear" w:color="auto" w:fill="FFFFFF"/>
        </w:rPr>
      </w:pPr>
      <w:r w:rsidRPr="00675182">
        <w:rPr>
          <w:rFonts w:cstheme="minorHAnsi"/>
          <w:shd w:val="clear" w:color="auto" w:fill="FFFFFF"/>
        </w:rPr>
        <w:t xml:space="preserve">(c) </w:t>
      </w:r>
      <w:r w:rsidR="00E3637A">
        <w:rPr>
          <w:rFonts w:cstheme="minorHAnsi"/>
          <w:shd w:val="clear" w:color="auto" w:fill="FFFFFF"/>
        </w:rPr>
        <w:t>t</w:t>
      </w:r>
      <w:r w:rsidR="00E3637A" w:rsidRPr="00675182">
        <w:rPr>
          <w:rFonts w:cstheme="minorHAnsi"/>
          <w:shd w:val="clear" w:color="auto" w:fill="FFFFFF"/>
        </w:rPr>
        <w:t xml:space="preserve">ūrisma </w:t>
      </w:r>
      <w:r w:rsidRPr="00675182">
        <w:rPr>
          <w:rFonts w:cstheme="minorHAnsi"/>
          <w:shd w:val="clear" w:color="auto" w:fill="FFFFFF"/>
        </w:rPr>
        <w:t xml:space="preserve">specializācija GNP reģionā iezīmējusies jau kopš 19. gs. beigām, liekot pamatus un stingras viesmīlības tradīcijas vienam no populārākajiem tūrisma </w:t>
      </w:r>
      <w:r w:rsidRPr="00675182">
        <w:rPr>
          <w:rFonts w:cstheme="minorHAnsi"/>
          <w:shd w:val="clear" w:color="auto" w:fill="FFFFFF"/>
        </w:rPr>
        <w:lastRenderedPageBreak/>
        <w:t>galamērķiem Baltijā, t.sk. orientētam uz ārvalstu viesiem (tolaik saukta kā Livonijas arī Vidzemes Šveice ar ainavisko Gaujas ieleju)</w:t>
      </w:r>
      <w:r w:rsidR="00E3637A">
        <w:rPr>
          <w:rFonts w:cstheme="minorHAnsi"/>
          <w:shd w:val="clear" w:color="auto" w:fill="FFFFFF"/>
        </w:rPr>
        <w:t>;</w:t>
      </w:r>
    </w:p>
    <w:p w14:paraId="2CBACBA4" w14:textId="3DAFDA59" w:rsidR="00C67D11" w:rsidRPr="00675182" w:rsidRDefault="00C67D11" w:rsidP="00C67D11">
      <w:pPr>
        <w:ind w:left="720" w:hanging="294"/>
        <w:jc w:val="both"/>
        <w:rPr>
          <w:rFonts w:cstheme="minorHAnsi"/>
          <w:shd w:val="clear" w:color="auto" w:fill="FFFFFF"/>
        </w:rPr>
      </w:pPr>
      <w:r w:rsidRPr="00675182">
        <w:rPr>
          <w:rFonts w:cstheme="minorHAnsi"/>
          <w:shd w:val="clear" w:color="auto" w:fill="FFFFFF"/>
        </w:rPr>
        <w:t>(d)</w:t>
      </w:r>
      <w:r w:rsidR="00E3637A">
        <w:rPr>
          <w:rFonts w:cstheme="minorHAnsi"/>
          <w:shd w:val="clear" w:color="auto" w:fill="FFFFFF"/>
        </w:rPr>
        <w:t xml:space="preserve"> t</w:t>
      </w:r>
      <w:r w:rsidRPr="00675182">
        <w:rPr>
          <w:rFonts w:cstheme="minorHAnsi"/>
          <w:shd w:val="clear" w:color="auto" w:fill="FFFFFF"/>
        </w:rPr>
        <w:t>ūrisms ir definēts un nostiprināts stratēģiskajos plānošanas dokumentos starp prioritāri atbalstāmajām tautsaimniecības jomām lielākajās pašvaldībās: Siguldā, Cēsīs un Valmierā</w:t>
      </w:r>
      <w:r w:rsidR="00B40B38">
        <w:rPr>
          <w:rFonts w:cstheme="minorHAnsi"/>
          <w:shd w:val="clear" w:color="auto" w:fill="FFFFFF"/>
        </w:rPr>
        <w:t>;</w:t>
      </w:r>
    </w:p>
    <w:p w14:paraId="2BCE7D5B" w14:textId="1E586C10" w:rsidR="00391323" w:rsidRPr="00675182" w:rsidRDefault="00C67D11" w:rsidP="00C67D11">
      <w:pPr>
        <w:ind w:left="720" w:hanging="294"/>
        <w:jc w:val="both"/>
        <w:rPr>
          <w:rFonts w:cstheme="minorHAnsi"/>
          <w:shd w:val="clear" w:color="auto" w:fill="FFFFFF"/>
        </w:rPr>
      </w:pPr>
      <w:r w:rsidRPr="00675182">
        <w:rPr>
          <w:rFonts w:cstheme="minorHAnsi"/>
          <w:shd w:val="clear" w:color="auto" w:fill="FFFFFF"/>
        </w:rPr>
        <w:t xml:space="preserve">(e) </w:t>
      </w:r>
      <w:r w:rsidR="00B40B38">
        <w:rPr>
          <w:rFonts w:cstheme="minorHAnsi"/>
          <w:shd w:val="clear" w:color="auto" w:fill="FFFFFF"/>
        </w:rPr>
        <w:t>t</w:t>
      </w:r>
      <w:r w:rsidR="00B40B38" w:rsidRPr="00675182">
        <w:rPr>
          <w:rFonts w:cstheme="minorHAnsi"/>
          <w:shd w:val="clear" w:color="auto" w:fill="FFFFFF"/>
        </w:rPr>
        <w:t xml:space="preserve">ūrisms </w:t>
      </w:r>
      <w:r w:rsidRPr="00675182">
        <w:rPr>
          <w:rFonts w:cstheme="minorHAnsi"/>
          <w:shd w:val="clear" w:color="auto" w:fill="FFFFFF"/>
        </w:rPr>
        <w:t>no vides izglītības puses ir nozīmīgs instruments DAP, veicinot dabas daudzveidības saglabāšanu. GNP ir Natura 2000 teritorija ar lielāko iedzīvotāju skaitu (kopā ar tuvāko apkārtni &gt;50000) un uzņēmējdarbības aktivitāti Latvijā. Veidotās GNP tūrisma infrastruktūras uzturēšanai jāpiesaista arī komersantu resursi, iesaistot dabas potenciālu kā pievienoto vērtību tūrisma piedāvājuma veidošanā. Lai veidotu ilgtspējīgu attīstību, vajadzīga labāk koordinēta visu iesaistīto pušu sadarbība un savstarpējo mērķu saskaņošana.</w:t>
      </w:r>
    </w:p>
    <w:p w14:paraId="2BABDF61" w14:textId="77777777" w:rsidR="00391323" w:rsidRPr="00675182" w:rsidRDefault="00391323" w:rsidP="00391323">
      <w:pPr>
        <w:jc w:val="both"/>
        <w:rPr>
          <w:rFonts w:cstheme="minorHAnsi"/>
          <w:color w:val="1F497D" w:themeColor="text2"/>
        </w:rPr>
      </w:pPr>
    </w:p>
    <w:p w14:paraId="7BA56579" w14:textId="77777777" w:rsidR="00391323" w:rsidRPr="00675182" w:rsidRDefault="00391323" w:rsidP="00391323">
      <w:pPr>
        <w:jc w:val="both"/>
        <w:rPr>
          <w:rFonts w:eastAsiaTheme="minorHAnsi" w:cstheme="minorHAnsi"/>
          <w:i/>
          <w:iCs/>
          <w:szCs w:val="24"/>
          <w:lang w:eastAsia="en-US"/>
        </w:rPr>
      </w:pPr>
      <w:r w:rsidRPr="00675182">
        <w:rPr>
          <w:rFonts w:cstheme="minorHAnsi"/>
          <w:i/>
          <w:iCs/>
        </w:rPr>
        <w:t>Tūrisma plūsma: nakšņotāji</w:t>
      </w:r>
    </w:p>
    <w:p w14:paraId="7274C9DA" w14:textId="31F65F4E" w:rsidR="00391323" w:rsidRPr="00675182" w:rsidRDefault="00C67D11" w:rsidP="009666D8">
      <w:pPr>
        <w:jc w:val="both"/>
        <w:rPr>
          <w:rFonts w:cstheme="minorHAnsi"/>
          <w:szCs w:val="24"/>
        </w:rPr>
      </w:pPr>
      <w:r w:rsidRPr="00675182">
        <w:rPr>
          <w:rFonts w:cstheme="minorHAnsi"/>
          <w:szCs w:val="24"/>
        </w:rPr>
        <w:t>Tūristu mītņu skaits GNP, salīdzinot ar citām ĪADT Latvijā, ir vislielākais. Kopā ĪADT robežās 2020. gada novembrī darbojās 87 tūristu mītnes, bet kopš 2000. gada savu darbību dažādu iemeslu dēļ pārtraukušas 20 tūristu mītnes. Tikai divas mītnes ir sertificējušās ar “zaļo sertifikātu” (Lauku ceļotājs, 2021). Kopējā naktsmītņu kapacitāte ir 504 numuri viesiem un 1580 gultas vietas (neieskaitot papildvietas). Vairāk nekā divas reizes lielāka tūristu mītņu kapacitāte ir dažu kilometru attālumā no GNP robežas (īpaši tuvākajās pilsētās). Visvairāk un attiecīgi arī lielākā viesu izmitināšanas kapacitāte ir viesu mājās, tad viesnīcās (skat. 1.3.6. attēlu). Daudz mazāk ir specializētu tūristu mītņu, kuru piedāvājumā būtu ilgtspējīgi dabas vai kultūras mantojumu ietveroši pakalpojumi ar augstāku pievienoto vērtību. Ņemot vērā, ka numuru noslogojums pašvaldībās, kuras ietilpst GNP teritorijā, 2018. gadā vidēji bija 49 %, bet 2019. gadā – 53 %, aprēķināts GNP teritorijā komerciālajās tūristu mītnēs nakšņojošo tūristu skaits 2019. gadā. Kopā tās ir 87 633 viesu pavadītās naktis (neierēķinot jauniešu mītņu un kempingu noslogojumu, kas ir sezonāls vai uz specifisku segmentu vērsts). Vērtējot viesu pavadīto nakšu vidējo daudzumu, tie ir ~62,5 tūkstoši apkalpotu tūristu komerciālajās mītnēs GNP teritorijā 2019. gadā (kā atskaites punkts pirms Covid-19 pandēmijas ietekmes). No visiem nakšņotājiem ~41 % ir ārvalstu klienti (galvenokārt no Baltijas jūras reģiona valstīm). Daļu no nakšņotāju slodzes teritorijā veido šeit neuzskaitītie nakšņotāji, kas apmeklē radus, draugus vai paziņas un paliek nakšņot viņu mājās.</w:t>
      </w:r>
    </w:p>
    <w:p w14:paraId="53B30801" w14:textId="77777777" w:rsidR="009666D8" w:rsidRPr="00675182" w:rsidRDefault="009666D8" w:rsidP="00391323">
      <w:pPr>
        <w:rPr>
          <w:rFonts w:cstheme="minorHAnsi"/>
        </w:rPr>
      </w:pPr>
    </w:p>
    <w:p w14:paraId="0215ED80" w14:textId="77777777" w:rsidR="009666D8" w:rsidRPr="00675182" w:rsidRDefault="009666D8" w:rsidP="009666D8">
      <w:pPr>
        <w:jc w:val="both"/>
        <w:rPr>
          <w:rFonts w:cstheme="minorHAnsi"/>
          <w:i/>
          <w:iCs/>
        </w:rPr>
      </w:pPr>
      <w:r w:rsidRPr="00675182">
        <w:rPr>
          <w:rFonts w:cstheme="minorHAnsi"/>
          <w:i/>
          <w:iCs/>
        </w:rPr>
        <w:t>Tranzīta autoplūsma</w:t>
      </w:r>
    </w:p>
    <w:p w14:paraId="1E4500BF" w14:textId="165B6F6D" w:rsidR="009666D8" w:rsidRPr="00675182" w:rsidRDefault="009666D8" w:rsidP="009666D8">
      <w:pPr>
        <w:jc w:val="both"/>
        <w:rPr>
          <w:rFonts w:cstheme="minorHAnsi"/>
        </w:rPr>
      </w:pPr>
      <w:r w:rsidRPr="00675182">
        <w:rPr>
          <w:rFonts w:cstheme="minorHAnsi"/>
        </w:rPr>
        <w:t xml:space="preserve">GNP atrodas blīvi apdzīvotā un ekonomiski aktīvā reģionā, kam raksturīga ļoti augsta satiksmes intensitāte, ko pastiprina iedzīvotāju svārstmigrācija Rīgas virzienā vai no tuvākās apkārtnes uz reģiona lielākajām pilsētām (Valmieru, Siguldu un Cēsīm). Tranzīta plūsma GNP galvenajos ceļos, ko raksturo ikdienas satiksmes intensitāte, pieaug. Ikdienas satiksmes intensitāte pieaug arī virzienā no perifērijas uz Rīgu. 2019. gadā uz autoceļa A2 Rīga–Sigulda–Igaunijas robeža (Veclaicene) pie Bērzkroga diennaktī reģistrētas 3285 automašīnas, Līgatnē — 11481, bet pie Sēnītes — 21845 automašīnas diennaktī (~15 automašīnas minūtē). Automašīnu plūsma autoceļa A3 Inčukalns–Valmiera–Igaunijas robeža (Valka) posmos ir nedaudz zemāka un svārstās starp pieciem un deviņiem tūkstošiem automašīnu diennaktī GNP robežas tiešā tuvumā. Kopējais automašīnu braucienu skaits gadā uz abiem galvenajiem autoceļiem </w:t>
      </w:r>
      <w:r w:rsidRPr="00675182">
        <w:rPr>
          <w:rFonts w:cstheme="minorHAnsi"/>
        </w:rPr>
        <w:lastRenderedPageBreak/>
        <w:t>ceļiem GNP dienvidrietumu daļā ir ~10 miljoni, bet ziemeļaustrumu daļā ~2,4 miljoni. Reģionālās nozīmes ceļa P20 Valmiera–Cēsis–Drabeši satiksmes intensitāte 2019. gadā starp Cēsīm un Valmieru bija 3235 automašīnas diennaktī (~1,1 miljons automašīnu braucienu gadā). Bet satiksmes intensitāte uz vietējās nozīmes autoceļa gar Āraišu arheoloģisko parku V293 Drabeši–Līvi 2019. gadā bija 596 automašīnas diennaktī, no tām kravas transports 12 %. Kopējā automašīnu plūsma valsts, reģionālās vai vietējās nozīmes ceļos, kas piekļaujas GNP vai šķērso to, gada laikā pārsniedz 12 miljonus, radot lielu ietekmi uz apkārtējo vidi.</w:t>
      </w:r>
    </w:p>
    <w:p w14:paraId="583A7089" w14:textId="77777777" w:rsidR="009666D8" w:rsidRPr="00675182" w:rsidRDefault="009666D8" w:rsidP="009666D8">
      <w:pPr>
        <w:jc w:val="both"/>
        <w:rPr>
          <w:rFonts w:cstheme="minorHAnsi"/>
          <w:i/>
          <w:iCs/>
        </w:rPr>
      </w:pPr>
    </w:p>
    <w:p w14:paraId="54FC1DBF" w14:textId="77777777" w:rsidR="009666D8" w:rsidRPr="00675182" w:rsidRDefault="009666D8" w:rsidP="009666D8">
      <w:pPr>
        <w:jc w:val="both"/>
        <w:rPr>
          <w:rFonts w:cstheme="minorHAnsi"/>
          <w:i/>
          <w:iCs/>
        </w:rPr>
      </w:pPr>
      <w:r w:rsidRPr="00675182">
        <w:rPr>
          <w:rFonts w:cstheme="minorHAnsi"/>
          <w:i/>
          <w:iCs/>
        </w:rPr>
        <w:t>GNP autostāvlaukumu kapacitāte</w:t>
      </w:r>
    </w:p>
    <w:p w14:paraId="670E0A64" w14:textId="67470277" w:rsidR="009666D8" w:rsidRPr="00675182" w:rsidRDefault="009666D8" w:rsidP="009666D8">
      <w:pPr>
        <w:jc w:val="both"/>
        <w:rPr>
          <w:rFonts w:cstheme="minorHAnsi"/>
        </w:rPr>
      </w:pPr>
      <w:r w:rsidRPr="00675182">
        <w:rPr>
          <w:rFonts w:cstheme="minorHAnsi"/>
        </w:rPr>
        <w:t xml:space="preserve">No uzskaitītajiem 64 autostāvlaukumiem GNP teritorijā (neskaitot tuvākās pilsētas, kuru stāvlaukumi arī tiek izmantoti, lai sasniegtu vietas GNP) viena autostāvlaukuma vidējais lielums ir ar ietilpību līdz 33 automašīnām. Kopējā automašīnu ietilpība GNP autostāvlaukumos ir 2111 automašīna. Autostāvlaukumi pamatā novietoti pie populāriem objektiem, tūrisma vietām, pilsētu tuvumā un to noslodze sezonāli svārstās. Piemēram, dabas taku autostāvlaukumi ir populārāki vēlā pavasarī un agrā rudenī, vairāk nekā puse apmeklējumu ir nedēļas nogalēs. Stāvlaukumi pie ūdenstilpēm ar piekļuvi peldvietām kļūst populāri vasarā, turklāt vairāk izlīdzināts visas nedēļas ietvaros, kaut joprojām populārāki ir nedēļas nogales apmeklējumi un darba dienu vakari. </w:t>
      </w:r>
    </w:p>
    <w:p w14:paraId="2A36724A" w14:textId="77777777" w:rsidR="009666D8" w:rsidRPr="00675182" w:rsidRDefault="009666D8" w:rsidP="009666D8">
      <w:pPr>
        <w:jc w:val="both"/>
        <w:rPr>
          <w:rFonts w:cstheme="minorHAnsi"/>
        </w:rPr>
      </w:pPr>
    </w:p>
    <w:p w14:paraId="20B18EA6" w14:textId="77777777" w:rsidR="009666D8" w:rsidRPr="00675182" w:rsidRDefault="009666D8" w:rsidP="009666D8">
      <w:pPr>
        <w:jc w:val="both"/>
        <w:rPr>
          <w:rFonts w:cstheme="minorHAnsi"/>
        </w:rPr>
      </w:pPr>
      <w:r w:rsidRPr="00675182">
        <w:rPr>
          <w:rFonts w:cstheme="minorHAnsi"/>
        </w:rPr>
        <w:t>Ilgtermiņa risinājums no tendenču viedokļa jāmeklē vieglās mobilitātes virzienā, palielinot klimata neitralitāti atbalstošus risinājumus vairāk izmantojot dzelzceļa nozīmi tūrismā. Taču ir vietas, kur stāvlaukumu labiekārtošana mazinātu stihiski veidojušos slodzi uz dabas pamatni, kas kopā ar atjaunojamiem stāvlaukumiem iekļautas veicamo rīcību sarakstā.</w:t>
      </w:r>
    </w:p>
    <w:p w14:paraId="56BA347E" w14:textId="77777777" w:rsidR="009666D8" w:rsidRPr="00675182" w:rsidRDefault="009666D8" w:rsidP="009666D8">
      <w:pPr>
        <w:jc w:val="both"/>
        <w:rPr>
          <w:rFonts w:cstheme="minorHAnsi"/>
        </w:rPr>
      </w:pPr>
    </w:p>
    <w:p w14:paraId="407CBCD6" w14:textId="77777777" w:rsidR="009666D8" w:rsidRPr="00675182" w:rsidRDefault="009666D8" w:rsidP="009666D8">
      <w:pPr>
        <w:jc w:val="both"/>
        <w:rPr>
          <w:rFonts w:cstheme="minorHAnsi"/>
          <w:i/>
          <w:iCs/>
        </w:rPr>
      </w:pPr>
      <w:r w:rsidRPr="00675182">
        <w:rPr>
          <w:rFonts w:cstheme="minorHAnsi"/>
          <w:i/>
          <w:iCs/>
        </w:rPr>
        <w:t>Tūristu piesaistes, atpūtas vietas un apmeklētāji</w:t>
      </w:r>
    </w:p>
    <w:p w14:paraId="7FD33157" w14:textId="60B5D05D" w:rsidR="00391323" w:rsidRPr="00675182" w:rsidRDefault="009666D8" w:rsidP="009666D8">
      <w:pPr>
        <w:jc w:val="both"/>
        <w:rPr>
          <w:rFonts w:cstheme="minorHAnsi"/>
        </w:rPr>
      </w:pPr>
      <w:r w:rsidRPr="00675182">
        <w:rPr>
          <w:rFonts w:cstheme="minorHAnsi"/>
        </w:rPr>
        <w:t>Apmeklētība tūristu piesaistēs un atpūtas vietās novērtēta divos veidos: pēc sekundāro datu kopsavilkuma (pamatā no kultūras mantojuma objektiem, kuros pielāgota ieejas maksa un pieejami dati par apmeklējumu, tostarp arī vairāki dabas objekti, piemēram, Līgatnes dabas takas – skat.</w:t>
      </w:r>
      <w:r w:rsidR="00995505">
        <w:rPr>
          <w:rFonts w:cstheme="minorHAnsi"/>
        </w:rPr>
        <w:t xml:space="preserve"> </w:t>
      </w:r>
      <w:r w:rsidRPr="00675182">
        <w:rPr>
          <w:rFonts w:cstheme="minorHAnsi"/>
        </w:rPr>
        <w:t>1.3.4. attēlu). Otra daļa ir primārie dati, kas iegūti, izvietojot apmeklētāju automātiskos skaitītājus vietās, kur iepriekš apmeklētāju plūsma nav mērīta (skat. 1.4.2. nodaļu un 6. pielikumu). Pievērsta lielāka uzmanība atšķirīgajām sezonalitātes izpausmēm</w:t>
      </w:r>
      <w:r w:rsidRPr="00675182">
        <w:rPr>
          <w:rFonts w:cstheme="minorHAnsi"/>
          <w:i/>
          <w:iCs/>
        </w:rPr>
        <w:t>.</w:t>
      </w:r>
    </w:p>
    <w:tbl>
      <w:tblPr>
        <w:tblStyle w:val="TableGrid"/>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1"/>
      </w:tblGrid>
      <w:tr w:rsidR="00391323" w:rsidRPr="00675182" w14:paraId="25CACDFC" w14:textId="77777777" w:rsidTr="00F413EA">
        <w:tc>
          <w:tcPr>
            <w:tcW w:w="7821" w:type="dxa"/>
          </w:tcPr>
          <w:p w14:paraId="6418C858" w14:textId="77777777" w:rsidR="00391323" w:rsidRPr="00675182" w:rsidRDefault="00391323" w:rsidP="00F413EA">
            <w:pPr>
              <w:pStyle w:val="TableofFigures"/>
              <w:ind w:left="0" w:firstLine="0"/>
              <w:rPr>
                <w:rFonts w:cstheme="minorHAnsi"/>
                <w:shd w:val="clear" w:color="auto" w:fill="FFFFFF"/>
              </w:rPr>
            </w:pPr>
            <w:r w:rsidRPr="00675182">
              <w:rPr>
                <w:rFonts w:cstheme="minorHAnsi"/>
                <w:noProof/>
                <w:lang w:eastAsia="lv-LV"/>
              </w:rPr>
              <w:lastRenderedPageBreak/>
              <w:drawing>
                <wp:inline distT="0" distB="0" distL="0" distR="0" wp14:anchorId="0CFA3392" wp14:editId="759911C5">
                  <wp:extent cx="3620744" cy="3096000"/>
                  <wp:effectExtent l="0" t="0" r="0" b="0"/>
                  <wp:docPr id="194" name="Picture 5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t="2927" b="1624"/>
                          <a:stretch>
                            <a:fillRect/>
                          </a:stretch>
                        </pic:blipFill>
                        <pic:spPr bwMode="auto">
                          <a:xfrm>
                            <a:off x="0" y="0"/>
                            <a:ext cx="3620744" cy="3096000"/>
                          </a:xfrm>
                          <a:prstGeom prst="rect">
                            <a:avLst/>
                          </a:prstGeom>
                          <a:noFill/>
                          <a:ln>
                            <a:noFill/>
                          </a:ln>
                        </pic:spPr>
                      </pic:pic>
                    </a:graphicData>
                  </a:graphic>
                </wp:inline>
              </w:drawing>
            </w:r>
          </w:p>
        </w:tc>
      </w:tr>
      <w:tr w:rsidR="00391323" w:rsidRPr="00675182" w14:paraId="07BF38F6" w14:textId="77777777" w:rsidTr="00F413EA">
        <w:tc>
          <w:tcPr>
            <w:tcW w:w="7821" w:type="dxa"/>
          </w:tcPr>
          <w:p w14:paraId="704CF33E" w14:textId="0EF810F8" w:rsidR="00391323" w:rsidRPr="00675182" w:rsidRDefault="00391323" w:rsidP="00F413EA">
            <w:pPr>
              <w:pStyle w:val="TableofFigures"/>
              <w:ind w:left="0" w:firstLine="0"/>
              <w:rPr>
                <w:rFonts w:cstheme="minorHAnsi"/>
                <w:b/>
                <w:bCs/>
                <w:i/>
                <w:iCs/>
              </w:rPr>
            </w:pPr>
            <w:r w:rsidRPr="00675182">
              <w:rPr>
                <w:rFonts w:cstheme="minorHAnsi"/>
                <w:b/>
                <w:bCs/>
                <w:i/>
                <w:iCs/>
                <w:shd w:val="clear" w:color="auto" w:fill="FFFFFF"/>
              </w:rPr>
              <w:t>1.3.</w:t>
            </w:r>
            <w:r w:rsidR="00425F88" w:rsidRPr="00675182">
              <w:rPr>
                <w:rFonts w:cstheme="minorHAnsi"/>
                <w:b/>
                <w:bCs/>
                <w:i/>
                <w:iCs/>
                <w:shd w:val="clear" w:color="auto" w:fill="FFFFFF"/>
              </w:rPr>
              <w:t>4</w:t>
            </w:r>
            <w:r w:rsidRPr="00675182">
              <w:rPr>
                <w:rFonts w:cstheme="minorHAnsi"/>
                <w:b/>
                <w:bCs/>
                <w:i/>
                <w:iCs/>
                <w:shd w:val="clear" w:color="auto" w:fill="FFFFFF"/>
              </w:rPr>
              <w:t xml:space="preserve">. attēls. </w:t>
            </w:r>
            <w:r w:rsidRPr="00675182">
              <w:rPr>
                <w:rFonts w:cstheme="minorHAnsi"/>
                <w:b/>
                <w:bCs/>
                <w:i/>
                <w:iCs/>
              </w:rPr>
              <w:t xml:space="preserve">Līgatnes dabas taku apmeklētība sezonalitātes kontekstā </w:t>
            </w:r>
          </w:p>
          <w:p w14:paraId="531C824A" w14:textId="77777777" w:rsidR="00391323" w:rsidRPr="00675182" w:rsidRDefault="00391323" w:rsidP="00F413EA">
            <w:pPr>
              <w:pStyle w:val="TableofFigures"/>
              <w:ind w:left="0" w:firstLine="0"/>
              <w:rPr>
                <w:rFonts w:cstheme="minorHAnsi"/>
                <w:i/>
                <w:iCs/>
                <w:shd w:val="clear" w:color="auto" w:fill="FFFFFF"/>
              </w:rPr>
            </w:pPr>
            <w:r w:rsidRPr="00675182">
              <w:rPr>
                <w:rFonts w:cstheme="minorHAnsi"/>
                <w:i/>
                <w:iCs/>
                <w:sz w:val="20"/>
                <w:szCs w:val="16"/>
              </w:rPr>
              <w:t>Datu avots: DAP, 2020</w:t>
            </w:r>
          </w:p>
        </w:tc>
      </w:tr>
    </w:tbl>
    <w:p w14:paraId="4DF8F44E" w14:textId="77777777" w:rsidR="00391323" w:rsidRPr="00675182" w:rsidRDefault="00391323" w:rsidP="00391323">
      <w:pPr>
        <w:rPr>
          <w:rFonts w:cstheme="minorHAnsi"/>
        </w:rPr>
      </w:pPr>
    </w:p>
    <w:p w14:paraId="2B748A6C" w14:textId="731D20ED" w:rsidR="00B63676" w:rsidRPr="00675182" w:rsidRDefault="00B63676" w:rsidP="00391323">
      <w:pPr>
        <w:jc w:val="both"/>
        <w:rPr>
          <w:rFonts w:cstheme="minorHAnsi"/>
        </w:rPr>
      </w:pPr>
      <w:r w:rsidRPr="00675182">
        <w:rPr>
          <w:rFonts w:cstheme="minorHAnsi"/>
        </w:rPr>
        <w:t>Dati no dažādām kultūras mantojuma tūristu piesaistēm vai publisko pasākumu dalībnieku reģistrācijas norāda uz apmeklētības palielināšanos (piemēram, 1.3.4. attēls par Turaidas muzejrezervāta apmeklētības pieaugumu). Apmeklējumu skaits un apmeklētāju sadalījums dažādos segmentos GNP tūristu piesaistēs, kur veikta reģistrācija (un kas dalījušies ar datiem), apkopot</w:t>
      </w:r>
      <w:r w:rsidR="00496AC5" w:rsidRPr="00675182">
        <w:rPr>
          <w:rFonts w:cstheme="minorHAnsi"/>
        </w:rPr>
        <w:t>i</w:t>
      </w:r>
      <w:r w:rsidRPr="00675182">
        <w:rPr>
          <w:rFonts w:cstheme="minorHAnsi"/>
        </w:rPr>
        <w:t xml:space="preserve"> 1.3.3. tabulā (izmantojot datus pirms Covid-19 ietekmes).</w:t>
      </w:r>
    </w:p>
    <w:p w14:paraId="3868906E" w14:textId="77777777" w:rsidR="00B63676" w:rsidRPr="00675182" w:rsidRDefault="00B63676" w:rsidP="00391323">
      <w:pPr>
        <w:jc w:val="both"/>
        <w:rPr>
          <w:rFonts w:cstheme="minorHAnsi"/>
        </w:rPr>
      </w:pPr>
    </w:p>
    <w:p w14:paraId="37B821A9" w14:textId="5DAFA028" w:rsidR="00391323" w:rsidRPr="00675182" w:rsidRDefault="00391323" w:rsidP="00425F88">
      <w:pPr>
        <w:jc w:val="both"/>
        <w:rPr>
          <w:rFonts w:cstheme="minorHAnsi"/>
          <w:b/>
          <w:i/>
          <w:iCs/>
          <w:shd w:val="clear" w:color="auto" w:fill="FFFFFF"/>
        </w:rPr>
      </w:pPr>
      <w:r w:rsidRPr="00675182">
        <w:rPr>
          <w:rFonts w:cstheme="minorHAnsi"/>
          <w:b/>
          <w:i/>
          <w:iCs/>
        </w:rPr>
        <w:t>1.3.3. tabula. GNP atlasītās tūristu piesaistes un to apmeklētība pirms Covid-19 ietekmes uz mobilitāti un vietu apmeklētību.</w:t>
      </w:r>
    </w:p>
    <w:tbl>
      <w:tblPr>
        <w:tblStyle w:val="GridTable1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24"/>
        <w:gridCol w:w="1953"/>
        <w:gridCol w:w="1050"/>
        <w:gridCol w:w="886"/>
        <w:gridCol w:w="3888"/>
      </w:tblGrid>
      <w:tr w:rsidR="00425F88" w:rsidRPr="00675182" w14:paraId="25CADC1D" w14:textId="77777777" w:rsidTr="00035ED5">
        <w:trPr>
          <w:tblHeader/>
        </w:trPr>
        <w:tc>
          <w:tcPr>
            <w:cnfStyle w:val="001000000000" w:firstRow="0" w:lastRow="0" w:firstColumn="1" w:lastColumn="0" w:oddVBand="0" w:evenVBand="0" w:oddHBand="0" w:evenHBand="0" w:firstRowFirstColumn="0" w:firstRowLastColumn="0" w:lastRowFirstColumn="0" w:lastRowLastColumn="0"/>
            <w:tcW w:w="316" w:type="pct"/>
            <w:shd w:val="clear" w:color="auto" w:fill="D6E3BC" w:themeFill="accent3" w:themeFillTint="66"/>
          </w:tcPr>
          <w:p w14:paraId="2DF01CF9" w14:textId="77777777" w:rsidR="00391323" w:rsidRPr="00675182" w:rsidRDefault="00391323" w:rsidP="00F413EA">
            <w:pPr>
              <w:jc w:val="center"/>
              <w:rPr>
                <w:rFonts w:cstheme="minorHAnsi"/>
                <w:szCs w:val="24"/>
              </w:rPr>
            </w:pPr>
            <w:r w:rsidRPr="00675182">
              <w:rPr>
                <w:rFonts w:cstheme="minorHAnsi"/>
                <w:szCs w:val="24"/>
              </w:rPr>
              <w:t>Nr.</w:t>
            </w:r>
          </w:p>
        </w:tc>
        <w:tc>
          <w:tcPr>
            <w:tcW w:w="1219" w:type="pct"/>
            <w:shd w:val="clear" w:color="auto" w:fill="D6E3BC" w:themeFill="accent3" w:themeFillTint="66"/>
          </w:tcPr>
          <w:p w14:paraId="6F94485B" w14:textId="77777777" w:rsidR="00391323" w:rsidRPr="00675182" w:rsidRDefault="00391323" w:rsidP="00F413EA">
            <w:pPr>
              <w:jc w:val="center"/>
              <w:cnfStyle w:val="000000000000" w:firstRow="0" w:lastRow="0" w:firstColumn="0" w:lastColumn="0" w:oddVBand="0" w:evenVBand="0" w:oddHBand="0" w:evenHBand="0" w:firstRowFirstColumn="0" w:firstRowLastColumn="0" w:lastRowFirstColumn="0" w:lastRowLastColumn="0"/>
              <w:rPr>
                <w:rFonts w:cstheme="minorHAnsi"/>
                <w:b/>
                <w:bCs/>
                <w:szCs w:val="24"/>
              </w:rPr>
            </w:pPr>
            <w:r w:rsidRPr="00675182">
              <w:rPr>
                <w:rFonts w:cstheme="minorHAnsi"/>
                <w:b/>
                <w:bCs/>
                <w:szCs w:val="24"/>
              </w:rPr>
              <w:t>Tūristu piesaiste</w:t>
            </w:r>
          </w:p>
        </w:tc>
        <w:tc>
          <w:tcPr>
            <w:tcW w:w="546" w:type="pct"/>
            <w:shd w:val="clear" w:color="auto" w:fill="D6E3BC" w:themeFill="accent3" w:themeFillTint="66"/>
          </w:tcPr>
          <w:p w14:paraId="26A8CB56" w14:textId="77777777" w:rsidR="00391323" w:rsidRPr="00675182" w:rsidRDefault="00391323" w:rsidP="00F413EA">
            <w:pPr>
              <w:jc w:val="center"/>
              <w:cnfStyle w:val="000000000000" w:firstRow="0" w:lastRow="0" w:firstColumn="0" w:lastColumn="0" w:oddVBand="0" w:evenVBand="0" w:oddHBand="0" w:evenHBand="0" w:firstRowFirstColumn="0" w:firstRowLastColumn="0" w:lastRowFirstColumn="0" w:lastRowLastColumn="0"/>
              <w:rPr>
                <w:rFonts w:cstheme="minorHAnsi"/>
                <w:b/>
                <w:bCs/>
                <w:szCs w:val="24"/>
              </w:rPr>
            </w:pPr>
            <w:r w:rsidRPr="00675182">
              <w:rPr>
                <w:rFonts w:cstheme="minorHAnsi"/>
                <w:b/>
                <w:bCs/>
                <w:szCs w:val="24"/>
              </w:rPr>
              <w:t>2018</w:t>
            </w:r>
          </w:p>
        </w:tc>
        <w:tc>
          <w:tcPr>
            <w:tcW w:w="539" w:type="pct"/>
            <w:shd w:val="clear" w:color="auto" w:fill="D6E3BC" w:themeFill="accent3" w:themeFillTint="66"/>
          </w:tcPr>
          <w:p w14:paraId="348D7AE2" w14:textId="77777777" w:rsidR="00391323" w:rsidRPr="00675182" w:rsidRDefault="00391323" w:rsidP="00F413EA">
            <w:pPr>
              <w:jc w:val="center"/>
              <w:cnfStyle w:val="000000000000" w:firstRow="0" w:lastRow="0" w:firstColumn="0" w:lastColumn="0" w:oddVBand="0" w:evenVBand="0" w:oddHBand="0" w:evenHBand="0" w:firstRowFirstColumn="0" w:firstRowLastColumn="0" w:lastRowFirstColumn="0" w:lastRowLastColumn="0"/>
              <w:rPr>
                <w:rFonts w:cstheme="minorHAnsi"/>
                <w:b/>
                <w:bCs/>
                <w:szCs w:val="24"/>
              </w:rPr>
            </w:pPr>
            <w:r w:rsidRPr="00675182">
              <w:rPr>
                <w:rFonts w:cstheme="minorHAnsi"/>
                <w:b/>
                <w:bCs/>
                <w:szCs w:val="24"/>
              </w:rPr>
              <w:t>2019</w:t>
            </w:r>
          </w:p>
        </w:tc>
        <w:tc>
          <w:tcPr>
            <w:tcW w:w="2381" w:type="pct"/>
            <w:shd w:val="clear" w:color="auto" w:fill="D6E3BC" w:themeFill="accent3" w:themeFillTint="66"/>
          </w:tcPr>
          <w:p w14:paraId="32B0055F" w14:textId="77777777" w:rsidR="00391323" w:rsidRPr="00675182" w:rsidRDefault="00391323" w:rsidP="00F413EA">
            <w:pPr>
              <w:jc w:val="center"/>
              <w:cnfStyle w:val="000000000000" w:firstRow="0" w:lastRow="0" w:firstColumn="0" w:lastColumn="0" w:oddVBand="0" w:evenVBand="0" w:oddHBand="0" w:evenHBand="0" w:firstRowFirstColumn="0" w:firstRowLastColumn="0" w:lastRowFirstColumn="0" w:lastRowLastColumn="0"/>
              <w:rPr>
                <w:rFonts w:cstheme="minorHAnsi"/>
                <w:b/>
                <w:bCs/>
                <w:szCs w:val="24"/>
              </w:rPr>
            </w:pPr>
            <w:r w:rsidRPr="00675182">
              <w:rPr>
                <w:rFonts w:cstheme="minorHAnsi"/>
                <w:b/>
                <w:bCs/>
                <w:szCs w:val="24"/>
              </w:rPr>
              <w:t>Piezīmes</w:t>
            </w:r>
          </w:p>
        </w:tc>
      </w:tr>
      <w:tr w:rsidR="00425F88" w:rsidRPr="00675182" w14:paraId="07827913"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726B0CC3"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t>1.</w:t>
            </w:r>
          </w:p>
        </w:tc>
        <w:tc>
          <w:tcPr>
            <w:tcW w:w="1219" w:type="pct"/>
          </w:tcPr>
          <w:p w14:paraId="0FD598F1"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rPr>
            </w:pPr>
            <w:r w:rsidRPr="00675182">
              <w:rPr>
                <w:rFonts w:cstheme="minorHAnsi"/>
                <w:sz w:val="22"/>
                <w:szCs w:val="22"/>
              </w:rPr>
              <w:t>Turaidas muzejrezervāts</w:t>
            </w:r>
          </w:p>
        </w:tc>
        <w:tc>
          <w:tcPr>
            <w:tcW w:w="546" w:type="pct"/>
            <w:vAlign w:val="center"/>
          </w:tcPr>
          <w:p w14:paraId="10591205"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rPr>
            </w:pPr>
            <w:r w:rsidRPr="00675182">
              <w:rPr>
                <w:rFonts w:cstheme="minorHAnsi"/>
                <w:sz w:val="22"/>
                <w:szCs w:val="22"/>
                <w:shd w:val="clear" w:color="auto" w:fill="FFFFFF"/>
              </w:rPr>
              <w:t>273312</w:t>
            </w:r>
          </w:p>
        </w:tc>
        <w:tc>
          <w:tcPr>
            <w:tcW w:w="539" w:type="pct"/>
            <w:vAlign w:val="center"/>
          </w:tcPr>
          <w:p w14:paraId="441513B2"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rPr>
            </w:pPr>
            <w:r w:rsidRPr="00675182">
              <w:rPr>
                <w:rFonts w:cstheme="minorHAnsi"/>
                <w:sz w:val="22"/>
                <w:szCs w:val="22"/>
                <w:shd w:val="clear" w:color="auto" w:fill="FFFFFF"/>
              </w:rPr>
              <w:t>286045</w:t>
            </w:r>
          </w:p>
        </w:tc>
        <w:tc>
          <w:tcPr>
            <w:tcW w:w="2381" w:type="pct"/>
            <w:vAlign w:val="center"/>
          </w:tcPr>
          <w:p w14:paraId="77A1713F"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rPr>
            </w:pPr>
            <w:r w:rsidRPr="00675182">
              <w:rPr>
                <w:rFonts w:cstheme="minorHAnsi"/>
                <w:sz w:val="22"/>
                <w:szCs w:val="22"/>
                <w:shd w:val="clear" w:color="auto" w:fill="FFFFFF"/>
              </w:rPr>
              <w:t>t.sk. ārvalstu tūristi organizētās grupās – 70907 (~25%)</w:t>
            </w:r>
          </w:p>
        </w:tc>
      </w:tr>
      <w:tr w:rsidR="00425F88" w:rsidRPr="00675182" w14:paraId="0D88BE39"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336B72B1"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t>2.</w:t>
            </w:r>
          </w:p>
        </w:tc>
        <w:tc>
          <w:tcPr>
            <w:tcW w:w="1219" w:type="pct"/>
          </w:tcPr>
          <w:p w14:paraId="3C1BD142"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Gūtmaņalas apmeklētāju centrs</w:t>
            </w:r>
          </w:p>
        </w:tc>
        <w:tc>
          <w:tcPr>
            <w:tcW w:w="546" w:type="pct"/>
            <w:vAlign w:val="center"/>
          </w:tcPr>
          <w:p w14:paraId="1237AC78"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dati pieprasīti</w:t>
            </w:r>
          </w:p>
        </w:tc>
        <w:tc>
          <w:tcPr>
            <w:tcW w:w="539" w:type="pct"/>
            <w:vAlign w:val="center"/>
          </w:tcPr>
          <w:p w14:paraId="7CE022C0"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140040</w:t>
            </w:r>
          </w:p>
        </w:tc>
        <w:tc>
          <w:tcPr>
            <w:tcW w:w="2381" w:type="pct"/>
            <w:vAlign w:val="center"/>
          </w:tcPr>
          <w:p w14:paraId="3DA21191" w14:textId="2ACE7A9B" w:rsidR="00391323" w:rsidRPr="00675182" w:rsidRDefault="00B63676"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Darba laikā veiktās uzskaites. 79,3% no visiem ir ārvalstu tūristi, tikai 0,2% vietējo siguldiešu, 20,5% Latvijas ceļotāju. 40,7% Latvijas ceļotāju ierodas uz “Zelta rudeni” septembrī un oktobrī. Ārvalstu ceļotāju skaits vasaras trijos mēnešos ir 56,1%. Februāra apmeklējumu skaits ir vien 0,8% no kopējā.</w:t>
            </w:r>
          </w:p>
        </w:tc>
      </w:tr>
      <w:tr w:rsidR="00425F88" w:rsidRPr="00675182" w14:paraId="2D6C2757"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51F63C51"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t>3.</w:t>
            </w:r>
          </w:p>
        </w:tc>
        <w:tc>
          <w:tcPr>
            <w:tcW w:w="1219" w:type="pct"/>
          </w:tcPr>
          <w:p w14:paraId="6E74BE53"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Līgatnes dabas takas</w:t>
            </w:r>
          </w:p>
        </w:tc>
        <w:tc>
          <w:tcPr>
            <w:tcW w:w="546" w:type="pct"/>
            <w:vAlign w:val="center"/>
          </w:tcPr>
          <w:p w14:paraId="0FB65A43"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59490</w:t>
            </w:r>
          </w:p>
        </w:tc>
        <w:tc>
          <w:tcPr>
            <w:tcW w:w="539" w:type="pct"/>
            <w:vAlign w:val="center"/>
          </w:tcPr>
          <w:p w14:paraId="61B1633A"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55469</w:t>
            </w:r>
          </w:p>
        </w:tc>
        <w:tc>
          <w:tcPr>
            <w:tcW w:w="2381" w:type="pct"/>
            <w:vAlign w:val="center"/>
          </w:tcPr>
          <w:p w14:paraId="6D388C52"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425F88" w:rsidRPr="00675182" w14:paraId="0F12E3BD"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292E10B2"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t>4.</w:t>
            </w:r>
          </w:p>
        </w:tc>
        <w:tc>
          <w:tcPr>
            <w:tcW w:w="1219" w:type="pct"/>
          </w:tcPr>
          <w:p w14:paraId="67433934"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Līgatnes pārceltuve</w:t>
            </w:r>
          </w:p>
        </w:tc>
        <w:tc>
          <w:tcPr>
            <w:tcW w:w="546" w:type="pct"/>
            <w:vAlign w:val="center"/>
          </w:tcPr>
          <w:p w14:paraId="18F6771B"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8192</w:t>
            </w:r>
          </w:p>
        </w:tc>
        <w:tc>
          <w:tcPr>
            <w:tcW w:w="539" w:type="pct"/>
            <w:vAlign w:val="center"/>
          </w:tcPr>
          <w:p w14:paraId="4243F9E9"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24642</w:t>
            </w:r>
          </w:p>
        </w:tc>
        <w:tc>
          <w:tcPr>
            <w:tcW w:w="2381" w:type="pct"/>
            <w:vAlign w:val="center"/>
          </w:tcPr>
          <w:p w14:paraId="44D734D7"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rPr>
            </w:pPr>
          </w:p>
        </w:tc>
      </w:tr>
      <w:tr w:rsidR="00425F88" w:rsidRPr="00675182" w14:paraId="56894758"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62B79603"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t>5.</w:t>
            </w:r>
          </w:p>
        </w:tc>
        <w:tc>
          <w:tcPr>
            <w:tcW w:w="1219" w:type="pct"/>
          </w:tcPr>
          <w:p w14:paraId="3802CE74"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Padomju slepenais bunkurs</w:t>
            </w:r>
          </w:p>
        </w:tc>
        <w:tc>
          <w:tcPr>
            <w:tcW w:w="546" w:type="pct"/>
            <w:vAlign w:val="center"/>
          </w:tcPr>
          <w:p w14:paraId="5EB6F80E"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22933</w:t>
            </w:r>
          </w:p>
        </w:tc>
        <w:tc>
          <w:tcPr>
            <w:tcW w:w="539" w:type="pct"/>
            <w:vAlign w:val="center"/>
          </w:tcPr>
          <w:p w14:paraId="2C57089B"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23669</w:t>
            </w:r>
          </w:p>
        </w:tc>
        <w:tc>
          <w:tcPr>
            <w:tcW w:w="2381" w:type="pct"/>
            <w:vAlign w:val="center"/>
          </w:tcPr>
          <w:p w14:paraId="21F1DBC8"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rPr>
            </w:pPr>
          </w:p>
        </w:tc>
      </w:tr>
      <w:tr w:rsidR="00425F88" w:rsidRPr="00675182" w14:paraId="4E25C7BE"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6B82E3F1"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t>6.</w:t>
            </w:r>
          </w:p>
        </w:tc>
        <w:tc>
          <w:tcPr>
            <w:tcW w:w="1219" w:type="pct"/>
          </w:tcPr>
          <w:p w14:paraId="176F80C0"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Vienkoču parks</w:t>
            </w:r>
          </w:p>
        </w:tc>
        <w:tc>
          <w:tcPr>
            <w:tcW w:w="546" w:type="pct"/>
            <w:vAlign w:val="center"/>
          </w:tcPr>
          <w:p w14:paraId="2BAB0451"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15000</w:t>
            </w:r>
          </w:p>
        </w:tc>
        <w:tc>
          <w:tcPr>
            <w:tcW w:w="539" w:type="pct"/>
            <w:vAlign w:val="center"/>
          </w:tcPr>
          <w:p w14:paraId="5AD1649A"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18700</w:t>
            </w:r>
          </w:p>
        </w:tc>
        <w:tc>
          <w:tcPr>
            <w:tcW w:w="2381" w:type="pct"/>
            <w:vAlign w:val="center"/>
          </w:tcPr>
          <w:p w14:paraId="2E0D453C"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rPr>
            </w:pPr>
          </w:p>
        </w:tc>
      </w:tr>
      <w:tr w:rsidR="00425F88" w:rsidRPr="00675182" w14:paraId="4AA4AC6E"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1A6C9FAA"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lastRenderedPageBreak/>
              <w:t>7.</w:t>
            </w:r>
          </w:p>
        </w:tc>
        <w:tc>
          <w:tcPr>
            <w:tcW w:w="1219" w:type="pct"/>
          </w:tcPr>
          <w:p w14:paraId="5435F5DA"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Līgatnes kultūrvēsturiskais centrs, alu pagrabi gida pavadībā</w:t>
            </w:r>
          </w:p>
        </w:tc>
        <w:tc>
          <w:tcPr>
            <w:tcW w:w="546" w:type="pct"/>
            <w:vAlign w:val="center"/>
          </w:tcPr>
          <w:p w14:paraId="352595C5"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2706</w:t>
            </w:r>
          </w:p>
        </w:tc>
        <w:tc>
          <w:tcPr>
            <w:tcW w:w="539" w:type="pct"/>
            <w:vAlign w:val="center"/>
          </w:tcPr>
          <w:p w14:paraId="7DEF7DC8"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4197</w:t>
            </w:r>
          </w:p>
        </w:tc>
        <w:tc>
          <w:tcPr>
            <w:tcW w:w="2381" w:type="pct"/>
            <w:vAlign w:val="center"/>
          </w:tcPr>
          <w:p w14:paraId="67B94BFA" w14:textId="5E5F616A" w:rsidR="00391323" w:rsidRPr="00675182" w:rsidRDefault="00035ED5"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rPr>
            </w:pPr>
            <w:r w:rsidRPr="00675182">
              <w:rPr>
                <w:rFonts w:cstheme="minorHAnsi"/>
                <w:sz w:val="22"/>
                <w:szCs w:val="22"/>
                <w:shd w:val="clear" w:color="auto" w:fill="FFFFFF"/>
              </w:rPr>
              <w:t>2020. gadā Līgatnes TIC ir apmeklējuši 12388 viesu un tūristu. Lielākais apmeklētāju skaits no Latvijas, Igaunijas un Lietuvas.</w:t>
            </w:r>
          </w:p>
        </w:tc>
      </w:tr>
      <w:tr w:rsidR="00425F88" w:rsidRPr="00675182" w14:paraId="78776C88" w14:textId="77777777" w:rsidTr="00035ED5">
        <w:trPr>
          <w:trHeight w:val="264"/>
        </w:trPr>
        <w:tc>
          <w:tcPr>
            <w:cnfStyle w:val="001000000000" w:firstRow="0" w:lastRow="0" w:firstColumn="1" w:lastColumn="0" w:oddVBand="0" w:evenVBand="0" w:oddHBand="0" w:evenHBand="0" w:firstRowFirstColumn="0" w:firstRowLastColumn="0" w:lastRowFirstColumn="0" w:lastRowLastColumn="0"/>
            <w:tcW w:w="316" w:type="pct"/>
          </w:tcPr>
          <w:p w14:paraId="2A77E668"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t>8.</w:t>
            </w:r>
          </w:p>
        </w:tc>
        <w:tc>
          <w:tcPr>
            <w:tcW w:w="1219" w:type="pct"/>
          </w:tcPr>
          <w:p w14:paraId="54CEF394"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Zvārtes iezis</w:t>
            </w:r>
          </w:p>
        </w:tc>
        <w:tc>
          <w:tcPr>
            <w:tcW w:w="1085" w:type="pct"/>
            <w:gridSpan w:val="2"/>
            <w:vAlign w:val="center"/>
          </w:tcPr>
          <w:p w14:paraId="22635FC4"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w:t>
            </w:r>
            <w:r w:rsidRPr="00675182">
              <w:rPr>
                <w:rFonts w:cstheme="minorHAnsi"/>
                <w:sz w:val="20"/>
                <w:shd w:val="clear" w:color="auto" w:fill="FFFFFF"/>
              </w:rPr>
              <w:t xml:space="preserve"> 42,25</w:t>
            </w:r>
            <w:r w:rsidRPr="00675182">
              <w:rPr>
                <w:rFonts w:cstheme="minorHAnsi"/>
                <w:sz w:val="22"/>
                <w:szCs w:val="22"/>
              </w:rPr>
              <w:t xml:space="preserve"> tk. gadā, vērtējot pēc apmeklētāju skaitītāja datiem</w:t>
            </w:r>
          </w:p>
        </w:tc>
        <w:tc>
          <w:tcPr>
            <w:tcW w:w="2381" w:type="pct"/>
            <w:vAlign w:val="center"/>
          </w:tcPr>
          <w:p w14:paraId="595DA45D"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10584 (2013. gada apmeklētāju centra dati – darba laikā)</w:t>
            </w:r>
          </w:p>
        </w:tc>
      </w:tr>
      <w:tr w:rsidR="00425F88" w:rsidRPr="00675182" w14:paraId="436F62FA" w14:textId="77777777" w:rsidTr="00035ED5">
        <w:trPr>
          <w:trHeight w:val="231"/>
        </w:trPr>
        <w:tc>
          <w:tcPr>
            <w:cnfStyle w:val="001000000000" w:firstRow="0" w:lastRow="0" w:firstColumn="1" w:lastColumn="0" w:oddVBand="0" w:evenVBand="0" w:oddHBand="0" w:evenHBand="0" w:firstRowFirstColumn="0" w:firstRowLastColumn="0" w:lastRowFirstColumn="0" w:lastRowLastColumn="0"/>
            <w:tcW w:w="316" w:type="pct"/>
          </w:tcPr>
          <w:p w14:paraId="188B9B10"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t>9.</w:t>
            </w:r>
          </w:p>
        </w:tc>
        <w:tc>
          <w:tcPr>
            <w:tcW w:w="1219" w:type="pct"/>
          </w:tcPr>
          <w:p w14:paraId="3EC87FD1"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Žagarkalns, slēpošanas bāze</w:t>
            </w:r>
          </w:p>
        </w:tc>
        <w:tc>
          <w:tcPr>
            <w:tcW w:w="546" w:type="pct"/>
            <w:vAlign w:val="center"/>
          </w:tcPr>
          <w:p w14:paraId="2CDC47F3"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40000</w:t>
            </w:r>
          </w:p>
        </w:tc>
        <w:tc>
          <w:tcPr>
            <w:tcW w:w="539" w:type="pct"/>
            <w:vAlign w:val="center"/>
          </w:tcPr>
          <w:p w14:paraId="19C0F2A5"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40366</w:t>
            </w:r>
          </w:p>
        </w:tc>
        <w:tc>
          <w:tcPr>
            <w:tcW w:w="2381" w:type="pct"/>
            <w:vAlign w:val="center"/>
          </w:tcPr>
          <w:p w14:paraId="1A2974B7"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425F88" w:rsidRPr="00675182" w14:paraId="3EBF7B1E" w14:textId="77777777" w:rsidTr="00035ED5">
        <w:trPr>
          <w:trHeight w:val="251"/>
        </w:trPr>
        <w:tc>
          <w:tcPr>
            <w:cnfStyle w:val="001000000000" w:firstRow="0" w:lastRow="0" w:firstColumn="1" w:lastColumn="0" w:oddVBand="0" w:evenVBand="0" w:oddHBand="0" w:evenHBand="0" w:firstRowFirstColumn="0" w:firstRowLastColumn="0" w:lastRowFirstColumn="0" w:lastRowLastColumn="0"/>
            <w:tcW w:w="316" w:type="pct"/>
          </w:tcPr>
          <w:p w14:paraId="2334EA23" w14:textId="77777777" w:rsidR="00391323" w:rsidRPr="00675182" w:rsidRDefault="00391323" w:rsidP="00F413EA">
            <w:pPr>
              <w:spacing w:before="60" w:after="60"/>
              <w:rPr>
                <w:rFonts w:cstheme="minorHAnsi"/>
                <w:b w:val="0"/>
                <w:sz w:val="22"/>
                <w:szCs w:val="22"/>
              </w:rPr>
            </w:pPr>
            <w:r w:rsidRPr="00675182">
              <w:rPr>
                <w:rFonts w:cstheme="minorHAnsi"/>
                <w:b w:val="0"/>
                <w:sz w:val="22"/>
                <w:szCs w:val="22"/>
              </w:rPr>
              <w:t>10.</w:t>
            </w:r>
          </w:p>
        </w:tc>
        <w:tc>
          <w:tcPr>
            <w:tcW w:w="1219" w:type="pct"/>
          </w:tcPr>
          <w:p w14:paraId="400707F9"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Ozolkalns, atpūtas parks</w:t>
            </w:r>
          </w:p>
        </w:tc>
        <w:tc>
          <w:tcPr>
            <w:tcW w:w="546" w:type="pct"/>
            <w:vAlign w:val="center"/>
          </w:tcPr>
          <w:p w14:paraId="68C9AB54"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19536</w:t>
            </w:r>
          </w:p>
        </w:tc>
        <w:tc>
          <w:tcPr>
            <w:tcW w:w="539" w:type="pct"/>
            <w:vAlign w:val="center"/>
          </w:tcPr>
          <w:p w14:paraId="1BBEA77C"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20252</w:t>
            </w:r>
          </w:p>
        </w:tc>
        <w:tc>
          <w:tcPr>
            <w:tcW w:w="2381" w:type="pct"/>
            <w:vAlign w:val="center"/>
          </w:tcPr>
          <w:p w14:paraId="7C2BFE16" w14:textId="77777777" w:rsidR="00391323" w:rsidRPr="00675182" w:rsidRDefault="00391323" w:rsidP="00F413EA">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r w:rsidR="00035ED5" w:rsidRPr="00675182" w14:paraId="72BA0276" w14:textId="77777777" w:rsidTr="00035ED5">
        <w:trPr>
          <w:trHeight w:val="458"/>
        </w:trPr>
        <w:tc>
          <w:tcPr>
            <w:cnfStyle w:val="001000000000" w:firstRow="0" w:lastRow="0" w:firstColumn="1" w:lastColumn="0" w:oddVBand="0" w:evenVBand="0" w:oddHBand="0" w:evenHBand="0" w:firstRowFirstColumn="0" w:firstRowLastColumn="0" w:lastRowFirstColumn="0" w:lastRowLastColumn="0"/>
            <w:tcW w:w="316" w:type="pct"/>
          </w:tcPr>
          <w:p w14:paraId="52E301BE" w14:textId="77777777" w:rsidR="00035ED5" w:rsidRPr="00675182" w:rsidRDefault="00035ED5" w:rsidP="00035ED5">
            <w:pPr>
              <w:spacing w:before="60" w:after="60"/>
              <w:rPr>
                <w:rFonts w:cstheme="minorHAnsi"/>
                <w:b w:val="0"/>
                <w:sz w:val="22"/>
                <w:szCs w:val="22"/>
              </w:rPr>
            </w:pPr>
            <w:r w:rsidRPr="00675182">
              <w:rPr>
                <w:rFonts w:cstheme="minorHAnsi"/>
                <w:b w:val="0"/>
                <w:sz w:val="22"/>
                <w:szCs w:val="22"/>
              </w:rPr>
              <w:t>11.</w:t>
            </w:r>
          </w:p>
        </w:tc>
        <w:tc>
          <w:tcPr>
            <w:tcW w:w="1219" w:type="pct"/>
          </w:tcPr>
          <w:p w14:paraId="69C6B9AD" w14:textId="77777777" w:rsidR="00035ED5" w:rsidRPr="00675182" w:rsidRDefault="00035ED5" w:rsidP="00035ED5">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Stirnubuks, taku skrējienu seriāls (2019. gada 5. oktobrī Ozolkalns; 2020. gada 15. augusts, Zvārtes iezis)</w:t>
            </w:r>
          </w:p>
        </w:tc>
        <w:tc>
          <w:tcPr>
            <w:tcW w:w="546" w:type="pct"/>
            <w:vAlign w:val="center"/>
          </w:tcPr>
          <w:p w14:paraId="07CE1205" w14:textId="77777777" w:rsidR="00035ED5" w:rsidRPr="00675182" w:rsidRDefault="00035ED5" w:rsidP="00035ED5">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3079</w:t>
            </w:r>
          </w:p>
        </w:tc>
        <w:tc>
          <w:tcPr>
            <w:tcW w:w="539" w:type="pct"/>
            <w:vAlign w:val="center"/>
          </w:tcPr>
          <w:p w14:paraId="0795FA13" w14:textId="77777777" w:rsidR="00035ED5" w:rsidRPr="00675182" w:rsidRDefault="00035ED5" w:rsidP="00035ED5">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2526</w:t>
            </w:r>
          </w:p>
        </w:tc>
        <w:tc>
          <w:tcPr>
            <w:tcW w:w="2381" w:type="pct"/>
          </w:tcPr>
          <w:p w14:paraId="1FA75D7B" w14:textId="62A0E048" w:rsidR="00035ED5" w:rsidRPr="00971B1E" w:rsidRDefault="00035ED5" w:rsidP="00035ED5">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BF7348">
              <w:rPr>
                <w:sz w:val="22"/>
                <w:szCs w:val="22"/>
              </w:rPr>
              <w:t>Dalībnieku – skrējēju skaits. Kopā ar organizatoriem, tirgotājiem, brīvprātīgajiem un faniem, līdzbraucējiem apmeklētāju pasākuma norises vietā ir vairāk (~ 21% / ~3900)</w:t>
            </w:r>
          </w:p>
        </w:tc>
      </w:tr>
      <w:tr w:rsidR="00035ED5" w:rsidRPr="00675182" w14:paraId="542F96A7" w14:textId="77777777" w:rsidTr="00035ED5">
        <w:trPr>
          <w:trHeight w:val="337"/>
        </w:trPr>
        <w:tc>
          <w:tcPr>
            <w:cnfStyle w:val="001000000000" w:firstRow="0" w:lastRow="0" w:firstColumn="1" w:lastColumn="0" w:oddVBand="0" w:evenVBand="0" w:oddHBand="0" w:evenHBand="0" w:firstRowFirstColumn="0" w:firstRowLastColumn="0" w:lastRowFirstColumn="0" w:lastRowLastColumn="0"/>
            <w:tcW w:w="316" w:type="pct"/>
          </w:tcPr>
          <w:p w14:paraId="64FD4D58" w14:textId="77777777" w:rsidR="00035ED5" w:rsidRPr="00675182" w:rsidRDefault="00035ED5" w:rsidP="00035ED5">
            <w:pPr>
              <w:spacing w:before="60" w:after="60"/>
              <w:rPr>
                <w:rFonts w:cstheme="minorHAnsi"/>
                <w:b w:val="0"/>
                <w:sz w:val="22"/>
                <w:szCs w:val="22"/>
              </w:rPr>
            </w:pPr>
            <w:r w:rsidRPr="00675182">
              <w:rPr>
                <w:rFonts w:cstheme="minorHAnsi"/>
                <w:b w:val="0"/>
                <w:sz w:val="22"/>
                <w:szCs w:val="22"/>
              </w:rPr>
              <w:t>12.</w:t>
            </w:r>
          </w:p>
        </w:tc>
        <w:tc>
          <w:tcPr>
            <w:tcW w:w="1219" w:type="pct"/>
          </w:tcPr>
          <w:p w14:paraId="648D1922" w14:textId="77777777" w:rsidR="00035ED5" w:rsidRPr="00675182"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Āraišu arheoloģiskais muzejparks</w:t>
            </w:r>
          </w:p>
        </w:tc>
        <w:tc>
          <w:tcPr>
            <w:tcW w:w="546" w:type="pct"/>
            <w:vAlign w:val="center"/>
          </w:tcPr>
          <w:p w14:paraId="140A2A56"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20734</w:t>
            </w:r>
          </w:p>
        </w:tc>
        <w:tc>
          <w:tcPr>
            <w:tcW w:w="539" w:type="pct"/>
            <w:vAlign w:val="center"/>
          </w:tcPr>
          <w:p w14:paraId="6506D7D1"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19353</w:t>
            </w:r>
          </w:p>
        </w:tc>
        <w:tc>
          <w:tcPr>
            <w:tcW w:w="2381" w:type="pct"/>
          </w:tcPr>
          <w:p w14:paraId="52925E11" w14:textId="4A914079" w:rsidR="00035ED5" w:rsidRPr="00971B1E"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BF7348">
              <w:rPr>
                <w:sz w:val="22"/>
                <w:szCs w:val="22"/>
              </w:rPr>
              <w:t>t.sk. ārvalstu tūristi (~26%)</w:t>
            </w:r>
          </w:p>
        </w:tc>
      </w:tr>
      <w:tr w:rsidR="00035ED5" w:rsidRPr="00675182" w14:paraId="39D18A92"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40B374C3" w14:textId="77777777" w:rsidR="00035ED5" w:rsidRPr="00675182" w:rsidRDefault="00035ED5" w:rsidP="00035ED5">
            <w:pPr>
              <w:spacing w:before="60" w:after="60"/>
              <w:rPr>
                <w:rFonts w:cstheme="minorHAnsi"/>
                <w:b w:val="0"/>
                <w:sz w:val="22"/>
                <w:szCs w:val="22"/>
              </w:rPr>
            </w:pPr>
            <w:r w:rsidRPr="00675182">
              <w:rPr>
                <w:rFonts w:cstheme="minorHAnsi"/>
                <w:b w:val="0"/>
                <w:sz w:val="22"/>
                <w:szCs w:val="22"/>
              </w:rPr>
              <w:t>13.</w:t>
            </w:r>
          </w:p>
        </w:tc>
        <w:tc>
          <w:tcPr>
            <w:tcW w:w="1219" w:type="pct"/>
          </w:tcPr>
          <w:p w14:paraId="3F932C7D" w14:textId="77777777" w:rsidR="00035ED5" w:rsidRPr="00675182"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Āraišu vējdzirnavas</w:t>
            </w:r>
          </w:p>
        </w:tc>
        <w:tc>
          <w:tcPr>
            <w:tcW w:w="546" w:type="pct"/>
            <w:vAlign w:val="center"/>
          </w:tcPr>
          <w:p w14:paraId="0C1E9479"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2150</w:t>
            </w:r>
          </w:p>
        </w:tc>
        <w:tc>
          <w:tcPr>
            <w:tcW w:w="539" w:type="pct"/>
            <w:vAlign w:val="center"/>
          </w:tcPr>
          <w:p w14:paraId="0C32B05D"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2150</w:t>
            </w:r>
          </w:p>
        </w:tc>
        <w:tc>
          <w:tcPr>
            <w:tcW w:w="2381" w:type="pct"/>
          </w:tcPr>
          <w:p w14:paraId="0FA4A16D" w14:textId="16B7B5C2" w:rsidR="00035ED5" w:rsidRPr="00971B1E"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BF7348">
              <w:rPr>
                <w:sz w:val="22"/>
                <w:szCs w:val="22"/>
              </w:rPr>
              <w:t>2-5 tūkstoši apmeklējumu gadā arī citos senākos gados</w:t>
            </w:r>
          </w:p>
        </w:tc>
      </w:tr>
      <w:tr w:rsidR="00035ED5" w:rsidRPr="00675182" w14:paraId="32F4995F"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36BDD0D1" w14:textId="77777777" w:rsidR="00035ED5" w:rsidRPr="00675182" w:rsidRDefault="00035ED5" w:rsidP="00035ED5">
            <w:pPr>
              <w:spacing w:before="60" w:after="60"/>
              <w:rPr>
                <w:rFonts w:cstheme="minorHAnsi"/>
                <w:b w:val="0"/>
                <w:sz w:val="22"/>
                <w:szCs w:val="22"/>
              </w:rPr>
            </w:pPr>
            <w:r w:rsidRPr="00675182">
              <w:rPr>
                <w:rFonts w:cstheme="minorHAnsi"/>
                <w:b w:val="0"/>
                <w:sz w:val="22"/>
                <w:szCs w:val="22"/>
              </w:rPr>
              <w:t>14.</w:t>
            </w:r>
          </w:p>
        </w:tc>
        <w:tc>
          <w:tcPr>
            <w:tcW w:w="1219" w:type="pct"/>
          </w:tcPr>
          <w:p w14:paraId="2B00AA3C" w14:textId="77777777" w:rsidR="00035ED5" w:rsidRPr="00675182"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Cecīļu dabas taka</w:t>
            </w:r>
          </w:p>
        </w:tc>
        <w:tc>
          <w:tcPr>
            <w:tcW w:w="546" w:type="pct"/>
            <w:vAlign w:val="center"/>
          </w:tcPr>
          <w:p w14:paraId="538F7E23"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3589</w:t>
            </w:r>
          </w:p>
        </w:tc>
        <w:tc>
          <w:tcPr>
            <w:tcW w:w="539" w:type="pct"/>
            <w:vAlign w:val="center"/>
          </w:tcPr>
          <w:p w14:paraId="42E6E359"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5890</w:t>
            </w:r>
          </w:p>
        </w:tc>
        <w:tc>
          <w:tcPr>
            <w:tcW w:w="2381" w:type="pct"/>
          </w:tcPr>
          <w:p w14:paraId="2EACB6FB" w14:textId="311D91EC" w:rsidR="00035ED5" w:rsidRPr="00971B1E"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BF7348">
              <w:rPr>
                <w:sz w:val="22"/>
                <w:szCs w:val="22"/>
              </w:rPr>
              <w:t>atvērta no 2015. g. rudens</w:t>
            </w:r>
          </w:p>
        </w:tc>
      </w:tr>
      <w:tr w:rsidR="00035ED5" w:rsidRPr="00675182" w14:paraId="4CBFE606"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6CAC9159" w14:textId="77777777" w:rsidR="00035ED5" w:rsidRPr="00675182" w:rsidRDefault="00035ED5" w:rsidP="00035ED5">
            <w:pPr>
              <w:spacing w:before="60" w:after="60"/>
              <w:rPr>
                <w:rFonts w:cstheme="minorHAnsi"/>
                <w:b w:val="0"/>
                <w:sz w:val="22"/>
                <w:szCs w:val="22"/>
              </w:rPr>
            </w:pPr>
            <w:r w:rsidRPr="00675182">
              <w:rPr>
                <w:rFonts w:cstheme="minorHAnsi"/>
                <w:b w:val="0"/>
                <w:sz w:val="22"/>
                <w:szCs w:val="22"/>
              </w:rPr>
              <w:t>15.</w:t>
            </w:r>
          </w:p>
        </w:tc>
        <w:tc>
          <w:tcPr>
            <w:tcW w:w="1219" w:type="pct"/>
          </w:tcPr>
          <w:p w14:paraId="3350FA3F" w14:textId="77777777" w:rsidR="00035ED5" w:rsidRPr="00675182"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Ieriķu dzirnavas</w:t>
            </w:r>
          </w:p>
        </w:tc>
        <w:tc>
          <w:tcPr>
            <w:tcW w:w="1085" w:type="pct"/>
            <w:gridSpan w:val="2"/>
            <w:vAlign w:val="center"/>
          </w:tcPr>
          <w:p w14:paraId="449D008E" w14:textId="77777777" w:rsidR="00035ED5" w:rsidRPr="00675182"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~15000</w:t>
            </w:r>
          </w:p>
        </w:tc>
        <w:tc>
          <w:tcPr>
            <w:tcW w:w="2381" w:type="pct"/>
            <w:vAlign w:val="center"/>
          </w:tcPr>
          <w:p w14:paraId="562B0DDE" w14:textId="77777777" w:rsidR="00035ED5" w:rsidRPr="00971B1E"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71B1E">
              <w:rPr>
                <w:rFonts w:cstheme="minorHAnsi"/>
                <w:sz w:val="22"/>
                <w:szCs w:val="22"/>
              </w:rPr>
              <w:t>Aptuvens apmeklējumus skaita vērtējums gadā</w:t>
            </w:r>
          </w:p>
        </w:tc>
      </w:tr>
      <w:tr w:rsidR="00035ED5" w:rsidRPr="00675182" w14:paraId="4CF17478"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78E84EFD" w14:textId="77777777" w:rsidR="00035ED5" w:rsidRPr="00675182" w:rsidRDefault="00035ED5" w:rsidP="00035ED5">
            <w:pPr>
              <w:spacing w:before="60" w:after="60"/>
              <w:rPr>
                <w:rFonts w:cstheme="minorHAnsi"/>
                <w:b w:val="0"/>
                <w:sz w:val="22"/>
                <w:szCs w:val="22"/>
              </w:rPr>
            </w:pPr>
            <w:r w:rsidRPr="00675182">
              <w:rPr>
                <w:rFonts w:cstheme="minorHAnsi"/>
                <w:b w:val="0"/>
                <w:sz w:val="22"/>
                <w:szCs w:val="22"/>
              </w:rPr>
              <w:t>16.</w:t>
            </w:r>
          </w:p>
        </w:tc>
        <w:tc>
          <w:tcPr>
            <w:tcW w:w="1219" w:type="pct"/>
          </w:tcPr>
          <w:p w14:paraId="032B45D0" w14:textId="77777777" w:rsidR="00035ED5" w:rsidRPr="00675182"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Dabas izglītības centrs Vecupītes</w:t>
            </w:r>
          </w:p>
        </w:tc>
        <w:tc>
          <w:tcPr>
            <w:tcW w:w="1085" w:type="pct"/>
            <w:gridSpan w:val="2"/>
            <w:vAlign w:val="center"/>
          </w:tcPr>
          <w:p w14:paraId="2E21E074" w14:textId="77777777" w:rsidR="00035ED5" w:rsidRPr="00675182" w:rsidRDefault="00035ED5" w:rsidP="00035ED5">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2550</w:t>
            </w:r>
          </w:p>
        </w:tc>
        <w:tc>
          <w:tcPr>
            <w:tcW w:w="2381" w:type="pct"/>
            <w:vAlign w:val="center"/>
          </w:tcPr>
          <w:p w14:paraId="64AC9C34" w14:textId="77777777" w:rsidR="00035ED5" w:rsidRPr="00971B1E"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971B1E">
              <w:rPr>
                <w:rFonts w:cstheme="minorHAnsi"/>
                <w:sz w:val="22"/>
                <w:szCs w:val="22"/>
              </w:rPr>
              <w:t>2020. gadā vairs oficiāli nedarbojas. 2016. gadā bija 893</w:t>
            </w:r>
          </w:p>
        </w:tc>
      </w:tr>
      <w:tr w:rsidR="00035ED5" w:rsidRPr="00675182" w14:paraId="0BCCE430" w14:textId="77777777" w:rsidTr="00035ED5">
        <w:trPr>
          <w:trHeight w:val="497"/>
        </w:trPr>
        <w:tc>
          <w:tcPr>
            <w:cnfStyle w:val="001000000000" w:firstRow="0" w:lastRow="0" w:firstColumn="1" w:lastColumn="0" w:oddVBand="0" w:evenVBand="0" w:oddHBand="0" w:evenHBand="0" w:firstRowFirstColumn="0" w:firstRowLastColumn="0" w:lastRowFirstColumn="0" w:lastRowLastColumn="0"/>
            <w:tcW w:w="316" w:type="pct"/>
          </w:tcPr>
          <w:p w14:paraId="660E09EA" w14:textId="77777777" w:rsidR="00035ED5" w:rsidRPr="00675182" w:rsidRDefault="00035ED5" w:rsidP="00035ED5">
            <w:pPr>
              <w:spacing w:before="60" w:after="60"/>
              <w:rPr>
                <w:rFonts w:cstheme="minorHAnsi"/>
                <w:b w:val="0"/>
                <w:sz w:val="22"/>
                <w:szCs w:val="22"/>
              </w:rPr>
            </w:pPr>
            <w:r w:rsidRPr="00675182">
              <w:rPr>
                <w:rFonts w:cstheme="minorHAnsi"/>
                <w:b w:val="0"/>
                <w:sz w:val="22"/>
                <w:szCs w:val="22"/>
              </w:rPr>
              <w:t>17.</w:t>
            </w:r>
          </w:p>
        </w:tc>
        <w:tc>
          <w:tcPr>
            <w:tcW w:w="1219" w:type="pct"/>
          </w:tcPr>
          <w:p w14:paraId="439F4C8B" w14:textId="77777777" w:rsidR="00035ED5" w:rsidRPr="00675182"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Ungurmuiža</w:t>
            </w:r>
          </w:p>
        </w:tc>
        <w:tc>
          <w:tcPr>
            <w:tcW w:w="546" w:type="pct"/>
            <w:vAlign w:val="center"/>
          </w:tcPr>
          <w:p w14:paraId="514857F9"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12250</w:t>
            </w:r>
          </w:p>
        </w:tc>
        <w:tc>
          <w:tcPr>
            <w:tcW w:w="539" w:type="pct"/>
            <w:vAlign w:val="center"/>
          </w:tcPr>
          <w:p w14:paraId="5F63BF60"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10818</w:t>
            </w:r>
          </w:p>
        </w:tc>
        <w:tc>
          <w:tcPr>
            <w:tcW w:w="2381" w:type="pct"/>
          </w:tcPr>
          <w:p w14:paraId="10B1B080" w14:textId="359C1E04" w:rsidR="00035ED5" w:rsidRPr="00971B1E"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BF7348">
              <w:rPr>
                <w:sz w:val="22"/>
                <w:szCs w:val="22"/>
              </w:rPr>
              <w:t>2019. gadā skaita samazinājums, jo piecus mēnešus muiža bija slēgta. Viesi no 37 dažādām valstīm.</w:t>
            </w:r>
          </w:p>
        </w:tc>
      </w:tr>
      <w:tr w:rsidR="00035ED5" w:rsidRPr="00675182" w14:paraId="6108CEEF" w14:textId="77777777" w:rsidTr="00035ED5">
        <w:tc>
          <w:tcPr>
            <w:cnfStyle w:val="001000000000" w:firstRow="0" w:lastRow="0" w:firstColumn="1" w:lastColumn="0" w:oddVBand="0" w:evenVBand="0" w:oddHBand="0" w:evenHBand="0" w:firstRowFirstColumn="0" w:firstRowLastColumn="0" w:lastRowFirstColumn="0" w:lastRowLastColumn="0"/>
            <w:tcW w:w="316" w:type="pct"/>
          </w:tcPr>
          <w:p w14:paraId="4E5AB611" w14:textId="77777777" w:rsidR="00035ED5" w:rsidRPr="00675182" w:rsidRDefault="00035ED5" w:rsidP="00035ED5">
            <w:pPr>
              <w:spacing w:before="60" w:after="60"/>
              <w:rPr>
                <w:rFonts w:cstheme="minorHAnsi"/>
                <w:b w:val="0"/>
                <w:sz w:val="22"/>
                <w:szCs w:val="22"/>
              </w:rPr>
            </w:pPr>
            <w:r w:rsidRPr="00675182">
              <w:rPr>
                <w:rFonts w:cstheme="minorHAnsi"/>
                <w:b w:val="0"/>
                <w:sz w:val="22"/>
                <w:szCs w:val="22"/>
              </w:rPr>
              <w:t>18.</w:t>
            </w:r>
          </w:p>
        </w:tc>
        <w:tc>
          <w:tcPr>
            <w:tcW w:w="1219" w:type="pct"/>
          </w:tcPr>
          <w:p w14:paraId="09077F99" w14:textId="77777777" w:rsidR="00035ED5" w:rsidRPr="00675182"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Eduarda Veidenbauma memoriālais muzejs ''Kalāči''</w:t>
            </w:r>
          </w:p>
        </w:tc>
        <w:tc>
          <w:tcPr>
            <w:tcW w:w="546" w:type="pct"/>
            <w:vAlign w:val="center"/>
          </w:tcPr>
          <w:p w14:paraId="7FB6C6C0"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2060</w:t>
            </w:r>
          </w:p>
        </w:tc>
        <w:tc>
          <w:tcPr>
            <w:tcW w:w="539" w:type="pct"/>
            <w:vAlign w:val="center"/>
          </w:tcPr>
          <w:p w14:paraId="21F3C078" w14:textId="77777777" w:rsidR="00035ED5" w:rsidRPr="00675182" w:rsidRDefault="00035ED5" w:rsidP="00035ED5">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75182">
              <w:rPr>
                <w:rFonts w:cstheme="minorHAnsi"/>
                <w:sz w:val="22"/>
                <w:szCs w:val="22"/>
              </w:rPr>
              <w:t>2429</w:t>
            </w:r>
          </w:p>
        </w:tc>
        <w:tc>
          <w:tcPr>
            <w:tcW w:w="2381" w:type="pct"/>
          </w:tcPr>
          <w:p w14:paraId="1F2B73DE" w14:textId="2A1F7FE9" w:rsidR="00035ED5" w:rsidRPr="00971B1E" w:rsidRDefault="00035ED5" w:rsidP="00035ED5">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BF7348">
              <w:rPr>
                <w:sz w:val="22"/>
                <w:szCs w:val="22"/>
              </w:rPr>
              <w:t>t.sk. ārvalstu tūristi organizētās grupās – 26 (1%)</w:t>
            </w:r>
          </w:p>
        </w:tc>
      </w:tr>
    </w:tbl>
    <w:p w14:paraId="29F78503" w14:textId="77777777" w:rsidR="00391323" w:rsidRPr="00675182" w:rsidRDefault="00391323" w:rsidP="00391323">
      <w:pPr>
        <w:rPr>
          <w:rFonts w:cstheme="minorHAnsi"/>
          <w:bCs/>
          <w:shd w:val="clear" w:color="auto" w:fill="FFFFFF"/>
        </w:rPr>
      </w:pPr>
      <w:r w:rsidRPr="00675182">
        <w:rPr>
          <w:rFonts w:cstheme="minorHAnsi"/>
          <w:bCs/>
          <w:sz w:val="20"/>
          <w:szCs w:val="16"/>
          <w:shd w:val="clear" w:color="auto" w:fill="FFFFFF"/>
        </w:rPr>
        <w:t>Datu avots: portāls Kulturasdati.lv, DAP, apsaimniekotāju sniegtie dati, Siguldas TIC, Cēsu TIC, Līgatnes TIC, Stirnubuks.lv u.c., 2020</w:t>
      </w:r>
      <w:r w:rsidRPr="00675182">
        <w:rPr>
          <w:rFonts w:cstheme="minorHAnsi"/>
          <w:bCs/>
          <w:shd w:val="clear" w:color="auto" w:fill="FFFFFF"/>
        </w:rPr>
        <w:t>)</w:t>
      </w:r>
    </w:p>
    <w:p w14:paraId="17B683EE" w14:textId="77777777" w:rsidR="00391323" w:rsidRPr="00675182" w:rsidRDefault="00391323" w:rsidP="00391323">
      <w:pPr>
        <w:rPr>
          <w:rFonts w:cstheme="minorHAnsi"/>
          <w:bCs/>
          <w:color w:val="1F497D" w:themeColor="text2"/>
          <w:shd w:val="clear" w:color="auto" w:fill="FFFFFF"/>
        </w:rPr>
      </w:pPr>
    </w:p>
    <w:p w14:paraId="5006ECC9" w14:textId="5AD9DDAC" w:rsidR="00035ED5" w:rsidRPr="00675182" w:rsidRDefault="00035ED5" w:rsidP="00035ED5">
      <w:pPr>
        <w:jc w:val="both"/>
        <w:rPr>
          <w:rFonts w:cstheme="minorHAnsi"/>
        </w:rPr>
      </w:pPr>
      <w:r w:rsidRPr="00675182">
        <w:rPr>
          <w:rFonts w:cstheme="minorHAnsi"/>
        </w:rPr>
        <w:t xml:space="preserve">1.3.3. tabulā iekļautas atsevišķi atlasītas tūristu piesaistes, kur tiek reģistrēts apmeklējumu skaits (ar biļetēm, elektronisku pieteikšanos, uzskaitēm u. tml.), kas dalījušies ar datiem. Dažādos objektos apmeklējumu skaits svārstās no diviem tūkstošiem līdz vairāk nekā 200 tūkstošiem. No tabulā neminētajiem ir vēl lielāks skaits privātās komercdarbības objektu, kur apmeklējumu skaits pārsniedz 100 tūkstošus, piemēram, piedzīvojumu parks Tarzāns; kalnu slēpošanas centros (ap 50 tūkstoši – </w:t>
      </w:r>
      <w:r w:rsidRPr="00675182">
        <w:rPr>
          <w:rFonts w:cstheme="minorHAnsi"/>
        </w:rPr>
        <w:lastRenderedPageBreak/>
        <w:t>taču krasi variē atkarībā no ziemas laikapstākļiem), virs 20 tūkstošiem gaisa trošu ceļš, Latvijas riteņbraucēju Vienības brauciens – 3580 (2019. gadā, bet bijuši arī vairāk nekā 5 tūkstoši dalībnieku). Notikuši arī dažādi liela apjoma korporatīvie pasākumi, tematiski publiskie pasākumi. Jāuzsver, ka apmeklējumu skaits dažādos objektos bieži saistīts ar vienu un to pašu cilvēku ceļošanu garākā maršrutā. Tomēr no antropogēnās slodzes, kā arī sociālekonomiskās ietekmes viedokļa katras vietas apmeklējums uzskatāms par vienu vienību, vajadzības gadījumā nošķirot, cik liels apmeklētāju skaits gada laikā apmeklē šo teritoriju.</w:t>
      </w:r>
    </w:p>
    <w:p w14:paraId="34B6B78F" w14:textId="77777777" w:rsidR="00035ED5" w:rsidRPr="00675182" w:rsidRDefault="00035ED5" w:rsidP="00035ED5">
      <w:pPr>
        <w:jc w:val="both"/>
        <w:rPr>
          <w:rFonts w:cstheme="minorHAnsi"/>
        </w:rPr>
      </w:pPr>
    </w:p>
    <w:p w14:paraId="7EB212F5" w14:textId="60ACA8F0" w:rsidR="00FA2D42" w:rsidRPr="00675182" w:rsidRDefault="00035ED5" w:rsidP="00035ED5">
      <w:pPr>
        <w:jc w:val="both"/>
        <w:rPr>
          <w:rFonts w:cstheme="minorHAnsi"/>
        </w:rPr>
      </w:pPr>
      <w:r w:rsidRPr="00675182">
        <w:rPr>
          <w:rFonts w:cstheme="minorHAnsi"/>
        </w:rPr>
        <w:t>Aptuveni vērtēts dažādu aktīvās atpūtas un āra vides sporta veidu segmentu lielums, kas ar dažādu regularitāti īsteno savas brīvā laika atpūtas aktivitātes GNP (skat. 1.3.4. tabulu).</w:t>
      </w:r>
    </w:p>
    <w:p w14:paraId="51153655" w14:textId="77777777" w:rsidR="00FA2D42" w:rsidRPr="00675182" w:rsidRDefault="00FA2D42">
      <w:pPr>
        <w:suppressAutoHyphens w:val="0"/>
        <w:rPr>
          <w:rFonts w:cstheme="minorHAnsi"/>
        </w:rPr>
      </w:pPr>
      <w:r w:rsidRPr="00675182">
        <w:rPr>
          <w:rFonts w:cstheme="minorHAnsi"/>
        </w:rPr>
        <w:br w:type="page"/>
      </w:r>
    </w:p>
    <w:p w14:paraId="386E12A9" w14:textId="77777777" w:rsidR="00FA2D42" w:rsidRPr="00675182" w:rsidRDefault="00FA2D42" w:rsidP="00391323">
      <w:pPr>
        <w:jc w:val="both"/>
        <w:rPr>
          <w:rFonts w:cstheme="minorHAnsi"/>
          <w:b/>
          <w:i/>
          <w:iCs/>
        </w:rPr>
        <w:sectPr w:rsidR="00FA2D42" w:rsidRPr="00675182" w:rsidSect="00CD74B1">
          <w:headerReference w:type="default" r:id="rId61"/>
          <w:pgSz w:w="11905" w:h="16837"/>
          <w:pgMar w:top="1440" w:right="1797" w:bottom="1440" w:left="1797" w:header="720" w:footer="720" w:gutter="0"/>
          <w:cols w:space="720"/>
          <w:docGrid w:linePitch="360"/>
        </w:sectPr>
      </w:pPr>
    </w:p>
    <w:p w14:paraId="3C7F5EF7" w14:textId="113A41D2" w:rsidR="00391323" w:rsidRPr="00675182" w:rsidRDefault="00391323" w:rsidP="00391323">
      <w:pPr>
        <w:jc w:val="both"/>
        <w:rPr>
          <w:rFonts w:cstheme="minorHAnsi"/>
        </w:rPr>
      </w:pPr>
      <w:r w:rsidRPr="00675182">
        <w:rPr>
          <w:rFonts w:cstheme="minorHAnsi"/>
          <w:b/>
          <w:i/>
          <w:iCs/>
        </w:rPr>
        <w:lastRenderedPageBreak/>
        <w:t xml:space="preserve">1.3.4. tabula. Atlasītu apmeklētāju segmentu kopējais skaita vērtējums, kas dažādas motivācijas vadīti apmeklē GNP </w:t>
      </w:r>
    </w:p>
    <w:tbl>
      <w:tblPr>
        <w:tblStyle w:val="Reatabula1gaia1"/>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666"/>
        <w:gridCol w:w="6240"/>
        <w:gridCol w:w="4312"/>
      </w:tblGrid>
      <w:tr w:rsidR="00373264" w:rsidRPr="00675182" w14:paraId="2343EEE1" w14:textId="77777777" w:rsidTr="00373264">
        <w:trPr>
          <w:cnfStyle w:val="100000000000" w:firstRow="1" w:lastRow="0" w:firstColumn="0" w:lastColumn="0" w:oddVBand="0" w:evenVBand="0" w:oddHBand="0" w:evenHBand="0" w:firstRowFirstColumn="0" w:firstRowLastColumn="0" w:lastRowFirstColumn="0" w:lastRowLastColumn="0"/>
          <w:trHeight w:val="263"/>
          <w:tblHeader/>
        </w:trPr>
        <w:tc>
          <w:tcPr>
            <w:cnfStyle w:val="001000000000" w:firstRow="0" w:lastRow="0" w:firstColumn="1" w:lastColumn="0" w:oddVBand="0" w:evenVBand="0" w:oddHBand="0" w:evenHBand="0" w:firstRowFirstColumn="0" w:firstRowLastColumn="0" w:lastRowFirstColumn="0" w:lastRowLastColumn="0"/>
            <w:tcW w:w="261" w:type="pct"/>
            <w:shd w:val="clear" w:color="auto" w:fill="D6E3BC" w:themeFill="accent3" w:themeFillTint="66"/>
            <w:vAlign w:val="center"/>
          </w:tcPr>
          <w:p w14:paraId="7DD2A2AF" w14:textId="77777777" w:rsidR="00373264" w:rsidRPr="00675182" w:rsidRDefault="00373264" w:rsidP="00373264">
            <w:pPr>
              <w:jc w:val="center"/>
              <w:rPr>
                <w:rFonts w:cstheme="minorHAnsi"/>
                <w:sz w:val="20"/>
              </w:rPr>
            </w:pPr>
            <w:r w:rsidRPr="00675182">
              <w:rPr>
                <w:rFonts w:cstheme="minorHAnsi"/>
                <w:sz w:val="20"/>
              </w:rPr>
              <w:t>Nr.p.k</w:t>
            </w:r>
          </w:p>
        </w:tc>
        <w:tc>
          <w:tcPr>
            <w:tcW w:w="956" w:type="pct"/>
            <w:shd w:val="clear" w:color="auto" w:fill="D6E3BC" w:themeFill="accent3" w:themeFillTint="66"/>
            <w:vAlign w:val="center"/>
          </w:tcPr>
          <w:p w14:paraId="14B7FF2D" w14:textId="77777777" w:rsidR="00373264" w:rsidRPr="00675182" w:rsidRDefault="00373264" w:rsidP="00373264">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Apmeklētāju segments</w:t>
            </w:r>
          </w:p>
        </w:tc>
        <w:tc>
          <w:tcPr>
            <w:tcW w:w="2237" w:type="pct"/>
            <w:shd w:val="clear" w:color="auto" w:fill="D6E3BC" w:themeFill="accent3" w:themeFillTint="66"/>
            <w:vAlign w:val="center"/>
          </w:tcPr>
          <w:p w14:paraId="71C50E87" w14:textId="77777777" w:rsidR="00373264" w:rsidRPr="00675182" w:rsidRDefault="00373264" w:rsidP="00373264">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Skaita vērtējums gadā (2019)</w:t>
            </w:r>
          </w:p>
        </w:tc>
        <w:tc>
          <w:tcPr>
            <w:tcW w:w="1546" w:type="pct"/>
            <w:shd w:val="clear" w:color="auto" w:fill="D6E3BC" w:themeFill="accent3" w:themeFillTint="66"/>
            <w:vAlign w:val="center"/>
          </w:tcPr>
          <w:p w14:paraId="2FCB3F30" w14:textId="77777777" w:rsidR="00373264" w:rsidRPr="00675182" w:rsidRDefault="00373264" w:rsidP="00373264">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Piezīmes (tostarp segmenta kopējais lielums Latvijā)</w:t>
            </w:r>
          </w:p>
        </w:tc>
      </w:tr>
      <w:tr w:rsidR="00373264" w:rsidRPr="00675182" w14:paraId="26D7AF3C"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002FEA6F" w14:textId="77777777" w:rsidR="00373264" w:rsidRPr="00675182" w:rsidRDefault="00373264" w:rsidP="00373264">
            <w:pPr>
              <w:spacing w:before="60" w:after="60"/>
              <w:rPr>
                <w:rFonts w:cstheme="minorHAnsi"/>
                <w:sz w:val="20"/>
              </w:rPr>
            </w:pPr>
            <w:r w:rsidRPr="00675182">
              <w:rPr>
                <w:rFonts w:cstheme="minorHAnsi"/>
                <w:sz w:val="20"/>
              </w:rPr>
              <w:t>1.</w:t>
            </w:r>
          </w:p>
        </w:tc>
        <w:tc>
          <w:tcPr>
            <w:tcW w:w="956" w:type="pct"/>
          </w:tcPr>
          <w:p w14:paraId="49415CBF"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Makšķernieki</w:t>
            </w:r>
          </w:p>
        </w:tc>
        <w:tc>
          <w:tcPr>
            <w:tcW w:w="2237" w:type="pct"/>
          </w:tcPr>
          <w:p w14:paraId="6B8FDC9C" w14:textId="559F4805"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shd w:val="clear" w:color="auto" w:fill="FFFFFF"/>
              </w:rPr>
            </w:pPr>
            <w:r w:rsidRPr="00675182">
              <w:rPr>
                <w:rFonts w:cstheme="minorHAnsi"/>
                <w:sz w:val="20"/>
              </w:rPr>
              <w:t>&gt;10 tk Gaujas baseina upēs (vecupēs) un GNP ezeros, ūdenskrātuvēs. Populārākās ūden</w:t>
            </w:r>
            <w:r w:rsidR="00F34549">
              <w:rPr>
                <w:rFonts w:cstheme="minorHAnsi"/>
                <w:sz w:val="20"/>
              </w:rPr>
              <w:t>s</w:t>
            </w:r>
            <w:r w:rsidRPr="00675182">
              <w:rPr>
                <w:rFonts w:cstheme="minorHAnsi"/>
                <w:sz w:val="20"/>
              </w:rPr>
              <w:t>tilpes: Gauja, Vaidavas ezers un Ungurs. T.sk. licencētā makšķerēšana Gaujā un Braslas upē (2. posms ietilpst GNP). Zemledus makšķerēšana Vaidavas un Ungura ezerā. No GNP iedzīvotāju aptaujas: 12 % makšķerē bieži ikdienā vai brīvdienās; 27 % retu reizi.</w:t>
            </w:r>
          </w:p>
        </w:tc>
        <w:tc>
          <w:tcPr>
            <w:tcW w:w="1546" w:type="pct"/>
          </w:tcPr>
          <w:p w14:paraId="090F3101" w14:textId="41367296"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hd w:val="clear" w:color="auto" w:fill="FFFFFF"/>
              </w:rPr>
            </w:pPr>
            <w:r w:rsidRPr="00675182">
              <w:rPr>
                <w:rFonts w:cstheme="minorHAnsi"/>
                <w:sz w:val="20"/>
              </w:rPr>
              <w:t>~150000 (līdz 10 % populācijas, taču makšķerēšanas karti publiskajiem ūdeņiem ik gadu iegādājas ap 100000)</w:t>
            </w:r>
          </w:p>
        </w:tc>
      </w:tr>
      <w:tr w:rsidR="00373264" w:rsidRPr="00675182" w14:paraId="5B669391"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3B6A494B" w14:textId="77777777" w:rsidR="00373264" w:rsidRPr="00675182" w:rsidRDefault="00373264" w:rsidP="00373264">
            <w:pPr>
              <w:spacing w:before="60" w:after="60"/>
              <w:rPr>
                <w:rFonts w:cstheme="minorHAnsi"/>
                <w:sz w:val="20"/>
              </w:rPr>
            </w:pPr>
            <w:r w:rsidRPr="00675182">
              <w:rPr>
                <w:rFonts w:cstheme="minorHAnsi"/>
                <w:sz w:val="20"/>
              </w:rPr>
              <w:t>2.</w:t>
            </w:r>
          </w:p>
        </w:tc>
        <w:tc>
          <w:tcPr>
            <w:tcW w:w="956" w:type="pct"/>
          </w:tcPr>
          <w:p w14:paraId="778A9A6F"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Mednieki</w:t>
            </w:r>
          </w:p>
        </w:tc>
        <w:tc>
          <w:tcPr>
            <w:tcW w:w="2237" w:type="pct"/>
          </w:tcPr>
          <w:p w14:paraId="1B538C83"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shd w:val="clear" w:color="auto" w:fill="FFFFFF"/>
              </w:rPr>
            </w:pPr>
            <w:r w:rsidRPr="00675182">
              <w:rPr>
                <w:rFonts w:cstheme="minorHAnsi"/>
                <w:sz w:val="20"/>
              </w:rPr>
              <w:t>Vairāki simti mednieku no kolektīviem/biedrībām (t.sk. “Kārļi”, “Zaķītis”, “Lenči”, “Raiskums”, “Veselava”, “Jaunrauna”, “Kaugurieši” “Mores pagasta mednieku biedrība”, “Blāzma”, “Zēgevalde”, “Mārkulīči”, “Tutraida”, “Salc zaļais mežs”, “Grīviņi”, “Dadžupīte”, “Kvēpene”, “Kocēni”, “Vildoga”, “Melderi”, “Priekuļi”, “Rāmuļi”, “Priedes”, “Rūķitis”, “Virsāji”, “Ziluži”, “Gaujmalietis-1”, “Cēsu būvnieks”, “Kumada”, “Līvi”, “Liepa”, “Veselavas mednieks”, “Krimulda”), kā arī daļa no Valmieras Mednieku un makšķernieku biedrības aktivitātēm, Nītaures mednieku kluba aktivitātēm u.c.</w:t>
            </w:r>
          </w:p>
        </w:tc>
        <w:tc>
          <w:tcPr>
            <w:tcW w:w="1546" w:type="pct"/>
          </w:tcPr>
          <w:p w14:paraId="6F423E8D"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hd w:val="clear" w:color="auto" w:fill="FFFFFF"/>
              </w:rPr>
            </w:pPr>
            <w:r w:rsidRPr="00675182">
              <w:rPr>
                <w:rFonts w:cstheme="minorHAnsi"/>
                <w:sz w:val="20"/>
              </w:rPr>
              <w:t>~25000 atbilstoši Latvijas Mednieku asociācijas datiem</w:t>
            </w:r>
          </w:p>
        </w:tc>
      </w:tr>
      <w:tr w:rsidR="00373264" w:rsidRPr="00675182" w14:paraId="72D56D71"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093814B2" w14:textId="77777777" w:rsidR="00373264" w:rsidRPr="00675182" w:rsidRDefault="00373264" w:rsidP="00373264">
            <w:pPr>
              <w:spacing w:before="60" w:after="60"/>
              <w:rPr>
                <w:rFonts w:cstheme="minorHAnsi"/>
                <w:sz w:val="20"/>
              </w:rPr>
            </w:pPr>
            <w:r w:rsidRPr="00675182">
              <w:rPr>
                <w:rFonts w:cstheme="minorHAnsi"/>
                <w:sz w:val="20"/>
              </w:rPr>
              <w:t>3.</w:t>
            </w:r>
          </w:p>
        </w:tc>
        <w:tc>
          <w:tcPr>
            <w:tcW w:w="956" w:type="pct"/>
          </w:tcPr>
          <w:p w14:paraId="477E9D2C"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Sēņotāji</w:t>
            </w:r>
          </w:p>
        </w:tc>
        <w:tc>
          <w:tcPr>
            <w:tcW w:w="2237" w:type="pct"/>
          </w:tcPr>
          <w:p w14:paraId="5F6076C7"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&gt;25000 (~70% no GNP iedzīvotājiem) + līdzīgs skaits no tuvākās apkārtnes. No GNP iedzīvotāju aptaujas: 41 % sēņo bieži ikdienā vai brīvdienās; 39 % retu reizi.</w:t>
            </w:r>
          </w:p>
        </w:tc>
        <w:tc>
          <w:tcPr>
            <w:tcW w:w="1546" w:type="pct"/>
          </w:tcPr>
          <w:p w14:paraId="12B98950"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70 % populācijas (ar dažādu regularitāti). Vairāk vecākās paaudzes, vairāk sievietes.</w:t>
            </w:r>
          </w:p>
        </w:tc>
      </w:tr>
      <w:tr w:rsidR="00373264" w:rsidRPr="00675182" w14:paraId="5A46305B"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00D48EC7" w14:textId="77777777" w:rsidR="00373264" w:rsidRPr="00675182" w:rsidRDefault="00373264" w:rsidP="00373264">
            <w:pPr>
              <w:spacing w:before="60" w:after="60"/>
              <w:rPr>
                <w:rFonts w:cstheme="minorHAnsi"/>
                <w:sz w:val="20"/>
              </w:rPr>
            </w:pPr>
            <w:r w:rsidRPr="00675182">
              <w:rPr>
                <w:rFonts w:cstheme="minorHAnsi"/>
                <w:sz w:val="20"/>
              </w:rPr>
              <w:t>4.</w:t>
            </w:r>
          </w:p>
        </w:tc>
        <w:tc>
          <w:tcPr>
            <w:tcW w:w="956" w:type="pct"/>
          </w:tcPr>
          <w:p w14:paraId="75760C2E"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Ogotāji</w:t>
            </w:r>
          </w:p>
        </w:tc>
        <w:tc>
          <w:tcPr>
            <w:tcW w:w="2237" w:type="pct"/>
          </w:tcPr>
          <w:p w14:paraId="4CBE4124"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Ogotāju intensitāte ir mazāka, nekā sēņotāju. No GNP iedzīvotāju aptaujas: 26 % ogo bieži ikdienā vai brīvdienās; 44 % retu reizi. Ogo arī rezervāta zonā – Sudas purvā.</w:t>
            </w:r>
          </w:p>
        </w:tc>
        <w:tc>
          <w:tcPr>
            <w:tcW w:w="1546" w:type="pct"/>
          </w:tcPr>
          <w:p w14:paraId="39D5CDD5"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373264" w:rsidRPr="00675182" w14:paraId="363E5529"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51B9F3F1" w14:textId="77777777" w:rsidR="00373264" w:rsidRPr="00675182" w:rsidRDefault="00373264" w:rsidP="00373264">
            <w:pPr>
              <w:spacing w:before="60" w:after="60"/>
              <w:rPr>
                <w:rFonts w:cstheme="minorHAnsi"/>
                <w:sz w:val="20"/>
              </w:rPr>
            </w:pPr>
            <w:r w:rsidRPr="00675182">
              <w:rPr>
                <w:rFonts w:cstheme="minorHAnsi"/>
                <w:sz w:val="20"/>
              </w:rPr>
              <w:t>5.</w:t>
            </w:r>
          </w:p>
        </w:tc>
        <w:tc>
          <w:tcPr>
            <w:tcW w:w="956" w:type="pct"/>
          </w:tcPr>
          <w:p w14:paraId="65D03911"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Ārstniecības augu vācēji</w:t>
            </w:r>
          </w:p>
        </w:tc>
        <w:tc>
          <w:tcPr>
            <w:tcW w:w="2237" w:type="pct"/>
          </w:tcPr>
          <w:p w14:paraId="002A3D30"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No GNP iedzīvotāju aptaujas: 20,5 % ārstniecības augus vāc bieži ikdienā vai brīvdienās; 45 % retu reizi.</w:t>
            </w:r>
          </w:p>
        </w:tc>
        <w:tc>
          <w:tcPr>
            <w:tcW w:w="1546" w:type="pct"/>
          </w:tcPr>
          <w:p w14:paraId="6F79FF26"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373264" w:rsidRPr="00675182" w14:paraId="34E903E3"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1055CD9B" w14:textId="77777777" w:rsidR="00373264" w:rsidRPr="00675182" w:rsidRDefault="00373264" w:rsidP="00373264">
            <w:pPr>
              <w:spacing w:before="60" w:after="60"/>
              <w:rPr>
                <w:rFonts w:cstheme="minorHAnsi"/>
                <w:sz w:val="20"/>
              </w:rPr>
            </w:pPr>
            <w:r w:rsidRPr="00675182">
              <w:rPr>
                <w:rFonts w:cstheme="minorHAnsi"/>
                <w:sz w:val="20"/>
              </w:rPr>
              <w:t>6.</w:t>
            </w:r>
          </w:p>
        </w:tc>
        <w:tc>
          <w:tcPr>
            <w:tcW w:w="956" w:type="pct"/>
          </w:tcPr>
          <w:p w14:paraId="46BD6044"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Vietējie iedzīvotāji, kuri nodarbojas ar fiziskām aktivitātēm dabā</w:t>
            </w:r>
          </w:p>
        </w:tc>
        <w:tc>
          <w:tcPr>
            <w:tcW w:w="2237" w:type="pct"/>
          </w:tcPr>
          <w:p w14:paraId="6A22E9F1"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No GNP iedzīvotāju aptaujas: 48,2 % bieži ikdienā vai brīvdienās; 39,4 % retu reizi.</w:t>
            </w:r>
          </w:p>
        </w:tc>
        <w:tc>
          <w:tcPr>
            <w:tcW w:w="1546" w:type="pct"/>
          </w:tcPr>
          <w:p w14:paraId="5875A934"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373264" w:rsidRPr="00675182" w14:paraId="0530E86D"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6A46E6B1" w14:textId="77777777" w:rsidR="00373264" w:rsidRPr="00675182" w:rsidRDefault="00373264" w:rsidP="00373264">
            <w:pPr>
              <w:spacing w:before="60" w:after="60"/>
              <w:rPr>
                <w:rFonts w:cstheme="minorHAnsi"/>
                <w:sz w:val="20"/>
              </w:rPr>
            </w:pPr>
            <w:r w:rsidRPr="00675182">
              <w:rPr>
                <w:rFonts w:cstheme="minorHAnsi"/>
                <w:sz w:val="20"/>
              </w:rPr>
              <w:t>7.</w:t>
            </w:r>
          </w:p>
        </w:tc>
        <w:tc>
          <w:tcPr>
            <w:tcW w:w="956" w:type="pct"/>
          </w:tcPr>
          <w:p w14:paraId="3D0CFC3A"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Vietējie iedzīvotāji, kuri dodas garākās pastaigās</w:t>
            </w:r>
          </w:p>
        </w:tc>
        <w:tc>
          <w:tcPr>
            <w:tcW w:w="2237" w:type="pct"/>
          </w:tcPr>
          <w:p w14:paraId="36351470"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No GNP iedzīvotāju aptaujas: 78,8 % bieži ikdienā vai brīvdienās; 19,5 % retu reizi.</w:t>
            </w:r>
          </w:p>
        </w:tc>
        <w:tc>
          <w:tcPr>
            <w:tcW w:w="1546" w:type="pct"/>
          </w:tcPr>
          <w:p w14:paraId="2D5DDE96"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373264" w:rsidRPr="00675182" w14:paraId="46D7AB0E"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40515F76" w14:textId="77777777" w:rsidR="00373264" w:rsidRPr="00675182" w:rsidRDefault="00373264" w:rsidP="00373264">
            <w:pPr>
              <w:spacing w:before="60" w:after="60"/>
              <w:rPr>
                <w:rFonts w:cstheme="minorHAnsi"/>
                <w:sz w:val="20"/>
              </w:rPr>
            </w:pPr>
            <w:r w:rsidRPr="00675182">
              <w:rPr>
                <w:rFonts w:cstheme="minorHAnsi"/>
                <w:sz w:val="20"/>
              </w:rPr>
              <w:lastRenderedPageBreak/>
              <w:t>8.</w:t>
            </w:r>
          </w:p>
        </w:tc>
        <w:tc>
          <w:tcPr>
            <w:tcW w:w="956" w:type="pct"/>
          </w:tcPr>
          <w:p w14:paraId="0CC7FEBF"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Vietējie iedzīvotāji, kuri sezonā peldas, atpūšas pie ūdens</w:t>
            </w:r>
          </w:p>
        </w:tc>
        <w:tc>
          <w:tcPr>
            <w:tcW w:w="2237" w:type="pct"/>
          </w:tcPr>
          <w:p w14:paraId="6F84A6CC"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No GNP iedzīvotāju aptaujas: 64,5 % bieži ikdienā vai brīvdienās; 31,5 % retu reizi.</w:t>
            </w:r>
          </w:p>
        </w:tc>
        <w:tc>
          <w:tcPr>
            <w:tcW w:w="1546" w:type="pct"/>
          </w:tcPr>
          <w:p w14:paraId="4EFFCFE7"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373264" w:rsidRPr="00675182" w14:paraId="47E08E3B"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5ACA25A1" w14:textId="77777777" w:rsidR="00373264" w:rsidRPr="00675182" w:rsidRDefault="00373264" w:rsidP="00373264">
            <w:pPr>
              <w:spacing w:before="60" w:after="60"/>
              <w:rPr>
                <w:rFonts w:cstheme="minorHAnsi"/>
                <w:sz w:val="20"/>
              </w:rPr>
            </w:pPr>
            <w:r w:rsidRPr="00675182">
              <w:rPr>
                <w:rFonts w:cstheme="minorHAnsi"/>
                <w:sz w:val="20"/>
              </w:rPr>
              <w:t>9.</w:t>
            </w:r>
          </w:p>
        </w:tc>
        <w:tc>
          <w:tcPr>
            <w:tcW w:w="956" w:type="pct"/>
          </w:tcPr>
          <w:p w14:paraId="181280C2"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Ziemas peldētāji</w:t>
            </w:r>
          </w:p>
        </w:tc>
        <w:tc>
          <w:tcPr>
            <w:tcW w:w="2237" w:type="pct"/>
          </w:tcPr>
          <w:p w14:paraId="18E26234"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~200 (aktīvākie Niniera ezers, Gauja). Popularitāte pieaug.</w:t>
            </w:r>
          </w:p>
        </w:tc>
        <w:tc>
          <w:tcPr>
            <w:tcW w:w="1546" w:type="pct"/>
          </w:tcPr>
          <w:p w14:paraId="3FDE228F"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~10000</w:t>
            </w:r>
          </w:p>
        </w:tc>
      </w:tr>
      <w:tr w:rsidR="00373264" w:rsidRPr="00675182" w14:paraId="502BDE6E"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0CBD55D0" w14:textId="77777777" w:rsidR="00373264" w:rsidRPr="00675182" w:rsidRDefault="00373264" w:rsidP="00373264">
            <w:pPr>
              <w:spacing w:before="60" w:after="60"/>
              <w:rPr>
                <w:rFonts w:cstheme="minorHAnsi"/>
                <w:sz w:val="20"/>
              </w:rPr>
            </w:pPr>
            <w:r w:rsidRPr="00675182">
              <w:rPr>
                <w:rFonts w:cstheme="minorHAnsi"/>
                <w:sz w:val="20"/>
              </w:rPr>
              <w:t>10.</w:t>
            </w:r>
          </w:p>
        </w:tc>
        <w:tc>
          <w:tcPr>
            <w:tcW w:w="956" w:type="pct"/>
          </w:tcPr>
          <w:p w14:paraId="5691C103"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Atpūtas laivu braucēji Gaujā u.c.</w:t>
            </w:r>
          </w:p>
        </w:tc>
        <w:tc>
          <w:tcPr>
            <w:tcW w:w="2237" w:type="pct"/>
          </w:tcPr>
          <w:p w14:paraId="30A66FA0"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420 (2019) no viena laivu operatora; 450 (2018). Vērtētais apjoms ~50 tk. laivu braucienu Gaujā, Amatā, Braslā, sezonāli – arī mazākajās pietekās gada laikā kopumā. Populārākie posmi: Cēsis-Sigulda, Līgatne-Sigulda. Gaujas NP laivu nomas operatoru vērtējums: sezona: aprīlis-oktobris; ~80% upes maršrutos ir komerciālās nomas laivas, ~55% kanoe; ~75% Latvijas tūristi.</w:t>
            </w:r>
          </w:p>
        </w:tc>
        <w:tc>
          <w:tcPr>
            <w:tcW w:w="1546" w:type="pct"/>
          </w:tcPr>
          <w:p w14:paraId="7C15174D"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Laivu braucienu skaits mainās atkarībā no palu intensitātes un vasaras sezonas laikapstākļiem. Gauja un tās pietekas GNP ir populārākais ūdenstūrisma galamērķis Baltijā. Lielākoties brauc draugu kompānijas.</w:t>
            </w:r>
          </w:p>
        </w:tc>
      </w:tr>
      <w:tr w:rsidR="00373264" w:rsidRPr="00675182" w14:paraId="168F7D9B"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3E010CBC" w14:textId="77777777" w:rsidR="00373264" w:rsidRPr="00675182" w:rsidRDefault="00373264" w:rsidP="00373264">
            <w:pPr>
              <w:spacing w:before="60" w:after="60"/>
              <w:rPr>
                <w:rFonts w:cstheme="minorHAnsi"/>
                <w:sz w:val="20"/>
              </w:rPr>
            </w:pPr>
            <w:r w:rsidRPr="00675182">
              <w:rPr>
                <w:rFonts w:cstheme="minorHAnsi"/>
                <w:sz w:val="20"/>
              </w:rPr>
              <w:t>11.</w:t>
            </w:r>
          </w:p>
        </w:tc>
        <w:tc>
          <w:tcPr>
            <w:tcW w:w="956" w:type="pct"/>
          </w:tcPr>
          <w:p w14:paraId="49525BEB"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Sportiskie laivu braucēji pavasarī Amatā</w:t>
            </w:r>
          </w:p>
        </w:tc>
        <w:tc>
          <w:tcPr>
            <w:tcW w:w="2237" w:type="pct"/>
          </w:tcPr>
          <w:p w14:paraId="779D151E"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~1000</w:t>
            </w:r>
          </w:p>
        </w:tc>
        <w:tc>
          <w:tcPr>
            <w:tcW w:w="1546" w:type="pct"/>
          </w:tcPr>
          <w:p w14:paraId="60401C6D"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Skaits mainīgs – atkarībā no palu sezonas. Pieaug mazāko Gaujas baseina upju izmantošana palu laikā.</w:t>
            </w:r>
          </w:p>
        </w:tc>
      </w:tr>
      <w:tr w:rsidR="00373264" w:rsidRPr="00675182" w14:paraId="13810908"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19D26E64" w14:textId="77777777" w:rsidR="00373264" w:rsidRPr="00675182" w:rsidRDefault="00373264" w:rsidP="00373264">
            <w:pPr>
              <w:spacing w:before="60" w:after="60"/>
              <w:rPr>
                <w:rFonts w:cstheme="minorHAnsi"/>
                <w:sz w:val="20"/>
              </w:rPr>
            </w:pPr>
            <w:r w:rsidRPr="00675182">
              <w:rPr>
                <w:rFonts w:cstheme="minorHAnsi"/>
                <w:sz w:val="20"/>
              </w:rPr>
              <w:t>12.</w:t>
            </w:r>
          </w:p>
        </w:tc>
        <w:tc>
          <w:tcPr>
            <w:tcW w:w="956" w:type="pct"/>
          </w:tcPr>
          <w:p w14:paraId="38E1A5F4"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Orientieristi</w:t>
            </w:r>
          </w:p>
        </w:tc>
        <w:tc>
          <w:tcPr>
            <w:tcW w:w="2237" w:type="pct"/>
          </w:tcPr>
          <w:p w14:paraId="43A86140"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shd w:val="clear" w:color="auto" w:fill="FFFFFF"/>
              </w:rPr>
              <w:t xml:space="preserve">~4000 </w:t>
            </w:r>
            <w:r w:rsidRPr="00675182">
              <w:rPr>
                <w:rFonts w:cstheme="minorHAnsi"/>
                <w:i/>
                <w:sz w:val="20"/>
                <w:shd w:val="clear" w:color="auto" w:fill="FFFFFF"/>
              </w:rPr>
              <w:t>(Valmieras “Magnēts”, Cēsu “Meridiāns”, Siguldas “Kompass”, Rīgas “Magnēts”, kā arī atsevišķas sacensības, rogainings)</w:t>
            </w:r>
          </w:p>
        </w:tc>
        <w:tc>
          <w:tcPr>
            <w:tcW w:w="1546" w:type="pct"/>
          </w:tcPr>
          <w:p w14:paraId="2DA7A566"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shd w:val="clear" w:color="auto" w:fill="FFFFFF"/>
              </w:rPr>
              <w:t>Kopējais segmenta lielums Latvijā ~20000, no tiem reģistrēti sporta klubos ~2500.</w:t>
            </w:r>
          </w:p>
        </w:tc>
      </w:tr>
      <w:tr w:rsidR="00373264" w:rsidRPr="00675182" w14:paraId="5F31A693"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58443C9D" w14:textId="77777777" w:rsidR="00373264" w:rsidRPr="00675182" w:rsidRDefault="00373264" w:rsidP="00373264">
            <w:pPr>
              <w:spacing w:before="60" w:after="60"/>
              <w:rPr>
                <w:rFonts w:cstheme="minorHAnsi"/>
                <w:sz w:val="20"/>
              </w:rPr>
            </w:pPr>
            <w:r w:rsidRPr="00675182">
              <w:rPr>
                <w:rFonts w:cstheme="minorHAnsi"/>
                <w:sz w:val="20"/>
              </w:rPr>
              <w:t>13.</w:t>
            </w:r>
          </w:p>
        </w:tc>
        <w:tc>
          <w:tcPr>
            <w:tcW w:w="956" w:type="pct"/>
          </w:tcPr>
          <w:p w14:paraId="4CD64287"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Taku skrējēji</w:t>
            </w:r>
          </w:p>
        </w:tc>
        <w:tc>
          <w:tcPr>
            <w:tcW w:w="2237" w:type="pct"/>
          </w:tcPr>
          <w:p w14:paraId="52C319AC"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shd w:val="clear" w:color="auto" w:fill="FFFFFF"/>
              </w:rPr>
            </w:pPr>
            <w:r w:rsidRPr="00675182">
              <w:rPr>
                <w:rFonts w:cstheme="minorHAnsi"/>
                <w:sz w:val="20"/>
              </w:rPr>
              <w:t>~5000 regulāru, &gt;10000 retāk</w:t>
            </w:r>
          </w:p>
        </w:tc>
        <w:tc>
          <w:tcPr>
            <w:tcW w:w="1546" w:type="pct"/>
          </w:tcPr>
          <w:p w14:paraId="21BCB327"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hd w:val="clear" w:color="auto" w:fill="FFFFFF"/>
              </w:rPr>
            </w:pPr>
            <w:r w:rsidRPr="00675182">
              <w:rPr>
                <w:rFonts w:cstheme="minorHAnsi"/>
                <w:sz w:val="20"/>
                <w:shd w:val="clear" w:color="auto" w:fill="FFFFFF"/>
              </w:rPr>
              <w:t>Rīgas maratona skrējēju skaits dažādās distancēs līdz 45 tk.</w:t>
            </w:r>
          </w:p>
        </w:tc>
      </w:tr>
      <w:tr w:rsidR="00373264" w:rsidRPr="00675182" w14:paraId="315968F3"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0ED03337" w14:textId="77777777" w:rsidR="00373264" w:rsidRPr="00675182" w:rsidRDefault="00373264" w:rsidP="00373264">
            <w:pPr>
              <w:spacing w:before="60" w:after="60"/>
              <w:rPr>
                <w:rFonts w:cstheme="minorHAnsi"/>
                <w:sz w:val="20"/>
              </w:rPr>
            </w:pPr>
            <w:r w:rsidRPr="00675182">
              <w:rPr>
                <w:rFonts w:cstheme="minorHAnsi"/>
                <w:sz w:val="20"/>
              </w:rPr>
              <w:t>14.</w:t>
            </w:r>
          </w:p>
        </w:tc>
        <w:tc>
          <w:tcPr>
            <w:tcW w:w="956" w:type="pct"/>
          </w:tcPr>
          <w:p w14:paraId="64498857"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Kalnu riteņbraucēji</w:t>
            </w:r>
          </w:p>
        </w:tc>
        <w:tc>
          <w:tcPr>
            <w:tcW w:w="2237" w:type="pct"/>
          </w:tcPr>
          <w:p w14:paraId="740056C1"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 xml:space="preserve">590 dalībnieki riteņbraucēju “Vienības brauciena” MTB distancē. 630 dalībnieki </w:t>
            </w:r>
            <w:r w:rsidRPr="00675182">
              <w:rPr>
                <w:rFonts w:cstheme="minorHAnsi"/>
                <w:i/>
                <w:sz w:val="20"/>
              </w:rPr>
              <w:t>Vivus.lv</w:t>
            </w:r>
            <w:r w:rsidRPr="00675182">
              <w:rPr>
                <w:rFonts w:cstheme="minorHAnsi"/>
                <w:sz w:val="20"/>
              </w:rPr>
              <w:t xml:space="preserve"> Cēsis MTB 09.08.2020., 2019 – 680. Riteņbraucēju skaits velo maršrutos ārpus pasākumiem ir lielāks. </w:t>
            </w:r>
          </w:p>
        </w:tc>
        <w:tc>
          <w:tcPr>
            <w:tcW w:w="1546" w:type="pct"/>
          </w:tcPr>
          <w:p w14:paraId="4C0D328F"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Vismaz vienu reizi nedēļā ar velosipēdu pārvietojas 20% Latvijas iedzīvotāju.</w:t>
            </w:r>
          </w:p>
        </w:tc>
      </w:tr>
      <w:tr w:rsidR="00373264" w:rsidRPr="00675182" w14:paraId="7EE3CE0D"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4E1BF351" w14:textId="77777777" w:rsidR="00373264" w:rsidRPr="00675182" w:rsidRDefault="00373264" w:rsidP="00373264">
            <w:pPr>
              <w:spacing w:before="60" w:after="60"/>
              <w:rPr>
                <w:rFonts w:cstheme="minorHAnsi"/>
                <w:sz w:val="20"/>
              </w:rPr>
            </w:pPr>
            <w:r w:rsidRPr="00675182">
              <w:rPr>
                <w:rFonts w:cstheme="minorHAnsi"/>
                <w:sz w:val="20"/>
              </w:rPr>
              <w:t>15.</w:t>
            </w:r>
          </w:p>
        </w:tc>
        <w:tc>
          <w:tcPr>
            <w:tcW w:w="956" w:type="pct"/>
          </w:tcPr>
          <w:p w14:paraId="21523761" w14:textId="77777777" w:rsidR="00373264" w:rsidRPr="00675182" w:rsidRDefault="00373264" w:rsidP="00BF7348">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 xml:space="preserve">t.sk. </w:t>
            </w:r>
            <w:r w:rsidRPr="00675182">
              <w:rPr>
                <w:rFonts w:cstheme="minorHAnsi"/>
                <w:i/>
                <w:sz w:val="20"/>
              </w:rPr>
              <w:t>downhilisti</w:t>
            </w:r>
          </w:p>
        </w:tc>
        <w:tc>
          <w:tcPr>
            <w:tcW w:w="2237" w:type="pct"/>
          </w:tcPr>
          <w:p w14:paraId="6A234C9E"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i/>
                <w:sz w:val="20"/>
              </w:rPr>
              <w:t>Downhill</w:t>
            </w:r>
            <w:r w:rsidRPr="00675182">
              <w:rPr>
                <w:rFonts w:cstheme="minorHAnsi"/>
                <w:sz w:val="20"/>
              </w:rPr>
              <w:t xml:space="preserve"> čempionātā Ozolkalnā – 94 (2018 – 72)</w:t>
            </w:r>
          </w:p>
        </w:tc>
        <w:tc>
          <w:tcPr>
            <w:tcW w:w="1546" w:type="pct"/>
          </w:tcPr>
          <w:p w14:paraId="673F3511"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373264" w:rsidRPr="00675182" w14:paraId="68E6FE2A"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0464B2C0" w14:textId="77777777" w:rsidR="00373264" w:rsidRPr="00675182" w:rsidRDefault="00373264" w:rsidP="00373264">
            <w:pPr>
              <w:spacing w:before="60" w:after="60"/>
              <w:rPr>
                <w:rFonts w:cstheme="minorHAnsi"/>
                <w:sz w:val="20"/>
              </w:rPr>
            </w:pPr>
            <w:r w:rsidRPr="00675182">
              <w:rPr>
                <w:rFonts w:cstheme="minorHAnsi"/>
                <w:sz w:val="20"/>
              </w:rPr>
              <w:t>16.</w:t>
            </w:r>
          </w:p>
        </w:tc>
        <w:tc>
          <w:tcPr>
            <w:tcW w:w="956" w:type="pct"/>
          </w:tcPr>
          <w:p w14:paraId="262A2420" w14:textId="77777777" w:rsidR="00373264" w:rsidRPr="00675182" w:rsidRDefault="00373264" w:rsidP="00373264">
            <w:pPr>
              <w:spacing w:before="20" w:after="20"/>
              <w:ind w:left="28"/>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i/>
                <w:sz w:val="20"/>
              </w:rPr>
              <w:t>Enduro</w:t>
            </w:r>
            <w:r w:rsidRPr="00675182">
              <w:rPr>
                <w:rFonts w:cstheme="minorHAnsi"/>
                <w:sz w:val="20"/>
              </w:rPr>
              <w:t xml:space="preserve"> motociklu braucēji</w:t>
            </w:r>
          </w:p>
        </w:tc>
        <w:tc>
          <w:tcPr>
            <w:tcW w:w="2237" w:type="pct"/>
          </w:tcPr>
          <w:p w14:paraId="39B8B831" w14:textId="60D6B6FD"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 xml:space="preserve">Segmenta lielumu skaitļos novērtēt grūti, jo tie netiek reģistrēti pēc braukšanas vietas. Braucēju skaits GNP vietās vienlaikus parasti ir no viena vai dažiem motobraucējiem līdz 10-20. Taču to radītā slodze uz veģetāciju, īpaši braukšana bezceļa apstākļos ir viena no </w:t>
            </w:r>
            <w:r w:rsidR="002D539A" w:rsidRPr="00675182">
              <w:rPr>
                <w:rFonts w:cstheme="minorHAnsi"/>
                <w:sz w:val="20"/>
              </w:rPr>
              <w:t>postoš</w:t>
            </w:r>
            <w:r w:rsidR="002D539A">
              <w:rPr>
                <w:rFonts w:cstheme="minorHAnsi"/>
                <w:sz w:val="20"/>
              </w:rPr>
              <w:t>ā</w:t>
            </w:r>
            <w:r w:rsidR="002D539A" w:rsidRPr="00675182">
              <w:rPr>
                <w:rFonts w:cstheme="minorHAnsi"/>
                <w:sz w:val="20"/>
              </w:rPr>
              <w:t>kajām</w:t>
            </w:r>
            <w:r w:rsidRPr="00675182">
              <w:rPr>
                <w:rFonts w:cstheme="minorHAnsi"/>
                <w:sz w:val="20"/>
              </w:rPr>
              <w:t>.</w:t>
            </w:r>
          </w:p>
        </w:tc>
        <w:tc>
          <w:tcPr>
            <w:tcW w:w="1546" w:type="pct"/>
          </w:tcPr>
          <w:p w14:paraId="7E7EFE19"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Kopš 2021. gada septembra sākuma, kad “Rīgas Meži” izveidoja pirmo enduro taku drošai braukšanai, aktuālo Youtube video nepilna gada laikā ir noskatījušies 1947 skatītāji, no kuriem lielākā daļa potenciāli vērtējama kā interesenti – piederīgi šim segmentam</w:t>
            </w:r>
          </w:p>
        </w:tc>
      </w:tr>
      <w:tr w:rsidR="00373264" w:rsidRPr="00675182" w14:paraId="6781DDA9"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00B17F7B" w14:textId="77777777" w:rsidR="00373264" w:rsidRPr="00675182" w:rsidRDefault="00373264" w:rsidP="00373264">
            <w:pPr>
              <w:spacing w:before="60" w:after="60"/>
              <w:rPr>
                <w:rFonts w:cstheme="minorHAnsi"/>
                <w:sz w:val="20"/>
              </w:rPr>
            </w:pPr>
            <w:r w:rsidRPr="00675182">
              <w:rPr>
                <w:rFonts w:cstheme="minorHAnsi"/>
                <w:sz w:val="20"/>
              </w:rPr>
              <w:lastRenderedPageBreak/>
              <w:t>17.</w:t>
            </w:r>
          </w:p>
        </w:tc>
        <w:tc>
          <w:tcPr>
            <w:tcW w:w="956" w:type="pct"/>
          </w:tcPr>
          <w:p w14:paraId="34744C94"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Aktīvie pārgājienu dalībnieki</w:t>
            </w:r>
          </w:p>
        </w:tc>
        <w:tc>
          <w:tcPr>
            <w:tcW w:w="2237" w:type="pct"/>
          </w:tcPr>
          <w:p w14:paraId="6CAA9AC3"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Apmeklējumu uzskaite pārgājieniem piemērotās dabas takās liecina, ka šī ir viena no vispopulārākajām brīvā laika aktivitātēm GNP, pārsniedzot vairākus 100 tk apmeklējumu gada laikā. Liela daļa apmeklē dažādas vietas atkārtoti, tāpēc apjomu ļaus precizēt veiktā GNP apmeklētāju aptauja.</w:t>
            </w:r>
          </w:p>
        </w:tc>
        <w:tc>
          <w:tcPr>
            <w:tcW w:w="1546" w:type="pct"/>
          </w:tcPr>
          <w:p w14:paraId="68001DBE"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Zaļo pārgājienu Facebook draugu grupā ir 6,5 tk dalībnieku. Līdzīgā Facebook interešu grupā – Idejas brīvdienām -pārgājieni, izklaide, notikumi ir 44,2 tk dalībnieku</w:t>
            </w:r>
          </w:p>
        </w:tc>
      </w:tr>
      <w:tr w:rsidR="00373264" w:rsidRPr="00675182" w14:paraId="531D7C3F"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7C217BDA" w14:textId="77777777" w:rsidR="00373264" w:rsidRPr="00675182" w:rsidRDefault="00373264" w:rsidP="00373264">
            <w:pPr>
              <w:spacing w:before="60" w:after="60"/>
              <w:rPr>
                <w:rFonts w:cstheme="minorHAnsi"/>
                <w:sz w:val="20"/>
              </w:rPr>
            </w:pPr>
            <w:r w:rsidRPr="00675182">
              <w:rPr>
                <w:rFonts w:cstheme="minorHAnsi"/>
                <w:sz w:val="20"/>
              </w:rPr>
              <w:t>18.</w:t>
            </w:r>
          </w:p>
        </w:tc>
        <w:tc>
          <w:tcPr>
            <w:tcW w:w="956" w:type="pct"/>
          </w:tcPr>
          <w:p w14:paraId="2B9943C5"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Zirgu izjāžu dalībnieki</w:t>
            </w:r>
          </w:p>
        </w:tc>
        <w:tc>
          <w:tcPr>
            <w:tcW w:w="2237" w:type="pct"/>
          </w:tcPr>
          <w:p w14:paraId="31C9B3DC"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Operatori, kas piedāvā organizētas zirgu izjādes GNP vai tuvākajā apkārtnē ir ~20, kopējais dalībnieku skaits &gt;1000</w:t>
            </w:r>
          </w:p>
        </w:tc>
        <w:tc>
          <w:tcPr>
            <w:tcW w:w="1546" w:type="pct"/>
          </w:tcPr>
          <w:p w14:paraId="2205C9DA"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373264" w:rsidRPr="00675182" w14:paraId="12B1448E"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2D3464BD" w14:textId="77777777" w:rsidR="00373264" w:rsidRPr="00675182" w:rsidRDefault="00373264" w:rsidP="00373264">
            <w:pPr>
              <w:spacing w:before="60" w:after="60"/>
              <w:rPr>
                <w:rFonts w:cstheme="minorHAnsi"/>
                <w:sz w:val="20"/>
              </w:rPr>
            </w:pPr>
            <w:r w:rsidRPr="00675182">
              <w:rPr>
                <w:rFonts w:cstheme="minorHAnsi"/>
                <w:sz w:val="20"/>
              </w:rPr>
              <w:t>19.</w:t>
            </w:r>
          </w:p>
        </w:tc>
        <w:tc>
          <w:tcPr>
            <w:tcW w:w="956" w:type="pct"/>
          </w:tcPr>
          <w:p w14:paraId="4E09770F" w14:textId="77777777" w:rsidR="00373264" w:rsidRPr="00675182" w:rsidRDefault="00373264" w:rsidP="00373264">
            <w:pPr>
              <w:spacing w:before="20" w:after="20"/>
              <w:ind w:left="45"/>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Ziemas distanču slēpotāji</w:t>
            </w:r>
          </w:p>
        </w:tc>
        <w:tc>
          <w:tcPr>
            <w:tcW w:w="2237" w:type="pct"/>
          </w:tcPr>
          <w:p w14:paraId="5C295077" w14:textId="5C6B3553"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 xml:space="preserve">Aktīvo slēpotāju skaits ir mazāks par kalnu slēpošanas aktivitātēs iesaistītajiem, taču tendence ir pieaugoša. Piemēram, Siguldas “Fischer Slēpošanas centra” aktivitātēm </w:t>
            </w:r>
            <w:r w:rsidR="00A035B4" w:rsidRPr="00675182">
              <w:rPr>
                <w:rFonts w:cstheme="minorHAnsi"/>
                <w:sz w:val="20"/>
              </w:rPr>
              <w:t xml:space="preserve"> Facebook</w:t>
            </w:r>
            <w:r w:rsidR="00A035B4" w:rsidRPr="00675182" w:rsidDel="00A035B4">
              <w:rPr>
                <w:rFonts w:cstheme="minorHAnsi"/>
                <w:sz w:val="20"/>
              </w:rPr>
              <w:t xml:space="preserve"> </w:t>
            </w:r>
            <w:r w:rsidRPr="00675182">
              <w:rPr>
                <w:rFonts w:cstheme="minorHAnsi"/>
                <w:sz w:val="20"/>
              </w:rPr>
              <w:t xml:space="preserve"> seko līdzi ~5000 cilvēku, kaut apmeklējumu skaits sezonā </w:t>
            </w:r>
            <w:r w:rsidR="00D427C0">
              <w:rPr>
                <w:rFonts w:cstheme="minorHAnsi"/>
                <w:sz w:val="20"/>
              </w:rPr>
              <w:t>š</w:t>
            </w:r>
            <w:r w:rsidR="00D427C0" w:rsidRPr="00675182">
              <w:rPr>
                <w:rFonts w:cstheme="minorHAnsi"/>
                <w:sz w:val="20"/>
              </w:rPr>
              <w:t xml:space="preserve">ajā </w:t>
            </w:r>
            <w:r w:rsidRPr="00675182">
              <w:rPr>
                <w:rFonts w:cstheme="minorHAnsi"/>
                <w:sz w:val="20"/>
              </w:rPr>
              <w:t>centrā ir daudzkārt lielāks. No GNP vietējo iedzīvotāju aptaujas – ziemā slēpo, slidoju, nodarbojos ar aukstumpeldēm u.tml. bieži 42,6%, 35 % retu reizi.</w:t>
            </w:r>
          </w:p>
        </w:tc>
        <w:tc>
          <w:tcPr>
            <w:tcW w:w="1546" w:type="pct"/>
          </w:tcPr>
          <w:p w14:paraId="3800D327"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Populārākajā distanču slēpošanas pasākumā “Apkārt Alaukstam” 2022. gadā piedalījās 559 dalībnieki. Tartu slēpošanas maratonā kopējais dalībnieku skaits sasniedz ~10000.</w:t>
            </w:r>
          </w:p>
        </w:tc>
      </w:tr>
      <w:tr w:rsidR="00373264" w:rsidRPr="00675182" w14:paraId="35377A66"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359FB6B5" w14:textId="77777777" w:rsidR="00373264" w:rsidRPr="00675182" w:rsidRDefault="00373264" w:rsidP="00373264">
            <w:pPr>
              <w:spacing w:before="60" w:after="60"/>
              <w:rPr>
                <w:rFonts w:cstheme="minorHAnsi"/>
                <w:sz w:val="20"/>
              </w:rPr>
            </w:pPr>
            <w:r w:rsidRPr="00675182">
              <w:rPr>
                <w:rFonts w:cstheme="minorHAnsi"/>
                <w:sz w:val="20"/>
              </w:rPr>
              <w:t>20.</w:t>
            </w:r>
          </w:p>
        </w:tc>
        <w:tc>
          <w:tcPr>
            <w:tcW w:w="956" w:type="pct"/>
          </w:tcPr>
          <w:p w14:paraId="4B30FD4B"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Ziemas kalnu slēpotāji</w:t>
            </w:r>
          </w:p>
        </w:tc>
        <w:tc>
          <w:tcPr>
            <w:tcW w:w="2237" w:type="pct"/>
          </w:tcPr>
          <w:p w14:paraId="31720149"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&gt;150000 apmeklējumu gadā GNP slēpošanas kalnos. Aktīvo slēpotāju skaits ir mazāks, jo apmeklējumi ir atkārtoti.</w:t>
            </w:r>
          </w:p>
        </w:tc>
        <w:tc>
          <w:tcPr>
            <w:tcW w:w="1546" w:type="pct"/>
          </w:tcPr>
          <w:p w14:paraId="7DA81B97"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373264" w:rsidRPr="00675182" w14:paraId="5EEC9F7F"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2C5F6F5A" w14:textId="77777777" w:rsidR="00373264" w:rsidRPr="00675182" w:rsidRDefault="00373264" w:rsidP="00373264">
            <w:pPr>
              <w:spacing w:before="60" w:after="60"/>
              <w:rPr>
                <w:rFonts w:cstheme="minorHAnsi"/>
                <w:sz w:val="20"/>
              </w:rPr>
            </w:pPr>
            <w:r w:rsidRPr="00675182">
              <w:rPr>
                <w:rFonts w:cstheme="minorHAnsi"/>
                <w:sz w:val="20"/>
              </w:rPr>
              <w:t>21.</w:t>
            </w:r>
          </w:p>
        </w:tc>
        <w:tc>
          <w:tcPr>
            <w:tcW w:w="956" w:type="pct"/>
          </w:tcPr>
          <w:p w14:paraId="643F906E"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Putnu vērotāji</w:t>
            </w:r>
          </w:p>
        </w:tc>
        <w:tc>
          <w:tcPr>
            <w:tcW w:w="2237" w:type="pct"/>
          </w:tcPr>
          <w:p w14:paraId="7594C9C3"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 xml:space="preserve">~100 (Organizētā veidā LOB Cēsu putnu grupa ar aktīviem ikdienas novērojumiem), </w:t>
            </w:r>
          </w:p>
        </w:tc>
        <w:tc>
          <w:tcPr>
            <w:tcW w:w="1546" w:type="pct"/>
          </w:tcPr>
          <w:p w14:paraId="680D3D11"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Dažāda aktivitātes pakāpe, taču no ~150 (putnu vērošanas sacīkšu dalībnieki) un 700 (LOB biedru skaits) līdz ~5000 (putnu novērojumu ziņotāju skaits portālā Dabasdati.lv)</w:t>
            </w:r>
          </w:p>
        </w:tc>
      </w:tr>
      <w:tr w:rsidR="00373264" w:rsidRPr="00675182" w14:paraId="67FCCB1F"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36AFC1AD" w14:textId="77777777" w:rsidR="00373264" w:rsidRPr="00675182" w:rsidRDefault="00373264" w:rsidP="00373264">
            <w:pPr>
              <w:spacing w:before="60" w:after="60"/>
              <w:rPr>
                <w:rFonts w:cstheme="minorHAnsi"/>
                <w:sz w:val="20"/>
              </w:rPr>
            </w:pPr>
            <w:r w:rsidRPr="00675182">
              <w:rPr>
                <w:rFonts w:cstheme="minorHAnsi"/>
                <w:sz w:val="20"/>
              </w:rPr>
              <w:t>22.</w:t>
            </w:r>
          </w:p>
        </w:tc>
        <w:tc>
          <w:tcPr>
            <w:tcW w:w="956" w:type="pct"/>
          </w:tcPr>
          <w:p w14:paraId="0FA5CAF7"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Slēpņotāji</w:t>
            </w:r>
          </w:p>
        </w:tc>
        <w:tc>
          <w:tcPr>
            <w:tcW w:w="2237" w:type="pct"/>
          </w:tcPr>
          <w:p w14:paraId="66681349"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GNP teritorijā izvietoti vairāki simti ģeoslēpņu, attiecīgi arī slēpņotāju skaits GNP ir vairāku simtu apjomā</w:t>
            </w:r>
          </w:p>
        </w:tc>
        <w:tc>
          <w:tcPr>
            <w:tcW w:w="1546" w:type="pct"/>
          </w:tcPr>
          <w:p w14:paraId="41B8C225" w14:textId="17E9A764" w:rsidR="00373264" w:rsidRPr="00675182" w:rsidRDefault="00D427C0"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Facebook</w:t>
            </w:r>
            <w:r w:rsidRPr="00675182" w:rsidDel="00D427C0">
              <w:rPr>
                <w:rFonts w:cstheme="minorHAnsi"/>
                <w:sz w:val="20"/>
              </w:rPr>
              <w:t xml:space="preserve"> </w:t>
            </w:r>
            <w:r w:rsidR="00373264" w:rsidRPr="00675182">
              <w:rPr>
                <w:rFonts w:cstheme="minorHAnsi"/>
                <w:sz w:val="20"/>
              </w:rPr>
              <w:t xml:space="preserve"> interešu grupai Slēpņošana Latvijā ir 1136 sekotāji.</w:t>
            </w:r>
          </w:p>
        </w:tc>
      </w:tr>
      <w:tr w:rsidR="00373264" w:rsidRPr="00675182" w14:paraId="4DEB3CD4" w14:textId="77777777" w:rsidTr="00373264">
        <w:tc>
          <w:tcPr>
            <w:cnfStyle w:val="001000000000" w:firstRow="0" w:lastRow="0" w:firstColumn="1" w:lastColumn="0" w:oddVBand="0" w:evenVBand="0" w:oddHBand="0" w:evenHBand="0" w:firstRowFirstColumn="0" w:firstRowLastColumn="0" w:lastRowFirstColumn="0" w:lastRowLastColumn="0"/>
            <w:tcW w:w="261" w:type="pct"/>
          </w:tcPr>
          <w:p w14:paraId="6809619D" w14:textId="77777777" w:rsidR="00373264" w:rsidRPr="00675182" w:rsidRDefault="00373264" w:rsidP="00373264">
            <w:pPr>
              <w:spacing w:before="60" w:after="60"/>
              <w:rPr>
                <w:rFonts w:cstheme="minorHAnsi"/>
                <w:sz w:val="20"/>
              </w:rPr>
            </w:pPr>
            <w:r w:rsidRPr="00675182">
              <w:rPr>
                <w:rFonts w:cstheme="minorHAnsi"/>
                <w:sz w:val="20"/>
              </w:rPr>
              <w:t>23.</w:t>
            </w:r>
          </w:p>
        </w:tc>
        <w:tc>
          <w:tcPr>
            <w:tcW w:w="956" w:type="pct"/>
          </w:tcPr>
          <w:p w14:paraId="4AF2BFD1"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Golfa spēlētāji</w:t>
            </w:r>
          </w:p>
        </w:tc>
        <w:tc>
          <w:tcPr>
            <w:tcW w:w="2237" w:type="pct"/>
          </w:tcPr>
          <w:p w14:paraId="5DB59176" w14:textId="77777777" w:rsidR="00373264" w:rsidRPr="00675182" w:rsidRDefault="00373264" w:rsidP="00373264">
            <w:pPr>
              <w:spacing w:before="20" w:after="2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302 spēlētāji Golfa laukumā Reinis pie Krimuldas. Apmeklējumu intensitāte lielāka. No tiem 27% sievietes.</w:t>
            </w:r>
          </w:p>
        </w:tc>
        <w:tc>
          <w:tcPr>
            <w:tcW w:w="1546" w:type="pct"/>
          </w:tcPr>
          <w:p w14:paraId="199A4239" w14:textId="77777777" w:rsidR="00373264" w:rsidRPr="00675182" w:rsidRDefault="00373264" w:rsidP="00373264">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rPr>
            </w:pPr>
            <w:r w:rsidRPr="00675182">
              <w:rPr>
                <w:rFonts w:cstheme="minorHAnsi"/>
                <w:sz w:val="20"/>
              </w:rPr>
              <w:t>3133 spēlētāji piecos populārākajos laukumos Latvijā, kā arī pāris simti entuziastu – atpūtnieku.</w:t>
            </w:r>
          </w:p>
        </w:tc>
      </w:tr>
    </w:tbl>
    <w:p w14:paraId="71CEB369" w14:textId="1B8DDE3C" w:rsidR="00FF418D" w:rsidRPr="00675182" w:rsidRDefault="00391323" w:rsidP="00FF418D">
      <w:pPr>
        <w:rPr>
          <w:rFonts w:cstheme="minorHAnsi"/>
          <w:bCs/>
          <w:sz w:val="20"/>
          <w:szCs w:val="16"/>
          <w:shd w:val="clear" w:color="auto" w:fill="FFFFFF"/>
        </w:rPr>
        <w:sectPr w:rsidR="00FF418D" w:rsidRPr="00675182" w:rsidSect="00FA2D42">
          <w:headerReference w:type="default" r:id="rId62"/>
          <w:pgSz w:w="16837" w:h="11905" w:orient="landscape"/>
          <w:pgMar w:top="1797" w:right="1440" w:bottom="1797" w:left="1440" w:header="720" w:footer="720" w:gutter="0"/>
          <w:cols w:space="720"/>
          <w:docGrid w:linePitch="360"/>
        </w:sectPr>
      </w:pPr>
      <w:r w:rsidRPr="00675182">
        <w:rPr>
          <w:rFonts w:cstheme="minorHAnsi"/>
          <w:bCs/>
          <w:sz w:val="20"/>
          <w:szCs w:val="16"/>
          <w:shd w:val="clear" w:color="auto" w:fill="FFFFFF"/>
        </w:rPr>
        <w:t xml:space="preserve">Datu avots: </w:t>
      </w:r>
      <w:r w:rsidR="00373264" w:rsidRPr="00675182">
        <w:rPr>
          <w:rFonts w:cstheme="minorHAnsi"/>
          <w:bCs/>
          <w:sz w:val="20"/>
          <w:szCs w:val="16"/>
          <w:shd w:val="clear" w:color="auto" w:fill="FFFFFF"/>
        </w:rPr>
        <w:t>Kulturasdati.lv, TIC, DAP, apsaimniekotāju sniegtie dati, VIA HESPI datu bāze u.c., 2022</w:t>
      </w:r>
    </w:p>
    <w:p w14:paraId="067F4DD6" w14:textId="77777777" w:rsidR="00373264" w:rsidRPr="00675182" w:rsidRDefault="00373264" w:rsidP="00373264">
      <w:pPr>
        <w:jc w:val="both"/>
        <w:rPr>
          <w:rFonts w:cstheme="minorHAnsi"/>
        </w:rPr>
      </w:pPr>
      <w:r w:rsidRPr="00675182">
        <w:rPr>
          <w:rFonts w:cstheme="minorHAnsi"/>
        </w:rPr>
        <w:lastRenderedPageBreak/>
        <w:t>1.3.4. tabulā iekļautas nozīmīgāko segmentu grupas, kas parāda dažādu brīvā laika pavadīšanas veidu popularitāti. Ir citi šajā uzskaitījumā neiekļauti segmenti, kas iekļaujas kopējā apmeklējuma plūsmas vērtējumā.</w:t>
      </w:r>
    </w:p>
    <w:p w14:paraId="5CD9C39D" w14:textId="77777777" w:rsidR="00373264" w:rsidRPr="00675182" w:rsidRDefault="00373264" w:rsidP="00373264">
      <w:pPr>
        <w:jc w:val="both"/>
        <w:rPr>
          <w:rFonts w:cstheme="minorHAnsi"/>
        </w:rPr>
      </w:pPr>
    </w:p>
    <w:p w14:paraId="293232B5" w14:textId="77777777" w:rsidR="00373264" w:rsidRPr="00675182" w:rsidRDefault="00373264" w:rsidP="00373264">
      <w:pPr>
        <w:jc w:val="both"/>
        <w:rPr>
          <w:rFonts w:cstheme="minorHAnsi"/>
        </w:rPr>
      </w:pPr>
      <w:r w:rsidRPr="00675182">
        <w:rPr>
          <w:rFonts w:cstheme="minorHAnsi"/>
        </w:rPr>
        <w:t>Lai precizētu dažādu segmentu savstarpējo mijiedarbību, vajadzības, kā arī sezonālo ietekmi, 2021. gadā veiktas fokusgrupu intervijas, padziļinātās intervijas ar dažādu segmentu pārstāvjiem, kā arī no 2021. gada jūlija līdz 2022. gada maijam veikta GNP apmeklētāju aptauja (ievākti dati no 1025 respondentiem) un GNP mājsaimniecību pārstāvju aptauja (ievākti dati no 275 mājsaimniecībām). Šo datu kopējie rezultāti integrēti izvērtējumā un ieteikumos turpmākai attīstībai.</w:t>
      </w:r>
    </w:p>
    <w:p w14:paraId="05D006F9" w14:textId="77777777" w:rsidR="00373264" w:rsidRPr="00675182" w:rsidRDefault="00373264" w:rsidP="00373264">
      <w:pPr>
        <w:jc w:val="both"/>
        <w:rPr>
          <w:rFonts w:cstheme="minorHAnsi"/>
        </w:rPr>
      </w:pPr>
    </w:p>
    <w:p w14:paraId="18A8414C" w14:textId="77777777" w:rsidR="00373264" w:rsidRPr="00675182" w:rsidRDefault="00373264" w:rsidP="00373264">
      <w:pPr>
        <w:jc w:val="both"/>
        <w:rPr>
          <w:rFonts w:cstheme="minorHAnsi"/>
        </w:rPr>
      </w:pPr>
      <w:r w:rsidRPr="00675182">
        <w:rPr>
          <w:rFonts w:cstheme="minorHAnsi"/>
        </w:rPr>
        <w:t>Apmeklētāju plūsmas kvantitatīvie aprēķini palīdz koncentrēt un vadīt apmeklētāju plūsmu, mazinot antropogēno slodzi uz plašāku apkārtni. Aprēķinu interpretācijā jāņem vērā, ka 2020. gadā un 2021. gadā veiktās uzskaites norisinājušās dažādas intensitātes COVID-19 pandēmijas radītu mobilitātes ierobežojumu laikā, kas nav reprezentatīvi ilgtermiņa apmeklētības tendencēm (bijusi daudz intensīvāka). Detalizēta apmeklētāju plūsmas analīze ir iekļauta 6. pielikumā.</w:t>
      </w:r>
    </w:p>
    <w:p w14:paraId="09DDB4FD" w14:textId="77777777" w:rsidR="00373264" w:rsidRPr="00675182" w:rsidRDefault="00373264" w:rsidP="00373264">
      <w:pPr>
        <w:jc w:val="both"/>
        <w:rPr>
          <w:rFonts w:cstheme="minorHAnsi"/>
        </w:rPr>
      </w:pPr>
    </w:p>
    <w:p w14:paraId="1975001D" w14:textId="77777777" w:rsidR="00373264" w:rsidRPr="00675182" w:rsidRDefault="00373264" w:rsidP="00373264">
      <w:pPr>
        <w:jc w:val="both"/>
        <w:rPr>
          <w:rFonts w:cstheme="minorHAnsi"/>
        </w:rPr>
      </w:pPr>
      <w:r w:rsidRPr="00675182">
        <w:rPr>
          <w:rFonts w:cstheme="minorHAnsi"/>
        </w:rPr>
        <w:t>Dabas taku apmeklējums diennakts laika ritmā ir svārstīgs (skat. 1.3.5. attēlu). Lielākā apmeklētība ir ap plkst. 13.00, bet apmeklētākais periods starp 12.00 un 18.00. To pamatā rada brīvdienu plūsma ar vēliem rītiem un ilgāku atrašanos dabas takās vakaros. Ir vairākas takas vai dabas objekti (piemēram, Lielā Ellīte) pilsētu tuvumā vai apdzīvotās vietās, kur lielākā aktivitāte ir no rīta – pirms darba laika sākuma (norādot uz citu segmentu – sportiskām vai rekreatīvām vietējo iedzīvotāju aktivitātēm agrākos rītos). Arī izteiktākas vakara takas (piemēram, tilts pie Siguldas Velnalas).</w:t>
      </w:r>
    </w:p>
    <w:p w14:paraId="5DC3B94E" w14:textId="77777777" w:rsidR="00391323" w:rsidRPr="00675182" w:rsidRDefault="00391323" w:rsidP="00B84D29">
      <w:pPr>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B84D29" w:rsidRPr="00675182" w14:paraId="3CEEB0B1" w14:textId="77777777" w:rsidTr="00F413EA">
        <w:tc>
          <w:tcPr>
            <w:tcW w:w="8301" w:type="dxa"/>
          </w:tcPr>
          <w:p w14:paraId="38A8C086" w14:textId="77777777" w:rsidR="00391323" w:rsidRPr="00675182" w:rsidRDefault="00391323" w:rsidP="00B84D29">
            <w:pPr>
              <w:pStyle w:val="ListParagraph"/>
              <w:ind w:left="0"/>
              <w:jc w:val="both"/>
              <w:rPr>
                <w:rFonts w:cstheme="minorHAnsi"/>
                <w:sz w:val="20"/>
                <w:szCs w:val="16"/>
                <w:shd w:val="clear" w:color="auto" w:fill="FFFFFF"/>
              </w:rPr>
            </w:pPr>
            <w:r w:rsidRPr="00675182">
              <w:rPr>
                <w:rFonts w:cstheme="minorHAnsi"/>
                <w:noProof/>
                <w:lang w:eastAsia="lv-LV"/>
              </w:rPr>
              <w:drawing>
                <wp:inline distT="0" distB="0" distL="0" distR="0" wp14:anchorId="0C4BB971" wp14:editId="57FB35EF">
                  <wp:extent cx="5181600" cy="3468782"/>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kas--diennakts-apmekl--2020.jpg"/>
                          <pic:cNvPicPr/>
                        </pic:nvPicPr>
                        <pic:blipFill rotWithShape="1">
                          <a:blip r:embed="rId63" cstate="print">
                            <a:extLst>
                              <a:ext uri="{28A0092B-C50C-407E-A947-70E740481C1C}">
                                <a14:useLocalDpi xmlns:a14="http://schemas.microsoft.com/office/drawing/2010/main" val="0"/>
                              </a:ext>
                            </a:extLst>
                          </a:blip>
                          <a:srcRect l="1311" r="1951"/>
                          <a:stretch/>
                        </pic:blipFill>
                        <pic:spPr bwMode="auto">
                          <a:xfrm>
                            <a:off x="0" y="0"/>
                            <a:ext cx="5190029" cy="3474425"/>
                          </a:xfrm>
                          <a:prstGeom prst="rect">
                            <a:avLst/>
                          </a:prstGeom>
                          <a:ln>
                            <a:noFill/>
                          </a:ln>
                          <a:extLst>
                            <a:ext uri="{53640926-AAD7-44D8-BBD7-CCE9431645EC}">
                              <a14:shadowObscured xmlns:a14="http://schemas.microsoft.com/office/drawing/2010/main"/>
                            </a:ext>
                          </a:extLst>
                        </pic:spPr>
                      </pic:pic>
                    </a:graphicData>
                  </a:graphic>
                </wp:inline>
              </w:drawing>
            </w:r>
          </w:p>
        </w:tc>
      </w:tr>
      <w:tr w:rsidR="00B84D29" w:rsidRPr="00675182" w14:paraId="3048C321" w14:textId="77777777" w:rsidTr="00F413EA">
        <w:tc>
          <w:tcPr>
            <w:tcW w:w="8301" w:type="dxa"/>
          </w:tcPr>
          <w:p w14:paraId="2BFD523D" w14:textId="77777777" w:rsidR="00391323" w:rsidRPr="00675182" w:rsidRDefault="00391323" w:rsidP="00B84D29">
            <w:pPr>
              <w:pStyle w:val="ListParagraph"/>
              <w:ind w:left="0"/>
              <w:jc w:val="both"/>
              <w:rPr>
                <w:rFonts w:cstheme="minorHAnsi"/>
                <w:sz w:val="20"/>
                <w:szCs w:val="16"/>
                <w:shd w:val="clear" w:color="auto" w:fill="FFFFFF"/>
              </w:rPr>
            </w:pPr>
            <w:r w:rsidRPr="00675182">
              <w:rPr>
                <w:rFonts w:cstheme="minorHAnsi"/>
                <w:b/>
                <w:i/>
                <w:iCs/>
                <w:shd w:val="clear" w:color="auto" w:fill="FFFFFF"/>
              </w:rPr>
              <w:t>1.3.5. attēls. Apmeklētības izmaiņas dabas takās diennakts laika ritmā</w:t>
            </w:r>
          </w:p>
        </w:tc>
      </w:tr>
    </w:tbl>
    <w:p w14:paraId="32C0B1FB" w14:textId="3F8516BD" w:rsidR="00391323" w:rsidRPr="00675182" w:rsidRDefault="00391323" w:rsidP="00496AC5">
      <w:pPr>
        <w:pStyle w:val="ListParagraph"/>
        <w:ind w:left="0"/>
        <w:jc w:val="both"/>
        <w:rPr>
          <w:rFonts w:cstheme="minorHAnsi"/>
          <w:sz w:val="20"/>
          <w:szCs w:val="16"/>
        </w:rPr>
      </w:pPr>
      <w:r w:rsidRPr="00675182">
        <w:rPr>
          <w:rFonts w:cstheme="minorHAnsi"/>
          <w:sz w:val="20"/>
          <w:szCs w:val="16"/>
          <w:shd w:val="clear" w:color="auto" w:fill="FFFFFF"/>
        </w:rPr>
        <w:t>Datu avots:</w:t>
      </w:r>
      <w:r w:rsidRPr="00675182">
        <w:rPr>
          <w:rFonts w:cstheme="minorHAnsi"/>
          <w:sz w:val="20"/>
          <w:szCs w:val="16"/>
        </w:rPr>
        <w:t xml:space="preserve"> Nocticus, 2020</w:t>
      </w:r>
    </w:p>
    <w:p w14:paraId="046ED570" w14:textId="77777777" w:rsidR="00373264" w:rsidRPr="00675182" w:rsidRDefault="00373264" w:rsidP="00373264">
      <w:pPr>
        <w:jc w:val="both"/>
        <w:rPr>
          <w:rFonts w:cstheme="minorHAnsi"/>
        </w:rPr>
      </w:pPr>
      <w:r w:rsidRPr="00675182">
        <w:rPr>
          <w:rFonts w:cstheme="minorHAnsi"/>
        </w:rPr>
        <w:lastRenderedPageBreak/>
        <w:t>DA plāna izstrādes laikā veikts apmeklētāju plūsmas iespējami detāls kvantitatīvs un telpisks izvērtējums, veikts vietu apsekojums dabā, kas ļauj izdarīt secinājumus par tūrisma infrastruktūras izmantošanas pieļaujamo slodzi un veidiem. Apvienojot kopējos datus, izvērtēta dažādu atpūtas veidu radītā antropogēnā slodze un sniegti ieteicamie risinājumus, izmantojot ROS metodisko pieeju tūrisma plūsmu plānošanai, nosakot dabas taku un mikro-mobilitātes tīklojuma savstarpējo hierarhiju, norādot uz labiekārtojuma un infrastruktūras vajadzībām antropogēnās slodzes mazināšanai, arī mazinot antropogēno slodzi, rekomendējot “izslēgt” jutīgas vietas no popularizēšanas apmeklēšanai.</w:t>
      </w:r>
    </w:p>
    <w:p w14:paraId="2AFED61F" w14:textId="77777777" w:rsidR="00373264" w:rsidRPr="00675182" w:rsidRDefault="00373264" w:rsidP="00373264">
      <w:pPr>
        <w:jc w:val="both"/>
        <w:rPr>
          <w:rFonts w:cstheme="minorHAnsi"/>
        </w:rPr>
      </w:pPr>
    </w:p>
    <w:p w14:paraId="6F0DB1F7" w14:textId="79C772ED" w:rsidR="009D0F73" w:rsidRPr="00675182" w:rsidRDefault="00373264" w:rsidP="00373264">
      <w:pPr>
        <w:jc w:val="both"/>
        <w:rPr>
          <w:rFonts w:cstheme="minorHAnsi"/>
          <w:shd w:val="clear" w:color="auto" w:fill="FFFFFF"/>
        </w:rPr>
      </w:pPr>
      <w:r w:rsidRPr="00675182">
        <w:rPr>
          <w:rFonts w:cstheme="minorHAnsi"/>
        </w:rPr>
        <w:t xml:space="preserve">Izvērtējot GNP vietējo iedzīvotāju brīvā laika pavadīšanas paradumus dabā, jāsecina, ka 56,4 % gūst labumu no apgādes </w:t>
      </w:r>
      <w:r w:rsidR="000D5020">
        <w:rPr>
          <w:rFonts w:cstheme="minorHAnsi"/>
        </w:rPr>
        <w:t>EP</w:t>
      </w:r>
      <w:r w:rsidRPr="00675182">
        <w:rPr>
          <w:rFonts w:cstheme="minorHAnsi"/>
        </w:rPr>
        <w:t xml:space="preserve"> bieži (ikdienā vai brīvdienās), sēņojot, ogojot, makšķerējot, dodoties medībās, vācot ārstniecības augus u.tml., 93,7 % nodarbojas ar kādu fizisku aktivitāti dabā. Lielākā daļa GNP iedzīvotāju gan neuzskata, ka veiktās aktivitātes dabā sniedz viņiem kā vietējiem lielākas priekšrocības dzīves kvalitātes nodrošināšanā kā citviet Latvijā. Tomēr nākotnē paredzamā antropogēnā slodze pieaugs, uzlabojoties iedzīvotāju vispārējai labklājībai. Turpinās pieaugt arī ceļotāju skaits, apmeklējumi dažādās ar tūrismu saistītās aktivitātēs, pieaugs atpūtas veidu dažādība. Tūrismam individualizējoties, pieejamas un saistošas kļūst arī agrāk maz populāras vietas. Tāpēc apsaimniekošanas pasākumos antropogēnās slodzes mazināšanai lielāka uzmanība jāpievērš ne tikai infrastruktūras pilnveidei, bet arī apmeklētāju plūsmas vadības pasākumiem. Augstāka prioritāte jāpiešķir tādiem tūrisma un atpūtas veidiem, kas vairāk saistīti ar dabas daudzveidību respektējošu un izzinošu motīvu.</w:t>
      </w:r>
    </w:p>
    <w:p w14:paraId="4F89AF39" w14:textId="6369DB44" w:rsidR="009D0F73" w:rsidRPr="00675182" w:rsidRDefault="009D0F73" w:rsidP="002B3341">
      <w:pPr>
        <w:rPr>
          <w:rFonts w:cstheme="minorHAnsi"/>
          <w:shd w:val="clear" w:color="auto" w:fill="FFFFFF"/>
        </w:rPr>
        <w:sectPr w:rsidR="009D0F73" w:rsidRPr="00675182" w:rsidSect="00CD74B1">
          <w:headerReference w:type="default" r:id="rId64"/>
          <w:pgSz w:w="11905" w:h="16837"/>
          <w:pgMar w:top="1440" w:right="1797" w:bottom="1440" w:left="1797" w:header="720"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7"/>
      </w:tblGrid>
      <w:tr w:rsidR="00EC4329" w:rsidRPr="00675182" w14:paraId="6C74F105" w14:textId="77777777" w:rsidTr="001C558F">
        <w:tc>
          <w:tcPr>
            <w:tcW w:w="5000" w:type="pct"/>
          </w:tcPr>
          <w:p w14:paraId="41DA3D78" w14:textId="1A198D7F" w:rsidR="00EC4329" w:rsidRPr="00675182" w:rsidRDefault="00A22C9C" w:rsidP="003D66FF">
            <w:pPr>
              <w:jc w:val="center"/>
              <w:rPr>
                <w:rFonts w:cstheme="minorHAnsi"/>
              </w:rPr>
            </w:pPr>
            <w:r w:rsidRPr="00675182">
              <w:rPr>
                <w:noProof/>
              </w:rPr>
              <w:lastRenderedPageBreak/>
              <w:drawing>
                <wp:inline distT="0" distB="0" distL="0" distR="0" wp14:anchorId="3808BCC1" wp14:editId="5568CB5F">
                  <wp:extent cx="7121863" cy="5040000"/>
                  <wp:effectExtent l="0" t="0" r="3175" b="8255"/>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121863" cy="5040000"/>
                          </a:xfrm>
                          <a:prstGeom prst="rect">
                            <a:avLst/>
                          </a:prstGeom>
                          <a:noFill/>
                          <a:ln>
                            <a:noFill/>
                          </a:ln>
                        </pic:spPr>
                      </pic:pic>
                    </a:graphicData>
                  </a:graphic>
                </wp:inline>
              </w:drawing>
            </w:r>
          </w:p>
        </w:tc>
      </w:tr>
      <w:tr w:rsidR="00EC4329" w:rsidRPr="00675182" w14:paraId="421D3AAC" w14:textId="77777777" w:rsidTr="001C558F">
        <w:tc>
          <w:tcPr>
            <w:tcW w:w="5000" w:type="pct"/>
          </w:tcPr>
          <w:p w14:paraId="5D4F3125" w14:textId="304ECBD6" w:rsidR="00B84D29" w:rsidRPr="00675182" w:rsidRDefault="00EC4329" w:rsidP="00A22C9C">
            <w:pPr>
              <w:rPr>
                <w:rFonts w:cstheme="minorHAnsi"/>
                <w:b/>
                <w:bCs/>
                <w:i/>
                <w:iCs/>
              </w:rPr>
            </w:pPr>
            <w:r w:rsidRPr="00675182">
              <w:rPr>
                <w:rFonts w:cstheme="minorHAnsi"/>
                <w:b/>
                <w:bCs/>
                <w:i/>
                <w:iCs/>
              </w:rPr>
              <w:t>1.</w:t>
            </w:r>
            <w:r w:rsidR="008A0F48" w:rsidRPr="00675182">
              <w:rPr>
                <w:rFonts w:cstheme="minorHAnsi"/>
                <w:b/>
                <w:bCs/>
                <w:i/>
                <w:iCs/>
              </w:rPr>
              <w:t>3</w:t>
            </w:r>
            <w:r w:rsidRPr="00675182">
              <w:rPr>
                <w:rFonts w:cstheme="minorHAnsi"/>
                <w:b/>
                <w:bCs/>
                <w:i/>
                <w:iCs/>
              </w:rPr>
              <w:t>.</w:t>
            </w:r>
            <w:r w:rsidR="00B84D29" w:rsidRPr="00675182">
              <w:rPr>
                <w:rFonts w:cstheme="minorHAnsi"/>
                <w:b/>
                <w:bCs/>
                <w:i/>
                <w:iCs/>
              </w:rPr>
              <w:t>6</w:t>
            </w:r>
            <w:r w:rsidRPr="00675182">
              <w:rPr>
                <w:rFonts w:cstheme="minorHAnsi"/>
                <w:b/>
                <w:bCs/>
                <w:i/>
                <w:iCs/>
              </w:rPr>
              <w:t xml:space="preserve">. attēls. </w:t>
            </w:r>
            <w:r w:rsidR="00A9308C" w:rsidRPr="00675182">
              <w:rPr>
                <w:rFonts w:cstheme="minorHAnsi"/>
                <w:b/>
                <w:bCs/>
                <w:i/>
                <w:iCs/>
              </w:rPr>
              <w:t>Apmeklētāju uzskaites punktu izvietojums GNP teritorijā</w:t>
            </w:r>
            <w:r w:rsidR="00B84D29" w:rsidRPr="00675182">
              <w:rPr>
                <w:rFonts w:cstheme="minorHAnsi"/>
                <w:b/>
                <w:bCs/>
                <w:i/>
                <w:iCs/>
              </w:rPr>
              <w:t xml:space="preserve"> </w:t>
            </w:r>
            <w:r w:rsidR="00A22C9C" w:rsidRPr="00675182">
              <w:rPr>
                <w:rFonts w:cstheme="minorHAnsi"/>
                <w:b/>
                <w:bCs/>
                <w:i/>
                <w:iCs/>
              </w:rPr>
              <w:t>DA plāna izstrādes laikā</w:t>
            </w:r>
            <w:r w:rsidR="00B84D29" w:rsidRPr="00675182">
              <w:rPr>
                <w:rFonts w:cstheme="minorHAnsi"/>
                <w:b/>
                <w:bCs/>
                <w:i/>
                <w:iCs/>
              </w:rPr>
              <w:t xml:space="preserve"> </w:t>
            </w:r>
          </w:p>
        </w:tc>
      </w:tr>
      <w:tr w:rsidR="00373264" w:rsidRPr="00675182" w14:paraId="62AAD852" w14:textId="77777777" w:rsidTr="001C5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6" w:type="pct"/>
            <w:tcBorders>
              <w:top w:val="nil"/>
              <w:left w:val="nil"/>
              <w:bottom w:val="nil"/>
              <w:right w:val="nil"/>
            </w:tcBorders>
          </w:tcPr>
          <w:p w14:paraId="26A6A8EA" w14:textId="211CC997" w:rsidR="00373264" w:rsidRPr="00675182" w:rsidRDefault="001C558F" w:rsidP="001C558F">
            <w:pPr>
              <w:jc w:val="center"/>
              <w:rPr>
                <w:rFonts w:cstheme="minorHAnsi"/>
              </w:rPr>
            </w:pPr>
            <w:r w:rsidRPr="00675182">
              <w:rPr>
                <w:noProof/>
              </w:rPr>
              <w:lastRenderedPageBreak/>
              <w:drawing>
                <wp:inline distT="0" distB="0" distL="0" distR="0" wp14:anchorId="3BE98D90" wp14:editId="7ACF5687">
                  <wp:extent cx="5570711" cy="5076000"/>
                  <wp:effectExtent l="0" t="0" r="0" b="0"/>
                  <wp:docPr id="262" name="Attēls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570711" cy="5076000"/>
                          </a:xfrm>
                          <a:prstGeom prst="rect">
                            <a:avLst/>
                          </a:prstGeom>
                          <a:noFill/>
                          <a:ln>
                            <a:noFill/>
                          </a:ln>
                        </pic:spPr>
                      </pic:pic>
                    </a:graphicData>
                  </a:graphic>
                </wp:inline>
              </w:drawing>
            </w:r>
          </w:p>
        </w:tc>
      </w:tr>
      <w:tr w:rsidR="00373264" w:rsidRPr="00675182" w14:paraId="72E000F5" w14:textId="77777777" w:rsidTr="001C5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6" w:type="pct"/>
            <w:tcBorders>
              <w:top w:val="nil"/>
              <w:left w:val="nil"/>
              <w:bottom w:val="nil"/>
              <w:right w:val="nil"/>
            </w:tcBorders>
          </w:tcPr>
          <w:p w14:paraId="4F39AE49" w14:textId="1049C983" w:rsidR="00373264" w:rsidRPr="00675182" w:rsidRDefault="00373264" w:rsidP="002B3341">
            <w:pPr>
              <w:rPr>
                <w:rFonts w:cstheme="minorHAnsi"/>
              </w:rPr>
            </w:pPr>
            <w:r w:rsidRPr="00675182">
              <w:rPr>
                <w:rFonts w:cstheme="minorHAnsi"/>
                <w:b/>
                <w:bCs/>
                <w:i/>
                <w:iCs/>
              </w:rPr>
              <w:t>1.3.7. attēls. Kopējais apmeklētāju skaita novērtējums GNP teritorijā</w:t>
            </w:r>
            <w:r w:rsidR="001C558F" w:rsidRPr="00675182">
              <w:rPr>
                <w:rFonts w:cstheme="minorHAnsi"/>
                <w:b/>
                <w:bCs/>
                <w:i/>
                <w:iCs/>
              </w:rPr>
              <w:t xml:space="preserve"> un tā apkārtnē</w:t>
            </w:r>
          </w:p>
        </w:tc>
      </w:tr>
    </w:tbl>
    <w:p w14:paraId="3ECC21C7" w14:textId="0093AF4E" w:rsidR="00373264" w:rsidRPr="00675182" w:rsidRDefault="00373264" w:rsidP="002B3341">
      <w:pPr>
        <w:rPr>
          <w:rFonts w:cstheme="minorHAnsi"/>
        </w:rPr>
        <w:sectPr w:rsidR="00373264" w:rsidRPr="00675182" w:rsidSect="003A336D">
          <w:headerReference w:type="default" r:id="rId67"/>
          <w:pgSz w:w="16837" w:h="11905" w:orient="landscape"/>
          <w:pgMar w:top="1797" w:right="1440" w:bottom="1797" w:left="1440" w:header="720" w:footer="720" w:gutter="0"/>
          <w:cols w:space="720"/>
          <w:docGrid w:linePitch="360"/>
        </w:sectPr>
      </w:pPr>
    </w:p>
    <w:p w14:paraId="07B167FB" w14:textId="1657BBCB" w:rsidR="00EC4329" w:rsidRPr="00675182" w:rsidRDefault="00EC4329" w:rsidP="002B3341">
      <w:pPr>
        <w:rPr>
          <w:rFonts w:cstheme="minorHAnsi"/>
        </w:rPr>
      </w:pPr>
    </w:p>
    <w:p w14:paraId="4BC8192B" w14:textId="469FA936" w:rsidR="00826369" w:rsidRPr="00675182" w:rsidRDefault="00826369" w:rsidP="00826369">
      <w:pPr>
        <w:pStyle w:val="Heading4"/>
        <w:rPr>
          <w:rFonts w:asciiTheme="minorHAnsi" w:hAnsiTheme="minorHAnsi" w:cstheme="minorHAnsi"/>
        </w:rPr>
      </w:pPr>
      <w:r w:rsidRPr="00675182">
        <w:rPr>
          <w:rFonts w:asciiTheme="minorHAnsi" w:hAnsiTheme="minorHAnsi" w:cstheme="minorHAnsi"/>
        </w:rPr>
        <w:t>1.</w:t>
      </w:r>
      <w:r w:rsidR="008A0F48" w:rsidRPr="00675182">
        <w:rPr>
          <w:rFonts w:asciiTheme="minorHAnsi" w:hAnsiTheme="minorHAnsi" w:cstheme="minorHAnsi"/>
        </w:rPr>
        <w:t>3</w:t>
      </w:r>
      <w:r w:rsidRPr="00675182">
        <w:rPr>
          <w:rFonts w:asciiTheme="minorHAnsi" w:hAnsiTheme="minorHAnsi" w:cstheme="minorHAnsi"/>
        </w:rPr>
        <w:t xml:space="preserve">.2.2. Derīgo izrakteņu ieguve </w:t>
      </w:r>
    </w:p>
    <w:p w14:paraId="47E320DE" w14:textId="7D60A935" w:rsidR="004C6761" w:rsidRPr="00675182" w:rsidRDefault="004C6761" w:rsidP="002B3341">
      <w:pPr>
        <w:rPr>
          <w:rFonts w:cstheme="minorHAnsi"/>
        </w:rPr>
      </w:pPr>
    </w:p>
    <w:p w14:paraId="1D1DF3EF" w14:textId="15F81AB6" w:rsidR="003D66FF" w:rsidRPr="00675182" w:rsidRDefault="003D66FF" w:rsidP="003D66FF">
      <w:pPr>
        <w:jc w:val="both"/>
        <w:rPr>
          <w:rFonts w:cstheme="minorHAnsi"/>
          <w:color w:val="000000"/>
          <w:szCs w:val="24"/>
        </w:rPr>
      </w:pPr>
      <w:r w:rsidRPr="00675182">
        <w:rPr>
          <w:rFonts w:cstheme="minorHAnsi"/>
          <w:color w:val="000000"/>
          <w:szCs w:val="24"/>
        </w:rPr>
        <w:t xml:space="preserve">GNP </w:t>
      </w:r>
      <w:r w:rsidR="00FF418D" w:rsidRPr="00675182">
        <w:rPr>
          <w:rFonts w:cstheme="minorHAnsi"/>
          <w:color w:val="000000"/>
          <w:szCs w:val="24"/>
        </w:rPr>
        <w:t xml:space="preserve">teritorijā ir </w:t>
      </w:r>
      <w:r w:rsidRPr="00675182">
        <w:rPr>
          <w:rFonts w:cstheme="minorHAnsi"/>
          <w:color w:val="000000"/>
          <w:szCs w:val="24"/>
        </w:rPr>
        <w:t xml:space="preserve">sastopami dažādi derīgie izrakteņi. </w:t>
      </w:r>
      <w:r w:rsidR="00FF418D" w:rsidRPr="00675182">
        <w:rPr>
          <w:rFonts w:cstheme="minorHAnsi"/>
          <w:color w:val="000000"/>
          <w:szCs w:val="24"/>
        </w:rPr>
        <w:t>T</w:t>
      </w:r>
      <w:r w:rsidRPr="00675182">
        <w:rPr>
          <w:rFonts w:cstheme="minorHAnsi"/>
          <w:color w:val="000000"/>
          <w:szCs w:val="24"/>
        </w:rPr>
        <w:t xml:space="preserve">eritorijā nelielā dziļumā ieguļ devona ieži, kas veido augstvērtīga devona māla, kvarca smilts, kā arī dolomīta iegulas. Daudzviet sastopama ledāja kušanas ūdeņu sanesta smilts un grants, kā arī pēcledus laikmeta veidojumi – kūdra. </w:t>
      </w:r>
    </w:p>
    <w:p w14:paraId="74C81FD1" w14:textId="77777777" w:rsidR="003D66FF" w:rsidRPr="00675182" w:rsidRDefault="003D66FF" w:rsidP="003D66FF">
      <w:pPr>
        <w:jc w:val="both"/>
        <w:rPr>
          <w:rFonts w:cstheme="minorHAnsi"/>
          <w:szCs w:val="24"/>
        </w:rPr>
      </w:pPr>
    </w:p>
    <w:p w14:paraId="3B38A715" w14:textId="031CDE7F" w:rsidR="00914A1E" w:rsidRPr="00675182" w:rsidRDefault="004C6761" w:rsidP="003D66FF">
      <w:pPr>
        <w:suppressAutoHyphens w:val="0"/>
        <w:jc w:val="both"/>
        <w:rPr>
          <w:rFonts w:cstheme="minorHAnsi"/>
          <w:szCs w:val="24"/>
        </w:rPr>
      </w:pPr>
      <w:r w:rsidRPr="00675182">
        <w:rPr>
          <w:rFonts w:cstheme="minorHAnsi"/>
          <w:szCs w:val="24"/>
        </w:rPr>
        <w:t xml:space="preserve">Saskaņā ar LVĢMC </w:t>
      </w:r>
      <w:r w:rsidR="00D10331" w:rsidRPr="00675182">
        <w:rPr>
          <w:rFonts w:cstheme="minorHAnsi"/>
          <w:szCs w:val="24"/>
        </w:rPr>
        <w:t>uzturētās Zemes dzīļu informācijas sistēmas datiem</w:t>
      </w:r>
      <w:r w:rsidR="0056092A" w:rsidRPr="00675182">
        <w:rPr>
          <w:rFonts w:cstheme="minorHAnsi"/>
          <w:szCs w:val="24"/>
        </w:rPr>
        <w:t xml:space="preserve">, laika periodā no 2015. gada GNP teritorijā derīgo izrakteņu ieguve ir veikta 9 atradnēs. </w:t>
      </w:r>
      <w:r w:rsidR="000A2397" w:rsidRPr="00675182">
        <w:rPr>
          <w:rFonts w:cstheme="minorHAnsi"/>
        </w:rPr>
        <w:t>Šajās atradnēs tiek veikta smilts, smilts-grants, mālu un kūdras ieguve.</w:t>
      </w:r>
    </w:p>
    <w:p w14:paraId="3B944F02" w14:textId="77777777" w:rsidR="00914A1E" w:rsidRPr="00675182" w:rsidRDefault="00914A1E" w:rsidP="003D66FF">
      <w:pPr>
        <w:suppressAutoHyphens w:val="0"/>
        <w:jc w:val="both"/>
        <w:rPr>
          <w:rFonts w:cstheme="minorHAnsi"/>
          <w:szCs w:val="24"/>
        </w:rPr>
      </w:pPr>
    </w:p>
    <w:p w14:paraId="1804F05A" w14:textId="7FBFDB3A" w:rsidR="00914A1E" w:rsidRPr="00675182" w:rsidRDefault="0056092A" w:rsidP="003D66FF">
      <w:pPr>
        <w:suppressAutoHyphens w:val="0"/>
        <w:jc w:val="both"/>
        <w:rPr>
          <w:rFonts w:eastAsia="Times New Roman" w:cstheme="minorHAnsi"/>
          <w:color w:val="000000"/>
          <w:szCs w:val="24"/>
          <w:lang w:eastAsia="lv-LV"/>
        </w:rPr>
      </w:pPr>
      <w:r w:rsidRPr="00675182">
        <w:rPr>
          <w:rFonts w:cstheme="minorHAnsi"/>
          <w:szCs w:val="24"/>
        </w:rPr>
        <w:t xml:space="preserve">Kūdras ieguve tiek veikta vienā derīgo izrakteņu atradnē </w:t>
      </w:r>
      <w:r w:rsidR="001D570B" w:rsidRPr="00675182">
        <w:rPr>
          <w:rFonts w:cstheme="minorHAnsi"/>
          <w:szCs w:val="24"/>
        </w:rPr>
        <w:t>“</w:t>
      </w:r>
      <w:r w:rsidRPr="00675182">
        <w:rPr>
          <w:rFonts w:eastAsia="Times New Roman" w:cstheme="minorHAnsi"/>
          <w:color w:val="000000"/>
          <w:szCs w:val="24"/>
          <w:lang w:eastAsia="lv-LV"/>
        </w:rPr>
        <w:t>Ungur</w:t>
      </w:r>
      <w:r w:rsidR="00FF418D" w:rsidRPr="00675182">
        <w:rPr>
          <w:rFonts w:eastAsia="Times New Roman" w:cstheme="minorHAnsi"/>
          <w:color w:val="000000"/>
          <w:szCs w:val="24"/>
          <w:lang w:eastAsia="lv-LV"/>
        </w:rPr>
        <w:t>i</w:t>
      </w:r>
      <w:r w:rsidR="001D570B" w:rsidRPr="00675182">
        <w:rPr>
          <w:rFonts w:eastAsia="Times New Roman" w:cstheme="minorHAnsi"/>
          <w:color w:val="000000"/>
          <w:szCs w:val="24"/>
          <w:lang w:eastAsia="lv-LV"/>
        </w:rPr>
        <w:t>”</w:t>
      </w:r>
      <w:r w:rsidRPr="00675182">
        <w:rPr>
          <w:rFonts w:eastAsia="Times New Roman" w:cstheme="minorHAnsi"/>
          <w:color w:val="000000"/>
          <w:szCs w:val="24"/>
          <w:lang w:eastAsia="lv-LV"/>
        </w:rPr>
        <w:t xml:space="preserve"> (Lielais Unguru purvs), kur gada laikā tiek iegūti 15</w:t>
      </w:r>
      <w:r w:rsidR="00223157" w:rsidRPr="00675182">
        <w:rPr>
          <w:rFonts w:eastAsia="Times New Roman" w:cstheme="minorHAnsi"/>
          <w:color w:val="000000"/>
          <w:szCs w:val="24"/>
          <w:lang w:eastAsia="lv-LV"/>
        </w:rPr>
        <w:t xml:space="preserve"> </w:t>
      </w:r>
      <w:r w:rsidRPr="00675182">
        <w:rPr>
          <w:rFonts w:eastAsia="Times New Roman" w:cstheme="minorHAnsi"/>
          <w:color w:val="000000"/>
          <w:szCs w:val="24"/>
          <w:lang w:eastAsia="lv-LV"/>
        </w:rPr>
        <w:t>-</w:t>
      </w:r>
      <w:r w:rsidR="00223157" w:rsidRPr="00675182">
        <w:rPr>
          <w:rFonts w:eastAsia="Times New Roman" w:cstheme="minorHAnsi"/>
          <w:color w:val="000000"/>
          <w:szCs w:val="24"/>
          <w:lang w:eastAsia="lv-LV"/>
        </w:rPr>
        <w:t xml:space="preserve"> </w:t>
      </w:r>
      <w:r w:rsidRPr="00675182">
        <w:rPr>
          <w:rFonts w:eastAsia="Times New Roman" w:cstheme="minorHAnsi"/>
          <w:color w:val="000000"/>
          <w:szCs w:val="24"/>
          <w:lang w:eastAsia="lv-LV"/>
        </w:rPr>
        <w:t xml:space="preserve">27 tūkst. t kūdras. </w:t>
      </w:r>
      <w:r w:rsidR="00914A1E" w:rsidRPr="00675182">
        <w:rPr>
          <w:rFonts w:eastAsia="Times New Roman" w:cstheme="minorHAnsi"/>
          <w:color w:val="000000"/>
          <w:szCs w:val="24"/>
          <w:lang w:eastAsia="lv-LV"/>
        </w:rPr>
        <w:t xml:space="preserve">Lai nepieļautu Ungura ezera piesārņošanu ar kūdras daļiņām, tiek nodrošināta no purva izplūstošā ūdens nostādināšana </w:t>
      </w:r>
      <w:r w:rsidR="00914A1E" w:rsidRPr="00675182">
        <w:rPr>
          <w:rFonts w:cstheme="minorHAnsi"/>
          <w:szCs w:val="24"/>
        </w:rPr>
        <w:t>nosēdbaseinos starp purva ziemeļu daļu un ezeru</w:t>
      </w:r>
      <w:r w:rsidR="00914A1E" w:rsidRPr="00675182">
        <w:rPr>
          <w:rFonts w:eastAsia="Times New Roman" w:cstheme="minorHAnsi"/>
          <w:color w:val="000000"/>
          <w:szCs w:val="24"/>
          <w:lang w:eastAsia="lv-LV"/>
        </w:rPr>
        <w:t>.</w:t>
      </w:r>
    </w:p>
    <w:p w14:paraId="6A5C6BE9" w14:textId="77777777" w:rsidR="00914A1E" w:rsidRPr="00675182" w:rsidRDefault="00914A1E" w:rsidP="003D66FF">
      <w:pPr>
        <w:suppressAutoHyphens w:val="0"/>
        <w:jc w:val="both"/>
        <w:rPr>
          <w:rFonts w:eastAsia="Times New Roman" w:cstheme="minorHAnsi"/>
          <w:color w:val="000000"/>
          <w:szCs w:val="24"/>
          <w:lang w:eastAsia="lv-LV"/>
        </w:rPr>
      </w:pPr>
    </w:p>
    <w:p w14:paraId="681BE574" w14:textId="4C7DD29B" w:rsidR="0056092A" w:rsidRPr="00675182" w:rsidRDefault="0056092A" w:rsidP="003D66FF">
      <w:pPr>
        <w:suppressAutoHyphens w:val="0"/>
        <w:jc w:val="both"/>
        <w:rPr>
          <w:rFonts w:eastAsia="Times New Roman" w:cstheme="minorHAnsi"/>
          <w:color w:val="000000"/>
          <w:szCs w:val="24"/>
          <w:lang w:eastAsia="lv-LV"/>
        </w:rPr>
      </w:pPr>
      <w:r w:rsidRPr="00675182">
        <w:rPr>
          <w:rFonts w:eastAsia="Times New Roman" w:cstheme="minorHAnsi"/>
          <w:color w:val="000000"/>
          <w:szCs w:val="24"/>
          <w:lang w:eastAsia="lv-LV"/>
        </w:rPr>
        <w:t xml:space="preserve">Derīgo izrakteņu atradnē </w:t>
      </w:r>
      <w:r w:rsidR="00914A1E" w:rsidRPr="00675182">
        <w:rPr>
          <w:rFonts w:eastAsia="Times New Roman" w:cstheme="minorHAnsi"/>
          <w:color w:val="000000"/>
          <w:szCs w:val="24"/>
          <w:lang w:eastAsia="lv-LV"/>
        </w:rPr>
        <w:t>“</w:t>
      </w:r>
      <w:r w:rsidRPr="00675182">
        <w:rPr>
          <w:rFonts w:eastAsia="Times New Roman" w:cstheme="minorHAnsi"/>
          <w:color w:val="000000"/>
          <w:szCs w:val="24"/>
          <w:lang w:eastAsia="lv-LV"/>
        </w:rPr>
        <w:t>Liepa</w:t>
      </w:r>
      <w:r w:rsidR="00914A1E" w:rsidRPr="00675182">
        <w:rPr>
          <w:rFonts w:eastAsia="Times New Roman" w:cstheme="minorHAnsi"/>
          <w:color w:val="000000"/>
          <w:szCs w:val="24"/>
          <w:lang w:eastAsia="lv-LV"/>
        </w:rPr>
        <w:t>”</w:t>
      </w:r>
      <w:r w:rsidRPr="00675182">
        <w:rPr>
          <w:rFonts w:eastAsia="Times New Roman" w:cstheme="minorHAnsi"/>
          <w:color w:val="000000"/>
          <w:szCs w:val="24"/>
          <w:lang w:eastAsia="lv-LV"/>
        </w:rPr>
        <w:t xml:space="preserve"> tiek iegūts Gaujas svītas Lodes ridas māls, kas tiek izmantots apdares ķieģeļu un būvkeramikas </w:t>
      </w:r>
      <w:r w:rsidR="00914A1E" w:rsidRPr="00675182">
        <w:rPr>
          <w:rFonts w:eastAsia="Times New Roman" w:cstheme="minorHAnsi"/>
          <w:color w:val="000000"/>
          <w:szCs w:val="24"/>
          <w:lang w:eastAsia="lv-LV"/>
        </w:rPr>
        <w:t>izstrādājumu (kanalizācijas cauruļu, sienu un grīdas flīžu, melnā balzama pudeļu, u.c.) ražošanai</w:t>
      </w:r>
      <w:r w:rsidRPr="00675182">
        <w:rPr>
          <w:rFonts w:eastAsia="Times New Roman" w:cstheme="minorHAnsi"/>
          <w:color w:val="000000"/>
          <w:szCs w:val="24"/>
          <w:lang w:eastAsia="lv-LV"/>
        </w:rPr>
        <w:t>.</w:t>
      </w:r>
      <w:r w:rsidR="00914A1E" w:rsidRPr="00675182">
        <w:rPr>
          <w:rFonts w:eastAsia="Times New Roman" w:cstheme="minorHAnsi"/>
          <w:color w:val="000000"/>
          <w:szCs w:val="24"/>
          <w:lang w:eastAsia="lv-LV"/>
        </w:rPr>
        <w:t xml:space="preserve"> Gada laikā </w:t>
      </w:r>
      <w:r w:rsidR="00D25053" w:rsidRPr="00675182">
        <w:rPr>
          <w:rFonts w:eastAsia="Times New Roman" w:cstheme="minorHAnsi"/>
          <w:color w:val="000000"/>
          <w:szCs w:val="24"/>
          <w:lang w:eastAsia="lv-LV"/>
        </w:rPr>
        <w:t>atradnē “Liepa” tiek iegūts 30 – 56 tūkst. m</w:t>
      </w:r>
      <w:r w:rsidR="00D25053" w:rsidRPr="00675182">
        <w:rPr>
          <w:rFonts w:eastAsia="Times New Roman" w:cstheme="minorHAnsi"/>
          <w:color w:val="000000"/>
          <w:szCs w:val="24"/>
          <w:vertAlign w:val="superscript"/>
          <w:lang w:eastAsia="lv-LV"/>
        </w:rPr>
        <w:t>3</w:t>
      </w:r>
      <w:r w:rsidR="00D25053" w:rsidRPr="00675182">
        <w:rPr>
          <w:rFonts w:eastAsia="Times New Roman" w:cstheme="minorHAnsi"/>
          <w:color w:val="000000"/>
          <w:szCs w:val="24"/>
          <w:lang w:eastAsia="lv-LV"/>
        </w:rPr>
        <w:t xml:space="preserve"> māla. </w:t>
      </w:r>
    </w:p>
    <w:p w14:paraId="12056066" w14:textId="734FE598" w:rsidR="00223157" w:rsidRPr="00675182" w:rsidRDefault="00223157" w:rsidP="003D66FF">
      <w:pPr>
        <w:suppressAutoHyphens w:val="0"/>
        <w:jc w:val="both"/>
        <w:rPr>
          <w:rFonts w:eastAsia="Times New Roman" w:cstheme="minorHAnsi"/>
          <w:color w:val="000000"/>
          <w:szCs w:val="24"/>
          <w:lang w:eastAsia="lv-LV"/>
        </w:rPr>
      </w:pPr>
    </w:p>
    <w:p w14:paraId="5B27EF6E" w14:textId="0182A34C" w:rsidR="00223157" w:rsidRPr="00675182" w:rsidRDefault="00223157" w:rsidP="003D66FF">
      <w:pPr>
        <w:suppressAutoHyphens w:val="0"/>
        <w:jc w:val="both"/>
        <w:rPr>
          <w:rFonts w:eastAsia="Times New Roman" w:cstheme="minorHAnsi"/>
          <w:color w:val="000000"/>
          <w:szCs w:val="24"/>
          <w:lang w:eastAsia="lv-LV"/>
        </w:rPr>
      </w:pPr>
      <w:r w:rsidRPr="00675182">
        <w:rPr>
          <w:rFonts w:eastAsia="Times New Roman" w:cstheme="minorHAnsi"/>
          <w:color w:val="000000"/>
          <w:szCs w:val="24"/>
          <w:lang w:eastAsia="lv-LV"/>
        </w:rPr>
        <w:t>Smilts un grants ieguve GNP teritorijā laika periodā no 2015. līdz 20</w:t>
      </w:r>
      <w:r w:rsidR="00D10331" w:rsidRPr="00675182">
        <w:rPr>
          <w:rFonts w:eastAsia="Times New Roman" w:cstheme="minorHAnsi"/>
          <w:color w:val="000000"/>
          <w:szCs w:val="24"/>
          <w:lang w:eastAsia="lv-LV"/>
        </w:rPr>
        <w:t>20</w:t>
      </w:r>
      <w:r w:rsidRPr="00675182">
        <w:rPr>
          <w:rFonts w:eastAsia="Times New Roman" w:cstheme="minorHAnsi"/>
          <w:color w:val="000000"/>
          <w:szCs w:val="24"/>
          <w:lang w:eastAsia="lv-LV"/>
        </w:rPr>
        <w:t xml:space="preserve">. gadam ir veikta 7 atradnēs, tomēr regulāra ieguve tiek veikta </w:t>
      </w:r>
      <w:r w:rsidR="001A412A" w:rsidRPr="00675182">
        <w:rPr>
          <w:rFonts w:eastAsia="Times New Roman" w:cstheme="minorHAnsi"/>
          <w:color w:val="000000"/>
          <w:szCs w:val="24"/>
          <w:lang w:eastAsia="lv-LV"/>
        </w:rPr>
        <w:t>4</w:t>
      </w:r>
      <w:r w:rsidRPr="00675182">
        <w:rPr>
          <w:rFonts w:eastAsia="Times New Roman" w:cstheme="minorHAnsi"/>
          <w:color w:val="000000"/>
          <w:szCs w:val="24"/>
          <w:lang w:eastAsia="lv-LV"/>
        </w:rPr>
        <w:t xml:space="preserve"> atradnēs – “Apiņi”</w:t>
      </w:r>
      <w:r w:rsidR="001A412A" w:rsidRPr="00675182">
        <w:rPr>
          <w:rFonts w:eastAsia="Times New Roman" w:cstheme="minorHAnsi"/>
          <w:color w:val="000000"/>
          <w:szCs w:val="24"/>
          <w:lang w:eastAsia="lv-LV"/>
        </w:rPr>
        <w:t xml:space="preserve">, </w:t>
      </w:r>
      <w:r w:rsidRPr="00675182">
        <w:rPr>
          <w:rFonts w:eastAsia="Times New Roman" w:cstheme="minorHAnsi"/>
          <w:color w:val="000000"/>
          <w:szCs w:val="24"/>
          <w:lang w:eastAsia="lv-LV"/>
        </w:rPr>
        <w:t>“Priežukalni”</w:t>
      </w:r>
      <w:r w:rsidR="001A412A" w:rsidRPr="00675182">
        <w:rPr>
          <w:rFonts w:eastAsia="Times New Roman" w:cstheme="minorHAnsi"/>
          <w:color w:val="000000"/>
          <w:szCs w:val="24"/>
          <w:lang w:eastAsia="lv-LV"/>
        </w:rPr>
        <w:t>, “Uplandi” un “Ķeipāni”</w:t>
      </w:r>
      <w:r w:rsidRPr="00675182">
        <w:rPr>
          <w:rFonts w:eastAsia="Times New Roman" w:cstheme="minorHAnsi"/>
          <w:color w:val="000000"/>
          <w:szCs w:val="24"/>
          <w:lang w:eastAsia="lv-LV"/>
        </w:rPr>
        <w:t xml:space="preserve">, kur ieguves apjomi sasniedz </w:t>
      </w:r>
      <w:r w:rsidR="00E46367" w:rsidRPr="00675182">
        <w:rPr>
          <w:rFonts w:eastAsia="Times New Roman" w:cstheme="minorHAnsi"/>
          <w:color w:val="000000"/>
          <w:szCs w:val="24"/>
          <w:lang w:eastAsia="lv-LV"/>
        </w:rPr>
        <w:t xml:space="preserve">35 - </w:t>
      </w:r>
      <w:r w:rsidR="001A412A" w:rsidRPr="00675182">
        <w:rPr>
          <w:rFonts w:eastAsia="Times New Roman" w:cstheme="minorHAnsi"/>
          <w:color w:val="000000"/>
          <w:szCs w:val="24"/>
          <w:lang w:eastAsia="lv-LV"/>
        </w:rPr>
        <w:t>190</w:t>
      </w:r>
      <w:r w:rsidRPr="00675182">
        <w:rPr>
          <w:rFonts w:eastAsia="Times New Roman" w:cstheme="minorHAnsi"/>
          <w:color w:val="000000"/>
          <w:szCs w:val="24"/>
          <w:lang w:eastAsia="lv-LV"/>
        </w:rPr>
        <w:t xml:space="preserve"> tūkst. m</w:t>
      </w:r>
      <w:r w:rsidRPr="00675182">
        <w:rPr>
          <w:rFonts w:eastAsia="Times New Roman" w:cstheme="minorHAnsi"/>
          <w:color w:val="000000"/>
          <w:szCs w:val="24"/>
          <w:vertAlign w:val="superscript"/>
          <w:lang w:eastAsia="lv-LV"/>
        </w:rPr>
        <w:t>3</w:t>
      </w:r>
      <w:r w:rsidRPr="00675182">
        <w:rPr>
          <w:rFonts w:eastAsia="Times New Roman" w:cstheme="minorHAnsi"/>
          <w:color w:val="000000"/>
          <w:szCs w:val="24"/>
          <w:lang w:eastAsia="lv-LV"/>
        </w:rPr>
        <w:t xml:space="preserve"> smilts un grants gadā</w:t>
      </w:r>
      <w:r w:rsidR="00E46367" w:rsidRPr="00675182">
        <w:rPr>
          <w:rFonts w:eastAsia="Times New Roman" w:cstheme="minorHAnsi"/>
          <w:color w:val="000000"/>
          <w:szCs w:val="24"/>
          <w:lang w:eastAsia="lv-LV"/>
        </w:rPr>
        <w:t xml:space="preserve"> katrā no atradnēm</w:t>
      </w:r>
      <w:r w:rsidRPr="00675182">
        <w:rPr>
          <w:rFonts w:eastAsia="Times New Roman" w:cstheme="minorHAnsi"/>
          <w:color w:val="000000"/>
          <w:szCs w:val="24"/>
          <w:lang w:eastAsia="lv-LV"/>
        </w:rPr>
        <w:t xml:space="preserve">. Pārējās atradnēs, kur smilts un grants ieguve tiek veikta periodiski, ieguves apjoms gada laikā nepārsniedz </w:t>
      </w:r>
      <w:r w:rsidR="001A412A" w:rsidRPr="00675182">
        <w:rPr>
          <w:rFonts w:eastAsia="Times New Roman" w:cstheme="minorHAnsi"/>
          <w:color w:val="000000"/>
          <w:szCs w:val="24"/>
          <w:lang w:eastAsia="lv-LV"/>
        </w:rPr>
        <w:t>105</w:t>
      </w:r>
      <w:r w:rsidRPr="00675182">
        <w:rPr>
          <w:rFonts w:eastAsia="Times New Roman" w:cstheme="minorHAnsi"/>
          <w:color w:val="000000"/>
          <w:szCs w:val="24"/>
          <w:lang w:eastAsia="lv-LV"/>
        </w:rPr>
        <w:t xml:space="preserve"> tūkst. m</w:t>
      </w:r>
      <w:r w:rsidRPr="00675182">
        <w:rPr>
          <w:rFonts w:eastAsia="Times New Roman" w:cstheme="minorHAnsi"/>
          <w:color w:val="000000"/>
          <w:szCs w:val="24"/>
          <w:vertAlign w:val="superscript"/>
          <w:lang w:eastAsia="lv-LV"/>
        </w:rPr>
        <w:t>3</w:t>
      </w:r>
      <w:r w:rsidRPr="00675182">
        <w:rPr>
          <w:rFonts w:eastAsia="Times New Roman" w:cstheme="minorHAnsi"/>
          <w:color w:val="000000"/>
          <w:szCs w:val="24"/>
          <w:lang w:eastAsia="lv-LV"/>
        </w:rPr>
        <w:t xml:space="preserve">. </w:t>
      </w:r>
    </w:p>
    <w:p w14:paraId="7B5C55B0" w14:textId="20502F4F" w:rsidR="003D66FF" w:rsidRPr="00675182" w:rsidRDefault="003D66FF" w:rsidP="003D66FF">
      <w:pPr>
        <w:suppressAutoHyphens w:val="0"/>
        <w:jc w:val="both"/>
        <w:rPr>
          <w:rFonts w:eastAsia="Times New Roman" w:cstheme="minorHAnsi"/>
          <w:color w:val="000000"/>
          <w:szCs w:val="24"/>
          <w:lang w:eastAsia="lv-LV"/>
        </w:rPr>
      </w:pPr>
    </w:p>
    <w:p w14:paraId="3F33B29B" w14:textId="365B5C4B" w:rsidR="003D66FF" w:rsidRPr="00675182" w:rsidRDefault="003D66FF" w:rsidP="003D66FF">
      <w:pPr>
        <w:suppressAutoHyphens w:val="0"/>
        <w:jc w:val="both"/>
        <w:rPr>
          <w:rFonts w:eastAsia="Times New Roman" w:cstheme="minorHAnsi"/>
          <w:color w:val="000000"/>
          <w:szCs w:val="24"/>
          <w:lang w:eastAsia="lv-LV"/>
        </w:rPr>
      </w:pPr>
      <w:r w:rsidRPr="00675182">
        <w:rPr>
          <w:rFonts w:eastAsia="Times New Roman" w:cstheme="minorHAnsi"/>
          <w:color w:val="000000"/>
          <w:szCs w:val="24"/>
          <w:lang w:eastAsia="lv-LV"/>
        </w:rPr>
        <w:t>Detalizēta informācija par derīgo izrakteņu atradnēm</w:t>
      </w:r>
      <w:r w:rsidR="0096443B" w:rsidRPr="00675182">
        <w:rPr>
          <w:rFonts w:eastAsia="Times New Roman" w:cstheme="minorHAnsi"/>
          <w:color w:val="000000"/>
          <w:szCs w:val="24"/>
          <w:lang w:eastAsia="lv-LV"/>
        </w:rPr>
        <w:t xml:space="preserve">, </w:t>
      </w:r>
      <w:r w:rsidRPr="00675182">
        <w:rPr>
          <w:rFonts w:eastAsia="Times New Roman" w:cstheme="minorHAnsi"/>
          <w:color w:val="000000"/>
          <w:szCs w:val="24"/>
          <w:lang w:eastAsia="lv-LV"/>
        </w:rPr>
        <w:t xml:space="preserve">ieguves apjomiem </w:t>
      </w:r>
      <w:r w:rsidR="0096443B" w:rsidRPr="00675182">
        <w:rPr>
          <w:rFonts w:eastAsia="Times New Roman" w:cstheme="minorHAnsi"/>
          <w:color w:val="000000"/>
          <w:szCs w:val="24"/>
          <w:lang w:eastAsia="lv-LV"/>
        </w:rPr>
        <w:t xml:space="preserve">un atlikušajiem krājumiem </w:t>
      </w:r>
      <w:r w:rsidRPr="00675182">
        <w:rPr>
          <w:rFonts w:eastAsia="Times New Roman" w:cstheme="minorHAnsi"/>
          <w:color w:val="000000"/>
          <w:szCs w:val="24"/>
          <w:lang w:eastAsia="lv-LV"/>
        </w:rPr>
        <w:t xml:space="preserve">ir apkopota DA plāna 7. pielikumā. </w:t>
      </w:r>
      <w:r w:rsidR="00223157" w:rsidRPr="00675182">
        <w:rPr>
          <w:rFonts w:eastAsia="Times New Roman" w:cstheme="minorHAnsi"/>
          <w:color w:val="000000"/>
          <w:szCs w:val="24"/>
          <w:lang w:eastAsia="lv-LV"/>
        </w:rPr>
        <w:t>Derīgo izrakteņu izvietojums ir attēlots 1.3.</w:t>
      </w:r>
      <w:r w:rsidR="0096443B" w:rsidRPr="00675182">
        <w:rPr>
          <w:rFonts w:eastAsia="Times New Roman" w:cstheme="minorHAnsi"/>
          <w:color w:val="000000"/>
          <w:szCs w:val="24"/>
          <w:lang w:eastAsia="lv-LV"/>
        </w:rPr>
        <w:t>8</w:t>
      </w:r>
      <w:r w:rsidR="00223157" w:rsidRPr="00675182">
        <w:rPr>
          <w:rFonts w:eastAsia="Times New Roman" w:cstheme="minorHAnsi"/>
          <w:color w:val="000000"/>
          <w:szCs w:val="24"/>
          <w:lang w:eastAsia="lv-LV"/>
        </w:rPr>
        <w:t xml:space="preserve">. attēlā. </w:t>
      </w:r>
    </w:p>
    <w:p w14:paraId="1D66A587" w14:textId="77777777" w:rsidR="00914A1E" w:rsidRPr="00675182" w:rsidRDefault="00914A1E" w:rsidP="00914A1E">
      <w:pPr>
        <w:jc w:val="both"/>
        <w:rPr>
          <w:rFonts w:cstheme="minorHAnsi"/>
          <w:color w:val="000000"/>
          <w:szCs w:val="24"/>
        </w:rPr>
      </w:pPr>
    </w:p>
    <w:p w14:paraId="05E90091" w14:textId="19072FB0" w:rsidR="00914A1E" w:rsidRPr="00675182" w:rsidRDefault="00914A1E" w:rsidP="00914A1E">
      <w:pPr>
        <w:jc w:val="both"/>
        <w:rPr>
          <w:rFonts w:cstheme="minorHAnsi"/>
          <w:szCs w:val="24"/>
        </w:rPr>
      </w:pPr>
      <w:r w:rsidRPr="00675182">
        <w:rPr>
          <w:rFonts w:cstheme="minorHAnsi"/>
          <w:color w:val="000000"/>
          <w:szCs w:val="24"/>
        </w:rPr>
        <w:t xml:space="preserve">Lai gan derīgo izrakteņu ieguve veicina teritorijas ekonomisko attīstību, nodrošinot darba vietas, kā arī dabas resursu nodokļa ieņēmumus pašvaldībai, tomēr derīgo izrakteņu ieguve </w:t>
      </w:r>
      <w:r w:rsidR="00FF418D" w:rsidRPr="00675182">
        <w:rPr>
          <w:rFonts w:cstheme="minorHAnsi"/>
          <w:color w:val="000000"/>
          <w:szCs w:val="24"/>
        </w:rPr>
        <w:t>var atstāt</w:t>
      </w:r>
      <w:r w:rsidRPr="00675182">
        <w:rPr>
          <w:rFonts w:cstheme="minorHAnsi"/>
          <w:color w:val="000000"/>
          <w:szCs w:val="24"/>
        </w:rPr>
        <w:t xml:space="preserve"> nelabvēlīgu ietekmi uz apkārtējo vidi – izmaiņām ainavā, gaisa kvalitātē, trokšņa līmenī, hidroģeoloģiskām izmaiņām. Lai novērstu iespējamo nelabvēlīgo ietekmi, pirms derīgo izrakteņu ieguves uzsākšanas ir jāveic sākotnējais ietekmes uz vidi novērtējums, nepieciešamības gadījumā arī ietekmes uz vidi vai </w:t>
      </w:r>
      <w:r w:rsidRPr="00BF7348">
        <w:rPr>
          <w:rFonts w:cstheme="minorHAnsi"/>
          <w:color w:val="000000"/>
          <w:szCs w:val="24"/>
        </w:rPr>
        <w:t>Natura</w:t>
      </w:r>
      <w:r w:rsidRPr="002E2184">
        <w:rPr>
          <w:rFonts w:cstheme="minorHAnsi"/>
          <w:color w:val="000000"/>
          <w:szCs w:val="24"/>
        </w:rPr>
        <w:t xml:space="preserve"> </w:t>
      </w:r>
      <w:r w:rsidRPr="00BF7348">
        <w:rPr>
          <w:rFonts w:cstheme="minorHAnsi"/>
          <w:color w:val="000000"/>
          <w:szCs w:val="24"/>
        </w:rPr>
        <w:t>2000</w:t>
      </w:r>
      <w:r w:rsidRPr="00675182">
        <w:rPr>
          <w:rFonts w:cstheme="minorHAnsi"/>
          <w:color w:val="000000"/>
          <w:szCs w:val="24"/>
        </w:rPr>
        <w:t xml:space="preserve"> teritoriju novērtējums. </w:t>
      </w:r>
    </w:p>
    <w:p w14:paraId="1C22E194" w14:textId="77777777" w:rsidR="00D545DB" w:rsidRPr="00675182" w:rsidRDefault="0056092A" w:rsidP="002B3341">
      <w:pPr>
        <w:rPr>
          <w:rFonts w:cstheme="minorHAnsi"/>
        </w:rPr>
        <w:sectPr w:rsidR="00D545DB" w:rsidRPr="00675182" w:rsidSect="00CD74B1">
          <w:headerReference w:type="default" r:id="rId68"/>
          <w:pgSz w:w="11905" w:h="16837"/>
          <w:pgMar w:top="1440" w:right="1797" w:bottom="1440" w:left="1797" w:header="720" w:footer="720" w:gutter="0"/>
          <w:cols w:space="720"/>
          <w:docGrid w:linePitch="360"/>
        </w:sectPr>
      </w:pPr>
      <w:r w:rsidRPr="00675182">
        <w:rPr>
          <w:rFonts w:cstheme="minorHAnsi"/>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7"/>
      </w:tblGrid>
      <w:tr w:rsidR="00D545DB" w:rsidRPr="00675182" w14:paraId="67956FCC" w14:textId="77777777" w:rsidTr="009078BE">
        <w:tc>
          <w:tcPr>
            <w:tcW w:w="5000" w:type="pct"/>
          </w:tcPr>
          <w:p w14:paraId="79770F5E" w14:textId="4565E546" w:rsidR="00D545DB" w:rsidRPr="00675182" w:rsidRDefault="008F7998" w:rsidP="009078BE">
            <w:pPr>
              <w:jc w:val="center"/>
              <w:rPr>
                <w:rFonts w:cstheme="minorHAnsi"/>
              </w:rPr>
            </w:pPr>
            <w:r w:rsidRPr="00675182">
              <w:rPr>
                <w:rFonts w:cstheme="minorHAnsi"/>
                <w:noProof/>
              </w:rPr>
              <w:lastRenderedPageBreak/>
              <w:drawing>
                <wp:inline distT="0" distB="0" distL="0" distR="0" wp14:anchorId="6C78FD0C" wp14:editId="55E7BF93">
                  <wp:extent cx="6613717" cy="4680000"/>
                  <wp:effectExtent l="0" t="0" r="0" b="635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613717" cy="4680000"/>
                          </a:xfrm>
                          <a:prstGeom prst="rect">
                            <a:avLst/>
                          </a:prstGeom>
                          <a:noFill/>
                          <a:ln>
                            <a:noFill/>
                          </a:ln>
                        </pic:spPr>
                      </pic:pic>
                    </a:graphicData>
                  </a:graphic>
                </wp:inline>
              </w:drawing>
            </w:r>
          </w:p>
        </w:tc>
      </w:tr>
      <w:tr w:rsidR="00D545DB" w:rsidRPr="00675182" w14:paraId="69058990" w14:textId="77777777" w:rsidTr="009078BE">
        <w:tc>
          <w:tcPr>
            <w:tcW w:w="5000" w:type="pct"/>
          </w:tcPr>
          <w:p w14:paraId="1945FE43" w14:textId="47A01A2B" w:rsidR="00D545DB" w:rsidRPr="00675182" w:rsidRDefault="00D545DB" w:rsidP="002B3341">
            <w:pPr>
              <w:rPr>
                <w:rFonts w:cstheme="minorHAnsi"/>
                <w:b/>
                <w:bCs/>
                <w:i/>
                <w:iCs/>
              </w:rPr>
            </w:pPr>
            <w:r w:rsidRPr="00675182">
              <w:rPr>
                <w:rFonts w:cstheme="minorHAnsi"/>
                <w:b/>
                <w:bCs/>
                <w:i/>
                <w:iCs/>
              </w:rPr>
              <w:t>1.3.</w:t>
            </w:r>
            <w:r w:rsidR="0096443B" w:rsidRPr="00675182">
              <w:rPr>
                <w:rFonts w:cstheme="minorHAnsi"/>
                <w:b/>
                <w:bCs/>
                <w:i/>
                <w:iCs/>
              </w:rPr>
              <w:t>8</w:t>
            </w:r>
            <w:r w:rsidRPr="00675182">
              <w:rPr>
                <w:rFonts w:cstheme="minorHAnsi"/>
                <w:b/>
                <w:bCs/>
                <w:i/>
                <w:iCs/>
              </w:rPr>
              <w:t xml:space="preserve">. attēls. Derīgo izrakteņu ieguves teritorijas GNP </w:t>
            </w:r>
          </w:p>
          <w:p w14:paraId="6AEEDF9D" w14:textId="3274FA6D" w:rsidR="009078BE" w:rsidRPr="00675182" w:rsidRDefault="009078BE" w:rsidP="002B3341">
            <w:pPr>
              <w:rPr>
                <w:rFonts w:cstheme="minorHAnsi"/>
                <w:sz w:val="20"/>
                <w:szCs w:val="16"/>
              </w:rPr>
            </w:pPr>
            <w:r w:rsidRPr="00675182">
              <w:rPr>
                <w:rFonts w:cstheme="minorHAnsi"/>
                <w:sz w:val="20"/>
                <w:szCs w:val="16"/>
              </w:rPr>
              <w:t>Datu avots: LVĢMC, 202</w:t>
            </w:r>
            <w:r w:rsidR="00A22C9C" w:rsidRPr="00675182">
              <w:rPr>
                <w:rFonts w:cstheme="minorHAnsi"/>
                <w:sz w:val="20"/>
                <w:szCs w:val="16"/>
              </w:rPr>
              <w:t>2</w:t>
            </w:r>
          </w:p>
        </w:tc>
      </w:tr>
    </w:tbl>
    <w:p w14:paraId="5195F1C5" w14:textId="4D179102" w:rsidR="002D4B02" w:rsidRPr="00675182" w:rsidRDefault="002D4B02" w:rsidP="002B3341">
      <w:pPr>
        <w:rPr>
          <w:rFonts w:cstheme="minorHAnsi"/>
        </w:rPr>
        <w:sectPr w:rsidR="002D4B02" w:rsidRPr="00675182" w:rsidSect="00D545DB">
          <w:headerReference w:type="default" r:id="rId70"/>
          <w:pgSz w:w="16837" w:h="11905" w:orient="landscape"/>
          <w:pgMar w:top="1797" w:right="1440" w:bottom="1797" w:left="1440" w:header="720" w:footer="720" w:gutter="0"/>
          <w:cols w:space="720"/>
          <w:docGrid w:linePitch="360"/>
        </w:sectPr>
      </w:pPr>
    </w:p>
    <w:p w14:paraId="416346AF" w14:textId="6AD384FA" w:rsidR="00611281" w:rsidRPr="00675182" w:rsidRDefault="00611281" w:rsidP="00611281">
      <w:pPr>
        <w:pStyle w:val="Heading4"/>
        <w:rPr>
          <w:rFonts w:asciiTheme="minorHAnsi" w:hAnsiTheme="minorHAnsi" w:cstheme="minorHAnsi"/>
        </w:rPr>
      </w:pPr>
      <w:r w:rsidRPr="00675182">
        <w:rPr>
          <w:rFonts w:asciiTheme="minorHAnsi" w:hAnsiTheme="minorHAnsi" w:cstheme="minorHAnsi"/>
        </w:rPr>
        <w:lastRenderedPageBreak/>
        <w:t xml:space="preserve">1.3.2.3. </w:t>
      </w:r>
      <w:r w:rsidR="00311BBE" w:rsidRPr="00675182">
        <w:rPr>
          <w:rFonts w:asciiTheme="minorHAnsi" w:hAnsiTheme="minorHAnsi" w:cstheme="minorHAnsi"/>
        </w:rPr>
        <w:t>Esošais un potenciālais piesārņojums</w:t>
      </w:r>
    </w:p>
    <w:p w14:paraId="1F2B436B" w14:textId="77777777" w:rsidR="00611281" w:rsidRPr="00675182" w:rsidRDefault="00611281" w:rsidP="00611281">
      <w:pPr>
        <w:rPr>
          <w:rFonts w:cstheme="minorHAnsi"/>
        </w:rPr>
      </w:pPr>
    </w:p>
    <w:p w14:paraId="74036EA4" w14:textId="10746454" w:rsidR="00611281" w:rsidRPr="00675182" w:rsidRDefault="00611281" w:rsidP="00611281">
      <w:pPr>
        <w:jc w:val="both"/>
        <w:rPr>
          <w:rFonts w:cstheme="minorHAnsi"/>
        </w:rPr>
      </w:pPr>
      <w:r w:rsidRPr="00675182">
        <w:rPr>
          <w:rFonts w:cstheme="minorHAnsi"/>
        </w:rPr>
        <w:t xml:space="preserve">Piesārņota un potenciāli </w:t>
      </w:r>
      <w:r w:rsidR="00311BBE" w:rsidRPr="00675182">
        <w:rPr>
          <w:rFonts w:cstheme="minorHAnsi"/>
        </w:rPr>
        <w:t xml:space="preserve">piesārņota </w:t>
      </w:r>
      <w:r w:rsidRPr="00675182">
        <w:rPr>
          <w:rFonts w:cstheme="minorHAnsi"/>
        </w:rPr>
        <w:t xml:space="preserve">vieta ir augsne, zemes dzīles, ūdens, dūņas, kā arī ēkas, ražotnes vai citi objekti, kas satur piesārņojošas vielas vai citi objekti, kuri, pēc nepārbaudītas informācijas, satur vai var saturēt piesārņojošas vielas. </w:t>
      </w:r>
    </w:p>
    <w:p w14:paraId="3D7F6538" w14:textId="02ACABFB" w:rsidR="00611281" w:rsidRPr="00675182" w:rsidRDefault="00611281" w:rsidP="00611281">
      <w:pPr>
        <w:rPr>
          <w:rFonts w:cstheme="minorHAnsi"/>
        </w:rPr>
      </w:pPr>
    </w:p>
    <w:p w14:paraId="4C8DB91D" w14:textId="24F8203B" w:rsidR="00611281" w:rsidRPr="00675182" w:rsidRDefault="00611281" w:rsidP="00BF7348">
      <w:pPr>
        <w:jc w:val="both"/>
        <w:rPr>
          <w:rFonts w:cstheme="minorHAnsi"/>
        </w:rPr>
      </w:pPr>
      <w:r w:rsidRPr="00675182">
        <w:rPr>
          <w:rFonts w:cstheme="minorHAnsi"/>
        </w:rPr>
        <w:t xml:space="preserve">Saskaņā ar LVĢMC Potenciāli piesārņoto un piesārņoto vietu reģistra datiem, GNP teritorijā atrodas </w:t>
      </w:r>
      <w:r w:rsidR="00523C43" w:rsidRPr="00675182">
        <w:rPr>
          <w:rFonts w:cstheme="minorHAnsi"/>
        </w:rPr>
        <w:t>3 piesārņotas vietas – 2 degvielas uzpildes stacijas, kur konstatēts gruntsūdens piesārņojums ar naftas produktiem, kā arī Siguldas sadzīves atkritumu izgāztuve</w:t>
      </w:r>
      <w:r w:rsidR="00155656" w:rsidRPr="00675182">
        <w:rPr>
          <w:rFonts w:cstheme="minorHAnsi"/>
        </w:rPr>
        <w:t xml:space="preserve"> (skat. 1.3.</w:t>
      </w:r>
      <w:r w:rsidR="0096443B" w:rsidRPr="00675182">
        <w:rPr>
          <w:rFonts w:cstheme="minorHAnsi"/>
        </w:rPr>
        <w:t>9</w:t>
      </w:r>
      <w:r w:rsidR="00155656" w:rsidRPr="00675182">
        <w:rPr>
          <w:rFonts w:cstheme="minorHAnsi"/>
        </w:rPr>
        <w:t>. attēlu)</w:t>
      </w:r>
      <w:r w:rsidR="00523C43" w:rsidRPr="00675182">
        <w:rPr>
          <w:rFonts w:cstheme="minorHAnsi"/>
        </w:rPr>
        <w:t>.</w:t>
      </w:r>
    </w:p>
    <w:p w14:paraId="760BD7D5" w14:textId="3F64083B" w:rsidR="00523C43" w:rsidRPr="00675182" w:rsidRDefault="00523C43" w:rsidP="00611281">
      <w:pPr>
        <w:rPr>
          <w:rFonts w:cstheme="minorHAnsi"/>
        </w:rPr>
      </w:pPr>
    </w:p>
    <w:p w14:paraId="7B9C9107" w14:textId="05AF54A8" w:rsidR="00523C43" w:rsidRPr="00675182" w:rsidRDefault="00523C43" w:rsidP="00BF7348">
      <w:pPr>
        <w:jc w:val="both"/>
        <w:rPr>
          <w:rFonts w:cstheme="minorHAnsi"/>
        </w:rPr>
      </w:pPr>
      <w:r w:rsidRPr="00675182">
        <w:rPr>
          <w:rFonts w:cstheme="minorHAnsi"/>
        </w:rPr>
        <w:t>GNP teritorijā atrodas 4</w:t>
      </w:r>
      <w:r w:rsidR="00990D63" w:rsidRPr="00675182">
        <w:rPr>
          <w:rFonts w:cstheme="minorHAnsi"/>
        </w:rPr>
        <w:t>8</w:t>
      </w:r>
      <w:r w:rsidRPr="00675182">
        <w:rPr>
          <w:rFonts w:cstheme="minorHAnsi"/>
        </w:rPr>
        <w:t xml:space="preserve"> potenciāli piesārņotas vietas –</w:t>
      </w:r>
      <w:r w:rsidR="00311BBE" w:rsidRPr="00675182">
        <w:rPr>
          <w:rFonts w:cstheme="minorHAnsi"/>
        </w:rPr>
        <w:t xml:space="preserve"> </w:t>
      </w:r>
      <w:r w:rsidRPr="00675182">
        <w:rPr>
          <w:rFonts w:cstheme="minorHAnsi"/>
        </w:rPr>
        <w:t>degvielas uzpildes stacijas, bijušās kolhozu ēkas, bijušās atkritumu izgāztuves, rūpniecības uzņēmumi, u.c.</w:t>
      </w:r>
      <w:r w:rsidR="00155656" w:rsidRPr="00675182">
        <w:rPr>
          <w:rFonts w:cstheme="minorHAnsi"/>
        </w:rPr>
        <w:t xml:space="preserve"> (skat. 1.3.</w:t>
      </w:r>
      <w:r w:rsidR="0096443B" w:rsidRPr="00675182">
        <w:rPr>
          <w:rFonts w:cstheme="minorHAnsi"/>
        </w:rPr>
        <w:t>9</w:t>
      </w:r>
      <w:r w:rsidR="00155656" w:rsidRPr="00675182">
        <w:rPr>
          <w:rFonts w:cstheme="minorHAnsi"/>
        </w:rPr>
        <w:t>. attēlu).</w:t>
      </w:r>
    </w:p>
    <w:p w14:paraId="48D6DACE" w14:textId="7594E162" w:rsidR="00523C43" w:rsidRPr="00675182" w:rsidRDefault="00523C43" w:rsidP="00611281">
      <w:pPr>
        <w:rPr>
          <w:rFonts w:cstheme="minorHAnsi"/>
        </w:rPr>
      </w:pPr>
    </w:p>
    <w:p w14:paraId="6B97508E" w14:textId="44DE7769" w:rsidR="00523C43" w:rsidRPr="00675182" w:rsidRDefault="00523C43" w:rsidP="00A36AE9">
      <w:pPr>
        <w:jc w:val="both"/>
        <w:rPr>
          <w:rFonts w:cstheme="minorHAnsi"/>
          <w:szCs w:val="24"/>
        </w:rPr>
      </w:pPr>
      <w:r w:rsidRPr="00675182">
        <w:rPr>
          <w:rFonts w:cstheme="minorHAnsi"/>
        </w:rPr>
        <w:t xml:space="preserve">Jāmin, ka kā potenciāli piesārņotas vieta Potenciāli piesārņoto un piesārņoto vietu reģistrā ir iekļauta Pētera ala Siguldas pilsētas teritorijā (Reģ. Nr. </w:t>
      </w:r>
      <w:r w:rsidRPr="00675182">
        <w:rPr>
          <w:rFonts w:cstheme="minorHAnsi"/>
          <w:szCs w:val="24"/>
        </w:rPr>
        <w:t xml:space="preserve">80155/5460), kur iespējams piesārņojums ar naftas produktiem, kā arī objekts ar nosaukumu “Gaujas Nacionālais Parks pie Vējupītes Siguldā” </w:t>
      </w:r>
      <w:r w:rsidRPr="00675182">
        <w:rPr>
          <w:rFonts w:cstheme="minorHAnsi"/>
        </w:rPr>
        <w:t xml:space="preserve">(Reģ. Nr. </w:t>
      </w:r>
      <w:r w:rsidRPr="00675182">
        <w:rPr>
          <w:rFonts w:cstheme="minorHAnsi"/>
          <w:szCs w:val="24"/>
        </w:rPr>
        <w:t xml:space="preserve">80948/5098), </w:t>
      </w:r>
      <w:r w:rsidR="00155656" w:rsidRPr="00675182">
        <w:rPr>
          <w:rFonts w:cstheme="minorHAnsi"/>
          <w:szCs w:val="24"/>
        </w:rPr>
        <w:t xml:space="preserve">kur konstatēts naftas produktu piesārņojums gruntī. </w:t>
      </w:r>
    </w:p>
    <w:p w14:paraId="4A65497F" w14:textId="2AC15DB0" w:rsidR="00155656" w:rsidRPr="00675182" w:rsidRDefault="00155656" w:rsidP="00611281">
      <w:pPr>
        <w:rPr>
          <w:rFonts w:cstheme="minorHAnsi"/>
          <w:szCs w:val="24"/>
        </w:rPr>
      </w:pPr>
    </w:p>
    <w:p w14:paraId="003006B6" w14:textId="77777777" w:rsidR="00311BBE" w:rsidRPr="00675182" w:rsidRDefault="00155656" w:rsidP="00BF7348">
      <w:pPr>
        <w:jc w:val="both"/>
        <w:rPr>
          <w:rFonts w:cstheme="minorHAnsi"/>
          <w:szCs w:val="24"/>
        </w:rPr>
      </w:pPr>
      <w:r w:rsidRPr="00675182">
        <w:rPr>
          <w:rFonts w:cstheme="minorHAnsi"/>
          <w:szCs w:val="24"/>
        </w:rPr>
        <w:t>Informācija par piesārņotām un potenciāli piesārņotām vietām ir apkopota DA plāna 8. pielikumā.</w:t>
      </w:r>
    </w:p>
    <w:p w14:paraId="7C237F7E" w14:textId="5FCDDD75" w:rsidR="00311BBE" w:rsidRPr="00675182" w:rsidRDefault="00311BBE" w:rsidP="00611281">
      <w:pPr>
        <w:rPr>
          <w:rFonts w:cstheme="minorHAnsi"/>
          <w:szCs w:val="24"/>
        </w:rPr>
      </w:pPr>
    </w:p>
    <w:p w14:paraId="1E5C44BF" w14:textId="75BF8D97" w:rsidR="0079776A" w:rsidRPr="00675182" w:rsidRDefault="0079776A" w:rsidP="0079776A">
      <w:pPr>
        <w:pStyle w:val="ListParagraph"/>
        <w:ind w:left="0"/>
        <w:jc w:val="both"/>
        <w:rPr>
          <w:rFonts w:cstheme="minorHAnsi"/>
          <w:bCs/>
        </w:rPr>
      </w:pPr>
      <w:r w:rsidRPr="00675182">
        <w:rPr>
          <w:rFonts w:cstheme="minorHAnsi"/>
          <w:bCs/>
        </w:rPr>
        <w:t xml:space="preserve">GNP teritorijā un tās tuvumā galvenie punktveida piesārņojumu radošie avoti </w:t>
      </w:r>
      <w:r w:rsidR="00E56DAA" w:rsidRPr="00675182">
        <w:rPr>
          <w:rFonts w:cstheme="minorHAnsi"/>
          <w:bCs/>
        </w:rPr>
        <w:t xml:space="preserve">virszemes ūdeņos </w:t>
      </w:r>
      <w:r w:rsidRPr="00675182">
        <w:rPr>
          <w:rFonts w:cstheme="minorHAnsi"/>
          <w:bCs/>
        </w:rPr>
        <w:t>ir sadzīves un rūpnieciskie notekūdeņi no NAI. Kopumā ĪADT un tās tiešā tuvumā ir 65 NAI, kurām VVD ir izsniedzis B kategorijas piesārņojošās darbības atļauj</w:t>
      </w:r>
      <w:r w:rsidR="00D93B0B" w:rsidRPr="00675182">
        <w:rPr>
          <w:rFonts w:cstheme="minorHAnsi"/>
          <w:bCs/>
        </w:rPr>
        <w:t>as</w:t>
      </w:r>
      <w:r w:rsidRPr="00675182">
        <w:rPr>
          <w:rFonts w:cstheme="minorHAnsi"/>
          <w:bCs/>
        </w:rPr>
        <w:t>, no tām tieši GNP teritorijā – 26. Lielākie notekūdeņu avoti GNP teritorijā un tās tiešā tuvumā ir Valmiera (24868 iedzīvotāji; PMLP Iedzīvotāju reģistra statistika 2021. g. dati), Cēsis (16632 iedzīvotāji, PMLP Iedzīvotāju reģistra statistika 2021. g. dati) un Sigulda (14885 iedzīvotāji, PMLP Iedzīvotāju reģistra statistika 2021. g. dati).</w:t>
      </w:r>
      <w:r w:rsidR="005752B0" w:rsidRPr="00675182">
        <w:rPr>
          <w:rFonts w:cstheme="minorHAnsi"/>
          <w:bCs/>
        </w:rPr>
        <w:t xml:space="preserve"> Jāmin, ka notekūdeņu savākšana un attīrīšana netiek nodrošināta visās viensētu teritorijās, tādējādi </w:t>
      </w:r>
      <w:r w:rsidR="005752B0" w:rsidRPr="00675182">
        <w:rPr>
          <w:rFonts w:cstheme="minorHAnsi"/>
          <w:szCs w:val="24"/>
        </w:rPr>
        <w:t xml:space="preserve">saglabājas virszemes un pazemes ūdeņu piesārņojuma risks no viensētu notekūdeņiem. </w:t>
      </w:r>
    </w:p>
    <w:p w14:paraId="5BC44792" w14:textId="77777777" w:rsidR="0079776A" w:rsidRPr="00675182" w:rsidRDefault="0079776A" w:rsidP="0079776A">
      <w:pPr>
        <w:pStyle w:val="ListParagraph"/>
        <w:ind w:left="0"/>
        <w:jc w:val="both"/>
        <w:rPr>
          <w:rFonts w:cstheme="minorHAnsi"/>
          <w:bCs/>
        </w:rPr>
      </w:pPr>
    </w:p>
    <w:p w14:paraId="1AA3E43A" w14:textId="753E62FF" w:rsidR="00311BBE" w:rsidRPr="00675182" w:rsidRDefault="0079776A" w:rsidP="00957426">
      <w:pPr>
        <w:jc w:val="both"/>
        <w:rPr>
          <w:rFonts w:cstheme="minorHAnsi"/>
          <w:szCs w:val="24"/>
        </w:rPr>
      </w:pPr>
      <w:r w:rsidRPr="00675182">
        <w:rPr>
          <w:rFonts w:cstheme="minorHAnsi"/>
          <w:szCs w:val="24"/>
        </w:rPr>
        <w:t xml:space="preserve">GNP teritorijā atkritumu apsaimniekošanu organizē SIA “ZAAO” un </w:t>
      </w:r>
      <w:r w:rsidR="005752B0" w:rsidRPr="00675182">
        <w:rPr>
          <w:rFonts w:cstheme="minorHAnsi"/>
        </w:rPr>
        <w:t xml:space="preserve">Siguldas pilsētas SIA “JUMIS”. GNP teritorijā neatrodas atkritumu poligoni, bet tie tiek izvesti uz cieto sadzīves atkritumu poligoniem “Daibe” Cēsu novadā vai “Getliņi” Stopiņu novadā. Līgatnes pilsētā, kā arī GNP teritorijas tiešā tuvumā (Valmierā, Cēsīs, Siguldā) ir izveidoti atkritumu šķirošanas laukumi. </w:t>
      </w:r>
      <w:r w:rsidR="00957426" w:rsidRPr="00675182">
        <w:rPr>
          <w:rFonts w:cstheme="minorHAnsi"/>
        </w:rPr>
        <w:t xml:space="preserve">Atkritumu apsaimniekošana ir ievērojama problēma gan ūdenstūristu atpūtas vietās, gan tūrisma objektu stāvvietās, gan dabas taku maršrutos. </w:t>
      </w:r>
    </w:p>
    <w:p w14:paraId="243FCA5A" w14:textId="77777777" w:rsidR="00311BBE" w:rsidRPr="00675182" w:rsidRDefault="00311BBE" w:rsidP="00311BBE">
      <w:pPr>
        <w:rPr>
          <w:rFonts w:cstheme="minorHAnsi"/>
          <w:szCs w:val="24"/>
        </w:rPr>
      </w:pPr>
    </w:p>
    <w:p w14:paraId="047C5C76" w14:textId="5948899F" w:rsidR="00155656" w:rsidRPr="00675182" w:rsidRDefault="00155656" w:rsidP="00311BBE">
      <w:pPr>
        <w:rPr>
          <w:rFonts w:cstheme="minorHAnsi"/>
          <w:szCs w:val="24"/>
        </w:rPr>
        <w:sectPr w:rsidR="00155656" w:rsidRPr="00675182" w:rsidSect="00CD74B1">
          <w:headerReference w:type="default" r:id="rId71"/>
          <w:pgSz w:w="11905" w:h="16837"/>
          <w:pgMar w:top="1440" w:right="1797" w:bottom="1440" w:left="1797" w:header="720"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7"/>
      </w:tblGrid>
      <w:tr w:rsidR="00155656" w:rsidRPr="00675182" w14:paraId="218283E2" w14:textId="77777777" w:rsidTr="00CB4F44">
        <w:trPr>
          <w:trHeight w:val="7370"/>
        </w:trPr>
        <w:tc>
          <w:tcPr>
            <w:tcW w:w="5000" w:type="pct"/>
            <w:vAlign w:val="center"/>
          </w:tcPr>
          <w:p w14:paraId="396CE463" w14:textId="053802B7" w:rsidR="00155656" w:rsidRPr="00675182" w:rsidRDefault="00B21F81" w:rsidP="00CB4F44">
            <w:pPr>
              <w:jc w:val="center"/>
              <w:rPr>
                <w:rFonts w:cstheme="minorHAnsi"/>
              </w:rPr>
            </w:pPr>
            <w:r w:rsidRPr="00675182">
              <w:rPr>
                <w:rFonts w:cstheme="minorHAnsi"/>
                <w:noProof/>
              </w:rPr>
              <w:lastRenderedPageBreak/>
              <w:drawing>
                <wp:inline distT="0" distB="0" distL="0" distR="0" wp14:anchorId="3CCD79FE" wp14:editId="0A2DCF68">
                  <wp:extent cx="6969839" cy="4932000"/>
                  <wp:effectExtent l="0" t="0" r="2540" b="254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969839" cy="4932000"/>
                          </a:xfrm>
                          <a:prstGeom prst="rect">
                            <a:avLst/>
                          </a:prstGeom>
                          <a:noFill/>
                          <a:ln>
                            <a:noFill/>
                          </a:ln>
                        </pic:spPr>
                      </pic:pic>
                    </a:graphicData>
                  </a:graphic>
                </wp:inline>
              </w:drawing>
            </w:r>
          </w:p>
        </w:tc>
      </w:tr>
      <w:tr w:rsidR="00155656" w:rsidRPr="00675182" w14:paraId="4B958982" w14:textId="77777777" w:rsidTr="008F7998">
        <w:tc>
          <w:tcPr>
            <w:tcW w:w="5000" w:type="pct"/>
          </w:tcPr>
          <w:p w14:paraId="75A80024" w14:textId="4C5CD483" w:rsidR="00155656" w:rsidRPr="00675182" w:rsidRDefault="00155656" w:rsidP="00611281">
            <w:pPr>
              <w:rPr>
                <w:rFonts w:cstheme="minorHAnsi"/>
                <w:b/>
                <w:bCs/>
                <w:i/>
                <w:iCs/>
              </w:rPr>
            </w:pPr>
            <w:r w:rsidRPr="00675182">
              <w:rPr>
                <w:rFonts w:cstheme="minorHAnsi"/>
                <w:b/>
                <w:bCs/>
                <w:i/>
                <w:iCs/>
              </w:rPr>
              <w:t>1.3.</w:t>
            </w:r>
            <w:r w:rsidR="0096443B" w:rsidRPr="00675182">
              <w:rPr>
                <w:rFonts w:cstheme="minorHAnsi"/>
                <w:b/>
                <w:bCs/>
                <w:i/>
                <w:iCs/>
              </w:rPr>
              <w:t>9</w:t>
            </w:r>
            <w:r w:rsidRPr="00675182">
              <w:rPr>
                <w:rFonts w:cstheme="minorHAnsi"/>
                <w:b/>
                <w:bCs/>
                <w:i/>
                <w:iCs/>
              </w:rPr>
              <w:t>. attēls. Piesārņotās un potenciāli piesārņotās vietas</w:t>
            </w:r>
            <w:r w:rsidR="00513D22" w:rsidRPr="00675182">
              <w:rPr>
                <w:rFonts w:cstheme="minorHAnsi"/>
                <w:b/>
                <w:bCs/>
                <w:i/>
                <w:iCs/>
              </w:rPr>
              <w:t>, kā arī NAI</w:t>
            </w:r>
            <w:r w:rsidRPr="00675182">
              <w:rPr>
                <w:rFonts w:cstheme="minorHAnsi"/>
                <w:b/>
                <w:bCs/>
                <w:i/>
                <w:iCs/>
              </w:rPr>
              <w:t xml:space="preserve"> GNP teritorijā</w:t>
            </w:r>
          </w:p>
          <w:p w14:paraId="270A2761" w14:textId="10FE9EB6" w:rsidR="00155656" w:rsidRPr="00675182" w:rsidRDefault="00155656" w:rsidP="00611281">
            <w:pPr>
              <w:rPr>
                <w:rFonts w:cstheme="minorHAnsi"/>
              </w:rPr>
            </w:pPr>
            <w:r w:rsidRPr="00675182">
              <w:rPr>
                <w:rFonts w:cstheme="minorHAnsi"/>
                <w:sz w:val="20"/>
                <w:szCs w:val="16"/>
              </w:rPr>
              <w:t>Datu avots: LVĢMC, 202</w:t>
            </w:r>
            <w:r w:rsidR="007663C4" w:rsidRPr="00675182">
              <w:rPr>
                <w:rFonts w:cstheme="minorHAnsi"/>
                <w:sz w:val="20"/>
                <w:szCs w:val="16"/>
              </w:rPr>
              <w:t>2</w:t>
            </w:r>
          </w:p>
        </w:tc>
      </w:tr>
    </w:tbl>
    <w:p w14:paraId="71625616" w14:textId="77777777" w:rsidR="00155656" w:rsidRPr="00675182" w:rsidRDefault="00155656" w:rsidP="00611281">
      <w:pPr>
        <w:rPr>
          <w:rFonts w:cstheme="minorHAnsi"/>
        </w:rPr>
        <w:sectPr w:rsidR="00155656" w:rsidRPr="00675182" w:rsidSect="00155656">
          <w:headerReference w:type="default" r:id="rId73"/>
          <w:pgSz w:w="16837" w:h="11905" w:orient="landscape"/>
          <w:pgMar w:top="1797" w:right="1440" w:bottom="1797" w:left="1440" w:header="720" w:footer="720" w:gutter="0"/>
          <w:cols w:space="720"/>
          <w:docGrid w:linePitch="360"/>
        </w:sectPr>
      </w:pPr>
    </w:p>
    <w:p w14:paraId="57EA12DC" w14:textId="77777777" w:rsidR="00523C43" w:rsidRPr="00675182" w:rsidRDefault="00523C43" w:rsidP="00611281">
      <w:pPr>
        <w:rPr>
          <w:rFonts w:cstheme="minorHAnsi"/>
        </w:rPr>
      </w:pPr>
    </w:p>
    <w:p w14:paraId="507BB40D" w14:textId="5B5AFC4B" w:rsidR="00011E51" w:rsidRPr="00675182" w:rsidRDefault="00011E51" w:rsidP="002B3341">
      <w:pPr>
        <w:pStyle w:val="Heading3"/>
        <w:keepNext w:val="0"/>
        <w:numPr>
          <w:ilvl w:val="0"/>
          <w:numId w:val="0"/>
        </w:numPr>
        <w:rPr>
          <w:rFonts w:cstheme="minorHAnsi"/>
          <w:b/>
          <w:lang w:val="lv-LV"/>
        </w:rPr>
      </w:pPr>
      <w:bookmarkStart w:id="27" w:name="_Toc116938395"/>
      <w:r w:rsidRPr="00675182">
        <w:rPr>
          <w:rFonts w:cstheme="minorHAnsi"/>
          <w:b/>
          <w:lang w:val="lv-LV"/>
        </w:rPr>
        <w:t>1.</w:t>
      </w:r>
      <w:r w:rsidR="008A0F48" w:rsidRPr="00675182">
        <w:rPr>
          <w:rFonts w:cstheme="minorHAnsi"/>
          <w:b/>
          <w:lang w:val="lv-LV"/>
        </w:rPr>
        <w:t>3</w:t>
      </w:r>
      <w:r w:rsidRPr="00675182">
        <w:rPr>
          <w:rFonts w:cstheme="minorHAnsi"/>
          <w:b/>
          <w:lang w:val="lv-LV"/>
        </w:rPr>
        <w:t>.3. Aizsargājamās teritorijas izmantošanas veidi</w:t>
      </w:r>
      <w:bookmarkEnd w:id="27"/>
    </w:p>
    <w:p w14:paraId="34B725A0" w14:textId="77777777" w:rsidR="00011E51" w:rsidRPr="00675182" w:rsidRDefault="00011E51" w:rsidP="002B3341">
      <w:pPr>
        <w:rPr>
          <w:rFonts w:cstheme="minorHAnsi"/>
        </w:rPr>
      </w:pPr>
    </w:p>
    <w:p w14:paraId="712B28DD" w14:textId="5BEBAA50" w:rsidR="00011E51" w:rsidRPr="00675182" w:rsidRDefault="00E34B71" w:rsidP="00CC0016">
      <w:pPr>
        <w:pStyle w:val="Heading4"/>
        <w:rPr>
          <w:rFonts w:asciiTheme="minorHAnsi" w:hAnsiTheme="minorHAnsi" w:cstheme="minorHAnsi"/>
        </w:rPr>
      </w:pPr>
      <w:r w:rsidRPr="00675182">
        <w:rPr>
          <w:rFonts w:asciiTheme="minorHAnsi" w:hAnsiTheme="minorHAnsi" w:cstheme="minorHAnsi"/>
        </w:rPr>
        <w:t>1.</w:t>
      </w:r>
      <w:r w:rsidR="008A0F48" w:rsidRPr="00675182">
        <w:rPr>
          <w:rFonts w:asciiTheme="minorHAnsi" w:hAnsiTheme="minorHAnsi" w:cstheme="minorHAnsi"/>
        </w:rPr>
        <w:t>3</w:t>
      </w:r>
      <w:r w:rsidRPr="00675182">
        <w:rPr>
          <w:rFonts w:asciiTheme="minorHAnsi" w:hAnsiTheme="minorHAnsi" w:cstheme="minorHAnsi"/>
        </w:rPr>
        <w:t xml:space="preserve">.3.1. </w:t>
      </w:r>
      <w:r w:rsidR="00011E51" w:rsidRPr="00675182">
        <w:rPr>
          <w:rFonts w:asciiTheme="minorHAnsi" w:hAnsiTheme="minorHAnsi" w:cstheme="minorHAnsi"/>
        </w:rPr>
        <w:t xml:space="preserve">Lauksaimniecība </w:t>
      </w:r>
    </w:p>
    <w:p w14:paraId="1FCB99E7" w14:textId="77777777" w:rsidR="00E04A97" w:rsidRPr="00675182" w:rsidRDefault="00E04A97" w:rsidP="002B3341">
      <w:pPr>
        <w:rPr>
          <w:rFonts w:cstheme="minorHAnsi"/>
        </w:rPr>
      </w:pPr>
    </w:p>
    <w:p w14:paraId="26034F27" w14:textId="3524950E" w:rsidR="00252C42" w:rsidRPr="00675182" w:rsidRDefault="00252C42" w:rsidP="00252C42">
      <w:pPr>
        <w:jc w:val="both"/>
        <w:rPr>
          <w:rFonts w:cstheme="minorHAnsi"/>
        </w:rPr>
      </w:pPr>
      <w:r w:rsidRPr="00675182">
        <w:rPr>
          <w:rFonts w:cstheme="minorHAnsi"/>
        </w:rPr>
        <w:t>Kopējā lauksaimniecības zemju platība GNP, kas reģistrēta LAD, ir 21492 ha jeb vairāk nekā 23 % no GNP teritorijas</w:t>
      </w:r>
      <w:r w:rsidR="00F8013B" w:rsidRPr="00675182">
        <w:rPr>
          <w:rFonts w:cstheme="minorHAnsi"/>
        </w:rPr>
        <w:t xml:space="preserve"> (skat. 1.3.</w:t>
      </w:r>
      <w:r w:rsidR="007E3513" w:rsidRPr="00675182">
        <w:rPr>
          <w:rFonts w:cstheme="minorHAnsi"/>
        </w:rPr>
        <w:t>1</w:t>
      </w:r>
      <w:r w:rsidR="0096443B" w:rsidRPr="00675182">
        <w:rPr>
          <w:rFonts w:cstheme="minorHAnsi"/>
        </w:rPr>
        <w:t>2</w:t>
      </w:r>
      <w:r w:rsidR="00F8013B" w:rsidRPr="00675182">
        <w:rPr>
          <w:rFonts w:cstheme="minorHAnsi"/>
        </w:rPr>
        <w:t>. attēlu)</w:t>
      </w:r>
      <w:r w:rsidRPr="00675182">
        <w:rPr>
          <w:rFonts w:cstheme="minorHAnsi"/>
        </w:rPr>
        <w:t>. No aktīvi apsaimniekotām lauksaimniecībā izmantojamām zemēm vislielāko platību aizņem pastāvīgās pļavas un ganības (</w:t>
      </w:r>
      <w:r w:rsidR="0056127E" w:rsidRPr="00675182">
        <w:rPr>
          <w:rFonts w:cstheme="minorHAnsi"/>
        </w:rPr>
        <w:t>42</w:t>
      </w:r>
      <w:r w:rsidRPr="00675182">
        <w:rPr>
          <w:rFonts w:cstheme="minorHAnsi"/>
        </w:rPr>
        <w:t xml:space="preserve"> %), no atlikušajām platībām labības sējumi aizņem </w:t>
      </w:r>
      <w:r w:rsidR="0056127E" w:rsidRPr="00675182">
        <w:rPr>
          <w:rFonts w:cstheme="minorHAnsi"/>
        </w:rPr>
        <w:t xml:space="preserve">34 </w:t>
      </w:r>
      <w:r w:rsidRPr="00675182">
        <w:rPr>
          <w:rFonts w:cstheme="minorHAnsi"/>
        </w:rPr>
        <w:t xml:space="preserve">%, sētie zālāji </w:t>
      </w:r>
      <w:r w:rsidR="0056127E" w:rsidRPr="00675182">
        <w:rPr>
          <w:rFonts w:cstheme="minorHAnsi"/>
        </w:rPr>
        <w:t>12</w:t>
      </w:r>
      <w:r w:rsidRPr="00675182">
        <w:rPr>
          <w:rFonts w:cstheme="minorHAnsi"/>
        </w:rPr>
        <w:t xml:space="preserve"> %</w:t>
      </w:r>
      <w:r w:rsidR="0056127E" w:rsidRPr="00675182">
        <w:rPr>
          <w:rFonts w:cstheme="minorHAnsi"/>
        </w:rPr>
        <w:t xml:space="preserve">, </w:t>
      </w:r>
      <w:r w:rsidR="001823B7" w:rsidRPr="00675182">
        <w:rPr>
          <w:rFonts w:cstheme="minorHAnsi"/>
        </w:rPr>
        <w:t>augļu, ogu un</w:t>
      </w:r>
      <w:r w:rsidRPr="00675182">
        <w:rPr>
          <w:rFonts w:cstheme="minorHAnsi"/>
        </w:rPr>
        <w:t xml:space="preserve"> sakņaugu stādījumi </w:t>
      </w:r>
      <w:r w:rsidR="001823B7" w:rsidRPr="00675182">
        <w:rPr>
          <w:rFonts w:cstheme="minorHAnsi"/>
        </w:rPr>
        <w:t>2</w:t>
      </w:r>
      <w:r w:rsidRPr="00675182">
        <w:rPr>
          <w:rFonts w:cstheme="minorHAnsi"/>
        </w:rPr>
        <w:t xml:space="preserve"> %. Pārējās lauksaimnieciskās kultūras un arī papuves un atmatas aizņem kopumā </w:t>
      </w:r>
      <w:r w:rsidR="001823B7" w:rsidRPr="00675182">
        <w:rPr>
          <w:rFonts w:cstheme="minorHAnsi"/>
        </w:rPr>
        <w:t>aptuveni 10</w:t>
      </w:r>
      <w:r w:rsidRPr="00675182">
        <w:rPr>
          <w:rFonts w:cstheme="minorHAnsi"/>
        </w:rPr>
        <w:t xml:space="preserve"> % no apstrādātajām lauksaimniecības zemēm. </w:t>
      </w:r>
      <w:r w:rsidR="000C62D9" w:rsidRPr="00675182">
        <w:rPr>
          <w:rFonts w:cstheme="minorHAnsi"/>
        </w:rPr>
        <w:t xml:space="preserve">Lielākā daļa pastāvīgo pļavu un ganību koncentrēta uz dienvidaustrumiem no Cēsīm, kā arī </w:t>
      </w:r>
      <w:r w:rsidR="00547BA5" w:rsidRPr="00675182">
        <w:rPr>
          <w:rFonts w:cstheme="minorHAnsi"/>
        </w:rPr>
        <w:t>Cēsu novada Stalbes, Raiskuma un Straupes pagastos</w:t>
      </w:r>
      <w:r w:rsidR="000C62D9" w:rsidRPr="00675182">
        <w:rPr>
          <w:rFonts w:cstheme="minorHAnsi"/>
        </w:rPr>
        <w:t xml:space="preserve"> un ap Līgatni. Lielākās sējumu platības ir Inciema apkārtnē un teritorijā starp Cēsīm un Valmieru. Augļu un ogu stādījumi lielākoties atrodas pilsētu un ciemu apkārtnē (</w:t>
      </w:r>
      <w:r w:rsidR="002F2568" w:rsidRPr="00675182">
        <w:rPr>
          <w:rFonts w:cstheme="minorHAnsi"/>
        </w:rPr>
        <w:t xml:space="preserve">skat. </w:t>
      </w:r>
      <w:r w:rsidR="000C62D9" w:rsidRPr="00675182">
        <w:rPr>
          <w:rFonts w:cstheme="minorHAnsi"/>
        </w:rPr>
        <w:t>1.3.</w:t>
      </w:r>
      <w:r w:rsidR="002F2568" w:rsidRPr="00675182">
        <w:rPr>
          <w:rFonts w:cstheme="minorHAnsi"/>
        </w:rPr>
        <w:t>1</w:t>
      </w:r>
      <w:r w:rsidR="0096443B" w:rsidRPr="00675182">
        <w:rPr>
          <w:rFonts w:cstheme="minorHAnsi"/>
        </w:rPr>
        <w:t>3</w:t>
      </w:r>
      <w:r w:rsidR="000C62D9" w:rsidRPr="00675182">
        <w:rPr>
          <w:rFonts w:cstheme="minorHAnsi"/>
        </w:rPr>
        <w:t>. attē</w:t>
      </w:r>
      <w:r w:rsidR="002F2568" w:rsidRPr="00675182">
        <w:rPr>
          <w:rFonts w:cstheme="minorHAnsi"/>
        </w:rPr>
        <w:t>lu</w:t>
      </w:r>
      <w:r w:rsidR="000C62D9" w:rsidRPr="00675182">
        <w:rPr>
          <w:rFonts w:cstheme="minorHAnsi"/>
        </w:rPr>
        <w:t>)</w:t>
      </w:r>
      <w:r w:rsidR="002F2568" w:rsidRPr="00675182">
        <w:rPr>
          <w:rFonts w:cstheme="minorHAnsi"/>
        </w:rPr>
        <w:t>.</w:t>
      </w:r>
    </w:p>
    <w:p w14:paraId="7DC546E0" w14:textId="143D0533" w:rsidR="005311CF" w:rsidRPr="00675182" w:rsidRDefault="005311CF" w:rsidP="00252C42">
      <w:pPr>
        <w:jc w:val="both"/>
        <w:rPr>
          <w:rFonts w:cstheme="minorHAnsi"/>
        </w:rPr>
      </w:pPr>
    </w:p>
    <w:p w14:paraId="03FD38E4" w14:textId="0DE9E025" w:rsidR="005311CF" w:rsidRPr="00675182" w:rsidRDefault="005311CF" w:rsidP="00252C42">
      <w:pPr>
        <w:jc w:val="both"/>
        <w:rPr>
          <w:rFonts w:cstheme="minorHAnsi"/>
        </w:rPr>
      </w:pPr>
      <w:r w:rsidRPr="00675182">
        <w:rPr>
          <w:rFonts w:cstheme="minorHAnsi"/>
        </w:rPr>
        <w:t>LAD veiktajos apsekojumos konstatēto nekopto lauksaimniecībā izmantojamo zemju (LIZ) īpatsvars GNP ir ap 10%; visā Cēsu novadā tas ir 14%, Siguldas novadā 9% un Valmieras novadā 7% (2021. gada dati)</w:t>
      </w:r>
      <w:r w:rsidR="004C0558" w:rsidRPr="00675182">
        <w:rPr>
          <w:rFonts w:cstheme="minorHAnsi"/>
        </w:rPr>
        <w:t>, to izvietojums ir samērā vienmērīgs visā GNP teritorijā, taču relatīvi pret apsaimniekoto lauksaimniecības zemju platību lielāks Gaujas ielejā (</w:t>
      </w:r>
      <w:r w:rsidR="002F2568" w:rsidRPr="00675182">
        <w:rPr>
          <w:rFonts w:cstheme="minorHAnsi"/>
        </w:rPr>
        <w:t xml:space="preserve">skat. </w:t>
      </w:r>
      <w:r w:rsidR="004C0558" w:rsidRPr="00675182">
        <w:rPr>
          <w:rFonts w:cstheme="minorHAnsi"/>
        </w:rPr>
        <w:t>1.3.</w:t>
      </w:r>
      <w:r w:rsidR="002F2568" w:rsidRPr="00675182">
        <w:rPr>
          <w:rFonts w:cstheme="minorHAnsi"/>
        </w:rPr>
        <w:t>1</w:t>
      </w:r>
      <w:r w:rsidR="0096443B" w:rsidRPr="00675182">
        <w:rPr>
          <w:rFonts w:cstheme="minorHAnsi"/>
        </w:rPr>
        <w:t>4</w:t>
      </w:r>
      <w:r w:rsidR="004C0558" w:rsidRPr="00675182">
        <w:rPr>
          <w:rFonts w:cstheme="minorHAnsi"/>
        </w:rPr>
        <w:t>. attēl</w:t>
      </w:r>
      <w:r w:rsidR="002F2568" w:rsidRPr="00675182">
        <w:rPr>
          <w:rFonts w:cstheme="minorHAnsi"/>
        </w:rPr>
        <w:t>u</w:t>
      </w:r>
      <w:r w:rsidR="004C0558" w:rsidRPr="00675182">
        <w:rPr>
          <w:rFonts w:cstheme="minorHAnsi"/>
        </w:rPr>
        <w:t>)</w:t>
      </w:r>
      <w:r w:rsidRPr="00675182">
        <w:rPr>
          <w:rFonts w:cstheme="minorHAnsi"/>
        </w:rPr>
        <w:t>.</w:t>
      </w:r>
    </w:p>
    <w:p w14:paraId="53F5082E" w14:textId="77777777" w:rsidR="00252C42" w:rsidRPr="00675182" w:rsidRDefault="00252C42" w:rsidP="00252C42">
      <w:pPr>
        <w:jc w:val="both"/>
        <w:rPr>
          <w:rFonts w:cstheme="minorHAnsi"/>
        </w:rPr>
      </w:pPr>
    </w:p>
    <w:p w14:paraId="0AC9D381" w14:textId="7390F8DD" w:rsidR="00252C42" w:rsidRPr="00675182" w:rsidRDefault="00F3169F" w:rsidP="00252C42">
      <w:pPr>
        <w:jc w:val="both"/>
        <w:rPr>
          <w:rFonts w:cstheme="minorHAnsi"/>
        </w:rPr>
      </w:pPr>
      <w:r w:rsidRPr="00675182">
        <w:rPr>
          <w:rFonts w:cstheme="minorHAnsi"/>
        </w:rPr>
        <w:t>Latvijas Lauku attīstības programma 2014. - 2020. gadam ietver pasākuma "Agrovide un klimats" aktivitāti "Bioloģiskās daudzveidības uzturēšana zālājos" (BDUZ). Īstenojot BDUZ aktivitāti</w:t>
      </w:r>
      <w:r w:rsidR="008A37A5" w:rsidRPr="00675182">
        <w:rPr>
          <w:rFonts w:cstheme="minorHAnsi"/>
        </w:rPr>
        <w:t>,</w:t>
      </w:r>
      <w:r w:rsidRPr="00675182">
        <w:rPr>
          <w:rFonts w:cstheme="minorHAnsi"/>
        </w:rPr>
        <w:t xml:space="preserve"> </w:t>
      </w:r>
      <w:r w:rsidR="000A2397" w:rsidRPr="00675182">
        <w:rPr>
          <w:rFonts w:cstheme="minorHAnsi"/>
        </w:rPr>
        <w:t>tiek</w:t>
      </w:r>
      <w:r w:rsidRPr="00675182">
        <w:rPr>
          <w:rFonts w:cstheme="minorHAnsi"/>
        </w:rPr>
        <w:t xml:space="preserve"> veicināta bioloģiski daudzveidīgo zālāju saglabāšana, savvaļas augu, dzīvnieku, putnu populācija un ainavas uzturēšana apsaimniekotajās lauksaimniecībā izmantojamās zemes platībās. Atbilstoši LAD sniegtajiem datiem (2020. gada augustā), BDUZ saņemšanai GNP teritorijā pieteikto platību apmērs ir </w:t>
      </w:r>
      <w:r w:rsidR="008A37A5" w:rsidRPr="00675182">
        <w:rPr>
          <w:rFonts w:cstheme="minorHAnsi"/>
        </w:rPr>
        <w:t>352</w:t>
      </w:r>
      <w:r w:rsidR="00142A92" w:rsidRPr="00675182">
        <w:rPr>
          <w:rFonts w:cstheme="minorHAnsi"/>
        </w:rPr>
        <w:t xml:space="preserve"> ha</w:t>
      </w:r>
      <w:r w:rsidR="008A37A5" w:rsidRPr="00675182">
        <w:rPr>
          <w:rFonts w:cstheme="minorHAnsi"/>
        </w:rPr>
        <w:t xml:space="preserve">. </w:t>
      </w:r>
      <w:r w:rsidR="00252C42" w:rsidRPr="00675182">
        <w:rPr>
          <w:rFonts w:cstheme="minorHAnsi"/>
        </w:rPr>
        <w:t xml:space="preserve">Piesakoties BDUZ atbalstam, lauksaimnieks uzņemas daudzgadu saistības par katru pieteikto platības vienību, sākot ar pirmo maksājuma apstiprināšanas gadu. Atbilstoši nosacījumiem, </w:t>
      </w:r>
      <w:r w:rsidR="000B35D0">
        <w:rPr>
          <w:rFonts w:cstheme="minorHAnsi"/>
        </w:rPr>
        <w:t>BVZ</w:t>
      </w:r>
      <w:r w:rsidR="00252C42" w:rsidRPr="00675182">
        <w:rPr>
          <w:rFonts w:cstheme="minorHAnsi"/>
        </w:rPr>
        <w:t>, kuri kvalificējas BDUZ maksājumam, nedrīkst apart vai kā savādāk pārveidot.</w:t>
      </w:r>
      <w:r w:rsidR="00114DAF" w:rsidRPr="00675182">
        <w:rPr>
          <w:rFonts w:cstheme="minorHAnsi"/>
        </w:rPr>
        <w:t xml:space="preserve"> Atbalsta apmērs ir diferencēts un atkarīgs no biotopa ražības klases. Atbalsts paredzēts kā kompensācija par neiegūto ienākumu</w:t>
      </w:r>
      <w:r w:rsidR="000A2397" w:rsidRPr="00675182">
        <w:rPr>
          <w:rFonts w:cstheme="minorHAnsi"/>
        </w:rPr>
        <w:t>,</w:t>
      </w:r>
      <w:r w:rsidR="00114DAF" w:rsidRPr="00675182">
        <w:rPr>
          <w:rFonts w:cstheme="minorHAnsi"/>
        </w:rPr>
        <w:t xml:space="preserve"> apsaimniekojot ES nozīmes biotopus, jo nereti zāles biomasa biotopos ir neliela, savukārt – dabas aizsardzības vērtība ļoti augsta. </w:t>
      </w:r>
    </w:p>
    <w:p w14:paraId="1B30850B" w14:textId="77777777" w:rsidR="00252C42" w:rsidRPr="00675182" w:rsidRDefault="00252C42" w:rsidP="002B3341">
      <w:pPr>
        <w:jc w:val="both"/>
        <w:rPr>
          <w:rFonts w:cstheme="minorHAnsi"/>
        </w:rPr>
      </w:pPr>
    </w:p>
    <w:p w14:paraId="763F3C5A" w14:textId="6015103D" w:rsidR="00252C42" w:rsidRPr="00675182" w:rsidRDefault="00142A92" w:rsidP="002B3341">
      <w:pPr>
        <w:jc w:val="both"/>
        <w:rPr>
          <w:rFonts w:cstheme="minorHAnsi"/>
        </w:rPr>
      </w:pPr>
      <w:r w:rsidRPr="00675182">
        <w:rPr>
          <w:rFonts w:cstheme="minorHAnsi"/>
        </w:rPr>
        <w:t>Latvijas Lauku attīstības programma 2014.-2020.</w:t>
      </w:r>
      <w:r w:rsidR="00511EB2" w:rsidRPr="00675182">
        <w:rPr>
          <w:rFonts w:cstheme="minorHAnsi"/>
        </w:rPr>
        <w:t xml:space="preserve"> </w:t>
      </w:r>
      <w:r w:rsidRPr="00675182">
        <w:rPr>
          <w:rFonts w:cstheme="minorHAnsi"/>
        </w:rPr>
        <w:t>gadam ietver lauku attīstības pasākum</w:t>
      </w:r>
      <w:r w:rsidR="00114DAF" w:rsidRPr="00675182">
        <w:rPr>
          <w:rFonts w:cstheme="minorHAnsi"/>
        </w:rPr>
        <w:t>u</w:t>
      </w:r>
      <w:r w:rsidRPr="00675182">
        <w:rPr>
          <w:rFonts w:cstheme="minorHAnsi"/>
        </w:rPr>
        <w:t xml:space="preserve"> "Bioloģiskā lauksaimniecība", kuras ietvaros ir iespējams saņemt maksājumus, lai:</w:t>
      </w:r>
    </w:p>
    <w:p w14:paraId="711342E2" w14:textId="0C7A07CB" w:rsidR="00142A92" w:rsidRPr="00675182" w:rsidRDefault="00142A92" w:rsidP="00A84218">
      <w:pPr>
        <w:pStyle w:val="ListParagraph"/>
        <w:numPr>
          <w:ilvl w:val="0"/>
          <w:numId w:val="15"/>
        </w:numPr>
        <w:jc w:val="both"/>
        <w:rPr>
          <w:rFonts w:cstheme="minorHAnsi"/>
        </w:rPr>
      </w:pPr>
      <w:r w:rsidRPr="00675182">
        <w:rPr>
          <w:rFonts w:cstheme="minorHAnsi"/>
        </w:rPr>
        <w:t>pārietu uz bioloģiskās lauksaimniecības praksi un metodēm (BLAJ);</w:t>
      </w:r>
    </w:p>
    <w:p w14:paraId="488E0C48" w14:textId="438D5758" w:rsidR="00142A92" w:rsidRPr="00675182" w:rsidRDefault="00142A92" w:rsidP="00A84218">
      <w:pPr>
        <w:pStyle w:val="ListParagraph"/>
        <w:numPr>
          <w:ilvl w:val="0"/>
          <w:numId w:val="15"/>
        </w:numPr>
        <w:jc w:val="both"/>
        <w:rPr>
          <w:rFonts w:cstheme="minorHAnsi"/>
        </w:rPr>
      </w:pPr>
      <w:r w:rsidRPr="00675182">
        <w:rPr>
          <w:rFonts w:cstheme="minorHAnsi"/>
        </w:rPr>
        <w:t>pārietu uz bioloģiskās lauksaimniecības praksi biškopjiem (BLAJ_B);</w:t>
      </w:r>
    </w:p>
    <w:p w14:paraId="205CACFA" w14:textId="76FF95DE" w:rsidR="00142A92" w:rsidRPr="00675182" w:rsidRDefault="00142A92" w:rsidP="00A84218">
      <w:pPr>
        <w:pStyle w:val="ListParagraph"/>
        <w:numPr>
          <w:ilvl w:val="0"/>
          <w:numId w:val="15"/>
        </w:numPr>
        <w:jc w:val="both"/>
        <w:rPr>
          <w:rFonts w:cstheme="minorHAnsi"/>
        </w:rPr>
      </w:pPr>
      <w:r w:rsidRPr="00675182">
        <w:rPr>
          <w:rFonts w:cstheme="minorHAnsi"/>
        </w:rPr>
        <w:t>saglabātu bioloģiskās lauksaimniecības praksi un metodes (BLA</w:t>
      </w:r>
      <w:r w:rsidR="005621BF" w:rsidRPr="00675182">
        <w:rPr>
          <w:rFonts w:cstheme="minorHAnsi"/>
        </w:rPr>
        <w:t>V);</w:t>
      </w:r>
    </w:p>
    <w:p w14:paraId="232BB4AB" w14:textId="2ACE9810" w:rsidR="005621BF" w:rsidRPr="00675182" w:rsidRDefault="005621BF" w:rsidP="00A84218">
      <w:pPr>
        <w:pStyle w:val="ListParagraph"/>
        <w:numPr>
          <w:ilvl w:val="0"/>
          <w:numId w:val="15"/>
        </w:numPr>
        <w:jc w:val="both"/>
        <w:rPr>
          <w:rFonts w:cstheme="minorHAnsi"/>
        </w:rPr>
      </w:pPr>
      <w:r w:rsidRPr="00675182">
        <w:rPr>
          <w:rFonts w:cstheme="minorHAnsi"/>
        </w:rPr>
        <w:t>saglabātu bioloģiskās lauksaimniecības praksi un metodes (BLAV_B).</w:t>
      </w:r>
    </w:p>
    <w:p w14:paraId="462561F4" w14:textId="77777777" w:rsidR="005621BF" w:rsidRPr="00675182" w:rsidRDefault="005621BF" w:rsidP="005621BF">
      <w:pPr>
        <w:pStyle w:val="ListParagraph"/>
        <w:jc w:val="both"/>
        <w:rPr>
          <w:rFonts w:cstheme="minorHAnsi"/>
        </w:rPr>
      </w:pPr>
    </w:p>
    <w:p w14:paraId="1138C63F" w14:textId="293F7533" w:rsidR="00D679B1" w:rsidRPr="00675182" w:rsidRDefault="005621BF" w:rsidP="002B3341">
      <w:pPr>
        <w:jc w:val="both"/>
        <w:rPr>
          <w:rFonts w:cstheme="minorHAnsi"/>
        </w:rPr>
      </w:pPr>
      <w:r w:rsidRPr="00675182">
        <w:rPr>
          <w:rFonts w:cstheme="minorHAnsi"/>
        </w:rPr>
        <w:lastRenderedPageBreak/>
        <w:t>Laika periodā no 2012. gada līdz 20</w:t>
      </w:r>
      <w:r w:rsidR="00825A4A" w:rsidRPr="00675182">
        <w:rPr>
          <w:rFonts w:cstheme="minorHAnsi"/>
        </w:rPr>
        <w:t>22</w:t>
      </w:r>
      <w:r w:rsidRPr="00675182">
        <w:rPr>
          <w:rFonts w:cstheme="minorHAnsi"/>
        </w:rPr>
        <w:t>. gadam lauku attīstības platībmaksājuma "Bioloģiskā lauksaimniecība" saņemšanai pieteikto platību skaits</w:t>
      </w:r>
      <w:r w:rsidR="003A336D" w:rsidRPr="00675182">
        <w:rPr>
          <w:rFonts w:cstheme="minorHAnsi"/>
        </w:rPr>
        <w:t xml:space="preserve"> GNP teritorijā</w:t>
      </w:r>
      <w:r w:rsidRPr="00675182">
        <w:rPr>
          <w:rFonts w:cstheme="minorHAnsi"/>
        </w:rPr>
        <w:t xml:space="preserve"> ir </w:t>
      </w:r>
      <w:r w:rsidR="00825A4A" w:rsidRPr="00675182">
        <w:rPr>
          <w:rFonts w:cstheme="minorHAnsi"/>
        </w:rPr>
        <w:t xml:space="preserve">palielinājies </w:t>
      </w:r>
      <w:r w:rsidR="007328DA" w:rsidRPr="00675182">
        <w:rPr>
          <w:rFonts w:cstheme="minorHAnsi"/>
        </w:rPr>
        <w:t>vairāk nekā</w:t>
      </w:r>
      <w:r w:rsidR="00825A4A" w:rsidRPr="00675182">
        <w:rPr>
          <w:rFonts w:cstheme="minorHAnsi"/>
        </w:rPr>
        <w:t xml:space="preserve"> 2 reizes</w:t>
      </w:r>
      <w:r w:rsidRPr="00675182">
        <w:rPr>
          <w:rFonts w:cstheme="minorHAnsi"/>
        </w:rPr>
        <w:t xml:space="preserve"> (skat. 1.</w:t>
      </w:r>
      <w:r w:rsidR="002D4B02" w:rsidRPr="00675182">
        <w:rPr>
          <w:rFonts w:cstheme="minorHAnsi"/>
        </w:rPr>
        <w:t>3</w:t>
      </w:r>
      <w:r w:rsidRPr="00675182">
        <w:rPr>
          <w:rFonts w:cstheme="minorHAnsi"/>
        </w:rPr>
        <w:t>.</w:t>
      </w:r>
      <w:r w:rsidR="0096443B" w:rsidRPr="00675182">
        <w:rPr>
          <w:rFonts w:cstheme="minorHAnsi"/>
        </w:rPr>
        <w:t>10</w:t>
      </w:r>
      <w:r w:rsidRPr="00675182">
        <w:rPr>
          <w:rFonts w:cstheme="minorHAnsi"/>
        </w:rPr>
        <w:t xml:space="preserve">. attēlu). </w:t>
      </w:r>
    </w:p>
    <w:p w14:paraId="65D4C4BB" w14:textId="77777777" w:rsidR="00D679B1" w:rsidRPr="00675182" w:rsidRDefault="00D679B1" w:rsidP="002B3341">
      <w:pPr>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8311"/>
      </w:tblGrid>
      <w:tr w:rsidR="00D679B1" w:rsidRPr="00675182" w14:paraId="656F8321" w14:textId="77777777" w:rsidTr="00D96C50">
        <w:tc>
          <w:tcPr>
            <w:tcW w:w="8301" w:type="dxa"/>
          </w:tcPr>
          <w:p w14:paraId="3BEBF053" w14:textId="6A82E985" w:rsidR="00D679B1" w:rsidRPr="00675182" w:rsidRDefault="00D96C50" w:rsidP="002B3341">
            <w:pPr>
              <w:jc w:val="both"/>
              <w:rPr>
                <w:rFonts w:cstheme="minorHAnsi"/>
              </w:rPr>
            </w:pPr>
            <w:r w:rsidRPr="00675182">
              <w:rPr>
                <w:noProof/>
              </w:rPr>
              <w:drawing>
                <wp:inline distT="0" distB="0" distL="0" distR="0" wp14:anchorId="3B45879B" wp14:editId="3D893853">
                  <wp:extent cx="5189220" cy="2743200"/>
                  <wp:effectExtent l="0" t="0" r="11430" b="0"/>
                  <wp:docPr id="213" name="Chart 213">
                    <a:extLst xmlns:a="http://schemas.openxmlformats.org/drawingml/2006/main">
                      <a:ext uri="{FF2B5EF4-FFF2-40B4-BE49-F238E27FC236}">
                        <a16:creationId xmlns:a16="http://schemas.microsoft.com/office/drawing/2014/main" id="{8AE6DD0A-861D-E9DC-926C-ACF03B1B5D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r>
      <w:tr w:rsidR="00D679B1" w:rsidRPr="00675182" w14:paraId="4F7C51F7" w14:textId="77777777" w:rsidTr="005621BF">
        <w:tblPrEx>
          <w:tblCellMar>
            <w:left w:w="108" w:type="dxa"/>
            <w:right w:w="108" w:type="dxa"/>
          </w:tblCellMar>
        </w:tblPrEx>
        <w:tc>
          <w:tcPr>
            <w:tcW w:w="8301" w:type="dxa"/>
          </w:tcPr>
          <w:p w14:paraId="079016C9" w14:textId="49500330" w:rsidR="00D679B1" w:rsidRPr="00675182" w:rsidRDefault="00D679B1" w:rsidP="002B3341">
            <w:pPr>
              <w:jc w:val="both"/>
              <w:rPr>
                <w:rFonts w:cstheme="minorHAnsi"/>
                <w:b/>
                <w:bCs/>
                <w:i/>
                <w:iCs/>
              </w:rPr>
            </w:pPr>
            <w:r w:rsidRPr="00675182">
              <w:rPr>
                <w:rFonts w:cstheme="minorHAnsi"/>
                <w:b/>
                <w:bCs/>
                <w:i/>
                <w:iCs/>
              </w:rPr>
              <w:t>1.</w:t>
            </w:r>
            <w:r w:rsidR="00B5412A" w:rsidRPr="00675182">
              <w:rPr>
                <w:rFonts w:cstheme="minorHAnsi"/>
                <w:b/>
                <w:bCs/>
                <w:i/>
                <w:iCs/>
              </w:rPr>
              <w:t>3</w:t>
            </w:r>
            <w:r w:rsidRPr="00675182">
              <w:rPr>
                <w:rFonts w:cstheme="minorHAnsi"/>
                <w:b/>
                <w:bCs/>
                <w:i/>
                <w:iCs/>
              </w:rPr>
              <w:t>.</w:t>
            </w:r>
            <w:r w:rsidR="0096443B" w:rsidRPr="00675182">
              <w:rPr>
                <w:rFonts w:cstheme="minorHAnsi"/>
                <w:b/>
                <w:bCs/>
                <w:i/>
                <w:iCs/>
              </w:rPr>
              <w:t>10</w:t>
            </w:r>
            <w:r w:rsidRPr="00675182">
              <w:rPr>
                <w:rFonts w:cstheme="minorHAnsi"/>
                <w:b/>
                <w:bCs/>
                <w:i/>
                <w:iCs/>
              </w:rPr>
              <w:t>. attēls. Pieteik</w:t>
            </w:r>
            <w:r w:rsidR="00C7072E" w:rsidRPr="00675182">
              <w:rPr>
                <w:rFonts w:cstheme="minorHAnsi"/>
                <w:b/>
                <w:bCs/>
                <w:i/>
                <w:iCs/>
              </w:rPr>
              <w:t>tās platības</w:t>
            </w:r>
            <w:r w:rsidRPr="00675182">
              <w:rPr>
                <w:rFonts w:cstheme="minorHAnsi"/>
                <w:b/>
                <w:bCs/>
                <w:i/>
                <w:iCs/>
              </w:rPr>
              <w:t xml:space="preserve"> </w:t>
            </w:r>
            <w:r w:rsidR="003A336D" w:rsidRPr="00675182">
              <w:rPr>
                <w:rFonts w:cstheme="minorHAnsi"/>
                <w:b/>
                <w:bCs/>
                <w:i/>
                <w:iCs/>
              </w:rPr>
              <w:t xml:space="preserve">GNP teritorijā </w:t>
            </w:r>
            <w:r w:rsidRPr="00675182">
              <w:rPr>
                <w:rFonts w:cstheme="minorHAnsi"/>
                <w:b/>
                <w:bCs/>
                <w:i/>
                <w:iCs/>
              </w:rPr>
              <w:t>lauku attīstības pasākumam “Bioloģiskā lauksaimniecība”</w:t>
            </w:r>
          </w:p>
          <w:p w14:paraId="0206872C" w14:textId="244F7025" w:rsidR="0076288C" w:rsidRPr="00675182" w:rsidRDefault="00923F14" w:rsidP="002B3341">
            <w:pPr>
              <w:jc w:val="both"/>
              <w:rPr>
                <w:rFonts w:cstheme="minorHAnsi"/>
                <w:i/>
                <w:iCs/>
                <w:sz w:val="20"/>
                <w:szCs w:val="16"/>
              </w:rPr>
            </w:pPr>
            <w:r w:rsidRPr="00675182">
              <w:rPr>
                <w:rFonts w:cstheme="minorHAnsi"/>
                <w:i/>
                <w:iCs/>
                <w:sz w:val="20"/>
                <w:szCs w:val="16"/>
              </w:rPr>
              <w:t>Datu avots: LAD, 202</w:t>
            </w:r>
            <w:r w:rsidR="00D42651" w:rsidRPr="00675182">
              <w:rPr>
                <w:rFonts w:cstheme="minorHAnsi"/>
                <w:i/>
                <w:iCs/>
                <w:sz w:val="20"/>
                <w:szCs w:val="16"/>
              </w:rPr>
              <w:t>2</w:t>
            </w:r>
          </w:p>
        </w:tc>
      </w:tr>
    </w:tbl>
    <w:p w14:paraId="56268B71" w14:textId="77777777" w:rsidR="00923F14" w:rsidRPr="00675182" w:rsidRDefault="00923F14" w:rsidP="00923F14">
      <w:pPr>
        <w:rPr>
          <w:rFonts w:cstheme="minorHAnsi"/>
        </w:rPr>
      </w:pPr>
    </w:p>
    <w:p w14:paraId="786F69D6" w14:textId="4A38CD65" w:rsidR="0088454F" w:rsidRPr="00675182" w:rsidRDefault="00923F14" w:rsidP="002B3341">
      <w:pPr>
        <w:jc w:val="both"/>
        <w:rPr>
          <w:rFonts w:cstheme="minorHAnsi"/>
        </w:rPr>
      </w:pPr>
      <w:r w:rsidRPr="00675182">
        <w:rPr>
          <w:rFonts w:cstheme="minorHAnsi"/>
        </w:rPr>
        <w:t>Lauksaimniecības datu centrā pieejamā informācija par lopu un to novietņu skaitu GNP teritorijā ietilpstošajos novados liecina, ka kopš 2005. gada stabili pieaudzis liellopu skaits un aitu skaits, savukārt zirgu un kazu skaits nedaudz samazinās. Samērā liels ir aitu skaits. Visā GNP teritorijā ir novērojams ievērojams cūku skaita samazinājums, kas radies Āfrikas cūku mēra dēļ. Kopējais lopu novietņu skaits ir pieaudzis (skat. 1.3.</w:t>
      </w:r>
      <w:r w:rsidR="007E3513" w:rsidRPr="00675182">
        <w:rPr>
          <w:rFonts w:cstheme="minorHAnsi"/>
        </w:rPr>
        <w:t>1</w:t>
      </w:r>
      <w:r w:rsidR="0096443B" w:rsidRPr="00675182">
        <w:rPr>
          <w:rFonts w:cstheme="minorHAnsi"/>
        </w:rPr>
        <w:t>1</w:t>
      </w:r>
      <w:r w:rsidRPr="00675182">
        <w:rPr>
          <w:rFonts w:cstheme="minorHAnsi"/>
        </w:rPr>
        <w:t>. attēlu).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E84083" w:rsidRPr="00675182" w14:paraId="6EBD33A2" w14:textId="77777777" w:rsidTr="0088454F">
        <w:tc>
          <w:tcPr>
            <w:tcW w:w="8301" w:type="dxa"/>
          </w:tcPr>
          <w:p w14:paraId="0498A34B" w14:textId="20E515B9" w:rsidR="00E84083" w:rsidRPr="00675182" w:rsidRDefault="00F720BF" w:rsidP="00F720BF">
            <w:pPr>
              <w:keepNext/>
              <w:keepLines/>
              <w:jc w:val="both"/>
              <w:rPr>
                <w:rFonts w:cstheme="minorHAnsi"/>
              </w:rPr>
            </w:pPr>
            <w:r w:rsidRPr="00675182">
              <w:rPr>
                <w:rFonts w:cstheme="minorHAnsi"/>
                <w:noProof/>
              </w:rPr>
              <w:lastRenderedPageBreak/>
              <w:drawing>
                <wp:inline distT="0" distB="0" distL="0" distR="0" wp14:anchorId="0F7F2FB4" wp14:editId="1D55C989">
                  <wp:extent cx="5277485" cy="373443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77485" cy="3734435"/>
                          </a:xfrm>
                          <a:prstGeom prst="rect">
                            <a:avLst/>
                          </a:prstGeom>
                          <a:noFill/>
                          <a:ln>
                            <a:noFill/>
                          </a:ln>
                        </pic:spPr>
                      </pic:pic>
                    </a:graphicData>
                  </a:graphic>
                </wp:inline>
              </w:drawing>
            </w:r>
          </w:p>
        </w:tc>
      </w:tr>
      <w:tr w:rsidR="00E84083" w:rsidRPr="00675182" w14:paraId="2C6F16D2" w14:textId="77777777" w:rsidTr="0088454F">
        <w:tc>
          <w:tcPr>
            <w:tcW w:w="830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tblGrid>
            <w:tr w:rsidR="0088454F" w:rsidRPr="00675182" w14:paraId="6D8C9207" w14:textId="77777777" w:rsidTr="0088454F">
              <w:tc>
                <w:tcPr>
                  <w:tcW w:w="8845" w:type="dxa"/>
                  <w:hideMark/>
                </w:tcPr>
                <w:p w14:paraId="2981A465" w14:textId="4632623B" w:rsidR="0088454F" w:rsidRPr="00675182" w:rsidRDefault="0088454F" w:rsidP="00F720BF">
                  <w:pPr>
                    <w:keepNext/>
                    <w:keepLines/>
                    <w:rPr>
                      <w:rFonts w:cstheme="minorHAnsi"/>
                      <w:b/>
                      <w:i/>
                    </w:rPr>
                  </w:pPr>
                  <w:r w:rsidRPr="00675182">
                    <w:rPr>
                      <w:rFonts w:cstheme="minorHAnsi"/>
                      <w:b/>
                      <w:i/>
                    </w:rPr>
                    <w:t>1.3.</w:t>
                  </w:r>
                  <w:r w:rsidR="007E3513" w:rsidRPr="00675182">
                    <w:rPr>
                      <w:rFonts w:cstheme="minorHAnsi"/>
                      <w:b/>
                      <w:i/>
                    </w:rPr>
                    <w:t>1</w:t>
                  </w:r>
                  <w:r w:rsidR="0096443B" w:rsidRPr="00675182">
                    <w:rPr>
                      <w:rFonts w:cstheme="minorHAnsi"/>
                      <w:b/>
                      <w:i/>
                    </w:rPr>
                    <w:t>1</w:t>
                  </w:r>
                  <w:r w:rsidRPr="00675182">
                    <w:rPr>
                      <w:rFonts w:cstheme="minorHAnsi"/>
                      <w:b/>
                      <w:i/>
                    </w:rPr>
                    <w:t>. attēls. Lauksaimniecības dzīvnieku novietņu skaits GNP</w:t>
                  </w:r>
                </w:p>
              </w:tc>
            </w:tr>
          </w:tbl>
          <w:p w14:paraId="6B72C150" w14:textId="21187BB2" w:rsidR="00E84083" w:rsidRPr="00675182" w:rsidRDefault="0088454F" w:rsidP="00F720BF">
            <w:pPr>
              <w:keepNext/>
              <w:keepLines/>
              <w:rPr>
                <w:rFonts w:cstheme="minorHAnsi"/>
              </w:rPr>
            </w:pPr>
            <w:r w:rsidRPr="00675182">
              <w:rPr>
                <w:rFonts w:cstheme="minorHAnsi"/>
                <w:sz w:val="20"/>
              </w:rPr>
              <w:t>Datu avots: Lauksaimniecības datu centra publiskā datu bāze, 2020</w:t>
            </w:r>
          </w:p>
        </w:tc>
      </w:tr>
    </w:tbl>
    <w:p w14:paraId="4DB9A4CB" w14:textId="77777777" w:rsidR="00E84083" w:rsidRPr="00675182" w:rsidRDefault="00E84083" w:rsidP="002B3341">
      <w:pPr>
        <w:jc w:val="both"/>
        <w:rPr>
          <w:rFonts w:cstheme="minorHAnsi"/>
        </w:rPr>
      </w:pPr>
    </w:p>
    <w:p w14:paraId="1F2AA08D" w14:textId="00F83944" w:rsidR="00E84083" w:rsidRPr="00675182" w:rsidRDefault="00E84083" w:rsidP="002B3341">
      <w:pPr>
        <w:jc w:val="both"/>
        <w:rPr>
          <w:rFonts w:cstheme="minorHAnsi"/>
        </w:rPr>
        <w:sectPr w:rsidR="00E84083" w:rsidRPr="00675182" w:rsidSect="00CD74B1">
          <w:headerReference w:type="default" r:id="rId76"/>
          <w:pgSz w:w="11905" w:h="16837"/>
          <w:pgMar w:top="1440" w:right="1797" w:bottom="1440" w:left="1797" w:header="720"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7"/>
      </w:tblGrid>
      <w:tr w:rsidR="003E54A7" w:rsidRPr="00675182" w14:paraId="688B8A07" w14:textId="77777777" w:rsidTr="00CA532F">
        <w:tc>
          <w:tcPr>
            <w:tcW w:w="5000" w:type="pct"/>
          </w:tcPr>
          <w:p w14:paraId="1DA5466D" w14:textId="46CD8458" w:rsidR="003E54A7" w:rsidRPr="00675182" w:rsidRDefault="00CA532F" w:rsidP="00CA532F">
            <w:pPr>
              <w:jc w:val="center"/>
              <w:rPr>
                <w:rFonts w:cstheme="minorHAnsi"/>
              </w:rPr>
            </w:pPr>
            <w:r w:rsidRPr="00675182">
              <w:rPr>
                <w:rFonts w:cstheme="minorHAnsi"/>
                <w:noProof/>
              </w:rPr>
              <w:lastRenderedPageBreak/>
              <w:drawing>
                <wp:inline distT="0" distB="0" distL="0" distR="0" wp14:anchorId="22D5DA63" wp14:editId="7B6600B4">
                  <wp:extent cx="6918964" cy="4896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918964" cy="4896000"/>
                          </a:xfrm>
                          <a:prstGeom prst="rect">
                            <a:avLst/>
                          </a:prstGeom>
                          <a:noFill/>
                          <a:ln>
                            <a:noFill/>
                          </a:ln>
                        </pic:spPr>
                      </pic:pic>
                    </a:graphicData>
                  </a:graphic>
                </wp:inline>
              </w:drawing>
            </w:r>
          </w:p>
        </w:tc>
      </w:tr>
      <w:tr w:rsidR="003E54A7" w:rsidRPr="00675182" w14:paraId="1401B822" w14:textId="77777777" w:rsidTr="00CA532F">
        <w:tc>
          <w:tcPr>
            <w:tcW w:w="5000" w:type="pct"/>
          </w:tcPr>
          <w:p w14:paraId="4C3B24DB" w14:textId="3B46C892" w:rsidR="003E54A7" w:rsidRPr="00675182" w:rsidRDefault="00F3169F" w:rsidP="00CA532F">
            <w:pPr>
              <w:rPr>
                <w:rFonts w:cstheme="minorHAnsi"/>
              </w:rPr>
            </w:pPr>
            <w:r w:rsidRPr="00675182">
              <w:rPr>
                <w:rFonts w:cstheme="minorHAnsi"/>
                <w:b/>
                <w:i/>
              </w:rPr>
              <w:t>1.</w:t>
            </w:r>
            <w:r w:rsidR="001F5E71" w:rsidRPr="00675182">
              <w:rPr>
                <w:rFonts w:cstheme="minorHAnsi"/>
                <w:b/>
                <w:i/>
              </w:rPr>
              <w:t>3</w:t>
            </w:r>
            <w:r w:rsidRPr="00675182">
              <w:rPr>
                <w:rFonts w:cstheme="minorHAnsi"/>
                <w:b/>
                <w:i/>
              </w:rPr>
              <w:t>.</w:t>
            </w:r>
            <w:r w:rsidR="007E3513" w:rsidRPr="00675182">
              <w:rPr>
                <w:rFonts w:cstheme="minorHAnsi"/>
                <w:b/>
                <w:i/>
              </w:rPr>
              <w:t>1</w:t>
            </w:r>
            <w:r w:rsidR="0096443B" w:rsidRPr="00675182">
              <w:rPr>
                <w:rFonts w:cstheme="minorHAnsi"/>
                <w:b/>
                <w:i/>
              </w:rPr>
              <w:t>2</w:t>
            </w:r>
            <w:r w:rsidR="001F5E71" w:rsidRPr="00675182">
              <w:rPr>
                <w:rFonts w:cstheme="minorHAnsi"/>
                <w:b/>
                <w:i/>
              </w:rPr>
              <w:t>.</w:t>
            </w:r>
            <w:r w:rsidRPr="00675182">
              <w:rPr>
                <w:rFonts w:cstheme="minorHAnsi"/>
                <w:b/>
                <w:i/>
              </w:rPr>
              <w:t xml:space="preserve"> attēls. Lauksaimniecības platības (202</w:t>
            </w:r>
            <w:r w:rsidR="00D42651" w:rsidRPr="00675182">
              <w:rPr>
                <w:rFonts w:cstheme="minorHAnsi"/>
                <w:b/>
                <w:i/>
              </w:rPr>
              <w:t>2</w:t>
            </w:r>
            <w:r w:rsidRPr="00675182">
              <w:rPr>
                <w:rFonts w:cstheme="minorHAnsi"/>
                <w:b/>
                <w:i/>
              </w:rPr>
              <w:t>. gadā), kā arī pieteiktās teritorijas lauku attīstības pasākumam “Bioloģiskā lauksaimniecība” (2019. gadā)</w:t>
            </w:r>
            <w:r w:rsidR="003A336D" w:rsidRPr="00675182">
              <w:rPr>
                <w:rFonts w:cstheme="minorHAnsi"/>
                <w:b/>
                <w:i/>
              </w:rPr>
              <w:t xml:space="preserve"> GNP teritorijā</w:t>
            </w:r>
          </w:p>
        </w:tc>
      </w:tr>
    </w:tbl>
    <w:p w14:paraId="4D770DA4" w14:textId="01880B89" w:rsidR="000D14E6" w:rsidRPr="00675182" w:rsidRDefault="000D14E6" w:rsidP="002B3341">
      <w:pPr>
        <w:rPr>
          <w:rFonts w:cstheme="minorHAnsi"/>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7"/>
      </w:tblGrid>
      <w:tr w:rsidR="000D14E6" w:rsidRPr="00675182" w14:paraId="21CF19EE" w14:textId="77777777" w:rsidTr="000C62D9">
        <w:tc>
          <w:tcPr>
            <w:tcW w:w="13947" w:type="dxa"/>
          </w:tcPr>
          <w:p w14:paraId="2DBF5FE8" w14:textId="1AF562D8" w:rsidR="000D14E6" w:rsidRPr="00675182" w:rsidRDefault="000D14E6" w:rsidP="002F2568">
            <w:pPr>
              <w:suppressAutoHyphens w:val="0"/>
              <w:jc w:val="center"/>
              <w:rPr>
                <w:rFonts w:cstheme="minorHAnsi"/>
              </w:rPr>
            </w:pPr>
            <w:r w:rsidRPr="00675182">
              <w:rPr>
                <w:rFonts w:cstheme="minorHAnsi"/>
                <w:noProof/>
              </w:rPr>
              <w:drawing>
                <wp:inline distT="0" distB="0" distL="0" distR="0" wp14:anchorId="52DDAD24" wp14:editId="63514C12">
                  <wp:extent cx="6694098" cy="4732448"/>
                  <wp:effectExtent l="0" t="0" r="0" b="0"/>
                  <wp:docPr id="173" name="Picture 17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Map&#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699741" cy="4736437"/>
                          </a:xfrm>
                          <a:prstGeom prst="rect">
                            <a:avLst/>
                          </a:prstGeom>
                        </pic:spPr>
                      </pic:pic>
                    </a:graphicData>
                  </a:graphic>
                </wp:inline>
              </w:drawing>
            </w:r>
          </w:p>
        </w:tc>
      </w:tr>
      <w:tr w:rsidR="000D14E6" w:rsidRPr="00675182" w14:paraId="43A2BBB6" w14:textId="77777777" w:rsidTr="000C62D9">
        <w:tc>
          <w:tcPr>
            <w:tcW w:w="13947" w:type="dxa"/>
          </w:tcPr>
          <w:p w14:paraId="2122805A" w14:textId="53342002" w:rsidR="000D14E6" w:rsidRPr="00675182" w:rsidRDefault="000D14E6">
            <w:pPr>
              <w:suppressAutoHyphens w:val="0"/>
              <w:rPr>
                <w:rFonts w:cstheme="minorHAnsi"/>
                <w:b/>
                <w:bCs/>
                <w:i/>
                <w:iCs/>
              </w:rPr>
            </w:pPr>
            <w:r w:rsidRPr="00675182">
              <w:rPr>
                <w:rFonts w:cstheme="minorHAnsi"/>
                <w:b/>
                <w:bCs/>
                <w:i/>
                <w:iCs/>
              </w:rPr>
              <w:t>1.3.</w:t>
            </w:r>
            <w:r w:rsidR="002F2568" w:rsidRPr="00675182">
              <w:rPr>
                <w:rFonts w:cstheme="minorHAnsi"/>
                <w:b/>
                <w:bCs/>
                <w:i/>
                <w:iCs/>
              </w:rPr>
              <w:t>1</w:t>
            </w:r>
            <w:r w:rsidR="0096443B" w:rsidRPr="00675182">
              <w:rPr>
                <w:rFonts w:cstheme="minorHAnsi"/>
                <w:b/>
                <w:bCs/>
                <w:i/>
                <w:iCs/>
              </w:rPr>
              <w:t>3</w:t>
            </w:r>
            <w:r w:rsidRPr="00675182">
              <w:rPr>
                <w:rFonts w:cstheme="minorHAnsi"/>
                <w:b/>
                <w:bCs/>
                <w:i/>
                <w:iCs/>
              </w:rPr>
              <w:t>. attēls. Pieteiktie platībmaksājumi pēc kultūrām GNP teritorijā 2021. gadā.</w:t>
            </w:r>
          </w:p>
        </w:tc>
      </w:tr>
      <w:tr w:rsidR="004C0558" w:rsidRPr="00675182" w14:paraId="31283686" w14:textId="77777777" w:rsidTr="000D14E6">
        <w:tc>
          <w:tcPr>
            <w:tcW w:w="13947" w:type="dxa"/>
          </w:tcPr>
          <w:p w14:paraId="59A52FD0" w14:textId="74798BE3" w:rsidR="004C0558" w:rsidRPr="00675182" w:rsidRDefault="000D14E6" w:rsidP="002F2568">
            <w:pPr>
              <w:suppressAutoHyphens w:val="0"/>
              <w:jc w:val="center"/>
              <w:rPr>
                <w:rFonts w:cstheme="minorHAnsi"/>
              </w:rPr>
            </w:pPr>
            <w:r w:rsidRPr="00675182">
              <w:rPr>
                <w:rFonts w:cstheme="minorHAnsi"/>
              </w:rPr>
              <w:lastRenderedPageBreak/>
              <w:br w:type="page"/>
            </w:r>
            <w:r w:rsidR="004C0558" w:rsidRPr="00675182">
              <w:rPr>
                <w:rFonts w:cstheme="minorHAnsi"/>
                <w:noProof/>
              </w:rPr>
              <w:drawing>
                <wp:inline distT="0" distB="0" distL="0" distR="0" wp14:anchorId="2D43AAA4" wp14:editId="368A408F">
                  <wp:extent cx="6875253" cy="4860516"/>
                  <wp:effectExtent l="0" t="0" r="1905" b="0"/>
                  <wp:docPr id="42" name="Picture 4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Map&#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879494" cy="4863514"/>
                          </a:xfrm>
                          <a:prstGeom prst="rect">
                            <a:avLst/>
                          </a:prstGeom>
                        </pic:spPr>
                      </pic:pic>
                    </a:graphicData>
                  </a:graphic>
                </wp:inline>
              </w:drawing>
            </w:r>
          </w:p>
        </w:tc>
      </w:tr>
      <w:tr w:rsidR="004C0558" w:rsidRPr="00675182" w14:paraId="6ABF08CA" w14:textId="77777777" w:rsidTr="000D14E6">
        <w:tc>
          <w:tcPr>
            <w:tcW w:w="13947" w:type="dxa"/>
          </w:tcPr>
          <w:p w14:paraId="6EC08519" w14:textId="10EF87CD" w:rsidR="004C0558" w:rsidRPr="00675182" w:rsidRDefault="004C0558">
            <w:pPr>
              <w:suppressAutoHyphens w:val="0"/>
              <w:rPr>
                <w:rFonts w:cstheme="minorHAnsi"/>
                <w:b/>
                <w:bCs/>
                <w:i/>
                <w:iCs/>
              </w:rPr>
            </w:pPr>
            <w:r w:rsidRPr="00675182">
              <w:rPr>
                <w:rFonts w:cstheme="minorHAnsi"/>
                <w:b/>
                <w:bCs/>
                <w:i/>
                <w:iCs/>
              </w:rPr>
              <w:t>1.3.</w:t>
            </w:r>
            <w:r w:rsidR="002F2568" w:rsidRPr="00675182">
              <w:rPr>
                <w:rFonts w:cstheme="minorHAnsi"/>
                <w:b/>
                <w:bCs/>
                <w:i/>
                <w:iCs/>
              </w:rPr>
              <w:t>1</w:t>
            </w:r>
            <w:r w:rsidR="0096443B" w:rsidRPr="00675182">
              <w:rPr>
                <w:rFonts w:cstheme="minorHAnsi"/>
                <w:b/>
                <w:bCs/>
                <w:i/>
                <w:iCs/>
              </w:rPr>
              <w:t>4</w:t>
            </w:r>
            <w:r w:rsidRPr="00675182">
              <w:rPr>
                <w:rFonts w:cstheme="minorHAnsi"/>
                <w:b/>
                <w:bCs/>
                <w:i/>
                <w:iCs/>
              </w:rPr>
              <w:t>. attēls. Nekoptas lauksaimniecībā izmantojamās zemes GNP teritorijā 2021. gadā (pēc LAD ikgadējo apsekojumu datiem)</w:t>
            </w:r>
          </w:p>
        </w:tc>
      </w:tr>
    </w:tbl>
    <w:p w14:paraId="16015848" w14:textId="77777777" w:rsidR="004C0558" w:rsidRPr="00675182" w:rsidRDefault="004C0558">
      <w:pPr>
        <w:suppressAutoHyphens w:val="0"/>
        <w:rPr>
          <w:rFonts w:cstheme="minorHAnsi"/>
        </w:rPr>
      </w:pPr>
      <w:r w:rsidRPr="00675182">
        <w:rPr>
          <w:rFonts w:cstheme="minorHAnsi"/>
        </w:rPr>
        <w:br w:type="page"/>
      </w:r>
    </w:p>
    <w:p w14:paraId="487A31B5" w14:textId="77777777" w:rsidR="00A6776A" w:rsidRPr="00675182" w:rsidRDefault="00A6776A" w:rsidP="002B3341">
      <w:pPr>
        <w:rPr>
          <w:rFonts w:cstheme="minorHAnsi"/>
        </w:rPr>
        <w:sectPr w:rsidR="00A6776A" w:rsidRPr="00675182" w:rsidSect="00A6776A">
          <w:headerReference w:type="default" r:id="rId80"/>
          <w:pgSz w:w="16837" w:h="11905" w:orient="landscape"/>
          <w:pgMar w:top="1797" w:right="1440" w:bottom="1797" w:left="1440" w:header="720" w:footer="720" w:gutter="0"/>
          <w:cols w:space="720"/>
          <w:docGrid w:linePitch="360"/>
        </w:sectPr>
      </w:pPr>
    </w:p>
    <w:p w14:paraId="70B4F041" w14:textId="415DFB1B" w:rsidR="008E709C" w:rsidRPr="00675182" w:rsidRDefault="008E709C" w:rsidP="002B3341">
      <w:pPr>
        <w:rPr>
          <w:rFonts w:cstheme="minorHAnsi"/>
        </w:rPr>
      </w:pPr>
    </w:p>
    <w:p w14:paraId="6871EBDE" w14:textId="07AEB3C3" w:rsidR="00011E51" w:rsidRPr="00675182" w:rsidRDefault="00E34B71" w:rsidP="00CC0016">
      <w:pPr>
        <w:pStyle w:val="Heading4"/>
        <w:rPr>
          <w:rFonts w:asciiTheme="minorHAnsi" w:hAnsiTheme="minorHAnsi" w:cstheme="minorHAnsi"/>
        </w:rPr>
      </w:pPr>
      <w:r w:rsidRPr="00675182">
        <w:rPr>
          <w:rFonts w:asciiTheme="minorHAnsi" w:hAnsiTheme="minorHAnsi" w:cstheme="minorHAnsi"/>
        </w:rPr>
        <w:t>1.</w:t>
      </w:r>
      <w:r w:rsidR="003B385A" w:rsidRPr="00675182">
        <w:rPr>
          <w:rFonts w:asciiTheme="minorHAnsi" w:hAnsiTheme="minorHAnsi" w:cstheme="minorHAnsi"/>
        </w:rPr>
        <w:t>3</w:t>
      </w:r>
      <w:r w:rsidRPr="00675182">
        <w:rPr>
          <w:rFonts w:asciiTheme="minorHAnsi" w:hAnsiTheme="minorHAnsi" w:cstheme="minorHAnsi"/>
        </w:rPr>
        <w:t xml:space="preserve">.3.2. </w:t>
      </w:r>
      <w:r w:rsidR="00011E51" w:rsidRPr="00675182">
        <w:rPr>
          <w:rFonts w:asciiTheme="minorHAnsi" w:hAnsiTheme="minorHAnsi" w:cstheme="minorHAnsi"/>
        </w:rPr>
        <w:t>Tūrisms</w:t>
      </w:r>
      <w:r w:rsidR="000A2397" w:rsidRPr="00675182">
        <w:rPr>
          <w:rFonts w:asciiTheme="minorHAnsi" w:hAnsiTheme="minorHAnsi" w:cstheme="minorHAnsi"/>
        </w:rPr>
        <w:t>, aktīvā atpūta un sports</w:t>
      </w:r>
    </w:p>
    <w:p w14:paraId="75728008" w14:textId="77777777" w:rsidR="00D10BA6" w:rsidRPr="00675182" w:rsidRDefault="00D10BA6" w:rsidP="002B3341">
      <w:pPr>
        <w:rPr>
          <w:rFonts w:cstheme="minorHAnsi"/>
        </w:rPr>
      </w:pPr>
    </w:p>
    <w:p w14:paraId="28985C70" w14:textId="77777777" w:rsidR="00B84D29" w:rsidRPr="00675182" w:rsidRDefault="00B84D29" w:rsidP="007E3513">
      <w:pPr>
        <w:jc w:val="both"/>
        <w:rPr>
          <w:rFonts w:cstheme="minorHAnsi"/>
          <w:szCs w:val="24"/>
        </w:rPr>
      </w:pPr>
      <w:r w:rsidRPr="00675182">
        <w:rPr>
          <w:rFonts w:cstheme="minorHAnsi"/>
          <w:szCs w:val="24"/>
          <w:shd w:val="clear" w:color="auto" w:fill="FFFFFF"/>
        </w:rPr>
        <w:t xml:space="preserve">Tūrisma un rekreācijas kontekstā </w:t>
      </w:r>
      <w:r w:rsidRPr="00675182">
        <w:rPr>
          <w:rFonts w:cstheme="minorHAnsi"/>
          <w:szCs w:val="24"/>
        </w:rPr>
        <w:t xml:space="preserve">nacionālais parks definējams kā plašs apvidus, kam raksturīgi nacionāli nozīmīgi izcili dabas veidojumi, cilvēka darbības neskartas un mazpārveidotas ainavas un kultūrainavas, biotopu daudzveidība, kultūras un vēstures pieminekļu bagātība un kultūrvides īpatnības (Likums “Par īpaši aizsargājamām dabas teritorijām”). </w:t>
      </w:r>
      <w:bookmarkStart w:id="28" w:name="_Hlk83284766"/>
      <w:r w:rsidRPr="00675182">
        <w:rPr>
          <w:rFonts w:cstheme="minorHAnsi"/>
          <w:szCs w:val="24"/>
        </w:rPr>
        <w:t>Nacionālā parka galvenais uzdevums ir dabas aizsardzība, kultūrvēsturiskā mantojuma saglabāšana, zinātniskās izpētes, izglītošanas un atpūtas organizēšana, kuru ierobežo dabas un kultūrvides aizsardzības mērķi. Nacionālo parku teritorijā atļauta tikai tāda saimnieciskā darbība, kas ir dabas un kultūras mantojumu respektējoša, būtiski nemaina vēsturiski izveidojušās ainavas struktūru</w:t>
      </w:r>
      <w:bookmarkEnd w:id="28"/>
      <w:r w:rsidRPr="00675182">
        <w:rPr>
          <w:rFonts w:cstheme="minorHAnsi"/>
          <w:szCs w:val="24"/>
        </w:rPr>
        <w:t>.</w:t>
      </w:r>
    </w:p>
    <w:p w14:paraId="781F0E86" w14:textId="77777777" w:rsidR="00B84D29" w:rsidRPr="00675182" w:rsidRDefault="00B84D29" w:rsidP="00FE4FC7">
      <w:pPr>
        <w:jc w:val="center"/>
        <w:rPr>
          <w:rFonts w:cstheme="minorHAnsi"/>
          <w:szCs w:val="24"/>
        </w:rPr>
      </w:pPr>
    </w:p>
    <w:p w14:paraId="5A7D22B7" w14:textId="77777777" w:rsidR="00B84D29" w:rsidRPr="00675182" w:rsidRDefault="00B84D29" w:rsidP="007E3513">
      <w:pPr>
        <w:jc w:val="both"/>
        <w:rPr>
          <w:rFonts w:cstheme="minorHAnsi"/>
          <w:szCs w:val="24"/>
        </w:rPr>
      </w:pPr>
      <w:r w:rsidRPr="00675182">
        <w:rPr>
          <w:rFonts w:cstheme="minorHAnsi"/>
          <w:szCs w:val="24"/>
        </w:rPr>
        <w:t>GNP mērķis ir atbilstošs likumā definētajam: aizsargāt parka mazpārveidotas dabas teritorijas, kam raksturīga liela bioloģiskā daudzveidība, iežu atsegumus, reljefa formas, laukakmeņus, avotus (plašāk — valsts un vietējās nozīmes ģeoloģiskie un ģeomorfoloģiskie dabas pieminekļi), kā arī tipiskās ainavas, dabas un kultūras pieminekļus un veicināt dabas tūrismu un teritorijas ilgtspējīgu attīstību.</w:t>
      </w:r>
    </w:p>
    <w:p w14:paraId="0DA9A006" w14:textId="77777777" w:rsidR="00B84D29" w:rsidRPr="00675182" w:rsidRDefault="00B84D29" w:rsidP="007E3513">
      <w:pPr>
        <w:jc w:val="both"/>
        <w:rPr>
          <w:rFonts w:cstheme="minorHAnsi"/>
          <w:szCs w:val="24"/>
        </w:rPr>
      </w:pPr>
    </w:p>
    <w:p w14:paraId="3F6CBBFB" w14:textId="1BA81F69" w:rsidR="00B84D29" w:rsidRPr="00675182" w:rsidRDefault="00B84D29" w:rsidP="007E3513">
      <w:pPr>
        <w:jc w:val="both"/>
        <w:rPr>
          <w:rFonts w:cstheme="minorHAnsi"/>
          <w:szCs w:val="24"/>
        </w:rPr>
      </w:pPr>
      <w:r w:rsidRPr="00675182">
        <w:rPr>
          <w:rFonts w:cstheme="minorHAnsi"/>
          <w:szCs w:val="24"/>
        </w:rPr>
        <w:t xml:space="preserve">Ņemot vērā jau iepriekš uzsvērto, nākotnes redzējuma attīstību visaptverošāk izsaka starptautiskās organizācijas “EUROPARC” misijā paustais par dabas un kultūras mantojuma attīstību: cilvēku novērtēta ilgtspējīga daba, kā arī ES Vides rīcības programmas ietvars “veselīga vide veseliem cilvēkiem jeb rūpes par vidi ir rūpes par sevi”. Te arī jāņem vērā, ka GNP ir salīdzinoši blīvi apdzīvota teritorija, iekļaujot gan vēsturiski veidojušās viensētas, ciemus un mazpilsētas, kā arī reģionālās nozīmes attīstības centru piepilsētu apbūve, savrupmājas un ar to saistītās cilvēku ikdienas aktivitātes. Tas </w:t>
      </w:r>
      <w:r w:rsidR="000451BC" w:rsidRPr="00675182">
        <w:rPr>
          <w:rFonts w:cstheme="minorHAnsi"/>
          <w:szCs w:val="24"/>
        </w:rPr>
        <w:t>piešķir</w:t>
      </w:r>
      <w:r w:rsidRPr="00675182">
        <w:rPr>
          <w:rFonts w:cstheme="minorHAnsi"/>
          <w:szCs w:val="24"/>
        </w:rPr>
        <w:t xml:space="preserve"> papildu izaicinājumus ilgtspējīgas attīstības centieniem. GNP nodrošina vietējo sabiedrību ar labumiem </w:t>
      </w:r>
      <w:r w:rsidR="000D5020">
        <w:rPr>
          <w:rFonts w:cstheme="minorHAnsi"/>
          <w:szCs w:val="24"/>
        </w:rPr>
        <w:t xml:space="preserve">EP </w:t>
      </w:r>
      <w:r w:rsidRPr="00675182">
        <w:rPr>
          <w:rFonts w:cstheme="minorHAnsi"/>
          <w:szCs w:val="24"/>
        </w:rPr>
        <w:t xml:space="preserve">veidā, kas paaugstina cilvēku labklājību un rada ekonomisku vērtību ilgtspējīgai uzņēmējdarbībai, radot ieinteresētību resursu aizsardzībā (Maes </w:t>
      </w:r>
      <w:r w:rsidRPr="00675182">
        <w:rPr>
          <w:rFonts w:cstheme="minorHAnsi"/>
          <w:i/>
          <w:iCs/>
          <w:szCs w:val="24"/>
        </w:rPr>
        <w:t>et al</w:t>
      </w:r>
      <w:r w:rsidRPr="00675182">
        <w:rPr>
          <w:rFonts w:cstheme="minorHAnsi"/>
          <w:szCs w:val="24"/>
        </w:rPr>
        <w:t>, 2016).</w:t>
      </w:r>
    </w:p>
    <w:p w14:paraId="49744FB2" w14:textId="77777777" w:rsidR="00B84D29" w:rsidRPr="00675182" w:rsidRDefault="00B84D29" w:rsidP="007E3513">
      <w:pPr>
        <w:jc w:val="both"/>
        <w:rPr>
          <w:rFonts w:cstheme="minorHAnsi"/>
          <w:szCs w:val="24"/>
        </w:rPr>
      </w:pPr>
    </w:p>
    <w:p w14:paraId="0E222C65" w14:textId="4F1EB536" w:rsidR="00B84D29" w:rsidRPr="00675182" w:rsidRDefault="00B84D29" w:rsidP="007E3513">
      <w:pPr>
        <w:jc w:val="both"/>
        <w:rPr>
          <w:rFonts w:cstheme="minorHAnsi"/>
          <w:szCs w:val="24"/>
        </w:rPr>
      </w:pPr>
      <w:r w:rsidRPr="00675182">
        <w:rPr>
          <w:rFonts w:cstheme="minorHAnsi"/>
          <w:szCs w:val="24"/>
        </w:rPr>
        <w:t>Tas nav pretrunā ar konkrētāk pausto GNP tūrisma klastera nākotnes attīstības redzējumu</w:t>
      </w:r>
      <w:r w:rsidR="000451BC" w:rsidRPr="00675182">
        <w:rPr>
          <w:rStyle w:val="FootnoteReference"/>
          <w:rFonts w:cstheme="minorHAnsi"/>
          <w:szCs w:val="24"/>
        </w:rPr>
        <w:t xml:space="preserve"> </w:t>
      </w:r>
      <w:r w:rsidR="000451BC" w:rsidRPr="00675182">
        <w:rPr>
          <w:rFonts w:cstheme="minorHAnsi"/>
        </w:rPr>
        <w:t>(Gaujas Nacionālā parka tūrisma klastera attīstības stratēģija 2016.- 2022. gadam):</w:t>
      </w:r>
      <w:r w:rsidRPr="00675182">
        <w:rPr>
          <w:rFonts w:cstheme="minorHAnsi"/>
          <w:szCs w:val="24"/>
        </w:rPr>
        <w:t xml:space="preserve"> </w:t>
      </w:r>
    </w:p>
    <w:p w14:paraId="500DD22B" w14:textId="77777777" w:rsidR="00B84D29" w:rsidRPr="00675182" w:rsidRDefault="00B84D29" w:rsidP="007E3513">
      <w:pPr>
        <w:jc w:val="both"/>
        <w:rPr>
          <w:rFonts w:cstheme="minorHAnsi"/>
          <w:szCs w:val="24"/>
        </w:rPr>
      </w:pPr>
    </w:p>
    <w:p w14:paraId="3D448D4B" w14:textId="77777777" w:rsidR="00B84D29" w:rsidRPr="00675182" w:rsidRDefault="00B84D29" w:rsidP="007E3513">
      <w:pPr>
        <w:jc w:val="both"/>
        <w:rPr>
          <w:rFonts w:cstheme="minorHAnsi"/>
          <w:i/>
          <w:iCs/>
          <w:szCs w:val="24"/>
        </w:rPr>
      </w:pPr>
      <w:r w:rsidRPr="00675182">
        <w:rPr>
          <w:rFonts w:cstheme="minorHAnsi"/>
          <w:i/>
          <w:iCs/>
          <w:szCs w:val="24"/>
        </w:rPr>
        <w:t xml:space="preserve">Konkurētspējīgākais tūrisma galamērķis Latvijā ārpus galvaspilsētas ar kvalitatīvu un specializētu tūrisma piedāvājumu precīzi segmentētā ārvalstu un vietējā tirgū visa gada garumā, kas ir orientēts uz pieprasītu atpūtu un aktivitātēm dabā un vēsturiskā kultūrvidē. Klasteris rada GNP un apkārtnes tūrisma attīstībā ieinteresēto pušu: komersantu, pašvaldību, dabas aizsardzības, izglītības un pētniecības institūciju ilgtermiņa sadarbības modeli, kas balstīts uz kopīgu ekonomisko attīstību, inovācijām, organizētību, atklātību, savstarpējo cieņu, zināšanām un mērķtiecīgu to pielietojumu. Ietver misijā definētās kopējās vērtības: ilgtspējība, vietējo iedzīvotāju dzīves kvalitātes paaugstināšana un dabas, kultūras un vēstures mantojuma aizsardzība, kā arī vienotā zīmola EnterGauja koncepcija. </w:t>
      </w:r>
    </w:p>
    <w:p w14:paraId="09ED4FA4" w14:textId="77777777" w:rsidR="00B84D29" w:rsidRPr="00675182" w:rsidRDefault="00B84D29" w:rsidP="007E3513">
      <w:pPr>
        <w:jc w:val="both"/>
        <w:rPr>
          <w:rFonts w:cstheme="minorHAnsi"/>
          <w:i/>
          <w:iCs/>
          <w:szCs w:val="24"/>
        </w:rPr>
      </w:pPr>
    </w:p>
    <w:p w14:paraId="7014EE70" w14:textId="65CA9A4F" w:rsidR="00B84D29" w:rsidRPr="00675182" w:rsidRDefault="003E18DD" w:rsidP="007E3513">
      <w:pPr>
        <w:jc w:val="both"/>
        <w:rPr>
          <w:rFonts w:cstheme="minorHAnsi"/>
          <w:szCs w:val="24"/>
        </w:rPr>
      </w:pPr>
      <w:r w:rsidRPr="003E18DD">
        <w:rPr>
          <w:rFonts w:cstheme="minorHAnsi"/>
          <w:szCs w:val="24"/>
        </w:rPr>
        <w:lastRenderedPageBreak/>
        <w:t>GNP tūrisma klaster</w:t>
      </w:r>
      <w:r>
        <w:rPr>
          <w:rFonts w:cstheme="minorHAnsi"/>
          <w:szCs w:val="24"/>
        </w:rPr>
        <w:t>im</w:t>
      </w:r>
      <w:r w:rsidR="001963E6">
        <w:rPr>
          <w:rFonts w:cstheme="minorHAnsi"/>
          <w:szCs w:val="24"/>
        </w:rPr>
        <w:t xml:space="preserve"> kā </w:t>
      </w:r>
      <w:r w:rsidR="00B84D29" w:rsidRPr="00675182">
        <w:rPr>
          <w:rFonts w:cstheme="minorHAnsi"/>
          <w:szCs w:val="24"/>
        </w:rPr>
        <w:t>viens no stratēģiskajiem attīstības virzie</w:t>
      </w:r>
      <w:r w:rsidR="000451BC" w:rsidRPr="00675182">
        <w:rPr>
          <w:rFonts w:cstheme="minorHAnsi"/>
          <w:szCs w:val="24"/>
        </w:rPr>
        <w:t>n</w:t>
      </w:r>
      <w:r w:rsidR="00B84D29" w:rsidRPr="00675182">
        <w:rPr>
          <w:rFonts w:cstheme="minorHAnsi"/>
          <w:szCs w:val="24"/>
        </w:rPr>
        <w:t>iem ir saglabāt GNP dabas daudzveidību, kultūras mantojuma un ainaviskās vērtības, vienlaicīgi, veicinot reģiona sociālekonomisko attīstību, uzņēmēju konkurētspēju un iedzīvotāju dzīves kvalitāti. Te jāņem vērā, ka tūrisma galamērķa un vietas attīstības ekonomiskajās kategorijās GNP tiek uztverts daudz plašāk – līdz pat 20 km attālumā no ĪADT robežām, ietverot tuvākās pilsētas un citas apdzīvotās vietas – izmantojot nacionālā parka sta</w:t>
      </w:r>
      <w:r w:rsidR="000451BC" w:rsidRPr="00675182">
        <w:rPr>
          <w:rFonts w:cstheme="minorHAnsi"/>
          <w:szCs w:val="24"/>
        </w:rPr>
        <w:t>t</w:t>
      </w:r>
      <w:r w:rsidR="00B84D29" w:rsidRPr="00675182">
        <w:rPr>
          <w:rFonts w:cstheme="minorHAnsi"/>
          <w:szCs w:val="24"/>
        </w:rPr>
        <w:t xml:space="preserve">usa un zīmola spēku, vienlaikus daļu no antropogēno slodzi radošām aktivitātēm “izceļot” ārpus </w:t>
      </w:r>
      <w:r w:rsidR="000451BC" w:rsidRPr="00675182">
        <w:rPr>
          <w:rFonts w:cstheme="minorHAnsi"/>
          <w:szCs w:val="24"/>
        </w:rPr>
        <w:t>ĪADT</w:t>
      </w:r>
      <w:r w:rsidR="00B84D29" w:rsidRPr="00675182">
        <w:rPr>
          <w:rFonts w:cstheme="minorHAnsi"/>
          <w:szCs w:val="24"/>
        </w:rPr>
        <w:t xml:space="preserve"> robežām.</w:t>
      </w:r>
    </w:p>
    <w:p w14:paraId="6E0C30CD" w14:textId="77777777" w:rsidR="00B84D29" w:rsidRPr="00675182" w:rsidRDefault="00B84D29" w:rsidP="007E3513">
      <w:pPr>
        <w:jc w:val="both"/>
        <w:rPr>
          <w:rFonts w:cstheme="minorHAnsi"/>
          <w:szCs w:val="24"/>
        </w:rPr>
      </w:pPr>
    </w:p>
    <w:p w14:paraId="64B91AE3" w14:textId="0950D312" w:rsidR="00B84D29" w:rsidRPr="00675182" w:rsidRDefault="00B84D29" w:rsidP="007E3513">
      <w:pPr>
        <w:jc w:val="both"/>
        <w:rPr>
          <w:rFonts w:cstheme="minorHAnsi"/>
          <w:szCs w:val="24"/>
        </w:rPr>
      </w:pPr>
      <w:r w:rsidRPr="00675182">
        <w:rPr>
          <w:rFonts w:cstheme="minorHAnsi"/>
          <w:szCs w:val="24"/>
        </w:rPr>
        <w:t xml:space="preserve">Latvijā ir četri nacionālie parki un katrs no tiem pārstāv raksturīgu </w:t>
      </w:r>
      <w:r w:rsidR="000451BC" w:rsidRPr="00675182">
        <w:rPr>
          <w:rFonts w:cstheme="minorHAnsi"/>
          <w:szCs w:val="24"/>
        </w:rPr>
        <w:t>kultūrvēsturisko</w:t>
      </w:r>
      <w:r w:rsidRPr="00675182">
        <w:rPr>
          <w:rFonts w:cstheme="minorHAnsi"/>
          <w:szCs w:val="24"/>
        </w:rPr>
        <w:t xml:space="preserve"> reģionu, līdz ar to GNP iekļauj ne vien izcilas dabas vērtības, bet arī reprezentē Vidzemes reģiona kultūras mantojumu un raksturīgās ainavas. Gaujas senlejas unikalitāte un mērogs Baltijā </w:t>
      </w:r>
      <w:r w:rsidR="000451BC" w:rsidRPr="00675182">
        <w:rPr>
          <w:rFonts w:cstheme="minorHAnsi"/>
          <w:szCs w:val="24"/>
        </w:rPr>
        <w:t xml:space="preserve">ir salīdzināms ar </w:t>
      </w:r>
      <w:r w:rsidRPr="00675182">
        <w:rPr>
          <w:rFonts w:cstheme="minorHAnsi"/>
          <w:szCs w:val="24"/>
        </w:rPr>
        <w:t>Kuršu kāp</w:t>
      </w:r>
      <w:r w:rsidR="000451BC" w:rsidRPr="00675182">
        <w:rPr>
          <w:rFonts w:cstheme="minorHAnsi"/>
          <w:szCs w:val="24"/>
        </w:rPr>
        <w:t>u</w:t>
      </w:r>
      <w:r w:rsidRPr="00675182">
        <w:rPr>
          <w:rFonts w:cstheme="minorHAnsi"/>
          <w:szCs w:val="24"/>
        </w:rPr>
        <w:t xml:space="preserve">, Igaunijas </w:t>
      </w:r>
      <w:r w:rsidR="000451BC" w:rsidRPr="00675182">
        <w:rPr>
          <w:rFonts w:cstheme="minorHAnsi"/>
          <w:szCs w:val="24"/>
        </w:rPr>
        <w:t>ziemeļu</w:t>
      </w:r>
      <w:r w:rsidRPr="00675182">
        <w:rPr>
          <w:rFonts w:cstheme="minorHAnsi"/>
          <w:szCs w:val="24"/>
        </w:rPr>
        <w:t xml:space="preserve"> piekrastes glinta stāvkrastiem vai salu arhipelāg</w:t>
      </w:r>
      <w:r w:rsidR="000451BC" w:rsidRPr="00675182">
        <w:rPr>
          <w:rFonts w:cstheme="minorHAnsi"/>
          <w:szCs w:val="24"/>
        </w:rPr>
        <w:t>iem</w:t>
      </w:r>
      <w:r w:rsidRPr="00675182">
        <w:rPr>
          <w:rFonts w:cstheme="minorHAnsi"/>
          <w:szCs w:val="24"/>
        </w:rPr>
        <w:t xml:space="preserve">. GNP ir lielākā devona atsegumu koncentrācija, pārstāvot senāko zemes attīstības posmu, kāds vērojams zemes virspusē Latvijas teritorijā. </w:t>
      </w:r>
    </w:p>
    <w:p w14:paraId="2C495E64" w14:textId="77777777" w:rsidR="00B84D29" w:rsidRPr="00675182" w:rsidRDefault="00B84D29" w:rsidP="007E3513">
      <w:pPr>
        <w:jc w:val="both"/>
        <w:rPr>
          <w:rFonts w:cstheme="minorHAnsi"/>
          <w:szCs w:val="24"/>
          <w:shd w:val="clear" w:color="auto" w:fill="FFFFFF"/>
        </w:rPr>
      </w:pPr>
    </w:p>
    <w:p w14:paraId="15B6F9B3" w14:textId="641FB164" w:rsidR="00B84D29" w:rsidRPr="00675182" w:rsidRDefault="00B84D29" w:rsidP="007E3513">
      <w:pPr>
        <w:jc w:val="both"/>
        <w:rPr>
          <w:rFonts w:cstheme="minorHAnsi"/>
          <w:szCs w:val="24"/>
        </w:rPr>
      </w:pPr>
      <w:r w:rsidRPr="00675182">
        <w:rPr>
          <w:rFonts w:cstheme="minorHAnsi"/>
          <w:szCs w:val="24"/>
        </w:rPr>
        <w:t>Profesores Aijas Mellumas zinātniskās darbības ietekmē</w:t>
      </w:r>
      <w:r w:rsidR="000451BC" w:rsidRPr="00675182">
        <w:rPr>
          <w:rFonts w:cstheme="minorHAnsi"/>
          <w:szCs w:val="24"/>
        </w:rPr>
        <w:t xml:space="preserve"> (Brūmelis, 2018)</w:t>
      </w:r>
      <w:r w:rsidRPr="00675182">
        <w:rPr>
          <w:rFonts w:cstheme="minorHAnsi"/>
          <w:szCs w:val="24"/>
        </w:rPr>
        <w:t xml:space="preserve">, par vienu no Latvijas PSR nacionālo parku pastāvēšanas mērķiem kļuva iedzīvotāju atpūtas un dabas izglītības nodrošināšana. Mūsdienu kontekstā tā ir starptautiski ierasta prakse populārākajās </w:t>
      </w:r>
      <w:r w:rsidR="000451BC" w:rsidRPr="00675182">
        <w:rPr>
          <w:rFonts w:cstheme="minorHAnsi"/>
          <w:szCs w:val="24"/>
        </w:rPr>
        <w:t>ĪADT</w:t>
      </w:r>
      <w:r w:rsidRPr="00675182">
        <w:rPr>
          <w:rFonts w:cstheme="minorHAnsi"/>
          <w:szCs w:val="24"/>
        </w:rPr>
        <w:t>, nodrošinot dabas, kultūras un ainavas mantojuma vērtību pieejamību sabiedrībai. Tas, savukārt, balstās uz Frīmena Tildena interpretācijas pieejas atziņām – vieglāk ir sargāt un respektēt tās vērtības, ko pazīst un uzskata par sabiedrībai nozīmīgām.</w:t>
      </w:r>
    </w:p>
    <w:p w14:paraId="2795F390" w14:textId="77777777" w:rsidR="00B84D29" w:rsidRPr="00675182" w:rsidRDefault="00B84D29" w:rsidP="007E3513">
      <w:pPr>
        <w:jc w:val="both"/>
        <w:rPr>
          <w:rFonts w:cstheme="minorHAnsi"/>
          <w:szCs w:val="24"/>
          <w:shd w:val="clear" w:color="auto" w:fill="FFFFFF"/>
        </w:rPr>
      </w:pPr>
    </w:p>
    <w:p w14:paraId="3EADA33E" w14:textId="650F204F" w:rsidR="00B84D29" w:rsidRPr="00675182" w:rsidRDefault="00B84D29" w:rsidP="007E3513">
      <w:pPr>
        <w:jc w:val="both"/>
        <w:rPr>
          <w:rFonts w:cstheme="minorHAnsi"/>
          <w:szCs w:val="24"/>
          <w:shd w:val="clear" w:color="auto" w:fill="FFFFFF"/>
        </w:rPr>
      </w:pPr>
      <w:r w:rsidRPr="00675182">
        <w:rPr>
          <w:rFonts w:cstheme="minorHAnsi"/>
          <w:szCs w:val="24"/>
          <w:shd w:val="clear" w:color="auto" w:fill="FFFFFF"/>
        </w:rPr>
        <w:t>Gūtmaņalu var uzskatīt par vienu no senākajiem tūrisma objektiem Latvijas teritorijā. Liecība ir 1521.</w:t>
      </w:r>
      <w:r w:rsidR="000451BC" w:rsidRPr="00675182">
        <w:rPr>
          <w:rFonts w:cstheme="minorHAnsi"/>
          <w:szCs w:val="24"/>
          <w:shd w:val="clear" w:color="auto" w:fill="FFFFFF"/>
        </w:rPr>
        <w:t xml:space="preserve"> </w:t>
      </w:r>
      <w:r w:rsidRPr="00675182">
        <w:rPr>
          <w:rFonts w:cstheme="minorHAnsi"/>
          <w:szCs w:val="24"/>
          <w:shd w:val="clear" w:color="auto" w:fill="FFFFFF"/>
        </w:rPr>
        <w:t>gadā renesanses laikam raksturīgā rāmī smilšakmens sienā ieskrāpētā piederības zīme. Ceļotāju apmeklējumi Gūtmaņalā saistāmi ar tā atrašanos 12.-13.</w:t>
      </w:r>
      <w:r w:rsidR="000451BC" w:rsidRPr="00675182">
        <w:rPr>
          <w:rFonts w:cstheme="minorHAnsi"/>
          <w:szCs w:val="24"/>
          <w:shd w:val="clear" w:color="auto" w:fill="FFFFFF"/>
        </w:rPr>
        <w:t xml:space="preserve"> </w:t>
      </w:r>
      <w:r w:rsidRPr="00675182">
        <w:rPr>
          <w:rFonts w:cstheme="minorHAnsi"/>
          <w:szCs w:val="24"/>
          <w:shd w:val="clear" w:color="auto" w:fill="FFFFFF"/>
        </w:rPr>
        <w:t>gs. administratīvajā centrā – blīvi apdzīvotā lībiešu teritorijā, maģistrālo ceļu tuvumā, kas veda no Rīgas gar Gauju pa lībiešu un latgaļu zemēm – uz Tartu vai Pleskavu. Senākie tūrisma objekti par tādiem nekļuva vienas dienas laikā. Sākotnēji tās bija neparastas vietas – savdabīgi ģeoloģiski veidojumi un vietējo iedzīvotāju kulta vietas, kuras ceļotāji (militāristi, tirgotāji u. c.) apskatīja tikai garāmbraucot. Vēlāk tās no vienkārša pieturas punkta pārtapa par ceļojuma mērķi jeb galapunktu</w:t>
      </w:r>
      <w:r w:rsidR="000451BC" w:rsidRPr="00675182">
        <w:rPr>
          <w:rFonts w:cstheme="minorHAnsi"/>
          <w:szCs w:val="24"/>
          <w:shd w:val="clear" w:color="auto" w:fill="FFFFFF"/>
        </w:rPr>
        <w:t xml:space="preserve"> (Laime, 2009)</w:t>
      </w:r>
      <w:r w:rsidRPr="00675182">
        <w:rPr>
          <w:rFonts w:cstheme="minorHAnsi"/>
          <w:szCs w:val="24"/>
          <w:shd w:val="clear" w:color="auto" w:fill="FFFFFF"/>
        </w:rPr>
        <w:t xml:space="preserve">. </w:t>
      </w:r>
      <w:r w:rsidRPr="00675182">
        <w:rPr>
          <w:rFonts w:cstheme="minorHAnsi"/>
          <w:szCs w:val="24"/>
        </w:rPr>
        <w:t>Viens no pirmajiem apzinātajiem tūrisma ceļvežiem tagadējā GNP teritorijā ir kopš 1842. gada – Krievijas impērijas laikā krieviski izdotais “Cēsu pilsētas un Cēsu pilsmuižas un apkārtnes plāns”, kas ietvēra esošo un plānoto ūdens dziedniecības infrastruktūru.</w:t>
      </w:r>
    </w:p>
    <w:p w14:paraId="265C69C0" w14:textId="77777777" w:rsidR="00B84D29" w:rsidRPr="00675182" w:rsidRDefault="00B84D29" w:rsidP="007E3513">
      <w:pPr>
        <w:jc w:val="both"/>
        <w:rPr>
          <w:rFonts w:cstheme="minorHAnsi"/>
          <w:szCs w:val="24"/>
        </w:rPr>
      </w:pPr>
    </w:p>
    <w:p w14:paraId="4251B7A0" w14:textId="77777777" w:rsidR="00B84D29" w:rsidRPr="00675182" w:rsidRDefault="00B84D29" w:rsidP="007E3513">
      <w:pPr>
        <w:pStyle w:val="Subtitle"/>
        <w:jc w:val="both"/>
        <w:rPr>
          <w:rFonts w:cstheme="minorHAnsi"/>
          <w:szCs w:val="24"/>
        </w:rPr>
      </w:pPr>
      <w:r w:rsidRPr="00675182">
        <w:rPr>
          <w:rFonts w:cstheme="minorHAnsi"/>
          <w:szCs w:val="24"/>
        </w:rPr>
        <w:t>Saikne ar tematiski nozīmīgākajiem normatīvajiem aktiem un stratēģiskajiem dokumentiem</w:t>
      </w:r>
    </w:p>
    <w:p w14:paraId="53FE5CE6" w14:textId="0684DF7C" w:rsidR="00B84D29" w:rsidRPr="00675182" w:rsidRDefault="00B84D29" w:rsidP="007E3513">
      <w:pPr>
        <w:jc w:val="both"/>
        <w:rPr>
          <w:rFonts w:cstheme="minorHAnsi"/>
          <w:szCs w:val="24"/>
        </w:rPr>
      </w:pPr>
      <w:r w:rsidRPr="00675182">
        <w:rPr>
          <w:rFonts w:cstheme="minorHAnsi"/>
          <w:szCs w:val="24"/>
        </w:rPr>
        <w:t>GNP kā viens no valsts stratēģiskajiem tūrisma galamērķiem uzsvērts līdz šim galvenajos Latvijas tūrisma politikas plānošanas dokumentos</w:t>
      </w:r>
      <w:r w:rsidR="000451BC" w:rsidRPr="00675182">
        <w:rPr>
          <w:rFonts w:cstheme="minorHAnsi"/>
        </w:rPr>
        <w:t xml:space="preserve"> (Latvijas tūrisma attīstības pamatnostādnes 2014.-2020. gadam, 2014)</w:t>
      </w:r>
      <w:r w:rsidRPr="00675182">
        <w:rPr>
          <w:rFonts w:cstheme="minorHAnsi"/>
          <w:szCs w:val="24"/>
        </w:rPr>
        <w:t xml:space="preserve">, iekļaujot to starp septiņām eksportspējīgākajām teritorijām, akcentējot pozicionējumu “piedzīvojumu un kultūras tūrisms leģendām apvītā ainaviskā dabas vidē”. Tam pēctecīgums secīgi iestrādāts Latvijas tūrisma attīstības rīcības plānā 2021.–2027. gadam. “Rekreācija un ilgtspējīgs tūrisms” ir viena no astoņām viedās specializācijas jomām Vidzemes plānošanas </w:t>
      </w:r>
      <w:r w:rsidRPr="00675182">
        <w:rPr>
          <w:rFonts w:cstheme="minorHAnsi"/>
          <w:szCs w:val="24"/>
        </w:rPr>
        <w:lastRenderedPageBreak/>
        <w:t xml:space="preserve">reģionā </w:t>
      </w:r>
      <w:r w:rsidR="00B368B8" w:rsidRPr="00675182">
        <w:rPr>
          <w:rFonts w:cstheme="minorHAnsi"/>
          <w:szCs w:val="24"/>
        </w:rPr>
        <w:t>(</w:t>
      </w:r>
      <w:r w:rsidR="00B368B8" w:rsidRPr="00675182">
        <w:rPr>
          <w:rFonts w:cstheme="minorHAnsi"/>
        </w:rPr>
        <w:t>Vidzemes plānošanas reģiona viedās specializācijas iespējas</w:t>
      </w:r>
      <w:r w:rsidR="00B368B8" w:rsidRPr="00675182">
        <w:rPr>
          <w:rFonts w:cstheme="minorHAnsi"/>
          <w:szCs w:val="24"/>
        </w:rPr>
        <w:t xml:space="preserve"> </w:t>
      </w:r>
      <w:r w:rsidRPr="00675182">
        <w:rPr>
          <w:rFonts w:cstheme="minorHAnsi"/>
          <w:szCs w:val="24"/>
        </w:rPr>
        <w:t>ilgtermiņa attīstības skatījumā</w:t>
      </w:r>
      <w:r w:rsidR="00B368B8" w:rsidRPr="00675182">
        <w:rPr>
          <w:rFonts w:cstheme="minorHAnsi"/>
          <w:szCs w:val="24"/>
        </w:rPr>
        <w:t>, 2014)</w:t>
      </w:r>
      <w:r w:rsidRPr="00675182">
        <w:rPr>
          <w:rFonts w:cstheme="minorHAnsi"/>
          <w:szCs w:val="24"/>
        </w:rPr>
        <w:t>. GNP ir minēts kā nozīmīgākais eksporta galamērķis Vidzemes tūrisma attīstības stratēģijā 2018.-2025. gadam, iekļaujot vairākas stratēģiskās zīmoltēmas, kas saistās ar dabas un kultūras mantojumu (upes, Hanza un Livonija, pilis un muižas, nemateriālais mantojums &amp; radošās industrijas). 2012. gada 7. februārī, vienojoties Siguldas, Cēsu, Valmieras, Līgatnes, Pārgaujas un Amatas pašvaldību</w:t>
      </w:r>
      <w:r w:rsidR="00547BA5" w:rsidRPr="00675182">
        <w:rPr>
          <w:rFonts w:cstheme="minorHAnsi"/>
          <w:szCs w:val="24"/>
        </w:rPr>
        <w:t xml:space="preserve"> (pēc ATR – Cēsu novada)</w:t>
      </w:r>
      <w:r w:rsidRPr="00675182">
        <w:rPr>
          <w:rFonts w:cstheme="minorHAnsi"/>
          <w:szCs w:val="24"/>
        </w:rPr>
        <w:t xml:space="preserve"> vadībai un </w:t>
      </w:r>
      <w:r w:rsidR="00B368B8" w:rsidRPr="00675182">
        <w:rPr>
          <w:rFonts w:cstheme="minorHAnsi"/>
          <w:szCs w:val="24"/>
        </w:rPr>
        <w:t>DAP</w:t>
      </w:r>
      <w:r w:rsidRPr="00675182">
        <w:rPr>
          <w:rFonts w:cstheme="minorHAnsi"/>
          <w:szCs w:val="24"/>
        </w:rPr>
        <w:t>, parakstīts kopīgs līgums par sadarbību tūrisma veicināšanai GNP teritorijā. Minēto organizāciju lokam pēc gada pievienojās Krimuldas</w:t>
      </w:r>
      <w:r w:rsidR="00547BA5" w:rsidRPr="00675182">
        <w:rPr>
          <w:rFonts w:cstheme="minorHAnsi"/>
          <w:szCs w:val="24"/>
        </w:rPr>
        <w:t xml:space="preserve"> (pēc ATR – Siguldas novada)</w:t>
      </w:r>
      <w:r w:rsidRPr="00675182">
        <w:rPr>
          <w:rFonts w:cstheme="minorHAnsi"/>
          <w:szCs w:val="24"/>
        </w:rPr>
        <w:t xml:space="preserve">, Kocēnu </w:t>
      </w:r>
      <w:r w:rsidR="00547BA5" w:rsidRPr="00675182">
        <w:rPr>
          <w:rFonts w:cstheme="minorHAnsi"/>
          <w:szCs w:val="24"/>
        </w:rPr>
        <w:t xml:space="preserve">(pēc ATR – Valmieras novada) </w:t>
      </w:r>
      <w:r w:rsidRPr="00675182">
        <w:rPr>
          <w:rFonts w:cstheme="minorHAnsi"/>
          <w:szCs w:val="24"/>
        </w:rPr>
        <w:t>un Priekuļu</w:t>
      </w:r>
      <w:r w:rsidR="00547BA5" w:rsidRPr="00675182">
        <w:rPr>
          <w:rFonts w:cstheme="minorHAnsi"/>
          <w:szCs w:val="24"/>
        </w:rPr>
        <w:t xml:space="preserve"> (pēc ATR – Cēsu novada)</w:t>
      </w:r>
      <w:r w:rsidRPr="00675182">
        <w:rPr>
          <w:rFonts w:cstheme="minorHAnsi"/>
          <w:szCs w:val="24"/>
        </w:rPr>
        <w:t xml:space="preserve"> pašvaldība</w:t>
      </w:r>
      <w:r w:rsidR="00547BA5" w:rsidRPr="00675182">
        <w:rPr>
          <w:rFonts w:cstheme="minorHAnsi"/>
          <w:szCs w:val="24"/>
        </w:rPr>
        <w:t>s</w:t>
      </w:r>
      <w:r w:rsidRPr="00675182">
        <w:rPr>
          <w:rFonts w:cstheme="minorHAnsi"/>
          <w:szCs w:val="24"/>
        </w:rPr>
        <w:t xml:space="preserve">, stiprinot vienoto pozīciju kopējai ilgtspējīgas attīstības stratēģijai kāpināt eksporta apjomu GNP kā vienotā galamērķī. Tūrisms kā prioritāte šajās pašvaldībās, kuru teritorija ietilpst GNP (Siguldas, Cēsu un Valmieras novads) ir pēctecīgi saglabājies arī pēc </w:t>
      </w:r>
      <w:r w:rsidR="00FA4D31">
        <w:rPr>
          <w:rFonts w:cstheme="minorHAnsi"/>
          <w:szCs w:val="24"/>
        </w:rPr>
        <w:t>ATR</w:t>
      </w:r>
      <w:r w:rsidRPr="00675182">
        <w:rPr>
          <w:rFonts w:cstheme="minorHAnsi"/>
          <w:szCs w:val="24"/>
        </w:rPr>
        <w:t>. Visos minētajos dokumentos GNP pozicionēts kā funkcionāls galamērķis, kopā ar tuvākajām pilsētām (Sigulda, Cēsis, Valmiera) un plašāku apkārtni, kur koncentrējas nozīmīgi tūrisma un rekreācijas pakalpojumi.</w:t>
      </w:r>
    </w:p>
    <w:p w14:paraId="1578375C" w14:textId="77777777" w:rsidR="00AB2808" w:rsidRPr="00675182" w:rsidRDefault="00AB2808" w:rsidP="007E3513">
      <w:pPr>
        <w:jc w:val="both"/>
        <w:rPr>
          <w:rFonts w:cstheme="minorHAnsi"/>
          <w:szCs w:val="24"/>
        </w:rPr>
      </w:pPr>
    </w:p>
    <w:p w14:paraId="603ED359" w14:textId="48D81EFE" w:rsidR="00B84D29" w:rsidRPr="00675182" w:rsidRDefault="00B84D29" w:rsidP="007E3513">
      <w:pPr>
        <w:jc w:val="both"/>
        <w:rPr>
          <w:rFonts w:cstheme="minorHAnsi"/>
          <w:szCs w:val="24"/>
        </w:rPr>
      </w:pPr>
      <w:r w:rsidRPr="00675182">
        <w:rPr>
          <w:rFonts w:cstheme="minorHAnsi"/>
          <w:szCs w:val="24"/>
        </w:rPr>
        <w:t>Lai minēto nodrošināto, GNP jādarbojas saskaņā ar Eiropas ilgtspējīgu tūrisma hartu aizsargājamām dabas teritorijām, kas nozīmē rast saskaņotus ilgtspējīgus risinājumus astoņiem šādiem izaicinājumiem:</w:t>
      </w:r>
    </w:p>
    <w:p w14:paraId="653ED778" w14:textId="327E484D" w:rsidR="00B84D29" w:rsidRPr="00675182" w:rsidRDefault="00E26A90" w:rsidP="00A84218">
      <w:pPr>
        <w:pStyle w:val="ListParagraph"/>
        <w:numPr>
          <w:ilvl w:val="0"/>
          <w:numId w:val="34"/>
        </w:numPr>
        <w:suppressAutoHyphens w:val="0"/>
        <w:spacing w:before="120" w:after="120"/>
        <w:contextualSpacing/>
        <w:jc w:val="both"/>
        <w:rPr>
          <w:rFonts w:cstheme="minorHAnsi"/>
          <w:szCs w:val="24"/>
        </w:rPr>
      </w:pPr>
      <w:r>
        <w:rPr>
          <w:rFonts w:cstheme="minorHAnsi"/>
          <w:szCs w:val="24"/>
        </w:rPr>
        <w:t>d</w:t>
      </w:r>
      <w:r w:rsidRPr="00675182">
        <w:rPr>
          <w:rFonts w:cstheme="minorHAnsi"/>
          <w:szCs w:val="24"/>
        </w:rPr>
        <w:t xml:space="preserve">abas </w:t>
      </w:r>
      <w:r w:rsidR="00B84D29" w:rsidRPr="00675182">
        <w:rPr>
          <w:rFonts w:cstheme="minorHAnsi"/>
          <w:szCs w:val="24"/>
        </w:rPr>
        <w:t>un kultūras mantojuma aizsardzība un stāvokļa uzlabošana, t. sk.:</w:t>
      </w:r>
    </w:p>
    <w:p w14:paraId="36DD0424"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uzraugot ietekmi uz floru un faunu un kontrolēt tūrismu jutīgās vietās;</w:t>
      </w:r>
    </w:p>
    <w:p w14:paraId="57F4A1FB"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īstenojot tūrismu veicinošas aktivitātes, kas atbalsta vēsturiskā mantojuma, kultūras un tradīciju saglabāšanu;</w:t>
      </w:r>
    </w:p>
    <w:p w14:paraId="5EF71045"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izmantojot dabas resursus saudzīgi;</w:t>
      </w:r>
    </w:p>
    <w:p w14:paraId="47380B18"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mudinot apmeklētājus un tūrisma nozari sniegt ieguldījumu mantojuma vērtību saglabāšanā.</w:t>
      </w:r>
    </w:p>
    <w:p w14:paraId="4C0E845D" w14:textId="31A88AEA" w:rsidR="00B84D29" w:rsidRPr="00675182" w:rsidRDefault="00E26A90" w:rsidP="00A84218">
      <w:pPr>
        <w:pStyle w:val="ListParagraph"/>
        <w:numPr>
          <w:ilvl w:val="0"/>
          <w:numId w:val="34"/>
        </w:numPr>
        <w:suppressAutoHyphens w:val="0"/>
        <w:spacing w:before="120" w:after="120"/>
        <w:contextualSpacing/>
        <w:jc w:val="both"/>
        <w:rPr>
          <w:rFonts w:cstheme="minorHAnsi"/>
          <w:szCs w:val="24"/>
        </w:rPr>
      </w:pPr>
      <w:r>
        <w:rPr>
          <w:rFonts w:cstheme="minorHAnsi"/>
          <w:szCs w:val="24"/>
        </w:rPr>
        <w:t>t</w:t>
      </w:r>
      <w:r w:rsidRPr="00675182">
        <w:rPr>
          <w:rFonts w:cstheme="minorHAnsi"/>
          <w:szCs w:val="24"/>
        </w:rPr>
        <w:t xml:space="preserve">ūrisma </w:t>
      </w:r>
      <w:r w:rsidR="00B84D29" w:rsidRPr="00675182">
        <w:rPr>
          <w:rFonts w:cstheme="minorHAnsi"/>
          <w:szCs w:val="24"/>
        </w:rPr>
        <w:t>pakalpojumu pieredzējuma kvalitātes uzlabošana, t. sk.:</w:t>
      </w:r>
    </w:p>
    <w:p w14:paraId="63F8CC29"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pētot esošo un potenciālo apmeklētāju gaidas un apmierinātību;</w:t>
      </w:r>
    </w:p>
    <w:p w14:paraId="5ABD1BB5"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uzlabojot pakalpojumus un to piekļuvi apmeklētājiem ar īpašām vajadzībām;</w:t>
      </w:r>
    </w:p>
    <w:p w14:paraId="23DCCE4A" w14:textId="29E5FDCA"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atbalstot iniciatīvas, lai pārbaudītu un uzlabotu tūrisma labiekārtojumu un pakalpojumu kvalitāti</w:t>
      </w:r>
      <w:r w:rsidR="0058367F">
        <w:rPr>
          <w:rFonts w:cstheme="minorHAnsi"/>
          <w:szCs w:val="24"/>
        </w:rPr>
        <w:t>.</w:t>
      </w:r>
    </w:p>
    <w:p w14:paraId="68E2B70F" w14:textId="7745EC7F" w:rsidR="00B84D29" w:rsidRPr="00675182" w:rsidRDefault="00E26A90" w:rsidP="00A84218">
      <w:pPr>
        <w:pStyle w:val="ListParagraph"/>
        <w:numPr>
          <w:ilvl w:val="0"/>
          <w:numId w:val="34"/>
        </w:numPr>
        <w:suppressAutoHyphens w:val="0"/>
        <w:spacing w:before="120" w:after="120"/>
        <w:contextualSpacing/>
        <w:jc w:val="both"/>
        <w:rPr>
          <w:rFonts w:cstheme="minorHAnsi"/>
          <w:szCs w:val="24"/>
        </w:rPr>
      </w:pPr>
      <w:r>
        <w:rPr>
          <w:rFonts w:cstheme="minorHAnsi"/>
          <w:szCs w:val="24"/>
        </w:rPr>
        <w:t>s</w:t>
      </w:r>
      <w:r w:rsidRPr="00675182">
        <w:rPr>
          <w:rFonts w:cstheme="minorHAnsi"/>
          <w:szCs w:val="24"/>
        </w:rPr>
        <w:t xml:space="preserve">abiedrības </w:t>
      </w:r>
      <w:r w:rsidR="00B84D29" w:rsidRPr="00675182">
        <w:rPr>
          <w:rFonts w:cstheme="minorHAnsi"/>
          <w:szCs w:val="24"/>
        </w:rPr>
        <w:t>izpratnes veicināšana, t. sk.:</w:t>
      </w:r>
    </w:p>
    <w:p w14:paraId="5C95B3E8"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nodrošinot, ka teritorijas popularizēšana balstās uz autentisku saturu un respektē dažādu vietu kapacitāti un iespējas dažādās sezonās;</w:t>
      </w:r>
    </w:p>
    <w:p w14:paraId="7623B5FA"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organizējot viegli pieejamu un labas kvalitātes apmeklētāju informāciju par nacionālo parku un tā tuvāko apkārtni;</w:t>
      </w:r>
    </w:p>
    <w:p w14:paraId="53092AD6" w14:textId="508EB43B"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nodrošinot izglītojošus materiālus un pakalpojumus ar labu interpretāciju par nacionālā parka kultūras, dabas un ainavas vērtībām apmeklētājiem un vietējiem iedzīvotājiem</w:t>
      </w:r>
      <w:r w:rsidR="0058367F">
        <w:rPr>
          <w:rFonts w:cstheme="minorHAnsi"/>
          <w:szCs w:val="24"/>
        </w:rPr>
        <w:t>.</w:t>
      </w:r>
    </w:p>
    <w:p w14:paraId="21BD26B1" w14:textId="77777777" w:rsidR="00B84D29" w:rsidRPr="00675182" w:rsidRDefault="00B84D29" w:rsidP="00A84218">
      <w:pPr>
        <w:pStyle w:val="ListParagraph"/>
        <w:numPr>
          <w:ilvl w:val="0"/>
          <w:numId w:val="34"/>
        </w:numPr>
        <w:suppressAutoHyphens w:val="0"/>
        <w:spacing w:before="120" w:after="120"/>
        <w:contextualSpacing/>
        <w:jc w:val="both"/>
        <w:rPr>
          <w:rFonts w:cstheme="minorHAnsi"/>
          <w:szCs w:val="24"/>
        </w:rPr>
      </w:pPr>
      <w:r w:rsidRPr="00675182">
        <w:rPr>
          <w:rFonts w:cstheme="minorHAnsi"/>
          <w:szCs w:val="24"/>
        </w:rPr>
        <w:t>Nacionālajam parkam raksturīga tūrisma piedāvājuma attīstīšana (tāds, kas iekļauj un respektē vērtības, kuru dēļ nacionālais parks ir izveidots, pārstāv reģionu un tā zīmoltēmas, papildinoši iekļauj arī izglītojošu saturu);</w:t>
      </w:r>
    </w:p>
    <w:p w14:paraId="70820AB2" w14:textId="0DA50B16" w:rsidR="00B84D29" w:rsidRPr="00675182" w:rsidRDefault="0058367F" w:rsidP="00A84218">
      <w:pPr>
        <w:pStyle w:val="ListParagraph"/>
        <w:numPr>
          <w:ilvl w:val="0"/>
          <w:numId w:val="34"/>
        </w:numPr>
        <w:suppressAutoHyphens w:val="0"/>
        <w:spacing w:before="120" w:after="120"/>
        <w:contextualSpacing/>
        <w:jc w:val="both"/>
        <w:rPr>
          <w:rFonts w:cstheme="minorHAnsi"/>
          <w:szCs w:val="24"/>
        </w:rPr>
      </w:pPr>
      <w:r>
        <w:rPr>
          <w:rFonts w:cstheme="minorHAnsi"/>
          <w:szCs w:val="24"/>
        </w:rPr>
        <w:lastRenderedPageBreak/>
        <w:t>t</w:t>
      </w:r>
      <w:r w:rsidRPr="00675182">
        <w:rPr>
          <w:rFonts w:cstheme="minorHAnsi"/>
          <w:szCs w:val="24"/>
        </w:rPr>
        <w:t xml:space="preserve">ūrisma </w:t>
      </w:r>
      <w:r w:rsidR="00B84D29" w:rsidRPr="00675182">
        <w:rPr>
          <w:rFonts w:cstheme="minorHAnsi"/>
          <w:szCs w:val="24"/>
        </w:rPr>
        <w:t>un rekreācijas attīstībā iesaistīto pušu izglītošana, treniņi, dalīšanās zināšanās.</w:t>
      </w:r>
    </w:p>
    <w:p w14:paraId="47E149EC" w14:textId="0FA701B1" w:rsidR="00B84D29" w:rsidRPr="00675182" w:rsidRDefault="0058367F" w:rsidP="00A84218">
      <w:pPr>
        <w:pStyle w:val="ListParagraph"/>
        <w:numPr>
          <w:ilvl w:val="0"/>
          <w:numId w:val="34"/>
        </w:numPr>
        <w:suppressAutoHyphens w:val="0"/>
        <w:spacing w:before="120" w:after="120"/>
        <w:contextualSpacing/>
        <w:jc w:val="both"/>
        <w:rPr>
          <w:rFonts w:cstheme="minorHAnsi"/>
          <w:szCs w:val="24"/>
        </w:rPr>
      </w:pPr>
      <w:r>
        <w:rPr>
          <w:rFonts w:cstheme="minorHAnsi"/>
          <w:szCs w:val="24"/>
        </w:rPr>
        <w:t>v</w:t>
      </w:r>
      <w:r w:rsidRPr="00675182">
        <w:rPr>
          <w:rFonts w:cstheme="minorHAnsi"/>
          <w:szCs w:val="24"/>
        </w:rPr>
        <w:t xml:space="preserve">ietējo </w:t>
      </w:r>
      <w:r w:rsidR="00B84D29" w:rsidRPr="00675182">
        <w:rPr>
          <w:rFonts w:cstheme="minorHAnsi"/>
          <w:szCs w:val="24"/>
        </w:rPr>
        <w:t>iedzīvotāju un kopienu respektēšana, atbalsts labākai dzīves kvalitātei, t. sk.</w:t>
      </w:r>
    </w:p>
    <w:p w14:paraId="28DDB4EF"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iesaistot vietējās kopienas pārstāvjus tūrisma plānošanā un tūrisma norisēs;</w:t>
      </w:r>
    </w:p>
    <w:p w14:paraId="5C72F244"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nodrošinot labu komunikāciju starp aizsargājamās teritorijas pārstāvjiem, vietējiem iedzīvotājiem un nacionālā parka apmeklētājiem;</w:t>
      </w:r>
    </w:p>
    <w:p w14:paraId="40C4F272" w14:textId="14F8ADB5"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identificējot iespējamos konfliktus un samazinot to izpausmes</w:t>
      </w:r>
      <w:r w:rsidR="0058367F">
        <w:rPr>
          <w:rFonts w:cstheme="minorHAnsi"/>
          <w:szCs w:val="24"/>
        </w:rPr>
        <w:t>.</w:t>
      </w:r>
    </w:p>
    <w:p w14:paraId="5E95CDCA" w14:textId="232CBA65" w:rsidR="00B84D29" w:rsidRPr="00675182" w:rsidRDefault="0058367F" w:rsidP="00A84218">
      <w:pPr>
        <w:pStyle w:val="ListParagraph"/>
        <w:numPr>
          <w:ilvl w:val="0"/>
          <w:numId w:val="34"/>
        </w:numPr>
        <w:suppressAutoHyphens w:val="0"/>
        <w:spacing w:before="120" w:after="120"/>
        <w:contextualSpacing/>
        <w:jc w:val="both"/>
        <w:rPr>
          <w:rFonts w:cstheme="minorHAnsi"/>
          <w:szCs w:val="24"/>
        </w:rPr>
      </w:pPr>
      <w:r>
        <w:rPr>
          <w:rFonts w:cstheme="minorHAnsi"/>
          <w:szCs w:val="24"/>
        </w:rPr>
        <w:t>s</w:t>
      </w:r>
      <w:r w:rsidRPr="00675182">
        <w:rPr>
          <w:rFonts w:cstheme="minorHAnsi"/>
          <w:szCs w:val="24"/>
        </w:rPr>
        <w:t xml:space="preserve">ociālā </w:t>
      </w:r>
      <w:r w:rsidR="00B84D29" w:rsidRPr="00675182">
        <w:rPr>
          <w:rFonts w:cstheme="minorHAnsi"/>
          <w:szCs w:val="24"/>
        </w:rPr>
        <w:t>un ekonomiskā attīstība, t. sk.:</w:t>
      </w:r>
    </w:p>
    <w:p w14:paraId="34049813"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veicinot vietējo produktu iegādi starp tūrisma uzņēmējiem (produktu vērtību ķēdes ietvaros) un starp apmeklētājiem;</w:t>
      </w:r>
    </w:p>
    <w:p w14:paraId="2F4AD4A4" w14:textId="05F76CAB"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veicinot vietējo iedzīvotāju nodarbinātību tūrismā</w:t>
      </w:r>
      <w:r w:rsidR="0058367F">
        <w:rPr>
          <w:rFonts w:cstheme="minorHAnsi"/>
          <w:szCs w:val="24"/>
        </w:rPr>
        <w:t>.</w:t>
      </w:r>
    </w:p>
    <w:p w14:paraId="64CC52D8" w14:textId="0010838A" w:rsidR="00B84D29" w:rsidRPr="00675182" w:rsidRDefault="0058367F" w:rsidP="00A84218">
      <w:pPr>
        <w:pStyle w:val="ListParagraph"/>
        <w:numPr>
          <w:ilvl w:val="0"/>
          <w:numId w:val="34"/>
        </w:numPr>
        <w:suppressAutoHyphens w:val="0"/>
        <w:spacing w:before="120" w:after="120"/>
        <w:contextualSpacing/>
        <w:jc w:val="both"/>
        <w:rPr>
          <w:rFonts w:cstheme="minorHAnsi"/>
          <w:szCs w:val="24"/>
        </w:rPr>
      </w:pPr>
      <w:r>
        <w:rPr>
          <w:rFonts w:cstheme="minorHAnsi"/>
          <w:szCs w:val="24"/>
        </w:rPr>
        <w:t>a</w:t>
      </w:r>
      <w:r w:rsidRPr="00675182">
        <w:rPr>
          <w:rFonts w:cstheme="minorHAnsi"/>
          <w:szCs w:val="24"/>
        </w:rPr>
        <w:t xml:space="preserve">pmeklētāju </w:t>
      </w:r>
      <w:r w:rsidR="00B84D29" w:rsidRPr="00675182">
        <w:rPr>
          <w:rFonts w:cstheme="minorHAnsi"/>
          <w:szCs w:val="24"/>
        </w:rPr>
        <w:t>skaita kontrole, t. sk.:</w:t>
      </w:r>
    </w:p>
    <w:p w14:paraId="0D931C50"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reģistrējot apmeklējumu skaitu dažādās vietās un dažādās sezonās;</w:t>
      </w:r>
    </w:p>
    <w:p w14:paraId="5FB1D57E"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izveidojot un ieviešot apmeklētāju plūsmas pārvaldības plānu;</w:t>
      </w:r>
    </w:p>
    <w:p w14:paraId="445837F6"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popularizējot sabiedriskā transporta, riteņbraukšanas, pārgājiena iespēju u.c. nemotorizētos pārvietošanās veidus kā alternatīvu braukšanai ar personisko automašīnu;</w:t>
      </w:r>
    </w:p>
    <w:p w14:paraId="0767B582" w14:textId="77777777" w:rsidR="00B84D29" w:rsidRPr="00675182" w:rsidRDefault="00B84D29" w:rsidP="00A84218">
      <w:pPr>
        <w:pStyle w:val="ListParagraph"/>
        <w:numPr>
          <w:ilvl w:val="1"/>
          <w:numId w:val="34"/>
        </w:numPr>
        <w:suppressAutoHyphens w:val="0"/>
        <w:spacing w:before="120" w:after="120"/>
        <w:contextualSpacing/>
        <w:jc w:val="both"/>
        <w:rPr>
          <w:rFonts w:cstheme="minorHAnsi"/>
          <w:szCs w:val="24"/>
        </w:rPr>
      </w:pPr>
      <w:r w:rsidRPr="00675182">
        <w:rPr>
          <w:rFonts w:cstheme="minorHAnsi"/>
          <w:szCs w:val="24"/>
        </w:rPr>
        <w:t>jebkuras jaunas tūrisma attīstības iniciatīvas uzraudzīšana, saskaņojot ar iederību attiecīgajā vietā un saskaņotību ar nacionālā parka izveides mērķiem.</w:t>
      </w:r>
    </w:p>
    <w:p w14:paraId="30AAE73D" w14:textId="77777777" w:rsidR="00B84D29" w:rsidRPr="00675182" w:rsidRDefault="00B84D29" w:rsidP="007E3513">
      <w:pPr>
        <w:pStyle w:val="Subtitle"/>
        <w:jc w:val="both"/>
        <w:rPr>
          <w:rFonts w:cstheme="minorHAnsi"/>
          <w:szCs w:val="24"/>
        </w:rPr>
      </w:pPr>
      <w:r w:rsidRPr="00675182">
        <w:rPr>
          <w:rFonts w:cstheme="minorHAnsi"/>
          <w:szCs w:val="24"/>
        </w:rPr>
        <w:t>Resursi tūrisma un rekreācijas organizēšanai</w:t>
      </w:r>
    </w:p>
    <w:p w14:paraId="6D39E78E" w14:textId="08A4F05B" w:rsidR="00B84D29" w:rsidRPr="00675182" w:rsidRDefault="00B84D29" w:rsidP="007E3513">
      <w:pPr>
        <w:jc w:val="both"/>
        <w:rPr>
          <w:rFonts w:cstheme="minorHAnsi"/>
          <w:szCs w:val="24"/>
        </w:rPr>
      </w:pPr>
      <w:r w:rsidRPr="00675182">
        <w:rPr>
          <w:rFonts w:cstheme="minorHAnsi"/>
          <w:szCs w:val="24"/>
        </w:rPr>
        <w:t>GNP tūrisma un rekreācijas resursu pam</w:t>
      </w:r>
      <w:r w:rsidR="00AB2808" w:rsidRPr="00675182">
        <w:rPr>
          <w:rFonts w:cstheme="minorHAnsi"/>
          <w:szCs w:val="24"/>
        </w:rPr>
        <w:t>a</w:t>
      </w:r>
      <w:r w:rsidRPr="00675182">
        <w:rPr>
          <w:rFonts w:cstheme="minorHAnsi"/>
          <w:szCs w:val="24"/>
        </w:rPr>
        <w:t xml:space="preserve">tu veido </w:t>
      </w:r>
      <w:r w:rsidR="00AB2808" w:rsidRPr="00675182">
        <w:rPr>
          <w:rFonts w:cstheme="minorHAnsi"/>
          <w:szCs w:val="24"/>
        </w:rPr>
        <w:t xml:space="preserve">vairāk nekā </w:t>
      </w:r>
      <w:r w:rsidRPr="00675182">
        <w:rPr>
          <w:rFonts w:cstheme="minorHAnsi"/>
          <w:szCs w:val="24"/>
        </w:rPr>
        <w:t>90 km garā Gaujas senieleja ar tai pieguļošo erozijas reljefa joslu, Braslas ieleja, kā arī Raunas, Amatas un to pieteku ieleju sistēmas (ielejas platums no 0,9 km sašaurinājumos (pie Siguldas) līdz 2,5 km paplašinājumos (starp Raunas un Strīķupes ieteku)). Gaujas ielejas dziļās (no 20-25 m pie Valmieras līdz 85 m pie Siguldas) stāvās un gravu saposmotās nogāzes kopā ar virspalu terasu sistēmu un plašākām apkārtnes teritorijām ārpus senielejas daļas zemes attīstības laikā radījušas īpašus priekšnoteikumus savdabīga Latvijas vēsturei un reģionam raksturīga kultūras mantojuma attīstībai. Gadsimtu gaitā cilvēka un dabas mijiedarbībā Gaujas senieleja attīstījusies par vienu no Latvijas simbolisko ainavu vietām, kas iekļauta arī Latvijas Kultūras kanonā</w:t>
      </w:r>
      <w:r w:rsidR="00AB2808" w:rsidRPr="00675182">
        <w:rPr>
          <w:rFonts w:cstheme="minorHAnsi"/>
          <w:szCs w:val="24"/>
        </w:rPr>
        <w:t xml:space="preserve"> (Nikodemus, 2021)</w:t>
      </w:r>
      <w:r w:rsidRPr="00675182">
        <w:rPr>
          <w:rFonts w:cstheme="minorHAnsi"/>
          <w:szCs w:val="24"/>
        </w:rPr>
        <w:t>. Ainaviskā kvalitāte piešķir papildu vērtību tūrisma un rekreācijas norisēm nacionālajā parkā. Reljefs lielā mērā ietekmējis plašu aizsargājamo biotopu pārstāvniecību GNP un ar to saistītu lielu dabas daudzveidību, kas veido vēl vienu nozīmīgu tūrisma un rekreācijas resursu.</w:t>
      </w:r>
    </w:p>
    <w:p w14:paraId="61752334" w14:textId="77777777" w:rsidR="00B84D29" w:rsidRPr="00675182" w:rsidRDefault="00B84D29" w:rsidP="007E3513">
      <w:pPr>
        <w:jc w:val="both"/>
        <w:rPr>
          <w:rFonts w:cstheme="minorHAnsi"/>
          <w:szCs w:val="24"/>
        </w:rPr>
      </w:pPr>
    </w:p>
    <w:p w14:paraId="65D45C07" w14:textId="1492E714" w:rsidR="00B84D29" w:rsidRPr="00675182" w:rsidRDefault="00B84D29" w:rsidP="007E3513">
      <w:pPr>
        <w:jc w:val="both"/>
        <w:rPr>
          <w:rFonts w:cstheme="minorHAnsi"/>
          <w:szCs w:val="24"/>
        </w:rPr>
      </w:pPr>
      <w:r w:rsidRPr="00675182">
        <w:rPr>
          <w:rFonts w:cstheme="minorHAnsi"/>
          <w:szCs w:val="24"/>
        </w:rPr>
        <w:t xml:space="preserve">Dabas mantojums – aizsargājamie dabas pieminekļi GNP izvietojušies telpiski nevienmērīgi. No tiem teju visi (51 no 53) atrodas Gaujas vai tās pieteku tuvumā. No kopējā Latvijas aizsargājamo dabas pieminekļu saraksta (izņemot dižakmeņus un dižkokus) GNP ir koncentrēti 30,3 % objektu, kas to padara par šāda veida nozīmīgāko </w:t>
      </w:r>
      <w:r w:rsidR="00264A9B">
        <w:rPr>
          <w:rFonts w:cstheme="minorHAnsi"/>
          <w:szCs w:val="24"/>
        </w:rPr>
        <w:t>ĪADT</w:t>
      </w:r>
      <w:r w:rsidRPr="00675182">
        <w:rPr>
          <w:rFonts w:cstheme="minorHAnsi"/>
          <w:szCs w:val="24"/>
        </w:rPr>
        <w:t xml:space="preserve"> valstī. GNP teritorijā ietilpst 435 aizsargājami koki (dižkoki) un trīs dižakmeņi.</w:t>
      </w:r>
    </w:p>
    <w:p w14:paraId="1EDB6617" w14:textId="77777777" w:rsidR="00B84D29" w:rsidRPr="00675182" w:rsidRDefault="00B84D29" w:rsidP="007E3513">
      <w:pPr>
        <w:jc w:val="both"/>
        <w:rPr>
          <w:rFonts w:cstheme="minorHAnsi"/>
          <w:szCs w:val="24"/>
        </w:rPr>
      </w:pPr>
    </w:p>
    <w:p w14:paraId="61E84942" w14:textId="492E863E" w:rsidR="00B84D29" w:rsidRPr="00675182" w:rsidRDefault="00B84D29" w:rsidP="007E3513">
      <w:pPr>
        <w:jc w:val="both"/>
        <w:rPr>
          <w:rFonts w:cstheme="minorHAnsi"/>
          <w:szCs w:val="24"/>
        </w:rPr>
      </w:pPr>
      <w:r w:rsidRPr="00675182">
        <w:rPr>
          <w:rFonts w:cstheme="minorHAnsi"/>
          <w:szCs w:val="24"/>
        </w:rPr>
        <w:lastRenderedPageBreak/>
        <w:t>Kultūras mantojums – aizsargājamie kultūras pieminekļi GNP izvietojušies vienmērīgāk, kas saistīts ar teritorijas apdzīvotības struktūrām, piekļuvi un vēsturisko attīstību. Lielākā daļa no tiem koncentrējušies pilsētu un ciemu (~34 %) vai nozīmīgu ceļu (~88,9 %) tuvumā. No visiem valsts aizsargājamiem nekustamajiem kultūras pieminekļiem (izņemot mākslu) 2,8 % atrodas GNP. Ja vērtē tuvākajā apkārtnē – līdz 20 km attālumam no ĪADT robežām, tad pārstāvēti ~8 % no visiem. Dabas un kultūras mantojuma resursu blīvums un koncentrācija GNP un tā tuvākajā apkārtnē padara to par vienu no resursiem bagātākajiem tūrisma galamērķiem valstī līdzās Rīgai, Jūrmalai un jūras piekrastei kopumā.</w:t>
      </w:r>
    </w:p>
    <w:p w14:paraId="274F5F11" w14:textId="77777777" w:rsidR="00B84D29" w:rsidRPr="00675182" w:rsidRDefault="00B84D29" w:rsidP="007E3513">
      <w:pPr>
        <w:jc w:val="both"/>
        <w:rPr>
          <w:rFonts w:cstheme="minorHAnsi"/>
          <w:szCs w:val="24"/>
        </w:rPr>
      </w:pPr>
    </w:p>
    <w:p w14:paraId="2AFECCD8" w14:textId="18E0DEBA" w:rsidR="00B84D29" w:rsidRPr="00675182" w:rsidRDefault="00B84D29" w:rsidP="007E3513">
      <w:pPr>
        <w:jc w:val="both"/>
        <w:rPr>
          <w:rFonts w:cstheme="minorHAnsi"/>
          <w:szCs w:val="24"/>
        </w:rPr>
      </w:pPr>
      <w:r w:rsidRPr="00675182">
        <w:rPr>
          <w:rFonts w:cstheme="minorHAnsi"/>
          <w:szCs w:val="24"/>
        </w:rPr>
        <w:t>No GNP teritoriālā kapitāla – tūrisma un rekreācijas resursu viedokļa ļoti nozīmīgs ir nemateriālā mantojums (kā visas Latvijas kultūrvēsturiskā mantojuma daļa, kas atspoguļo nacionālās kultūras tradīcijas un ir no paaudzes paaudzē pārmantotas, apkārtējās vides noteiktas, mijiedarbībā ar vēsturi, dabu un radošo darbību izstrādājušās zināšanas, prasmes, vērtības un rīcības modeļi, tai skaitā mutvārdu tradīcijas un izpausmes, spēles mākslas, paražas, rituāli, svētki, zināšanas par dabu un Visumu, tradicionālās amatniecības prasmes, kā arī ar iepriekš minēto saistītie instrumenti, priekšmeti, artefakti un kultūrtelpas).</w:t>
      </w:r>
    </w:p>
    <w:p w14:paraId="0C0540C1" w14:textId="77777777" w:rsidR="00B84D29" w:rsidRPr="00675182" w:rsidRDefault="00B84D29" w:rsidP="007E3513">
      <w:pPr>
        <w:jc w:val="both"/>
        <w:rPr>
          <w:rFonts w:cstheme="minorHAnsi"/>
          <w:szCs w:val="24"/>
        </w:rPr>
      </w:pPr>
    </w:p>
    <w:p w14:paraId="4091EE20" w14:textId="3BDE7F97" w:rsidR="00B84D29" w:rsidRPr="00675182" w:rsidRDefault="00B84D29" w:rsidP="007E3513">
      <w:pPr>
        <w:jc w:val="both"/>
        <w:rPr>
          <w:rFonts w:cstheme="minorHAnsi"/>
          <w:szCs w:val="24"/>
          <w:shd w:val="clear" w:color="auto" w:fill="FFFFFF"/>
        </w:rPr>
      </w:pPr>
      <w:r w:rsidRPr="00675182">
        <w:rPr>
          <w:rFonts w:cstheme="minorHAnsi"/>
          <w:szCs w:val="24"/>
        </w:rPr>
        <w:t>Mūsdienās liela daļa resursu saistīta ar cilvēku radošumu, kas rada pamatu dažādiem pieredzējumiem, tostarp GNP ir ievērojams ar regulāri notiekošiem publiskajiem pasākumiem, no kuriem daļa ir starptautiskas nozīmes. GNP ir ne vien l</w:t>
      </w:r>
      <w:r w:rsidRPr="00675182">
        <w:rPr>
          <w:rFonts w:cstheme="minorHAnsi"/>
          <w:szCs w:val="24"/>
          <w:shd w:val="clear" w:color="auto" w:fill="FFFFFF"/>
        </w:rPr>
        <w:t>ielākais no Latvijas nacionālajiem parkiem (aizņemot 1</w:t>
      </w:r>
      <w:r w:rsidR="00197F62" w:rsidRPr="00675182">
        <w:rPr>
          <w:rFonts w:cstheme="minorHAnsi"/>
          <w:szCs w:val="24"/>
          <w:shd w:val="clear" w:color="auto" w:fill="FFFFFF"/>
        </w:rPr>
        <w:t>,</w:t>
      </w:r>
      <w:r w:rsidRPr="00675182">
        <w:rPr>
          <w:rFonts w:cstheme="minorHAnsi"/>
          <w:szCs w:val="24"/>
          <w:shd w:val="clear" w:color="auto" w:fill="FFFFFF"/>
        </w:rPr>
        <w:t xml:space="preserve">42% valsts teritorijas) bet arī visblīvāk apdzīvotā ĪADT valstī. GNP dzīvo </w:t>
      </w:r>
      <w:r w:rsidR="00197F62" w:rsidRPr="00675182">
        <w:rPr>
          <w:rFonts w:cstheme="minorHAnsi"/>
          <w:szCs w:val="24"/>
          <w:shd w:val="clear" w:color="auto" w:fill="FFFFFF"/>
        </w:rPr>
        <w:t xml:space="preserve">vairāk nekā </w:t>
      </w:r>
      <w:r w:rsidRPr="00675182">
        <w:rPr>
          <w:rFonts w:cstheme="minorHAnsi"/>
          <w:szCs w:val="24"/>
          <w:shd w:val="clear" w:color="auto" w:fill="FFFFFF"/>
        </w:rPr>
        <w:t>36 0</w:t>
      </w:r>
      <w:r w:rsidR="00197F62" w:rsidRPr="00675182">
        <w:rPr>
          <w:rFonts w:cstheme="minorHAnsi"/>
          <w:szCs w:val="24"/>
          <w:shd w:val="clear" w:color="auto" w:fill="FFFFFF"/>
        </w:rPr>
        <w:t>00</w:t>
      </w:r>
      <w:r w:rsidRPr="00675182">
        <w:rPr>
          <w:rFonts w:cstheme="minorHAnsi"/>
          <w:szCs w:val="24"/>
          <w:shd w:val="clear" w:color="auto" w:fill="FFFFFF"/>
        </w:rPr>
        <w:t xml:space="preserve"> pastāvīgie iedzīvotāji</w:t>
      </w:r>
      <w:r w:rsidRPr="00675182">
        <w:rPr>
          <w:rStyle w:val="FootnoteReference"/>
          <w:rFonts w:cstheme="minorHAnsi"/>
          <w:szCs w:val="24"/>
          <w:shd w:val="clear" w:color="auto" w:fill="FFFFFF"/>
        </w:rPr>
        <w:footnoteReference w:id="3"/>
      </w:r>
      <w:r w:rsidRPr="00675182">
        <w:rPr>
          <w:rFonts w:cstheme="minorHAnsi"/>
          <w:szCs w:val="24"/>
          <w:shd w:val="clear" w:color="auto" w:fill="FFFFFF"/>
        </w:rPr>
        <w:t xml:space="preserve"> (ietverot tuvāko apkārtni, iedzīvotāju skaits ir divas reizes lielāks), kas plaši izmanto teritoriju rekreatīviem nolūkiem. </w:t>
      </w:r>
    </w:p>
    <w:p w14:paraId="39691C70" w14:textId="77777777" w:rsidR="00B84D29" w:rsidRPr="00675182" w:rsidRDefault="00B84D29" w:rsidP="007E3513">
      <w:pPr>
        <w:jc w:val="both"/>
        <w:rPr>
          <w:rFonts w:cstheme="minorHAnsi"/>
          <w:szCs w:val="24"/>
          <w:shd w:val="clear" w:color="auto" w:fill="FFFFFF"/>
        </w:rPr>
      </w:pPr>
    </w:p>
    <w:p w14:paraId="1074D439" w14:textId="0D8E1C6F" w:rsidR="00B84D29" w:rsidRPr="00675182" w:rsidRDefault="00B84D29" w:rsidP="007E3513">
      <w:pPr>
        <w:jc w:val="both"/>
        <w:rPr>
          <w:rFonts w:cstheme="minorHAnsi"/>
          <w:szCs w:val="24"/>
        </w:rPr>
      </w:pPr>
      <w:r w:rsidRPr="00675182">
        <w:rPr>
          <w:rFonts w:cstheme="minorHAnsi"/>
          <w:szCs w:val="24"/>
        </w:rPr>
        <w:t>Minētie resursi izmantoti dažādā pakāpē un lielākoties saistīti ar noteiktu sezonalitāti. Ja liela daļa no minētā ietilpst pie par tradicionāliem uzskatītiem tūrisma resursiem, tad ikdienas rekreācijas pamatu veido ekosistēmas plašāk un to sniegtie pakalpojumi, īpaši tā dēvētie kultūras jeb nemateriālie pakalpojumi (t.sk. atpūta, garīgās un fiziskās veselības veicināšana vai estētiskā iedvesma) arī apgādes (piemēram, makšķerēšana, medības, ogošana un sēņošana u.c.) un regulējošie pakalpojumi (piemēram, tīra vide u.c.).</w:t>
      </w:r>
    </w:p>
    <w:p w14:paraId="6CFE58E2" w14:textId="77777777" w:rsidR="00B84D29" w:rsidRPr="00675182" w:rsidRDefault="00B84D29" w:rsidP="007E3513">
      <w:pPr>
        <w:jc w:val="both"/>
        <w:rPr>
          <w:rFonts w:cstheme="minorHAnsi"/>
          <w:szCs w:val="24"/>
        </w:rPr>
      </w:pPr>
    </w:p>
    <w:p w14:paraId="74A4CF8F" w14:textId="1FE58300" w:rsidR="00B84D29" w:rsidRPr="00675182" w:rsidRDefault="00B84D29" w:rsidP="007E3513">
      <w:pPr>
        <w:jc w:val="both"/>
        <w:rPr>
          <w:rFonts w:cstheme="minorHAnsi"/>
          <w:szCs w:val="24"/>
        </w:rPr>
      </w:pPr>
      <w:r w:rsidRPr="00675182">
        <w:rPr>
          <w:rFonts w:cstheme="minorHAnsi"/>
          <w:szCs w:val="24"/>
        </w:rPr>
        <w:t>Ne visi resursi ir komercializēti, respektējot kopējos GNP attīstības mērķus, daļai arī nebūtu jāiekļaujas komerciālā piedāvājumā. Daļa resursu ir vairāk pakļauti antropogēnai slodzei un aktualizējams jautājums par to ilgtspējīgu izmantošanu. Ar resursiem saistīta tūrisma un rekreācijas sistēmu atbalstoša infrastruktūra, kas vairāk analizēta piedāvājuma un pieprasījuma sadaļā.</w:t>
      </w:r>
    </w:p>
    <w:p w14:paraId="71BB8BB8" w14:textId="77777777" w:rsidR="00B84D29" w:rsidRPr="00675182" w:rsidRDefault="00B84D29" w:rsidP="007E3513">
      <w:pPr>
        <w:jc w:val="both"/>
        <w:rPr>
          <w:rFonts w:cstheme="minorHAnsi"/>
          <w:i/>
          <w:iCs/>
          <w:szCs w:val="24"/>
        </w:rPr>
      </w:pPr>
    </w:p>
    <w:p w14:paraId="42EC0BE7" w14:textId="4624879C" w:rsidR="00B84D29" w:rsidRPr="00675182" w:rsidRDefault="004837EA" w:rsidP="007E3513">
      <w:pPr>
        <w:pStyle w:val="TableofFigures"/>
        <w:ind w:left="0" w:firstLine="0"/>
        <w:jc w:val="both"/>
        <w:rPr>
          <w:rFonts w:cstheme="minorHAnsi"/>
          <w:bCs/>
          <w:szCs w:val="24"/>
        </w:rPr>
      </w:pPr>
      <w:r>
        <w:rPr>
          <w:rFonts w:cstheme="minorHAnsi"/>
          <w:bCs/>
          <w:szCs w:val="24"/>
        </w:rPr>
        <w:t>DA</w:t>
      </w:r>
      <w:r w:rsidR="00197F62" w:rsidRPr="00675182">
        <w:rPr>
          <w:rFonts w:cstheme="minorHAnsi"/>
          <w:bCs/>
          <w:szCs w:val="24"/>
        </w:rPr>
        <w:t xml:space="preserve"> plāna izstrādes laikā v</w:t>
      </w:r>
      <w:r w:rsidR="00B84D29" w:rsidRPr="00675182">
        <w:rPr>
          <w:rFonts w:cstheme="minorHAnsi"/>
          <w:bCs/>
          <w:szCs w:val="24"/>
        </w:rPr>
        <w:t xml:space="preserve">eikta tūrisma un rekreācijas izpildes rādītāju salīdzinoša analīze, vērtējot kopš iepriekšējā GNP </w:t>
      </w:r>
      <w:r w:rsidR="00F71460">
        <w:rPr>
          <w:rFonts w:cstheme="minorHAnsi"/>
          <w:bCs/>
          <w:szCs w:val="24"/>
        </w:rPr>
        <w:t>DA</w:t>
      </w:r>
      <w:r w:rsidR="00B84D29" w:rsidRPr="00675182">
        <w:rPr>
          <w:rFonts w:cstheme="minorHAnsi"/>
          <w:bCs/>
          <w:szCs w:val="24"/>
        </w:rPr>
        <w:t xml:space="preserve"> plāna ieviešanas sākuma. Izvērstāka izpildes rādītāju tabula iekļauta </w:t>
      </w:r>
      <w:r w:rsidR="003E18DD">
        <w:rPr>
          <w:rFonts w:cstheme="minorHAnsi"/>
          <w:bCs/>
          <w:szCs w:val="24"/>
        </w:rPr>
        <w:t xml:space="preserve">6. </w:t>
      </w:r>
      <w:r w:rsidR="00B84D29" w:rsidRPr="00675182">
        <w:rPr>
          <w:rFonts w:cstheme="minorHAnsi"/>
          <w:bCs/>
          <w:szCs w:val="24"/>
        </w:rPr>
        <w:t xml:space="preserve">pielikumā, bet kopsecinājums: būtiski pieaugusi gan </w:t>
      </w:r>
      <w:r w:rsidR="00B84D29" w:rsidRPr="00675182">
        <w:rPr>
          <w:rFonts w:cstheme="minorHAnsi"/>
          <w:bCs/>
          <w:szCs w:val="24"/>
        </w:rPr>
        <w:lastRenderedPageBreak/>
        <w:t>apmeklētāju plūsma, gan tūrisma un rekreācijas pakalpojumu skaits GNP, dažādojušies atpūtnieku segmenti laika un telpas izteiksmē ar dažādu ietekmi uz dabas vērtībām.</w:t>
      </w:r>
    </w:p>
    <w:p w14:paraId="749172B5" w14:textId="77777777" w:rsidR="00B84D29" w:rsidRPr="00675182" w:rsidRDefault="00B84D29" w:rsidP="007E3513">
      <w:pPr>
        <w:jc w:val="both"/>
        <w:rPr>
          <w:rFonts w:cstheme="minorHAnsi"/>
          <w:bCs/>
          <w:szCs w:val="24"/>
        </w:rPr>
      </w:pPr>
    </w:p>
    <w:p w14:paraId="0AEA8923" w14:textId="77777777" w:rsidR="00B84D29" w:rsidRPr="00675182" w:rsidRDefault="00B84D29" w:rsidP="007E3513">
      <w:pPr>
        <w:pStyle w:val="Subtitle"/>
        <w:jc w:val="both"/>
        <w:rPr>
          <w:rFonts w:cstheme="minorHAnsi"/>
          <w:szCs w:val="24"/>
        </w:rPr>
      </w:pPr>
      <w:r w:rsidRPr="00675182">
        <w:rPr>
          <w:rFonts w:cstheme="minorHAnsi"/>
          <w:szCs w:val="24"/>
        </w:rPr>
        <w:t>Tūrisma piedāvājums</w:t>
      </w:r>
    </w:p>
    <w:p w14:paraId="09993272" w14:textId="7B888DDB" w:rsidR="00B84D29" w:rsidRPr="00675182" w:rsidRDefault="00B84D29" w:rsidP="007E3513">
      <w:pPr>
        <w:jc w:val="both"/>
        <w:rPr>
          <w:rFonts w:cstheme="minorHAnsi"/>
          <w:szCs w:val="24"/>
        </w:rPr>
      </w:pPr>
      <w:r w:rsidRPr="00675182">
        <w:rPr>
          <w:rFonts w:cstheme="minorHAnsi"/>
          <w:szCs w:val="24"/>
        </w:rPr>
        <w:t>Tūrisma piedāvājums GNP un tā tuvākajā apkārtnē (līdz 20 km) nav izvietojis vienmērīgi</w:t>
      </w:r>
      <w:r w:rsidR="00197F62" w:rsidRPr="00675182">
        <w:rPr>
          <w:rFonts w:cstheme="minorHAnsi"/>
          <w:szCs w:val="24"/>
        </w:rPr>
        <w:t>,</w:t>
      </w:r>
      <w:r w:rsidRPr="00675182">
        <w:rPr>
          <w:rFonts w:cstheme="minorHAnsi"/>
          <w:szCs w:val="24"/>
        </w:rPr>
        <w:t xml:space="preserve"> un arī tematiskais sadalījums ir atšķirīgs. Kultūras tūrisma piesaistes veido lielāko skaitu plašākā GNP tūrisma galamērķa izpratnē, bet tikai ĪADT robežās kultūras un dabas piesaistes ir vienādā skaitā. Lielākā daļa </w:t>
      </w:r>
      <w:r w:rsidR="00197F62" w:rsidRPr="00675182">
        <w:rPr>
          <w:rFonts w:cstheme="minorHAnsi"/>
          <w:szCs w:val="24"/>
        </w:rPr>
        <w:t>izklaides</w:t>
      </w:r>
      <w:r w:rsidRPr="00675182">
        <w:rPr>
          <w:rFonts w:cstheme="minorHAnsi"/>
          <w:szCs w:val="24"/>
        </w:rPr>
        <w:t xml:space="preserve"> piedāvājuma atrodas aiz nacionālā parka robežām (īpaši koncentrējas līdzās esošajās </w:t>
      </w:r>
      <w:r w:rsidR="00197F62" w:rsidRPr="00675182">
        <w:rPr>
          <w:rFonts w:cstheme="minorHAnsi"/>
          <w:szCs w:val="24"/>
        </w:rPr>
        <w:t>pilsētās</w:t>
      </w:r>
      <w:r w:rsidRPr="00675182">
        <w:rPr>
          <w:rFonts w:cstheme="minorHAnsi"/>
          <w:szCs w:val="24"/>
        </w:rPr>
        <w:t xml:space="preserve">: Valmierā, Cēsīs un Siguldā), tomēr gandrīz piektā daļa no tām atrodas nacionālajā parkā. Mazāks skaits ir darījumu tūrisma piesaistes. Trešā daļa no galamērķa </w:t>
      </w:r>
      <w:r w:rsidR="00197F62" w:rsidRPr="00675182">
        <w:rPr>
          <w:rFonts w:cstheme="minorHAnsi"/>
          <w:szCs w:val="24"/>
        </w:rPr>
        <w:t>labsajūtas</w:t>
      </w:r>
      <w:r w:rsidRPr="00675182">
        <w:rPr>
          <w:rFonts w:cstheme="minorHAnsi"/>
          <w:szCs w:val="24"/>
        </w:rPr>
        <w:t xml:space="preserve"> un personiskās izziņas tūrisma piedāvājuma atrodas nacionālajā parkā. Analizējot tūrisma piedāvājuma tematisko profilu, redzams, ka pamatā tas atbilst GNP raksturīgajai tematikai un resursiem.</w:t>
      </w:r>
    </w:p>
    <w:p w14:paraId="35A8A76C" w14:textId="222BA683" w:rsidR="00197F62" w:rsidRPr="00675182" w:rsidRDefault="00197F62" w:rsidP="007E3513">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197F62" w:rsidRPr="00675182" w14:paraId="71E4676A" w14:textId="77777777" w:rsidTr="00197F62">
        <w:tc>
          <w:tcPr>
            <w:tcW w:w="8301" w:type="dxa"/>
          </w:tcPr>
          <w:p w14:paraId="1179349F" w14:textId="2E1107E1" w:rsidR="00197F62" w:rsidRPr="00675182" w:rsidRDefault="00197F62" w:rsidP="007E3513">
            <w:pPr>
              <w:jc w:val="both"/>
              <w:rPr>
                <w:rFonts w:cstheme="minorHAnsi"/>
                <w:szCs w:val="24"/>
              </w:rPr>
            </w:pPr>
            <w:r w:rsidRPr="00675182">
              <w:rPr>
                <w:rFonts w:cstheme="minorHAnsi"/>
                <w:noProof/>
                <w:szCs w:val="24"/>
              </w:rPr>
              <w:drawing>
                <wp:inline distT="0" distB="0" distL="0" distR="0" wp14:anchorId="5E6810F6" wp14:editId="595F9F7B">
                  <wp:extent cx="4881966" cy="3279392"/>
                  <wp:effectExtent l="0" t="0" r="0" b="0"/>
                  <wp:docPr id="199" name="Picture 1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81"/>
                          <a:srcRect l="20701" t="29491" r="33180" b="15440"/>
                          <a:stretch/>
                        </pic:blipFill>
                        <pic:spPr bwMode="auto">
                          <a:xfrm>
                            <a:off x="0" y="0"/>
                            <a:ext cx="4906818" cy="3296086"/>
                          </a:xfrm>
                          <a:prstGeom prst="rect">
                            <a:avLst/>
                          </a:prstGeom>
                          <a:ln>
                            <a:noFill/>
                          </a:ln>
                          <a:extLst>
                            <a:ext uri="{53640926-AAD7-44D8-BBD7-CCE9431645EC}">
                              <a14:shadowObscured xmlns:a14="http://schemas.microsoft.com/office/drawing/2010/main"/>
                            </a:ext>
                          </a:extLst>
                        </pic:spPr>
                      </pic:pic>
                    </a:graphicData>
                  </a:graphic>
                </wp:inline>
              </w:drawing>
            </w:r>
          </w:p>
        </w:tc>
      </w:tr>
      <w:tr w:rsidR="00197F62" w:rsidRPr="00675182" w14:paraId="20D4B06C" w14:textId="77777777" w:rsidTr="00197F62">
        <w:tc>
          <w:tcPr>
            <w:tcW w:w="8301" w:type="dxa"/>
          </w:tcPr>
          <w:p w14:paraId="377075C6" w14:textId="4880CF58" w:rsidR="00197F62" w:rsidRPr="00675182" w:rsidRDefault="00197F62" w:rsidP="00197F62">
            <w:pPr>
              <w:pStyle w:val="TableofFigures"/>
              <w:ind w:left="0" w:firstLine="0"/>
              <w:jc w:val="both"/>
              <w:rPr>
                <w:rFonts w:cstheme="minorHAnsi"/>
                <w:b/>
                <w:i/>
                <w:iCs/>
                <w:szCs w:val="24"/>
                <w:shd w:val="clear" w:color="auto" w:fill="FFFFFF"/>
              </w:rPr>
            </w:pPr>
            <w:r w:rsidRPr="00675182">
              <w:rPr>
                <w:rFonts w:cstheme="minorHAnsi"/>
                <w:b/>
                <w:i/>
                <w:iCs/>
                <w:szCs w:val="24"/>
                <w:shd w:val="clear" w:color="auto" w:fill="FFFFFF"/>
              </w:rPr>
              <w:t>1.3.1</w:t>
            </w:r>
            <w:r w:rsidR="0096443B" w:rsidRPr="00675182">
              <w:rPr>
                <w:rFonts w:cstheme="minorHAnsi"/>
                <w:b/>
                <w:i/>
                <w:iCs/>
                <w:szCs w:val="24"/>
                <w:shd w:val="clear" w:color="auto" w:fill="FFFFFF"/>
              </w:rPr>
              <w:t>5</w:t>
            </w:r>
            <w:r w:rsidRPr="00675182">
              <w:rPr>
                <w:rFonts w:cstheme="minorHAnsi"/>
                <w:b/>
                <w:i/>
                <w:iCs/>
                <w:szCs w:val="24"/>
                <w:shd w:val="clear" w:color="auto" w:fill="FFFFFF"/>
              </w:rPr>
              <w:t>. attēls. GNP un tuvākās apkārtnes tūristu piesaistu tematiskais sadalījums skaitliski</w:t>
            </w:r>
          </w:p>
          <w:p w14:paraId="62603B6D" w14:textId="502C1E7F" w:rsidR="00197F62" w:rsidRPr="00675182" w:rsidRDefault="00197F62" w:rsidP="00197F62">
            <w:pPr>
              <w:pStyle w:val="ListParagraph"/>
              <w:ind w:left="0"/>
              <w:jc w:val="both"/>
              <w:rPr>
                <w:rFonts w:cstheme="minorHAnsi"/>
                <w:szCs w:val="24"/>
              </w:rPr>
            </w:pPr>
            <w:r w:rsidRPr="00675182">
              <w:rPr>
                <w:rFonts w:cstheme="minorHAnsi"/>
                <w:szCs w:val="24"/>
                <w:shd w:val="clear" w:color="auto" w:fill="FFFFFF"/>
              </w:rPr>
              <w:t>Avots:</w:t>
            </w:r>
            <w:r w:rsidRPr="00675182">
              <w:rPr>
                <w:rFonts w:cstheme="minorHAnsi"/>
                <w:szCs w:val="24"/>
              </w:rPr>
              <w:t xml:space="preserve"> VIA HESPI datu bāze, 2021</w:t>
            </w:r>
          </w:p>
        </w:tc>
      </w:tr>
    </w:tbl>
    <w:p w14:paraId="1D93AB5A" w14:textId="77777777" w:rsidR="00B84D29" w:rsidRPr="00675182" w:rsidRDefault="00B84D29" w:rsidP="007E3513">
      <w:pPr>
        <w:jc w:val="both"/>
        <w:rPr>
          <w:rFonts w:cstheme="minorHAnsi"/>
          <w:szCs w:val="24"/>
        </w:rPr>
      </w:pPr>
    </w:p>
    <w:p w14:paraId="45215FCE" w14:textId="4E050BAA" w:rsidR="00B84D29" w:rsidRPr="00675182" w:rsidRDefault="00B84D29" w:rsidP="007E3513">
      <w:pPr>
        <w:jc w:val="both"/>
        <w:rPr>
          <w:rFonts w:cstheme="minorHAnsi"/>
          <w:szCs w:val="24"/>
        </w:rPr>
      </w:pPr>
    </w:p>
    <w:p w14:paraId="43530626" w14:textId="2EAC4EB2" w:rsidR="00B84D29" w:rsidRPr="00675182" w:rsidRDefault="00B84D29" w:rsidP="007E3513">
      <w:pPr>
        <w:pStyle w:val="ListParagraph"/>
        <w:jc w:val="both"/>
        <w:rPr>
          <w:rFonts w:cstheme="minorHAnsi"/>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197F62" w:rsidRPr="00675182" w14:paraId="108EEA34" w14:textId="77777777" w:rsidTr="00197F62">
        <w:tc>
          <w:tcPr>
            <w:tcW w:w="5000" w:type="pct"/>
          </w:tcPr>
          <w:p w14:paraId="0D1F9B21" w14:textId="4DB5FDC0" w:rsidR="00197F62" w:rsidRPr="00675182" w:rsidRDefault="00197F62" w:rsidP="007E3513">
            <w:pPr>
              <w:pStyle w:val="ListParagraph"/>
              <w:ind w:left="0"/>
              <w:jc w:val="both"/>
              <w:rPr>
                <w:rFonts w:cstheme="minorHAnsi"/>
                <w:szCs w:val="24"/>
              </w:rPr>
            </w:pPr>
            <w:r w:rsidRPr="00675182">
              <w:rPr>
                <w:rFonts w:cstheme="minorHAnsi"/>
                <w:noProof/>
                <w:szCs w:val="24"/>
              </w:rPr>
              <w:lastRenderedPageBreak/>
              <w:drawing>
                <wp:inline distT="0" distB="0" distL="0" distR="0" wp14:anchorId="59D48571" wp14:editId="7BAEA39F">
                  <wp:extent cx="4776716" cy="3616533"/>
                  <wp:effectExtent l="0" t="0" r="5080" b="3175"/>
                  <wp:docPr id="195" name="Picture 19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rotWithShape="1">
                          <a:blip r:embed="rId82" cstate="print">
                            <a:extLst>
                              <a:ext uri="{28A0092B-C50C-407E-A947-70E740481C1C}">
                                <a14:useLocalDpi xmlns:a14="http://schemas.microsoft.com/office/drawing/2010/main" val="0"/>
                              </a:ext>
                            </a:extLst>
                          </a:blip>
                          <a:srcRect l="6461" t="4357" r="7031" b="3087"/>
                          <a:stretch/>
                        </pic:blipFill>
                        <pic:spPr bwMode="auto">
                          <a:xfrm>
                            <a:off x="0" y="0"/>
                            <a:ext cx="4810438" cy="3642064"/>
                          </a:xfrm>
                          <a:prstGeom prst="rect">
                            <a:avLst/>
                          </a:prstGeom>
                          <a:ln>
                            <a:noFill/>
                          </a:ln>
                          <a:extLst>
                            <a:ext uri="{53640926-AAD7-44D8-BBD7-CCE9431645EC}">
                              <a14:shadowObscured xmlns:a14="http://schemas.microsoft.com/office/drawing/2010/main"/>
                            </a:ext>
                          </a:extLst>
                        </pic:spPr>
                      </pic:pic>
                    </a:graphicData>
                  </a:graphic>
                </wp:inline>
              </w:drawing>
            </w:r>
          </w:p>
        </w:tc>
      </w:tr>
      <w:tr w:rsidR="00197F62" w:rsidRPr="00675182" w14:paraId="14A8AE4A" w14:textId="77777777" w:rsidTr="00197F62">
        <w:tc>
          <w:tcPr>
            <w:tcW w:w="5000" w:type="pct"/>
          </w:tcPr>
          <w:p w14:paraId="2353C74D" w14:textId="48F516F9" w:rsidR="00197F62" w:rsidRPr="00675182" w:rsidRDefault="00197F62" w:rsidP="00197F62">
            <w:pPr>
              <w:pStyle w:val="TableofFigures"/>
              <w:jc w:val="both"/>
              <w:rPr>
                <w:rFonts w:cstheme="minorHAnsi"/>
                <w:b/>
                <w:i/>
                <w:iCs/>
                <w:szCs w:val="24"/>
                <w:shd w:val="clear" w:color="auto" w:fill="FFFFFF"/>
              </w:rPr>
            </w:pPr>
            <w:r w:rsidRPr="00675182">
              <w:rPr>
                <w:rFonts w:cstheme="minorHAnsi"/>
                <w:b/>
                <w:i/>
                <w:iCs/>
                <w:szCs w:val="24"/>
                <w:shd w:val="clear" w:color="auto" w:fill="FFFFFF"/>
              </w:rPr>
              <w:t>1.3.1</w:t>
            </w:r>
            <w:r w:rsidR="0096443B" w:rsidRPr="00675182">
              <w:rPr>
                <w:rFonts w:cstheme="minorHAnsi"/>
                <w:b/>
                <w:i/>
                <w:iCs/>
                <w:szCs w:val="24"/>
                <w:shd w:val="clear" w:color="auto" w:fill="FFFFFF"/>
              </w:rPr>
              <w:t>6</w:t>
            </w:r>
            <w:r w:rsidRPr="00675182">
              <w:rPr>
                <w:rFonts w:cstheme="minorHAnsi"/>
                <w:b/>
                <w:i/>
                <w:iCs/>
                <w:szCs w:val="24"/>
                <w:shd w:val="clear" w:color="auto" w:fill="FFFFFF"/>
              </w:rPr>
              <w:t>. attēls. Shematisks GNP un tuvākās apkārtnes tūristu piesaistu tematiskais sadalījums telpiski</w:t>
            </w:r>
          </w:p>
          <w:p w14:paraId="55BB7C9E" w14:textId="60119722" w:rsidR="00197F62" w:rsidRPr="00675182" w:rsidRDefault="00197F62" w:rsidP="00197F62">
            <w:pPr>
              <w:pStyle w:val="ListParagraph"/>
              <w:ind w:left="0"/>
              <w:jc w:val="both"/>
              <w:rPr>
                <w:rFonts w:cstheme="minorHAnsi"/>
                <w:szCs w:val="24"/>
              </w:rPr>
            </w:pPr>
            <w:r w:rsidRPr="00675182">
              <w:rPr>
                <w:rFonts w:cstheme="minorHAnsi"/>
                <w:szCs w:val="24"/>
                <w:shd w:val="clear" w:color="auto" w:fill="FFFFFF"/>
              </w:rPr>
              <w:t>Avots:</w:t>
            </w:r>
            <w:r w:rsidRPr="00675182">
              <w:rPr>
                <w:rFonts w:cstheme="minorHAnsi"/>
                <w:szCs w:val="24"/>
              </w:rPr>
              <w:t xml:space="preserve"> autora veidots. Dati no VIA HESPI datu bāzes, 2021</w:t>
            </w:r>
          </w:p>
        </w:tc>
      </w:tr>
    </w:tbl>
    <w:p w14:paraId="631FB479" w14:textId="77777777" w:rsidR="00B84D29" w:rsidRPr="00675182" w:rsidRDefault="00B84D29" w:rsidP="007E3513">
      <w:pPr>
        <w:jc w:val="both"/>
        <w:rPr>
          <w:rFonts w:cstheme="minorHAnsi"/>
          <w:bCs/>
          <w:szCs w:val="24"/>
        </w:rPr>
      </w:pPr>
    </w:p>
    <w:p w14:paraId="525B6989" w14:textId="12D4F64D" w:rsidR="00B84D29" w:rsidRPr="00675182" w:rsidRDefault="00B84D29" w:rsidP="007E3513">
      <w:pPr>
        <w:jc w:val="both"/>
        <w:rPr>
          <w:rFonts w:cstheme="minorHAnsi"/>
          <w:szCs w:val="24"/>
        </w:rPr>
      </w:pPr>
      <w:r w:rsidRPr="00675182">
        <w:rPr>
          <w:rFonts w:cstheme="minorHAnsi"/>
          <w:szCs w:val="24"/>
        </w:rPr>
        <w:t>Tūristu mītņu skaits GNP salīdzinot ar citām ĪADT Latvijā ir vislielākais. Kopā ĪADT robežās 2020. gada novembrī darbojās 87 tūristu mītnes, bet kopš 2000. gada savu darbību dažādu iemeslu dēļ pārtraukušas 20 tūristu mītnes. Tikai divas mītnes ir sertificējušās ar “zaļo sertifikātu”. Kopējā kapacitāte ir 504 numuri viesiem un 1580 gultas vietas (neieskaitot papildvietas). Pat vairāk nekā divas reizes lielāka tūristu mītņu kapacitāte ir vairāku kilometru attālumā no nacionālā parka robežas (īpaši tuvākajās pilsētās). Visvairāk un attiecīgi arī lielākā viesu izmitināšanas kapacitāte ir viesu mājās, tad viesnīcās (s</w:t>
      </w:r>
      <w:r w:rsidR="00197F62" w:rsidRPr="00675182">
        <w:rPr>
          <w:rFonts w:cstheme="minorHAnsi"/>
          <w:szCs w:val="24"/>
        </w:rPr>
        <w:t>katīt. 1.3.1</w:t>
      </w:r>
      <w:r w:rsidR="0096443B" w:rsidRPr="00675182">
        <w:rPr>
          <w:rFonts w:cstheme="minorHAnsi"/>
          <w:szCs w:val="24"/>
        </w:rPr>
        <w:t>7</w:t>
      </w:r>
      <w:r w:rsidR="00197F62" w:rsidRPr="00675182">
        <w:rPr>
          <w:rFonts w:cstheme="minorHAnsi"/>
          <w:szCs w:val="24"/>
        </w:rPr>
        <w:t>. attēlu</w:t>
      </w:r>
      <w:r w:rsidRPr="00675182">
        <w:rPr>
          <w:rFonts w:cstheme="minorHAnsi"/>
          <w:szCs w:val="24"/>
        </w:rPr>
        <w:t>). Daudz mazāk ir specializētu tūristu mītņu, kuru piedāvājumā būtu ilgtspējīgi dabas vai kultūras mantojumu ietveroši pakalpojumi ar augstāku pievienoto vērtību.</w:t>
      </w:r>
    </w:p>
    <w:p w14:paraId="17EC95F9" w14:textId="583B012A" w:rsidR="00B84D29" w:rsidRPr="00675182" w:rsidRDefault="00B84D29" w:rsidP="007E3513">
      <w:pPr>
        <w:ind w:hanging="567"/>
        <w:jc w:val="both"/>
        <w:rPr>
          <w:rFonts w:cstheme="minorHAnsi"/>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EA648A" w:rsidRPr="00675182" w14:paraId="6BB35233" w14:textId="77777777" w:rsidTr="00EA648A">
        <w:tc>
          <w:tcPr>
            <w:tcW w:w="5000" w:type="pct"/>
          </w:tcPr>
          <w:p w14:paraId="16984C49" w14:textId="48E9B357" w:rsidR="00EA648A" w:rsidRPr="00675182" w:rsidRDefault="00EA648A" w:rsidP="007E3513">
            <w:pPr>
              <w:pStyle w:val="ListParagraph"/>
              <w:ind w:left="0"/>
              <w:jc w:val="both"/>
              <w:rPr>
                <w:rFonts w:cstheme="minorHAnsi"/>
                <w:szCs w:val="24"/>
              </w:rPr>
            </w:pPr>
            <w:r w:rsidRPr="00675182">
              <w:rPr>
                <w:rFonts w:cstheme="minorHAnsi"/>
                <w:noProof/>
                <w:szCs w:val="24"/>
                <w:lang w:eastAsia="lv-LV"/>
              </w:rPr>
              <w:drawing>
                <wp:inline distT="0" distB="0" distL="0" distR="0" wp14:anchorId="4891FD8D" wp14:editId="6DE7256C">
                  <wp:extent cx="5176622" cy="1944000"/>
                  <wp:effectExtent l="0" t="0" r="5080" b="0"/>
                  <wp:docPr id="197" name="Picture 19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rotWithShape="1">
                          <a:blip r:embed="rId83">
                            <a:extLst>
                              <a:ext uri="{28A0092B-C50C-407E-A947-70E740481C1C}">
                                <a14:useLocalDpi xmlns:a14="http://schemas.microsoft.com/office/drawing/2010/main" val="0"/>
                              </a:ext>
                            </a:extLst>
                          </a:blip>
                          <a:srcRect l="1310" t="7318" r="931"/>
                          <a:stretch/>
                        </pic:blipFill>
                        <pic:spPr bwMode="auto">
                          <a:xfrm>
                            <a:off x="0" y="0"/>
                            <a:ext cx="5176622" cy="1944000"/>
                          </a:xfrm>
                          <a:prstGeom prst="rect">
                            <a:avLst/>
                          </a:prstGeom>
                          <a:ln>
                            <a:noFill/>
                          </a:ln>
                          <a:extLst>
                            <a:ext uri="{53640926-AAD7-44D8-BBD7-CCE9431645EC}">
                              <a14:shadowObscured xmlns:a14="http://schemas.microsoft.com/office/drawing/2010/main"/>
                            </a:ext>
                          </a:extLst>
                        </pic:spPr>
                      </pic:pic>
                    </a:graphicData>
                  </a:graphic>
                </wp:inline>
              </w:drawing>
            </w:r>
          </w:p>
        </w:tc>
      </w:tr>
      <w:tr w:rsidR="00EA648A" w:rsidRPr="00675182" w14:paraId="22E89299" w14:textId="77777777" w:rsidTr="00EA648A">
        <w:tc>
          <w:tcPr>
            <w:tcW w:w="5000" w:type="pct"/>
          </w:tcPr>
          <w:p w14:paraId="76F585EB" w14:textId="19E15009" w:rsidR="00EA648A" w:rsidRPr="00675182" w:rsidRDefault="00EA648A" w:rsidP="00EA648A">
            <w:pPr>
              <w:pStyle w:val="TableofFigures"/>
              <w:jc w:val="both"/>
              <w:rPr>
                <w:rFonts w:cstheme="minorHAnsi"/>
                <w:b/>
                <w:i/>
                <w:iCs/>
                <w:szCs w:val="24"/>
                <w:shd w:val="clear" w:color="auto" w:fill="FFFFFF"/>
              </w:rPr>
            </w:pPr>
            <w:r w:rsidRPr="00675182">
              <w:rPr>
                <w:rFonts w:cstheme="minorHAnsi"/>
                <w:b/>
                <w:i/>
                <w:iCs/>
                <w:szCs w:val="24"/>
                <w:shd w:val="clear" w:color="auto" w:fill="FFFFFF"/>
              </w:rPr>
              <w:t>1.3.1</w:t>
            </w:r>
            <w:r w:rsidR="0096443B" w:rsidRPr="00675182">
              <w:rPr>
                <w:rFonts w:cstheme="minorHAnsi"/>
                <w:b/>
                <w:i/>
                <w:iCs/>
                <w:szCs w:val="24"/>
                <w:shd w:val="clear" w:color="auto" w:fill="FFFFFF"/>
              </w:rPr>
              <w:t>7</w:t>
            </w:r>
            <w:r w:rsidRPr="00675182">
              <w:rPr>
                <w:rFonts w:cstheme="minorHAnsi"/>
                <w:b/>
                <w:i/>
                <w:iCs/>
                <w:szCs w:val="24"/>
                <w:shd w:val="clear" w:color="auto" w:fill="FFFFFF"/>
              </w:rPr>
              <w:t>. attēls. Tūristu mītņu veidi un kapacitāte GNP (ĪADT robežās).</w:t>
            </w:r>
          </w:p>
          <w:p w14:paraId="59656BE2" w14:textId="2E978165" w:rsidR="00EA648A" w:rsidRPr="00612FDF" w:rsidRDefault="00EA648A" w:rsidP="00EA648A">
            <w:pPr>
              <w:pStyle w:val="ListParagraph"/>
              <w:jc w:val="both"/>
              <w:rPr>
                <w:rFonts w:cstheme="minorHAnsi"/>
                <w:bCs/>
                <w:szCs w:val="24"/>
              </w:rPr>
            </w:pPr>
            <w:r w:rsidRPr="00BF7348">
              <w:rPr>
                <w:rFonts w:cstheme="minorHAnsi"/>
                <w:bCs/>
                <w:i/>
                <w:iCs/>
                <w:szCs w:val="24"/>
                <w:shd w:val="clear" w:color="auto" w:fill="FFFFFF"/>
              </w:rPr>
              <w:t>Avots:</w:t>
            </w:r>
            <w:r w:rsidRPr="00BF7348">
              <w:rPr>
                <w:rFonts w:cstheme="minorHAnsi"/>
                <w:bCs/>
                <w:i/>
                <w:iCs/>
                <w:szCs w:val="24"/>
              </w:rPr>
              <w:t xml:space="preserve"> Nocticus, 2020</w:t>
            </w:r>
          </w:p>
        </w:tc>
      </w:tr>
    </w:tbl>
    <w:p w14:paraId="118242DA" w14:textId="77777777" w:rsidR="00EA648A" w:rsidRPr="00675182" w:rsidRDefault="00EA648A" w:rsidP="007E3513">
      <w:pPr>
        <w:pStyle w:val="ListParagraph"/>
        <w:jc w:val="both"/>
        <w:rPr>
          <w:rFonts w:cstheme="minorHAnsi"/>
          <w:szCs w:val="24"/>
        </w:rPr>
      </w:pPr>
    </w:p>
    <w:p w14:paraId="44DB9B16" w14:textId="77777777" w:rsidR="001872F9" w:rsidRPr="00675182" w:rsidRDefault="001872F9" w:rsidP="001872F9">
      <w:pPr>
        <w:jc w:val="both"/>
        <w:rPr>
          <w:rFonts w:cstheme="minorHAnsi"/>
          <w:szCs w:val="24"/>
        </w:rPr>
      </w:pPr>
      <w:r w:rsidRPr="00675182">
        <w:rPr>
          <w:rFonts w:cstheme="minorHAnsi"/>
          <w:szCs w:val="24"/>
        </w:rPr>
        <w:t xml:space="preserve">Klientu apmierinātība ar viesmīlības pakalpojumu kvalitāti ir augsta (vidēji 8,6 balles no 10 pēc </w:t>
      </w:r>
      <w:r w:rsidRPr="00675182">
        <w:rPr>
          <w:rFonts w:cstheme="minorHAnsi"/>
          <w:i/>
          <w:szCs w:val="24"/>
        </w:rPr>
        <w:t>Booking.com</w:t>
      </w:r>
      <w:r w:rsidRPr="00675182">
        <w:rPr>
          <w:rFonts w:cstheme="minorHAnsi"/>
          <w:szCs w:val="24"/>
        </w:rPr>
        <w:t xml:space="preserve"> platformā iekļautajām 2062 atsauksmēm par GNP tūristu mītnēm). Ņemot vērā, ka numuru noslogojums pašvaldībās, kuras ietilpst GNP, 2018. gadā vidēji bija 49 %, bet 2019. gadā – 53 %, aprēķināts GNP teritorijā komerciālajās tūristu mītnēs nakšņojošo tūristu skaits 2019. gadā. Kopā tās ir 87 633 viesu pavadītās naktis (neierēķinot jauniešu mītņu un kempingu noslogojumu, kas ir sezonāls vai uz specifisku segmentu vērsts). Vērtējot viesu pavadīto nakšu vidējo daudzumu, tie ir </w:t>
      </w:r>
      <w:r w:rsidRPr="00675182">
        <w:rPr>
          <w:rFonts w:cstheme="minorHAnsi"/>
          <w:bCs/>
          <w:szCs w:val="24"/>
        </w:rPr>
        <w:t>~62,5 tūkstoši apkalpotu tūristu komerciālajās mītnēs GNP teritorijā 2019. gadā.</w:t>
      </w:r>
      <w:r w:rsidRPr="00675182">
        <w:rPr>
          <w:rFonts w:cstheme="minorHAnsi"/>
          <w:b/>
          <w:szCs w:val="24"/>
        </w:rPr>
        <w:t xml:space="preserve"> </w:t>
      </w:r>
      <w:r w:rsidRPr="00675182">
        <w:rPr>
          <w:rFonts w:cstheme="minorHAnsi"/>
          <w:szCs w:val="24"/>
        </w:rPr>
        <w:t>No visiem nakšņotājiem ~41% ir ārvalstu klienti (galvenokārt no Baltijas jūras reģiona valstīm). Daļu no nakšņotāju slodzes teritorijā veido šeit neuzskaitītie nakšņotāji, kas apmeklē radus, draugus vai paziņas un paliek nakšņot viņu mājās.</w:t>
      </w:r>
    </w:p>
    <w:p w14:paraId="37D96313" w14:textId="77777777" w:rsidR="001872F9" w:rsidRPr="00675182" w:rsidRDefault="001872F9" w:rsidP="001872F9">
      <w:pPr>
        <w:jc w:val="both"/>
        <w:rPr>
          <w:rFonts w:cstheme="minorHAnsi"/>
          <w:szCs w:val="24"/>
        </w:rPr>
      </w:pPr>
    </w:p>
    <w:p w14:paraId="29BA9FB4" w14:textId="77777777" w:rsidR="001872F9" w:rsidRPr="00675182" w:rsidRDefault="001872F9" w:rsidP="001872F9">
      <w:pPr>
        <w:pStyle w:val="Subtitle"/>
        <w:jc w:val="both"/>
        <w:rPr>
          <w:rFonts w:cstheme="minorHAnsi"/>
          <w:szCs w:val="24"/>
        </w:rPr>
      </w:pPr>
      <w:r w:rsidRPr="00675182">
        <w:rPr>
          <w:rFonts w:cstheme="minorHAnsi"/>
          <w:szCs w:val="24"/>
        </w:rPr>
        <w:t>Piedāvājuma kvalitāte</w:t>
      </w:r>
    </w:p>
    <w:p w14:paraId="778D8106" w14:textId="77777777" w:rsidR="001872F9" w:rsidRPr="00675182" w:rsidRDefault="001872F9" w:rsidP="001872F9">
      <w:pPr>
        <w:jc w:val="both"/>
        <w:rPr>
          <w:rFonts w:cstheme="minorHAnsi"/>
          <w:szCs w:val="24"/>
        </w:rPr>
      </w:pPr>
      <w:r w:rsidRPr="00675182">
        <w:rPr>
          <w:rFonts w:cstheme="minorHAnsi"/>
          <w:szCs w:val="24"/>
        </w:rPr>
        <w:t xml:space="preserve">2020. gada jūlijā apkopoti mobilajā lietotnē </w:t>
      </w:r>
      <w:r w:rsidRPr="00675182">
        <w:rPr>
          <w:rFonts w:cstheme="minorHAnsi"/>
          <w:i/>
          <w:szCs w:val="24"/>
        </w:rPr>
        <w:t>Park4night</w:t>
      </w:r>
      <w:r w:rsidRPr="00675182">
        <w:rPr>
          <w:rFonts w:cstheme="minorHAnsi"/>
          <w:szCs w:val="24"/>
        </w:rPr>
        <w:t>.</w:t>
      </w:r>
      <w:r w:rsidRPr="00675182">
        <w:rPr>
          <w:rFonts w:cstheme="minorHAnsi"/>
          <w:i/>
          <w:szCs w:val="24"/>
        </w:rPr>
        <w:t>com</w:t>
      </w:r>
      <w:r w:rsidRPr="00675182">
        <w:rPr>
          <w:rFonts w:cstheme="minorHAnsi"/>
          <w:szCs w:val="24"/>
        </w:rPr>
        <w:t xml:space="preserve"> publicētos 855 klientu vērtējumus par 56 publiskās infrastruktūras vietām GNP. Publiskās infrastruktūras vērtējums ir labs: vidēji 4,03 no 5 punktiem. Dalot pa kategorijām, vērtējumi attiecās uz: autostāvlaukumiem, stāvvietām dabā, labiekārtotiem autostāvlaukumiem dabā ar piknika vietām, kempingiem, piestātnēm. Trīs kategorijām vērtējumu skaits bija pietiekami liels, lai tos varētu izmantot tālākam izvērtējumam. Attiecīgi dabiskie stāvlaukumi un kempingi novērtēti ar 4 no 5, bet zemāks vērtējums ir auto stāvlaukumiem – 3,4 punkti no 5.</w:t>
      </w:r>
    </w:p>
    <w:p w14:paraId="0A9BABB5" w14:textId="77777777" w:rsidR="001872F9" w:rsidRPr="00675182" w:rsidRDefault="001872F9" w:rsidP="001872F9">
      <w:pPr>
        <w:jc w:val="both"/>
        <w:rPr>
          <w:rFonts w:cstheme="minorHAnsi"/>
          <w:szCs w:val="24"/>
        </w:rPr>
      </w:pPr>
    </w:p>
    <w:p w14:paraId="11170138" w14:textId="77777777" w:rsidR="001872F9" w:rsidRPr="00675182" w:rsidRDefault="001872F9" w:rsidP="001872F9">
      <w:pPr>
        <w:jc w:val="both"/>
        <w:rPr>
          <w:rFonts w:cstheme="minorHAnsi"/>
          <w:szCs w:val="24"/>
        </w:rPr>
      </w:pPr>
      <w:r w:rsidRPr="00675182">
        <w:rPr>
          <w:rFonts w:cstheme="minorHAnsi"/>
          <w:szCs w:val="24"/>
        </w:rPr>
        <w:t>2021. gadā, apkopojot 82836 klientu atsauksmes publiskajā vidē (Google profili, un Tripadvisor) par apmeklētāju apmierinātību ar GNP tūristu piesaistēm un atpūtas vietām, vidējais vērtējums ir salīdzinoši augsts – 4,54. Ārvalstu tūristu vērtējumā GNP tūristu piesaistes un infrastruktūra, sniegtie pakalpojumi pat vērtēti nedaudz augstāk, nekā starp vietējiem apmeklētājiem. Taču iezīmējas arī daudz konkrētas problēmu vietas vai sistemātiskas kļūdas ilgtspējīgas apsaimniekošanas nodrošināšanā.</w:t>
      </w:r>
    </w:p>
    <w:p w14:paraId="6C9602D0" w14:textId="4E920077" w:rsidR="002C608C" w:rsidRPr="00675182" w:rsidRDefault="002C608C" w:rsidP="002B3341">
      <w:pPr>
        <w:rPr>
          <w:rFonts w:cstheme="minorHAnsi"/>
          <w:bCs/>
        </w:rPr>
      </w:pPr>
    </w:p>
    <w:p w14:paraId="5228A70D" w14:textId="6130E856" w:rsidR="00C81FDD" w:rsidRPr="00675182" w:rsidRDefault="00C81FDD" w:rsidP="002B3341">
      <w:pPr>
        <w:rPr>
          <w:rFonts w:cstheme="minorHAnsi"/>
          <w:b/>
        </w:rPr>
      </w:pPr>
      <w:r w:rsidRPr="00675182">
        <w:rPr>
          <w:rFonts w:cstheme="minorHAnsi"/>
          <w:b/>
        </w:rPr>
        <w:t>Sociālekonomiskā ietekme – mājsaimniecības un ceļotāju aptaujas dati</w:t>
      </w:r>
    </w:p>
    <w:p w14:paraId="2484C4FB" w14:textId="02735852" w:rsidR="00C81FDD" w:rsidRPr="00675182" w:rsidRDefault="00C81FDD" w:rsidP="00C81FDD">
      <w:pPr>
        <w:jc w:val="both"/>
      </w:pPr>
      <w:r w:rsidRPr="00675182">
        <w:t>No 275 aptaujātajiem GNP mājsaimniecību pārstāvjiem saimniecisko darbību ĪADT veic 23,1 %. Izplatītākais veids ir piemājas dārzs. 74,5 % to uztver kā vaļasprieku. Taču 5,7 % mājsaimniecību, kurās veic saimniecisko darbību, piemājas dārzs ir galvenais iztikas avots, bet vēl 3,8 % - nozīmīgs neregulārs ienākums. Saimniekotāju segmentā kā galvenais iztikas avots lauksaimniecība ir 5,2 %, bet mežsaimniecība 6,3 %, līdzīgā skaitā tūrisms, mazāk amatniecība vai mājražošana u.c. Saimniecisko darbību visbiežāk īsteno cilvēki, kas norādījuši, ka mēnesī gūst vidējus ienākumus (1000-2000 EUR vai 2000-4000 EUR mēnesī). No saimniekotājiem tikai 2,9 % uzskata, ka viņu saimnieciskā darbība rada lielu ietekmi uz apkārtējo vidi un dabu, vēl 12,8</w:t>
      </w:r>
      <w:r w:rsidR="003E18DD">
        <w:t>%</w:t>
      </w:r>
      <w:r w:rsidRPr="00675182">
        <w:t xml:space="preserve"> atzīt, ka viņu saimniekošana rada nelielu negatīvu ietekmi. No tām mājsaimniecībām, kuru pārstāvji norādīja savus ienākumus (n=251), 17,9% ir ar zemiem ienākumiem (500-1000 EUR mēnesī mājsaimniecībai), 49,8 % ir ar vidēji zemiem ienākumiem (1000-2000 EUR mēnesī mājsaimniecībai), 22,3 % 2000-4000 EUR mēnesī. Tikai 2,4 % saņem vairāk par 4000 EUR mēnesī mājsaimniecībā. Visbiežāk minētais mājsaimniecības lielums ir divi cilvēki, kam seko trīs un četri. No tiem, kuri atbildēja, ka strādā algotu darbu, 50,5 % </w:t>
      </w:r>
      <w:r w:rsidRPr="00675182">
        <w:lastRenderedPageBreak/>
        <w:t>tas neatrodas GNP – brauc strādāt ārpus ĪADT. No aptaujātajiem GNP iedzīvotājiem algotu darbu GNP teritorijā īsteno 29,5 %. Neliela daļa strādā attālināti.</w:t>
      </w:r>
    </w:p>
    <w:p w14:paraId="493F7BA0" w14:textId="77777777" w:rsidR="00C81FDD" w:rsidRPr="00675182" w:rsidRDefault="00C81FDD" w:rsidP="00C81FDD">
      <w:pPr>
        <w:jc w:val="both"/>
        <w:rPr>
          <w:rFonts w:eastAsiaTheme="minorHAnsi" w:cstheme="minorBidi"/>
          <w:sz w:val="22"/>
          <w:lang w:eastAsia="en-US"/>
        </w:rPr>
      </w:pPr>
    </w:p>
    <w:p w14:paraId="148589AF" w14:textId="237694A6" w:rsidR="00C81FDD" w:rsidRPr="00675182" w:rsidRDefault="00C81FDD" w:rsidP="00C81FDD">
      <w:pPr>
        <w:jc w:val="both"/>
      </w:pPr>
      <w:r w:rsidRPr="00675182">
        <w:t>Analizējot ceļotāju aptauju, nakšņojošo tūristu izdevumu profila aprēķins veikts uz vienu personu ceļojumam kopumā. Biežāk pieminētā ceļa izdevumu kategorija bija 10-30 EUR (30,5 %), bet vidēji 30,8 EUR. No aptaujātajiem 75 % nav tērējuši naudu autostāvlaukumu apmaksai. Visbiežāk minētā atbilde no tiem, kuri tērēja– līdz 5 EUR (11,7 %). Par ēšanu vidēji tūristi tērējuši 24,8 EUR, visbiežāk minētā atbilde: 10-30 EUR. Par nakšņošanu aptaujāto tūristu uzrādītie izdevumi ir vidēji augsti. Visbiežāk minētā summa ir pat vairāk nekā 100 EUR par personu ceļojuma laikā. Tas sadalās līdzīgi ar tiem, kuri norādīja 10-30 un 30-100 EUR. Vidēji par nakšņošanu ceļojuma laikā maksāts 59,7 EUR personai. 2019. gadā vidējais ceļojuma ilgums Latvijā bija 2,3 naktis, bet Covid-19 gados tas palielinājās. Lielākai daļai nav izdevumu par ieejas biļetēm (ņemot vērā, ka aptauja notika Covid-19 laikā) nebija. Bet te ieskaitāmas arī publisko pasākumu, tostarp koncertu biļetes. Pārējās cenu kategorijas izdevumos par biļetēm sadalās līdzīgi. 78% tūristu nav bijuši izdevumi par inventāra nomu, bet tiem, kuriem ir, visbiežāk minētā atbilde – 30-100 EUR ceļojuma laikā uz vienu cilvēku. Dažādiem pirkumiem vidēji tērēti 36,8 EUR ceļojuma laikā par personu.</w:t>
      </w:r>
    </w:p>
    <w:p w14:paraId="173170E2" w14:textId="77777777" w:rsidR="00C81FDD" w:rsidRPr="00675182" w:rsidRDefault="00C81FDD" w:rsidP="00C81FDD">
      <w:pPr>
        <w:jc w:val="both"/>
      </w:pPr>
    </w:p>
    <w:p w14:paraId="61FFB066" w14:textId="5EC45A01" w:rsidR="00C81FDD" w:rsidRPr="00675182" w:rsidRDefault="00C81FDD" w:rsidP="00C81FDD">
      <w:pPr>
        <w:jc w:val="both"/>
      </w:pPr>
      <w:r w:rsidRPr="00675182">
        <w:t>Ņemot vērā, ka GNP kopā 2019. gadā bija 87 633 viesu pavadītās naktis, no kurām 41 % ārvalstu tūristu, kas vidēji tērēja 24,41 EUR</w:t>
      </w:r>
      <w:r w:rsidRPr="00675182">
        <w:rPr>
          <w:rStyle w:val="FootnoteReference"/>
        </w:rPr>
        <w:footnoteReference w:id="4"/>
      </w:r>
      <w:r w:rsidRPr="00675182">
        <w:t>, tad kopējie ienākumi no vietējiem tūristiem sasniedza 1,26 milj. EUR, bet no ārvalstniekiem, kuru vidēji tērēja 65 EUR diennaktī</w:t>
      </w:r>
      <w:r w:rsidRPr="00675182">
        <w:rPr>
          <w:rStyle w:val="FootnoteReference"/>
        </w:rPr>
        <w:footnoteReference w:id="5"/>
      </w:r>
      <w:r w:rsidRPr="00675182">
        <w:t xml:space="preserve"> (No Vācijas vairāk, no Igaunijas mazāk), ienākumi sasniedza 2,34 milj. EUR. Kopā nakšņojošie tūristi iztērējuši ap 3,6 milj. EUR. Taču jāņem vērtā, ka vairāk nekā 2/3 no ieņēmumiem ar GNP zīmolu tūrisma tiek piesaistīti tuvākās apkārtnes viesmīlības uzņēmumiem.</w:t>
      </w:r>
    </w:p>
    <w:p w14:paraId="2DBDB247" w14:textId="77777777" w:rsidR="00C81FDD" w:rsidRPr="00675182" w:rsidRDefault="00C81FDD" w:rsidP="00C81FDD">
      <w:pPr>
        <w:jc w:val="both"/>
      </w:pPr>
    </w:p>
    <w:p w14:paraId="2AD94F45" w14:textId="1E1003CE" w:rsidR="002C608C" w:rsidRPr="00675182" w:rsidRDefault="00C81FDD" w:rsidP="00C81FDD">
      <w:pPr>
        <w:jc w:val="both"/>
        <w:rPr>
          <w:rFonts w:cstheme="minorHAnsi"/>
          <w:bCs/>
        </w:rPr>
      </w:pPr>
      <w:r w:rsidRPr="00675182">
        <w:t xml:space="preserve">Latvijas iedzīvotāju vidējie izdevumi braucienos pa Latviju vienas dienas ceļojuma gadījumā ir ~ 26 EUR, vairāku dienu ceļojumā kopumā sasniedz 56 EUR. Ja salīdzina ar </w:t>
      </w:r>
      <w:r w:rsidR="00C871BA" w:rsidRPr="00675182">
        <w:t>C</w:t>
      </w:r>
      <w:r w:rsidR="00C871BA">
        <w:t>entrālās statistikas pārvaldes</w:t>
      </w:r>
      <w:r w:rsidR="00C871BA" w:rsidRPr="00675182">
        <w:t xml:space="preserve"> </w:t>
      </w:r>
      <w:r w:rsidRPr="00675182">
        <w:t>apkopto informāciju par 2019. gadu, kad vienas dienas ceļojumā uz kaimiņvalstīm vidēji viens Latvijas rezidents tērēja 63,8 EUR</w:t>
      </w:r>
      <w:r w:rsidRPr="00675182">
        <w:rPr>
          <w:rStyle w:val="FootnoteReference"/>
        </w:rPr>
        <w:footnoteReference w:id="6"/>
      </w:r>
      <w:r w:rsidRPr="00675182">
        <w:t xml:space="preserve">, tad vietējie izdevumi ir (objektīvi) zemāki. Saskaņā ar Eurostat datiem Latvijas iedzīvotāji gandrīz 70 % no ceļojumu kopskaita veic savā valstī, kas uz citu ES valstu fona ir vidējs rādītājs. Vietējo ceļotāju izdevumi sastāda tikai nedaudz vairāk nekā 50 % no visiem tūrisma izdevumiem Latvijā. Otru pusi ienes ārvalstu ceļotāji. Bet vietējo ceļojumu skaits palielinās. GNP specifika līdz ar Rīgas un vairāku reģiona pilsētu tuvu atrašanos, ka galamērķī ir liels viendienas ceļotāju un atpūtnieku skaits. 51,4 % norādīja, ka atpūtas laikā viņiem nav bijis nekādu izdevumu, kas visticamāk ir tuvākās apkārtnes iedzīvotāji, kas izmanto vietu pieejamību un infrastruktūru rekreatīvos nolūkos, bet pamatā neizmanto pakalpojumus. No tiem, kuri norādīja izdevumus, ceļa izmaksām vidēji tērēja 9,6 EUR, par autostāvvietām 87,7 % nesamaksāja nemaz, tie kuri maksāja – visbiežāk mazāk par 5 EUR. Ēšanai vidēji tērēti 9 EUR. Vairāk nekā puse no </w:t>
      </w:r>
      <w:r w:rsidRPr="00675182">
        <w:lastRenderedPageBreak/>
        <w:t xml:space="preserve">respondentiem nav tērējuši ieejas biļetēm, bet vidējā summa tām ir ap 4,4 EUR. Inventāra noma kā izdevumu pozīcija parādās nelielam skaitam respondentu – vienas dienas ceļotāju (8,4%), vidēji 5,2 EUR tērēti dažādiem pirkumiem. Aptaujas rezultātā iegūtie izdevumi ir nedaudz augstāki par Latvijas vidējiem (~32 EUR diennaktī), taču tas rēķināts uz to daļu apmeklētāju, kam bijuši izdevumi vispār, turklāt bieži izdevumi par ceļu, arī dažādi pirkumi nav ceļojuma galamērķī, bet tuvāk ceļotāju mītnes vietai. Attiecinot šos izdevumus uz to pusi ceļotāju, kuriem bijuši izdevumi, vērtējot, ka to apmeklējumu skaits pārsniedz vienu miljonu gadā, tad arī ienākumu daļa šajā segmentā pārsniedz 30 miljonus EUR gadā. No kopējiem tēriņiem lielākās izdevumu pozīcijas attiecas uz ceļa izdevumiem, ēšanu un pirkumiem mazumtirdzniecības veikalos. Arī šeit jāņem vērā, ka apkārtējo pilsētu uzņēmēju ienākumi, apkalpojot daļēji ar GNP saistītu ceļotāju un atpūtnieku vajadzības ir daudzkārt lielāki. </w:t>
      </w:r>
    </w:p>
    <w:p w14:paraId="668625C8" w14:textId="77777777" w:rsidR="00C81FDD" w:rsidRPr="00675182" w:rsidRDefault="00C81FDD" w:rsidP="002B3341">
      <w:pPr>
        <w:rPr>
          <w:rFonts w:cstheme="minorHAnsi"/>
          <w:bCs/>
        </w:rPr>
      </w:pPr>
    </w:p>
    <w:p w14:paraId="3186B419" w14:textId="6DC2D584" w:rsidR="00C81FDD" w:rsidRPr="00675182" w:rsidRDefault="00C81FDD" w:rsidP="002B3341">
      <w:pPr>
        <w:rPr>
          <w:rFonts w:cstheme="minorHAnsi"/>
          <w:bCs/>
        </w:rPr>
        <w:sectPr w:rsidR="00C81FDD" w:rsidRPr="00675182" w:rsidSect="00CD74B1">
          <w:headerReference w:type="default" r:id="rId84"/>
          <w:pgSz w:w="11905" w:h="16837"/>
          <w:pgMar w:top="1440" w:right="1797" w:bottom="1440"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7"/>
      </w:tblGrid>
      <w:tr w:rsidR="00280331" w:rsidRPr="00675182" w14:paraId="65FF4C43" w14:textId="77777777" w:rsidTr="006D20E3">
        <w:tc>
          <w:tcPr>
            <w:tcW w:w="13947" w:type="dxa"/>
          </w:tcPr>
          <w:p w14:paraId="23AE04EA" w14:textId="5CC49EEB" w:rsidR="00280331" w:rsidRPr="00675182" w:rsidRDefault="00A22C9C" w:rsidP="00BB10AE">
            <w:pPr>
              <w:jc w:val="center"/>
              <w:rPr>
                <w:rFonts w:cstheme="minorHAnsi"/>
              </w:rPr>
            </w:pPr>
            <w:r w:rsidRPr="00675182">
              <w:rPr>
                <w:noProof/>
              </w:rPr>
              <w:lastRenderedPageBreak/>
              <w:drawing>
                <wp:inline distT="0" distB="0" distL="0" distR="0" wp14:anchorId="7E77AAB3" wp14:editId="4F2D2AB6">
                  <wp:extent cx="7121858" cy="5040000"/>
                  <wp:effectExtent l="0" t="0" r="3175" b="8255"/>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121858" cy="5040000"/>
                          </a:xfrm>
                          <a:prstGeom prst="rect">
                            <a:avLst/>
                          </a:prstGeom>
                          <a:noFill/>
                          <a:ln>
                            <a:noFill/>
                          </a:ln>
                        </pic:spPr>
                      </pic:pic>
                    </a:graphicData>
                  </a:graphic>
                </wp:inline>
              </w:drawing>
            </w:r>
          </w:p>
        </w:tc>
      </w:tr>
      <w:tr w:rsidR="00280331" w:rsidRPr="00675182" w14:paraId="210CA55F" w14:textId="77777777" w:rsidTr="006D20E3">
        <w:tc>
          <w:tcPr>
            <w:tcW w:w="13947" w:type="dxa"/>
          </w:tcPr>
          <w:p w14:paraId="0E1D9C94" w14:textId="62E6304F" w:rsidR="00280331" w:rsidRPr="00675182" w:rsidRDefault="00280331" w:rsidP="002B3341">
            <w:pPr>
              <w:rPr>
                <w:rFonts w:cstheme="minorHAnsi"/>
              </w:rPr>
            </w:pPr>
            <w:r w:rsidRPr="00675182">
              <w:rPr>
                <w:rFonts w:cstheme="minorHAnsi"/>
                <w:b/>
                <w:i/>
              </w:rPr>
              <w:t>1.</w:t>
            </w:r>
            <w:r w:rsidR="009F4DCC" w:rsidRPr="00675182">
              <w:rPr>
                <w:rFonts w:cstheme="minorHAnsi"/>
                <w:b/>
                <w:i/>
              </w:rPr>
              <w:t>3</w:t>
            </w:r>
            <w:r w:rsidRPr="00675182">
              <w:rPr>
                <w:rFonts w:cstheme="minorHAnsi"/>
                <w:b/>
                <w:i/>
              </w:rPr>
              <w:t>.</w:t>
            </w:r>
            <w:r w:rsidR="00F8013B" w:rsidRPr="00675182">
              <w:rPr>
                <w:rFonts w:cstheme="minorHAnsi"/>
                <w:b/>
                <w:i/>
              </w:rPr>
              <w:t>1</w:t>
            </w:r>
            <w:r w:rsidR="0096443B" w:rsidRPr="00675182">
              <w:rPr>
                <w:rFonts w:cstheme="minorHAnsi"/>
                <w:b/>
                <w:i/>
              </w:rPr>
              <w:t>8</w:t>
            </w:r>
            <w:r w:rsidRPr="00675182">
              <w:rPr>
                <w:rFonts w:cstheme="minorHAnsi"/>
                <w:b/>
                <w:i/>
              </w:rPr>
              <w:t>. attēls. GNP nozīmīgākie tūrisma infrastruktūras objekti</w:t>
            </w:r>
          </w:p>
        </w:tc>
      </w:tr>
    </w:tbl>
    <w:p w14:paraId="6BFF2CB7" w14:textId="77777777" w:rsidR="00D679B1" w:rsidRPr="00675182" w:rsidRDefault="00D679B1" w:rsidP="002B3341">
      <w:pPr>
        <w:rPr>
          <w:rFonts w:cstheme="minorHAnsi"/>
        </w:rPr>
        <w:sectPr w:rsidR="00D679B1" w:rsidRPr="00675182" w:rsidSect="00D679B1">
          <w:headerReference w:type="default" r:id="rId86"/>
          <w:pgSz w:w="16837" w:h="11905" w:orient="landscape"/>
          <w:pgMar w:top="1797" w:right="1440" w:bottom="1797" w:left="1440" w:header="720" w:footer="720" w:gutter="0"/>
          <w:cols w:space="720"/>
          <w:docGrid w:linePitch="360"/>
        </w:sectPr>
      </w:pPr>
    </w:p>
    <w:p w14:paraId="34D6BA35" w14:textId="6595CF95" w:rsidR="00EB3DD2" w:rsidRPr="00675182" w:rsidRDefault="00DD791B" w:rsidP="00CC0016">
      <w:pPr>
        <w:pStyle w:val="Heading4"/>
        <w:rPr>
          <w:rFonts w:asciiTheme="minorHAnsi" w:hAnsiTheme="minorHAnsi" w:cstheme="minorHAnsi"/>
        </w:rPr>
      </w:pPr>
      <w:r w:rsidRPr="00675182">
        <w:rPr>
          <w:rFonts w:asciiTheme="minorHAnsi" w:hAnsiTheme="minorHAnsi" w:cstheme="minorHAnsi"/>
        </w:rPr>
        <w:lastRenderedPageBreak/>
        <w:t>1.</w:t>
      </w:r>
      <w:r w:rsidR="003B385A" w:rsidRPr="00675182">
        <w:rPr>
          <w:rFonts w:asciiTheme="minorHAnsi" w:hAnsiTheme="minorHAnsi" w:cstheme="minorHAnsi"/>
        </w:rPr>
        <w:t>3</w:t>
      </w:r>
      <w:r w:rsidRPr="00675182">
        <w:rPr>
          <w:rFonts w:asciiTheme="minorHAnsi" w:hAnsiTheme="minorHAnsi" w:cstheme="minorHAnsi"/>
        </w:rPr>
        <w:t>.3.3</w:t>
      </w:r>
      <w:r w:rsidR="00E34B71" w:rsidRPr="00675182">
        <w:rPr>
          <w:rFonts w:asciiTheme="minorHAnsi" w:hAnsiTheme="minorHAnsi" w:cstheme="minorHAnsi"/>
        </w:rPr>
        <w:t xml:space="preserve">. </w:t>
      </w:r>
      <w:r w:rsidR="00011E51" w:rsidRPr="00675182">
        <w:rPr>
          <w:rFonts w:asciiTheme="minorHAnsi" w:hAnsiTheme="minorHAnsi" w:cstheme="minorHAnsi"/>
        </w:rPr>
        <w:t>Mežsaimniecība</w:t>
      </w:r>
    </w:p>
    <w:p w14:paraId="4CBEEE62" w14:textId="65C34375" w:rsidR="00A65014" w:rsidRPr="00675182" w:rsidRDefault="00A65014" w:rsidP="00A65014">
      <w:pPr>
        <w:spacing w:before="120"/>
        <w:jc w:val="both"/>
        <w:rPr>
          <w:rFonts w:cstheme="minorHAnsi"/>
        </w:rPr>
      </w:pPr>
      <w:r w:rsidRPr="00675182">
        <w:rPr>
          <w:rFonts w:cstheme="minorHAnsi"/>
        </w:rPr>
        <w:t xml:space="preserve">Meža zemju platības GNP aizņem 51335,9 ha (atbilstoši informācijai Meža valsts reģistrā </w:t>
      </w:r>
      <w:r w:rsidR="001C5655" w:rsidRPr="00675182">
        <w:rPr>
          <w:rFonts w:cstheme="minorHAnsi"/>
        </w:rPr>
        <w:t xml:space="preserve">(MVR) </w:t>
      </w:r>
      <w:r w:rsidRPr="00675182">
        <w:rPr>
          <w:rFonts w:cstheme="minorHAnsi"/>
        </w:rPr>
        <w:t>(dati no 15.03.2022.); atbilstoši LĢIA informācijai meži un krūmāji aizņem 52525 ha (uz 2019. gadu). Nedaudz vairāk nekā puse – 56% meža zemju platību GNP pieder fiziskām vai juridiskām personām, atlikušie 44% platības ir valsts vai pašvaldību īpašums (1.3.1</w:t>
      </w:r>
      <w:r w:rsidR="0096443B" w:rsidRPr="00675182">
        <w:rPr>
          <w:rFonts w:cstheme="minorHAnsi"/>
        </w:rPr>
        <w:t>9</w:t>
      </w:r>
      <w:r w:rsidRPr="00675182">
        <w:rPr>
          <w:rFonts w:cstheme="minorHAnsi"/>
        </w:rPr>
        <w:t>. attēls). MVR uzskaitītā platība, atbilstoši meža zemes klasifikācijas iedalījumam, pamatā ietilpst trīs meža zemes klasēs: mežaudzes – 46899,9 ha, sūnu purvi – 2715,2 ha un izcirtumi 911,4 ha (proporcionālo sadalījumu skat. 1.3.1</w:t>
      </w:r>
      <w:r w:rsidR="0096443B" w:rsidRPr="00675182">
        <w:rPr>
          <w:rFonts w:cstheme="minorHAnsi"/>
        </w:rPr>
        <w:t>9</w:t>
      </w:r>
      <w:r w:rsidRPr="00675182">
        <w:rPr>
          <w:rFonts w:cstheme="minorHAnsi"/>
        </w:rPr>
        <w:t>. attēlā). Pārējās meža zemes kategorijas pārstāvētas mazāk nekā 0,5% platības.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65014" w:rsidRPr="00675182" w14:paraId="54BFDBF6" w14:textId="77777777" w:rsidTr="00A65014">
        <w:tc>
          <w:tcPr>
            <w:tcW w:w="8301" w:type="dxa"/>
            <w:hideMark/>
          </w:tcPr>
          <w:p w14:paraId="53CC03EF" w14:textId="6EA3A68B" w:rsidR="00A65014" w:rsidRPr="00675182" w:rsidRDefault="00A65014">
            <w:pPr>
              <w:spacing w:before="120"/>
              <w:jc w:val="both"/>
              <w:rPr>
                <w:rFonts w:cstheme="minorHAnsi"/>
              </w:rPr>
            </w:pPr>
            <w:r w:rsidRPr="00675182">
              <w:rPr>
                <w:rFonts w:cstheme="minorHAnsi"/>
                <w:noProof/>
              </w:rPr>
              <w:drawing>
                <wp:inline distT="0" distB="0" distL="0" distR="0" wp14:anchorId="718B64B2" wp14:editId="5A61A27E">
                  <wp:extent cx="3870960" cy="2392680"/>
                  <wp:effectExtent l="0" t="0" r="0" b="7620"/>
                  <wp:docPr id="200" name="Diagramma 200">
                    <a:extLst xmlns:a="http://schemas.openxmlformats.org/drawingml/2006/main">
                      <a:ext uri="{FF2B5EF4-FFF2-40B4-BE49-F238E27FC236}">
                        <a16:creationId xmlns:a16="http://schemas.microsoft.com/office/drawing/2014/main" id="{2EEBDD2F-B114-4399-9C88-A68EC0CF8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c>
      </w:tr>
      <w:tr w:rsidR="00A65014" w:rsidRPr="00675182" w14:paraId="69F8CB17" w14:textId="77777777" w:rsidTr="00A65014">
        <w:tc>
          <w:tcPr>
            <w:tcW w:w="8301" w:type="dxa"/>
            <w:hideMark/>
          </w:tcPr>
          <w:p w14:paraId="5F665B09" w14:textId="03E93179" w:rsidR="00A65014" w:rsidRPr="00675182" w:rsidRDefault="00A65014">
            <w:pPr>
              <w:jc w:val="both"/>
              <w:rPr>
                <w:rFonts w:cstheme="minorHAnsi"/>
                <w:b/>
                <w:bCs/>
                <w:i/>
                <w:iCs/>
              </w:rPr>
            </w:pPr>
            <w:r w:rsidRPr="00675182">
              <w:rPr>
                <w:rFonts w:cstheme="minorHAnsi"/>
                <w:b/>
                <w:bCs/>
                <w:i/>
                <w:iCs/>
              </w:rPr>
              <w:t>1.3.1</w:t>
            </w:r>
            <w:r w:rsidR="0096443B" w:rsidRPr="00675182">
              <w:rPr>
                <w:rFonts w:cstheme="minorHAnsi"/>
                <w:b/>
                <w:bCs/>
                <w:i/>
                <w:iCs/>
              </w:rPr>
              <w:t>9</w:t>
            </w:r>
            <w:r w:rsidRPr="00675182">
              <w:rPr>
                <w:rFonts w:cstheme="minorHAnsi"/>
                <w:b/>
                <w:bCs/>
                <w:i/>
                <w:iCs/>
              </w:rPr>
              <w:t>. attēls Meža zemju kategorijas GNP</w:t>
            </w:r>
          </w:p>
          <w:p w14:paraId="74BF4CF8" w14:textId="77777777" w:rsidR="00A65014" w:rsidRPr="00675182" w:rsidRDefault="00A65014">
            <w:pPr>
              <w:jc w:val="both"/>
              <w:rPr>
                <w:rFonts w:cstheme="minorHAnsi"/>
                <w:b/>
                <w:bCs/>
                <w:i/>
                <w:iCs/>
              </w:rPr>
            </w:pPr>
            <w:r w:rsidRPr="00675182">
              <w:rPr>
                <w:rFonts w:cstheme="minorHAnsi"/>
                <w:sz w:val="20"/>
                <w:szCs w:val="16"/>
              </w:rPr>
              <w:t>Datu avots: VMD, 2020</w:t>
            </w:r>
          </w:p>
        </w:tc>
      </w:tr>
    </w:tbl>
    <w:p w14:paraId="08941B15" w14:textId="77777777" w:rsidR="00A65014" w:rsidRPr="00675182" w:rsidRDefault="00A65014" w:rsidP="00A65014">
      <w:pPr>
        <w:suppressAutoHyphens w:val="0"/>
        <w:rPr>
          <w:rFonts w:cstheme="minorHAnsi"/>
        </w:rPr>
      </w:pPr>
    </w:p>
    <w:p w14:paraId="34DFB36B" w14:textId="6FD585F9" w:rsidR="00A65014" w:rsidRPr="00675182" w:rsidRDefault="00A65014" w:rsidP="00A65014">
      <w:pPr>
        <w:suppressAutoHyphens w:val="0"/>
        <w:jc w:val="both"/>
        <w:rPr>
          <w:rFonts w:eastAsia="Times New Roman" w:cstheme="minorHAnsi"/>
          <w:szCs w:val="24"/>
          <w:lang w:eastAsia="en-GB"/>
        </w:rPr>
      </w:pPr>
      <w:r w:rsidRPr="00675182">
        <w:rPr>
          <w:rFonts w:cstheme="minorHAnsi"/>
        </w:rPr>
        <w:t>GNP teritorijā vislielākās platības (~ 79%) aizņem meži sausieņu augšanas apstākļos, pārmitrie meža augšanas apstākļi – slapjaiņi un purvaiņi aizņem 7%, savukārt susinātie augšanas apstākļi sastopami tikai 6% meža platību. Detalizētu izplatītāko meža tipu sadalījumu GNP ir attēlots 1.3.</w:t>
      </w:r>
      <w:r w:rsidR="0096443B" w:rsidRPr="00675182">
        <w:rPr>
          <w:rFonts w:cstheme="minorHAnsi"/>
        </w:rPr>
        <w:t>20</w:t>
      </w:r>
      <w:r w:rsidRPr="00675182">
        <w:rPr>
          <w:rFonts w:cstheme="minorHAnsi"/>
        </w:rPr>
        <w:t>. attēlā. Susinātie meža augšanas apstākļu tipi GNP aizņem ļoti nelielas platības, vidēji Latvijā susināto augšanas apstākļu tipi aizņem aptuveni 33% no meža platībām. Meža tipu telpisko izplatību GNP teritorijā skat</w:t>
      </w:r>
      <w:r w:rsidR="003C36F1">
        <w:rPr>
          <w:rFonts w:cstheme="minorHAnsi"/>
        </w:rPr>
        <w:t>.</w:t>
      </w:r>
      <w:r w:rsidRPr="00675182">
        <w:rPr>
          <w:rFonts w:cstheme="minorHAnsi"/>
        </w:rPr>
        <w:t xml:space="preserve"> 1.3.</w:t>
      </w:r>
      <w:r w:rsidR="00404A46" w:rsidRPr="00675182">
        <w:rPr>
          <w:rFonts w:cstheme="minorHAnsi"/>
        </w:rPr>
        <w:t>3</w:t>
      </w:r>
      <w:r w:rsidR="0096443B" w:rsidRPr="00675182">
        <w:rPr>
          <w:rFonts w:cstheme="minorHAnsi"/>
        </w:rPr>
        <w:t>3</w:t>
      </w:r>
      <w:r w:rsidRPr="00675182">
        <w:rPr>
          <w:rFonts w:cstheme="minorHAnsi"/>
        </w:rPr>
        <w:t>. attēlā.</w:t>
      </w:r>
      <w:r w:rsidRPr="00675182">
        <w:rPr>
          <w:rFonts w:eastAsia="Times New Roman" w:cstheme="minorHAnsi"/>
          <w:szCs w:val="24"/>
          <w:lang w:eastAsia="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65014" w:rsidRPr="00675182" w14:paraId="5E24EABE" w14:textId="77777777" w:rsidTr="00A65014">
        <w:tc>
          <w:tcPr>
            <w:tcW w:w="8301" w:type="dxa"/>
            <w:hideMark/>
          </w:tcPr>
          <w:p w14:paraId="7738EE8F" w14:textId="5E5666FF" w:rsidR="00A65014" w:rsidRPr="00675182" w:rsidRDefault="00A65014">
            <w:pPr>
              <w:spacing w:before="120"/>
              <w:jc w:val="both"/>
              <w:rPr>
                <w:rFonts w:cstheme="minorHAnsi"/>
              </w:rPr>
            </w:pPr>
            <w:r w:rsidRPr="00675182">
              <w:rPr>
                <w:rFonts w:cstheme="minorHAnsi"/>
                <w:noProof/>
              </w:rPr>
              <w:lastRenderedPageBreak/>
              <w:drawing>
                <wp:inline distT="0" distB="0" distL="0" distR="0" wp14:anchorId="0BA2F03C" wp14:editId="125EEA7D">
                  <wp:extent cx="5013960" cy="2811780"/>
                  <wp:effectExtent l="0" t="0" r="0" b="7620"/>
                  <wp:docPr id="191" name="Diagramma 191">
                    <a:extLst xmlns:a="http://schemas.openxmlformats.org/drawingml/2006/main">
                      <a:ext uri="{FF2B5EF4-FFF2-40B4-BE49-F238E27FC236}">
                        <a16:creationId xmlns:a16="http://schemas.microsoft.com/office/drawing/2014/main" id="{C0E0CD34-4606-47F2-9C97-331086A0B5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c>
      </w:tr>
      <w:tr w:rsidR="00A65014" w:rsidRPr="00675182" w14:paraId="6FCB2418" w14:textId="77777777" w:rsidTr="00A65014">
        <w:tc>
          <w:tcPr>
            <w:tcW w:w="8301" w:type="dxa"/>
            <w:hideMark/>
          </w:tcPr>
          <w:p w14:paraId="494E7289" w14:textId="022807BD" w:rsidR="00A65014" w:rsidRPr="00675182" w:rsidRDefault="00A65014">
            <w:pPr>
              <w:jc w:val="both"/>
              <w:rPr>
                <w:rFonts w:cstheme="minorHAnsi"/>
                <w:b/>
                <w:bCs/>
                <w:i/>
                <w:iCs/>
              </w:rPr>
            </w:pPr>
            <w:r w:rsidRPr="00675182">
              <w:rPr>
                <w:rFonts w:cstheme="minorHAnsi"/>
                <w:b/>
                <w:bCs/>
                <w:i/>
                <w:iCs/>
              </w:rPr>
              <w:t>1.3.</w:t>
            </w:r>
            <w:r w:rsidR="0096443B" w:rsidRPr="00675182">
              <w:rPr>
                <w:rFonts w:cstheme="minorHAnsi"/>
                <w:b/>
                <w:bCs/>
                <w:i/>
                <w:iCs/>
              </w:rPr>
              <w:t>20</w:t>
            </w:r>
            <w:r w:rsidRPr="00675182">
              <w:rPr>
                <w:rFonts w:cstheme="minorHAnsi"/>
                <w:b/>
                <w:bCs/>
                <w:i/>
                <w:iCs/>
              </w:rPr>
              <w:t>. attēls. Izplatītāko meža tipu procentuālais sadalījums no meža platības GNP</w:t>
            </w:r>
          </w:p>
          <w:p w14:paraId="618CC0BE" w14:textId="77777777" w:rsidR="00A65014" w:rsidRPr="00675182" w:rsidRDefault="00A65014">
            <w:pPr>
              <w:jc w:val="both"/>
              <w:rPr>
                <w:rFonts w:cstheme="minorHAnsi"/>
                <w:b/>
                <w:bCs/>
                <w:i/>
                <w:iCs/>
              </w:rPr>
            </w:pPr>
            <w:r w:rsidRPr="00675182">
              <w:rPr>
                <w:rFonts w:cstheme="minorHAnsi"/>
                <w:sz w:val="20"/>
                <w:szCs w:val="16"/>
              </w:rPr>
              <w:t>Datu avots: VMD, 2020</w:t>
            </w:r>
          </w:p>
        </w:tc>
      </w:tr>
    </w:tbl>
    <w:p w14:paraId="5F349C36" w14:textId="77777777" w:rsidR="00A65014" w:rsidRPr="00675182" w:rsidRDefault="00A65014" w:rsidP="00A65014">
      <w:pPr>
        <w:spacing w:before="120"/>
        <w:jc w:val="both"/>
        <w:rPr>
          <w:rFonts w:cstheme="minorHAnsi"/>
        </w:rPr>
      </w:pPr>
    </w:p>
    <w:p w14:paraId="0059A840" w14:textId="77777777" w:rsidR="00A65014" w:rsidRPr="00675182" w:rsidRDefault="00A65014" w:rsidP="00A65014">
      <w:pPr>
        <w:jc w:val="both"/>
        <w:rPr>
          <w:rFonts w:cstheme="minorHAnsi"/>
        </w:rPr>
      </w:pPr>
      <w:r w:rsidRPr="00675182">
        <w:rPr>
          <w:rFonts w:cstheme="minorHAnsi"/>
        </w:rPr>
        <w:t>Vislielāko platību no sausieņu meža augšanas apstākļu tipiem aizņem damakšņa, vēra un lāna meža tipi, attiecīgi 21402 ha, 9891 ha un 5861 ha. Izplatītākais no purvaiņu meža tipiem ir niedrājs - 1260 ha.</w:t>
      </w:r>
    </w:p>
    <w:p w14:paraId="0A98508E" w14:textId="77777777" w:rsidR="00A65014" w:rsidRPr="00675182" w:rsidRDefault="00A65014" w:rsidP="00A65014">
      <w:pPr>
        <w:jc w:val="both"/>
        <w:rPr>
          <w:rFonts w:cstheme="minorHAnsi"/>
          <w:highlight w:val="yellow"/>
        </w:rPr>
      </w:pPr>
    </w:p>
    <w:p w14:paraId="10571EFF" w14:textId="483765A2" w:rsidR="00A65014" w:rsidRPr="00675182" w:rsidRDefault="00A65014" w:rsidP="00A65014">
      <w:pPr>
        <w:jc w:val="both"/>
        <w:rPr>
          <w:rFonts w:cstheme="minorHAnsi"/>
        </w:rPr>
      </w:pPr>
      <w:r w:rsidRPr="00675182">
        <w:rPr>
          <w:rFonts w:cstheme="minorHAnsi"/>
        </w:rPr>
        <w:t>Mežaudžu valdošo sugu sadalījums atbilst boreālo mežu klasei raksturīgiem mežiem (sadalījumu skat. 1.3.</w:t>
      </w:r>
      <w:r w:rsidR="00D44C3C" w:rsidRPr="00675182">
        <w:rPr>
          <w:rFonts w:cstheme="minorHAnsi"/>
        </w:rPr>
        <w:t>21</w:t>
      </w:r>
      <w:r w:rsidRPr="00675182">
        <w:rPr>
          <w:rFonts w:cstheme="minorHAnsi"/>
        </w:rPr>
        <w:t>. attēlā). Lielākās platības veido priežu audzes, kas aizņem nedaudz vairāk nekā 4</w:t>
      </w:r>
      <w:r w:rsidR="008A4D79" w:rsidRPr="00675182">
        <w:rPr>
          <w:rFonts w:cstheme="minorHAnsi"/>
        </w:rPr>
        <w:t xml:space="preserve">8 </w:t>
      </w:r>
      <w:r w:rsidRPr="00675182">
        <w:rPr>
          <w:rFonts w:cstheme="minorHAnsi"/>
        </w:rPr>
        <w:t xml:space="preserve">% meža platību, otra izplatītākā valdošā suga mežaudzēs ir bērzs, kas aizņem </w:t>
      </w:r>
      <w:r w:rsidR="008A4D79" w:rsidRPr="00675182">
        <w:rPr>
          <w:rFonts w:cstheme="minorHAnsi"/>
        </w:rPr>
        <w:t xml:space="preserve">21 </w:t>
      </w:r>
      <w:r w:rsidRPr="00675182">
        <w:rPr>
          <w:rFonts w:cstheme="minorHAnsi"/>
        </w:rPr>
        <w:t xml:space="preserve">% platību, bet mežaudzes ar valdošo sugu egle aizņem 16% platības. Audzes, kurās valdošā suga ir apse vai baltalksnis aizņem kopumā 10% platības. Aptuveni </w:t>
      </w:r>
      <w:r w:rsidR="008A4D79" w:rsidRPr="00675182">
        <w:rPr>
          <w:rFonts w:cstheme="minorHAnsi"/>
        </w:rPr>
        <w:t xml:space="preserve">2 </w:t>
      </w:r>
      <w:r w:rsidRPr="00675182">
        <w:rPr>
          <w:rFonts w:cstheme="minorHAnsi"/>
        </w:rPr>
        <w:t>% GNP mežu platības aizņem platlapju koku (ozols, liepa, osis, goba vai vīksna) mežaudzes. Mežaudžu izvietojumu atbilstoši valdošai sugai GNP teritorijā skat. 1.3.</w:t>
      </w:r>
      <w:r w:rsidR="00D44C3C" w:rsidRPr="00675182">
        <w:rPr>
          <w:rFonts w:cstheme="minorHAnsi"/>
        </w:rPr>
        <w:t>34</w:t>
      </w:r>
      <w:r w:rsidRPr="00675182">
        <w:rPr>
          <w:rFonts w:cstheme="minorHAnsi"/>
        </w:rPr>
        <w:t xml:space="preserve">. attēlā. Aptuveni 75% mežaudžu ir dabiskas izcelsmes audzes, attiecīgi atlikušie 25% ir mākslīgas izcelsmes audzes. </w:t>
      </w:r>
    </w:p>
    <w:p w14:paraId="794CE275" w14:textId="77777777" w:rsidR="00A65014" w:rsidRPr="00675182" w:rsidRDefault="00A65014" w:rsidP="00A65014">
      <w:pPr>
        <w:spacing w:before="120"/>
        <w:jc w:val="both"/>
        <w:rPr>
          <w:rFonts w:cstheme="minorHAnsi"/>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65014" w:rsidRPr="00675182" w14:paraId="1B0742A5" w14:textId="77777777" w:rsidTr="00A65014">
        <w:tc>
          <w:tcPr>
            <w:tcW w:w="8301" w:type="dxa"/>
            <w:hideMark/>
          </w:tcPr>
          <w:p w14:paraId="15989E8D" w14:textId="02E59D97" w:rsidR="00A65014" w:rsidRPr="00675182" w:rsidRDefault="00A65014">
            <w:pPr>
              <w:spacing w:before="120"/>
              <w:jc w:val="both"/>
              <w:rPr>
                <w:rFonts w:cstheme="minorHAnsi"/>
                <w:highlight w:val="yellow"/>
              </w:rPr>
            </w:pPr>
            <w:r w:rsidRPr="00675182">
              <w:rPr>
                <w:rFonts w:cstheme="minorHAnsi"/>
                <w:noProof/>
                <w:highlight w:val="yellow"/>
              </w:rPr>
              <w:lastRenderedPageBreak/>
              <w:drawing>
                <wp:inline distT="0" distB="0" distL="0" distR="0" wp14:anchorId="04E6F31C" wp14:editId="5AF1A220">
                  <wp:extent cx="3901440" cy="2667000"/>
                  <wp:effectExtent l="0" t="0" r="3810" b="0"/>
                  <wp:docPr id="255" name="Diagramma 255">
                    <a:extLst xmlns:a="http://schemas.openxmlformats.org/drawingml/2006/main">
                      <a:ext uri="{FF2B5EF4-FFF2-40B4-BE49-F238E27FC236}">
                        <a16:creationId xmlns:a16="http://schemas.microsoft.com/office/drawing/2014/main" id="{92541449-42BC-42D6-AA1B-ED2A86721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c>
      </w:tr>
      <w:tr w:rsidR="00A65014" w:rsidRPr="00675182" w14:paraId="264F6E98" w14:textId="77777777" w:rsidTr="00A65014">
        <w:tc>
          <w:tcPr>
            <w:tcW w:w="8301" w:type="dxa"/>
            <w:hideMark/>
          </w:tcPr>
          <w:p w14:paraId="009468FF" w14:textId="0A6FBC1D" w:rsidR="00A65014" w:rsidRPr="00675182" w:rsidRDefault="00A65014">
            <w:pPr>
              <w:jc w:val="both"/>
              <w:rPr>
                <w:rFonts w:cstheme="minorHAnsi"/>
                <w:b/>
                <w:bCs/>
                <w:i/>
                <w:iCs/>
              </w:rPr>
            </w:pPr>
            <w:r w:rsidRPr="00675182">
              <w:rPr>
                <w:rFonts w:cstheme="minorHAnsi"/>
                <w:b/>
                <w:bCs/>
                <w:i/>
                <w:iCs/>
              </w:rPr>
              <w:t>1.3.</w:t>
            </w:r>
            <w:r w:rsidR="00D44C3C" w:rsidRPr="00675182">
              <w:rPr>
                <w:rFonts w:cstheme="minorHAnsi"/>
                <w:b/>
                <w:bCs/>
                <w:i/>
                <w:iCs/>
              </w:rPr>
              <w:t>21</w:t>
            </w:r>
            <w:r w:rsidRPr="00675182">
              <w:rPr>
                <w:rFonts w:cstheme="minorHAnsi"/>
                <w:b/>
                <w:bCs/>
                <w:i/>
                <w:iCs/>
              </w:rPr>
              <w:t>. attēls. Mežaudžu sadalījums GNP atbilstoši valdošai sugai</w:t>
            </w:r>
          </w:p>
          <w:p w14:paraId="588CA2D3" w14:textId="77777777" w:rsidR="00A65014" w:rsidRPr="00675182" w:rsidRDefault="00A65014">
            <w:pPr>
              <w:jc w:val="both"/>
              <w:rPr>
                <w:rFonts w:cstheme="minorHAnsi"/>
                <w:b/>
                <w:bCs/>
                <w:i/>
                <w:iCs/>
              </w:rPr>
            </w:pPr>
            <w:r w:rsidRPr="00675182">
              <w:rPr>
                <w:rFonts w:cstheme="minorHAnsi"/>
                <w:sz w:val="20"/>
                <w:szCs w:val="16"/>
              </w:rPr>
              <w:t>Datu avots: VMD, 2020</w:t>
            </w:r>
          </w:p>
        </w:tc>
      </w:tr>
    </w:tbl>
    <w:p w14:paraId="50527869" w14:textId="7A0F0A50" w:rsidR="00A65014" w:rsidRPr="00675182" w:rsidRDefault="00A65014" w:rsidP="00A65014">
      <w:pPr>
        <w:spacing w:before="120"/>
        <w:jc w:val="both"/>
        <w:rPr>
          <w:rFonts w:cstheme="minorHAnsi"/>
        </w:rPr>
      </w:pPr>
      <w:r w:rsidRPr="00675182">
        <w:rPr>
          <w:rFonts w:cstheme="minorHAnsi"/>
        </w:rPr>
        <w:t>Vairāk nekā pusi no GNP teritorijā ietilpstošajiem mežiem veido pieaugušas un pāraugušas mežaudzes – 52% audžu; briestaudzes un vidēja vecuma audzes aizņem attiecīgi 13% un 15% platības, bet jaunaudzes aizņem aptuveni 12% teritorijas (skat. 1.3.</w:t>
      </w:r>
      <w:r w:rsidR="00D44C3C" w:rsidRPr="00675182">
        <w:rPr>
          <w:rFonts w:cstheme="minorHAnsi"/>
        </w:rPr>
        <w:t>22</w:t>
      </w:r>
      <w:r w:rsidRPr="00675182">
        <w:rPr>
          <w:rFonts w:cstheme="minorHAnsi"/>
        </w:rPr>
        <w:t>. attēlu). Mežaudžu vecuma struktūras telpisko izvietojumu skat. 1.3.</w:t>
      </w:r>
      <w:r w:rsidR="00404A46" w:rsidRPr="00675182">
        <w:rPr>
          <w:rFonts w:cstheme="minorHAnsi"/>
        </w:rPr>
        <w:t>3</w:t>
      </w:r>
      <w:r w:rsidR="00D44C3C" w:rsidRPr="00675182">
        <w:rPr>
          <w:rFonts w:cstheme="minorHAnsi"/>
        </w:rPr>
        <w:t>5</w:t>
      </w:r>
      <w:r w:rsidRPr="00675182">
        <w:rPr>
          <w:rFonts w:cstheme="minorHAnsi"/>
        </w:rPr>
        <w:t>. attēlā.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65014" w:rsidRPr="00675182" w14:paraId="30E50D5F" w14:textId="77777777" w:rsidTr="00A65014">
        <w:tc>
          <w:tcPr>
            <w:tcW w:w="8301" w:type="dxa"/>
            <w:hideMark/>
          </w:tcPr>
          <w:p w14:paraId="06E24105" w14:textId="3172C273" w:rsidR="00A65014" w:rsidRPr="00675182" w:rsidRDefault="00A65014">
            <w:pPr>
              <w:spacing w:before="120"/>
              <w:jc w:val="both"/>
              <w:rPr>
                <w:rFonts w:cstheme="minorHAnsi"/>
                <w:highlight w:val="yellow"/>
              </w:rPr>
            </w:pPr>
            <w:r w:rsidRPr="00675182">
              <w:rPr>
                <w:rFonts w:cstheme="minorHAnsi"/>
                <w:noProof/>
                <w:highlight w:val="yellow"/>
              </w:rPr>
              <w:drawing>
                <wp:inline distT="0" distB="0" distL="0" distR="0" wp14:anchorId="2B092D53" wp14:editId="4469FF45">
                  <wp:extent cx="4191000" cy="2179320"/>
                  <wp:effectExtent l="0" t="0" r="0" b="0"/>
                  <wp:docPr id="254" name="Diagramma 254">
                    <a:extLst xmlns:a="http://schemas.openxmlformats.org/drawingml/2006/main">
                      <a:ext uri="{FF2B5EF4-FFF2-40B4-BE49-F238E27FC236}">
                        <a16:creationId xmlns:a16="http://schemas.microsoft.com/office/drawing/2014/main" id="{F907C456-EE9C-42EF-A86E-0A3AB7BA27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c>
      </w:tr>
      <w:tr w:rsidR="00A65014" w:rsidRPr="00675182" w14:paraId="3091ED29" w14:textId="77777777" w:rsidTr="00A65014">
        <w:tc>
          <w:tcPr>
            <w:tcW w:w="8301" w:type="dxa"/>
            <w:hideMark/>
          </w:tcPr>
          <w:p w14:paraId="5E3EC3F6" w14:textId="31EB5718" w:rsidR="00A65014" w:rsidRPr="00675182" w:rsidRDefault="00A65014">
            <w:pPr>
              <w:keepNext/>
              <w:keepLines/>
              <w:jc w:val="both"/>
              <w:rPr>
                <w:rFonts w:cstheme="minorHAnsi"/>
                <w:b/>
                <w:bCs/>
                <w:i/>
                <w:iCs/>
              </w:rPr>
            </w:pPr>
            <w:r w:rsidRPr="00675182">
              <w:rPr>
                <w:rFonts w:cstheme="minorHAnsi"/>
                <w:b/>
                <w:bCs/>
                <w:i/>
                <w:iCs/>
              </w:rPr>
              <w:t>1.3.</w:t>
            </w:r>
            <w:r w:rsidR="00D44C3C" w:rsidRPr="00675182">
              <w:rPr>
                <w:rFonts w:cstheme="minorHAnsi"/>
                <w:b/>
                <w:bCs/>
                <w:i/>
                <w:iCs/>
              </w:rPr>
              <w:t>22</w:t>
            </w:r>
            <w:r w:rsidRPr="00675182">
              <w:rPr>
                <w:rFonts w:cstheme="minorHAnsi"/>
                <w:b/>
                <w:bCs/>
                <w:i/>
                <w:iCs/>
              </w:rPr>
              <w:t>. attēls. GNP meža platību sadalījums vecuma grupās</w:t>
            </w:r>
          </w:p>
          <w:p w14:paraId="28F09507" w14:textId="77777777" w:rsidR="00A65014" w:rsidRPr="00675182" w:rsidRDefault="00A65014">
            <w:pPr>
              <w:keepNext/>
              <w:keepLines/>
              <w:jc w:val="both"/>
              <w:rPr>
                <w:rFonts w:cstheme="minorHAnsi"/>
                <w:b/>
                <w:bCs/>
                <w:i/>
                <w:iCs/>
              </w:rPr>
            </w:pPr>
            <w:r w:rsidRPr="00675182">
              <w:rPr>
                <w:rFonts w:cstheme="minorHAnsi"/>
                <w:sz w:val="20"/>
                <w:szCs w:val="16"/>
              </w:rPr>
              <w:t>Datu avots: VMD, 2020</w:t>
            </w:r>
          </w:p>
        </w:tc>
      </w:tr>
    </w:tbl>
    <w:p w14:paraId="6943F989" w14:textId="77777777" w:rsidR="00A65014" w:rsidRPr="00675182" w:rsidRDefault="00A65014" w:rsidP="00A65014">
      <w:pPr>
        <w:rPr>
          <w:rFonts w:cstheme="minorHAnsi"/>
          <w:szCs w:val="24"/>
        </w:rPr>
      </w:pPr>
    </w:p>
    <w:p w14:paraId="6FC8ED16" w14:textId="05DE193C" w:rsidR="00A65014" w:rsidRPr="00675182" w:rsidRDefault="00A65014" w:rsidP="00A65014">
      <w:pPr>
        <w:jc w:val="both"/>
        <w:rPr>
          <w:rFonts w:cstheme="minorHAnsi"/>
          <w:szCs w:val="24"/>
        </w:rPr>
      </w:pPr>
      <w:r w:rsidRPr="00675182">
        <w:rPr>
          <w:rFonts w:cstheme="minorHAnsi"/>
          <w:szCs w:val="24"/>
        </w:rPr>
        <w:t xml:space="preserve">Lielākās meža platības GNP atrodas </w:t>
      </w:r>
      <w:r w:rsidR="00E71847">
        <w:rPr>
          <w:rFonts w:cstheme="minorHAnsi"/>
          <w:szCs w:val="24"/>
        </w:rPr>
        <w:t>DLZ</w:t>
      </w:r>
      <w:r w:rsidRPr="00675182">
        <w:rPr>
          <w:rFonts w:cstheme="minorHAnsi"/>
          <w:szCs w:val="24"/>
        </w:rPr>
        <w:t xml:space="preserve">, kur iekļauti gandrīz 50 % mežaudžu (25420,6 ha), bet aptuveni 1/3 mežaudžu atrodas </w:t>
      </w:r>
      <w:r w:rsidR="00B27A95">
        <w:rPr>
          <w:rFonts w:cstheme="minorHAnsi"/>
          <w:szCs w:val="24"/>
        </w:rPr>
        <w:t>AAZ</w:t>
      </w:r>
      <w:r w:rsidRPr="00675182">
        <w:rPr>
          <w:rFonts w:cstheme="minorHAnsi"/>
          <w:szCs w:val="24"/>
        </w:rPr>
        <w:t xml:space="preserve"> – 16736,3 ha. Pilnībā no meža izmantošanas izslēgti 3910,3 ha meža platības, kas iekļauti dabas rezervāta zonā, bet minimāli saimnieciskās darbības ierobežojumi noteikti 4184,1 ha mežu, kas atrodas </w:t>
      </w:r>
      <w:r w:rsidR="00B27A95">
        <w:rPr>
          <w:rFonts w:cstheme="minorHAnsi"/>
          <w:szCs w:val="24"/>
        </w:rPr>
        <w:t>NZ</w:t>
      </w:r>
      <w:r w:rsidRPr="00675182">
        <w:rPr>
          <w:rFonts w:cstheme="minorHAnsi"/>
          <w:szCs w:val="24"/>
        </w:rPr>
        <w:t xml:space="preserve">. Dažādās nacionālā parka funkcionālajās zonās mežsaimnieciskā darbība, atbilstoši normatīvo aktu nosacījumiem, būtu aizliegta 13872 ha GNP mežu, kas veido 29 % no kopējās mežaudžu platības. Platību, kas būtu izslēdzama no meža izmantošanas koksnes ieguvei, veido aizsargājamo meža biotopu platība GNP (11944 ha), visas mežaudzes, kas atrodas </w:t>
      </w:r>
      <w:r w:rsidR="00B27A95">
        <w:rPr>
          <w:rFonts w:cstheme="minorHAnsi"/>
          <w:szCs w:val="24"/>
        </w:rPr>
        <w:t>SRZ</w:t>
      </w:r>
      <w:r w:rsidRPr="00675182">
        <w:rPr>
          <w:rFonts w:cstheme="minorHAnsi"/>
          <w:szCs w:val="24"/>
        </w:rPr>
        <w:t>, un mežaudzes, kurās aizliegta mežsaimnieciskā darbība atbilstoši specifiskiem GNP IAIN nosacījumiem (audzes, kas pārsniedz noteiktu vecumu, audzes ar noteiktu sugu sastāvu, audzes uz ģeoloģiskām formām u.tml.).</w:t>
      </w:r>
    </w:p>
    <w:p w14:paraId="0A3C498D" w14:textId="77777777" w:rsidR="00A65014" w:rsidRPr="00675182" w:rsidRDefault="00A65014" w:rsidP="00A65014">
      <w:pPr>
        <w:jc w:val="both"/>
        <w:rPr>
          <w:rFonts w:cstheme="minorHAnsi"/>
          <w:szCs w:val="24"/>
        </w:rPr>
      </w:pPr>
    </w:p>
    <w:p w14:paraId="45DE50B5" w14:textId="3A8B7E50" w:rsidR="00A65014" w:rsidRPr="00675182" w:rsidRDefault="00A65014" w:rsidP="00A65014">
      <w:pPr>
        <w:jc w:val="both"/>
        <w:rPr>
          <w:rFonts w:cstheme="minorHAnsi"/>
          <w:szCs w:val="24"/>
        </w:rPr>
      </w:pPr>
      <w:r w:rsidRPr="00675182">
        <w:rPr>
          <w:rFonts w:cstheme="minorHAnsi"/>
          <w:szCs w:val="24"/>
        </w:rPr>
        <w:t>Meža izmantošanas (koksnes ieguves) ietekmētās platības GNP funkcionālajās zonās svārstās plašā diapazonā apskatītajā periodā no 1977. līdz 2020. gadam. Koku ciršanas skarto platību proporcija GNP funkcionālajās zonās šim laika posmam attēlota 1.3.2</w:t>
      </w:r>
      <w:r w:rsidR="00D44C3C" w:rsidRPr="00675182">
        <w:rPr>
          <w:rFonts w:cstheme="minorHAnsi"/>
          <w:szCs w:val="24"/>
        </w:rPr>
        <w:t>3</w:t>
      </w:r>
      <w:r w:rsidRPr="00675182">
        <w:rPr>
          <w:rFonts w:cstheme="minorHAnsi"/>
          <w:szCs w:val="24"/>
        </w:rPr>
        <w:t>. attēlā.</w:t>
      </w:r>
    </w:p>
    <w:p w14:paraId="7CCB0937" w14:textId="77777777" w:rsidR="00A65014" w:rsidRPr="00675182" w:rsidRDefault="00A65014" w:rsidP="00A65014">
      <w:pPr>
        <w:rPr>
          <w:rFonts w:cstheme="minorHAnsi"/>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A65014" w:rsidRPr="00675182" w14:paraId="305C3BD7" w14:textId="77777777" w:rsidTr="00A65014">
        <w:tc>
          <w:tcPr>
            <w:tcW w:w="8301" w:type="dxa"/>
            <w:hideMark/>
          </w:tcPr>
          <w:p w14:paraId="142D7E8A" w14:textId="719C7BA1" w:rsidR="00A65014" w:rsidRPr="00675182" w:rsidRDefault="00A65014">
            <w:pPr>
              <w:spacing w:before="120"/>
              <w:jc w:val="both"/>
              <w:rPr>
                <w:rFonts w:cstheme="minorHAnsi"/>
                <w:highlight w:val="yellow"/>
              </w:rPr>
            </w:pPr>
            <w:r w:rsidRPr="00675182">
              <w:rPr>
                <w:rFonts w:cstheme="minorHAnsi"/>
                <w:noProof/>
                <w:highlight w:val="yellow"/>
              </w:rPr>
              <w:drawing>
                <wp:inline distT="0" distB="0" distL="0" distR="0" wp14:anchorId="1A1C8CD1" wp14:editId="7B18630A">
                  <wp:extent cx="5204460" cy="2819400"/>
                  <wp:effectExtent l="0" t="0" r="0" b="0"/>
                  <wp:docPr id="253" name="Attēl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04460" cy="2819400"/>
                          </a:xfrm>
                          <a:prstGeom prst="rect">
                            <a:avLst/>
                          </a:prstGeom>
                          <a:noFill/>
                          <a:ln>
                            <a:noFill/>
                          </a:ln>
                        </pic:spPr>
                      </pic:pic>
                    </a:graphicData>
                  </a:graphic>
                </wp:inline>
              </w:drawing>
            </w:r>
          </w:p>
        </w:tc>
      </w:tr>
      <w:tr w:rsidR="00A65014" w:rsidRPr="00675182" w14:paraId="36FC7865" w14:textId="77777777" w:rsidTr="00A65014">
        <w:tc>
          <w:tcPr>
            <w:tcW w:w="8301" w:type="dxa"/>
            <w:hideMark/>
          </w:tcPr>
          <w:p w14:paraId="5D707A6D" w14:textId="16E16E79" w:rsidR="00A65014" w:rsidRPr="00675182" w:rsidRDefault="00A65014">
            <w:pPr>
              <w:keepNext/>
              <w:keepLines/>
              <w:jc w:val="both"/>
              <w:rPr>
                <w:rFonts w:cstheme="minorHAnsi"/>
                <w:b/>
                <w:bCs/>
                <w:i/>
                <w:iCs/>
              </w:rPr>
            </w:pPr>
            <w:r w:rsidRPr="00675182">
              <w:rPr>
                <w:rFonts w:cstheme="minorHAnsi"/>
                <w:b/>
                <w:bCs/>
                <w:i/>
                <w:iCs/>
              </w:rPr>
              <w:t>1.3.2</w:t>
            </w:r>
            <w:r w:rsidR="00D44C3C" w:rsidRPr="00675182">
              <w:rPr>
                <w:rFonts w:cstheme="minorHAnsi"/>
                <w:b/>
                <w:bCs/>
                <w:i/>
                <w:iCs/>
              </w:rPr>
              <w:t>3</w:t>
            </w:r>
            <w:r w:rsidRPr="00675182">
              <w:rPr>
                <w:rFonts w:cstheme="minorHAnsi"/>
                <w:b/>
                <w:bCs/>
                <w:i/>
                <w:iCs/>
              </w:rPr>
              <w:t>. attēls. Koku ciršanas ietekmēto platību sadalījums funkcionālajās zonās laika posmā no 1977. līdz 2020. gadam.</w:t>
            </w:r>
          </w:p>
          <w:p w14:paraId="3F1580D6" w14:textId="77777777" w:rsidR="00A65014" w:rsidRPr="00675182" w:rsidRDefault="00A65014">
            <w:pPr>
              <w:keepNext/>
              <w:keepLines/>
              <w:jc w:val="both"/>
              <w:rPr>
                <w:rFonts w:cstheme="minorHAnsi"/>
                <w:b/>
                <w:bCs/>
                <w:i/>
                <w:iCs/>
                <w:highlight w:val="yellow"/>
              </w:rPr>
            </w:pPr>
            <w:r w:rsidRPr="00675182">
              <w:rPr>
                <w:rFonts w:cstheme="minorHAnsi"/>
                <w:sz w:val="20"/>
                <w:szCs w:val="16"/>
              </w:rPr>
              <w:t>Datu avots: VMD, 2022</w:t>
            </w:r>
          </w:p>
        </w:tc>
      </w:tr>
    </w:tbl>
    <w:p w14:paraId="0EA38EB0" w14:textId="77777777" w:rsidR="00A65014" w:rsidRPr="00675182" w:rsidRDefault="00A65014" w:rsidP="00A65014">
      <w:pPr>
        <w:rPr>
          <w:rFonts w:cstheme="minorHAnsi"/>
          <w:szCs w:val="24"/>
          <w:highlight w:val="yellow"/>
        </w:rPr>
      </w:pPr>
    </w:p>
    <w:p w14:paraId="33A5C12B" w14:textId="67992021" w:rsidR="00A65014" w:rsidRPr="00675182" w:rsidRDefault="00A65014" w:rsidP="00A65014">
      <w:pPr>
        <w:jc w:val="both"/>
        <w:rPr>
          <w:rFonts w:cstheme="minorHAnsi"/>
          <w:szCs w:val="24"/>
        </w:rPr>
      </w:pPr>
      <w:r w:rsidRPr="00675182">
        <w:rPr>
          <w:rFonts w:cstheme="minorHAnsi"/>
          <w:szCs w:val="24"/>
        </w:rPr>
        <w:t xml:space="preserve">Pēdējos 20 gados ik gadu koku ciršanas ietekmētā platība funkcionālās zonās svārstās no mazāk nekā 1 % līdz 8,5 % no attiecīgās zonas mežu platības. Datos novērojams saimnieciskās darbības ietekmētās platības būtisks pieaugums visās funkcionālajās zonās 2005. gadā, tāpat novērojams ietekmētās platības pieaugums </w:t>
      </w:r>
      <w:r w:rsidR="00585CC9">
        <w:rPr>
          <w:rFonts w:cstheme="minorHAnsi"/>
          <w:szCs w:val="24"/>
        </w:rPr>
        <w:t>DLZ</w:t>
      </w:r>
      <w:r w:rsidRPr="00675182">
        <w:rPr>
          <w:rFonts w:cstheme="minorHAnsi"/>
          <w:szCs w:val="24"/>
        </w:rPr>
        <w:t xml:space="preserve"> un </w:t>
      </w:r>
      <w:r w:rsidR="00AC2D00">
        <w:rPr>
          <w:rFonts w:cstheme="minorHAnsi"/>
          <w:szCs w:val="24"/>
        </w:rPr>
        <w:t>AAZ</w:t>
      </w:r>
      <w:r w:rsidRPr="00675182">
        <w:rPr>
          <w:rFonts w:cstheme="minorHAnsi"/>
          <w:szCs w:val="24"/>
        </w:rPr>
        <w:t xml:space="preserve"> laika posmā no 2017. līdz 2020. gadam. Ņemot vērā, ka valsts īpašuma meža platībās praktiski netiek veikta koksnes ieguve kopš 2013. gada, šis ciršanas ietekmēto platību īpatsvara pieaugums saistāms ar koksnes ieguves ietekmēto platību palielināšanos fizisko un juridisko personu apsaimniekotajos mežos. </w:t>
      </w:r>
    </w:p>
    <w:p w14:paraId="78F0502E" w14:textId="530E3BDF" w:rsidR="00A65014" w:rsidRPr="00675182" w:rsidRDefault="00A65014" w:rsidP="00A65014">
      <w:pPr>
        <w:jc w:val="both"/>
        <w:rPr>
          <w:rFonts w:cstheme="minorHAnsi"/>
          <w:szCs w:val="24"/>
        </w:rPr>
      </w:pPr>
      <w:r w:rsidRPr="00675182">
        <w:rPr>
          <w:rFonts w:cstheme="minorHAnsi"/>
          <w:szCs w:val="24"/>
        </w:rPr>
        <w:t>Apskatītajā laika periodā (no 1977. līdz 2020. gadam) meža fizisko un juridisko personu īpašumā esošajās platības koku ciršana veikta 2634 apsaimniekotāju pārvaldītajās teritorijās 19285,4 ha platībā.</w:t>
      </w:r>
    </w:p>
    <w:p w14:paraId="641BBCD7" w14:textId="77777777" w:rsidR="002209EC" w:rsidRPr="00675182" w:rsidRDefault="002209EC" w:rsidP="00A65014">
      <w:pPr>
        <w:jc w:val="both"/>
        <w:rPr>
          <w:rFonts w:cstheme="minorHAnsi"/>
          <w:szCs w:val="24"/>
        </w:rPr>
      </w:pPr>
    </w:p>
    <w:p w14:paraId="3640F271" w14:textId="77777777" w:rsidR="00A65014" w:rsidRPr="00675182" w:rsidRDefault="00A65014" w:rsidP="00A65014">
      <w:pPr>
        <w:jc w:val="both"/>
        <w:rPr>
          <w:rFonts w:cstheme="minorHAnsi"/>
          <w:szCs w:val="24"/>
        </w:rPr>
      </w:pPr>
      <w:r w:rsidRPr="00675182">
        <w:rPr>
          <w:rFonts w:cstheme="minorHAnsi"/>
          <w:szCs w:val="24"/>
        </w:rPr>
        <w:t>Lai izvērtētu koksnes ieguves ietekmēto platību tendences GNP, tika apkopota informācija par dažādu ciršu platībām visā apskatītajā periodā, bet detalizētāka analīze veikta par laika posmu no 2004. līdz 2020. gadam, kas aptver periodu no iepriekšējā GNP DA plāna apstiprināšanas līdz pēdējam gadam par, kuru pieejama pilnīga informācija.</w:t>
      </w:r>
    </w:p>
    <w:p w14:paraId="74A1AB18" w14:textId="77777777" w:rsidR="00A65014" w:rsidRPr="00675182" w:rsidRDefault="00A65014" w:rsidP="00A65014">
      <w:pPr>
        <w:rPr>
          <w:rFonts w:cstheme="minorHAnsi"/>
          <w:szCs w:val="24"/>
          <w:highlight w:val="yellow"/>
        </w:rPr>
      </w:pPr>
    </w:p>
    <w:p w14:paraId="792DB3F2" w14:textId="5DF1F863" w:rsidR="00A65014" w:rsidRPr="00675182" w:rsidRDefault="00AC2D00" w:rsidP="00A65014">
      <w:pPr>
        <w:jc w:val="both"/>
        <w:rPr>
          <w:rFonts w:cstheme="minorHAnsi"/>
          <w:szCs w:val="24"/>
        </w:rPr>
      </w:pPr>
      <w:r>
        <w:rPr>
          <w:rFonts w:cstheme="minorHAnsi"/>
          <w:szCs w:val="24"/>
        </w:rPr>
        <w:t>DLZ</w:t>
      </w:r>
      <w:r w:rsidR="00A65014" w:rsidRPr="00675182">
        <w:rPr>
          <w:rFonts w:cstheme="minorHAnsi"/>
          <w:szCs w:val="24"/>
        </w:rPr>
        <w:t xml:space="preserve"> mežu teritorijās laika posmā no 2004. līdz 2020. gadam, vidējā ikgadējā koku ciršanas ietekmētā platība</w:t>
      </w:r>
      <w:r w:rsidR="00A65014" w:rsidRPr="00675182">
        <w:rPr>
          <w:rFonts w:cstheme="minorHAnsi"/>
        </w:rPr>
        <w:t xml:space="preserve"> </w:t>
      </w:r>
      <w:r w:rsidR="00A65014" w:rsidRPr="00675182">
        <w:rPr>
          <w:rFonts w:cstheme="minorHAnsi"/>
          <w:szCs w:val="24"/>
        </w:rPr>
        <w:t xml:space="preserve">privāto īpašnieku mežos bija 299 ha, bet valsts īpašuma mežu platībās tie bija vidēji 52 ha gadā. Vērtējot privāto meža īpašnieku saimnieciskās </w:t>
      </w:r>
      <w:r w:rsidR="00A65014" w:rsidRPr="00675182">
        <w:rPr>
          <w:rFonts w:cstheme="minorHAnsi"/>
          <w:szCs w:val="24"/>
        </w:rPr>
        <w:lastRenderedPageBreak/>
        <w:t>darbības ietekmētās platības, vērojami koku ciršanas ietekmēto platību pieauguma posmi, kas iezīmējas 2005. gadā, kad koku ciršana ietekmējusi lielākās platības šajā laika periodā – 960</w:t>
      </w:r>
      <w:r w:rsidR="002209EC" w:rsidRPr="00675182">
        <w:rPr>
          <w:rFonts w:cstheme="minorHAnsi"/>
          <w:szCs w:val="24"/>
        </w:rPr>
        <w:t>,</w:t>
      </w:r>
      <w:r w:rsidR="00A65014" w:rsidRPr="00675182">
        <w:rPr>
          <w:rFonts w:cstheme="minorHAnsi"/>
          <w:szCs w:val="24"/>
        </w:rPr>
        <w:t xml:space="preserve">8 ha, tāpat ciršanas ietekmēto platību pieauguma tendence novērojama laika posmā no 2018. līdz 2020. gadam. Palielinātais koku ciršanas ietekmēto platību apjoms 2005. gadā, visticamāk, ka saistāms ar 2005. gada janvāra vējgāžu seku likvidēšanu (skat. sanitāro ciršu platības izmaiņu tendenci </w:t>
      </w:r>
      <w:r w:rsidR="00F7117E" w:rsidRPr="00675182">
        <w:rPr>
          <w:rFonts w:cstheme="minorHAnsi"/>
          <w:szCs w:val="24"/>
        </w:rPr>
        <w:t>1.3.2</w:t>
      </w:r>
      <w:r w:rsidR="00D44C3C" w:rsidRPr="00675182">
        <w:rPr>
          <w:rFonts w:cstheme="minorHAnsi"/>
          <w:szCs w:val="24"/>
        </w:rPr>
        <w:t>4</w:t>
      </w:r>
      <w:r w:rsidR="00A65014" w:rsidRPr="00675182">
        <w:rPr>
          <w:rFonts w:cstheme="minorHAnsi"/>
          <w:szCs w:val="24"/>
        </w:rPr>
        <w:t xml:space="preserve">. attēlā), kā arī GNP iepriekšējā DA plāna apstiprināšanu un paredzamajām izmaiņām meža izmantošanas regulējumā GNP. Pēdējo trīs gadu ciršanas ietekmēto platību pieauguma tendencei tāpat var būt dažādi iemesli, piemēram, koksnes tirgus cenu pieaugums, informācija par aizsargājamo meža biotopu apsekošanas uzsākšanu Latvijā (projekta </w:t>
      </w:r>
      <w:r w:rsidR="00A65014" w:rsidRPr="00675182">
        <w:rPr>
          <w:rFonts w:cstheme="minorHAnsi"/>
          <w:i/>
          <w:iCs/>
          <w:szCs w:val="24"/>
        </w:rPr>
        <w:t>Dabas skaitīšana</w:t>
      </w:r>
      <w:r w:rsidR="00A65014" w:rsidRPr="00675182">
        <w:rPr>
          <w:rFonts w:cstheme="minorHAnsi"/>
          <w:szCs w:val="24"/>
        </w:rPr>
        <w:t xml:space="preserve"> ietvaros), tomēr, arī šajā periodā novērojama izteikta sanitāro ciršu platību pieauguma tendence. Sanitāro ciršu nepieciešamība GNP mežu platībās laika posmā no 2018. gada saistāma ar ekstrēmu klimatisko apstākļu – 2017. gada lietavu un 2018. gada ekstrēmā sausuma, ietekmi uz egļu audžu vitalitāti. Metereoloģisko apstākļu ekstrēmi, kas iespējams saistāmi ar klimata izmaiņu izpausmēm, uzskatāmi par priekšnoteikumu egļu audžu vitalitātes pasliktināšanai, kam sekojusi egļu astoņzobu mizgrauža </w:t>
      </w:r>
      <w:r w:rsidR="00A65014" w:rsidRPr="00675182">
        <w:rPr>
          <w:rFonts w:cstheme="minorHAnsi"/>
          <w:i/>
          <w:iCs/>
          <w:szCs w:val="24"/>
        </w:rPr>
        <w:t>Ips typographus</w:t>
      </w:r>
      <w:r w:rsidR="00A65014" w:rsidRPr="00675182">
        <w:rPr>
          <w:rFonts w:cstheme="minorHAnsi"/>
          <w:szCs w:val="24"/>
        </w:rPr>
        <w:t xml:space="preserve"> savairošanās. Ņemot vērā, ka valsts meža īpašuma platībās </w:t>
      </w:r>
      <w:r w:rsidR="003F1277">
        <w:rPr>
          <w:rFonts w:cstheme="minorHAnsi"/>
          <w:szCs w:val="24"/>
        </w:rPr>
        <w:t>DLZ</w:t>
      </w:r>
      <w:r w:rsidR="00A65014" w:rsidRPr="00675182">
        <w:rPr>
          <w:rFonts w:cstheme="minorHAnsi"/>
          <w:szCs w:val="24"/>
        </w:rPr>
        <w:t xml:space="preserve"> netiek veikta koksnes saimnieciska ieguve, valsts īpašuma mežu platībās veiktās cirtes laika posmā no 2004. līdz 2020. </w:t>
      </w:r>
      <w:r w:rsidR="003F1277">
        <w:rPr>
          <w:rFonts w:cstheme="minorHAnsi"/>
          <w:szCs w:val="24"/>
        </w:rPr>
        <w:t xml:space="preserve">gada </w:t>
      </w:r>
      <w:r w:rsidR="00A65014" w:rsidRPr="00675182">
        <w:rPr>
          <w:rFonts w:cstheme="minorHAnsi"/>
          <w:szCs w:val="24"/>
        </w:rPr>
        <w:t xml:space="preserve">saistītas ar </w:t>
      </w:r>
      <w:r w:rsidR="003E18DD">
        <w:rPr>
          <w:rFonts w:cstheme="minorHAnsi"/>
          <w:szCs w:val="24"/>
        </w:rPr>
        <w:t xml:space="preserve">bīstamo koku infrastruktūras objektu tuvumā, </w:t>
      </w:r>
      <w:r w:rsidR="00A65014" w:rsidRPr="00675182">
        <w:rPr>
          <w:rFonts w:cstheme="minorHAnsi"/>
          <w:szCs w:val="24"/>
        </w:rPr>
        <w:t>meža kaitēkļu savairošanās platību apsaimniekošanu (sanitārās cirtes) un biotopu kopšanas vai mežaudžu dabiskošanas pasākumiem, piemēram, mežaudžu dabiskošanas pasākumiem, kas veikti LIFE FORREST projekta ietvaros 2015. gadā.</w:t>
      </w:r>
    </w:p>
    <w:p w14:paraId="6151A20D" w14:textId="77777777" w:rsidR="002209EC" w:rsidRPr="00675182" w:rsidRDefault="002209EC" w:rsidP="00A65014">
      <w:pPr>
        <w:jc w:val="both"/>
        <w:rPr>
          <w:rFonts w:cstheme="minorHAnsi"/>
          <w:szCs w:val="24"/>
          <w:highlight w:val="yellow"/>
        </w:rPr>
      </w:pPr>
    </w:p>
    <w:p w14:paraId="695D5168" w14:textId="26D2CA81" w:rsidR="00A65014" w:rsidRPr="00675182" w:rsidRDefault="00A65014" w:rsidP="00A65014">
      <w:pPr>
        <w:jc w:val="both"/>
        <w:rPr>
          <w:rFonts w:cstheme="minorHAnsi"/>
          <w:szCs w:val="24"/>
        </w:rPr>
      </w:pPr>
      <w:r w:rsidRPr="00675182">
        <w:rPr>
          <w:rFonts w:cstheme="minorHAnsi"/>
          <w:szCs w:val="24"/>
        </w:rPr>
        <w:t xml:space="preserve">Lielākās ciršu, kas nav sanitārās cirtes, platības </w:t>
      </w:r>
      <w:r w:rsidR="003F1277">
        <w:rPr>
          <w:rFonts w:cstheme="minorHAnsi"/>
          <w:szCs w:val="24"/>
        </w:rPr>
        <w:t>DLZ</w:t>
      </w:r>
      <w:r w:rsidRPr="00675182">
        <w:rPr>
          <w:rFonts w:cstheme="minorHAnsi"/>
          <w:szCs w:val="24"/>
        </w:rPr>
        <w:t xml:space="preserve"> privātajos mežos ir galvenās izlases cirtes platības, kam seko kopšanas cirtes, kas veiktas 2 reizes mazākās platībās nekā galvenā cirte (izlases cirte) (informāciju skat. attēlos </w:t>
      </w:r>
      <w:r w:rsidR="00AE3B0F" w:rsidRPr="00675182">
        <w:rPr>
          <w:rFonts w:cstheme="minorHAnsi"/>
          <w:szCs w:val="24"/>
        </w:rPr>
        <w:t>20</w:t>
      </w:r>
      <w:r w:rsidRPr="00675182">
        <w:rPr>
          <w:rFonts w:cstheme="minorHAnsi"/>
          <w:szCs w:val="24"/>
        </w:rPr>
        <w:t>. pielikumā).</w:t>
      </w:r>
    </w:p>
    <w:p w14:paraId="3C0904C8" w14:textId="77777777" w:rsidR="00A65014" w:rsidRPr="00675182" w:rsidRDefault="00A65014" w:rsidP="00A65014">
      <w:pPr>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65014" w:rsidRPr="00675182" w14:paraId="1CB9DE1D" w14:textId="77777777" w:rsidTr="00A65014">
        <w:tc>
          <w:tcPr>
            <w:tcW w:w="8301" w:type="dxa"/>
            <w:hideMark/>
          </w:tcPr>
          <w:p w14:paraId="41094C1D" w14:textId="7853673C" w:rsidR="00A65014" w:rsidRPr="00675182" w:rsidRDefault="00A65014">
            <w:pPr>
              <w:spacing w:before="120"/>
              <w:jc w:val="both"/>
              <w:rPr>
                <w:rFonts w:cstheme="minorHAnsi"/>
                <w:highlight w:val="yellow"/>
              </w:rPr>
            </w:pPr>
            <w:bookmarkStart w:id="29" w:name="_Hlk99370639"/>
            <w:r w:rsidRPr="00675182">
              <w:rPr>
                <w:rFonts w:cstheme="minorHAnsi"/>
                <w:noProof/>
                <w:highlight w:val="yellow"/>
              </w:rPr>
              <w:drawing>
                <wp:inline distT="0" distB="0" distL="0" distR="0" wp14:anchorId="5452E23A" wp14:editId="7C85EE41">
                  <wp:extent cx="4618868" cy="2520000"/>
                  <wp:effectExtent l="0" t="0" r="0"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18868" cy="2520000"/>
                          </a:xfrm>
                          <a:prstGeom prst="rect">
                            <a:avLst/>
                          </a:prstGeom>
                          <a:noFill/>
                          <a:ln>
                            <a:noFill/>
                          </a:ln>
                        </pic:spPr>
                      </pic:pic>
                    </a:graphicData>
                  </a:graphic>
                </wp:inline>
              </w:drawing>
            </w:r>
          </w:p>
        </w:tc>
      </w:tr>
      <w:tr w:rsidR="00A65014" w:rsidRPr="00675182" w14:paraId="5CC30E0E" w14:textId="77777777" w:rsidTr="00A65014">
        <w:tc>
          <w:tcPr>
            <w:tcW w:w="8301" w:type="dxa"/>
            <w:hideMark/>
          </w:tcPr>
          <w:p w14:paraId="218AAF64" w14:textId="7FAF76D9" w:rsidR="00A65014" w:rsidRPr="00675182" w:rsidRDefault="00A65014">
            <w:pPr>
              <w:keepNext/>
              <w:keepLines/>
              <w:jc w:val="both"/>
              <w:rPr>
                <w:rFonts w:cstheme="minorHAnsi"/>
                <w:b/>
                <w:bCs/>
                <w:i/>
                <w:iCs/>
              </w:rPr>
            </w:pPr>
            <w:r w:rsidRPr="00675182">
              <w:rPr>
                <w:rFonts w:cstheme="minorHAnsi"/>
                <w:b/>
                <w:bCs/>
                <w:i/>
                <w:iCs/>
              </w:rPr>
              <w:t>1.3.2</w:t>
            </w:r>
            <w:r w:rsidR="00D44C3C" w:rsidRPr="00675182">
              <w:rPr>
                <w:rFonts w:cstheme="minorHAnsi"/>
                <w:b/>
                <w:bCs/>
                <w:i/>
                <w:iCs/>
              </w:rPr>
              <w:t>4</w:t>
            </w:r>
            <w:r w:rsidRPr="00675182">
              <w:rPr>
                <w:rFonts w:cstheme="minorHAnsi"/>
                <w:b/>
                <w:bCs/>
                <w:i/>
                <w:iCs/>
              </w:rPr>
              <w:t xml:space="preserve">. attēls. Dažādu ciršu ietekmētās platības GNP </w:t>
            </w:r>
            <w:r w:rsidR="00AA1E37">
              <w:rPr>
                <w:rFonts w:cstheme="minorHAnsi"/>
                <w:b/>
                <w:bCs/>
                <w:i/>
                <w:iCs/>
              </w:rPr>
              <w:t>DLZ</w:t>
            </w:r>
            <w:r w:rsidRPr="00675182">
              <w:rPr>
                <w:rFonts w:cstheme="minorHAnsi"/>
                <w:b/>
                <w:bCs/>
                <w:i/>
                <w:iCs/>
              </w:rPr>
              <w:t xml:space="preserve"> laika posmā no 1977</w:t>
            </w:r>
            <w:r w:rsidR="00F7117E" w:rsidRPr="00675182">
              <w:rPr>
                <w:rFonts w:cstheme="minorHAnsi"/>
                <w:b/>
                <w:bCs/>
                <w:i/>
                <w:iCs/>
              </w:rPr>
              <w:t>.</w:t>
            </w:r>
            <w:r w:rsidRPr="00675182">
              <w:rPr>
                <w:rFonts w:cstheme="minorHAnsi"/>
                <w:b/>
                <w:bCs/>
                <w:i/>
                <w:iCs/>
              </w:rPr>
              <w:t xml:space="preserve"> līdz 2020. gadam.</w:t>
            </w:r>
          </w:p>
          <w:p w14:paraId="60775349" w14:textId="77777777" w:rsidR="00A65014" w:rsidRPr="00675182" w:rsidRDefault="00A65014">
            <w:pPr>
              <w:keepNext/>
              <w:keepLines/>
              <w:jc w:val="both"/>
              <w:rPr>
                <w:rFonts w:cstheme="minorHAnsi"/>
                <w:b/>
                <w:bCs/>
                <w:i/>
                <w:iCs/>
              </w:rPr>
            </w:pPr>
            <w:r w:rsidRPr="00675182">
              <w:rPr>
                <w:rFonts w:cstheme="minorHAnsi"/>
                <w:sz w:val="20"/>
                <w:szCs w:val="16"/>
              </w:rPr>
              <w:t>Datu avots: VMD, 2022</w:t>
            </w:r>
          </w:p>
        </w:tc>
      </w:tr>
      <w:bookmarkEnd w:id="29"/>
    </w:tbl>
    <w:p w14:paraId="41FF1690" w14:textId="77777777" w:rsidR="00A65014" w:rsidRPr="00675182" w:rsidRDefault="00A65014" w:rsidP="00A65014">
      <w:pPr>
        <w:rPr>
          <w:rFonts w:cstheme="minorHAnsi"/>
          <w:szCs w:val="24"/>
        </w:rPr>
      </w:pPr>
    </w:p>
    <w:p w14:paraId="7211663B" w14:textId="54B68D66" w:rsidR="00A65014" w:rsidRPr="00675182" w:rsidRDefault="00AA1E37" w:rsidP="00F7117E">
      <w:pPr>
        <w:jc w:val="both"/>
        <w:rPr>
          <w:rFonts w:cstheme="minorHAnsi"/>
          <w:szCs w:val="24"/>
        </w:rPr>
      </w:pPr>
      <w:r>
        <w:rPr>
          <w:rFonts w:cstheme="minorHAnsi"/>
          <w:szCs w:val="24"/>
        </w:rPr>
        <w:lastRenderedPageBreak/>
        <w:t>AAZ</w:t>
      </w:r>
      <w:r w:rsidR="00A65014" w:rsidRPr="00675182">
        <w:rPr>
          <w:rFonts w:cstheme="minorHAnsi"/>
          <w:szCs w:val="24"/>
        </w:rPr>
        <w:t xml:space="preserve"> mežu teritorijās laika posmā no 2004. līdz 2020. gadam, vidējā ikgadējā koku ciršanas ietekmētā platība privāto īpašnieku mežos bija 395,9 ha, bet valsts īpašuma mežu platībās tie bija vidēji 80,1 ha gadā</w:t>
      </w:r>
      <w:r w:rsidR="00F7117E" w:rsidRPr="00675182">
        <w:rPr>
          <w:rFonts w:cstheme="minorHAnsi"/>
          <w:szCs w:val="24"/>
        </w:rPr>
        <w:t xml:space="preserve"> (skat. 1.3.2</w:t>
      </w:r>
      <w:r w:rsidR="00D44C3C" w:rsidRPr="00675182">
        <w:rPr>
          <w:rFonts w:cstheme="minorHAnsi"/>
          <w:szCs w:val="24"/>
        </w:rPr>
        <w:t>5</w:t>
      </w:r>
      <w:r w:rsidR="00F7117E" w:rsidRPr="00675182">
        <w:rPr>
          <w:rFonts w:cstheme="minorHAnsi"/>
          <w:szCs w:val="24"/>
        </w:rPr>
        <w:t>. attēlu)</w:t>
      </w:r>
      <w:r w:rsidR="00A65014" w:rsidRPr="00675182">
        <w:rPr>
          <w:rFonts w:cstheme="minorHAnsi"/>
          <w:szCs w:val="24"/>
        </w:rPr>
        <w:t xml:space="preserve">. Līdzīgi kā </w:t>
      </w:r>
      <w:r>
        <w:rPr>
          <w:rFonts w:cstheme="minorHAnsi"/>
          <w:szCs w:val="24"/>
        </w:rPr>
        <w:t>DLZ</w:t>
      </w:r>
      <w:r w:rsidR="00A65014" w:rsidRPr="00675182">
        <w:rPr>
          <w:rFonts w:cstheme="minorHAnsi"/>
          <w:szCs w:val="24"/>
        </w:rPr>
        <w:t xml:space="preserve">, arī </w:t>
      </w:r>
      <w:r>
        <w:rPr>
          <w:rFonts w:cstheme="minorHAnsi"/>
          <w:szCs w:val="24"/>
        </w:rPr>
        <w:t>AAZ</w:t>
      </w:r>
      <w:r w:rsidR="00A65014" w:rsidRPr="00675182">
        <w:rPr>
          <w:rFonts w:cstheme="minorHAnsi"/>
          <w:szCs w:val="24"/>
        </w:rPr>
        <w:t xml:space="preserve"> mežos lielākā viena gada ietvaros ietekmētā mežaudžu platība bijusi 2005. gadā, kad cirtes veiktas 982,9 ha platībā. Ciršanas ietekmēto platību dinamika, kā arī tās iespējamie cēloņi, </w:t>
      </w:r>
      <w:r>
        <w:rPr>
          <w:rFonts w:cstheme="minorHAnsi"/>
          <w:szCs w:val="24"/>
        </w:rPr>
        <w:t>AAZ</w:t>
      </w:r>
      <w:r w:rsidR="00A65014" w:rsidRPr="00675182">
        <w:rPr>
          <w:rFonts w:cstheme="minorHAnsi"/>
          <w:szCs w:val="24"/>
        </w:rPr>
        <w:t xml:space="preserve"> privāto īpašnieku mežos ir līdzīgi kā </w:t>
      </w:r>
      <w:r>
        <w:rPr>
          <w:rFonts w:cstheme="minorHAnsi"/>
          <w:szCs w:val="24"/>
        </w:rPr>
        <w:t>DLZ</w:t>
      </w:r>
      <w:r w:rsidR="00A65014" w:rsidRPr="00675182">
        <w:rPr>
          <w:rFonts w:cstheme="minorHAnsi"/>
          <w:szCs w:val="24"/>
        </w:rPr>
        <w:t xml:space="preserve"> mežu platībās. </w:t>
      </w:r>
      <w:r>
        <w:rPr>
          <w:rFonts w:cstheme="minorHAnsi"/>
          <w:szCs w:val="24"/>
        </w:rPr>
        <w:t>AAZ</w:t>
      </w:r>
      <w:r w:rsidR="00A65014" w:rsidRPr="00675182">
        <w:rPr>
          <w:rFonts w:cstheme="minorHAnsi"/>
          <w:szCs w:val="24"/>
        </w:rPr>
        <w:t xml:space="preserve"> valsts īpašuma mežos, līdzīgi kā privāto īpašnieku mežos, vērojams cirsmu platību maksimums 2005. gadā, kas pamazām samazinās un kopš 2017. gada valsts īpašuma mežos nav veikta saimnieciskā darbība, kas saistīta ar koksnes ieguvi.</w:t>
      </w:r>
    </w:p>
    <w:p w14:paraId="1DBD5548" w14:textId="77777777" w:rsidR="001C5655" w:rsidRPr="00675182" w:rsidRDefault="001C5655" w:rsidP="00F7117E">
      <w:pPr>
        <w:jc w:val="both"/>
        <w:rPr>
          <w:rFonts w:cstheme="minorHAnsi"/>
          <w:szCs w:val="24"/>
        </w:rPr>
      </w:pPr>
    </w:p>
    <w:p w14:paraId="208BD00F" w14:textId="7A5B6C3A" w:rsidR="00A65014" w:rsidRPr="00675182" w:rsidRDefault="00A65014" w:rsidP="00F7117E">
      <w:pPr>
        <w:jc w:val="both"/>
        <w:rPr>
          <w:rFonts w:cstheme="minorHAnsi"/>
          <w:szCs w:val="24"/>
        </w:rPr>
      </w:pPr>
      <w:r w:rsidRPr="00675182">
        <w:rPr>
          <w:rFonts w:cstheme="minorHAnsi"/>
          <w:szCs w:val="24"/>
        </w:rPr>
        <w:t xml:space="preserve">Līdzīgas platības </w:t>
      </w:r>
      <w:r w:rsidR="00AA1E37">
        <w:rPr>
          <w:rFonts w:cstheme="minorHAnsi"/>
          <w:szCs w:val="24"/>
        </w:rPr>
        <w:t>AAZ</w:t>
      </w:r>
      <w:r w:rsidRPr="00675182">
        <w:rPr>
          <w:rFonts w:cstheme="minorHAnsi"/>
          <w:szCs w:val="24"/>
        </w:rPr>
        <w:t xml:space="preserve"> privātajos mežos aizņem divu galvenās cirtes veidu - kailcirtes un galvenās izlases cirtes, platības, kopšanas cirtes veiktas platībā, kas līdzvērtīga kailciršu un izlases ciršu platību summai ainavu aizsardzības zonas mežos (informāciju skat. attēlos </w:t>
      </w:r>
      <w:r w:rsidR="00AE3B0F" w:rsidRPr="00675182">
        <w:rPr>
          <w:rFonts w:cstheme="minorHAnsi"/>
          <w:szCs w:val="24"/>
        </w:rPr>
        <w:t>20</w:t>
      </w:r>
      <w:r w:rsidRPr="00675182">
        <w:rPr>
          <w:rFonts w:cstheme="minorHAnsi"/>
          <w:szCs w:val="24"/>
        </w:rPr>
        <w:t>. pielikumā).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65014" w:rsidRPr="00675182" w14:paraId="209DF037" w14:textId="77777777" w:rsidTr="00A65014">
        <w:tc>
          <w:tcPr>
            <w:tcW w:w="8301" w:type="dxa"/>
            <w:hideMark/>
          </w:tcPr>
          <w:p w14:paraId="2EB99535" w14:textId="4C3EBB19" w:rsidR="00A65014" w:rsidRPr="00675182" w:rsidRDefault="00A65014">
            <w:pPr>
              <w:spacing w:before="120"/>
              <w:jc w:val="both"/>
              <w:rPr>
                <w:rFonts w:cstheme="minorHAnsi"/>
                <w:highlight w:val="yellow"/>
              </w:rPr>
            </w:pPr>
            <w:r w:rsidRPr="00675182">
              <w:rPr>
                <w:rFonts w:cstheme="minorHAnsi"/>
                <w:noProof/>
                <w:highlight w:val="yellow"/>
              </w:rPr>
              <w:drawing>
                <wp:inline distT="0" distB="0" distL="0" distR="0" wp14:anchorId="0ABD9CAC" wp14:editId="2D65B2E4">
                  <wp:extent cx="4087464" cy="2520000"/>
                  <wp:effectExtent l="0" t="0" r="8890"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087464" cy="2520000"/>
                          </a:xfrm>
                          <a:prstGeom prst="rect">
                            <a:avLst/>
                          </a:prstGeom>
                          <a:noFill/>
                          <a:ln>
                            <a:noFill/>
                          </a:ln>
                        </pic:spPr>
                      </pic:pic>
                    </a:graphicData>
                  </a:graphic>
                </wp:inline>
              </w:drawing>
            </w:r>
          </w:p>
        </w:tc>
      </w:tr>
      <w:tr w:rsidR="00A65014" w:rsidRPr="00675182" w14:paraId="46E2D339" w14:textId="77777777" w:rsidTr="00A65014">
        <w:tc>
          <w:tcPr>
            <w:tcW w:w="8301" w:type="dxa"/>
            <w:hideMark/>
          </w:tcPr>
          <w:p w14:paraId="66153F47" w14:textId="07508A06" w:rsidR="00A65014" w:rsidRPr="00675182" w:rsidRDefault="00A65014">
            <w:pPr>
              <w:keepNext/>
              <w:keepLines/>
              <w:jc w:val="both"/>
              <w:rPr>
                <w:rFonts w:cstheme="minorHAnsi"/>
                <w:b/>
                <w:bCs/>
                <w:i/>
                <w:iCs/>
              </w:rPr>
            </w:pPr>
            <w:r w:rsidRPr="00675182">
              <w:rPr>
                <w:rFonts w:cstheme="minorHAnsi"/>
                <w:b/>
                <w:bCs/>
                <w:i/>
                <w:iCs/>
              </w:rPr>
              <w:t>1.3.2</w:t>
            </w:r>
            <w:r w:rsidR="00D44C3C" w:rsidRPr="00675182">
              <w:rPr>
                <w:rFonts w:cstheme="minorHAnsi"/>
                <w:b/>
                <w:bCs/>
                <w:i/>
                <w:iCs/>
              </w:rPr>
              <w:t>5</w:t>
            </w:r>
            <w:r w:rsidRPr="00675182">
              <w:rPr>
                <w:rFonts w:cstheme="minorHAnsi"/>
                <w:b/>
                <w:bCs/>
                <w:i/>
                <w:iCs/>
              </w:rPr>
              <w:t xml:space="preserve">. attēls. Dažādu ciršu ietekmētās platības GNP </w:t>
            </w:r>
            <w:r w:rsidR="00AA1E37">
              <w:rPr>
                <w:rFonts w:cstheme="minorHAnsi"/>
                <w:b/>
                <w:bCs/>
                <w:i/>
                <w:iCs/>
              </w:rPr>
              <w:t>AAZ</w:t>
            </w:r>
            <w:r w:rsidRPr="00675182">
              <w:rPr>
                <w:rFonts w:cstheme="minorHAnsi"/>
                <w:b/>
                <w:bCs/>
                <w:i/>
                <w:iCs/>
              </w:rPr>
              <w:t xml:space="preserve"> laika posmā no 1977</w:t>
            </w:r>
            <w:r w:rsidR="00F7117E" w:rsidRPr="00675182">
              <w:rPr>
                <w:rFonts w:cstheme="minorHAnsi"/>
                <w:b/>
                <w:bCs/>
                <w:i/>
                <w:iCs/>
              </w:rPr>
              <w:t>.</w:t>
            </w:r>
            <w:r w:rsidRPr="00675182">
              <w:rPr>
                <w:rFonts w:cstheme="minorHAnsi"/>
                <w:b/>
                <w:bCs/>
                <w:i/>
                <w:iCs/>
              </w:rPr>
              <w:t xml:space="preserve"> līdz 2020. gadam.</w:t>
            </w:r>
          </w:p>
          <w:p w14:paraId="582963B4" w14:textId="77777777" w:rsidR="00A65014" w:rsidRPr="00675182" w:rsidRDefault="00A65014">
            <w:pPr>
              <w:keepNext/>
              <w:keepLines/>
              <w:jc w:val="both"/>
              <w:rPr>
                <w:rFonts w:cstheme="minorHAnsi"/>
                <w:b/>
                <w:bCs/>
                <w:i/>
                <w:iCs/>
              </w:rPr>
            </w:pPr>
            <w:r w:rsidRPr="00675182">
              <w:rPr>
                <w:rFonts w:cstheme="minorHAnsi"/>
                <w:sz w:val="20"/>
                <w:szCs w:val="16"/>
              </w:rPr>
              <w:t>Datu avots: VMD, 2022</w:t>
            </w:r>
          </w:p>
        </w:tc>
      </w:tr>
    </w:tbl>
    <w:p w14:paraId="06CDFB97" w14:textId="77777777" w:rsidR="00A65014" w:rsidRPr="00675182" w:rsidRDefault="00A65014" w:rsidP="00A65014">
      <w:pPr>
        <w:rPr>
          <w:rFonts w:cstheme="minorHAnsi"/>
          <w:szCs w:val="24"/>
        </w:rPr>
      </w:pPr>
    </w:p>
    <w:p w14:paraId="27398714" w14:textId="79EA5981" w:rsidR="00A65014" w:rsidRPr="00675182" w:rsidRDefault="003E18DD" w:rsidP="00F7117E">
      <w:pPr>
        <w:jc w:val="both"/>
        <w:rPr>
          <w:rFonts w:cstheme="minorHAnsi"/>
          <w:szCs w:val="24"/>
        </w:rPr>
      </w:pPr>
      <w:r>
        <w:rPr>
          <w:rFonts w:cstheme="minorHAnsi"/>
          <w:szCs w:val="24"/>
        </w:rPr>
        <w:t>KVZ</w:t>
      </w:r>
      <w:r w:rsidR="00A65014" w:rsidRPr="00675182">
        <w:rPr>
          <w:rFonts w:cstheme="minorHAnsi"/>
          <w:szCs w:val="24"/>
        </w:rPr>
        <w:t xml:space="preserve"> mežos koksnes ieguve veikta nelielās platībās un pamatā tikai privāto īpašnieku mežos (skat. 1.3.2</w:t>
      </w:r>
      <w:r w:rsidR="00D44C3C" w:rsidRPr="00675182">
        <w:rPr>
          <w:rFonts w:cstheme="minorHAnsi"/>
          <w:szCs w:val="24"/>
        </w:rPr>
        <w:t>6</w:t>
      </w:r>
      <w:r w:rsidR="00A65014" w:rsidRPr="00675182">
        <w:rPr>
          <w:rFonts w:cstheme="minorHAnsi"/>
          <w:szCs w:val="24"/>
        </w:rPr>
        <w:t>. attēlu). Līdzīgi kā citās funkcionālajās zonās lielākās ciršu platības ir saistītas ar sanitāro ciršu veikšanu 2005. gadā un 2018. – 2019. gadā, kā arī kopšanas un galvenās izlases cirtes platībām, kas kopumā veiktas platībā, kas nepārsniedz 100 ha.</w:t>
      </w:r>
    </w:p>
    <w:p w14:paraId="64FFDF15" w14:textId="77777777" w:rsidR="00A65014" w:rsidRPr="00675182" w:rsidRDefault="00A65014" w:rsidP="00A65014">
      <w:pPr>
        <w:rPr>
          <w:rFonts w:cstheme="minorHAnsi"/>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A65014" w:rsidRPr="00675182" w14:paraId="68DDDE65" w14:textId="77777777" w:rsidTr="00A65014">
        <w:tc>
          <w:tcPr>
            <w:tcW w:w="8311" w:type="dxa"/>
            <w:hideMark/>
          </w:tcPr>
          <w:p w14:paraId="471E1A25" w14:textId="1A4BB890" w:rsidR="00A65014" w:rsidRPr="00675182" w:rsidRDefault="00A65014" w:rsidP="00F7117E">
            <w:pPr>
              <w:keepNext/>
              <w:keepLines/>
              <w:spacing w:before="120"/>
              <w:jc w:val="both"/>
              <w:rPr>
                <w:rFonts w:cstheme="minorHAnsi"/>
                <w:highlight w:val="yellow"/>
              </w:rPr>
            </w:pPr>
            <w:r w:rsidRPr="00675182">
              <w:rPr>
                <w:rFonts w:cstheme="minorHAnsi"/>
                <w:noProof/>
                <w:highlight w:val="yellow"/>
              </w:rPr>
              <w:lastRenderedPageBreak/>
              <w:drawing>
                <wp:inline distT="0" distB="0" distL="0" distR="0" wp14:anchorId="27301E8B" wp14:editId="4C90CF6D">
                  <wp:extent cx="4173366" cy="2520000"/>
                  <wp:effectExtent l="0" t="0" r="0"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73366" cy="2520000"/>
                          </a:xfrm>
                          <a:prstGeom prst="rect">
                            <a:avLst/>
                          </a:prstGeom>
                          <a:noFill/>
                          <a:ln>
                            <a:noFill/>
                          </a:ln>
                        </pic:spPr>
                      </pic:pic>
                    </a:graphicData>
                  </a:graphic>
                </wp:inline>
              </w:drawing>
            </w:r>
          </w:p>
        </w:tc>
      </w:tr>
      <w:tr w:rsidR="00A65014" w:rsidRPr="00675182" w14:paraId="3C5C7345" w14:textId="77777777" w:rsidTr="00A65014">
        <w:tc>
          <w:tcPr>
            <w:tcW w:w="8311" w:type="dxa"/>
            <w:hideMark/>
          </w:tcPr>
          <w:p w14:paraId="22A9CA8B" w14:textId="366E9FE1" w:rsidR="00A65014" w:rsidRPr="00675182" w:rsidRDefault="00A65014" w:rsidP="00F7117E">
            <w:pPr>
              <w:keepNext/>
              <w:keepLines/>
              <w:jc w:val="both"/>
              <w:rPr>
                <w:rFonts w:cstheme="minorHAnsi"/>
                <w:b/>
                <w:bCs/>
                <w:i/>
                <w:iCs/>
              </w:rPr>
            </w:pPr>
            <w:r w:rsidRPr="00675182">
              <w:rPr>
                <w:rFonts w:cstheme="minorHAnsi"/>
                <w:b/>
                <w:bCs/>
                <w:i/>
                <w:iCs/>
              </w:rPr>
              <w:t>1.3.2</w:t>
            </w:r>
            <w:r w:rsidR="00D44C3C" w:rsidRPr="00675182">
              <w:rPr>
                <w:rFonts w:cstheme="minorHAnsi"/>
                <w:b/>
                <w:bCs/>
                <w:i/>
                <w:iCs/>
              </w:rPr>
              <w:t>6</w:t>
            </w:r>
            <w:r w:rsidRPr="00675182">
              <w:rPr>
                <w:rFonts w:cstheme="minorHAnsi"/>
                <w:b/>
                <w:bCs/>
                <w:i/>
                <w:iCs/>
              </w:rPr>
              <w:t xml:space="preserve">. attēls. Dažādu ciršu ietekmētās platības GNP </w:t>
            </w:r>
            <w:r w:rsidR="003E18DD">
              <w:rPr>
                <w:rFonts w:cstheme="minorHAnsi"/>
                <w:b/>
                <w:bCs/>
                <w:i/>
                <w:iCs/>
              </w:rPr>
              <w:t>KVZ</w:t>
            </w:r>
            <w:r w:rsidRPr="00675182">
              <w:rPr>
                <w:rFonts w:cstheme="minorHAnsi"/>
                <w:b/>
                <w:bCs/>
                <w:i/>
                <w:iCs/>
              </w:rPr>
              <w:t xml:space="preserve"> laika posmā no 1977</w:t>
            </w:r>
            <w:r w:rsidR="00F7117E" w:rsidRPr="00675182">
              <w:rPr>
                <w:rFonts w:cstheme="minorHAnsi"/>
                <w:b/>
                <w:bCs/>
                <w:i/>
                <w:iCs/>
              </w:rPr>
              <w:t>.</w:t>
            </w:r>
            <w:r w:rsidRPr="00675182">
              <w:rPr>
                <w:rFonts w:cstheme="minorHAnsi"/>
                <w:b/>
                <w:bCs/>
                <w:i/>
                <w:iCs/>
              </w:rPr>
              <w:t xml:space="preserve"> līdz 2020. gadam.</w:t>
            </w:r>
          </w:p>
          <w:p w14:paraId="66CC0804" w14:textId="77777777" w:rsidR="00A65014" w:rsidRPr="00675182" w:rsidRDefault="00A65014" w:rsidP="00F7117E">
            <w:pPr>
              <w:keepNext/>
              <w:keepLines/>
              <w:jc w:val="both"/>
              <w:rPr>
                <w:rFonts w:cstheme="minorHAnsi"/>
                <w:b/>
                <w:bCs/>
                <w:i/>
                <w:iCs/>
              </w:rPr>
            </w:pPr>
            <w:r w:rsidRPr="00675182">
              <w:rPr>
                <w:rFonts w:cstheme="minorHAnsi"/>
                <w:sz w:val="20"/>
                <w:szCs w:val="16"/>
              </w:rPr>
              <w:t>Datu avots: VMD, 2022</w:t>
            </w:r>
          </w:p>
        </w:tc>
      </w:tr>
    </w:tbl>
    <w:p w14:paraId="41BEF489" w14:textId="77777777" w:rsidR="00A65014" w:rsidRPr="00675182" w:rsidRDefault="00A65014" w:rsidP="00A65014">
      <w:pPr>
        <w:rPr>
          <w:rFonts w:cstheme="minorHAnsi"/>
          <w:szCs w:val="24"/>
        </w:rPr>
      </w:pPr>
    </w:p>
    <w:p w14:paraId="55B7F6C6" w14:textId="7C67599E" w:rsidR="00A65014" w:rsidRPr="00675182" w:rsidRDefault="00487143" w:rsidP="00F7117E">
      <w:pPr>
        <w:jc w:val="both"/>
        <w:rPr>
          <w:rFonts w:cstheme="minorHAnsi"/>
          <w:szCs w:val="24"/>
        </w:rPr>
      </w:pPr>
      <w:r>
        <w:rPr>
          <w:rFonts w:cstheme="minorHAnsi"/>
          <w:szCs w:val="24"/>
        </w:rPr>
        <w:t>NZ</w:t>
      </w:r>
      <w:r w:rsidR="00A65014" w:rsidRPr="00675182">
        <w:rPr>
          <w:rFonts w:cstheme="minorHAnsi"/>
          <w:szCs w:val="24"/>
        </w:rPr>
        <w:t xml:space="preserve"> mežu teritorijās laika posmā no 2004. līdz 2020. gadam, vidējā ikgadējā koku ciršanas ietekmētā platība privāto īpašnieku mežos bija 76,8 ha, bet valsts īpašuma mežu platībās tie bija vidēji 26,7 ha gadā. Līdzīgi kā </w:t>
      </w:r>
      <w:r>
        <w:rPr>
          <w:rFonts w:cstheme="minorHAnsi"/>
          <w:szCs w:val="24"/>
        </w:rPr>
        <w:t>DLZ</w:t>
      </w:r>
      <w:r w:rsidR="00A65014" w:rsidRPr="00675182">
        <w:rPr>
          <w:rFonts w:cstheme="minorHAnsi"/>
          <w:szCs w:val="24"/>
        </w:rPr>
        <w:t xml:space="preserve"> un </w:t>
      </w:r>
      <w:r>
        <w:rPr>
          <w:rFonts w:cstheme="minorHAnsi"/>
          <w:szCs w:val="24"/>
        </w:rPr>
        <w:t>AAZ</w:t>
      </w:r>
      <w:r w:rsidR="00A65014" w:rsidRPr="00675182">
        <w:rPr>
          <w:rFonts w:cstheme="minorHAnsi"/>
          <w:szCs w:val="24"/>
        </w:rPr>
        <w:t xml:space="preserve"> mežos, lielākā viena gada ietvaros ietekmētā mežaudžu platība bijusi 2005. gadā, kad cirtes veiktas 162 ha platībā (skat. attēlu 1.3.2</w:t>
      </w:r>
      <w:r w:rsidR="00D44C3C" w:rsidRPr="00675182">
        <w:rPr>
          <w:rFonts w:cstheme="minorHAnsi"/>
          <w:szCs w:val="24"/>
        </w:rPr>
        <w:t>7</w:t>
      </w:r>
      <w:r w:rsidR="00A65014" w:rsidRPr="00675182">
        <w:rPr>
          <w:rFonts w:cstheme="minorHAnsi"/>
          <w:szCs w:val="24"/>
        </w:rPr>
        <w:t xml:space="preserve">.). Laika posmā līdz 2015. gadam koksnes ieguve galvenajā cirtē veikta arī valsts īpašuma mežu platībās. Maksimumu ciršu platība valsts mežos sasniegusi 2009. gadā, kad cirtes veiktas 112 ha platībā, bet kops 2015. gada koksnes ieguve valsts mežu platībās GNP </w:t>
      </w:r>
      <w:r>
        <w:rPr>
          <w:rFonts w:cstheme="minorHAnsi"/>
          <w:szCs w:val="24"/>
        </w:rPr>
        <w:t>NZ</w:t>
      </w:r>
      <w:r w:rsidR="00A65014" w:rsidRPr="00675182">
        <w:rPr>
          <w:rFonts w:cstheme="minorHAnsi"/>
          <w:szCs w:val="24"/>
        </w:rPr>
        <w:t xml:space="preserve"> nenotiek. Detalizētu informāciju par dažādu ciršu platību kopsummām GNP </w:t>
      </w:r>
      <w:r w:rsidR="002641C8">
        <w:rPr>
          <w:rFonts w:cstheme="minorHAnsi"/>
          <w:szCs w:val="24"/>
        </w:rPr>
        <w:t>NZ</w:t>
      </w:r>
      <w:r w:rsidR="00A65014" w:rsidRPr="00675182">
        <w:rPr>
          <w:rFonts w:cstheme="minorHAnsi"/>
          <w:szCs w:val="24"/>
        </w:rPr>
        <w:t xml:space="preserve"> skat. attēlos </w:t>
      </w:r>
      <w:r w:rsidR="00AE3B0F" w:rsidRPr="00675182">
        <w:rPr>
          <w:rFonts w:cstheme="minorHAnsi"/>
          <w:szCs w:val="24"/>
        </w:rPr>
        <w:t>20</w:t>
      </w:r>
      <w:r w:rsidR="00A65014" w:rsidRPr="00675182">
        <w:rPr>
          <w:rFonts w:cstheme="minorHAnsi"/>
          <w:szCs w:val="24"/>
        </w:rPr>
        <w:t>. pielikumā.</w:t>
      </w:r>
    </w:p>
    <w:p w14:paraId="0D82DCF4" w14:textId="77777777" w:rsidR="00A65014" w:rsidRPr="00675182" w:rsidRDefault="00A65014" w:rsidP="00A65014">
      <w:pPr>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65014" w:rsidRPr="00675182" w14:paraId="29B52F80" w14:textId="77777777" w:rsidTr="00A65014">
        <w:tc>
          <w:tcPr>
            <w:tcW w:w="8301" w:type="dxa"/>
            <w:hideMark/>
          </w:tcPr>
          <w:p w14:paraId="70633A01" w14:textId="0EDB1090" w:rsidR="00A65014" w:rsidRPr="00675182" w:rsidRDefault="00A65014">
            <w:pPr>
              <w:spacing w:before="120"/>
              <w:jc w:val="both"/>
              <w:rPr>
                <w:rFonts w:cstheme="minorHAnsi"/>
                <w:highlight w:val="yellow"/>
              </w:rPr>
            </w:pPr>
            <w:bookmarkStart w:id="30" w:name="_Hlk99446515"/>
            <w:r w:rsidRPr="00675182">
              <w:rPr>
                <w:rFonts w:cstheme="minorHAnsi"/>
                <w:noProof/>
                <w:highlight w:val="yellow"/>
              </w:rPr>
              <w:drawing>
                <wp:inline distT="0" distB="0" distL="0" distR="0" wp14:anchorId="7C108CD7" wp14:editId="7422E800">
                  <wp:extent cx="4831080" cy="2892948"/>
                  <wp:effectExtent l="0" t="0" r="7620" b="3175"/>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59130" cy="2909745"/>
                          </a:xfrm>
                          <a:prstGeom prst="rect">
                            <a:avLst/>
                          </a:prstGeom>
                          <a:noFill/>
                          <a:ln>
                            <a:noFill/>
                          </a:ln>
                        </pic:spPr>
                      </pic:pic>
                    </a:graphicData>
                  </a:graphic>
                </wp:inline>
              </w:drawing>
            </w:r>
          </w:p>
        </w:tc>
      </w:tr>
      <w:tr w:rsidR="00A65014" w:rsidRPr="00675182" w14:paraId="73E689AD" w14:textId="77777777" w:rsidTr="00A65014">
        <w:tc>
          <w:tcPr>
            <w:tcW w:w="8301" w:type="dxa"/>
            <w:hideMark/>
          </w:tcPr>
          <w:p w14:paraId="26EC1426" w14:textId="1218F0BD" w:rsidR="00A65014" w:rsidRPr="00675182" w:rsidRDefault="00A65014">
            <w:pPr>
              <w:keepNext/>
              <w:keepLines/>
              <w:jc w:val="both"/>
              <w:rPr>
                <w:rFonts w:cstheme="minorHAnsi"/>
                <w:b/>
                <w:bCs/>
                <w:i/>
                <w:iCs/>
              </w:rPr>
            </w:pPr>
            <w:r w:rsidRPr="00675182">
              <w:rPr>
                <w:rFonts w:cstheme="minorHAnsi"/>
                <w:b/>
                <w:bCs/>
                <w:i/>
                <w:iCs/>
              </w:rPr>
              <w:lastRenderedPageBreak/>
              <w:t>1.3.2</w:t>
            </w:r>
            <w:r w:rsidR="00D44C3C" w:rsidRPr="00675182">
              <w:rPr>
                <w:rFonts w:cstheme="minorHAnsi"/>
                <w:b/>
                <w:bCs/>
                <w:i/>
                <w:iCs/>
              </w:rPr>
              <w:t>7</w:t>
            </w:r>
            <w:r w:rsidRPr="00675182">
              <w:rPr>
                <w:rFonts w:cstheme="minorHAnsi"/>
                <w:b/>
                <w:bCs/>
                <w:i/>
                <w:iCs/>
              </w:rPr>
              <w:t>. attēls. Dažādu ciršu ietekmētās platības GNP neitrālajā zonā laika posmā no 1977</w:t>
            </w:r>
            <w:r w:rsidR="00F7117E" w:rsidRPr="00675182">
              <w:rPr>
                <w:rFonts w:cstheme="minorHAnsi"/>
                <w:b/>
                <w:bCs/>
                <w:i/>
                <w:iCs/>
              </w:rPr>
              <w:t>.</w:t>
            </w:r>
            <w:r w:rsidRPr="00675182">
              <w:rPr>
                <w:rFonts w:cstheme="minorHAnsi"/>
                <w:b/>
                <w:bCs/>
                <w:i/>
                <w:iCs/>
              </w:rPr>
              <w:t xml:space="preserve"> līdz 2020. gadam.</w:t>
            </w:r>
          </w:p>
          <w:p w14:paraId="49CDB6B1" w14:textId="77777777" w:rsidR="00A65014" w:rsidRPr="00675182" w:rsidRDefault="00A65014">
            <w:pPr>
              <w:keepNext/>
              <w:keepLines/>
              <w:jc w:val="both"/>
              <w:rPr>
                <w:rFonts w:cstheme="minorHAnsi"/>
                <w:b/>
                <w:bCs/>
                <w:i/>
                <w:iCs/>
              </w:rPr>
            </w:pPr>
            <w:r w:rsidRPr="00675182">
              <w:rPr>
                <w:rFonts w:cstheme="minorHAnsi"/>
                <w:sz w:val="20"/>
                <w:szCs w:val="16"/>
              </w:rPr>
              <w:t>Datu avots: VMD, 2022</w:t>
            </w:r>
          </w:p>
        </w:tc>
      </w:tr>
      <w:bookmarkEnd w:id="30"/>
    </w:tbl>
    <w:p w14:paraId="6E3CA8D5" w14:textId="77777777" w:rsidR="00A65014" w:rsidRPr="00675182" w:rsidRDefault="00A65014" w:rsidP="00A65014">
      <w:pPr>
        <w:rPr>
          <w:rFonts w:cstheme="minorHAnsi"/>
          <w:szCs w:val="24"/>
        </w:rPr>
      </w:pPr>
    </w:p>
    <w:p w14:paraId="2825DE4E" w14:textId="1CE43F58" w:rsidR="00A65014" w:rsidRPr="00675182" w:rsidRDefault="00A65014" w:rsidP="00A65014">
      <w:pPr>
        <w:jc w:val="both"/>
        <w:rPr>
          <w:rFonts w:cstheme="minorHAnsi"/>
          <w:szCs w:val="24"/>
        </w:rPr>
      </w:pPr>
      <w:r w:rsidRPr="00675182">
        <w:rPr>
          <w:rFonts w:cstheme="minorHAnsi"/>
          <w:szCs w:val="24"/>
        </w:rPr>
        <w:t>Lai novērtētu meža apsaimniekošanas aktivitāti fizisko un juridisko personu īpašuma mežos GNP funkcionālajās zonās, tika analizēta apsaimniekošanas ietekmētā platība katrā zonā (skat. 1.3.2</w:t>
      </w:r>
      <w:r w:rsidR="00D44C3C" w:rsidRPr="00675182">
        <w:rPr>
          <w:rFonts w:cstheme="minorHAnsi"/>
          <w:szCs w:val="24"/>
        </w:rPr>
        <w:t>8</w:t>
      </w:r>
      <w:r w:rsidRPr="00675182">
        <w:rPr>
          <w:rFonts w:cstheme="minorHAnsi"/>
          <w:szCs w:val="24"/>
        </w:rPr>
        <w:t>. attēlu) un novērtēta meža apsaimniekotāju aktivitāte, kā attiecība starp īpašumu skaitu, kuros veikta koku ciršana, un īpašumu skaitu, kuros nav veikta koksnes ieguve (skat. 1.3.2</w:t>
      </w:r>
      <w:r w:rsidR="00D44C3C" w:rsidRPr="00675182">
        <w:rPr>
          <w:rFonts w:cstheme="minorHAnsi"/>
          <w:szCs w:val="24"/>
        </w:rPr>
        <w:t>9</w:t>
      </w:r>
      <w:r w:rsidRPr="00675182">
        <w:rPr>
          <w:rFonts w:cstheme="minorHAnsi"/>
          <w:szCs w:val="24"/>
        </w:rPr>
        <w:t xml:space="preserve">. attēlu). Lielākā koksnes ieguvei apsaimniekoto meža platību proporcija ietilpst </w:t>
      </w:r>
      <w:r w:rsidR="00FC0A8B">
        <w:rPr>
          <w:rFonts w:cstheme="minorHAnsi"/>
          <w:szCs w:val="24"/>
        </w:rPr>
        <w:t>AAZ</w:t>
      </w:r>
      <w:r w:rsidRPr="00675182">
        <w:rPr>
          <w:rFonts w:cstheme="minorHAnsi"/>
          <w:szCs w:val="24"/>
        </w:rPr>
        <w:t xml:space="preserve"> – 55</w:t>
      </w:r>
      <w:r w:rsidR="00F7117E" w:rsidRPr="00675182">
        <w:rPr>
          <w:rFonts w:cstheme="minorHAnsi"/>
          <w:szCs w:val="24"/>
        </w:rPr>
        <w:t>,</w:t>
      </w:r>
      <w:r w:rsidRPr="00675182">
        <w:rPr>
          <w:rFonts w:cstheme="minorHAnsi"/>
          <w:szCs w:val="24"/>
        </w:rPr>
        <w:t xml:space="preserve">9 % (no kopējās zonas mežu platības), bet </w:t>
      </w:r>
      <w:r w:rsidR="00FC0A8B">
        <w:rPr>
          <w:rFonts w:cstheme="minorHAnsi"/>
          <w:szCs w:val="24"/>
        </w:rPr>
        <w:t>DLZ</w:t>
      </w:r>
      <w:r w:rsidRPr="00675182">
        <w:rPr>
          <w:rFonts w:cstheme="minorHAnsi"/>
          <w:szCs w:val="24"/>
        </w:rPr>
        <w:t xml:space="preserve"> koksnes ieguve privāto īpašnieku mežos veikta aptuveni 1/3 mežu platības. Izvērtējot katrā funkcionālajā zonā ietilpstošo īpašumu daļu, kurā veikta koku ciršana, secināms, ka </w:t>
      </w:r>
      <w:r w:rsidR="00FC0A8B">
        <w:rPr>
          <w:rFonts w:cstheme="minorHAnsi"/>
          <w:szCs w:val="24"/>
        </w:rPr>
        <w:t>DLZ</w:t>
      </w:r>
      <w:r w:rsidRPr="00675182">
        <w:rPr>
          <w:rFonts w:cstheme="minorHAnsi"/>
          <w:szCs w:val="24"/>
        </w:rPr>
        <w:t xml:space="preserve">, </w:t>
      </w:r>
      <w:r w:rsidR="00FC0A8B">
        <w:rPr>
          <w:rFonts w:cstheme="minorHAnsi"/>
          <w:szCs w:val="24"/>
        </w:rPr>
        <w:t>AAZ</w:t>
      </w:r>
      <w:r w:rsidRPr="00675182">
        <w:rPr>
          <w:rFonts w:cstheme="minorHAnsi"/>
          <w:szCs w:val="24"/>
        </w:rPr>
        <w:t xml:space="preserve"> un </w:t>
      </w:r>
      <w:r w:rsidR="00FC0A8B">
        <w:rPr>
          <w:rFonts w:cstheme="minorHAnsi"/>
          <w:szCs w:val="24"/>
        </w:rPr>
        <w:t>NZ</w:t>
      </w:r>
      <w:r w:rsidRPr="00675182">
        <w:rPr>
          <w:rFonts w:cstheme="minorHAnsi"/>
          <w:szCs w:val="24"/>
        </w:rPr>
        <w:t xml:space="preserve"> 40 – 46 % īpašumu veikta kāda no cirtēm, bet </w:t>
      </w:r>
      <w:r w:rsidR="007C641D">
        <w:rPr>
          <w:rFonts w:cstheme="minorHAnsi"/>
          <w:szCs w:val="24"/>
        </w:rPr>
        <w:t>KVZ</w:t>
      </w:r>
      <w:r w:rsidRPr="00675182">
        <w:rPr>
          <w:rFonts w:cstheme="minorHAnsi"/>
          <w:szCs w:val="24"/>
        </w:rPr>
        <w:t xml:space="preserve"> cirtes veiktas 35 % īpašumu. Kopējās tendences liecina, ka aptuveni pusē īpašumu GNP nav veikta saimnieciskā darbība neatkarīgi no funkcionālās zonas, kurā šie īpašumi atrodas. Tāpat secināms, ka funkcionālajās zonās ar lielāku dabas vērtību koncentrāciju un attiecīgi stingrākiem saimnieciskas darbības ierobežojumiem, koksnes ieguve ietekmējusi mazāku mežaudžu daļu.</w:t>
      </w:r>
    </w:p>
    <w:p w14:paraId="4FCE119B" w14:textId="77777777" w:rsidR="00A65014" w:rsidRPr="00675182" w:rsidRDefault="00A65014" w:rsidP="00A65014">
      <w:pPr>
        <w:jc w:val="both"/>
        <w:rPr>
          <w:rFonts w:cstheme="minorHAnsi"/>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A65014" w:rsidRPr="00675182" w14:paraId="4AA3D5D1" w14:textId="77777777" w:rsidTr="00A65014">
        <w:tc>
          <w:tcPr>
            <w:tcW w:w="8301" w:type="dxa"/>
            <w:hideMark/>
          </w:tcPr>
          <w:p w14:paraId="2F8634C9" w14:textId="284ECF63" w:rsidR="00A65014" w:rsidRPr="00675182" w:rsidRDefault="00A65014">
            <w:pPr>
              <w:spacing w:before="120"/>
              <w:jc w:val="both"/>
              <w:rPr>
                <w:rFonts w:cstheme="minorHAnsi"/>
                <w:highlight w:val="yellow"/>
              </w:rPr>
            </w:pPr>
            <w:bookmarkStart w:id="31" w:name="_Hlk99446700"/>
            <w:r w:rsidRPr="00675182">
              <w:rPr>
                <w:rFonts w:cstheme="minorHAnsi"/>
                <w:noProof/>
                <w:highlight w:val="yellow"/>
              </w:rPr>
              <w:drawing>
                <wp:inline distT="0" distB="0" distL="0" distR="0" wp14:anchorId="21F805D9" wp14:editId="37DCAFBE">
                  <wp:extent cx="5143500" cy="2095500"/>
                  <wp:effectExtent l="0" t="0" r="0" b="0"/>
                  <wp:docPr id="248" name="Diagramma 248">
                    <a:extLst xmlns:a="http://schemas.openxmlformats.org/drawingml/2006/main">
                      <a:ext uri="{FF2B5EF4-FFF2-40B4-BE49-F238E27FC236}">
                        <a16:creationId xmlns:a16="http://schemas.microsoft.com/office/drawing/2014/main" id="{40E5751F-3F67-4CF5-8BE0-56ADBF013E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c>
      </w:tr>
      <w:tr w:rsidR="00A65014" w:rsidRPr="00675182" w14:paraId="733AF8D6" w14:textId="77777777" w:rsidTr="00A65014">
        <w:tc>
          <w:tcPr>
            <w:tcW w:w="8301" w:type="dxa"/>
            <w:hideMark/>
          </w:tcPr>
          <w:p w14:paraId="0A4E81C1" w14:textId="40061E5A" w:rsidR="00A65014" w:rsidRPr="00675182" w:rsidRDefault="00A65014">
            <w:pPr>
              <w:keepNext/>
              <w:keepLines/>
              <w:jc w:val="both"/>
              <w:rPr>
                <w:rFonts w:cstheme="minorHAnsi"/>
                <w:b/>
                <w:bCs/>
                <w:i/>
                <w:iCs/>
              </w:rPr>
            </w:pPr>
            <w:r w:rsidRPr="00675182">
              <w:rPr>
                <w:rFonts w:cstheme="minorHAnsi"/>
                <w:b/>
                <w:bCs/>
                <w:i/>
                <w:iCs/>
              </w:rPr>
              <w:t>1.3.2</w:t>
            </w:r>
            <w:r w:rsidR="00D44C3C" w:rsidRPr="00675182">
              <w:rPr>
                <w:rFonts w:cstheme="minorHAnsi"/>
                <w:b/>
                <w:bCs/>
                <w:i/>
                <w:iCs/>
              </w:rPr>
              <w:t>8</w:t>
            </w:r>
            <w:r w:rsidRPr="00675182">
              <w:rPr>
                <w:rFonts w:cstheme="minorHAnsi"/>
                <w:b/>
                <w:bCs/>
                <w:i/>
                <w:iCs/>
              </w:rPr>
              <w:t>. attēls. Meža platību īpatsvars privāto īpašnieku mežos, kurās veikta koksnes ieguve sadalījumā pa GNP funkcionālajām zonām.</w:t>
            </w:r>
          </w:p>
          <w:p w14:paraId="00D47FE4" w14:textId="77777777" w:rsidR="00A65014" w:rsidRPr="00675182" w:rsidRDefault="00A65014">
            <w:pPr>
              <w:keepNext/>
              <w:keepLines/>
              <w:jc w:val="both"/>
              <w:rPr>
                <w:rFonts w:cstheme="minorHAnsi"/>
                <w:b/>
                <w:bCs/>
                <w:i/>
                <w:iCs/>
                <w:highlight w:val="yellow"/>
              </w:rPr>
            </w:pPr>
            <w:r w:rsidRPr="00675182">
              <w:rPr>
                <w:rFonts w:cstheme="minorHAnsi"/>
                <w:sz w:val="20"/>
                <w:szCs w:val="16"/>
              </w:rPr>
              <w:t>Datu avots: VMD, 2022</w:t>
            </w:r>
          </w:p>
        </w:tc>
      </w:tr>
    </w:tbl>
    <w:p w14:paraId="38690DA0" w14:textId="77777777" w:rsidR="00A65014" w:rsidRPr="00675182" w:rsidRDefault="00A65014" w:rsidP="00A65014">
      <w:pPr>
        <w:jc w:val="both"/>
        <w:rPr>
          <w:rFonts w:cstheme="minorHAnsi"/>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A65014" w:rsidRPr="00675182" w14:paraId="77B1572A" w14:textId="77777777" w:rsidTr="00A65014">
        <w:tc>
          <w:tcPr>
            <w:tcW w:w="8301" w:type="dxa"/>
            <w:hideMark/>
          </w:tcPr>
          <w:bookmarkEnd w:id="31"/>
          <w:p w14:paraId="313C7716" w14:textId="1835CF5F" w:rsidR="00A65014" w:rsidRPr="00675182" w:rsidRDefault="00A65014">
            <w:pPr>
              <w:spacing w:before="120"/>
              <w:jc w:val="both"/>
              <w:rPr>
                <w:rFonts w:cstheme="minorHAnsi"/>
                <w:highlight w:val="yellow"/>
              </w:rPr>
            </w:pPr>
            <w:r w:rsidRPr="00675182">
              <w:rPr>
                <w:rFonts w:cstheme="minorHAnsi"/>
                <w:noProof/>
                <w:highlight w:val="yellow"/>
              </w:rPr>
              <w:drawing>
                <wp:inline distT="0" distB="0" distL="0" distR="0" wp14:anchorId="4305257B" wp14:editId="7542A160">
                  <wp:extent cx="5181600" cy="2232660"/>
                  <wp:effectExtent l="0" t="0" r="0"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81600" cy="2232660"/>
                          </a:xfrm>
                          <a:prstGeom prst="rect">
                            <a:avLst/>
                          </a:prstGeom>
                          <a:noFill/>
                          <a:ln>
                            <a:noFill/>
                          </a:ln>
                        </pic:spPr>
                      </pic:pic>
                    </a:graphicData>
                  </a:graphic>
                </wp:inline>
              </w:drawing>
            </w:r>
          </w:p>
        </w:tc>
      </w:tr>
      <w:tr w:rsidR="00A65014" w:rsidRPr="00675182" w14:paraId="6267FD79" w14:textId="77777777" w:rsidTr="00A65014">
        <w:tc>
          <w:tcPr>
            <w:tcW w:w="8301" w:type="dxa"/>
            <w:hideMark/>
          </w:tcPr>
          <w:p w14:paraId="6969CDBB" w14:textId="05817B6E" w:rsidR="00A65014" w:rsidRPr="00675182" w:rsidRDefault="00A65014">
            <w:pPr>
              <w:keepNext/>
              <w:keepLines/>
              <w:jc w:val="both"/>
              <w:rPr>
                <w:rFonts w:cstheme="minorHAnsi"/>
                <w:b/>
                <w:bCs/>
                <w:i/>
                <w:iCs/>
              </w:rPr>
            </w:pPr>
            <w:r w:rsidRPr="00675182">
              <w:rPr>
                <w:rFonts w:cstheme="minorHAnsi"/>
                <w:b/>
                <w:bCs/>
                <w:i/>
                <w:iCs/>
              </w:rPr>
              <w:lastRenderedPageBreak/>
              <w:t>1.3.2</w:t>
            </w:r>
            <w:r w:rsidR="00D44C3C" w:rsidRPr="00675182">
              <w:rPr>
                <w:rFonts w:cstheme="minorHAnsi"/>
                <w:b/>
                <w:bCs/>
                <w:i/>
                <w:iCs/>
              </w:rPr>
              <w:t>9</w:t>
            </w:r>
            <w:r w:rsidRPr="00675182">
              <w:rPr>
                <w:rFonts w:cstheme="minorHAnsi"/>
                <w:b/>
                <w:bCs/>
                <w:i/>
                <w:iCs/>
              </w:rPr>
              <w:t>. attēls. Īpašumu īpatsvars, kuros veikta koksnes ieguve sadalījumā pa GNP funkcionālajām zonām.</w:t>
            </w:r>
          </w:p>
          <w:p w14:paraId="1B06794B" w14:textId="77777777" w:rsidR="00A65014" w:rsidRPr="00675182" w:rsidRDefault="00A65014">
            <w:pPr>
              <w:keepNext/>
              <w:keepLines/>
              <w:jc w:val="both"/>
              <w:rPr>
                <w:rFonts w:cstheme="minorHAnsi"/>
                <w:b/>
                <w:bCs/>
                <w:i/>
                <w:iCs/>
              </w:rPr>
            </w:pPr>
            <w:r w:rsidRPr="00675182">
              <w:rPr>
                <w:rFonts w:cstheme="minorHAnsi"/>
                <w:sz w:val="20"/>
                <w:szCs w:val="16"/>
              </w:rPr>
              <w:t>Datu avots: VMD, 2022</w:t>
            </w:r>
          </w:p>
        </w:tc>
      </w:tr>
    </w:tbl>
    <w:p w14:paraId="4A73F2E2" w14:textId="77777777" w:rsidR="00A65014" w:rsidRPr="00675182" w:rsidRDefault="00A65014" w:rsidP="00A65014">
      <w:pPr>
        <w:jc w:val="both"/>
        <w:rPr>
          <w:rFonts w:cstheme="minorHAnsi"/>
          <w:szCs w:val="24"/>
          <w:highlight w:val="yellow"/>
        </w:rPr>
      </w:pPr>
    </w:p>
    <w:p w14:paraId="06A7907F" w14:textId="60328EBD" w:rsidR="00A65014" w:rsidRPr="00675182" w:rsidRDefault="00A65014" w:rsidP="00A65014">
      <w:pPr>
        <w:jc w:val="both"/>
        <w:rPr>
          <w:rFonts w:cstheme="minorHAnsi"/>
          <w:szCs w:val="24"/>
        </w:rPr>
      </w:pPr>
      <w:r w:rsidRPr="00675182">
        <w:rPr>
          <w:rFonts w:cstheme="minorHAnsi"/>
          <w:szCs w:val="24"/>
        </w:rPr>
        <w:t>1.3.</w:t>
      </w:r>
      <w:r w:rsidR="00D44C3C" w:rsidRPr="00675182">
        <w:rPr>
          <w:rFonts w:cstheme="minorHAnsi"/>
          <w:szCs w:val="24"/>
        </w:rPr>
        <w:t>30</w:t>
      </w:r>
      <w:r w:rsidRPr="00675182">
        <w:rPr>
          <w:rFonts w:cstheme="minorHAnsi"/>
          <w:szCs w:val="24"/>
        </w:rPr>
        <w:t xml:space="preserve">. attēlā apkopta informācija par privāto meža īpašnieku meža izmantošanas ietekmēto platību sadalījumu funkcionālajās zonās. Lielākā fizisko un juridisko personu valdījuma teritorijās ietekmēto mežaudžu platība ietilpst </w:t>
      </w:r>
      <w:r w:rsidR="004A578E">
        <w:rPr>
          <w:rFonts w:cstheme="minorHAnsi"/>
          <w:szCs w:val="24"/>
        </w:rPr>
        <w:t>AAZ</w:t>
      </w:r>
      <w:r w:rsidRPr="00675182">
        <w:rPr>
          <w:rFonts w:cstheme="minorHAnsi"/>
          <w:szCs w:val="24"/>
        </w:rPr>
        <w:t xml:space="preserve">, kam seko </w:t>
      </w:r>
      <w:r w:rsidR="004A578E">
        <w:rPr>
          <w:rFonts w:cstheme="minorHAnsi"/>
          <w:szCs w:val="24"/>
        </w:rPr>
        <w:t>DLZ</w:t>
      </w:r>
      <w:r w:rsidRPr="00675182">
        <w:rPr>
          <w:rFonts w:cstheme="minorHAnsi"/>
          <w:szCs w:val="24"/>
        </w:rPr>
        <w:t xml:space="preserve"> zona un </w:t>
      </w:r>
      <w:r w:rsidR="004A578E">
        <w:rPr>
          <w:rFonts w:cstheme="minorHAnsi"/>
          <w:szCs w:val="24"/>
        </w:rPr>
        <w:t>NZ</w:t>
      </w:r>
      <w:r w:rsidRPr="00675182">
        <w:rPr>
          <w:rFonts w:cstheme="minorHAnsi"/>
          <w:szCs w:val="24"/>
        </w:rPr>
        <w:t>.</w:t>
      </w:r>
      <w:r w:rsidR="00F7117E" w:rsidRPr="00675182">
        <w:rPr>
          <w:rFonts w:cstheme="minorHAnsi"/>
          <w:szCs w:val="24"/>
        </w:rPr>
        <w:t xml:space="preserve"> </w:t>
      </w:r>
      <w:r w:rsidRPr="00675182">
        <w:rPr>
          <w:rFonts w:cstheme="minorHAnsi"/>
          <w:szCs w:val="24"/>
        </w:rPr>
        <w:t xml:space="preserve">Koku ciršanas un citu mežsaimniecisko darbu ietekmēto platību kopsavilkums pa GNP funkcionālajām zonām sniegts attēlos </w:t>
      </w:r>
      <w:r w:rsidR="00AE3B0F" w:rsidRPr="00675182">
        <w:rPr>
          <w:rFonts w:cstheme="minorHAnsi"/>
          <w:szCs w:val="24"/>
        </w:rPr>
        <w:t>20</w:t>
      </w:r>
      <w:r w:rsidRPr="00675182">
        <w:rPr>
          <w:rFonts w:cstheme="minorHAnsi"/>
          <w:szCs w:val="24"/>
        </w:rPr>
        <w:t>. pielikumā.</w:t>
      </w:r>
    </w:p>
    <w:p w14:paraId="655EF9B4" w14:textId="77777777" w:rsidR="00A65014" w:rsidRPr="00675182" w:rsidRDefault="00A65014" w:rsidP="00A65014">
      <w:pPr>
        <w:rPr>
          <w:rFonts w:cstheme="minorHAnsi"/>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65014" w:rsidRPr="00675182" w14:paraId="606DB846" w14:textId="77777777" w:rsidTr="00A65014">
        <w:tc>
          <w:tcPr>
            <w:tcW w:w="8301" w:type="dxa"/>
            <w:hideMark/>
          </w:tcPr>
          <w:p w14:paraId="079E569F" w14:textId="34BDA247" w:rsidR="00A65014" w:rsidRPr="00675182" w:rsidRDefault="00A65014">
            <w:pPr>
              <w:spacing w:before="120"/>
              <w:jc w:val="both"/>
              <w:rPr>
                <w:rFonts w:cstheme="minorHAnsi"/>
                <w:highlight w:val="yellow"/>
              </w:rPr>
            </w:pPr>
            <w:bookmarkStart w:id="32" w:name="_Hlk99370401"/>
            <w:r w:rsidRPr="00675182">
              <w:rPr>
                <w:rFonts w:cstheme="minorHAnsi"/>
                <w:noProof/>
              </w:rPr>
              <w:drawing>
                <wp:inline distT="0" distB="0" distL="0" distR="0" wp14:anchorId="377BBCBF" wp14:editId="3A2190D2">
                  <wp:extent cx="3497580" cy="2103120"/>
                  <wp:effectExtent l="0" t="0" r="7620"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97580" cy="2103120"/>
                          </a:xfrm>
                          <a:prstGeom prst="rect">
                            <a:avLst/>
                          </a:prstGeom>
                          <a:noFill/>
                          <a:ln>
                            <a:noFill/>
                          </a:ln>
                        </pic:spPr>
                      </pic:pic>
                    </a:graphicData>
                  </a:graphic>
                </wp:inline>
              </w:drawing>
            </w:r>
          </w:p>
        </w:tc>
      </w:tr>
      <w:tr w:rsidR="00A65014" w:rsidRPr="00675182" w14:paraId="2D1E8AB7" w14:textId="77777777" w:rsidTr="00A65014">
        <w:tc>
          <w:tcPr>
            <w:tcW w:w="8301" w:type="dxa"/>
            <w:hideMark/>
          </w:tcPr>
          <w:p w14:paraId="6C433D34" w14:textId="5A54009B" w:rsidR="00A65014" w:rsidRPr="00675182" w:rsidRDefault="00A65014">
            <w:pPr>
              <w:keepNext/>
              <w:keepLines/>
              <w:jc w:val="both"/>
              <w:rPr>
                <w:rFonts w:cstheme="minorHAnsi"/>
                <w:b/>
                <w:bCs/>
                <w:i/>
                <w:iCs/>
              </w:rPr>
            </w:pPr>
            <w:r w:rsidRPr="00675182">
              <w:rPr>
                <w:rFonts w:cstheme="minorHAnsi"/>
                <w:b/>
                <w:bCs/>
                <w:i/>
                <w:iCs/>
              </w:rPr>
              <w:t>1.3.</w:t>
            </w:r>
            <w:r w:rsidR="00D44C3C" w:rsidRPr="00675182">
              <w:rPr>
                <w:rFonts w:cstheme="minorHAnsi"/>
                <w:b/>
                <w:bCs/>
                <w:i/>
                <w:iCs/>
              </w:rPr>
              <w:t>30</w:t>
            </w:r>
            <w:r w:rsidRPr="00675182">
              <w:rPr>
                <w:rFonts w:cstheme="minorHAnsi"/>
                <w:b/>
                <w:bCs/>
                <w:i/>
                <w:iCs/>
              </w:rPr>
              <w:t>. attēls. Privāto meža īpašnieku saimnieciskās darbības ietekmēto platību sadalījums GNP funkcionālajās zonās</w:t>
            </w:r>
          </w:p>
          <w:p w14:paraId="6A8FE3AE" w14:textId="77777777" w:rsidR="00A65014" w:rsidRPr="00675182" w:rsidRDefault="00A65014">
            <w:pPr>
              <w:keepNext/>
              <w:keepLines/>
              <w:jc w:val="both"/>
              <w:rPr>
                <w:rFonts w:cstheme="minorHAnsi"/>
                <w:b/>
                <w:bCs/>
                <w:i/>
                <w:iCs/>
              </w:rPr>
            </w:pPr>
            <w:r w:rsidRPr="00675182">
              <w:rPr>
                <w:rFonts w:cstheme="minorHAnsi"/>
                <w:sz w:val="20"/>
                <w:szCs w:val="16"/>
              </w:rPr>
              <w:t>Datu avots: VMD, 2022</w:t>
            </w:r>
          </w:p>
        </w:tc>
      </w:tr>
      <w:bookmarkEnd w:id="32"/>
    </w:tbl>
    <w:p w14:paraId="07BC55AB" w14:textId="77777777" w:rsidR="00A65014" w:rsidRPr="00675182" w:rsidRDefault="00A65014" w:rsidP="00A65014">
      <w:pPr>
        <w:rPr>
          <w:rFonts w:cstheme="minorHAnsi"/>
          <w:szCs w:val="24"/>
        </w:rPr>
      </w:pPr>
    </w:p>
    <w:p w14:paraId="5F2F23A9" w14:textId="3A7651E4" w:rsidR="00A65014" w:rsidRPr="00675182" w:rsidRDefault="00A65014" w:rsidP="00A65014">
      <w:pPr>
        <w:jc w:val="both"/>
        <w:rPr>
          <w:rFonts w:cstheme="minorHAnsi"/>
          <w:szCs w:val="24"/>
        </w:rPr>
      </w:pPr>
      <w:r w:rsidRPr="00675182">
        <w:rPr>
          <w:rFonts w:cstheme="minorHAnsi"/>
          <w:szCs w:val="24"/>
        </w:rPr>
        <w:t>Meža platību veselības stāvokļa tendenču novērtējumam tika izvērtētas dažādu sanitārās cirtes veidu platības izmaiņas GNP laika posmā no 2000. līdz 2020. gadam. Kopumā sanitāro ciršu platība GNP ilgākos laika posmos saglabājas stabila, piemēram, no 2006. līdz 2018. gadam, tomēr novērojami arī epizodiski sanitāro ciršu platības pieaugumi, kas saistīti ar metereoloģisko apstākļu ietekmi uz mežaudžu vitalitāti (skat. 1.3.</w:t>
      </w:r>
      <w:r w:rsidR="00D44C3C" w:rsidRPr="00675182">
        <w:rPr>
          <w:rFonts w:cstheme="minorHAnsi"/>
          <w:szCs w:val="24"/>
        </w:rPr>
        <w:t>31</w:t>
      </w:r>
      <w:r w:rsidRPr="00675182">
        <w:rPr>
          <w:rFonts w:cstheme="minorHAnsi"/>
          <w:szCs w:val="24"/>
        </w:rPr>
        <w:t xml:space="preserve">. attēlu). Izteikts sanitāro ciršu platības pieaugums novērojams 2005. gadā, kas saistīts ar 2005. gada 9. janvāra vējgāžu seku likvidēšanu, un 2019. – 2020. gadā, kas saistīts ar ekstrēmu klimatisko apstākļu – 2017. gada lietavu un 2018. gada ekstrēmā sausuma, ietekmi uz egļu audžu vitalitāti. Metereoloģisko apstākļu ekstrēmi, kas iespējams saistāmi ar klimata izmaiņu izpausmēm, uzskatāmi par priekšnoteikumu egļu audžu vitalitātes pasliktināšanai, kam sekojusi egļu astoņzobu mizgrauža </w:t>
      </w:r>
      <w:r w:rsidRPr="00675182">
        <w:rPr>
          <w:rFonts w:cstheme="minorHAnsi"/>
          <w:i/>
          <w:iCs/>
          <w:szCs w:val="24"/>
        </w:rPr>
        <w:t>Ips typographus</w:t>
      </w:r>
      <w:r w:rsidRPr="00675182">
        <w:rPr>
          <w:rFonts w:cstheme="minorHAnsi"/>
          <w:szCs w:val="24"/>
        </w:rPr>
        <w:t xml:space="preserve"> savairošanās (SILAVA, 2019</w:t>
      </w:r>
      <w:r w:rsidRPr="00675182">
        <w:rPr>
          <w:rStyle w:val="FootnoteReference"/>
          <w:rFonts w:cstheme="minorHAnsi"/>
          <w:szCs w:val="24"/>
        </w:rPr>
        <w:footnoteReference w:id="7"/>
      </w:r>
      <w:r w:rsidRPr="00675182">
        <w:rPr>
          <w:rFonts w:cstheme="minorHAnsi"/>
          <w:szCs w:val="24"/>
        </w:rPr>
        <w:t>). Nav novērojamas nozīmīgas atšķirības sanitāro ciršu platību dinamikā starp meža platībām dažādās GNP funkcionālajās zonās.</w:t>
      </w:r>
    </w:p>
    <w:p w14:paraId="2E78007C" w14:textId="77777777" w:rsidR="00A65014" w:rsidRPr="00675182" w:rsidRDefault="00A65014" w:rsidP="00A65014">
      <w:pPr>
        <w:jc w:val="both"/>
        <w:rPr>
          <w:rFonts w:cstheme="minorHAnsi"/>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A65014" w:rsidRPr="00675182" w14:paraId="2FECFCC4" w14:textId="77777777" w:rsidTr="00A65014">
        <w:tc>
          <w:tcPr>
            <w:tcW w:w="8301" w:type="dxa"/>
            <w:hideMark/>
          </w:tcPr>
          <w:p w14:paraId="4CB752B6" w14:textId="1CF0AB6E" w:rsidR="00A65014" w:rsidRPr="00675182" w:rsidRDefault="00A65014" w:rsidP="00404A46">
            <w:pPr>
              <w:keepNext/>
              <w:keepLines/>
              <w:spacing w:before="120"/>
              <w:jc w:val="both"/>
              <w:rPr>
                <w:rFonts w:cstheme="minorHAnsi"/>
              </w:rPr>
            </w:pPr>
            <w:r w:rsidRPr="00675182">
              <w:rPr>
                <w:rFonts w:cstheme="minorHAnsi"/>
                <w:noProof/>
              </w:rPr>
              <w:lastRenderedPageBreak/>
              <w:drawing>
                <wp:inline distT="0" distB="0" distL="0" distR="0" wp14:anchorId="2104B5CB" wp14:editId="22F7F14C">
                  <wp:extent cx="4792980" cy="2286000"/>
                  <wp:effectExtent l="0" t="0" r="7620" b="0"/>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792980" cy="2286000"/>
                          </a:xfrm>
                          <a:prstGeom prst="rect">
                            <a:avLst/>
                          </a:prstGeom>
                          <a:noFill/>
                          <a:ln>
                            <a:noFill/>
                          </a:ln>
                        </pic:spPr>
                      </pic:pic>
                    </a:graphicData>
                  </a:graphic>
                </wp:inline>
              </w:drawing>
            </w:r>
          </w:p>
        </w:tc>
      </w:tr>
      <w:tr w:rsidR="00A65014" w:rsidRPr="00675182" w14:paraId="6956D847" w14:textId="77777777" w:rsidTr="00A65014">
        <w:tc>
          <w:tcPr>
            <w:tcW w:w="8301" w:type="dxa"/>
            <w:hideMark/>
          </w:tcPr>
          <w:p w14:paraId="31A9AD37" w14:textId="1943D7F3" w:rsidR="00A65014" w:rsidRPr="00675182" w:rsidRDefault="00A65014" w:rsidP="00404A46">
            <w:pPr>
              <w:keepNext/>
              <w:keepLines/>
              <w:jc w:val="both"/>
              <w:rPr>
                <w:rFonts w:cstheme="minorHAnsi"/>
                <w:b/>
                <w:bCs/>
                <w:i/>
                <w:iCs/>
              </w:rPr>
            </w:pPr>
            <w:r w:rsidRPr="00675182">
              <w:rPr>
                <w:rFonts w:cstheme="minorHAnsi"/>
                <w:b/>
                <w:bCs/>
                <w:i/>
                <w:iCs/>
              </w:rPr>
              <w:t>1.3.</w:t>
            </w:r>
            <w:r w:rsidR="00D44C3C" w:rsidRPr="00675182">
              <w:rPr>
                <w:rFonts w:cstheme="minorHAnsi"/>
                <w:b/>
                <w:bCs/>
                <w:i/>
                <w:iCs/>
              </w:rPr>
              <w:t>31</w:t>
            </w:r>
            <w:r w:rsidRPr="00675182">
              <w:rPr>
                <w:rFonts w:cstheme="minorHAnsi"/>
                <w:b/>
                <w:bCs/>
                <w:i/>
                <w:iCs/>
              </w:rPr>
              <w:t>. attēls. Privāto meža īpašnieku saimnieciskās darbības ietekmēto platību sadalījums GNP funkcionālajās zonās</w:t>
            </w:r>
          </w:p>
          <w:p w14:paraId="5566F1CB" w14:textId="77777777" w:rsidR="00A65014" w:rsidRPr="00675182" w:rsidRDefault="00A65014" w:rsidP="00404A46">
            <w:pPr>
              <w:keepNext/>
              <w:keepLines/>
              <w:jc w:val="both"/>
              <w:rPr>
                <w:rFonts w:cstheme="minorHAnsi"/>
                <w:b/>
                <w:bCs/>
                <w:i/>
                <w:iCs/>
              </w:rPr>
            </w:pPr>
            <w:r w:rsidRPr="00675182">
              <w:rPr>
                <w:rFonts w:cstheme="minorHAnsi"/>
                <w:sz w:val="20"/>
                <w:szCs w:val="16"/>
              </w:rPr>
              <w:t>Datu avots: VMD, 2022</w:t>
            </w:r>
          </w:p>
        </w:tc>
      </w:tr>
    </w:tbl>
    <w:p w14:paraId="43B40C56" w14:textId="77777777" w:rsidR="00A65014" w:rsidRPr="00675182" w:rsidRDefault="00A65014" w:rsidP="00A65014">
      <w:pPr>
        <w:jc w:val="both"/>
        <w:rPr>
          <w:rFonts w:cstheme="minorHAnsi"/>
          <w:szCs w:val="24"/>
        </w:rPr>
      </w:pPr>
    </w:p>
    <w:p w14:paraId="62B313DD" w14:textId="1CD7E412" w:rsidR="00A65014" w:rsidRPr="00675182" w:rsidRDefault="00A65014" w:rsidP="00BF7348">
      <w:pPr>
        <w:jc w:val="both"/>
        <w:rPr>
          <w:rFonts w:cstheme="minorHAnsi"/>
        </w:rPr>
      </w:pPr>
      <w:r w:rsidRPr="00675182">
        <w:rPr>
          <w:rFonts w:cstheme="minorHAnsi"/>
        </w:rPr>
        <w:t>Mežsaimniecisko darbību telpisko izvietojumu GNP laika posmā no 2010. līdz 2020. gadam skat. 1.3.</w:t>
      </w:r>
      <w:r w:rsidR="00404A46" w:rsidRPr="00675182">
        <w:rPr>
          <w:rFonts w:cstheme="minorHAnsi"/>
        </w:rPr>
        <w:t>3</w:t>
      </w:r>
      <w:r w:rsidR="00D44C3C" w:rsidRPr="00675182">
        <w:rPr>
          <w:rFonts w:cstheme="minorHAnsi"/>
        </w:rPr>
        <w:t>6</w:t>
      </w:r>
      <w:r w:rsidRPr="00675182">
        <w:rPr>
          <w:rFonts w:cstheme="minorHAnsi"/>
        </w:rPr>
        <w:t>. attēlā.</w:t>
      </w:r>
    </w:p>
    <w:p w14:paraId="4F96D4E3" w14:textId="77777777" w:rsidR="003C76FD" w:rsidRPr="00675182" w:rsidRDefault="003C76FD" w:rsidP="002B3341">
      <w:pPr>
        <w:rPr>
          <w:rFonts w:cstheme="minorHAnsi"/>
          <w:szCs w:val="24"/>
        </w:rPr>
        <w:sectPr w:rsidR="003C76FD" w:rsidRPr="00675182" w:rsidSect="00CD74B1">
          <w:headerReference w:type="default" r:id="rId100"/>
          <w:pgSz w:w="11905" w:h="16837"/>
          <w:pgMar w:top="1440" w:right="1797" w:bottom="1440"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7"/>
      </w:tblGrid>
      <w:tr w:rsidR="00CB46DB" w:rsidRPr="00675182" w14:paraId="59944A08" w14:textId="77777777" w:rsidTr="00CB46DB">
        <w:tc>
          <w:tcPr>
            <w:tcW w:w="13947" w:type="dxa"/>
          </w:tcPr>
          <w:p w14:paraId="6A084036" w14:textId="56BF9479" w:rsidR="00CB46DB" w:rsidRPr="00675182" w:rsidRDefault="00CB46DB" w:rsidP="00CB46DB">
            <w:pPr>
              <w:jc w:val="center"/>
              <w:rPr>
                <w:rFonts w:cstheme="minorHAnsi"/>
                <w:szCs w:val="24"/>
              </w:rPr>
            </w:pPr>
            <w:r w:rsidRPr="00675182">
              <w:rPr>
                <w:rFonts w:cstheme="minorHAnsi"/>
                <w:noProof/>
              </w:rPr>
              <w:lastRenderedPageBreak/>
              <w:drawing>
                <wp:inline distT="0" distB="0" distL="0" distR="0" wp14:anchorId="6E15F529" wp14:editId="6424EE7F">
                  <wp:extent cx="6613154" cy="4680000"/>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613154" cy="4680000"/>
                          </a:xfrm>
                          <a:prstGeom prst="rect">
                            <a:avLst/>
                          </a:prstGeom>
                          <a:noFill/>
                          <a:ln>
                            <a:noFill/>
                          </a:ln>
                        </pic:spPr>
                      </pic:pic>
                    </a:graphicData>
                  </a:graphic>
                </wp:inline>
              </w:drawing>
            </w:r>
          </w:p>
        </w:tc>
      </w:tr>
      <w:tr w:rsidR="00CB46DB" w:rsidRPr="00675182" w14:paraId="0D356EE1" w14:textId="77777777" w:rsidTr="008F5978">
        <w:tc>
          <w:tcPr>
            <w:tcW w:w="13947" w:type="dxa"/>
          </w:tcPr>
          <w:p w14:paraId="307D3A1F" w14:textId="5F2F0B26" w:rsidR="00CB46DB" w:rsidRPr="00675182" w:rsidRDefault="00CB46DB" w:rsidP="002B3341">
            <w:pPr>
              <w:rPr>
                <w:rFonts w:cstheme="minorHAnsi"/>
                <w:b/>
                <w:i/>
              </w:rPr>
            </w:pPr>
            <w:r w:rsidRPr="00675182">
              <w:rPr>
                <w:rFonts w:cstheme="minorHAnsi"/>
                <w:b/>
                <w:i/>
              </w:rPr>
              <w:t>1.3.</w:t>
            </w:r>
            <w:r w:rsidR="00404A46" w:rsidRPr="00675182">
              <w:rPr>
                <w:rFonts w:cstheme="minorHAnsi"/>
                <w:b/>
                <w:i/>
              </w:rPr>
              <w:t>3</w:t>
            </w:r>
            <w:r w:rsidR="00D44C3C" w:rsidRPr="00675182">
              <w:rPr>
                <w:rFonts w:cstheme="minorHAnsi"/>
                <w:b/>
                <w:i/>
              </w:rPr>
              <w:t>3</w:t>
            </w:r>
            <w:r w:rsidRPr="00675182">
              <w:rPr>
                <w:rFonts w:cstheme="minorHAnsi"/>
                <w:b/>
                <w:i/>
              </w:rPr>
              <w:t>. attēls. Meža augšanas apstākļu tipi GNP teritorijā</w:t>
            </w:r>
          </w:p>
          <w:p w14:paraId="28E8FCC2" w14:textId="57A00218" w:rsidR="00CB46DB" w:rsidRPr="00675182" w:rsidRDefault="00CB46DB" w:rsidP="002B3341">
            <w:pPr>
              <w:rPr>
                <w:rFonts w:cstheme="minorHAnsi"/>
                <w:szCs w:val="24"/>
              </w:rPr>
            </w:pPr>
            <w:r w:rsidRPr="00675182">
              <w:rPr>
                <w:rFonts w:cstheme="minorHAnsi"/>
                <w:sz w:val="20"/>
              </w:rPr>
              <w:t>Datu avots: VMD, 2020</w:t>
            </w:r>
          </w:p>
        </w:tc>
      </w:tr>
      <w:tr w:rsidR="00CB46DB" w:rsidRPr="00675182" w14:paraId="7D14DD01" w14:textId="77777777" w:rsidTr="00404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47" w:type="dxa"/>
            <w:tcBorders>
              <w:top w:val="nil"/>
              <w:left w:val="nil"/>
              <w:bottom w:val="nil"/>
              <w:right w:val="nil"/>
            </w:tcBorders>
            <w:shd w:val="clear" w:color="auto" w:fill="auto"/>
          </w:tcPr>
          <w:p w14:paraId="110B6455" w14:textId="2FCA9128" w:rsidR="00CB46DB" w:rsidRPr="00675182" w:rsidRDefault="008F5978" w:rsidP="00CB46DB">
            <w:pPr>
              <w:jc w:val="center"/>
              <w:rPr>
                <w:rFonts w:cstheme="minorHAnsi"/>
                <w:szCs w:val="24"/>
              </w:rPr>
            </w:pPr>
            <w:r w:rsidRPr="00675182">
              <w:rPr>
                <w:rFonts w:cstheme="minorHAnsi"/>
                <w:noProof/>
              </w:rPr>
              <w:lastRenderedPageBreak/>
              <w:drawing>
                <wp:inline distT="0" distB="0" distL="0" distR="0" wp14:anchorId="49AAE7C4" wp14:editId="551654D7">
                  <wp:extent cx="6613154" cy="4680000"/>
                  <wp:effectExtent l="0" t="0" r="0"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613154" cy="4680000"/>
                          </a:xfrm>
                          <a:prstGeom prst="rect">
                            <a:avLst/>
                          </a:prstGeom>
                          <a:noFill/>
                          <a:ln>
                            <a:noFill/>
                          </a:ln>
                        </pic:spPr>
                      </pic:pic>
                    </a:graphicData>
                  </a:graphic>
                </wp:inline>
              </w:drawing>
            </w:r>
          </w:p>
        </w:tc>
      </w:tr>
      <w:tr w:rsidR="00CB46DB" w:rsidRPr="00675182" w14:paraId="59131BF5" w14:textId="77777777" w:rsidTr="00404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47" w:type="dxa"/>
            <w:tcBorders>
              <w:top w:val="nil"/>
              <w:left w:val="nil"/>
              <w:bottom w:val="nil"/>
              <w:right w:val="nil"/>
            </w:tcBorders>
            <w:shd w:val="clear" w:color="auto" w:fill="auto"/>
          </w:tcPr>
          <w:p w14:paraId="246F5E2F" w14:textId="5DE609DC" w:rsidR="00CB46DB" w:rsidRPr="00675182" w:rsidRDefault="00CB46DB" w:rsidP="00CB46DB">
            <w:pPr>
              <w:rPr>
                <w:rFonts w:cstheme="minorHAnsi"/>
                <w:b/>
                <w:i/>
              </w:rPr>
            </w:pPr>
            <w:r w:rsidRPr="00675182">
              <w:rPr>
                <w:rFonts w:cstheme="minorHAnsi"/>
                <w:b/>
                <w:i/>
              </w:rPr>
              <w:t>1.3.</w:t>
            </w:r>
            <w:r w:rsidR="00404A46" w:rsidRPr="00675182">
              <w:rPr>
                <w:rFonts w:cstheme="minorHAnsi"/>
                <w:b/>
                <w:i/>
              </w:rPr>
              <w:t>3</w:t>
            </w:r>
            <w:r w:rsidR="00D44C3C" w:rsidRPr="00675182">
              <w:rPr>
                <w:rFonts w:cstheme="minorHAnsi"/>
                <w:b/>
                <w:i/>
              </w:rPr>
              <w:t>4</w:t>
            </w:r>
            <w:r w:rsidRPr="00675182">
              <w:rPr>
                <w:rFonts w:cstheme="minorHAnsi"/>
                <w:b/>
                <w:i/>
              </w:rPr>
              <w:t xml:space="preserve">. attēls. </w:t>
            </w:r>
            <w:r w:rsidR="008F5978" w:rsidRPr="00675182">
              <w:rPr>
                <w:rFonts w:cstheme="minorHAnsi"/>
                <w:b/>
                <w:i/>
              </w:rPr>
              <w:t>Mežaudzes valdošās sugas</w:t>
            </w:r>
            <w:r w:rsidRPr="00675182">
              <w:rPr>
                <w:rFonts w:cstheme="minorHAnsi"/>
                <w:b/>
                <w:i/>
              </w:rPr>
              <w:t xml:space="preserve"> GNP teritorijā</w:t>
            </w:r>
          </w:p>
          <w:p w14:paraId="5F7CFD6D" w14:textId="77777777" w:rsidR="00CB46DB" w:rsidRPr="00675182" w:rsidRDefault="00CB46DB" w:rsidP="00CB46DB">
            <w:pPr>
              <w:rPr>
                <w:rFonts w:cstheme="minorHAnsi"/>
                <w:szCs w:val="24"/>
              </w:rPr>
            </w:pPr>
            <w:r w:rsidRPr="00675182">
              <w:rPr>
                <w:rFonts w:cstheme="minorHAnsi"/>
                <w:sz w:val="20"/>
              </w:rPr>
              <w:t>Datu avots: VMD, 2020</w:t>
            </w:r>
          </w:p>
        </w:tc>
      </w:tr>
      <w:tr w:rsidR="008F5978" w:rsidRPr="00675182" w14:paraId="236383C7" w14:textId="77777777" w:rsidTr="008F5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47" w:type="dxa"/>
            <w:tcBorders>
              <w:top w:val="nil"/>
              <w:left w:val="nil"/>
              <w:bottom w:val="nil"/>
              <w:right w:val="nil"/>
            </w:tcBorders>
          </w:tcPr>
          <w:p w14:paraId="1EFE788D" w14:textId="12395D38" w:rsidR="008F5978" w:rsidRPr="00675182" w:rsidRDefault="008F5978" w:rsidP="004F5E89">
            <w:pPr>
              <w:jc w:val="center"/>
              <w:rPr>
                <w:rFonts w:cstheme="minorHAnsi"/>
                <w:szCs w:val="24"/>
              </w:rPr>
            </w:pPr>
            <w:r w:rsidRPr="00675182">
              <w:rPr>
                <w:rFonts w:cstheme="minorHAnsi"/>
                <w:noProof/>
              </w:rPr>
              <w:lastRenderedPageBreak/>
              <w:drawing>
                <wp:inline distT="0" distB="0" distL="0" distR="0" wp14:anchorId="5B809645" wp14:editId="1119687D">
                  <wp:extent cx="6613154" cy="4680000"/>
                  <wp:effectExtent l="0" t="0" r="0" b="635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613154" cy="4680000"/>
                          </a:xfrm>
                          <a:prstGeom prst="rect">
                            <a:avLst/>
                          </a:prstGeom>
                          <a:noFill/>
                          <a:ln>
                            <a:noFill/>
                          </a:ln>
                        </pic:spPr>
                      </pic:pic>
                    </a:graphicData>
                  </a:graphic>
                </wp:inline>
              </w:drawing>
            </w:r>
          </w:p>
        </w:tc>
      </w:tr>
      <w:tr w:rsidR="008F5978" w:rsidRPr="00675182" w14:paraId="2763B18D" w14:textId="77777777" w:rsidTr="008F5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47" w:type="dxa"/>
            <w:tcBorders>
              <w:top w:val="nil"/>
              <w:left w:val="nil"/>
              <w:bottom w:val="nil"/>
              <w:right w:val="nil"/>
            </w:tcBorders>
          </w:tcPr>
          <w:p w14:paraId="3BC338DE" w14:textId="121BEEB5" w:rsidR="008F5978" w:rsidRPr="00675182" w:rsidRDefault="008F5978" w:rsidP="004F5E89">
            <w:pPr>
              <w:rPr>
                <w:rFonts w:cstheme="minorHAnsi"/>
                <w:b/>
                <w:i/>
              </w:rPr>
            </w:pPr>
            <w:r w:rsidRPr="00675182">
              <w:rPr>
                <w:rFonts w:cstheme="minorHAnsi"/>
                <w:b/>
                <w:i/>
              </w:rPr>
              <w:t>1.3.</w:t>
            </w:r>
            <w:r w:rsidR="00404A46" w:rsidRPr="00675182">
              <w:rPr>
                <w:rFonts w:cstheme="minorHAnsi"/>
                <w:b/>
                <w:i/>
              </w:rPr>
              <w:t>3</w:t>
            </w:r>
            <w:r w:rsidR="00D44C3C" w:rsidRPr="00675182">
              <w:rPr>
                <w:rFonts w:cstheme="minorHAnsi"/>
                <w:b/>
                <w:i/>
              </w:rPr>
              <w:t>5</w:t>
            </w:r>
            <w:r w:rsidRPr="00675182">
              <w:rPr>
                <w:rFonts w:cstheme="minorHAnsi"/>
                <w:b/>
                <w:i/>
              </w:rPr>
              <w:t xml:space="preserve"> attēls. Meža vecuma grupas GNP teritorijā</w:t>
            </w:r>
          </w:p>
          <w:p w14:paraId="4B6972BE" w14:textId="77777777" w:rsidR="008F5978" w:rsidRPr="00675182" w:rsidRDefault="008F5978" w:rsidP="004F5E89">
            <w:pPr>
              <w:rPr>
                <w:rFonts w:cstheme="minorHAnsi"/>
                <w:szCs w:val="24"/>
              </w:rPr>
            </w:pPr>
            <w:r w:rsidRPr="00675182">
              <w:rPr>
                <w:rFonts w:cstheme="minorHAnsi"/>
                <w:sz w:val="20"/>
              </w:rPr>
              <w:t>Datu avots: VMD, 2020</w:t>
            </w:r>
          </w:p>
        </w:tc>
      </w:tr>
      <w:tr w:rsidR="008F5978" w:rsidRPr="00675182" w14:paraId="07985E99" w14:textId="77777777" w:rsidTr="004F5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47" w:type="dxa"/>
            <w:tcBorders>
              <w:top w:val="nil"/>
              <w:left w:val="nil"/>
              <w:bottom w:val="nil"/>
              <w:right w:val="nil"/>
            </w:tcBorders>
          </w:tcPr>
          <w:p w14:paraId="151CA952" w14:textId="131CB372" w:rsidR="008F5978" w:rsidRPr="00675182" w:rsidRDefault="008F5978" w:rsidP="004F5E89">
            <w:pPr>
              <w:jc w:val="center"/>
              <w:rPr>
                <w:rFonts w:cstheme="minorHAnsi"/>
                <w:szCs w:val="24"/>
              </w:rPr>
            </w:pPr>
            <w:r w:rsidRPr="00675182">
              <w:rPr>
                <w:rFonts w:cstheme="minorHAnsi"/>
                <w:noProof/>
              </w:rPr>
              <w:lastRenderedPageBreak/>
              <w:drawing>
                <wp:inline distT="0" distB="0" distL="0" distR="0" wp14:anchorId="043553CF" wp14:editId="1873E7A6">
                  <wp:extent cx="6613154" cy="4680000"/>
                  <wp:effectExtent l="0" t="0" r="0" b="635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613154" cy="4680000"/>
                          </a:xfrm>
                          <a:prstGeom prst="rect">
                            <a:avLst/>
                          </a:prstGeom>
                          <a:noFill/>
                          <a:ln>
                            <a:noFill/>
                          </a:ln>
                        </pic:spPr>
                      </pic:pic>
                    </a:graphicData>
                  </a:graphic>
                </wp:inline>
              </w:drawing>
            </w:r>
          </w:p>
        </w:tc>
      </w:tr>
      <w:tr w:rsidR="008F5978" w:rsidRPr="00675182" w14:paraId="155CECFF" w14:textId="77777777" w:rsidTr="004F5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47" w:type="dxa"/>
            <w:tcBorders>
              <w:top w:val="nil"/>
              <w:left w:val="nil"/>
              <w:bottom w:val="nil"/>
              <w:right w:val="nil"/>
            </w:tcBorders>
          </w:tcPr>
          <w:p w14:paraId="7B71C2B5" w14:textId="4A58100C" w:rsidR="008F5978" w:rsidRPr="00675182" w:rsidRDefault="008F5978" w:rsidP="004F5E89">
            <w:pPr>
              <w:rPr>
                <w:rFonts w:cstheme="minorHAnsi"/>
                <w:b/>
                <w:i/>
              </w:rPr>
            </w:pPr>
            <w:r w:rsidRPr="00675182">
              <w:rPr>
                <w:rFonts w:cstheme="minorHAnsi"/>
                <w:b/>
                <w:i/>
              </w:rPr>
              <w:t>1.3.</w:t>
            </w:r>
            <w:r w:rsidR="00404A46" w:rsidRPr="00675182">
              <w:rPr>
                <w:rFonts w:cstheme="minorHAnsi"/>
                <w:b/>
                <w:i/>
              </w:rPr>
              <w:t>3</w:t>
            </w:r>
            <w:r w:rsidR="00D44C3C" w:rsidRPr="00675182">
              <w:rPr>
                <w:rFonts w:cstheme="minorHAnsi"/>
                <w:b/>
                <w:i/>
              </w:rPr>
              <w:t>6</w:t>
            </w:r>
            <w:r w:rsidRPr="00675182">
              <w:rPr>
                <w:rFonts w:cstheme="minorHAnsi"/>
                <w:b/>
                <w:i/>
              </w:rPr>
              <w:t>. attēls. Mežsaimnieciskās darbības un apliecinātās cirtes GNP teritorijā</w:t>
            </w:r>
          </w:p>
          <w:p w14:paraId="5647A39F" w14:textId="77777777" w:rsidR="008F5978" w:rsidRPr="00675182" w:rsidRDefault="008F5978" w:rsidP="004F5E89">
            <w:pPr>
              <w:rPr>
                <w:rFonts w:cstheme="minorHAnsi"/>
                <w:szCs w:val="24"/>
              </w:rPr>
            </w:pPr>
            <w:r w:rsidRPr="00675182">
              <w:rPr>
                <w:rFonts w:cstheme="minorHAnsi"/>
                <w:sz w:val="20"/>
              </w:rPr>
              <w:t>Datu avots: VMD, 2020</w:t>
            </w:r>
          </w:p>
        </w:tc>
      </w:tr>
    </w:tbl>
    <w:p w14:paraId="1B5CE6A4" w14:textId="71633225" w:rsidR="00CB46DB" w:rsidRPr="00675182" w:rsidRDefault="00CB46DB" w:rsidP="002B3341">
      <w:pPr>
        <w:rPr>
          <w:rFonts w:cstheme="minorHAnsi"/>
          <w:szCs w:val="24"/>
        </w:rPr>
        <w:sectPr w:rsidR="00CB46DB" w:rsidRPr="00675182" w:rsidSect="003C76FD">
          <w:headerReference w:type="default" r:id="rId105"/>
          <w:pgSz w:w="16837" w:h="11905" w:orient="landscape"/>
          <w:pgMar w:top="1797" w:right="1440" w:bottom="1797" w:left="1440" w:header="720" w:footer="720" w:gutter="0"/>
          <w:cols w:space="720"/>
          <w:docGrid w:linePitch="360"/>
        </w:sectPr>
      </w:pPr>
    </w:p>
    <w:p w14:paraId="76B56CE1" w14:textId="5EF387DA" w:rsidR="00400BE9" w:rsidRPr="00675182" w:rsidRDefault="00400BE9" w:rsidP="00CC0016">
      <w:pPr>
        <w:pStyle w:val="Heading4"/>
        <w:rPr>
          <w:rFonts w:asciiTheme="minorHAnsi" w:hAnsiTheme="minorHAnsi" w:cstheme="minorHAnsi"/>
        </w:rPr>
      </w:pPr>
      <w:r w:rsidRPr="00675182">
        <w:rPr>
          <w:rFonts w:asciiTheme="minorHAnsi" w:hAnsiTheme="minorHAnsi" w:cstheme="minorHAnsi"/>
        </w:rPr>
        <w:lastRenderedPageBreak/>
        <w:t>1.</w:t>
      </w:r>
      <w:r w:rsidR="000578F4" w:rsidRPr="00675182">
        <w:rPr>
          <w:rFonts w:asciiTheme="minorHAnsi" w:hAnsiTheme="minorHAnsi" w:cstheme="minorHAnsi"/>
        </w:rPr>
        <w:t>3</w:t>
      </w:r>
      <w:r w:rsidRPr="00675182">
        <w:rPr>
          <w:rFonts w:asciiTheme="minorHAnsi" w:hAnsiTheme="minorHAnsi" w:cstheme="minorHAnsi"/>
        </w:rPr>
        <w:t>.</w:t>
      </w:r>
      <w:r w:rsidR="00CC14FF" w:rsidRPr="00675182">
        <w:rPr>
          <w:rFonts w:asciiTheme="minorHAnsi" w:hAnsiTheme="minorHAnsi" w:cstheme="minorHAnsi"/>
        </w:rPr>
        <w:t>3.4.</w:t>
      </w:r>
      <w:r w:rsidRPr="00675182">
        <w:rPr>
          <w:rFonts w:asciiTheme="minorHAnsi" w:hAnsiTheme="minorHAnsi" w:cstheme="minorHAnsi"/>
        </w:rPr>
        <w:t xml:space="preserve"> Medības</w:t>
      </w:r>
    </w:p>
    <w:p w14:paraId="291EE734" w14:textId="753B57B3" w:rsidR="00CC14FF" w:rsidRPr="00675182" w:rsidRDefault="00CC14FF" w:rsidP="002B3341">
      <w:pPr>
        <w:suppressAutoHyphens w:val="0"/>
        <w:rPr>
          <w:rFonts w:cstheme="minorHAnsi"/>
        </w:rPr>
      </w:pPr>
    </w:p>
    <w:p w14:paraId="04F94A93" w14:textId="05FA3C43" w:rsidR="008D4EA9" w:rsidRPr="00675182" w:rsidRDefault="00E45287" w:rsidP="00643F44">
      <w:pPr>
        <w:pStyle w:val="BodyText"/>
        <w:spacing w:after="0"/>
        <w:jc w:val="both"/>
        <w:rPr>
          <w:rFonts w:cstheme="minorHAnsi"/>
          <w:lang w:val="lv-LV"/>
        </w:rPr>
      </w:pPr>
      <w:r w:rsidRPr="00675182">
        <w:rPr>
          <w:rFonts w:cstheme="minorHAnsi"/>
          <w:lang w:val="lv-LV"/>
        </w:rPr>
        <w:t>GNP teritorij</w:t>
      </w:r>
      <w:r w:rsidR="00957E35" w:rsidRPr="00675182">
        <w:rPr>
          <w:rFonts w:cstheme="minorHAnsi"/>
          <w:lang w:val="lv-LV"/>
        </w:rPr>
        <w:t>ā ietilpst 37 medību iecirkņi, kur</w:t>
      </w:r>
      <w:r w:rsidRPr="00675182">
        <w:rPr>
          <w:rFonts w:cstheme="minorHAnsi"/>
          <w:lang w:val="lv-LV"/>
        </w:rPr>
        <w:t xml:space="preserve"> medību tiesības saskaņā ar medību tiesību nomas līgumiem pieder kopumā </w:t>
      </w:r>
      <w:r w:rsidR="00957E35" w:rsidRPr="00675182">
        <w:rPr>
          <w:rFonts w:cstheme="minorHAnsi"/>
          <w:lang w:val="lv-LV"/>
        </w:rPr>
        <w:t>3585</w:t>
      </w:r>
      <w:r w:rsidRPr="00675182">
        <w:rPr>
          <w:rFonts w:cstheme="minorHAnsi"/>
          <w:lang w:val="lv-LV"/>
        </w:rPr>
        <w:t xml:space="preserve"> </w:t>
      </w:r>
      <w:r w:rsidR="00957E35" w:rsidRPr="00675182">
        <w:rPr>
          <w:rFonts w:cstheme="minorHAnsi"/>
          <w:lang w:val="lv-LV"/>
        </w:rPr>
        <w:t xml:space="preserve">medību tiesību lietotājiem - </w:t>
      </w:r>
      <w:r w:rsidRPr="00675182">
        <w:rPr>
          <w:rFonts w:cstheme="minorHAnsi"/>
          <w:lang w:val="lv-LV"/>
        </w:rPr>
        <w:t xml:space="preserve">medību </w:t>
      </w:r>
      <w:r w:rsidR="00957E35" w:rsidRPr="00675182">
        <w:rPr>
          <w:rFonts w:cstheme="minorHAnsi"/>
          <w:lang w:val="lv-LV"/>
        </w:rPr>
        <w:t xml:space="preserve">kolektīviem, juridiskām personām, fiziskām personām, kā arī valsts </w:t>
      </w:r>
      <w:r w:rsidR="00252C42" w:rsidRPr="00675182">
        <w:rPr>
          <w:rFonts w:cstheme="minorHAnsi"/>
          <w:lang w:val="lv-LV"/>
        </w:rPr>
        <w:t>un pašvaldības institūcijām</w:t>
      </w:r>
      <w:r w:rsidR="009306C6" w:rsidRPr="00675182">
        <w:rPr>
          <w:rFonts w:cstheme="minorHAnsi"/>
          <w:lang w:val="lv-LV"/>
        </w:rPr>
        <w:t>.</w:t>
      </w:r>
    </w:p>
    <w:p w14:paraId="6BE683D2" w14:textId="77777777" w:rsidR="00643F44" w:rsidRPr="00675182" w:rsidRDefault="00643F44" w:rsidP="00643F44">
      <w:pPr>
        <w:pStyle w:val="BodyText"/>
        <w:spacing w:after="0"/>
        <w:jc w:val="both"/>
        <w:rPr>
          <w:rFonts w:cstheme="minorHAnsi"/>
          <w:lang w:val="lv-LV"/>
        </w:rPr>
      </w:pPr>
    </w:p>
    <w:p w14:paraId="663D7CDD" w14:textId="29445F81" w:rsidR="00E45287" w:rsidRPr="00675182" w:rsidRDefault="00E45287" w:rsidP="00643F44">
      <w:pPr>
        <w:pStyle w:val="BodyText"/>
        <w:spacing w:after="0"/>
        <w:jc w:val="both"/>
        <w:rPr>
          <w:rFonts w:cstheme="minorHAnsi"/>
          <w:lang w:val="lv-LV"/>
        </w:rPr>
      </w:pPr>
      <w:r w:rsidRPr="00675182">
        <w:rPr>
          <w:rFonts w:cstheme="minorHAnsi"/>
          <w:lang w:val="lv-LV"/>
        </w:rPr>
        <w:t xml:space="preserve">Medību iecirkņu robežas attēlotas </w:t>
      </w:r>
      <w:r w:rsidR="008D4EA9" w:rsidRPr="00675182">
        <w:rPr>
          <w:rFonts w:cstheme="minorHAnsi"/>
          <w:lang w:val="lv-LV"/>
        </w:rPr>
        <w:t>1.3.</w:t>
      </w:r>
      <w:r w:rsidR="00CC17DC" w:rsidRPr="00675182">
        <w:rPr>
          <w:rFonts w:cstheme="minorHAnsi"/>
          <w:lang w:val="lv-LV"/>
        </w:rPr>
        <w:t>3</w:t>
      </w:r>
      <w:r w:rsidR="00D44C3C" w:rsidRPr="00675182">
        <w:rPr>
          <w:rFonts w:cstheme="minorHAnsi"/>
          <w:lang w:val="lv-LV"/>
        </w:rPr>
        <w:t>9</w:t>
      </w:r>
      <w:r w:rsidRPr="00675182">
        <w:rPr>
          <w:rFonts w:cstheme="minorHAnsi"/>
          <w:lang w:val="lv-LV"/>
        </w:rPr>
        <w:t>.</w:t>
      </w:r>
      <w:r w:rsidR="008D4EA9" w:rsidRPr="00675182">
        <w:rPr>
          <w:rFonts w:cstheme="minorHAnsi"/>
          <w:lang w:val="lv-LV"/>
        </w:rPr>
        <w:t xml:space="preserve"> </w:t>
      </w:r>
      <w:r w:rsidRPr="00675182">
        <w:rPr>
          <w:rFonts w:cstheme="minorHAnsi"/>
          <w:lang w:val="lv-LV"/>
        </w:rPr>
        <w:t>attēlā.</w:t>
      </w:r>
    </w:p>
    <w:p w14:paraId="3383F7DF" w14:textId="77777777" w:rsidR="00643F44" w:rsidRPr="00675182" w:rsidRDefault="00643F44" w:rsidP="00643F44">
      <w:pPr>
        <w:pStyle w:val="BodyText"/>
        <w:spacing w:after="0"/>
        <w:jc w:val="both"/>
        <w:rPr>
          <w:rFonts w:cstheme="minorHAnsi"/>
          <w:lang w:val="lv-LV" w:eastAsia="en-US"/>
        </w:rPr>
      </w:pPr>
    </w:p>
    <w:p w14:paraId="5FA0CF23" w14:textId="0E9F1A6E" w:rsidR="00B27D47" w:rsidRPr="00675182" w:rsidRDefault="00B27D47" w:rsidP="00643F44">
      <w:pPr>
        <w:jc w:val="both"/>
        <w:rPr>
          <w:rFonts w:eastAsiaTheme="minorHAnsi" w:cstheme="minorHAnsi"/>
          <w:szCs w:val="24"/>
          <w:lang w:eastAsia="en-US"/>
        </w:rPr>
      </w:pPr>
      <w:r w:rsidRPr="00675182">
        <w:rPr>
          <w:rFonts w:cstheme="minorHAnsi"/>
          <w:szCs w:val="24"/>
        </w:rPr>
        <w:t xml:space="preserve">Galvenie medību objekti ir pārnadžu sugas – stirna </w:t>
      </w:r>
      <w:r w:rsidRPr="00675182">
        <w:rPr>
          <w:rFonts w:cstheme="minorHAnsi"/>
          <w:i/>
          <w:iCs/>
          <w:szCs w:val="24"/>
        </w:rPr>
        <w:t>Capreolus capreolus</w:t>
      </w:r>
      <w:r w:rsidRPr="00675182">
        <w:rPr>
          <w:rFonts w:cstheme="minorHAnsi"/>
          <w:szCs w:val="24"/>
        </w:rPr>
        <w:t xml:space="preserve">, alnis </w:t>
      </w:r>
      <w:r w:rsidRPr="00675182">
        <w:rPr>
          <w:rFonts w:cstheme="minorHAnsi"/>
          <w:i/>
          <w:iCs/>
          <w:szCs w:val="24"/>
        </w:rPr>
        <w:t>Alces alces</w:t>
      </w:r>
      <w:r w:rsidRPr="00675182">
        <w:rPr>
          <w:rFonts w:cstheme="minorHAnsi"/>
          <w:szCs w:val="24"/>
        </w:rPr>
        <w:t xml:space="preserve">, staltbriedis </w:t>
      </w:r>
      <w:r w:rsidRPr="00675182">
        <w:rPr>
          <w:rFonts w:cstheme="minorHAnsi"/>
          <w:i/>
          <w:iCs/>
          <w:szCs w:val="24"/>
        </w:rPr>
        <w:t>Cervus elaphus</w:t>
      </w:r>
      <w:r w:rsidRPr="00675182">
        <w:rPr>
          <w:rFonts w:cstheme="minorHAnsi"/>
          <w:szCs w:val="24"/>
        </w:rPr>
        <w:t xml:space="preserve"> un meža cūka </w:t>
      </w:r>
      <w:r w:rsidRPr="00675182">
        <w:rPr>
          <w:rFonts w:cstheme="minorHAnsi"/>
          <w:i/>
          <w:iCs/>
          <w:szCs w:val="24"/>
        </w:rPr>
        <w:t>Sus scrofa</w:t>
      </w:r>
      <w:r w:rsidRPr="00675182">
        <w:rPr>
          <w:rFonts w:cstheme="minorHAnsi"/>
          <w:szCs w:val="24"/>
        </w:rPr>
        <w:t xml:space="preserve">, kā arī </w:t>
      </w:r>
      <w:r w:rsidR="00C66870" w:rsidRPr="00675182">
        <w:rPr>
          <w:rFonts w:cstheme="minorHAnsi"/>
          <w:szCs w:val="24"/>
        </w:rPr>
        <w:t xml:space="preserve">no </w:t>
      </w:r>
      <w:r w:rsidRPr="00675182">
        <w:rPr>
          <w:rFonts w:cstheme="minorHAnsi"/>
          <w:szCs w:val="24"/>
        </w:rPr>
        <w:t xml:space="preserve">lielo plēsēju sugas – vilks </w:t>
      </w:r>
      <w:r w:rsidRPr="00675182">
        <w:rPr>
          <w:rFonts w:cstheme="minorHAnsi"/>
          <w:i/>
          <w:iCs/>
          <w:szCs w:val="24"/>
        </w:rPr>
        <w:t>Canis lupus</w:t>
      </w:r>
      <w:r w:rsidRPr="00675182">
        <w:rPr>
          <w:rFonts w:cstheme="minorHAnsi"/>
          <w:szCs w:val="24"/>
        </w:rPr>
        <w:t xml:space="preserve">. Iepriekš minētās sugas ir limitēti medījami dzīvnieki, </w:t>
      </w:r>
      <w:r w:rsidR="00643F44" w:rsidRPr="00675182">
        <w:rPr>
          <w:rFonts w:cstheme="minorHAnsi"/>
          <w:szCs w:val="24"/>
        </w:rPr>
        <w:t xml:space="preserve">bet </w:t>
      </w:r>
      <w:r w:rsidRPr="00675182">
        <w:rPr>
          <w:rFonts w:cstheme="minorHAnsi"/>
          <w:szCs w:val="24"/>
        </w:rPr>
        <w:t xml:space="preserve">par nelimitēti medījamiem dzīvniekiem (pelēkais un baltais zaķis </w:t>
      </w:r>
      <w:r w:rsidRPr="00675182">
        <w:rPr>
          <w:rFonts w:cstheme="minorHAnsi"/>
          <w:i/>
          <w:iCs/>
          <w:szCs w:val="24"/>
        </w:rPr>
        <w:t>Lepus europaeus</w:t>
      </w:r>
      <w:r w:rsidRPr="00675182">
        <w:rPr>
          <w:rFonts w:cstheme="minorHAnsi"/>
          <w:szCs w:val="24"/>
        </w:rPr>
        <w:t xml:space="preserve">, </w:t>
      </w:r>
      <w:r w:rsidRPr="00675182">
        <w:rPr>
          <w:rFonts w:cstheme="minorHAnsi"/>
          <w:i/>
          <w:iCs/>
          <w:szCs w:val="24"/>
        </w:rPr>
        <w:t>L. timidus</w:t>
      </w:r>
      <w:r w:rsidRPr="00675182">
        <w:rPr>
          <w:rFonts w:cstheme="minorHAnsi"/>
          <w:szCs w:val="24"/>
        </w:rPr>
        <w:t xml:space="preserve">, meža un akmeņu cauna </w:t>
      </w:r>
      <w:r w:rsidRPr="00675182">
        <w:rPr>
          <w:rFonts w:cstheme="minorHAnsi"/>
          <w:i/>
          <w:iCs/>
          <w:szCs w:val="24"/>
        </w:rPr>
        <w:t>Martes martes, M. foina</w:t>
      </w:r>
      <w:r w:rsidRPr="00675182">
        <w:rPr>
          <w:rFonts w:cstheme="minorHAnsi"/>
          <w:szCs w:val="24"/>
        </w:rPr>
        <w:t xml:space="preserve">, sesks </w:t>
      </w:r>
      <w:r w:rsidRPr="00675182">
        <w:rPr>
          <w:rFonts w:cstheme="minorHAnsi"/>
          <w:i/>
          <w:iCs/>
          <w:szCs w:val="24"/>
        </w:rPr>
        <w:t>Mustela putorius</w:t>
      </w:r>
      <w:r w:rsidRPr="00675182">
        <w:rPr>
          <w:rFonts w:cstheme="minorHAnsi"/>
          <w:szCs w:val="24"/>
        </w:rPr>
        <w:t xml:space="preserve">, āpsis </w:t>
      </w:r>
      <w:r w:rsidRPr="00675182">
        <w:rPr>
          <w:rFonts w:cstheme="minorHAnsi"/>
          <w:i/>
          <w:iCs/>
          <w:szCs w:val="24"/>
        </w:rPr>
        <w:t>Meles meles</w:t>
      </w:r>
      <w:r w:rsidRPr="00675182">
        <w:rPr>
          <w:rFonts w:cstheme="minorHAnsi"/>
          <w:szCs w:val="24"/>
        </w:rPr>
        <w:t xml:space="preserve">, bebrs </w:t>
      </w:r>
      <w:r w:rsidRPr="00675182">
        <w:rPr>
          <w:rFonts w:cstheme="minorHAnsi"/>
          <w:i/>
          <w:iCs/>
          <w:szCs w:val="24"/>
        </w:rPr>
        <w:t>Castor fiber</w:t>
      </w:r>
      <w:r w:rsidRPr="00675182">
        <w:rPr>
          <w:rFonts w:cstheme="minorHAnsi"/>
          <w:szCs w:val="24"/>
        </w:rPr>
        <w:t xml:space="preserve">, lapsa </w:t>
      </w:r>
      <w:r w:rsidRPr="00675182">
        <w:rPr>
          <w:rFonts w:cstheme="minorHAnsi"/>
          <w:i/>
          <w:iCs/>
          <w:szCs w:val="24"/>
        </w:rPr>
        <w:t>Vulpes vulpes</w:t>
      </w:r>
      <w:r w:rsidRPr="00675182">
        <w:rPr>
          <w:rFonts w:cstheme="minorHAnsi"/>
          <w:szCs w:val="24"/>
        </w:rPr>
        <w:t xml:space="preserve">, Amerikas ūdele </w:t>
      </w:r>
      <w:r w:rsidRPr="00675182">
        <w:rPr>
          <w:rFonts w:cstheme="minorHAnsi"/>
          <w:i/>
          <w:iCs/>
          <w:szCs w:val="24"/>
        </w:rPr>
        <w:t>Neovison vison</w:t>
      </w:r>
      <w:r w:rsidRPr="00675182">
        <w:rPr>
          <w:rFonts w:cstheme="minorHAnsi"/>
          <w:szCs w:val="24"/>
        </w:rPr>
        <w:t xml:space="preserve">) </w:t>
      </w:r>
      <w:r w:rsidR="006B4492" w:rsidRPr="00675182">
        <w:rPr>
          <w:rFonts w:cstheme="minorHAnsi"/>
          <w:szCs w:val="24"/>
        </w:rPr>
        <w:t>informācija nav pieejama</w:t>
      </w:r>
      <w:r w:rsidRPr="00675182">
        <w:rPr>
          <w:rFonts w:cstheme="minorHAnsi"/>
          <w:szCs w:val="24"/>
        </w:rPr>
        <w:t xml:space="preserve">. </w:t>
      </w:r>
      <w:r w:rsidR="00643F44" w:rsidRPr="00675182">
        <w:rPr>
          <w:rFonts w:cstheme="minorHAnsi"/>
          <w:szCs w:val="24"/>
        </w:rPr>
        <w:t>VMD</w:t>
      </w:r>
      <w:r w:rsidRPr="00675182">
        <w:rPr>
          <w:rFonts w:cstheme="minorHAnsi"/>
          <w:szCs w:val="24"/>
        </w:rPr>
        <w:t xml:space="preserve"> katru sezonu veic limitēti medījamo dzīvnieku skaita novērtējumu uzskaites vienībās</w:t>
      </w:r>
      <w:r w:rsidR="00427766" w:rsidRPr="00675182">
        <w:rPr>
          <w:rFonts w:cstheme="minorHAnsi"/>
          <w:szCs w:val="24"/>
        </w:rPr>
        <w:t xml:space="preserve"> (skat. </w:t>
      </w:r>
      <w:r w:rsidR="006B4492" w:rsidRPr="00675182">
        <w:rPr>
          <w:rFonts w:cstheme="minorHAnsi"/>
          <w:szCs w:val="24"/>
        </w:rPr>
        <w:t>1.3.</w:t>
      </w:r>
      <w:r w:rsidR="000578F4" w:rsidRPr="00675182">
        <w:rPr>
          <w:rFonts w:cstheme="minorHAnsi"/>
          <w:szCs w:val="24"/>
        </w:rPr>
        <w:t>5</w:t>
      </w:r>
      <w:r w:rsidRPr="00675182">
        <w:rPr>
          <w:rFonts w:cstheme="minorHAnsi"/>
          <w:szCs w:val="24"/>
        </w:rPr>
        <w:t xml:space="preserve"> tabul</w:t>
      </w:r>
      <w:r w:rsidR="00427766" w:rsidRPr="00675182">
        <w:rPr>
          <w:rFonts w:cstheme="minorHAnsi"/>
          <w:szCs w:val="24"/>
        </w:rPr>
        <w:t>u</w:t>
      </w:r>
      <w:r w:rsidRPr="00675182">
        <w:rPr>
          <w:rFonts w:cstheme="minorHAnsi"/>
          <w:szCs w:val="24"/>
        </w:rPr>
        <w:t>).</w:t>
      </w:r>
    </w:p>
    <w:p w14:paraId="37375E5D" w14:textId="77777777" w:rsidR="00B27D47" w:rsidRPr="00675182" w:rsidRDefault="00B27D47" w:rsidP="00B27D47">
      <w:pPr>
        <w:jc w:val="both"/>
        <w:rPr>
          <w:rFonts w:cstheme="minorHAnsi"/>
          <w:sz w:val="23"/>
          <w:szCs w:val="23"/>
        </w:rPr>
      </w:pPr>
    </w:p>
    <w:p w14:paraId="622BD7CC" w14:textId="0216B171" w:rsidR="00B27D47" w:rsidRPr="00675182" w:rsidRDefault="000578F4" w:rsidP="00B27D47">
      <w:pPr>
        <w:jc w:val="both"/>
        <w:rPr>
          <w:rFonts w:cstheme="minorHAnsi"/>
          <w:b/>
          <w:bCs/>
          <w:i/>
          <w:iCs/>
          <w:sz w:val="23"/>
          <w:szCs w:val="23"/>
        </w:rPr>
      </w:pPr>
      <w:r w:rsidRPr="00675182">
        <w:rPr>
          <w:rFonts w:cstheme="minorHAnsi"/>
          <w:b/>
          <w:bCs/>
          <w:i/>
          <w:iCs/>
          <w:sz w:val="23"/>
          <w:szCs w:val="23"/>
        </w:rPr>
        <w:t>1.3.5.</w:t>
      </w:r>
      <w:r w:rsidR="00B27D47" w:rsidRPr="00675182">
        <w:rPr>
          <w:rFonts w:cstheme="minorHAnsi"/>
          <w:b/>
          <w:bCs/>
          <w:i/>
          <w:iCs/>
          <w:sz w:val="23"/>
          <w:szCs w:val="23"/>
        </w:rPr>
        <w:t xml:space="preserve"> tabula. GNP uzskaites vienībās ietilpstošie medību iecirkņi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5934"/>
      </w:tblGrid>
      <w:tr w:rsidR="00B27D47" w:rsidRPr="00675182" w14:paraId="7C52493E" w14:textId="77777777" w:rsidTr="000578F4">
        <w:trPr>
          <w:trHeight w:val="221"/>
        </w:trPr>
        <w:tc>
          <w:tcPr>
            <w:tcW w:w="142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hideMark/>
          </w:tcPr>
          <w:p w14:paraId="470287EC" w14:textId="77777777" w:rsidR="00B27D47" w:rsidRPr="00675182" w:rsidRDefault="00B27D47">
            <w:pPr>
              <w:jc w:val="center"/>
              <w:rPr>
                <w:rFonts w:eastAsia="Times New Roman" w:cstheme="minorHAnsi"/>
                <w:b/>
                <w:bCs/>
                <w:color w:val="000000"/>
                <w:sz w:val="22"/>
                <w:szCs w:val="22"/>
                <w:lang w:eastAsia="en-GB"/>
              </w:rPr>
            </w:pPr>
            <w:r w:rsidRPr="00675182">
              <w:rPr>
                <w:rFonts w:eastAsia="Times New Roman" w:cstheme="minorHAnsi"/>
                <w:b/>
                <w:bCs/>
                <w:color w:val="000000"/>
                <w:lang w:eastAsia="en-GB"/>
              </w:rPr>
              <w:t>Uzskaites vienība</w:t>
            </w:r>
          </w:p>
        </w:tc>
        <w:tc>
          <w:tcPr>
            <w:tcW w:w="35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hideMark/>
          </w:tcPr>
          <w:p w14:paraId="47254845" w14:textId="77777777" w:rsidR="00B27D47" w:rsidRPr="00675182" w:rsidRDefault="00B27D47">
            <w:pPr>
              <w:jc w:val="center"/>
              <w:rPr>
                <w:rFonts w:eastAsia="Times New Roman" w:cstheme="minorHAnsi"/>
                <w:b/>
                <w:bCs/>
                <w:color w:val="000000"/>
                <w:lang w:eastAsia="en-GB"/>
              </w:rPr>
            </w:pPr>
            <w:r w:rsidRPr="00675182">
              <w:rPr>
                <w:rFonts w:eastAsia="Times New Roman" w:cstheme="minorHAnsi"/>
                <w:b/>
                <w:bCs/>
                <w:color w:val="000000"/>
                <w:lang w:eastAsia="en-GB"/>
              </w:rPr>
              <w:t>Medību iecirkņi</w:t>
            </w:r>
          </w:p>
        </w:tc>
      </w:tr>
      <w:tr w:rsidR="00B27D47" w:rsidRPr="00675182" w14:paraId="0F2B9DB4"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7BD0C8FB"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7601</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13BB2FF6"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Blāzma, Rūķītis</w:t>
            </w:r>
          </w:p>
        </w:tc>
      </w:tr>
      <w:tr w:rsidR="00B27D47" w:rsidRPr="00675182" w14:paraId="569E7E31"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174DB1C0"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7602</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1AA8BE70"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Kārļi, Līvi, Kumada</w:t>
            </w:r>
          </w:p>
        </w:tc>
      </w:tr>
      <w:tr w:rsidR="00B27D47" w:rsidRPr="00675182" w14:paraId="6EC7FBAC"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195BFDC9"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7603</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7923D5A4"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Jaunrauna, Priekuļi, Gaujmalietis, Atpūtas</w:t>
            </w:r>
          </w:p>
        </w:tc>
      </w:tr>
      <w:tr w:rsidR="00B27D47" w:rsidRPr="00675182" w14:paraId="75DF5FEB"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090EE282"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7604</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1B1453CB"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Lisupe, Raunas Mednieks, Zaķītis, Liepa GNP</w:t>
            </w:r>
          </w:p>
        </w:tc>
      </w:tr>
      <w:tr w:rsidR="00B27D47" w:rsidRPr="00675182" w14:paraId="0AA37823"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156FBE06"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8009</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7AD9A532"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Turaida, Krimulda</w:t>
            </w:r>
          </w:p>
        </w:tc>
      </w:tr>
      <w:tr w:rsidR="00B27D47" w:rsidRPr="00675182" w14:paraId="6EBA8028"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3C448BB1"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8010</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2CAFC8E3"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Krīvi, Zeltragi</w:t>
            </w:r>
          </w:p>
        </w:tc>
      </w:tr>
      <w:tr w:rsidR="00B27D47" w:rsidRPr="00675182" w14:paraId="04971A80"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03D37A9E"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8012</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6313AB14"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Zēgevalde</w:t>
            </w:r>
          </w:p>
        </w:tc>
      </w:tr>
      <w:tr w:rsidR="00B27D47" w:rsidRPr="00675182" w14:paraId="0B09F933"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33E05A1F"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8015</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40EE24E3"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More</w:t>
            </w:r>
          </w:p>
        </w:tc>
      </w:tr>
      <w:tr w:rsidR="00B27D47" w:rsidRPr="00675182" w14:paraId="6062B9C7"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18A9E01D"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8514</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4807700F"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Brenguļi, Kaugurieši</w:t>
            </w:r>
          </w:p>
        </w:tc>
      </w:tr>
      <w:tr w:rsidR="00B27D47" w:rsidRPr="00675182" w14:paraId="1AA62013"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467DE853"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8526</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67469A9B"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Bauris, Jumara GNP</w:t>
            </w:r>
          </w:p>
        </w:tc>
      </w:tr>
      <w:tr w:rsidR="00B27D47" w:rsidRPr="00675182" w14:paraId="5EAF7093"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722944BA"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8528</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343E8CE1"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Mārkulīči, Priedes, Šalc Zaļais Mežs</w:t>
            </w:r>
          </w:p>
        </w:tc>
      </w:tr>
      <w:tr w:rsidR="00B27D47" w:rsidRPr="00675182" w14:paraId="021E879B" w14:textId="77777777" w:rsidTr="000578F4">
        <w:trPr>
          <w:trHeight w:val="288"/>
        </w:trPr>
        <w:tc>
          <w:tcPr>
            <w:tcW w:w="1426" w:type="pct"/>
            <w:tcBorders>
              <w:top w:val="single" w:sz="4" w:space="0" w:color="auto"/>
              <w:left w:val="single" w:sz="4" w:space="0" w:color="auto"/>
              <w:bottom w:val="single" w:sz="4" w:space="0" w:color="auto"/>
              <w:right w:val="single" w:sz="4" w:space="0" w:color="auto"/>
            </w:tcBorders>
            <w:noWrap/>
            <w:vAlign w:val="bottom"/>
            <w:hideMark/>
          </w:tcPr>
          <w:p w14:paraId="0B7E9345" w14:textId="77777777" w:rsidR="00B27D47" w:rsidRPr="00675182" w:rsidRDefault="00B27D47">
            <w:pPr>
              <w:jc w:val="center"/>
              <w:rPr>
                <w:rFonts w:eastAsia="Times New Roman" w:cstheme="minorHAnsi"/>
                <w:color w:val="000000"/>
                <w:lang w:eastAsia="en-GB"/>
              </w:rPr>
            </w:pPr>
            <w:r w:rsidRPr="00675182">
              <w:rPr>
                <w:rFonts w:eastAsia="Times New Roman" w:cstheme="minorHAnsi"/>
                <w:color w:val="000000"/>
                <w:lang w:eastAsia="en-GB"/>
              </w:rPr>
              <w:t>8529</w:t>
            </w:r>
          </w:p>
        </w:tc>
        <w:tc>
          <w:tcPr>
            <w:tcW w:w="3574" w:type="pct"/>
            <w:tcBorders>
              <w:top w:val="single" w:sz="4" w:space="0" w:color="auto"/>
              <w:left w:val="single" w:sz="4" w:space="0" w:color="auto"/>
              <w:bottom w:val="single" w:sz="4" w:space="0" w:color="auto"/>
              <w:right w:val="single" w:sz="4" w:space="0" w:color="auto"/>
            </w:tcBorders>
            <w:noWrap/>
            <w:vAlign w:val="bottom"/>
            <w:hideMark/>
          </w:tcPr>
          <w:p w14:paraId="11E465B5" w14:textId="77777777" w:rsidR="00B27D47" w:rsidRPr="00675182" w:rsidRDefault="00B27D47">
            <w:pPr>
              <w:rPr>
                <w:rFonts w:eastAsia="Times New Roman" w:cstheme="minorHAnsi"/>
                <w:color w:val="000000"/>
                <w:lang w:eastAsia="en-GB"/>
              </w:rPr>
            </w:pPr>
            <w:r w:rsidRPr="00675182">
              <w:rPr>
                <w:rFonts w:eastAsia="Times New Roman" w:cstheme="minorHAnsi"/>
                <w:color w:val="000000"/>
                <w:lang w:eastAsia="en-GB"/>
              </w:rPr>
              <w:t>Raiskums, Kvēpene, Lenči, Virsāji, Ķeņģi</w:t>
            </w:r>
          </w:p>
        </w:tc>
      </w:tr>
    </w:tbl>
    <w:p w14:paraId="6844F749" w14:textId="18F82735" w:rsidR="00B27D47" w:rsidRPr="00675182" w:rsidRDefault="000578F4" w:rsidP="00B27D47">
      <w:pPr>
        <w:jc w:val="both"/>
        <w:rPr>
          <w:rFonts w:eastAsiaTheme="minorHAnsi" w:cstheme="minorHAnsi"/>
          <w:sz w:val="22"/>
          <w:szCs w:val="22"/>
          <w:lang w:eastAsia="en-US"/>
        </w:rPr>
      </w:pPr>
      <w:r w:rsidRPr="00675182">
        <w:rPr>
          <w:rFonts w:eastAsiaTheme="minorHAnsi" w:cstheme="minorHAnsi"/>
          <w:sz w:val="22"/>
          <w:szCs w:val="22"/>
          <w:lang w:eastAsia="en-US"/>
        </w:rPr>
        <w:t xml:space="preserve">Datu avots: VMD, </w:t>
      </w:r>
      <w:r w:rsidR="00981137" w:rsidRPr="00675182">
        <w:rPr>
          <w:rFonts w:eastAsiaTheme="minorHAnsi" w:cstheme="minorHAnsi"/>
          <w:sz w:val="22"/>
          <w:szCs w:val="22"/>
          <w:lang w:eastAsia="en-US"/>
        </w:rPr>
        <w:t>2018-</w:t>
      </w:r>
      <w:r w:rsidRPr="00675182">
        <w:rPr>
          <w:rFonts w:eastAsiaTheme="minorHAnsi" w:cstheme="minorHAnsi"/>
          <w:sz w:val="22"/>
          <w:szCs w:val="22"/>
          <w:lang w:eastAsia="en-US"/>
        </w:rPr>
        <w:t>2021</w:t>
      </w:r>
    </w:p>
    <w:p w14:paraId="38CF8B48" w14:textId="77777777" w:rsidR="00B27D47" w:rsidRPr="00675182" w:rsidRDefault="00B27D47" w:rsidP="00B27D47">
      <w:pPr>
        <w:jc w:val="both"/>
        <w:rPr>
          <w:rFonts w:cstheme="minorHAnsi"/>
          <w:sz w:val="23"/>
          <w:szCs w:val="23"/>
        </w:rPr>
      </w:pPr>
    </w:p>
    <w:p w14:paraId="0D1F18E2" w14:textId="7BA6D8C7" w:rsidR="00B27D47" w:rsidRPr="00675182" w:rsidRDefault="00B27D47" w:rsidP="00B27D47">
      <w:pPr>
        <w:jc w:val="both"/>
        <w:rPr>
          <w:rFonts w:cstheme="minorHAnsi"/>
          <w:noProof/>
          <w:szCs w:val="24"/>
        </w:rPr>
      </w:pPr>
      <w:r w:rsidRPr="00675182">
        <w:rPr>
          <w:rFonts w:cstheme="minorHAnsi"/>
          <w:noProof/>
          <w:szCs w:val="24"/>
        </w:rPr>
        <w:t>Medību aktivitāte sezonas ietvaros ir mainīga, vislielākā aktivitāte vērojama galveno</w:t>
      </w:r>
      <w:r w:rsidR="000578F4" w:rsidRPr="00675182">
        <w:rPr>
          <w:rFonts w:cstheme="minorHAnsi"/>
          <w:noProof/>
          <w:szCs w:val="24"/>
        </w:rPr>
        <w:t>k</w:t>
      </w:r>
      <w:r w:rsidRPr="00675182">
        <w:rPr>
          <w:rFonts w:cstheme="minorHAnsi"/>
          <w:noProof/>
          <w:szCs w:val="24"/>
        </w:rPr>
        <w:t>ārt ziemas mēnešos</w:t>
      </w:r>
      <w:r w:rsidR="000578F4" w:rsidRPr="00675182">
        <w:rPr>
          <w:rFonts w:cstheme="minorHAnsi"/>
          <w:noProof/>
          <w:szCs w:val="24"/>
        </w:rPr>
        <w:t xml:space="preserve"> (</w:t>
      </w:r>
      <w:r w:rsidRPr="00675182">
        <w:rPr>
          <w:rFonts w:cstheme="minorHAnsi"/>
          <w:noProof/>
          <w:szCs w:val="24"/>
        </w:rPr>
        <w:t>novembrī, decembrī, janvārī</w:t>
      </w:r>
      <w:r w:rsidR="000578F4" w:rsidRPr="00675182">
        <w:rPr>
          <w:rFonts w:cstheme="minorHAnsi"/>
          <w:noProof/>
          <w:szCs w:val="24"/>
        </w:rPr>
        <w:t>)</w:t>
      </w:r>
      <w:r w:rsidRPr="00675182">
        <w:rPr>
          <w:rFonts w:cstheme="minorHAnsi"/>
          <w:noProof/>
          <w:szCs w:val="24"/>
        </w:rPr>
        <w:t>, kā arī rudenī</w:t>
      </w:r>
      <w:r w:rsidR="000578F4" w:rsidRPr="00675182">
        <w:rPr>
          <w:rFonts w:cstheme="minorHAnsi"/>
          <w:noProof/>
          <w:szCs w:val="24"/>
        </w:rPr>
        <w:t xml:space="preserve"> (</w:t>
      </w:r>
      <w:r w:rsidRPr="00675182">
        <w:rPr>
          <w:rFonts w:cstheme="minorHAnsi"/>
          <w:noProof/>
          <w:szCs w:val="24"/>
        </w:rPr>
        <w:t>septembrī un oktobrī</w:t>
      </w:r>
      <w:r w:rsidR="000578F4" w:rsidRPr="00675182">
        <w:rPr>
          <w:rFonts w:cstheme="minorHAnsi"/>
          <w:noProof/>
          <w:szCs w:val="24"/>
        </w:rPr>
        <w:t>)</w:t>
      </w:r>
      <w:r w:rsidRPr="00675182">
        <w:rPr>
          <w:rFonts w:cstheme="minorHAnsi"/>
          <w:noProof/>
          <w:szCs w:val="24"/>
        </w:rPr>
        <w:t xml:space="preserve"> (</w:t>
      </w:r>
      <w:r w:rsidR="000578F4" w:rsidRPr="00675182">
        <w:rPr>
          <w:rFonts w:cstheme="minorHAnsi"/>
          <w:noProof/>
          <w:szCs w:val="24"/>
        </w:rPr>
        <w:t>skat. 1.3.</w:t>
      </w:r>
      <w:r w:rsidR="00D324A0" w:rsidRPr="00675182">
        <w:rPr>
          <w:rFonts w:cstheme="minorHAnsi"/>
          <w:noProof/>
          <w:szCs w:val="24"/>
        </w:rPr>
        <w:t>3</w:t>
      </w:r>
      <w:r w:rsidR="00D44C3C" w:rsidRPr="00675182">
        <w:rPr>
          <w:rFonts w:cstheme="minorHAnsi"/>
          <w:noProof/>
          <w:szCs w:val="24"/>
        </w:rPr>
        <w:t>7</w:t>
      </w:r>
      <w:r w:rsidRPr="00675182">
        <w:rPr>
          <w:rFonts w:cstheme="minorHAnsi"/>
          <w:noProof/>
          <w:szCs w:val="24"/>
        </w:rPr>
        <w:t>. attēl</w:t>
      </w:r>
      <w:r w:rsidR="000578F4" w:rsidRPr="00675182">
        <w:rPr>
          <w:rFonts w:cstheme="minorHAnsi"/>
          <w:noProof/>
          <w:szCs w:val="24"/>
        </w:rPr>
        <w:t>u</w:t>
      </w:r>
      <w:r w:rsidRPr="00675182">
        <w:rPr>
          <w:rFonts w:cstheme="minorHAnsi"/>
          <w:noProof/>
          <w:szCs w:val="24"/>
        </w:rPr>
        <w:t>).</w:t>
      </w:r>
    </w:p>
    <w:p w14:paraId="7D0A53C4" w14:textId="77777777" w:rsidR="00B27D47" w:rsidRPr="00675182" w:rsidRDefault="00B27D47" w:rsidP="00B27D47">
      <w:pPr>
        <w:jc w:val="both"/>
        <w:rPr>
          <w:rFonts w:cstheme="minorHAnsi"/>
          <w:noProof/>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0578F4" w:rsidRPr="00675182" w14:paraId="1456C1D9" w14:textId="77777777" w:rsidTr="00981137">
        <w:tc>
          <w:tcPr>
            <w:tcW w:w="8301" w:type="dxa"/>
          </w:tcPr>
          <w:p w14:paraId="0B88A60C" w14:textId="272F71DC" w:rsidR="000578F4" w:rsidRPr="00675182" w:rsidRDefault="000578F4" w:rsidP="00B27D47">
            <w:pPr>
              <w:jc w:val="both"/>
              <w:rPr>
                <w:rFonts w:cstheme="minorHAnsi"/>
                <w:noProof/>
                <w:szCs w:val="24"/>
              </w:rPr>
            </w:pPr>
            <w:r w:rsidRPr="00675182">
              <w:rPr>
                <w:rFonts w:cstheme="minorHAnsi"/>
                <w:noProof/>
              </w:rPr>
              <w:lastRenderedPageBreak/>
              <w:drawing>
                <wp:inline distT="0" distB="0" distL="0" distR="0" wp14:anchorId="622FCC2D" wp14:editId="4CB52E63">
                  <wp:extent cx="5204460" cy="2613660"/>
                  <wp:effectExtent l="0" t="0" r="15240" b="15240"/>
                  <wp:docPr id="181" name="Chart 181">
                    <a:extLst xmlns:a="http://schemas.openxmlformats.org/drawingml/2006/main">
                      <a:ext uri="{FF2B5EF4-FFF2-40B4-BE49-F238E27FC236}">
                        <a16:creationId xmlns:a16="http://schemas.microsoft.com/office/drawing/2014/main" id="{38B77466-EA8F-4EF4-BDF0-F203911F79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c>
      </w:tr>
      <w:tr w:rsidR="000578F4" w:rsidRPr="00675182" w14:paraId="389AF964" w14:textId="77777777" w:rsidTr="00981137">
        <w:tc>
          <w:tcPr>
            <w:tcW w:w="8301" w:type="dxa"/>
          </w:tcPr>
          <w:p w14:paraId="730F55F7" w14:textId="414610D1" w:rsidR="000578F4" w:rsidRPr="00675182" w:rsidRDefault="000578F4" w:rsidP="00B27D47">
            <w:pPr>
              <w:jc w:val="both"/>
              <w:rPr>
                <w:rFonts w:cstheme="minorHAnsi"/>
                <w:b/>
                <w:bCs/>
                <w:i/>
                <w:iCs/>
                <w:noProof/>
                <w:szCs w:val="24"/>
              </w:rPr>
            </w:pPr>
            <w:r w:rsidRPr="00675182">
              <w:rPr>
                <w:rFonts w:cstheme="minorHAnsi"/>
                <w:b/>
                <w:bCs/>
                <w:i/>
                <w:iCs/>
                <w:noProof/>
                <w:szCs w:val="24"/>
              </w:rPr>
              <w:t>1.3.</w:t>
            </w:r>
            <w:r w:rsidR="00D324A0" w:rsidRPr="00675182">
              <w:rPr>
                <w:rFonts w:cstheme="minorHAnsi"/>
                <w:b/>
                <w:bCs/>
                <w:i/>
                <w:iCs/>
                <w:noProof/>
                <w:szCs w:val="24"/>
              </w:rPr>
              <w:t>3</w:t>
            </w:r>
            <w:r w:rsidR="00D44C3C" w:rsidRPr="00675182">
              <w:rPr>
                <w:rFonts w:cstheme="minorHAnsi"/>
                <w:b/>
                <w:bCs/>
                <w:i/>
                <w:iCs/>
                <w:noProof/>
                <w:szCs w:val="24"/>
              </w:rPr>
              <w:t>7</w:t>
            </w:r>
            <w:r w:rsidRPr="00675182">
              <w:rPr>
                <w:rFonts w:cstheme="minorHAnsi"/>
                <w:b/>
                <w:bCs/>
                <w:i/>
                <w:iCs/>
                <w:noProof/>
                <w:szCs w:val="24"/>
              </w:rPr>
              <w:t>. attēls. Nomedīto limitēti medījamo dzīvnieku skaita sadalījums pa mēnešiem GNP uzskaites vienībās trīs pēdējo sezonu laikā</w:t>
            </w:r>
          </w:p>
          <w:p w14:paraId="5F57711B" w14:textId="52129B59" w:rsidR="00981137" w:rsidRPr="00675182" w:rsidRDefault="00981137" w:rsidP="00B27D47">
            <w:pPr>
              <w:jc w:val="both"/>
              <w:rPr>
                <w:rFonts w:cstheme="minorHAnsi"/>
                <w:noProof/>
                <w:szCs w:val="24"/>
              </w:rPr>
            </w:pPr>
            <w:r w:rsidRPr="00675182">
              <w:rPr>
                <w:rFonts w:cstheme="minorHAnsi"/>
                <w:noProof/>
                <w:sz w:val="22"/>
                <w:szCs w:val="22"/>
              </w:rPr>
              <w:t>Datu avots: VMD, 2018-2021</w:t>
            </w:r>
          </w:p>
        </w:tc>
      </w:tr>
    </w:tbl>
    <w:p w14:paraId="3A4E924D" w14:textId="77777777" w:rsidR="00940663" w:rsidRPr="00675182" w:rsidRDefault="00940663" w:rsidP="00B27D47">
      <w:pPr>
        <w:jc w:val="both"/>
        <w:rPr>
          <w:rFonts w:cstheme="minorHAnsi"/>
          <w:noProof/>
          <w:color w:val="FF0000"/>
          <w:szCs w:val="24"/>
        </w:rPr>
      </w:pPr>
    </w:p>
    <w:p w14:paraId="34550F3A" w14:textId="354D4821" w:rsidR="00B27D47" w:rsidRPr="00675182" w:rsidRDefault="00B27D47" w:rsidP="00B27D47">
      <w:pPr>
        <w:jc w:val="both"/>
        <w:rPr>
          <w:rFonts w:cstheme="minorHAnsi"/>
          <w:noProof/>
          <w:szCs w:val="24"/>
        </w:rPr>
      </w:pPr>
      <w:r w:rsidRPr="00675182">
        <w:rPr>
          <w:rFonts w:cstheme="minorHAnsi"/>
          <w:noProof/>
          <w:szCs w:val="24"/>
        </w:rPr>
        <w:t>Skaita ziņā visvairāk tiek medīti pārnadži, īpaši meža cūka un stirna. Nedaudz mazāk, bet pietiekami lielā skaitā arī staltbriedis, bet vismazāk alnis (</w:t>
      </w:r>
      <w:r w:rsidR="00940663" w:rsidRPr="00675182">
        <w:rPr>
          <w:rFonts w:cstheme="minorHAnsi"/>
          <w:noProof/>
          <w:szCs w:val="24"/>
        </w:rPr>
        <w:t>skat. 1.3.</w:t>
      </w:r>
      <w:r w:rsidR="00D324A0" w:rsidRPr="00675182">
        <w:rPr>
          <w:rFonts w:cstheme="minorHAnsi"/>
          <w:noProof/>
          <w:szCs w:val="24"/>
        </w:rPr>
        <w:t>3</w:t>
      </w:r>
      <w:r w:rsidR="00D44C3C" w:rsidRPr="00675182">
        <w:rPr>
          <w:rFonts w:cstheme="minorHAnsi"/>
          <w:noProof/>
          <w:szCs w:val="24"/>
        </w:rPr>
        <w:t>8</w:t>
      </w:r>
      <w:r w:rsidR="00940663" w:rsidRPr="00675182">
        <w:rPr>
          <w:rFonts w:cstheme="minorHAnsi"/>
          <w:noProof/>
          <w:szCs w:val="24"/>
        </w:rPr>
        <w:t>. attēlu)</w:t>
      </w:r>
      <w:r w:rsidRPr="00675182">
        <w:rPr>
          <w:rFonts w:cstheme="minorHAnsi"/>
          <w:noProof/>
          <w:szCs w:val="24"/>
        </w:rPr>
        <w:t xml:space="preserve">. </w:t>
      </w:r>
      <w:r w:rsidR="00C66870" w:rsidRPr="00675182">
        <w:rPr>
          <w:rFonts w:cstheme="minorHAnsi"/>
          <w:noProof/>
          <w:szCs w:val="24"/>
        </w:rPr>
        <w:t xml:space="preserve">Nelielā skaitā tiek medīti vilki. </w:t>
      </w:r>
    </w:p>
    <w:p w14:paraId="34D12E0E" w14:textId="3820928B" w:rsidR="00B27D47" w:rsidRPr="00675182" w:rsidRDefault="00B27D47" w:rsidP="00B27D47">
      <w:pPr>
        <w:jc w:val="both"/>
        <w:rPr>
          <w:rFonts w:cstheme="minorHAnsi"/>
          <w:noProof/>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981137" w:rsidRPr="00675182" w14:paraId="02A056C1" w14:textId="77777777" w:rsidTr="00940663">
        <w:tc>
          <w:tcPr>
            <w:tcW w:w="8301" w:type="dxa"/>
          </w:tcPr>
          <w:p w14:paraId="5FCE264E" w14:textId="7F35B43F" w:rsidR="00981137" w:rsidRPr="00675182" w:rsidRDefault="00981137" w:rsidP="00CC17DC">
            <w:pPr>
              <w:keepNext/>
              <w:keepLines/>
              <w:jc w:val="both"/>
              <w:rPr>
                <w:rFonts w:cstheme="minorHAnsi"/>
                <w:noProof/>
                <w:szCs w:val="24"/>
              </w:rPr>
            </w:pPr>
            <w:r w:rsidRPr="00675182">
              <w:rPr>
                <w:rFonts w:cstheme="minorHAnsi"/>
                <w:noProof/>
              </w:rPr>
              <w:drawing>
                <wp:inline distT="0" distB="0" distL="0" distR="0" wp14:anchorId="4A50C774" wp14:editId="18007CA4">
                  <wp:extent cx="5273040" cy="3543300"/>
                  <wp:effectExtent l="0" t="0" r="3810" b="0"/>
                  <wp:docPr id="179" name="Chart 179">
                    <a:extLst xmlns:a="http://schemas.openxmlformats.org/drawingml/2006/main">
                      <a:ext uri="{FF2B5EF4-FFF2-40B4-BE49-F238E27FC236}">
                        <a16:creationId xmlns:a16="http://schemas.microsoft.com/office/drawing/2014/main" id="{09F196AE-6FC1-435E-B975-045DA5F89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c>
      </w:tr>
      <w:tr w:rsidR="00981137" w:rsidRPr="00675182" w14:paraId="422C2549" w14:textId="77777777" w:rsidTr="00940663">
        <w:tc>
          <w:tcPr>
            <w:tcW w:w="8301" w:type="dxa"/>
          </w:tcPr>
          <w:p w14:paraId="4D006733" w14:textId="2CA767A1" w:rsidR="00981137" w:rsidRPr="00675182" w:rsidRDefault="00940663" w:rsidP="00CC17DC">
            <w:pPr>
              <w:keepNext/>
              <w:keepLines/>
              <w:jc w:val="both"/>
              <w:rPr>
                <w:rFonts w:cstheme="minorHAnsi"/>
                <w:b/>
                <w:bCs/>
                <w:i/>
                <w:iCs/>
                <w:noProof/>
                <w:szCs w:val="24"/>
              </w:rPr>
            </w:pPr>
            <w:r w:rsidRPr="00675182">
              <w:rPr>
                <w:rFonts w:cstheme="minorHAnsi"/>
                <w:b/>
                <w:bCs/>
                <w:i/>
                <w:iCs/>
                <w:noProof/>
                <w:szCs w:val="24"/>
              </w:rPr>
              <w:t>1.3.</w:t>
            </w:r>
            <w:r w:rsidR="00D324A0" w:rsidRPr="00675182">
              <w:rPr>
                <w:rFonts w:cstheme="minorHAnsi"/>
                <w:b/>
                <w:bCs/>
                <w:i/>
                <w:iCs/>
                <w:noProof/>
                <w:szCs w:val="24"/>
              </w:rPr>
              <w:t>3</w:t>
            </w:r>
            <w:r w:rsidR="00D44C3C" w:rsidRPr="00675182">
              <w:rPr>
                <w:rFonts w:cstheme="minorHAnsi"/>
                <w:b/>
                <w:bCs/>
                <w:i/>
                <w:iCs/>
                <w:noProof/>
                <w:szCs w:val="24"/>
              </w:rPr>
              <w:t>8</w:t>
            </w:r>
            <w:r w:rsidRPr="00675182">
              <w:rPr>
                <w:rFonts w:cstheme="minorHAnsi"/>
                <w:b/>
                <w:bCs/>
                <w:i/>
                <w:iCs/>
                <w:noProof/>
                <w:szCs w:val="24"/>
              </w:rPr>
              <w:t>.</w:t>
            </w:r>
            <w:r w:rsidR="00981137" w:rsidRPr="00675182">
              <w:rPr>
                <w:rFonts w:cstheme="minorHAnsi"/>
                <w:b/>
                <w:bCs/>
                <w:i/>
                <w:iCs/>
                <w:noProof/>
                <w:szCs w:val="24"/>
              </w:rPr>
              <w:t xml:space="preserve"> attēls. Uzskaitīto (kolonas) un nomedīto (līnijas) pārnadžu sadalījums pa uzskaites vienībām GNP vidēji pēdējo trīs medību sezonu laikā</w:t>
            </w:r>
          </w:p>
          <w:p w14:paraId="5C2CEA7A" w14:textId="7DBB3664" w:rsidR="00981137" w:rsidRPr="00675182" w:rsidRDefault="00940663" w:rsidP="00CC17DC">
            <w:pPr>
              <w:keepNext/>
              <w:keepLines/>
              <w:jc w:val="both"/>
              <w:rPr>
                <w:rFonts w:cstheme="minorHAnsi"/>
                <w:noProof/>
                <w:szCs w:val="24"/>
              </w:rPr>
            </w:pPr>
            <w:r w:rsidRPr="00675182">
              <w:rPr>
                <w:rFonts w:cstheme="minorHAnsi"/>
                <w:noProof/>
                <w:sz w:val="22"/>
                <w:szCs w:val="22"/>
              </w:rPr>
              <w:t>Datu avots: VMD, 2018-2021</w:t>
            </w:r>
          </w:p>
        </w:tc>
      </w:tr>
    </w:tbl>
    <w:p w14:paraId="2D428B7E" w14:textId="69BD9426" w:rsidR="00B27D47" w:rsidRPr="00675182" w:rsidRDefault="00B27D47" w:rsidP="00A31736">
      <w:pPr>
        <w:suppressAutoHyphens w:val="0"/>
        <w:jc w:val="both"/>
        <w:rPr>
          <w:rFonts w:cstheme="minorHAnsi"/>
        </w:rPr>
        <w:sectPr w:rsidR="00B27D47" w:rsidRPr="00675182" w:rsidSect="00CD74B1">
          <w:headerReference w:type="default" r:id="rId108"/>
          <w:pgSz w:w="11905" w:h="16837"/>
          <w:pgMar w:top="1440" w:right="1797" w:bottom="1440"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7"/>
      </w:tblGrid>
      <w:tr w:rsidR="00E45287" w:rsidRPr="00675182" w14:paraId="238D34F8" w14:textId="77777777" w:rsidTr="00D324A0">
        <w:tc>
          <w:tcPr>
            <w:tcW w:w="13947" w:type="dxa"/>
            <w:shd w:val="clear" w:color="auto" w:fill="auto"/>
          </w:tcPr>
          <w:p w14:paraId="437967BA" w14:textId="3D8F7CFF" w:rsidR="00E45287" w:rsidRPr="00675182" w:rsidRDefault="0034187A" w:rsidP="0034187A">
            <w:pPr>
              <w:suppressAutoHyphens w:val="0"/>
              <w:jc w:val="center"/>
              <w:rPr>
                <w:rFonts w:cstheme="minorHAnsi"/>
              </w:rPr>
            </w:pPr>
            <w:r w:rsidRPr="00675182">
              <w:rPr>
                <w:rFonts w:cstheme="minorHAnsi"/>
                <w:noProof/>
              </w:rPr>
              <w:lastRenderedPageBreak/>
              <w:drawing>
                <wp:inline distT="0" distB="0" distL="0" distR="0" wp14:anchorId="42AC25A0" wp14:editId="524FA437">
                  <wp:extent cx="6613717" cy="4680000"/>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613717" cy="4680000"/>
                          </a:xfrm>
                          <a:prstGeom prst="rect">
                            <a:avLst/>
                          </a:prstGeom>
                          <a:noFill/>
                          <a:ln>
                            <a:noFill/>
                          </a:ln>
                        </pic:spPr>
                      </pic:pic>
                    </a:graphicData>
                  </a:graphic>
                </wp:inline>
              </w:drawing>
            </w:r>
          </w:p>
        </w:tc>
      </w:tr>
      <w:tr w:rsidR="00E45287" w:rsidRPr="00675182" w14:paraId="5DA81226" w14:textId="77777777" w:rsidTr="00D324A0">
        <w:trPr>
          <w:trHeight w:val="68"/>
        </w:trPr>
        <w:tc>
          <w:tcPr>
            <w:tcW w:w="13947" w:type="dxa"/>
            <w:shd w:val="clear" w:color="auto" w:fill="auto"/>
          </w:tcPr>
          <w:p w14:paraId="5CC15E9D" w14:textId="704AE549" w:rsidR="00E45287" w:rsidRPr="00675182" w:rsidRDefault="008D4EA9" w:rsidP="002B3341">
            <w:pPr>
              <w:suppressAutoHyphens w:val="0"/>
              <w:rPr>
                <w:rFonts w:cstheme="minorHAnsi"/>
                <w:b/>
                <w:bCs/>
                <w:i/>
                <w:iCs/>
              </w:rPr>
            </w:pPr>
            <w:r w:rsidRPr="00675182">
              <w:rPr>
                <w:rFonts w:cstheme="minorHAnsi"/>
                <w:b/>
                <w:bCs/>
                <w:i/>
                <w:iCs/>
              </w:rPr>
              <w:t>1.3.</w:t>
            </w:r>
            <w:r w:rsidR="00CC17DC" w:rsidRPr="00675182">
              <w:rPr>
                <w:rFonts w:cstheme="minorHAnsi"/>
                <w:b/>
                <w:bCs/>
                <w:i/>
                <w:iCs/>
              </w:rPr>
              <w:t>3</w:t>
            </w:r>
            <w:r w:rsidR="00D44C3C" w:rsidRPr="00675182">
              <w:rPr>
                <w:rFonts w:cstheme="minorHAnsi"/>
                <w:b/>
                <w:bCs/>
                <w:i/>
                <w:iCs/>
              </w:rPr>
              <w:t>9</w:t>
            </w:r>
            <w:r w:rsidR="00E45287" w:rsidRPr="00675182">
              <w:rPr>
                <w:rFonts w:cstheme="minorHAnsi"/>
                <w:b/>
                <w:bCs/>
                <w:i/>
                <w:iCs/>
              </w:rPr>
              <w:t xml:space="preserve">. attēls. </w:t>
            </w:r>
            <w:r w:rsidR="00A31736" w:rsidRPr="00675182">
              <w:rPr>
                <w:rFonts w:cstheme="minorHAnsi"/>
                <w:b/>
                <w:bCs/>
                <w:i/>
                <w:iCs/>
              </w:rPr>
              <w:t>GNP</w:t>
            </w:r>
            <w:r w:rsidR="00E45287" w:rsidRPr="00675182">
              <w:rPr>
                <w:rFonts w:cstheme="minorHAnsi"/>
                <w:b/>
                <w:bCs/>
                <w:i/>
                <w:iCs/>
              </w:rPr>
              <w:t xml:space="preserve"> teritorijā ietilpstoš</w:t>
            </w:r>
            <w:r w:rsidR="00252C42" w:rsidRPr="00675182">
              <w:rPr>
                <w:rFonts w:cstheme="minorHAnsi"/>
                <w:b/>
                <w:bCs/>
                <w:i/>
                <w:iCs/>
              </w:rPr>
              <w:t>ie</w:t>
            </w:r>
            <w:r w:rsidR="00E45287" w:rsidRPr="00675182">
              <w:rPr>
                <w:rFonts w:cstheme="minorHAnsi"/>
                <w:b/>
                <w:bCs/>
                <w:i/>
                <w:iCs/>
              </w:rPr>
              <w:t xml:space="preserve"> medību iecirkņ</w:t>
            </w:r>
            <w:r w:rsidR="00252C42" w:rsidRPr="00675182">
              <w:rPr>
                <w:rFonts w:cstheme="minorHAnsi"/>
                <w:b/>
                <w:bCs/>
                <w:i/>
                <w:iCs/>
              </w:rPr>
              <w:t>i</w:t>
            </w:r>
          </w:p>
          <w:p w14:paraId="7B35E53B" w14:textId="1822B6ED" w:rsidR="008D4EA9" w:rsidRPr="00675182" w:rsidRDefault="008D4EA9" w:rsidP="002B3341">
            <w:pPr>
              <w:suppressAutoHyphens w:val="0"/>
              <w:rPr>
                <w:rFonts w:cstheme="minorHAnsi"/>
                <w:b/>
                <w:bCs/>
                <w:i/>
                <w:iCs/>
              </w:rPr>
            </w:pPr>
            <w:r w:rsidRPr="00675182">
              <w:rPr>
                <w:rFonts w:cstheme="minorHAnsi"/>
                <w:sz w:val="20"/>
                <w:szCs w:val="16"/>
              </w:rPr>
              <w:t>Datu avots: VMD, 2020</w:t>
            </w:r>
          </w:p>
        </w:tc>
      </w:tr>
    </w:tbl>
    <w:p w14:paraId="235853BB" w14:textId="12FC519B" w:rsidR="00D679B1" w:rsidRPr="00675182" w:rsidRDefault="00D679B1" w:rsidP="002B3341">
      <w:pPr>
        <w:suppressAutoHyphens w:val="0"/>
        <w:rPr>
          <w:rFonts w:cstheme="minorHAnsi"/>
        </w:rPr>
        <w:sectPr w:rsidR="00D679B1" w:rsidRPr="00675182" w:rsidSect="00D679B1">
          <w:headerReference w:type="default" r:id="rId110"/>
          <w:pgSz w:w="16837" w:h="11905" w:orient="landscape"/>
          <w:pgMar w:top="1797" w:right="1440" w:bottom="1797" w:left="1440" w:header="720" w:footer="720" w:gutter="0"/>
          <w:cols w:space="720"/>
          <w:docGrid w:linePitch="360"/>
        </w:sectPr>
      </w:pPr>
    </w:p>
    <w:p w14:paraId="5F22876A" w14:textId="77777777" w:rsidR="00AB3AF3" w:rsidRPr="00675182" w:rsidRDefault="00AB3AF3" w:rsidP="002B3341">
      <w:pPr>
        <w:suppressAutoHyphens w:val="0"/>
        <w:rPr>
          <w:rFonts w:cstheme="minorHAnsi"/>
        </w:rPr>
      </w:pPr>
    </w:p>
    <w:p w14:paraId="63BAC09F" w14:textId="4D6EF85B" w:rsidR="00AB3AF3" w:rsidRPr="00675182" w:rsidRDefault="00AB3AF3" w:rsidP="00CC0016">
      <w:pPr>
        <w:pStyle w:val="Heading4"/>
        <w:rPr>
          <w:rFonts w:asciiTheme="minorHAnsi" w:hAnsiTheme="minorHAnsi" w:cstheme="minorHAnsi"/>
        </w:rPr>
      </w:pPr>
      <w:r w:rsidRPr="00675182">
        <w:rPr>
          <w:rFonts w:asciiTheme="minorHAnsi" w:hAnsiTheme="minorHAnsi" w:cstheme="minorHAnsi"/>
        </w:rPr>
        <w:t>1.</w:t>
      </w:r>
      <w:r w:rsidR="000578F4" w:rsidRPr="00675182">
        <w:rPr>
          <w:rFonts w:asciiTheme="minorHAnsi" w:hAnsiTheme="minorHAnsi" w:cstheme="minorHAnsi"/>
        </w:rPr>
        <w:t>3</w:t>
      </w:r>
      <w:r w:rsidRPr="00675182">
        <w:rPr>
          <w:rFonts w:asciiTheme="minorHAnsi" w:hAnsiTheme="minorHAnsi" w:cstheme="minorHAnsi"/>
        </w:rPr>
        <w:t>.3.5. Makšķerēšana</w:t>
      </w:r>
      <w:r w:rsidR="00421BE9" w:rsidRPr="00675182">
        <w:rPr>
          <w:rFonts w:asciiTheme="minorHAnsi" w:hAnsiTheme="minorHAnsi" w:cstheme="minorHAnsi"/>
        </w:rPr>
        <w:t xml:space="preserve"> un zveja</w:t>
      </w:r>
    </w:p>
    <w:p w14:paraId="5B5C3F00" w14:textId="77777777" w:rsidR="001953F8" w:rsidRPr="00675182" w:rsidRDefault="001953F8" w:rsidP="001953F8">
      <w:pPr>
        <w:suppressAutoHyphens w:val="0"/>
        <w:jc w:val="both"/>
        <w:rPr>
          <w:rFonts w:cstheme="minorHAnsi"/>
        </w:rPr>
      </w:pPr>
    </w:p>
    <w:p w14:paraId="488E2B64" w14:textId="77777777" w:rsidR="00C02ED9" w:rsidRPr="00675182" w:rsidRDefault="001953F8" w:rsidP="001953F8">
      <w:pPr>
        <w:suppressAutoHyphens w:val="0"/>
        <w:jc w:val="both"/>
        <w:rPr>
          <w:rFonts w:cstheme="minorHAnsi"/>
        </w:rPr>
      </w:pPr>
      <w:r w:rsidRPr="00675182">
        <w:rPr>
          <w:rFonts w:cstheme="minorHAnsi"/>
        </w:rPr>
        <w:t xml:space="preserve">Makšķerēšana GNP upēs un ezeros tiek veikta saskaņā ar MK </w:t>
      </w:r>
      <w:r w:rsidR="00C02ED9" w:rsidRPr="00675182">
        <w:rPr>
          <w:rFonts w:cstheme="minorHAnsi"/>
        </w:rPr>
        <w:t xml:space="preserve">2015. gada 22. decembra </w:t>
      </w:r>
      <w:r w:rsidRPr="00675182">
        <w:rPr>
          <w:rFonts w:cstheme="minorHAnsi"/>
        </w:rPr>
        <w:t xml:space="preserve">noteikumiem </w:t>
      </w:r>
      <w:r w:rsidR="00C02ED9" w:rsidRPr="00675182">
        <w:rPr>
          <w:rFonts w:cstheme="minorHAnsi"/>
        </w:rPr>
        <w:t>N</w:t>
      </w:r>
      <w:r w:rsidRPr="00675182">
        <w:rPr>
          <w:rFonts w:cstheme="minorHAnsi"/>
        </w:rPr>
        <w:t xml:space="preserve">r. 800 </w:t>
      </w:r>
      <w:r w:rsidR="00C02ED9" w:rsidRPr="00675182">
        <w:rPr>
          <w:rFonts w:cstheme="minorHAnsi"/>
        </w:rPr>
        <w:t>“</w:t>
      </w:r>
      <w:r w:rsidRPr="00675182">
        <w:rPr>
          <w:rFonts w:cstheme="minorHAnsi"/>
        </w:rPr>
        <w:t>Makšķerēšanas, vēžošanas un zemūdens medību noteikumi</w:t>
      </w:r>
      <w:r w:rsidR="00C02ED9" w:rsidRPr="00675182">
        <w:rPr>
          <w:rFonts w:cstheme="minorHAnsi"/>
        </w:rPr>
        <w:t>”</w:t>
      </w:r>
      <w:r w:rsidRPr="00675182">
        <w:rPr>
          <w:rFonts w:cstheme="minorHAnsi"/>
        </w:rPr>
        <w:t>.</w:t>
      </w:r>
    </w:p>
    <w:p w14:paraId="18640385" w14:textId="77777777" w:rsidR="00C02ED9" w:rsidRPr="00675182" w:rsidRDefault="00C02ED9" w:rsidP="001953F8">
      <w:pPr>
        <w:suppressAutoHyphens w:val="0"/>
        <w:jc w:val="both"/>
        <w:rPr>
          <w:rFonts w:cstheme="minorHAnsi"/>
        </w:rPr>
      </w:pPr>
    </w:p>
    <w:p w14:paraId="059D81AE" w14:textId="0E9AD6E2" w:rsidR="00D97C85" w:rsidRPr="00675182" w:rsidRDefault="00A60EC6" w:rsidP="00A60EC6">
      <w:pPr>
        <w:suppressAutoHyphens w:val="0"/>
        <w:jc w:val="both"/>
        <w:rPr>
          <w:rFonts w:cstheme="minorHAnsi"/>
          <w:szCs w:val="24"/>
        </w:rPr>
      </w:pPr>
      <w:r w:rsidRPr="00675182">
        <w:rPr>
          <w:rFonts w:cstheme="minorHAnsi"/>
        </w:rPr>
        <w:t>No 2010. gada līdz 2021. gada 31. decembrim, tika organizēta l</w:t>
      </w:r>
      <w:r w:rsidR="00D77CF7" w:rsidRPr="00675182">
        <w:rPr>
          <w:rFonts w:cstheme="minorHAnsi"/>
          <w:szCs w:val="24"/>
        </w:rPr>
        <w:t>icencētā makšķerēšana Vaidavas ezerā un no tā iztekošās Strīķupes posmā no Vaidavas ezera līdz autoceļa</w:t>
      </w:r>
      <w:r w:rsidRPr="00675182">
        <w:rPr>
          <w:rFonts w:cstheme="minorHAnsi"/>
          <w:szCs w:val="24"/>
        </w:rPr>
        <w:t>m</w:t>
      </w:r>
      <w:r w:rsidR="00D77CF7" w:rsidRPr="00675182">
        <w:rPr>
          <w:rFonts w:cstheme="minorHAnsi"/>
          <w:szCs w:val="24"/>
        </w:rPr>
        <w:t xml:space="preserve"> V192 Vaidava -</w:t>
      </w:r>
      <w:r w:rsidR="00D97C85" w:rsidRPr="00675182">
        <w:rPr>
          <w:rFonts w:cstheme="minorHAnsi"/>
          <w:szCs w:val="24"/>
        </w:rPr>
        <w:t xml:space="preserve"> </w:t>
      </w:r>
      <w:r w:rsidR="00D77CF7" w:rsidRPr="00675182">
        <w:rPr>
          <w:rFonts w:cstheme="minorHAnsi"/>
          <w:szCs w:val="24"/>
        </w:rPr>
        <w:t xml:space="preserve">Rubene. </w:t>
      </w:r>
    </w:p>
    <w:p w14:paraId="1A91AB40" w14:textId="77777777" w:rsidR="00D97C85" w:rsidRPr="00675182" w:rsidRDefault="00D97C85" w:rsidP="001953F8">
      <w:pPr>
        <w:suppressAutoHyphens w:val="0"/>
        <w:jc w:val="both"/>
        <w:rPr>
          <w:rFonts w:cstheme="minorHAnsi"/>
          <w:szCs w:val="24"/>
        </w:rPr>
      </w:pPr>
    </w:p>
    <w:p w14:paraId="46C41DB3" w14:textId="344E4182" w:rsidR="00D77CF7" w:rsidRPr="00675182" w:rsidRDefault="00D97C85" w:rsidP="001953F8">
      <w:pPr>
        <w:suppressAutoHyphens w:val="0"/>
        <w:jc w:val="both"/>
        <w:rPr>
          <w:rFonts w:cstheme="minorHAnsi"/>
        </w:rPr>
      </w:pPr>
      <w:r w:rsidRPr="00675182">
        <w:rPr>
          <w:rFonts w:cstheme="minorHAnsi"/>
          <w:szCs w:val="24"/>
        </w:rPr>
        <w:t>Licencēto makšķerēšanu Vaidavas ezerā, pamatojoties uz Kocēnu novada pašvaldības pilnvarojuma līgumu no 02.12.2010.</w:t>
      </w:r>
      <w:r w:rsidR="00421BE9" w:rsidRPr="00675182">
        <w:rPr>
          <w:rFonts w:cstheme="minorHAnsi"/>
          <w:szCs w:val="24"/>
        </w:rPr>
        <w:t>,</w:t>
      </w:r>
      <w:r w:rsidRPr="00675182">
        <w:rPr>
          <w:rFonts w:cstheme="minorHAnsi"/>
          <w:szCs w:val="24"/>
        </w:rPr>
        <w:t xml:space="preserve"> organizē biedrība “Vaidavas ezera pārvalde”, kurai atbilstoši, nolikumā sniegtajai informācijai, ir jāorganizē un jāīsteno regulāru vērtīgo zivju resursu atjaunošanu un pavairošanu Vaidavas ezerā. </w:t>
      </w:r>
      <w:r w:rsidRPr="00675182">
        <w:rPr>
          <w:rFonts w:cstheme="minorHAnsi"/>
        </w:rPr>
        <w:t>Saskaņā ar BIOR datiem par lomu uzskaiti licencētajā makšķerēšanā Vaidavas ezerā, 2011.- 201</w:t>
      </w:r>
      <w:r w:rsidR="00421BE9" w:rsidRPr="00675182">
        <w:rPr>
          <w:rFonts w:cstheme="minorHAnsi"/>
        </w:rPr>
        <w:t>8</w:t>
      </w:r>
      <w:r w:rsidRPr="00675182">
        <w:rPr>
          <w:rFonts w:cstheme="minorHAnsi"/>
        </w:rPr>
        <w:t>. gadā ezerā iegūtas 1,8 – 5,4 t zivju.</w:t>
      </w:r>
    </w:p>
    <w:p w14:paraId="3933D837" w14:textId="77777777" w:rsidR="00A60EC6" w:rsidRPr="00675182" w:rsidRDefault="00A60EC6" w:rsidP="001953F8">
      <w:pPr>
        <w:suppressAutoHyphens w:val="0"/>
        <w:jc w:val="both"/>
        <w:rPr>
          <w:rFonts w:cstheme="minorHAnsi"/>
          <w:szCs w:val="24"/>
        </w:rPr>
      </w:pPr>
    </w:p>
    <w:p w14:paraId="65C25F62" w14:textId="14FA9478" w:rsidR="00D42651" w:rsidRPr="00675182" w:rsidRDefault="00D42651" w:rsidP="00D42651">
      <w:pPr>
        <w:suppressAutoHyphens w:val="0"/>
        <w:jc w:val="both"/>
        <w:rPr>
          <w:rFonts w:cstheme="minorHAnsi"/>
        </w:rPr>
      </w:pPr>
      <w:r w:rsidRPr="00675182">
        <w:rPr>
          <w:rFonts w:cstheme="minorHAnsi"/>
        </w:rPr>
        <w:t xml:space="preserve">Gaujas un Braslas posmos ir ieviesta licencētā makšķerēšana. </w:t>
      </w:r>
    </w:p>
    <w:p w14:paraId="03FEA2FB" w14:textId="77777777" w:rsidR="00D97C85" w:rsidRPr="00675182" w:rsidRDefault="00D97C85" w:rsidP="001953F8">
      <w:pPr>
        <w:suppressAutoHyphens w:val="0"/>
        <w:jc w:val="both"/>
        <w:rPr>
          <w:rFonts w:cstheme="minorHAnsi"/>
        </w:rPr>
      </w:pPr>
    </w:p>
    <w:p w14:paraId="664E4E1C" w14:textId="5BB2D254" w:rsidR="00E86725" w:rsidRPr="00675182" w:rsidRDefault="00421BE9" w:rsidP="001953F8">
      <w:pPr>
        <w:suppressAutoHyphens w:val="0"/>
        <w:jc w:val="both"/>
        <w:rPr>
          <w:rFonts w:cstheme="minorHAnsi"/>
        </w:rPr>
      </w:pPr>
      <w:r w:rsidRPr="00675182">
        <w:rPr>
          <w:rFonts w:cstheme="minorHAnsi"/>
        </w:rPr>
        <w:t>Sākot no 20</w:t>
      </w:r>
      <w:r w:rsidR="00756157" w:rsidRPr="00675182">
        <w:rPr>
          <w:rFonts w:cstheme="minorHAnsi"/>
        </w:rPr>
        <w:t>19</w:t>
      </w:r>
      <w:r w:rsidRPr="00675182">
        <w:rPr>
          <w:rFonts w:cstheme="minorHAnsi"/>
        </w:rPr>
        <w:t xml:space="preserve">. gada </w:t>
      </w:r>
      <w:r w:rsidR="00D1013D" w:rsidRPr="00675182">
        <w:rPr>
          <w:rFonts w:cstheme="minorHAnsi"/>
        </w:rPr>
        <w:t>oktobri</w:t>
      </w:r>
      <w:r w:rsidR="00756157" w:rsidRPr="00675182">
        <w:rPr>
          <w:rFonts w:cstheme="minorHAnsi"/>
        </w:rPr>
        <w:t xml:space="preserve"> l</w:t>
      </w:r>
      <w:r w:rsidR="00932F2E" w:rsidRPr="00675182">
        <w:rPr>
          <w:rFonts w:cstheme="minorHAnsi"/>
        </w:rPr>
        <w:t xml:space="preserve">ašveidīgo zivju </w:t>
      </w:r>
      <w:r w:rsidR="00756157" w:rsidRPr="00675182">
        <w:rPr>
          <w:rFonts w:cstheme="minorHAnsi"/>
        </w:rPr>
        <w:t>(</w:t>
      </w:r>
      <w:r w:rsidR="00932F2E" w:rsidRPr="00675182">
        <w:rPr>
          <w:rFonts w:cstheme="minorHAnsi"/>
        </w:rPr>
        <w:t>laša un taimiņa</w:t>
      </w:r>
      <w:r w:rsidR="00756157" w:rsidRPr="00675182">
        <w:rPr>
          <w:rFonts w:cstheme="minorHAnsi"/>
        </w:rPr>
        <w:t>)</w:t>
      </w:r>
      <w:r w:rsidR="00932F2E" w:rsidRPr="00675182">
        <w:rPr>
          <w:rFonts w:cstheme="minorHAnsi"/>
        </w:rPr>
        <w:t xml:space="preserve"> licencētā makšķerēšana </w:t>
      </w:r>
      <w:r w:rsidR="00756157" w:rsidRPr="00675182">
        <w:rPr>
          <w:rFonts w:cstheme="minorHAnsi"/>
        </w:rPr>
        <w:t xml:space="preserve">norisinās </w:t>
      </w:r>
      <w:r w:rsidR="00932F2E" w:rsidRPr="00675182">
        <w:rPr>
          <w:rFonts w:cstheme="minorHAnsi"/>
        </w:rPr>
        <w:t xml:space="preserve">Gaujā </w:t>
      </w:r>
      <w:r w:rsidR="00756157" w:rsidRPr="00675182">
        <w:rPr>
          <w:rFonts w:cstheme="minorHAnsi"/>
        </w:rPr>
        <w:t>(sākot no autoceļa A3 Inčukalns – Valmiera – Igaunijas robež</w:t>
      </w:r>
      <w:r w:rsidR="00D1013D" w:rsidRPr="00675182">
        <w:rPr>
          <w:rFonts w:cstheme="minorHAnsi"/>
        </w:rPr>
        <w:t>a</w:t>
      </w:r>
      <w:r w:rsidR="00756157" w:rsidRPr="00675182">
        <w:rPr>
          <w:rFonts w:cstheme="minorHAnsi"/>
        </w:rPr>
        <w:t xml:space="preserve"> tilta pār Gauju augšup pret straumi līdz </w:t>
      </w:r>
      <w:r w:rsidR="00D1013D" w:rsidRPr="00675182">
        <w:rPr>
          <w:rFonts w:cstheme="minorHAnsi"/>
        </w:rPr>
        <w:t xml:space="preserve">autoceļam </w:t>
      </w:r>
      <w:r w:rsidR="00756157" w:rsidRPr="00675182">
        <w:rPr>
          <w:rFonts w:cstheme="minorHAnsi"/>
        </w:rPr>
        <w:t xml:space="preserve">P18 </w:t>
      </w:r>
      <w:r w:rsidR="00D1013D" w:rsidRPr="00675182">
        <w:rPr>
          <w:rFonts w:cstheme="minorHAnsi"/>
        </w:rPr>
        <w:t xml:space="preserve">Valmiera—Smiltene </w:t>
      </w:r>
      <w:r w:rsidR="00551DC7" w:rsidRPr="00675182">
        <w:rPr>
          <w:rFonts w:cstheme="minorHAnsi"/>
        </w:rPr>
        <w:t>Valmieras novadā</w:t>
      </w:r>
      <w:r w:rsidR="00D1013D" w:rsidRPr="00675182">
        <w:rPr>
          <w:rFonts w:cstheme="minorHAnsi"/>
        </w:rPr>
        <w:t xml:space="preserve">. Kārtību, kādā norisinās licencētā makšķerēšana Gaujā un Braslā, nosaka Zemkopības ministrijā 2019. gada 2. oktobrī saskaņotais nolikums “Nolikums par lašveidīgo zivju licencēto makšķerēšanu Gaujā un Braslā”. Atsevišķas pašvaldības ir izdevušas saistošos noteikumus, pamatojoties uz saskaņoto nolikumu. </w:t>
      </w:r>
      <w:r w:rsidR="00D1013D" w:rsidRPr="00675182">
        <w:rPr>
          <w:rFonts w:cstheme="minorHAnsi"/>
          <w:szCs w:val="24"/>
        </w:rPr>
        <w:t>Licencēto makšķerēšanu Gaujā un Braslā organizē biedrība</w:t>
      </w:r>
      <w:r w:rsidR="00D1013D" w:rsidRPr="00675182">
        <w:rPr>
          <w:rFonts w:cstheme="minorHAnsi"/>
        </w:rPr>
        <w:t xml:space="preserve"> “Gaujas ilgtspējīgas attīstības biedrība”.</w:t>
      </w:r>
      <w:r w:rsidR="00E86725" w:rsidRPr="00675182">
        <w:rPr>
          <w:rFonts w:cstheme="minorHAnsi"/>
        </w:rPr>
        <w:t xml:space="preserve"> Licencētā makšķerēšana Gaujā un Braslā notiek saskaņā ar noteikumiem MK 2015. gada 22. decembra noteikumiem Nr. 800 “Makšķerēšanas, vēžošanas un zemūdens medību noteikumi” ar papildus nosacījumiem, t. sk., licencētās makšķerēšanas darbības periodiem, makšķerēšanas veidiem, kā arī lomiem, ko ir atļauts paturēt. </w:t>
      </w:r>
      <w:r w:rsidR="00E86725" w:rsidRPr="00675182">
        <w:rPr>
          <w:rFonts w:cstheme="minorHAnsi"/>
          <w:szCs w:val="24"/>
        </w:rPr>
        <w:t>Saskaņā ar nolikumā un saistošajos noteikumos norādīto informāciju, biedrībai</w:t>
      </w:r>
      <w:r w:rsidR="00E86725" w:rsidRPr="00675182">
        <w:rPr>
          <w:rFonts w:cstheme="minorHAnsi"/>
        </w:rPr>
        <w:t xml:space="preserve"> “Gaujas ilgtspējīgas attīstības biedrība” ir </w:t>
      </w:r>
      <w:r w:rsidR="00D005AC" w:rsidRPr="00675182">
        <w:rPr>
          <w:rFonts w:cstheme="minorHAnsi"/>
        </w:rPr>
        <w:t>jā</w:t>
      </w:r>
      <w:r w:rsidR="00E86725" w:rsidRPr="00675182">
        <w:rPr>
          <w:rFonts w:cstheme="minorHAnsi"/>
        </w:rPr>
        <w:t xml:space="preserve">organizē </w:t>
      </w:r>
      <w:r w:rsidR="00D005AC" w:rsidRPr="00675182">
        <w:rPr>
          <w:rFonts w:cstheme="minorHAnsi"/>
        </w:rPr>
        <w:t>un</w:t>
      </w:r>
      <w:r w:rsidR="00E86725" w:rsidRPr="00675182">
        <w:rPr>
          <w:rFonts w:cstheme="minorHAnsi"/>
        </w:rPr>
        <w:t xml:space="preserve"> </w:t>
      </w:r>
      <w:r w:rsidR="00D005AC" w:rsidRPr="00675182">
        <w:rPr>
          <w:rFonts w:cstheme="minorHAnsi"/>
        </w:rPr>
        <w:t>jā</w:t>
      </w:r>
      <w:r w:rsidR="00E86725" w:rsidRPr="00675182">
        <w:rPr>
          <w:rFonts w:cstheme="minorHAnsi"/>
        </w:rPr>
        <w:t>veic zivju dzīvotņu un nārsta vietu apsaimniekošanas pasākum</w:t>
      </w:r>
      <w:r w:rsidR="00D005AC" w:rsidRPr="00675182">
        <w:rPr>
          <w:rFonts w:cstheme="minorHAnsi"/>
        </w:rPr>
        <w:t>i</w:t>
      </w:r>
      <w:r w:rsidR="00E86725" w:rsidRPr="00675182">
        <w:rPr>
          <w:rFonts w:cstheme="minorHAnsi"/>
        </w:rPr>
        <w:t>, dabīgo aizsprostu likvidēšan</w:t>
      </w:r>
      <w:r w:rsidR="00D005AC" w:rsidRPr="00675182">
        <w:rPr>
          <w:rFonts w:cstheme="minorHAnsi"/>
        </w:rPr>
        <w:t>a</w:t>
      </w:r>
      <w:r w:rsidR="00E86725" w:rsidRPr="00675182">
        <w:rPr>
          <w:rFonts w:cstheme="minorHAnsi"/>
        </w:rPr>
        <w:t xml:space="preserve"> (koku sanesumi, bebru radītie aizsprosti u.tml</w:t>
      </w:r>
      <w:r w:rsidR="004E0AB8">
        <w:rPr>
          <w:rFonts w:cstheme="minorHAnsi"/>
        </w:rPr>
        <w:t>.</w:t>
      </w:r>
      <w:r w:rsidR="00E86725" w:rsidRPr="00675182">
        <w:rPr>
          <w:rFonts w:cstheme="minorHAnsi"/>
        </w:rPr>
        <w:t>), zivju migrācijas ceļu atbrīvošan</w:t>
      </w:r>
      <w:r w:rsidR="00D005AC" w:rsidRPr="00675182">
        <w:rPr>
          <w:rFonts w:cstheme="minorHAnsi"/>
        </w:rPr>
        <w:t>a</w:t>
      </w:r>
      <w:r w:rsidR="00E86725" w:rsidRPr="00675182">
        <w:rPr>
          <w:rFonts w:cstheme="minorHAnsi"/>
        </w:rPr>
        <w:t xml:space="preserve"> u.tml., sekmējot Gaujas upes baseina ekosistēmas saglabāšanu un uzlabošanu, t.sk. mazo pietekupju tīrīšanu</w:t>
      </w:r>
      <w:r w:rsidR="00D005AC" w:rsidRPr="00675182">
        <w:rPr>
          <w:rFonts w:cstheme="minorHAnsi"/>
        </w:rPr>
        <w:t xml:space="preserve">. </w:t>
      </w:r>
    </w:p>
    <w:p w14:paraId="62B0CC6E" w14:textId="77777777" w:rsidR="000A2397" w:rsidRPr="00675182" w:rsidRDefault="000A2397" w:rsidP="001953F8">
      <w:pPr>
        <w:suppressAutoHyphens w:val="0"/>
        <w:jc w:val="both"/>
        <w:rPr>
          <w:rFonts w:cstheme="minorHAnsi"/>
        </w:rPr>
      </w:pPr>
    </w:p>
    <w:p w14:paraId="42BA35B7" w14:textId="0AF43FDD" w:rsidR="00AA2138" w:rsidRPr="00675182" w:rsidRDefault="00D1013D" w:rsidP="00E86725">
      <w:pPr>
        <w:suppressAutoHyphens w:val="0"/>
        <w:jc w:val="both"/>
        <w:rPr>
          <w:rFonts w:cstheme="minorHAnsi"/>
        </w:rPr>
      </w:pPr>
      <w:r w:rsidRPr="00675182">
        <w:rPr>
          <w:rFonts w:cstheme="minorHAnsi"/>
        </w:rPr>
        <w:t xml:space="preserve">GNP teritorijā ir atļauta rūpnieciskā zveja, tomēr nav pieejami dati par nozvejas apjomiem. </w:t>
      </w:r>
    </w:p>
    <w:p w14:paraId="5742B1EA" w14:textId="34B0336D" w:rsidR="00D1013D" w:rsidRPr="00675182" w:rsidRDefault="00D1013D" w:rsidP="00E86725">
      <w:pPr>
        <w:suppressAutoHyphens w:val="0"/>
        <w:jc w:val="both"/>
        <w:rPr>
          <w:rFonts w:cstheme="minorHAnsi"/>
        </w:rPr>
      </w:pPr>
    </w:p>
    <w:p w14:paraId="66B1B922" w14:textId="1E8C21EE" w:rsidR="00D1013D" w:rsidRPr="00675182" w:rsidRDefault="00D1013D" w:rsidP="00E86725">
      <w:pPr>
        <w:suppressAutoHyphens w:val="0"/>
        <w:jc w:val="both"/>
        <w:rPr>
          <w:rFonts w:cstheme="minorHAnsi"/>
        </w:rPr>
      </w:pPr>
      <w:r w:rsidRPr="00675182">
        <w:rPr>
          <w:rFonts w:cstheme="minorHAnsi"/>
        </w:rPr>
        <w:t xml:space="preserve">Saskaņā ar MK 2014. gada 23. decembra noteikumiem Nr. 796 “Noteikumi par rūpnieciskās zvejas limitiem un to izmantošanas kārtību iekšējos ūdeņos” atsevišķs zivju tīklu limits noteikts </w:t>
      </w:r>
      <w:r w:rsidR="00E86725" w:rsidRPr="00675182">
        <w:rPr>
          <w:rFonts w:cstheme="minorHAnsi"/>
        </w:rPr>
        <w:t xml:space="preserve">Lielajā Bauža ezerā </w:t>
      </w:r>
      <w:r w:rsidRPr="00675182">
        <w:rPr>
          <w:rFonts w:cstheme="minorHAnsi"/>
        </w:rPr>
        <w:t>(</w:t>
      </w:r>
      <w:r w:rsidR="00E86725" w:rsidRPr="00675182">
        <w:rPr>
          <w:rFonts w:cstheme="minorHAnsi"/>
        </w:rPr>
        <w:t>350</w:t>
      </w:r>
      <w:r w:rsidRPr="00675182">
        <w:rPr>
          <w:rFonts w:cstheme="minorHAnsi"/>
        </w:rPr>
        <w:t xml:space="preserve"> m)</w:t>
      </w:r>
      <w:r w:rsidR="00E86725" w:rsidRPr="00675182">
        <w:rPr>
          <w:rFonts w:cstheme="minorHAnsi"/>
        </w:rPr>
        <w:t>, Mazajā Bauža</w:t>
      </w:r>
      <w:r w:rsidRPr="00675182">
        <w:rPr>
          <w:rFonts w:cstheme="minorHAnsi"/>
        </w:rPr>
        <w:t xml:space="preserve"> ezerā (</w:t>
      </w:r>
      <w:r w:rsidR="00E86725" w:rsidRPr="00675182">
        <w:rPr>
          <w:rFonts w:cstheme="minorHAnsi"/>
        </w:rPr>
        <w:t>190</w:t>
      </w:r>
      <w:r w:rsidRPr="00675182">
        <w:rPr>
          <w:rFonts w:cstheme="minorHAnsi"/>
        </w:rPr>
        <w:t xml:space="preserve"> m)</w:t>
      </w:r>
      <w:r w:rsidR="00E86725" w:rsidRPr="00675182">
        <w:rPr>
          <w:rFonts w:cstheme="minorHAnsi"/>
        </w:rPr>
        <w:t xml:space="preserve"> un Raiskuma ezerā (450 m)</w:t>
      </w:r>
      <w:r w:rsidRPr="00675182">
        <w:rPr>
          <w:rFonts w:cstheme="minorHAnsi"/>
        </w:rPr>
        <w:t>. Pārējos ezeros paredzēts 75 m zivju tīklu limits katrā</w:t>
      </w:r>
      <w:r w:rsidR="00E86725" w:rsidRPr="00675182">
        <w:rPr>
          <w:rFonts w:cstheme="minorHAnsi"/>
        </w:rPr>
        <w:t xml:space="preserve">. </w:t>
      </w:r>
    </w:p>
    <w:p w14:paraId="00FE7B3C" w14:textId="3DCA631F" w:rsidR="006A37B5" w:rsidRPr="00675182" w:rsidRDefault="006A37B5" w:rsidP="00E86725">
      <w:pPr>
        <w:suppressAutoHyphens w:val="0"/>
        <w:jc w:val="both"/>
        <w:rPr>
          <w:rFonts w:cstheme="minorHAnsi"/>
        </w:rPr>
      </w:pPr>
    </w:p>
    <w:p w14:paraId="18496A31" w14:textId="22A5F499" w:rsidR="006A37B5" w:rsidRPr="00675182" w:rsidRDefault="006A37B5" w:rsidP="00E86725">
      <w:pPr>
        <w:suppressAutoHyphens w:val="0"/>
        <w:jc w:val="both"/>
        <w:rPr>
          <w:rFonts w:cstheme="minorHAnsi"/>
        </w:rPr>
      </w:pPr>
      <w:r w:rsidRPr="00675182">
        <w:rPr>
          <w:rFonts w:cstheme="minorHAnsi"/>
        </w:rPr>
        <w:t>Zivju audzētavas “Brasla” vajadzībām Braslas upē audzētavas teritorijā tiek veikta taimiņa un upes nēģa vaislinieku zveja</w:t>
      </w:r>
      <w:r w:rsidR="007C641D">
        <w:rPr>
          <w:rFonts w:cstheme="minorHAnsi"/>
        </w:rPr>
        <w:t>.</w:t>
      </w:r>
    </w:p>
    <w:p w14:paraId="59F4D7A9" w14:textId="1B9FF7E7" w:rsidR="00AA2138" w:rsidRPr="00675182" w:rsidRDefault="00AA2138" w:rsidP="002B3341">
      <w:pPr>
        <w:suppressAutoHyphens w:val="0"/>
        <w:rPr>
          <w:rFonts w:cstheme="minorHAnsi"/>
        </w:rPr>
      </w:pPr>
    </w:p>
    <w:p w14:paraId="163D59BC" w14:textId="444783A4" w:rsidR="001F4D4F" w:rsidRPr="00675182" w:rsidRDefault="001F4D4F" w:rsidP="001F4D4F">
      <w:pPr>
        <w:suppressAutoHyphens w:val="0"/>
        <w:jc w:val="both"/>
        <w:rPr>
          <w:rFonts w:cstheme="minorHAnsi"/>
          <w:szCs w:val="24"/>
        </w:rPr>
      </w:pPr>
      <w:r w:rsidRPr="00675182">
        <w:rPr>
          <w:rFonts w:cstheme="minorHAnsi"/>
          <w:szCs w:val="24"/>
        </w:rPr>
        <w:t xml:space="preserve">Makšķerēšanas kartes publiskajiem ūdeņiem ik gadu iegādājas ap ~150000. </w:t>
      </w:r>
    </w:p>
    <w:p w14:paraId="258B831A" w14:textId="74313EFB" w:rsidR="006A37B5" w:rsidRPr="00675182" w:rsidRDefault="006A37B5" w:rsidP="001F4D4F">
      <w:pPr>
        <w:suppressAutoHyphens w:val="0"/>
        <w:jc w:val="both"/>
        <w:rPr>
          <w:rFonts w:cstheme="minorHAnsi"/>
          <w:szCs w:val="24"/>
        </w:rPr>
      </w:pPr>
    </w:p>
    <w:p w14:paraId="61C1B967" w14:textId="3936D687" w:rsidR="006A37B5" w:rsidRPr="00675182" w:rsidRDefault="006A37B5" w:rsidP="006A37B5">
      <w:pPr>
        <w:suppressAutoHyphens w:val="0"/>
        <w:jc w:val="both"/>
        <w:rPr>
          <w:rFonts w:cstheme="minorHAnsi"/>
          <w:szCs w:val="24"/>
        </w:rPr>
      </w:pPr>
      <w:r w:rsidRPr="00675182">
        <w:rPr>
          <w:rFonts w:cstheme="minorHAnsi"/>
          <w:szCs w:val="24"/>
        </w:rPr>
        <w:t>GNP teritorijā atrodas divas valsts zivjaudzētavas “Brasla” un “Kārļi”</w:t>
      </w:r>
      <w:r w:rsidR="007E5C9B" w:rsidRPr="00675182">
        <w:rPr>
          <w:rFonts w:cstheme="minorHAnsi"/>
          <w:szCs w:val="24"/>
        </w:rPr>
        <w:t xml:space="preserve">, kā arī 2 </w:t>
      </w:r>
      <w:r w:rsidRPr="00675182">
        <w:rPr>
          <w:rFonts w:cstheme="minorHAnsi"/>
          <w:szCs w:val="24"/>
        </w:rPr>
        <w:t>privāt</w:t>
      </w:r>
      <w:r w:rsidR="007E5C9B" w:rsidRPr="00675182">
        <w:rPr>
          <w:rFonts w:cstheme="minorHAnsi"/>
          <w:szCs w:val="24"/>
        </w:rPr>
        <w:t>ās</w:t>
      </w:r>
      <w:r w:rsidRPr="00675182">
        <w:rPr>
          <w:rFonts w:cstheme="minorHAnsi"/>
          <w:szCs w:val="24"/>
        </w:rPr>
        <w:t xml:space="preserve"> audzētava</w:t>
      </w:r>
      <w:r w:rsidR="007E5C9B" w:rsidRPr="00675182">
        <w:rPr>
          <w:rFonts w:cstheme="minorHAnsi"/>
          <w:szCs w:val="24"/>
        </w:rPr>
        <w:t>s</w:t>
      </w:r>
      <w:r w:rsidRPr="00675182">
        <w:rPr>
          <w:rFonts w:cstheme="minorHAnsi"/>
          <w:szCs w:val="24"/>
        </w:rPr>
        <w:t xml:space="preserve"> </w:t>
      </w:r>
      <w:r w:rsidR="007E5C9B" w:rsidRPr="00675182">
        <w:rPr>
          <w:rFonts w:cstheme="minorHAnsi"/>
          <w:szCs w:val="24"/>
        </w:rPr>
        <w:t xml:space="preserve">– </w:t>
      </w:r>
      <w:r w:rsidR="000E396F" w:rsidRPr="00675182">
        <w:rPr>
          <w:rFonts w:cstheme="minorHAnsi"/>
          <w:szCs w:val="24"/>
        </w:rPr>
        <w:t>“</w:t>
      </w:r>
      <w:r w:rsidRPr="00675182">
        <w:rPr>
          <w:rFonts w:cstheme="minorHAnsi"/>
          <w:szCs w:val="24"/>
        </w:rPr>
        <w:t>Sillakas</w:t>
      </w:r>
      <w:r w:rsidR="000E396F" w:rsidRPr="00675182">
        <w:rPr>
          <w:rFonts w:cstheme="minorHAnsi"/>
          <w:szCs w:val="24"/>
        </w:rPr>
        <w:t>”</w:t>
      </w:r>
      <w:r w:rsidRPr="00675182">
        <w:rPr>
          <w:rFonts w:cstheme="minorHAnsi"/>
          <w:szCs w:val="24"/>
        </w:rPr>
        <w:t xml:space="preserve"> uz Raunas</w:t>
      </w:r>
      <w:r w:rsidR="007E5C9B" w:rsidRPr="00675182">
        <w:rPr>
          <w:rFonts w:cstheme="minorHAnsi"/>
          <w:szCs w:val="24"/>
        </w:rPr>
        <w:t xml:space="preserve">, kas specializējas varavīksnes foreļu audzēšanā, kā arī </w:t>
      </w:r>
      <w:r w:rsidR="00EE5CA7" w:rsidRPr="00675182">
        <w:rPr>
          <w:rFonts w:cstheme="minorHAnsi"/>
        </w:rPr>
        <w:t>Pūricas upes Milmēnu zemnieku saimniecība “Ūdensrozes”.</w:t>
      </w:r>
    </w:p>
    <w:p w14:paraId="1D35C519" w14:textId="77777777" w:rsidR="00940663" w:rsidRPr="00675182" w:rsidRDefault="00940663" w:rsidP="006A37B5">
      <w:pPr>
        <w:suppressAutoHyphens w:val="0"/>
        <w:jc w:val="both"/>
        <w:rPr>
          <w:rFonts w:cstheme="minorHAnsi"/>
          <w:szCs w:val="24"/>
        </w:rPr>
      </w:pPr>
    </w:p>
    <w:p w14:paraId="157D24D1" w14:textId="77777777" w:rsidR="00432C7D" w:rsidRPr="00675182" w:rsidRDefault="00432C7D" w:rsidP="00432C7D">
      <w:pPr>
        <w:pStyle w:val="Heading3"/>
        <w:keepNext w:val="0"/>
        <w:numPr>
          <w:ilvl w:val="0"/>
          <w:numId w:val="0"/>
        </w:numPr>
        <w:tabs>
          <w:tab w:val="left" w:pos="720"/>
        </w:tabs>
        <w:rPr>
          <w:rFonts w:cstheme="minorHAnsi"/>
          <w:b/>
          <w:szCs w:val="24"/>
          <w:lang w:val="lv-LV"/>
        </w:rPr>
      </w:pPr>
      <w:bookmarkStart w:id="33" w:name="_Toc116938396"/>
      <w:r w:rsidRPr="00675182">
        <w:rPr>
          <w:rFonts w:cstheme="minorHAnsi"/>
          <w:b/>
          <w:szCs w:val="24"/>
          <w:lang w:val="lv-LV"/>
        </w:rPr>
        <w:t>1.3.4. Ekosistēmu pakalpojumu novērtēšana</w:t>
      </w:r>
      <w:bookmarkEnd w:id="33"/>
      <w:r w:rsidRPr="00675182">
        <w:rPr>
          <w:rFonts w:cstheme="minorHAnsi"/>
          <w:b/>
          <w:szCs w:val="24"/>
          <w:lang w:val="lv-LV"/>
        </w:rPr>
        <w:t xml:space="preserve"> </w:t>
      </w:r>
    </w:p>
    <w:p w14:paraId="56320CDD" w14:textId="77777777" w:rsidR="00432C7D" w:rsidRPr="00675182" w:rsidRDefault="00432C7D" w:rsidP="006C7C24">
      <w:pPr>
        <w:suppressAutoHyphens w:val="0"/>
        <w:jc w:val="both"/>
        <w:rPr>
          <w:rFonts w:cstheme="minorHAnsi"/>
        </w:rPr>
      </w:pPr>
    </w:p>
    <w:p w14:paraId="3729B611" w14:textId="77777777" w:rsidR="00C12C83" w:rsidRPr="00675182" w:rsidRDefault="00C12C83" w:rsidP="00C12C83">
      <w:pPr>
        <w:jc w:val="both"/>
        <w:rPr>
          <w:rStyle w:val="SubtleEmphasis"/>
          <w:rFonts w:eastAsiaTheme="minorHAnsi" w:cstheme="minorBidi"/>
          <w:sz w:val="22"/>
          <w:lang w:eastAsia="en-US"/>
        </w:rPr>
      </w:pPr>
      <w:r w:rsidRPr="00675182">
        <w:rPr>
          <w:rStyle w:val="SubtleEmphasis"/>
        </w:rPr>
        <w:t>Ekosistēmu pakalpojumu novērtēšanas metodikas teorētiskais pamatojums</w:t>
      </w:r>
    </w:p>
    <w:p w14:paraId="1A8EC5AB" w14:textId="653256FE" w:rsidR="00C12C83" w:rsidRPr="00675182" w:rsidRDefault="00C12C83" w:rsidP="00C12C83">
      <w:pPr>
        <w:jc w:val="both"/>
        <w:rPr>
          <w:rFonts w:ascii="Calibri" w:hAnsi="Calibri"/>
        </w:rPr>
      </w:pPr>
      <w:r w:rsidRPr="00675182">
        <w:rPr>
          <w:rFonts w:ascii="Calibri" w:hAnsi="Calibri"/>
        </w:rPr>
        <w:t>Ekosistēmu pakalpojumi (EP) ir ekosistēmu procesi, kas tiešā vai netiešā veidā atbalsta cilvēku labklājību</w:t>
      </w:r>
      <w:r w:rsidRPr="00675182">
        <w:rPr>
          <w:rFonts w:ascii="Calibri" w:hAnsi="Calibri"/>
          <w:vertAlign w:val="superscript"/>
        </w:rPr>
        <w:footnoteReference w:id="8"/>
      </w:r>
      <w:r w:rsidRPr="00675182">
        <w:rPr>
          <w:rFonts w:ascii="Calibri" w:hAnsi="Calibri"/>
        </w:rPr>
        <w:t>. Tradicionālā ekonomikas teorija neņem vērā ārējo vides ietekmi, kas rodas praktiski no jebkādās cilvēka darbības un lielākā daļa ekosistēmu preču un pakalpojumu (ieskaitot tādus, ka svaigais gaiss, tīrs ūdens, apputeksnēšana un sēklu izplatīšana) tiek uzskatīta par pašsaprotamiem</w:t>
      </w:r>
      <w:r w:rsidRPr="00675182">
        <w:rPr>
          <w:rFonts w:ascii="Calibri" w:hAnsi="Calibri"/>
          <w:vertAlign w:val="superscript"/>
        </w:rPr>
        <w:footnoteReference w:id="9"/>
      </w:r>
      <w:r w:rsidRPr="00675182">
        <w:rPr>
          <w:rFonts w:ascii="Calibri" w:hAnsi="Calibri"/>
        </w:rPr>
        <w:t>. Gadu desmitiem dabas resursu pārmērīga izmantošana izraisīja vides degradāciju daļēji tāpēc, ka trūkst izpratnes un informācijas par ekosistēmu sniegto pakalpojumu faktisko vērtību un dabas kapitāla izmaiņām</w:t>
      </w:r>
      <w:r w:rsidRPr="00675182">
        <w:rPr>
          <w:rFonts w:ascii="Calibri" w:hAnsi="Calibri"/>
          <w:vertAlign w:val="superscript"/>
        </w:rPr>
        <w:footnoteReference w:id="10"/>
      </w:r>
      <w:r w:rsidRPr="00675182">
        <w:rPr>
          <w:rFonts w:ascii="Calibri" w:hAnsi="Calibri"/>
        </w:rPr>
        <w:t xml:space="preserve">. Pēdējo 10 gadu laikā izpratne par </w:t>
      </w:r>
      <w:r w:rsidR="008B797D">
        <w:rPr>
          <w:rFonts w:ascii="Calibri" w:hAnsi="Calibri"/>
        </w:rPr>
        <w:t>EP</w:t>
      </w:r>
      <w:r w:rsidRPr="00675182">
        <w:rPr>
          <w:rFonts w:ascii="Calibri" w:hAnsi="Calibri"/>
        </w:rPr>
        <w:t xml:space="preserve"> faktisko vērtību ir ievērojami uzlabojusies, un ir izstrādātas vairākas metodikas, kuru mērķis ir aprēķināt dabas kapitāla faktisko vērtību un ekosistēmu sniegto pakalpojumu izmaksas. Šajā kontekstā, ekosistēmu pakalpojumu pieeja (EPP), ko definē, kā zemes, ūdens un dzīvo resursu integrētas pārvaldības stratēģiju, kas vienlīdzīgi veicina saglabāšanu un ilgtspējīgu izmantošanu</w:t>
      </w:r>
      <w:r w:rsidRPr="00675182">
        <w:rPr>
          <w:rFonts w:ascii="Calibri" w:hAnsi="Calibri"/>
          <w:vertAlign w:val="superscript"/>
        </w:rPr>
        <w:footnoteReference w:id="11"/>
      </w:r>
      <w:r w:rsidRPr="00675182">
        <w:rPr>
          <w:rFonts w:ascii="Calibri" w:hAnsi="Calibri"/>
        </w:rPr>
        <w:t xml:space="preserve">, ir vērtīgs rīks, kas palīdz teritoriju izvērtējuma un lēmumu pieņemšanas procesā ņemt vērā pēc iespējams detalizētāku informāciju par dabas vērtībām un ekosistēmu funkciju izmaiņām, kas var tikt būtiski ietekmētas noteiktas darbības vai noteikto plānošanas un pārvaldības lēmumu rezultātā. </w:t>
      </w:r>
    </w:p>
    <w:p w14:paraId="7241E498" w14:textId="77777777" w:rsidR="00C12C83" w:rsidRPr="00675182" w:rsidRDefault="00C12C83" w:rsidP="00C12C83">
      <w:pPr>
        <w:jc w:val="both"/>
        <w:rPr>
          <w:rFonts w:ascii="Calibri" w:hAnsi="Calibri" w:cs="Times New Roman"/>
          <w:lang w:eastAsia="en-US"/>
        </w:rPr>
      </w:pPr>
    </w:p>
    <w:p w14:paraId="64EB9341" w14:textId="57BC3F40" w:rsidR="00C12C83" w:rsidRPr="00675182" w:rsidRDefault="00C12C83" w:rsidP="00C12C83">
      <w:pPr>
        <w:jc w:val="both"/>
        <w:rPr>
          <w:rFonts w:ascii="Calibri" w:hAnsi="Calibri"/>
        </w:rPr>
      </w:pPr>
      <w:r w:rsidRPr="00675182">
        <w:rPr>
          <w:rFonts w:ascii="Calibri" w:hAnsi="Calibri"/>
        </w:rPr>
        <w:t xml:space="preserve">Šobrīd </w:t>
      </w:r>
      <w:r w:rsidR="008D05C8">
        <w:rPr>
          <w:rFonts w:ascii="Calibri" w:hAnsi="Calibri"/>
        </w:rPr>
        <w:t>EP</w:t>
      </w:r>
      <w:r w:rsidRPr="00675182">
        <w:rPr>
          <w:rFonts w:ascii="Calibri" w:hAnsi="Calibri"/>
        </w:rPr>
        <w:t xml:space="preserve"> novērtējumu pieejama ir plaši atzīta gan starptautiskā līmeni, gan Latvijā. </w:t>
      </w:r>
      <w:r w:rsidR="008D05C8">
        <w:rPr>
          <w:rFonts w:ascii="Calibri" w:hAnsi="Calibri"/>
        </w:rPr>
        <w:t>EP</w:t>
      </w:r>
      <w:r w:rsidRPr="00675182">
        <w:rPr>
          <w:rFonts w:ascii="Calibri" w:hAnsi="Calibri"/>
        </w:rPr>
        <w:t xml:space="preserve"> pieeja ir iekļauta Konvencijā par bioloģisko daudzveidību (Convention on Biological Diversity, CBD) un Tūkstošgades ekosistēmu novērtējumā (Millennium Ecosystem Assessment, MA). </w:t>
      </w:r>
    </w:p>
    <w:p w14:paraId="3C7CFE27" w14:textId="77777777" w:rsidR="00C12C83" w:rsidRPr="00675182" w:rsidRDefault="00C12C83" w:rsidP="00C12C83">
      <w:pPr>
        <w:jc w:val="both"/>
        <w:rPr>
          <w:rFonts w:ascii="Calibri" w:hAnsi="Calibri"/>
        </w:rPr>
      </w:pPr>
    </w:p>
    <w:p w14:paraId="222EFA55" w14:textId="77777777" w:rsidR="00C12C83" w:rsidRPr="00675182" w:rsidRDefault="00C12C83" w:rsidP="00C12C83">
      <w:pPr>
        <w:jc w:val="both"/>
        <w:rPr>
          <w:rFonts w:ascii="Calibri" w:hAnsi="Calibri"/>
        </w:rPr>
      </w:pPr>
      <w:r w:rsidRPr="00675182">
        <w:rPr>
          <w:rFonts w:ascii="Calibri" w:hAnsi="Calibri"/>
        </w:rPr>
        <w:t xml:space="preserve">GNP DA plāna izstrādes kontekstā EP novērtējums izmantots kā rīks, kas papildus citām pieejām, palīdz plāna izstrādātājiem un iesaistītām pusēm apzināt un izprast GNP sniegtos EP un pieņemt pamatotus lēmumus, ņemot vērā pilnvērtīgāku informāciju par dabas resursu pārvaldības un izmantošanas savstarpējām ietekmēm. Ņemot vērā šāda novērtējuma pamatmērķus (t.i., nodrošināt lēmumu pieņēmējus ar informāciju par dabas resursu un dabas kapitāla elementu izmantošanas savstarpējo mijiedarbību šīs ĪADT pārvaldības mērķu sasniegšanā), kā arī izvērtējot šobrīd pieejamās EP novērtējuma metodes, pieejamās informācijas apjomu, kvalitāti un detalizācijas pakāpi, ir secināts, ka tiešās EP vērtēšanas metožu pielietošana visiem EP GNP teritorijā nav iespējama. Attiecīgi netiešās, ieskaitot biofizikālo, sociālās-kultūras </w:t>
      </w:r>
      <w:r w:rsidRPr="00675182">
        <w:rPr>
          <w:rFonts w:ascii="Calibri" w:hAnsi="Calibri"/>
        </w:rPr>
        <w:lastRenderedPageBreak/>
        <w:t xml:space="preserve">un ekspertu vērtējumā balstīto metožu kombinācijas, vērtēšanas pieejas var tikt uzskatītas par piemērotāko pieeju GNP gadījumā. </w:t>
      </w:r>
    </w:p>
    <w:p w14:paraId="7F465263" w14:textId="77777777" w:rsidR="00C12C83" w:rsidRPr="00675182" w:rsidRDefault="00C12C83" w:rsidP="00C12C83">
      <w:pPr>
        <w:jc w:val="both"/>
        <w:rPr>
          <w:rFonts w:ascii="Calibri" w:hAnsi="Calibri"/>
          <w:i/>
          <w:iCs/>
        </w:rPr>
      </w:pPr>
    </w:p>
    <w:p w14:paraId="47D3930E" w14:textId="66C51C82" w:rsidR="00C12C83" w:rsidRPr="00675182" w:rsidRDefault="00C12C83" w:rsidP="00C12C83">
      <w:pPr>
        <w:rPr>
          <w:rFonts w:ascii="Calibri" w:hAnsi="Calibri"/>
        </w:rPr>
      </w:pPr>
      <w:r w:rsidRPr="00675182">
        <w:rPr>
          <w:rFonts w:ascii="Calibri" w:hAnsi="Calibri"/>
        </w:rPr>
        <w:t xml:space="preserve">Detalizētākā informācija par EP novērtējuma metodiku ir pieejama </w:t>
      </w:r>
      <w:r w:rsidR="001261F3" w:rsidRPr="00675182">
        <w:rPr>
          <w:rFonts w:ascii="Calibri" w:hAnsi="Calibri"/>
        </w:rPr>
        <w:t>18</w:t>
      </w:r>
      <w:r w:rsidRPr="00675182">
        <w:rPr>
          <w:rFonts w:ascii="Calibri" w:hAnsi="Calibri"/>
        </w:rPr>
        <w:t xml:space="preserve">. pielikumā. </w:t>
      </w:r>
    </w:p>
    <w:p w14:paraId="1ABD59ED" w14:textId="77777777" w:rsidR="00C12C83" w:rsidRPr="00675182" w:rsidRDefault="00C12C83" w:rsidP="00C12C83">
      <w:pPr>
        <w:jc w:val="both"/>
        <w:rPr>
          <w:rStyle w:val="SubtleEmphasis"/>
          <w:rFonts w:eastAsiaTheme="minorHAnsi" w:cstheme="minorBidi"/>
          <w:lang w:eastAsia="en-US"/>
        </w:rPr>
      </w:pPr>
    </w:p>
    <w:p w14:paraId="6D2FAAC4" w14:textId="77777777" w:rsidR="00C12C83" w:rsidRPr="00675182" w:rsidRDefault="00C12C83" w:rsidP="00C12C83">
      <w:pPr>
        <w:jc w:val="both"/>
        <w:rPr>
          <w:rStyle w:val="SubtleEmphasis"/>
          <w:highlight w:val="yellow"/>
        </w:rPr>
      </w:pPr>
      <w:r w:rsidRPr="00675182">
        <w:rPr>
          <w:rStyle w:val="SubtleEmphasis"/>
        </w:rPr>
        <w:t>Piedāvātā novērtējuma metodika</w:t>
      </w:r>
    </w:p>
    <w:p w14:paraId="58B720F4" w14:textId="77777777" w:rsidR="00C12C83" w:rsidRPr="00675182" w:rsidRDefault="00C12C83" w:rsidP="00C12C83">
      <w:pPr>
        <w:jc w:val="both"/>
        <w:rPr>
          <w:rFonts w:ascii="Calibri" w:hAnsi="Calibri"/>
          <w:highlight w:val="yellow"/>
        </w:rPr>
      </w:pPr>
    </w:p>
    <w:p w14:paraId="0478254F" w14:textId="0B93E702" w:rsidR="00C12C83" w:rsidRPr="00675182" w:rsidRDefault="00C12C83" w:rsidP="00C12C83">
      <w:pPr>
        <w:jc w:val="both"/>
        <w:rPr>
          <w:rFonts w:ascii="Calibri" w:hAnsi="Calibri"/>
        </w:rPr>
      </w:pPr>
      <w:r w:rsidRPr="00675182">
        <w:rPr>
          <w:rFonts w:ascii="Calibri" w:hAnsi="Calibri"/>
        </w:rPr>
        <w:t xml:space="preserve">Piedāvātā novērtējuma metodikas pamata etapi ir īsumā aprakstīti 1.3.6. tabulā. </w:t>
      </w:r>
    </w:p>
    <w:p w14:paraId="103BF40F" w14:textId="77777777" w:rsidR="00C12C83" w:rsidRPr="00675182" w:rsidRDefault="00C12C83" w:rsidP="00C12C83">
      <w:pPr>
        <w:jc w:val="both"/>
        <w:rPr>
          <w:rFonts w:ascii="Calibri" w:hAnsi="Calibri"/>
        </w:rPr>
      </w:pPr>
    </w:p>
    <w:p w14:paraId="670EAB4E" w14:textId="7E37A5DA" w:rsidR="00C12C83" w:rsidRPr="00675182" w:rsidRDefault="00C12C83" w:rsidP="00C12C83">
      <w:pPr>
        <w:spacing w:line="254" w:lineRule="auto"/>
        <w:contextualSpacing/>
        <w:jc w:val="both"/>
        <w:rPr>
          <w:rFonts w:ascii="Calibri" w:hAnsi="Calibri"/>
          <w:b/>
          <w:bCs/>
          <w:i/>
          <w:iCs/>
        </w:rPr>
      </w:pPr>
      <w:r w:rsidRPr="00675182">
        <w:rPr>
          <w:rFonts w:ascii="Calibri" w:hAnsi="Calibri"/>
          <w:b/>
          <w:bCs/>
          <w:i/>
          <w:iCs/>
        </w:rPr>
        <w:t>1.3.6. tabula. Piedāvātās EP novērtējuma metodikas galvenie etapi</w:t>
      </w:r>
    </w:p>
    <w:tbl>
      <w:tblPr>
        <w:tblStyle w:val="GridTable4-Accent31"/>
        <w:tblW w:w="0" w:type="auto"/>
        <w:tblInd w:w="0" w:type="dxa"/>
        <w:tblLook w:val="04A0" w:firstRow="1" w:lastRow="0" w:firstColumn="1" w:lastColumn="0" w:noHBand="0" w:noVBand="1"/>
      </w:tblPr>
      <w:tblGrid>
        <w:gridCol w:w="554"/>
        <w:gridCol w:w="2418"/>
        <w:gridCol w:w="5329"/>
      </w:tblGrid>
      <w:tr w:rsidR="00C12C83" w:rsidRPr="00675182" w14:paraId="38FBB58E" w14:textId="77777777" w:rsidTr="00A371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4" w:type="dxa"/>
            <w:hideMark/>
          </w:tcPr>
          <w:p w14:paraId="38CEB098" w14:textId="77777777" w:rsidR="00C12C83" w:rsidRPr="00675182" w:rsidRDefault="00C12C83">
            <w:pPr>
              <w:rPr>
                <w:rFonts w:ascii="Calibri" w:hAnsi="Calibri"/>
              </w:rPr>
            </w:pPr>
            <w:r w:rsidRPr="00675182">
              <w:rPr>
                <w:rFonts w:ascii="Calibri" w:hAnsi="Calibri"/>
              </w:rPr>
              <w:t>Nr.</w:t>
            </w:r>
          </w:p>
        </w:tc>
        <w:tc>
          <w:tcPr>
            <w:tcW w:w="2418" w:type="dxa"/>
            <w:hideMark/>
          </w:tcPr>
          <w:p w14:paraId="6C598837" w14:textId="77777777" w:rsidR="00C12C83" w:rsidRPr="00675182" w:rsidRDefault="00C12C83">
            <w:pPr>
              <w:cnfStyle w:val="100000000000" w:firstRow="1" w:lastRow="0" w:firstColumn="0" w:lastColumn="0" w:oddVBand="0" w:evenVBand="0" w:oddHBand="0" w:evenHBand="0" w:firstRowFirstColumn="0" w:firstRowLastColumn="0" w:lastRowFirstColumn="0" w:lastRowLastColumn="0"/>
              <w:rPr>
                <w:rFonts w:ascii="Calibri" w:hAnsi="Calibri"/>
              </w:rPr>
            </w:pPr>
            <w:r w:rsidRPr="00675182">
              <w:rPr>
                <w:rFonts w:ascii="Calibri" w:hAnsi="Calibri"/>
              </w:rPr>
              <w:t>Galvenie etaps</w:t>
            </w:r>
          </w:p>
        </w:tc>
        <w:tc>
          <w:tcPr>
            <w:tcW w:w="5329" w:type="dxa"/>
            <w:hideMark/>
          </w:tcPr>
          <w:p w14:paraId="41CB8D62" w14:textId="77777777" w:rsidR="00C12C83" w:rsidRPr="00675182" w:rsidRDefault="00C12C83">
            <w:pPr>
              <w:cnfStyle w:val="100000000000" w:firstRow="1" w:lastRow="0" w:firstColumn="0" w:lastColumn="0" w:oddVBand="0" w:evenVBand="0" w:oddHBand="0" w:evenHBand="0" w:firstRowFirstColumn="0" w:firstRowLastColumn="0" w:lastRowFirstColumn="0" w:lastRowLastColumn="0"/>
              <w:rPr>
                <w:rFonts w:ascii="Calibri" w:hAnsi="Calibri"/>
              </w:rPr>
            </w:pPr>
            <w:r w:rsidRPr="00675182">
              <w:rPr>
                <w:rFonts w:ascii="Calibri" w:hAnsi="Calibri"/>
              </w:rPr>
              <w:t>Īss apraksts</w:t>
            </w:r>
          </w:p>
        </w:tc>
      </w:tr>
      <w:tr w:rsidR="00C12C83" w:rsidRPr="00675182" w14:paraId="1BA8D07D" w14:textId="77777777" w:rsidTr="00A371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C2D69B"/>
              <w:left w:val="single" w:sz="4" w:space="0" w:color="C2D69B"/>
              <w:bottom w:val="single" w:sz="4" w:space="0" w:color="C2D69B"/>
              <w:right w:val="single" w:sz="4" w:space="0" w:color="C2D69B"/>
            </w:tcBorders>
            <w:hideMark/>
          </w:tcPr>
          <w:p w14:paraId="2B70D0F8" w14:textId="77777777" w:rsidR="00C12C83" w:rsidRPr="00675182" w:rsidRDefault="00C12C83">
            <w:pPr>
              <w:rPr>
                <w:rFonts w:ascii="Calibri" w:hAnsi="Calibri"/>
              </w:rPr>
            </w:pPr>
            <w:r w:rsidRPr="00675182">
              <w:rPr>
                <w:rFonts w:ascii="Calibri" w:hAnsi="Calibri"/>
              </w:rPr>
              <w:t>1.</w:t>
            </w:r>
          </w:p>
        </w:tc>
        <w:tc>
          <w:tcPr>
            <w:tcW w:w="2418" w:type="dxa"/>
            <w:tcBorders>
              <w:top w:val="single" w:sz="4" w:space="0" w:color="C2D69B"/>
              <w:left w:val="single" w:sz="4" w:space="0" w:color="C2D69B"/>
              <w:bottom w:val="single" w:sz="4" w:space="0" w:color="C2D69B"/>
              <w:right w:val="single" w:sz="4" w:space="0" w:color="C2D69B"/>
            </w:tcBorders>
            <w:hideMark/>
          </w:tcPr>
          <w:p w14:paraId="220D7F68"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ascii="Calibri" w:hAnsi="Calibri"/>
              </w:rPr>
            </w:pPr>
            <w:r w:rsidRPr="00675182">
              <w:rPr>
                <w:rFonts w:ascii="Calibri" w:hAnsi="Calibri"/>
              </w:rPr>
              <w:t>Nozīmīgāko GNP EP atlase</w:t>
            </w:r>
          </w:p>
        </w:tc>
        <w:tc>
          <w:tcPr>
            <w:tcW w:w="5329" w:type="dxa"/>
            <w:tcBorders>
              <w:top w:val="single" w:sz="4" w:space="0" w:color="C2D69B"/>
              <w:left w:val="single" w:sz="4" w:space="0" w:color="C2D69B"/>
              <w:bottom w:val="single" w:sz="4" w:space="0" w:color="C2D69B"/>
              <w:right w:val="single" w:sz="4" w:space="0" w:color="C2D69B"/>
            </w:tcBorders>
            <w:hideMark/>
          </w:tcPr>
          <w:p w14:paraId="7ADD6CEE" w14:textId="33439A84" w:rsidR="00C12C83" w:rsidRPr="00675182" w:rsidRDefault="00C12C83">
            <w:pPr>
              <w:cnfStyle w:val="000000100000" w:firstRow="0" w:lastRow="0" w:firstColumn="0" w:lastColumn="0" w:oddVBand="0" w:evenVBand="0" w:oddHBand="1" w:evenHBand="0" w:firstRowFirstColumn="0" w:firstRowLastColumn="0" w:lastRowFirstColumn="0" w:lastRowLastColumn="0"/>
              <w:rPr>
                <w:rFonts w:ascii="Calibri" w:hAnsi="Calibri"/>
              </w:rPr>
            </w:pPr>
            <w:r w:rsidRPr="00675182">
              <w:rPr>
                <w:rFonts w:ascii="Calibri" w:hAnsi="Calibri"/>
              </w:rPr>
              <w:t xml:space="preserve">Īstenots, ņemot vērā ekspertu vērtējumu un pieejamo informāciju par noteikta EP nodrošinājumu un teritoriālo izplatību. </w:t>
            </w:r>
          </w:p>
        </w:tc>
      </w:tr>
      <w:tr w:rsidR="00C12C83" w:rsidRPr="00675182" w14:paraId="1D9A5078" w14:textId="77777777" w:rsidTr="00A371BE">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C2D69B"/>
              <w:left w:val="single" w:sz="4" w:space="0" w:color="C2D69B"/>
              <w:bottom w:val="single" w:sz="4" w:space="0" w:color="C2D69B"/>
              <w:right w:val="single" w:sz="4" w:space="0" w:color="C2D69B"/>
            </w:tcBorders>
            <w:hideMark/>
          </w:tcPr>
          <w:p w14:paraId="3652FFC9" w14:textId="77777777" w:rsidR="00C12C83" w:rsidRPr="00675182" w:rsidRDefault="00C12C83">
            <w:pPr>
              <w:rPr>
                <w:rFonts w:ascii="Calibri" w:hAnsi="Calibri"/>
              </w:rPr>
            </w:pPr>
            <w:r w:rsidRPr="00675182">
              <w:rPr>
                <w:rFonts w:ascii="Calibri" w:hAnsi="Calibri"/>
              </w:rPr>
              <w:t xml:space="preserve">2. </w:t>
            </w:r>
          </w:p>
        </w:tc>
        <w:tc>
          <w:tcPr>
            <w:tcW w:w="2418" w:type="dxa"/>
            <w:tcBorders>
              <w:top w:val="single" w:sz="4" w:space="0" w:color="C2D69B"/>
              <w:left w:val="single" w:sz="4" w:space="0" w:color="C2D69B"/>
              <w:bottom w:val="single" w:sz="4" w:space="0" w:color="C2D69B"/>
              <w:right w:val="single" w:sz="4" w:space="0" w:color="C2D69B"/>
            </w:tcBorders>
            <w:hideMark/>
          </w:tcPr>
          <w:p w14:paraId="292B9A96"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ascii="Calibri" w:hAnsi="Calibri"/>
              </w:rPr>
            </w:pPr>
            <w:r w:rsidRPr="00675182">
              <w:rPr>
                <w:rFonts w:ascii="Calibri" w:hAnsi="Calibri"/>
              </w:rPr>
              <w:t xml:space="preserve">EP kartēšana </w:t>
            </w:r>
          </w:p>
        </w:tc>
        <w:tc>
          <w:tcPr>
            <w:tcW w:w="5329" w:type="dxa"/>
            <w:tcBorders>
              <w:top w:val="single" w:sz="4" w:space="0" w:color="C2D69B"/>
              <w:left w:val="single" w:sz="4" w:space="0" w:color="C2D69B"/>
              <w:bottom w:val="single" w:sz="4" w:space="0" w:color="C2D69B"/>
              <w:right w:val="single" w:sz="4" w:space="0" w:color="C2D69B"/>
            </w:tcBorders>
            <w:hideMark/>
          </w:tcPr>
          <w:p w14:paraId="08D63ACC"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ascii="Calibri" w:hAnsi="Calibri"/>
              </w:rPr>
            </w:pPr>
            <w:r w:rsidRPr="00675182">
              <w:rPr>
                <w:rFonts w:ascii="Calibri" w:hAnsi="Calibri"/>
              </w:rPr>
              <w:t xml:space="preserve">Esošo datu avotu identificēšana un apkopošana vai jaunu datu kopu izstrāde (ieskaitot biotopu izplatības kartes, meža inventarizācijas datus, lauksaimniecības datus, topogrāfiskās kartes u.c.). </w:t>
            </w:r>
          </w:p>
        </w:tc>
      </w:tr>
      <w:tr w:rsidR="00C12C83" w:rsidRPr="00675182" w14:paraId="3CA33E1B" w14:textId="77777777" w:rsidTr="00A371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C2D69B"/>
              <w:left w:val="single" w:sz="4" w:space="0" w:color="C2D69B"/>
              <w:bottom w:val="single" w:sz="4" w:space="0" w:color="C2D69B"/>
              <w:right w:val="single" w:sz="4" w:space="0" w:color="C2D69B"/>
            </w:tcBorders>
            <w:hideMark/>
          </w:tcPr>
          <w:p w14:paraId="440DD373" w14:textId="77777777" w:rsidR="00C12C83" w:rsidRPr="00675182" w:rsidRDefault="00C12C83">
            <w:pPr>
              <w:rPr>
                <w:rFonts w:ascii="Calibri" w:hAnsi="Calibri"/>
              </w:rPr>
            </w:pPr>
            <w:r w:rsidRPr="00675182">
              <w:rPr>
                <w:rFonts w:ascii="Calibri" w:hAnsi="Calibri"/>
              </w:rPr>
              <w:t xml:space="preserve">3. </w:t>
            </w:r>
          </w:p>
        </w:tc>
        <w:tc>
          <w:tcPr>
            <w:tcW w:w="2418" w:type="dxa"/>
            <w:tcBorders>
              <w:top w:val="single" w:sz="4" w:space="0" w:color="C2D69B"/>
              <w:left w:val="single" w:sz="4" w:space="0" w:color="C2D69B"/>
              <w:bottom w:val="single" w:sz="4" w:space="0" w:color="C2D69B"/>
              <w:right w:val="single" w:sz="4" w:space="0" w:color="C2D69B"/>
            </w:tcBorders>
            <w:hideMark/>
          </w:tcPr>
          <w:p w14:paraId="6175C408" w14:textId="6BD36D90" w:rsidR="00C12C83" w:rsidRPr="00675182" w:rsidRDefault="001E7F15">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EP</w:t>
            </w:r>
            <w:r w:rsidR="00C12C83" w:rsidRPr="00675182">
              <w:rPr>
                <w:rFonts w:ascii="Calibri" w:hAnsi="Calibri"/>
              </w:rPr>
              <w:t xml:space="preserve"> nodrošinājuma novērtējums</w:t>
            </w:r>
          </w:p>
        </w:tc>
        <w:tc>
          <w:tcPr>
            <w:tcW w:w="5329" w:type="dxa"/>
            <w:tcBorders>
              <w:top w:val="single" w:sz="4" w:space="0" w:color="C2D69B"/>
              <w:left w:val="single" w:sz="4" w:space="0" w:color="C2D69B"/>
              <w:bottom w:val="single" w:sz="4" w:space="0" w:color="C2D69B"/>
              <w:right w:val="single" w:sz="4" w:space="0" w:color="C2D69B"/>
            </w:tcBorders>
            <w:hideMark/>
          </w:tcPr>
          <w:p w14:paraId="7DEE5E43" w14:textId="291F1C0F" w:rsidR="00C12C83" w:rsidRPr="00675182" w:rsidRDefault="00C12C83">
            <w:pPr>
              <w:cnfStyle w:val="000000100000" w:firstRow="0" w:lastRow="0" w:firstColumn="0" w:lastColumn="0" w:oddVBand="0" w:evenVBand="0" w:oddHBand="1" w:evenHBand="0" w:firstRowFirstColumn="0" w:firstRowLastColumn="0" w:lastRowFirstColumn="0" w:lastRowLastColumn="0"/>
              <w:rPr>
                <w:rFonts w:ascii="Calibri" w:hAnsi="Calibri"/>
                <w:i/>
                <w:iCs/>
              </w:rPr>
            </w:pPr>
            <w:r w:rsidRPr="00675182">
              <w:rPr>
                <w:rFonts w:ascii="Calibri" w:hAnsi="Calibri"/>
              </w:rPr>
              <w:t xml:space="preserve">Novērtējuma pamatā ir ekspertu novērtējums (fokusa grupā), kura rezultātā </w:t>
            </w:r>
            <w:r w:rsidR="005D059B">
              <w:rPr>
                <w:rFonts w:ascii="Calibri" w:hAnsi="Calibri"/>
              </w:rPr>
              <w:t>EP</w:t>
            </w:r>
            <w:r w:rsidRPr="00675182">
              <w:rPr>
                <w:rFonts w:ascii="Calibri" w:hAnsi="Calibri"/>
              </w:rPr>
              <w:t xml:space="preserve"> nodrošinājums tiks novērtēts, balstoties uz kvalitatīvu ranžēšanu. </w:t>
            </w:r>
          </w:p>
        </w:tc>
      </w:tr>
      <w:tr w:rsidR="00C12C83" w:rsidRPr="00675182" w14:paraId="51DD47C1" w14:textId="77777777" w:rsidTr="00A371BE">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C2D69B"/>
              <w:left w:val="single" w:sz="4" w:space="0" w:color="C2D69B"/>
              <w:bottom w:val="single" w:sz="4" w:space="0" w:color="C2D69B"/>
              <w:right w:val="single" w:sz="4" w:space="0" w:color="C2D69B"/>
            </w:tcBorders>
            <w:hideMark/>
          </w:tcPr>
          <w:p w14:paraId="5D925EC2" w14:textId="77777777" w:rsidR="00C12C83" w:rsidRPr="00675182" w:rsidRDefault="00C12C83">
            <w:pPr>
              <w:rPr>
                <w:rFonts w:ascii="Calibri" w:hAnsi="Calibri"/>
              </w:rPr>
            </w:pPr>
            <w:r w:rsidRPr="00675182">
              <w:rPr>
                <w:rFonts w:ascii="Calibri" w:hAnsi="Calibri"/>
              </w:rPr>
              <w:t xml:space="preserve">4. </w:t>
            </w:r>
          </w:p>
        </w:tc>
        <w:tc>
          <w:tcPr>
            <w:tcW w:w="2418" w:type="dxa"/>
            <w:tcBorders>
              <w:top w:val="single" w:sz="4" w:space="0" w:color="C2D69B"/>
              <w:left w:val="single" w:sz="4" w:space="0" w:color="C2D69B"/>
              <w:bottom w:val="single" w:sz="4" w:space="0" w:color="C2D69B"/>
              <w:right w:val="single" w:sz="4" w:space="0" w:color="C2D69B"/>
            </w:tcBorders>
            <w:hideMark/>
          </w:tcPr>
          <w:p w14:paraId="534A2738" w14:textId="298430E9" w:rsidR="00C12C83" w:rsidRPr="00675182" w:rsidRDefault="00C12C83">
            <w:pPr>
              <w:cnfStyle w:val="000000000000" w:firstRow="0" w:lastRow="0" w:firstColumn="0" w:lastColumn="0" w:oddVBand="0" w:evenVBand="0" w:oddHBand="0" w:evenHBand="0" w:firstRowFirstColumn="0" w:firstRowLastColumn="0" w:lastRowFirstColumn="0" w:lastRowLastColumn="0"/>
              <w:rPr>
                <w:rFonts w:ascii="Calibri" w:hAnsi="Calibri"/>
              </w:rPr>
            </w:pPr>
            <w:r w:rsidRPr="00675182">
              <w:rPr>
                <w:rFonts w:ascii="Calibri" w:hAnsi="Calibri"/>
              </w:rPr>
              <w:t xml:space="preserve">Integrētu (summāru) </w:t>
            </w:r>
            <w:r w:rsidR="001E7F15">
              <w:rPr>
                <w:rFonts w:ascii="Calibri" w:hAnsi="Calibri"/>
              </w:rPr>
              <w:t>EP</w:t>
            </w:r>
            <w:r w:rsidRPr="00675182">
              <w:rPr>
                <w:rFonts w:ascii="Calibri" w:hAnsi="Calibri"/>
              </w:rPr>
              <w:t xml:space="preserve"> karšu izveide</w:t>
            </w:r>
          </w:p>
        </w:tc>
        <w:tc>
          <w:tcPr>
            <w:tcW w:w="5329" w:type="dxa"/>
            <w:tcBorders>
              <w:top w:val="single" w:sz="4" w:space="0" w:color="C2D69B"/>
              <w:left w:val="single" w:sz="4" w:space="0" w:color="C2D69B"/>
              <w:bottom w:val="single" w:sz="4" w:space="0" w:color="C2D69B"/>
              <w:right w:val="single" w:sz="4" w:space="0" w:color="C2D69B"/>
            </w:tcBorders>
            <w:hideMark/>
          </w:tcPr>
          <w:p w14:paraId="58AF22F7" w14:textId="65575BF5" w:rsidR="00C12C83" w:rsidRPr="00675182" w:rsidRDefault="00C12C83">
            <w:pPr>
              <w:cnfStyle w:val="000000000000" w:firstRow="0" w:lastRow="0" w:firstColumn="0" w:lastColumn="0" w:oddVBand="0" w:evenVBand="0" w:oddHBand="0" w:evenHBand="0" w:firstRowFirstColumn="0" w:firstRowLastColumn="0" w:lastRowFirstColumn="0" w:lastRowLastColumn="0"/>
              <w:rPr>
                <w:rFonts w:ascii="Calibri" w:hAnsi="Calibri"/>
              </w:rPr>
            </w:pPr>
            <w:r w:rsidRPr="00675182">
              <w:rPr>
                <w:rFonts w:ascii="Calibri" w:hAnsi="Calibri"/>
              </w:rPr>
              <w:t xml:space="preserve">Novērtējumam atlasīto </w:t>
            </w:r>
            <w:r w:rsidR="005D059B">
              <w:rPr>
                <w:rFonts w:ascii="Calibri" w:hAnsi="Calibri"/>
              </w:rPr>
              <w:t>EP</w:t>
            </w:r>
            <w:r w:rsidRPr="00675182">
              <w:rPr>
                <w:rFonts w:ascii="Calibri" w:hAnsi="Calibri"/>
              </w:rPr>
              <w:t xml:space="preserve"> novērtējuma karšu slāņu izveides GNP teritorijai.</w:t>
            </w:r>
            <w:r w:rsidR="005D059B">
              <w:rPr>
                <w:rFonts w:ascii="Calibri" w:hAnsi="Calibri"/>
              </w:rPr>
              <w:t xml:space="preserve"> </w:t>
            </w:r>
            <w:r w:rsidRPr="00675182">
              <w:rPr>
                <w:rFonts w:ascii="Calibri" w:hAnsi="Calibri"/>
              </w:rPr>
              <w:t xml:space="preserve">Integrētu (summāru) </w:t>
            </w:r>
            <w:r w:rsidR="005D059B">
              <w:rPr>
                <w:rFonts w:ascii="Calibri" w:hAnsi="Calibri"/>
              </w:rPr>
              <w:t>EP</w:t>
            </w:r>
            <w:r w:rsidRPr="00675182">
              <w:rPr>
                <w:rFonts w:ascii="Calibri" w:hAnsi="Calibri"/>
              </w:rPr>
              <w:t xml:space="preserve"> karšu izveide, kuros tiks noteikta summārā </w:t>
            </w:r>
            <w:r w:rsidR="005D059B">
              <w:rPr>
                <w:rFonts w:ascii="Calibri" w:hAnsi="Calibri"/>
              </w:rPr>
              <w:t>EP</w:t>
            </w:r>
            <w:r w:rsidRPr="00675182">
              <w:rPr>
                <w:rFonts w:ascii="Calibri" w:hAnsi="Calibri"/>
              </w:rPr>
              <w:t xml:space="preserve"> vērtība katrai ģeotelpiskajai vienībai.</w:t>
            </w:r>
          </w:p>
        </w:tc>
      </w:tr>
      <w:tr w:rsidR="00C12C83" w:rsidRPr="00675182" w14:paraId="7A402298" w14:textId="77777777" w:rsidTr="00A371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Borders>
              <w:top w:val="single" w:sz="4" w:space="0" w:color="C2D69B"/>
              <w:left w:val="single" w:sz="4" w:space="0" w:color="C2D69B"/>
              <w:bottom w:val="single" w:sz="4" w:space="0" w:color="C2D69B"/>
              <w:right w:val="single" w:sz="4" w:space="0" w:color="C2D69B"/>
            </w:tcBorders>
            <w:hideMark/>
          </w:tcPr>
          <w:p w14:paraId="311691C7" w14:textId="77777777" w:rsidR="00C12C83" w:rsidRPr="00675182" w:rsidRDefault="00C12C83">
            <w:pPr>
              <w:rPr>
                <w:rFonts w:ascii="Calibri" w:hAnsi="Calibri"/>
              </w:rPr>
            </w:pPr>
            <w:r w:rsidRPr="00675182">
              <w:rPr>
                <w:rFonts w:ascii="Calibri" w:hAnsi="Calibri"/>
              </w:rPr>
              <w:t>5.</w:t>
            </w:r>
          </w:p>
        </w:tc>
        <w:tc>
          <w:tcPr>
            <w:tcW w:w="2418" w:type="dxa"/>
            <w:tcBorders>
              <w:top w:val="single" w:sz="4" w:space="0" w:color="C2D69B"/>
              <w:left w:val="single" w:sz="4" w:space="0" w:color="C2D69B"/>
              <w:bottom w:val="single" w:sz="4" w:space="0" w:color="C2D69B"/>
              <w:right w:val="single" w:sz="4" w:space="0" w:color="C2D69B"/>
            </w:tcBorders>
            <w:hideMark/>
          </w:tcPr>
          <w:p w14:paraId="49E350E4" w14:textId="636FC29C" w:rsidR="00C12C83" w:rsidRPr="00675182" w:rsidRDefault="001E7F15">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EP</w:t>
            </w:r>
            <w:r w:rsidR="00C12C83" w:rsidRPr="00675182">
              <w:rPr>
                <w:sz w:val="20"/>
              </w:rPr>
              <w:t xml:space="preserve"> </w:t>
            </w:r>
            <w:r w:rsidR="00C12C83" w:rsidRPr="00675182">
              <w:rPr>
                <w:rFonts w:ascii="Calibri" w:hAnsi="Calibri"/>
              </w:rPr>
              <w:t>kompromisu un sinerģiju novērtējums</w:t>
            </w:r>
          </w:p>
        </w:tc>
        <w:tc>
          <w:tcPr>
            <w:tcW w:w="5329" w:type="dxa"/>
            <w:tcBorders>
              <w:top w:val="single" w:sz="4" w:space="0" w:color="C2D69B"/>
              <w:left w:val="single" w:sz="4" w:space="0" w:color="C2D69B"/>
              <w:bottom w:val="single" w:sz="4" w:space="0" w:color="C2D69B"/>
              <w:right w:val="single" w:sz="4" w:space="0" w:color="C2D69B"/>
            </w:tcBorders>
            <w:hideMark/>
          </w:tcPr>
          <w:p w14:paraId="30A30D40" w14:textId="5189B722" w:rsidR="00C12C83" w:rsidRPr="00675182" w:rsidRDefault="00C12C83">
            <w:pPr>
              <w:cnfStyle w:val="000000100000" w:firstRow="0" w:lastRow="0" w:firstColumn="0" w:lastColumn="0" w:oddVBand="0" w:evenVBand="0" w:oddHBand="1" w:evenHBand="0" w:firstRowFirstColumn="0" w:firstRowLastColumn="0" w:lastRowFirstColumn="0" w:lastRowLastColumn="0"/>
              <w:rPr>
                <w:rFonts w:ascii="Calibri" w:hAnsi="Calibri"/>
              </w:rPr>
            </w:pPr>
            <w:r w:rsidRPr="00675182">
              <w:rPr>
                <w:rFonts w:ascii="Calibri" w:hAnsi="Calibri"/>
              </w:rPr>
              <w:t xml:space="preserve">Kompromisu un sinerģiju </w:t>
            </w:r>
            <w:r w:rsidR="005D059B">
              <w:rPr>
                <w:rFonts w:ascii="Calibri" w:hAnsi="Calibri"/>
              </w:rPr>
              <w:t>EP</w:t>
            </w:r>
            <w:r w:rsidRPr="00675182">
              <w:rPr>
                <w:rFonts w:ascii="Calibri" w:hAnsi="Calibri"/>
              </w:rPr>
              <w:t xml:space="preserve"> identificēšana un šo mijiedarbību ietekmes novērtējuma identificēšana, kā arī attiecīgo ģeotelpisko vienību definēšana un karšu izveide.</w:t>
            </w:r>
          </w:p>
        </w:tc>
      </w:tr>
    </w:tbl>
    <w:p w14:paraId="097C12F7" w14:textId="77777777" w:rsidR="00C12C83" w:rsidRPr="00675182" w:rsidRDefault="00C12C83" w:rsidP="00C12C83">
      <w:pPr>
        <w:rPr>
          <w:rFonts w:eastAsiaTheme="minorHAnsi" w:cstheme="minorBidi"/>
          <w:sz w:val="22"/>
          <w:szCs w:val="22"/>
          <w:lang w:eastAsia="en-US"/>
        </w:rPr>
      </w:pPr>
    </w:p>
    <w:p w14:paraId="77F03703" w14:textId="2B4372BD" w:rsidR="00C12C83" w:rsidRPr="00675182" w:rsidRDefault="005B7C01" w:rsidP="00C12C83">
      <w:pPr>
        <w:jc w:val="both"/>
        <w:rPr>
          <w:rStyle w:val="SubtleEmphasis"/>
        </w:rPr>
      </w:pPr>
      <w:r>
        <w:rPr>
          <w:rStyle w:val="SubtleEmphasis"/>
        </w:rPr>
        <w:t>EP</w:t>
      </w:r>
      <w:r w:rsidR="00C12C83" w:rsidRPr="00675182">
        <w:rPr>
          <w:rStyle w:val="SubtleEmphasis"/>
        </w:rPr>
        <w:t xml:space="preserve"> atlase</w:t>
      </w:r>
    </w:p>
    <w:p w14:paraId="557B7183" w14:textId="559578E7" w:rsidR="00C12C83" w:rsidRPr="00675182" w:rsidRDefault="00C12C83" w:rsidP="00C12C83">
      <w:pPr>
        <w:jc w:val="both"/>
      </w:pPr>
      <w:r w:rsidRPr="00675182">
        <w:t xml:space="preserve">Balstoties uz GNP teritorijas detalizēto analīzi, projekta ekspertu grupa sagatavoja </w:t>
      </w:r>
      <w:r w:rsidR="005B7C01">
        <w:t>EP</w:t>
      </w:r>
      <w:r w:rsidRPr="00675182">
        <w:t xml:space="preserve"> sarakstu, kas aptver visas trīs EP grupas – apgādes EP, regulējošos EP un kultūras EP. Ņemot vērā ekspertu novērtējumu, ka arī analīzei nepieciešamo datu pieejamību šis sākotnējais saraksts tika precizēts EP novērtējuma 1. etapā. Zemāk esošajā tabulā ir sniegts EP saraksts, kas tika izvēlēti turpmākai analīzei. </w:t>
      </w:r>
    </w:p>
    <w:p w14:paraId="5B4494D7" w14:textId="77777777" w:rsidR="00C12C83" w:rsidRPr="00675182" w:rsidRDefault="00C12C83" w:rsidP="00C12C83"/>
    <w:p w14:paraId="7BBE9F81" w14:textId="624C1141" w:rsidR="00C12C83" w:rsidRPr="00675182" w:rsidRDefault="00C12C83" w:rsidP="00C12C83">
      <w:pPr>
        <w:spacing w:line="254" w:lineRule="auto"/>
        <w:contextualSpacing/>
        <w:jc w:val="both"/>
        <w:rPr>
          <w:rFonts w:ascii="Calibri" w:hAnsi="Calibri"/>
          <w:b/>
          <w:bCs/>
          <w:i/>
          <w:iCs/>
        </w:rPr>
      </w:pPr>
      <w:r w:rsidRPr="00675182">
        <w:rPr>
          <w:rFonts w:ascii="Calibri" w:hAnsi="Calibri"/>
          <w:b/>
          <w:bCs/>
          <w:i/>
          <w:iCs/>
        </w:rPr>
        <w:t xml:space="preserve">1.3.7. tabula. Vērtēšanai atlasītie </w:t>
      </w:r>
      <w:r w:rsidR="003E01D5">
        <w:rPr>
          <w:rFonts w:ascii="Calibri" w:hAnsi="Calibri"/>
          <w:b/>
          <w:bCs/>
          <w:i/>
          <w:iCs/>
        </w:rPr>
        <w:t>EP</w:t>
      </w:r>
      <w:r w:rsidRPr="00675182">
        <w:rPr>
          <w:rFonts w:ascii="Calibri" w:hAnsi="Calibri"/>
          <w:b/>
          <w:bCs/>
          <w:i/>
          <w:iCs/>
        </w:rPr>
        <w:t xml:space="preserve"> </w:t>
      </w:r>
    </w:p>
    <w:tbl>
      <w:tblPr>
        <w:tblStyle w:val="GridTable4-Accent31"/>
        <w:tblW w:w="5000" w:type="pct"/>
        <w:jc w:val="center"/>
        <w:tblInd w:w="0" w:type="dxa"/>
        <w:tblLook w:val="04A0" w:firstRow="1" w:lastRow="0" w:firstColumn="1" w:lastColumn="0" w:noHBand="0" w:noVBand="1"/>
      </w:tblPr>
      <w:tblGrid>
        <w:gridCol w:w="2654"/>
        <w:gridCol w:w="2879"/>
        <w:gridCol w:w="2768"/>
      </w:tblGrid>
      <w:tr w:rsidR="00C12C83" w:rsidRPr="00675182" w14:paraId="3A95E3EF" w14:textId="77777777" w:rsidTr="00C12C83">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1599" w:type="pct"/>
            <w:vAlign w:val="center"/>
            <w:hideMark/>
          </w:tcPr>
          <w:p w14:paraId="5AFA0DCD" w14:textId="75A6A0D1" w:rsidR="00C12C83" w:rsidRPr="00675182" w:rsidRDefault="00C12C83">
            <w:pPr>
              <w:rPr>
                <w:rFonts w:eastAsia="Times New Roman" w:cstheme="minorHAnsi"/>
                <w:sz w:val="22"/>
                <w:szCs w:val="22"/>
                <w:lang w:eastAsia="en-GB"/>
              </w:rPr>
            </w:pPr>
            <w:r w:rsidRPr="00675182">
              <w:rPr>
                <w:rFonts w:cstheme="minorHAnsi"/>
                <w:sz w:val="22"/>
                <w:szCs w:val="22"/>
                <w:lang w:eastAsia="en-GB"/>
              </w:rPr>
              <w:t>Grupa</w:t>
            </w:r>
          </w:p>
        </w:tc>
        <w:tc>
          <w:tcPr>
            <w:tcW w:w="1734" w:type="pct"/>
            <w:vAlign w:val="center"/>
            <w:hideMark/>
          </w:tcPr>
          <w:p w14:paraId="45F047B7" w14:textId="77777777" w:rsidR="00C12C83" w:rsidRPr="00675182" w:rsidRDefault="00C12C83">
            <w:pPr>
              <w:cnfStyle w:val="100000000000" w:firstRow="1" w:lastRow="0" w:firstColumn="0" w:lastColumn="0" w:oddVBand="0" w:evenVBand="0" w:oddHBand="0" w:evenHBand="0" w:firstRowFirstColumn="0" w:firstRowLastColumn="0" w:lastRowFirstColumn="0" w:lastRowLastColumn="0"/>
              <w:rPr>
                <w:rFonts w:cstheme="minorHAnsi"/>
                <w:sz w:val="22"/>
                <w:szCs w:val="22"/>
                <w:lang w:eastAsia="en-GB"/>
              </w:rPr>
            </w:pPr>
            <w:r w:rsidRPr="00675182">
              <w:rPr>
                <w:rFonts w:cstheme="minorHAnsi"/>
                <w:sz w:val="22"/>
                <w:szCs w:val="22"/>
                <w:lang w:eastAsia="en-GB"/>
              </w:rPr>
              <w:t>Klase</w:t>
            </w:r>
          </w:p>
        </w:tc>
        <w:tc>
          <w:tcPr>
            <w:tcW w:w="1667" w:type="pct"/>
            <w:vAlign w:val="center"/>
            <w:hideMark/>
          </w:tcPr>
          <w:p w14:paraId="2DFC13F2" w14:textId="77777777" w:rsidR="00C12C83" w:rsidRPr="00675182" w:rsidRDefault="00C12C83">
            <w:pPr>
              <w:cnfStyle w:val="100000000000" w:firstRow="1" w:lastRow="0" w:firstColumn="0" w:lastColumn="0" w:oddVBand="0" w:evenVBand="0" w:oddHBand="0" w:evenHBand="0" w:firstRowFirstColumn="0" w:firstRowLastColumn="0" w:lastRowFirstColumn="0" w:lastRowLastColumn="0"/>
              <w:rPr>
                <w:rFonts w:cstheme="minorHAnsi"/>
                <w:sz w:val="22"/>
                <w:szCs w:val="22"/>
                <w:lang w:eastAsia="en-GB"/>
              </w:rPr>
            </w:pPr>
            <w:r w:rsidRPr="00675182">
              <w:rPr>
                <w:rFonts w:cstheme="minorHAnsi"/>
                <w:sz w:val="22"/>
                <w:szCs w:val="22"/>
                <w:lang w:eastAsia="en-GB"/>
              </w:rPr>
              <w:t>Pakalpojums</w:t>
            </w:r>
          </w:p>
        </w:tc>
      </w:tr>
      <w:tr w:rsidR="00C12C83" w:rsidRPr="00675182" w14:paraId="3BA6994D"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C2D69B"/>
              <w:left w:val="single" w:sz="4" w:space="0" w:color="C2D69B"/>
              <w:bottom w:val="single" w:sz="4" w:space="0" w:color="C2D69B"/>
              <w:right w:val="single" w:sz="4" w:space="0" w:color="C2D69B"/>
            </w:tcBorders>
            <w:vAlign w:val="center"/>
            <w:hideMark/>
          </w:tcPr>
          <w:p w14:paraId="23562A6F" w14:textId="77777777" w:rsidR="00C12C83" w:rsidRPr="00675182" w:rsidRDefault="00C12C83">
            <w:pPr>
              <w:rPr>
                <w:rFonts w:cstheme="minorHAnsi"/>
                <w:lang w:eastAsia="en-GB"/>
              </w:rPr>
            </w:pPr>
            <w:r w:rsidRPr="00675182">
              <w:rPr>
                <w:rFonts w:cstheme="minorHAnsi"/>
                <w:sz w:val="20"/>
                <w:lang w:eastAsia="en-GB"/>
              </w:rPr>
              <w:t>Apgādes pakalpojumi</w:t>
            </w:r>
          </w:p>
        </w:tc>
      </w:tr>
      <w:tr w:rsidR="00C12C83" w:rsidRPr="00675182" w14:paraId="771A96F1"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val="restart"/>
            <w:tcBorders>
              <w:top w:val="single" w:sz="4" w:space="0" w:color="C2D69B"/>
              <w:left w:val="single" w:sz="4" w:space="0" w:color="C2D69B"/>
              <w:bottom w:val="single" w:sz="4" w:space="0" w:color="C2D69B"/>
              <w:right w:val="single" w:sz="4" w:space="0" w:color="C2D69B"/>
            </w:tcBorders>
            <w:vAlign w:val="center"/>
            <w:hideMark/>
          </w:tcPr>
          <w:p w14:paraId="0153E290" w14:textId="77777777" w:rsidR="00C12C83" w:rsidRPr="00675182" w:rsidRDefault="00C12C83">
            <w:pPr>
              <w:rPr>
                <w:rFonts w:cstheme="minorHAnsi"/>
                <w:lang w:eastAsia="en-GB"/>
              </w:rPr>
            </w:pPr>
            <w:r w:rsidRPr="00675182">
              <w:rPr>
                <w:rFonts w:cstheme="minorHAnsi"/>
                <w:sz w:val="20"/>
                <w:lang w:eastAsia="en-GB"/>
              </w:rPr>
              <w:t>Pārtika</w:t>
            </w: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0A275BA6"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Zemkopība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22F39EAA"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Graudaugi, citi laukaugi/kultūras</w:t>
            </w:r>
          </w:p>
        </w:tc>
      </w:tr>
      <w:tr w:rsidR="00C12C83" w:rsidRPr="00675182" w14:paraId="33008065"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521D8011"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50C6EC9C"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Lopkopība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7A6FEDBE"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Gaļa, piens</w:t>
            </w:r>
          </w:p>
        </w:tc>
      </w:tr>
      <w:tr w:rsidR="00C12C83" w:rsidRPr="00675182" w14:paraId="2CA51C6F"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354A6B99"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030E9C4F"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Akvakultūra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628F405D"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Zivis</w:t>
            </w:r>
          </w:p>
        </w:tc>
      </w:tr>
      <w:tr w:rsidR="00C12C83" w:rsidRPr="00675182" w14:paraId="7227E230"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5540A757"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2C60865B"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Savvaļas augi un to produkti</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0E0F0B0E"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Meža ogas, sēnes, rieksti, ārstnieciskie augi</w:t>
            </w:r>
          </w:p>
        </w:tc>
      </w:tr>
      <w:tr w:rsidR="00C12C83" w:rsidRPr="00675182" w14:paraId="61796091"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7F1D3DED"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1FDD9BEB"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Savvaļas augi un to produkti</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13B352BA"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Zivis, medījumi</w:t>
            </w:r>
          </w:p>
        </w:tc>
      </w:tr>
      <w:tr w:rsidR="00C12C83" w:rsidRPr="00675182" w14:paraId="07E0A3D7"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087A80F5"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5EB1E828"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Biškopība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6A24265D"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Medus</w:t>
            </w:r>
          </w:p>
        </w:tc>
      </w:tr>
      <w:tr w:rsidR="00C12C83" w:rsidRPr="00675182" w14:paraId="681A9978"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4FFA31B7"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4C5225AD"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Dzeramais ūdens (pazemes)</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067C42C8"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Pieejamais minerālūdens</w:t>
            </w:r>
          </w:p>
        </w:tc>
      </w:tr>
      <w:tr w:rsidR="00C12C83" w:rsidRPr="00675182" w14:paraId="7BFF7118"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val="restart"/>
            <w:tcBorders>
              <w:top w:val="single" w:sz="4" w:space="0" w:color="C2D69B"/>
              <w:left w:val="single" w:sz="4" w:space="0" w:color="C2D69B"/>
              <w:bottom w:val="single" w:sz="4" w:space="0" w:color="C2D69B"/>
              <w:right w:val="single" w:sz="4" w:space="0" w:color="C2D69B"/>
            </w:tcBorders>
            <w:vAlign w:val="center"/>
            <w:hideMark/>
          </w:tcPr>
          <w:p w14:paraId="5F7E6DE1" w14:textId="77777777" w:rsidR="00C12C83" w:rsidRPr="00675182" w:rsidRDefault="00C12C83">
            <w:pPr>
              <w:rPr>
                <w:rFonts w:cstheme="minorHAnsi"/>
                <w:lang w:eastAsia="en-GB"/>
              </w:rPr>
            </w:pPr>
            <w:r w:rsidRPr="00675182">
              <w:rPr>
                <w:rFonts w:cstheme="minorHAnsi"/>
                <w:sz w:val="20"/>
                <w:lang w:eastAsia="en-GB"/>
              </w:rPr>
              <w:t>Materiāli</w:t>
            </w: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104A300D"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Šķiedras un citi augu materiāli tiešai lietošanai un pārstrādei</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09221800"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Koksne, dekoratīvie elementi</w:t>
            </w:r>
          </w:p>
        </w:tc>
      </w:tr>
      <w:tr w:rsidR="00C12C83" w:rsidRPr="00675182" w14:paraId="1BBEA5DE"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11A28F4C"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2460078A"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Virszemes ūdens, kas nav lietojams dzeršanai</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130E0410"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Rūpnieciski izmantotais ūdens, ūdens laistīšanai</w:t>
            </w:r>
          </w:p>
        </w:tc>
      </w:tr>
      <w:tr w:rsidR="00C12C83" w:rsidRPr="00675182" w14:paraId="2E153F17"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7BEDF722"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732ECA1C"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Minerālie izrakteņi (grants, smilts, māli, dolomīts, ģipsis), kūdra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650C90A0"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p>
        </w:tc>
      </w:tr>
      <w:tr w:rsidR="00C12C83" w:rsidRPr="00675182" w14:paraId="42DFA650"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val="restart"/>
            <w:tcBorders>
              <w:top w:val="single" w:sz="4" w:space="0" w:color="C2D69B"/>
              <w:left w:val="single" w:sz="4" w:space="0" w:color="C2D69B"/>
              <w:bottom w:val="single" w:sz="4" w:space="0" w:color="C2D69B"/>
              <w:right w:val="single" w:sz="4" w:space="0" w:color="C2D69B"/>
            </w:tcBorders>
            <w:vAlign w:val="center"/>
            <w:hideMark/>
          </w:tcPr>
          <w:p w14:paraId="00221D97" w14:textId="77777777" w:rsidR="00C12C83" w:rsidRPr="00675182" w:rsidRDefault="00C12C83">
            <w:pPr>
              <w:rPr>
                <w:rFonts w:eastAsia="Times New Roman" w:cstheme="minorHAnsi"/>
                <w:sz w:val="22"/>
                <w:szCs w:val="22"/>
                <w:lang w:eastAsia="en-GB"/>
              </w:rPr>
            </w:pPr>
            <w:r w:rsidRPr="00675182">
              <w:rPr>
                <w:rFonts w:cstheme="minorHAnsi"/>
                <w:sz w:val="20"/>
                <w:lang w:eastAsia="en-GB"/>
              </w:rPr>
              <w:t>Enerģija</w:t>
            </w: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37D5E13A"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Augu resursi</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232E50D4"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Malka, šķelda</w:t>
            </w:r>
          </w:p>
        </w:tc>
      </w:tr>
      <w:tr w:rsidR="00C12C83" w:rsidRPr="00675182" w14:paraId="158C446E"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18FC27FA"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1C965E4A"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Hidroenerģija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4FAC06C3"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HES</w:t>
            </w:r>
          </w:p>
        </w:tc>
      </w:tr>
      <w:tr w:rsidR="00C12C83" w:rsidRPr="00675182" w14:paraId="2E052F5B"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4129DE6B"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7E467A05"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color w:val="FF0000"/>
                <w:lang w:eastAsia="en-GB"/>
              </w:rPr>
            </w:pPr>
            <w:r w:rsidRPr="00675182">
              <w:rPr>
                <w:rFonts w:cstheme="minorHAnsi"/>
                <w:sz w:val="20"/>
                <w:lang w:eastAsia="en-GB"/>
              </w:rPr>
              <w:t>Vēja enerģija/saules enerģija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70C41922"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color w:val="FF0000"/>
                <w:lang w:eastAsia="en-GB"/>
              </w:rPr>
            </w:pPr>
          </w:p>
        </w:tc>
      </w:tr>
      <w:tr w:rsidR="00C12C83" w:rsidRPr="00675182" w14:paraId="6415F49C"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C2D69B"/>
              <w:left w:val="single" w:sz="4" w:space="0" w:color="C2D69B"/>
              <w:bottom w:val="single" w:sz="4" w:space="0" w:color="C2D69B"/>
              <w:right w:val="single" w:sz="4" w:space="0" w:color="C2D69B"/>
            </w:tcBorders>
            <w:vAlign w:val="center"/>
            <w:hideMark/>
          </w:tcPr>
          <w:p w14:paraId="17F66F3B" w14:textId="77777777" w:rsidR="00C12C83" w:rsidRPr="00675182" w:rsidRDefault="00C12C83">
            <w:pPr>
              <w:rPr>
                <w:rFonts w:eastAsia="Times New Roman" w:cstheme="minorHAnsi"/>
                <w:sz w:val="22"/>
                <w:szCs w:val="22"/>
                <w:lang w:eastAsia="en-GB"/>
              </w:rPr>
            </w:pPr>
            <w:r w:rsidRPr="00675182">
              <w:rPr>
                <w:rFonts w:cstheme="minorHAnsi"/>
                <w:sz w:val="20"/>
                <w:lang w:eastAsia="en-GB"/>
              </w:rPr>
              <w:t>Regulējošie un atbalsta pakalpojumi</w:t>
            </w:r>
          </w:p>
        </w:tc>
      </w:tr>
      <w:tr w:rsidR="00C12C83" w:rsidRPr="00675182" w14:paraId="047621BB"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tcBorders>
              <w:top w:val="single" w:sz="4" w:space="0" w:color="C2D69B"/>
              <w:left w:val="single" w:sz="4" w:space="0" w:color="C2D69B"/>
              <w:bottom w:val="single" w:sz="4" w:space="0" w:color="C2D69B"/>
              <w:right w:val="single" w:sz="4" w:space="0" w:color="C2D69B"/>
            </w:tcBorders>
            <w:vAlign w:val="center"/>
            <w:hideMark/>
          </w:tcPr>
          <w:p w14:paraId="3955FE22" w14:textId="77777777" w:rsidR="00C12C83" w:rsidRPr="00675182" w:rsidRDefault="00C12C83">
            <w:pPr>
              <w:rPr>
                <w:rFonts w:cstheme="minorHAnsi"/>
                <w:lang w:eastAsia="en-GB"/>
              </w:rPr>
            </w:pPr>
            <w:r w:rsidRPr="00675182">
              <w:rPr>
                <w:rFonts w:cstheme="minorHAnsi"/>
                <w:sz w:val="20"/>
                <w:lang w:eastAsia="en-GB"/>
              </w:rPr>
              <w:t>Negatīvo ietekmju mediācija un piesārņojuma mazināšana</w:t>
            </w: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330322B0"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Smaku, trokšņu, vizuāli nepievilcīgu skatu ietekmes mazināšana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1A568697"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Trokšņa līmeņa mazināšana, vizuāli nepievilcīgu skatu ietekmes mazināšana</w:t>
            </w:r>
          </w:p>
        </w:tc>
      </w:tr>
      <w:tr w:rsidR="00C12C83" w:rsidRPr="00675182" w14:paraId="05FCE8B5"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val="restart"/>
            <w:tcBorders>
              <w:top w:val="single" w:sz="4" w:space="0" w:color="C2D69B"/>
              <w:left w:val="single" w:sz="4" w:space="0" w:color="C2D69B"/>
              <w:bottom w:val="single" w:sz="4" w:space="0" w:color="C2D69B"/>
              <w:right w:val="single" w:sz="4" w:space="0" w:color="C2D69B"/>
            </w:tcBorders>
            <w:vAlign w:val="center"/>
            <w:hideMark/>
          </w:tcPr>
          <w:p w14:paraId="42F8B25D" w14:textId="77777777" w:rsidR="00C12C83" w:rsidRPr="00675182" w:rsidRDefault="00C12C83">
            <w:pPr>
              <w:rPr>
                <w:rFonts w:cstheme="minorHAnsi"/>
                <w:lang w:eastAsia="en-GB"/>
              </w:rPr>
            </w:pPr>
            <w:r w:rsidRPr="00675182">
              <w:rPr>
                <w:rFonts w:cstheme="minorHAnsi"/>
                <w:sz w:val="20"/>
                <w:lang w:eastAsia="en-GB"/>
              </w:rPr>
              <w:t>Fizikālo, ķīmisko un bioloģisko apstākļu uzturēšana</w:t>
            </w: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59DF72CC"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Apputeksnēšana un sēklu izplatīšana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6C43F438"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Piemērotās dzīvotnes un vairošanas vietas apputeksnētajiem</w:t>
            </w:r>
          </w:p>
        </w:tc>
      </w:tr>
      <w:tr w:rsidR="00C12C83" w:rsidRPr="00675182" w14:paraId="4F6BB194"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52780BA5"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62639301"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Dzīvotņu un vairošanas vietu uzturēšana</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210B73F1"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Piemērotas dzīvotnes un vairošanās vietas dažādām sugām</w:t>
            </w:r>
          </w:p>
        </w:tc>
      </w:tr>
      <w:tr w:rsidR="00C12C83" w:rsidRPr="00675182" w14:paraId="41FADDFB"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71884A1D"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14902217"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Kaitēkļu kontrole</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78788107"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Piemērotas dzīvotnes un vairošanās vietas kaitēkļu dabiskajiem ienaidniekiem</w:t>
            </w:r>
          </w:p>
        </w:tc>
      </w:tr>
      <w:tr w:rsidR="00C12C83" w:rsidRPr="00675182" w14:paraId="678D881A"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5022CA83"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61BFE5BF"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Slimību kontrole</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19DDA848"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Spēcīgu un veselīgu populāciju un indivīdu uzturēšana</w:t>
            </w:r>
          </w:p>
        </w:tc>
      </w:tr>
      <w:tr w:rsidR="00C12C83" w:rsidRPr="00675182" w14:paraId="2B9E5922"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3BAB4542"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348CB976"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Dēdēšanas process un tā ietekme uz augsnes auglību</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15B3BE75"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Augiem pieejamo barības vielu nodrošinājums</w:t>
            </w:r>
          </w:p>
        </w:tc>
      </w:tr>
      <w:tr w:rsidR="00C12C83" w:rsidRPr="00675182" w14:paraId="2E1DDE61"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74CE43E4"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280F7A2A"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Sadalīšanas un piesaistes procesi</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74CE6C4E"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Augu atlieku noārdīšana, slāpekļa piesaiste</w:t>
            </w:r>
          </w:p>
        </w:tc>
      </w:tr>
      <w:tr w:rsidR="00C12C83" w:rsidRPr="00675182" w14:paraId="39079107"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4AE8F466"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65F4B9A1"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Saldūdens ķīmiskais stāvoklis</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788247C0"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Slāpekļa, fosfora piesaiste</w:t>
            </w:r>
          </w:p>
        </w:tc>
      </w:tr>
      <w:tr w:rsidR="00C12C83" w:rsidRPr="00675182" w14:paraId="39FA6903"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7253922E"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0B1BEA59"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Globālā klimata regulācija, kas samazina siltumnīcefekta gāzu koncentrāciju</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48FA00B8"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Oglekļa piesaiste</w:t>
            </w:r>
          </w:p>
        </w:tc>
      </w:tr>
      <w:tr w:rsidR="00C12C83" w:rsidRPr="00675182" w14:paraId="4818397D"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569B6D95"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23C7D0A3"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439BB915"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eastAsia="en-GB"/>
              </w:rPr>
            </w:pPr>
            <w:r w:rsidRPr="00675182">
              <w:rPr>
                <w:rFonts w:cstheme="minorHAnsi"/>
                <w:sz w:val="20"/>
                <w:lang w:eastAsia="en-GB"/>
              </w:rPr>
              <w:t>Oglekļa aizturēšana</w:t>
            </w:r>
          </w:p>
        </w:tc>
      </w:tr>
      <w:tr w:rsidR="00C12C83" w:rsidRPr="00675182" w14:paraId="29880DC5"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C2D69B"/>
              <w:left w:val="single" w:sz="4" w:space="0" w:color="C2D69B"/>
              <w:bottom w:val="single" w:sz="4" w:space="0" w:color="C2D69B"/>
              <w:right w:val="single" w:sz="4" w:space="0" w:color="C2D69B"/>
            </w:tcBorders>
            <w:vAlign w:val="center"/>
            <w:hideMark/>
          </w:tcPr>
          <w:p w14:paraId="64624899" w14:textId="77777777" w:rsidR="00C12C83" w:rsidRPr="00675182" w:rsidRDefault="00C12C83">
            <w:pPr>
              <w:rPr>
                <w:rFonts w:cstheme="minorHAnsi"/>
                <w:lang w:eastAsia="en-GB"/>
              </w:rPr>
            </w:pPr>
            <w:r w:rsidRPr="00675182">
              <w:rPr>
                <w:rFonts w:cstheme="minorHAnsi"/>
                <w:sz w:val="20"/>
                <w:lang w:eastAsia="en-GB"/>
              </w:rPr>
              <w:t>Kultūras pakalpojumi</w:t>
            </w:r>
          </w:p>
        </w:tc>
      </w:tr>
      <w:tr w:rsidR="00C12C83" w:rsidRPr="00675182" w14:paraId="7997F250"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val="restart"/>
            <w:tcBorders>
              <w:top w:val="single" w:sz="4" w:space="0" w:color="C2D69B"/>
              <w:left w:val="single" w:sz="4" w:space="0" w:color="C2D69B"/>
              <w:bottom w:val="single" w:sz="4" w:space="0" w:color="C2D69B"/>
              <w:right w:val="single" w:sz="4" w:space="0" w:color="C2D69B"/>
            </w:tcBorders>
            <w:vAlign w:val="center"/>
            <w:hideMark/>
          </w:tcPr>
          <w:p w14:paraId="6384FF87" w14:textId="77777777" w:rsidR="00C12C83" w:rsidRPr="00675182" w:rsidRDefault="00C12C83">
            <w:pPr>
              <w:rPr>
                <w:rFonts w:cstheme="minorHAnsi"/>
                <w:lang w:eastAsia="en-GB"/>
              </w:rPr>
            </w:pPr>
            <w:r w:rsidRPr="00675182">
              <w:rPr>
                <w:rFonts w:cstheme="minorHAnsi"/>
                <w:sz w:val="20"/>
                <w:lang w:eastAsia="en-GB"/>
              </w:rPr>
              <w:t>Fiziska un intelektuāla saskare ar biotu, ekosistēmām un ainavām</w:t>
            </w: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004BCA65"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Netiešas pieredzes gūšana ar augiem, dzīvniekiem un ainavām dažādos vides apstākļos</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76A02AD4"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Putnu, dzīvnieku vērošana</w:t>
            </w:r>
          </w:p>
        </w:tc>
      </w:tr>
      <w:tr w:rsidR="00C12C83" w:rsidRPr="00675182" w14:paraId="0191944B"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5537D37C"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59B90F97"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Mantojuma, kultūras nozīme</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2B980200"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Kultūrvēsturiskas ainavas, dižkoki</w:t>
            </w:r>
          </w:p>
        </w:tc>
      </w:tr>
      <w:tr w:rsidR="00C12C83" w:rsidRPr="00675182" w14:paraId="32865AA7" w14:textId="77777777" w:rsidTr="00C12C8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99" w:type="pct"/>
            <w:vMerge/>
            <w:tcBorders>
              <w:top w:val="single" w:sz="4" w:space="0" w:color="C2D69B"/>
              <w:left w:val="single" w:sz="4" w:space="0" w:color="C2D69B"/>
              <w:bottom w:val="single" w:sz="4" w:space="0" w:color="C2D69B"/>
              <w:right w:val="single" w:sz="4" w:space="0" w:color="C2D69B"/>
            </w:tcBorders>
            <w:vAlign w:val="center"/>
            <w:hideMark/>
          </w:tcPr>
          <w:p w14:paraId="48F2B000" w14:textId="77777777" w:rsidR="00C12C83" w:rsidRPr="00675182" w:rsidRDefault="00C12C83">
            <w:pPr>
              <w:rPr>
                <w:rFonts w:eastAsia="Times New Roman" w:cstheme="minorHAnsi"/>
                <w:sz w:val="22"/>
                <w:szCs w:val="22"/>
                <w:lang w:eastAsia="en-GB"/>
              </w:rPr>
            </w:pP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2156D708"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Estētiska nozīme</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1B84037C" w14:textId="77777777" w:rsidR="00C12C83" w:rsidRPr="00675182" w:rsidRDefault="00C12C83">
            <w:pPr>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75182">
              <w:rPr>
                <w:rFonts w:cstheme="minorHAnsi"/>
                <w:sz w:val="20"/>
                <w:lang w:eastAsia="en-GB"/>
              </w:rPr>
              <w:t>Ainavas skaistums, iedvesma mākslai, mūzikai utt.</w:t>
            </w:r>
          </w:p>
        </w:tc>
      </w:tr>
      <w:tr w:rsidR="00C12C83" w:rsidRPr="00675182" w14:paraId="0560861E" w14:textId="77777777" w:rsidTr="00C12C83">
        <w:trPr>
          <w:trHeight w:val="315"/>
          <w:jc w:val="center"/>
        </w:trPr>
        <w:tc>
          <w:tcPr>
            <w:cnfStyle w:val="001000000000" w:firstRow="0" w:lastRow="0" w:firstColumn="1" w:lastColumn="0" w:oddVBand="0" w:evenVBand="0" w:oddHBand="0" w:evenHBand="0" w:firstRowFirstColumn="0" w:firstRowLastColumn="0" w:lastRowFirstColumn="0" w:lastRowLastColumn="0"/>
            <w:tcW w:w="1599" w:type="pct"/>
            <w:tcBorders>
              <w:top w:val="single" w:sz="4" w:space="0" w:color="C2D69B"/>
              <w:left w:val="single" w:sz="4" w:space="0" w:color="C2D69B"/>
              <w:bottom w:val="single" w:sz="4" w:space="0" w:color="C2D69B"/>
              <w:right w:val="single" w:sz="4" w:space="0" w:color="C2D69B"/>
            </w:tcBorders>
            <w:vAlign w:val="center"/>
            <w:hideMark/>
          </w:tcPr>
          <w:p w14:paraId="675091C1" w14:textId="77777777" w:rsidR="00C12C83" w:rsidRPr="00675182" w:rsidRDefault="00C12C83">
            <w:pPr>
              <w:rPr>
                <w:rFonts w:cstheme="minorHAnsi"/>
                <w:lang w:eastAsia="en-GB"/>
              </w:rPr>
            </w:pPr>
            <w:r w:rsidRPr="00675182">
              <w:rPr>
                <w:rFonts w:cstheme="minorHAnsi"/>
                <w:sz w:val="20"/>
                <w:lang w:eastAsia="en-GB"/>
              </w:rPr>
              <w:t>Garīga, simboliska vai cita veida mijiedarbība ar biotu, ekosistēmām un ainavām</w:t>
            </w:r>
          </w:p>
        </w:tc>
        <w:tc>
          <w:tcPr>
            <w:tcW w:w="1734" w:type="pct"/>
            <w:tcBorders>
              <w:top w:val="single" w:sz="4" w:space="0" w:color="C2D69B"/>
              <w:left w:val="single" w:sz="4" w:space="0" w:color="C2D69B"/>
              <w:bottom w:val="single" w:sz="4" w:space="0" w:color="C2D69B"/>
              <w:right w:val="single" w:sz="4" w:space="0" w:color="C2D69B"/>
            </w:tcBorders>
            <w:vAlign w:val="center"/>
            <w:hideMark/>
          </w:tcPr>
          <w:p w14:paraId="18F49832"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Simboliska nozīme</w:t>
            </w:r>
          </w:p>
        </w:tc>
        <w:tc>
          <w:tcPr>
            <w:tcW w:w="1667" w:type="pct"/>
            <w:tcBorders>
              <w:top w:val="single" w:sz="4" w:space="0" w:color="C2D69B"/>
              <w:left w:val="single" w:sz="4" w:space="0" w:color="C2D69B"/>
              <w:bottom w:val="single" w:sz="4" w:space="0" w:color="C2D69B"/>
              <w:right w:val="single" w:sz="4" w:space="0" w:color="C2D69B"/>
            </w:tcBorders>
            <w:vAlign w:val="center"/>
            <w:hideMark/>
          </w:tcPr>
          <w:p w14:paraId="7A7F6C09" w14:textId="77777777" w:rsidR="00C12C83" w:rsidRPr="00675182" w:rsidRDefault="00C12C83">
            <w:pPr>
              <w:cnfStyle w:val="000000000000" w:firstRow="0" w:lastRow="0" w:firstColumn="0" w:lastColumn="0" w:oddVBand="0" w:evenVBand="0" w:oddHBand="0" w:evenHBand="0" w:firstRowFirstColumn="0" w:firstRowLastColumn="0" w:lastRowFirstColumn="0" w:lastRowLastColumn="0"/>
              <w:rPr>
                <w:rFonts w:cstheme="minorHAnsi"/>
                <w:lang w:eastAsia="en-GB"/>
              </w:rPr>
            </w:pPr>
            <w:r w:rsidRPr="00675182">
              <w:rPr>
                <w:rFonts w:cstheme="minorHAnsi"/>
                <w:sz w:val="20"/>
                <w:lang w:eastAsia="en-GB"/>
              </w:rPr>
              <w:t>Koki, dzīvnieki un ainavas kā simboli</w:t>
            </w:r>
          </w:p>
        </w:tc>
      </w:tr>
    </w:tbl>
    <w:p w14:paraId="6305CF4A" w14:textId="77777777" w:rsidR="00C12C83" w:rsidRPr="00675182" w:rsidRDefault="00C12C83" w:rsidP="00C12C83">
      <w:pPr>
        <w:rPr>
          <w:rFonts w:cstheme="minorBidi"/>
          <w:sz w:val="22"/>
          <w:szCs w:val="22"/>
          <w:lang w:eastAsia="en-US"/>
        </w:rPr>
      </w:pPr>
    </w:p>
    <w:p w14:paraId="70EE3208" w14:textId="1B3ED491" w:rsidR="00C12C83" w:rsidRPr="00675182" w:rsidRDefault="004B6555" w:rsidP="00C12C83">
      <w:pPr>
        <w:rPr>
          <w:rStyle w:val="SubtleEmphasis"/>
        </w:rPr>
      </w:pPr>
      <w:r>
        <w:rPr>
          <w:rStyle w:val="SubtleEmphasis"/>
        </w:rPr>
        <w:t>EP</w:t>
      </w:r>
      <w:r w:rsidR="00C12C83" w:rsidRPr="00675182">
        <w:rPr>
          <w:rStyle w:val="SubtleEmphasis"/>
        </w:rPr>
        <w:t xml:space="preserve"> kartēšana</w:t>
      </w:r>
    </w:p>
    <w:p w14:paraId="7D02492D" w14:textId="3735E458" w:rsidR="00C12C83" w:rsidRPr="00675182" w:rsidRDefault="00C12C83" w:rsidP="009D6FAD">
      <w:pPr>
        <w:jc w:val="both"/>
      </w:pPr>
      <w:r w:rsidRPr="00675182">
        <w:lastRenderedPageBreak/>
        <w:t>Veicot EP kartēšanu, ir izmantoti dažādi DA plāna izstrādātājiem pieejamie informācijas avoti, lai noteiktu ekosistēmu un biotopu robežas, identificētu interesējošo objektu atrašanas vietas u</w:t>
      </w:r>
      <w:r w:rsidR="004B6555">
        <w:t>.</w:t>
      </w:r>
      <w:r w:rsidRPr="00675182">
        <w:t xml:space="preserve">tt., ieskaitot tūrisma un rekreācijas infrastruktūras un objektu kartes, ainavu novērtējuma kartes, zemes lietojuma datus, biotopu izplatības kartes, topogrāfiskās kartes, mežaudzes raksturojošās kartes un datubāzes, kā arī citus datu avotus. </w:t>
      </w:r>
    </w:p>
    <w:p w14:paraId="77D97F1C" w14:textId="77777777" w:rsidR="009D6FAD" w:rsidRPr="00675182" w:rsidRDefault="009D6FAD" w:rsidP="009D6FAD">
      <w:pPr>
        <w:jc w:val="both"/>
      </w:pPr>
    </w:p>
    <w:p w14:paraId="5BBE2F51" w14:textId="2DF07FA3" w:rsidR="00C12C83" w:rsidRPr="00675182" w:rsidRDefault="00C12C83" w:rsidP="009D6FAD">
      <w:pPr>
        <w:jc w:val="both"/>
      </w:pPr>
      <w:r w:rsidRPr="00675182">
        <w:t>Ņemot vērā GNP teritorijas aptverto pl</w:t>
      </w:r>
      <w:r w:rsidR="004847A3" w:rsidRPr="00675182">
        <w:t>a</w:t>
      </w:r>
      <w:r w:rsidRPr="00675182">
        <w:t>tību, novērtējumā izmantotā informācija tika optimizēta, sadalot nacionālā parka teritoriju 1050 heksagonos ar platību 1 km</w:t>
      </w:r>
      <w:r w:rsidRPr="00675182">
        <w:rPr>
          <w:vertAlign w:val="superscript"/>
        </w:rPr>
        <w:t>3</w:t>
      </w:r>
      <w:r w:rsidRPr="00675182">
        <w:t xml:space="preserve">, kur katrs heksagons raksturo izlīdzināto vidējo situāciju attiecīgajā platības vienībā (skat. </w:t>
      </w:r>
      <w:r w:rsidR="009D6FAD" w:rsidRPr="00675182">
        <w:t>1.3.40. attēlu</w:t>
      </w:r>
      <w:r w:rsidRPr="0067518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C12C83" w:rsidRPr="00675182" w14:paraId="2F08E0F9" w14:textId="77777777" w:rsidTr="00C12C83">
        <w:tc>
          <w:tcPr>
            <w:tcW w:w="9016" w:type="dxa"/>
            <w:hideMark/>
          </w:tcPr>
          <w:p w14:paraId="2A2A2CE4" w14:textId="71267161" w:rsidR="00C12C83" w:rsidRPr="00675182" w:rsidRDefault="00C12C83">
            <w:r w:rsidRPr="00675182">
              <w:rPr>
                <w:noProof/>
                <w:sz w:val="20"/>
              </w:rPr>
              <w:drawing>
                <wp:inline distT="0" distB="0" distL="0" distR="0" wp14:anchorId="632730A6" wp14:editId="53BC33C3">
                  <wp:extent cx="5038666" cy="3600000"/>
                  <wp:effectExtent l="0" t="0" r="0" b="635"/>
                  <wp:docPr id="266" name="Attēls 26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10;&#10;Description automatically generated"/>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38666" cy="3600000"/>
                          </a:xfrm>
                          <a:prstGeom prst="rect">
                            <a:avLst/>
                          </a:prstGeom>
                          <a:noFill/>
                          <a:ln>
                            <a:noFill/>
                          </a:ln>
                        </pic:spPr>
                      </pic:pic>
                    </a:graphicData>
                  </a:graphic>
                </wp:inline>
              </w:drawing>
            </w:r>
          </w:p>
        </w:tc>
      </w:tr>
      <w:tr w:rsidR="00C12C83" w:rsidRPr="00675182" w14:paraId="09A05A64" w14:textId="77777777" w:rsidTr="00C12C83">
        <w:tc>
          <w:tcPr>
            <w:tcW w:w="9016" w:type="dxa"/>
            <w:hideMark/>
          </w:tcPr>
          <w:p w14:paraId="02AB8880" w14:textId="66F836F8" w:rsidR="00C12C83" w:rsidRPr="00675182" w:rsidRDefault="00C12C83">
            <w:pPr>
              <w:rPr>
                <w:rFonts w:ascii="Calibri" w:hAnsi="Calibri"/>
                <w:b/>
                <w:bCs/>
                <w:i/>
                <w:iCs/>
              </w:rPr>
            </w:pPr>
            <w:r w:rsidRPr="00675182">
              <w:rPr>
                <w:rFonts w:ascii="Calibri" w:hAnsi="Calibri"/>
                <w:b/>
                <w:bCs/>
                <w:i/>
                <w:iCs/>
              </w:rPr>
              <w:t>1.3.</w:t>
            </w:r>
            <w:r w:rsidR="009D6FAD" w:rsidRPr="00675182">
              <w:rPr>
                <w:rFonts w:ascii="Calibri" w:hAnsi="Calibri"/>
                <w:b/>
                <w:bCs/>
                <w:i/>
                <w:iCs/>
              </w:rPr>
              <w:t>40</w:t>
            </w:r>
            <w:r w:rsidRPr="00675182">
              <w:rPr>
                <w:rFonts w:ascii="Calibri" w:hAnsi="Calibri"/>
                <w:b/>
                <w:bCs/>
                <w:i/>
                <w:iCs/>
              </w:rPr>
              <w:t>. attēls. Šķiedras un citi augu materiāli tiešai lietošanai un pārstrādei (biomasas krāja)</w:t>
            </w:r>
          </w:p>
        </w:tc>
      </w:tr>
    </w:tbl>
    <w:p w14:paraId="67B8512C" w14:textId="77777777" w:rsidR="00C12C83" w:rsidRPr="00675182" w:rsidRDefault="00C12C83" w:rsidP="00C12C83">
      <w:pPr>
        <w:rPr>
          <w:rFonts w:eastAsiaTheme="minorHAnsi" w:cstheme="minorBidi"/>
          <w:sz w:val="22"/>
          <w:szCs w:val="22"/>
          <w:lang w:eastAsia="en-US"/>
        </w:rPr>
      </w:pPr>
    </w:p>
    <w:p w14:paraId="250EE137" w14:textId="546D6C02" w:rsidR="00C12C83" w:rsidRPr="00675182" w:rsidRDefault="008D0325" w:rsidP="00C12C83">
      <w:pPr>
        <w:jc w:val="both"/>
        <w:rPr>
          <w:rStyle w:val="SubtleEmphasis"/>
        </w:rPr>
      </w:pPr>
      <w:r>
        <w:rPr>
          <w:rStyle w:val="SubtleEmphasis"/>
        </w:rPr>
        <w:t>EP</w:t>
      </w:r>
      <w:r w:rsidR="00C12C83" w:rsidRPr="00675182">
        <w:rPr>
          <w:rStyle w:val="SubtleEmphasis"/>
        </w:rPr>
        <w:t xml:space="preserve"> vērtības novērtējums</w:t>
      </w:r>
    </w:p>
    <w:p w14:paraId="46E2B62C" w14:textId="23526E0B" w:rsidR="00C12C83" w:rsidRPr="00675182" w:rsidRDefault="00C12C83" w:rsidP="00C12C83">
      <w:pPr>
        <w:jc w:val="both"/>
      </w:pPr>
      <w:r w:rsidRPr="00675182">
        <w:t>Katra no atlasītiem EP kvalitāte un nodrošinājums GNP teritorijā tika kvalitatīvi un semi-kvantitatīvi novērtēts, izmantojot vienotu pieeju projekta ekspertu fokusa grupā, kura laikā eksperti balstoties uz viņu specifiskām zināšanām, literatūras pētījumiem vai arī pieejamiem datiem, ka arī informāciju par situāciju noteiktā teritorijā, piešķīra EP vērtībai vērtējumu no 0 līdz 5, kur</w:t>
      </w:r>
      <w:r w:rsidR="008D0325">
        <w:t>:</w:t>
      </w:r>
      <w:r w:rsidRPr="00675182">
        <w:t xml:space="preserve"> </w:t>
      </w:r>
    </w:p>
    <w:p w14:paraId="0273A2DC" w14:textId="77777777" w:rsidR="00C12C83" w:rsidRPr="00675182" w:rsidRDefault="00C12C83" w:rsidP="00A84218">
      <w:pPr>
        <w:pStyle w:val="ListParagraph"/>
        <w:numPr>
          <w:ilvl w:val="0"/>
          <w:numId w:val="60"/>
        </w:numPr>
        <w:suppressAutoHyphens w:val="0"/>
        <w:spacing w:after="160" w:line="256" w:lineRule="auto"/>
        <w:contextualSpacing/>
        <w:jc w:val="both"/>
      </w:pPr>
      <w:r w:rsidRPr="00675182">
        <w:t>“0” – EP netiek nodrošināts,</w:t>
      </w:r>
    </w:p>
    <w:p w14:paraId="293B827A" w14:textId="77777777" w:rsidR="00C12C83" w:rsidRPr="00675182" w:rsidRDefault="00C12C83" w:rsidP="00A84218">
      <w:pPr>
        <w:pStyle w:val="ListParagraph"/>
        <w:numPr>
          <w:ilvl w:val="0"/>
          <w:numId w:val="60"/>
        </w:numPr>
        <w:suppressAutoHyphens w:val="0"/>
        <w:spacing w:after="160" w:line="256" w:lineRule="auto"/>
        <w:contextualSpacing/>
        <w:jc w:val="both"/>
      </w:pPr>
      <w:r w:rsidRPr="00675182">
        <w:t>“1” – EP ļoti zema vērtība,</w:t>
      </w:r>
    </w:p>
    <w:p w14:paraId="6B0950C5" w14:textId="77777777" w:rsidR="00C12C83" w:rsidRPr="00675182" w:rsidRDefault="00C12C83" w:rsidP="00A84218">
      <w:pPr>
        <w:pStyle w:val="ListParagraph"/>
        <w:numPr>
          <w:ilvl w:val="0"/>
          <w:numId w:val="60"/>
        </w:numPr>
        <w:suppressAutoHyphens w:val="0"/>
        <w:spacing w:after="160" w:line="256" w:lineRule="auto"/>
        <w:contextualSpacing/>
        <w:jc w:val="both"/>
      </w:pPr>
      <w:r w:rsidRPr="00675182">
        <w:t>“2” – EP zema vērtība,</w:t>
      </w:r>
    </w:p>
    <w:p w14:paraId="5F6C8D3A" w14:textId="77777777" w:rsidR="00C12C83" w:rsidRPr="00675182" w:rsidRDefault="00C12C83" w:rsidP="00A84218">
      <w:pPr>
        <w:pStyle w:val="ListParagraph"/>
        <w:numPr>
          <w:ilvl w:val="0"/>
          <w:numId w:val="60"/>
        </w:numPr>
        <w:suppressAutoHyphens w:val="0"/>
        <w:spacing w:after="160" w:line="256" w:lineRule="auto"/>
        <w:contextualSpacing/>
        <w:jc w:val="both"/>
      </w:pPr>
      <w:r w:rsidRPr="00675182">
        <w:t>“3” – EP vidēja vērtība,</w:t>
      </w:r>
    </w:p>
    <w:p w14:paraId="6272C70E" w14:textId="77777777" w:rsidR="00C12C83" w:rsidRPr="00675182" w:rsidRDefault="00C12C83" w:rsidP="00A84218">
      <w:pPr>
        <w:pStyle w:val="ListParagraph"/>
        <w:numPr>
          <w:ilvl w:val="0"/>
          <w:numId w:val="60"/>
        </w:numPr>
        <w:suppressAutoHyphens w:val="0"/>
        <w:spacing w:after="160" w:line="256" w:lineRule="auto"/>
        <w:contextualSpacing/>
        <w:jc w:val="both"/>
      </w:pPr>
      <w:r w:rsidRPr="00675182">
        <w:t>“4” – EP augsta vērtība,</w:t>
      </w:r>
    </w:p>
    <w:p w14:paraId="684B4DE2" w14:textId="77777777" w:rsidR="00C12C83" w:rsidRPr="00675182" w:rsidRDefault="00C12C83" w:rsidP="00A84218">
      <w:pPr>
        <w:pStyle w:val="ListParagraph"/>
        <w:numPr>
          <w:ilvl w:val="0"/>
          <w:numId w:val="60"/>
        </w:numPr>
        <w:suppressAutoHyphens w:val="0"/>
        <w:spacing w:after="160" w:line="256" w:lineRule="auto"/>
        <w:contextualSpacing/>
        <w:jc w:val="both"/>
      </w:pPr>
      <w:r w:rsidRPr="00675182">
        <w:t>“5” – EP ļoti augsta vērtība.</w:t>
      </w:r>
    </w:p>
    <w:p w14:paraId="2BF7C33A" w14:textId="1747529E" w:rsidR="00C12C83" w:rsidRDefault="00C12C83" w:rsidP="00C12C83">
      <w:pPr>
        <w:jc w:val="both"/>
      </w:pPr>
      <w:r w:rsidRPr="00675182">
        <w:lastRenderedPageBreak/>
        <w:t>Katrs EP tika novērtēts atsevišķi, telpiski atspoguļojot novērtējuma rezultātu heksagonu kartēs (sk</w:t>
      </w:r>
      <w:r w:rsidR="009D6FAD" w:rsidRPr="00675182">
        <w:t>at</w:t>
      </w:r>
      <w:r w:rsidRPr="00675182">
        <w:t>. piemēru 1.3.</w:t>
      </w:r>
      <w:r w:rsidR="009D6FAD" w:rsidRPr="00675182">
        <w:t>41.</w:t>
      </w:r>
      <w:r w:rsidRPr="00675182">
        <w:t xml:space="preserve"> attēlā).</w:t>
      </w:r>
    </w:p>
    <w:p w14:paraId="74416DEB" w14:textId="77777777" w:rsidR="008D0325" w:rsidRPr="00675182" w:rsidRDefault="008D0325" w:rsidP="00C12C83">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C12C83" w:rsidRPr="00675182" w14:paraId="0CDC546C" w14:textId="77777777" w:rsidTr="00C12C83">
        <w:tc>
          <w:tcPr>
            <w:tcW w:w="9016" w:type="dxa"/>
            <w:hideMark/>
          </w:tcPr>
          <w:p w14:paraId="5B093FAA" w14:textId="606E0217" w:rsidR="00C12C83" w:rsidRPr="00675182" w:rsidRDefault="00C12C83">
            <w:r w:rsidRPr="00675182">
              <w:rPr>
                <w:noProof/>
                <w:sz w:val="20"/>
              </w:rPr>
              <w:drawing>
                <wp:inline distT="0" distB="0" distL="0" distR="0" wp14:anchorId="71822A24" wp14:editId="6232E65C">
                  <wp:extent cx="5041214" cy="3600000"/>
                  <wp:effectExtent l="0" t="0" r="7620" b="635"/>
                  <wp:docPr id="265" name="Attēls 26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10;&#10;Description automatically generated"/>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041214" cy="3600000"/>
                          </a:xfrm>
                          <a:prstGeom prst="rect">
                            <a:avLst/>
                          </a:prstGeom>
                          <a:noFill/>
                          <a:ln>
                            <a:noFill/>
                          </a:ln>
                        </pic:spPr>
                      </pic:pic>
                    </a:graphicData>
                  </a:graphic>
                </wp:inline>
              </w:drawing>
            </w:r>
          </w:p>
        </w:tc>
      </w:tr>
      <w:tr w:rsidR="00C12C83" w:rsidRPr="00675182" w14:paraId="2DAA007D" w14:textId="77777777" w:rsidTr="00C12C83">
        <w:tc>
          <w:tcPr>
            <w:tcW w:w="9016" w:type="dxa"/>
            <w:hideMark/>
          </w:tcPr>
          <w:p w14:paraId="7B9F69C7" w14:textId="663845CE" w:rsidR="00C12C83" w:rsidRPr="00675182" w:rsidRDefault="00C12C83">
            <w:pPr>
              <w:rPr>
                <w:rFonts w:ascii="Calibri" w:hAnsi="Calibri"/>
                <w:b/>
                <w:bCs/>
                <w:i/>
                <w:iCs/>
              </w:rPr>
            </w:pPr>
            <w:r w:rsidRPr="00675182">
              <w:rPr>
                <w:rFonts w:ascii="Calibri" w:hAnsi="Calibri"/>
                <w:b/>
                <w:bCs/>
                <w:i/>
                <w:iCs/>
              </w:rPr>
              <w:t>1.3.4</w:t>
            </w:r>
            <w:r w:rsidR="009D6FAD" w:rsidRPr="00675182">
              <w:rPr>
                <w:rFonts w:ascii="Calibri" w:hAnsi="Calibri"/>
                <w:b/>
                <w:bCs/>
                <w:i/>
                <w:iCs/>
              </w:rPr>
              <w:t>1</w:t>
            </w:r>
            <w:r w:rsidRPr="00675182">
              <w:rPr>
                <w:rFonts w:ascii="Calibri" w:hAnsi="Calibri"/>
                <w:b/>
                <w:bCs/>
                <w:i/>
                <w:iCs/>
              </w:rPr>
              <w:t>. attēls. Koki, dzīvnieki un ainavas kā simboli</w:t>
            </w:r>
          </w:p>
        </w:tc>
      </w:tr>
    </w:tbl>
    <w:p w14:paraId="6DE1855D" w14:textId="77777777" w:rsidR="00C12C83" w:rsidRPr="00675182" w:rsidRDefault="00C12C83" w:rsidP="00C12C83">
      <w:pPr>
        <w:rPr>
          <w:rFonts w:eastAsiaTheme="minorHAnsi" w:cstheme="minorBidi"/>
          <w:sz w:val="22"/>
          <w:szCs w:val="22"/>
          <w:lang w:eastAsia="en-US"/>
        </w:rPr>
      </w:pPr>
    </w:p>
    <w:p w14:paraId="7FC62556" w14:textId="04D55E73" w:rsidR="00C12C83" w:rsidRPr="00675182" w:rsidRDefault="00C12C83" w:rsidP="00C12C83">
      <w:pPr>
        <w:rPr>
          <w:rStyle w:val="SubtleEmphasis"/>
        </w:rPr>
      </w:pPr>
      <w:r w:rsidRPr="00675182">
        <w:rPr>
          <w:rStyle w:val="SubtleEmphasis"/>
        </w:rPr>
        <w:t xml:space="preserve">Integrētās </w:t>
      </w:r>
      <w:r w:rsidR="005C1A2F">
        <w:rPr>
          <w:rStyle w:val="SubtleEmphasis"/>
        </w:rPr>
        <w:t>EP</w:t>
      </w:r>
      <w:r w:rsidRPr="00675182">
        <w:rPr>
          <w:rStyle w:val="SubtleEmphasis"/>
        </w:rPr>
        <w:t xml:space="preserve"> kartes izveide</w:t>
      </w:r>
    </w:p>
    <w:p w14:paraId="6F934B73" w14:textId="59323DBC" w:rsidR="00C12C83" w:rsidRPr="00675182" w:rsidRDefault="00C12C83" w:rsidP="00C12C83">
      <w:pPr>
        <w:jc w:val="both"/>
      </w:pPr>
      <w:r w:rsidRPr="00675182">
        <w:t xml:space="preserve">Ņemot vērā, ka šī EP novērtējuma uzdevums ir sniegt papildus informāciju par EP vērtību DA plāna izstrādes procesā un sniegt atbalstu GNP funkcionālā zonējuma sagatavošanā, ka arī ņemot vērā novērtējumam pieejamo resursu un datu ierobežojumus, integrētās (summārās) </w:t>
      </w:r>
      <w:r w:rsidR="005C1A2F">
        <w:t>EP</w:t>
      </w:r>
      <w:r w:rsidRPr="00675182">
        <w:t xml:space="preserve"> kartes mērķis ir parādīt teritorijas, kas ir vērtīgas EP nodrošinājuma kontekstā, neņemot vērā iespējamo EP savstarpējo konfliktu vai sinerģijas. Tāpēc, izstrādājot integrētu (summāru) </w:t>
      </w:r>
      <w:r w:rsidR="005C1A2F">
        <w:t>EP</w:t>
      </w:r>
      <w:r w:rsidRPr="00675182">
        <w:t xml:space="preserve"> karti, visi novērtētie EP uzskatīti par vienlīdzīgiem un to kvalitatīvie novērtējumi tika matemātiski summēti un iegūtās summārās vērtības tika attiecinātas pret ĢIS noteikto telpisko vienību (heksagonu) un attēlotas kartē (sk</w:t>
      </w:r>
      <w:r w:rsidR="009D6FAD" w:rsidRPr="00675182">
        <w:t>at</w:t>
      </w:r>
      <w:r w:rsidRPr="00675182">
        <w:t xml:space="preserve">. </w:t>
      </w:r>
      <w:r w:rsidR="009D6FAD" w:rsidRPr="00675182">
        <w:t>1.3.42. attēlu</w:t>
      </w:r>
      <w:r w:rsidRPr="0067518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C12C83" w:rsidRPr="00675182" w14:paraId="3FE94173" w14:textId="77777777" w:rsidTr="00C12C83">
        <w:tc>
          <w:tcPr>
            <w:tcW w:w="9016" w:type="dxa"/>
            <w:hideMark/>
          </w:tcPr>
          <w:p w14:paraId="00C27AAF" w14:textId="0A18A8C3" w:rsidR="00C12C83" w:rsidRPr="00675182" w:rsidRDefault="00C12C83">
            <w:r w:rsidRPr="00675182">
              <w:rPr>
                <w:noProof/>
                <w:sz w:val="20"/>
              </w:rPr>
              <w:lastRenderedPageBreak/>
              <w:drawing>
                <wp:inline distT="0" distB="0" distL="0" distR="0" wp14:anchorId="29979F1D" wp14:editId="373B7698">
                  <wp:extent cx="5025126" cy="3600000"/>
                  <wp:effectExtent l="0" t="0" r="4445" b="635"/>
                  <wp:docPr id="264" name="Attēls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25126" cy="3600000"/>
                          </a:xfrm>
                          <a:prstGeom prst="rect">
                            <a:avLst/>
                          </a:prstGeom>
                          <a:noFill/>
                          <a:ln>
                            <a:noFill/>
                          </a:ln>
                        </pic:spPr>
                      </pic:pic>
                    </a:graphicData>
                  </a:graphic>
                </wp:inline>
              </w:drawing>
            </w:r>
          </w:p>
        </w:tc>
      </w:tr>
      <w:tr w:rsidR="00C12C83" w:rsidRPr="00675182" w14:paraId="4C03EF0C" w14:textId="77777777" w:rsidTr="00C12C83">
        <w:tc>
          <w:tcPr>
            <w:tcW w:w="9016" w:type="dxa"/>
            <w:hideMark/>
          </w:tcPr>
          <w:p w14:paraId="7280A341" w14:textId="77773547" w:rsidR="00C12C83" w:rsidRPr="00675182" w:rsidRDefault="00C12C83">
            <w:pPr>
              <w:rPr>
                <w:rFonts w:ascii="Calibri" w:hAnsi="Calibri"/>
                <w:b/>
                <w:bCs/>
                <w:i/>
                <w:iCs/>
              </w:rPr>
            </w:pPr>
            <w:r w:rsidRPr="00675182">
              <w:rPr>
                <w:rFonts w:ascii="Calibri" w:hAnsi="Calibri"/>
                <w:b/>
                <w:bCs/>
                <w:i/>
                <w:iCs/>
              </w:rPr>
              <w:t>1.3.</w:t>
            </w:r>
            <w:r w:rsidR="009D6FAD" w:rsidRPr="00675182">
              <w:rPr>
                <w:rFonts w:ascii="Calibri" w:hAnsi="Calibri"/>
                <w:b/>
                <w:bCs/>
                <w:i/>
                <w:iCs/>
              </w:rPr>
              <w:t>42</w:t>
            </w:r>
            <w:r w:rsidRPr="00675182">
              <w:rPr>
                <w:rFonts w:ascii="Calibri" w:hAnsi="Calibri"/>
                <w:b/>
                <w:bCs/>
                <w:i/>
                <w:iCs/>
              </w:rPr>
              <w:t xml:space="preserve">. attēls. Integrētā (summārā) </w:t>
            </w:r>
            <w:r w:rsidR="005C1A2F">
              <w:rPr>
                <w:rFonts w:ascii="Calibri" w:hAnsi="Calibri"/>
                <w:b/>
                <w:bCs/>
                <w:i/>
                <w:iCs/>
              </w:rPr>
              <w:t>EP</w:t>
            </w:r>
            <w:r w:rsidRPr="00675182">
              <w:rPr>
                <w:rFonts w:ascii="Calibri" w:hAnsi="Calibri"/>
                <w:b/>
                <w:bCs/>
                <w:i/>
                <w:iCs/>
              </w:rPr>
              <w:t xml:space="preserve"> nodrošinājuma novērtējuma karte</w:t>
            </w:r>
          </w:p>
        </w:tc>
      </w:tr>
    </w:tbl>
    <w:p w14:paraId="4DF671B4" w14:textId="77777777" w:rsidR="00C12C83" w:rsidRPr="00675182" w:rsidRDefault="00C12C83" w:rsidP="00C12C83">
      <w:pPr>
        <w:rPr>
          <w:rFonts w:eastAsiaTheme="minorHAnsi" w:cstheme="minorBidi"/>
          <w:sz w:val="22"/>
          <w:szCs w:val="22"/>
          <w:lang w:eastAsia="en-US"/>
        </w:rPr>
      </w:pPr>
    </w:p>
    <w:p w14:paraId="0274F823" w14:textId="3343D8C8" w:rsidR="00C12C83" w:rsidRPr="00675182" w:rsidRDefault="005C1A2F" w:rsidP="00C12C83">
      <w:pPr>
        <w:rPr>
          <w:rStyle w:val="SubtleEmphasis"/>
        </w:rPr>
      </w:pPr>
      <w:r>
        <w:rPr>
          <w:rStyle w:val="SubtleEmphasis"/>
        </w:rPr>
        <w:t>EP</w:t>
      </w:r>
      <w:r w:rsidR="00C12C83" w:rsidRPr="00675182">
        <w:rPr>
          <w:rStyle w:val="SubtleEmphasis"/>
        </w:rPr>
        <w:t xml:space="preserve"> kompromisu un sinerģiju novērtējums</w:t>
      </w:r>
    </w:p>
    <w:p w14:paraId="5C5FFFD9" w14:textId="2FC05A19" w:rsidR="00C12C83" w:rsidRPr="00675182" w:rsidRDefault="00C12C83" w:rsidP="009D6FAD">
      <w:pPr>
        <w:jc w:val="both"/>
        <w:rPr>
          <w:rFonts w:ascii="Calibri" w:hAnsi="Calibri"/>
        </w:rPr>
      </w:pPr>
      <w:r w:rsidRPr="00675182">
        <w:t>Interpretējot EP novērtējuma rezultātus</w:t>
      </w:r>
      <w:r w:rsidR="009D6FAD" w:rsidRPr="00675182">
        <w:t>,</w:t>
      </w:r>
      <w:r w:rsidRPr="00675182">
        <w:t xml:space="preserve"> ir jāņem vērā EP mijiedarbību un savstarpējo saistību: </w:t>
      </w:r>
      <w:r w:rsidRPr="00675182">
        <w:rPr>
          <w:rFonts w:ascii="Calibri" w:hAnsi="Calibri"/>
        </w:rPr>
        <w:t>izmaiņas viena EP nodrošinājumā un tā izlietojumā var ietekmēt arī citu EP nodrošinājuma potenciālu. Atsevišķos gadījumos noteikto EP vienlaicīgā izmantošana nav iespējama, piemēram, bioloģiskās daudzveidības nodrošināšanas pakalpojums un aramzemju izmantošana intensīvā lauksaimniecībā graudu un citu kultūraugu audzēšanai, tādējādi nodrošinot augstu vērtību apgādes pakalpojumam pārtikas ražošanai, noteiktā teritorijā vienlaikus nevar tikt nodrošināts. Līdzīgi arī savvaļas augu un to produkti nodrošināšanas pakalpojums un intensīvas koksnes resursu nodrošināšanas pakalpojums noteiktā teritorijā vienlaikus nevar tikt izmantoti. Tajā pašā laikā citi EP var tikt izmantoti sinerģijā, papildinot viens otru, kā, piemēram,</w:t>
      </w:r>
      <w:r w:rsidRPr="00675182">
        <w:t xml:space="preserve"> </w:t>
      </w:r>
      <w:r w:rsidRPr="00675182">
        <w:rPr>
          <w:rFonts w:ascii="Calibri" w:hAnsi="Calibri"/>
        </w:rPr>
        <w:t xml:space="preserve">dzīvotņu un reto vai aizsargājamo sugu vairošanas vietu uzturēšana pakalpojums un globālā klimata regulācijas pakalpojums (oglekļa piesaiste un aizturēšana) purvu teritorijās. </w:t>
      </w:r>
    </w:p>
    <w:p w14:paraId="014D387E" w14:textId="77777777" w:rsidR="009D6FAD" w:rsidRPr="00675182" w:rsidRDefault="009D6FAD" w:rsidP="009D6FAD">
      <w:pPr>
        <w:jc w:val="both"/>
        <w:rPr>
          <w:rFonts w:ascii="Calibri" w:hAnsi="Calibri"/>
        </w:rPr>
      </w:pPr>
    </w:p>
    <w:p w14:paraId="69E71D52" w14:textId="4CE05163" w:rsidR="00C12C83" w:rsidRPr="00675182" w:rsidRDefault="00C12C83" w:rsidP="009D6FAD">
      <w:pPr>
        <w:jc w:val="both"/>
        <w:rPr>
          <w:rFonts w:ascii="Calibri" w:hAnsi="Calibri"/>
        </w:rPr>
      </w:pPr>
      <w:r w:rsidRPr="00675182">
        <w:rPr>
          <w:rFonts w:ascii="Calibri" w:hAnsi="Calibri"/>
        </w:rPr>
        <w:t xml:space="preserve">Lai demonstrētu kompromisu ietekmi uz kopējo EP vērtību, kuru izmantošana nav savietojama ar citiem EP, hidroenerģijas attīstība, derīgo izrakteņu iegūšana un intensīva koksnes iegūšana tika definēti kā konfliktējoši EP. Šī pieeja tika izmantota – veidojot integrēto </w:t>
      </w:r>
      <w:r w:rsidR="00F87DAF">
        <w:rPr>
          <w:rFonts w:ascii="Calibri" w:hAnsi="Calibri"/>
        </w:rPr>
        <w:t>EP</w:t>
      </w:r>
      <w:r w:rsidRPr="00675182">
        <w:rPr>
          <w:rFonts w:ascii="Calibri" w:hAnsi="Calibri"/>
        </w:rPr>
        <w:t xml:space="preserve"> novērtējuma karti - šo EP vērtība tika atņemta no pārējo EP summārā novērtējumā (skat. </w:t>
      </w:r>
      <w:r w:rsidR="009D6FAD" w:rsidRPr="00675182">
        <w:rPr>
          <w:rFonts w:ascii="Calibri" w:hAnsi="Calibri"/>
        </w:rPr>
        <w:t>1.3.43</w:t>
      </w:r>
      <w:r w:rsidRPr="00675182">
        <w:rPr>
          <w:rFonts w:ascii="Calibri" w:hAnsi="Calibri"/>
        </w:rPr>
        <w:t xml:space="preserve">. attēlu). </w:t>
      </w:r>
    </w:p>
    <w:p w14:paraId="625CBC70" w14:textId="77777777" w:rsidR="00C12C83" w:rsidRPr="00675182" w:rsidRDefault="00C12C83" w:rsidP="00C12C83">
      <w:pPr>
        <w:rPr>
          <w:rFonts w:ascii="Calibri" w:hAnsi="Calibri"/>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C12C83" w:rsidRPr="00675182" w14:paraId="51333B37" w14:textId="77777777" w:rsidTr="00C12C83">
        <w:tc>
          <w:tcPr>
            <w:tcW w:w="9016" w:type="dxa"/>
            <w:hideMark/>
          </w:tcPr>
          <w:p w14:paraId="1AB5F2E0" w14:textId="08CDC873" w:rsidR="00C12C83" w:rsidRPr="00675182" w:rsidRDefault="00C12C83">
            <w:pPr>
              <w:rPr>
                <w:rFonts w:ascii="Times New Roman" w:eastAsia="Times New Roman" w:hAnsi="Times New Roman" w:cs="Times New Roman"/>
                <w:highlight w:val="yellow"/>
                <w:lang w:eastAsia="en-US"/>
              </w:rPr>
            </w:pPr>
            <w:r w:rsidRPr="00675182">
              <w:rPr>
                <w:noProof/>
                <w:sz w:val="20"/>
              </w:rPr>
              <w:lastRenderedPageBreak/>
              <w:drawing>
                <wp:inline distT="0" distB="0" distL="0" distR="0" wp14:anchorId="38BFF513" wp14:editId="47AE11E5">
                  <wp:extent cx="5045464" cy="3600000"/>
                  <wp:effectExtent l="0" t="0" r="3175" b="635"/>
                  <wp:docPr id="263" name="Attēls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45464" cy="3600000"/>
                          </a:xfrm>
                          <a:prstGeom prst="rect">
                            <a:avLst/>
                          </a:prstGeom>
                          <a:noFill/>
                          <a:ln>
                            <a:noFill/>
                          </a:ln>
                        </pic:spPr>
                      </pic:pic>
                    </a:graphicData>
                  </a:graphic>
                </wp:inline>
              </w:drawing>
            </w:r>
          </w:p>
        </w:tc>
      </w:tr>
      <w:tr w:rsidR="00C12C83" w:rsidRPr="00675182" w14:paraId="2AA38800" w14:textId="77777777" w:rsidTr="00C12C83">
        <w:tc>
          <w:tcPr>
            <w:tcW w:w="9016" w:type="dxa"/>
            <w:hideMark/>
          </w:tcPr>
          <w:p w14:paraId="35737D88" w14:textId="549F2FE9" w:rsidR="00C12C83" w:rsidRPr="00675182" w:rsidRDefault="00C12C83">
            <w:pPr>
              <w:rPr>
                <w:rFonts w:ascii="Calibri" w:hAnsi="Calibri"/>
                <w:b/>
                <w:bCs/>
                <w:i/>
                <w:iCs/>
              </w:rPr>
            </w:pPr>
            <w:r w:rsidRPr="00675182">
              <w:rPr>
                <w:rFonts w:ascii="Calibri" w:hAnsi="Calibri"/>
                <w:b/>
                <w:bCs/>
                <w:i/>
                <w:iCs/>
                <w:sz w:val="20"/>
              </w:rPr>
              <w:t>1.3.</w:t>
            </w:r>
            <w:r w:rsidR="009D6FAD" w:rsidRPr="00675182">
              <w:rPr>
                <w:rFonts w:ascii="Calibri" w:hAnsi="Calibri"/>
                <w:b/>
                <w:bCs/>
                <w:i/>
                <w:iCs/>
                <w:sz w:val="20"/>
              </w:rPr>
              <w:t>43</w:t>
            </w:r>
            <w:r w:rsidRPr="00675182">
              <w:rPr>
                <w:rFonts w:ascii="Calibri" w:hAnsi="Calibri"/>
                <w:b/>
                <w:bCs/>
                <w:i/>
                <w:iCs/>
                <w:sz w:val="20"/>
              </w:rPr>
              <w:t xml:space="preserve">. attēls. Integrētā (summārā) </w:t>
            </w:r>
            <w:r w:rsidR="00F87DAF">
              <w:rPr>
                <w:rFonts w:ascii="Calibri" w:hAnsi="Calibri"/>
                <w:b/>
                <w:bCs/>
                <w:i/>
                <w:iCs/>
                <w:sz w:val="20"/>
              </w:rPr>
              <w:t>EP</w:t>
            </w:r>
            <w:r w:rsidRPr="00675182">
              <w:rPr>
                <w:rFonts w:ascii="Calibri" w:hAnsi="Calibri"/>
                <w:b/>
                <w:bCs/>
                <w:i/>
                <w:iCs/>
                <w:sz w:val="20"/>
              </w:rPr>
              <w:t xml:space="preserve"> novērtējuma karte, kurā ir ņemta vērā hidroenerģijas attīstības, derīgo minerālo izrakteņu iegūšanas un intensīvas koksnes iegūšanas EP nesavienojamība ar citu EP nodrošināšanu (EP nodrošinājuma konflikti)</w:t>
            </w:r>
          </w:p>
        </w:tc>
      </w:tr>
    </w:tbl>
    <w:p w14:paraId="6C80347E" w14:textId="4C63A3C2" w:rsidR="00CC14FF" w:rsidRPr="00675182" w:rsidRDefault="00CC14FF" w:rsidP="006C7C24">
      <w:pPr>
        <w:suppressAutoHyphens w:val="0"/>
        <w:jc w:val="both"/>
        <w:rPr>
          <w:rFonts w:cstheme="minorHAnsi"/>
        </w:rPr>
      </w:pPr>
      <w:r w:rsidRPr="00675182">
        <w:rPr>
          <w:rFonts w:cstheme="minorHAnsi"/>
        </w:rPr>
        <w:br w:type="page"/>
      </w:r>
    </w:p>
    <w:p w14:paraId="0D6AC1DC" w14:textId="3E4A329B" w:rsidR="00011E51" w:rsidRPr="00675182" w:rsidRDefault="00DC721C" w:rsidP="00A176D9">
      <w:pPr>
        <w:pStyle w:val="Heading1"/>
      </w:pPr>
      <w:bookmarkStart w:id="34" w:name="_Toc116938397"/>
      <w:r w:rsidRPr="00675182">
        <w:lastRenderedPageBreak/>
        <w:t xml:space="preserve">2. </w:t>
      </w:r>
      <w:r w:rsidR="00011E51" w:rsidRPr="00675182">
        <w:t>Aizsargājamās teritorijas novērtējums</w:t>
      </w:r>
      <w:bookmarkEnd w:id="34"/>
    </w:p>
    <w:p w14:paraId="539BC09B" w14:textId="77777777" w:rsidR="00FA6FE7" w:rsidRPr="00675182" w:rsidRDefault="00FA6FE7" w:rsidP="002B3341">
      <w:pPr>
        <w:rPr>
          <w:rFonts w:cstheme="minorHAnsi"/>
        </w:rPr>
      </w:pPr>
    </w:p>
    <w:p w14:paraId="1938D02E" w14:textId="77777777" w:rsidR="00011E51" w:rsidRPr="00675182" w:rsidRDefault="00011E51" w:rsidP="002B3341">
      <w:pPr>
        <w:pStyle w:val="Heading2"/>
        <w:keepNext w:val="0"/>
        <w:rPr>
          <w:rFonts w:cstheme="minorHAnsi"/>
          <w:i w:val="0"/>
          <w:lang w:val="lv-LV"/>
        </w:rPr>
      </w:pPr>
      <w:bookmarkStart w:id="35" w:name="_Toc116938398"/>
      <w:r w:rsidRPr="00675182">
        <w:rPr>
          <w:rFonts w:cstheme="minorHAnsi"/>
          <w:i w:val="0"/>
          <w:lang w:val="lv-LV"/>
        </w:rPr>
        <w:t>2.1. Aizsargājamā teritorija kā vienota dabas aizsardzības vērtība un faktori, kas to ietekmē</w:t>
      </w:r>
      <w:bookmarkEnd w:id="35"/>
    </w:p>
    <w:p w14:paraId="62C7FE36" w14:textId="2D705AD3" w:rsidR="00931EE3" w:rsidRPr="00675182" w:rsidRDefault="00931EE3" w:rsidP="002B3341">
      <w:pPr>
        <w:jc w:val="both"/>
        <w:rPr>
          <w:rFonts w:cstheme="minorHAnsi"/>
        </w:rPr>
      </w:pPr>
    </w:p>
    <w:p w14:paraId="203547A3" w14:textId="4A240E58" w:rsidR="00931EE3" w:rsidRPr="00675182" w:rsidRDefault="007C641D" w:rsidP="00931EE3">
      <w:pPr>
        <w:jc w:val="both"/>
        <w:rPr>
          <w:rFonts w:cstheme="minorHAnsi"/>
        </w:rPr>
      </w:pPr>
      <w:r>
        <w:rPr>
          <w:rFonts w:cstheme="minorHAnsi"/>
        </w:rPr>
        <w:t xml:space="preserve">ES nozīmes </w:t>
      </w:r>
      <w:r w:rsidR="00931EE3" w:rsidRPr="00675182">
        <w:rPr>
          <w:rFonts w:cstheme="minorHAnsi"/>
        </w:rPr>
        <w:t xml:space="preserve">biotopi </w:t>
      </w:r>
      <w:r>
        <w:rPr>
          <w:rFonts w:cstheme="minorHAnsi"/>
        </w:rPr>
        <w:t xml:space="preserve">jeb aizsargājamie biotopi, kas ietver arī Latvijas īpaši aizsargājamos biotopus, </w:t>
      </w:r>
      <w:r w:rsidR="00931EE3" w:rsidRPr="00675182">
        <w:rPr>
          <w:rFonts w:cstheme="minorHAnsi"/>
        </w:rPr>
        <w:t xml:space="preserve">aizņem </w:t>
      </w:r>
      <w:r w:rsidR="00587C6B" w:rsidRPr="00675182">
        <w:rPr>
          <w:rFonts w:cstheme="minorHAnsi"/>
        </w:rPr>
        <w:t>18</w:t>
      </w:r>
      <w:r w:rsidR="005458CB" w:rsidRPr="00675182">
        <w:rPr>
          <w:rFonts w:cstheme="minorHAnsi"/>
        </w:rPr>
        <w:t xml:space="preserve"> </w:t>
      </w:r>
      <w:r w:rsidR="00B520EE">
        <w:rPr>
          <w:rFonts w:cstheme="minorHAnsi"/>
        </w:rPr>
        <w:t>580</w:t>
      </w:r>
      <w:r w:rsidR="00F96A62" w:rsidRPr="00675182">
        <w:rPr>
          <w:rFonts w:cstheme="minorHAnsi"/>
        </w:rPr>
        <w:t xml:space="preserve"> </w:t>
      </w:r>
      <w:r w:rsidR="00931EE3" w:rsidRPr="00675182">
        <w:rPr>
          <w:rFonts w:cstheme="minorHAnsi"/>
        </w:rPr>
        <w:t xml:space="preserve">ha jeb </w:t>
      </w:r>
      <w:r w:rsidR="00BE28C8" w:rsidRPr="00675182">
        <w:rPr>
          <w:rFonts w:cstheme="minorHAnsi"/>
        </w:rPr>
        <w:t>nedaudz vairāk nekā</w:t>
      </w:r>
      <w:r w:rsidR="00587C6B" w:rsidRPr="00675182">
        <w:rPr>
          <w:rFonts w:cstheme="minorHAnsi"/>
        </w:rPr>
        <w:t xml:space="preserve"> 20</w:t>
      </w:r>
      <w:r w:rsidR="00931EE3" w:rsidRPr="00675182">
        <w:rPr>
          <w:rFonts w:cstheme="minorHAnsi"/>
        </w:rPr>
        <w:t xml:space="preserve"> % no GNP teritorijas. Informācija par ES nozīmes  biotopu platībām</w:t>
      </w:r>
      <w:r w:rsidR="006E67FE" w:rsidRPr="00675182">
        <w:rPr>
          <w:rFonts w:cstheme="minorHAnsi"/>
        </w:rPr>
        <w:t xml:space="preserve"> apkopota 2.1. tabulā</w:t>
      </w:r>
      <w:r w:rsidR="00C7112C" w:rsidRPr="00675182">
        <w:rPr>
          <w:rFonts w:cstheme="minorHAnsi"/>
        </w:rPr>
        <w:t>, bet to izvietojums GNP teritorijā ir attēlots 2.3.1. attēlā un 9. pielikumā.</w:t>
      </w:r>
    </w:p>
    <w:p w14:paraId="3AAA1EC5" w14:textId="77777777" w:rsidR="007108C9" w:rsidRPr="00675182" w:rsidRDefault="007108C9" w:rsidP="007108C9">
      <w:pPr>
        <w:shd w:val="clear" w:color="auto" w:fill="FFFFFF" w:themeFill="background1"/>
        <w:jc w:val="both"/>
        <w:rPr>
          <w:rFonts w:cstheme="minorHAnsi"/>
        </w:rPr>
      </w:pPr>
    </w:p>
    <w:p w14:paraId="45269C60" w14:textId="6C599584" w:rsidR="007108C9" w:rsidRPr="00675182" w:rsidRDefault="007108C9" w:rsidP="007108C9">
      <w:pPr>
        <w:shd w:val="clear" w:color="auto" w:fill="FFFFFF" w:themeFill="background1"/>
        <w:jc w:val="both"/>
        <w:rPr>
          <w:rFonts w:cstheme="minorHAnsi"/>
        </w:rPr>
      </w:pPr>
      <w:r w:rsidRPr="00675182">
        <w:rPr>
          <w:rFonts w:cstheme="minorHAnsi"/>
        </w:rPr>
        <w:t>Lielākās aizsargājamo biotopu platības (</w:t>
      </w:r>
      <w:r w:rsidR="00A37BA7" w:rsidRPr="00675182">
        <w:rPr>
          <w:rFonts w:cstheme="minorHAnsi"/>
        </w:rPr>
        <w:t>nedaudz vairāk nekā</w:t>
      </w:r>
      <w:r w:rsidRPr="00675182">
        <w:rPr>
          <w:rFonts w:cstheme="minorHAnsi"/>
        </w:rPr>
        <w:t xml:space="preserve"> 13 % no GNP platības un 65% no kopējās aizsargājamo biotopu platības GNP) aizņem dažādi aizsargājami mežu biotopi. Otra lielākā biotopu grupa nacionālā parka teritorijā ir purvu biotopi, kas aizņem ap 4 % no GNP platības un gandrīz 20% no kopējās aizsargājamo biotopu platības.</w:t>
      </w:r>
    </w:p>
    <w:p w14:paraId="7549E890" w14:textId="77777777" w:rsidR="007108C9" w:rsidRPr="00675182" w:rsidRDefault="007108C9" w:rsidP="007108C9">
      <w:pPr>
        <w:shd w:val="clear" w:color="auto" w:fill="FFFFFF" w:themeFill="background1"/>
        <w:jc w:val="both"/>
        <w:rPr>
          <w:rFonts w:cstheme="minorHAnsi"/>
        </w:rPr>
      </w:pPr>
    </w:p>
    <w:p w14:paraId="2C544AD6" w14:textId="62DE99CF" w:rsidR="007108C9" w:rsidRPr="00675182" w:rsidRDefault="007108C9" w:rsidP="007108C9">
      <w:pPr>
        <w:shd w:val="clear" w:color="auto" w:fill="FFFFFF" w:themeFill="background1"/>
        <w:jc w:val="both"/>
        <w:rPr>
          <w:rFonts w:cstheme="minorHAnsi"/>
        </w:rPr>
      </w:pPr>
      <w:r w:rsidRPr="00675182">
        <w:rPr>
          <w:rFonts w:cstheme="minorHAnsi"/>
        </w:rPr>
        <w:t>Saldūdeņu biotopi veido neatņemamu GNP ainavas un ekoloģiskās struktūras sastāvdaļu. Kopumā stāvošo un tekošo saldūdeņu biotopi aizņem gandrīz 18</w:t>
      </w:r>
      <w:r w:rsidR="00B520EE">
        <w:rPr>
          <w:rFonts w:cstheme="minorHAnsi"/>
        </w:rPr>
        <w:t>82</w:t>
      </w:r>
      <w:r w:rsidRPr="00675182">
        <w:rPr>
          <w:rFonts w:cstheme="minorHAnsi"/>
        </w:rPr>
        <w:t xml:space="preserve"> ha jeb 10 % no kopējās aizsargājamo biotopu platības.</w:t>
      </w:r>
    </w:p>
    <w:p w14:paraId="6D1EB034" w14:textId="77777777" w:rsidR="00931EE3" w:rsidRPr="00675182" w:rsidRDefault="00931EE3" w:rsidP="00931EE3">
      <w:pPr>
        <w:jc w:val="both"/>
        <w:rPr>
          <w:rFonts w:cstheme="minorHAnsi"/>
        </w:rPr>
      </w:pPr>
    </w:p>
    <w:p w14:paraId="26EFE3D0" w14:textId="7CF9B5B8" w:rsidR="00931EE3" w:rsidRPr="00675182" w:rsidRDefault="00931EE3" w:rsidP="007028E5">
      <w:pPr>
        <w:shd w:val="clear" w:color="auto" w:fill="FFFFFF" w:themeFill="background1"/>
        <w:jc w:val="both"/>
        <w:rPr>
          <w:rFonts w:cstheme="minorHAnsi"/>
        </w:rPr>
      </w:pPr>
      <w:r w:rsidRPr="00675182">
        <w:rPr>
          <w:rFonts w:cstheme="minorHAnsi"/>
        </w:rPr>
        <w:t xml:space="preserve">Zālāju biotopu platības GNP teritorijā aizņem </w:t>
      </w:r>
      <w:r w:rsidR="006E67FE" w:rsidRPr="00675182">
        <w:rPr>
          <w:rFonts w:cstheme="minorHAnsi"/>
        </w:rPr>
        <w:t xml:space="preserve">vairāk </w:t>
      </w:r>
      <w:r w:rsidR="0050217C" w:rsidRPr="00675182">
        <w:rPr>
          <w:rFonts w:cstheme="minorHAnsi"/>
        </w:rPr>
        <w:t>ne</w:t>
      </w:r>
      <w:r w:rsidR="006E67FE" w:rsidRPr="00675182">
        <w:rPr>
          <w:rFonts w:cstheme="minorHAnsi"/>
        </w:rPr>
        <w:t>kā 8</w:t>
      </w:r>
      <w:r w:rsidR="00B520EE">
        <w:rPr>
          <w:rFonts w:cstheme="minorHAnsi"/>
        </w:rPr>
        <w:t>4</w:t>
      </w:r>
      <w:r w:rsidR="006E67FE" w:rsidRPr="00675182">
        <w:rPr>
          <w:rFonts w:cstheme="minorHAnsi"/>
        </w:rPr>
        <w:t>0 ha (4,</w:t>
      </w:r>
      <w:r w:rsidR="00B520EE">
        <w:rPr>
          <w:rFonts w:cstheme="minorHAnsi"/>
        </w:rPr>
        <w:t>6</w:t>
      </w:r>
      <w:r w:rsidR="006E67FE" w:rsidRPr="00675182">
        <w:rPr>
          <w:rFonts w:cstheme="minorHAnsi"/>
        </w:rPr>
        <w:t xml:space="preserve">% no GNP platības), potenciālo zālāju biotopu platības – </w:t>
      </w:r>
      <w:r w:rsidR="00FD467F" w:rsidRPr="00675182">
        <w:rPr>
          <w:rFonts w:cstheme="minorHAnsi"/>
        </w:rPr>
        <w:t>405</w:t>
      </w:r>
      <w:r w:rsidR="006E67FE" w:rsidRPr="00675182">
        <w:rPr>
          <w:rFonts w:cstheme="minorHAnsi"/>
        </w:rPr>
        <w:t xml:space="preserve"> ha.</w:t>
      </w:r>
    </w:p>
    <w:p w14:paraId="2B2EF15A" w14:textId="77777777" w:rsidR="006E67FE" w:rsidRPr="00675182" w:rsidRDefault="006E67FE" w:rsidP="007028E5">
      <w:pPr>
        <w:shd w:val="clear" w:color="auto" w:fill="FFFFFF" w:themeFill="background1"/>
        <w:jc w:val="both"/>
        <w:rPr>
          <w:rFonts w:cstheme="minorHAnsi"/>
        </w:rPr>
      </w:pPr>
    </w:p>
    <w:p w14:paraId="54DA8A6B" w14:textId="6B0B2F7A" w:rsidR="006E67FE" w:rsidRPr="00675182" w:rsidRDefault="006E67FE" w:rsidP="006E67FE">
      <w:pPr>
        <w:jc w:val="both"/>
        <w:rPr>
          <w:rFonts w:cstheme="minorHAnsi"/>
        </w:rPr>
      </w:pPr>
      <w:r w:rsidRPr="00675182">
        <w:rPr>
          <w:rFonts w:cstheme="minorHAnsi"/>
        </w:rPr>
        <w:t xml:space="preserve">Ļoti nozīmīga biotopu grupa, </w:t>
      </w:r>
      <w:r w:rsidR="006D1E83" w:rsidRPr="00675182">
        <w:rPr>
          <w:rFonts w:cstheme="minorHAnsi"/>
        </w:rPr>
        <w:t>kas veido ievērojamu daļu no š</w:t>
      </w:r>
      <w:r w:rsidR="00E23E85" w:rsidRPr="00675182">
        <w:rPr>
          <w:rFonts w:cstheme="minorHAnsi"/>
        </w:rPr>
        <w:t>o biotopu kopējās platības Latvijā</w:t>
      </w:r>
      <w:r w:rsidRPr="00675182">
        <w:rPr>
          <w:rFonts w:cstheme="minorHAnsi"/>
        </w:rPr>
        <w:t xml:space="preserve">, ir alu un iežu atsegumu biotopi. GNP ir konstatēti </w:t>
      </w:r>
      <w:r w:rsidR="00E23E85" w:rsidRPr="00675182">
        <w:rPr>
          <w:rFonts w:cstheme="minorHAnsi"/>
        </w:rPr>
        <w:t>visi trīs</w:t>
      </w:r>
      <w:r w:rsidRPr="00675182">
        <w:rPr>
          <w:rFonts w:cstheme="minorHAnsi"/>
        </w:rPr>
        <w:t xml:space="preserve"> Latvijā sastopamo iežu atsegumu biotopu veidi, tāpat </w:t>
      </w:r>
      <w:r w:rsidR="00BC64D3">
        <w:rPr>
          <w:rFonts w:cstheme="minorHAnsi"/>
        </w:rPr>
        <w:t>GNP</w:t>
      </w:r>
      <w:r w:rsidRPr="00675182">
        <w:rPr>
          <w:rFonts w:cstheme="minorHAnsi"/>
        </w:rPr>
        <w:t xml:space="preserve"> šobrīd apzinātas vairāk nekā </w:t>
      </w:r>
      <w:r w:rsidR="00BE28C8" w:rsidRPr="00675182">
        <w:rPr>
          <w:rFonts w:cstheme="minorHAnsi"/>
        </w:rPr>
        <w:t>285</w:t>
      </w:r>
      <w:r w:rsidR="006D1E83" w:rsidRPr="00675182">
        <w:rPr>
          <w:rFonts w:cstheme="minorHAnsi"/>
        </w:rPr>
        <w:t xml:space="preserve"> </w:t>
      </w:r>
      <w:r w:rsidRPr="00675182">
        <w:rPr>
          <w:rFonts w:cstheme="minorHAnsi"/>
        </w:rPr>
        <w:t>alas.</w:t>
      </w:r>
    </w:p>
    <w:p w14:paraId="57098EE9" w14:textId="77777777" w:rsidR="006E67FE" w:rsidRPr="00675182" w:rsidRDefault="006E67FE" w:rsidP="007028E5">
      <w:pPr>
        <w:shd w:val="clear" w:color="auto" w:fill="FFFFFF" w:themeFill="background1"/>
        <w:jc w:val="both"/>
        <w:rPr>
          <w:rFonts w:cstheme="minorHAnsi"/>
          <w:sz w:val="20"/>
        </w:rPr>
      </w:pPr>
    </w:p>
    <w:p w14:paraId="5C035823" w14:textId="272938E8" w:rsidR="00931EE3" w:rsidRPr="00675182" w:rsidRDefault="006E67FE" w:rsidP="00931EE3">
      <w:pPr>
        <w:jc w:val="both"/>
        <w:rPr>
          <w:rFonts w:cstheme="minorHAnsi"/>
          <w:b/>
          <w:bCs/>
          <w:i/>
          <w:iCs/>
        </w:rPr>
      </w:pPr>
      <w:r w:rsidRPr="00675182">
        <w:rPr>
          <w:rFonts w:cstheme="minorHAnsi"/>
          <w:b/>
          <w:bCs/>
          <w:i/>
          <w:iCs/>
        </w:rPr>
        <w:t>2.1. tabula. ES nozīmes biotopu platības GNP</w:t>
      </w:r>
    </w:p>
    <w:tbl>
      <w:tblPr>
        <w:tblW w:w="5000" w:type="pct"/>
        <w:tblLayout w:type="fixed"/>
        <w:tblLook w:val="04A0" w:firstRow="1" w:lastRow="0" w:firstColumn="1" w:lastColumn="0" w:noHBand="0" w:noVBand="1"/>
      </w:tblPr>
      <w:tblGrid>
        <w:gridCol w:w="2076"/>
        <w:gridCol w:w="2075"/>
        <w:gridCol w:w="2075"/>
        <w:gridCol w:w="2075"/>
      </w:tblGrid>
      <w:tr w:rsidR="006E67FE" w:rsidRPr="00675182" w14:paraId="2DCE7843" w14:textId="77777777" w:rsidTr="0050217C">
        <w:trPr>
          <w:trHeight w:val="255"/>
        </w:trPr>
        <w:tc>
          <w:tcPr>
            <w:tcW w:w="1250"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11D0D59F" w14:textId="77777777" w:rsidR="001E6322" w:rsidRPr="00675182" w:rsidRDefault="001E6322" w:rsidP="001E6322">
            <w:pPr>
              <w:suppressAutoHyphens w:val="0"/>
              <w:jc w:val="center"/>
              <w:rPr>
                <w:rFonts w:eastAsia="Times New Roman" w:cstheme="minorHAnsi"/>
                <w:b/>
                <w:bCs/>
                <w:szCs w:val="24"/>
                <w:lang w:eastAsia="en-US"/>
              </w:rPr>
            </w:pPr>
            <w:r w:rsidRPr="00675182">
              <w:rPr>
                <w:rFonts w:eastAsia="Times New Roman" w:cstheme="minorHAnsi"/>
                <w:b/>
                <w:bCs/>
                <w:szCs w:val="24"/>
                <w:lang w:eastAsia="en-US"/>
              </w:rPr>
              <w:t>Biotopu grupa</w:t>
            </w:r>
          </w:p>
        </w:tc>
        <w:tc>
          <w:tcPr>
            <w:tcW w:w="1250"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139FF846" w14:textId="77777777" w:rsidR="001E6322" w:rsidRPr="00675182" w:rsidRDefault="001E6322" w:rsidP="001E6322">
            <w:pPr>
              <w:suppressAutoHyphens w:val="0"/>
              <w:jc w:val="center"/>
              <w:rPr>
                <w:rFonts w:eastAsia="Times New Roman" w:cstheme="minorHAnsi"/>
                <w:b/>
                <w:bCs/>
                <w:szCs w:val="24"/>
                <w:lang w:eastAsia="en-US"/>
              </w:rPr>
            </w:pPr>
            <w:r w:rsidRPr="00675182">
              <w:rPr>
                <w:rFonts w:eastAsia="Times New Roman" w:cstheme="minorHAnsi"/>
                <w:b/>
                <w:bCs/>
                <w:szCs w:val="24"/>
                <w:lang w:eastAsia="en-US"/>
              </w:rPr>
              <w:t>Platība, ha</w:t>
            </w:r>
          </w:p>
        </w:tc>
        <w:tc>
          <w:tcPr>
            <w:tcW w:w="1250"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7B046227" w14:textId="7378F12C" w:rsidR="001E6322" w:rsidRPr="00675182" w:rsidRDefault="001E6322" w:rsidP="001E6322">
            <w:pPr>
              <w:suppressAutoHyphens w:val="0"/>
              <w:jc w:val="center"/>
              <w:rPr>
                <w:rFonts w:eastAsia="Times New Roman" w:cstheme="minorHAnsi"/>
                <w:b/>
                <w:bCs/>
                <w:szCs w:val="24"/>
                <w:lang w:eastAsia="en-US"/>
              </w:rPr>
            </w:pPr>
            <w:r w:rsidRPr="00675182">
              <w:rPr>
                <w:rFonts w:eastAsia="Times New Roman" w:cstheme="minorHAnsi"/>
                <w:b/>
                <w:bCs/>
                <w:szCs w:val="24"/>
                <w:lang w:eastAsia="en-US"/>
              </w:rPr>
              <w:t>% no ES nozīmes biotopu platības GNP</w:t>
            </w:r>
          </w:p>
        </w:tc>
        <w:tc>
          <w:tcPr>
            <w:tcW w:w="1250"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7236725E" w14:textId="77777777" w:rsidR="001E6322" w:rsidRPr="00675182" w:rsidRDefault="001E6322" w:rsidP="001E6322">
            <w:pPr>
              <w:suppressAutoHyphens w:val="0"/>
              <w:jc w:val="center"/>
              <w:rPr>
                <w:rFonts w:eastAsia="Times New Roman" w:cstheme="minorHAnsi"/>
                <w:b/>
                <w:bCs/>
                <w:szCs w:val="24"/>
                <w:lang w:eastAsia="en-US"/>
              </w:rPr>
            </w:pPr>
            <w:r w:rsidRPr="00675182">
              <w:rPr>
                <w:rFonts w:eastAsia="Times New Roman" w:cstheme="minorHAnsi"/>
                <w:b/>
                <w:bCs/>
                <w:szCs w:val="24"/>
                <w:lang w:eastAsia="en-US"/>
              </w:rPr>
              <w:t>% no GNP platības</w:t>
            </w:r>
          </w:p>
        </w:tc>
      </w:tr>
      <w:tr w:rsidR="008C4EA5" w:rsidRPr="00675182" w14:paraId="7E737DCB" w14:textId="77777777" w:rsidTr="009C6874">
        <w:trPr>
          <w:trHeight w:val="255"/>
        </w:trPr>
        <w:tc>
          <w:tcPr>
            <w:tcW w:w="1250" w:type="pct"/>
            <w:tcBorders>
              <w:top w:val="nil"/>
              <w:left w:val="single" w:sz="4" w:space="0" w:color="auto"/>
              <w:bottom w:val="single" w:sz="4" w:space="0" w:color="auto"/>
              <w:right w:val="single" w:sz="4" w:space="0" w:color="auto"/>
            </w:tcBorders>
            <w:shd w:val="clear" w:color="auto" w:fill="auto"/>
            <w:noWrap/>
            <w:vAlign w:val="bottom"/>
            <w:hideMark/>
          </w:tcPr>
          <w:p w14:paraId="64E85C68" w14:textId="77777777" w:rsidR="008C4EA5" w:rsidRPr="00675182" w:rsidRDefault="008C4EA5" w:rsidP="008C4EA5">
            <w:pPr>
              <w:suppressAutoHyphens w:val="0"/>
              <w:rPr>
                <w:rFonts w:eastAsia="Times New Roman" w:cstheme="minorHAnsi"/>
                <w:szCs w:val="24"/>
                <w:lang w:eastAsia="en-US"/>
              </w:rPr>
            </w:pPr>
            <w:r w:rsidRPr="00675182">
              <w:rPr>
                <w:rFonts w:eastAsia="Times New Roman" w:cstheme="minorHAnsi"/>
                <w:szCs w:val="24"/>
                <w:lang w:eastAsia="en-US"/>
              </w:rPr>
              <w:t>Saldūdeņu biotopi</w:t>
            </w:r>
          </w:p>
        </w:tc>
        <w:tc>
          <w:tcPr>
            <w:tcW w:w="1250" w:type="pct"/>
            <w:tcBorders>
              <w:top w:val="nil"/>
              <w:left w:val="nil"/>
              <w:bottom w:val="single" w:sz="4" w:space="0" w:color="auto"/>
              <w:right w:val="single" w:sz="4" w:space="0" w:color="auto"/>
            </w:tcBorders>
            <w:shd w:val="clear" w:color="auto" w:fill="auto"/>
            <w:noWrap/>
            <w:hideMark/>
          </w:tcPr>
          <w:p w14:paraId="412DF938" w14:textId="399BA494" w:rsidR="008C4EA5" w:rsidRPr="00675182" w:rsidRDefault="008C4EA5" w:rsidP="008C4EA5">
            <w:pPr>
              <w:suppressAutoHyphens w:val="0"/>
              <w:jc w:val="center"/>
              <w:rPr>
                <w:rFonts w:eastAsia="Times New Roman" w:cstheme="minorHAnsi"/>
                <w:szCs w:val="24"/>
                <w:lang w:eastAsia="en-US"/>
              </w:rPr>
            </w:pPr>
            <w:r w:rsidRPr="007B5163">
              <w:t>1882,2</w:t>
            </w:r>
          </w:p>
        </w:tc>
        <w:tc>
          <w:tcPr>
            <w:tcW w:w="1250" w:type="pct"/>
            <w:tcBorders>
              <w:top w:val="nil"/>
              <w:left w:val="nil"/>
              <w:bottom w:val="single" w:sz="4" w:space="0" w:color="auto"/>
              <w:right w:val="single" w:sz="4" w:space="0" w:color="auto"/>
            </w:tcBorders>
            <w:shd w:val="clear" w:color="auto" w:fill="auto"/>
            <w:noWrap/>
            <w:hideMark/>
          </w:tcPr>
          <w:p w14:paraId="1BBEA15A" w14:textId="270773D0" w:rsidR="008C4EA5" w:rsidRPr="00675182" w:rsidRDefault="008C4EA5" w:rsidP="008C4EA5">
            <w:pPr>
              <w:suppressAutoHyphens w:val="0"/>
              <w:jc w:val="center"/>
              <w:rPr>
                <w:rFonts w:eastAsia="Times New Roman" w:cstheme="minorHAnsi"/>
                <w:szCs w:val="24"/>
                <w:lang w:eastAsia="en-US"/>
              </w:rPr>
            </w:pPr>
            <w:r w:rsidRPr="007B5163">
              <w:t>10,1</w:t>
            </w:r>
          </w:p>
        </w:tc>
        <w:tc>
          <w:tcPr>
            <w:tcW w:w="1250" w:type="pct"/>
            <w:tcBorders>
              <w:top w:val="nil"/>
              <w:left w:val="nil"/>
              <w:bottom w:val="single" w:sz="4" w:space="0" w:color="auto"/>
              <w:right w:val="single" w:sz="4" w:space="0" w:color="auto"/>
            </w:tcBorders>
            <w:shd w:val="clear" w:color="auto" w:fill="auto"/>
            <w:noWrap/>
            <w:hideMark/>
          </w:tcPr>
          <w:p w14:paraId="7B40C286" w14:textId="725F36B2" w:rsidR="008C4EA5" w:rsidRPr="00675182" w:rsidRDefault="008C4EA5" w:rsidP="008C4EA5">
            <w:pPr>
              <w:suppressAutoHyphens w:val="0"/>
              <w:jc w:val="center"/>
              <w:rPr>
                <w:rFonts w:eastAsia="Times New Roman" w:cstheme="minorHAnsi"/>
                <w:szCs w:val="24"/>
                <w:lang w:eastAsia="en-US"/>
              </w:rPr>
            </w:pPr>
            <w:r w:rsidRPr="007B5163">
              <w:t>2,05</w:t>
            </w:r>
          </w:p>
        </w:tc>
      </w:tr>
      <w:tr w:rsidR="008C4EA5" w:rsidRPr="00675182" w14:paraId="264BBCB2" w14:textId="77777777" w:rsidTr="009C6874">
        <w:trPr>
          <w:trHeight w:val="255"/>
        </w:trPr>
        <w:tc>
          <w:tcPr>
            <w:tcW w:w="1250" w:type="pct"/>
            <w:tcBorders>
              <w:top w:val="nil"/>
              <w:left w:val="single" w:sz="4" w:space="0" w:color="auto"/>
              <w:bottom w:val="single" w:sz="4" w:space="0" w:color="auto"/>
              <w:right w:val="single" w:sz="4" w:space="0" w:color="auto"/>
            </w:tcBorders>
            <w:shd w:val="clear" w:color="auto" w:fill="auto"/>
            <w:noWrap/>
            <w:vAlign w:val="bottom"/>
          </w:tcPr>
          <w:p w14:paraId="78331611" w14:textId="34F27AD6" w:rsidR="008C4EA5" w:rsidRPr="00675182" w:rsidRDefault="008C4EA5" w:rsidP="008C4EA5">
            <w:pPr>
              <w:suppressAutoHyphens w:val="0"/>
              <w:rPr>
                <w:rFonts w:eastAsia="Times New Roman" w:cstheme="minorHAnsi"/>
                <w:szCs w:val="24"/>
                <w:lang w:eastAsia="en-US"/>
              </w:rPr>
            </w:pPr>
            <w:r w:rsidRPr="00675182">
              <w:rPr>
                <w:rFonts w:eastAsia="Times New Roman" w:cstheme="minorHAnsi"/>
                <w:szCs w:val="24"/>
                <w:lang w:eastAsia="en-US"/>
              </w:rPr>
              <w:t>Zālāju biotopi</w:t>
            </w:r>
          </w:p>
        </w:tc>
        <w:tc>
          <w:tcPr>
            <w:tcW w:w="1250" w:type="pct"/>
            <w:tcBorders>
              <w:top w:val="nil"/>
              <w:left w:val="nil"/>
              <w:bottom w:val="single" w:sz="4" w:space="0" w:color="auto"/>
              <w:right w:val="single" w:sz="4" w:space="0" w:color="auto"/>
            </w:tcBorders>
            <w:shd w:val="clear" w:color="auto" w:fill="auto"/>
            <w:noWrap/>
          </w:tcPr>
          <w:p w14:paraId="5AE28AE7" w14:textId="397AA98A" w:rsidR="008C4EA5" w:rsidRPr="00675182" w:rsidRDefault="008C4EA5" w:rsidP="008C4EA5">
            <w:pPr>
              <w:suppressAutoHyphens w:val="0"/>
              <w:jc w:val="center"/>
              <w:rPr>
                <w:rFonts w:eastAsia="Times New Roman" w:cstheme="minorHAnsi"/>
                <w:szCs w:val="24"/>
                <w:lang w:eastAsia="en-US"/>
              </w:rPr>
            </w:pPr>
            <w:r w:rsidRPr="007B5163">
              <w:t>847,8</w:t>
            </w:r>
          </w:p>
        </w:tc>
        <w:tc>
          <w:tcPr>
            <w:tcW w:w="1250" w:type="pct"/>
            <w:tcBorders>
              <w:top w:val="nil"/>
              <w:left w:val="nil"/>
              <w:bottom w:val="single" w:sz="4" w:space="0" w:color="auto"/>
              <w:right w:val="single" w:sz="4" w:space="0" w:color="auto"/>
            </w:tcBorders>
            <w:shd w:val="clear" w:color="auto" w:fill="auto"/>
            <w:noWrap/>
          </w:tcPr>
          <w:p w14:paraId="3FF79C28" w14:textId="376F7EC7" w:rsidR="008C4EA5" w:rsidRPr="00675182" w:rsidRDefault="008C4EA5" w:rsidP="008C4EA5">
            <w:pPr>
              <w:suppressAutoHyphens w:val="0"/>
              <w:jc w:val="center"/>
              <w:rPr>
                <w:rFonts w:eastAsia="Times New Roman" w:cstheme="minorHAnsi"/>
                <w:szCs w:val="24"/>
                <w:lang w:eastAsia="en-US"/>
              </w:rPr>
            </w:pPr>
            <w:r w:rsidRPr="007B5163">
              <w:t>4,6</w:t>
            </w:r>
          </w:p>
        </w:tc>
        <w:tc>
          <w:tcPr>
            <w:tcW w:w="1250" w:type="pct"/>
            <w:tcBorders>
              <w:top w:val="nil"/>
              <w:left w:val="nil"/>
              <w:bottom w:val="single" w:sz="4" w:space="0" w:color="auto"/>
              <w:right w:val="single" w:sz="4" w:space="0" w:color="auto"/>
            </w:tcBorders>
            <w:shd w:val="clear" w:color="auto" w:fill="auto"/>
            <w:noWrap/>
          </w:tcPr>
          <w:p w14:paraId="192E7503" w14:textId="24EFD374" w:rsidR="008C4EA5" w:rsidRPr="00675182" w:rsidRDefault="008C4EA5" w:rsidP="008C4EA5">
            <w:pPr>
              <w:suppressAutoHyphens w:val="0"/>
              <w:jc w:val="center"/>
              <w:rPr>
                <w:rFonts w:eastAsia="Times New Roman" w:cstheme="minorHAnsi"/>
                <w:szCs w:val="24"/>
                <w:lang w:eastAsia="en-US"/>
              </w:rPr>
            </w:pPr>
            <w:r w:rsidRPr="007B5163">
              <w:t>0,92</w:t>
            </w:r>
          </w:p>
        </w:tc>
      </w:tr>
      <w:tr w:rsidR="008C4EA5" w:rsidRPr="00675182" w14:paraId="0805AF7B" w14:textId="77777777" w:rsidTr="009C6874">
        <w:trPr>
          <w:trHeight w:val="255"/>
        </w:trPr>
        <w:tc>
          <w:tcPr>
            <w:tcW w:w="1250" w:type="pct"/>
            <w:tcBorders>
              <w:top w:val="nil"/>
              <w:left w:val="single" w:sz="4" w:space="0" w:color="auto"/>
              <w:bottom w:val="single" w:sz="4" w:space="0" w:color="auto"/>
              <w:right w:val="single" w:sz="4" w:space="0" w:color="auto"/>
            </w:tcBorders>
            <w:shd w:val="clear" w:color="auto" w:fill="auto"/>
            <w:noWrap/>
            <w:vAlign w:val="bottom"/>
          </w:tcPr>
          <w:p w14:paraId="5D8F801D" w14:textId="6F00CBBC" w:rsidR="008C4EA5" w:rsidRPr="00675182" w:rsidRDefault="008C4EA5" w:rsidP="008C4EA5">
            <w:pPr>
              <w:suppressAutoHyphens w:val="0"/>
              <w:rPr>
                <w:rFonts w:eastAsia="Times New Roman" w:cstheme="minorHAnsi"/>
                <w:szCs w:val="24"/>
                <w:lang w:eastAsia="en-US"/>
              </w:rPr>
            </w:pPr>
            <w:r w:rsidRPr="00675182">
              <w:rPr>
                <w:rFonts w:eastAsia="Times New Roman" w:cstheme="minorHAnsi"/>
                <w:szCs w:val="24"/>
                <w:lang w:eastAsia="en-US"/>
              </w:rPr>
              <w:t>Purvu biotopi</w:t>
            </w:r>
          </w:p>
        </w:tc>
        <w:tc>
          <w:tcPr>
            <w:tcW w:w="1250" w:type="pct"/>
            <w:tcBorders>
              <w:top w:val="nil"/>
              <w:left w:val="nil"/>
              <w:bottom w:val="single" w:sz="4" w:space="0" w:color="auto"/>
              <w:right w:val="single" w:sz="4" w:space="0" w:color="auto"/>
            </w:tcBorders>
            <w:shd w:val="clear" w:color="auto" w:fill="auto"/>
            <w:noWrap/>
          </w:tcPr>
          <w:p w14:paraId="6532D2E4" w14:textId="68CAE4FD" w:rsidR="008C4EA5" w:rsidRPr="00675182" w:rsidRDefault="008C4EA5" w:rsidP="008C4EA5">
            <w:pPr>
              <w:suppressAutoHyphens w:val="0"/>
              <w:jc w:val="center"/>
              <w:rPr>
                <w:rFonts w:eastAsia="Times New Roman" w:cstheme="minorHAnsi"/>
                <w:szCs w:val="24"/>
                <w:lang w:eastAsia="en-US"/>
              </w:rPr>
            </w:pPr>
            <w:r w:rsidRPr="007B5163">
              <w:t>3690,8</w:t>
            </w:r>
          </w:p>
        </w:tc>
        <w:tc>
          <w:tcPr>
            <w:tcW w:w="1250" w:type="pct"/>
            <w:tcBorders>
              <w:top w:val="nil"/>
              <w:left w:val="nil"/>
              <w:bottom w:val="single" w:sz="4" w:space="0" w:color="auto"/>
              <w:right w:val="single" w:sz="4" w:space="0" w:color="auto"/>
            </w:tcBorders>
            <w:shd w:val="clear" w:color="auto" w:fill="auto"/>
            <w:noWrap/>
          </w:tcPr>
          <w:p w14:paraId="69D1666B" w14:textId="38941438" w:rsidR="008C4EA5" w:rsidRPr="00675182" w:rsidRDefault="008C4EA5" w:rsidP="008C4EA5">
            <w:pPr>
              <w:suppressAutoHyphens w:val="0"/>
              <w:jc w:val="center"/>
              <w:rPr>
                <w:rFonts w:eastAsia="Times New Roman" w:cstheme="minorHAnsi"/>
                <w:szCs w:val="24"/>
                <w:lang w:eastAsia="en-US"/>
              </w:rPr>
            </w:pPr>
            <w:r w:rsidRPr="007B5163">
              <w:t>19,9</w:t>
            </w:r>
          </w:p>
        </w:tc>
        <w:tc>
          <w:tcPr>
            <w:tcW w:w="1250" w:type="pct"/>
            <w:tcBorders>
              <w:top w:val="nil"/>
              <w:left w:val="nil"/>
              <w:bottom w:val="single" w:sz="4" w:space="0" w:color="auto"/>
              <w:right w:val="single" w:sz="4" w:space="0" w:color="auto"/>
            </w:tcBorders>
            <w:shd w:val="clear" w:color="auto" w:fill="auto"/>
            <w:noWrap/>
          </w:tcPr>
          <w:p w14:paraId="2152FECD" w14:textId="401BE3E2" w:rsidR="008C4EA5" w:rsidRPr="00675182" w:rsidRDefault="008C4EA5" w:rsidP="008C4EA5">
            <w:pPr>
              <w:suppressAutoHyphens w:val="0"/>
              <w:jc w:val="center"/>
              <w:rPr>
                <w:rFonts w:eastAsia="Times New Roman" w:cstheme="minorHAnsi"/>
                <w:szCs w:val="24"/>
                <w:lang w:eastAsia="en-US"/>
              </w:rPr>
            </w:pPr>
            <w:r w:rsidRPr="007B5163">
              <w:t>4,02</w:t>
            </w:r>
          </w:p>
        </w:tc>
      </w:tr>
      <w:tr w:rsidR="008C4EA5" w:rsidRPr="00675182" w14:paraId="6B3B3DAF" w14:textId="77777777" w:rsidTr="009C6874">
        <w:trPr>
          <w:trHeight w:val="255"/>
        </w:trPr>
        <w:tc>
          <w:tcPr>
            <w:tcW w:w="1250" w:type="pct"/>
            <w:tcBorders>
              <w:top w:val="nil"/>
              <w:left w:val="single" w:sz="4" w:space="0" w:color="auto"/>
              <w:bottom w:val="single" w:sz="4" w:space="0" w:color="auto"/>
              <w:right w:val="single" w:sz="4" w:space="0" w:color="auto"/>
            </w:tcBorders>
            <w:shd w:val="clear" w:color="auto" w:fill="auto"/>
            <w:noWrap/>
            <w:vAlign w:val="bottom"/>
          </w:tcPr>
          <w:p w14:paraId="2F75BB6B" w14:textId="20404FCE" w:rsidR="008C4EA5" w:rsidRPr="00675182" w:rsidRDefault="008C4EA5" w:rsidP="008C4EA5">
            <w:pPr>
              <w:suppressAutoHyphens w:val="0"/>
              <w:rPr>
                <w:rFonts w:eastAsia="Times New Roman" w:cstheme="minorHAnsi"/>
                <w:szCs w:val="24"/>
                <w:lang w:eastAsia="en-US"/>
              </w:rPr>
            </w:pPr>
            <w:r w:rsidRPr="00675182">
              <w:rPr>
                <w:rFonts w:eastAsia="Times New Roman" w:cstheme="minorHAnsi"/>
                <w:szCs w:val="24"/>
                <w:lang w:eastAsia="en-US"/>
              </w:rPr>
              <w:t>Alu un atsegumu biotopi</w:t>
            </w:r>
          </w:p>
        </w:tc>
        <w:tc>
          <w:tcPr>
            <w:tcW w:w="1250" w:type="pct"/>
            <w:tcBorders>
              <w:top w:val="nil"/>
              <w:left w:val="nil"/>
              <w:bottom w:val="single" w:sz="4" w:space="0" w:color="auto"/>
              <w:right w:val="single" w:sz="4" w:space="0" w:color="auto"/>
            </w:tcBorders>
            <w:shd w:val="clear" w:color="auto" w:fill="auto"/>
            <w:noWrap/>
          </w:tcPr>
          <w:p w14:paraId="52A3D53B" w14:textId="30D027C1" w:rsidR="008C4EA5" w:rsidRPr="00675182" w:rsidRDefault="008C4EA5" w:rsidP="008C4EA5">
            <w:pPr>
              <w:suppressAutoHyphens w:val="0"/>
              <w:jc w:val="center"/>
              <w:rPr>
                <w:rFonts w:eastAsia="Times New Roman" w:cstheme="minorHAnsi"/>
                <w:szCs w:val="24"/>
                <w:lang w:eastAsia="en-US"/>
              </w:rPr>
            </w:pPr>
            <w:r w:rsidRPr="007B5163">
              <w:t>36,4</w:t>
            </w:r>
          </w:p>
        </w:tc>
        <w:tc>
          <w:tcPr>
            <w:tcW w:w="1250" w:type="pct"/>
            <w:tcBorders>
              <w:top w:val="nil"/>
              <w:left w:val="nil"/>
              <w:bottom w:val="single" w:sz="4" w:space="0" w:color="auto"/>
              <w:right w:val="single" w:sz="4" w:space="0" w:color="auto"/>
            </w:tcBorders>
            <w:shd w:val="clear" w:color="auto" w:fill="auto"/>
            <w:noWrap/>
          </w:tcPr>
          <w:p w14:paraId="72381EB5" w14:textId="43EFC82B" w:rsidR="008C4EA5" w:rsidRPr="00675182" w:rsidRDefault="008C4EA5" w:rsidP="008C4EA5">
            <w:pPr>
              <w:suppressAutoHyphens w:val="0"/>
              <w:jc w:val="center"/>
              <w:rPr>
                <w:rFonts w:eastAsia="Times New Roman" w:cstheme="minorHAnsi"/>
                <w:szCs w:val="24"/>
                <w:lang w:eastAsia="en-US"/>
              </w:rPr>
            </w:pPr>
            <w:r w:rsidRPr="007B5163">
              <w:t>0,2</w:t>
            </w:r>
          </w:p>
        </w:tc>
        <w:tc>
          <w:tcPr>
            <w:tcW w:w="1250" w:type="pct"/>
            <w:tcBorders>
              <w:top w:val="nil"/>
              <w:left w:val="nil"/>
              <w:bottom w:val="single" w:sz="4" w:space="0" w:color="auto"/>
              <w:right w:val="single" w:sz="4" w:space="0" w:color="auto"/>
            </w:tcBorders>
            <w:shd w:val="clear" w:color="auto" w:fill="auto"/>
            <w:noWrap/>
          </w:tcPr>
          <w:p w14:paraId="6DFF03A2" w14:textId="65009E19" w:rsidR="008C4EA5" w:rsidRPr="00675182" w:rsidRDefault="008C4EA5" w:rsidP="008C4EA5">
            <w:pPr>
              <w:suppressAutoHyphens w:val="0"/>
              <w:jc w:val="center"/>
              <w:rPr>
                <w:rFonts w:eastAsia="Times New Roman" w:cstheme="minorHAnsi"/>
                <w:szCs w:val="24"/>
                <w:lang w:eastAsia="en-US"/>
              </w:rPr>
            </w:pPr>
            <w:r w:rsidRPr="007B5163">
              <w:t>0,04</w:t>
            </w:r>
          </w:p>
        </w:tc>
      </w:tr>
      <w:tr w:rsidR="008C4EA5" w:rsidRPr="00675182" w14:paraId="7631A7CC" w14:textId="77777777" w:rsidTr="009C6874">
        <w:trPr>
          <w:trHeight w:val="255"/>
        </w:trPr>
        <w:tc>
          <w:tcPr>
            <w:tcW w:w="1250" w:type="pct"/>
            <w:tcBorders>
              <w:top w:val="nil"/>
              <w:left w:val="single" w:sz="4" w:space="0" w:color="auto"/>
              <w:bottom w:val="single" w:sz="4" w:space="0" w:color="auto"/>
              <w:right w:val="single" w:sz="4" w:space="0" w:color="auto"/>
            </w:tcBorders>
            <w:shd w:val="clear" w:color="auto" w:fill="auto"/>
            <w:noWrap/>
            <w:vAlign w:val="bottom"/>
            <w:hideMark/>
          </w:tcPr>
          <w:p w14:paraId="5B640128" w14:textId="77777777" w:rsidR="008C4EA5" w:rsidRPr="00675182" w:rsidRDefault="008C4EA5" w:rsidP="008C4EA5">
            <w:pPr>
              <w:suppressAutoHyphens w:val="0"/>
              <w:rPr>
                <w:rFonts w:eastAsia="Times New Roman" w:cstheme="minorHAnsi"/>
                <w:szCs w:val="24"/>
                <w:lang w:eastAsia="en-US"/>
              </w:rPr>
            </w:pPr>
            <w:r w:rsidRPr="00675182">
              <w:rPr>
                <w:rFonts w:eastAsia="Times New Roman" w:cstheme="minorHAnsi"/>
                <w:szCs w:val="24"/>
                <w:lang w:eastAsia="en-US"/>
              </w:rPr>
              <w:t>Meža biotopi</w:t>
            </w:r>
          </w:p>
        </w:tc>
        <w:tc>
          <w:tcPr>
            <w:tcW w:w="1250" w:type="pct"/>
            <w:tcBorders>
              <w:top w:val="nil"/>
              <w:left w:val="nil"/>
              <w:bottom w:val="single" w:sz="4" w:space="0" w:color="auto"/>
              <w:right w:val="single" w:sz="4" w:space="0" w:color="auto"/>
            </w:tcBorders>
            <w:shd w:val="clear" w:color="auto" w:fill="auto"/>
            <w:noWrap/>
            <w:hideMark/>
          </w:tcPr>
          <w:p w14:paraId="268D3EBD" w14:textId="0BC10BB6" w:rsidR="008C4EA5" w:rsidRPr="00675182" w:rsidRDefault="008C4EA5" w:rsidP="008C4EA5">
            <w:pPr>
              <w:suppressAutoHyphens w:val="0"/>
              <w:jc w:val="center"/>
              <w:rPr>
                <w:rFonts w:eastAsia="Times New Roman" w:cstheme="minorHAnsi"/>
                <w:szCs w:val="24"/>
                <w:lang w:eastAsia="en-US"/>
              </w:rPr>
            </w:pPr>
            <w:r w:rsidRPr="007B5163">
              <w:t>12122,3</w:t>
            </w:r>
          </w:p>
        </w:tc>
        <w:tc>
          <w:tcPr>
            <w:tcW w:w="1250" w:type="pct"/>
            <w:tcBorders>
              <w:top w:val="nil"/>
              <w:left w:val="nil"/>
              <w:bottom w:val="single" w:sz="4" w:space="0" w:color="auto"/>
              <w:right w:val="single" w:sz="4" w:space="0" w:color="auto"/>
            </w:tcBorders>
            <w:shd w:val="clear" w:color="auto" w:fill="auto"/>
            <w:noWrap/>
            <w:hideMark/>
          </w:tcPr>
          <w:p w14:paraId="13AC9F05" w14:textId="5BEB156A" w:rsidR="008C4EA5" w:rsidRPr="00675182" w:rsidRDefault="008C4EA5" w:rsidP="008C4EA5">
            <w:pPr>
              <w:suppressAutoHyphens w:val="0"/>
              <w:jc w:val="center"/>
              <w:rPr>
                <w:rFonts w:eastAsia="Times New Roman" w:cstheme="minorHAnsi"/>
                <w:szCs w:val="24"/>
                <w:lang w:eastAsia="en-US"/>
              </w:rPr>
            </w:pPr>
            <w:r w:rsidRPr="007B5163">
              <w:t>65,2</w:t>
            </w:r>
          </w:p>
        </w:tc>
        <w:tc>
          <w:tcPr>
            <w:tcW w:w="1250" w:type="pct"/>
            <w:tcBorders>
              <w:top w:val="nil"/>
              <w:left w:val="nil"/>
              <w:bottom w:val="single" w:sz="4" w:space="0" w:color="auto"/>
              <w:right w:val="single" w:sz="4" w:space="0" w:color="auto"/>
            </w:tcBorders>
            <w:shd w:val="clear" w:color="auto" w:fill="auto"/>
            <w:noWrap/>
            <w:hideMark/>
          </w:tcPr>
          <w:p w14:paraId="605D4BCB" w14:textId="21D3DF79" w:rsidR="008C4EA5" w:rsidRPr="00675182" w:rsidRDefault="008C4EA5" w:rsidP="008C4EA5">
            <w:pPr>
              <w:suppressAutoHyphens w:val="0"/>
              <w:jc w:val="center"/>
              <w:rPr>
                <w:rFonts w:eastAsia="Times New Roman" w:cstheme="minorHAnsi"/>
                <w:szCs w:val="24"/>
                <w:lang w:eastAsia="en-US"/>
              </w:rPr>
            </w:pPr>
            <w:r w:rsidRPr="007B5163">
              <w:t>13,21</w:t>
            </w:r>
          </w:p>
        </w:tc>
      </w:tr>
      <w:tr w:rsidR="005458CB" w:rsidRPr="00675182" w14:paraId="4644BD67" w14:textId="77777777" w:rsidTr="005458CB">
        <w:trPr>
          <w:trHeight w:val="255"/>
        </w:trPr>
        <w:tc>
          <w:tcPr>
            <w:tcW w:w="1250" w:type="pct"/>
            <w:tcBorders>
              <w:top w:val="nil"/>
              <w:left w:val="single" w:sz="4" w:space="0" w:color="auto"/>
              <w:bottom w:val="single" w:sz="4" w:space="0" w:color="auto"/>
              <w:right w:val="single" w:sz="4" w:space="0" w:color="auto"/>
            </w:tcBorders>
            <w:shd w:val="clear" w:color="auto" w:fill="auto"/>
            <w:noWrap/>
            <w:vAlign w:val="bottom"/>
            <w:hideMark/>
          </w:tcPr>
          <w:p w14:paraId="69FF4361" w14:textId="77777777" w:rsidR="005458CB" w:rsidRPr="00675182" w:rsidRDefault="005458CB" w:rsidP="005458CB">
            <w:pPr>
              <w:suppressAutoHyphens w:val="0"/>
              <w:rPr>
                <w:rFonts w:eastAsia="Times New Roman" w:cstheme="minorHAnsi"/>
                <w:b/>
                <w:bCs/>
                <w:szCs w:val="24"/>
                <w:lang w:eastAsia="en-US"/>
              </w:rPr>
            </w:pPr>
            <w:r w:rsidRPr="00675182">
              <w:rPr>
                <w:rFonts w:eastAsia="Times New Roman" w:cstheme="minorHAnsi"/>
                <w:b/>
                <w:bCs/>
                <w:szCs w:val="24"/>
                <w:lang w:eastAsia="en-US"/>
              </w:rPr>
              <w:t>Kopā</w:t>
            </w:r>
          </w:p>
        </w:tc>
        <w:tc>
          <w:tcPr>
            <w:tcW w:w="1250" w:type="pct"/>
            <w:tcBorders>
              <w:top w:val="nil"/>
              <w:left w:val="nil"/>
              <w:bottom w:val="single" w:sz="4" w:space="0" w:color="auto"/>
              <w:right w:val="single" w:sz="4" w:space="0" w:color="auto"/>
            </w:tcBorders>
            <w:shd w:val="clear" w:color="auto" w:fill="auto"/>
            <w:noWrap/>
            <w:vAlign w:val="center"/>
            <w:hideMark/>
          </w:tcPr>
          <w:p w14:paraId="00C8CD43" w14:textId="6AB87ADD" w:rsidR="005458CB" w:rsidRPr="00675182" w:rsidRDefault="00B520EE" w:rsidP="005458CB">
            <w:pPr>
              <w:suppressAutoHyphens w:val="0"/>
              <w:jc w:val="center"/>
              <w:rPr>
                <w:rFonts w:eastAsia="Times New Roman" w:cstheme="minorHAnsi"/>
                <w:b/>
                <w:bCs/>
                <w:szCs w:val="24"/>
                <w:lang w:eastAsia="en-US"/>
              </w:rPr>
            </w:pPr>
            <w:r w:rsidRPr="00B520EE">
              <w:t>18579,55</w:t>
            </w:r>
          </w:p>
        </w:tc>
        <w:tc>
          <w:tcPr>
            <w:tcW w:w="1250" w:type="pct"/>
            <w:tcBorders>
              <w:top w:val="nil"/>
              <w:left w:val="nil"/>
              <w:bottom w:val="single" w:sz="4" w:space="0" w:color="auto"/>
              <w:right w:val="single" w:sz="4" w:space="0" w:color="auto"/>
            </w:tcBorders>
            <w:shd w:val="clear" w:color="auto" w:fill="auto"/>
            <w:noWrap/>
            <w:vAlign w:val="center"/>
            <w:hideMark/>
          </w:tcPr>
          <w:p w14:paraId="327741D5" w14:textId="08747128" w:rsidR="005458CB" w:rsidRPr="00675182" w:rsidRDefault="005458CB" w:rsidP="005458CB">
            <w:pPr>
              <w:suppressAutoHyphens w:val="0"/>
              <w:jc w:val="center"/>
              <w:rPr>
                <w:rFonts w:eastAsia="Times New Roman" w:cstheme="minorHAnsi"/>
                <w:b/>
                <w:bCs/>
                <w:szCs w:val="24"/>
                <w:lang w:eastAsia="en-US"/>
              </w:rPr>
            </w:pPr>
          </w:p>
        </w:tc>
        <w:tc>
          <w:tcPr>
            <w:tcW w:w="1250" w:type="pct"/>
            <w:tcBorders>
              <w:top w:val="nil"/>
              <w:left w:val="nil"/>
              <w:bottom w:val="single" w:sz="4" w:space="0" w:color="auto"/>
              <w:right w:val="single" w:sz="4" w:space="0" w:color="auto"/>
            </w:tcBorders>
            <w:shd w:val="clear" w:color="auto" w:fill="auto"/>
            <w:noWrap/>
            <w:vAlign w:val="center"/>
            <w:hideMark/>
          </w:tcPr>
          <w:p w14:paraId="24254E97" w14:textId="3E73BE21" w:rsidR="005458CB" w:rsidRPr="00675182" w:rsidRDefault="005458CB" w:rsidP="005458CB">
            <w:pPr>
              <w:suppressAutoHyphens w:val="0"/>
              <w:jc w:val="center"/>
              <w:rPr>
                <w:rFonts w:eastAsia="Times New Roman" w:cstheme="minorHAnsi"/>
                <w:b/>
                <w:bCs/>
                <w:szCs w:val="24"/>
                <w:lang w:eastAsia="en-US"/>
              </w:rPr>
            </w:pPr>
            <w:r w:rsidRPr="00675182">
              <w:t>20,</w:t>
            </w:r>
            <w:r w:rsidR="00B520EE">
              <w:t>24</w:t>
            </w:r>
          </w:p>
        </w:tc>
      </w:tr>
    </w:tbl>
    <w:p w14:paraId="097C64E6" w14:textId="77777777" w:rsidR="001E6322" w:rsidRPr="00675182" w:rsidRDefault="001E6322" w:rsidP="00931EE3">
      <w:pPr>
        <w:jc w:val="both"/>
        <w:rPr>
          <w:rFonts w:cstheme="minorHAnsi"/>
        </w:rPr>
      </w:pPr>
    </w:p>
    <w:p w14:paraId="07590BB0" w14:textId="07DD6EB7" w:rsidR="00931EE3" w:rsidRPr="00675182" w:rsidRDefault="00931EE3" w:rsidP="00931EE3">
      <w:pPr>
        <w:jc w:val="both"/>
        <w:rPr>
          <w:rFonts w:cstheme="minorHAnsi"/>
        </w:rPr>
      </w:pPr>
      <w:r w:rsidRPr="00675182">
        <w:rPr>
          <w:rFonts w:cstheme="minorHAnsi"/>
        </w:rPr>
        <w:t xml:space="preserve">GNP konstatētas </w:t>
      </w:r>
      <w:r w:rsidR="00FD467F" w:rsidRPr="00675182">
        <w:rPr>
          <w:rFonts w:cstheme="minorHAnsi"/>
        </w:rPr>
        <w:t>74</w:t>
      </w:r>
      <w:r w:rsidRPr="00675182">
        <w:rPr>
          <w:rFonts w:cstheme="minorHAnsi"/>
        </w:rPr>
        <w:t xml:space="preserve"> retas vai aizsargājamas vaskulāro augu sugas, 170 retas vai aizsargājamas sūnu sugas, 48 retas vai aizsargājamas ķērpju sugas, GNP teritorijā kā potenciāli ligzdojošas konstatētas 36 putnu sugas, kas iekļautas </w:t>
      </w:r>
      <w:r w:rsidR="00133666">
        <w:rPr>
          <w:rFonts w:cstheme="minorHAnsi"/>
        </w:rPr>
        <w:t>Putnu direktīvas</w:t>
      </w:r>
      <w:r w:rsidRPr="00675182">
        <w:rPr>
          <w:rFonts w:cstheme="minorHAnsi"/>
        </w:rPr>
        <w:t xml:space="preserve"> 1. pielikumā, kā arī 14  </w:t>
      </w:r>
      <w:r w:rsidR="007C641D" w:rsidRPr="00675182">
        <w:rPr>
          <w:rFonts w:cstheme="minorHAnsi"/>
        </w:rPr>
        <w:t>Latvij</w:t>
      </w:r>
      <w:r w:rsidR="007C641D">
        <w:rPr>
          <w:rFonts w:cstheme="minorHAnsi"/>
        </w:rPr>
        <w:t>as</w:t>
      </w:r>
      <w:r w:rsidR="00F25483">
        <w:rPr>
          <w:rFonts w:cstheme="minorHAnsi"/>
        </w:rPr>
        <w:t>ĪA</w:t>
      </w:r>
      <w:r w:rsidRPr="00675182">
        <w:rPr>
          <w:rFonts w:cstheme="minorHAnsi"/>
        </w:rPr>
        <w:t xml:space="preserve"> putnu sugas. Tāpat nacionālā parka teritorijā sastopama daudzveidīga bezmugurkaulnieku fauna, ir konstatētas 108 </w:t>
      </w:r>
      <w:r w:rsidR="00F25483">
        <w:rPr>
          <w:rFonts w:cstheme="minorHAnsi"/>
        </w:rPr>
        <w:t>ĪA</w:t>
      </w:r>
      <w:r w:rsidRPr="00675182">
        <w:rPr>
          <w:rFonts w:cstheme="minorHAnsi"/>
        </w:rPr>
        <w:t xml:space="preserve"> vai Latvijā retas bezmugurkaulnieku sugas, no kurām 18 ir iekļautas </w:t>
      </w:r>
      <w:r w:rsidR="0029004A">
        <w:rPr>
          <w:rFonts w:cstheme="minorHAnsi"/>
        </w:rPr>
        <w:t>Biotopu direktīvas</w:t>
      </w:r>
      <w:r w:rsidRPr="00675182">
        <w:rPr>
          <w:rFonts w:cstheme="minorHAnsi"/>
        </w:rPr>
        <w:t xml:space="preserve"> II pielikumā, bet piecas sugas – IV pielikumā. Papildus tam GNP konstatētās Latvijā un Eiropā </w:t>
      </w:r>
      <w:r w:rsidRPr="00675182">
        <w:rPr>
          <w:rFonts w:cstheme="minorHAnsi"/>
        </w:rPr>
        <w:lastRenderedPageBreak/>
        <w:t>aizsargājamas vai retas sugas citās sugu grupās: 24 zīdītāju sugas, 14 abinieku un rāpuļu sugas un 12 zivju vai vēžveidīgo sugas.</w:t>
      </w:r>
    </w:p>
    <w:p w14:paraId="7E2211A9" w14:textId="77777777" w:rsidR="00931EE3" w:rsidRPr="00675182" w:rsidRDefault="00931EE3" w:rsidP="00931EE3">
      <w:pPr>
        <w:jc w:val="both"/>
        <w:rPr>
          <w:rFonts w:cstheme="minorHAnsi"/>
        </w:rPr>
      </w:pPr>
    </w:p>
    <w:p w14:paraId="62AC7BCD" w14:textId="729EDF8A" w:rsidR="0036427E" w:rsidRPr="00675182" w:rsidRDefault="0036427E" w:rsidP="0036427E">
      <w:pPr>
        <w:jc w:val="both"/>
        <w:rPr>
          <w:rFonts w:cstheme="minorHAnsi"/>
        </w:rPr>
      </w:pPr>
      <w:r w:rsidRPr="00675182">
        <w:rPr>
          <w:rFonts w:cstheme="minorHAnsi"/>
        </w:rPr>
        <w:t xml:space="preserve">GNP tuvākās Natura 2000 teritorijas ir </w:t>
      </w:r>
      <w:r w:rsidR="00BB730E">
        <w:rPr>
          <w:rFonts w:cstheme="minorHAnsi"/>
        </w:rPr>
        <w:t>DL</w:t>
      </w:r>
      <w:r w:rsidRPr="00675182">
        <w:rPr>
          <w:rFonts w:cstheme="minorHAnsi"/>
        </w:rPr>
        <w:t xml:space="preserve"> “Melturu sils”, kuru no GNP atdala autoceļš A2 Rīga-Veclaicene, un </w:t>
      </w:r>
      <w:r w:rsidR="00BB730E">
        <w:rPr>
          <w:rFonts w:cstheme="minorHAnsi"/>
        </w:rPr>
        <w:t>DL</w:t>
      </w:r>
      <w:r w:rsidRPr="00675182">
        <w:rPr>
          <w:rFonts w:cstheme="minorHAnsi"/>
        </w:rPr>
        <w:t xml:space="preserve"> “Zušu-Staiņu sēravoti”, kuru no GNP atdala autoceļš V85 Jūdaži-Nītaure. DA plāna ietvaros izskatīta iespēja pievienot minētās teritorijas GNP, tai skaitā ietverot pieguļošās teritorijas (skat. apsaimniekošanas pasākumu A.3.) Abas teritorijas ar GNP savieno ūdensteces (no “Melturu sila” uz GNP tekošā Pērļupe un no GNP uz “Zušu-Staiņu sēravotiem” tekošā Sērupīte). Ekoloģiski lielākā saistība ar GNP ir</w:t>
      </w:r>
      <w:r w:rsidR="003358C3">
        <w:rPr>
          <w:rFonts w:cstheme="minorHAnsi"/>
        </w:rPr>
        <w:t xml:space="preserve"> DL</w:t>
      </w:r>
      <w:r w:rsidRPr="00675182">
        <w:rPr>
          <w:rFonts w:cstheme="minorHAnsi"/>
        </w:rPr>
        <w:t xml:space="preserve"> “Melturu </w:t>
      </w:r>
      <w:r w:rsidR="003358C3" w:rsidRPr="00675182">
        <w:rPr>
          <w:rFonts w:cstheme="minorHAnsi"/>
        </w:rPr>
        <w:t>sil</w:t>
      </w:r>
      <w:r w:rsidR="003358C3">
        <w:rPr>
          <w:rFonts w:cstheme="minorHAnsi"/>
        </w:rPr>
        <w:t>s</w:t>
      </w:r>
      <w:r w:rsidRPr="00675182">
        <w:rPr>
          <w:rFonts w:cstheme="minorHAnsi"/>
        </w:rPr>
        <w:t>”, jo tas ietver daļu Pērļupes un tās pieteku baseina, ietekmējot ūdens kvalitāti Pērļupē un ar to saistītās aizsargājamo sugu dzīvotnes. Citas lielākās upes, kas sasaista GNP teritoriju ar pieguļošajām teritorijām, ir Gauja, Vaive, Raunis, Rauna, Grīviņupīte, Miegupe, Brasla, Loja, Lorupe. Tā kā lielāko daļu GNP robežas veido valsts nozīmes vai reģionālie autoceļi, tiešas sasaistes ar biotopiem pieguļošajās teritorijās (izņemot tekošos saldūdeņus) GNP nav, taču nav izslēgta augu ģenētiskā materiāla apmaiņa (apputeksnēšana, sporu un sēklu pārvietošanās), kā arī dzīvnieku īpatņu migrācija starp GNP un biotopiem pieguļošajās teritorijās.</w:t>
      </w:r>
    </w:p>
    <w:p w14:paraId="528C1272" w14:textId="77777777" w:rsidR="0036427E" w:rsidRPr="00675182" w:rsidRDefault="0036427E" w:rsidP="00931EE3">
      <w:pPr>
        <w:jc w:val="both"/>
        <w:rPr>
          <w:rFonts w:cstheme="minorHAnsi"/>
        </w:rPr>
      </w:pPr>
    </w:p>
    <w:p w14:paraId="7C0C7F78" w14:textId="53F2B109" w:rsidR="00931EE3" w:rsidRPr="00675182" w:rsidRDefault="00931EE3" w:rsidP="00931EE3">
      <w:pPr>
        <w:jc w:val="both"/>
        <w:rPr>
          <w:rFonts w:cstheme="minorHAnsi"/>
        </w:rPr>
      </w:pPr>
      <w:r w:rsidRPr="00675182">
        <w:rPr>
          <w:rFonts w:cstheme="minorHAnsi"/>
        </w:rPr>
        <w:t xml:space="preserve">Veicot teritorijas izpēti un apkopojot informāciju, konstatēti vairāki dabas vērtības negatīvi ietekmējoši faktori. Nozīmīgākie ietekmējošie faktori ir antropogēnā ietekme – mežsaimnieciskā darbība, vēsturiskā purvu un pārmitro mežu platību nosusināšana, lauksaimniecības intensificēšanās vai grūti apsaimniekojamu lauksaimniecības platību pamešana, atsevišķos gadījumos arī apmeklētāju plūsma teritorijā, kā arī apdzīvotu teritoriju ietekme, piemēram, nepietiekami attīrītu notekūdeņu novadīšana </w:t>
      </w:r>
      <w:r w:rsidR="00DB58E4">
        <w:rPr>
          <w:rFonts w:cstheme="minorHAnsi"/>
        </w:rPr>
        <w:t>ŪO</w:t>
      </w:r>
      <w:r w:rsidRPr="00675182">
        <w:rPr>
          <w:rFonts w:cstheme="minorHAnsi"/>
        </w:rPr>
        <w:t xml:space="preserve">, atkritumu pārvaldība, invazīvo sugu izplatīšanās apdzīvotu vietu tuvumā. </w:t>
      </w:r>
    </w:p>
    <w:p w14:paraId="6AF11BD7" w14:textId="77777777" w:rsidR="00931EE3" w:rsidRPr="00675182" w:rsidRDefault="00931EE3" w:rsidP="00931EE3">
      <w:pPr>
        <w:jc w:val="both"/>
        <w:rPr>
          <w:rFonts w:cstheme="minorHAnsi"/>
        </w:rPr>
      </w:pPr>
    </w:p>
    <w:p w14:paraId="06832133" w14:textId="1CC6452C" w:rsidR="00931EE3" w:rsidRPr="00675182" w:rsidRDefault="00931EE3" w:rsidP="00931EE3">
      <w:pPr>
        <w:jc w:val="both"/>
        <w:rPr>
          <w:rFonts w:cstheme="minorHAnsi"/>
        </w:rPr>
      </w:pPr>
      <w:r w:rsidRPr="00675182">
        <w:rPr>
          <w:rFonts w:cstheme="minorHAnsi"/>
        </w:rPr>
        <w:t>Saldūdeņu biotopus un ar tiem saistītās aizsargājamo un reto sugu atradnes negatīvi ietekmē galvenokārt eitrofikācija, ko veicina, gan nepietiekami attīrītu vai neattīrītu notekūdeņu iepludināšana, gan arī izkliedētais piesārņojums no intensīvi apsaimniekotām lauksaimniecības platībām. Tāpat saldūdeņu biotopus negatīvi ietekmē pārlieka vai slikti organizēta rekreācijas slodze. Līdzīgi kā citas biotopu grupas, saldūdeņu biotopus ietekmē invazīvo sugu izplatīšanās. Tekošo saldūdeņu biotopus ietekmē dažāda veida aizsprosti, mazās HES un citi šķēršļi, kas ierobežo brīvu ūdens plūsmu un upju ekoloģisko funkcionēšanu.</w:t>
      </w:r>
    </w:p>
    <w:p w14:paraId="7D587688" w14:textId="77777777" w:rsidR="00931EE3" w:rsidRPr="00675182" w:rsidRDefault="00931EE3" w:rsidP="00931EE3">
      <w:pPr>
        <w:jc w:val="both"/>
        <w:rPr>
          <w:rFonts w:cstheme="minorHAnsi"/>
        </w:rPr>
      </w:pPr>
    </w:p>
    <w:p w14:paraId="6F9D45B7" w14:textId="45C83F89" w:rsidR="00931EE3" w:rsidRPr="00675182" w:rsidRDefault="00931EE3" w:rsidP="00931EE3">
      <w:pPr>
        <w:jc w:val="both"/>
        <w:rPr>
          <w:rFonts w:cstheme="minorHAnsi"/>
        </w:rPr>
      </w:pPr>
      <w:r w:rsidRPr="00675182">
        <w:rPr>
          <w:rFonts w:cstheme="minorHAnsi"/>
        </w:rPr>
        <w:t>Zālāju biotopi ir viena no retajām biotopu grupām, kur aizsardzības nodrošināšana nozīmē regulāru, ilgstošu, ekstensīvu un pareizu biotopu apsaimniekošanu. GNP teritorijā zālājus ietekmē gan neatbilstoša apsaimniekošana, gan pamešana, kā rezultātā vērtīgi zālāju biotopi aizaug ar krūmiem un kokiem, kā arī pasliktinās biotopus raksturojošie struktūras rādītāji, gan atsevišķos gadījumos bioloģiskai daudzveidībai vai ainaviski nozīmīgu zālāju iznīcināšana apbūves vai rekreācijas infrastruktūras attīstības rezultātā.</w:t>
      </w:r>
    </w:p>
    <w:p w14:paraId="2E3A35A0" w14:textId="77777777" w:rsidR="00931EE3" w:rsidRPr="00675182" w:rsidRDefault="00931EE3" w:rsidP="00931EE3">
      <w:pPr>
        <w:jc w:val="both"/>
        <w:rPr>
          <w:rFonts w:cstheme="minorHAnsi"/>
        </w:rPr>
      </w:pPr>
    </w:p>
    <w:p w14:paraId="3E6F6CCA" w14:textId="30617FB5" w:rsidR="00165654" w:rsidRPr="00675182" w:rsidRDefault="00931EE3" w:rsidP="00BF7348">
      <w:pPr>
        <w:jc w:val="both"/>
        <w:rPr>
          <w:rFonts w:cstheme="minorHAnsi"/>
        </w:rPr>
      </w:pPr>
      <w:r w:rsidRPr="00675182">
        <w:rPr>
          <w:rFonts w:cstheme="minorHAnsi"/>
        </w:rPr>
        <w:t>Alu un iežu atsegumu biotopus galvenokārt negatīvi ietekmē pārmērīga vai slikti organizēta rekreācijas slodze.</w:t>
      </w:r>
    </w:p>
    <w:p w14:paraId="5351E618" w14:textId="77777777" w:rsidR="00165654" w:rsidRPr="00675182" w:rsidRDefault="00165654" w:rsidP="002B3341">
      <w:pPr>
        <w:jc w:val="both"/>
        <w:rPr>
          <w:rFonts w:cstheme="minorHAnsi"/>
          <w:b/>
          <w:bCs/>
          <w:i/>
          <w:iCs/>
        </w:rPr>
        <w:sectPr w:rsidR="00165654" w:rsidRPr="00675182" w:rsidSect="00CD74B1">
          <w:headerReference w:type="default" r:id="rId115"/>
          <w:pgSz w:w="11905" w:h="16837"/>
          <w:pgMar w:top="1440" w:right="1797" w:bottom="1440" w:left="1797" w:header="720" w:footer="720" w:gutter="0"/>
          <w:cols w:space="720"/>
          <w:docGrid w:linePitch="360"/>
        </w:sectPr>
      </w:pPr>
    </w:p>
    <w:p w14:paraId="614D4D51" w14:textId="378B0119" w:rsidR="004B348C" w:rsidRPr="00675182" w:rsidRDefault="00E3230A" w:rsidP="002B3341">
      <w:pPr>
        <w:jc w:val="both"/>
        <w:rPr>
          <w:rFonts w:cstheme="minorHAnsi"/>
          <w:i/>
          <w:iCs/>
          <w:sz w:val="20"/>
        </w:rPr>
      </w:pPr>
      <w:r w:rsidRPr="00675182">
        <w:rPr>
          <w:rFonts w:cstheme="minorHAnsi"/>
          <w:b/>
          <w:bCs/>
          <w:i/>
          <w:iCs/>
        </w:rPr>
        <w:lastRenderedPageBreak/>
        <w:t>2.</w:t>
      </w:r>
      <w:r w:rsidR="00E84B62" w:rsidRPr="00675182">
        <w:rPr>
          <w:rFonts w:cstheme="minorHAnsi"/>
          <w:b/>
          <w:bCs/>
          <w:i/>
          <w:iCs/>
        </w:rPr>
        <w:t>2</w:t>
      </w:r>
      <w:r w:rsidRPr="00675182">
        <w:rPr>
          <w:rFonts w:cstheme="minorHAnsi"/>
          <w:b/>
          <w:bCs/>
          <w:i/>
          <w:iCs/>
        </w:rPr>
        <w:t>. tabula. Pārskata tabula par apdraudējumiem, slodzēm un darbībām, kas ietekmē Natura 2000 teritoriju</w:t>
      </w:r>
    </w:p>
    <w:tbl>
      <w:tblPr>
        <w:tblStyle w:val="TableGrid"/>
        <w:tblW w:w="5000" w:type="pct"/>
        <w:tblLook w:val="04A0" w:firstRow="1" w:lastRow="0" w:firstColumn="1" w:lastColumn="0" w:noHBand="0" w:noVBand="1"/>
      </w:tblPr>
      <w:tblGrid>
        <w:gridCol w:w="4106"/>
        <w:gridCol w:w="1275"/>
        <w:gridCol w:w="1356"/>
        <w:gridCol w:w="1054"/>
        <w:gridCol w:w="6156"/>
      </w:tblGrid>
      <w:tr w:rsidR="00E46367" w:rsidRPr="00675182" w14:paraId="26E1A3FB" w14:textId="77777777" w:rsidTr="00D447AC">
        <w:trPr>
          <w:tblHeader/>
        </w:trPr>
        <w:tc>
          <w:tcPr>
            <w:tcW w:w="1472" w:type="pct"/>
            <w:shd w:val="clear" w:color="auto" w:fill="D6E3BC" w:themeFill="accent3" w:themeFillTint="66"/>
            <w:vAlign w:val="center"/>
          </w:tcPr>
          <w:p w14:paraId="30CC903E" w14:textId="77777777" w:rsidR="00E46367" w:rsidRPr="00675182" w:rsidRDefault="00E46367" w:rsidP="004F5E89">
            <w:pPr>
              <w:jc w:val="center"/>
              <w:rPr>
                <w:rFonts w:cstheme="minorHAnsi"/>
                <w:b/>
                <w:bCs/>
                <w:sz w:val="20"/>
              </w:rPr>
            </w:pPr>
            <w:bookmarkStart w:id="36" w:name="_Hlk97900669"/>
            <w:r w:rsidRPr="00675182">
              <w:rPr>
                <w:rFonts w:cstheme="minorHAnsi"/>
                <w:b/>
                <w:bCs/>
                <w:sz w:val="20"/>
              </w:rPr>
              <w:t>Ietekmes veids</w:t>
            </w:r>
          </w:p>
        </w:tc>
        <w:tc>
          <w:tcPr>
            <w:tcW w:w="457" w:type="pct"/>
            <w:shd w:val="clear" w:color="auto" w:fill="D6E3BC" w:themeFill="accent3" w:themeFillTint="66"/>
            <w:vAlign w:val="center"/>
          </w:tcPr>
          <w:p w14:paraId="6BF266E5" w14:textId="74638271" w:rsidR="00E46367" w:rsidRPr="00675182" w:rsidRDefault="00E46367" w:rsidP="004F5E89">
            <w:pPr>
              <w:jc w:val="center"/>
              <w:rPr>
                <w:rFonts w:cstheme="minorHAnsi"/>
                <w:b/>
                <w:bCs/>
                <w:sz w:val="20"/>
              </w:rPr>
            </w:pPr>
            <w:r w:rsidRPr="00675182">
              <w:rPr>
                <w:rFonts w:cstheme="minorHAnsi"/>
                <w:b/>
                <w:bCs/>
                <w:sz w:val="20"/>
              </w:rPr>
              <w:t>Ietekmes pakāpe</w:t>
            </w:r>
          </w:p>
        </w:tc>
        <w:tc>
          <w:tcPr>
            <w:tcW w:w="486" w:type="pct"/>
            <w:shd w:val="clear" w:color="auto" w:fill="D6E3BC" w:themeFill="accent3" w:themeFillTint="66"/>
            <w:vAlign w:val="center"/>
          </w:tcPr>
          <w:p w14:paraId="00965A8B" w14:textId="5B33C3FB" w:rsidR="00E46367" w:rsidRPr="00675182" w:rsidRDefault="00E46367" w:rsidP="004F5E89">
            <w:pPr>
              <w:jc w:val="center"/>
              <w:rPr>
                <w:rFonts w:cstheme="minorHAnsi"/>
                <w:b/>
                <w:bCs/>
                <w:sz w:val="20"/>
              </w:rPr>
            </w:pPr>
            <w:r w:rsidRPr="00675182">
              <w:rPr>
                <w:rFonts w:cstheme="minorHAnsi"/>
                <w:b/>
                <w:bCs/>
                <w:sz w:val="20"/>
              </w:rPr>
              <w:t>Ietekmes kods</w:t>
            </w:r>
          </w:p>
        </w:tc>
        <w:tc>
          <w:tcPr>
            <w:tcW w:w="378" w:type="pct"/>
            <w:shd w:val="clear" w:color="auto" w:fill="D6E3BC" w:themeFill="accent3" w:themeFillTint="66"/>
            <w:vAlign w:val="center"/>
          </w:tcPr>
          <w:p w14:paraId="231C26B8" w14:textId="77777777" w:rsidR="00E46367" w:rsidRPr="00675182" w:rsidRDefault="00E46367" w:rsidP="004F5E89">
            <w:pPr>
              <w:jc w:val="center"/>
              <w:rPr>
                <w:rFonts w:cstheme="minorHAnsi"/>
                <w:b/>
                <w:bCs/>
                <w:sz w:val="20"/>
              </w:rPr>
            </w:pPr>
            <w:r w:rsidRPr="00675182">
              <w:rPr>
                <w:rFonts w:cstheme="minorHAnsi"/>
                <w:b/>
                <w:bCs/>
                <w:sz w:val="20"/>
              </w:rPr>
              <w:t>Ietekmes vieta</w:t>
            </w:r>
          </w:p>
        </w:tc>
        <w:tc>
          <w:tcPr>
            <w:tcW w:w="2207" w:type="pct"/>
            <w:shd w:val="clear" w:color="auto" w:fill="D6E3BC" w:themeFill="accent3" w:themeFillTint="66"/>
            <w:vAlign w:val="center"/>
          </w:tcPr>
          <w:p w14:paraId="0A06185F" w14:textId="77777777" w:rsidR="00E46367" w:rsidRPr="00675182" w:rsidRDefault="00E46367" w:rsidP="004F5E89">
            <w:pPr>
              <w:jc w:val="center"/>
              <w:rPr>
                <w:rFonts w:cstheme="minorHAnsi"/>
                <w:b/>
                <w:bCs/>
                <w:sz w:val="20"/>
              </w:rPr>
            </w:pPr>
            <w:r w:rsidRPr="00675182">
              <w:rPr>
                <w:rFonts w:cstheme="minorHAnsi"/>
                <w:b/>
                <w:bCs/>
                <w:sz w:val="20"/>
              </w:rPr>
              <w:t>Piezīmes</w:t>
            </w:r>
          </w:p>
        </w:tc>
      </w:tr>
      <w:tr w:rsidR="00E46367" w:rsidRPr="00675182" w14:paraId="31131A5E" w14:textId="77777777" w:rsidTr="00D447AC">
        <w:tc>
          <w:tcPr>
            <w:tcW w:w="5000" w:type="pct"/>
            <w:gridSpan w:val="5"/>
          </w:tcPr>
          <w:p w14:paraId="395C9D80" w14:textId="4D6262EA" w:rsidR="00E46367" w:rsidRPr="00675182" w:rsidRDefault="00E46367" w:rsidP="004F5E89">
            <w:pPr>
              <w:rPr>
                <w:rFonts w:cstheme="minorHAnsi"/>
                <w:b/>
                <w:bCs/>
                <w:i/>
                <w:iCs/>
                <w:sz w:val="20"/>
              </w:rPr>
            </w:pPr>
            <w:r w:rsidRPr="00675182">
              <w:rPr>
                <w:rFonts w:cstheme="minorHAnsi"/>
                <w:b/>
                <w:bCs/>
                <w:i/>
                <w:iCs/>
                <w:sz w:val="20"/>
              </w:rPr>
              <w:t>Lauksaimniecība</w:t>
            </w:r>
          </w:p>
        </w:tc>
      </w:tr>
      <w:tr w:rsidR="00E46367" w:rsidRPr="00675182" w14:paraId="72978EAE" w14:textId="77777777" w:rsidTr="00D447AC">
        <w:tc>
          <w:tcPr>
            <w:tcW w:w="1472" w:type="pct"/>
          </w:tcPr>
          <w:p w14:paraId="44E768A8" w14:textId="77777777" w:rsidR="00E46367" w:rsidRPr="00675182" w:rsidRDefault="00E46367" w:rsidP="004F5E89">
            <w:pPr>
              <w:jc w:val="both"/>
              <w:rPr>
                <w:rFonts w:cstheme="minorHAnsi"/>
                <w:sz w:val="20"/>
              </w:rPr>
            </w:pPr>
            <w:r w:rsidRPr="00675182">
              <w:rPr>
                <w:rFonts w:cstheme="minorHAnsi"/>
                <w:sz w:val="20"/>
              </w:rPr>
              <w:t>Zālāju apsaimniekošanas pārtraukšana</w:t>
            </w:r>
          </w:p>
        </w:tc>
        <w:tc>
          <w:tcPr>
            <w:tcW w:w="457" w:type="pct"/>
            <w:vAlign w:val="center"/>
          </w:tcPr>
          <w:p w14:paraId="076E8DE3" w14:textId="728657CB" w:rsidR="00E46367" w:rsidRPr="00675182" w:rsidRDefault="00E46367" w:rsidP="004F5E89">
            <w:pPr>
              <w:jc w:val="center"/>
              <w:rPr>
                <w:rFonts w:cstheme="minorHAnsi"/>
                <w:sz w:val="20"/>
              </w:rPr>
            </w:pPr>
            <w:r w:rsidRPr="00675182">
              <w:rPr>
                <w:rFonts w:cstheme="minorHAnsi"/>
                <w:sz w:val="20"/>
              </w:rPr>
              <w:t>N/M</w:t>
            </w:r>
          </w:p>
        </w:tc>
        <w:tc>
          <w:tcPr>
            <w:tcW w:w="486" w:type="pct"/>
            <w:vAlign w:val="center"/>
          </w:tcPr>
          <w:p w14:paraId="261615CA" w14:textId="1CCD34C8" w:rsidR="00E46367" w:rsidRPr="00675182" w:rsidRDefault="00E46367" w:rsidP="004F5E89">
            <w:pPr>
              <w:jc w:val="center"/>
              <w:rPr>
                <w:rFonts w:cstheme="minorHAnsi"/>
                <w:sz w:val="20"/>
              </w:rPr>
            </w:pPr>
            <w:r w:rsidRPr="00675182">
              <w:rPr>
                <w:rFonts w:cstheme="minorHAnsi"/>
                <w:sz w:val="20"/>
              </w:rPr>
              <w:t>A06</w:t>
            </w:r>
          </w:p>
        </w:tc>
        <w:tc>
          <w:tcPr>
            <w:tcW w:w="378" w:type="pct"/>
            <w:vAlign w:val="center"/>
          </w:tcPr>
          <w:p w14:paraId="384EAFBD"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3DB8B8D5" w14:textId="276D0B5C" w:rsidR="00E46367" w:rsidRPr="00675182" w:rsidRDefault="00E46367" w:rsidP="007028E5">
            <w:pPr>
              <w:rPr>
                <w:rFonts w:cstheme="minorHAnsi"/>
                <w:sz w:val="20"/>
              </w:rPr>
            </w:pPr>
            <w:r w:rsidRPr="00675182">
              <w:rPr>
                <w:rFonts w:cstheme="minorHAnsi"/>
                <w:sz w:val="20"/>
              </w:rPr>
              <w:t xml:space="preserve">GNP ir pamestas un neapsaimniekotas zālāju biotopu </w:t>
            </w:r>
            <w:r w:rsidR="007C641D">
              <w:rPr>
                <w:rFonts w:cstheme="minorHAnsi"/>
                <w:sz w:val="20"/>
              </w:rPr>
              <w:t>platības</w:t>
            </w:r>
          </w:p>
        </w:tc>
      </w:tr>
      <w:tr w:rsidR="00E46367" w:rsidRPr="00675182" w14:paraId="14BD44C1" w14:textId="77777777" w:rsidTr="00D447AC">
        <w:tc>
          <w:tcPr>
            <w:tcW w:w="1472" w:type="pct"/>
          </w:tcPr>
          <w:p w14:paraId="3B49981B" w14:textId="77777777" w:rsidR="00E46367" w:rsidRPr="00675182" w:rsidRDefault="00E46367" w:rsidP="004F5E89">
            <w:pPr>
              <w:jc w:val="both"/>
              <w:rPr>
                <w:rFonts w:cstheme="minorHAnsi"/>
                <w:sz w:val="20"/>
              </w:rPr>
            </w:pPr>
            <w:r w:rsidRPr="00675182">
              <w:rPr>
                <w:rFonts w:cstheme="minorHAnsi"/>
                <w:sz w:val="20"/>
              </w:rPr>
              <w:t>Zālāju iznīcināšana uzarot, apbūvējot, transformējot</w:t>
            </w:r>
          </w:p>
        </w:tc>
        <w:tc>
          <w:tcPr>
            <w:tcW w:w="457" w:type="pct"/>
            <w:vAlign w:val="center"/>
          </w:tcPr>
          <w:p w14:paraId="132A68DA" w14:textId="19CA8181" w:rsidR="00E46367" w:rsidRPr="00675182" w:rsidRDefault="00E46367" w:rsidP="004F5E89">
            <w:pPr>
              <w:jc w:val="center"/>
              <w:rPr>
                <w:rFonts w:cstheme="minorHAnsi"/>
                <w:sz w:val="20"/>
              </w:rPr>
            </w:pPr>
            <w:r w:rsidRPr="00675182">
              <w:rPr>
                <w:rFonts w:cstheme="minorHAnsi"/>
                <w:sz w:val="20"/>
              </w:rPr>
              <w:t>N/L</w:t>
            </w:r>
          </w:p>
        </w:tc>
        <w:tc>
          <w:tcPr>
            <w:tcW w:w="486" w:type="pct"/>
            <w:vAlign w:val="center"/>
          </w:tcPr>
          <w:p w14:paraId="3B4A465C" w14:textId="3745FDE7" w:rsidR="00E46367" w:rsidRPr="00675182" w:rsidRDefault="00E46367" w:rsidP="004F5E89">
            <w:pPr>
              <w:jc w:val="center"/>
              <w:rPr>
                <w:rFonts w:cstheme="minorHAnsi"/>
                <w:sz w:val="20"/>
              </w:rPr>
            </w:pPr>
          </w:p>
        </w:tc>
        <w:tc>
          <w:tcPr>
            <w:tcW w:w="378" w:type="pct"/>
            <w:vAlign w:val="center"/>
          </w:tcPr>
          <w:p w14:paraId="2B79FBD5"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01BEEE01" w14:textId="77777777" w:rsidR="00E46367" w:rsidRPr="00675182" w:rsidRDefault="00E46367" w:rsidP="007028E5">
            <w:pPr>
              <w:rPr>
                <w:rFonts w:cstheme="minorHAnsi"/>
                <w:sz w:val="20"/>
              </w:rPr>
            </w:pPr>
          </w:p>
        </w:tc>
      </w:tr>
      <w:tr w:rsidR="00E46367" w:rsidRPr="00675182" w14:paraId="1CC4B3AB" w14:textId="77777777" w:rsidTr="00D447AC">
        <w:tc>
          <w:tcPr>
            <w:tcW w:w="1472" w:type="pct"/>
          </w:tcPr>
          <w:p w14:paraId="3C034FEC" w14:textId="77777777" w:rsidR="00E46367" w:rsidRPr="00675182" w:rsidRDefault="00E46367" w:rsidP="004F5E89">
            <w:pPr>
              <w:jc w:val="both"/>
              <w:rPr>
                <w:rFonts w:cstheme="minorHAnsi"/>
                <w:sz w:val="20"/>
              </w:rPr>
            </w:pPr>
            <w:r w:rsidRPr="00675182">
              <w:rPr>
                <w:rFonts w:cstheme="minorHAnsi"/>
                <w:sz w:val="20"/>
              </w:rPr>
              <w:t>Invazīvo sugu izplatība</w:t>
            </w:r>
          </w:p>
        </w:tc>
        <w:tc>
          <w:tcPr>
            <w:tcW w:w="457" w:type="pct"/>
            <w:vAlign w:val="center"/>
          </w:tcPr>
          <w:p w14:paraId="2BFC6B63" w14:textId="6C147D00" w:rsidR="00E46367" w:rsidRPr="00675182" w:rsidRDefault="00E46367" w:rsidP="004F5E89">
            <w:pPr>
              <w:jc w:val="center"/>
              <w:rPr>
                <w:rFonts w:cstheme="minorHAnsi"/>
                <w:sz w:val="20"/>
              </w:rPr>
            </w:pPr>
            <w:r w:rsidRPr="00675182">
              <w:rPr>
                <w:rFonts w:cstheme="minorHAnsi"/>
                <w:sz w:val="20"/>
              </w:rPr>
              <w:t>N/M</w:t>
            </w:r>
          </w:p>
        </w:tc>
        <w:tc>
          <w:tcPr>
            <w:tcW w:w="486" w:type="pct"/>
            <w:vAlign w:val="center"/>
          </w:tcPr>
          <w:p w14:paraId="21C8DD17" w14:textId="5D05362E" w:rsidR="00E46367" w:rsidRPr="00675182" w:rsidRDefault="00E46367" w:rsidP="004F5E89">
            <w:pPr>
              <w:jc w:val="center"/>
              <w:rPr>
                <w:rFonts w:cstheme="minorHAnsi"/>
                <w:sz w:val="20"/>
              </w:rPr>
            </w:pPr>
          </w:p>
        </w:tc>
        <w:tc>
          <w:tcPr>
            <w:tcW w:w="378" w:type="pct"/>
            <w:vAlign w:val="center"/>
          </w:tcPr>
          <w:p w14:paraId="31D6780C"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0BC84326" w14:textId="4C8E19B5" w:rsidR="00E46367" w:rsidRPr="00675182" w:rsidRDefault="00E46367" w:rsidP="007028E5">
            <w:pPr>
              <w:rPr>
                <w:rFonts w:cstheme="minorHAnsi"/>
                <w:sz w:val="20"/>
              </w:rPr>
            </w:pPr>
            <w:r w:rsidRPr="00675182">
              <w:rPr>
                <w:rFonts w:cstheme="minorHAnsi"/>
                <w:sz w:val="20"/>
              </w:rPr>
              <w:t xml:space="preserve">Novērojama invazīvo sugu, piemēram, Sosnovska latvānis, Kanādas </w:t>
            </w:r>
            <w:r w:rsidR="00003D5F" w:rsidRPr="00675182">
              <w:rPr>
                <w:rFonts w:cstheme="minorHAnsi"/>
                <w:sz w:val="20"/>
              </w:rPr>
              <w:t>zeltgalvīte</w:t>
            </w:r>
            <w:r w:rsidRPr="00675182">
              <w:rPr>
                <w:rFonts w:cstheme="minorHAnsi"/>
                <w:sz w:val="20"/>
              </w:rPr>
              <w:t>, daudzlapu lupīna, izplatība GNP teritorijā</w:t>
            </w:r>
          </w:p>
        </w:tc>
      </w:tr>
      <w:tr w:rsidR="00E46367" w:rsidRPr="00675182" w14:paraId="0363F7FC" w14:textId="77777777" w:rsidTr="00D447AC">
        <w:tc>
          <w:tcPr>
            <w:tcW w:w="5000" w:type="pct"/>
            <w:gridSpan w:val="5"/>
          </w:tcPr>
          <w:p w14:paraId="412D56B3" w14:textId="0DB0854B" w:rsidR="00E46367" w:rsidRPr="00675182" w:rsidRDefault="00E46367" w:rsidP="004F5E89">
            <w:pPr>
              <w:rPr>
                <w:rFonts w:cstheme="minorHAnsi"/>
                <w:b/>
                <w:bCs/>
                <w:i/>
                <w:iCs/>
                <w:sz w:val="20"/>
              </w:rPr>
            </w:pPr>
            <w:r w:rsidRPr="00675182">
              <w:rPr>
                <w:rFonts w:cstheme="minorHAnsi"/>
                <w:b/>
                <w:bCs/>
                <w:i/>
                <w:iCs/>
                <w:sz w:val="20"/>
              </w:rPr>
              <w:t>Mežsaimniecība</w:t>
            </w:r>
          </w:p>
        </w:tc>
      </w:tr>
      <w:tr w:rsidR="00E46367" w:rsidRPr="00675182" w14:paraId="3FEEB2F5" w14:textId="77777777" w:rsidTr="00D447AC">
        <w:tc>
          <w:tcPr>
            <w:tcW w:w="1472" w:type="pct"/>
          </w:tcPr>
          <w:p w14:paraId="2D2D21B1" w14:textId="77777777" w:rsidR="00E46367" w:rsidRPr="00675182" w:rsidRDefault="00E46367" w:rsidP="004F5E89">
            <w:pPr>
              <w:jc w:val="both"/>
              <w:rPr>
                <w:rFonts w:cstheme="minorHAnsi"/>
                <w:sz w:val="20"/>
              </w:rPr>
            </w:pPr>
            <w:r w:rsidRPr="00675182">
              <w:rPr>
                <w:rFonts w:cstheme="minorHAnsi"/>
                <w:sz w:val="20"/>
              </w:rPr>
              <w:t>Atsevišķu koku izciršana (izņemot kailcirti) nekailciršu mežsaimniecība</w:t>
            </w:r>
          </w:p>
        </w:tc>
        <w:tc>
          <w:tcPr>
            <w:tcW w:w="457" w:type="pct"/>
            <w:vAlign w:val="center"/>
          </w:tcPr>
          <w:p w14:paraId="431F2BDF" w14:textId="6BB384E8" w:rsidR="00E46367" w:rsidRPr="00675182" w:rsidRDefault="00E46367" w:rsidP="004F5E89">
            <w:pPr>
              <w:jc w:val="center"/>
              <w:rPr>
                <w:rFonts w:cstheme="minorHAnsi"/>
                <w:sz w:val="20"/>
              </w:rPr>
            </w:pPr>
            <w:r w:rsidRPr="00675182">
              <w:rPr>
                <w:rFonts w:cstheme="minorHAnsi"/>
                <w:sz w:val="20"/>
              </w:rPr>
              <w:t>N/M</w:t>
            </w:r>
          </w:p>
        </w:tc>
        <w:tc>
          <w:tcPr>
            <w:tcW w:w="486" w:type="pct"/>
            <w:vAlign w:val="center"/>
          </w:tcPr>
          <w:p w14:paraId="34C3156C" w14:textId="4BA63A80" w:rsidR="00E46367" w:rsidRPr="00675182" w:rsidRDefault="00E46367" w:rsidP="004F5E89">
            <w:pPr>
              <w:jc w:val="center"/>
              <w:rPr>
                <w:rFonts w:cstheme="minorHAnsi"/>
                <w:sz w:val="20"/>
              </w:rPr>
            </w:pPr>
            <w:r w:rsidRPr="00675182">
              <w:rPr>
                <w:rFonts w:cstheme="minorHAnsi"/>
                <w:sz w:val="20"/>
              </w:rPr>
              <w:t>B06</w:t>
            </w:r>
          </w:p>
        </w:tc>
        <w:tc>
          <w:tcPr>
            <w:tcW w:w="378" w:type="pct"/>
            <w:vAlign w:val="center"/>
          </w:tcPr>
          <w:p w14:paraId="3B199984"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60232927" w14:textId="77777777" w:rsidR="00E46367" w:rsidRPr="00675182" w:rsidRDefault="00E46367" w:rsidP="004F5E89">
            <w:pPr>
              <w:jc w:val="both"/>
              <w:rPr>
                <w:rFonts w:cstheme="minorHAnsi"/>
                <w:sz w:val="20"/>
              </w:rPr>
            </w:pPr>
          </w:p>
        </w:tc>
      </w:tr>
      <w:tr w:rsidR="00E46367" w:rsidRPr="00675182" w14:paraId="2617610E" w14:textId="77777777" w:rsidTr="00D447AC">
        <w:tc>
          <w:tcPr>
            <w:tcW w:w="1472" w:type="pct"/>
          </w:tcPr>
          <w:p w14:paraId="43542929" w14:textId="77777777" w:rsidR="00E46367" w:rsidRPr="00675182" w:rsidRDefault="00E46367" w:rsidP="004F5E89">
            <w:pPr>
              <w:jc w:val="both"/>
              <w:rPr>
                <w:rFonts w:cstheme="minorHAnsi"/>
                <w:sz w:val="20"/>
              </w:rPr>
            </w:pPr>
            <w:r w:rsidRPr="00675182">
              <w:rPr>
                <w:rFonts w:cstheme="minorHAnsi"/>
                <w:sz w:val="20"/>
              </w:rPr>
              <w:t>Mirušās koksnes izvākšana, ieskaitot mežistrādes atliekas</w:t>
            </w:r>
          </w:p>
        </w:tc>
        <w:tc>
          <w:tcPr>
            <w:tcW w:w="457" w:type="pct"/>
            <w:vAlign w:val="center"/>
          </w:tcPr>
          <w:p w14:paraId="25F84099" w14:textId="4EB0D6DA" w:rsidR="00E46367" w:rsidRPr="00675182" w:rsidRDefault="00E46367" w:rsidP="004F5E89">
            <w:pPr>
              <w:jc w:val="center"/>
              <w:rPr>
                <w:rFonts w:cstheme="minorHAnsi"/>
                <w:sz w:val="20"/>
              </w:rPr>
            </w:pPr>
            <w:r w:rsidRPr="00675182">
              <w:rPr>
                <w:rFonts w:cstheme="minorHAnsi"/>
                <w:sz w:val="20"/>
              </w:rPr>
              <w:t>N/M</w:t>
            </w:r>
          </w:p>
        </w:tc>
        <w:tc>
          <w:tcPr>
            <w:tcW w:w="486" w:type="pct"/>
            <w:vAlign w:val="center"/>
          </w:tcPr>
          <w:p w14:paraId="58A69A45" w14:textId="1DE2EF04" w:rsidR="00E46367" w:rsidRPr="00675182" w:rsidRDefault="00E46367" w:rsidP="004F5E89">
            <w:pPr>
              <w:jc w:val="center"/>
              <w:rPr>
                <w:rFonts w:cstheme="minorHAnsi"/>
                <w:sz w:val="20"/>
              </w:rPr>
            </w:pPr>
            <w:r w:rsidRPr="00675182">
              <w:rPr>
                <w:rFonts w:cstheme="minorHAnsi"/>
                <w:sz w:val="20"/>
              </w:rPr>
              <w:t>B07</w:t>
            </w:r>
          </w:p>
        </w:tc>
        <w:tc>
          <w:tcPr>
            <w:tcW w:w="378" w:type="pct"/>
            <w:vAlign w:val="center"/>
          </w:tcPr>
          <w:p w14:paraId="0A7931F8" w14:textId="77777777" w:rsidR="00E46367" w:rsidRPr="00675182" w:rsidRDefault="00E46367" w:rsidP="004F5E89">
            <w:pPr>
              <w:jc w:val="center"/>
              <w:rPr>
                <w:rFonts w:cstheme="minorHAnsi"/>
                <w:sz w:val="20"/>
              </w:rPr>
            </w:pPr>
            <w:r w:rsidRPr="00675182">
              <w:rPr>
                <w:rFonts w:cstheme="minorHAnsi"/>
                <w:sz w:val="20"/>
              </w:rPr>
              <w:t>b</w:t>
            </w:r>
          </w:p>
        </w:tc>
        <w:tc>
          <w:tcPr>
            <w:tcW w:w="2207" w:type="pct"/>
          </w:tcPr>
          <w:p w14:paraId="667EB5F5" w14:textId="77777777" w:rsidR="00E46367" w:rsidRPr="00675182" w:rsidRDefault="00E46367" w:rsidP="004F5E89">
            <w:pPr>
              <w:jc w:val="both"/>
              <w:rPr>
                <w:rFonts w:cstheme="minorHAnsi"/>
                <w:sz w:val="20"/>
              </w:rPr>
            </w:pPr>
          </w:p>
        </w:tc>
      </w:tr>
      <w:tr w:rsidR="00E46367" w:rsidRPr="00675182" w14:paraId="154BA570" w14:textId="77777777" w:rsidTr="00D447AC">
        <w:tc>
          <w:tcPr>
            <w:tcW w:w="1472" w:type="pct"/>
          </w:tcPr>
          <w:p w14:paraId="69F322E3" w14:textId="77777777" w:rsidR="00E46367" w:rsidRPr="00675182" w:rsidRDefault="00E46367" w:rsidP="004F5E89">
            <w:pPr>
              <w:jc w:val="both"/>
              <w:rPr>
                <w:rFonts w:cstheme="minorHAnsi"/>
                <w:sz w:val="20"/>
              </w:rPr>
            </w:pPr>
            <w:r w:rsidRPr="00675182">
              <w:rPr>
                <w:rFonts w:cstheme="minorHAnsi"/>
                <w:sz w:val="20"/>
              </w:rPr>
              <w:t>Koku stāva retināšana – kopšanas cirte</w:t>
            </w:r>
          </w:p>
        </w:tc>
        <w:tc>
          <w:tcPr>
            <w:tcW w:w="457" w:type="pct"/>
            <w:vAlign w:val="center"/>
          </w:tcPr>
          <w:p w14:paraId="1DB6AD13" w14:textId="185D01D7" w:rsidR="00E46367" w:rsidRPr="00675182" w:rsidRDefault="00E46367" w:rsidP="004F5E89">
            <w:pPr>
              <w:jc w:val="center"/>
              <w:rPr>
                <w:rFonts w:cstheme="minorHAnsi"/>
                <w:sz w:val="20"/>
              </w:rPr>
            </w:pPr>
            <w:r w:rsidRPr="00675182">
              <w:rPr>
                <w:rFonts w:cstheme="minorHAnsi"/>
                <w:sz w:val="20"/>
              </w:rPr>
              <w:t>N/M</w:t>
            </w:r>
          </w:p>
        </w:tc>
        <w:tc>
          <w:tcPr>
            <w:tcW w:w="486" w:type="pct"/>
            <w:vAlign w:val="center"/>
          </w:tcPr>
          <w:p w14:paraId="7F1E2DFA" w14:textId="3FD306BF" w:rsidR="00E46367" w:rsidRPr="00675182" w:rsidRDefault="00E46367" w:rsidP="004F5E89">
            <w:pPr>
              <w:jc w:val="center"/>
              <w:rPr>
                <w:rFonts w:cstheme="minorHAnsi"/>
                <w:sz w:val="20"/>
              </w:rPr>
            </w:pPr>
            <w:r w:rsidRPr="00675182">
              <w:rPr>
                <w:rFonts w:cstheme="minorHAnsi"/>
                <w:sz w:val="20"/>
              </w:rPr>
              <w:t>B12</w:t>
            </w:r>
          </w:p>
        </w:tc>
        <w:tc>
          <w:tcPr>
            <w:tcW w:w="378" w:type="pct"/>
            <w:vAlign w:val="center"/>
          </w:tcPr>
          <w:p w14:paraId="43D6CFF3"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22F46822" w14:textId="77777777" w:rsidR="00E46367" w:rsidRPr="00675182" w:rsidRDefault="00E46367" w:rsidP="004F5E89">
            <w:pPr>
              <w:rPr>
                <w:rFonts w:cstheme="minorHAnsi"/>
                <w:sz w:val="20"/>
              </w:rPr>
            </w:pPr>
            <w:r w:rsidRPr="00675182">
              <w:rPr>
                <w:rFonts w:cstheme="minorHAnsi"/>
                <w:sz w:val="20"/>
              </w:rPr>
              <w:t>Veiktas krājas kopšanas, jaunaudžu kopšanas un sanitārās cirtes.</w:t>
            </w:r>
          </w:p>
        </w:tc>
      </w:tr>
      <w:tr w:rsidR="00E46367" w:rsidRPr="00675182" w14:paraId="61811C3F" w14:textId="77777777" w:rsidTr="00D447AC">
        <w:tc>
          <w:tcPr>
            <w:tcW w:w="1472" w:type="pct"/>
          </w:tcPr>
          <w:p w14:paraId="12167F4D" w14:textId="77777777" w:rsidR="00E46367" w:rsidRPr="00675182" w:rsidRDefault="00E46367" w:rsidP="004F5E89">
            <w:pPr>
              <w:jc w:val="both"/>
              <w:rPr>
                <w:rFonts w:cstheme="minorHAnsi"/>
                <w:sz w:val="20"/>
              </w:rPr>
            </w:pPr>
            <w:r w:rsidRPr="00675182">
              <w:rPr>
                <w:rFonts w:cstheme="minorHAnsi"/>
                <w:sz w:val="20"/>
              </w:rPr>
              <w:t>Mežu apsaimniekošana, samazinot vecu mežu īpatsvaru</w:t>
            </w:r>
          </w:p>
        </w:tc>
        <w:tc>
          <w:tcPr>
            <w:tcW w:w="457" w:type="pct"/>
            <w:vAlign w:val="center"/>
          </w:tcPr>
          <w:p w14:paraId="036DEEE3" w14:textId="7DA8ED7D" w:rsidR="00E46367" w:rsidRPr="00675182" w:rsidRDefault="00E46367" w:rsidP="004F5E89">
            <w:pPr>
              <w:jc w:val="center"/>
              <w:rPr>
                <w:rFonts w:cstheme="minorHAnsi"/>
                <w:sz w:val="20"/>
              </w:rPr>
            </w:pPr>
            <w:r w:rsidRPr="00675182">
              <w:rPr>
                <w:rFonts w:cstheme="minorHAnsi"/>
                <w:sz w:val="20"/>
              </w:rPr>
              <w:t>N/</w:t>
            </w:r>
            <w:r w:rsidR="008E312A" w:rsidRPr="00675182">
              <w:rPr>
                <w:rFonts w:cstheme="minorHAnsi"/>
                <w:sz w:val="20"/>
              </w:rPr>
              <w:t>M</w:t>
            </w:r>
          </w:p>
        </w:tc>
        <w:tc>
          <w:tcPr>
            <w:tcW w:w="486" w:type="pct"/>
            <w:vAlign w:val="center"/>
          </w:tcPr>
          <w:p w14:paraId="1AEE5E65" w14:textId="041A63A9" w:rsidR="00E46367" w:rsidRPr="00675182" w:rsidRDefault="00E46367" w:rsidP="004F5E89">
            <w:pPr>
              <w:jc w:val="center"/>
              <w:rPr>
                <w:rFonts w:cstheme="minorHAnsi"/>
                <w:sz w:val="20"/>
              </w:rPr>
            </w:pPr>
            <w:r w:rsidRPr="00675182">
              <w:rPr>
                <w:rFonts w:cstheme="minorHAnsi"/>
                <w:sz w:val="20"/>
              </w:rPr>
              <w:t>B15</w:t>
            </w:r>
          </w:p>
        </w:tc>
        <w:tc>
          <w:tcPr>
            <w:tcW w:w="378" w:type="pct"/>
            <w:vAlign w:val="center"/>
          </w:tcPr>
          <w:p w14:paraId="45A7FE7D" w14:textId="77777777" w:rsidR="00E46367" w:rsidRPr="00675182" w:rsidRDefault="00E46367" w:rsidP="004F5E89">
            <w:pPr>
              <w:jc w:val="center"/>
              <w:rPr>
                <w:rFonts w:cstheme="minorHAnsi"/>
                <w:sz w:val="20"/>
              </w:rPr>
            </w:pPr>
            <w:r w:rsidRPr="00675182">
              <w:rPr>
                <w:rFonts w:cstheme="minorHAnsi"/>
                <w:sz w:val="20"/>
              </w:rPr>
              <w:t>b</w:t>
            </w:r>
          </w:p>
        </w:tc>
        <w:tc>
          <w:tcPr>
            <w:tcW w:w="2207" w:type="pct"/>
          </w:tcPr>
          <w:p w14:paraId="58DAEB48" w14:textId="77777777" w:rsidR="00E46367" w:rsidRPr="00675182" w:rsidRDefault="00E46367" w:rsidP="004F5E89">
            <w:pPr>
              <w:jc w:val="both"/>
              <w:rPr>
                <w:rFonts w:cstheme="minorHAnsi"/>
                <w:sz w:val="20"/>
              </w:rPr>
            </w:pPr>
            <w:r w:rsidRPr="00675182">
              <w:rPr>
                <w:rFonts w:cstheme="minorHAnsi"/>
                <w:sz w:val="20"/>
              </w:rPr>
              <w:t>Veiktas cirtes pāraugušas mežaudzēs, kurām nozīmīgs potenciāls biotopu attīstībai</w:t>
            </w:r>
          </w:p>
        </w:tc>
      </w:tr>
      <w:tr w:rsidR="00E46367" w:rsidRPr="00675182" w14:paraId="4CA77733" w14:textId="77777777" w:rsidTr="00D447AC">
        <w:tc>
          <w:tcPr>
            <w:tcW w:w="1472" w:type="pct"/>
          </w:tcPr>
          <w:p w14:paraId="312576BA" w14:textId="77777777" w:rsidR="00E46367" w:rsidRPr="00675182" w:rsidRDefault="00E46367" w:rsidP="004F5E89">
            <w:pPr>
              <w:jc w:val="both"/>
              <w:rPr>
                <w:rFonts w:cstheme="minorHAnsi"/>
                <w:sz w:val="20"/>
              </w:rPr>
            </w:pPr>
            <w:r w:rsidRPr="00675182">
              <w:rPr>
                <w:rFonts w:cstheme="minorHAnsi"/>
                <w:sz w:val="20"/>
              </w:rPr>
              <w:t>Meliorācija</w:t>
            </w:r>
          </w:p>
        </w:tc>
        <w:tc>
          <w:tcPr>
            <w:tcW w:w="457" w:type="pct"/>
            <w:vAlign w:val="center"/>
          </w:tcPr>
          <w:p w14:paraId="58FCC9D4" w14:textId="4337ADF5" w:rsidR="00E46367" w:rsidRPr="00675182" w:rsidRDefault="00E46367" w:rsidP="004F5E89">
            <w:pPr>
              <w:jc w:val="center"/>
              <w:rPr>
                <w:rFonts w:cstheme="minorHAnsi"/>
                <w:sz w:val="20"/>
              </w:rPr>
            </w:pPr>
            <w:r w:rsidRPr="00675182">
              <w:rPr>
                <w:rFonts w:cstheme="minorHAnsi"/>
                <w:sz w:val="20"/>
              </w:rPr>
              <w:t>N/M</w:t>
            </w:r>
          </w:p>
        </w:tc>
        <w:tc>
          <w:tcPr>
            <w:tcW w:w="486" w:type="pct"/>
            <w:vAlign w:val="center"/>
          </w:tcPr>
          <w:p w14:paraId="4BAC16EA" w14:textId="2B723F8D" w:rsidR="00E46367" w:rsidRPr="00675182" w:rsidRDefault="00E46367" w:rsidP="004F5E89">
            <w:pPr>
              <w:jc w:val="center"/>
              <w:rPr>
                <w:rFonts w:cstheme="minorHAnsi"/>
                <w:sz w:val="20"/>
              </w:rPr>
            </w:pPr>
            <w:r w:rsidRPr="00675182">
              <w:rPr>
                <w:rFonts w:cstheme="minorHAnsi"/>
                <w:sz w:val="20"/>
              </w:rPr>
              <w:t>B27</w:t>
            </w:r>
          </w:p>
        </w:tc>
        <w:tc>
          <w:tcPr>
            <w:tcW w:w="378" w:type="pct"/>
            <w:vAlign w:val="center"/>
          </w:tcPr>
          <w:p w14:paraId="23F7DD3C" w14:textId="77777777" w:rsidR="00E46367" w:rsidRPr="00675182" w:rsidRDefault="00E46367" w:rsidP="004F5E89">
            <w:pPr>
              <w:jc w:val="center"/>
              <w:rPr>
                <w:rFonts w:cstheme="minorHAnsi"/>
                <w:sz w:val="20"/>
              </w:rPr>
            </w:pPr>
            <w:r w:rsidRPr="00675182">
              <w:rPr>
                <w:rFonts w:cstheme="minorHAnsi"/>
                <w:sz w:val="20"/>
              </w:rPr>
              <w:t>b</w:t>
            </w:r>
          </w:p>
        </w:tc>
        <w:tc>
          <w:tcPr>
            <w:tcW w:w="2207" w:type="pct"/>
          </w:tcPr>
          <w:p w14:paraId="76EF128C" w14:textId="77777777" w:rsidR="00E46367" w:rsidRPr="00675182" w:rsidRDefault="00E46367" w:rsidP="004F5E89">
            <w:pPr>
              <w:rPr>
                <w:rFonts w:cstheme="minorHAnsi"/>
                <w:sz w:val="20"/>
              </w:rPr>
            </w:pPr>
            <w:r w:rsidRPr="00675182">
              <w:rPr>
                <w:rFonts w:cstheme="minorHAnsi"/>
                <w:sz w:val="20"/>
              </w:rPr>
              <w:t>Atsevišķu purvu un pārmitro mežu platības negatīvi ietekmē vēsturiskas, joprojām funkcionējošas meliorācijas sistēmas</w:t>
            </w:r>
          </w:p>
        </w:tc>
      </w:tr>
      <w:tr w:rsidR="00E46367" w:rsidRPr="00675182" w14:paraId="18AC1068" w14:textId="77777777" w:rsidTr="00D447AC">
        <w:tc>
          <w:tcPr>
            <w:tcW w:w="5000" w:type="pct"/>
            <w:gridSpan w:val="5"/>
          </w:tcPr>
          <w:p w14:paraId="4F94C08F" w14:textId="74D7C066" w:rsidR="00E46367" w:rsidRPr="00675182" w:rsidRDefault="00E46367" w:rsidP="004F5E89">
            <w:pPr>
              <w:rPr>
                <w:rFonts w:cstheme="minorHAnsi"/>
                <w:b/>
                <w:bCs/>
                <w:i/>
                <w:iCs/>
                <w:sz w:val="20"/>
              </w:rPr>
            </w:pPr>
            <w:r w:rsidRPr="00675182">
              <w:rPr>
                <w:rFonts w:cstheme="minorHAnsi"/>
                <w:b/>
                <w:bCs/>
                <w:i/>
                <w:iCs/>
                <w:sz w:val="20"/>
              </w:rPr>
              <w:t>Resursu ieguve (minerāli, kūdra, neatjaunojamās enerģijas resursi)</w:t>
            </w:r>
          </w:p>
        </w:tc>
      </w:tr>
      <w:tr w:rsidR="00E46367" w:rsidRPr="00675182" w14:paraId="2CAAB508" w14:textId="77777777" w:rsidTr="00D447AC">
        <w:tc>
          <w:tcPr>
            <w:tcW w:w="1472" w:type="pct"/>
          </w:tcPr>
          <w:p w14:paraId="1BFE332F" w14:textId="541CC5CD" w:rsidR="00E46367" w:rsidRPr="00675182" w:rsidRDefault="00E46367" w:rsidP="004F5E89">
            <w:pPr>
              <w:jc w:val="both"/>
              <w:rPr>
                <w:rFonts w:cstheme="minorHAnsi"/>
                <w:sz w:val="20"/>
              </w:rPr>
            </w:pPr>
            <w:r w:rsidRPr="00675182">
              <w:rPr>
                <w:rFonts w:cstheme="minorHAnsi"/>
                <w:sz w:val="20"/>
              </w:rPr>
              <w:t xml:space="preserve">Derīgo </w:t>
            </w:r>
            <w:r w:rsidR="00165654" w:rsidRPr="00675182">
              <w:rPr>
                <w:rFonts w:cstheme="minorHAnsi"/>
                <w:sz w:val="20"/>
              </w:rPr>
              <w:t>izrakteņu</w:t>
            </w:r>
            <w:r w:rsidRPr="00675182">
              <w:rPr>
                <w:rFonts w:cstheme="minorHAnsi"/>
                <w:sz w:val="20"/>
              </w:rPr>
              <w:t xml:space="preserve"> ieguve (piem., ieži, grants, smilts) ieguve</w:t>
            </w:r>
          </w:p>
        </w:tc>
        <w:tc>
          <w:tcPr>
            <w:tcW w:w="457" w:type="pct"/>
            <w:vAlign w:val="center"/>
          </w:tcPr>
          <w:p w14:paraId="507DC400" w14:textId="2BB0D0C6" w:rsidR="00E46367" w:rsidRPr="00675182" w:rsidRDefault="00E46367" w:rsidP="004F5E89">
            <w:pPr>
              <w:jc w:val="center"/>
              <w:rPr>
                <w:rFonts w:cstheme="minorHAnsi"/>
                <w:sz w:val="20"/>
              </w:rPr>
            </w:pPr>
            <w:r w:rsidRPr="00675182">
              <w:rPr>
                <w:rFonts w:cstheme="minorHAnsi"/>
                <w:sz w:val="20"/>
              </w:rPr>
              <w:t>N/L</w:t>
            </w:r>
          </w:p>
        </w:tc>
        <w:tc>
          <w:tcPr>
            <w:tcW w:w="486" w:type="pct"/>
            <w:vAlign w:val="center"/>
          </w:tcPr>
          <w:p w14:paraId="166539DE" w14:textId="6D4D7B3D" w:rsidR="00E46367" w:rsidRPr="00675182" w:rsidRDefault="00E46367" w:rsidP="004F5E89">
            <w:pPr>
              <w:jc w:val="center"/>
              <w:rPr>
                <w:rFonts w:cstheme="minorHAnsi"/>
                <w:sz w:val="20"/>
              </w:rPr>
            </w:pPr>
            <w:r w:rsidRPr="00675182">
              <w:rPr>
                <w:rFonts w:cstheme="minorHAnsi"/>
                <w:sz w:val="20"/>
              </w:rPr>
              <w:t>C01</w:t>
            </w:r>
          </w:p>
        </w:tc>
        <w:tc>
          <w:tcPr>
            <w:tcW w:w="378" w:type="pct"/>
            <w:vAlign w:val="center"/>
          </w:tcPr>
          <w:p w14:paraId="4469B00C"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2593A842" w14:textId="77777777" w:rsidR="00E46367" w:rsidRPr="00675182" w:rsidRDefault="00E46367" w:rsidP="004F5E89">
            <w:pPr>
              <w:jc w:val="both"/>
              <w:rPr>
                <w:rFonts w:cstheme="minorHAnsi"/>
                <w:sz w:val="20"/>
              </w:rPr>
            </w:pPr>
            <w:r w:rsidRPr="00675182">
              <w:rPr>
                <w:rFonts w:cstheme="minorHAnsi"/>
                <w:sz w:val="20"/>
              </w:rPr>
              <w:t>Ietekme no kādreizējās derīgo izrakteņu ieguves vietām, kā arī pašreizējā ieguve; derīgo izrakteņu ieguve ir veikta 9 atradnēs</w:t>
            </w:r>
          </w:p>
        </w:tc>
      </w:tr>
      <w:tr w:rsidR="00E46367" w:rsidRPr="00675182" w14:paraId="68A7070E" w14:textId="77777777" w:rsidTr="00D447AC">
        <w:tc>
          <w:tcPr>
            <w:tcW w:w="1472" w:type="pct"/>
          </w:tcPr>
          <w:p w14:paraId="2BEFD191" w14:textId="77777777" w:rsidR="00E46367" w:rsidRPr="00675182" w:rsidRDefault="00E46367" w:rsidP="004F5E89">
            <w:pPr>
              <w:jc w:val="both"/>
              <w:rPr>
                <w:rFonts w:cstheme="minorHAnsi"/>
                <w:sz w:val="20"/>
              </w:rPr>
            </w:pPr>
            <w:r w:rsidRPr="00675182">
              <w:rPr>
                <w:rFonts w:cstheme="minorHAnsi"/>
                <w:sz w:val="20"/>
              </w:rPr>
              <w:t>Kūdras ieguve</w:t>
            </w:r>
          </w:p>
        </w:tc>
        <w:tc>
          <w:tcPr>
            <w:tcW w:w="457" w:type="pct"/>
            <w:vAlign w:val="center"/>
          </w:tcPr>
          <w:p w14:paraId="22B11E0D" w14:textId="4DFF6ABC" w:rsidR="00E46367" w:rsidRPr="00675182" w:rsidRDefault="00E46367" w:rsidP="004F5E89">
            <w:pPr>
              <w:jc w:val="center"/>
              <w:rPr>
                <w:rFonts w:cstheme="minorHAnsi"/>
                <w:sz w:val="20"/>
              </w:rPr>
            </w:pPr>
            <w:r w:rsidRPr="00675182">
              <w:rPr>
                <w:rFonts w:cstheme="minorHAnsi"/>
                <w:sz w:val="20"/>
              </w:rPr>
              <w:t>N/L</w:t>
            </w:r>
          </w:p>
        </w:tc>
        <w:tc>
          <w:tcPr>
            <w:tcW w:w="486" w:type="pct"/>
            <w:vAlign w:val="center"/>
          </w:tcPr>
          <w:p w14:paraId="148B3344" w14:textId="03D5231F" w:rsidR="00E46367" w:rsidRPr="00675182" w:rsidRDefault="00E46367" w:rsidP="004F5E89">
            <w:pPr>
              <w:jc w:val="center"/>
              <w:rPr>
                <w:rFonts w:cstheme="minorHAnsi"/>
                <w:sz w:val="20"/>
              </w:rPr>
            </w:pPr>
          </w:p>
        </w:tc>
        <w:tc>
          <w:tcPr>
            <w:tcW w:w="378" w:type="pct"/>
            <w:vAlign w:val="center"/>
          </w:tcPr>
          <w:p w14:paraId="3B3A72AC"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4C4E0873" w14:textId="77777777" w:rsidR="00E46367" w:rsidRPr="00675182" w:rsidRDefault="00E46367" w:rsidP="004F5E89">
            <w:pPr>
              <w:jc w:val="both"/>
              <w:rPr>
                <w:rFonts w:cstheme="minorHAnsi"/>
                <w:sz w:val="20"/>
              </w:rPr>
            </w:pPr>
            <w:r w:rsidRPr="00675182">
              <w:rPr>
                <w:rFonts w:cstheme="minorHAnsi"/>
                <w:sz w:val="20"/>
              </w:rPr>
              <w:t>Rūpnieciska kūdras ieguve tiek veikta vienā atradnē.</w:t>
            </w:r>
          </w:p>
        </w:tc>
      </w:tr>
      <w:tr w:rsidR="00E46367" w:rsidRPr="00675182" w14:paraId="5FB97227" w14:textId="77777777" w:rsidTr="00D447AC">
        <w:tc>
          <w:tcPr>
            <w:tcW w:w="5000" w:type="pct"/>
            <w:gridSpan w:val="5"/>
          </w:tcPr>
          <w:p w14:paraId="6AC697C6" w14:textId="7FDA9EA1" w:rsidR="00E46367" w:rsidRPr="00675182" w:rsidRDefault="00E46367" w:rsidP="004F5E89">
            <w:pPr>
              <w:rPr>
                <w:rFonts w:cstheme="minorHAnsi"/>
                <w:b/>
                <w:bCs/>
                <w:i/>
                <w:iCs/>
                <w:sz w:val="20"/>
              </w:rPr>
            </w:pPr>
            <w:r w:rsidRPr="00675182">
              <w:rPr>
                <w:rFonts w:cstheme="minorHAnsi"/>
                <w:b/>
                <w:bCs/>
                <w:i/>
                <w:iCs/>
                <w:sz w:val="20"/>
              </w:rPr>
              <w:t>Transporta sistēmas attīstība un darbība</w:t>
            </w:r>
          </w:p>
        </w:tc>
      </w:tr>
      <w:tr w:rsidR="00E46367" w:rsidRPr="00675182" w14:paraId="391AF23A" w14:textId="77777777" w:rsidTr="00D447AC">
        <w:tc>
          <w:tcPr>
            <w:tcW w:w="1472" w:type="pct"/>
          </w:tcPr>
          <w:p w14:paraId="685D194F" w14:textId="77777777" w:rsidR="00E46367" w:rsidRPr="00675182" w:rsidRDefault="00E46367" w:rsidP="004F5E89">
            <w:pPr>
              <w:jc w:val="both"/>
              <w:rPr>
                <w:rFonts w:cstheme="minorHAnsi"/>
                <w:sz w:val="20"/>
              </w:rPr>
            </w:pPr>
            <w:r w:rsidRPr="00675182">
              <w:rPr>
                <w:rFonts w:cstheme="minorHAnsi"/>
                <w:sz w:val="20"/>
              </w:rPr>
              <w:t>Ceļu infrastruktūra</w:t>
            </w:r>
          </w:p>
        </w:tc>
        <w:tc>
          <w:tcPr>
            <w:tcW w:w="457" w:type="pct"/>
            <w:vAlign w:val="center"/>
          </w:tcPr>
          <w:p w14:paraId="3057E27B" w14:textId="2EE90F44" w:rsidR="00E46367" w:rsidRPr="00675182" w:rsidRDefault="00E46367" w:rsidP="004F5E89">
            <w:pPr>
              <w:jc w:val="center"/>
              <w:rPr>
                <w:rFonts w:cstheme="minorHAnsi"/>
                <w:sz w:val="20"/>
              </w:rPr>
            </w:pPr>
            <w:r w:rsidRPr="00675182">
              <w:rPr>
                <w:rFonts w:cstheme="minorHAnsi"/>
                <w:sz w:val="20"/>
              </w:rPr>
              <w:t>N/L</w:t>
            </w:r>
          </w:p>
        </w:tc>
        <w:tc>
          <w:tcPr>
            <w:tcW w:w="486" w:type="pct"/>
            <w:vAlign w:val="center"/>
          </w:tcPr>
          <w:p w14:paraId="72342061" w14:textId="0BF3D8C4" w:rsidR="00E46367" w:rsidRPr="00675182" w:rsidRDefault="008F7BC1" w:rsidP="004F5E89">
            <w:pPr>
              <w:jc w:val="center"/>
              <w:rPr>
                <w:rFonts w:cstheme="minorHAnsi"/>
                <w:sz w:val="20"/>
              </w:rPr>
            </w:pPr>
            <w:r>
              <w:rPr>
                <w:rFonts w:cstheme="minorHAnsi"/>
                <w:sz w:val="20"/>
              </w:rPr>
              <w:t>D</w:t>
            </w:r>
            <w:r w:rsidR="00E46367" w:rsidRPr="00675182">
              <w:rPr>
                <w:rFonts w:cstheme="minorHAnsi"/>
                <w:sz w:val="20"/>
              </w:rPr>
              <w:t>01</w:t>
            </w:r>
          </w:p>
        </w:tc>
        <w:tc>
          <w:tcPr>
            <w:tcW w:w="378" w:type="pct"/>
            <w:vAlign w:val="center"/>
          </w:tcPr>
          <w:p w14:paraId="54CB1057"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0D3EB10D" w14:textId="77777777" w:rsidR="00E46367" w:rsidRPr="00675182" w:rsidRDefault="00E46367" w:rsidP="004F5E89">
            <w:pPr>
              <w:jc w:val="both"/>
              <w:rPr>
                <w:rFonts w:cstheme="minorHAnsi"/>
                <w:sz w:val="20"/>
              </w:rPr>
            </w:pPr>
            <w:r w:rsidRPr="00675182">
              <w:rPr>
                <w:rFonts w:cstheme="minorHAnsi"/>
                <w:sz w:val="20"/>
              </w:rPr>
              <w:t>Dzīvnieku mirstība uz ceļiem, ietekme uz ainavu</w:t>
            </w:r>
          </w:p>
        </w:tc>
      </w:tr>
      <w:tr w:rsidR="00E46367" w:rsidRPr="00675182" w14:paraId="0995E99E" w14:textId="77777777" w:rsidTr="00D447AC">
        <w:tc>
          <w:tcPr>
            <w:tcW w:w="1472" w:type="pct"/>
          </w:tcPr>
          <w:p w14:paraId="784A4B9A" w14:textId="5EE4B9D5" w:rsidR="00E46367" w:rsidRPr="00675182" w:rsidRDefault="00E46367" w:rsidP="004F5E89">
            <w:pPr>
              <w:jc w:val="both"/>
              <w:rPr>
                <w:rFonts w:cstheme="minorHAnsi"/>
                <w:sz w:val="20"/>
              </w:rPr>
            </w:pPr>
            <w:r w:rsidRPr="00675182">
              <w:rPr>
                <w:rFonts w:cstheme="minorHAnsi"/>
                <w:sz w:val="20"/>
              </w:rPr>
              <w:t>Komunikāciju un elektropārvades līnijas</w:t>
            </w:r>
          </w:p>
        </w:tc>
        <w:tc>
          <w:tcPr>
            <w:tcW w:w="457" w:type="pct"/>
            <w:vAlign w:val="center"/>
          </w:tcPr>
          <w:p w14:paraId="0F1F557E" w14:textId="5AC73F5B" w:rsidR="00E46367" w:rsidRPr="00675182" w:rsidRDefault="00E46367" w:rsidP="004F5E89">
            <w:pPr>
              <w:jc w:val="center"/>
              <w:rPr>
                <w:rFonts w:cstheme="minorHAnsi"/>
                <w:sz w:val="20"/>
              </w:rPr>
            </w:pPr>
            <w:r w:rsidRPr="00675182">
              <w:rPr>
                <w:rFonts w:cstheme="minorHAnsi"/>
                <w:sz w:val="20"/>
              </w:rPr>
              <w:t>N/Z</w:t>
            </w:r>
          </w:p>
        </w:tc>
        <w:tc>
          <w:tcPr>
            <w:tcW w:w="486" w:type="pct"/>
            <w:vAlign w:val="center"/>
          </w:tcPr>
          <w:p w14:paraId="401F6FE1" w14:textId="40003071" w:rsidR="00E46367" w:rsidRPr="00675182" w:rsidRDefault="00E46367" w:rsidP="004F5E89">
            <w:pPr>
              <w:jc w:val="center"/>
              <w:rPr>
                <w:rFonts w:cstheme="minorHAnsi"/>
                <w:sz w:val="20"/>
              </w:rPr>
            </w:pPr>
          </w:p>
        </w:tc>
        <w:tc>
          <w:tcPr>
            <w:tcW w:w="378" w:type="pct"/>
            <w:vAlign w:val="center"/>
          </w:tcPr>
          <w:p w14:paraId="1113F1EB" w14:textId="145793BA" w:rsidR="00E46367" w:rsidRPr="00675182" w:rsidRDefault="00E46367" w:rsidP="004F5E89">
            <w:pPr>
              <w:jc w:val="center"/>
              <w:rPr>
                <w:rFonts w:cstheme="minorHAnsi"/>
                <w:sz w:val="20"/>
              </w:rPr>
            </w:pPr>
            <w:r w:rsidRPr="00675182">
              <w:rPr>
                <w:rFonts w:cstheme="minorHAnsi"/>
                <w:sz w:val="20"/>
              </w:rPr>
              <w:t>i</w:t>
            </w:r>
          </w:p>
        </w:tc>
        <w:tc>
          <w:tcPr>
            <w:tcW w:w="2207" w:type="pct"/>
          </w:tcPr>
          <w:p w14:paraId="45347C6B" w14:textId="77777777" w:rsidR="00E46367" w:rsidRPr="00675182" w:rsidRDefault="00E46367" w:rsidP="004F5E89">
            <w:pPr>
              <w:jc w:val="both"/>
              <w:rPr>
                <w:rFonts w:cstheme="minorHAnsi"/>
                <w:sz w:val="20"/>
              </w:rPr>
            </w:pPr>
          </w:p>
        </w:tc>
      </w:tr>
      <w:tr w:rsidR="00E46367" w:rsidRPr="00675182" w14:paraId="6A03C656" w14:textId="77777777" w:rsidTr="00D447AC">
        <w:tc>
          <w:tcPr>
            <w:tcW w:w="5000" w:type="pct"/>
            <w:gridSpan w:val="5"/>
          </w:tcPr>
          <w:p w14:paraId="59CB5EE1" w14:textId="3698499C" w:rsidR="00E46367" w:rsidRPr="00675182" w:rsidRDefault="00E46367" w:rsidP="004F5E89">
            <w:pPr>
              <w:rPr>
                <w:rFonts w:cstheme="minorHAnsi"/>
                <w:b/>
                <w:bCs/>
                <w:i/>
                <w:iCs/>
                <w:sz w:val="20"/>
              </w:rPr>
            </w:pPr>
            <w:r w:rsidRPr="00675182">
              <w:rPr>
                <w:rFonts w:cstheme="minorHAnsi"/>
                <w:b/>
                <w:bCs/>
                <w:i/>
                <w:iCs/>
                <w:sz w:val="20"/>
              </w:rPr>
              <w:t>Dzīvojamās, komerciālās, rūpniecības un atpūtas infrastruktūras un teritoriju attīstība, būvniecība un izmantošana</w:t>
            </w:r>
          </w:p>
        </w:tc>
      </w:tr>
      <w:tr w:rsidR="00E46367" w:rsidRPr="00675182" w14:paraId="12341421" w14:textId="77777777" w:rsidTr="00D447AC">
        <w:tc>
          <w:tcPr>
            <w:tcW w:w="1472" w:type="pct"/>
          </w:tcPr>
          <w:p w14:paraId="2DDCC0F6" w14:textId="77777777" w:rsidR="00E46367" w:rsidRPr="00675182" w:rsidRDefault="00E46367" w:rsidP="004F5E89">
            <w:pPr>
              <w:jc w:val="both"/>
              <w:rPr>
                <w:rFonts w:cstheme="minorHAnsi"/>
                <w:sz w:val="20"/>
              </w:rPr>
            </w:pPr>
            <w:r w:rsidRPr="00675182">
              <w:rPr>
                <w:rFonts w:cstheme="minorHAnsi"/>
                <w:sz w:val="20"/>
              </w:rPr>
              <w:t>Sporta, tūrisma un atpūtas aktivitātes</w:t>
            </w:r>
          </w:p>
        </w:tc>
        <w:tc>
          <w:tcPr>
            <w:tcW w:w="457" w:type="pct"/>
            <w:vAlign w:val="center"/>
          </w:tcPr>
          <w:p w14:paraId="67F23CDC" w14:textId="6B399B01" w:rsidR="00E46367" w:rsidRPr="00675182" w:rsidRDefault="00E46367" w:rsidP="004F5E89">
            <w:pPr>
              <w:jc w:val="center"/>
              <w:rPr>
                <w:rFonts w:cstheme="minorHAnsi"/>
                <w:sz w:val="20"/>
              </w:rPr>
            </w:pPr>
            <w:r w:rsidRPr="00675182">
              <w:rPr>
                <w:rFonts w:cstheme="minorHAnsi"/>
                <w:sz w:val="20"/>
              </w:rPr>
              <w:t>N/M</w:t>
            </w:r>
          </w:p>
        </w:tc>
        <w:tc>
          <w:tcPr>
            <w:tcW w:w="486" w:type="pct"/>
            <w:vAlign w:val="center"/>
          </w:tcPr>
          <w:p w14:paraId="18612970" w14:textId="19BC4D68" w:rsidR="00E46367" w:rsidRPr="00675182" w:rsidRDefault="00E46367" w:rsidP="004F5E89">
            <w:pPr>
              <w:jc w:val="center"/>
              <w:rPr>
                <w:rFonts w:cstheme="minorHAnsi"/>
                <w:sz w:val="20"/>
              </w:rPr>
            </w:pPr>
            <w:r w:rsidRPr="00675182">
              <w:rPr>
                <w:rFonts w:cstheme="minorHAnsi"/>
                <w:sz w:val="20"/>
              </w:rPr>
              <w:t>F07</w:t>
            </w:r>
          </w:p>
        </w:tc>
        <w:tc>
          <w:tcPr>
            <w:tcW w:w="378" w:type="pct"/>
            <w:vAlign w:val="center"/>
          </w:tcPr>
          <w:p w14:paraId="627F7637"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4EE71597" w14:textId="77777777" w:rsidR="00E46367" w:rsidRPr="00675182" w:rsidRDefault="00E46367" w:rsidP="004F5E89">
            <w:pPr>
              <w:jc w:val="both"/>
              <w:rPr>
                <w:rFonts w:cstheme="minorHAnsi"/>
                <w:sz w:val="20"/>
              </w:rPr>
            </w:pPr>
            <w:r w:rsidRPr="00675182">
              <w:rPr>
                <w:rFonts w:cstheme="minorHAnsi"/>
                <w:sz w:val="20"/>
              </w:rPr>
              <w:t>Teritorija tiek izmantota tūrisma, sporta un rekreācijas aktivitātēm, atsevišķās vietās vērojama rekreācijas pārmērīga slodze</w:t>
            </w:r>
          </w:p>
        </w:tc>
      </w:tr>
      <w:tr w:rsidR="00E46367" w:rsidRPr="00675182" w14:paraId="75B48D06" w14:textId="77777777" w:rsidTr="00D447AC">
        <w:tc>
          <w:tcPr>
            <w:tcW w:w="1472" w:type="pct"/>
          </w:tcPr>
          <w:p w14:paraId="72F4FA65" w14:textId="77777777" w:rsidR="00E46367" w:rsidRPr="00675182" w:rsidRDefault="00E46367" w:rsidP="004F5E89">
            <w:pPr>
              <w:jc w:val="both"/>
              <w:rPr>
                <w:rFonts w:cstheme="minorHAnsi"/>
                <w:sz w:val="20"/>
              </w:rPr>
            </w:pPr>
            <w:r w:rsidRPr="00675182">
              <w:rPr>
                <w:rFonts w:cstheme="minorHAnsi"/>
                <w:sz w:val="20"/>
              </w:rPr>
              <w:t>Iedzīvotāju un atpūtnieku darbības un būves, kas rada trokšņa, gaismas, siltuma un cita veida piesārņojumu</w:t>
            </w:r>
          </w:p>
        </w:tc>
        <w:tc>
          <w:tcPr>
            <w:tcW w:w="457" w:type="pct"/>
            <w:vAlign w:val="center"/>
          </w:tcPr>
          <w:p w14:paraId="03658492" w14:textId="62036F8E" w:rsidR="00E46367" w:rsidRPr="00675182" w:rsidRDefault="00E46367" w:rsidP="004F5E89">
            <w:pPr>
              <w:jc w:val="center"/>
              <w:rPr>
                <w:rFonts w:cstheme="minorHAnsi"/>
                <w:sz w:val="20"/>
              </w:rPr>
            </w:pPr>
            <w:r w:rsidRPr="00675182">
              <w:rPr>
                <w:rFonts w:cstheme="minorHAnsi"/>
                <w:sz w:val="20"/>
              </w:rPr>
              <w:t>N/L</w:t>
            </w:r>
          </w:p>
        </w:tc>
        <w:tc>
          <w:tcPr>
            <w:tcW w:w="486" w:type="pct"/>
            <w:vAlign w:val="center"/>
          </w:tcPr>
          <w:p w14:paraId="456F3199" w14:textId="5315B8F6" w:rsidR="00E46367" w:rsidRPr="00675182" w:rsidRDefault="00E46367" w:rsidP="004F5E89">
            <w:pPr>
              <w:jc w:val="center"/>
              <w:rPr>
                <w:rFonts w:cstheme="minorHAnsi"/>
                <w:sz w:val="20"/>
              </w:rPr>
            </w:pPr>
            <w:r w:rsidRPr="00675182">
              <w:rPr>
                <w:rFonts w:cstheme="minorHAnsi"/>
                <w:sz w:val="20"/>
              </w:rPr>
              <w:t>F24</w:t>
            </w:r>
          </w:p>
        </w:tc>
        <w:tc>
          <w:tcPr>
            <w:tcW w:w="378" w:type="pct"/>
            <w:vAlign w:val="center"/>
          </w:tcPr>
          <w:p w14:paraId="55CE90C0"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7093EB3E" w14:textId="77777777" w:rsidR="00E46367" w:rsidRPr="00675182" w:rsidRDefault="00E46367" w:rsidP="004F5E89">
            <w:pPr>
              <w:jc w:val="both"/>
              <w:rPr>
                <w:rFonts w:cstheme="minorHAnsi"/>
                <w:sz w:val="20"/>
              </w:rPr>
            </w:pPr>
          </w:p>
        </w:tc>
      </w:tr>
      <w:tr w:rsidR="00E46367" w:rsidRPr="00675182" w14:paraId="3C98F791" w14:textId="77777777" w:rsidTr="00D447AC">
        <w:tc>
          <w:tcPr>
            <w:tcW w:w="1472" w:type="pct"/>
          </w:tcPr>
          <w:p w14:paraId="2A9327C7" w14:textId="77777777" w:rsidR="00E46367" w:rsidRPr="00675182" w:rsidRDefault="00E46367" w:rsidP="004F5E89">
            <w:pPr>
              <w:jc w:val="both"/>
              <w:rPr>
                <w:rFonts w:cstheme="minorHAnsi"/>
                <w:sz w:val="20"/>
              </w:rPr>
            </w:pPr>
            <w:r w:rsidRPr="00675182">
              <w:rPr>
                <w:rFonts w:cstheme="minorHAnsi"/>
                <w:sz w:val="20"/>
              </w:rPr>
              <w:lastRenderedPageBreak/>
              <w:t>Piesārņojums</w:t>
            </w:r>
          </w:p>
        </w:tc>
        <w:tc>
          <w:tcPr>
            <w:tcW w:w="457" w:type="pct"/>
            <w:vAlign w:val="center"/>
          </w:tcPr>
          <w:p w14:paraId="31C86204" w14:textId="1D59A2A3" w:rsidR="00E46367" w:rsidRPr="00675182" w:rsidRDefault="00E46367" w:rsidP="004F5E89">
            <w:pPr>
              <w:jc w:val="center"/>
              <w:rPr>
                <w:rFonts w:cstheme="minorHAnsi"/>
                <w:sz w:val="20"/>
              </w:rPr>
            </w:pPr>
            <w:r w:rsidRPr="00675182">
              <w:rPr>
                <w:rFonts w:cstheme="minorHAnsi"/>
                <w:sz w:val="20"/>
              </w:rPr>
              <w:t xml:space="preserve">N/M </w:t>
            </w:r>
          </w:p>
        </w:tc>
        <w:tc>
          <w:tcPr>
            <w:tcW w:w="486" w:type="pct"/>
            <w:vAlign w:val="center"/>
          </w:tcPr>
          <w:p w14:paraId="7472BE71" w14:textId="689B884A" w:rsidR="00E46367" w:rsidRPr="00675182" w:rsidRDefault="00E46367" w:rsidP="004F5E89">
            <w:pPr>
              <w:jc w:val="center"/>
              <w:rPr>
                <w:rFonts w:cstheme="minorHAnsi"/>
                <w:sz w:val="20"/>
              </w:rPr>
            </w:pPr>
          </w:p>
        </w:tc>
        <w:tc>
          <w:tcPr>
            <w:tcW w:w="378" w:type="pct"/>
            <w:vAlign w:val="center"/>
          </w:tcPr>
          <w:p w14:paraId="7100E91D" w14:textId="77777777" w:rsidR="00E46367" w:rsidRPr="00675182" w:rsidRDefault="00E46367" w:rsidP="004F5E89">
            <w:pPr>
              <w:jc w:val="center"/>
              <w:rPr>
                <w:rFonts w:cstheme="minorHAnsi"/>
                <w:sz w:val="20"/>
              </w:rPr>
            </w:pPr>
            <w:r w:rsidRPr="00675182">
              <w:rPr>
                <w:rFonts w:cstheme="minorHAnsi"/>
                <w:sz w:val="20"/>
              </w:rPr>
              <w:t>b</w:t>
            </w:r>
          </w:p>
        </w:tc>
        <w:tc>
          <w:tcPr>
            <w:tcW w:w="2207" w:type="pct"/>
          </w:tcPr>
          <w:p w14:paraId="4AFBE54F" w14:textId="77777777" w:rsidR="00E46367" w:rsidRPr="00675182" w:rsidRDefault="00E46367" w:rsidP="004F5E89">
            <w:pPr>
              <w:jc w:val="both"/>
              <w:rPr>
                <w:rFonts w:cstheme="minorHAnsi"/>
                <w:sz w:val="20"/>
              </w:rPr>
            </w:pPr>
          </w:p>
        </w:tc>
      </w:tr>
      <w:tr w:rsidR="00E46367" w:rsidRPr="00675182" w14:paraId="4C87DC22" w14:textId="77777777" w:rsidTr="00D447AC">
        <w:tc>
          <w:tcPr>
            <w:tcW w:w="1472" w:type="pct"/>
          </w:tcPr>
          <w:p w14:paraId="535E56C8" w14:textId="77777777" w:rsidR="00E46367" w:rsidRPr="00675182" w:rsidRDefault="00E46367" w:rsidP="004F5E89">
            <w:pPr>
              <w:jc w:val="both"/>
              <w:rPr>
                <w:rFonts w:cstheme="minorHAnsi"/>
                <w:sz w:val="20"/>
              </w:rPr>
            </w:pPr>
            <w:r w:rsidRPr="00675182">
              <w:rPr>
                <w:rFonts w:cstheme="minorHAnsi"/>
                <w:sz w:val="20"/>
              </w:rPr>
              <w:t>Atkritumi</w:t>
            </w:r>
          </w:p>
        </w:tc>
        <w:tc>
          <w:tcPr>
            <w:tcW w:w="457" w:type="pct"/>
            <w:vAlign w:val="center"/>
          </w:tcPr>
          <w:p w14:paraId="0EC51593" w14:textId="12C1155E" w:rsidR="00E46367" w:rsidRPr="00675182" w:rsidRDefault="00E46367" w:rsidP="004F5E89">
            <w:pPr>
              <w:jc w:val="center"/>
              <w:rPr>
                <w:rFonts w:cstheme="minorHAnsi"/>
                <w:sz w:val="20"/>
              </w:rPr>
            </w:pPr>
            <w:r w:rsidRPr="00675182">
              <w:rPr>
                <w:rFonts w:cstheme="minorHAnsi"/>
                <w:sz w:val="20"/>
              </w:rPr>
              <w:t xml:space="preserve">N/M </w:t>
            </w:r>
          </w:p>
        </w:tc>
        <w:tc>
          <w:tcPr>
            <w:tcW w:w="486" w:type="pct"/>
            <w:vAlign w:val="center"/>
          </w:tcPr>
          <w:p w14:paraId="1BBF8EE9" w14:textId="6F64F2D7" w:rsidR="00E46367" w:rsidRPr="00675182" w:rsidRDefault="00E46367" w:rsidP="004F5E89">
            <w:pPr>
              <w:jc w:val="center"/>
              <w:rPr>
                <w:rFonts w:cstheme="minorHAnsi"/>
                <w:sz w:val="20"/>
              </w:rPr>
            </w:pPr>
          </w:p>
        </w:tc>
        <w:tc>
          <w:tcPr>
            <w:tcW w:w="378" w:type="pct"/>
            <w:vAlign w:val="center"/>
          </w:tcPr>
          <w:p w14:paraId="1EDA4CD9" w14:textId="77777777" w:rsidR="00E46367" w:rsidRPr="00675182" w:rsidRDefault="00E46367" w:rsidP="004F5E89">
            <w:pPr>
              <w:jc w:val="center"/>
              <w:rPr>
                <w:rFonts w:cstheme="minorHAnsi"/>
                <w:sz w:val="20"/>
              </w:rPr>
            </w:pPr>
          </w:p>
        </w:tc>
        <w:tc>
          <w:tcPr>
            <w:tcW w:w="2207" w:type="pct"/>
          </w:tcPr>
          <w:p w14:paraId="37C2F042" w14:textId="77777777" w:rsidR="00E46367" w:rsidRPr="00675182" w:rsidRDefault="00E46367" w:rsidP="004F5E89">
            <w:pPr>
              <w:jc w:val="both"/>
              <w:rPr>
                <w:rFonts w:cstheme="minorHAnsi"/>
                <w:sz w:val="20"/>
              </w:rPr>
            </w:pPr>
          </w:p>
        </w:tc>
      </w:tr>
      <w:tr w:rsidR="00E46367" w:rsidRPr="00675182" w14:paraId="38C6ED34" w14:textId="77777777" w:rsidTr="00D447AC">
        <w:tc>
          <w:tcPr>
            <w:tcW w:w="1472" w:type="pct"/>
          </w:tcPr>
          <w:p w14:paraId="1314DB1F" w14:textId="77777777" w:rsidR="00E46367" w:rsidRPr="00675182" w:rsidRDefault="00E46367" w:rsidP="004F5E89">
            <w:pPr>
              <w:jc w:val="both"/>
              <w:rPr>
                <w:rFonts w:cstheme="minorHAnsi"/>
                <w:sz w:val="20"/>
              </w:rPr>
            </w:pPr>
            <w:r w:rsidRPr="00675182">
              <w:rPr>
                <w:rFonts w:cstheme="minorHAnsi"/>
                <w:sz w:val="20"/>
              </w:rPr>
              <w:t>Upju hidromorfoloģiskā pārveidošana un dabiskā hidroloģiskā režīma ietekmēšana</w:t>
            </w:r>
          </w:p>
        </w:tc>
        <w:tc>
          <w:tcPr>
            <w:tcW w:w="457" w:type="pct"/>
            <w:vAlign w:val="center"/>
          </w:tcPr>
          <w:p w14:paraId="62225E5B" w14:textId="259325EC" w:rsidR="00E46367" w:rsidRPr="00675182" w:rsidRDefault="00E46367" w:rsidP="004F5E89">
            <w:pPr>
              <w:jc w:val="center"/>
              <w:rPr>
                <w:rFonts w:cstheme="minorHAnsi"/>
                <w:sz w:val="20"/>
              </w:rPr>
            </w:pPr>
            <w:r w:rsidRPr="00675182">
              <w:rPr>
                <w:rFonts w:cstheme="minorHAnsi"/>
                <w:sz w:val="20"/>
              </w:rPr>
              <w:t>N/M</w:t>
            </w:r>
          </w:p>
        </w:tc>
        <w:tc>
          <w:tcPr>
            <w:tcW w:w="486" w:type="pct"/>
            <w:vAlign w:val="center"/>
          </w:tcPr>
          <w:p w14:paraId="4B8938D4" w14:textId="39D9586F" w:rsidR="00E46367" w:rsidRPr="00675182" w:rsidRDefault="00E46367" w:rsidP="004F5E89">
            <w:pPr>
              <w:jc w:val="center"/>
              <w:rPr>
                <w:rFonts w:cstheme="minorHAnsi"/>
                <w:sz w:val="20"/>
              </w:rPr>
            </w:pPr>
          </w:p>
        </w:tc>
        <w:tc>
          <w:tcPr>
            <w:tcW w:w="378" w:type="pct"/>
            <w:vAlign w:val="center"/>
          </w:tcPr>
          <w:p w14:paraId="6A56023E" w14:textId="77777777" w:rsidR="00E46367" w:rsidRPr="00675182" w:rsidRDefault="00E46367" w:rsidP="004F5E89">
            <w:pPr>
              <w:jc w:val="center"/>
              <w:rPr>
                <w:rFonts w:cstheme="minorHAnsi"/>
                <w:sz w:val="20"/>
              </w:rPr>
            </w:pPr>
            <w:r w:rsidRPr="00675182">
              <w:rPr>
                <w:rFonts w:cstheme="minorHAnsi"/>
                <w:sz w:val="20"/>
              </w:rPr>
              <w:t>i</w:t>
            </w:r>
          </w:p>
        </w:tc>
        <w:tc>
          <w:tcPr>
            <w:tcW w:w="2207" w:type="pct"/>
          </w:tcPr>
          <w:p w14:paraId="00A0ED94" w14:textId="77777777" w:rsidR="00E46367" w:rsidRPr="00675182" w:rsidRDefault="00E46367" w:rsidP="004F5E89">
            <w:pPr>
              <w:jc w:val="both"/>
              <w:rPr>
                <w:rFonts w:cstheme="minorHAnsi"/>
                <w:sz w:val="20"/>
              </w:rPr>
            </w:pPr>
          </w:p>
        </w:tc>
      </w:tr>
      <w:tr w:rsidR="00E46367" w:rsidRPr="00675182" w14:paraId="4734E00B" w14:textId="77777777" w:rsidTr="00D447AC">
        <w:tc>
          <w:tcPr>
            <w:tcW w:w="5000" w:type="pct"/>
            <w:gridSpan w:val="5"/>
          </w:tcPr>
          <w:p w14:paraId="4286C4B3" w14:textId="5B8AC690" w:rsidR="00E46367" w:rsidRPr="00675182" w:rsidRDefault="00E46367" w:rsidP="004F5E89">
            <w:pPr>
              <w:rPr>
                <w:rFonts w:cstheme="minorHAnsi"/>
                <w:b/>
                <w:bCs/>
                <w:i/>
                <w:iCs/>
                <w:sz w:val="20"/>
              </w:rPr>
            </w:pPr>
            <w:r w:rsidRPr="00675182">
              <w:rPr>
                <w:rFonts w:cstheme="minorHAnsi"/>
                <w:b/>
                <w:bCs/>
                <w:i/>
                <w:iCs/>
                <w:sz w:val="20"/>
              </w:rPr>
              <w:t>Bioloģisko resursu ieguve un audzēšana (izņemot lauksaimniecību un mežsaimniecību)</w:t>
            </w:r>
          </w:p>
        </w:tc>
      </w:tr>
      <w:tr w:rsidR="00E46367" w:rsidRPr="00675182" w14:paraId="08231C3B" w14:textId="77777777" w:rsidTr="00D447AC">
        <w:tc>
          <w:tcPr>
            <w:tcW w:w="1472" w:type="pct"/>
          </w:tcPr>
          <w:p w14:paraId="5283D7BE" w14:textId="77777777" w:rsidR="00E46367" w:rsidRPr="00675182" w:rsidRDefault="00E46367" w:rsidP="004F5E89">
            <w:pPr>
              <w:jc w:val="both"/>
              <w:rPr>
                <w:rFonts w:cstheme="minorHAnsi"/>
                <w:sz w:val="20"/>
              </w:rPr>
            </w:pPr>
            <w:r w:rsidRPr="00675182">
              <w:rPr>
                <w:rFonts w:cstheme="minorHAnsi"/>
                <w:sz w:val="20"/>
              </w:rPr>
              <w:t>Medības</w:t>
            </w:r>
          </w:p>
        </w:tc>
        <w:tc>
          <w:tcPr>
            <w:tcW w:w="457" w:type="pct"/>
            <w:vAlign w:val="center"/>
          </w:tcPr>
          <w:p w14:paraId="1C9D3AB0" w14:textId="66F94F54" w:rsidR="00E46367" w:rsidRPr="00675182" w:rsidRDefault="00E46367" w:rsidP="004F5E89">
            <w:pPr>
              <w:jc w:val="center"/>
              <w:rPr>
                <w:rFonts w:cstheme="minorHAnsi"/>
                <w:sz w:val="20"/>
              </w:rPr>
            </w:pPr>
            <w:r w:rsidRPr="00675182">
              <w:rPr>
                <w:rFonts w:cstheme="minorHAnsi"/>
                <w:sz w:val="20"/>
              </w:rPr>
              <w:t>N/P/L</w:t>
            </w:r>
          </w:p>
        </w:tc>
        <w:tc>
          <w:tcPr>
            <w:tcW w:w="486" w:type="pct"/>
            <w:vAlign w:val="center"/>
          </w:tcPr>
          <w:p w14:paraId="24959DB5" w14:textId="2279256B" w:rsidR="00E46367" w:rsidRPr="00675182" w:rsidRDefault="00E46367" w:rsidP="004F5E89">
            <w:pPr>
              <w:jc w:val="center"/>
              <w:rPr>
                <w:rFonts w:cstheme="minorHAnsi"/>
                <w:sz w:val="20"/>
              </w:rPr>
            </w:pPr>
            <w:r w:rsidRPr="00675182">
              <w:rPr>
                <w:rFonts w:cstheme="minorHAnsi"/>
                <w:sz w:val="20"/>
              </w:rPr>
              <w:t>G07</w:t>
            </w:r>
          </w:p>
        </w:tc>
        <w:tc>
          <w:tcPr>
            <w:tcW w:w="378" w:type="pct"/>
            <w:vAlign w:val="center"/>
          </w:tcPr>
          <w:p w14:paraId="1ACFF4E2" w14:textId="77777777" w:rsidR="00E46367" w:rsidRPr="00675182" w:rsidRDefault="00E46367" w:rsidP="004F5E89">
            <w:pPr>
              <w:jc w:val="center"/>
              <w:rPr>
                <w:rFonts w:cstheme="minorHAnsi"/>
                <w:sz w:val="20"/>
              </w:rPr>
            </w:pPr>
            <w:r w:rsidRPr="00675182">
              <w:rPr>
                <w:rFonts w:cstheme="minorHAnsi"/>
                <w:sz w:val="20"/>
              </w:rPr>
              <w:t>b</w:t>
            </w:r>
          </w:p>
        </w:tc>
        <w:tc>
          <w:tcPr>
            <w:tcW w:w="2207" w:type="pct"/>
          </w:tcPr>
          <w:p w14:paraId="36F24A8F" w14:textId="77777777" w:rsidR="00E46367" w:rsidRPr="00675182" w:rsidRDefault="00E46367" w:rsidP="004F5E89">
            <w:pPr>
              <w:jc w:val="both"/>
              <w:rPr>
                <w:rFonts w:cstheme="minorHAnsi"/>
                <w:sz w:val="20"/>
              </w:rPr>
            </w:pPr>
            <w:r w:rsidRPr="00675182">
              <w:rPr>
                <w:rFonts w:cstheme="minorHAnsi"/>
                <w:sz w:val="20"/>
              </w:rPr>
              <w:t>Teritorija tiek izmantota medībām</w:t>
            </w:r>
          </w:p>
        </w:tc>
      </w:tr>
      <w:tr w:rsidR="00023D5E" w:rsidRPr="00675182" w14:paraId="2D92B259" w14:textId="77777777" w:rsidTr="00D447AC">
        <w:tc>
          <w:tcPr>
            <w:tcW w:w="1472" w:type="pct"/>
          </w:tcPr>
          <w:p w14:paraId="66EB00EA" w14:textId="6AA1C436" w:rsidR="00023D5E" w:rsidRPr="00675182" w:rsidRDefault="00023D5E" w:rsidP="00023D5E">
            <w:pPr>
              <w:jc w:val="both"/>
              <w:rPr>
                <w:rFonts w:cstheme="minorHAnsi"/>
                <w:sz w:val="20"/>
              </w:rPr>
            </w:pPr>
            <w:r w:rsidRPr="00675182">
              <w:rPr>
                <w:rFonts w:cstheme="minorHAnsi"/>
                <w:sz w:val="20"/>
              </w:rPr>
              <w:t>Pastaigas, pārgājieni, zirgu izjādes un nemotorizēti transportlīdzekļi</w:t>
            </w:r>
          </w:p>
        </w:tc>
        <w:tc>
          <w:tcPr>
            <w:tcW w:w="457" w:type="pct"/>
          </w:tcPr>
          <w:p w14:paraId="608EEC92" w14:textId="7FCC8EAF" w:rsidR="00023D5E" w:rsidRPr="00675182" w:rsidRDefault="00023D5E" w:rsidP="00023D5E">
            <w:pPr>
              <w:jc w:val="center"/>
              <w:rPr>
                <w:rFonts w:cstheme="minorHAnsi"/>
                <w:sz w:val="20"/>
              </w:rPr>
            </w:pPr>
            <w:r w:rsidRPr="00675182">
              <w:rPr>
                <w:rFonts w:cstheme="minorHAnsi"/>
                <w:sz w:val="20"/>
              </w:rPr>
              <w:t>N/M</w:t>
            </w:r>
          </w:p>
        </w:tc>
        <w:tc>
          <w:tcPr>
            <w:tcW w:w="486" w:type="pct"/>
          </w:tcPr>
          <w:p w14:paraId="66167587" w14:textId="658AD95E" w:rsidR="00023D5E" w:rsidRPr="00675182" w:rsidRDefault="00023D5E" w:rsidP="00023D5E">
            <w:pPr>
              <w:jc w:val="center"/>
              <w:rPr>
                <w:rFonts w:cstheme="minorHAnsi"/>
                <w:sz w:val="20"/>
              </w:rPr>
            </w:pPr>
            <w:r w:rsidRPr="00675182">
              <w:rPr>
                <w:rFonts w:cstheme="minorHAnsi"/>
                <w:sz w:val="20"/>
              </w:rPr>
              <w:t>G01.02</w:t>
            </w:r>
          </w:p>
        </w:tc>
        <w:tc>
          <w:tcPr>
            <w:tcW w:w="378" w:type="pct"/>
          </w:tcPr>
          <w:p w14:paraId="06A7A9BE" w14:textId="1AC1C67D" w:rsidR="00023D5E" w:rsidRPr="00675182" w:rsidRDefault="00023D5E" w:rsidP="00023D5E">
            <w:pPr>
              <w:jc w:val="center"/>
              <w:rPr>
                <w:rFonts w:cstheme="minorHAnsi"/>
                <w:sz w:val="20"/>
              </w:rPr>
            </w:pPr>
            <w:r w:rsidRPr="00675182">
              <w:rPr>
                <w:rFonts w:cstheme="minorHAnsi"/>
                <w:sz w:val="20"/>
              </w:rPr>
              <w:t>i</w:t>
            </w:r>
          </w:p>
        </w:tc>
        <w:tc>
          <w:tcPr>
            <w:tcW w:w="2207" w:type="pct"/>
          </w:tcPr>
          <w:p w14:paraId="69278E80" w14:textId="16E86D00" w:rsidR="00023D5E" w:rsidRPr="00675182" w:rsidRDefault="00023D5E" w:rsidP="00023D5E">
            <w:pPr>
              <w:jc w:val="both"/>
              <w:rPr>
                <w:rFonts w:cstheme="minorHAnsi"/>
                <w:sz w:val="20"/>
              </w:rPr>
            </w:pPr>
            <w:r w:rsidRPr="00675182">
              <w:rPr>
                <w:rFonts w:cstheme="minorHAnsi"/>
                <w:sz w:val="20"/>
              </w:rPr>
              <w:t>Izpausmes (vietām – atkarībā no apmeklētības sezonas, apjoma un intensitātes): veģetācijas nomīdīšana, augsnes erozija, traucējums dzīvnieku mazuļu periodā, invazīvo sugu izplatīšana u.c.</w:t>
            </w:r>
          </w:p>
        </w:tc>
      </w:tr>
      <w:tr w:rsidR="00023D5E" w:rsidRPr="00675182" w14:paraId="6B1B4AA2" w14:textId="77777777" w:rsidTr="00D447AC">
        <w:tc>
          <w:tcPr>
            <w:tcW w:w="1472" w:type="pct"/>
          </w:tcPr>
          <w:p w14:paraId="35A297FC" w14:textId="7172FCF2" w:rsidR="00023D5E" w:rsidRPr="00675182" w:rsidRDefault="00023D5E" w:rsidP="00023D5E">
            <w:pPr>
              <w:jc w:val="both"/>
              <w:rPr>
                <w:rFonts w:cstheme="minorHAnsi"/>
                <w:sz w:val="20"/>
              </w:rPr>
            </w:pPr>
            <w:r w:rsidRPr="00675182">
              <w:rPr>
                <w:rFonts w:cstheme="minorHAnsi"/>
                <w:sz w:val="20"/>
              </w:rPr>
              <w:t>Motorizēti transportlīdzekļi</w:t>
            </w:r>
          </w:p>
        </w:tc>
        <w:tc>
          <w:tcPr>
            <w:tcW w:w="457" w:type="pct"/>
          </w:tcPr>
          <w:p w14:paraId="39AD5E03" w14:textId="38590099" w:rsidR="00023D5E" w:rsidRPr="00675182" w:rsidRDefault="00023D5E" w:rsidP="00023D5E">
            <w:pPr>
              <w:jc w:val="center"/>
              <w:rPr>
                <w:rFonts w:cstheme="minorHAnsi"/>
                <w:sz w:val="20"/>
              </w:rPr>
            </w:pPr>
            <w:r w:rsidRPr="00675182">
              <w:rPr>
                <w:rFonts w:cstheme="minorHAnsi"/>
                <w:sz w:val="20"/>
              </w:rPr>
              <w:t>N/H &amp;M</w:t>
            </w:r>
          </w:p>
        </w:tc>
        <w:tc>
          <w:tcPr>
            <w:tcW w:w="486" w:type="pct"/>
          </w:tcPr>
          <w:p w14:paraId="4AFC6D29" w14:textId="4978BFA1" w:rsidR="00023D5E" w:rsidRPr="00675182" w:rsidRDefault="00023D5E" w:rsidP="00023D5E">
            <w:pPr>
              <w:jc w:val="center"/>
              <w:rPr>
                <w:rFonts w:cstheme="minorHAnsi"/>
                <w:sz w:val="20"/>
              </w:rPr>
            </w:pPr>
            <w:r w:rsidRPr="00675182">
              <w:rPr>
                <w:rFonts w:cstheme="minorHAnsi"/>
                <w:sz w:val="20"/>
              </w:rPr>
              <w:t>G01.03</w:t>
            </w:r>
          </w:p>
        </w:tc>
        <w:tc>
          <w:tcPr>
            <w:tcW w:w="378" w:type="pct"/>
          </w:tcPr>
          <w:p w14:paraId="50F49017" w14:textId="385C595B" w:rsidR="00023D5E" w:rsidRPr="00675182" w:rsidRDefault="00023D5E" w:rsidP="00023D5E">
            <w:pPr>
              <w:jc w:val="center"/>
              <w:rPr>
                <w:rFonts w:cstheme="minorHAnsi"/>
                <w:sz w:val="20"/>
              </w:rPr>
            </w:pPr>
            <w:r w:rsidRPr="00675182">
              <w:rPr>
                <w:rFonts w:cstheme="minorHAnsi"/>
                <w:sz w:val="20"/>
              </w:rPr>
              <w:t>b</w:t>
            </w:r>
          </w:p>
        </w:tc>
        <w:tc>
          <w:tcPr>
            <w:tcW w:w="2207" w:type="pct"/>
          </w:tcPr>
          <w:p w14:paraId="5148A629" w14:textId="49DCD80B" w:rsidR="00023D5E" w:rsidRPr="00675182" w:rsidRDefault="00023D5E" w:rsidP="00023D5E">
            <w:pPr>
              <w:jc w:val="both"/>
              <w:rPr>
                <w:rFonts w:cstheme="minorHAnsi"/>
                <w:sz w:val="20"/>
              </w:rPr>
            </w:pPr>
            <w:r w:rsidRPr="00675182">
              <w:rPr>
                <w:rFonts w:cstheme="minorHAnsi"/>
                <w:sz w:val="20"/>
              </w:rPr>
              <w:t>&gt;10 milj. Automašīnu braucienu gada laikā GNP pieguļošajos vai šķērsojošajos ceļos, liels autotūrisma īpatsvars (&gt;90%). Troksnis, vides piesārņojums, dzīvnieku sabraukšana u.c.</w:t>
            </w:r>
          </w:p>
        </w:tc>
      </w:tr>
      <w:tr w:rsidR="00023D5E" w:rsidRPr="00675182" w14:paraId="43073CCB" w14:textId="77777777" w:rsidTr="00D447AC">
        <w:tc>
          <w:tcPr>
            <w:tcW w:w="1472" w:type="pct"/>
          </w:tcPr>
          <w:p w14:paraId="710EA4AB" w14:textId="485FD544" w:rsidR="00023D5E" w:rsidRPr="00675182" w:rsidRDefault="00023D5E" w:rsidP="00023D5E">
            <w:pPr>
              <w:jc w:val="both"/>
              <w:rPr>
                <w:rFonts w:cstheme="minorHAnsi"/>
                <w:sz w:val="20"/>
              </w:rPr>
            </w:pPr>
            <w:r w:rsidRPr="00675182">
              <w:rPr>
                <w:rFonts w:cstheme="minorHAnsi"/>
                <w:sz w:val="20"/>
              </w:rPr>
              <w:t>Regulāra motorizēta braukšana (t.sk. 4 X 4) uz ceļiem</w:t>
            </w:r>
          </w:p>
        </w:tc>
        <w:tc>
          <w:tcPr>
            <w:tcW w:w="457" w:type="pct"/>
          </w:tcPr>
          <w:p w14:paraId="59D02317" w14:textId="4654137E" w:rsidR="00023D5E" w:rsidRPr="00675182" w:rsidRDefault="00023D5E" w:rsidP="00023D5E">
            <w:pPr>
              <w:jc w:val="center"/>
              <w:rPr>
                <w:rFonts w:cstheme="minorHAnsi"/>
                <w:sz w:val="20"/>
              </w:rPr>
            </w:pPr>
            <w:r w:rsidRPr="00675182">
              <w:rPr>
                <w:rFonts w:cstheme="minorHAnsi"/>
                <w:sz w:val="20"/>
              </w:rPr>
              <w:t>N/H &amp;M</w:t>
            </w:r>
          </w:p>
        </w:tc>
        <w:tc>
          <w:tcPr>
            <w:tcW w:w="486" w:type="pct"/>
          </w:tcPr>
          <w:p w14:paraId="20DF03A5" w14:textId="227CB5B9" w:rsidR="00023D5E" w:rsidRPr="00675182" w:rsidRDefault="00023D5E" w:rsidP="00023D5E">
            <w:pPr>
              <w:jc w:val="center"/>
              <w:rPr>
                <w:rFonts w:cstheme="minorHAnsi"/>
                <w:sz w:val="20"/>
              </w:rPr>
            </w:pPr>
            <w:r w:rsidRPr="00675182">
              <w:rPr>
                <w:rFonts w:cstheme="minorHAnsi"/>
                <w:sz w:val="20"/>
              </w:rPr>
              <w:t>G01.03.01</w:t>
            </w:r>
          </w:p>
        </w:tc>
        <w:tc>
          <w:tcPr>
            <w:tcW w:w="378" w:type="pct"/>
          </w:tcPr>
          <w:p w14:paraId="269BA610" w14:textId="255431BB" w:rsidR="00023D5E" w:rsidRPr="00675182" w:rsidRDefault="00023D5E" w:rsidP="00023D5E">
            <w:pPr>
              <w:jc w:val="center"/>
              <w:rPr>
                <w:rFonts w:cstheme="minorHAnsi"/>
                <w:sz w:val="20"/>
              </w:rPr>
            </w:pPr>
            <w:r w:rsidRPr="00675182">
              <w:rPr>
                <w:rFonts w:cstheme="minorHAnsi"/>
                <w:sz w:val="20"/>
              </w:rPr>
              <w:t>b</w:t>
            </w:r>
          </w:p>
        </w:tc>
        <w:tc>
          <w:tcPr>
            <w:tcW w:w="2207" w:type="pct"/>
          </w:tcPr>
          <w:p w14:paraId="3C3E747A" w14:textId="77777777" w:rsidR="00023D5E" w:rsidRPr="00675182" w:rsidRDefault="00023D5E" w:rsidP="00023D5E">
            <w:pPr>
              <w:jc w:val="both"/>
              <w:rPr>
                <w:rFonts w:cstheme="minorHAnsi"/>
                <w:sz w:val="20"/>
              </w:rPr>
            </w:pPr>
          </w:p>
        </w:tc>
      </w:tr>
      <w:tr w:rsidR="00023D5E" w:rsidRPr="00675182" w14:paraId="733B49FE" w14:textId="77777777" w:rsidTr="00D447AC">
        <w:tc>
          <w:tcPr>
            <w:tcW w:w="1472" w:type="pct"/>
          </w:tcPr>
          <w:p w14:paraId="26BB1EB0" w14:textId="5ADAB7EB" w:rsidR="00023D5E" w:rsidRPr="00675182" w:rsidRDefault="00023D5E" w:rsidP="00023D5E">
            <w:pPr>
              <w:jc w:val="both"/>
              <w:rPr>
                <w:rFonts w:cstheme="minorHAnsi"/>
                <w:sz w:val="20"/>
              </w:rPr>
            </w:pPr>
            <w:r w:rsidRPr="00675182">
              <w:rPr>
                <w:rFonts w:cstheme="minorHAnsi"/>
                <w:sz w:val="20"/>
              </w:rPr>
              <w:t>Bezceļa motorizēta braukšana</w:t>
            </w:r>
          </w:p>
        </w:tc>
        <w:tc>
          <w:tcPr>
            <w:tcW w:w="457" w:type="pct"/>
          </w:tcPr>
          <w:p w14:paraId="7394FA29" w14:textId="0E11F460" w:rsidR="00023D5E" w:rsidRPr="00675182" w:rsidRDefault="00023D5E" w:rsidP="00023D5E">
            <w:pPr>
              <w:jc w:val="center"/>
              <w:rPr>
                <w:rFonts w:cstheme="minorHAnsi"/>
                <w:sz w:val="20"/>
              </w:rPr>
            </w:pPr>
            <w:r w:rsidRPr="00675182">
              <w:rPr>
                <w:rFonts w:cstheme="minorHAnsi"/>
                <w:sz w:val="20"/>
              </w:rPr>
              <w:t>N/H</w:t>
            </w:r>
          </w:p>
        </w:tc>
        <w:tc>
          <w:tcPr>
            <w:tcW w:w="486" w:type="pct"/>
          </w:tcPr>
          <w:p w14:paraId="354DF364" w14:textId="61D8C2F7" w:rsidR="00023D5E" w:rsidRPr="00675182" w:rsidRDefault="00023D5E" w:rsidP="00023D5E">
            <w:pPr>
              <w:jc w:val="center"/>
              <w:rPr>
                <w:rFonts w:cstheme="minorHAnsi"/>
                <w:sz w:val="20"/>
              </w:rPr>
            </w:pPr>
            <w:r w:rsidRPr="00675182">
              <w:rPr>
                <w:rFonts w:cstheme="minorHAnsi"/>
                <w:sz w:val="20"/>
              </w:rPr>
              <w:t>G01.03.02</w:t>
            </w:r>
          </w:p>
        </w:tc>
        <w:tc>
          <w:tcPr>
            <w:tcW w:w="378" w:type="pct"/>
          </w:tcPr>
          <w:p w14:paraId="0A7F0232" w14:textId="53BC717E" w:rsidR="00023D5E" w:rsidRPr="00675182" w:rsidRDefault="00023D5E" w:rsidP="00023D5E">
            <w:pPr>
              <w:jc w:val="center"/>
              <w:rPr>
                <w:rFonts w:cstheme="minorHAnsi"/>
                <w:sz w:val="20"/>
              </w:rPr>
            </w:pPr>
            <w:r w:rsidRPr="00675182">
              <w:rPr>
                <w:rFonts w:cstheme="minorHAnsi"/>
                <w:sz w:val="20"/>
              </w:rPr>
              <w:t>i</w:t>
            </w:r>
          </w:p>
        </w:tc>
        <w:tc>
          <w:tcPr>
            <w:tcW w:w="2207" w:type="pct"/>
          </w:tcPr>
          <w:p w14:paraId="4583FADA" w14:textId="7F5AE0F6" w:rsidR="00023D5E" w:rsidRPr="00675182" w:rsidRDefault="00023D5E" w:rsidP="00023D5E">
            <w:pPr>
              <w:jc w:val="both"/>
              <w:rPr>
                <w:rFonts w:cstheme="minorHAnsi"/>
                <w:sz w:val="20"/>
              </w:rPr>
            </w:pPr>
            <w:r w:rsidRPr="00675182">
              <w:rPr>
                <w:rFonts w:cstheme="minorHAnsi"/>
                <w:sz w:val="20"/>
              </w:rPr>
              <w:t>Lielākie postījumi veģetācijas izbraukāšanai un augsnes erozijai no bezceļu braukšanas stāvajās Gaujas senielejas vai to pieteku nogāzēs (Enduro motocikli, kvadracikli, 4x4 apvidus auto u.c.). Troksnis, vides piesārņojums, citu apmeklētāju nerespektēšana, traucējums mazuļu miera periodā</w:t>
            </w:r>
          </w:p>
        </w:tc>
      </w:tr>
      <w:tr w:rsidR="00023D5E" w:rsidRPr="00675182" w14:paraId="54BCBD72" w14:textId="77777777" w:rsidTr="00D447AC">
        <w:tc>
          <w:tcPr>
            <w:tcW w:w="1472" w:type="pct"/>
          </w:tcPr>
          <w:p w14:paraId="5EE83D3F" w14:textId="79247FE9" w:rsidR="00023D5E" w:rsidRPr="00675182" w:rsidRDefault="00023D5E" w:rsidP="00023D5E">
            <w:pPr>
              <w:jc w:val="both"/>
              <w:rPr>
                <w:rFonts w:cstheme="minorHAnsi"/>
                <w:sz w:val="20"/>
              </w:rPr>
            </w:pPr>
            <w:r w:rsidRPr="00675182">
              <w:rPr>
                <w:rFonts w:cstheme="minorHAnsi"/>
                <w:sz w:val="20"/>
              </w:rPr>
              <w:t>Smilšakmens (un dolomīta) alu apmeklējums atpūtas nolūkos</w:t>
            </w:r>
          </w:p>
        </w:tc>
        <w:tc>
          <w:tcPr>
            <w:tcW w:w="457" w:type="pct"/>
          </w:tcPr>
          <w:p w14:paraId="0E828F87" w14:textId="17BF67B0" w:rsidR="00023D5E" w:rsidRPr="00675182" w:rsidRDefault="00023D5E" w:rsidP="00023D5E">
            <w:pPr>
              <w:jc w:val="center"/>
              <w:rPr>
                <w:rFonts w:cstheme="minorHAnsi"/>
                <w:sz w:val="20"/>
              </w:rPr>
            </w:pPr>
            <w:r w:rsidRPr="00675182">
              <w:rPr>
                <w:rFonts w:cstheme="minorHAnsi"/>
                <w:sz w:val="20"/>
              </w:rPr>
              <w:t>N/L</w:t>
            </w:r>
          </w:p>
        </w:tc>
        <w:tc>
          <w:tcPr>
            <w:tcW w:w="486" w:type="pct"/>
          </w:tcPr>
          <w:p w14:paraId="41C8E843" w14:textId="24F98070" w:rsidR="00023D5E" w:rsidRPr="00675182" w:rsidRDefault="00023D5E" w:rsidP="00023D5E">
            <w:pPr>
              <w:jc w:val="center"/>
              <w:rPr>
                <w:rFonts w:cstheme="minorHAnsi"/>
                <w:sz w:val="20"/>
              </w:rPr>
            </w:pPr>
            <w:r w:rsidRPr="00675182">
              <w:rPr>
                <w:rFonts w:cstheme="minorHAnsi"/>
                <w:sz w:val="20"/>
              </w:rPr>
              <w:t>G01.04.03</w:t>
            </w:r>
          </w:p>
        </w:tc>
        <w:tc>
          <w:tcPr>
            <w:tcW w:w="378" w:type="pct"/>
          </w:tcPr>
          <w:p w14:paraId="53833159" w14:textId="12C116B1" w:rsidR="00023D5E" w:rsidRPr="00675182" w:rsidRDefault="00023D5E" w:rsidP="00023D5E">
            <w:pPr>
              <w:jc w:val="center"/>
              <w:rPr>
                <w:rFonts w:cstheme="minorHAnsi"/>
                <w:sz w:val="20"/>
              </w:rPr>
            </w:pPr>
            <w:r w:rsidRPr="00675182">
              <w:rPr>
                <w:rFonts w:cstheme="minorHAnsi"/>
                <w:sz w:val="20"/>
              </w:rPr>
              <w:t>i</w:t>
            </w:r>
          </w:p>
        </w:tc>
        <w:tc>
          <w:tcPr>
            <w:tcW w:w="2207" w:type="pct"/>
          </w:tcPr>
          <w:p w14:paraId="6B090975" w14:textId="14903B27" w:rsidR="00023D5E" w:rsidRPr="00675182" w:rsidRDefault="00023D5E" w:rsidP="00023D5E">
            <w:pPr>
              <w:jc w:val="both"/>
              <w:rPr>
                <w:rFonts w:cstheme="minorHAnsi"/>
                <w:sz w:val="20"/>
              </w:rPr>
            </w:pPr>
            <w:r w:rsidRPr="00675182">
              <w:rPr>
                <w:rFonts w:cstheme="minorHAnsi"/>
                <w:sz w:val="20"/>
              </w:rPr>
              <w:t>Rekreatīvai atpūtai piemērotu alu nav daudz un tās nav lielas, tomēr traucējums sikspārņu ziemošanas laikā, vai skrāpējumi uz smilšakmeņu sienām rada lokālu negatīvu ietekmi</w:t>
            </w:r>
          </w:p>
        </w:tc>
      </w:tr>
      <w:tr w:rsidR="00023D5E" w:rsidRPr="00675182" w14:paraId="3EDFE06A" w14:textId="77777777" w:rsidTr="00D447AC">
        <w:tc>
          <w:tcPr>
            <w:tcW w:w="1472" w:type="pct"/>
          </w:tcPr>
          <w:p w14:paraId="30A4D338" w14:textId="6868B367" w:rsidR="00023D5E" w:rsidRPr="00675182" w:rsidRDefault="00023D5E" w:rsidP="00023D5E">
            <w:pPr>
              <w:jc w:val="both"/>
              <w:rPr>
                <w:rFonts w:cstheme="minorHAnsi"/>
                <w:sz w:val="20"/>
              </w:rPr>
            </w:pPr>
            <w:r w:rsidRPr="00675182">
              <w:rPr>
                <w:rFonts w:cstheme="minorHAnsi"/>
                <w:sz w:val="20"/>
              </w:rPr>
              <w:t>Lidošana ar hobij-lidmašīnām, paraplāniem, gaisa baloniem</w:t>
            </w:r>
          </w:p>
        </w:tc>
        <w:tc>
          <w:tcPr>
            <w:tcW w:w="457" w:type="pct"/>
          </w:tcPr>
          <w:p w14:paraId="3E47D466" w14:textId="5717E033" w:rsidR="00023D5E" w:rsidRPr="00675182" w:rsidRDefault="00023D5E" w:rsidP="00023D5E">
            <w:pPr>
              <w:jc w:val="center"/>
              <w:rPr>
                <w:rFonts w:cstheme="minorHAnsi"/>
                <w:sz w:val="20"/>
              </w:rPr>
            </w:pPr>
            <w:r w:rsidRPr="00675182">
              <w:rPr>
                <w:rFonts w:cstheme="minorHAnsi"/>
                <w:sz w:val="20"/>
              </w:rPr>
              <w:t>N/L</w:t>
            </w:r>
          </w:p>
        </w:tc>
        <w:tc>
          <w:tcPr>
            <w:tcW w:w="486" w:type="pct"/>
          </w:tcPr>
          <w:p w14:paraId="64AC2AB7" w14:textId="4A00E3C3" w:rsidR="00023D5E" w:rsidRPr="00675182" w:rsidRDefault="00023D5E" w:rsidP="00023D5E">
            <w:pPr>
              <w:jc w:val="center"/>
              <w:rPr>
                <w:rFonts w:cstheme="minorHAnsi"/>
                <w:sz w:val="20"/>
              </w:rPr>
            </w:pPr>
            <w:r w:rsidRPr="00675182">
              <w:rPr>
                <w:rFonts w:cstheme="minorHAnsi"/>
                <w:sz w:val="20"/>
              </w:rPr>
              <w:t>G01.05</w:t>
            </w:r>
          </w:p>
        </w:tc>
        <w:tc>
          <w:tcPr>
            <w:tcW w:w="378" w:type="pct"/>
          </w:tcPr>
          <w:p w14:paraId="3BEF8A45" w14:textId="1F2E8483" w:rsidR="00023D5E" w:rsidRPr="00675182" w:rsidRDefault="00023D5E" w:rsidP="00023D5E">
            <w:pPr>
              <w:jc w:val="center"/>
              <w:rPr>
                <w:rFonts w:cstheme="minorHAnsi"/>
                <w:sz w:val="20"/>
              </w:rPr>
            </w:pPr>
            <w:r w:rsidRPr="00675182">
              <w:rPr>
                <w:rFonts w:cstheme="minorHAnsi"/>
                <w:sz w:val="20"/>
              </w:rPr>
              <w:t>i</w:t>
            </w:r>
          </w:p>
        </w:tc>
        <w:tc>
          <w:tcPr>
            <w:tcW w:w="2207" w:type="pct"/>
          </w:tcPr>
          <w:p w14:paraId="6F984019" w14:textId="569E52CE" w:rsidR="00023D5E" w:rsidRPr="00675182" w:rsidRDefault="00023D5E" w:rsidP="00023D5E">
            <w:pPr>
              <w:jc w:val="both"/>
              <w:rPr>
                <w:rFonts w:cstheme="minorHAnsi"/>
                <w:sz w:val="20"/>
              </w:rPr>
            </w:pPr>
            <w:r w:rsidRPr="00675182">
              <w:rPr>
                <w:rFonts w:cstheme="minorHAnsi"/>
                <w:sz w:val="20"/>
              </w:rPr>
              <w:t>Negatīva ietekme no zemas lidošanas mazuļu miera perioda laikā, putnu migrācijas atpūtas vietās, troksnis, vides piesārņojums</w:t>
            </w:r>
          </w:p>
        </w:tc>
      </w:tr>
      <w:tr w:rsidR="00023D5E" w:rsidRPr="00675182" w14:paraId="4A47BB1E" w14:textId="77777777" w:rsidTr="00D447AC">
        <w:tc>
          <w:tcPr>
            <w:tcW w:w="1472" w:type="pct"/>
          </w:tcPr>
          <w:p w14:paraId="3D52B389" w14:textId="45FE2690" w:rsidR="00023D5E" w:rsidRPr="00675182" w:rsidRDefault="00023D5E" w:rsidP="00023D5E">
            <w:pPr>
              <w:jc w:val="both"/>
              <w:rPr>
                <w:rFonts w:cstheme="minorHAnsi"/>
                <w:sz w:val="20"/>
              </w:rPr>
            </w:pPr>
            <w:r w:rsidRPr="00675182">
              <w:rPr>
                <w:rFonts w:cstheme="minorHAnsi"/>
                <w:sz w:val="20"/>
              </w:rPr>
              <w:t>Slēpošana (ārpus trasēm)</w:t>
            </w:r>
          </w:p>
        </w:tc>
        <w:tc>
          <w:tcPr>
            <w:tcW w:w="457" w:type="pct"/>
          </w:tcPr>
          <w:p w14:paraId="28BE696F" w14:textId="0C7E3E03" w:rsidR="00023D5E" w:rsidRPr="00675182" w:rsidRDefault="00023D5E" w:rsidP="00023D5E">
            <w:pPr>
              <w:jc w:val="center"/>
              <w:rPr>
                <w:rFonts w:cstheme="minorHAnsi"/>
                <w:sz w:val="20"/>
              </w:rPr>
            </w:pPr>
            <w:r w:rsidRPr="00675182">
              <w:rPr>
                <w:rFonts w:cstheme="minorHAnsi"/>
                <w:sz w:val="20"/>
              </w:rPr>
              <w:t>N/L</w:t>
            </w:r>
          </w:p>
        </w:tc>
        <w:tc>
          <w:tcPr>
            <w:tcW w:w="486" w:type="pct"/>
          </w:tcPr>
          <w:p w14:paraId="2BDF98EC" w14:textId="621DAB4A" w:rsidR="00023D5E" w:rsidRPr="00675182" w:rsidRDefault="00023D5E" w:rsidP="00023D5E">
            <w:pPr>
              <w:jc w:val="center"/>
              <w:rPr>
                <w:rFonts w:cstheme="minorHAnsi"/>
                <w:sz w:val="20"/>
              </w:rPr>
            </w:pPr>
            <w:r w:rsidRPr="00675182">
              <w:rPr>
                <w:rFonts w:cstheme="minorHAnsi"/>
                <w:sz w:val="20"/>
              </w:rPr>
              <w:t>G01.06</w:t>
            </w:r>
          </w:p>
        </w:tc>
        <w:tc>
          <w:tcPr>
            <w:tcW w:w="378" w:type="pct"/>
          </w:tcPr>
          <w:p w14:paraId="3BFA6828" w14:textId="27412A8C" w:rsidR="00023D5E" w:rsidRPr="00675182" w:rsidRDefault="00023D5E" w:rsidP="00023D5E">
            <w:pPr>
              <w:jc w:val="center"/>
              <w:rPr>
                <w:rFonts w:cstheme="minorHAnsi"/>
                <w:sz w:val="20"/>
              </w:rPr>
            </w:pPr>
            <w:r w:rsidRPr="00675182">
              <w:rPr>
                <w:rFonts w:cstheme="minorHAnsi"/>
                <w:sz w:val="20"/>
              </w:rPr>
              <w:t>i</w:t>
            </w:r>
          </w:p>
        </w:tc>
        <w:tc>
          <w:tcPr>
            <w:tcW w:w="2207" w:type="pct"/>
          </w:tcPr>
          <w:p w14:paraId="107A98E1" w14:textId="0A0A0F95" w:rsidR="00023D5E" w:rsidRPr="00675182" w:rsidRDefault="00023D5E" w:rsidP="00023D5E">
            <w:pPr>
              <w:jc w:val="both"/>
              <w:rPr>
                <w:rFonts w:cstheme="minorHAnsi"/>
                <w:sz w:val="20"/>
              </w:rPr>
            </w:pPr>
            <w:r w:rsidRPr="00675182">
              <w:rPr>
                <w:rFonts w:cstheme="minorHAnsi"/>
                <w:sz w:val="20"/>
              </w:rPr>
              <w:t>Ziemas aktivitātes GNP kopumā ar mazāku ietekmi uz dzīvo dabu, izņemot speciālo komplekso vietu labiekārtošanai vajadzīgos resursus, radīto gaismas un skaņas piesārņojumu, ietekmi uz vidi</w:t>
            </w:r>
          </w:p>
        </w:tc>
      </w:tr>
      <w:tr w:rsidR="00023D5E" w:rsidRPr="00675182" w14:paraId="273EA3D2" w14:textId="77777777" w:rsidTr="00D447AC">
        <w:tc>
          <w:tcPr>
            <w:tcW w:w="1472" w:type="pct"/>
          </w:tcPr>
          <w:p w14:paraId="1FE2D9A2" w14:textId="6221F45F" w:rsidR="00023D5E" w:rsidRPr="00675182" w:rsidRDefault="005F23B8" w:rsidP="00023D5E">
            <w:pPr>
              <w:jc w:val="both"/>
              <w:rPr>
                <w:rFonts w:cstheme="minorHAnsi"/>
                <w:sz w:val="20"/>
              </w:rPr>
            </w:pPr>
            <w:r w:rsidRPr="00675182">
              <w:rPr>
                <w:rFonts w:cstheme="minorHAnsi"/>
                <w:sz w:val="20"/>
              </w:rPr>
              <w:t>C</w:t>
            </w:r>
            <w:r w:rsidR="00023D5E" w:rsidRPr="00675182">
              <w:rPr>
                <w:rFonts w:cstheme="minorHAnsi"/>
                <w:sz w:val="20"/>
              </w:rPr>
              <w:t xml:space="preserve">itas āra sporta un atpūtas aktivitātes – </w:t>
            </w:r>
          </w:p>
        </w:tc>
        <w:tc>
          <w:tcPr>
            <w:tcW w:w="457" w:type="pct"/>
          </w:tcPr>
          <w:p w14:paraId="5CC3D82B" w14:textId="2CEE3ACE" w:rsidR="00023D5E" w:rsidRPr="00675182" w:rsidRDefault="00023D5E" w:rsidP="00023D5E">
            <w:pPr>
              <w:jc w:val="center"/>
              <w:rPr>
                <w:rFonts w:cstheme="minorHAnsi"/>
                <w:sz w:val="20"/>
              </w:rPr>
            </w:pPr>
            <w:r w:rsidRPr="00675182">
              <w:rPr>
                <w:rFonts w:cstheme="minorHAnsi"/>
                <w:sz w:val="20"/>
              </w:rPr>
              <w:t>N/ M</w:t>
            </w:r>
          </w:p>
        </w:tc>
        <w:tc>
          <w:tcPr>
            <w:tcW w:w="486" w:type="pct"/>
          </w:tcPr>
          <w:p w14:paraId="6048CBED" w14:textId="4A52C1D5" w:rsidR="00023D5E" w:rsidRPr="00675182" w:rsidRDefault="00023D5E" w:rsidP="00023D5E">
            <w:pPr>
              <w:jc w:val="center"/>
              <w:rPr>
                <w:rFonts w:cstheme="minorHAnsi"/>
                <w:sz w:val="20"/>
              </w:rPr>
            </w:pPr>
            <w:r w:rsidRPr="00675182">
              <w:rPr>
                <w:rFonts w:cstheme="minorHAnsi"/>
                <w:sz w:val="20"/>
              </w:rPr>
              <w:t>G01.08</w:t>
            </w:r>
          </w:p>
        </w:tc>
        <w:tc>
          <w:tcPr>
            <w:tcW w:w="378" w:type="pct"/>
          </w:tcPr>
          <w:p w14:paraId="63C428EC" w14:textId="63E2EFC7" w:rsidR="00023D5E" w:rsidRPr="00675182" w:rsidRDefault="00023D5E" w:rsidP="00023D5E">
            <w:pPr>
              <w:jc w:val="center"/>
              <w:rPr>
                <w:rFonts w:cstheme="minorHAnsi"/>
                <w:sz w:val="20"/>
              </w:rPr>
            </w:pPr>
            <w:r w:rsidRPr="00675182">
              <w:rPr>
                <w:rFonts w:cstheme="minorHAnsi"/>
                <w:sz w:val="20"/>
              </w:rPr>
              <w:t>i</w:t>
            </w:r>
          </w:p>
        </w:tc>
        <w:tc>
          <w:tcPr>
            <w:tcW w:w="2207" w:type="pct"/>
          </w:tcPr>
          <w:p w14:paraId="7762E02A" w14:textId="77777777" w:rsidR="00023D5E" w:rsidRPr="00675182" w:rsidRDefault="00023D5E" w:rsidP="00023D5E">
            <w:pPr>
              <w:jc w:val="both"/>
              <w:rPr>
                <w:rFonts w:cstheme="minorHAnsi"/>
                <w:sz w:val="20"/>
              </w:rPr>
            </w:pPr>
          </w:p>
        </w:tc>
      </w:tr>
      <w:tr w:rsidR="00023D5E" w:rsidRPr="00675182" w14:paraId="12E9B2F6" w14:textId="77777777" w:rsidTr="00D447AC">
        <w:tc>
          <w:tcPr>
            <w:tcW w:w="1472" w:type="pct"/>
          </w:tcPr>
          <w:p w14:paraId="46B159FF" w14:textId="1415989C" w:rsidR="00023D5E" w:rsidRPr="00675182" w:rsidRDefault="00023D5E" w:rsidP="00023D5E">
            <w:pPr>
              <w:jc w:val="both"/>
              <w:rPr>
                <w:rFonts w:cstheme="minorHAnsi"/>
                <w:sz w:val="20"/>
              </w:rPr>
            </w:pPr>
            <w:r w:rsidRPr="00675182">
              <w:rPr>
                <w:rFonts w:cstheme="minorHAnsi"/>
                <w:sz w:val="20"/>
              </w:rPr>
              <w:t>laivošana</w:t>
            </w:r>
          </w:p>
        </w:tc>
        <w:tc>
          <w:tcPr>
            <w:tcW w:w="457" w:type="pct"/>
          </w:tcPr>
          <w:p w14:paraId="1CD661F5" w14:textId="1B8C610E" w:rsidR="00023D5E" w:rsidRPr="00675182" w:rsidRDefault="00023D5E" w:rsidP="00023D5E">
            <w:pPr>
              <w:jc w:val="center"/>
              <w:rPr>
                <w:rFonts w:cstheme="minorHAnsi"/>
                <w:sz w:val="20"/>
              </w:rPr>
            </w:pPr>
            <w:r w:rsidRPr="00675182">
              <w:rPr>
                <w:rFonts w:cstheme="minorHAnsi"/>
                <w:sz w:val="20"/>
              </w:rPr>
              <w:t>N/M</w:t>
            </w:r>
          </w:p>
        </w:tc>
        <w:tc>
          <w:tcPr>
            <w:tcW w:w="486" w:type="pct"/>
          </w:tcPr>
          <w:p w14:paraId="6778B112" w14:textId="73741B64" w:rsidR="00023D5E" w:rsidRPr="00675182" w:rsidRDefault="00023D5E" w:rsidP="00023D5E">
            <w:pPr>
              <w:jc w:val="center"/>
              <w:rPr>
                <w:rFonts w:cstheme="minorHAnsi"/>
                <w:sz w:val="20"/>
              </w:rPr>
            </w:pPr>
            <w:r w:rsidRPr="00675182">
              <w:rPr>
                <w:rFonts w:cstheme="minorHAnsi"/>
                <w:sz w:val="20"/>
              </w:rPr>
              <w:t>G01.08</w:t>
            </w:r>
          </w:p>
        </w:tc>
        <w:tc>
          <w:tcPr>
            <w:tcW w:w="378" w:type="pct"/>
          </w:tcPr>
          <w:p w14:paraId="1C2DDACE" w14:textId="484BCC34" w:rsidR="00023D5E" w:rsidRPr="00675182" w:rsidRDefault="00023D5E" w:rsidP="00023D5E">
            <w:pPr>
              <w:jc w:val="center"/>
              <w:rPr>
                <w:rFonts w:cstheme="minorHAnsi"/>
                <w:sz w:val="20"/>
              </w:rPr>
            </w:pPr>
            <w:r w:rsidRPr="00675182">
              <w:rPr>
                <w:rFonts w:cstheme="minorHAnsi"/>
                <w:sz w:val="20"/>
              </w:rPr>
              <w:t>i</w:t>
            </w:r>
          </w:p>
        </w:tc>
        <w:tc>
          <w:tcPr>
            <w:tcW w:w="2207" w:type="pct"/>
          </w:tcPr>
          <w:p w14:paraId="262FCD74" w14:textId="12C87DF9" w:rsidR="00023D5E" w:rsidRPr="00675182" w:rsidRDefault="00023D5E" w:rsidP="00023D5E">
            <w:pPr>
              <w:jc w:val="both"/>
              <w:rPr>
                <w:rFonts w:cstheme="minorHAnsi"/>
                <w:sz w:val="20"/>
              </w:rPr>
            </w:pPr>
            <w:r w:rsidRPr="00675182">
              <w:rPr>
                <w:rFonts w:cstheme="minorHAnsi"/>
                <w:sz w:val="20"/>
              </w:rPr>
              <w:t xml:space="preserve">Stihisku ugunskuru vietu ierīkošana, sadzīves atkritumu piesārņojums, alkohola lietošana – vandalisms </w:t>
            </w:r>
            <w:r w:rsidR="005F23B8" w:rsidRPr="00675182">
              <w:rPr>
                <w:rFonts w:cstheme="minorHAnsi"/>
                <w:sz w:val="20"/>
              </w:rPr>
              <w:t>infrastruktūrai</w:t>
            </w:r>
            <w:r w:rsidRPr="00675182">
              <w:rPr>
                <w:rFonts w:cstheme="minorHAnsi"/>
                <w:sz w:val="20"/>
              </w:rPr>
              <w:t xml:space="preserve"> u.c.</w:t>
            </w:r>
          </w:p>
        </w:tc>
      </w:tr>
      <w:tr w:rsidR="00023D5E" w:rsidRPr="00675182" w14:paraId="08D4E945" w14:textId="77777777" w:rsidTr="00D447AC">
        <w:tc>
          <w:tcPr>
            <w:tcW w:w="1472" w:type="pct"/>
          </w:tcPr>
          <w:p w14:paraId="76E86095" w14:textId="06F10F11" w:rsidR="00023D5E" w:rsidRPr="00675182" w:rsidRDefault="005F23B8" w:rsidP="00023D5E">
            <w:pPr>
              <w:jc w:val="both"/>
              <w:rPr>
                <w:rFonts w:cstheme="minorHAnsi"/>
                <w:sz w:val="20"/>
              </w:rPr>
            </w:pPr>
            <w:r w:rsidRPr="00675182">
              <w:rPr>
                <w:rFonts w:cstheme="minorHAnsi"/>
                <w:sz w:val="20"/>
              </w:rPr>
              <w:lastRenderedPageBreak/>
              <w:t>K</w:t>
            </w:r>
            <w:r w:rsidR="00023D5E" w:rsidRPr="00675182">
              <w:rPr>
                <w:rFonts w:cstheme="minorHAnsi"/>
                <w:sz w:val="20"/>
              </w:rPr>
              <w:t>rastošana</w:t>
            </w:r>
          </w:p>
        </w:tc>
        <w:tc>
          <w:tcPr>
            <w:tcW w:w="457" w:type="pct"/>
          </w:tcPr>
          <w:p w14:paraId="4BCE3E12" w14:textId="35714715" w:rsidR="00023D5E" w:rsidRPr="00675182" w:rsidRDefault="00023D5E" w:rsidP="00023D5E">
            <w:pPr>
              <w:jc w:val="center"/>
              <w:rPr>
                <w:rFonts w:cstheme="minorHAnsi"/>
                <w:sz w:val="20"/>
              </w:rPr>
            </w:pPr>
            <w:r w:rsidRPr="00675182">
              <w:rPr>
                <w:rFonts w:cstheme="minorHAnsi"/>
                <w:sz w:val="20"/>
              </w:rPr>
              <w:t>N/L</w:t>
            </w:r>
          </w:p>
        </w:tc>
        <w:tc>
          <w:tcPr>
            <w:tcW w:w="486" w:type="pct"/>
          </w:tcPr>
          <w:p w14:paraId="423021D0" w14:textId="55C0C320" w:rsidR="00023D5E" w:rsidRPr="00675182" w:rsidRDefault="00023D5E" w:rsidP="00023D5E">
            <w:pPr>
              <w:jc w:val="center"/>
              <w:rPr>
                <w:rFonts w:cstheme="minorHAnsi"/>
                <w:sz w:val="20"/>
              </w:rPr>
            </w:pPr>
            <w:r w:rsidRPr="00675182">
              <w:rPr>
                <w:rFonts w:cstheme="minorHAnsi"/>
                <w:sz w:val="20"/>
              </w:rPr>
              <w:t>G01.08</w:t>
            </w:r>
          </w:p>
        </w:tc>
        <w:tc>
          <w:tcPr>
            <w:tcW w:w="378" w:type="pct"/>
          </w:tcPr>
          <w:p w14:paraId="4B8E0A45" w14:textId="5F0A7BF0" w:rsidR="00023D5E" w:rsidRPr="00675182" w:rsidRDefault="00023D5E" w:rsidP="00023D5E">
            <w:pPr>
              <w:jc w:val="center"/>
              <w:rPr>
                <w:rFonts w:cstheme="minorHAnsi"/>
                <w:sz w:val="20"/>
              </w:rPr>
            </w:pPr>
            <w:r w:rsidRPr="00675182">
              <w:rPr>
                <w:rFonts w:cstheme="minorHAnsi"/>
                <w:sz w:val="20"/>
              </w:rPr>
              <w:t>i</w:t>
            </w:r>
          </w:p>
        </w:tc>
        <w:tc>
          <w:tcPr>
            <w:tcW w:w="2207" w:type="pct"/>
          </w:tcPr>
          <w:p w14:paraId="232CCD83" w14:textId="304193CF" w:rsidR="00023D5E" w:rsidRPr="00675182" w:rsidRDefault="00023D5E" w:rsidP="00023D5E">
            <w:pPr>
              <w:jc w:val="both"/>
              <w:rPr>
                <w:rFonts w:cstheme="minorHAnsi"/>
                <w:sz w:val="20"/>
              </w:rPr>
            </w:pPr>
            <w:r w:rsidRPr="00675182">
              <w:rPr>
                <w:rFonts w:cstheme="minorHAnsi"/>
                <w:sz w:val="20"/>
              </w:rPr>
              <w:t>Ietekme uz mehānisku straujteces biotopa bojāšanu, aizsargājamo gliemeņu iznīcināšanu</w:t>
            </w:r>
          </w:p>
        </w:tc>
      </w:tr>
      <w:tr w:rsidR="00023D5E" w:rsidRPr="00675182" w14:paraId="5D32B0C2" w14:textId="77777777" w:rsidTr="00D447AC">
        <w:tc>
          <w:tcPr>
            <w:tcW w:w="1472" w:type="pct"/>
          </w:tcPr>
          <w:p w14:paraId="114A6FFA" w14:textId="5121EE2A" w:rsidR="00023D5E" w:rsidRPr="00675182" w:rsidRDefault="005F23B8" w:rsidP="00023D5E">
            <w:pPr>
              <w:jc w:val="both"/>
              <w:rPr>
                <w:rFonts w:cstheme="minorHAnsi"/>
                <w:sz w:val="20"/>
              </w:rPr>
            </w:pPr>
            <w:r w:rsidRPr="00675182">
              <w:rPr>
                <w:rFonts w:cstheme="minorHAnsi"/>
                <w:sz w:val="20"/>
              </w:rPr>
              <w:t>T</w:t>
            </w:r>
            <w:r w:rsidR="00023D5E" w:rsidRPr="00675182">
              <w:rPr>
                <w:rFonts w:cstheme="minorHAnsi"/>
                <w:sz w:val="20"/>
              </w:rPr>
              <w:t>aku skriešana, orientēšanās sports</w:t>
            </w:r>
          </w:p>
        </w:tc>
        <w:tc>
          <w:tcPr>
            <w:tcW w:w="457" w:type="pct"/>
          </w:tcPr>
          <w:p w14:paraId="6FB686E2" w14:textId="759D7081" w:rsidR="00023D5E" w:rsidRPr="00675182" w:rsidRDefault="00023D5E" w:rsidP="00023D5E">
            <w:pPr>
              <w:jc w:val="center"/>
              <w:rPr>
                <w:rFonts w:cstheme="minorHAnsi"/>
                <w:sz w:val="20"/>
              </w:rPr>
            </w:pPr>
            <w:r w:rsidRPr="00675182">
              <w:rPr>
                <w:rFonts w:cstheme="minorHAnsi"/>
                <w:sz w:val="20"/>
              </w:rPr>
              <w:t>N/L</w:t>
            </w:r>
          </w:p>
        </w:tc>
        <w:tc>
          <w:tcPr>
            <w:tcW w:w="486" w:type="pct"/>
          </w:tcPr>
          <w:p w14:paraId="48618DBA" w14:textId="33F1E945" w:rsidR="00023D5E" w:rsidRPr="00675182" w:rsidRDefault="00023D5E" w:rsidP="00023D5E">
            <w:pPr>
              <w:jc w:val="center"/>
              <w:rPr>
                <w:rFonts w:cstheme="minorHAnsi"/>
                <w:sz w:val="20"/>
              </w:rPr>
            </w:pPr>
            <w:r w:rsidRPr="00675182">
              <w:rPr>
                <w:rFonts w:cstheme="minorHAnsi"/>
                <w:sz w:val="20"/>
              </w:rPr>
              <w:t>G01.08</w:t>
            </w:r>
          </w:p>
        </w:tc>
        <w:tc>
          <w:tcPr>
            <w:tcW w:w="378" w:type="pct"/>
          </w:tcPr>
          <w:p w14:paraId="6186FBB3" w14:textId="628EBED3" w:rsidR="00023D5E" w:rsidRPr="00675182" w:rsidRDefault="00023D5E" w:rsidP="00023D5E">
            <w:pPr>
              <w:jc w:val="center"/>
              <w:rPr>
                <w:rFonts w:cstheme="minorHAnsi"/>
                <w:sz w:val="20"/>
              </w:rPr>
            </w:pPr>
            <w:r w:rsidRPr="00675182">
              <w:rPr>
                <w:rFonts w:cstheme="minorHAnsi"/>
                <w:sz w:val="20"/>
              </w:rPr>
              <w:t>i</w:t>
            </w:r>
          </w:p>
        </w:tc>
        <w:tc>
          <w:tcPr>
            <w:tcW w:w="2207" w:type="pct"/>
          </w:tcPr>
          <w:p w14:paraId="1272E7C8" w14:textId="193B9ECA" w:rsidR="00023D5E" w:rsidRPr="00675182" w:rsidRDefault="00023D5E" w:rsidP="00023D5E">
            <w:pPr>
              <w:jc w:val="both"/>
              <w:rPr>
                <w:rFonts w:cstheme="minorHAnsi"/>
                <w:sz w:val="20"/>
              </w:rPr>
            </w:pPr>
            <w:r w:rsidRPr="00675182">
              <w:rPr>
                <w:rFonts w:cstheme="minorHAnsi"/>
                <w:sz w:val="20"/>
              </w:rPr>
              <w:t>Augsnes erozija, traucējums mazuļu miera perioda laikā</w:t>
            </w:r>
          </w:p>
        </w:tc>
      </w:tr>
      <w:tr w:rsidR="00023D5E" w:rsidRPr="00675182" w14:paraId="4B23D3A9" w14:textId="77777777" w:rsidTr="00D447AC">
        <w:tc>
          <w:tcPr>
            <w:tcW w:w="1472" w:type="pct"/>
          </w:tcPr>
          <w:p w14:paraId="6E3E6F97" w14:textId="1C30107F" w:rsidR="00023D5E" w:rsidRPr="00675182" w:rsidRDefault="005F23B8" w:rsidP="00023D5E">
            <w:pPr>
              <w:jc w:val="both"/>
              <w:rPr>
                <w:rFonts w:cstheme="minorHAnsi"/>
                <w:sz w:val="20"/>
              </w:rPr>
            </w:pPr>
            <w:r w:rsidRPr="00675182">
              <w:rPr>
                <w:rFonts w:cstheme="minorHAnsi"/>
                <w:sz w:val="20"/>
              </w:rPr>
              <w:t>S</w:t>
            </w:r>
            <w:r w:rsidR="00023D5E" w:rsidRPr="00675182">
              <w:rPr>
                <w:rFonts w:cstheme="minorHAnsi"/>
                <w:sz w:val="20"/>
              </w:rPr>
              <w:t>porta un atpūtas būves un labiekārtojuma struktūras</w:t>
            </w:r>
          </w:p>
        </w:tc>
        <w:tc>
          <w:tcPr>
            <w:tcW w:w="457" w:type="pct"/>
          </w:tcPr>
          <w:p w14:paraId="6C4BEC43" w14:textId="107C2AAF" w:rsidR="00023D5E" w:rsidRPr="00675182" w:rsidRDefault="00023D5E" w:rsidP="00023D5E">
            <w:pPr>
              <w:jc w:val="center"/>
              <w:rPr>
                <w:rFonts w:cstheme="minorHAnsi"/>
                <w:sz w:val="20"/>
              </w:rPr>
            </w:pPr>
            <w:r w:rsidRPr="00675182">
              <w:rPr>
                <w:rFonts w:cstheme="minorHAnsi"/>
                <w:sz w:val="20"/>
              </w:rPr>
              <w:t>N/M vai L</w:t>
            </w:r>
          </w:p>
        </w:tc>
        <w:tc>
          <w:tcPr>
            <w:tcW w:w="486" w:type="pct"/>
          </w:tcPr>
          <w:p w14:paraId="37B3C2A6" w14:textId="067E2B75" w:rsidR="00023D5E" w:rsidRPr="00675182" w:rsidRDefault="00023D5E" w:rsidP="00023D5E">
            <w:pPr>
              <w:jc w:val="center"/>
              <w:rPr>
                <w:rFonts w:cstheme="minorHAnsi"/>
                <w:sz w:val="20"/>
              </w:rPr>
            </w:pPr>
            <w:r w:rsidRPr="00675182">
              <w:rPr>
                <w:rFonts w:cstheme="minorHAnsi"/>
                <w:sz w:val="20"/>
              </w:rPr>
              <w:t>G02</w:t>
            </w:r>
          </w:p>
        </w:tc>
        <w:tc>
          <w:tcPr>
            <w:tcW w:w="378" w:type="pct"/>
          </w:tcPr>
          <w:p w14:paraId="063F1AF9" w14:textId="3155DD9A" w:rsidR="00023D5E" w:rsidRPr="00675182" w:rsidRDefault="00023D5E" w:rsidP="00023D5E">
            <w:pPr>
              <w:jc w:val="center"/>
              <w:rPr>
                <w:rFonts w:cstheme="minorHAnsi"/>
                <w:sz w:val="20"/>
              </w:rPr>
            </w:pPr>
            <w:r w:rsidRPr="00675182">
              <w:rPr>
                <w:rFonts w:cstheme="minorHAnsi"/>
                <w:sz w:val="20"/>
              </w:rPr>
              <w:t>I un b</w:t>
            </w:r>
          </w:p>
        </w:tc>
        <w:tc>
          <w:tcPr>
            <w:tcW w:w="2207" w:type="pct"/>
          </w:tcPr>
          <w:p w14:paraId="3DFA6C91" w14:textId="46233C54" w:rsidR="00023D5E" w:rsidRPr="00675182" w:rsidRDefault="00023D5E" w:rsidP="00023D5E">
            <w:pPr>
              <w:jc w:val="both"/>
              <w:rPr>
                <w:rFonts w:cstheme="minorHAnsi"/>
                <w:sz w:val="20"/>
              </w:rPr>
            </w:pPr>
            <w:r w:rsidRPr="00675182">
              <w:rPr>
                <w:rFonts w:cstheme="minorHAnsi"/>
                <w:sz w:val="20"/>
              </w:rPr>
              <w:t xml:space="preserve">Atkarībā no platības, taču ņemot prasības uz izvietojumu, ka bieži tas skar ainaviski un dabas daudzveidības ziņā vērtīgās Gaujas senielejas nogāzes, terasēto upes ielejas daļu – negatīvā ietekme palielinās. </w:t>
            </w:r>
          </w:p>
        </w:tc>
      </w:tr>
      <w:tr w:rsidR="005F23B8" w:rsidRPr="00675182" w14:paraId="173B59C2" w14:textId="77777777" w:rsidTr="00D447AC">
        <w:trPr>
          <w:trHeight w:val="347"/>
        </w:trPr>
        <w:tc>
          <w:tcPr>
            <w:tcW w:w="1472" w:type="pct"/>
          </w:tcPr>
          <w:p w14:paraId="51B92B9F" w14:textId="6F230D09" w:rsidR="005F23B8" w:rsidRPr="00675182" w:rsidRDefault="005F23B8" w:rsidP="005F23B8">
            <w:pPr>
              <w:jc w:val="both"/>
              <w:rPr>
                <w:rFonts w:cstheme="minorHAnsi"/>
                <w:sz w:val="20"/>
              </w:rPr>
            </w:pPr>
            <w:r w:rsidRPr="00675182">
              <w:rPr>
                <w:rFonts w:cstheme="minorHAnsi"/>
                <w:sz w:val="20"/>
              </w:rPr>
              <w:t>Golfa laukumi</w:t>
            </w:r>
          </w:p>
        </w:tc>
        <w:tc>
          <w:tcPr>
            <w:tcW w:w="457" w:type="pct"/>
            <w:vAlign w:val="center"/>
          </w:tcPr>
          <w:p w14:paraId="47CB6301" w14:textId="2EB7FCE5" w:rsidR="005F23B8" w:rsidRPr="00675182" w:rsidRDefault="005F23B8" w:rsidP="005F23B8">
            <w:pPr>
              <w:jc w:val="center"/>
              <w:rPr>
                <w:rFonts w:cstheme="minorHAnsi"/>
                <w:sz w:val="20"/>
              </w:rPr>
            </w:pPr>
            <w:r w:rsidRPr="00675182">
              <w:rPr>
                <w:rFonts w:cstheme="minorHAnsi"/>
                <w:sz w:val="20"/>
              </w:rPr>
              <w:t>N/M</w:t>
            </w:r>
          </w:p>
        </w:tc>
        <w:tc>
          <w:tcPr>
            <w:tcW w:w="486" w:type="pct"/>
            <w:vAlign w:val="center"/>
          </w:tcPr>
          <w:p w14:paraId="60A1FAF2" w14:textId="636DA2F3" w:rsidR="005F23B8" w:rsidRPr="00675182" w:rsidRDefault="005F23B8" w:rsidP="005F23B8">
            <w:pPr>
              <w:jc w:val="center"/>
              <w:rPr>
                <w:rFonts w:cstheme="minorHAnsi"/>
                <w:sz w:val="20"/>
              </w:rPr>
            </w:pPr>
            <w:r w:rsidRPr="00675182">
              <w:rPr>
                <w:rFonts w:cstheme="minorHAnsi"/>
                <w:sz w:val="20"/>
              </w:rPr>
              <w:t>G02.01</w:t>
            </w:r>
          </w:p>
        </w:tc>
        <w:tc>
          <w:tcPr>
            <w:tcW w:w="378" w:type="pct"/>
            <w:vAlign w:val="center"/>
          </w:tcPr>
          <w:p w14:paraId="41251119" w14:textId="0011223E" w:rsidR="005F23B8" w:rsidRPr="00675182" w:rsidRDefault="005F23B8" w:rsidP="005F23B8">
            <w:pPr>
              <w:jc w:val="center"/>
              <w:rPr>
                <w:rFonts w:cstheme="minorHAnsi"/>
                <w:sz w:val="20"/>
              </w:rPr>
            </w:pPr>
            <w:r w:rsidRPr="00675182">
              <w:rPr>
                <w:rFonts w:cstheme="minorHAnsi"/>
                <w:sz w:val="20"/>
              </w:rPr>
              <w:t>i</w:t>
            </w:r>
          </w:p>
        </w:tc>
        <w:tc>
          <w:tcPr>
            <w:tcW w:w="2207" w:type="pct"/>
            <w:vMerge w:val="restart"/>
          </w:tcPr>
          <w:p w14:paraId="460DB73C" w14:textId="11F0E7B0" w:rsidR="005F23B8" w:rsidRPr="00675182" w:rsidRDefault="005F23B8" w:rsidP="005F23B8">
            <w:pPr>
              <w:jc w:val="both"/>
              <w:rPr>
                <w:rFonts w:cstheme="minorHAnsi"/>
                <w:sz w:val="20"/>
              </w:rPr>
            </w:pPr>
            <w:r w:rsidRPr="00675182">
              <w:rPr>
                <w:rFonts w:cstheme="minorHAnsi"/>
                <w:sz w:val="20"/>
              </w:rPr>
              <w:t>Potenciāli lielāks apdraudējums, paredzot to Gaujas senielejas stāvajās nogāzēs, aizsargājamo biotopu, reto sugu iznīcināšana, augsnes erozija u.c.</w:t>
            </w:r>
          </w:p>
        </w:tc>
      </w:tr>
      <w:tr w:rsidR="005F23B8" w:rsidRPr="00675182" w14:paraId="6A949B0C" w14:textId="77777777" w:rsidTr="00D447AC">
        <w:tc>
          <w:tcPr>
            <w:tcW w:w="1472" w:type="pct"/>
            <w:tcBorders>
              <w:top w:val="single" w:sz="4" w:space="0" w:color="auto"/>
              <w:left w:val="single" w:sz="4" w:space="0" w:color="auto"/>
              <w:bottom w:val="single" w:sz="4" w:space="0" w:color="auto"/>
              <w:right w:val="single" w:sz="4" w:space="0" w:color="auto"/>
            </w:tcBorders>
          </w:tcPr>
          <w:p w14:paraId="2324D8D7" w14:textId="4E8B2CA4" w:rsidR="005F23B8" w:rsidRPr="00675182" w:rsidRDefault="005F23B8" w:rsidP="005F23B8">
            <w:pPr>
              <w:jc w:val="both"/>
              <w:rPr>
                <w:rFonts w:cstheme="minorHAnsi"/>
                <w:sz w:val="20"/>
              </w:rPr>
            </w:pPr>
            <w:r w:rsidRPr="00675182">
              <w:rPr>
                <w:rFonts w:cstheme="minorHAnsi"/>
                <w:sz w:val="20"/>
              </w:rPr>
              <w:t>Kalnu slēpošanas trases</w:t>
            </w:r>
          </w:p>
        </w:tc>
        <w:tc>
          <w:tcPr>
            <w:tcW w:w="457" w:type="pct"/>
            <w:tcBorders>
              <w:top w:val="single" w:sz="4" w:space="0" w:color="auto"/>
              <w:left w:val="single" w:sz="4" w:space="0" w:color="auto"/>
              <w:bottom w:val="single" w:sz="4" w:space="0" w:color="auto"/>
              <w:right w:val="single" w:sz="4" w:space="0" w:color="auto"/>
            </w:tcBorders>
            <w:vAlign w:val="center"/>
          </w:tcPr>
          <w:p w14:paraId="579F6D78" w14:textId="4C3C5DE1" w:rsidR="005F23B8" w:rsidRPr="00675182" w:rsidRDefault="005F23B8" w:rsidP="005F23B8">
            <w:pPr>
              <w:jc w:val="center"/>
              <w:rPr>
                <w:rFonts w:cstheme="minorHAnsi"/>
                <w:sz w:val="20"/>
              </w:rPr>
            </w:pPr>
            <w:r w:rsidRPr="00675182">
              <w:rPr>
                <w:rFonts w:cstheme="minorHAnsi"/>
                <w:sz w:val="20"/>
              </w:rPr>
              <w:t>N/M</w:t>
            </w:r>
          </w:p>
        </w:tc>
        <w:tc>
          <w:tcPr>
            <w:tcW w:w="486" w:type="pct"/>
            <w:tcBorders>
              <w:top w:val="single" w:sz="4" w:space="0" w:color="auto"/>
              <w:left w:val="single" w:sz="4" w:space="0" w:color="auto"/>
              <w:bottom w:val="single" w:sz="4" w:space="0" w:color="auto"/>
              <w:right w:val="single" w:sz="4" w:space="0" w:color="auto"/>
            </w:tcBorders>
            <w:vAlign w:val="center"/>
          </w:tcPr>
          <w:p w14:paraId="1A378BBB" w14:textId="42EA5376" w:rsidR="005F23B8" w:rsidRPr="00675182" w:rsidRDefault="005F23B8" w:rsidP="005F23B8">
            <w:pPr>
              <w:jc w:val="center"/>
              <w:rPr>
                <w:rFonts w:cstheme="minorHAnsi"/>
                <w:sz w:val="20"/>
              </w:rPr>
            </w:pPr>
            <w:r w:rsidRPr="00675182">
              <w:rPr>
                <w:rFonts w:cstheme="minorHAnsi"/>
                <w:sz w:val="20"/>
              </w:rPr>
              <w:t>G02.02</w:t>
            </w:r>
          </w:p>
        </w:tc>
        <w:tc>
          <w:tcPr>
            <w:tcW w:w="378" w:type="pct"/>
            <w:tcBorders>
              <w:top w:val="single" w:sz="4" w:space="0" w:color="auto"/>
              <w:left w:val="single" w:sz="4" w:space="0" w:color="auto"/>
              <w:bottom w:val="single" w:sz="4" w:space="0" w:color="auto"/>
              <w:right w:val="single" w:sz="4" w:space="0" w:color="auto"/>
            </w:tcBorders>
            <w:vAlign w:val="center"/>
          </w:tcPr>
          <w:p w14:paraId="5FF8576E" w14:textId="32909DB9" w:rsidR="005F23B8" w:rsidRPr="00675182" w:rsidRDefault="005F23B8" w:rsidP="005F23B8">
            <w:pPr>
              <w:jc w:val="center"/>
              <w:rPr>
                <w:rFonts w:cstheme="minorHAnsi"/>
                <w:sz w:val="20"/>
              </w:rPr>
            </w:pPr>
            <w:r w:rsidRPr="00675182">
              <w:rPr>
                <w:rFonts w:cstheme="minorHAnsi"/>
                <w:sz w:val="20"/>
              </w:rPr>
              <w:t>b</w:t>
            </w:r>
          </w:p>
        </w:tc>
        <w:tc>
          <w:tcPr>
            <w:tcW w:w="2207" w:type="pct"/>
            <w:vMerge/>
          </w:tcPr>
          <w:p w14:paraId="553EF046" w14:textId="289328D7" w:rsidR="005F23B8" w:rsidRPr="00675182" w:rsidRDefault="005F23B8" w:rsidP="005F23B8">
            <w:pPr>
              <w:jc w:val="both"/>
              <w:rPr>
                <w:rFonts w:cstheme="minorHAnsi"/>
                <w:sz w:val="20"/>
              </w:rPr>
            </w:pPr>
          </w:p>
        </w:tc>
      </w:tr>
      <w:tr w:rsidR="005F23B8" w:rsidRPr="00675182" w14:paraId="75000B14" w14:textId="77777777" w:rsidTr="00D447AC">
        <w:tc>
          <w:tcPr>
            <w:tcW w:w="1472" w:type="pct"/>
            <w:tcBorders>
              <w:top w:val="single" w:sz="4" w:space="0" w:color="auto"/>
              <w:left w:val="single" w:sz="4" w:space="0" w:color="auto"/>
              <w:bottom w:val="single" w:sz="4" w:space="0" w:color="auto"/>
              <w:right w:val="single" w:sz="4" w:space="0" w:color="auto"/>
            </w:tcBorders>
          </w:tcPr>
          <w:p w14:paraId="727B76C2" w14:textId="6125AD24" w:rsidR="005F23B8" w:rsidRPr="00675182" w:rsidRDefault="005F23B8" w:rsidP="005F23B8">
            <w:pPr>
              <w:jc w:val="both"/>
              <w:rPr>
                <w:rFonts w:cstheme="minorHAnsi"/>
                <w:sz w:val="20"/>
              </w:rPr>
            </w:pPr>
            <w:r w:rsidRPr="00675182">
              <w:rPr>
                <w:rFonts w:cstheme="minorHAnsi"/>
                <w:sz w:val="20"/>
              </w:rPr>
              <w:t>Mototrases</w:t>
            </w:r>
          </w:p>
        </w:tc>
        <w:tc>
          <w:tcPr>
            <w:tcW w:w="457" w:type="pct"/>
            <w:tcBorders>
              <w:top w:val="single" w:sz="4" w:space="0" w:color="auto"/>
              <w:left w:val="single" w:sz="4" w:space="0" w:color="auto"/>
              <w:bottom w:val="single" w:sz="4" w:space="0" w:color="auto"/>
              <w:right w:val="single" w:sz="4" w:space="0" w:color="auto"/>
            </w:tcBorders>
            <w:vAlign w:val="center"/>
          </w:tcPr>
          <w:p w14:paraId="0587E4C5" w14:textId="7D703AC1" w:rsidR="005F23B8" w:rsidRPr="00675182" w:rsidRDefault="005F23B8" w:rsidP="005F23B8">
            <w:pPr>
              <w:jc w:val="center"/>
              <w:rPr>
                <w:rFonts w:cstheme="minorHAnsi"/>
                <w:sz w:val="20"/>
              </w:rPr>
            </w:pPr>
            <w:r w:rsidRPr="00675182">
              <w:rPr>
                <w:rFonts w:cstheme="minorHAnsi"/>
                <w:sz w:val="20"/>
              </w:rPr>
              <w:t>N/M</w:t>
            </w:r>
          </w:p>
        </w:tc>
        <w:tc>
          <w:tcPr>
            <w:tcW w:w="486" w:type="pct"/>
            <w:tcBorders>
              <w:top w:val="single" w:sz="4" w:space="0" w:color="auto"/>
              <w:left w:val="single" w:sz="4" w:space="0" w:color="auto"/>
              <w:bottom w:val="single" w:sz="4" w:space="0" w:color="auto"/>
              <w:right w:val="single" w:sz="4" w:space="0" w:color="auto"/>
            </w:tcBorders>
            <w:vAlign w:val="center"/>
          </w:tcPr>
          <w:p w14:paraId="49600972" w14:textId="558B07E8" w:rsidR="005F23B8" w:rsidRPr="00675182" w:rsidRDefault="005F23B8" w:rsidP="005F23B8">
            <w:pPr>
              <w:jc w:val="center"/>
              <w:rPr>
                <w:rFonts w:cstheme="minorHAnsi"/>
                <w:sz w:val="20"/>
              </w:rPr>
            </w:pPr>
            <w:r w:rsidRPr="00675182">
              <w:rPr>
                <w:rFonts w:cstheme="minorHAnsi"/>
                <w:sz w:val="20"/>
              </w:rPr>
              <w:t>G02.04</w:t>
            </w:r>
          </w:p>
        </w:tc>
        <w:tc>
          <w:tcPr>
            <w:tcW w:w="378" w:type="pct"/>
            <w:tcBorders>
              <w:top w:val="single" w:sz="4" w:space="0" w:color="auto"/>
              <w:left w:val="single" w:sz="4" w:space="0" w:color="auto"/>
              <w:bottom w:val="single" w:sz="4" w:space="0" w:color="auto"/>
              <w:right w:val="single" w:sz="4" w:space="0" w:color="auto"/>
            </w:tcBorders>
            <w:vAlign w:val="center"/>
          </w:tcPr>
          <w:p w14:paraId="045736E1" w14:textId="51BB2A9E" w:rsidR="005F23B8" w:rsidRPr="00675182" w:rsidRDefault="005F23B8" w:rsidP="005F23B8">
            <w:pPr>
              <w:jc w:val="center"/>
              <w:rPr>
                <w:rFonts w:cstheme="minorHAnsi"/>
                <w:sz w:val="20"/>
              </w:rPr>
            </w:pPr>
            <w:r w:rsidRPr="00675182">
              <w:rPr>
                <w:rFonts w:cstheme="minorHAnsi"/>
                <w:sz w:val="20"/>
              </w:rPr>
              <w:t>b</w:t>
            </w:r>
          </w:p>
        </w:tc>
        <w:tc>
          <w:tcPr>
            <w:tcW w:w="2207" w:type="pct"/>
            <w:tcBorders>
              <w:top w:val="single" w:sz="4" w:space="0" w:color="auto"/>
              <w:left w:val="single" w:sz="4" w:space="0" w:color="auto"/>
              <w:bottom w:val="single" w:sz="4" w:space="0" w:color="auto"/>
              <w:right w:val="single" w:sz="4" w:space="0" w:color="auto"/>
            </w:tcBorders>
          </w:tcPr>
          <w:p w14:paraId="20E10EC3" w14:textId="145ED95A" w:rsidR="005F23B8" w:rsidRPr="00675182" w:rsidRDefault="005F23B8" w:rsidP="005F23B8">
            <w:pPr>
              <w:jc w:val="both"/>
              <w:rPr>
                <w:rFonts w:cstheme="minorHAnsi"/>
                <w:sz w:val="20"/>
              </w:rPr>
            </w:pPr>
            <w:r w:rsidRPr="00675182">
              <w:rPr>
                <w:rFonts w:cstheme="minorHAnsi"/>
                <w:sz w:val="20"/>
              </w:rPr>
              <w:t>Troksnis, vides piesārņojums u.c.</w:t>
            </w:r>
          </w:p>
        </w:tc>
      </w:tr>
      <w:tr w:rsidR="005F23B8" w:rsidRPr="00675182" w14:paraId="66942A05" w14:textId="77777777" w:rsidTr="00D447AC">
        <w:tc>
          <w:tcPr>
            <w:tcW w:w="1472" w:type="pct"/>
            <w:tcBorders>
              <w:top w:val="single" w:sz="4" w:space="0" w:color="auto"/>
              <w:left w:val="single" w:sz="4" w:space="0" w:color="auto"/>
              <w:bottom w:val="single" w:sz="4" w:space="0" w:color="auto"/>
              <w:right w:val="single" w:sz="4" w:space="0" w:color="auto"/>
            </w:tcBorders>
          </w:tcPr>
          <w:p w14:paraId="21E6BB99" w14:textId="15C4FF08" w:rsidR="005F23B8" w:rsidRPr="00675182" w:rsidRDefault="005F23B8" w:rsidP="005F23B8">
            <w:pPr>
              <w:jc w:val="both"/>
              <w:rPr>
                <w:rFonts w:cstheme="minorHAnsi"/>
                <w:sz w:val="20"/>
              </w:rPr>
            </w:pPr>
            <w:r w:rsidRPr="00675182">
              <w:rPr>
                <w:rFonts w:cstheme="minorHAnsi"/>
                <w:sz w:val="20"/>
              </w:rPr>
              <w:t>Tematiskie izklaides parki</w:t>
            </w:r>
          </w:p>
        </w:tc>
        <w:tc>
          <w:tcPr>
            <w:tcW w:w="457" w:type="pct"/>
            <w:tcBorders>
              <w:top w:val="single" w:sz="4" w:space="0" w:color="auto"/>
              <w:left w:val="single" w:sz="4" w:space="0" w:color="auto"/>
              <w:bottom w:val="single" w:sz="4" w:space="0" w:color="auto"/>
              <w:right w:val="single" w:sz="4" w:space="0" w:color="auto"/>
            </w:tcBorders>
            <w:vAlign w:val="center"/>
          </w:tcPr>
          <w:p w14:paraId="2BB7A809" w14:textId="41788543" w:rsidR="005F23B8" w:rsidRPr="00675182" w:rsidRDefault="005F23B8" w:rsidP="005F23B8">
            <w:pPr>
              <w:jc w:val="center"/>
              <w:rPr>
                <w:rFonts w:cstheme="minorHAnsi"/>
                <w:sz w:val="20"/>
              </w:rPr>
            </w:pPr>
            <w:r w:rsidRPr="00675182">
              <w:rPr>
                <w:rFonts w:cstheme="minorHAnsi"/>
                <w:sz w:val="20"/>
              </w:rPr>
              <w:t>N/M</w:t>
            </w:r>
          </w:p>
        </w:tc>
        <w:tc>
          <w:tcPr>
            <w:tcW w:w="486" w:type="pct"/>
            <w:tcBorders>
              <w:top w:val="single" w:sz="4" w:space="0" w:color="auto"/>
              <w:left w:val="single" w:sz="4" w:space="0" w:color="auto"/>
              <w:bottom w:val="single" w:sz="4" w:space="0" w:color="auto"/>
              <w:right w:val="single" w:sz="4" w:space="0" w:color="auto"/>
            </w:tcBorders>
            <w:vAlign w:val="center"/>
          </w:tcPr>
          <w:p w14:paraId="3FB637BD" w14:textId="479D2D63" w:rsidR="005F23B8" w:rsidRPr="00675182" w:rsidRDefault="005F23B8" w:rsidP="005F23B8">
            <w:pPr>
              <w:jc w:val="center"/>
              <w:rPr>
                <w:rFonts w:cstheme="minorHAnsi"/>
                <w:sz w:val="20"/>
              </w:rPr>
            </w:pPr>
            <w:r w:rsidRPr="00675182">
              <w:rPr>
                <w:rFonts w:cstheme="minorHAnsi"/>
                <w:sz w:val="20"/>
              </w:rPr>
              <w:t>G02.06</w:t>
            </w:r>
          </w:p>
        </w:tc>
        <w:tc>
          <w:tcPr>
            <w:tcW w:w="378" w:type="pct"/>
            <w:tcBorders>
              <w:top w:val="single" w:sz="4" w:space="0" w:color="auto"/>
              <w:left w:val="single" w:sz="4" w:space="0" w:color="auto"/>
              <w:bottom w:val="single" w:sz="4" w:space="0" w:color="auto"/>
              <w:right w:val="single" w:sz="4" w:space="0" w:color="auto"/>
            </w:tcBorders>
            <w:vAlign w:val="center"/>
          </w:tcPr>
          <w:p w14:paraId="4C8518AA" w14:textId="73E304D4" w:rsidR="005F23B8" w:rsidRPr="00675182" w:rsidRDefault="005F23B8" w:rsidP="005F23B8">
            <w:pPr>
              <w:jc w:val="center"/>
              <w:rPr>
                <w:rFonts w:cstheme="minorHAnsi"/>
                <w:sz w:val="20"/>
              </w:rPr>
            </w:pPr>
            <w:r w:rsidRPr="00675182">
              <w:rPr>
                <w:rFonts w:cstheme="minorHAnsi"/>
                <w:sz w:val="20"/>
              </w:rPr>
              <w:t>i</w:t>
            </w:r>
          </w:p>
        </w:tc>
        <w:tc>
          <w:tcPr>
            <w:tcW w:w="2207" w:type="pct"/>
            <w:tcBorders>
              <w:top w:val="single" w:sz="4" w:space="0" w:color="auto"/>
              <w:left w:val="single" w:sz="4" w:space="0" w:color="auto"/>
              <w:bottom w:val="single" w:sz="4" w:space="0" w:color="auto"/>
              <w:right w:val="single" w:sz="4" w:space="0" w:color="auto"/>
            </w:tcBorders>
          </w:tcPr>
          <w:p w14:paraId="291004C8" w14:textId="673D3F5C" w:rsidR="005F23B8" w:rsidRPr="00675182" w:rsidRDefault="005F23B8" w:rsidP="005F23B8">
            <w:pPr>
              <w:jc w:val="both"/>
              <w:rPr>
                <w:rFonts w:cstheme="minorHAnsi"/>
                <w:sz w:val="20"/>
              </w:rPr>
            </w:pPr>
            <w:r w:rsidRPr="00675182">
              <w:rPr>
                <w:rFonts w:cstheme="minorHAnsi"/>
                <w:sz w:val="20"/>
              </w:rPr>
              <w:t>Negatīva ietekme aktivitātēm, kas dominējoši vērstas uz izklaides motīvu, izmantojot ainaviski vērtīgu teritoriju, neiekļaujot vides izglītības elementus</w:t>
            </w:r>
          </w:p>
        </w:tc>
      </w:tr>
      <w:tr w:rsidR="005F23B8" w:rsidRPr="00675182" w14:paraId="5526CC25" w14:textId="77777777" w:rsidTr="00D447AC">
        <w:tc>
          <w:tcPr>
            <w:tcW w:w="1472" w:type="pct"/>
            <w:tcBorders>
              <w:top w:val="single" w:sz="4" w:space="0" w:color="auto"/>
              <w:left w:val="single" w:sz="4" w:space="0" w:color="auto"/>
              <w:bottom w:val="single" w:sz="4" w:space="0" w:color="auto"/>
              <w:right w:val="single" w:sz="4" w:space="0" w:color="auto"/>
            </w:tcBorders>
          </w:tcPr>
          <w:p w14:paraId="4AC2DFF4" w14:textId="33B4A07D" w:rsidR="005F23B8" w:rsidRPr="00675182" w:rsidRDefault="005F23B8" w:rsidP="005F23B8">
            <w:pPr>
              <w:jc w:val="both"/>
              <w:rPr>
                <w:rFonts w:cstheme="minorHAnsi"/>
                <w:sz w:val="20"/>
              </w:rPr>
            </w:pPr>
            <w:r w:rsidRPr="00675182">
              <w:rPr>
                <w:rFonts w:cstheme="minorHAnsi"/>
                <w:sz w:val="20"/>
              </w:rPr>
              <w:t>Kempingu laukumi (viesu mājas)</w:t>
            </w:r>
          </w:p>
        </w:tc>
        <w:tc>
          <w:tcPr>
            <w:tcW w:w="457" w:type="pct"/>
            <w:tcBorders>
              <w:top w:val="single" w:sz="4" w:space="0" w:color="auto"/>
              <w:left w:val="single" w:sz="4" w:space="0" w:color="auto"/>
              <w:bottom w:val="single" w:sz="4" w:space="0" w:color="auto"/>
              <w:right w:val="single" w:sz="4" w:space="0" w:color="auto"/>
            </w:tcBorders>
            <w:vAlign w:val="center"/>
          </w:tcPr>
          <w:p w14:paraId="3116780C" w14:textId="337D9CC0" w:rsidR="005F23B8" w:rsidRPr="00675182" w:rsidRDefault="005F23B8" w:rsidP="005F23B8">
            <w:pPr>
              <w:jc w:val="center"/>
              <w:rPr>
                <w:rFonts w:cstheme="minorHAnsi"/>
                <w:sz w:val="20"/>
              </w:rPr>
            </w:pPr>
            <w:r w:rsidRPr="00675182">
              <w:rPr>
                <w:rFonts w:cstheme="minorHAnsi"/>
                <w:sz w:val="20"/>
              </w:rPr>
              <w:t>N/L</w:t>
            </w:r>
          </w:p>
        </w:tc>
        <w:tc>
          <w:tcPr>
            <w:tcW w:w="486" w:type="pct"/>
            <w:tcBorders>
              <w:top w:val="single" w:sz="4" w:space="0" w:color="auto"/>
              <w:left w:val="single" w:sz="4" w:space="0" w:color="auto"/>
              <w:bottom w:val="single" w:sz="4" w:space="0" w:color="auto"/>
              <w:right w:val="single" w:sz="4" w:space="0" w:color="auto"/>
            </w:tcBorders>
            <w:vAlign w:val="center"/>
          </w:tcPr>
          <w:p w14:paraId="4608271F" w14:textId="74F33435" w:rsidR="005F23B8" w:rsidRPr="00675182" w:rsidRDefault="005F23B8" w:rsidP="005F23B8">
            <w:pPr>
              <w:jc w:val="center"/>
              <w:rPr>
                <w:rFonts w:cstheme="minorHAnsi"/>
                <w:sz w:val="20"/>
              </w:rPr>
            </w:pPr>
            <w:r w:rsidRPr="00675182">
              <w:rPr>
                <w:rFonts w:cstheme="minorHAnsi"/>
                <w:sz w:val="20"/>
              </w:rPr>
              <w:t>G02.08</w:t>
            </w:r>
          </w:p>
        </w:tc>
        <w:tc>
          <w:tcPr>
            <w:tcW w:w="378" w:type="pct"/>
            <w:tcBorders>
              <w:top w:val="single" w:sz="4" w:space="0" w:color="auto"/>
              <w:left w:val="single" w:sz="4" w:space="0" w:color="auto"/>
              <w:bottom w:val="single" w:sz="4" w:space="0" w:color="auto"/>
              <w:right w:val="single" w:sz="4" w:space="0" w:color="auto"/>
            </w:tcBorders>
            <w:vAlign w:val="center"/>
          </w:tcPr>
          <w:p w14:paraId="41D1A408" w14:textId="3126D9E1" w:rsidR="005F23B8" w:rsidRPr="00675182" w:rsidRDefault="005F23B8" w:rsidP="005F23B8">
            <w:pPr>
              <w:jc w:val="center"/>
              <w:rPr>
                <w:rFonts w:cstheme="minorHAnsi"/>
                <w:sz w:val="20"/>
              </w:rPr>
            </w:pPr>
            <w:r w:rsidRPr="00675182">
              <w:rPr>
                <w:rFonts w:cstheme="minorHAnsi"/>
                <w:sz w:val="20"/>
              </w:rPr>
              <w:t>i</w:t>
            </w:r>
          </w:p>
        </w:tc>
        <w:tc>
          <w:tcPr>
            <w:tcW w:w="2207" w:type="pct"/>
            <w:tcBorders>
              <w:top w:val="single" w:sz="4" w:space="0" w:color="auto"/>
              <w:left w:val="single" w:sz="4" w:space="0" w:color="auto"/>
              <w:bottom w:val="single" w:sz="4" w:space="0" w:color="auto"/>
              <w:right w:val="single" w:sz="4" w:space="0" w:color="auto"/>
            </w:tcBorders>
          </w:tcPr>
          <w:p w14:paraId="228EA398" w14:textId="3A8153B2" w:rsidR="005F23B8" w:rsidRPr="00675182" w:rsidRDefault="005F23B8" w:rsidP="005F23B8">
            <w:pPr>
              <w:jc w:val="both"/>
              <w:rPr>
                <w:rFonts w:cstheme="minorHAnsi"/>
                <w:sz w:val="20"/>
              </w:rPr>
            </w:pPr>
            <w:r w:rsidRPr="00675182">
              <w:rPr>
                <w:rFonts w:cstheme="minorHAnsi"/>
                <w:sz w:val="20"/>
              </w:rPr>
              <w:t>Kanalizācijas ūdeņu novadīšana, būvniecība, sadzīves atkritumi, liels apmeklētāju skaits u.c., troksnis, autostāvlaukumu ierīkošana</w:t>
            </w:r>
          </w:p>
        </w:tc>
      </w:tr>
      <w:tr w:rsidR="005F23B8" w:rsidRPr="00675182" w14:paraId="4970F913" w14:textId="77777777" w:rsidTr="00D447AC">
        <w:tc>
          <w:tcPr>
            <w:tcW w:w="1472" w:type="pct"/>
            <w:tcBorders>
              <w:top w:val="single" w:sz="4" w:space="0" w:color="auto"/>
              <w:left w:val="single" w:sz="4" w:space="0" w:color="auto"/>
              <w:bottom w:val="single" w:sz="4" w:space="0" w:color="auto"/>
              <w:right w:val="single" w:sz="4" w:space="0" w:color="auto"/>
            </w:tcBorders>
          </w:tcPr>
          <w:p w14:paraId="4E11F927" w14:textId="0E74AE08" w:rsidR="005F23B8" w:rsidRPr="00675182" w:rsidRDefault="005F23B8" w:rsidP="005F23B8">
            <w:pPr>
              <w:jc w:val="both"/>
              <w:rPr>
                <w:rFonts w:cstheme="minorHAnsi"/>
                <w:sz w:val="20"/>
              </w:rPr>
            </w:pPr>
            <w:r w:rsidRPr="00675182">
              <w:rPr>
                <w:rFonts w:cstheme="minorHAnsi"/>
                <w:sz w:val="20"/>
              </w:rPr>
              <w:t>Apmeklētāju centri</w:t>
            </w:r>
          </w:p>
        </w:tc>
        <w:tc>
          <w:tcPr>
            <w:tcW w:w="457" w:type="pct"/>
            <w:tcBorders>
              <w:top w:val="single" w:sz="4" w:space="0" w:color="auto"/>
              <w:left w:val="single" w:sz="4" w:space="0" w:color="auto"/>
              <w:bottom w:val="single" w:sz="4" w:space="0" w:color="auto"/>
              <w:right w:val="single" w:sz="4" w:space="0" w:color="auto"/>
            </w:tcBorders>
            <w:vAlign w:val="center"/>
          </w:tcPr>
          <w:p w14:paraId="229020DD" w14:textId="2D451EA2" w:rsidR="005F23B8" w:rsidRPr="00675182" w:rsidRDefault="005F23B8" w:rsidP="005F23B8">
            <w:pPr>
              <w:jc w:val="center"/>
              <w:rPr>
                <w:rFonts w:cstheme="minorHAnsi"/>
                <w:sz w:val="20"/>
              </w:rPr>
            </w:pPr>
            <w:r w:rsidRPr="00675182">
              <w:rPr>
                <w:rFonts w:cstheme="minorHAnsi"/>
                <w:sz w:val="20"/>
              </w:rPr>
              <w:t>N/L</w:t>
            </w:r>
          </w:p>
        </w:tc>
        <w:tc>
          <w:tcPr>
            <w:tcW w:w="486" w:type="pct"/>
            <w:tcBorders>
              <w:top w:val="single" w:sz="4" w:space="0" w:color="auto"/>
              <w:left w:val="single" w:sz="4" w:space="0" w:color="auto"/>
              <w:bottom w:val="single" w:sz="4" w:space="0" w:color="auto"/>
              <w:right w:val="single" w:sz="4" w:space="0" w:color="auto"/>
            </w:tcBorders>
            <w:vAlign w:val="center"/>
          </w:tcPr>
          <w:p w14:paraId="0E499402" w14:textId="4FB4E965" w:rsidR="005F23B8" w:rsidRPr="00675182" w:rsidRDefault="005F23B8" w:rsidP="005F23B8">
            <w:pPr>
              <w:jc w:val="center"/>
              <w:rPr>
                <w:rFonts w:cstheme="minorHAnsi"/>
                <w:sz w:val="20"/>
              </w:rPr>
            </w:pPr>
            <w:r w:rsidRPr="00675182">
              <w:rPr>
                <w:rFonts w:cstheme="minorHAnsi"/>
                <w:sz w:val="20"/>
              </w:rPr>
              <w:t>G02.10</w:t>
            </w:r>
          </w:p>
        </w:tc>
        <w:tc>
          <w:tcPr>
            <w:tcW w:w="378" w:type="pct"/>
            <w:tcBorders>
              <w:top w:val="single" w:sz="4" w:space="0" w:color="auto"/>
              <w:left w:val="single" w:sz="4" w:space="0" w:color="auto"/>
              <w:bottom w:val="single" w:sz="4" w:space="0" w:color="auto"/>
              <w:right w:val="single" w:sz="4" w:space="0" w:color="auto"/>
            </w:tcBorders>
            <w:vAlign w:val="center"/>
          </w:tcPr>
          <w:p w14:paraId="37BFBC69" w14:textId="6A6A9889" w:rsidR="005F23B8" w:rsidRPr="00675182" w:rsidRDefault="005F23B8" w:rsidP="005F23B8">
            <w:pPr>
              <w:jc w:val="center"/>
              <w:rPr>
                <w:rFonts w:cstheme="minorHAnsi"/>
                <w:sz w:val="20"/>
              </w:rPr>
            </w:pPr>
            <w:r w:rsidRPr="00675182">
              <w:rPr>
                <w:rFonts w:cstheme="minorHAnsi"/>
                <w:sz w:val="20"/>
              </w:rPr>
              <w:t>i</w:t>
            </w:r>
          </w:p>
        </w:tc>
        <w:tc>
          <w:tcPr>
            <w:tcW w:w="2207" w:type="pct"/>
            <w:tcBorders>
              <w:top w:val="single" w:sz="4" w:space="0" w:color="auto"/>
              <w:left w:val="single" w:sz="4" w:space="0" w:color="auto"/>
              <w:bottom w:val="single" w:sz="4" w:space="0" w:color="auto"/>
              <w:right w:val="single" w:sz="4" w:space="0" w:color="auto"/>
            </w:tcBorders>
          </w:tcPr>
          <w:p w14:paraId="51ABDE03" w14:textId="166ABF9A" w:rsidR="005F23B8" w:rsidRPr="00675182" w:rsidRDefault="005F23B8" w:rsidP="005F23B8">
            <w:pPr>
              <w:jc w:val="both"/>
              <w:rPr>
                <w:rFonts w:cstheme="minorHAnsi"/>
                <w:sz w:val="20"/>
              </w:rPr>
            </w:pPr>
            <w:r w:rsidRPr="00675182">
              <w:rPr>
                <w:rFonts w:cstheme="minorHAnsi"/>
                <w:sz w:val="20"/>
              </w:rPr>
              <w:t>Kanalizācijas ūdeņu novadīšana, būvniecība</w:t>
            </w:r>
          </w:p>
        </w:tc>
      </w:tr>
    </w:tbl>
    <w:bookmarkEnd w:id="36"/>
    <w:p w14:paraId="07F4FFD0" w14:textId="6B3CB339" w:rsidR="00165654" w:rsidRPr="00675182" w:rsidRDefault="004D2C2F" w:rsidP="00C972B1">
      <w:pPr>
        <w:jc w:val="both"/>
        <w:rPr>
          <w:rFonts w:cstheme="minorHAnsi"/>
          <w:szCs w:val="24"/>
        </w:rPr>
        <w:sectPr w:rsidR="00165654" w:rsidRPr="00675182" w:rsidSect="00165654">
          <w:headerReference w:type="default" r:id="rId116"/>
          <w:pgSz w:w="16837" w:h="11905" w:orient="landscape"/>
          <w:pgMar w:top="1797" w:right="1440" w:bottom="1797" w:left="1440" w:header="720" w:footer="720" w:gutter="0"/>
          <w:cols w:space="720"/>
          <w:docGrid w:linePitch="360"/>
        </w:sectPr>
      </w:pPr>
      <w:r w:rsidRPr="00675182">
        <w:rPr>
          <w:rFonts w:cstheme="minorHAnsi"/>
          <w:b/>
          <w:bCs/>
          <w:sz w:val="22"/>
          <w:szCs w:val="18"/>
        </w:rPr>
        <w:t>Paskaidrojumi</w:t>
      </w:r>
      <w:r w:rsidRPr="00675182">
        <w:rPr>
          <w:rFonts w:cstheme="minorHAnsi"/>
          <w:sz w:val="22"/>
          <w:szCs w:val="18"/>
        </w:rPr>
        <w:t xml:space="preserve">: Ietekmes veids: </w:t>
      </w:r>
      <w:r w:rsidRPr="00675182">
        <w:rPr>
          <w:rFonts w:cstheme="minorHAnsi"/>
          <w:b/>
          <w:bCs/>
          <w:sz w:val="22"/>
          <w:szCs w:val="18"/>
        </w:rPr>
        <w:t>N</w:t>
      </w:r>
      <w:r w:rsidRPr="00675182">
        <w:rPr>
          <w:rFonts w:cstheme="minorHAnsi"/>
          <w:sz w:val="22"/>
          <w:szCs w:val="18"/>
        </w:rPr>
        <w:t xml:space="preserve"> – negatīva; </w:t>
      </w:r>
      <w:r w:rsidRPr="00675182">
        <w:rPr>
          <w:rFonts w:cstheme="minorHAnsi"/>
          <w:b/>
          <w:bCs/>
          <w:sz w:val="22"/>
          <w:szCs w:val="18"/>
        </w:rPr>
        <w:t>P</w:t>
      </w:r>
      <w:r w:rsidRPr="00675182">
        <w:rPr>
          <w:rFonts w:cstheme="minorHAnsi"/>
          <w:sz w:val="22"/>
          <w:szCs w:val="18"/>
        </w:rPr>
        <w:t xml:space="preserve"> – pozitīva. Ietekmes pakāpe: </w:t>
      </w:r>
      <w:r w:rsidRPr="00675182">
        <w:rPr>
          <w:rFonts w:cstheme="minorHAnsi"/>
          <w:b/>
          <w:bCs/>
          <w:sz w:val="22"/>
          <w:szCs w:val="18"/>
        </w:rPr>
        <w:t>H</w:t>
      </w:r>
      <w:r w:rsidRPr="00675182">
        <w:rPr>
          <w:rFonts w:cstheme="minorHAnsi"/>
          <w:sz w:val="22"/>
          <w:szCs w:val="18"/>
        </w:rPr>
        <w:t xml:space="preserve"> – liela nozīme/ietekme (liela tieša vai tūlītēja ietekme un/vai iedarbība, kas skar plašus apgabalus); </w:t>
      </w:r>
      <w:r w:rsidRPr="00675182">
        <w:rPr>
          <w:rFonts w:cstheme="minorHAnsi"/>
          <w:b/>
          <w:bCs/>
          <w:sz w:val="22"/>
          <w:szCs w:val="18"/>
        </w:rPr>
        <w:t>M</w:t>
      </w:r>
      <w:r w:rsidRPr="00675182">
        <w:rPr>
          <w:rFonts w:cstheme="minorHAnsi"/>
          <w:sz w:val="22"/>
          <w:szCs w:val="18"/>
        </w:rPr>
        <w:t xml:space="preserve"> – vidēja nozīme/ietekme (vidēja tieša vai tūlītēja iedarbība, galvenokārt netieša ietekme un/vai iedarbība, kas skar ierobežotu apgabalu/tikai reģionāli); </w:t>
      </w:r>
      <w:r w:rsidRPr="00675182">
        <w:rPr>
          <w:rFonts w:cstheme="minorHAnsi"/>
          <w:b/>
          <w:bCs/>
          <w:sz w:val="22"/>
          <w:szCs w:val="18"/>
        </w:rPr>
        <w:t>L</w:t>
      </w:r>
      <w:r w:rsidRPr="00675182">
        <w:rPr>
          <w:rFonts w:cstheme="minorHAnsi"/>
          <w:sz w:val="22"/>
          <w:szCs w:val="18"/>
        </w:rPr>
        <w:t xml:space="preserve"> – maza nozīme/ietekme (neliela tieša vai tūlītēja iedarbība, netieša ietekme un/vai iedarbība, kas skar nelielu apgabala daļu/tikai lokāli). </w:t>
      </w:r>
      <w:r w:rsidRPr="00675182">
        <w:rPr>
          <w:rFonts w:cstheme="minorHAnsi"/>
          <w:b/>
          <w:bCs/>
          <w:sz w:val="22"/>
          <w:szCs w:val="18"/>
        </w:rPr>
        <w:t>Ietekmes kods</w:t>
      </w:r>
      <w:r w:rsidRPr="00675182">
        <w:rPr>
          <w:rFonts w:cstheme="minorHAnsi"/>
          <w:sz w:val="22"/>
          <w:szCs w:val="18"/>
        </w:rPr>
        <w:t xml:space="preserve">: atbilstoši izziņu portālā http://cdr.eionet.europa.eu/help/habitats_art17/ norādītajam (xls fails List of pressures and threats (last updated: 07.05.2018) sadaļā List of pressures and threats and conservation measures with specific guidance on the use of distinct pressure and measure codes). </w:t>
      </w:r>
      <w:r w:rsidRPr="00675182">
        <w:rPr>
          <w:rFonts w:cstheme="minorHAnsi"/>
          <w:b/>
          <w:bCs/>
          <w:sz w:val="22"/>
          <w:szCs w:val="18"/>
        </w:rPr>
        <w:t>Ietekmes vieta</w:t>
      </w:r>
      <w:r w:rsidRPr="00675182">
        <w:rPr>
          <w:rFonts w:cstheme="minorHAnsi"/>
          <w:sz w:val="22"/>
          <w:szCs w:val="18"/>
        </w:rPr>
        <w:t xml:space="preserve">: </w:t>
      </w:r>
      <w:r w:rsidRPr="00675182">
        <w:rPr>
          <w:rFonts w:cstheme="minorHAnsi"/>
          <w:b/>
          <w:bCs/>
          <w:sz w:val="22"/>
          <w:szCs w:val="18"/>
        </w:rPr>
        <w:t>i</w:t>
      </w:r>
      <w:r w:rsidRPr="00675182">
        <w:rPr>
          <w:rFonts w:cstheme="minorHAnsi"/>
          <w:sz w:val="22"/>
          <w:szCs w:val="18"/>
        </w:rPr>
        <w:t xml:space="preserve"> – teritorijā; </w:t>
      </w:r>
      <w:r w:rsidRPr="00675182">
        <w:rPr>
          <w:rFonts w:cstheme="minorHAnsi"/>
          <w:b/>
          <w:bCs/>
          <w:sz w:val="22"/>
          <w:szCs w:val="18"/>
        </w:rPr>
        <w:t>o</w:t>
      </w:r>
      <w:r w:rsidRPr="00675182">
        <w:rPr>
          <w:rFonts w:cstheme="minorHAnsi"/>
          <w:sz w:val="22"/>
          <w:szCs w:val="18"/>
        </w:rPr>
        <w:t xml:space="preserve"> – ārpus teritorijas; </w:t>
      </w:r>
      <w:r w:rsidRPr="00675182">
        <w:rPr>
          <w:rFonts w:cstheme="minorHAnsi"/>
          <w:b/>
          <w:bCs/>
          <w:sz w:val="22"/>
          <w:szCs w:val="18"/>
        </w:rPr>
        <w:t>b</w:t>
      </w:r>
      <w:r w:rsidRPr="00675182">
        <w:rPr>
          <w:rFonts w:cstheme="minorHAnsi"/>
          <w:sz w:val="22"/>
          <w:szCs w:val="18"/>
        </w:rPr>
        <w:t xml:space="preserve"> – teritorijā un ārpus teritorij</w:t>
      </w:r>
      <w:r w:rsidR="00D447AC" w:rsidRPr="00675182">
        <w:rPr>
          <w:rFonts w:cstheme="minorHAnsi"/>
          <w:sz w:val="22"/>
          <w:szCs w:val="18"/>
        </w:rPr>
        <w:t>as</w:t>
      </w:r>
    </w:p>
    <w:p w14:paraId="0DC2AD0B" w14:textId="6DEC6192" w:rsidR="00011E51" w:rsidRPr="00675182" w:rsidRDefault="00011E51" w:rsidP="002B3341">
      <w:pPr>
        <w:pStyle w:val="Heading2"/>
        <w:keepNext w:val="0"/>
        <w:rPr>
          <w:rFonts w:cstheme="minorHAnsi"/>
          <w:i w:val="0"/>
          <w:lang w:val="lv-LV"/>
        </w:rPr>
      </w:pPr>
      <w:bookmarkStart w:id="37" w:name="_Toc116938399"/>
      <w:r w:rsidRPr="00675182">
        <w:rPr>
          <w:rFonts w:cstheme="minorHAnsi"/>
          <w:i w:val="0"/>
          <w:lang w:val="lv-LV"/>
        </w:rPr>
        <w:lastRenderedPageBreak/>
        <w:t>2.2. Ainaviskais novērtējums</w:t>
      </w:r>
      <w:bookmarkEnd w:id="37"/>
      <w:r w:rsidRPr="00675182">
        <w:rPr>
          <w:rFonts w:cstheme="minorHAnsi"/>
          <w:i w:val="0"/>
          <w:lang w:val="lv-LV"/>
        </w:rPr>
        <w:t xml:space="preserve"> </w:t>
      </w:r>
      <w:bookmarkStart w:id="38" w:name="OLE_LINK10"/>
    </w:p>
    <w:p w14:paraId="64FEC4D3" w14:textId="77777777" w:rsidR="008F16D9" w:rsidRPr="00675182" w:rsidRDefault="008F16D9" w:rsidP="002B3341">
      <w:pPr>
        <w:jc w:val="both"/>
        <w:rPr>
          <w:rFonts w:cstheme="minorHAnsi"/>
        </w:rPr>
      </w:pPr>
    </w:p>
    <w:p w14:paraId="608F20A1" w14:textId="77777777" w:rsidR="00D57591" w:rsidRPr="00675182" w:rsidRDefault="00D57591" w:rsidP="00D57591">
      <w:pPr>
        <w:pStyle w:val="Heading3"/>
        <w:rPr>
          <w:rFonts w:cstheme="minorHAnsi"/>
          <w:b/>
          <w:bCs w:val="0"/>
          <w:lang w:val="lv-LV"/>
        </w:rPr>
      </w:pPr>
      <w:bookmarkStart w:id="39" w:name="_Toc55147013"/>
      <w:bookmarkStart w:id="40" w:name="_Toc116938400"/>
      <w:r w:rsidRPr="00675182">
        <w:rPr>
          <w:rFonts w:cstheme="minorHAnsi"/>
          <w:b/>
          <w:bCs w:val="0"/>
          <w:lang w:val="lv-LV"/>
        </w:rPr>
        <w:t>2.2.1. Apkopojums par pieejamo informāciju</w:t>
      </w:r>
      <w:bookmarkEnd w:id="39"/>
      <w:bookmarkEnd w:id="40"/>
    </w:p>
    <w:p w14:paraId="481F3084" w14:textId="77777777" w:rsidR="006C21C5" w:rsidRPr="00675182" w:rsidRDefault="006C21C5" w:rsidP="006C21C5">
      <w:pPr>
        <w:jc w:val="both"/>
        <w:rPr>
          <w:rFonts w:cstheme="minorHAnsi"/>
          <w:color w:val="000000" w:themeColor="text1"/>
        </w:rPr>
      </w:pPr>
      <w:r w:rsidRPr="00675182">
        <w:rPr>
          <w:rFonts w:cstheme="minorHAnsi"/>
          <w:color w:val="000000" w:themeColor="text1"/>
        </w:rPr>
        <w:t>Gaujas senielejas ainaviskā pievilcība novērtēta jau izsenis, taču kopš 20.gs. sākuma, lai aizsargātu tās ainavu un dabas objektus veidotas aizsargājamās teritorijas un noteikti dažādi izmantošanas nosacījumi. Izveidojot GNP, 1973. un 1974. gadā tika veidota kompleksa pieeja gan dabas vērtību aizsardzībai, kādu mūsdienās tikai daļēji nodrošina biotopu un sugu atradņu aizsardzība, gan teritorijas ainavu attīstībai. Atzīmējams, ka unikālās dabas ainavas ir bijis kritērijs Nacionālā parka statusa piešķiršanai, kā arī minētas Nacionālā parka aizsardzības mērķos. GNP atsevišķas daļas iekļautas starp pirmajām ĪADT Latvijā, savukārt Nacionālā parka izveide ir bijusi simboliska Latvijas neatkarības idejas uzturēšanai, kā arī GNP izveide bija nozīmīga dabas aizsardzības un jo īpaši ainavu pētniecības attīstībā Latvijā. Kā minēts ainavu pētnieces A. Mellumas grāmatā “Ainava un cilvēks” (1992), izstrādājot GNP ģenerālshēmu, pirmo reizi tika izstrādāts aizsargājamās teritorijas funkcionālais zonējums. Tāpat tika veidota starpdisciplināra pieeja, ietverot gan abiotiskos, gan biotiskos, gan kultūrvēsturiskos, gan sociālekonomiskos faktorus aizsargājamās teritorijas raksturošanā. GNP izveides pamatojumā tika sagatavotas dažādas tematiskās kartoshēmas, piemēram, antropogēnās slodzes raksturošanai (skat. 2.2.1. attēlu un 2.2.2. attēlu).</w:t>
      </w:r>
    </w:p>
    <w:p w14:paraId="2F977809" w14:textId="77777777" w:rsidR="009631E1" w:rsidRPr="00675182" w:rsidRDefault="009631E1" w:rsidP="00D57591">
      <w:pPr>
        <w:jc w:val="both"/>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57110E" w:rsidRPr="00675182" w14:paraId="523AD533" w14:textId="77777777" w:rsidTr="0057110E">
        <w:tc>
          <w:tcPr>
            <w:tcW w:w="8301" w:type="dxa"/>
          </w:tcPr>
          <w:p w14:paraId="2FF48263" w14:textId="56F75EA7" w:rsidR="0057110E" w:rsidRPr="00675182" w:rsidRDefault="0057110E" w:rsidP="006C21C5">
            <w:pPr>
              <w:keepNext/>
              <w:keepLines/>
              <w:rPr>
                <w:rFonts w:cstheme="minorHAnsi"/>
              </w:rPr>
            </w:pPr>
            <w:r w:rsidRPr="00675182">
              <w:rPr>
                <w:rFonts w:cstheme="minorHAnsi"/>
                <w:noProof/>
                <w:lang w:eastAsia="lv-LV"/>
              </w:rPr>
              <w:drawing>
                <wp:inline distT="0" distB="0" distL="0" distR="0" wp14:anchorId="6AF72154" wp14:editId="6D5B9325">
                  <wp:extent cx="3956893" cy="3636000"/>
                  <wp:effectExtent l="8255"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NP_generalshema_Melluma.jpg"/>
                          <pic:cNvPicPr/>
                        </pic:nvPicPr>
                        <pic:blipFill>
                          <a:blip r:embed="rId117" cstate="print">
                            <a:extLst>
                              <a:ext uri="{28A0092B-C50C-407E-A947-70E740481C1C}">
                                <a14:useLocalDpi xmlns:a14="http://schemas.microsoft.com/office/drawing/2010/main" val="0"/>
                              </a:ext>
                            </a:extLst>
                          </a:blip>
                          <a:stretch>
                            <a:fillRect/>
                          </a:stretch>
                        </pic:blipFill>
                        <pic:spPr>
                          <a:xfrm rot="16200000">
                            <a:off x="0" y="0"/>
                            <a:ext cx="3956893" cy="3636000"/>
                          </a:xfrm>
                          <a:prstGeom prst="rect">
                            <a:avLst/>
                          </a:prstGeom>
                        </pic:spPr>
                      </pic:pic>
                    </a:graphicData>
                  </a:graphic>
                </wp:inline>
              </w:drawing>
            </w:r>
          </w:p>
        </w:tc>
      </w:tr>
      <w:tr w:rsidR="0057110E" w:rsidRPr="00675182" w14:paraId="65C175AF" w14:textId="77777777" w:rsidTr="0057110E">
        <w:tc>
          <w:tcPr>
            <w:tcW w:w="8301" w:type="dxa"/>
          </w:tcPr>
          <w:p w14:paraId="3611D913" w14:textId="17F22352" w:rsidR="0057110E" w:rsidRPr="00675182" w:rsidRDefault="0057110E" w:rsidP="006C21C5">
            <w:pPr>
              <w:keepNext/>
              <w:keepLines/>
              <w:rPr>
                <w:rFonts w:cstheme="minorHAnsi"/>
              </w:rPr>
            </w:pPr>
            <w:r w:rsidRPr="00675182">
              <w:rPr>
                <w:rFonts w:cstheme="minorHAnsi"/>
                <w:b/>
                <w:i/>
              </w:rPr>
              <w:t>2.</w:t>
            </w:r>
            <w:r w:rsidR="00AF2E99" w:rsidRPr="00675182">
              <w:rPr>
                <w:rFonts w:cstheme="minorHAnsi"/>
                <w:b/>
                <w:i/>
              </w:rPr>
              <w:t>2.</w:t>
            </w:r>
            <w:r w:rsidRPr="00675182">
              <w:rPr>
                <w:rFonts w:cstheme="minorHAnsi"/>
                <w:b/>
                <w:i/>
              </w:rPr>
              <w:t>1. attēls. GNP teritorijas saimnieciskās izmantošanas un tās ietekmes uz apkārtējo vidi kartoshēma 1974. gads (fragments</w:t>
            </w:r>
            <w:r w:rsidR="00BF5F08" w:rsidRPr="00675182">
              <w:rPr>
                <w:rFonts w:cstheme="minorHAnsi"/>
                <w:b/>
                <w:i/>
              </w:rPr>
              <w:t>, Melluma, 1992</w:t>
            </w:r>
            <w:r w:rsidRPr="00675182">
              <w:rPr>
                <w:rFonts w:cstheme="minorHAnsi"/>
                <w:b/>
                <w:i/>
              </w:rPr>
              <w:t>)</w:t>
            </w:r>
          </w:p>
        </w:tc>
      </w:tr>
    </w:tbl>
    <w:p w14:paraId="68A85251" w14:textId="77777777" w:rsidR="0057110E" w:rsidRPr="00675182" w:rsidRDefault="0057110E" w:rsidP="0057110E">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BF5F08" w:rsidRPr="00675182" w14:paraId="526FA184" w14:textId="77777777" w:rsidTr="00BF5F08">
        <w:tc>
          <w:tcPr>
            <w:tcW w:w="8301" w:type="dxa"/>
          </w:tcPr>
          <w:p w14:paraId="2815411C" w14:textId="6982C399" w:rsidR="00BF5F08" w:rsidRPr="00675182" w:rsidRDefault="00BF5F08" w:rsidP="0057110E">
            <w:pPr>
              <w:jc w:val="both"/>
              <w:rPr>
                <w:rFonts w:cstheme="minorHAnsi"/>
                <w:szCs w:val="24"/>
              </w:rPr>
            </w:pPr>
            <w:r w:rsidRPr="00675182">
              <w:rPr>
                <w:rFonts w:cstheme="minorHAnsi"/>
                <w:noProof/>
              </w:rPr>
              <w:lastRenderedPageBreak/>
              <w:drawing>
                <wp:inline distT="0" distB="0" distL="0" distR="0" wp14:anchorId="5896B174" wp14:editId="074B41C5">
                  <wp:extent cx="4212745" cy="360000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12745" cy="3600000"/>
                          </a:xfrm>
                          <a:prstGeom prst="rect">
                            <a:avLst/>
                          </a:prstGeom>
                          <a:noFill/>
                        </pic:spPr>
                      </pic:pic>
                    </a:graphicData>
                  </a:graphic>
                </wp:inline>
              </w:drawing>
            </w:r>
          </w:p>
        </w:tc>
      </w:tr>
      <w:tr w:rsidR="00BF5F08" w:rsidRPr="00675182" w14:paraId="14031A2A" w14:textId="77777777" w:rsidTr="00BF5F08">
        <w:tc>
          <w:tcPr>
            <w:tcW w:w="8301" w:type="dxa"/>
          </w:tcPr>
          <w:p w14:paraId="1F9436B2" w14:textId="4A071663" w:rsidR="00BF5F08" w:rsidRPr="00675182" w:rsidRDefault="00BF5F08" w:rsidP="0057110E">
            <w:pPr>
              <w:jc w:val="both"/>
              <w:rPr>
                <w:rFonts w:cstheme="minorHAnsi"/>
                <w:szCs w:val="24"/>
              </w:rPr>
            </w:pPr>
            <w:r w:rsidRPr="00675182">
              <w:rPr>
                <w:rFonts w:cstheme="minorHAnsi"/>
                <w:b/>
                <w:i/>
                <w:szCs w:val="24"/>
              </w:rPr>
              <w:t>2.2.2. attēls. GNP teritorijas raksturojums (Melluma, 1977)</w:t>
            </w:r>
          </w:p>
        </w:tc>
      </w:tr>
    </w:tbl>
    <w:p w14:paraId="5AB27813" w14:textId="77777777" w:rsidR="00BF5F08" w:rsidRPr="00675182" w:rsidRDefault="00BF5F08" w:rsidP="0057110E">
      <w:pPr>
        <w:jc w:val="both"/>
        <w:rPr>
          <w:rFonts w:cstheme="minorHAnsi"/>
          <w:szCs w:val="24"/>
        </w:rPr>
      </w:pPr>
    </w:p>
    <w:p w14:paraId="45FB1CF0" w14:textId="77777777" w:rsidR="006C21C5" w:rsidRPr="00675182" w:rsidRDefault="006C21C5" w:rsidP="006C21C5">
      <w:pPr>
        <w:jc w:val="both"/>
        <w:rPr>
          <w:rFonts w:cstheme="minorHAnsi"/>
          <w:szCs w:val="24"/>
        </w:rPr>
      </w:pPr>
      <w:r w:rsidRPr="00675182">
        <w:rPr>
          <w:rFonts w:cstheme="minorHAnsi"/>
          <w:szCs w:val="24"/>
        </w:rPr>
        <w:t>Saistībā ar GNP izveidi jāatzīmē fakts, ka sākotnēji definētā GNP teritorija bija ~36 tūkst. ha platībā, galvenokārt ietverot Gaujas senieleju un tai pieguļošās platības. Taču nākamajos teritorijas izveides posmos GNP teritorija tika ievērojami palielināta līdz ~92 tūkst. ha, paplašinot teritoriju galvenokārt starp abiem lielajiem (Valmieras un Veclaicenes) autoceļiem un izveidojot tādu kā buferzonu. Mūsdienās šāds risinājums gan dabas aizsardzībā dominējošās pieejas un ainavu pārvaldības ietekmē, gan datu pieejamības un detalizācijas situācijā visticamāk nebūtu iespējams. GNP ģenerālshēmas ietvaros tika izstrādāta arī ainavu aizsardzības un veidošanas pamatvirzienu kartoshēma. Faktiski tā ietvēra teritorijas funkcionālo zonējumu ar aizsardzības un attīstības mērķiem (skat. 2.2.3. attēlu). Kartoshēmā parādītas dabas aizsardzības teritorijas - bez saimnieciskās darbības, ar ierobežotu saimniecisko darbību, rekreācijai izmantojamās un kultūrvēsturiskās ainavas. Būtu jāatzīmē, ka ievērojamā daļā teritorijas ārpus Gaujas senielejas un citām nozīmīgām teritorijām, noteikts mērķis ekoloģiski sabalansētas ainavas veidošana, tomēr turpmākajā teritorijas pārvaldībā šim mērķim veltīta mazāka uzmanība. Vēsturiski GNP teritorijas aizsardzībā un apsaimniekošanā galvenā uzmanība veltīta Gaujas senielejai un tās unikālajām dabas vērtībām (t.i., sākotnēji definētajiem ~36 tūkst. ha), tai pieguļošajām teritorijām (sāngravām, meža masīviem) un atsevišķām aizsargājamām teritorijām (Sudas purvs u.c) un kultūrvēsturiskajiem objektiem. Tādējādi ievērojamām GNP teritorijām ārpus senielejas un dabas objektiem nozīmīgi ainavu pārvaldības pasākumi nav veikti, kopumā to attīstība notikusi līdzvērtīgi tipiskām lauku teritorijām.</w:t>
      </w:r>
    </w:p>
    <w:p w14:paraId="3C60FD14" w14:textId="52B006A0" w:rsidR="00BD4C35" w:rsidRPr="00675182" w:rsidRDefault="00BD4C35" w:rsidP="0057110E">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BD4C35" w:rsidRPr="00675182" w14:paraId="387E5198" w14:textId="77777777" w:rsidTr="00BD4C35">
        <w:tc>
          <w:tcPr>
            <w:tcW w:w="8301" w:type="dxa"/>
          </w:tcPr>
          <w:p w14:paraId="1A1F2941" w14:textId="1BB78EA6" w:rsidR="00BD4C35" w:rsidRPr="00675182" w:rsidRDefault="00BD4C35" w:rsidP="0057110E">
            <w:pPr>
              <w:jc w:val="both"/>
              <w:rPr>
                <w:rFonts w:cstheme="minorHAnsi"/>
              </w:rPr>
            </w:pPr>
            <w:r w:rsidRPr="00675182">
              <w:rPr>
                <w:rFonts w:cstheme="minorHAnsi"/>
                <w:noProof/>
                <w:lang w:eastAsia="lv-LV"/>
              </w:rPr>
              <w:lastRenderedPageBreak/>
              <w:drawing>
                <wp:inline distT="0" distB="0" distL="0" distR="0" wp14:anchorId="6BE848CC" wp14:editId="598EDF64">
                  <wp:extent cx="3102194" cy="2918921"/>
                  <wp:effectExtent l="0" t="3492"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inavu_pamatvirzieni_Melluma.jpg"/>
                          <pic:cNvPicPr/>
                        </pic:nvPicPr>
                        <pic:blipFill>
                          <a:blip r:embed="rId119" cstate="print">
                            <a:extLst>
                              <a:ext uri="{28A0092B-C50C-407E-A947-70E740481C1C}">
                                <a14:useLocalDpi xmlns:a14="http://schemas.microsoft.com/office/drawing/2010/main" val="0"/>
                              </a:ext>
                            </a:extLst>
                          </a:blip>
                          <a:stretch>
                            <a:fillRect/>
                          </a:stretch>
                        </pic:blipFill>
                        <pic:spPr>
                          <a:xfrm rot="16200000">
                            <a:off x="0" y="0"/>
                            <a:ext cx="3110632" cy="2926860"/>
                          </a:xfrm>
                          <a:prstGeom prst="rect">
                            <a:avLst/>
                          </a:prstGeom>
                        </pic:spPr>
                      </pic:pic>
                    </a:graphicData>
                  </a:graphic>
                </wp:inline>
              </w:drawing>
            </w:r>
          </w:p>
        </w:tc>
      </w:tr>
      <w:tr w:rsidR="00BD4C35" w:rsidRPr="00675182" w14:paraId="4C3D4E7E" w14:textId="77777777" w:rsidTr="00BD4C35">
        <w:tc>
          <w:tcPr>
            <w:tcW w:w="8301" w:type="dxa"/>
          </w:tcPr>
          <w:p w14:paraId="610D09C9" w14:textId="56760146" w:rsidR="00BD4C35" w:rsidRPr="00675182" w:rsidRDefault="00BD4C35" w:rsidP="0057110E">
            <w:pPr>
              <w:jc w:val="both"/>
              <w:rPr>
                <w:rFonts w:cstheme="minorHAnsi"/>
              </w:rPr>
            </w:pPr>
            <w:r w:rsidRPr="00675182">
              <w:rPr>
                <w:rFonts w:cstheme="minorHAnsi"/>
                <w:b/>
                <w:i/>
              </w:rPr>
              <w:t>2.2.</w:t>
            </w:r>
            <w:r w:rsidR="00AC2E24" w:rsidRPr="00675182">
              <w:rPr>
                <w:rFonts w:cstheme="minorHAnsi"/>
                <w:b/>
                <w:i/>
              </w:rPr>
              <w:t>3</w:t>
            </w:r>
            <w:r w:rsidR="001F4D4F" w:rsidRPr="00675182">
              <w:rPr>
                <w:rFonts w:cstheme="minorHAnsi"/>
                <w:b/>
                <w:i/>
              </w:rPr>
              <w:t>.</w:t>
            </w:r>
            <w:r w:rsidRPr="00675182">
              <w:rPr>
                <w:rFonts w:cstheme="minorHAnsi"/>
                <w:b/>
                <w:i/>
              </w:rPr>
              <w:t xml:space="preserve"> attēls. GNP 1974. gada ģenerālshēmas ainavu aizsardzības un veidošanas pamatvirzienu kartoshēma</w:t>
            </w:r>
          </w:p>
        </w:tc>
      </w:tr>
    </w:tbl>
    <w:p w14:paraId="0CB3DD1E" w14:textId="77777777" w:rsidR="00BD4C35" w:rsidRPr="00675182" w:rsidRDefault="00BD4C35" w:rsidP="0057110E">
      <w:pPr>
        <w:jc w:val="both"/>
        <w:rPr>
          <w:rFonts w:cstheme="minorHAnsi"/>
        </w:rPr>
      </w:pPr>
    </w:p>
    <w:p w14:paraId="381D4911" w14:textId="77777777" w:rsidR="006C21C5" w:rsidRPr="00675182" w:rsidRDefault="006C21C5" w:rsidP="006C21C5">
      <w:pPr>
        <w:jc w:val="both"/>
        <w:rPr>
          <w:rFonts w:cstheme="minorHAnsi"/>
          <w:color w:val="000000" w:themeColor="text1"/>
        </w:rPr>
      </w:pPr>
      <w:r w:rsidRPr="00675182">
        <w:rPr>
          <w:rFonts w:cstheme="minorHAnsi"/>
          <w:color w:val="000000" w:themeColor="text1"/>
        </w:rPr>
        <w:t xml:space="preserve">Kopš GNP izveides gandrīz 50 gadu garumā teritorijas ainavas pētītas ar atšķirīgiem mērķiem un dažādos mērogos gan visai teritorijai kopumā, gan atsevišķām vietām novadu teritorijas plānojumu ietvaros, gan lokālo ainavu attīstības projektos. Piemēram, 20. gs. otrajā pusē A. Melluma veica Āraišu muzejparka detalizētu ainavu analīzi un izstrādāja ainavu veidošanas plānu (Melluma, Leinerte, 1992) šīs teritorijas meliorācijas projekta ietvaros. Muzejparka teritorijā lokālā mērogā (1:2000) veikta ainavu tipu noteikšana, ainavas elementu kartēšana, to vizuālās vērtības novērtēšana, kā arī sagatavoti priekšlikumi ainavu veidošanai (skat. 2.2.4. attēlu).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D57591" w:rsidRPr="00675182" w14:paraId="52470837" w14:textId="77777777" w:rsidTr="00BD4C35">
        <w:tc>
          <w:tcPr>
            <w:tcW w:w="8527" w:type="dxa"/>
          </w:tcPr>
          <w:p w14:paraId="5C555FBF" w14:textId="35F1D470" w:rsidR="00D57591" w:rsidRPr="00675182" w:rsidRDefault="00BD4C35" w:rsidP="008A0F48">
            <w:pPr>
              <w:rPr>
                <w:rFonts w:cstheme="minorHAnsi"/>
              </w:rPr>
            </w:pPr>
            <w:r w:rsidRPr="00675182">
              <w:rPr>
                <w:rFonts w:cstheme="minorHAnsi"/>
                <w:noProof/>
                <w:lang w:eastAsia="lv-LV"/>
              </w:rPr>
              <w:drawing>
                <wp:inline distT="0" distB="0" distL="0" distR="0" wp14:anchorId="196F9A9E" wp14:editId="293BB57C">
                  <wp:extent cx="3338657" cy="2789109"/>
                  <wp:effectExtent l="7938" t="0" r="3492" b="3493"/>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aisu_ezers_Melluma.jpg"/>
                          <pic:cNvPicPr/>
                        </pic:nvPicPr>
                        <pic:blipFill>
                          <a:blip r:embed="rId120" cstate="print">
                            <a:extLst>
                              <a:ext uri="{28A0092B-C50C-407E-A947-70E740481C1C}">
                                <a14:useLocalDpi xmlns:a14="http://schemas.microsoft.com/office/drawing/2010/main" val="0"/>
                              </a:ext>
                            </a:extLst>
                          </a:blip>
                          <a:stretch>
                            <a:fillRect/>
                          </a:stretch>
                        </pic:blipFill>
                        <pic:spPr>
                          <a:xfrm rot="16200000">
                            <a:off x="0" y="0"/>
                            <a:ext cx="3352677" cy="2800821"/>
                          </a:xfrm>
                          <a:prstGeom prst="rect">
                            <a:avLst/>
                          </a:prstGeom>
                        </pic:spPr>
                      </pic:pic>
                    </a:graphicData>
                  </a:graphic>
                </wp:inline>
              </w:drawing>
            </w:r>
          </w:p>
        </w:tc>
      </w:tr>
      <w:tr w:rsidR="00D57591" w:rsidRPr="00675182" w14:paraId="150F96EC" w14:textId="77777777" w:rsidTr="00BD4C35">
        <w:tc>
          <w:tcPr>
            <w:tcW w:w="8527" w:type="dxa"/>
          </w:tcPr>
          <w:p w14:paraId="0A12FA0E" w14:textId="2D62D14D" w:rsidR="00D57591" w:rsidRPr="00675182" w:rsidRDefault="00D57591" w:rsidP="008A0F48">
            <w:pPr>
              <w:rPr>
                <w:rFonts w:cstheme="minorHAnsi"/>
                <w:b/>
                <w:i/>
              </w:rPr>
            </w:pPr>
            <w:r w:rsidRPr="00675182">
              <w:rPr>
                <w:rFonts w:cstheme="minorHAnsi"/>
                <w:b/>
                <w:i/>
              </w:rPr>
              <w:t>2.</w:t>
            </w:r>
            <w:r w:rsidR="001F4D4F" w:rsidRPr="00675182">
              <w:rPr>
                <w:rFonts w:cstheme="minorHAnsi"/>
                <w:b/>
                <w:i/>
              </w:rPr>
              <w:t>2.</w:t>
            </w:r>
            <w:r w:rsidR="006C21C5" w:rsidRPr="00675182">
              <w:rPr>
                <w:rFonts w:cstheme="minorHAnsi"/>
                <w:b/>
                <w:i/>
              </w:rPr>
              <w:t>4</w:t>
            </w:r>
            <w:r w:rsidRPr="00675182">
              <w:rPr>
                <w:rFonts w:cstheme="minorHAnsi"/>
                <w:b/>
                <w:i/>
              </w:rPr>
              <w:t>. attēls. Āraišu ezera apkārtnes ainavu analīze 1977. gadā</w:t>
            </w:r>
          </w:p>
        </w:tc>
      </w:tr>
    </w:tbl>
    <w:p w14:paraId="4D3F5D0E" w14:textId="77777777" w:rsidR="006C21C5" w:rsidRPr="00675182" w:rsidRDefault="006C21C5" w:rsidP="006C21C5">
      <w:pPr>
        <w:suppressAutoHyphens w:val="0"/>
        <w:autoSpaceDE w:val="0"/>
        <w:autoSpaceDN w:val="0"/>
        <w:adjustRightInd w:val="0"/>
        <w:contextualSpacing/>
        <w:rPr>
          <w:rFonts w:cstheme="minorHAnsi"/>
          <w:color w:val="000000" w:themeColor="text1"/>
          <w:szCs w:val="24"/>
        </w:rPr>
      </w:pPr>
      <w:r w:rsidRPr="00675182">
        <w:rPr>
          <w:rFonts w:cstheme="minorHAnsi"/>
          <w:color w:val="000000" w:themeColor="text1"/>
          <w:szCs w:val="24"/>
        </w:rPr>
        <w:lastRenderedPageBreak/>
        <w:t>Šeit būtu atzīmējams, ka līdzšinējā teritorijas 50 gadu pastāvēšanā, aptuveni puse no šī perioda ir pārvaldīta būtiski atšķirīgos valsts uzbūves un sociālekonomiskajos laikos ar atšķirīgām dabas un ainavu aizsardzības koncepcijām un normatīvajiem aktiem. Tādējādi vairākiem no dabas un ainavu aizsardzības viedokļa aktuāliem risinājumiem laika gaitā nav sekojusi pēctecība.</w:t>
      </w:r>
    </w:p>
    <w:p w14:paraId="12E1CD3D" w14:textId="77777777" w:rsidR="006C21C5" w:rsidRPr="00675182" w:rsidRDefault="006C21C5" w:rsidP="006C21C5">
      <w:pPr>
        <w:jc w:val="both"/>
        <w:rPr>
          <w:rFonts w:cstheme="minorHAnsi"/>
          <w:color w:val="000000" w:themeColor="text1"/>
        </w:rPr>
      </w:pPr>
    </w:p>
    <w:p w14:paraId="7B8B525B" w14:textId="77777777" w:rsidR="006C21C5" w:rsidRPr="00675182" w:rsidRDefault="006C21C5" w:rsidP="006C21C5">
      <w:pPr>
        <w:jc w:val="both"/>
        <w:rPr>
          <w:rFonts w:cstheme="minorHAnsi"/>
          <w:color w:val="000000" w:themeColor="text1"/>
        </w:rPr>
      </w:pPr>
      <w:r w:rsidRPr="00675182">
        <w:rPr>
          <w:rFonts w:cstheme="minorHAnsi"/>
          <w:color w:val="000000" w:themeColor="text1"/>
        </w:rPr>
        <w:t xml:space="preserve">No 1998. līdz 2004. gadam tika izstrādāts patlaban spēkā esošais GNP DA plāns, kurā iekļauts plašāks kultūrvēsturiskā mantojuma apraksts, taču ainavas aprakstītas vispārīgi, pieminot GNP galvenos ainavu tipus - Gaujas senielejas un pieteku ieleju ainava, meža ainava, purvu ainava, ainava ap ezeriem, tradicionālā lauku kultūrainava, kultūrvēsturisko apbūves centru ainava, urbanizēta ainava. </w:t>
      </w:r>
    </w:p>
    <w:p w14:paraId="2AE36BEA" w14:textId="77777777" w:rsidR="006C21C5" w:rsidRPr="00675182" w:rsidRDefault="006C21C5" w:rsidP="006C21C5">
      <w:pPr>
        <w:jc w:val="both"/>
        <w:rPr>
          <w:rFonts w:cstheme="minorHAnsi"/>
          <w:color w:val="000000" w:themeColor="text1"/>
        </w:rPr>
      </w:pPr>
    </w:p>
    <w:p w14:paraId="71AFB769" w14:textId="77777777" w:rsidR="006C21C5" w:rsidRPr="00675182" w:rsidRDefault="006C21C5" w:rsidP="006C21C5">
      <w:pPr>
        <w:jc w:val="both"/>
        <w:rPr>
          <w:rFonts w:cstheme="minorHAnsi"/>
          <w:color w:val="000000" w:themeColor="text1"/>
        </w:rPr>
      </w:pPr>
      <w:r w:rsidRPr="00675182">
        <w:rPr>
          <w:rFonts w:cstheme="minorHAnsi"/>
          <w:color w:val="000000" w:themeColor="text1"/>
        </w:rPr>
        <w:t xml:space="preserve">DA plāna atsevišķā pielikumā iekļautas rekomendācijas ainavu aizsardzībai. Tāpat kā ainavu apraksts, arī rekomendācijas attiecināmas uz visu GNP teritoriju kopumā, neveidojot precīzāku ģeogrāfisko piesaisti. Līdz ar to 2004. gadā apstiprinātais GNP DA plāns kā materiāls ainavu pārvaldībā izmantojams tikai daļēji un GNP teritorijā nav izveidojusies vienota pieeja. </w:t>
      </w:r>
    </w:p>
    <w:p w14:paraId="7D1C3B51" w14:textId="77777777" w:rsidR="006C21C5" w:rsidRPr="00675182" w:rsidRDefault="006C21C5" w:rsidP="006C21C5">
      <w:pPr>
        <w:jc w:val="both"/>
        <w:rPr>
          <w:rFonts w:cstheme="minorHAnsi"/>
          <w:color w:val="000000" w:themeColor="text1"/>
        </w:rPr>
      </w:pPr>
    </w:p>
    <w:p w14:paraId="3F1C7C26" w14:textId="77777777" w:rsidR="006C21C5" w:rsidRPr="00675182" w:rsidRDefault="006C21C5" w:rsidP="006C21C5">
      <w:pPr>
        <w:jc w:val="both"/>
        <w:rPr>
          <w:rFonts w:cstheme="minorHAnsi"/>
          <w:color w:val="000000" w:themeColor="text1"/>
        </w:rPr>
      </w:pPr>
      <w:r w:rsidRPr="00675182">
        <w:rPr>
          <w:rFonts w:cstheme="minorHAnsi"/>
          <w:color w:val="000000" w:themeColor="text1"/>
        </w:rPr>
        <w:t>Pēc 2000. gada vairāki pētījumi par GNP ainavām veikti prof. O. Nikodemusa vadībā. Kā nozīmīgākā minama 2005. gadā veiktā izpēte “Gaujas Nacionālā parka ainavu estētiskais novērtējums”. Šīs izpētes ietvaros veikta ainavu izlases inventarizācija, aprakstot un vērtējot estētiski nozīmīgās ainavas un to elementus, sagatavoti 13 ainavu telpu un 62 skatu perspektīvu apraksti. Ainavu vizuālā vērtība noteikta pēc ainavas kvalitātes, ainavas pieejamības un saskatamības. Šajā pētījumā secināts, ka līdzšinējais GNP DA plāns nevar nodrošināt ainavu daudzveidības aizsardzību GNP teritorijā, jo, izstrādājot plānu, nav pilnībā parādītas galvenās problēmas, kas saistītas ar ainavu aizsardzību, un iespējamie risinājumi. Kā nozīmīgākās problēmas ainavu daudzveidības un vizuālās vērtības saglabāšanai konstatētas:</w:t>
      </w:r>
    </w:p>
    <w:p w14:paraId="42D3A308" w14:textId="7DD4D185" w:rsidR="006C21C5" w:rsidRPr="00675182" w:rsidRDefault="00840FB2" w:rsidP="00A84218">
      <w:pPr>
        <w:pStyle w:val="ListParagraph"/>
        <w:numPr>
          <w:ilvl w:val="0"/>
          <w:numId w:val="21"/>
        </w:numPr>
        <w:suppressAutoHyphens w:val="0"/>
        <w:contextualSpacing/>
        <w:jc w:val="both"/>
        <w:rPr>
          <w:rFonts w:cstheme="minorHAnsi"/>
          <w:color w:val="000000" w:themeColor="text1"/>
          <w:szCs w:val="24"/>
        </w:rPr>
      </w:pPr>
      <w:r>
        <w:rPr>
          <w:rFonts w:cstheme="minorHAnsi"/>
          <w:color w:val="000000" w:themeColor="text1"/>
          <w:szCs w:val="24"/>
        </w:rPr>
        <w:t>l</w:t>
      </w:r>
      <w:r w:rsidRPr="00675182">
        <w:rPr>
          <w:rFonts w:cstheme="minorHAnsi"/>
          <w:color w:val="000000" w:themeColor="text1"/>
          <w:szCs w:val="24"/>
        </w:rPr>
        <w:t xml:space="preserve">auksaimniecībā </w:t>
      </w:r>
      <w:r w:rsidR="006C21C5" w:rsidRPr="00675182">
        <w:rPr>
          <w:rFonts w:cstheme="minorHAnsi"/>
          <w:color w:val="000000" w:themeColor="text1"/>
          <w:szCs w:val="24"/>
        </w:rPr>
        <w:t>izmantojamo zemju dabiska transformācija krūmājos un meža zemēs. Sevišķi nevēlams minētais process ir Gaujas un citu upju palienēs un virspalu terasēs un vietās, kur koki nākotnē aizsegs skatu perspektīvas;</w:t>
      </w:r>
    </w:p>
    <w:p w14:paraId="4C2252F5" w14:textId="6876D84B" w:rsidR="006C21C5" w:rsidRPr="00675182" w:rsidRDefault="00840FB2" w:rsidP="00A84218">
      <w:pPr>
        <w:pStyle w:val="ListParagraph"/>
        <w:numPr>
          <w:ilvl w:val="0"/>
          <w:numId w:val="21"/>
        </w:numPr>
        <w:suppressAutoHyphens w:val="0"/>
        <w:contextualSpacing/>
        <w:jc w:val="both"/>
        <w:rPr>
          <w:rFonts w:cstheme="minorHAnsi"/>
          <w:color w:val="000000" w:themeColor="text1"/>
          <w:szCs w:val="24"/>
        </w:rPr>
      </w:pPr>
      <w:r>
        <w:rPr>
          <w:rFonts w:cstheme="minorHAnsi"/>
          <w:color w:val="000000" w:themeColor="text1"/>
          <w:szCs w:val="24"/>
        </w:rPr>
        <w:t>l</w:t>
      </w:r>
      <w:r w:rsidRPr="00675182">
        <w:rPr>
          <w:rFonts w:cstheme="minorHAnsi"/>
          <w:color w:val="000000" w:themeColor="text1"/>
          <w:szCs w:val="24"/>
        </w:rPr>
        <w:t xml:space="preserve">auksaimniecībā </w:t>
      </w:r>
      <w:r w:rsidR="006C21C5" w:rsidRPr="00675182">
        <w:rPr>
          <w:rFonts w:cstheme="minorHAnsi"/>
          <w:color w:val="000000" w:themeColor="text1"/>
          <w:szCs w:val="24"/>
        </w:rPr>
        <w:t>izmantojamo zemju apmežošana, stādot bērzu un citas kultūras, neņemot vērā ainavu dizaina principus;</w:t>
      </w:r>
    </w:p>
    <w:p w14:paraId="5BD54DCE" w14:textId="3254B48D" w:rsidR="006C21C5" w:rsidRPr="00675182" w:rsidRDefault="00840FB2" w:rsidP="00A84218">
      <w:pPr>
        <w:pStyle w:val="ListParagraph"/>
        <w:numPr>
          <w:ilvl w:val="0"/>
          <w:numId w:val="21"/>
        </w:numPr>
        <w:suppressAutoHyphens w:val="0"/>
        <w:contextualSpacing/>
        <w:jc w:val="both"/>
        <w:rPr>
          <w:rFonts w:cstheme="minorHAnsi"/>
          <w:color w:val="000000" w:themeColor="text1"/>
          <w:szCs w:val="24"/>
        </w:rPr>
      </w:pPr>
      <w:r>
        <w:rPr>
          <w:rFonts w:cstheme="minorHAnsi"/>
          <w:color w:val="000000" w:themeColor="text1"/>
          <w:szCs w:val="24"/>
        </w:rPr>
        <w:t>e</w:t>
      </w:r>
      <w:r w:rsidRPr="00675182">
        <w:rPr>
          <w:rFonts w:cstheme="minorHAnsi"/>
          <w:color w:val="000000" w:themeColor="text1"/>
          <w:szCs w:val="24"/>
        </w:rPr>
        <w:t xml:space="preserve">sošo </w:t>
      </w:r>
      <w:r w:rsidR="006C21C5" w:rsidRPr="00675182">
        <w:rPr>
          <w:rFonts w:cstheme="minorHAnsi"/>
          <w:color w:val="000000" w:themeColor="text1"/>
          <w:szCs w:val="24"/>
        </w:rPr>
        <w:t>skatu perspektīvu pakāpeniska samazināšanās;</w:t>
      </w:r>
    </w:p>
    <w:p w14:paraId="2116B8A5" w14:textId="769F5000" w:rsidR="006C21C5" w:rsidRPr="00675182" w:rsidRDefault="00840FB2" w:rsidP="00A84218">
      <w:pPr>
        <w:pStyle w:val="ListParagraph"/>
        <w:numPr>
          <w:ilvl w:val="0"/>
          <w:numId w:val="21"/>
        </w:numPr>
        <w:suppressAutoHyphens w:val="0"/>
        <w:contextualSpacing/>
        <w:jc w:val="both"/>
        <w:rPr>
          <w:rFonts w:cstheme="minorHAnsi"/>
          <w:color w:val="000000" w:themeColor="text1"/>
          <w:szCs w:val="24"/>
        </w:rPr>
      </w:pPr>
      <w:r>
        <w:rPr>
          <w:rFonts w:cstheme="minorHAnsi"/>
          <w:color w:val="000000" w:themeColor="text1"/>
          <w:szCs w:val="24"/>
        </w:rPr>
        <w:t>d</w:t>
      </w:r>
      <w:r w:rsidRPr="00675182">
        <w:rPr>
          <w:rFonts w:cstheme="minorHAnsi"/>
          <w:color w:val="000000" w:themeColor="text1"/>
          <w:szCs w:val="24"/>
        </w:rPr>
        <w:t xml:space="preserve">ažādu </w:t>
      </w:r>
      <w:r w:rsidR="006C21C5" w:rsidRPr="00675182">
        <w:rPr>
          <w:rFonts w:cstheme="minorHAnsi"/>
          <w:color w:val="000000" w:themeColor="text1"/>
          <w:szCs w:val="24"/>
        </w:rPr>
        <w:t>ražošanas būvju vai arī gatavās produkcijas krautuvju izvietošana redzamības zonā gar ceļiem, tanī skaitā tūristu pārvietošanās ceļiem;</w:t>
      </w:r>
    </w:p>
    <w:p w14:paraId="7FB65F7D" w14:textId="58CCF47A" w:rsidR="006C21C5" w:rsidRPr="00675182" w:rsidRDefault="00840FB2" w:rsidP="00A84218">
      <w:pPr>
        <w:pStyle w:val="ListParagraph"/>
        <w:numPr>
          <w:ilvl w:val="0"/>
          <w:numId w:val="21"/>
        </w:numPr>
        <w:suppressAutoHyphens w:val="0"/>
        <w:contextualSpacing/>
        <w:jc w:val="both"/>
        <w:rPr>
          <w:rFonts w:cstheme="minorHAnsi"/>
          <w:color w:val="000000" w:themeColor="text1"/>
          <w:szCs w:val="24"/>
        </w:rPr>
      </w:pPr>
      <w:r>
        <w:rPr>
          <w:rFonts w:cstheme="minorHAnsi"/>
          <w:color w:val="000000" w:themeColor="text1"/>
          <w:szCs w:val="24"/>
        </w:rPr>
        <w:t>a</w:t>
      </w:r>
      <w:r w:rsidRPr="00675182">
        <w:rPr>
          <w:rFonts w:cstheme="minorHAnsi"/>
          <w:color w:val="000000" w:themeColor="text1"/>
          <w:szCs w:val="24"/>
        </w:rPr>
        <w:t xml:space="preserve">tsevišķu </w:t>
      </w:r>
      <w:r w:rsidR="006C21C5" w:rsidRPr="00675182">
        <w:rPr>
          <w:rFonts w:cstheme="minorHAnsi"/>
          <w:color w:val="000000" w:themeColor="text1"/>
          <w:szCs w:val="24"/>
        </w:rPr>
        <w:t>viensētu un publisko telpu pamestība un nesakoptība;</w:t>
      </w:r>
    </w:p>
    <w:p w14:paraId="127A3E8A" w14:textId="49CBDC7D" w:rsidR="006C21C5" w:rsidRPr="00675182" w:rsidRDefault="00840FB2" w:rsidP="00A84218">
      <w:pPr>
        <w:pStyle w:val="ListParagraph"/>
        <w:numPr>
          <w:ilvl w:val="0"/>
          <w:numId w:val="21"/>
        </w:numPr>
        <w:suppressAutoHyphens w:val="0"/>
        <w:contextualSpacing/>
        <w:jc w:val="both"/>
        <w:rPr>
          <w:rFonts w:cstheme="minorHAnsi"/>
          <w:color w:val="000000" w:themeColor="text1"/>
          <w:szCs w:val="24"/>
        </w:rPr>
      </w:pPr>
      <w:r>
        <w:rPr>
          <w:rFonts w:cstheme="minorHAnsi"/>
          <w:color w:val="000000" w:themeColor="text1"/>
          <w:szCs w:val="24"/>
        </w:rPr>
        <w:t>m</w:t>
      </w:r>
      <w:r w:rsidRPr="00675182">
        <w:rPr>
          <w:rFonts w:cstheme="minorHAnsi"/>
          <w:color w:val="000000" w:themeColor="text1"/>
          <w:szCs w:val="24"/>
        </w:rPr>
        <w:t xml:space="preserve">ežu </w:t>
      </w:r>
      <w:r w:rsidR="006C21C5" w:rsidRPr="00675182">
        <w:rPr>
          <w:rFonts w:cstheme="minorHAnsi"/>
          <w:color w:val="000000" w:themeColor="text1"/>
          <w:szCs w:val="24"/>
        </w:rPr>
        <w:t>dizaina principu neievērošana atpūtnieku apmeklētos meža masīvos.</w:t>
      </w:r>
    </w:p>
    <w:p w14:paraId="76BDFEFC" w14:textId="77777777" w:rsidR="006C21C5" w:rsidRPr="00675182" w:rsidRDefault="006C21C5" w:rsidP="006C21C5">
      <w:pPr>
        <w:jc w:val="both"/>
        <w:rPr>
          <w:rFonts w:cstheme="minorHAnsi"/>
          <w:color w:val="000000" w:themeColor="text1"/>
        </w:rPr>
      </w:pPr>
    </w:p>
    <w:p w14:paraId="71EBF4FE" w14:textId="77777777" w:rsidR="006C21C5" w:rsidRPr="00675182" w:rsidRDefault="006C21C5" w:rsidP="006C21C5">
      <w:pPr>
        <w:jc w:val="both"/>
        <w:rPr>
          <w:rFonts w:cstheme="minorHAnsi"/>
          <w:color w:val="000000" w:themeColor="text1"/>
        </w:rPr>
      </w:pPr>
      <w:r w:rsidRPr="00675182">
        <w:rPr>
          <w:rFonts w:cstheme="minorHAnsi"/>
          <w:color w:val="000000" w:themeColor="text1"/>
        </w:rPr>
        <w:t>Savukārt kā svarīgākās rīcības ainavu daudzveidības un vizuālās vērtības saglabāšanai GNP pētījumā (Nikodemus, 2005) minētas:</w:t>
      </w:r>
    </w:p>
    <w:p w14:paraId="0422A066" w14:textId="2CD67E07" w:rsidR="006C21C5" w:rsidRPr="00675182" w:rsidRDefault="006C21C5" w:rsidP="00A84218">
      <w:pPr>
        <w:pStyle w:val="ListParagraph"/>
        <w:numPr>
          <w:ilvl w:val="0"/>
          <w:numId w:val="22"/>
        </w:numPr>
        <w:suppressAutoHyphens w:val="0"/>
        <w:contextualSpacing/>
        <w:jc w:val="both"/>
        <w:rPr>
          <w:rFonts w:cstheme="minorHAnsi"/>
          <w:color w:val="000000" w:themeColor="text1"/>
          <w:szCs w:val="24"/>
        </w:rPr>
      </w:pPr>
      <w:r w:rsidRPr="00675182">
        <w:rPr>
          <w:rFonts w:cstheme="minorHAnsi"/>
          <w:color w:val="000000" w:themeColor="text1"/>
          <w:szCs w:val="24"/>
        </w:rPr>
        <w:t xml:space="preserve">GNP </w:t>
      </w:r>
      <w:r w:rsidR="00F81ADA">
        <w:rPr>
          <w:rFonts w:cstheme="minorHAnsi"/>
          <w:color w:val="000000" w:themeColor="text1"/>
          <w:szCs w:val="24"/>
        </w:rPr>
        <w:t>DA</w:t>
      </w:r>
      <w:r w:rsidRPr="00675182">
        <w:rPr>
          <w:rFonts w:cstheme="minorHAnsi"/>
          <w:color w:val="000000" w:themeColor="text1"/>
          <w:szCs w:val="24"/>
        </w:rPr>
        <w:t xml:space="preserve"> plānā nepieciešams parādīt vizuāli augstvērtīgās ainavas un ainavas elementus, lai to var iekļaut vietējo pašvaldību teritorijas plānojumos;</w:t>
      </w:r>
    </w:p>
    <w:p w14:paraId="3F7020BA" w14:textId="3BADAB7C" w:rsidR="006C21C5" w:rsidRPr="00675182" w:rsidRDefault="00F81ADA" w:rsidP="00A84218">
      <w:pPr>
        <w:pStyle w:val="ListParagraph"/>
        <w:numPr>
          <w:ilvl w:val="0"/>
          <w:numId w:val="22"/>
        </w:numPr>
        <w:suppressAutoHyphens w:val="0"/>
        <w:contextualSpacing/>
        <w:jc w:val="both"/>
        <w:rPr>
          <w:rFonts w:cstheme="minorHAnsi"/>
          <w:color w:val="000000" w:themeColor="text1"/>
          <w:szCs w:val="24"/>
        </w:rPr>
      </w:pPr>
      <w:r>
        <w:rPr>
          <w:rFonts w:cstheme="minorHAnsi"/>
          <w:color w:val="000000" w:themeColor="text1"/>
          <w:szCs w:val="24"/>
        </w:rPr>
        <w:t>m</w:t>
      </w:r>
      <w:r w:rsidRPr="00675182">
        <w:rPr>
          <w:rFonts w:cstheme="minorHAnsi"/>
          <w:color w:val="000000" w:themeColor="text1"/>
          <w:szCs w:val="24"/>
        </w:rPr>
        <w:t xml:space="preserve">eklēt </w:t>
      </w:r>
      <w:r w:rsidR="006C21C5" w:rsidRPr="00675182">
        <w:rPr>
          <w:rFonts w:cstheme="minorHAnsi"/>
          <w:color w:val="000000" w:themeColor="text1"/>
          <w:szCs w:val="24"/>
        </w:rPr>
        <w:t>papildu finanšu līdzekļus, lai sekmētu Gaujas un citu upju palieņu un virspalu terašu pļavu apsaimniekošanu;</w:t>
      </w:r>
    </w:p>
    <w:p w14:paraId="4BA457D6" w14:textId="10987ED4" w:rsidR="006C21C5" w:rsidRPr="00675182" w:rsidRDefault="00F81ADA" w:rsidP="00A84218">
      <w:pPr>
        <w:pStyle w:val="ListParagraph"/>
        <w:numPr>
          <w:ilvl w:val="0"/>
          <w:numId w:val="22"/>
        </w:numPr>
        <w:suppressAutoHyphens w:val="0"/>
        <w:contextualSpacing/>
        <w:jc w:val="both"/>
        <w:rPr>
          <w:rFonts w:cstheme="minorHAnsi"/>
          <w:color w:val="000000" w:themeColor="text1"/>
          <w:szCs w:val="24"/>
        </w:rPr>
      </w:pPr>
      <w:r>
        <w:rPr>
          <w:rFonts w:cstheme="minorHAnsi"/>
          <w:color w:val="000000" w:themeColor="text1"/>
          <w:szCs w:val="24"/>
        </w:rPr>
        <w:lastRenderedPageBreak/>
        <w:t>v</w:t>
      </w:r>
      <w:r w:rsidRPr="00675182">
        <w:rPr>
          <w:rFonts w:cstheme="minorHAnsi"/>
          <w:color w:val="000000" w:themeColor="text1"/>
          <w:szCs w:val="24"/>
        </w:rPr>
        <w:t xml:space="preserve">eidot </w:t>
      </w:r>
      <w:r w:rsidR="006C21C5" w:rsidRPr="00675182">
        <w:rPr>
          <w:rFonts w:cstheme="minorHAnsi"/>
          <w:color w:val="000000" w:themeColor="text1"/>
          <w:szCs w:val="24"/>
        </w:rPr>
        <w:t>atbilstoši aktuālajai informācijai jaunas tūristu takas un skatu perspektīvu atvērumus;</w:t>
      </w:r>
    </w:p>
    <w:p w14:paraId="7ACA8587" w14:textId="34706715" w:rsidR="006C21C5" w:rsidRPr="00675182" w:rsidRDefault="00F81ADA" w:rsidP="00A84218">
      <w:pPr>
        <w:pStyle w:val="ListParagraph"/>
        <w:numPr>
          <w:ilvl w:val="0"/>
          <w:numId w:val="22"/>
        </w:numPr>
        <w:suppressAutoHyphens w:val="0"/>
        <w:contextualSpacing/>
        <w:jc w:val="both"/>
        <w:rPr>
          <w:rFonts w:cstheme="minorHAnsi"/>
          <w:color w:val="000000" w:themeColor="text1"/>
          <w:szCs w:val="24"/>
        </w:rPr>
      </w:pPr>
      <w:r>
        <w:rPr>
          <w:rFonts w:cstheme="minorHAnsi"/>
          <w:color w:val="000000" w:themeColor="text1"/>
          <w:szCs w:val="24"/>
        </w:rPr>
        <w:t>p</w:t>
      </w:r>
      <w:r w:rsidRPr="00675182">
        <w:rPr>
          <w:rFonts w:cstheme="minorHAnsi"/>
          <w:color w:val="000000" w:themeColor="text1"/>
          <w:szCs w:val="24"/>
        </w:rPr>
        <w:t xml:space="preserve">agastu </w:t>
      </w:r>
      <w:r>
        <w:rPr>
          <w:rFonts w:cstheme="minorHAnsi"/>
          <w:color w:val="000000" w:themeColor="text1"/>
          <w:szCs w:val="24"/>
        </w:rPr>
        <w:t>TIAN</w:t>
      </w:r>
      <w:r w:rsidR="006C21C5" w:rsidRPr="00675182">
        <w:rPr>
          <w:rFonts w:cstheme="minorHAnsi"/>
          <w:color w:val="000000" w:themeColor="text1"/>
          <w:szCs w:val="24"/>
        </w:rPr>
        <w:t xml:space="preserve"> iestrādāt prasības par tehnikas novietņu, kūtsmēslu glabātuvju un citu vizuāli nepievilcīgu objektu izvietošanu attiecībā pret ceļiem, pa kuriem pārvietojas iedzīvotāji vai tūristi;</w:t>
      </w:r>
    </w:p>
    <w:p w14:paraId="4671959C" w14:textId="572F6047" w:rsidR="006C21C5" w:rsidRPr="00675182" w:rsidRDefault="00F81ADA" w:rsidP="00A84218">
      <w:pPr>
        <w:pStyle w:val="ListParagraph"/>
        <w:numPr>
          <w:ilvl w:val="0"/>
          <w:numId w:val="22"/>
        </w:numPr>
        <w:suppressAutoHyphens w:val="0"/>
        <w:contextualSpacing/>
        <w:jc w:val="both"/>
        <w:rPr>
          <w:rFonts w:cstheme="minorHAnsi"/>
          <w:color w:val="000000" w:themeColor="text1"/>
          <w:szCs w:val="24"/>
        </w:rPr>
      </w:pPr>
      <w:r>
        <w:rPr>
          <w:rFonts w:cstheme="minorHAnsi"/>
          <w:color w:val="000000" w:themeColor="text1"/>
          <w:szCs w:val="24"/>
        </w:rPr>
        <w:t>p</w:t>
      </w:r>
      <w:r w:rsidRPr="00675182">
        <w:rPr>
          <w:rFonts w:cstheme="minorHAnsi"/>
          <w:color w:val="000000" w:themeColor="text1"/>
          <w:szCs w:val="24"/>
        </w:rPr>
        <w:t xml:space="preserve">apildus </w:t>
      </w:r>
      <w:r w:rsidR="006C21C5" w:rsidRPr="00675182">
        <w:rPr>
          <w:rFonts w:cstheme="minorHAnsi"/>
          <w:color w:val="000000" w:themeColor="text1"/>
          <w:szCs w:val="24"/>
        </w:rPr>
        <w:t>drošību prasību izvirzīšana augsti paceltām iecienītām skatu vietām;</w:t>
      </w:r>
    </w:p>
    <w:p w14:paraId="0E856E65" w14:textId="7DC97BF5" w:rsidR="006C21C5" w:rsidRPr="00675182" w:rsidRDefault="00F81ADA" w:rsidP="00A84218">
      <w:pPr>
        <w:pStyle w:val="ListParagraph"/>
        <w:numPr>
          <w:ilvl w:val="0"/>
          <w:numId w:val="22"/>
        </w:numPr>
        <w:suppressAutoHyphens w:val="0"/>
        <w:contextualSpacing/>
        <w:jc w:val="both"/>
        <w:rPr>
          <w:rFonts w:cstheme="minorHAnsi"/>
          <w:color w:val="000000" w:themeColor="text1"/>
          <w:szCs w:val="24"/>
        </w:rPr>
      </w:pPr>
      <w:r>
        <w:rPr>
          <w:rFonts w:cstheme="minorHAnsi"/>
          <w:color w:val="000000" w:themeColor="text1"/>
          <w:szCs w:val="24"/>
        </w:rPr>
        <w:t>a</w:t>
      </w:r>
      <w:r w:rsidRPr="00675182">
        <w:rPr>
          <w:rFonts w:cstheme="minorHAnsi"/>
          <w:color w:val="000000" w:themeColor="text1"/>
          <w:szCs w:val="24"/>
        </w:rPr>
        <w:t xml:space="preserve">inavu </w:t>
      </w:r>
      <w:r w:rsidR="006C21C5" w:rsidRPr="00675182">
        <w:rPr>
          <w:rFonts w:cstheme="minorHAnsi"/>
          <w:color w:val="000000" w:themeColor="text1"/>
          <w:szCs w:val="24"/>
        </w:rPr>
        <w:t xml:space="preserve">aizsardzības zonējumu GNP </w:t>
      </w:r>
      <w:r w:rsidR="00B06FFF">
        <w:rPr>
          <w:rFonts w:cstheme="minorHAnsi"/>
          <w:color w:val="000000" w:themeColor="text1"/>
          <w:szCs w:val="24"/>
        </w:rPr>
        <w:t>DA</w:t>
      </w:r>
      <w:r w:rsidR="006C21C5" w:rsidRPr="00675182">
        <w:rPr>
          <w:rFonts w:cstheme="minorHAnsi"/>
          <w:color w:val="000000" w:themeColor="text1"/>
          <w:szCs w:val="24"/>
        </w:rPr>
        <w:t xml:space="preserve"> plānā attiecināt tikai uz teritorijām, kur ainavām piemīt ekoloģiska, vizuāla jeb/vai kultūrvēsturiska vērtība.</w:t>
      </w:r>
    </w:p>
    <w:p w14:paraId="2FE8E1AC" w14:textId="77777777" w:rsidR="006C21C5" w:rsidRPr="00675182" w:rsidRDefault="006C21C5" w:rsidP="006C21C5">
      <w:pPr>
        <w:jc w:val="both"/>
        <w:rPr>
          <w:rFonts w:cstheme="minorHAnsi"/>
          <w:color w:val="000000" w:themeColor="text1"/>
        </w:rPr>
      </w:pPr>
    </w:p>
    <w:p w14:paraId="14265A2E" w14:textId="45AE1AD3" w:rsidR="006C21C5" w:rsidRPr="00675182" w:rsidRDefault="006C21C5" w:rsidP="006C21C5">
      <w:pPr>
        <w:jc w:val="both"/>
        <w:rPr>
          <w:rFonts w:cstheme="minorHAnsi"/>
          <w:color w:val="000000" w:themeColor="text1"/>
        </w:rPr>
      </w:pPr>
      <w:r w:rsidRPr="00675182">
        <w:rPr>
          <w:rFonts w:cstheme="minorHAnsi"/>
          <w:color w:val="000000" w:themeColor="text1"/>
        </w:rPr>
        <w:t xml:space="preserve">Vērtējot 2005. gadā konstatētās problēmas un savulaik definētās rīcības ainavu daudzveidības un vizuālās vērtības saglabāšanai, secināms, ka lielākā daļa no problēmām ir aktuālas arī mūsdienās. Rosinātās rīcības daļēji ir īstenotas, taču to ieviešanu ir ietekmējušas sociālekonomiskās pārmaiņas lauku teritorijās un zināmā mērā ir notikusi teritorijas pārvaldības funkciju lielāka fragmentācija. Kopš Ainavu konvencijas ratificēšanas Latvijā 2007. gadā, kā arī sugu un biotopu aizsardzības pieejas stiprināšanas dabas aizsardzības likumdošanā, patlaban vietējo pašvaldību </w:t>
      </w:r>
      <w:r w:rsidR="00B06FFF">
        <w:rPr>
          <w:rFonts w:cstheme="minorHAnsi"/>
          <w:color w:val="000000" w:themeColor="text1"/>
        </w:rPr>
        <w:t>TP</w:t>
      </w:r>
      <w:r w:rsidRPr="00675182">
        <w:rPr>
          <w:rFonts w:cstheme="minorHAnsi"/>
          <w:color w:val="000000" w:themeColor="text1"/>
        </w:rPr>
        <w:t xml:space="preserve"> ir nozīmīgākais instruments teritorijas ainavu pārvaldībā. Tāpēc </w:t>
      </w:r>
      <w:r w:rsidR="00B06FFF">
        <w:rPr>
          <w:rFonts w:cstheme="minorHAnsi"/>
          <w:color w:val="000000" w:themeColor="text1"/>
        </w:rPr>
        <w:t>TP</w:t>
      </w:r>
      <w:r w:rsidRPr="00675182">
        <w:rPr>
          <w:rFonts w:cstheme="minorHAnsi"/>
          <w:color w:val="000000" w:themeColor="text1"/>
        </w:rPr>
        <w:t xml:space="preserve"> izstrādes ietvaros pēc 2010. gada tiek veikta arī nozīmīgo ainavu, ainavisko ceļu un skatu vietu apzināšana. Patlaban GNP ar ainavu pārvaldību saistītie jautājumi ir iekļauti spēkā esošajos TIAN un novada plānojuma kartogrāfiskajā materiālā ar atšķirīgām pieejām. Izvērtējums par GNP ietilpstošo pašvaldību </w:t>
      </w:r>
      <w:r w:rsidR="00B06FFF">
        <w:rPr>
          <w:rFonts w:cstheme="minorHAnsi"/>
          <w:color w:val="000000" w:themeColor="text1"/>
        </w:rPr>
        <w:t>TP</w:t>
      </w:r>
      <w:r w:rsidRPr="00675182">
        <w:rPr>
          <w:rFonts w:cstheme="minorHAnsi"/>
          <w:color w:val="000000" w:themeColor="text1"/>
        </w:rPr>
        <w:t xml:space="preserve"> sniegto informāciju par ainavu aizsardzību un apsaimniekošanu sniegts plāna 1.1.3. nodaļā. </w:t>
      </w:r>
    </w:p>
    <w:p w14:paraId="1E5E5042" w14:textId="77777777" w:rsidR="006C21C5" w:rsidRPr="00675182" w:rsidRDefault="006C21C5" w:rsidP="006C21C5">
      <w:pPr>
        <w:jc w:val="both"/>
        <w:rPr>
          <w:rFonts w:cstheme="minorHAnsi"/>
          <w:color w:val="000000" w:themeColor="text1"/>
        </w:rPr>
      </w:pPr>
    </w:p>
    <w:p w14:paraId="2339BAA3" w14:textId="77777777" w:rsidR="006C21C5" w:rsidRPr="00675182" w:rsidRDefault="006C21C5" w:rsidP="006C21C5">
      <w:pPr>
        <w:jc w:val="both"/>
        <w:rPr>
          <w:rFonts w:cstheme="minorHAnsi"/>
          <w:color w:val="000000" w:themeColor="text1"/>
        </w:rPr>
      </w:pPr>
      <w:r w:rsidRPr="00675182">
        <w:rPr>
          <w:rFonts w:cstheme="minorHAnsi"/>
          <w:color w:val="000000" w:themeColor="text1"/>
        </w:rPr>
        <w:t xml:space="preserve">Ainaviskā novērtējuma ietvaros izskatīti arī vairāki GNP ainavu lokālplānojumi – “Atpūtas parka “Zābaki” ainavu koncepcija” un “Cēsu pilsētas dabas un kultūrvēsturiskā parka” teritorijas ainavu plānojums ar definētiem detalizētiem attīstības pasākumiem un rīcībām. Kopumā šāda pieeja ar lokāliem ainavu plānojumiem vērtējama ļoti pozitīvi un būtu realizējama arī citās ainaviski nozīmīgās (Līgatnes apkārtne, Sigulda un Krimulda, Raiskuma, Vaidavas un Ungura ezeri) vietās GNP. </w:t>
      </w:r>
    </w:p>
    <w:p w14:paraId="78B9BDB4" w14:textId="77777777" w:rsidR="006C21C5" w:rsidRPr="00675182" w:rsidRDefault="006C21C5" w:rsidP="006C21C5">
      <w:pPr>
        <w:jc w:val="both"/>
        <w:rPr>
          <w:rFonts w:cstheme="minorHAnsi"/>
          <w:color w:val="000000" w:themeColor="text1"/>
        </w:rPr>
      </w:pPr>
    </w:p>
    <w:p w14:paraId="08AF8EF7" w14:textId="4347D8F5" w:rsidR="006C21C5" w:rsidRPr="00675182" w:rsidRDefault="00B06FFF" w:rsidP="006C21C5">
      <w:pPr>
        <w:jc w:val="both"/>
        <w:rPr>
          <w:rFonts w:cstheme="minorHAnsi"/>
          <w:color w:val="000000" w:themeColor="text1"/>
        </w:rPr>
      </w:pPr>
      <w:r>
        <w:rPr>
          <w:rFonts w:cstheme="minorHAnsi"/>
          <w:color w:val="000000" w:themeColor="text1"/>
        </w:rPr>
        <w:t>GNP</w:t>
      </w:r>
      <w:r w:rsidR="006C21C5" w:rsidRPr="00675182">
        <w:rPr>
          <w:rFonts w:cstheme="minorHAnsi"/>
          <w:color w:val="000000" w:themeColor="text1"/>
        </w:rPr>
        <w:t xml:space="preserve"> statuss pats par sevi jau apliecina teritorijas unikalitāti un to, ka tajā atrodas nacionālas nozīmes dabas un ainavu vērtības. Gaujas senielejas mērogs (plašums), dabas un kultūrvēsturiskās vērtības ir unikāla teritorija gan Latvijā, gan Baltijas reģionā, gan nozīmīga Eiropā. GNP teritorija pastāvīgi tiek iekļauta starp Latvijai nozīmīgākajām dabas un ainavu teritorijām, piemēram:</w:t>
      </w:r>
    </w:p>
    <w:p w14:paraId="520C54D9" w14:textId="77777777" w:rsidR="006C21C5" w:rsidRPr="00675182" w:rsidRDefault="006C21C5" w:rsidP="00A84218">
      <w:pPr>
        <w:pStyle w:val="ListParagraph"/>
        <w:numPr>
          <w:ilvl w:val="0"/>
          <w:numId w:val="73"/>
        </w:numPr>
        <w:jc w:val="both"/>
        <w:rPr>
          <w:rFonts w:cstheme="minorHAnsi"/>
          <w:color w:val="000000" w:themeColor="text1"/>
        </w:rPr>
      </w:pPr>
      <w:r w:rsidRPr="00675182">
        <w:rPr>
          <w:rFonts w:cstheme="minorHAnsi"/>
          <w:color w:val="000000" w:themeColor="text1"/>
        </w:rPr>
        <w:t>stratēģijā Latvija 2030 kā nacionālo interešu telpa ar izcilām dabas, ainavu un kultūrvēsturiskajām vērtībām;</w:t>
      </w:r>
    </w:p>
    <w:p w14:paraId="593C2BA2" w14:textId="77777777" w:rsidR="006C21C5" w:rsidRPr="00675182" w:rsidRDefault="006C21C5" w:rsidP="00A84218">
      <w:pPr>
        <w:pStyle w:val="ListParagraph"/>
        <w:numPr>
          <w:ilvl w:val="0"/>
          <w:numId w:val="73"/>
        </w:numPr>
        <w:jc w:val="both"/>
        <w:rPr>
          <w:rFonts w:cstheme="minorHAnsi"/>
          <w:color w:val="000000" w:themeColor="text1"/>
        </w:rPr>
      </w:pPr>
      <w:r w:rsidRPr="00675182">
        <w:rPr>
          <w:rFonts w:cstheme="minorHAnsi"/>
          <w:color w:val="000000" w:themeColor="text1"/>
        </w:rPr>
        <w:t>Latvijas kultūras kanona ainavu sadaļā starp Latvijas astoņām kanoniskajām ainavām;</w:t>
      </w:r>
    </w:p>
    <w:p w14:paraId="7718C796" w14:textId="7462C2C3" w:rsidR="00D57591" w:rsidRPr="00675182" w:rsidRDefault="006C21C5" w:rsidP="00A84218">
      <w:pPr>
        <w:pStyle w:val="ListParagraph"/>
        <w:numPr>
          <w:ilvl w:val="0"/>
          <w:numId w:val="73"/>
        </w:numPr>
        <w:jc w:val="both"/>
        <w:rPr>
          <w:rFonts w:cstheme="minorHAnsi"/>
          <w:color w:val="000000" w:themeColor="text1"/>
        </w:rPr>
      </w:pPr>
      <w:r w:rsidRPr="00675182">
        <w:rPr>
          <w:rFonts w:cstheme="minorHAnsi"/>
          <w:color w:val="000000" w:themeColor="text1"/>
        </w:rPr>
        <w:t>kā viena nacionālas nozīmes vērtīgajām ainavu teritorijām.</w:t>
      </w:r>
    </w:p>
    <w:p w14:paraId="14A7469D" w14:textId="0CEB8ABC" w:rsidR="00D21049" w:rsidRPr="00675182" w:rsidRDefault="00D21049" w:rsidP="00D57591">
      <w:pPr>
        <w:jc w:val="both"/>
        <w:rPr>
          <w:rFonts w:cstheme="minorHAnsi"/>
          <w:color w:val="000000" w:themeColor="text1"/>
        </w:rPr>
      </w:pPr>
    </w:p>
    <w:p w14:paraId="0CADC540" w14:textId="02EDEDED" w:rsidR="00D57591" w:rsidRPr="00675182" w:rsidRDefault="00D57591" w:rsidP="00D21049">
      <w:pPr>
        <w:pStyle w:val="Heading3"/>
        <w:keepLines/>
        <w:rPr>
          <w:rFonts w:cstheme="minorHAnsi"/>
          <w:b/>
          <w:bCs w:val="0"/>
          <w:lang w:val="lv-LV"/>
        </w:rPr>
      </w:pPr>
      <w:bookmarkStart w:id="41" w:name="_Toc55147014"/>
      <w:bookmarkStart w:id="42" w:name="_Toc116938401"/>
      <w:r w:rsidRPr="00675182">
        <w:rPr>
          <w:rFonts w:cstheme="minorHAnsi"/>
          <w:b/>
          <w:bCs w:val="0"/>
          <w:lang w:val="lv-LV"/>
        </w:rPr>
        <w:t xml:space="preserve">2.2.2. </w:t>
      </w:r>
      <w:bookmarkEnd w:id="41"/>
      <w:r w:rsidR="006C21C5" w:rsidRPr="00675182">
        <w:rPr>
          <w:rFonts w:cstheme="minorHAnsi"/>
          <w:b/>
          <w:bCs w:val="0"/>
          <w:lang w:val="lv-LV"/>
        </w:rPr>
        <w:t>GNP ainavu raksturojums un novērtējums</w:t>
      </w:r>
      <w:bookmarkEnd w:id="42"/>
    </w:p>
    <w:p w14:paraId="0A6B13D0" w14:textId="77777777" w:rsidR="002629D1" w:rsidRPr="00675182" w:rsidRDefault="002629D1" w:rsidP="002629D1">
      <w:pPr>
        <w:pStyle w:val="ListParagraph"/>
        <w:suppressAutoHyphens w:val="0"/>
        <w:contextualSpacing/>
        <w:jc w:val="both"/>
        <w:rPr>
          <w:rFonts w:cstheme="minorHAnsi"/>
          <w:color w:val="000000" w:themeColor="text1"/>
          <w:szCs w:val="24"/>
        </w:rPr>
      </w:pPr>
    </w:p>
    <w:p w14:paraId="7609526B" w14:textId="77777777" w:rsidR="006C21C5" w:rsidRPr="00675182" w:rsidRDefault="006C21C5" w:rsidP="00FD44C4">
      <w:pPr>
        <w:jc w:val="both"/>
        <w:rPr>
          <w:rFonts w:cstheme="minorHAnsi"/>
          <w:color w:val="000000" w:themeColor="text1"/>
        </w:rPr>
      </w:pPr>
      <w:r w:rsidRPr="00675182">
        <w:rPr>
          <w:rFonts w:cstheme="minorHAnsi"/>
          <w:color w:val="000000" w:themeColor="text1"/>
        </w:rPr>
        <w:t xml:space="preserve">Ainavas nodrošina dažādas funkcijas - ekoloģisko funkciju (ainava kā bioloģiskās daudzveidības augstākais līmenis), estētisko funkciju (vizuāli pievilcīgi skati, ainas), </w:t>
      </w:r>
      <w:r w:rsidRPr="00675182">
        <w:rPr>
          <w:rFonts w:cstheme="minorHAnsi"/>
          <w:color w:val="000000" w:themeColor="text1"/>
        </w:rPr>
        <w:lastRenderedPageBreak/>
        <w:t>kultūrvēsturisko funkciju (vēsturiski saglabājušies objekti), tūrisma un informācijas nesēja funkciju, resursu un zemes izmantošanas funkcijas (dzīves vieta, resursu izmantošana lauksaimniecībā, mežsaimniecībā u.c.). GNP ainaviskais novērtējums sagatavots balstoties uz ainavu daudzfunkcionālo nozīmi, t.i., tajā ietverti gan abiotiskie, gan biotiskie, gan sociālekonomiskie faktori, t.sk., balstoties uz GNP aprakstu (1.nodaļa). Ainaviskajā novērtējumā ietverts ainavu struktūras un tās elementu raksturojums (</w:t>
      </w:r>
      <w:r w:rsidRPr="00675182">
        <w:rPr>
          <w:color w:val="000000" w:themeColor="text1"/>
        </w:rPr>
        <w:t>t.sk. ainaviski nozīmīgo teritoriju kartēšana un apraksts</w:t>
      </w:r>
      <w:r w:rsidRPr="00675182">
        <w:rPr>
          <w:rFonts w:cstheme="minorHAnsi"/>
          <w:color w:val="000000" w:themeColor="text1"/>
        </w:rPr>
        <w:t>), ainavu struktūras izmaiņu analīze, kultūrvēsturiski nozīmīgo objektu raksturojums (1.1.6. nodaļa), ainavu ietekmējošo faktoru novērtējums.</w:t>
      </w:r>
    </w:p>
    <w:p w14:paraId="5EABCF40" w14:textId="77777777" w:rsidR="006C21C5" w:rsidRPr="00675182" w:rsidRDefault="006C21C5" w:rsidP="00FD44C4">
      <w:pPr>
        <w:jc w:val="both"/>
        <w:rPr>
          <w:rFonts w:cstheme="minorHAnsi"/>
          <w:color w:val="000000" w:themeColor="text1"/>
        </w:rPr>
      </w:pPr>
    </w:p>
    <w:p w14:paraId="003AB82D" w14:textId="365B13B5" w:rsidR="006C21C5" w:rsidRPr="00675182" w:rsidRDefault="006C21C5" w:rsidP="00FD44C4">
      <w:pPr>
        <w:jc w:val="both"/>
        <w:rPr>
          <w:rFonts w:cstheme="minorHAnsi"/>
          <w:color w:val="000000" w:themeColor="text1"/>
        </w:rPr>
      </w:pPr>
      <w:r w:rsidRPr="00675182">
        <w:rPr>
          <w:rFonts w:cstheme="minorHAnsi"/>
          <w:color w:val="000000" w:themeColor="text1"/>
        </w:rPr>
        <w:t xml:space="preserve">Ainaviskā novērtējuma ietvaros plaši izmantoti dažādi telpiskie dati. Ņemot vērā GNP ievērojamo platību, ainaviskais novērtējums veikts, analizējot informāciju dažādā detalizācijas pakāpē, kā arī veidojot kartes un kartoshēmas izmantots atšķirīgs mērogs/telpisko datu izšķirtspēja. Ainavu struktūras izmaiņu novērtēšanā salīdzināts dažādu laika periodu zemes izmantošanas un zemes seguma stāvoklis. Papildu datu kamerālajai apstrādei ainavu novērtēšanā veikta izlases inventarizācija, apsekojot nozīmīgākās ainavu telpas un objektus. Ainavu apsekošanā galvenokārt novērtēti vizuālie aspekti - esošais stāvoklis, ainavu telpas unikalitāte vai nozīmīgums, ainavu skatu kvalitāte un daudzveidība, ainavu pieejamība un </w:t>
      </w:r>
      <w:r w:rsidR="00F47E21" w:rsidRPr="00675182">
        <w:rPr>
          <w:rFonts w:cstheme="minorHAnsi"/>
          <w:color w:val="000000" w:themeColor="text1"/>
        </w:rPr>
        <w:t>saskat</w:t>
      </w:r>
      <w:r w:rsidR="00F47E21">
        <w:rPr>
          <w:rFonts w:cstheme="minorHAnsi"/>
          <w:color w:val="000000" w:themeColor="text1"/>
        </w:rPr>
        <w:t>ā</w:t>
      </w:r>
      <w:r w:rsidR="00F47E21" w:rsidRPr="00675182">
        <w:rPr>
          <w:rFonts w:cstheme="minorHAnsi"/>
          <w:color w:val="000000" w:themeColor="text1"/>
        </w:rPr>
        <w:t>mība</w:t>
      </w:r>
      <w:r w:rsidRPr="00675182">
        <w:rPr>
          <w:rFonts w:cstheme="minorHAnsi"/>
          <w:color w:val="000000" w:themeColor="text1"/>
        </w:rPr>
        <w:t>, vizuāli pievilcīgi un degradējoši ainavu elementi. Ainavu pārvaldības risinājumi (t.sk., ainavu aizsardzības mērķi) prioritāri rosināti attiecībā pret galvenajām GNP ainavu vērtībām, t.i., Gaujas senieleju, tās upju pietekām, ezeriem un kultūrvēsturiskajām vērtībām, kuras aprakstītas atsevišķās DA plāna nodaļās.</w:t>
      </w:r>
    </w:p>
    <w:p w14:paraId="67B8355E" w14:textId="77777777" w:rsidR="006C21C5" w:rsidRPr="00675182" w:rsidRDefault="006C21C5" w:rsidP="00FD44C4">
      <w:pPr>
        <w:jc w:val="both"/>
        <w:rPr>
          <w:rFonts w:cstheme="minorHAnsi"/>
          <w:color w:val="000000" w:themeColor="text1"/>
        </w:rPr>
      </w:pPr>
    </w:p>
    <w:p w14:paraId="20E438A2" w14:textId="77777777" w:rsidR="006C21C5" w:rsidRPr="00675182" w:rsidRDefault="006C21C5" w:rsidP="00FD44C4">
      <w:pPr>
        <w:jc w:val="both"/>
        <w:rPr>
          <w:rFonts w:cstheme="minorHAnsi"/>
          <w:color w:val="000000" w:themeColor="text1"/>
        </w:rPr>
      </w:pPr>
      <w:r w:rsidRPr="00675182">
        <w:rPr>
          <w:rFonts w:cstheme="minorHAnsi"/>
          <w:color w:val="000000" w:themeColor="text1"/>
        </w:rPr>
        <w:t>DA plāna izstrādes laikā tika organizēta tikšanās ar novadu teritorijas plānotājiem, lai apspriestu līdzšinējos GNP ainavu pārvaldības izaicinājumus un risinājumus.</w:t>
      </w:r>
    </w:p>
    <w:p w14:paraId="6E5D6CC6" w14:textId="77777777" w:rsidR="006C21C5" w:rsidRPr="00675182" w:rsidRDefault="006C21C5" w:rsidP="00FD44C4">
      <w:pPr>
        <w:jc w:val="both"/>
        <w:rPr>
          <w:rFonts w:cstheme="minorHAnsi"/>
          <w:color w:val="000000" w:themeColor="text1"/>
        </w:rPr>
      </w:pPr>
    </w:p>
    <w:p w14:paraId="1122E48A" w14:textId="77777777" w:rsidR="006C21C5" w:rsidRPr="00675182" w:rsidRDefault="006C21C5" w:rsidP="00FD44C4">
      <w:pPr>
        <w:jc w:val="both"/>
        <w:rPr>
          <w:rFonts w:cstheme="minorHAnsi"/>
          <w:color w:val="000000" w:themeColor="text1"/>
        </w:rPr>
      </w:pPr>
      <w:r w:rsidRPr="00675182">
        <w:rPr>
          <w:rFonts w:cstheme="minorHAnsi"/>
          <w:color w:val="000000" w:themeColor="text1"/>
        </w:rPr>
        <w:t xml:space="preserve">GNP ainavas struktūras centrālais objekts un pamatvienība ir Gaujas senieleja. Ar senieleju un Gaujas pieteku upju ielejām saistāmas arī nozīmīgākās ainavu ekoloģiskās un vizuālās vērtības. </w:t>
      </w:r>
    </w:p>
    <w:p w14:paraId="02A6384F" w14:textId="77777777" w:rsidR="006C21C5" w:rsidRPr="00675182" w:rsidRDefault="006C21C5" w:rsidP="00FD44C4">
      <w:pPr>
        <w:jc w:val="both"/>
        <w:rPr>
          <w:rFonts w:cstheme="minorHAnsi"/>
          <w:color w:val="000000" w:themeColor="text1"/>
        </w:rPr>
      </w:pPr>
    </w:p>
    <w:p w14:paraId="3DCAEEB0" w14:textId="690984E3" w:rsidR="006C21C5" w:rsidRPr="00675182" w:rsidRDefault="006C21C5" w:rsidP="006C21C5">
      <w:pPr>
        <w:jc w:val="both"/>
        <w:rPr>
          <w:rFonts w:cstheme="minorHAnsi"/>
          <w:color w:val="000000" w:themeColor="text1"/>
        </w:rPr>
      </w:pPr>
      <w:r w:rsidRPr="00675182">
        <w:rPr>
          <w:rFonts w:cstheme="minorHAnsi"/>
          <w:color w:val="000000" w:themeColor="text1"/>
        </w:rPr>
        <w:t>Ārpus senielejas GNP teritorijā sastopama liela daļa no Latvijā plaši sastopamiem ainavu tipiem – viļņoto līdzenumu mežaines un āraines, ezeraines, mozaīkveida ainavas ar saposmotu reljefu, purvaines un urbanizētas ainavas. Latvijas ainavu karte, kuru sastādījis O. Nikodemus par pamatu ņemot reljefu, zemes seguma un izmantošanas veidus, parāda GNP teritorijas daudzveidīgās ainavas (skat. 2.2.5.attēlu). Gaujas senieleja šajā ainavu dalījumā ir noteikta kā viena no Latvijas unikālajām ainavām. Tanī pat laikā šis vispārīgais kopskats parāda arī vienu no GNP ainavu pārvaldības izaicinājumiem, t.i., kā aizsargāt un attīstīt teritoriju, kuras robežas noteiktas galvenokārt pa ceļiem, pārdalot līdzvērtīgas ainavu telpiskās vienības.</w:t>
      </w:r>
    </w:p>
    <w:p w14:paraId="42310377" w14:textId="77777777" w:rsidR="006C21C5" w:rsidRPr="00675182" w:rsidRDefault="006C21C5" w:rsidP="006C21C5">
      <w:pPr>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D57591" w:rsidRPr="00675182" w14:paraId="6FADE30F" w14:textId="77777777" w:rsidTr="008A0F48">
        <w:tc>
          <w:tcPr>
            <w:tcW w:w="8527" w:type="dxa"/>
          </w:tcPr>
          <w:p w14:paraId="2F807FA6" w14:textId="36B282C1" w:rsidR="00D57591" w:rsidRPr="00675182" w:rsidRDefault="00E84083" w:rsidP="006D20E3">
            <w:pPr>
              <w:jc w:val="center"/>
              <w:rPr>
                <w:rFonts w:cstheme="minorHAnsi"/>
                <w:color w:val="000000" w:themeColor="text1"/>
                <w:szCs w:val="24"/>
              </w:rPr>
            </w:pPr>
            <w:r w:rsidRPr="00675182">
              <w:rPr>
                <w:rFonts w:cstheme="minorHAnsi"/>
                <w:noProof/>
              </w:rPr>
              <w:lastRenderedPageBreak/>
              <w:drawing>
                <wp:inline distT="0" distB="0" distL="0" distR="0" wp14:anchorId="38DA59A6" wp14:editId="4A682E20">
                  <wp:extent cx="3561251" cy="2520000"/>
                  <wp:effectExtent l="0" t="0" r="127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561251" cy="2520000"/>
                          </a:xfrm>
                          <a:prstGeom prst="rect">
                            <a:avLst/>
                          </a:prstGeom>
                          <a:noFill/>
                          <a:ln>
                            <a:noFill/>
                          </a:ln>
                        </pic:spPr>
                      </pic:pic>
                    </a:graphicData>
                  </a:graphic>
                </wp:inline>
              </w:drawing>
            </w:r>
          </w:p>
        </w:tc>
      </w:tr>
      <w:tr w:rsidR="00D57591" w:rsidRPr="00675182" w14:paraId="20F12D5D" w14:textId="77777777" w:rsidTr="008A0F48">
        <w:tc>
          <w:tcPr>
            <w:tcW w:w="8527" w:type="dxa"/>
          </w:tcPr>
          <w:p w14:paraId="7CECBBE5" w14:textId="1A73AEB8" w:rsidR="00D57591" w:rsidRPr="00675182" w:rsidRDefault="00D57591" w:rsidP="0090498C">
            <w:pPr>
              <w:jc w:val="both"/>
              <w:rPr>
                <w:rFonts w:cstheme="minorHAnsi"/>
                <w:b/>
                <w:i/>
                <w:color w:val="000000" w:themeColor="text1"/>
                <w:szCs w:val="24"/>
              </w:rPr>
            </w:pPr>
            <w:r w:rsidRPr="00675182">
              <w:rPr>
                <w:rFonts w:cstheme="minorHAnsi"/>
                <w:b/>
                <w:i/>
                <w:color w:val="000000" w:themeColor="text1"/>
                <w:szCs w:val="24"/>
              </w:rPr>
              <w:t>2.</w:t>
            </w:r>
            <w:r w:rsidR="001F4D4F" w:rsidRPr="00675182">
              <w:rPr>
                <w:rFonts w:cstheme="minorHAnsi"/>
                <w:b/>
                <w:i/>
                <w:color w:val="000000" w:themeColor="text1"/>
                <w:szCs w:val="24"/>
              </w:rPr>
              <w:t>2.</w:t>
            </w:r>
            <w:r w:rsidR="0049719C" w:rsidRPr="00675182">
              <w:rPr>
                <w:rFonts w:cstheme="minorHAnsi"/>
                <w:b/>
                <w:i/>
                <w:color w:val="000000" w:themeColor="text1"/>
                <w:szCs w:val="24"/>
              </w:rPr>
              <w:t>5</w:t>
            </w:r>
            <w:r w:rsidRPr="00675182">
              <w:rPr>
                <w:rFonts w:cstheme="minorHAnsi"/>
                <w:b/>
                <w:i/>
                <w:color w:val="000000" w:themeColor="text1"/>
                <w:szCs w:val="24"/>
              </w:rPr>
              <w:t>. attēls. GNP novietojums Latvijas ainavu kart</w:t>
            </w:r>
            <w:r w:rsidR="002629D1" w:rsidRPr="00675182">
              <w:rPr>
                <w:rFonts w:cstheme="minorHAnsi"/>
                <w:b/>
                <w:i/>
                <w:color w:val="000000" w:themeColor="text1"/>
                <w:szCs w:val="24"/>
              </w:rPr>
              <w:t>ē</w:t>
            </w:r>
          </w:p>
        </w:tc>
      </w:tr>
    </w:tbl>
    <w:p w14:paraId="2F5DFE77" w14:textId="77777777" w:rsidR="002629D1" w:rsidRPr="00675182" w:rsidRDefault="002629D1" w:rsidP="0090498C">
      <w:pPr>
        <w:jc w:val="both"/>
        <w:rPr>
          <w:rFonts w:cstheme="minorHAnsi"/>
          <w:color w:val="000000" w:themeColor="text1"/>
        </w:rPr>
      </w:pPr>
    </w:p>
    <w:p w14:paraId="333F10AA" w14:textId="77777777" w:rsidR="006C21C5" w:rsidRPr="00675182" w:rsidRDefault="006C21C5" w:rsidP="006C21C5">
      <w:pPr>
        <w:jc w:val="both"/>
        <w:rPr>
          <w:rFonts w:cstheme="minorHAnsi"/>
          <w:color w:val="000000" w:themeColor="text1"/>
        </w:rPr>
      </w:pPr>
      <w:r w:rsidRPr="00675182">
        <w:rPr>
          <w:rFonts w:cstheme="minorHAnsi"/>
          <w:color w:val="000000" w:themeColor="text1"/>
        </w:rPr>
        <w:t xml:space="preserve">Pēc Latvijas ainavu rajonēšanas shēmas (Ramans, 1994) lielākā daļa GNP ietilpst Gaujaszemes ainavzemē Gaujavas ainavapvidū (skat. 2.2.6. attēlu). Ārpus Gaujaszemes esošās teritorijas iekļaujas Vidzemes augstienes ainavzemes Ziemeļrietumu (Spāres – Raunas) āru nolaidas ar Augšamatas ielieces mežaines ainavapvidū, Dienvidvidzemes Vidzemes (Sudas – Madlienas – Vecbebru) nolaidas āraines ainavapvidū, Ziemeļvidzemes Augstrozes pauguraines ainavapvidū. Tā kā GNP teritorijas robeža galvenokārt noteikta pa ceļiem, tad nelielas platības atrodas arī citos ainavapvidos, kuru robežas iesniedzas GNP un veido dabiskas robežšķirtnes. </w:t>
      </w:r>
    </w:p>
    <w:p w14:paraId="156F18CF" w14:textId="77777777" w:rsidR="006C21C5" w:rsidRPr="00675182" w:rsidRDefault="006C21C5" w:rsidP="006C21C5">
      <w:pPr>
        <w:jc w:val="both"/>
        <w:rPr>
          <w:rFonts w:cstheme="minorHAnsi"/>
          <w:color w:val="000000" w:themeColor="text1"/>
        </w:rPr>
      </w:pPr>
    </w:p>
    <w:p w14:paraId="1E3D0CD6" w14:textId="09463B50" w:rsidR="002629D1" w:rsidRPr="00675182" w:rsidRDefault="006C21C5" w:rsidP="006C21C5">
      <w:pPr>
        <w:jc w:val="both"/>
        <w:rPr>
          <w:rFonts w:cstheme="minorHAnsi"/>
          <w:color w:val="000000" w:themeColor="text1"/>
        </w:rPr>
      </w:pPr>
      <w:r w:rsidRPr="00675182">
        <w:rPr>
          <w:rFonts w:cstheme="minorHAnsi"/>
          <w:color w:val="000000" w:themeColor="text1"/>
        </w:rPr>
        <w:t xml:space="preserve">Būtiski abiotiskie faktori, kuri nosaka ainavu struktūru gan reģionālā, gan lokālā mērogā, ir vietas ģeomorfoloģija, nogulumu veids un augsnes tips. </w:t>
      </w:r>
      <w:r w:rsidRPr="00675182">
        <w:rPr>
          <w:rFonts w:cstheme="minorHAnsi"/>
        </w:rPr>
        <w:t>Pēc fizioģeogrāfiskā iedalījuma</w:t>
      </w:r>
      <w:r w:rsidRPr="00675182">
        <w:rPr>
          <w:rFonts w:cstheme="minorHAnsi"/>
          <w:color w:val="000000" w:themeColor="text1"/>
        </w:rPr>
        <w:t xml:space="preserve"> GNP ietilpstošās reljefa formas - senieleja, upju ielejas ar izteiktām gravām, Burtnieka līdzenums, Augstrozes paugurvalnis, Limbažu viļņotais līdzenums, Madlienas nolaidenums, Mežoles pauguraine un Trikātas pacēlums kopā ar tiem raksturīgajiem zemes seguma veidiem nosaka galvenos ainavu tipus reģionālā mērogā (detalizēta informācija ir apkopota 5. pielikumā).</w:t>
      </w:r>
    </w:p>
    <w:p w14:paraId="665E2408" w14:textId="77777777" w:rsidR="006C21C5" w:rsidRPr="00675182" w:rsidRDefault="006C21C5" w:rsidP="006C21C5">
      <w:pPr>
        <w:jc w:val="both"/>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2629D1" w:rsidRPr="00675182" w14:paraId="03237CC6" w14:textId="77777777" w:rsidTr="009E2C42">
        <w:tc>
          <w:tcPr>
            <w:tcW w:w="8301" w:type="dxa"/>
          </w:tcPr>
          <w:p w14:paraId="17F09226" w14:textId="51D26430" w:rsidR="002629D1" w:rsidRPr="00675182" w:rsidRDefault="002629D1" w:rsidP="0090498C">
            <w:pPr>
              <w:jc w:val="both"/>
              <w:rPr>
                <w:rFonts w:cstheme="minorHAnsi"/>
                <w:color w:val="000000" w:themeColor="text1"/>
              </w:rPr>
            </w:pPr>
            <w:r w:rsidRPr="00675182">
              <w:rPr>
                <w:rFonts w:cstheme="minorHAnsi"/>
                <w:noProof/>
              </w:rPr>
              <w:lastRenderedPageBreak/>
              <w:drawing>
                <wp:inline distT="0" distB="0" distL="0" distR="0" wp14:anchorId="0ADD78CB" wp14:editId="2A43CD8A">
                  <wp:extent cx="5040000" cy="3566387"/>
                  <wp:effectExtent l="0" t="0" r="825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40000" cy="3566387"/>
                          </a:xfrm>
                          <a:prstGeom prst="rect">
                            <a:avLst/>
                          </a:prstGeom>
                          <a:noFill/>
                          <a:ln>
                            <a:noFill/>
                          </a:ln>
                        </pic:spPr>
                      </pic:pic>
                    </a:graphicData>
                  </a:graphic>
                </wp:inline>
              </w:drawing>
            </w:r>
          </w:p>
        </w:tc>
      </w:tr>
      <w:tr w:rsidR="002629D1" w:rsidRPr="00675182" w14:paraId="6E0988B9" w14:textId="77777777" w:rsidTr="009E2C42">
        <w:tc>
          <w:tcPr>
            <w:tcW w:w="8301" w:type="dxa"/>
          </w:tcPr>
          <w:p w14:paraId="0376578E" w14:textId="010C8803" w:rsidR="002629D1" w:rsidRPr="00675182" w:rsidRDefault="002629D1" w:rsidP="0090498C">
            <w:pPr>
              <w:jc w:val="both"/>
              <w:rPr>
                <w:rFonts w:cstheme="minorHAnsi"/>
                <w:b/>
                <w:bCs/>
                <w:i/>
                <w:iCs/>
                <w:color w:val="000000" w:themeColor="text1"/>
              </w:rPr>
            </w:pPr>
            <w:r w:rsidRPr="00675182">
              <w:rPr>
                <w:rFonts w:cstheme="minorHAnsi"/>
                <w:b/>
                <w:bCs/>
                <w:i/>
                <w:iCs/>
                <w:color w:val="000000" w:themeColor="text1"/>
              </w:rPr>
              <w:t>2.</w:t>
            </w:r>
            <w:r w:rsidR="001F4D4F" w:rsidRPr="00675182">
              <w:rPr>
                <w:rFonts w:cstheme="minorHAnsi"/>
                <w:b/>
                <w:bCs/>
                <w:i/>
                <w:iCs/>
                <w:color w:val="000000" w:themeColor="text1"/>
              </w:rPr>
              <w:t>2.</w:t>
            </w:r>
            <w:r w:rsidR="0049719C" w:rsidRPr="00675182">
              <w:rPr>
                <w:rFonts w:cstheme="minorHAnsi"/>
                <w:b/>
                <w:bCs/>
                <w:i/>
                <w:iCs/>
                <w:color w:val="000000" w:themeColor="text1"/>
              </w:rPr>
              <w:t>6</w:t>
            </w:r>
            <w:r w:rsidRPr="00675182">
              <w:rPr>
                <w:rFonts w:cstheme="minorHAnsi"/>
                <w:b/>
                <w:bCs/>
                <w:i/>
                <w:iCs/>
                <w:color w:val="000000" w:themeColor="text1"/>
              </w:rPr>
              <w:t xml:space="preserve">. attēls. </w:t>
            </w:r>
            <w:r w:rsidR="009E2C42" w:rsidRPr="00675182">
              <w:rPr>
                <w:rFonts w:cstheme="minorHAnsi"/>
                <w:b/>
                <w:bCs/>
                <w:i/>
                <w:iCs/>
                <w:color w:val="000000" w:themeColor="text1"/>
              </w:rPr>
              <w:t xml:space="preserve">GNP teritorijas iedalījums pēc Latvijas ainavu rajonēšanas shēmas </w:t>
            </w:r>
          </w:p>
        </w:tc>
      </w:tr>
    </w:tbl>
    <w:p w14:paraId="63A0702B" w14:textId="1AEB7267" w:rsidR="002629D1" w:rsidRPr="00675182" w:rsidRDefault="001F4D4F" w:rsidP="0090498C">
      <w:pPr>
        <w:jc w:val="both"/>
        <w:rPr>
          <w:rFonts w:cstheme="minorHAnsi"/>
          <w:color w:val="000000" w:themeColor="text1"/>
          <w:sz w:val="20"/>
          <w:szCs w:val="16"/>
        </w:rPr>
      </w:pPr>
      <w:r w:rsidRPr="00675182">
        <w:rPr>
          <w:rFonts w:cstheme="minorHAnsi"/>
          <w:color w:val="000000" w:themeColor="text1"/>
          <w:sz w:val="20"/>
          <w:szCs w:val="16"/>
        </w:rPr>
        <w:t>Datu avots, LĢIA, 2013-2019; Ramans, 1994</w:t>
      </w:r>
    </w:p>
    <w:p w14:paraId="55909942" w14:textId="77777777" w:rsidR="001F4D4F" w:rsidRPr="00675182" w:rsidRDefault="001F4D4F" w:rsidP="0090498C">
      <w:pPr>
        <w:jc w:val="both"/>
        <w:rPr>
          <w:rFonts w:cstheme="minorHAnsi"/>
          <w:color w:val="000000" w:themeColor="text1"/>
        </w:rPr>
      </w:pPr>
    </w:p>
    <w:p w14:paraId="78135577" w14:textId="77777777" w:rsidR="006C21C5" w:rsidRPr="00675182" w:rsidRDefault="006C21C5" w:rsidP="006C21C5">
      <w:pPr>
        <w:jc w:val="both"/>
        <w:rPr>
          <w:rFonts w:cstheme="minorHAnsi"/>
          <w:color w:val="000000" w:themeColor="text1"/>
        </w:rPr>
      </w:pPr>
      <w:r w:rsidRPr="00675182">
        <w:rPr>
          <w:rFonts w:cstheme="minorHAnsi"/>
          <w:color w:val="000000" w:themeColor="text1"/>
        </w:rPr>
        <w:t>Tāpat kā Latvijā kopumā, arī GNP ainava ir dinamiska sistēma, kura pastāvīgi mainās. Ainavas struktūras un tās elementu izmaiņas ir cieši saistītas ar sociālekonomiskajiem procesiem un dabiskajiem faktoriem, kuri gan tieši, gan netieši ietekmē izmaiņas ainavā.</w:t>
      </w:r>
    </w:p>
    <w:p w14:paraId="18C2ADD2" w14:textId="77777777" w:rsidR="006C21C5" w:rsidRPr="00675182" w:rsidRDefault="006C21C5" w:rsidP="006C21C5">
      <w:pPr>
        <w:jc w:val="both"/>
        <w:rPr>
          <w:rFonts w:cstheme="minorHAnsi"/>
          <w:color w:val="000000" w:themeColor="text1"/>
        </w:rPr>
      </w:pPr>
    </w:p>
    <w:p w14:paraId="7F9300DD" w14:textId="4F25A5A0" w:rsidR="006C21C5" w:rsidRPr="00675182" w:rsidRDefault="006C21C5" w:rsidP="006C21C5">
      <w:pPr>
        <w:jc w:val="both"/>
        <w:rPr>
          <w:rFonts w:cstheme="minorHAnsi"/>
          <w:color w:val="000000" w:themeColor="text1"/>
        </w:rPr>
      </w:pPr>
      <w:r w:rsidRPr="00675182">
        <w:rPr>
          <w:rFonts w:cstheme="minorHAnsi"/>
          <w:color w:val="000000" w:themeColor="text1"/>
        </w:rPr>
        <w:t xml:space="preserve">Lai analizētu GNP ainavu struktūras izmaiņas, tika apkopoti dažādos laikos sagatavoti telpiskie dati un kartogrāfiskie materiāli. Lai pēc iespējas objektīvāk novērtētu ainavu struktūras izmaiņas, kartogrāfiskajiem datiem jābūt sagatavotiem pēc vienādas metodikas, tāpēc tieša ar dažādām metodikām sagatavotu datu salīdzināšana var nedot vēlamo rezultātu. Vieni no datiem, kuri šāda mēroga teritorijām pilnvērtīgi izmantojami, ir </w:t>
      </w:r>
      <w:r w:rsidRPr="00675182">
        <w:rPr>
          <w:rFonts w:cstheme="minorHAnsi"/>
          <w:i/>
          <w:iCs/>
          <w:color w:val="000000" w:themeColor="text1"/>
        </w:rPr>
        <w:t>Corine Land Cover (CLC)</w:t>
      </w:r>
      <w:r w:rsidRPr="00675182">
        <w:rPr>
          <w:rFonts w:cstheme="minorHAnsi"/>
          <w:color w:val="000000" w:themeColor="text1"/>
        </w:rPr>
        <w:t xml:space="preserve"> dati, kuri parāda zemes seguma izmaiņu tendences sešu gadu periodā un tiem ir pieejami dati par 2006., 2012. un 2018. gadu. Lai gan šie dati gatavoti ar mērķi novērtēt zemes seguma izmaiņas ES dalībvalstīs, tomēr to izšķirtspēja ir pietiekama, lai spriestu arī par GNP ainavu struktūras galvenajām izmaiņu tendencēm. Zemes seguma (CLC, 2018) dati parāda, ka nozīmīgākās teritorijas GNP aizņem </w:t>
      </w:r>
      <w:r w:rsidR="00E32573">
        <w:rPr>
          <w:rFonts w:cstheme="minorHAnsi"/>
          <w:color w:val="000000" w:themeColor="text1"/>
        </w:rPr>
        <w:t>m</w:t>
      </w:r>
      <w:r w:rsidR="00E32573" w:rsidRPr="00675182">
        <w:rPr>
          <w:rFonts w:cstheme="minorHAnsi"/>
          <w:color w:val="000000" w:themeColor="text1"/>
        </w:rPr>
        <w:t xml:space="preserve">eži </w:t>
      </w:r>
      <w:r w:rsidRPr="00675182">
        <w:rPr>
          <w:rFonts w:cstheme="minorHAnsi"/>
          <w:color w:val="000000" w:themeColor="text1"/>
        </w:rPr>
        <w:t xml:space="preserve">un dabiskās platības – 58% un </w:t>
      </w:r>
      <w:r w:rsidR="00E32573">
        <w:rPr>
          <w:rFonts w:cstheme="minorHAnsi"/>
          <w:color w:val="000000" w:themeColor="text1"/>
        </w:rPr>
        <w:t>l</w:t>
      </w:r>
      <w:r w:rsidR="00E32573" w:rsidRPr="00675182">
        <w:rPr>
          <w:rFonts w:cstheme="minorHAnsi"/>
          <w:color w:val="000000" w:themeColor="text1"/>
        </w:rPr>
        <w:t xml:space="preserve">auksaimniecības </w:t>
      </w:r>
      <w:r w:rsidRPr="00675182">
        <w:rPr>
          <w:rFonts w:cstheme="minorHAnsi"/>
          <w:color w:val="000000" w:themeColor="text1"/>
        </w:rPr>
        <w:t xml:space="preserve">platības 36%. Pārējie zemes seguma veidi - </w:t>
      </w:r>
      <w:r w:rsidR="00E32573">
        <w:rPr>
          <w:rFonts w:cstheme="minorHAnsi"/>
          <w:color w:val="000000" w:themeColor="text1"/>
        </w:rPr>
        <w:t>m</w:t>
      </w:r>
      <w:r w:rsidR="00E32573" w:rsidRPr="00675182">
        <w:rPr>
          <w:rFonts w:cstheme="minorHAnsi"/>
          <w:color w:val="000000" w:themeColor="text1"/>
        </w:rPr>
        <w:t xml:space="preserve">ākslīgās </w:t>
      </w:r>
      <w:r w:rsidRPr="00675182">
        <w:rPr>
          <w:rFonts w:cstheme="minorHAnsi"/>
          <w:color w:val="000000" w:themeColor="text1"/>
        </w:rPr>
        <w:t xml:space="preserve">platības (2%), </w:t>
      </w:r>
      <w:r w:rsidR="00E32573">
        <w:rPr>
          <w:rFonts w:cstheme="minorHAnsi"/>
          <w:color w:val="000000" w:themeColor="text1"/>
        </w:rPr>
        <w:t>m</w:t>
      </w:r>
      <w:r w:rsidR="00E32573" w:rsidRPr="00675182">
        <w:rPr>
          <w:rFonts w:cstheme="minorHAnsi"/>
          <w:color w:val="000000" w:themeColor="text1"/>
        </w:rPr>
        <w:t xml:space="preserve">itrzemes </w:t>
      </w:r>
      <w:r w:rsidRPr="00675182">
        <w:rPr>
          <w:rFonts w:cstheme="minorHAnsi"/>
          <w:color w:val="000000" w:themeColor="text1"/>
        </w:rPr>
        <w:t xml:space="preserve">(2%) un </w:t>
      </w:r>
      <w:r w:rsidR="00E32573">
        <w:rPr>
          <w:rFonts w:cstheme="minorHAnsi"/>
          <w:color w:val="000000" w:themeColor="text1"/>
        </w:rPr>
        <w:t>ū</w:t>
      </w:r>
      <w:r w:rsidR="00E32573" w:rsidRPr="00675182">
        <w:rPr>
          <w:rFonts w:cstheme="minorHAnsi"/>
          <w:color w:val="000000" w:themeColor="text1"/>
        </w:rPr>
        <w:t xml:space="preserve">denstilpnes </w:t>
      </w:r>
      <w:r w:rsidRPr="00675182">
        <w:rPr>
          <w:rFonts w:cstheme="minorHAnsi"/>
          <w:color w:val="000000" w:themeColor="text1"/>
        </w:rPr>
        <w:t>(2%) sastopami salīdzinoši nelielās platībās (skat. 2.2.8. attēlu).</w:t>
      </w:r>
    </w:p>
    <w:p w14:paraId="34B1A8EF" w14:textId="77777777" w:rsidR="006C21C5" w:rsidRPr="00675182" w:rsidRDefault="006C21C5" w:rsidP="006C21C5">
      <w:pPr>
        <w:jc w:val="both"/>
        <w:rPr>
          <w:rFonts w:cstheme="minorHAnsi"/>
          <w:color w:val="000000" w:themeColor="text1"/>
        </w:rPr>
      </w:pPr>
    </w:p>
    <w:p w14:paraId="45952B9A" w14:textId="724FD12D" w:rsidR="006C21C5" w:rsidRPr="00675182" w:rsidRDefault="006C21C5" w:rsidP="006C21C5">
      <w:pPr>
        <w:jc w:val="both"/>
        <w:rPr>
          <w:rFonts w:cstheme="minorHAnsi"/>
          <w:color w:val="000000" w:themeColor="text1"/>
        </w:rPr>
      </w:pPr>
      <w:r w:rsidRPr="00675182">
        <w:rPr>
          <w:rFonts w:cstheme="minorHAnsi"/>
          <w:color w:val="000000" w:themeColor="text1"/>
        </w:rPr>
        <w:t>Analizējot zemes seguma veidu izmaiņas (CLC 2018 attiecībā pret 2006) novērojamas gan pozitīvas, gan negatīvas tendences. Lielākās izmaiņas saistāmas ar lauksaimniecības platībām, jo</w:t>
      </w:r>
      <w:r w:rsidR="001970F0" w:rsidRPr="00675182">
        <w:rPr>
          <w:rFonts w:cstheme="minorHAnsi"/>
          <w:color w:val="000000" w:themeColor="text1"/>
        </w:rPr>
        <w:t xml:space="preserve"> </w:t>
      </w:r>
      <w:r w:rsidRPr="00675182">
        <w:rPr>
          <w:rFonts w:cstheme="minorHAnsi"/>
          <w:color w:val="000000" w:themeColor="text1"/>
        </w:rPr>
        <w:t xml:space="preserve">tajās ievērojami palielinājušās </w:t>
      </w:r>
      <w:r w:rsidR="00E32573">
        <w:rPr>
          <w:rFonts w:cstheme="minorHAnsi"/>
          <w:color w:val="000000" w:themeColor="text1"/>
        </w:rPr>
        <w:t>g</w:t>
      </w:r>
      <w:r w:rsidR="00E32573" w:rsidRPr="00675182">
        <w:rPr>
          <w:rFonts w:cstheme="minorHAnsi"/>
          <w:color w:val="000000" w:themeColor="text1"/>
        </w:rPr>
        <w:t xml:space="preserve">anību </w:t>
      </w:r>
      <w:r w:rsidRPr="00675182">
        <w:rPr>
          <w:rFonts w:cstheme="minorHAnsi"/>
          <w:color w:val="000000" w:themeColor="text1"/>
        </w:rPr>
        <w:t xml:space="preserve">(zālāju) platības (par 3578 ha, 48%). Taču samazinājums vērojams mozaīkveida lauksaimniecības platību zemes seguma klasēs.  Lai gan ne tiešā veidā, taču šāda tendence liecina par </w:t>
      </w:r>
      <w:r w:rsidRPr="00675182">
        <w:rPr>
          <w:rFonts w:cstheme="minorHAnsi"/>
          <w:color w:val="000000" w:themeColor="text1"/>
        </w:rPr>
        <w:lastRenderedPageBreak/>
        <w:t>ainavu struktūras vienveidīguma palielināšanos. Starp meža platībām lielākais pieaugums ir zemes seguma klasei ‘Pārejoši meža apgabali un krūmi’, kuru pamatā veido mežsaimnieciskās darbības rezultātā veidojušās cirsmas (kopš 2006. gada palielinājums par 3348 ha) un tikai nedaudz aizaugošas LIZ. Šo platību pieaugums par 50% liecina, ka GNP teritorijā mežsaimnieciskās darbības intensitāte ir salīdzinoši augsta un būtiski neatšķiras no tendencēm Latvijā kopumā. Tāpat 12 gadu periodā GNP palielinājušās Mākslīgās platības, kuras saistāmas ar urbanizētām ainavām.</w:t>
      </w:r>
    </w:p>
    <w:p w14:paraId="06B67C9B" w14:textId="77777777" w:rsidR="006C21C5" w:rsidRPr="00675182" w:rsidRDefault="006C21C5" w:rsidP="006C21C5">
      <w:pPr>
        <w:jc w:val="both"/>
        <w:rPr>
          <w:rFonts w:cstheme="minorHAnsi"/>
          <w:color w:val="000000" w:themeColor="text1"/>
        </w:rPr>
      </w:pPr>
    </w:p>
    <w:p w14:paraId="21D6E8A1" w14:textId="77777777" w:rsidR="006C21C5" w:rsidRPr="00675182" w:rsidRDefault="006C21C5" w:rsidP="006C21C5">
      <w:pPr>
        <w:jc w:val="both"/>
        <w:rPr>
          <w:rFonts w:cstheme="minorHAnsi"/>
          <w:color w:val="000000" w:themeColor="text1"/>
        </w:rPr>
      </w:pPr>
      <w:r w:rsidRPr="00675182">
        <w:rPr>
          <w:rFonts w:cstheme="minorHAnsi"/>
          <w:color w:val="000000" w:themeColor="text1"/>
        </w:rPr>
        <w:t xml:space="preserve">Zemes izmantošanas veidu sadalījums raksturo ainavu struktūru un tās elementus. Kā daudzviet Latvijā kopš 20. gs. sākuma GNP teritorijā notikušas ainavu struktūras izmaiņas, kuras galvenokārt saistāmas ar LIZ platību samazināšanos, attiecīgi meža platību pieaugumu sekundārās sukcesijas rezultātā un teritorijas apdzīvojuma struktūras izmaiņām. Ainavas struktūras uzturēšanā un saglabāšanā būtiska loma ir cilvēka saimnieciskajai darbībai, jo īpaši lauksaimniecības zemēs. Pārtraucot lauksaimniecības zemes apsaimniekošanu, tās aizaug, ainavas pamazām saslēdzas un par dominējošu elementu ainavā kļūst mežs. GNP teritorijā šādi procesi raksturīgi Gaujas un tās pieteku palieņu un virspalu terašu pļavās, kuras daudzviet ir aizaugušas vai ievērojami samazinājušās un saglabājušās tikai kā atsevišķi ainavu struktūras elementi (plankumi) Tā rezultātā sarūk arī vizuālās uztveres areāli, veidojas tuvās ainavas ar slēgtiem skatiem vai tālajos skatu vērsumos uz Gaujas senieleju vēl izteiktāk dominē mežu teritorijas. To apliecina gan veiktā telpisko datu analīze, gan seno zīmējumu un fotogrāfiju uzņemšanas vietu salīdzināšana ar mūsdienām. Pēdējo 30 gadu laikā ainavas ietekmējušas nepārtrauktās sociālekonomiskās izmaiņas un lauksaimniecības nozares attīstības raksturs, tādējādi mūsdienās zālāju funkcionāla izmantošana lopkopībā faktiski nenotiek. Patlaban Gaujas senielejā ganības vai siena pļavas sastopamas reti. Ainavu pārmaiņu procesus un raksturīgākās to teritorijas uzskatāmi parāda arī DA plānā apkopotie dati par zemes lietojuma veidiem mūsdienās un pēc 1920.-1930. gadu topogrāfiskās kartes datiem (skat. 2.2.7. attēls). Lai gan meža platību pieaugums galvenokārt aizaugot lauksaimniecības zemēm aptuveni 25% apmērā nepilna gadsimta laikā nav tik ievērojams kā citviet Latvijas lauku teritorijās, tomēr lauksaimniecībā funkcionāli (t.i., ne ainavu uzturēšanā) izmantoto zemju īpatsvars sarucis, būtiski mainoties LIZ struktūrai. </w:t>
      </w:r>
    </w:p>
    <w:p w14:paraId="0882331D" w14:textId="2873A87C" w:rsidR="00F050AD" w:rsidRPr="00675182" w:rsidRDefault="00F050AD" w:rsidP="00F050AD">
      <w:pPr>
        <w:jc w:val="both"/>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F050AD" w:rsidRPr="00675182" w14:paraId="5C0D713A" w14:textId="77777777" w:rsidTr="00F050AD">
        <w:tc>
          <w:tcPr>
            <w:tcW w:w="8301" w:type="dxa"/>
          </w:tcPr>
          <w:p w14:paraId="7425752F" w14:textId="607D2B91" w:rsidR="00F050AD" w:rsidRPr="00675182" w:rsidRDefault="00F050AD" w:rsidP="00F050AD">
            <w:pPr>
              <w:jc w:val="center"/>
              <w:rPr>
                <w:rFonts w:cstheme="minorHAnsi"/>
                <w:color w:val="000000" w:themeColor="text1"/>
              </w:rPr>
            </w:pPr>
            <w:r w:rsidRPr="00675182">
              <w:rPr>
                <w:rFonts w:cstheme="minorHAnsi"/>
                <w:noProof/>
              </w:rPr>
              <w:lastRenderedPageBreak/>
              <w:drawing>
                <wp:inline distT="0" distB="0" distL="0" distR="0" wp14:anchorId="3CFD51DC" wp14:editId="33E6337A">
                  <wp:extent cx="3925520" cy="3960000"/>
                  <wp:effectExtent l="0" t="0" r="0" b="254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925520" cy="3960000"/>
                          </a:xfrm>
                          <a:prstGeom prst="rect">
                            <a:avLst/>
                          </a:prstGeom>
                          <a:noFill/>
                          <a:ln>
                            <a:noFill/>
                          </a:ln>
                        </pic:spPr>
                      </pic:pic>
                    </a:graphicData>
                  </a:graphic>
                </wp:inline>
              </w:drawing>
            </w:r>
          </w:p>
        </w:tc>
      </w:tr>
      <w:tr w:rsidR="00F050AD" w:rsidRPr="00675182" w14:paraId="27BB88D5" w14:textId="77777777" w:rsidTr="00F050AD">
        <w:tc>
          <w:tcPr>
            <w:tcW w:w="8301" w:type="dxa"/>
          </w:tcPr>
          <w:p w14:paraId="0ABDA04E" w14:textId="7C8560D6" w:rsidR="00F050AD" w:rsidRPr="00675182" w:rsidRDefault="00F050AD" w:rsidP="00F050AD">
            <w:pPr>
              <w:jc w:val="both"/>
              <w:rPr>
                <w:rFonts w:cstheme="minorHAnsi"/>
                <w:color w:val="000000" w:themeColor="text1"/>
              </w:rPr>
            </w:pPr>
            <w:r w:rsidRPr="00675182">
              <w:rPr>
                <w:rFonts w:cstheme="minorHAnsi"/>
                <w:b/>
                <w:i/>
              </w:rPr>
              <w:t>2.</w:t>
            </w:r>
            <w:r w:rsidR="001F4D4F" w:rsidRPr="00675182">
              <w:rPr>
                <w:rFonts w:cstheme="minorHAnsi"/>
                <w:b/>
                <w:i/>
              </w:rPr>
              <w:t>2.</w:t>
            </w:r>
            <w:r w:rsidR="0049719C" w:rsidRPr="00675182">
              <w:rPr>
                <w:rFonts w:cstheme="minorHAnsi"/>
                <w:b/>
                <w:i/>
              </w:rPr>
              <w:t>7</w:t>
            </w:r>
            <w:r w:rsidRPr="00675182">
              <w:rPr>
                <w:rFonts w:cstheme="minorHAnsi"/>
                <w:b/>
                <w:i/>
              </w:rPr>
              <w:t>. attēls. Mežu platības GNP dažādu laiku un mērogu kartogrāfiskajos materiālos</w:t>
            </w:r>
          </w:p>
        </w:tc>
      </w:tr>
    </w:tbl>
    <w:p w14:paraId="5FF871BB" w14:textId="7907D599" w:rsidR="00F050AD" w:rsidRPr="00675182" w:rsidRDefault="00F050AD" w:rsidP="0056127E">
      <w:pPr>
        <w:jc w:val="both"/>
        <w:rPr>
          <w:rFonts w:cstheme="minorHAnsi"/>
          <w:color w:val="000000" w:themeColor="text1"/>
        </w:rPr>
        <w:sectPr w:rsidR="00F050AD" w:rsidRPr="00675182" w:rsidSect="00CD74B1">
          <w:headerReference w:type="default" r:id="rId124"/>
          <w:pgSz w:w="11905" w:h="16837"/>
          <w:pgMar w:top="1440" w:right="1797" w:bottom="1440" w:left="1797" w:header="720"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7"/>
      </w:tblGrid>
      <w:tr w:rsidR="0056127E" w:rsidRPr="00675182" w14:paraId="005E6CC3" w14:textId="77777777" w:rsidTr="00F050AD">
        <w:tc>
          <w:tcPr>
            <w:tcW w:w="5000" w:type="pct"/>
          </w:tcPr>
          <w:p w14:paraId="6F32867D" w14:textId="2529E2C2" w:rsidR="0056127E" w:rsidRPr="00675182" w:rsidRDefault="00F050AD" w:rsidP="00347212">
            <w:pPr>
              <w:jc w:val="center"/>
              <w:rPr>
                <w:rFonts w:cstheme="minorHAnsi"/>
                <w:color w:val="000000" w:themeColor="text1"/>
              </w:rPr>
            </w:pPr>
            <w:r w:rsidRPr="00675182">
              <w:rPr>
                <w:rFonts w:cstheme="minorHAnsi"/>
                <w:noProof/>
              </w:rPr>
              <w:lastRenderedPageBreak/>
              <w:drawing>
                <wp:inline distT="0" distB="0" distL="0" distR="0" wp14:anchorId="41A93562" wp14:editId="7AE3BB5F">
                  <wp:extent cx="6613717" cy="4680000"/>
                  <wp:effectExtent l="0" t="0" r="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613717" cy="4680000"/>
                          </a:xfrm>
                          <a:prstGeom prst="rect">
                            <a:avLst/>
                          </a:prstGeom>
                          <a:noFill/>
                          <a:ln>
                            <a:noFill/>
                          </a:ln>
                        </pic:spPr>
                      </pic:pic>
                    </a:graphicData>
                  </a:graphic>
                </wp:inline>
              </w:drawing>
            </w:r>
          </w:p>
        </w:tc>
      </w:tr>
      <w:tr w:rsidR="0056127E" w:rsidRPr="00675182" w14:paraId="48A1A16C" w14:textId="77777777" w:rsidTr="00F050AD">
        <w:tc>
          <w:tcPr>
            <w:tcW w:w="5000" w:type="pct"/>
          </w:tcPr>
          <w:p w14:paraId="1FEEF2F5" w14:textId="0738C80B" w:rsidR="0056127E" w:rsidRPr="00675182" w:rsidRDefault="0056127E" w:rsidP="001F4D4F">
            <w:pPr>
              <w:rPr>
                <w:rFonts w:cstheme="minorHAnsi"/>
                <w:b/>
                <w:i/>
                <w:color w:val="000000" w:themeColor="text1"/>
              </w:rPr>
            </w:pPr>
            <w:r w:rsidRPr="00675182">
              <w:rPr>
                <w:rFonts w:cstheme="minorHAnsi"/>
                <w:b/>
                <w:i/>
                <w:color w:val="000000" w:themeColor="text1"/>
              </w:rPr>
              <w:t>2.</w:t>
            </w:r>
            <w:r w:rsidR="001F4D4F" w:rsidRPr="00675182">
              <w:rPr>
                <w:rFonts w:cstheme="minorHAnsi"/>
                <w:b/>
                <w:i/>
                <w:color w:val="000000" w:themeColor="text1"/>
              </w:rPr>
              <w:t>2.</w:t>
            </w:r>
            <w:r w:rsidR="0049719C" w:rsidRPr="00675182">
              <w:rPr>
                <w:rFonts w:cstheme="minorHAnsi"/>
                <w:b/>
                <w:i/>
                <w:color w:val="000000" w:themeColor="text1"/>
              </w:rPr>
              <w:t>8</w:t>
            </w:r>
            <w:r w:rsidRPr="00675182">
              <w:rPr>
                <w:rFonts w:cstheme="minorHAnsi"/>
                <w:b/>
                <w:i/>
                <w:color w:val="000000" w:themeColor="text1"/>
              </w:rPr>
              <w:t>. attēls. Zemes seguma klašu telpiskais sadalījums GNP</w:t>
            </w:r>
          </w:p>
          <w:p w14:paraId="417F385A" w14:textId="6AAF0D97" w:rsidR="001F4D4F" w:rsidRPr="00675182" w:rsidRDefault="001F4D4F" w:rsidP="001F4D4F">
            <w:pPr>
              <w:rPr>
                <w:rFonts w:cstheme="minorHAnsi"/>
                <w:bCs/>
                <w:iCs/>
                <w:color w:val="000000" w:themeColor="text1"/>
              </w:rPr>
            </w:pPr>
            <w:r w:rsidRPr="00675182">
              <w:rPr>
                <w:rFonts w:cstheme="minorHAnsi"/>
                <w:bCs/>
                <w:iCs/>
                <w:color w:val="000000" w:themeColor="text1"/>
                <w:sz w:val="20"/>
                <w:szCs w:val="16"/>
              </w:rPr>
              <w:t>Datu avots: CLC, 2018</w:t>
            </w:r>
          </w:p>
        </w:tc>
      </w:tr>
    </w:tbl>
    <w:p w14:paraId="21D4347D" w14:textId="77777777" w:rsidR="00F050AD" w:rsidRPr="00675182" w:rsidRDefault="00F050AD" w:rsidP="0090498C">
      <w:pPr>
        <w:jc w:val="both"/>
        <w:rPr>
          <w:rFonts w:cstheme="minorHAnsi"/>
          <w:color w:val="000000" w:themeColor="text1"/>
        </w:rPr>
        <w:sectPr w:rsidR="00F050AD" w:rsidRPr="00675182" w:rsidSect="00F050AD">
          <w:headerReference w:type="default" r:id="rId126"/>
          <w:pgSz w:w="16837" w:h="11905" w:orient="landscape"/>
          <w:pgMar w:top="1797" w:right="1440" w:bottom="1797" w:left="1440" w:header="720" w:footer="720" w:gutter="0"/>
          <w:cols w:space="720"/>
          <w:docGrid w:linePitch="360"/>
        </w:sectPr>
      </w:pPr>
    </w:p>
    <w:p w14:paraId="7679CCCD" w14:textId="4B426463" w:rsidR="00F050AD" w:rsidRPr="00675182" w:rsidRDefault="006C21C5" w:rsidP="00F050AD">
      <w:pPr>
        <w:jc w:val="both"/>
        <w:rPr>
          <w:rFonts w:cstheme="minorHAnsi"/>
          <w:color w:val="000000" w:themeColor="text1"/>
        </w:rPr>
      </w:pPr>
      <w:r w:rsidRPr="00675182">
        <w:rPr>
          <w:rFonts w:cstheme="minorHAnsi"/>
          <w:color w:val="000000" w:themeColor="text1"/>
        </w:rPr>
        <w:lastRenderedPageBreak/>
        <w:t>Ainavu struktūras attīstības tendences ietekmē apdzīvojuma struktūras izmaiņas, jo īpaši pēdējā gadsimta laikā, taču arī šīs izmaiņas GNP nav bijušas tik izteiktas kā citviet lauku teritorijās. Teritorijas apdzīvotība daudzviet saglabājusies tipiskām Latvijas lauku viensētām ar piemājas dārzu, ganībām un siena pļavām, pārvēršoties par piepilsētām raksturīgām savrupmājām. Atsevišķās vietās pat palielinās apbūves platības t.sk., pateicoties teritorijas ainaviskajam pievilcīgumam (GNP zīmolam) un ģeogrāfiskajam novietojumam, t.i., salīdzinoši nelielam attālumam no Rīgas, kā arī Siguldas, Cēsu un Valmieras klātbūtnei. Mainoties apdzīvojuma raksturam GNP teritorijā un zemes izmantošanas struktūrai, tiek ietekmēts arī ceļu tīklojums (skat. 2.2.9. attēlu.) un ainavu pieejamība, jo teritorijas ainavas kļūst arvien mazāk pieejamas un vizuāli uztveramas. Taču tā kā GNP jau vēsturiski attīstīts un apsaimniekots, domājot par rekreācijas un tūrisma potenciāla izmantošanu, slodžu sabalansēšanu, tad kopumā GNP unikālās ainavas ir pieejamas, pat sarūkot ceļu tīklam, jo tiek veidotas un uzturētas dabas takas un skatu vietas. Ainavu baudīšanai ir izteikti sezonāls raksturs, kas pēdējos gados līdztekus ainavu pieejamībai GNP aktualizē jautājumu par ainavisko vietu kapacitāti un antropogēnajām ietekmēm (skat. tūrisma sadaļu un novērtējumu).</w:t>
      </w:r>
    </w:p>
    <w:p w14:paraId="4D121496" w14:textId="77777777" w:rsidR="006C21C5" w:rsidRPr="00675182" w:rsidRDefault="006C21C5" w:rsidP="00F050AD">
      <w:pPr>
        <w:jc w:val="both"/>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F050AD" w:rsidRPr="00675182" w14:paraId="1B5F5090" w14:textId="77777777" w:rsidTr="002008F9">
        <w:tc>
          <w:tcPr>
            <w:tcW w:w="9016" w:type="dxa"/>
          </w:tcPr>
          <w:p w14:paraId="39B2CC95" w14:textId="5CF65C0B" w:rsidR="00F050AD" w:rsidRPr="00675182" w:rsidRDefault="006F780A" w:rsidP="0088454F">
            <w:pPr>
              <w:jc w:val="center"/>
              <w:rPr>
                <w:rFonts w:cstheme="minorHAnsi"/>
              </w:rPr>
            </w:pPr>
            <w:r w:rsidRPr="00675182">
              <w:rPr>
                <w:rFonts w:cstheme="minorHAnsi"/>
                <w:noProof/>
              </w:rPr>
              <w:drawing>
                <wp:inline distT="0" distB="0" distL="0" distR="0" wp14:anchorId="4718534E" wp14:editId="1AB635D2">
                  <wp:extent cx="3869217" cy="3960000"/>
                  <wp:effectExtent l="0" t="0" r="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869217" cy="3960000"/>
                          </a:xfrm>
                          <a:prstGeom prst="rect">
                            <a:avLst/>
                          </a:prstGeom>
                          <a:noFill/>
                          <a:ln>
                            <a:noFill/>
                          </a:ln>
                        </pic:spPr>
                      </pic:pic>
                    </a:graphicData>
                  </a:graphic>
                </wp:inline>
              </w:drawing>
            </w:r>
          </w:p>
        </w:tc>
      </w:tr>
      <w:tr w:rsidR="00F050AD" w:rsidRPr="00675182" w14:paraId="1D7E1EF9" w14:textId="77777777" w:rsidTr="002008F9">
        <w:trPr>
          <w:trHeight w:val="70"/>
        </w:trPr>
        <w:tc>
          <w:tcPr>
            <w:tcW w:w="9016" w:type="dxa"/>
          </w:tcPr>
          <w:p w14:paraId="32A27563" w14:textId="1FA6A19F" w:rsidR="00F050AD" w:rsidRPr="00675182" w:rsidRDefault="00F050AD" w:rsidP="001F4D4F">
            <w:pPr>
              <w:rPr>
                <w:rFonts w:cstheme="minorHAnsi"/>
              </w:rPr>
            </w:pPr>
            <w:r w:rsidRPr="00675182">
              <w:rPr>
                <w:rFonts w:cstheme="minorHAnsi"/>
                <w:b/>
                <w:i/>
              </w:rPr>
              <w:t>2.</w:t>
            </w:r>
            <w:r w:rsidR="001F4D4F" w:rsidRPr="00675182">
              <w:rPr>
                <w:rFonts w:cstheme="minorHAnsi"/>
                <w:b/>
                <w:i/>
              </w:rPr>
              <w:t>2.</w:t>
            </w:r>
            <w:r w:rsidR="0049719C" w:rsidRPr="00675182">
              <w:rPr>
                <w:rFonts w:cstheme="minorHAnsi"/>
                <w:b/>
                <w:i/>
              </w:rPr>
              <w:t>9</w:t>
            </w:r>
            <w:r w:rsidRPr="00675182">
              <w:rPr>
                <w:rFonts w:cstheme="minorHAnsi"/>
                <w:b/>
                <w:i/>
              </w:rPr>
              <w:t>. attēls. Ceļu tīkls no dažādu laiku kartogrāfiskā materiāla</w:t>
            </w:r>
          </w:p>
        </w:tc>
      </w:tr>
    </w:tbl>
    <w:p w14:paraId="2D7CFEC4" w14:textId="77777777" w:rsidR="006F780A" w:rsidRPr="00675182" w:rsidRDefault="006F780A" w:rsidP="00F050AD">
      <w:pPr>
        <w:rPr>
          <w:rFonts w:cstheme="minorHAnsi"/>
          <w:color w:val="000000" w:themeColor="text1"/>
        </w:rPr>
      </w:pPr>
    </w:p>
    <w:p w14:paraId="2F535B6A" w14:textId="7B189452" w:rsidR="006C21C5" w:rsidRPr="00675182" w:rsidRDefault="006C21C5" w:rsidP="006C21C5">
      <w:pPr>
        <w:jc w:val="both"/>
        <w:rPr>
          <w:color w:val="000000" w:themeColor="text1"/>
        </w:rPr>
      </w:pPr>
      <w:r w:rsidRPr="00675182">
        <w:rPr>
          <w:color w:val="000000" w:themeColor="text1"/>
        </w:rPr>
        <w:t xml:space="preserve">DA plāna izstrādes ietvaros tika veikta GNP ainavu inventarizācija, apsekojot teritoriju dabā un veicot fotofiksāciju, lai novērtētu ainavu esošo stāvokli un raksturīgos ainavu tipus (skat. 2.2.10. attēlu) un elementus. Ar ainavu pārvaldību saistītie priekšlikumi un apsaimniekošanas pasākumi iestrādāti DA plāna nodaļās - apsaimniekošanas pasākumi (3. nodaļa), priekšlikumi </w:t>
      </w:r>
      <w:r w:rsidR="00A91EF7">
        <w:rPr>
          <w:color w:val="000000" w:themeColor="text1"/>
        </w:rPr>
        <w:t>TP</w:t>
      </w:r>
      <w:r w:rsidRPr="00675182">
        <w:rPr>
          <w:color w:val="000000" w:themeColor="text1"/>
        </w:rPr>
        <w:t xml:space="preserve"> (4. nodaļa), nosacījumi izmantošanā un apsaimniekošanā (5. nodaļa).</w:t>
      </w:r>
    </w:p>
    <w:p w14:paraId="5E39D145" w14:textId="77777777" w:rsidR="006C21C5" w:rsidRPr="00675182" w:rsidRDefault="006C21C5" w:rsidP="006C21C5">
      <w:pPr>
        <w:jc w:val="both"/>
        <w:rPr>
          <w:color w:val="000000" w:themeColor="text1"/>
        </w:rPr>
      </w:pPr>
    </w:p>
    <w:p w14:paraId="0A2061B0" w14:textId="37F2739A" w:rsidR="00F919A6" w:rsidRPr="00675182" w:rsidRDefault="006C21C5" w:rsidP="006C21C5">
      <w:pPr>
        <w:jc w:val="both"/>
        <w:rPr>
          <w:color w:val="000000" w:themeColor="text1"/>
        </w:rPr>
      </w:pPr>
      <w:r w:rsidRPr="00675182">
        <w:rPr>
          <w:color w:val="000000" w:themeColor="text1"/>
        </w:rPr>
        <w:t>Latvijai raksturīgās daudzveidīgās mozaīkveida ainavas ir saistītas ar ievērojamām GNP teritorijām. Ainavas struktūras daudzveidību šajās teritorijās nosaka Mežoles pauguraines, Limbažu viļņotā līdzenuma un Augstrozes paugurvaļņa reljefa saposmojums un vēsturiski veidojusies daudzveidīga, fragmentēta zemes izmantošana, jo tajās daudzviet izvietoti ceļi un apbūve, līdz ar to tās ir vizuāli uztveramas un ikdienā plaši izmantotas. Mūsdienu ainavu transformācijas procesi un izplatītās tuvo skatu ainavas ceļu posmos nosaka to, ka mozaīkveida ainavas lielākoties veido mežāres tipa ainavas ar dominējošu meža zemju īpatsvaru. Raksturīgākie ainavu skati ir saistīti ar saposmoto reljefu, līkumainiem lauku ceļiem, tuviem un vidēji tāliem skatiem uz viensētām, kuru priekšplānā izvietoti zālāji. Šādās maza mēroga ainavās pārskatāmība ir zema, taču to daudzveidīgais raksturs un mērogs nosaka to, ka tās ir jutīgas pret potenciālām izmaiņām, jo īpaši liela mēroga objektiem. Trikātas pacēlumā un Burtnieka līdzenumā raksturīgas āraiņu tipa ainavas, kurās vērojami plaši lauksaimniecības zemju masīvi. Šajās teritorijās no ceļiem reljefa pacēlumos vērojami tāli un panorāmas tipa skati uz Gaujas senieleju un tālām apkārtnes paugurainēm. Mežāru un āraiņu ainavu teritorijas savulaik galvenokārt iekļautas GNP kā zināma buferzona senielejas aizsardzībai, līdz ar lielās platībās to veido Latvijai tipiskas (ikdienišķas) ainavas. Patlaban šajās teritorijās GNP ainavu vērtības apdraudošas ietekmes nav novērojamas, tomēr perspektīvā tādas var rasties, piemēram, lielu industriālu vai infrastruktūras objektu veidā.</w:t>
      </w:r>
    </w:p>
    <w:p w14:paraId="6B49A619" w14:textId="77777777" w:rsidR="006C21C5" w:rsidRPr="00675182" w:rsidRDefault="006C21C5" w:rsidP="006C21C5">
      <w:pPr>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2770"/>
        <w:gridCol w:w="2770"/>
      </w:tblGrid>
      <w:tr w:rsidR="00F050AD" w:rsidRPr="00675182" w14:paraId="01F837FD" w14:textId="77777777" w:rsidTr="002008F9">
        <w:tc>
          <w:tcPr>
            <w:tcW w:w="2954" w:type="dxa"/>
          </w:tcPr>
          <w:p w14:paraId="122C82A4" w14:textId="77777777" w:rsidR="00F050AD" w:rsidRPr="00675182" w:rsidRDefault="00F050AD" w:rsidP="0088454F">
            <w:pPr>
              <w:jc w:val="center"/>
              <w:rPr>
                <w:rFonts w:cstheme="minorHAnsi"/>
                <w:color w:val="000000" w:themeColor="text1"/>
              </w:rPr>
            </w:pPr>
            <w:r w:rsidRPr="00675182">
              <w:rPr>
                <w:rFonts w:cstheme="minorHAnsi"/>
                <w:noProof/>
                <w:color w:val="000000" w:themeColor="text1"/>
                <w:lang w:eastAsia="lv-LV"/>
              </w:rPr>
              <w:drawing>
                <wp:inline distT="0" distB="0" distL="0" distR="0" wp14:anchorId="62804B9F" wp14:editId="6EE1F66A">
                  <wp:extent cx="1738756" cy="1304014"/>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inava_Araisu_apkartne.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743671" cy="1307700"/>
                          </a:xfrm>
                          <a:prstGeom prst="rect">
                            <a:avLst/>
                          </a:prstGeom>
                        </pic:spPr>
                      </pic:pic>
                    </a:graphicData>
                  </a:graphic>
                </wp:inline>
              </w:drawing>
            </w:r>
          </w:p>
        </w:tc>
        <w:tc>
          <w:tcPr>
            <w:tcW w:w="2786" w:type="dxa"/>
          </w:tcPr>
          <w:p w14:paraId="509C8F5D" w14:textId="77777777" w:rsidR="00F050AD" w:rsidRPr="00675182" w:rsidRDefault="00F050AD" w:rsidP="0088454F">
            <w:pPr>
              <w:jc w:val="center"/>
              <w:rPr>
                <w:rFonts w:cstheme="minorHAnsi"/>
                <w:color w:val="000000" w:themeColor="text1"/>
              </w:rPr>
            </w:pPr>
            <w:r w:rsidRPr="00675182">
              <w:rPr>
                <w:rFonts w:cstheme="minorHAnsi"/>
                <w:noProof/>
                <w:color w:val="000000" w:themeColor="text1"/>
                <w:lang w:eastAsia="lv-LV"/>
              </w:rPr>
              <w:drawing>
                <wp:inline distT="0" distB="0" distL="0" distR="0" wp14:anchorId="6DB730AC" wp14:editId="27D3338B">
                  <wp:extent cx="1738278" cy="130365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Z_ainava_ungurmuizas_apkartne.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745186" cy="1308836"/>
                          </a:xfrm>
                          <a:prstGeom prst="rect">
                            <a:avLst/>
                          </a:prstGeom>
                        </pic:spPr>
                      </pic:pic>
                    </a:graphicData>
                  </a:graphic>
                </wp:inline>
              </w:drawing>
            </w:r>
          </w:p>
        </w:tc>
        <w:tc>
          <w:tcPr>
            <w:tcW w:w="2787" w:type="dxa"/>
          </w:tcPr>
          <w:p w14:paraId="2134CF0F" w14:textId="77777777" w:rsidR="00F050AD" w:rsidRPr="00675182" w:rsidRDefault="00F050AD" w:rsidP="002008F9">
            <w:pPr>
              <w:rPr>
                <w:rFonts w:cstheme="minorHAnsi"/>
                <w:color w:val="000000" w:themeColor="text1"/>
              </w:rPr>
            </w:pPr>
            <w:r w:rsidRPr="00675182">
              <w:rPr>
                <w:rFonts w:cstheme="minorHAnsi"/>
                <w:noProof/>
                <w:color w:val="000000" w:themeColor="text1"/>
                <w:lang w:eastAsia="lv-LV"/>
              </w:rPr>
              <w:drawing>
                <wp:inline distT="0" distB="0" distL="0" distR="0" wp14:anchorId="6C6D151D" wp14:editId="2FCFED87">
                  <wp:extent cx="1738277" cy="130365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Z_ainava_pie_Nurmiziem.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740517" cy="1305335"/>
                          </a:xfrm>
                          <a:prstGeom prst="rect">
                            <a:avLst/>
                          </a:prstGeom>
                        </pic:spPr>
                      </pic:pic>
                    </a:graphicData>
                  </a:graphic>
                </wp:inline>
              </w:drawing>
            </w:r>
          </w:p>
        </w:tc>
      </w:tr>
      <w:tr w:rsidR="00F050AD" w:rsidRPr="00675182" w14:paraId="52C6FC9B" w14:textId="77777777" w:rsidTr="002008F9">
        <w:tc>
          <w:tcPr>
            <w:tcW w:w="8527" w:type="dxa"/>
            <w:gridSpan w:val="3"/>
          </w:tcPr>
          <w:p w14:paraId="2A88879B" w14:textId="67020D7B" w:rsidR="00F050AD" w:rsidRPr="00675182" w:rsidRDefault="00F050AD" w:rsidP="001F4D4F">
            <w:pPr>
              <w:rPr>
                <w:rFonts w:cstheme="minorHAnsi"/>
                <w:b/>
                <w:i/>
                <w:color w:val="000000" w:themeColor="text1"/>
              </w:rPr>
            </w:pPr>
            <w:r w:rsidRPr="00675182">
              <w:rPr>
                <w:rFonts w:cstheme="minorHAnsi"/>
                <w:b/>
                <w:i/>
                <w:color w:val="000000" w:themeColor="text1"/>
              </w:rPr>
              <w:t>2.</w:t>
            </w:r>
            <w:r w:rsidR="001F4D4F" w:rsidRPr="00675182">
              <w:rPr>
                <w:rFonts w:cstheme="minorHAnsi"/>
                <w:b/>
                <w:i/>
                <w:color w:val="000000" w:themeColor="text1"/>
              </w:rPr>
              <w:t>2.</w:t>
            </w:r>
            <w:r w:rsidR="0049719C" w:rsidRPr="00675182">
              <w:rPr>
                <w:rFonts w:cstheme="minorHAnsi"/>
                <w:b/>
                <w:i/>
                <w:color w:val="000000" w:themeColor="text1"/>
              </w:rPr>
              <w:t>10</w:t>
            </w:r>
            <w:r w:rsidRPr="00675182">
              <w:rPr>
                <w:rFonts w:cstheme="minorHAnsi"/>
                <w:b/>
                <w:i/>
                <w:color w:val="000000" w:themeColor="text1"/>
              </w:rPr>
              <w:t>. attēl</w:t>
            </w:r>
            <w:r w:rsidR="006F780A" w:rsidRPr="00675182">
              <w:rPr>
                <w:rFonts w:cstheme="minorHAnsi"/>
                <w:b/>
                <w:i/>
                <w:color w:val="000000" w:themeColor="text1"/>
              </w:rPr>
              <w:t>s</w:t>
            </w:r>
            <w:r w:rsidRPr="00675182">
              <w:rPr>
                <w:rFonts w:cstheme="minorHAnsi"/>
                <w:b/>
                <w:i/>
                <w:color w:val="000000" w:themeColor="text1"/>
              </w:rPr>
              <w:t>. Mozaīkveida ainavas Āraišu apkārtnē un āraines Ungurmuižas un Nurmižu apkārtnē</w:t>
            </w:r>
            <w:r w:rsidR="006F780A" w:rsidRPr="00675182">
              <w:rPr>
                <w:rFonts w:cstheme="minorHAnsi"/>
                <w:b/>
                <w:i/>
                <w:color w:val="000000" w:themeColor="text1"/>
              </w:rPr>
              <w:t xml:space="preserve"> (foto P. Lakovskis)</w:t>
            </w:r>
          </w:p>
        </w:tc>
      </w:tr>
    </w:tbl>
    <w:p w14:paraId="4BF209FB" w14:textId="77777777" w:rsidR="00FB7B1D" w:rsidRPr="00675182" w:rsidRDefault="00FB7B1D" w:rsidP="00F050AD">
      <w:pPr>
        <w:rPr>
          <w:rFonts w:cstheme="minorHAnsi"/>
          <w:color w:val="000000" w:themeColor="text1"/>
        </w:rPr>
      </w:pPr>
    </w:p>
    <w:p w14:paraId="2FBA689F" w14:textId="0D6C68D4" w:rsidR="00995741" w:rsidRPr="00675182" w:rsidRDefault="00995741" w:rsidP="00995741">
      <w:pPr>
        <w:jc w:val="both"/>
        <w:rPr>
          <w:color w:val="000000" w:themeColor="text1"/>
        </w:rPr>
      </w:pPr>
      <w:r w:rsidRPr="00675182">
        <w:rPr>
          <w:color w:val="000000" w:themeColor="text1"/>
        </w:rPr>
        <w:t>Ainaviski nozīmīgākā GNP teritorija ir Gaujas senieleja ar Gaujas pieteku ielejām un tām pieguļošajām mežu platībām, zālāju ieslēgumiem virspalu terasēs un kultūrvēsturiskajām teritorijām. Gaujas senielejai raksturīgas dabiskas, daudzveidīgas un vizuāli augstvērtīgas ainavas (</w:t>
      </w:r>
      <w:r w:rsidR="00AE1818" w:rsidRPr="00675182">
        <w:rPr>
          <w:color w:val="000000" w:themeColor="text1"/>
        </w:rPr>
        <w:t xml:space="preserve">skat. </w:t>
      </w:r>
      <w:r w:rsidRPr="00675182">
        <w:rPr>
          <w:color w:val="000000" w:themeColor="text1"/>
        </w:rPr>
        <w:t>2.2.11 att</w:t>
      </w:r>
      <w:r w:rsidR="00AE1818" w:rsidRPr="00675182">
        <w:rPr>
          <w:color w:val="000000" w:themeColor="text1"/>
        </w:rPr>
        <w:t>ēlu</w:t>
      </w:r>
      <w:r w:rsidRPr="00675182">
        <w:rPr>
          <w:color w:val="000000" w:themeColor="text1"/>
        </w:rPr>
        <w:t>), kuru izteiksmīgumu rada izteiktais reljefs, atsegumi, Gaujas tecējums un pastāvīgi mainīgā ainava. Biežāk sastopamie skatu vērsumi Gaujas un tās pieteku ielejās ir tuvi un vidēji tāli. Gaujas ielejas ainavu plašums, mērogs un dabas vērtību koncentrācija nosaka tās unikalitāti un nacionālās nozīmes ainavu statusu.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4"/>
        <w:gridCol w:w="2883"/>
        <w:gridCol w:w="2524"/>
      </w:tblGrid>
      <w:tr w:rsidR="00995741" w:rsidRPr="00675182" w14:paraId="662A8F3C" w14:textId="77777777" w:rsidTr="00FD44C4">
        <w:tc>
          <w:tcPr>
            <w:tcW w:w="2900" w:type="dxa"/>
          </w:tcPr>
          <w:p w14:paraId="1D4C78FA" w14:textId="77777777" w:rsidR="00995741" w:rsidRPr="00675182" w:rsidRDefault="00995741" w:rsidP="00FD44C4">
            <w:pPr>
              <w:jc w:val="both"/>
              <w:rPr>
                <w:color w:val="000000" w:themeColor="text1"/>
              </w:rPr>
            </w:pPr>
            <w:r w:rsidRPr="00675182">
              <w:rPr>
                <w:noProof/>
                <w:color w:val="000000" w:themeColor="text1"/>
                <w:lang w:eastAsia="en-GB"/>
              </w:rPr>
              <w:lastRenderedPageBreak/>
              <w:drawing>
                <wp:inline distT="0" distB="0" distL="0" distR="0" wp14:anchorId="671B85D4" wp14:editId="25EA067C">
                  <wp:extent cx="1738745" cy="1304059"/>
                  <wp:effectExtent l="0" t="0" r="0" b="0"/>
                  <wp:docPr id="236" name="Picture 13" descr="A river with trees on the 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13" descr="A river with trees on the side&#10;&#10;Description automatically generated with low confidence"/>
                          <pic:cNvPicPr>
                            <a:picLocks noChangeAspect="1"/>
                          </pic:cNvPicPr>
                        </pic:nvPicPr>
                        <pic:blipFill>
                          <a:blip r:embed="rId131" cstate="print">
                            <a:extLst>
                              <a:ext uri="{28A0092B-C50C-407E-A947-70E740481C1C}">
                                <a14:useLocalDpi xmlns:a14="http://schemas.microsoft.com/office/drawing/2010/main"/>
                              </a:ext>
                            </a:extLst>
                          </a:blip>
                          <a:stretch>
                            <a:fillRect/>
                          </a:stretch>
                        </pic:blipFill>
                        <pic:spPr>
                          <a:xfrm>
                            <a:off x="0" y="0"/>
                            <a:ext cx="1759770" cy="1319828"/>
                          </a:xfrm>
                          <a:prstGeom prst="rect">
                            <a:avLst/>
                          </a:prstGeom>
                        </pic:spPr>
                      </pic:pic>
                    </a:graphicData>
                  </a:graphic>
                </wp:inline>
              </w:drawing>
            </w:r>
          </w:p>
          <w:p w14:paraId="19C9C0CD" w14:textId="77777777" w:rsidR="00995741" w:rsidRPr="00675182" w:rsidRDefault="00995741" w:rsidP="00FD44C4">
            <w:pPr>
              <w:jc w:val="both"/>
              <w:rPr>
                <w:color w:val="000000" w:themeColor="text1"/>
              </w:rPr>
            </w:pPr>
            <w:r w:rsidRPr="00675182">
              <w:rPr>
                <w:noProof/>
                <w:color w:val="000000" w:themeColor="text1"/>
                <w:lang w:eastAsia="en-GB"/>
              </w:rPr>
              <w:drawing>
                <wp:inline distT="0" distB="0" distL="0" distR="0" wp14:anchorId="1E078F2D" wp14:editId="230C79CE">
                  <wp:extent cx="1754841" cy="13152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769569" cy="1326238"/>
                          </a:xfrm>
                          <a:prstGeom prst="rect">
                            <a:avLst/>
                          </a:prstGeom>
                          <a:noFill/>
                        </pic:spPr>
                      </pic:pic>
                    </a:graphicData>
                  </a:graphic>
                </wp:inline>
              </w:drawing>
            </w:r>
          </w:p>
        </w:tc>
        <w:tc>
          <w:tcPr>
            <w:tcW w:w="2880" w:type="dxa"/>
          </w:tcPr>
          <w:p w14:paraId="6BF631DE" w14:textId="77777777" w:rsidR="00995741" w:rsidRPr="00675182" w:rsidRDefault="00995741" w:rsidP="00FD44C4">
            <w:pPr>
              <w:jc w:val="both"/>
              <w:rPr>
                <w:color w:val="000000" w:themeColor="text1"/>
              </w:rPr>
            </w:pPr>
            <w:r w:rsidRPr="00675182">
              <w:rPr>
                <w:noProof/>
                <w:color w:val="000000" w:themeColor="text1"/>
                <w:lang w:eastAsia="en-GB"/>
              </w:rPr>
              <w:drawing>
                <wp:inline distT="0" distB="0" distL="0" distR="0" wp14:anchorId="30A9A01D" wp14:editId="76704EED">
                  <wp:extent cx="1741362" cy="1306022"/>
                  <wp:effectExtent l="0" t="0" r="0" b="8890"/>
                  <wp:docPr id="268" name="Picture 4" descr="A dirt road through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4" descr="A dirt road through a forest&#10;&#10;Description automatically generated with medium confidence"/>
                          <pic:cNvPicPr>
                            <a:picLocks noChangeAspect="1"/>
                          </pic:cNvPicPr>
                        </pic:nvPicPr>
                        <pic:blipFill>
                          <a:blip r:embed="rId133" cstate="print">
                            <a:extLst>
                              <a:ext uri="{28A0092B-C50C-407E-A947-70E740481C1C}">
                                <a14:useLocalDpi xmlns:a14="http://schemas.microsoft.com/office/drawing/2010/main"/>
                              </a:ext>
                            </a:extLst>
                          </a:blip>
                          <a:stretch>
                            <a:fillRect/>
                          </a:stretch>
                        </pic:blipFill>
                        <pic:spPr>
                          <a:xfrm>
                            <a:off x="0" y="0"/>
                            <a:ext cx="1749588" cy="1312191"/>
                          </a:xfrm>
                          <a:prstGeom prst="rect">
                            <a:avLst/>
                          </a:prstGeom>
                        </pic:spPr>
                      </pic:pic>
                    </a:graphicData>
                  </a:graphic>
                </wp:inline>
              </w:drawing>
            </w:r>
          </w:p>
          <w:p w14:paraId="5EE3F0BB" w14:textId="77777777" w:rsidR="00995741" w:rsidRPr="00675182" w:rsidRDefault="00995741" w:rsidP="00FD44C4">
            <w:pPr>
              <w:jc w:val="both"/>
              <w:rPr>
                <w:color w:val="000000" w:themeColor="text1"/>
              </w:rPr>
            </w:pPr>
            <w:r w:rsidRPr="00675182">
              <w:rPr>
                <w:noProof/>
                <w:color w:val="000000" w:themeColor="text1"/>
                <w:lang w:eastAsia="en-GB"/>
              </w:rPr>
              <w:drawing>
                <wp:inline distT="0" distB="0" distL="0" distR="0" wp14:anchorId="4D90C47F" wp14:editId="45CF1347">
                  <wp:extent cx="1711037" cy="1283279"/>
                  <wp:effectExtent l="0" t="0" r="3810" b="0"/>
                  <wp:docPr id="228" name="Picture 13" descr="A picture containing tree, outdoor, water,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13" descr="A picture containing tree, outdoor, water, river&#10;&#10;Description automatically generated"/>
                          <pic:cNvPicPr>
                            <a:picLocks noChangeAspect="1"/>
                          </pic:cNvPicPr>
                        </pic:nvPicPr>
                        <pic:blipFill>
                          <a:blip r:embed="rId134" cstate="print">
                            <a:extLst>
                              <a:ext uri="{28A0092B-C50C-407E-A947-70E740481C1C}">
                                <a14:useLocalDpi xmlns:a14="http://schemas.microsoft.com/office/drawing/2010/main"/>
                              </a:ext>
                            </a:extLst>
                          </a:blip>
                          <a:stretch>
                            <a:fillRect/>
                          </a:stretch>
                        </pic:blipFill>
                        <pic:spPr>
                          <a:xfrm>
                            <a:off x="0" y="0"/>
                            <a:ext cx="1771003" cy="1328253"/>
                          </a:xfrm>
                          <a:prstGeom prst="rect">
                            <a:avLst/>
                          </a:prstGeom>
                        </pic:spPr>
                      </pic:pic>
                    </a:graphicData>
                  </a:graphic>
                </wp:inline>
              </w:drawing>
            </w:r>
          </w:p>
        </w:tc>
        <w:tc>
          <w:tcPr>
            <w:tcW w:w="2521" w:type="dxa"/>
          </w:tcPr>
          <w:p w14:paraId="6997231A" w14:textId="77777777" w:rsidR="00995741" w:rsidRPr="00675182" w:rsidRDefault="00995741" w:rsidP="00FD44C4">
            <w:pPr>
              <w:jc w:val="both"/>
              <w:rPr>
                <w:color w:val="000000" w:themeColor="text1"/>
              </w:rPr>
            </w:pPr>
            <w:r w:rsidRPr="00675182">
              <w:rPr>
                <w:noProof/>
                <w:color w:val="000000" w:themeColor="text1"/>
                <w:lang w:eastAsia="en-GB"/>
              </w:rPr>
              <w:drawing>
                <wp:inline distT="0" distB="0" distL="0" distR="0" wp14:anchorId="34236E26" wp14:editId="4E457C19">
                  <wp:extent cx="2005409" cy="1504057"/>
                  <wp:effectExtent l="3175" t="0" r="0" b="0"/>
                  <wp:docPr id="259" name="Picture 11" descr="A picture containing tree, outdoor, plant, conif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11" descr="A picture containing tree, outdoor, plant, conifer&#10;&#10;Description automatically generated"/>
                          <pic:cNvPicPr>
                            <a:picLocks noChangeAspect="1"/>
                          </pic:cNvPicPr>
                        </pic:nvPicPr>
                        <pic:blipFill>
                          <a:blip r:embed="rId135" cstate="print">
                            <a:extLst>
                              <a:ext uri="{28A0092B-C50C-407E-A947-70E740481C1C}">
                                <a14:useLocalDpi xmlns:a14="http://schemas.microsoft.com/office/drawing/2010/main"/>
                              </a:ext>
                            </a:extLst>
                          </a:blip>
                          <a:stretch>
                            <a:fillRect/>
                          </a:stretch>
                        </pic:blipFill>
                        <pic:spPr>
                          <a:xfrm rot="5400000">
                            <a:off x="0" y="0"/>
                            <a:ext cx="2017801" cy="1513351"/>
                          </a:xfrm>
                          <a:prstGeom prst="rect">
                            <a:avLst/>
                          </a:prstGeom>
                        </pic:spPr>
                      </pic:pic>
                    </a:graphicData>
                  </a:graphic>
                </wp:inline>
              </w:drawing>
            </w:r>
          </w:p>
        </w:tc>
      </w:tr>
      <w:tr w:rsidR="00995741" w:rsidRPr="00675182" w14:paraId="058E0EC9" w14:textId="77777777" w:rsidTr="00FD44C4">
        <w:tc>
          <w:tcPr>
            <w:tcW w:w="8301" w:type="dxa"/>
            <w:gridSpan w:val="3"/>
          </w:tcPr>
          <w:p w14:paraId="09C5D521" w14:textId="4D9AA09B" w:rsidR="00995741" w:rsidRPr="00675182" w:rsidRDefault="00995741" w:rsidP="00FD44C4">
            <w:pPr>
              <w:jc w:val="both"/>
              <w:rPr>
                <w:b/>
                <w:i/>
                <w:color w:val="000000" w:themeColor="text1"/>
              </w:rPr>
            </w:pPr>
            <w:r w:rsidRPr="00675182">
              <w:rPr>
                <w:b/>
                <w:i/>
                <w:color w:val="000000" w:themeColor="text1"/>
              </w:rPr>
              <w:t xml:space="preserve">2.2.11. attēls. Gaujas senielejas un tās pieteku ainavas </w:t>
            </w:r>
            <w:r w:rsidRPr="00675182">
              <w:rPr>
                <w:rFonts w:cstheme="minorHAnsi"/>
                <w:b/>
                <w:i/>
                <w:color w:val="000000" w:themeColor="text1"/>
              </w:rPr>
              <w:t>(foto: P. Lakovskis)</w:t>
            </w:r>
          </w:p>
        </w:tc>
      </w:tr>
    </w:tbl>
    <w:p w14:paraId="35D9E68C" w14:textId="77777777" w:rsidR="00995741" w:rsidRPr="00675182" w:rsidRDefault="00995741" w:rsidP="00995741">
      <w:pPr>
        <w:jc w:val="both"/>
        <w:rPr>
          <w:color w:val="000000" w:themeColor="text1"/>
        </w:rPr>
      </w:pPr>
    </w:p>
    <w:p w14:paraId="036E652D" w14:textId="77777777" w:rsidR="00995741" w:rsidRPr="00675182" w:rsidRDefault="00995741" w:rsidP="00995741">
      <w:pPr>
        <w:jc w:val="both"/>
        <w:rPr>
          <w:color w:val="000000" w:themeColor="text1"/>
        </w:rPr>
      </w:pPr>
      <w:r w:rsidRPr="00675182">
        <w:rPr>
          <w:color w:val="000000" w:themeColor="text1"/>
        </w:rPr>
        <w:t>Tāpat kā ainaviski nozīmīgas teritorijas GNP būtu jāatzīmē ezeru ainavas - Ungura, Vaidavas, Raiskuma un citi mazāki ezeri. To ainaviskais pievilcīgums veicina šo vietu izmantošanu rekreācijā, taču būtiski nodrošināt balansu starp ezeru un to piekrastes jutīgās teritorijas izmantošanas intensitāti, respektējot vietas mērogu.</w:t>
      </w:r>
    </w:p>
    <w:p w14:paraId="3D2C1A6F" w14:textId="77777777" w:rsidR="00995741" w:rsidRPr="00675182" w:rsidRDefault="00995741" w:rsidP="00995741">
      <w:pPr>
        <w:jc w:val="both"/>
        <w:rPr>
          <w:color w:val="000000" w:themeColor="text1"/>
        </w:rPr>
      </w:pPr>
    </w:p>
    <w:p w14:paraId="5FFED8CF" w14:textId="526815CA" w:rsidR="00995741" w:rsidRPr="00675182" w:rsidRDefault="00995741" w:rsidP="00995741">
      <w:pPr>
        <w:jc w:val="both"/>
        <w:rPr>
          <w:color w:val="000000" w:themeColor="text1"/>
        </w:rPr>
      </w:pPr>
      <w:r w:rsidRPr="00675182">
        <w:rPr>
          <w:color w:val="000000" w:themeColor="text1"/>
        </w:rPr>
        <w:t xml:space="preserve">Ainavu vizuālo vērtību GNP palielina plaši sastopamie kultūrvēstures pieminekļi, dabas pieminekļi un tādi vizuāli pievilcīgi ainavu elementi kā alejas, koku rindas, kuri daudzviet sastopami gar lielākiem autoceļiem un arī maziem māju ceļiem. Kultūrvēsturiskie pieminekļi raksturoti 1.1.16. nodaļā un 22. pielikumā. GNP ainavu pārvaldībā jau vēsturiski uzkrāta ievērojama pieredze, t.sk., daudzviet izveidojot skatu vietas. Ainavu apsekojumu ietvaros fiksētie objekti, dabas un kultūrvēsturiskie ainavu elementi, ainavu skatus ietekmējošie faktori (skat. 2.2.14. attēlu) fiksēti fotofiksācijas un attēloti ainavu kartē. Skatu vietas un ainavu uztveres ceļi/maršruti raksturoti pēc to tipa (skatu tornis, skatu vieta ar speciāli veidoti skatu vērsumu, ainaviskie ceļi/maršruti), paredzot tām atbilstošu apsaimniekošanu.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1990"/>
        <w:gridCol w:w="2011"/>
        <w:gridCol w:w="2300"/>
      </w:tblGrid>
      <w:tr w:rsidR="00995741" w:rsidRPr="00675182" w14:paraId="63F8CDB3" w14:textId="77777777" w:rsidTr="00FD44C4">
        <w:tc>
          <w:tcPr>
            <w:tcW w:w="1209" w:type="pct"/>
          </w:tcPr>
          <w:p w14:paraId="4ED057C9" w14:textId="77777777" w:rsidR="00995741" w:rsidRPr="00675182" w:rsidRDefault="00995741" w:rsidP="00FD44C4">
            <w:pPr>
              <w:rPr>
                <w:rFonts w:cstheme="minorHAnsi"/>
                <w:color w:val="000000" w:themeColor="text1"/>
              </w:rPr>
            </w:pPr>
            <w:r w:rsidRPr="00675182">
              <w:rPr>
                <w:rFonts w:cstheme="minorHAnsi"/>
                <w:noProof/>
                <w:color w:val="000000" w:themeColor="text1"/>
                <w:lang w:eastAsia="en-GB"/>
              </w:rPr>
              <w:drawing>
                <wp:inline distT="0" distB="0" distL="0" distR="0" wp14:anchorId="5AB6B22F" wp14:editId="2DDE8C84">
                  <wp:extent cx="1598630" cy="1199009"/>
                  <wp:effectExtent l="0" t="190500" r="0" b="172720"/>
                  <wp:docPr id="147" name="Picture 147"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A picture containing tree, outdoor, plant&#10;&#10;Description automatically generated"/>
                          <pic:cNvPicPr/>
                        </pic:nvPicPr>
                        <pic:blipFill>
                          <a:blip r:embed="rId136" cstate="print">
                            <a:extLst>
                              <a:ext uri="{28A0092B-C50C-407E-A947-70E740481C1C}">
                                <a14:useLocalDpi xmlns:a14="http://schemas.microsoft.com/office/drawing/2010/main" val="0"/>
                              </a:ext>
                            </a:extLst>
                          </a:blip>
                          <a:stretch>
                            <a:fillRect/>
                          </a:stretch>
                        </pic:blipFill>
                        <pic:spPr>
                          <a:xfrm rot="5400000">
                            <a:off x="0" y="0"/>
                            <a:ext cx="1603878" cy="1202945"/>
                          </a:xfrm>
                          <a:prstGeom prst="rect">
                            <a:avLst/>
                          </a:prstGeom>
                        </pic:spPr>
                      </pic:pic>
                    </a:graphicData>
                  </a:graphic>
                </wp:inline>
              </w:drawing>
            </w:r>
          </w:p>
        </w:tc>
        <w:tc>
          <w:tcPr>
            <w:tcW w:w="1197" w:type="pct"/>
          </w:tcPr>
          <w:p w14:paraId="29C4AB03" w14:textId="77777777" w:rsidR="00995741" w:rsidRPr="00675182" w:rsidRDefault="00995741" w:rsidP="00FD44C4">
            <w:pPr>
              <w:rPr>
                <w:rFonts w:cstheme="minorHAnsi"/>
                <w:color w:val="000000" w:themeColor="text1"/>
              </w:rPr>
            </w:pPr>
            <w:r w:rsidRPr="00675182">
              <w:rPr>
                <w:rFonts w:cstheme="minorHAnsi"/>
                <w:noProof/>
                <w:color w:val="000000" w:themeColor="text1"/>
                <w:lang w:eastAsia="en-GB"/>
              </w:rPr>
              <w:drawing>
                <wp:inline distT="0" distB="0" distL="0" distR="0" wp14:anchorId="4DC17CD1" wp14:editId="12DE481A">
                  <wp:extent cx="1581834" cy="1186411"/>
                  <wp:effectExtent l="0" t="190500" r="0" b="185420"/>
                  <wp:docPr id="148" name="Picture 148"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picture containing tree, outdoor, plant&#10;&#10;Description automatically generated"/>
                          <pic:cNvPicPr/>
                        </pic:nvPicPr>
                        <pic:blipFill>
                          <a:blip r:embed="rId137" cstate="print">
                            <a:extLst>
                              <a:ext uri="{28A0092B-C50C-407E-A947-70E740481C1C}">
                                <a14:useLocalDpi xmlns:a14="http://schemas.microsoft.com/office/drawing/2010/main" val="0"/>
                              </a:ext>
                            </a:extLst>
                          </a:blip>
                          <a:stretch>
                            <a:fillRect/>
                          </a:stretch>
                        </pic:blipFill>
                        <pic:spPr>
                          <a:xfrm rot="5400000">
                            <a:off x="0" y="0"/>
                            <a:ext cx="1593641" cy="1195267"/>
                          </a:xfrm>
                          <a:prstGeom prst="rect">
                            <a:avLst/>
                          </a:prstGeom>
                        </pic:spPr>
                      </pic:pic>
                    </a:graphicData>
                  </a:graphic>
                </wp:inline>
              </w:drawing>
            </w:r>
          </w:p>
        </w:tc>
        <w:tc>
          <w:tcPr>
            <w:tcW w:w="1210" w:type="pct"/>
          </w:tcPr>
          <w:p w14:paraId="78E168A1" w14:textId="77777777" w:rsidR="00995741" w:rsidRPr="00675182" w:rsidRDefault="00995741" w:rsidP="00FD44C4">
            <w:pPr>
              <w:rPr>
                <w:rFonts w:cstheme="minorHAnsi"/>
                <w:color w:val="000000" w:themeColor="text1"/>
              </w:rPr>
            </w:pPr>
            <w:r w:rsidRPr="00675182">
              <w:rPr>
                <w:rFonts w:cstheme="minorHAnsi"/>
                <w:noProof/>
                <w:color w:val="000000" w:themeColor="text1"/>
                <w:lang w:eastAsia="en-GB"/>
              </w:rPr>
              <w:drawing>
                <wp:inline distT="0" distB="0" distL="0" distR="0" wp14:anchorId="7480CFAE" wp14:editId="0CAC35EF">
                  <wp:extent cx="1600913" cy="1200722"/>
                  <wp:effectExtent l="0" t="190500" r="0" b="171450"/>
                  <wp:docPr id="149" name="Picture 149" descr="A picture contain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A picture containing tree&#10;&#10;Description automatically generated"/>
                          <pic:cNvPicPr/>
                        </pic:nvPicPr>
                        <pic:blipFill>
                          <a:blip r:embed="rId138" cstate="print">
                            <a:extLst>
                              <a:ext uri="{28A0092B-C50C-407E-A947-70E740481C1C}">
                                <a14:useLocalDpi xmlns:a14="http://schemas.microsoft.com/office/drawing/2010/main" val="0"/>
                              </a:ext>
                            </a:extLst>
                          </a:blip>
                          <a:stretch>
                            <a:fillRect/>
                          </a:stretch>
                        </pic:blipFill>
                        <pic:spPr>
                          <a:xfrm rot="5400000">
                            <a:off x="0" y="0"/>
                            <a:ext cx="1610909" cy="1208220"/>
                          </a:xfrm>
                          <a:prstGeom prst="rect">
                            <a:avLst/>
                          </a:prstGeom>
                        </pic:spPr>
                      </pic:pic>
                    </a:graphicData>
                  </a:graphic>
                </wp:inline>
              </w:drawing>
            </w:r>
          </w:p>
        </w:tc>
        <w:tc>
          <w:tcPr>
            <w:tcW w:w="1384" w:type="pct"/>
            <w:vAlign w:val="center"/>
          </w:tcPr>
          <w:p w14:paraId="7A77E0D2" w14:textId="77777777" w:rsidR="00995741" w:rsidRPr="00675182" w:rsidRDefault="00995741" w:rsidP="00FD44C4">
            <w:pPr>
              <w:jc w:val="center"/>
              <w:rPr>
                <w:rFonts w:cstheme="minorHAnsi"/>
                <w:noProof/>
                <w:color w:val="000000" w:themeColor="text1"/>
                <w:lang w:eastAsia="lv-LV"/>
              </w:rPr>
            </w:pPr>
            <w:r w:rsidRPr="00675182">
              <w:rPr>
                <w:rFonts w:cstheme="minorHAnsi"/>
                <w:noProof/>
                <w:color w:val="000000" w:themeColor="text1"/>
                <w:lang w:eastAsia="en-GB"/>
              </w:rPr>
              <w:drawing>
                <wp:inline distT="0" distB="0" distL="0" distR="0" wp14:anchorId="459DBEB5" wp14:editId="4FA9F806">
                  <wp:extent cx="1393190" cy="1045210"/>
                  <wp:effectExtent l="0" t="0" r="0" b="0"/>
                  <wp:docPr id="150" name="Picture 150" descr="A red house with a lawn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red house with a lawn in front of it&#10;&#10;Description automatically generated with low confidenc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393190" cy="1045210"/>
                          </a:xfrm>
                          <a:prstGeom prst="rect">
                            <a:avLst/>
                          </a:prstGeom>
                        </pic:spPr>
                      </pic:pic>
                    </a:graphicData>
                  </a:graphic>
                </wp:inline>
              </w:drawing>
            </w:r>
          </w:p>
        </w:tc>
      </w:tr>
      <w:tr w:rsidR="00995741" w:rsidRPr="00675182" w14:paraId="0074DD6C" w14:textId="77777777" w:rsidTr="00FD44C4">
        <w:tc>
          <w:tcPr>
            <w:tcW w:w="5000" w:type="pct"/>
            <w:gridSpan w:val="4"/>
          </w:tcPr>
          <w:p w14:paraId="5AF83E24" w14:textId="4010483B" w:rsidR="00995741" w:rsidRPr="00675182" w:rsidRDefault="00995741" w:rsidP="00FD44C4">
            <w:pPr>
              <w:rPr>
                <w:rFonts w:cstheme="minorHAnsi"/>
                <w:b/>
                <w:i/>
                <w:color w:val="000000" w:themeColor="text1"/>
              </w:rPr>
            </w:pPr>
            <w:r w:rsidRPr="00675182">
              <w:rPr>
                <w:rFonts w:cstheme="minorHAnsi"/>
                <w:b/>
                <w:i/>
                <w:color w:val="000000" w:themeColor="text1"/>
              </w:rPr>
              <w:t>2.2.12. attēls. Skats un Turaidas pili, aleja Drabešu pagastā, skats no Cēsu baznīcas torņa un Ungurmuiža (foto: P. Lakovskis)</w:t>
            </w:r>
          </w:p>
        </w:tc>
      </w:tr>
    </w:tbl>
    <w:p w14:paraId="1E5F32C1" w14:textId="77777777" w:rsidR="00995741" w:rsidRPr="00675182" w:rsidRDefault="00995741" w:rsidP="00995741">
      <w:pPr>
        <w:jc w:val="both"/>
        <w:rPr>
          <w:color w:val="000000" w:themeColor="text1"/>
        </w:rPr>
      </w:pPr>
    </w:p>
    <w:p w14:paraId="452AEAA2" w14:textId="77777777" w:rsidR="00995741" w:rsidRPr="00675182" w:rsidRDefault="00995741" w:rsidP="00995741">
      <w:pPr>
        <w:jc w:val="both"/>
        <w:rPr>
          <w:color w:val="000000" w:themeColor="text1"/>
        </w:rPr>
      </w:pPr>
      <w:r w:rsidRPr="00675182">
        <w:rPr>
          <w:color w:val="000000" w:themeColor="text1"/>
        </w:rPr>
        <w:t xml:space="preserve">GNP nozīmīgākās ainavu teritorijas tiek plaši izmantotas rekreācijas un tūrisma funkciju nodrošināšanai. Tieši ainaviskās un dabas vērtības ir pamats vietu augstajam </w:t>
      </w:r>
      <w:r w:rsidRPr="00675182">
        <w:rPr>
          <w:color w:val="000000" w:themeColor="text1"/>
        </w:rPr>
        <w:lastRenderedPageBreak/>
        <w:t xml:space="preserve">tūrisma potenciālam. Lai gan rekreācijas slodze uz GNP ainavām patstāvīgi pieaug un ar ļoti izteiktu sezonālu raksturu, līdz šim būtiski ainavas negatīvi ietekmējoši faktori no tās Gaujas senielejā nav konstatēti, pateicoties regulāri pilnveidotai un uzturētai infrastruktūrai. Ņemot vērā augošo antropogēno ietekmi uz GNP ainaviskajām teritorijām (jo īpaši Gaujas senieleju) un dabiskos sukcesijas procesus (atklāto vietu aizaugšana/apmežošanās), atsevišķās vietās pastāv riski raksturīgās dabiskās ainavas un tās kvalitātes samazinājumam, piemēram, blīvi izvietotas pastāvīgas apbūves un/vai infrastruktūras objektu (dabiskajai Gaujas senielejai netipisku) teritoriju izveide. </w:t>
      </w:r>
    </w:p>
    <w:p w14:paraId="1A782A00" w14:textId="77777777" w:rsidR="00995741" w:rsidRPr="00675182" w:rsidRDefault="00995741" w:rsidP="00995741">
      <w:pPr>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2770"/>
        <w:gridCol w:w="2770"/>
      </w:tblGrid>
      <w:tr w:rsidR="00995741" w:rsidRPr="00675182" w14:paraId="20E606C8" w14:textId="77777777" w:rsidTr="00FD44C4">
        <w:tc>
          <w:tcPr>
            <w:tcW w:w="2771" w:type="dxa"/>
          </w:tcPr>
          <w:p w14:paraId="0EEFF567" w14:textId="77777777" w:rsidR="00995741" w:rsidRPr="00675182" w:rsidRDefault="00995741" w:rsidP="00FD44C4">
            <w:pPr>
              <w:rPr>
                <w:rFonts w:cstheme="minorHAnsi"/>
                <w:color w:val="000000" w:themeColor="text1"/>
              </w:rPr>
            </w:pPr>
            <w:r w:rsidRPr="00675182">
              <w:rPr>
                <w:rFonts w:cstheme="minorHAnsi"/>
                <w:noProof/>
                <w:color w:val="000000" w:themeColor="text1"/>
                <w:lang w:eastAsia="en-GB"/>
              </w:rPr>
              <w:drawing>
                <wp:inline distT="0" distB="0" distL="0" distR="0" wp14:anchorId="469CE8F4" wp14:editId="0CA1AC44">
                  <wp:extent cx="1728000" cy="1295948"/>
                  <wp:effectExtent l="0" t="0" r="5715" b="0"/>
                  <wp:docPr id="151" name="Picture 151" descr="A picture containing grass, tree,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A picture containing grass, tree, outdoor, sky&#10;&#10;Description automatically generated"/>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728000" cy="1295948"/>
                          </a:xfrm>
                          <a:prstGeom prst="rect">
                            <a:avLst/>
                          </a:prstGeom>
                        </pic:spPr>
                      </pic:pic>
                    </a:graphicData>
                  </a:graphic>
                </wp:inline>
              </w:drawing>
            </w:r>
          </w:p>
        </w:tc>
        <w:tc>
          <w:tcPr>
            <w:tcW w:w="2770" w:type="dxa"/>
          </w:tcPr>
          <w:p w14:paraId="26A63B20" w14:textId="77777777" w:rsidR="00995741" w:rsidRPr="00675182" w:rsidRDefault="00995741" w:rsidP="00FD44C4">
            <w:pPr>
              <w:rPr>
                <w:rFonts w:cstheme="minorHAnsi"/>
                <w:color w:val="000000" w:themeColor="text1"/>
              </w:rPr>
            </w:pPr>
            <w:r w:rsidRPr="00675182">
              <w:rPr>
                <w:rFonts w:cstheme="minorHAnsi"/>
                <w:noProof/>
                <w:color w:val="000000" w:themeColor="text1"/>
                <w:lang w:eastAsia="en-GB"/>
              </w:rPr>
              <w:drawing>
                <wp:inline distT="0" distB="0" distL="0" distR="0" wp14:anchorId="315A5517" wp14:editId="717F2985">
                  <wp:extent cx="1728000" cy="1295948"/>
                  <wp:effectExtent l="0" t="0" r="5715" b="0"/>
                  <wp:docPr id="152" name="Picture 152" descr="A picture containing sky, outdoor, nature, clou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A picture containing sky, outdoor, nature, cloudy&#10;&#10;Description automatically generated"/>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728000" cy="1295948"/>
                          </a:xfrm>
                          <a:prstGeom prst="rect">
                            <a:avLst/>
                          </a:prstGeom>
                        </pic:spPr>
                      </pic:pic>
                    </a:graphicData>
                  </a:graphic>
                </wp:inline>
              </w:drawing>
            </w:r>
          </w:p>
        </w:tc>
        <w:tc>
          <w:tcPr>
            <w:tcW w:w="2770" w:type="dxa"/>
          </w:tcPr>
          <w:p w14:paraId="5236F1C5" w14:textId="77777777" w:rsidR="00995741" w:rsidRPr="00675182" w:rsidRDefault="00995741" w:rsidP="00FD44C4">
            <w:pPr>
              <w:rPr>
                <w:rFonts w:cstheme="minorHAnsi"/>
                <w:color w:val="000000" w:themeColor="text1"/>
              </w:rPr>
            </w:pPr>
            <w:r w:rsidRPr="00675182">
              <w:rPr>
                <w:rFonts w:cstheme="minorHAnsi"/>
                <w:noProof/>
                <w:color w:val="000000" w:themeColor="text1"/>
                <w:lang w:eastAsia="en-GB"/>
              </w:rPr>
              <w:drawing>
                <wp:inline distT="0" distB="0" distL="0" distR="0" wp14:anchorId="3668CF2C" wp14:editId="6DE0AE90">
                  <wp:extent cx="1728000" cy="1295948"/>
                  <wp:effectExtent l="0" t="0" r="5715" b="0"/>
                  <wp:docPr id="153" name="Picture 153" descr="A dirt path through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A dirt path through a forest&#10;&#10;Description automatically generated with medium confidence"/>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728000" cy="1295948"/>
                          </a:xfrm>
                          <a:prstGeom prst="rect">
                            <a:avLst/>
                          </a:prstGeom>
                        </pic:spPr>
                      </pic:pic>
                    </a:graphicData>
                  </a:graphic>
                </wp:inline>
              </w:drawing>
            </w:r>
          </w:p>
        </w:tc>
      </w:tr>
      <w:tr w:rsidR="00995741" w:rsidRPr="00675182" w14:paraId="744D8C0A" w14:textId="77777777" w:rsidTr="00FD44C4">
        <w:tc>
          <w:tcPr>
            <w:tcW w:w="8311" w:type="dxa"/>
            <w:gridSpan w:val="3"/>
          </w:tcPr>
          <w:p w14:paraId="339EF5EE" w14:textId="311E6769" w:rsidR="00995741" w:rsidRPr="00675182" w:rsidRDefault="00995741" w:rsidP="00FD44C4">
            <w:pPr>
              <w:rPr>
                <w:rFonts w:cstheme="minorHAnsi"/>
                <w:b/>
                <w:i/>
                <w:color w:val="000000" w:themeColor="text1"/>
              </w:rPr>
            </w:pPr>
            <w:r w:rsidRPr="00675182">
              <w:rPr>
                <w:rFonts w:cstheme="minorHAnsi"/>
                <w:b/>
                <w:i/>
                <w:color w:val="000000" w:themeColor="text1"/>
              </w:rPr>
              <w:t>2.2.13. attēls. Atpūtas vieta pie Gaujas, skats uz Ungura ezeru un dabas taka pie Siguldas (foto P. Lakovskis)</w:t>
            </w:r>
          </w:p>
        </w:tc>
      </w:tr>
    </w:tbl>
    <w:p w14:paraId="5E026101" w14:textId="77777777" w:rsidR="00995741" w:rsidRPr="00675182" w:rsidRDefault="00995741" w:rsidP="00995741">
      <w:pPr>
        <w:jc w:val="both"/>
        <w:rPr>
          <w:color w:val="000000" w:themeColor="text1"/>
        </w:rPr>
      </w:pPr>
    </w:p>
    <w:p w14:paraId="1C50497E" w14:textId="77777777" w:rsidR="00995741" w:rsidRPr="00675182" w:rsidRDefault="00995741" w:rsidP="00995741">
      <w:pPr>
        <w:jc w:val="both"/>
        <w:rPr>
          <w:color w:val="000000" w:themeColor="text1"/>
        </w:rPr>
      </w:pPr>
      <w:r w:rsidRPr="00675182">
        <w:rPr>
          <w:color w:val="000000" w:themeColor="text1"/>
        </w:rPr>
        <w:t>Ņemot vērā vairāku lielo pilsētu tuvumu un arī teritorijas ainavisko vērtību, GNP teritorijā ir augsts savrupmāju īpatsvars, kurš nākotnē visticamāk tikai palielināsies, tāpēc teritorijas plānojumos, veicot ainavisko novērtējumu, iestrādājami atbilstoši izmantošanas un apbūves noteikumi Kultūrvēsturiski nozīmīgai apbūvei GNP patlaban ir piemērots atbilstošs aizsardzības statuss, izņemot apbūvei Buliņos (Valmieras novads), kur vienā mājkopā atrodas vairākas ēkas ar saglabātiem vēsturiskiem arhitektoniskiem risinājumiem un apdares materiāliem.</w:t>
      </w:r>
    </w:p>
    <w:p w14:paraId="4F20305A" w14:textId="77777777" w:rsidR="00995741" w:rsidRPr="00675182" w:rsidRDefault="00995741" w:rsidP="00995741">
      <w:pPr>
        <w:jc w:val="both"/>
        <w:rPr>
          <w:color w:val="000000" w:themeColor="text1"/>
        </w:rPr>
      </w:pPr>
    </w:p>
    <w:p w14:paraId="20EBD4C6" w14:textId="2EDECD7B" w:rsidR="00995741" w:rsidRPr="00675182" w:rsidRDefault="00995741" w:rsidP="00995741">
      <w:pPr>
        <w:jc w:val="both"/>
        <w:rPr>
          <w:color w:val="000000" w:themeColor="text1"/>
        </w:rPr>
      </w:pPr>
      <w:r w:rsidRPr="00675182">
        <w:rPr>
          <w:color w:val="000000" w:themeColor="text1"/>
        </w:rPr>
        <w:t xml:space="preserve">Patlaban kā nozīmīgākos ainavu negatīvi ietekmējošos faktorus un potenciālos riska avotus var minēt derīgo izrakteņu ieguves vietu un to pieguļošo teritoriju apsaimniekošanu (jo īpaši krautuvju) izveidi atsevišķos ainaviski jutīgos ceļu posmos, piemēram, ceļa posmā uz Cēsīm, kurš ir nozīmīgs apmeklētājiem un daļa no GNP vizītkartes. Šādās vietās, kur saduras saimnieciskā rakstura jautājumi ar GNP kā nacionālas nozīmes teritoriju, rodami risinājumi līdzās pastāvēšanai, mazinot galvenokārt vizuālās ietekmes uz ainavu. GNP teritoriju ārpus senielejas šķērso vairāki lieli līnijveida infrastruktūras (330 un 110 kW elektrotrases, gāzes vads, dzelzceļš) objekti, kuru klātesamību ietekmē GNP ģeogrāfiskais novietojums starp vairākām pilsētām un lieliem autoceļiem. Nenoliedzami šādas lineārās būves teritoriju fragmentē, jo īpaši mežaudzes, taču patlaban to ietekme nav vērtējama kā būtiski negatīva, paturot arī prātā to svarīgo tautsaimniecisko nozīmi. GNP ainaviski nozīmīgākās teritorijas minētie lineārie elementi ietekmē atsevišķās šķērsojuma vietās, neietekmējot ekoloģisko funkcionalitāti. Vizuāli ietekmes novērojamas šo objektu tuvākajā apkārtnē atsevišķos īsos upes/ceļa posmos, taču tie būtiski neietekmē GNP ainaviski nozīmīgo teritoriju kvalitāti. Papildu lielu un vizuāli uztveramu </w:t>
      </w:r>
      <w:r w:rsidR="00AE1818" w:rsidRPr="00675182">
        <w:rPr>
          <w:color w:val="000000" w:themeColor="text1"/>
        </w:rPr>
        <w:t>līnijveida</w:t>
      </w:r>
      <w:r w:rsidRPr="00675182">
        <w:rPr>
          <w:color w:val="000000" w:themeColor="text1"/>
        </w:rPr>
        <w:t xml:space="preserve"> objektu izvietošana ainaviski nozīmīgās teritorijās GNP nebūtu vēlama, tāpēc jaunas iniciatīvas būtu rūpīgi jāizvērtē. GNP vietām ainavu skatos galvenokārt no ceļiem ir vērojams palielināts elektrolīniju un telekomunikāciju trašu </w:t>
      </w:r>
      <w:r w:rsidRPr="00675182">
        <w:rPr>
          <w:color w:val="000000" w:themeColor="text1"/>
        </w:rPr>
        <w:lastRenderedPageBreak/>
        <w:t>tīklojums un blīvums, taču mūsdienīgu risinājumu (elektrotrases tiek ieraktas, gaisvadu līnijas aizstāj bezvadu risinājumi) rezultātā šī ietekme uz ainavu mazinās, tādējādi speciāli noteikumi no ainavu aspekta to ekspluatācijā patlaban nav nepieciešami. Tāpēc nacionālā parka ainavu aizsardzībā jāsaglabā ierobežojumi liela mēroga infrastruktūras objektu, piemēram, vēja parku izvietošanai arī turpmāk.</w:t>
      </w:r>
    </w:p>
    <w:p w14:paraId="124E6EDF" w14:textId="77777777" w:rsidR="00995741" w:rsidRPr="00675182" w:rsidRDefault="00995741" w:rsidP="00995741">
      <w:pPr>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1"/>
        <w:gridCol w:w="2770"/>
        <w:gridCol w:w="2770"/>
      </w:tblGrid>
      <w:tr w:rsidR="00995741" w:rsidRPr="00675182" w14:paraId="7373060F" w14:textId="77777777" w:rsidTr="00FD44C4">
        <w:tc>
          <w:tcPr>
            <w:tcW w:w="2843" w:type="dxa"/>
          </w:tcPr>
          <w:p w14:paraId="66002AAA" w14:textId="77777777" w:rsidR="00995741" w:rsidRPr="00675182" w:rsidRDefault="00995741" w:rsidP="00FD44C4">
            <w:pPr>
              <w:rPr>
                <w:rFonts w:cstheme="minorHAnsi"/>
                <w:color w:val="000000" w:themeColor="text1"/>
              </w:rPr>
            </w:pPr>
            <w:r w:rsidRPr="00675182">
              <w:rPr>
                <w:rFonts w:cstheme="minorHAnsi"/>
                <w:noProof/>
                <w:color w:val="000000" w:themeColor="text1"/>
                <w:lang w:eastAsia="en-GB"/>
              </w:rPr>
              <w:drawing>
                <wp:inline distT="0" distB="0" distL="0" distR="0" wp14:anchorId="5F95B383" wp14:editId="0D148355">
                  <wp:extent cx="1728000" cy="1295948"/>
                  <wp:effectExtent l="0" t="0" r="5715" b="0"/>
                  <wp:docPr id="154" name="Picture 154" descr="A picture containing sky, outdoor, grass,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A picture containing sky, outdoor, grass, outdoor object&#10;&#10;Description automatically generated"/>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728000" cy="1295948"/>
                          </a:xfrm>
                          <a:prstGeom prst="rect">
                            <a:avLst/>
                          </a:prstGeom>
                        </pic:spPr>
                      </pic:pic>
                    </a:graphicData>
                  </a:graphic>
                </wp:inline>
              </w:drawing>
            </w:r>
          </w:p>
        </w:tc>
        <w:tc>
          <w:tcPr>
            <w:tcW w:w="2842" w:type="dxa"/>
          </w:tcPr>
          <w:p w14:paraId="2F71AACE" w14:textId="77777777" w:rsidR="00995741" w:rsidRPr="00675182" w:rsidRDefault="00995741" w:rsidP="00FD44C4">
            <w:pPr>
              <w:rPr>
                <w:rFonts w:cstheme="minorHAnsi"/>
                <w:color w:val="000000" w:themeColor="text1"/>
              </w:rPr>
            </w:pPr>
            <w:r w:rsidRPr="00675182">
              <w:rPr>
                <w:rFonts w:cstheme="minorHAnsi"/>
                <w:noProof/>
                <w:color w:val="000000" w:themeColor="text1"/>
                <w:lang w:eastAsia="en-GB"/>
              </w:rPr>
              <w:drawing>
                <wp:inline distT="0" distB="0" distL="0" distR="0" wp14:anchorId="66FF0614" wp14:editId="609921ED">
                  <wp:extent cx="1728000" cy="1295948"/>
                  <wp:effectExtent l="0" t="0" r="5715" b="0"/>
                  <wp:docPr id="155" name="Picture 155" descr="A picture containing outdoor, tree, grass,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outdoor, tree, grass, ground&#10;&#10;Description automatically generated"/>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728000" cy="1295948"/>
                          </a:xfrm>
                          <a:prstGeom prst="rect">
                            <a:avLst/>
                          </a:prstGeom>
                        </pic:spPr>
                      </pic:pic>
                    </a:graphicData>
                  </a:graphic>
                </wp:inline>
              </w:drawing>
            </w:r>
          </w:p>
        </w:tc>
        <w:tc>
          <w:tcPr>
            <w:tcW w:w="2842" w:type="dxa"/>
          </w:tcPr>
          <w:p w14:paraId="36B25BA8" w14:textId="77777777" w:rsidR="00995741" w:rsidRPr="00675182" w:rsidRDefault="00995741" w:rsidP="00FD44C4">
            <w:pPr>
              <w:rPr>
                <w:rFonts w:cstheme="minorHAnsi"/>
                <w:color w:val="000000" w:themeColor="text1"/>
              </w:rPr>
            </w:pPr>
            <w:r w:rsidRPr="00675182">
              <w:rPr>
                <w:rFonts w:cstheme="minorHAnsi"/>
                <w:noProof/>
                <w:color w:val="000000" w:themeColor="text1"/>
                <w:lang w:eastAsia="en-GB"/>
              </w:rPr>
              <w:drawing>
                <wp:inline distT="0" distB="0" distL="0" distR="0" wp14:anchorId="6DB77A2E" wp14:editId="32D724EE">
                  <wp:extent cx="1728000" cy="1295948"/>
                  <wp:effectExtent l="0" t="0" r="5715" b="0"/>
                  <wp:docPr id="156" name="Picture 156" descr="A picture containing grass, outdoor, sky,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A picture containing grass, outdoor, sky, day&#10;&#10;Description automatically generated"/>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728000" cy="1295948"/>
                          </a:xfrm>
                          <a:prstGeom prst="rect">
                            <a:avLst/>
                          </a:prstGeom>
                        </pic:spPr>
                      </pic:pic>
                    </a:graphicData>
                  </a:graphic>
                </wp:inline>
              </w:drawing>
            </w:r>
          </w:p>
        </w:tc>
      </w:tr>
      <w:tr w:rsidR="00995741" w:rsidRPr="00675182" w14:paraId="3AAE151C" w14:textId="77777777" w:rsidTr="00FD44C4">
        <w:tc>
          <w:tcPr>
            <w:tcW w:w="8527" w:type="dxa"/>
            <w:gridSpan w:val="3"/>
          </w:tcPr>
          <w:p w14:paraId="1EBC58F9" w14:textId="758A2F2F" w:rsidR="00995741" w:rsidRPr="00675182" w:rsidRDefault="00995741" w:rsidP="00FD44C4">
            <w:pPr>
              <w:rPr>
                <w:rFonts w:cstheme="minorHAnsi"/>
                <w:b/>
                <w:i/>
                <w:color w:val="000000" w:themeColor="text1"/>
              </w:rPr>
            </w:pPr>
            <w:r w:rsidRPr="00675182">
              <w:rPr>
                <w:rFonts w:cstheme="minorHAnsi"/>
                <w:b/>
                <w:i/>
                <w:color w:val="000000" w:themeColor="text1"/>
              </w:rPr>
              <w:t>2.2.14. attēls. Skats uz ainavu ar elektrolīnijām, atpūtas vieta Gaujmalā pie Siguldas, industriāla LIZ ainava Lielputniņos (foto P. Lakovskis)</w:t>
            </w:r>
          </w:p>
        </w:tc>
      </w:tr>
    </w:tbl>
    <w:p w14:paraId="436CA60B" w14:textId="386452F7" w:rsidR="00995741" w:rsidRPr="00675182" w:rsidRDefault="00995741" w:rsidP="00995741">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AE1818" w:rsidRPr="00675182" w14:paraId="7BAA763D" w14:textId="77777777" w:rsidTr="001E34A9">
        <w:tc>
          <w:tcPr>
            <w:tcW w:w="8301" w:type="dxa"/>
          </w:tcPr>
          <w:p w14:paraId="611EF504" w14:textId="1D927066" w:rsidR="00AE1818" w:rsidRPr="00675182" w:rsidRDefault="001E34A9" w:rsidP="00995741">
            <w:pPr>
              <w:jc w:val="both"/>
            </w:pPr>
            <w:r w:rsidRPr="00675182">
              <w:rPr>
                <w:noProof/>
              </w:rPr>
              <w:drawing>
                <wp:inline distT="0" distB="0" distL="0" distR="0" wp14:anchorId="03C2D4E7" wp14:editId="3A394794">
                  <wp:extent cx="5195436" cy="3672000"/>
                  <wp:effectExtent l="0" t="0" r="5715" b="508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195436" cy="3672000"/>
                          </a:xfrm>
                          <a:prstGeom prst="rect">
                            <a:avLst/>
                          </a:prstGeom>
                          <a:noFill/>
                          <a:ln>
                            <a:noFill/>
                          </a:ln>
                        </pic:spPr>
                      </pic:pic>
                    </a:graphicData>
                  </a:graphic>
                </wp:inline>
              </w:drawing>
            </w:r>
          </w:p>
        </w:tc>
      </w:tr>
      <w:tr w:rsidR="00AE1818" w:rsidRPr="00675182" w14:paraId="34A0FBEB" w14:textId="77777777" w:rsidTr="001E34A9">
        <w:tc>
          <w:tcPr>
            <w:tcW w:w="8301" w:type="dxa"/>
          </w:tcPr>
          <w:p w14:paraId="5586EF8E" w14:textId="0597DF82" w:rsidR="00AE1818" w:rsidRPr="00675182" w:rsidRDefault="00AE1818" w:rsidP="00995741">
            <w:pPr>
              <w:jc w:val="both"/>
            </w:pPr>
            <w:r w:rsidRPr="00675182">
              <w:rPr>
                <w:rFonts w:cstheme="minorHAnsi"/>
                <w:b/>
                <w:i/>
                <w:color w:val="000000" w:themeColor="text1"/>
              </w:rPr>
              <w:t>2.2.15. attēls.</w:t>
            </w:r>
            <w:r w:rsidRPr="00675182">
              <w:t xml:space="preserve"> </w:t>
            </w:r>
            <w:r w:rsidRPr="00675182">
              <w:rPr>
                <w:rFonts w:cstheme="minorHAnsi"/>
                <w:b/>
                <w:i/>
                <w:color w:val="000000" w:themeColor="text1"/>
              </w:rPr>
              <w:t>Ainavu negatīvi ietekmējošie faktori un potenciālie riska avoti GNP</w:t>
            </w:r>
          </w:p>
        </w:tc>
      </w:tr>
    </w:tbl>
    <w:p w14:paraId="7BCFAB16" w14:textId="0C812ADB" w:rsidR="00AE1818" w:rsidRPr="00675182" w:rsidRDefault="00AE1818" w:rsidP="00995741">
      <w:pPr>
        <w:jc w:val="both"/>
      </w:pPr>
    </w:p>
    <w:p w14:paraId="3A2AC9CA" w14:textId="74C5E854" w:rsidR="00995741" w:rsidRPr="00675182" w:rsidRDefault="00995741" w:rsidP="00995741">
      <w:pPr>
        <w:jc w:val="both"/>
      </w:pPr>
      <w:r w:rsidRPr="00675182">
        <w:t>Ņemto vērā teritorijas ainavisko novērtējumu, ir sagatavota GNP ainavisko teritoriju un objektu karte (</w:t>
      </w:r>
      <w:r w:rsidR="00AE1818" w:rsidRPr="00675182">
        <w:t xml:space="preserve">skat. </w:t>
      </w:r>
      <w:r w:rsidRPr="00675182">
        <w:t>2.2.1</w:t>
      </w:r>
      <w:r w:rsidR="00AE1818" w:rsidRPr="00675182">
        <w:t>6</w:t>
      </w:r>
      <w:r w:rsidRPr="00675182">
        <w:t>. attēl</w:t>
      </w:r>
      <w:r w:rsidR="00AE1818" w:rsidRPr="00675182">
        <w:t>u</w:t>
      </w:r>
      <w:r w:rsidRPr="00675182">
        <w:t xml:space="preserve">). Tajā apvienota informācija no </w:t>
      </w:r>
      <w:r w:rsidR="00BC038A" w:rsidRPr="00675182">
        <w:t xml:space="preserve">GNP ietilpstošo pašvaldību </w:t>
      </w:r>
      <w:r w:rsidR="00D537D5">
        <w:t>TP</w:t>
      </w:r>
      <w:r w:rsidRPr="00675182">
        <w:t xml:space="preserve">, NKMP datiem, veiktajiem GNP apsekojumiem, tūrisma ceļvežiem, ainavu tematiskajiem plānojumiem, teritorijas pārvaldībā iesaistīto pušu priekšlikumiem u.c. Kartogrāfiskajā materiālā attēlotas ainaviski nozīmīgas teritorijas, kurās iekļautas kultūrvēsturiskie objekti ar to ainavu telpām, ekoloģiski un vizuāli nozīmīgās ainavas un to elementi. GNP ainaviski nozīmīgākajā teritorijā Gaujas senielejā un tās pieteku ielejās nosakāmi saglabāšanas mērķi, kuri iestrādājami un/vai ņemami vērā </w:t>
      </w:r>
      <w:r w:rsidR="00A9563B">
        <w:t>TP</w:t>
      </w:r>
      <w:r w:rsidRPr="00675182">
        <w:t xml:space="preserve"> ieviešanas gaitā.</w:t>
      </w:r>
    </w:p>
    <w:p w14:paraId="168C2367" w14:textId="77777777" w:rsidR="00995741" w:rsidRPr="00675182" w:rsidRDefault="00995741" w:rsidP="00995741">
      <w:pPr>
        <w:jc w:val="both"/>
      </w:pPr>
    </w:p>
    <w:p w14:paraId="0E82D6B4" w14:textId="7687A572" w:rsidR="00097D8D" w:rsidRPr="00675182" w:rsidRDefault="00995741" w:rsidP="00BC038A">
      <w:pPr>
        <w:suppressAutoHyphens w:val="0"/>
        <w:jc w:val="both"/>
        <w:rPr>
          <w:rFonts w:cstheme="minorHAnsi"/>
          <w:color w:val="000000"/>
          <w:sz w:val="20"/>
        </w:rPr>
      </w:pPr>
      <w:r w:rsidRPr="00675182">
        <w:t>Ainavu raksturojumam būtiska informācija (zemes lietojuma veidu analīze, teritorijas vēsturiskās attīstības un kultūras pieminekļu raksturojums, tūrisma un rekreācijas stāvoklis un potenciāls, funkcionālā izmantošana u.c.) ietverta DA plāna 1.,2., 3. nodaļā, savukārt ar pārvaldību saistītie aspekti iekļauti vairākās DA plāna 3. un 4. nodaļās, aktuālie apsaimniekošanas pasākumi 3. nodaļā</w:t>
      </w:r>
      <w:r w:rsidRPr="00675182">
        <w:rPr>
          <w:rFonts w:cstheme="minorHAnsi"/>
          <w:color w:val="000000"/>
          <w:sz w:val="20"/>
        </w:rPr>
        <w:t>.</w:t>
      </w:r>
    </w:p>
    <w:p w14:paraId="4CE2FF59" w14:textId="3B6AD9C4" w:rsidR="00BC038A" w:rsidRPr="00675182" w:rsidRDefault="00BC038A" w:rsidP="00BC038A">
      <w:pPr>
        <w:suppressAutoHyphens w:val="0"/>
        <w:jc w:val="both"/>
        <w:rPr>
          <w:rFonts w:cstheme="minorHAnsi"/>
          <w:color w:val="000000"/>
          <w:sz w:val="20"/>
        </w:rPr>
      </w:pPr>
    </w:p>
    <w:p w14:paraId="33BD4D4E" w14:textId="2462DF02" w:rsidR="00BC038A" w:rsidRPr="00675182" w:rsidRDefault="00A9563B" w:rsidP="0079057D">
      <w:pPr>
        <w:jc w:val="both"/>
        <w:rPr>
          <w:szCs w:val="24"/>
        </w:rPr>
      </w:pPr>
      <w:r>
        <w:rPr>
          <w:szCs w:val="24"/>
        </w:rPr>
        <w:t>DA</w:t>
      </w:r>
      <w:r w:rsidR="00BC038A" w:rsidRPr="00675182">
        <w:rPr>
          <w:szCs w:val="24"/>
        </w:rPr>
        <w:t xml:space="preserve"> plānā identificētās sliktā stāvoklī esošās nozīmīgās ainavas, to struktūras elementi, kurus nepieciešams uzturēt vai atjaunot:</w:t>
      </w:r>
    </w:p>
    <w:p w14:paraId="004B7218" w14:textId="5087373D" w:rsidR="00BC038A" w:rsidRPr="00675182" w:rsidRDefault="00A9563B" w:rsidP="00A84218">
      <w:pPr>
        <w:pStyle w:val="ListParagraph"/>
        <w:numPr>
          <w:ilvl w:val="0"/>
          <w:numId w:val="77"/>
        </w:numPr>
        <w:suppressAutoHyphens w:val="0"/>
        <w:ind w:left="567" w:hanging="567"/>
        <w:contextualSpacing/>
        <w:jc w:val="both"/>
        <w:rPr>
          <w:szCs w:val="24"/>
        </w:rPr>
      </w:pPr>
      <w:r>
        <w:rPr>
          <w:szCs w:val="24"/>
          <w:u w:val="single"/>
        </w:rPr>
        <w:t>s</w:t>
      </w:r>
      <w:r w:rsidRPr="00675182">
        <w:rPr>
          <w:szCs w:val="24"/>
          <w:u w:val="single"/>
        </w:rPr>
        <w:t xml:space="preserve">arūkošas </w:t>
      </w:r>
      <w:r w:rsidR="00BC038A" w:rsidRPr="00675182">
        <w:rPr>
          <w:szCs w:val="24"/>
          <w:u w:val="single"/>
        </w:rPr>
        <w:t>atklātu skatu ainavas</w:t>
      </w:r>
      <w:r w:rsidR="00BC038A" w:rsidRPr="00675182">
        <w:rPr>
          <w:szCs w:val="24"/>
        </w:rPr>
        <w:t xml:space="preserve"> Gaujas senielejā un tai pieguļošajās teritorijās, t.i., galvenokārt zālāju aizaugšanas ietekmē (t.i., nekoptās platības </w:t>
      </w:r>
      <w:r w:rsidR="00BC038A" w:rsidRPr="00675182">
        <w:rPr>
          <w:color w:val="000000" w:themeColor="text1"/>
          <w:szCs w:val="24"/>
        </w:rPr>
        <w:t>(</w:t>
      </w:r>
      <w:r w:rsidR="0079057D" w:rsidRPr="00675182">
        <w:rPr>
          <w:color w:val="000000" w:themeColor="text1"/>
          <w:szCs w:val="24"/>
        </w:rPr>
        <w:t>skat. 2.2.15. attēlu</w:t>
      </w:r>
      <w:r w:rsidR="00AA21BE" w:rsidRPr="00675182">
        <w:rPr>
          <w:color w:val="000000" w:themeColor="text1"/>
          <w:szCs w:val="24"/>
        </w:rPr>
        <w:t xml:space="preserve"> un apsaimniekošanas pasākumu C.2.3.)</w:t>
      </w:r>
      <w:r w:rsidR="0079057D" w:rsidRPr="00675182">
        <w:rPr>
          <w:color w:val="000000" w:themeColor="text1"/>
          <w:szCs w:val="24"/>
        </w:rPr>
        <w:t>). Par p</w:t>
      </w:r>
      <w:r w:rsidR="00BC038A" w:rsidRPr="00675182">
        <w:rPr>
          <w:color w:val="000000" w:themeColor="text1"/>
          <w:szCs w:val="24"/>
        </w:rPr>
        <w:t>riorit</w:t>
      </w:r>
      <w:r w:rsidR="0079057D" w:rsidRPr="00675182">
        <w:rPr>
          <w:color w:val="000000" w:themeColor="text1"/>
          <w:szCs w:val="24"/>
        </w:rPr>
        <w:t>āti ir uzskatāma</w:t>
      </w:r>
      <w:r w:rsidR="00BC038A" w:rsidRPr="00675182">
        <w:rPr>
          <w:color w:val="000000" w:themeColor="text1"/>
          <w:szCs w:val="24"/>
        </w:rPr>
        <w:t xml:space="preserve"> </w:t>
      </w:r>
      <w:r w:rsidR="00BC038A" w:rsidRPr="00675182">
        <w:rPr>
          <w:szCs w:val="24"/>
        </w:rPr>
        <w:t>ilg</w:t>
      </w:r>
      <w:r w:rsidR="0079057D" w:rsidRPr="00675182">
        <w:rPr>
          <w:szCs w:val="24"/>
        </w:rPr>
        <w:t>g</w:t>
      </w:r>
      <w:r w:rsidR="00BC038A" w:rsidRPr="00675182">
        <w:rPr>
          <w:szCs w:val="24"/>
        </w:rPr>
        <w:t>adīgo zālāju uzturēšana Gaujas senielejā un pieteku ielejās</w:t>
      </w:r>
      <w:r w:rsidR="00615DF6">
        <w:rPr>
          <w:szCs w:val="24"/>
        </w:rPr>
        <w:t>;</w:t>
      </w:r>
    </w:p>
    <w:p w14:paraId="6964C481" w14:textId="6E5F0AC2" w:rsidR="00BC038A" w:rsidRPr="00675182" w:rsidRDefault="00615DF6" w:rsidP="00A84218">
      <w:pPr>
        <w:pStyle w:val="ListParagraph"/>
        <w:numPr>
          <w:ilvl w:val="0"/>
          <w:numId w:val="77"/>
        </w:numPr>
        <w:suppressAutoHyphens w:val="0"/>
        <w:ind w:left="567" w:hanging="567"/>
        <w:contextualSpacing/>
        <w:jc w:val="both"/>
        <w:rPr>
          <w:szCs w:val="24"/>
        </w:rPr>
      </w:pPr>
      <w:r>
        <w:rPr>
          <w:szCs w:val="24"/>
          <w:u w:val="single"/>
        </w:rPr>
        <w:t>n</w:t>
      </w:r>
      <w:r w:rsidRPr="00675182">
        <w:rPr>
          <w:szCs w:val="24"/>
          <w:u w:val="single"/>
        </w:rPr>
        <w:t xml:space="preserve">ekopti </w:t>
      </w:r>
      <w:r w:rsidR="004731EE" w:rsidRPr="00675182">
        <w:rPr>
          <w:szCs w:val="24"/>
          <w:u w:val="single"/>
        </w:rPr>
        <w:t>atvērumi skatu vietās.</w:t>
      </w:r>
      <w:r w:rsidR="004731EE" w:rsidRPr="00675182">
        <w:rPr>
          <w:szCs w:val="24"/>
        </w:rPr>
        <w:t xml:space="preserve"> Risinājums ir m</w:t>
      </w:r>
      <w:r w:rsidR="00BC038A" w:rsidRPr="00675182">
        <w:rPr>
          <w:szCs w:val="24"/>
        </w:rPr>
        <w:t xml:space="preserve">ērķtiecīgi veidotas ainavu skatu vietas, kurām nepieciešama regulāra </w:t>
      </w:r>
      <w:r w:rsidR="0079057D" w:rsidRPr="00675182">
        <w:rPr>
          <w:szCs w:val="24"/>
        </w:rPr>
        <w:t>apsaimniekošana</w:t>
      </w:r>
      <w:r w:rsidR="004731EE" w:rsidRPr="00675182">
        <w:rPr>
          <w:szCs w:val="24"/>
        </w:rPr>
        <w:t>, nepieciešamības gadījumā veicot skatu atvēršanu</w:t>
      </w:r>
      <w:r w:rsidR="00AA21BE" w:rsidRPr="00675182">
        <w:rPr>
          <w:szCs w:val="24"/>
        </w:rPr>
        <w:t xml:space="preserve"> </w:t>
      </w:r>
      <w:r w:rsidR="00AA21BE" w:rsidRPr="00675182">
        <w:rPr>
          <w:color w:val="000000" w:themeColor="text1"/>
          <w:szCs w:val="24"/>
        </w:rPr>
        <w:t>(skat. apsaimniekošanas pasākumu C.2.2.)</w:t>
      </w:r>
      <w:r w:rsidR="00BC038A" w:rsidRPr="00675182">
        <w:rPr>
          <w:szCs w:val="24"/>
        </w:rPr>
        <w:t>;</w:t>
      </w:r>
    </w:p>
    <w:p w14:paraId="59D37523" w14:textId="7C763E7F" w:rsidR="00BC038A" w:rsidRPr="00675182" w:rsidRDefault="00615DF6" w:rsidP="00A84218">
      <w:pPr>
        <w:pStyle w:val="ListParagraph"/>
        <w:numPr>
          <w:ilvl w:val="0"/>
          <w:numId w:val="77"/>
        </w:numPr>
        <w:suppressAutoHyphens w:val="0"/>
        <w:ind w:left="567" w:hanging="567"/>
        <w:contextualSpacing/>
        <w:jc w:val="both"/>
        <w:rPr>
          <w:szCs w:val="24"/>
        </w:rPr>
      </w:pPr>
      <w:r>
        <w:rPr>
          <w:szCs w:val="24"/>
          <w:u w:val="single"/>
        </w:rPr>
        <w:t>a</w:t>
      </w:r>
      <w:r w:rsidRPr="00675182">
        <w:rPr>
          <w:szCs w:val="24"/>
          <w:u w:val="single"/>
        </w:rPr>
        <w:t xml:space="preserve">inavas </w:t>
      </w:r>
      <w:r w:rsidR="00BC038A" w:rsidRPr="00675182">
        <w:rPr>
          <w:szCs w:val="24"/>
          <w:u w:val="single"/>
        </w:rPr>
        <w:t>d</w:t>
      </w:r>
      <w:r w:rsidR="00BC038A" w:rsidRPr="00675182">
        <w:rPr>
          <w:color w:val="000000" w:themeColor="text1"/>
          <w:szCs w:val="24"/>
          <w:u w:val="single"/>
        </w:rPr>
        <w:t>erīgo izrakteņu ieguves vietās un to tuvākajā</w:t>
      </w:r>
      <w:r w:rsidR="00BC038A" w:rsidRPr="00675182">
        <w:rPr>
          <w:color w:val="000000" w:themeColor="text1"/>
          <w:szCs w:val="24"/>
        </w:rPr>
        <w:t xml:space="preserve"> apkārtnē (jo īpaši</w:t>
      </w:r>
      <w:r w:rsidR="0079057D" w:rsidRPr="00675182">
        <w:rPr>
          <w:color w:val="000000" w:themeColor="text1"/>
          <w:szCs w:val="24"/>
        </w:rPr>
        <w:t xml:space="preserve"> iegūto derīgo izrakteņu </w:t>
      </w:r>
      <w:r w:rsidR="00BC038A" w:rsidRPr="00675182">
        <w:rPr>
          <w:color w:val="000000" w:themeColor="text1"/>
          <w:szCs w:val="24"/>
        </w:rPr>
        <w:t>kraut</w:t>
      </w:r>
      <w:r w:rsidR="0079057D" w:rsidRPr="00675182">
        <w:rPr>
          <w:color w:val="000000" w:themeColor="text1"/>
          <w:szCs w:val="24"/>
        </w:rPr>
        <w:t>n</w:t>
      </w:r>
      <w:r w:rsidR="00BC038A" w:rsidRPr="00675182">
        <w:rPr>
          <w:color w:val="000000" w:themeColor="text1"/>
          <w:szCs w:val="24"/>
        </w:rPr>
        <w:t>es) ainaviski jutīgos ceļu posmos (</w:t>
      </w:r>
      <w:r w:rsidR="0079057D" w:rsidRPr="00675182">
        <w:rPr>
          <w:color w:val="000000" w:themeColor="text1"/>
          <w:szCs w:val="24"/>
        </w:rPr>
        <w:t xml:space="preserve">skat. 2.2.16. attēlu). </w:t>
      </w:r>
      <w:r w:rsidR="00BC038A" w:rsidRPr="00675182">
        <w:rPr>
          <w:color w:val="000000" w:themeColor="text1"/>
          <w:szCs w:val="24"/>
        </w:rPr>
        <w:t>Risinājumi ieviešami daļēji caur IAIN,</w:t>
      </w:r>
      <w:r w:rsidR="0079057D" w:rsidRPr="00675182">
        <w:rPr>
          <w:color w:val="000000" w:themeColor="text1"/>
          <w:szCs w:val="24"/>
        </w:rPr>
        <w:t xml:space="preserve"> pašvaldību</w:t>
      </w:r>
      <w:r w:rsidR="00BC038A" w:rsidRPr="00675182">
        <w:rPr>
          <w:color w:val="000000" w:themeColor="text1"/>
          <w:szCs w:val="24"/>
        </w:rPr>
        <w:t xml:space="preserve"> </w:t>
      </w:r>
      <w:r>
        <w:rPr>
          <w:color w:val="000000" w:themeColor="text1"/>
          <w:szCs w:val="24"/>
        </w:rPr>
        <w:t>TP</w:t>
      </w:r>
      <w:r w:rsidR="00BC038A" w:rsidRPr="00675182">
        <w:rPr>
          <w:color w:val="000000" w:themeColor="text1"/>
          <w:szCs w:val="24"/>
        </w:rPr>
        <w:t xml:space="preserve"> (4. nodaļa) un </w:t>
      </w:r>
      <w:r w:rsidR="0079057D" w:rsidRPr="00675182">
        <w:rPr>
          <w:color w:val="000000" w:themeColor="text1"/>
          <w:szCs w:val="24"/>
        </w:rPr>
        <w:t>atradņu rekultivācijas plāniem</w:t>
      </w:r>
      <w:r w:rsidR="00BC038A" w:rsidRPr="00675182">
        <w:rPr>
          <w:color w:val="000000" w:themeColor="text1"/>
          <w:szCs w:val="24"/>
        </w:rPr>
        <w:t>;</w:t>
      </w:r>
    </w:p>
    <w:p w14:paraId="204193A3" w14:textId="5F4880A0" w:rsidR="00BC038A" w:rsidRPr="00675182" w:rsidRDefault="00615DF6" w:rsidP="00A84218">
      <w:pPr>
        <w:pStyle w:val="ListParagraph"/>
        <w:numPr>
          <w:ilvl w:val="0"/>
          <w:numId w:val="77"/>
        </w:numPr>
        <w:suppressAutoHyphens w:val="0"/>
        <w:ind w:left="567" w:hanging="567"/>
        <w:contextualSpacing/>
        <w:jc w:val="both"/>
        <w:rPr>
          <w:szCs w:val="24"/>
        </w:rPr>
      </w:pPr>
      <w:r>
        <w:rPr>
          <w:color w:val="000000" w:themeColor="text1"/>
          <w:szCs w:val="24"/>
          <w:u w:val="single"/>
        </w:rPr>
        <w:t>p</w:t>
      </w:r>
      <w:r w:rsidRPr="00675182">
        <w:rPr>
          <w:color w:val="000000" w:themeColor="text1"/>
          <w:szCs w:val="24"/>
          <w:u w:val="single"/>
        </w:rPr>
        <w:t xml:space="preserve">iesārņotas </w:t>
      </w:r>
      <w:r w:rsidR="00BC038A" w:rsidRPr="00675182">
        <w:rPr>
          <w:color w:val="000000" w:themeColor="text1"/>
          <w:szCs w:val="24"/>
          <w:u w:val="single"/>
        </w:rPr>
        <w:t>un potenciāli piesārņotas vietas, kā arī degradētās teritorijas</w:t>
      </w:r>
      <w:r w:rsidR="00BC038A" w:rsidRPr="00675182">
        <w:rPr>
          <w:color w:val="000000" w:themeColor="text1"/>
          <w:szCs w:val="24"/>
        </w:rPr>
        <w:t xml:space="preserve"> (</w:t>
      </w:r>
      <w:r w:rsidR="004731EE" w:rsidRPr="00675182">
        <w:rPr>
          <w:color w:val="000000" w:themeColor="text1"/>
          <w:szCs w:val="24"/>
        </w:rPr>
        <w:t>skat. 2.2.15. attēlu)</w:t>
      </w:r>
      <w:r w:rsidR="00BC038A" w:rsidRPr="00675182">
        <w:rPr>
          <w:color w:val="000000" w:themeColor="text1"/>
          <w:szCs w:val="24"/>
        </w:rPr>
        <w:t>. Nepieciešama teritoriju sakārtošana</w:t>
      </w:r>
      <w:r w:rsidR="004731EE" w:rsidRPr="00675182">
        <w:rPr>
          <w:color w:val="000000" w:themeColor="text1"/>
          <w:szCs w:val="24"/>
        </w:rPr>
        <w:t>,</w:t>
      </w:r>
      <w:r w:rsidR="00BC038A" w:rsidRPr="00675182">
        <w:rPr>
          <w:color w:val="000000" w:themeColor="text1"/>
          <w:szCs w:val="24"/>
        </w:rPr>
        <w:t xml:space="preserve"> pārtraucot </w:t>
      </w:r>
      <w:r w:rsidR="004731EE" w:rsidRPr="00675182">
        <w:rPr>
          <w:color w:val="000000" w:themeColor="text1"/>
          <w:szCs w:val="24"/>
        </w:rPr>
        <w:t>esošo piesārņojošo vai vidi degradējošo darbību vai/</w:t>
      </w:r>
      <w:r w:rsidR="00BC038A" w:rsidRPr="00675182">
        <w:rPr>
          <w:color w:val="000000" w:themeColor="text1"/>
          <w:szCs w:val="24"/>
        </w:rPr>
        <w:t>un v</w:t>
      </w:r>
      <w:r w:rsidR="004731EE" w:rsidRPr="00675182">
        <w:rPr>
          <w:color w:val="000000" w:themeColor="text1"/>
          <w:szCs w:val="24"/>
        </w:rPr>
        <w:t>eicot v</w:t>
      </w:r>
      <w:r w:rsidR="00BC038A" w:rsidRPr="00675182">
        <w:rPr>
          <w:color w:val="000000" w:themeColor="text1"/>
          <w:szCs w:val="24"/>
        </w:rPr>
        <w:t>ēsturisk</w:t>
      </w:r>
      <w:r w:rsidR="004731EE" w:rsidRPr="00675182">
        <w:rPr>
          <w:color w:val="000000" w:themeColor="text1"/>
          <w:szCs w:val="24"/>
        </w:rPr>
        <w:t>ā</w:t>
      </w:r>
      <w:r w:rsidR="00BC038A" w:rsidRPr="00675182">
        <w:rPr>
          <w:color w:val="000000" w:themeColor="text1"/>
          <w:szCs w:val="24"/>
        </w:rPr>
        <w:t xml:space="preserve"> piesārņojum</w:t>
      </w:r>
      <w:r w:rsidR="004731EE" w:rsidRPr="00675182">
        <w:rPr>
          <w:color w:val="000000" w:themeColor="text1"/>
          <w:szCs w:val="24"/>
        </w:rPr>
        <w:t>a sanāciju</w:t>
      </w:r>
      <w:r w:rsidR="00BC038A" w:rsidRPr="00675182">
        <w:rPr>
          <w:color w:val="000000" w:themeColor="text1"/>
          <w:szCs w:val="24"/>
        </w:rPr>
        <w:t xml:space="preserve"> (piem., Gaujas ciemā</w:t>
      </w:r>
      <w:r w:rsidR="004731EE" w:rsidRPr="00675182">
        <w:rPr>
          <w:color w:val="000000" w:themeColor="text1"/>
          <w:szCs w:val="24"/>
        </w:rPr>
        <w:t>);</w:t>
      </w:r>
    </w:p>
    <w:p w14:paraId="0EC9987A" w14:textId="7B7B68F1" w:rsidR="00BC038A" w:rsidRPr="00675182" w:rsidRDefault="00615DF6" w:rsidP="00A84218">
      <w:pPr>
        <w:pStyle w:val="ListParagraph"/>
        <w:numPr>
          <w:ilvl w:val="0"/>
          <w:numId w:val="77"/>
        </w:numPr>
        <w:suppressAutoHyphens w:val="0"/>
        <w:ind w:left="567" w:hanging="567"/>
        <w:contextualSpacing/>
        <w:jc w:val="both"/>
        <w:rPr>
          <w:szCs w:val="24"/>
        </w:rPr>
      </w:pPr>
      <w:r>
        <w:rPr>
          <w:szCs w:val="24"/>
          <w:u w:val="single"/>
        </w:rPr>
        <w:t>i</w:t>
      </w:r>
      <w:r w:rsidRPr="00675182">
        <w:rPr>
          <w:szCs w:val="24"/>
          <w:u w:val="single"/>
        </w:rPr>
        <w:t xml:space="preserve">nvazīvo </w:t>
      </w:r>
      <w:r w:rsidR="004731EE" w:rsidRPr="00675182">
        <w:rPr>
          <w:szCs w:val="24"/>
          <w:u w:val="single"/>
        </w:rPr>
        <w:t xml:space="preserve">augu </w:t>
      </w:r>
      <w:r w:rsidR="00BC038A" w:rsidRPr="00675182">
        <w:rPr>
          <w:szCs w:val="24"/>
          <w:u w:val="single"/>
        </w:rPr>
        <w:t xml:space="preserve">sugu </w:t>
      </w:r>
      <w:r w:rsidR="004731EE" w:rsidRPr="00675182">
        <w:rPr>
          <w:szCs w:val="24"/>
          <w:u w:val="single"/>
        </w:rPr>
        <w:t>izplatība</w:t>
      </w:r>
      <w:r w:rsidR="004731EE" w:rsidRPr="00675182">
        <w:rPr>
          <w:szCs w:val="24"/>
        </w:rPr>
        <w:t xml:space="preserve">. Nepieciešama invazīvo augus </w:t>
      </w:r>
      <w:r w:rsidR="00BC038A" w:rsidRPr="00675182">
        <w:rPr>
          <w:szCs w:val="24"/>
        </w:rPr>
        <w:t xml:space="preserve">ierobežošana/apkarošana, jo īpaši </w:t>
      </w:r>
      <w:r w:rsidR="004731EE" w:rsidRPr="00675182">
        <w:rPr>
          <w:rFonts w:cstheme="minorHAnsi"/>
          <w:szCs w:val="24"/>
        </w:rPr>
        <w:t xml:space="preserve">Sosnosvka </w:t>
      </w:r>
      <w:r w:rsidR="004731EE" w:rsidRPr="00675182">
        <w:rPr>
          <w:szCs w:val="24"/>
        </w:rPr>
        <w:t>latvāņa</w:t>
      </w:r>
      <w:r w:rsidR="00BC038A" w:rsidRPr="00675182">
        <w:rPr>
          <w:szCs w:val="24"/>
        </w:rPr>
        <w:t xml:space="preserve"> ierobežošana zālājos un Gaujas senielejā (</w:t>
      </w:r>
      <w:r w:rsidR="004731EE" w:rsidRPr="00675182">
        <w:rPr>
          <w:szCs w:val="24"/>
        </w:rPr>
        <w:t xml:space="preserve">skat. apsaimniekošanas pasākumu </w:t>
      </w:r>
      <w:r w:rsidR="00BC038A" w:rsidRPr="00675182">
        <w:rPr>
          <w:szCs w:val="24"/>
        </w:rPr>
        <w:t>B.7.1.</w:t>
      </w:r>
      <w:r w:rsidR="004731EE" w:rsidRPr="00675182">
        <w:rPr>
          <w:szCs w:val="24"/>
        </w:rPr>
        <w:t>)</w:t>
      </w:r>
      <w:r w:rsidR="00DD62CF">
        <w:rPr>
          <w:szCs w:val="24"/>
        </w:rPr>
        <w:t>;</w:t>
      </w:r>
    </w:p>
    <w:p w14:paraId="66EB4600" w14:textId="4875D831" w:rsidR="00BC038A" w:rsidRPr="00675182" w:rsidRDefault="00DD62CF" w:rsidP="00A84218">
      <w:pPr>
        <w:pStyle w:val="ListParagraph"/>
        <w:numPr>
          <w:ilvl w:val="0"/>
          <w:numId w:val="77"/>
        </w:numPr>
        <w:suppressAutoHyphens w:val="0"/>
        <w:ind w:left="567" w:hanging="567"/>
        <w:contextualSpacing/>
        <w:jc w:val="both"/>
        <w:rPr>
          <w:szCs w:val="24"/>
        </w:rPr>
      </w:pPr>
      <w:r>
        <w:rPr>
          <w:szCs w:val="24"/>
          <w:u w:val="single"/>
        </w:rPr>
        <w:t>d</w:t>
      </w:r>
      <w:r w:rsidRPr="00675182">
        <w:rPr>
          <w:szCs w:val="24"/>
          <w:u w:val="single"/>
        </w:rPr>
        <w:t xml:space="preserve">aļa </w:t>
      </w:r>
      <w:r w:rsidR="004731EE" w:rsidRPr="00675182">
        <w:rPr>
          <w:szCs w:val="24"/>
          <w:u w:val="single"/>
        </w:rPr>
        <w:t>k</w:t>
      </w:r>
      <w:r w:rsidR="00BC038A" w:rsidRPr="00675182">
        <w:rPr>
          <w:szCs w:val="24"/>
          <w:u w:val="single"/>
        </w:rPr>
        <w:t>ultūras pieminekļ</w:t>
      </w:r>
      <w:r w:rsidR="004731EE" w:rsidRPr="00675182">
        <w:rPr>
          <w:szCs w:val="24"/>
          <w:u w:val="single"/>
        </w:rPr>
        <w:t xml:space="preserve">i, </w:t>
      </w:r>
      <w:r w:rsidR="00BC038A" w:rsidRPr="00675182">
        <w:rPr>
          <w:szCs w:val="24"/>
          <w:u w:val="single"/>
        </w:rPr>
        <w:t>tiem pieguļošās ainavas un tās elementi (</w:t>
      </w:r>
      <w:r w:rsidR="004731EE" w:rsidRPr="00675182">
        <w:rPr>
          <w:szCs w:val="24"/>
          <w:u w:val="single"/>
        </w:rPr>
        <w:t xml:space="preserve">skat. </w:t>
      </w:r>
      <w:r w:rsidR="00BC038A" w:rsidRPr="00675182">
        <w:rPr>
          <w:szCs w:val="24"/>
        </w:rPr>
        <w:t>1.1.16. noda</w:t>
      </w:r>
      <w:r w:rsidR="004731EE" w:rsidRPr="00675182">
        <w:rPr>
          <w:szCs w:val="24"/>
        </w:rPr>
        <w:t>ļu</w:t>
      </w:r>
      <w:r w:rsidR="00BC038A" w:rsidRPr="00675182">
        <w:rPr>
          <w:szCs w:val="24"/>
        </w:rPr>
        <w:t xml:space="preserve"> un 22. pielikums). Veicami pārvaldības pasākumi </w:t>
      </w:r>
      <w:r w:rsidR="004731EE" w:rsidRPr="00675182">
        <w:rPr>
          <w:szCs w:val="24"/>
        </w:rPr>
        <w:t xml:space="preserve">kultūras </w:t>
      </w:r>
      <w:r w:rsidR="00BC038A" w:rsidRPr="00675182">
        <w:rPr>
          <w:szCs w:val="24"/>
        </w:rPr>
        <w:t>pieminekļu un</w:t>
      </w:r>
      <w:r w:rsidR="004731EE" w:rsidRPr="00675182">
        <w:rPr>
          <w:szCs w:val="24"/>
        </w:rPr>
        <w:t xml:space="preserve"> to</w:t>
      </w:r>
      <w:r w:rsidR="00BC038A" w:rsidRPr="00675182">
        <w:rPr>
          <w:szCs w:val="24"/>
        </w:rPr>
        <w:t xml:space="preserve"> aizsardzības zonu projektu izstrād</w:t>
      </w:r>
      <w:r w:rsidR="004731EE" w:rsidRPr="00675182">
        <w:rPr>
          <w:szCs w:val="24"/>
        </w:rPr>
        <w:t>ē</w:t>
      </w:r>
      <w:r w:rsidR="00BC038A" w:rsidRPr="00675182">
        <w:rPr>
          <w:szCs w:val="24"/>
        </w:rPr>
        <w:t xml:space="preserve"> (</w:t>
      </w:r>
      <w:r w:rsidR="00AA21BE" w:rsidRPr="00675182">
        <w:rPr>
          <w:szCs w:val="24"/>
        </w:rPr>
        <w:t xml:space="preserve">skat. </w:t>
      </w:r>
      <w:r w:rsidR="00AA21BE" w:rsidRPr="00675182">
        <w:rPr>
          <w:color w:val="000000" w:themeColor="text1"/>
          <w:szCs w:val="24"/>
        </w:rPr>
        <w:t>apsaimniekošanas pasākumu C.4.)</w:t>
      </w:r>
      <w:r w:rsidR="00BC038A" w:rsidRPr="00675182">
        <w:rPr>
          <w:szCs w:val="24"/>
        </w:rPr>
        <w:t xml:space="preserve"> kā arī </w:t>
      </w:r>
      <w:r w:rsidR="004731EE" w:rsidRPr="00675182">
        <w:rPr>
          <w:szCs w:val="24"/>
        </w:rPr>
        <w:t>kultūrvēsturisko</w:t>
      </w:r>
      <w:r w:rsidR="00BC038A" w:rsidRPr="00675182">
        <w:rPr>
          <w:szCs w:val="24"/>
        </w:rPr>
        <w:t xml:space="preserve"> elementu uzturēšana.</w:t>
      </w:r>
    </w:p>
    <w:p w14:paraId="0D310547" w14:textId="77777777" w:rsidR="00BC038A" w:rsidRPr="00675182" w:rsidRDefault="00BC038A" w:rsidP="00BC038A">
      <w:pPr>
        <w:suppressAutoHyphens w:val="0"/>
        <w:jc w:val="both"/>
        <w:rPr>
          <w:rFonts w:ascii="Times New Roman" w:eastAsiaTheme="minorHAnsi" w:hAnsi="Times New Roman" w:cs="Times New Roman"/>
          <w:szCs w:val="24"/>
          <w:lang w:eastAsia="lv-LV"/>
        </w:rPr>
      </w:pPr>
    </w:p>
    <w:p w14:paraId="6122EF5C" w14:textId="77777777" w:rsidR="0049719C" w:rsidRPr="00675182" w:rsidRDefault="0049719C" w:rsidP="0090498C">
      <w:pPr>
        <w:jc w:val="both"/>
        <w:rPr>
          <w:rFonts w:cstheme="minorHAnsi"/>
          <w:color w:val="000000"/>
          <w:sz w:val="20"/>
        </w:rPr>
        <w:sectPr w:rsidR="0049719C" w:rsidRPr="00675182" w:rsidSect="00CD74B1">
          <w:headerReference w:type="default" r:id="rId147"/>
          <w:pgSz w:w="11905" w:h="16837"/>
          <w:pgMar w:top="1440" w:right="1797" w:bottom="1440" w:left="1797" w:header="720"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1"/>
      </w:tblGrid>
      <w:tr w:rsidR="0049719C" w:rsidRPr="00675182" w14:paraId="6F1C664A" w14:textId="77777777" w:rsidTr="00CD2117">
        <w:tc>
          <w:tcPr>
            <w:tcW w:w="5000" w:type="pct"/>
          </w:tcPr>
          <w:p w14:paraId="513EBE6E" w14:textId="05D99A06" w:rsidR="0049719C" w:rsidRPr="00675182" w:rsidRDefault="00F437CC" w:rsidP="0090498C">
            <w:pPr>
              <w:jc w:val="both"/>
              <w:rPr>
                <w:rFonts w:cstheme="minorHAnsi"/>
                <w:color w:val="000000" w:themeColor="text1"/>
              </w:rPr>
            </w:pPr>
            <w:r w:rsidRPr="00675182">
              <w:rPr>
                <w:noProof/>
              </w:rPr>
              <w:lastRenderedPageBreak/>
              <w:drawing>
                <wp:inline distT="0" distB="0" distL="0" distR="0" wp14:anchorId="17C2C3BE" wp14:editId="2CE9A0CF">
                  <wp:extent cx="11556435" cy="8172000"/>
                  <wp:effectExtent l="0" t="0" r="698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1556435" cy="8172000"/>
                          </a:xfrm>
                          <a:prstGeom prst="rect">
                            <a:avLst/>
                          </a:prstGeom>
                          <a:noFill/>
                          <a:ln>
                            <a:noFill/>
                          </a:ln>
                        </pic:spPr>
                      </pic:pic>
                    </a:graphicData>
                  </a:graphic>
                </wp:inline>
              </w:drawing>
            </w:r>
          </w:p>
        </w:tc>
      </w:tr>
      <w:tr w:rsidR="0049719C" w:rsidRPr="00675182" w14:paraId="520BAED0" w14:textId="77777777" w:rsidTr="00CD2117">
        <w:tc>
          <w:tcPr>
            <w:tcW w:w="5000" w:type="pct"/>
          </w:tcPr>
          <w:p w14:paraId="2F8D1281" w14:textId="7B2AD3E9" w:rsidR="0049719C" w:rsidRPr="00675182" w:rsidRDefault="0049719C" w:rsidP="0090498C">
            <w:pPr>
              <w:jc w:val="both"/>
              <w:rPr>
                <w:rFonts w:cstheme="minorHAnsi"/>
                <w:color w:val="000000" w:themeColor="text1"/>
              </w:rPr>
            </w:pPr>
            <w:r w:rsidRPr="00675182">
              <w:rPr>
                <w:rFonts w:cstheme="minorHAnsi"/>
                <w:b/>
                <w:i/>
              </w:rPr>
              <w:t>2.2.1</w:t>
            </w:r>
            <w:r w:rsidR="00AE1818" w:rsidRPr="00675182">
              <w:rPr>
                <w:rFonts w:cstheme="minorHAnsi"/>
                <w:b/>
                <w:i/>
              </w:rPr>
              <w:t>6</w:t>
            </w:r>
            <w:r w:rsidRPr="00675182">
              <w:rPr>
                <w:rFonts w:cstheme="minorHAnsi"/>
                <w:b/>
                <w:i/>
              </w:rPr>
              <w:t xml:space="preserve">. attēls. GNP </w:t>
            </w:r>
            <w:r w:rsidR="00C972B1" w:rsidRPr="00675182">
              <w:rPr>
                <w:rFonts w:cstheme="minorHAnsi"/>
                <w:b/>
                <w:i/>
              </w:rPr>
              <w:t>ainaviski nozīmīgās</w:t>
            </w:r>
            <w:r w:rsidRPr="00675182">
              <w:rPr>
                <w:rFonts w:cstheme="minorHAnsi"/>
                <w:b/>
                <w:i/>
              </w:rPr>
              <w:t xml:space="preserve"> teritorijas un objekti</w:t>
            </w:r>
          </w:p>
        </w:tc>
      </w:tr>
    </w:tbl>
    <w:p w14:paraId="14457E48" w14:textId="77777777" w:rsidR="0049719C" w:rsidRPr="00675182" w:rsidRDefault="0049719C" w:rsidP="0090498C">
      <w:pPr>
        <w:jc w:val="both"/>
        <w:rPr>
          <w:rFonts w:cstheme="minorHAnsi"/>
          <w:color w:val="000000" w:themeColor="text1"/>
        </w:rPr>
        <w:sectPr w:rsidR="0049719C" w:rsidRPr="00675182" w:rsidSect="00CD2117">
          <w:headerReference w:type="default" r:id="rId149"/>
          <w:pgSz w:w="23811" w:h="16838" w:orient="landscape" w:code="8"/>
          <w:pgMar w:top="1797" w:right="1440" w:bottom="1797" w:left="1440" w:header="720" w:footer="720" w:gutter="0"/>
          <w:cols w:space="720"/>
          <w:docGrid w:linePitch="360"/>
        </w:sectPr>
      </w:pPr>
    </w:p>
    <w:p w14:paraId="05557E49" w14:textId="77777777" w:rsidR="00011E51" w:rsidRPr="00675182" w:rsidRDefault="00011E51" w:rsidP="00576E39">
      <w:pPr>
        <w:pStyle w:val="Heading2"/>
        <w:keepLines/>
        <w:rPr>
          <w:rFonts w:cstheme="minorHAnsi"/>
          <w:i w:val="0"/>
          <w:lang w:val="lv-LV"/>
        </w:rPr>
      </w:pPr>
      <w:bookmarkStart w:id="43" w:name="_Toc116938402"/>
      <w:r w:rsidRPr="00675182">
        <w:rPr>
          <w:rFonts w:cstheme="minorHAnsi"/>
          <w:i w:val="0"/>
          <w:lang w:val="lv-LV"/>
        </w:rPr>
        <w:lastRenderedPageBreak/>
        <w:t>2.3. Biotopi, to sociālekonomiskā vērtība un ietekmējošie faktori</w:t>
      </w:r>
      <w:bookmarkEnd w:id="43"/>
      <w:r w:rsidRPr="00675182">
        <w:rPr>
          <w:rFonts w:cstheme="minorHAnsi"/>
          <w:i w:val="0"/>
          <w:lang w:val="lv-LV"/>
        </w:rPr>
        <w:t xml:space="preserve"> </w:t>
      </w:r>
    </w:p>
    <w:p w14:paraId="3BDA735D" w14:textId="77777777" w:rsidR="00011E51" w:rsidRPr="00675182" w:rsidRDefault="00011E51" w:rsidP="00576E39">
      <w:pPr>
        <w:keepNext/>
        <w:keepLines/>
        <w:rPr>
          <w:rFonts w:cstheme="minorHAnsi"/>
        </w:rPr>
      </w:pPr>
    </w:p>
    <w:p w14:paraId="4BF4FD37" w14:textId="6728BE9B" w:rsidR="00311754" w:rsidRPr="00675182" w:rsidRDefault="0048081F" w:rsidP="00576E39">
      <w:pPr>
        <w:keepNext/>
        <w:keepLines/>
        <w:jc w:val="both"/>
        <w:rPr>
          <w:rFonts w:cstheme="minorHAnsi"/>
        </w:rPr>
      </w:pPr>
      <w:r w:rsidRPr="00675182">
        <w:rPr>
          <w:rFonts w:cstheme="minorHAnsi"/>
        </w:rPr>
        <w:t>Lielākā daļa datu par ES nozīmes biotopu platībām ir iegūti DA plāna izstrādes laikā 2020.</w:t>
      </w:r>
      <w:r w:rsidR="001C129B" w:rsidRPr="00675182">
        <w:rPr>
          <w:rFonts w:cstheme="minorHAnsi"/>
        </w:rPr>
        <w:t xml:space="preserve">, </w:t>
      </w:r>
      <w:r w:rsidR="00BB5B8A" w:rsidRPr="00675182">
        <w:rPr>
          <w:rFonts w:cstheme="minorHAnsi"/>
        </w:rPr>
        <w:t xml:space="preserve">2021. </w:t>
      </w:r>
      <w:r w:rsidR="001C129B" w:rsidRPr="00675182">
        <w:rPr>
          <w:rFonts w:cstheme="minorHAnsi"/>
        </w:rPr>
        <w:t xml:space="preserve">un 2022. </w:t>
      </w:r>
      <w:r w:rsidRPr="00675182">
        <w:rPr>
          <w:rFonts w:cstheme="minorHAnsi"/>
        </w:rPr>
        <w:t xml:space="preserve">gada sezonā, kad teritoriju apsekoja eksperti. DA plāna izstrāde tiek finansēta </w:t>
      </w:r>
      <w:r w:rsidR="00DA5D61">
        <w:rPr>
          <w:rFonts w:cstheme="minorHAnsi"/>
        </w:rPr>
        <w:t xml:space="preserve">KF </w:t>
      </w:r>
      <w:r w:rsidRPr="00675182">
        <w:rPr>
          <w:rFonts w:cstheme="minorHAnsi"/>
        </w:rPr>
        <w:t>projekta „Priekšnosacījumu izveide labākai bioloģiskās daudzveidības saglabāšanai un ekosistēmu aizsardzībai Latvijā” ietvaros</w:t>
      </w:r>
      <w:r w:rsidR="00DA5D61">
        <w:rPr>
          <w:rFonts w:cstheme="minorHAnsi"/>
        </w:rPr>
        <w:t>, savukārt šī paša projekta ietvaros dati</w:t>
      </w:r>
      <w:r w:rsidR="00311754" w:rsidRPr="00675182">
        <w:rPr>
          <w:rFonts w:cstheme="minorHAnsi"/>
        </w:rPr>
        <w:t xml:space="preserve"> par </w:t>
      </w:r>
      <w:r w:rsidRPr="00675182">
        <w:rPr>
          <w:rFonts w:cstheme="minorHAnsi"/>
        </w:rPr>
        <w:t xml:space="preserve">lielāko daļu </w:t>
      </w:r>
      <w:r w:rsidR="00311754" w:rsidRPr="00675182">
        <w:rPr>
          <w:rFonts w:cstheme="minorHAnsi"/>
        </w:rPr>
        <w:t xml:space="preserve">ES nozīmes aizsargājamo </w:t>
      </w:r>
      <w:r w:rsidRPr="00675182">
        <w:rPr>
          <w:rFonts w:cstheme="minorHAnsi"/>
        </w:rPr>
        <w:t xml:space="preserve">saldūdeņu </w:t>
      </w:r>
      <w:r w:rsidR="00311754" w:rsidRPr="00675182">
        <w:rPr>
          <w:rFonts w:cstheme="minorHAnsi"/>
        </w:rPr>
        <w:t xml:space="preserve">biotopu platībām GNP teritorijā iegūti </w:t>
      </w:r>
      <w:r w:rsidR="00DA5D61">
        <w:rPr>
          <w:rFonts w:cstheme="minorHAnsi"/>
        </w:rPr>
        <w:t xml:space="preserve">pirms DA plāna izstrādes uzsākšanas </w:t>
      </w:r>
      <w:r w:rsidR="00664827" w:rsidRPr="00675182">
        <w:rPr>
          <w:rFonts w:cstheme="minorHAnsi"/>
        </w:rPr>
        <w:t>2017. gadā</w:t>
      </w:r>
      <w:r w:rsidR="00810F5B" w:rsidRPr="00675182">
        <w:rPr>
          <w:rFonts w:cstheme="minorHAnsi"/>
        </w:rPr>
        <w:t>.</w:t>
      </w:r>
    </w:p>
    <w:p w14:paraId="58B3C657" w14:textId="77777777" w:rsidR="00311754" w:rsidRPr="00675182" w:rsidRDefault="00311754" w:rsidP="002B3341">
      <w:pPr>
        <w:jc w:val="both"/>
        <w:rPr>
          <w:rFonts w:cstheme="minorHAnsi"/>
        </w:rPr>
      </w:pPr>
    </w:p>
    <w:p w14:paraId="536299F1" w14:textId="73F80EE0" w:rsidR="00311754" w:rsidRPr="00675182" w:rsidRDefault="00311754" w:rsidP="002B3341">
      <w:pPr>
        <w:jc w:val="both"/>
        <w:rPr>
          <w:rFonts w:cstheme="minorHAnsi"/>
          <w:sz w:val="20"/>
        </w:rPr>
      </w:pPr>
      <w:r w:rsidRPr="00675182">
        <w:rPr>
          <w:rFonts w:cstheme="minorHAnsi"/>
        </w:rPr>
        <w:t xml:space="preserve">GNP teritorijā kopumā ir </w:t>
      </w:r>
      <w:r w:rsidR="00C9687A" w:rsidRPr="00675182">
        <w:rPr>
          <w:rFonts w:cstheme="minorHAnsi"/>
        </w:rPr>
        <w:t>konstatēti</w:t>
      </w:r>
      <w:r w:rsidRPr="00675182">
        <w:rPr>
          <w:rFonts w:cstheme="minorHAnsi"/>
        </w:rPr>
        <w:t xml:space="preserve"> </w:t>
      </w:r>
      <w:r w:rsidR="00810F5B" w:rsidRPr="00675182">
        <w:rPr>
          <w:rFonts w:cstheme="minorHAnsi"/>
        </w:rPr>
        <w:t>32</w:t>
      </w:r>
      <w:r w:rsidRPr="00675182">
        <w:rPr>
          <w:rFonts w:cstheme="minorHAnsi"/>
        </w:rPr>
        <w:t xml:space="preserve"> ES nozīmes  biotop</w:t>
      </w:r>
      <w:r w:rsidR="00810F5B" w:rsidRPr="00675182">
        <w:rPr>
          <w:rFonts w:cstheme="minorHAnsi"/>
        </w:rPr>
        <w:t xml:space="preserve">u veidi </w:t>
      </w:r>
      <w:r w:rsidRPr="00675182">
        <w:rPr>
          <w:rFonts w:cstheme="minorHAnsi"/>
        </w:rPr>
        <w:t xml:space="preserve">ar kopējo platību </w:t>
      </w:r>
      <w:r w:rsidR="000C0343" w:rsidRPr="00675182">
        <w:rPr>
          <w:rFonts w:cstheme="minorHAnsi"/>
        </w:rPr>
        <w:t>18</w:t>
      </w:r>
      <w:r w:rsidR="00FC7F11" w:rsidRPr="00675182">
        <w:rPr>
          <w:rFonts w:cstheme="minorHAnsi"/>
        </w:rPr>
        <w:t> </w:t>
      </w:r>
      <w:r w:rsidR="00A24596" w:rsidRPr="00675182">
        <w:rPr>
          <w:rFonts w:cstheme="minorHAnsi"/>
        </w:rPr>
        <w:t>5</w:t>
      </w:r>
      <w:r w:rsidR="00EA2CD0">
        <w:rPr>
          <w:rFonts w:cstheme="minorHAnsi"/>
        </w:rPr>
        <w:t>80</w:t>
      </w:r>
      <w:r w:rsidR="00FC7F11" w:rsidRPr="00675182">
        <w:rPr>
          <w:rFonts w:cstheme="minorHAnsi"/>
        </w:rPr>
        <w:t xml:space="preserve"> </w:t>
      </w:r>
      <w:r w:rsidRPr="00675182">
        <w:rPr>
          <w:rFonts w:cstheme="minorHAnsi"/>
        </w:rPr>
        <w:t xml:space="preserve">ha jeb </w:t>
      </w:r>
      <w:r w:rsidR="00FB087A" w:rsidRPr="00675182">
        <w:rPr>
          <w:rFonts w:cstheme="minorHAnsi"/>
        </w:rPr>
        <w:t>20</w:t>
      </w:r>
      <w:r w:rsidR="000C0343" w:rsidRPr="00675182">
        <w:rPr>
          <w:rFonts w:cstheme="minorHAnsi"/>
        </w:rPr>
        <w:t>,</w:t>
      </w:r>
      <w:r w:rsidR="00A24596" w:rsidRPr="00675182">
        <w:rPr>
          <w:rFonts w:cstheme="minorHAnsi"/>
        </w:rPr>
        <w:t>2</w:t>
      </w:r>
      <w:r w:rsidR="002537F2" w:rsidRPr="00675182">
        <w:rPr>
          <w:rFonts w:cstheme="minorHAnsi"/>
        </w:rPr>
        <w:t xml:space="preserve"> </w:t>
      </w:r>
      <w:r w:rsidRPr="00675182">
        <w:rPr>
          <w:rFonts w:cstheme="minorHAnsi"/>
        </w:rPr>
        <w:t>% no kopējās ĪADT teritorijas.</w:t>
      </w:r>
      <w:r w:rsidR="002537F2" w:rsidRPr="00675182">
        <w:rPr>
          <w:rFonts w:cstheme="minorHAnsi"/>
        </w:rPr>
        <w:t xml:space="preserve"> </w:t>
      </w:r>
    </w:p>
    <w:p w14:paraId="7F671E5C" w14:textId="3204A1FD" w:rsidR="00810F5B" w:rsidRPr="00675182" w:rsidRDefault="00810F5B" w:rsidP="002B3341">
      <w:pPr>
        <w:jc w:val="both"/>
        <w:rPr>
          <w:rFonts w:cstheme="minorHAnsi"/>
          <w:sz w:val="20"/>
        </w:rPr>
      </w:pPr>
    </w:p>
    <w:p w14:paraId="3819FDC9" w14:textId="1F923409" w:rsidR="00A258EB" w:rsidRPr="00675182" w:rsidRDefault="00162901" w:rsidP="002B3341">
      <w:pPr>
        <w:jc w:val="both"/>
        <w:rPr>
          <w:rFonts w:cstheme="minorHAnsi"/>
        </w:rPr>
      </w:pPr>
      <w:r w:rsidRPr="00675182">
        <w:rPr>
          <w:rFonts w:cstheme="minorHAnsi"/>
        </w:rPr>
        <w:t xml:space="preserve">Informācija </w:t>
      </w:r>
      <w:r w:rsidR="00A258EB" w:rsidRPr="00675182">
        <w:rPr>
          <w:rFonts w:cstheme="minorHAnsi"/>
        </w:rPr>
        <w:t>par GNP</w:t>
      </w:r>
      <w:r w:rsidRPr="00675182">
        <w:rPr>
          <w:rFonts w:cstheme="minorHAnsi"/>
        </w:rPr>
        <w:t xml:space="preserve"> </w:t>
      </w:r>
      <w:r w:rsidR="00A258EB" w:rsidRPr="00675182">
        <w:rPr>
          <w:rFonts w:cstheme="minorHAnsi"/>
        </w:rPr>
        <w:t xml:space="preserve">teritorijā konstatētajiem ES nozīmes biotopiem, to platībām un novērtējumu </w:t>
      </w:r>
      <w:r w:rsidRPr="00675182">
        <w:rPr>
          <w:rFonts w:cstheme="minorHAnsi"/>
        </w:rPr>
        <w:t>ir apkopota</w:t>
      </w:r>
      <w:r w:rsidR="00A258EB" w:rsidRPr="00675182">
        <w:rPr>
          <w:rFonts w:cstheme="minorHAnsi"/>
        </w:rPr>
        <w:t xml:space="preserve"> </w:t>
      </w:r>
      <w:r w:rsidRPr="00675182">
        <w:rPr>
          <w:rFonts w:cstheme="minorHAnsi"/>
        </w:rPr>
        <w:t>2</w:t>
      </w:r>
      <w:r w:rsidR="00A258EB" w:rsidRPr="00675182">
        <w:rPr>
          <w:rFonts w:cstheme="minorHAnsi"/>
        </w:rPr>
        <w:t>.3.1. tabulā, savukārt ES nozīmes biotopu platību izmaiņu izvērtējum</w:t>
      </w:r>
      <w:r w:rsidRPr="00675182">
        <w:rPr>
          <w:rFonts w:cstheme="minorHAnsi"/>
        </w:rPr>
        <w:t>s</w:t>
      </w:r>
      <w:r w:rsidR="00A258EB" w:rsidRPr="00675182">
        <w:rPr>
          <w:rFonts w:cstheme="minorHAnsi"/>
        </w:rPr>
        <w:t xml:space="preserve">, salīdzinot ar </w:t>
      </w:r>
      <w:r w:rsidR="00A258EB" w:rsidRPr="00BF7348">
        <w:rPr>
          <w:rFonts w:cstheme="minorHAnsi"/>
        </w:rPr>
        <w:t>Natura</w:t>
      </w:r>
      <w:r w:rsidR="00A258EB" w:rsidRPr="001F2ABB">
        <w:rPr>
          <w:rFonts w:cstheme="minorHAnsi"/>
        </w:rPr>
        <w:t xml:space="preserve"> 2000</w:t>
      </w:r>
      <w:r w:rsidR="00A258EB" w:rsidRPr="00675182">
        <w:rPr>
          <w:rFonts w:cstheme="minorHAnsi"/>
        </w:rPr>
        <w:t xml:space="preserve"> </w:t>
      </w:r>
      <w:r w:rsidRPr="00675182">
        <w:rPr>
          <w:rFonts w:cstheme="minorHAnsi"/>
        </w:rPr>
        <w:t>SDF</w:t>
      </w:r>
      <w:r w:rsidR="00A258EB" w:rsidRPr="00675182">
        <w:rPr>
          <w:rFonts w:cstheme="minorHAnsi"/>
        </w:rPr>
        <w:t xml:space="preserve"> iekļauto informāciju</w:t>
      </w:r>
      <w:r w:rsidRPr="00675182">
        <w:rPr>
          <w:rFonts w:cstheme="minorHAnsi"/>
        </w:rPr>
        <w:t>, ir sniegts</w:t>
      </w:r>
      <w:r w:rsidR="00A258EB" w:rsidRPr="00675182">
        <w:rPr>
          <w:rFonts w:cstheme="minorHAnsi"/>
        </w:rPr>
        <w:t xml:space="preserve"> </w:t>
      </w:r>
      <w:r w:rsidR="001304BF" w:rsidRPr="00675182">
        <w:rPr>
          <w:rFonts w:cstheme="minorHAnsi"/>
        </w:rPr>
        <w:t>2</w:t>
      </w:r>
      <w:r w:rsidR="00A258EB" w:rsidRPr="00675182">
        <w:rPr>
          <w:rFonts w:cstheme="minorHAnsi"/>
        </w:rPr>
        <w:t>.3.2. tabulā</w:t>
      </w:r>
      <w:r w:rsidR="0048081F" w:rsidRPr="00675182">
        <w:rPr>
          <w:rFonts w:cstheme="minorHAnsi"/>
        </w:rPr>
        <w:t>.</w:t>
      </w:r>
      <w:r w:rsidRPr="00675182">
        <w:rPr>
          <w:rFonts w:cstheme="minorHAnsi"/>
        </w:rPr>
        <w:t xml:space="preserve"> </w:t>
      </w:r>
      <w:r w:rsidR="00DA5D61">
        <w:rPr>
          <w:rFonts w:cstheme="minorHAnsi"/>
        </w:rPr>
        <w:t>Es nozīmes</w:t>
      </w:r>
      <w:r w:rsidR="0012213B">
        <w:rPr>
          <w:rFonts w:cstheme="minorHAnsi"/>
        </w:rPr>
        <w:t xml:space="preserve"> </w:t>
      </w:r>
      <w:r w:rsidRPr="00675182">
        <w:rPr>
          <w:rFonts w:cstheme="minorHAnsi"/>
        </w:rPr>
        <w:t>biotopu izvietojums GNP teritorijā ir attēlots 2.</w:t>
      </w:r>
      <w:r w:rsidR="001F4D4F" w:rsidRPr="00675182">
        <w:rPr>
          <w:rFonts w:cstheme="minorHAnsi"/>
        </w:rPr>
        <w:t>3.</w:t>
      </w:r>
      <w:r w:rsidRPr="00675182">
        <w:rPr>
          <w:rFonts w:cstheme="minorHAnsi"/>
        </w:rPr>
        <w:t xml:space="preserve">1. attēlā un </w:t>
      </w:r>
      <w:r w:rsidR="001F4D4F" w:rsidRPr="00675182">
        <w:rPr>
          <w:rFonts w:cstheme="minorHAnsi"/>
        </w:rPr>
        <w:t>9</w:t>
      </w:r>
      <w:r w:rsidRPr="00675182">
        <w:rPr>
          <w:rFonts w:cstheme="minorHAnsi"/>
        </w:rPr>
        <w:t>. pielikumā.</w:t>
      </w:r>
    </w:p>
    <w:p w14:paraId="1AF1F0F2" w14:textId="77777777" w:rsidR="002E2525" w:rsidRPr="00675182" w:rsidRDefault="002E2525" w:rsidP="002B3341">
      <w:pPr>
        <w:jc w:val="both"/>
        <w:rPr>
          <w:rFonts w:cstheme="minorHAnsi"/>
        </w:rPr>
      </w:pPr>
    </w:p>
    <w:p w14:paraId="4B238E59" w14:textId="77777777" w:rsidR="00CD204E" w:rsidRPr="00675182" w:rsidRDefault="00CD204E" w:rsidP="002B3341">
      <w:pPr>
        <w:jc w:val="both"/>
        <w:rPr>
          <w:rFonts w:cstheme="minorHAnsi"/>
        </w:rPr>
      </w:pPr>
    </w:p>
    <w:p w14:paraId="42339A15" w14:textId="64071718" w:rsidR="00CD204E" w:rsidRPr="00675182" w:rsidRDefault="00CD204E" w:rsidP="002B3341">
      <w:pPr>
        <w:jc w:val="both"/>
        <w:rPr>
          <w:rFonts w:cstheme="minorHAnsi"/>
        </w:rPr>
        <w:sectPr w:rsidR="00CD204E" w:rsidRPr="00675182" w:rsidSect="00CD74B1">
          <w:headerReference w:type="default" r:id="rId150"/>
          <w:pgSz w:w="11905" w:h="16837"/>
          <w:pgMar w:top="1440" w:right="1797" w:bottom="1440" w:left="1797" w:header="720" w:footer="720" w:gutter="0"/>
          <w:cols w:space="720"/>
          <w:docGrid w:linePitch="360"/>
        </w:sectPr>
      </w:pPr>
    </w:p>
    <w:p w14:paraId="50AAE541" w14:textId="731D0BBF" w:rsidR="00011E51" w:rsidRPr="00675182" w:rsidRDefault="00011E51" w:rsidP="002B3341">
      <w:pPr>
        <w:rPr>
          <w:rFonts w:cstheme="minorHAnsi"/>
          <w:b/>
          <w:i/>
        </w:rPr>
      </w:pPr>
      <w:r w:rsidRPr="00675182">
        <w:rPr>
          <w:rFonts w:cstheme="minorHAnsi"/>
          <w:b/>
          <w:i/>
        </w:rPr>
        <w:lastRenderedPageBreak/>
        <w:t>2.</w:t>
      </w:r>
      <w:r w:rsidR="00162901" w:rsidRPr="00675182">
        <w:rPr>
          <w:rFonts w:cstheme="minorHAnsi"/>
          <w:b/>
          <w:i/>
        </w:rPr>
        <w:t>3</w:t>
      </w:r>
      <w:r w:rsidRPr="00675182">
        <w:rPr>
          <w:rFonts w:cstheme="minorHAnsi"/>
          <w:b/>
          <w:i/>
        </w:rPr>
        <w:t>.</w:t>
      </w:r>
      <w:r w:rsidR="00162901" w:rsidRPr="00675182">
        <w:rPr>
          <w:rFonts w:cstheme="minorHAnsi"/>
          <w:b/>
          <w:i/>
        </w:rPr>
        <w:t>1.</w:t>
      </w:r>
      <w:r w:rsidRPr="00675182">
        <w:rPr>
          <w:rFonts w:cstheme="minorHAnsi"/>
          <w:b/>
          <w:i/>
        </w:rPr>
        <w:t xml:space="preserve"> tabula. </w:t>
      </w:r>
      <w:r w:rsidR="00DA5D61">
        <w:rPr>
          <w:rFonts w:cstheme="minorHAnsi"/>
          <w:b/>
          <w:i/>
        </w:rPr>
        <w:t>ES nozīmes</w:t>
      </w:r>
      <w:r w:rsidRPr="00675182">
        <w:rPr>
          <w:rFonts w:cstheme="minorHAnsi"/>
          <w:b/>
          <w:i/>
        </w:rPr>
        <w:t xml:space="preserve"> biotopi </w:t>
      </w:r>
      <w:r w:rsidR="00AA3632" w:rsidRPr="00675182">
        <w:rPr>
          <w:rFonts w:cstheme="minorHAnsi"/>
          <w:b/>
          <w:i/>
        </w:rPr>
        <w:t>GNP</w:t>
      </w:r>
      <w:r w:rsidR="001A1F7C" w:rsidRPr="00675182">
        <w:rPr>
          <w:rFonts w:cstheme="minorHAnsi"/>
          <w:b/>
          <w: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680"/>
        <w:gridCol w:w="1695"/>
        <w:gridCol w:w="1105"/>
        <w:gridCol w:w="2190"/>
        <w:gridCol w:w="1300"/>
        <w:gridCol w:w="1490"/>
        <w:gridCol w:w="1487"/>
      </w:tblGrid>
      <w:tr w:rsidR="00E00963" w:rsidRPr="00675182" w14:paraId="62AE7906" w14:textId="77777777" w:rsidTr="00513D22">
        <w:trPr>
          <w:trHeight w:val="284"/>
          <w:tblHeader/>
        </w:trPr>
        <w:tc>
          <w:tcPr>
            <w:tcW w:w="1678" w:type="pct"/>
            <w:shd w:val="clear" w:color="auto" w:fill="D8E4BC"/>
            <w:tcMar>
              <w:top w:w="13" w:type="dxa"/>
              <w:left w:w="13" w:type="dxa"/>
              <w:bottom w:w="0" w:type="dxa"/>
              <w:right w:w="13" w:type="dxa"/>
            </w:tcMar>
            <w:vAlign w:val="center"/>
            <w:hideMark/>
          </w:tcPr>
          <w:p w14:paraId="4729CF58" w14:textId="77777777" w:rsidR="00E00963" w:rsidRPr="00675182" w:rsidRDefault="00E00963" w:rsidP="002B3341">
            <w:pPr>
              <w:suppressAutoHyphens w:val="0"/>
              <w:jc w:val="center"/>
              <w:textAlignment w:val="center"/>
              <w:rPr>
                <w:rFonts w:eastAsia="Times New Roman" w:cstheme="minorHAnsi"/>
                <w:sz w:val="22"/>
                <w:szCs w:val="22"/>
                <w:lang w:eastAsia="lv-LV"/>
              </w:rPr>
            </w:pPr>
            <w:r w:rsidRPr="00675182">
              <w:rPr>
                <w:rFonts w:eastAsia="Times New Roman" w:cstheme="minorHAnsi"/>
                <w:b/>
                <w:bCs/>
                <w:color w:val="000000"/>
                <w:kern w:val="24"/>
                <w:sz w:val="22"/>
                <w:szCs w:val="22"/>
                <w:lang w:eastAsia="lv-LV"/>
              </w:rPr>
              <w:t>Biotopa kods un nosaukums</w:t>
            </w:r>
          </w:p>
        </w:tc>
        <w:tc>
          <w:tcPr>
            <w:tcW w:w="608" w:type="pct"/>
            <w:shd w:val="clear" w:color="auto" w:fill="D8E4BC"/>
            <w:tcMar>
              <w:top w:w="13" w:type="dxa"/>
              <w:left w:w="13" w:type="dxa"/>
              <w:bottom w:w="0" w:type="dxa"/>
              <w:right w:w="13" w:type="dxa"/>
            </w:tcMar>
            <w:vAlign w:val="center"/>
            <w:hideMark/>
          </w:tcPr>
          <w:p w14:paraId="027AA1E6" w14:textId="0D72833C" w:rsidR="00E00963" w:rsidRPr="00675182" w:rsidRDefault="00E00963" w:rsidP="002B3341">
            <w:pPr>
              <w:suppressAutoHyphens w:val="0"/>
              <w:jc w:val="center"/>
              <w:textAlignment w:val="center"/>
              <w:rPr>
                <w:rFonts w:eastAsia="Times New Roman" w:cstheme="minorHAnsi"/>
                <w:sz w:val="22"/>
                <w:szCs w:val="22"/>
                <w:lang w:eastAsia="lv-LV"/>
              </w:rPr>
            </w:pPr>
            <w:r w:rsidRPr="00675182">
              <w:rPr>
                <w:rFonts w:eastAsia="Times New Roman" w:cstheme="minorHAnsi"/>
                <w:b/>
                <w:bCs/>
                <w:color w:val="000000"/>
                <w:kern w:val="24"/>
                <w:sz w:val="22"/>
                <w:szCs w:val="22"/>
                <w:lang w:eastAsia="lv-LV"/>
              </w:rPr>
              <w:t>Platība GNP*, ha</w:t>
            </w:r>
          </w:p>
        </w:tc>
        <w:tc>
          <w:tcPr>
            <w:tcW w:w="396" w:type="pct"/>
            <w:shd w:val="clear" w:color="auto" w:fill="D8E4BC"/>
            <w:tcMar>
              <w:top w:w="13" w:type="dxa"/>
              <w:left w:w="13" w:type="dxa"/>
              <w:bottom w:w="0" w:type="dxa"/>
              <w:right w:w="13" w:type="dxa"/>
            </w:tcMar>
            <w:vAlign w:val="center"/>
            <w:hideMark/>
          </w:tcPr>
          <w:p w14:paraId="35A19885" w14:textId="28CAF700" w:rsidR="00E00963" w:rsidRPr="00675182" w:rsidRDefault="00E00963" w:rsidP="002B3341">
            <w:pPr>
              <w:suppressAutoHyphens w:val="0"/>
              <w:jc w:val="center"/>
              <w:textAlignment w:val="center"/>
              <w:rPr>
                <w:rFonts w:eastAsia="Times New Roman" w:cstheme="minorHAnsi"/>
                <w:b/>
                <w:sz w:val="22"/>
                <w:szCs w:val="22"/>
                <w:lang w:eastAsia="lv-LV"/>
              </w:rPr>
            </w:pPr>
            <w:r w:rsidRPr="00675182">
              <w:rPr>
                <w:rFonts w:eastAsia="Times New Roman" w:cstheme="minorHAnsi"/>
                <w:b/>
                <w:sz w:val="22"/>
                <w:szCs w:val="22"/>
                <w:lang w:eastAsia="lv-LV"/>
              </w:rPr>
              <w:t>Procenti no GNP platības</w:t>
            </w:r>
          </w:p>
        </w:tc>
        <w:tc>
          <w:tcPr>
            <w:tcW w:w="785" w:type="pct"/>
            <w:shd w:val="clear" w:color="auto" w:fill="D6E3BC" w:themeFill="accent3" w:themeFillTint="66"/>
            <w:vAlign w:val="center"/>
          </w:tcPr>
          <w:p w14:paraId="1365075B" w14:textId="77777777" w:rsidR="00E00963" w:rsidRPr="00675182" w:rsidRDefault="00E00963" w:rsidP="002B3341">
            <w:pPr>
              <w:suppressAutoHyphens w:val="0"/>
              <w:jc w:val="center"/>
              <w:textAlignment w:val="center"/>
              <w:rPr>
                <w:rFonts w:eastAsia="Times New Roman" w:cstheme="minorHAnsi"/>
                <w:b/>
                <w:bCs/>
                <w:color w:val="000000"/>
                <w:kern w:val="24"/>
                <w:sz w:val="22"/>
                <w:szCs w:val="22"/>
                <w:lang w:eastAsia="lv-LV"/>
              </w:rPr>
            </w:pPr>
            <w:r w:rsidRPr="00675182">
              <w:rPr>
                <w:rFonts w:cstheme="minorHAnsi"/>
                <w:b/>
                <w:bCs/>
                <w:color w:val="000000"/>
                <w:sz w:val="22"/>
                <w:szCs w:val="22"/>
              </w:rPr>
              <w:t>Platības attiecība (%) pret biotopa platību Natura 2000 teritorijās Latvijā</w:t>
            </w:r>
          </w:p>
        </w:tc>
        <w:tc>
          <w:tcPr>
            <w:tcW w:w="466" w:type="pct"/>
            <w:shd w:val="clear" w:color="auto" w:fill="D6E3BC" w:themeFill="accent3" w:themeFillTint="66"/>
            <w:tcMar>
              <w:top w:w="13" w:type="dxa"/>
              <w:left w:w="13" w:type="dxa"/>
              <w:bottom w:w="0" w:type="dxa"/>
              <w:right w:w="13" w:type="dxa"/>
            </w:tcMar>
            <w:vAlign w:val="center"/>
          </w:tcPr>
          <w:p w14:paraId="25D7DACB" w14:textId="77777777" w:rsidR="00E00963" w:rsidRPr="00675182" w:rsidRDefault="00E00963" w:rsidP="002B3341">
            <w:pPr>
              <w:suppressAutoHyphens w:val="0"/>
              <w:jc w:val="center"/>
              <w:textAlignment w:val="center"/>
              <w:rPr>
                <w:rFonts w:eastAsia="Times New Roman" w:cstheme="minorHAnsi"/>
                <w:sz w:val="22"/>
                <w:szCs w:val="22"/>
                <w:lang w:eastAsia="lv-LV"/>
              </w:rPr>
            </w:pPr>
            <w:r w:rsidRPr="00675182">
              <w:rPr>
                <w:rFonts w:cstheme="minorHAnsi"/>
                <w:b/>
                <w:bCs/>
                <w:color w:val="000000"/>
                <w:sz w:val="22"/>
                <w:szCs w:val="22"/>
              </w:rPr>
              <w:t>Procenti no platības Latvijā</w:t>
            </w:r>
          </w:p>
        </w:tc>
        <w:tc>
          <w:tcPr>
            <w:tcW w:w="534" w:type="pct"/>
            <w:shd w:val="clear" w:color="auto" w:fill="D6E3BC" w:themeFill="accent3" w:themeFillTint="66"/>
            <w:vAlign w:val="center"/>
          </w:tcPr>
          <w:p w14:paraId="64F16214" w14:textId="77777777" w:rsidR="00E00963" w:rsidRPr="00675182" w:rsidRDefault="00E00963" w:rsidP="002B3341">
            <w:pPr>
              <w:suppressAutoHyphens w:val="0"/>
              <w:jc w:val="center"/>
              <w:textAlignment w:val="center"/>
              <w:rPr>
                <w:rFonts w:eastAsia="Times New Roman" w:cstheme="minorHAnsi"/>
                <w:b/>
                <w:bCs/>
                <w:color w:val="000000"/>
                <w:kern w:val="24"/>
                <w:sz w:val="22"/>
                <w:szCs w:val="22"/>
                <w:lang w:eastAsia="lv-LV"/>
              </w:rPr>
            </w:pPr>
            <w:r w:rsidRPr="00675182">
              <w:rPr>
                <w:rFonts w:cstheme="minorHAnsi"/>
                <w:b/>
                <w:bCs/>
                <w:color w:val="000000"/>
                <w:sz w:val="22"/>
                <w:szCs w:val="22"/>
              </w:rPr>
              <w:t>Dzīvotnes aizsardzības novērtējums valstī</w:t>
            </w:r>
          </w:p>
        </w:tc>
        <w:tc>
          <w:tcPr>
            <w:tcW w:w="533" w:type="pct"/>
            <w:shd w:val="clear" w:color="auto" w:fill="D6E3BC" w:themeFill="accent3" w:themeFillTint="66"/>
            <w:vAlign w:val="center"/>
          </w:tcPr>
          <w:p w14:paraId="1B4C8C48" w14:textId="77777777" w:rsidR="00E00963" w:rsidRPr="00675182" w:rsidRDefault="00E00963" w:rsidP="002B3341">
            <w:pPr>
              <w:suppressAutoHyphens w:val="0"/>
              <w:jc w:val="center"/>
              <w:textAlignment w:val="center"/>
              <w:rPr>
                <w:rFonts w:eastAsia="Times New Roman" w:cstheme="minorHAnsi"/>
                <w:b/>
                <w:bCs/>
                <w:color w:val="000000"/>
                <w:kern w:val="24"/>
                <w:sz w:val="22"/>
                <w:szCs w:val="22"/>
                <w:lang w:eastAsia="lv-LV"/>
              </w:rPr>
            </w:pPr>
            <w:r w:rsidRPr="00675182">
              <w:rPr>
                <w:rFonts w:cstheme="minorHAnsi"/>
                <w:b/>
                <w:bCs/>
                <w:color w:val="000000"/>
                <w:sz w:val="22"/>
                <w:szCs w:val="22"/>
              </w:rPr>
              <w:t>Dzīvotnes aizsardzības stāvokļa tendence </w:t>
            </w:r>
          </w:p>
        </w:tc>
      </w:tr>
      <w:tr w:rsidR="000E33C5" w:rsidRPr="00675182" w14:paraId="21709FCA" w14:textId="77777777" w:rsidTr="00513D22">
        <w:trPr>
          <w:trHeight w:val="284"/>
        </w:trPr>
        <w:tc>
          <w:tcPr>
            <w:tcW w:w="5000" w:type="pct"/>
            <w:gridSpan w:val="7"/>
            <w:shd w:val="clear" w:color="auto" w:fill="EAF1DD" w:themeFill="accent3" w:themeFillTint="33"/>
            <w:tcMar>
              <w:top w:w="13" w:type="dxa"/>
              <w:left w:w="13" w:type="dxa"/>
              <w:bottom w:w="0" w:type="dxa"/>
              <w:right w:w="13" w:type="dxa"/>
            </w:tcMar>
            <w:vAlign w:val="bottom"/>
          </w:tcPr>
          <w:p w14:paraId="291839DD" w14:textId="7B46FAC9" w:rsidR="000E33C5" w:rsidRPr="00675182" w:rsidRDefault="000E33C5" w:rsidP="000E33C5">
            <w:pPr>
              <w:rPr>
                <w:rFonts w:cstheme="minorHAnsi"/>
                <w:b/>
                <w:bCs/>
                <w:i/>
                <w:iCs/>
                <w:color w:val="000000"/>
                <w:sz w:val="22"/>
                <w:szCs w:val="22"/>
              </w:rPr>
            </w:pPr>
            <w:r w:rsidRPr="00675182">
              <w:rPr>
                <w:rFonts w:cstheme="minorHAnsi"/>
                <w:b/>
                <w:bCs/>
                <w:i/>
                <w:iCs/>
                <w:color w:val="000000"/>
                <w:sz w:val="22"/>
                <w:szCs w:val="22"/>
              </w:rPr>
              <w:t>Saldūdeņu biotopi</w:t>
            </w:r>
          </w:p>
        </w:tc>
      </w:tr>
      <w:tr w:rsidR="00C7112C" w:rsidRPr="00675182" w14:paraId="38ADF3FA" w14:textId="77777777" w:rsidTr="00C7112C">
        <w:trPr>
          <w:trHeight w:val="284"/>
        </w:trPr>
        <w:tc>
          <w:tcPr>
            <w:tcW w:w="1678" w:type="pct"/>
            <w:shd w:val="clear" w:color="auto" w:fill="auto"/>
            <w:tcMar>
              <w:top w:w="13" w:type="dxa"/>
              <w:left w:w="13" w:type="dxa"/>
              <w:bottom w:w="0" w:type="dxa"/>
              <w:right w:w="13" w:type="dxa"/>
            </w:tcMar>
            <w:vAlign w:val="bottom"/>
          </w:tcPr>
          <w:p w14:paraId="5A65D756" w14:textId="38030F3F" w:rsidR="00C7112C" w:rsidRPr="00675182" w:rsidRDefault="00C7112C" w:rsidP="00C7112C">
            <w:pPr>
              <w:rPr>
                <w:rFonts w:cstheme="minorHAnsi"/>
                <w:color w:val="000000"/>
                <w:sz w:val="22"/>
                <w:szCs w:val="22"/>
              </w:rPr>
            </w:pPr>
            <w:r w:rsidRPr="00675182">
              <w:rPr>
                <w:rFonts w:cstheme="minorHAnsi"/>
                <w:sz w:val="22"/>
                <w:szCs w:val="22"/>
              </w:rPr>
              <w:t>3130 Ezeri ar oligotrofām līdz mezotrofām augu sabiedrībām</w:t>
            </w:r>
          </w:p>
        </w:tc>
        <w:tc>
          <w:tcPr>
            <w:tcW w:w="608"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5808D0B9" w14:textId="19A2CB63" w:rsidR="00C7112C" w:rsidRPr="00EA2CD0" w:rsidRDefault="00C7112C" w:rsidP="00C7112C">
            <w:pPr>
              <w:jc w:val="center"/>
              <w:rPr>
                <w:rFonts w:cstheme="minorHAnsi"/>
                <w:color w:val="000000"/>
                <w:sz w:val="22"/>
                <w:szCs w:val="22"/>
              </w:rPr>
            </w:pPr>
            <w:r w:rsidRPr="00EA2CD0">
              <w:rPr>
                <w:rFonts w:cstheme="minorHAnsi"/>
                <w:sz w:val="22"/>
                <w:szCs w:val="22"/>
              </w:rPr>
              <w:t>42</w:t>
            </w:r>
            <w:r w:rsidR="00C5737E" w:rsidRPr="00EA2CD0">
              <w:rPr>
                <w:rFonts w:cstheme="minorHAnsi"/>
                <w:sz w:val="22"/>
                <w:szCs w:val="22"/>
              </w:rPr>
              <w:t>9,0</w:t>
            </w:r>
          </w:p>
        </w:tc>
        <w:tc>
          <w:tcPr>
            <w:tcW w:w="39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653C2990" w14:textId="0C1357BA" w:rsidR="00C7112C" w:rsidRPr="00EA2CD0" w:rsidRDefault="00C7112C" w:rsidP="00C7112C">
            <w:pPr>
              <w:jc w:val="center"/>
              <w:rPr>
                <w:rFonts w:cstheme="minorHAnsi"/>
                <w:color w:val="000000"/>
                <w:sz w:val="22"/>
                <w:szCs w:val="22"/>
              </w:rPr>
            </w:pPr>
            <w:r w:rsidRPr="00EA2CD0">
              <w:rPr>
                <w:rFonts w:cstheme="minorHAnsi"/>
                <w:sz w:val="22"/>
                <w:szCs w:val="22"/>
              </w:rPr>
              <w:t>0,47</w:t>
            </w:r>
          </w:p>
        </w:tc>
        <w:tc>
          <w:tcPr>
            <w:tcW w:w="785" w:type="pct"/>
            <w:tcBorders>
              <w:top w:val="single" w:sz="4" w:space="0" w:color="auto"/>
              <w:left w:val="nil"/>
              <w:bottom w:val="single" w:sz="4" w:space="0" w:color="auto"/>
              <w:right w:val="single" w:sz="4" w:space="0" w:color="auto"/>
            </w:tcBorders>
            <w:shd w:val="clear" w:color="auto" w:fill="auto"/>
            <w:vAlign w:val="center"/>
          </w:tcPr>
          <w:p w14:paraId="501369C7" w14:textId="52F0A885" w:rsidR="00C7112C" w:rsidRPr="00EA2CD0" w:rsidRDefault="00C7112C" w:rsidP="00C7112C">
            <w:pPr>
              <w:jc w:val="center"/>
              <w:rPr>
                <w:rFonts w:cstheme="minorHAnsi"/>
                <w:color w:val="000000"/>
                <w:sz w:val="22"/>
                <w:szCs w:val="22"/>
              </w:rPr>
            </w:pPr>
            <w:r w:rsidRPr="00EA2CD0">
              <w:rPr>
                <w:rFonts w:cstheme="minorHAnsi"/>
                <w:sz w:val="22"/>
                <w:szCs w:val="22"/>
              </w:rPr>
              <w:t>15,2</w:t>
            </w:r>
            <w:r w:rsidR="00C5737E" w:rsidRPr="00EA2CD0">
              <w:rPr>
                <w:rFonts w:cstheme="minorHAnsi"/>
                <w:sz w:val="22"/>
                <w:szCs w:val="22"/>
              </w:rPr>
              <w:t>1</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13CDE9C9" w14:textId="54B130E0" w:rsidR="00C7112C" w:rsidRPr="00EA2CD0" w:rsidRDefault="00C7112C" w:rsidP="00C7112C">
            <w:pPr>
              <w:jc w:val="center"/>
              <w:rPr>
                <w:rFonts w:cstheme="minorHAnsi"/>
                <w:color w:val="000000"/>
                <w:sz w:val="22"/>
                <w:szCs w:val="22"/>
              </w:rPr>
            </w:pPr>
            <w:r w:rsidRPr="00EA2CD0">
              <w:rPr>
                <w:rFonts w:cstheme="minorHAnsi"/>
                <w:sz w:val="22"/>
                <w:szCs w:val="22"/>
              </w:rPr>
              <w:t>7,99</w:t>
            </w:r>
          </w:p>
        </w:tc>
        <w:tc>
          <w:tcPr>
            <w:tcW w:w="534" w:type="pct"/>
            <w:shd w:val="clear" w:color="000000" w:fill="FF0000"/>
            <w:vAlign w:val="center"/>
          </w:tcPr>
          <w:p w14:paraId="5D8E8C79" w14:textId="102F4ADC" w:rsidR="00C7112C" w:rsidRPr="00675182" w:rsidRDefault="00C7112C" w:rsidP="00C7112C">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40AFF099" w14:textId="01578948" w:rsidR="00C7112C" w:rsidRPr="00675182" w:rsidRDefault="00C7112C" w:rsidP="00C7112C">
            <w:pPr>
              <w:jc w:val="center"/>
              <w:rPr>
                <w:rFonts w:cstheme="minorHAnsi"/>
                <w:color w:val="000000"/>
                <w:sz w:val="22"/>
                <w:szCs w:val="22"/>
              </w:rPr>
            </w:pPr>
            <w:r w:rsidRPr="00675182">
              <w:rPr>
                <w:rFonts w:cstheme="minorHAnsi"/>
                <w:color w:val="000000"/>
                <w:sz w:val="22"/>
                <w:szCs w:val="22"/>
              </w:rPr>
              <w:t>D</w:t>
            </w:r>
          </w:p>
        </w:tc>
      </w:tr>
      <w:tr w:rsidR="00C7112C" w:rsidRPr="00675182" w14:paraId="731D868A" w14:textId="77777777" w:rsidTr="00C7112C">
        <w:trPr>
          <w:trHeight w:val="284"/>
        </w:trPr>
        <w:tc>
          <w:tcPr>
            <w:tcW w:w="1678" w:type="pct"/>
            <w:shd w:val="clear" w:color="auto" w:fill="auto"/>
            <w:tcMar>
              <w:top w:w="13" w:type="dxa"/>
              <w:left w:w="13" w:type="dxa"/>
              <w:bottom w:w="0" w:type="dxa"/>
              <w:right w:w="13" w:type="dxa"/>
            </w:tcMar>
            <w:vAlign w:val="bottom"/>
          </w:tcPr>
          <w:p w14:paraId="047581DC" w14:textId="163A3AD8" w:rsidR="00C7112C" w:rsidRPr="00675182" w:rsidRDefault="00C7112C" w:rsidP="00C7112C">
            <w:pPr>
              <w:rPr>
                <w:rFonts w:cstheme="minorHAnsi"/>
                <w:color w:val="000000"/>
                <w:sz w:val="22"/>
                <w:szCs w:val="22"/>
              </w:rPr>
            </w:pPr>
            <w:r w:rsidRPr="00675182">
              <w:rPr>
                <w:rFonts w:cstheme="minorHAnsi"/>
                <w:sz w:val="22"/>
                <w:szCs w:val="22"/>
              </w:rPr>
              <w:t>3140 Ezeri ar mieturaļģu augāju</w:t>
            </w:r>
          </w:p>
        </w:tc>
        <w:tc>
          <w:tcPr>
            <w:tcW w:w="608"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412D0762" w14:textId="0051086A" w:rsidR="00C7112C" w:rsidRPr="00EA2CD0" w:rsidRDefault="00C7112C" w:rsidP="00C7112C">
            <w:pPr>
              <w:jc w:val="center"/>
              <w:rPr>
                <w:rFonts w:cstheme="minorHAnsi"/>
                <w:color w:val="000000"/>
                <w:sz w:val="22"/>
                <w:szCs w:val="22"/>
              </w:rPr>
            </w:pPr>
            <w:r w:rsidRPr="00EA2CD0">
              <w:rPr>
                <w:rFonts w:cstheme="minorHAnsi"/>
                <w:sz w:val="22"/>
                <w:szCs w:val="22"/>
              </w:rPr>
              <w:t>30,7</w:t>
            </w:r>
          </w:p>
        </w:tc>
        <w:tc>
          <w:tcPr>
            <w:tcW w:w="39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77810EE5" w14:textId="3A6B5E8D" w:rsidR="00C7112C" w:rsidRPr="00EA2CD0" w:rsidRDefault="00C7112C" w:rsidP="00C7112C">
            <w:pPr>
              <w:jc w:val="center"/>
              <w:rPr>
                <w:rFonts w:cstheme="minorHAnsi"/>
                <w:color w:val="000000"/>
                <w:sz w:val="22"/>
                <w:szCs w:val="22"/>
              </w:rPr>
            </w:pPr>
            <w:r w:rsidRPr="00EA2CD0">
              <w:rPr>
                <w:rFonts w:cstheme="minorHAnsi"/>
                <w:sz w:val="22"/>
                <w:szCs w:val="22"/>
              </w:rPr>
              <w:t>0,03</w:t>
            </w:r>
          </w:p>
        </w:tc>
        <w:tc>
          <w:tcPr>
            <w:tcW w:w="785" w:type="pct"/>
            <w:tcBorders>
              <w:top w:val="single" w:sz="4" w:space="0" w:color="auto"/>
              <w:left w:val="nil"/>
              <w:bottom w:val="single" w:sz="4" w:space="0" w:color="auto"/>
              <w:right w:val="single" w:sz="4" w:space="0" w:color="auto"/>
            </w:tcBorders>
            <w:shd w:val="clear" w:color="auto" w:fill="auto"/>
            <w:vAlign w:val="center"/>
          </w:tcPr>
          <w:p w14:paraId="2D254E4B" w14:textId="479E2600" w:rsidR="00C7112C" w:rsidRPr="00EA2CD0" w:rsidRDefault="00C7112C" w:rsidP="00C7112C">
            <w:pPr>
              <w:jc w:val="center"/>
              <w:rPr>
                <w:rFonts w:cstheme="minorHAnsi"/>
                <w:color w:val="000000"/>
                <w:sz w:val="22"/>
                <w:szCs w:val="22"/>
              </w:rPr>
            </w:pPr>
            <w:r w:rsidRPr="00EA2CD0">
              <w:rPr>
                <w:rFonts w:cstheme="minorHAnsi"/>
                <w:sz w:val="22"/>
                <w:szCs w:val="22"/>
              </w:rPr>
              <w:t>0,47</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0B396AB1" w14:textId="2E0877A0" w:rsidR="00C7112C" w:rsidRPr="00EA2CD0" w:rsidRDefault="00C7112C" w:rsidP="00C7112C">
            <w:pPr>
              <w:jc w:val="center"/>
              <w:rPr>
                <w:rFonts w:cstheme="minorHAnsi"/>
                <w:color w:val="000000"/>
                <w:sz w:val="22"/>
                <w:szCs w:val="22"/>
              </w:rPr>
            </w:pPr>
            <w:r w:rsidRPr="00EA2CD0">
              <w:rPr>
                <w:rFonts w:cstheme="minorHAnsi"/>
                <w:sz w:val="22"/>
                <w:szCs w:val="22"/>
              </w:rPr>
              <w:t>0,27</w:t>
            </w:r>
          </w:p>
        </w:tc>
        <w:tc>
          <w:tcPr>
            <w:tcW w:w="534" w:type="pct"/>
            <w:shd w:val="clear" w:color="000000" w:fill="FFFF00"/>
            <w:vAlign w:val="center"/>
          </w:tcPr>
          <w:p w14:paraId="34BEBACE" w14:textId="2E30BADC" w:rsidR="00C7112C" w:rsidRPr="00675182" w:rsidRDefault="00C7112C" w:rsidP="00C7112C">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141134A6" w14:textId="1E7D4531" w:rsidR="00C7112C" w:rsidRPr="00675182" w:rsidRDefault="00C7112C" w:rsidP="00C7112C">
            <w:pPr>
              <w:jc w:val="center"/>
              <w:rPr>
                <w:rFonts w:cstheme="minorHAnsi"/>
                <w:color w:val="000000"/>
                <w:sz w:val="22"/>
                <w:szCs w:val="22"/>
              </w:rPr>
            </w:pPr>
            <w:r w:rsidRPr="00675182">
              <w:rPr>
                <w:rFonts w:cstheme="minorHAnsi"/>
                <w:color w:val="000000"/>
                <w:sz w:val="22"/>
                <w:szCs w:val="22"/>
              </w:rPr>
              <w:t>X</w:t>
            </w:r>
          </w:p>
        </w:tc>
      </w:tr>
      <w:tr w:rsidR="00EA2CD0" w:rsidRPr="00675182" w14:paraId="37B301CD" w14:textId="77777777" w:rsidTr="003B127C">
        <w:trPr>
          <w:trHeight w:val="284"/>
        </w:trPr>
        <w:tc>
          <w:tcPr>
            <w:tcW w:w="1678" w:type="pct"/>
            <w:shd w:val="clear" w:color="auto" w:fill="auto"/>
            <w:tcMar>
              <w:top w:w="13" w:type="dxa"/>
              <w:left w:w="13" w:type="dxa"/>
              <w:bottom w:w="0" w:type="dxa"/>
              <w:right w:w="13" w:type="dxa"/>
            </w:tcMar>
            <w:vAlign w:val="bottom"/>
          </w:tcPr>
          <w:p w14:paraId="4EBF4BDA" w14:textId="46D43647" w:rsidR="00EA2CD0" w:rsidRPr="00675182" w:rsidRDefault="00EA2CD0" w:rsidP="00EA2CD0">
            <w:pPr>
              <w:rPr>
                <w:rFonts w:cstheme="minorHAnsi"/>
                <w:color w:val="000000"/>
                <w:sz w:val="22"/>
                <w:szCs w:val="22"/>
              </w:rPr>
            </w:pPr>
            <w:r w:rsidRPr="00675182">
              <w:rPr>
                <w:rFonts w:cstheme="minorHAnsi"/>
                <w:sz w:val="22"/>
                <w:szCs w:val="22"/>
              </w:rPr>
              <w:t>3150 Eitrofi ezeri ar iegrimušo ūdensaugu un peldaugu augāju</w:t>
            </w:r>
          </w:p>
        </w:tc>
        <w:tc>
          <w:tcPr>
            <w:tcW w:w="608" w:type="pct"/>
            <w:tcBorders>
              <w:top w:val="nil"/>
              <w:left w:val="nil"/>
              <w:bottom w:val="nil"/>
              <w:right w:val="nil"/>
            </w:tcBorders>
            <w:shd w:val="clear" w:color="auto" w:fill="auto"/>
            <w:tcMar>
              <w:top w:w="13" w:type="dxa"/>
              <w:left w:w="13" w:type="dxa"/>
              <w:bottom w:w="0" w:type="dxa"/>
              <w:right w:w="13" w:type="dxa"/>
            </w:tcMar>
          </w:tcPr>
          <w:p w14:paraId="3EE96A53" w14:textId="084B0EF0" w:rsidR="00EA2CD0" w:rsidRPr="00EA2CD0" w:rsidRDefault="00EA2CD0" w:rsidP="00EA2CD0">
            <w:pPr>
              <w:jc w:val="center"/>
              <w:rPr>
                <w:rFonts w:cstheme="minorHAnsi"/>
                <w:color w:val="000000"/>
                <w:sz w:val="22"/>
                <w:szCs w:val="22"/>
              </w:rPr>
            </w:pPr>
            <w:r w:rsidRPr="00EA2CD0">
              <w:rPr>
                <w:sz w:val="22"/>
                <w:szCs w:val="22"/>
              </w:rPr>
              <w:t>529,8</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1BA0B690" w14:textId="13F50431" w:rsidR="00EA2CD0" w:rsidRPr="00EA2CD0" w:rsidRDefault="00EA2CD0" w:rsidP="00EA2CD0">
            <w:pPr>
              <w:jc w:val="center"/>
              <w:rPr>
                <w:rFonts w:cstheme="minorHAnsi"/>
                <w:color w:val="000000"/>
                <w:sz w:val="22"/>
                <w:szCs w:val="22"/>
              </w:rPr>
            </w:pPr>
            <w:r w:rsidRPr="00EA2CD0">
              <w:rPr>
                <w:sz w:val="22"/>
                <w:szCs w:val="22"/>
              </w:rPr>
              <w:t>0,58</w:t>
            </w:r>
          </w:p>
        </w:tc>
        <w:tc>
          <w:tcPr>
            <w:tcW w:w="785" w:type="pct"/>
            <w:tcBorders>
              <w:top w:val="single" w:sz="4" w:space="0" w:color="auto"/>
              <w:left w:val="nil"/>
              <w:bottom w:val="single" w:sz="4" w:space="0" w:color="auto"/>
              <w:right w:val="single" w:sz="4" w:space="0" w:color="auto"/>
            </w:tcBorders>
            <w:shd w:val="clear" w:color="auto" w:fill="auto"/>
          </w:tcPr>
          <w:p w14:paraId="7F8885EE" w14:textId="762D5A46" w:rsidR="00EA2CD0" w:rsidRPr="00EA2CD0" w:rsidRDefault="00EA2CD0" w:rsidP="00EA2CD0">
            <w:pPr>
              <w:jc w:val="center"/>
              <w:rPr>
                <w:rFonts w:cstheme="minorHAnsi"/>
                <w:color w:val="000000"/>
                <w:sz w:val="22"/>
                <w:szCs w:val="22"/>
              </w:rPr>
            </w:pPr>
            <w:r w:rsidRPr="00EA2CD0">
              <w:rPr>
                <w:sz w:val="22"/>
                <w:szCs w:val="22"/>
              </w:rPr>
              <w:t>2,03</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3386F093" w14:textId="575DCD39" w:rsidR="00EA2CD0" w:rsidRPr="00EA2CD0" w:rsidRDefault="00EA2CD0" w:rsidP="00EA2CD0">
            <w:pPr>
              <w:jc w:val="center"/>
              <w:rPr>
                <w:rFonts w:cstheme="minorHAnsi"/>
                <w:color w:val="000000"/>
                <w:sz w:val="22"/>
                <w:szCs w:val="22"/>
              </w:rPr>
            </w:pPr>
            <w:r w:rsidRPr="00EA2CD0">
              <w:rPr>
                <w:sz w:val="22"/>
                <w:szCs w:val="22"/>
              </w:rPr>
              <w:t>0,75</w:t>
            </w:r>
          </w:p>
        </w:tc>
        <w:tc>
          <w:tcPr>
            <w:tcW w:w="534" w:type="pct"/>
            <w:shd w:val="clear" w:color="auto" w:fill="FFFF00"/>
            <w:vAlign w:val="center"/>
          </w:tcPr>
          <w:p w14:paraId="5AC80DA5" w14:textId="7E428D14"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47C04F67" w14:textId="466FED5C"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3E29CC15" w14:textId="77777777" w:rsidTr="003B127C">
        <w:trPr>
          <w:trHeight w:val="284"/>
        </w:trPr>
        <w:tc>
          <w:tcPr>
            <w:tcW w:w="1678" w:type="pct"/>
            <w:shd w:val="clear" w:color="auto" w:fill="auto"/>
            <w:tcMar>
              <w:top w:w="13" w:type="dxa"/>
              <w:left w:w="13" w:type="dxa"/>
              <w:bottom w:w="0" w:type="dxa"/>
              <w:right w:w="13" w:type="dxa"/>
            </w:tcMar>
            <w:vAlign w:val="bottom"/>
          </w:tcPr>
          <w:p w14:paraId="6958F813" w14:textId="7E084AC3" w:rsidR="00EA2CD0" w:rsidRPr="00675182" w:rsidRDefault="00EA2CD0" w:rsidP="00EA2CD0">
            <w:pPr>
              <w:suppressAutoHyphens w:val="0"/>
              <w:rPr>
                <w:rFonts w:cstheme="minorHAnsi"/>
                <w:color w:val="000000"/>
                <w:sz w:val="22"/>
                <w:szCs w:val="22"/>
              </w:rPr>
            </w:pPr>
            <w:r w:rsidRPr="00675182">
              <w:rPr>
                <w:rFonts w:cstheme="minorHAnsi"/>
                <w:sz w:val="22"/>
                <w:szCs w:val="22"/>
              </w:rPr>
              <w:t>3160 Distrofi ezeri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3834E7E5" w14:textId="6B50AEEF" w:rsidR="00EA2CD0" w:rsidRPr="00EA2CD0" w:rsidRDefault="00EA2CD0" w:rsidP="00EA2CD0">
            <w:pPr>
              <w:jc w:val="center"/>
              <w:rPr>
                <w:rFonts w:cstheme="minorHAnsi"/>
                <w:color w:val="000000"/>
                <w:sz w:val="22"/>
                <w:szCs w:val="22"/>
              </w:rPr>
            </w:pPr>
            <w:r w:rsidRPr="00EA2CD0">
              <w:rPr>
                <w:sz w:val="22"/>
                <w:szCs w:val="22"/>
              </w:rPr>
              <w:t>116,4</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60B10FE2" w14:textId="5CCCE9AD" w:rsidR="00EA2CD0" w:rsidRPr="00EA2CD0" w:rsidRDefault="00EA2CD0" w:rsidP="00EA2CD0">
            <w:pPr>
              <w:jc w:val="center"/>
              <w:rPr>
                <w:rFonts w:cstheme="minorHAnsi"/>
                <w:color w:val="000000"/>
                <w:sz w:val="22"/>
                <w:szCs w:val="22"/>
              </w:rPr>
            </w:pPr>
            <w:r w:rsidRPr="00EA2CD0">
              <w:rPr>
                <w:sz w:val="22"/>
                <w:szCs w:val="22"/>
              </w:rPr>
              <w:t>0,13</w:t>
            </w:r>
          </w:p>
        </w:tc>
        <w:tc>
          <w:tcPr>
            <w:tcW w:w="785" w:type="pct"/>
            <w:tcBorders>
              <w:top w:val="single" w:sz="4" w:space="0" w:color="auto"/>
              <w:left w:val="nil"/>
              <w:bottom w:val="single" w:sz="4" w:space="0" w:color="auto"/>
              <w:right w:val="single" w:sz="4" w:space="0" w:color="auto"/>
            </w:tcBorders>
            <w:shd w:val="clear" w:color="auto" w:fill="auto"/>
          </w:tcPr>
          <w:p w14:paraId="03BB4D30" w14:textId="354133D8" w:rsidR="00EA2CD0" w:rsidRPr="00EA2CD0" w:rsidRDefault="00EA2CD0" w:rsidP="00EA2CD0">
            <w:pPr>
              <w:jc w:val="center"/>
              <w:rPr>
                <w:rFonts w:cstheme="minorHAnsi"/>
                <w:color w:val="000000"/>
                <w:sz w:val="22"/>
                <w:szCs w:val="22"/>
              </w:rPr>
            </w:pPr>
            <w:r w:rsidRPr="00EA2CD0">
              <w:rPr>
                <w:sz w:val="22"/>
                <w:szCs w:val="22"/>
              </w:rPr>
              <w:t>5,15</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438CD61F" w14:textId="2ECE00F8" w:rsidR="00EA2CD0" w:rsidRPr="00EA2CD0" w:rsidRDefault="00EA2CD0" w:rsidP="00EA2CD0">
            <w:pPr>
              <w:jc w:val="center"/>
              <w:rPr>
                <w:rFonts w:cstheme="minorHAnsi"/>
                <w:color w:val="000000"/>
                <w:sz w:val="22"/>
                <w:szCs w:val="22"/>
              </w:rPr>
            </w:pPr>
            <w:r w:rsidRPr="00EA2CD0">
              <w:rPr>
                <w:sz w:val="22"/>
                <w:szCs w:val="22"/>
              </w:rPr>
              <w:t>5,11</w:t>
            </w:r>
          </w:p>
        </w:tc>
        <w:tc>
          <w:tcPr>
            <w:tcW w:w="534" w:type="pct"/>
            <w:shd w:val="clear" w:color="auto" w:fill="92D050"/>
            <w:vAlign w:val="center"/>
          </w:tcPr>
          <w:p w14:paraId="0CFF3922" w14:textId="14ADD7FF" w:rsidR="00EA2CD0" w:rsidRPr="00675182" w:rsidRDefault="00EA2CD0" w:rsidP="00EA2CD0">
            <w:pPr>
              <w:jc w:val="center"/>
              <w:rPr>
                <w:rFonts w:cstheme="minorHAnsi"/>
                <w:color w:val="000000"/>
                <w:sz w:val="22"/>
                <w:szCs w:val="22"/>
              </w:rPr>
            </w:pPr>
            <w:r w:rsidRPr="00675182">
              <w:rPr>
                <w:rFonts w:cstheme="minorHAnsi"/>
                <w:color w:val="000000"/>
                <w:sz w:val="22"/>
                <w:szCs w:val="22"/>
              </w:rPr>
              <w:t>FV</w:t>
            </w:r>
          </w:p>
        </w:tc>
        <w:tc>
          <w:tcPr>
            <w:tcW w:w="533" w:type="pct"/>
            <w:shd w:val="clear" w:color="auto" w:fill="auto"/>
            <w:vAlign w:val="center"/>
          </w:tcPr>
          <w:p w14:paraId="363F86F9" w14:textId="53A39A26"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7C4AE04A" w14:textId="77777777" w:rsidTr="003B127C">
        <w:trPr>
          <w:trHeight w:val="284"/>
        </w:trPr>
        <w:tc>
          <w:tcPr>
            <w:tcW w:w="1678" w:type="pct"/>
            <w:shd w:val="clear" w:color="auto" w:fill="auto"/>
            <w:tcMar>
              <w:top w:w="13" w:type="dxa"/>
              <w:left w:w="13" w:type="dxa"/>
              <w:bottom w:w="0" w:type="dxa"/>
              <w:right w:w="13" w:type="dxa"/>
            </w:tcMar>
            <w:vAlign w:val="bottom"/>
          </w:tcPr>
          <w:p w14:paraId="6487225C" w14:textId="30AD769F" w:rsidR="00EA2CD0" w:rsidRPr="00675182" w:rsidRDefault="00EA2CD0" w:rsidP="00EA2CD0">
            <w:pPr>
              <w:rPr>
                <w:rFonts w:cstheme="minorHAnsi"/>
                <w:color w:val="000000"/>
                <w:sz w:val="22"/>
                <w:szCs w:val="22"/>
              </w:rPr>
            </w:pPr>
            <w:r w:rsidRPr="00675182">
              <w:rPr>
                <w:rFonts w:cstheme="minorHAnsi"/>
                <w:sz w:val="22"/>
                <w:szCs w:val="22"/>
              </w:rPr>
              <w:t>3260 Upju straujteces un dabiski upju posmi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7B06C408" w14:textId="3E215E48" w:rsidR="00EA2CD0" w:rsidRPr="00EA2CD0" w:rsidRDefault="00EA2CD0" w:rsidP="00EA2CD0">
            <w:pPr>
              <w:jc w:val="center"/>
              <w:rPr>
                <w:rFonts w:cstheme="minorHAnsi"/>
                <w:color w:val="000000"/>
                <w:sz w:val="22"/>
                <w:szCs w:val="22"/>
              </w:rPr>
            </w:pPr>
            <w:r w:rsidRPr="00EA2CD0">
              <w:rPr>
                <w:sz w:val="22"/>
                <w:szCs w:val="22"/>
              </w:rPr>
              <w:t>776,3</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4D9B5799" w14:textId="015D6FC5" w:rsidR="00EA2CD0" w:rsidRPr="00EA2CD0" w:rsidRDefault="00EA2CD0" w:rsidP="00EA2CD0">
            <w:pPr>
              <w:jc w:val="center"/>
              <w:rPr>
                <w:rFonts w:cstheme="minorHAnsi"/>
                <w:color w:val="000000"/>
                <w:sz w:val="22"/>
                <w:szCs w:val="22"/>
              </w:rPr>
            </w:pPr>
            <w:r w:rsidRPr="00EA2CD0">
              <w:rPr>
                <w:sz w:val="22"/>
                <w:szCs w:val="22"/>
              </w:rPr>
              <w:t>0,85</w:t>
            </w:r>
          </w:p>
        </w:tc>
        <w:tc>
          <w:tcPr>
            <w:tcW w:w="785" w:type="pct"/>
            <w:tcBorders>
              <w:top w:val="single" w:sz="4" w:space="0" w:color="auto"/>
              <w:left w:val="nil"/>
              <w:bottom w:val="single" w:sz="4" w:space="0" w:color="auto"/>
              <w:right w:val="single" w:sz="4" w:space="0" w:color="auto"/>
            </w:tcBorders>
            <w:shd w:val="clear" w:color="auto" w:fill="auto"/>
          </w:tcPr>
          <w:p w14:paraId="5B7C699D" w14:textId="1C5571BB" w:rsidR="00EA2CD0" w:rsidRPr="00EA2CD0" w:rsidRDefault="00EA2CD0" w:rsidP="00EA2CD0">
            <w:pPr>
              <w:jc w:val="center"/>
              <w:rPr>
                <w:rFonts w:cstheme="minorHAnsi"/>
                <w:color w:val="000000"/>
                <w:sz w:val="22"/>
                <w:szCs w:val="22"/>
              </w:rPr>
            </w:pPr>
            <w:r w:rsidRPr="00EA2CD0">
              <w:rPr>
                <w:sz w:val="22"/>
                <w:szCs w:val="22"/>
              </w:rPr>
              <w:t>16,66</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4EEC8E7E" w14:textId="2AC8CED0" w:rsidR="00EA2CD0" w:rsidRPr="00EA2CD0" w:rsidRDefault="00EA2CD0" w:rsidP="00EA2CD0">
            <w:pPr>
              <w:jc w:val="center"/>
              <w:rPr>
                <w:rFonts w:cstheme="minorHAnsi"/>
                <w:color w:val="000000"/>
                <w:sz w:val="22"/>
                <w:szCs w:val="22"/>
              </w:rPr>
            </w:pPr>
            <w:r w:rsidRPr="00EA2CD0">
              <w:rPr>
                <w:sz w:val="22"/>
                <w:szCs w:val="22"/>
              </w:rPr>
              <w:t>3,84</w:t>
            </w:r>
          </w:p>
        </w:tc>
        <w:tc>
          <w:tcPr>
            <w:tcW w:w="534" w:type="pct"/>
            <w:shd w:val="clear" w:color="000000" w:fill="FFFF00"/>
            <w:vAlign w:val="center"/>
          </w:tcPr>
          <w:p w14:paraId="6423452C" w14:textId="099523AB"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38219B2D" w14:textId="0DD1DBC9"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0E33C5" w:rsidRPr="00675182" w14:paraId="1E792377" w14:textId="77777777" w:rsidTr="00513D22">
        <w:trPr>
          <w:trHeight w:val="284"/>
        </w:trPr>
        <w:tc>
          <w:tcPr>
            <w:tcW w:w="5000" w:type="pct"/>
            <w:gridSpan w:val="7"/>
            <w:shd w:val="clear" w:color="auto" w:fill="EAF1DD" w:themeFill="accent3" w:themeFillTint="33"/>
            <w:tcMar>
              <w:top w:w="13" w:type="dxa"/>
              <w:left w:w="13" w:type="dxa"/>
              <w:bottom w:w="0" w:type="dxa"/>
              <w:right w:w="13" w:type="dxa"/>
            </w:tcMar>
            <w:vAlign w:val="bottom"/>
          </w:tcPr>
          <w:p w14:paraId="4DF72CA9" w14:textId="7A74507B" w:rsidR="000E33C5" w:rsidRPr="00675182" w:rsidRDefault="000E33C5" w:rsidP="000E33C5">
            <w:pPr>
              <w:rPr>
                <w:rFonts w:cstheme="minorHAnsi"/>
                <w:b/>
                <w:bCs/>
                <w:i/>
                <w:iCs/>
                <w:color w:val="000000"/>
                <w:sz w:val="22"/>
                <w:szCs w:val="22"/>
              </w:rPr>
            </w:pPr>
            <w:bookmarkStart w:id="44" w:name="_Hlk120877673"/>
            <w:r w:rsidRPr="00675182">
              <w:rPr>
                <w:rFonts w:cstheme="minorHAnsi"/>
                <w:b/>
                <w:bCs/>
                <w:i/>
                <w:iCs/>
                <w:color w:val="000000"/>
                <w:sz w:val="22"/>
                <w:szCs w:val="22"/>
              </w:rPr>
              <w:t>Zālāju biotopi</w:t>
            </w:r>
          </w:p>
        </w:tc>
      </w:tr>
      <w:tr w:rsidR="00EA2CD0" w:rsidRPr="00675182" w14:paraId="0E27953A" w14:textId="77777777" w:rsidTr="00611658">
        <w:trPr>
          <w:trHeight w:val="284"/>
        </w:trPr>
        <w:tc>
          <w:tcPr>
            <w:tcW w:w="1678" w:type="pct"/>
            <w:shd w:val="clear" w:color="auto" w:fill="auto"/>
            <w:tcMar>
              <w:top w:w="13" w:type="dxa"/>
              <w:left w:w="13" w:type="dxa"/>
              <w:bottom w:w="0" w:type="dxa"/>
              <w:right w:w="13" w:type="dxa"/>
            </w:tcMar>
            <w:vAlign w:val="bottom"/>
          </w:tcPr>
          <w:p w14:paraId="5F8B7A01" w14:textId="690BE1D3" w:rsidR="00EA2CD0" w:rsidRPr="00675182" w:rsidRDefault="00EA2CD0" w:rsidP="00EA2CD0">
            <w:pPr>
              <w:rPr>
                <w:rFonts w:cstheme="minorHAnsi"/>
                <w:color w:val="000000"/>
                <w:sz w:val="22"/>
                <w:szCs w:val="22"/>
              </w:rPr>
            </w:pPr>
            <w:r w:rsidRPr="00675182">
              <w:rPr>
                <w:rFonts w:cstheme="minorHAnsi"/>
                <w:sz w:val="22"/>
                <w:szCs w:val="22"/>
              </w:rPr>
              <w:t>6120* Smiltāju zālāji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656A2C9F" w14:textId="70533045" w:rsidR="00EA2CD0" w:rsidRPr="00EA2CD0" w:rsidRDefault="00EA2CD0" w:rsidP="00EA2CD0">
            <w:pPr>
              <w:jc w:val="center"/>
              <w:rPr>
                <w:rFonts w:cstheme="minorHAnsi"/>
                <w:color w:val="000000"/>
                <w:sz w:val="22"/>
                <w:szCs w:val="22"/>
              </w:rPr>
            </w:pPr>
            <w:r w:rsidRPr="00EA2CD0">
              <w:rPr>
                <w:sz w:val="22"/>
                <w:szCs w:val="22"/>
              </w:rPr>
              <w:t>23,2</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353ECAB8" w14:textId="5605AAC2" w:rsidR="00EA2CD0" w:rsidRPr="00EA2CD0" w:rsidRDefault="00EA2CD0" w:rsidP="00EA2CD0">
            <w:pPr>
              <w:jc w:val="center"/>
              <w:rPr>
                <w:rFonts w:cstheme="minorHAnsi"/>
                <w:color w:val="000000"/>
                <w:sz w:val="22"/>
                <w:szCs w:val="22"/>
              </w:rPr>
            </w:pPr>
            <w:r w:rsidRPr="00EA2CD0">
              <w:rPr>
                <w:sz w:val="22"/>
                <w:szCs w:val="22"/>
              </w:rPr>
              <w:t>0,03</w:t>
            </w:r>
          </w:p>
        </w:tc>
        <w:tc>
          <w:tcPr>
            <w:tcW w:w="785" w:type="pct"/>
            <w:tcBorders>
              <w:top w:val="single" w:sz="4" w:space="0" w:color="auto"/>
              <w:left w:val="nil"/>
              <w:bottom w:val="single" w:sz="4" w:space="0" w:color="auto"/>
              <w:right w:val="single" w:sz="4" w:space="0" w:color="auto"/>
            </w:tcBorders>
            <w:shd w:val="clear" w:color="auto" w:fill="auto"/>
          </w:tcPr>
          <w:p w14:paraId="44F3D175" w14:textId="450D6008" w:rsidR="00EA2CD0" w:rsidRPr="00EA2CD0" w:rsidRDefault="00EA2CD0" w:rsidP="00EA2CD0">
            <w:pPr>
              <w:jc w:val="center"/>
              <w:rPr>
                <w:rFonts w:cstheme="minorHAnsi"/>
                <w:color w:val="000000"/>
                <w:sz w:val="22"/>
                <w:szCs w:val="22"/>
              </w:rPr>
            </w:pPr>
            <w:r w:rsidRPr="00EA2CD0">
              <w:rPr>
                <w:sz w:val="22"/>
                <w:szCs w:val="22"/>
              </w:rPr>
              <w:t>11,07</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58B73C76" w14:textId="3DAB3EB4" w:rsidR="00EA2CD0" w:rsidRPr="00EA2CD0" w:rsidRDefault="00EA2CD0" w:rsidP="00EA2CD0">
            <w:pPr>
              <w:jc w:val="center"/>
              <w:rPr>
                <w:rFonts w:cstheme="minorHAnsi"/>
                <w:color w:val="000000"/>
                <w:sz w:val="22"/>
                <w:szCs w:val="22"/>
              </w:rPr>
            </w:pPr>
            <w:r w:rsidRPr="00EA2CD0">
              <w:rPr>
                <w:sz w:val="22"/>
                <w:szCs w:val="22"/>
              </w:rPr>
              <w:t>3,00</w:t>
            </w:r>
          </w:p>
        </w:tc>
        <w:tc>
          <w:tcPr>
            <w:tcW w:w="534" w:type="pct"/>
            <w:shd w:val="clear" w:color="000000" w:fill="FF0000"/>
            <w:vAlign w:val="center"/>
          </w:tcPr>
          <w:p w14:paraId="0897553C" w14:textId="74B5C6B8"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30AD9486" w14:textId="0464BEC2"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EA2CD0" w:rsidRPr="00675182" w14:paraId="0BFEA05E" w14:textId="77777777" w:rsidTr="00611658">
        <w:trPr>
          <w:trHeight w:val="284"/>
        </w:trPr>
        <w:tc>
          <w:tcPr>
            <w:tcW w:w="1678" w:type="pct"/>
            <w:shd w:val="clear" w:color="auto" w:fill="auto"/>
            <w:tcMar>
              <w:top w:w="13" w:type="dxa"/>
              <w:left w:w="13" w:type="dxa"/>
              <w:bottom w:w="0" w:type="dxa"/>
              <w:right w:w="13" w:type="dxa"/>
            </w:tcMar>
            <w:vAlign w:val="bottom"/>
          </w:tcPr>
          <w:p w14:paraId="32C291F4" w14:textId="0AA7A799" w:rsidR="00EA2CD0" w:rsidRPr="00675182" w:rsidRDefault="00EA2CD0" w:rsidP="00EA2CD0">
            <w:pPr>
              <w:rPr>
                <w:rFonts w:cstheme="minorHAnsi"/>
                <w:b/>
                <w:color w:val="000000"/>
                <w:sz w:val="22"/>
                <w:szCs w:val="22"/>
              </w:rPr>
            </w:pPr>
            <w:r w:rsidRPr="00675182">
              <w:rPr>
                <w:rFonts w:cstheme="minorHAnsi"/>
                <w:sz w:val="22"/>
                <w:szCs w:val="22"/>
              </w:rPr>
              <w:t>6210 Sausi zālāji kaļķainās augsnēs</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7E5535BC" w14:textId="7C77D9D6" w:rsidR="00EA2CD0" w:rsidRPr="00EA2CD0" w:rsidRDefault="00EA2CD0" w:rsidP="00EA2CD0">
            <w:pPr>
              <w:jc w:val="center"/>
              <w:rPr>
                <w:rFonts w:cstheme="minorHAnsi"/>
                <w:color w:val="000000"/>
                <w:sz w:val="22"/>
                <w:szCs w:val="22"/>
              </w:rPr>
            </w:pPr>
            <w:r w:rsidRPr="00EA2CD0">
              <w:rPr>
                <w:sz w:val="22"/>
                <w:szCs w:val="22"/>
              </w:rPr>
              <w:t>93,7</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25FB69E8" w14:textId="44344864" w:rsidR="00EA2CD0" w:rsidRPr="00EA2CD0" w:rsidRDefault="00EA2CD0" w:rsidP="00EA2CD0">
            <w:pPr>
              <w:jc w:val="center"/>
              <w:rPr>
                <w:rFonts w:cstheme="minorHAnsi"/>
                <w:color w:val="000000"/>
                <w:sz w:val="22"/>
                <w:szCs w:val="22"/>
              </w:rPr>
            </w:pPr>
            <w:r w:rsidRPr="00EA2CD0">
              <w:rPr>
                <w:sz w:val="22"/>
                <w:szCs w:val="22"/>
              </w:rPr>
              <w:t>0,10</w:t>
            </w:r>
          </w:p>
        </w:tc>
        <w:tc>
          <w:tcPr>
            <w:tcW w:w="785" w:type="pct"/>
            <w:tcBorders>
              <w:top w:val="single" w:sz="4" w:space="0" w:color="auto"/>
              <w:left w:val="nil"/>
              <w:bottom w:val="single" w:sz="4" w:space="0" w:color="auto"/>
              <w:right w:val="single" w:sz="4" w:space="0" w:color="auto"/>
            </w:tcBorders>
            <w:shd w:val="clear" w:color="auto" w:fill="auto"/>
          </w:tcPr>
          <w:p w14:paraId="391A9F75" w14:textId="724E3EA1" w:rsidR="00EA2CD0" w:rsidRPr="00EA2CD0" w:rsidRDefault="00EA2CD0" w:rsidP="00EA2CD0">
            <w:pPr>
              <w:jc w:val="center"/>
              <w:rPr>
                <w:rFonts w:cstheme="minorHAnsi"/>
                <w:color w:val="000000"/>
                <w:sz w:val="22"/>
                <w:szCs w:val="22"/>
              </w:rPr>
            </w:pPr>
            <w:r w:rsidRPr="00EA2CD0">
              <w:rPr>
                <w:sz w:val="22"/>
                <w:szCs w:val="22"/>
              </w:rPr>
              <w:t>4,12</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4D640B7E" w14:textId="3DF218FC" w:rsidR="00EA2CD0" w:rsidRPr="00EA2CD0" w:rsidRDefault="00EA2CD0" w:rsidP="00EA2CD0">
            <w:pPr>
              <w:jc w:val="center"/>
              <w:rPr>
                <w:rFonts w:cstheme="minorHAnsi"/>
                <w:color w:val="000000"/>
                <w:sz w:val="22"/>
                <w:szCs w:val="22"/>
              </w:rPr>
            </w:pPr>
            <w:r w:rsidRPr="00EA2CD0">
              <w:rPr>
                <w:sz w:val="22"/>
                <w:szCs w:val="22"/>
              </w:rPr>
              <w:t>1,62</w:t>
            </w:r>
          </w:p>
        </w:tc>
        <w:tc>
          <w:tcPr>
            <w:tcW w:w="534" w:type="pct"/>
            <w:shd w:val="clear" w:color="000000" w:fill="FF0000"/>
            <w:vAlign w:val="center"/>
          </w:tcPr>
          <w:p w14:paraId="1219BF43" w14:textId="55AA276E"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00CB22B1" w14:textId="7BB786CB" w:rsidR="00EA2CD0" w:rsidRPr="00675182" w:rsidRDefault="00EA2CD0" w:rsidP="00EA2CD0">
            <w:pPr>
              <w:jc w:val="center"/>
              <w:rPr>
                <w:rFonts w:cstheme="minorHAnsi"/>
                <w:color w:val="000000"/>
                <w:sz w:val="22"/>
                <w:szCs w:val="22"/>
              </w:rPr>
            </w:pPr>
            <w:r w:rsidRPr="00675182">
              <w:rPr>
                <w:rFonts w:cstheme="minorHAnsi"/>
                <w:color w:val="000000"/>
                <w:sz w:val="22"/>
                <w:szCs w:val="22"/>
              </w:rPr>
              <w:t>D</w:t>
            </w:r>
          </w:p>
        </w:tc>
      </w:tr>
      <w:tr w:rsidR="00EA2CD0" w:rsidRPr="00675182" w14:paraId="58C590A5" w14:textId="77777777" w:rsidTr="00611658">
        <w:trPr>
          <w:trHeight w:val="284"/>
        </w:trPr>
        <w:tc>
          <w:tcPr>
            <w:tcW w:w="1678" w:type="pct"/>
            <w:shd w:val="clear" w:color="auto" w:fill="auto"/>
            <w:tcMar>
              <w:top w:w="13" w:type="dxa"/>
              <w:left w:w="13" w:type="dxa"/>
              <w:bottom w:w="0" w:type="dxa"/>
              <w:right w:w="13" w:type="dxa"/>
            </w:tcMar>
            <w:vAlign w:val="bottom"/>
          </w:tcPr>
          <w:p w14:paraId="3FE562FF" w14:textId="4ABB0B43" w:rsidR="00EA2CD0" w:rsidRPr="00675182" w:rsidRDefault="00EA2CD0" w:rsidP="00EA2CD0">
            <w:pPr>
              <w:rPr>
                <w:rFonts w:cstheme="minorHAnsi"/>
                <w:b/>
                <w:color w:val="000000"/>
                <w:sz w:val="22"/>
                <w:szCs w:val="22"/>
              </w:rPr>
            </w:pPr>
            <w:r w:rsidRPr="00675182">
              <w:rPr>
                <w:rFonts w:cstheme="minorHAnsi"/>
                <w:sz w:val="22"/>
                <w:szCs w:val="22"/>
              </w:rPr>
              <w:t>6230* Vilkakūlas zālāji (tukšaiņu zālāji)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339C9AB3" w14:textId="4554B740" w:rsidR="00EA2CD0" w:rsidRPr="00EA2CD0" w:rsidRDefault="00EA2CD0" w:rsidP="00EA2CD0">
            <w:pPr>
              <w:jc w:val="center"/>
              <w:rPr>
                <w:rFonts w:cstheme="minorHAnsi"/>
                <w:color w:val="000000"/>
                <w:sz w:val="22"/>
                <w:szCs w:val="22"/>
              </w:rPr>
            </w:pPr>
            <w:r w:rsidRPr="00EA2CD0">
              <w:rPr>
                <w:sz w:val="22"/>
                <w:szCs w:val="22"/>
              </w:rPr>
              <w:t>6,7</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19E79B92" w14:textId="4B56D79F" w:rsidR="00EA2CD0" w:rsidRPr="00EA2CD0" w:rsidRDefault="00EA2CD0" w:rsidP="00EA2CD0">
            <w:pPr>
              <w:jc w:val="center"/>
              <w:rPr>
                <w:rFonts w:cstheme="minorHAnsi"/>
                <w:color w:val="000000"/>
                <w:sz w:val="22"/>
                <w:szCs w:val="22"/>
              </w:rPr>
            </w:pPr>
            <w:r w:rsidRPr="00EA2CD0">
              <w:rPr>
                <w:sz w:val="22"/>
                <w:szCs w:val="22"/>
              </w:rPr>
              <w:t>0,01</w:t>
            </w:r>
          </w:p>
        </w:tc>
        <w:tc>
          <w:tcPr>
            <w:tcW w:w="785" w:type="pct"/>
            <w:tcBorders>
              <w:top w:val="single" w:sz="4" w:space="0" w:color="auto"/>
              <w:left w:val="nil"/>
              <w:bottom w:val="single" w:sz="4" w:space="0" w:color="auto"/>
              <w:right w:val="single" w:sz="4" w:space="0" w:color="auto"/>
            </w:tcBorders>
            <w:shd w:val="clear" w:color="auto" w:fill="auto"/>
          </w:tcPr>
          <w:p w14:paraId="65480202" w14:textId="16172D3B" w:rsidR="00EA2CD0" w:rsidRPr="00EA2CD0" w:rsidRDefault="00EA2CD0" w:rsidP="00EA2CD0">
            <w:pPr>
              <w:jc w:val="center"/>
              <w:rPr>
                <w:rFonts w:cstheme="minorHAnsi"/>
                <w:color w:val="000000"/>
                <w:sz w:val="22"/>
                <w:szCs w:val="22"/>
              </w:rPr>
            </w:pPr>
            <w:r w:rsidRPr="00EA2CD0">
              <w:rPr>
                <w:sz w:val="22"/>
                <w:szCs w:val="22"/>
              </w:rPr>
              <w:t>4,95</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1681FBFE" w14:textId="2FBE6738" w:rsidR="00EA2CD0" w:rsidRPr="00EA2CD0" w:rsidRDefault="00EA2CD0" w:rsidP="00EA2CD0">
            <w:pPr>
              <w:jc w:val="center"/>
              <w:rPr>
                <w:rFonts w:cstheme="minorHAnsi"/>
                <w:color w:val="000000"/>
                <w:sz w:val="22"/>
                <w:szCs w:val="22"/>
              </w:rPr>
            </w:pPr>
            <w:r w:rsidRPr="00EA2CD0">
              <w:rPr>
                <w:sz w:val="22"/>
                <w:szCs w:val="22"/>
              </w:rPr>
              <w:t>1,06</w:t>
            </w:r>
          </w:p>
        </w:tc>
        <w:tc>
          <w:tcPr>
            <w:tcW w:w="534" w:type="pct"/>
            <w:shd w:val="clear" w:color="000000" w:fill="FF0000"/>
            <w:vAlign w:val="center"/>
          </w:tcPr>
          <w:p w14:paraId="13ACFD04" w14:textId="62210CAD"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6E734FB4" w14:textId="28F0259C" w:rsidR="00EA2CD0" w:rsidRPr="00675182" w:rsidRDefault="00EA2CD0" w:rsidP="00EA2CD0">
            <w:pPr>
              <w:jc w:val="center"/>
              <w:rPr>
                <w:rFonts w:cstheme="minorHAnsi"/>
                <w:color w:val="000000"/>
                <w:sz w:val="22"/>
                <w:szCs w:val="22"/>
              </w:rPr>
            </w:pPr>
            <w:r w:rsidRPr="00675182">
              <w:rPr>
                <w:rFonts w:cstheme="minorHAnsi"/>
                <w:color w:val="000000"/>
                <w:sz w:val="22"/>
                <w:szCs w:val="22"/>
              </w:rPr>
              <w:t>D</w:t>
            </w:r>
          </w:p>
        </w:tc>
      </w:tr>
      <w:tr w:rsidR="00EA2CD0" w:rsidRPr="00675182" w14:paraId="0CFE7BB3" w14:textId="77777777" w:rsidTr="00611658">
        <w:trPr>
          <w:trHeight w:val="284"/>
        </w:trPr>
        <w:tc>
          <w:tcPr>
            <w:tcW w:w="1678" w:type="pct"/>
            <w:shd w:val="clear" w:color="auto" w:fill="auto"/>
            <w:tcMar>
              <w:top w:w="13" w:type="dxa"/>
              <w:left w:w="13" w:type="dxa"/>
              <w:bottom w:w="0" w:type="dxa"/>
              <w:right w:w="13" w:type="dxa"/>
            </w:tcMar>
            <w:vAlign w:val="bottom"/>
          </w:tcPr>
          <w:p w14:paraId="0B219909" w14:textId="1FDFA691" w:rsidR="00EA2CD0" w:rsidRPr="00675182" w:rsidRDefault="00EA2CD0" w:rsidP="00EA2CD0">
            <w:pPr>
              <w:rPr>
                <w:rFonts w:cstheme="minorHAnsi"/>
                <w:b/>
                <w:color w:val="000000"/>
                <w:sz w:val="22"/>
                <w:szCs w:val="22"/>
              </w:rPr>
            </w:pPr>
            <w:r w:rsidRPr="00675182">
              <w:rPr>
                <w:rFonts w:cstheme="minorHAnsi"/>
                <w:sz w:val="22"/>
                <w:szCs w:val="22"/>
              </w:rPr>
              <w:t>6270* Sugām bagātas ganības un ganītas pļavas</w:t>
            </w:r>
          </w:p>
        </w:tc>
        <w:tc>
          <w:tcPr>
            <w:tcW w:w="608" w:type="pct"/>
            <w:tcBorders>
              <w:top w:val="nil"/>
              <w:left w:val="nil"/>
              <w:bottom w:val="nil"/>
              <w:right w:val="nil"/>
            </w:tcBorders>
            <w:shd w:val="clear" w:color="auto" w:fill="auto"/>
            <w:tcMar>
              <w:top w:w="13" w:type="dxa"/>
              <w:left w:w="13" w:type="dxa"/>
              <w:bottom w:w="0" w:type="dxa"/>
              <w:right w:w="13" w:type="dxa"/>
            </w:tcMar>
          </w:tcPr>
          <w:p w14:paraId="39A0D432" w14:textId="7CD78C4A" w:rsidR="00EA2CD0" w:rsidRPr="00EA2CD0" w:rsidRDefault="00EA2CD0" w:rsidP="00EA2CD0">
            <w:pPr>
              <w:jc w:val="center"/>
              <w:rPr>
                <w:rFonts w:cstheme="minorHAnsi"/>
                <w:color w:val="000000"/>
                <w:sz w:val="22"/>
                <w:szCs w:val="22"/>
              </w:rPr>
            </w:pPr>
            <w:r w:rsidRPr="00EA2CD0">
              <w:rPr>
                <w:sz w:val="22"/>
                <w:szCs w:val="22"/>
              </w:rPr>
              <w:t>354,1</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69F948F8" w14:textId="23B92ECF" w:rsidR="00EA2CD0" w:rsidRPr="00EA2CD0" w:rsidRDefault="00EA2CD0" w:rsidP="00EA2CD0">
            <w:pPr>
              <w:jc w:val="center"/>
              <w:rPr>
                <w:rFonts w:cstheme="minorHAnsi"/>
                <w:color w:val="000000"/>
                <w:sz w:val="22"/>
                <w:szCs w:val="22"/>
              </w:rPr>
            </w:pPr>
            <w:r w:rsidRPr="00EA2CD0">
              <w:rPr>
                <w:sz w:val="22"/>
                <w:szCs w:val="22"/>
              </w:rPr>
              <w:t>0,39</w:t>
            </w:r>
          </w:p>
        </w:tc>
        <w:tc>
          <w:tcPr>
            <w:tcW w:w="785" w:type="pct"/>
            <w:tcBorders>
              <w:top w:val="single" w:sz="4" w:space="0" w:color="auto"/>
              <w:left w:val="nil"/>
              <w:bottom w:val="single" w:sz="4" w:space="0" w:color="auto"/>
              <w:right w:val="single" w:sz="4" w:space="0" w:color="auto"/>
            </w:tcBorders>
            <w:shd w:val="clear" w:color="auto" w:fill="auto"/>
          </w:tcPr>
          <w:p w14:paraId="1B7144E3" w14:textId="1181FD2C" w:rsidR="00EA2CD0" w:rsidRPr="00EA2CD0" w:rsidRDefault="00EA2CD0" w:rsidP="00EA2CD0">
            <w:pPr>
              <w:jc w:val="center"/>
              <w:rPr>
                <w:rFonts w:cstheme="minorHAnsi"/>
                <w:color w:val="000000"/>
                <w:sz w:val="22"/>
                <w:szCs w:val="22"/>
              </w:rPr>
            </w:pPr>
            <w:r w:rsidRPr="00EA2CD0">
              <w:rPr>
                <w:sz w:val="22"/>
                <w:szCs w:val="22"/>
              </w:rPr>
              <w:t>9,19</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636C766E" w14:textId="482CA3C3" w:rsidR="00EA2CD0" w:rsidRPr="00EA2CD0" w:rsidRDefault="00EA2CD0" w:rsidP="00EA2CD0">
            <w:pPr>
              <w:jc w:val="center"/>
              <w:rPr>
                <w:rFonts w:cstheme="minorHAnsi"/>
                <w:color w:val="000000"/>
                <w:sz w:val="22"/>
                <w:szCs w:val="22"/>
              </w:rPr>
            </w:pPr>
            <w:r w:rsidRPr="00EA2CD0">
              <w:rPr>
                <w:sz w:val="22"/>
                <w:szCs w:val="22"/>
              </w:rPr>
              <w:t>1,76</w:t>
            </w:r>
          </w:p>
        </w:tc>
        <w:tc>
          <w:tcPr>
            <w:tcW w:w="534" w:type="pct"/>
            <w:shd w:val="clear" w:color="000000" w:fill="FF0000"/>
            <w:vAlign w:val="center"/>
          </w:tcPr>
          <w:p w14:paraId="53083C1E" w14:textId="4D0EB175"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7DF722C9" w14:textId="47BAADD8" w:rsidR="00EA2CD0" w:rsidRPr="00675182" w:rsidRDefault="00EA2CD0" w:rsidP="00EA2CD0">
            <w:pPr>
              <w:jc w:val="center"/>
              <w:rPr>
                <w:rFonts w:cstheme="minorHAnsi"/>
                <w:color w:val="000000"/>
                <w:sz w:val="22"/>
                <w:szCs w:val="22"/>
              </w:rPr>
            </w:pPr>
            <w:r w:rsidRPr="00675182">
              <w:rPr>
                <w:rFonts w:cstheme="minorHAnsi"/>
                <w:color w:val="000000"/>
                <w:sz w:val="22"/>
                <w:szCs w:val="22"/>
              </w:rPr>
              <w:t>D</w:t>
            </w:r>
          </w:p>
        </w:tc>
      </w:tr>
      <w:tr w:rsidR="00EA2CD0" w:rsidRPr="00675182" w14:paraId="6B219100" w14:textId="77777777" w:rsidTr="00611658">
        <w:trPr>
          <w:trHeight w:val="284"/>
        </w:trPr>
        <w:tc>
          <w:tcPr>
            <w:tcW w:w="1678" w:type="pct"/>
            <w:shd w:val="clear" w:color="auto" w:fill="auto"/>
            <w:tcMar>
              <w:top w:w="13" w:type="dxa"/>
              <w:left w:w="13" w:type="dxa"/>
              <w:bottom w:w="0" w:type="dxa"/>
              <w:right w:w="13" w:type="dxa"/>
            </w:tcMar>
            <w:vAlign w:val="bottom"/>
          </w:tcPr>
          <w:p w14:paraId="6B716CD9" w14:textId="5FAC173A" w:rsidR="00EA2CD0" w:rsidRPr="00675182" w:rsidRDefault="00EA2CD0" w:rsidP="00EA2CD0">
            <w:pPr>
              <w:rPr>
                <w:rFonts w:cstheme="minorHAnsi"/>
                <w:b/>
                <w:color w:val="000000"/>
                <w:sz w:val="22"/>
                <w:szCs w:val="22"/>
              </w:rPr>
            </w:pPr>
            <w:r w:rsidRPr="00675182">
              <w:rPr>
                <w:rFonts w:cstheme="minorHAnsi"/>
                <w:sz w:val="22"/>
                <w:szCs w:val="22"/>
              </w:rPr>
              <w:t>6410 Mitri zālāji periodiski izžūstošās augsnēs</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646DCC75" w14:textId="7678531E" w:rsidR="00EA2CD0" w:rsidRPr="00EA2CD0" w:rsidRDefault="00EA2CD0" w:rsidP="00EA2CD0">
            <w:pPr>
              <w:jc w:val="center"/>
              <w:rPr>
                <w:rFonts w:cstheme="minorHAnsi"/>
                <w:color w:val="000000"/>
                <w:sz w:val="22"/>
                <w:szCs w:val="22"/>
              </w:rPr>
            </w:pPr>
            <w:r w:rsidRPr="00EA2CD0">
              <w:rPr>
                <w:sz w:val="22"/>
                <w:szCs w:val="22"/>
              </w:rPr>
              <w:t>31,0</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6349A2C2" w14:textId="50847F80" w:rsidR="00EA2CD0" w:rsidRPr="00EA2CD0" w:rsidRDefault="00EA2CD0" w:rsidP="00EA2CD0">
            <w:pPr>
              <w:jc w:val="center"/>
              <w:rPr>
                <w:rFonts w:cstheme="minorHAnsi"/>
                <w:color w:val="000000"/>
                <w:sz w:val="22"/>
                <w:szCs w:val="22"/>
              </w:rPr>
            </w:pPr>
            <w:r w:rsidRPr="00EA2CD0">
              <w:rPr>
                <w:sz w:val="22"/>
                <w:szCs w:val="22"/>
              </w:rPr>
              <w:t>0,03</w:t>
            </w:r>
          </w:p>
        </w:tc>
        <w:tc>
          <w:tcPr>
            <w:tcW w:w="785" w:type="pct"/>
            <w:tcBorders>
              <w:top w:val="single" w:sz="4" w:space="0" w:color="auto"/>
              <w:left w:val="nil"/>
              <w:bottom w:val="single" w:sz="4" w:space="0" w:color="auto"/>
              <w:right w:val="single" w:sz="4" w:space="0" w:color="auto"/>
            </w:tcBorders>
            <w:shd w:val="clear" w:color="auto" w:fill="auto"/>
          </w:tcPr>
          <w:p w14:paraId="1AF5C8CA" w14:textId="04440863" w:rsidR="00EA2CD0" w:rsidRPr="00EA2CD0" w:rsidRDefault="00EA2CD0" w:rsidP="00EA2CD0">
            <w:pPr>
              <w:jc w:val="center"/>
              <w:rPr>
                <w:rFonts w:cstheme="minorHAnsi"/>
                <w:color w:val="000000"/>
                <w:sz w:val="22"/>
                <w:szCs w:val="22"/>
              </w:rPr>
            </w:pPr>
            <w:r w:rsidRPr="00EA2CD0">
              <w:rPr>
                <w:sz w:val="22"/>
                <w:szCs w:val="22"/>
              </w:rPr>
              <w:t>2,62</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6224BED4" w14:textId="180B739A" w:rsidR="00EA2CD0" w:rsidRPr="00EA2CD0" w:rsidRDefault="00EA2CD0" w:rsidP="00EA2CD0">
            <w:pPr>
              <w:jc w:val="center"/>
              <w:rPr>
                <w:rFonts w:cstheme="minorHAnsi"/>
                <w:color w:val="000000"/>
                <w:sz w:val="22"/>
                <w:szCs w:val="22"/>
              </w:rPr>
            </w:pPr>
            <w:r w:rsidRPr="00EA2CD0">
              <w:rPr>
                <w:sz w:val="22"/>
                <w:szCs w:val="22"/>
              </w:rPr>
              <w:t>0,73</w:t>
            </w:r>
          </w:p>
        </w:tc>
        <w:tc>
          <w:tcPr>
            <w:tcW w:w="534" w:type="pct"/>
            <w:shd w:val="clear" w:color="000000" w:fill="FF0000"/>
            <w:vAlign w:val="center"/>
          </w:tcPr>
          <w:p w14:paraId="36B9B5DD" w14:textId="76A1849E"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0D82B9E0" w14:textId="4206A0CC"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EA2CD0" w:rsidRPr="00675182" w14:paraId="76EB233E" w14:textId="77777777" w:rsidTr="00611658">
        <w:trPr>
          <w:trHeight w:val="284"/>
        </w:trPr>
        <w:tc>
          <w:tcPr>
            <w:tcW w:w="1678" w:type="pct"/>
            <w:shd w:val="clear" w:color="auto" w:fill="auto"/>
            <w:tcMar>
              <w:top w:w="13" w:type="dxa"/>
              <w:left w:w="13" w:type="dxa"/>
              <w:bottom w:w="0" w:type="dxa"/>
              <w:right w:w="13" w:type="dxa"/>
            </w:tcMar>
            <w:vAlign w:val="bottom"/>
          </w:tcPr>
          <w:p w14:paraId="36143F21" w14:textId="4807A717" w:rsidR="00EA2CD0" w:rsidRPr="00675182" w:rsidRDefault="00EA2CD0" w:rsidP="00EA2CD0">
            <w:pPr>
              <w:rPr>
                <w:rFonts w:cstheme="minorHAnsi"/>
                <w:b/>
                <w:color w:val="000000"/>
                <w:sz w:val="22"/>
                <w:szCs w:val="22"/>
              </w:rPr>
            </w:pPr>
            <w:r w:rsidRPr="00675182">
              <w:rPr>
                <w:rFonts w:cstheme="minorHAnsi"/>
                <w:sz w:val="22"/>
                <w:szCs w:val="22"/>
              </w:rPr>
              <w:t>6430 Eitrofas augsto lakstaugu audzes</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7F7B3DAF" w14:textId="6A3403C4" w:rsidR="00EA2CD0" w:rsidRPr="00EA2CD0" w:rsidRDefault="00EA2CD0" w:rsidP="00EA2CD0">
            <w:pPr>
              <w:jc w:val="center"/>
              <w:rPr>
                <w:rFonts w:cstheme="minorHAnsi"/>
                <w:color w:val="000000"/>
                <w:sz w:val="22"/>
                <w:szCs w:val="22"/>
              </w:rPr>
            </w:pPr>
            <w:r w:rsidRPr="00EA2CD0">
              <w:rPr>
                <w:sz w:val="22"/>
                <w:szCs w:val="22"/>
              </w:rPr>
              <w:t>109,7</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35FA50A5" w14:textId="446CC1B8" w:rsidR="00EA2CD0" w:rsidRPr="00EA2CD0" w:rsidRDefault="00EA2CD0" w:rsidP="00EA2CD0">
            <w:pPr>
              <w:jc w:val="center"/>
              <w:rPr>
                <w:rFonts w:cstheme="minorHAnsi"/>
                <w:color w:val="000000"/>
                <w:sz w:val="22"/>
                <w:szCs w:val="22"/>
              </w:rPr>
            </w:pPr>
            <w:r w:rsidRPr="00EA2CD0">
              <w:rPr>
                <w:sz w:val="22"/>
                <w:szCs w:val="22"/>
              </w:rPr>
              <w:t>0,12</w:t>
            </w:r>
          </w:p>
        </w:tc>
        <w:tc>
          <w:tcPr>
            <w:tcW w:w="785" w:type="pct"/>
            <w:tcBorders>
              <w:top w:val="single" w:sz="4" w:space="0" w:color="auto"/>
              <w:left w:val="nil"/>
              <w:bottom w:val="single" w:sz="4" w:space="0" w:color="auto"/>
              <w:right w:val="single" w:sz="4" w:space="0" w:color="auto"/>
            </w:tcBorders>
            <w:shd w:val="clear" w:color="auto" w:fill="auto"/>
          </w:tcPr>
          <w:p w14:paraId="5EF49D56" w14:textId="7C03CD24" w:rsidR="00EA2CD0" w:rsidRPr="00EA2CD0" w:rsidRDefault="00EA2CD0" w:rsidP="00EA2CD0">
            <w:pPr>
              <w:jc w:val="center"/>
              <w:rPr>
                <w:rFonts w:cstheme="minorHAnsi"/>
                <w:color w:val="000000"/>
                <w:sz w:val="22"/>
                <w:szCs w:val="22"/>
              </w:rPr>
            </w:pPr>
            <w:r w:rsidRPr="00EA2CD0">
              <w:rPr>
                <w:sz w:val="22"/>
                <w:szCs w:val="22"/>
              </w:rPr>
              <w:t>29,11</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6944CC73" w14:textId="48B528F6" w:rsidR="00EA2CD0" w:rsidRPr="00EA2CD0" w:rsidRDefault="00EA2CD0" w:rsidP="00EA2CD0">
            <w:pPr>
              <w:jc w:val="center"/>
              <w:rPr>
                <w:rFonts w:cstheme="minorHAnsi"/>
                <w:color w:val="000000"/>
                <w:sz w:val="22"/>
                <w:szCs w:val="22"/>
              </w:rPr>
            </w:pPr>
            <w:r w:rsidRPr="00EA2CD0">
              <w:rPr>
                <w:sz w:val="22"/>
                <w:szCs w:val="22"/>
              </w:rPr>
              <w:t>16,40</w:t>
            </w:r>
          </w:p>
        </w:tc>
        <w:tc>
          <w:tcPr>
            <w:tcW w:w="534" w:type="pct"/>
            <w:shd w:val="clear" w:color="auto" w:fill="FFFF00"/>
            <w:vAlign w:val="center"/>
          </w:tcPr>
          <w:p w14:paraId="0F643A50" w14:textId="6ABA33D7"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131DBD12" w14:textId="067DD2F5"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3265A50D" w14:textId="77777777" w:rsidTr="00611658">
        <w:trPr>
          <w:trHeight w:val="284"/>
        </w:trPr>
        <w:tc>
          <w:tcPr>
            <w:tcW w:w="1678" w:type="pct"/>
            <w:shd w:val="clear" w:color="auto" w:fill="auto"/>
            <w:tcMar>
              <w:top w:w="13" w:type="dxa"/>
              <w:left w:w="13" w:type="dxa"/>
              <w:bottom w:w="0" w:type="dxa"/>
              <w:right w:w="13" w:type="dxa"/>
            </w:tcMar>
            <w:vAlign w:val="bottom"/>
          </w:tcPr>
          <w:p w14:paraId="6DCCB210" w14:textId="01167E14" w:rsidR="00EA2CD0" w:rsidRPr="00675182" w:rsidRDefault="00EA2CD0" w:rsidP="00EA2CD0">
            <w:pPr>
              <w:rPr>
                <w:rFonts w:cstheme="minorHAnsi"/>
                <w:b/>
                <w:color w:val="000000"/>
                <w:sz w:val="22"/>
                <w:szCs w:val="22"/>
              </w:rPr>
            </w:pPr>
            <w:r w:rsidRPr="00675182">
              <w:rPr>
                <w:rFonts w:cstheme="minorHAnsi"/>
                <w:sz w:val="22"/>
                <w:szCs w:val="22"/>
              </w:rPr>
              <w:t>6450 Palieņu zālāji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5961986D" w14:textId="07D69FAA" w:rsidR="00EA2CD0" w:rsidRPr="00EA2CD0" w:rsidRDefault="00EA2CD0" w:rsidP="00EA2CD0">
            <w:pPr>
              <w:jc w:val="center"/>
              <w:rPr>
                <w:rFonts w:cstheme="minorHAnsi"/>
                <w:color w:val="000000"/>
                <w:sz w:val="22"/>
                <w:szCs w:val="22"/>
              </w:rPr>
            </w:pPr>
            <w:r w:rsidRPr="00EA2CD0">
              <w:rPr>
                <w:sz w:val="22"/>
                <w:szCs w:val="22"/>
              </w:rPr>
              <w:t>64,6</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10217899" w14:textId="60A18748" w:rsidR="00EA2CD0" w:rsidRPr="00EA2CD0" w:rsidRDefault="00EA2CD0" w:rsidP="00EA2CD0">
            <w:pPr>
              <w:jc w:val="center"/>
              <w:rPr>
                <w:rFonts w:cstheme="minorHAnsi"/>
                <w:color w:val="000000"/>
                <w:sz w:val="22"/>
                <w:szCs w:val="22"/>
              </w:rPr>
            </w:pPr>
            <w:r w:rsidRPr="00EA2CD0">
              <w:rPr>
                <w:sz w:val="22"/>
                <w:szCs w:val="22"/>
              </w:rPr>
              <w:t>0,07</w:t>
            </w:r>
          </w:p>
        </w:tc>
        <w:tc>
          <w:tcPr>
            <w:tcW w:w="785" w:type="pct"/>
            <w:tcBorders>
              <w:top w:val="single" w:sz="4" w:space="0" w:color="auto"/>
              <w:left w:val="nil"/>
              <w:bottom w:val="single" w:sz="4" w:space="0" w:color="auto"/>
              <w:right w:val="single" w:sz="4" w:space="0" w:color="auto"/>
            </w:tcBorders>
            <w:shd w:val="clear" w:color="auto" w:fill="auto"/>
          </w:tcPr>
          <w:p w14:paraId="6F1C47BE" w14:textId="52A662B0" w:rsidR="00EA2CD0" w:rsidRPr="00EA2CD0" w:rsidRDefault="00EA2CD0" w:rsidP="00EA2CD0">
            <w:pPr>
              <w:jc w:val="center"/>
              <w:rPr>
                <w:rFonts w:cstheme="minorHAnsi"/>
                <w:color w:val="000000"/>
                <w:sz w:val="22"/>
                <w:szCs w:val="22"/>
              </w:rPr>
            </w:pPr>
            <w:r w:rsidRPr="00EA2CD0">
              <w:rPr>
                <w:sz w:val="22"/>
                <w:szCs w:val="22"/>
              </w:rPr>
              <w:t>0,47</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2AF92CC6" w14:textId="268C4C0F" w:rsidR="00EA2CD0" w:rsidRPr="00EA2CD0" w:rsidRDefault="00EA2CD0" w:rsidP="00EA2CD0">
            <w:pPr>
              <w:jc w:val="center"/>
              <w:rPr>
                <w:rFonts w:cstheme="minorHAnsi"/>
                <w:color w:val="000000"/>
                <w:sz w:val="22"/>
                <w:szCs w:val="22"/>
              </w:rPr>
            </w:pPr>
            <w:r w:rsidRPr="00EA2CD0">
              <w:rPr>
                <w:sz w:val="22"/>
                <w:szCs w:val="22"/>
              </w:rPr>
              <w:t>0,36</w:t>
            </w:r>
          </w:p>
        </w:tc>
        <w:tc>
          <w:tcPr>
            <w:tcW w:w="534" w:type="pct"/>
            <w:shd w:val="clear" w:color="000000" w:fill="FF0000"/>
            <w:vAlign w:val="center"/>
          </w:tcPr>
          <w:p w14:paraId="34377F5F" w14:textId="36DFC4FA"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501E3860" w14:textId="41948BB4" w:rsidR="00EA2CD0" w:rsidRPr="00675182" w:rsidRDefault="00EA2CD0" w:rsidP="00EA2CD0">
            <w:pPr>
              <w:jc w:val="center"/>
              <w:rPr>
                <w:rFonts w:cstheme="minorHAnsi"/>
                <w:color w:val="000000"/>
                <w:sz w:val="22"/>
                <w:szCs w:val="22"/>
              </w:rPr>
            </w:pPr>
            <w:r w:rsidRPr="00675182">
              <w:rPr>
                <w:rFonts w:cstheme="minorHAnsi"/>
                <w:color w:val="000000"/>
                <w:sz w:val="22"/>
                <w:szCs w:val="22"/>
              </w:rPr>
              <w:t>D</w:t>
            </w:r>
          </w:p>
        </w:tc>
      </w:tr>
      <w:tr w:rsidR="00EA2CD0" w:rsidRPr="00675182" w14:paraId="771B1B00" w14:textId="77777777" w:rsidTr="00611658">
        <w:trPr>
          <w:trHeight w:val="284"/>
        </w:trPr>
        <w:tc>
          <w:tcPr>
            <w:tcW w:w="1678" w:type="pct"/>
            <w:shd w:val="clear" w:color="auto" w:fill="auto"/>
            <w:tcMar>
              <w:top w:w="13" w:type="dxa"/>
              <w:left w:w="13" w:type="dxa"/>
              <w:bottom w:w="0" w:type="dxa"/>
              <w:right w:w="13" w:type="dxa"/>
            </w:tcMar>
            <w:vAlign w:val="bottom"/>
          </w:tcPr>
          <w:p w14:paraId="146E963B" w14:textId="7AC04CE8" w:rsidR="00EA2CD0" w:rsidRPr="00675182" w:rsidRDefault="00EA2CD0" w:rsidP="00EA2CD0">
            <w:pPr>
              <w:rPr>
                <w:rFonts w:cstheme="minorHAnsi"/>
                <w:b/>
                <w:color w:val="000000"/>
                <w:sz w:val="22"/>
                <w:szCs w:val="22"/>
              </w:rPr>
            </w:pPr>
            <w:r w:rsidRPr="00675182">
              <w:rPr>
                <w:rFonts w:cstheme="minorHAnsi"/>
                <w:sz w:val="22"/>
                <w:szCs w:val="22"/>
              </w:rPr>
              <w:t>6510 Mēreni mitras pļavas</w:t>
            </w:r>
          </w:p>
        </w:tc>
        <w:tc>
          <w:tcPr>
            <w:tcW w:w="608" w:type="pct"/>
            <w:tcBorders>
              <w:top w:val="nil"/>
              <w:left w:val="nil"/>
              <w:bottom w:val="nil"/>
              <w:right w:val="nil"/>
            </w:tcBorders>
            <w:shd w:val="clear" w:color="auto" w:fill="auto"/>
            <w:tcMar>
              <w:top w:w="13" w:type="dxa"/>
              <w:left w:w="13" w:type="dxa"/>
              <w:bottom w:w="0" w:type="dxa"/>
              <w:right w:w="13" w:type="dxa"/>
            </w:tcMar>
          </w:tcPr>
          <w:p w14:paraId="3E7DDF67" w14:textId="359CB6F3" w:rsidR="00EA2CD0" w:rsidRPr="00EA2CD0" w:rsidRDefault="00EA2CD0" w:rsidP="00EA2CD0">
            <w:pPr>
              <w:jc w:val="center"/>
              <w:rPr>
                <w:rFonts w:cstheme="minorHAnsi"/>
                <w:color w:val="000000"/>
                <w:sz w:val="22"/>
                <w:szCs w:val="22"/>
              </w:rPr>
            </w:pPr>
            <w:r w:rsidRPr="00EA2CD0">
              <w:rPr>
                <w:sz w:val="22"/>
                <w:szCs w:val="22"/>
              </w:rPr>
              <w:t>157,2</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7DF048A8" w14:textId="5EB77EBE" w:rsidR="00EA2CD0" w:rsidRPr="00EA2CD0" w:rsidRDefault="00EA2CD0" w:rsidP="00EA2CD0">
            <w:pPr>
              <w:jc w:val="center"/>
              <w:rPr>
                <w:rFonts w:cstheme="minorHAnsi"/>
                <w:color w:val="000000"/>
                <w:sz w:val="22"/>
                <w:szCs w:val="22"/>
              </w:rPr>
            </w:pPr>
            <w:r w:rsidRPr="00EA2CD0">
              <w:rPr>
                <w:sz w:val="22"/>
                <w:szCs w:val="22"/>
              </w:rPr>
              <w:t>0,17</w:t>
            </w:r>
          </w:p>
        </w:tc>
        <w:tc>
          <w:tcPr>
            <w:tcW w:w="785" w:type="pct"/>
            <w:tcBorders>
              <w:top w:val="single" w:sz="4" w:space="0" w:color="auto"/>
              <w:left w:val="nil"/>
              <w:bottom w:val="single" w:sz="4" w:space="0" w:color="auto"/>
              <w:right w:val="single" w:sz="4" w:space="0" w:color="auto"/>
            </w:tcBorders>
            <w:shd w:val="clear" w:color="auto" w:fill="auto"/>
          </w:tcPr>
          <w:p w14:paraId="062057DC" w14:textId="77BEB68D" w:rsidR="00EA2CD0" w:rsidRPr="00EA2CD0" w:rsidRDefault="00EA2CD0" w:rsidP="00EA2CD0">
            <w:pPr>
              <w:jc w:val="center"/>
              <w:rPr>
                <w:rFonts w:cstheme="minorHAnsi"/>
                <w:color w:val="000000"/>
                <w:sz w:val="22"/>
                <w:szCs w:val="22"/>
              </w:rPr>
            </w:pPr>
            <w:r w:rsidRPr="00EA2CD0">
              <w:rPr>
                <w:sz w:val="22"/>
                <w:szCs w:val="22"/>
              </w:rPr>
              <w:t>10,62</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21D74C18" w14:textId="223F0D73" w:rsidR="00EA2CD0" w:rsidRPr="00EA2CD0" w:rsidRDefault="00EA2CD0" w:rsidP="00EA2CD0">
            <w:pPr>
              <w:jc w:val="center"/>
              <w:rPr>
                <w:rFonts w:cstheme="minorHAnsi"/>
                <w:color w:val="000000"/>
                <w:sz w:val="22"/>
                <w:szCs w:val="22"/>
              </w:rPr>
            </w:pPr>
            <w:r w:rsidRPr="00EA2CD0">
              <w:rPr>
                <w:sz w:val="22"/>
                <w:szCs w:val="22"/>
              </w:rPr>
              <w:t>2,79</w:t>
            </w:r>
          </w:p>
        </w:tc>
        <w:tc>
          <w:tcPr>
            <w:tcW w:w="534" w:type="pct"/>
            <w:shd w:val="clear" w:color="000000" w:fill="FF0000"/>
            <w:vAlign w:val="center"/>
          </w:tcPr>
          <w:p w14:paraId="5B8EFEE5" w14:textId="0BD52B7A"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17D590A7" w14:textId="0BF18C6A" w:rsidR="00EA2CD0" w:rsidRPr="00675182" w:rsidRDefault="00EA2CD0" w:rsidP="00EA2CD0">
            <w:pPr>
              <w:jc w:val="center"/>
              <w:rPr>
                <w:rFonts w:cstheme="minorHAnsi"/>
                <w:color w:val="000000"/>
                <w:sz w:val="22"/>
                <w:szCs w:val="22"/>
              </w:rPr>
            </w:pPr>
            <w:r w:rsidRPr="00675182">
              <w:rPr>
                <w:rFonts w:cstheme="minorHAnsi"/>
                <w:color w:val="000000"/>
                <w:sz w:val="22"/>
                <w:szCs w:val="22"/>
              </w:rPr>
              <w:t>D</w:t>
            </w:r>
          </w:p>
        </w:tc>
      </w:tr>
      <w:tr w:rsidR="00EA2CD0" w:rsidRPr="00675182" w14:paraId="7B607577" w14:textId="77777777" w:rsidTr="00611658">
        <w:trPr>
          <w:trHeight w:val="284"/>
        </w:trPr>
        <w:tc>
          <w:tcPr>
            <w:tcW w:w="1678" w:type="pct"/>
            <w:shd w:val="clear" w:color="auto" w:fill="auto"/>
            <w:tcMar>
              <w:top w:w="13" w:type="dxa"/>
              <w:left w:w="13" w:type="dxa"/>
              <w:bottom w:w="0" w:type="dxa"/>
              <w:right w:w="13" w:type="dxa"/>
            </w:tcMar>
            <w:vAlign w:val="bottom"/>
          </w:tcPr>
          <w:p w14:paraId="6A340E85" w14:textId="4CA46E9D" w:rsidR="00EA2CD0" w:rsidRPr="00675182" w:rsidRDefault="00EA2CD0" w:rsidP="00EA2CD0">
            <w:pPr>
              <w:rPr>
                <w:rFonts w:cstheme="minorHAnsi"/>
                <w:b/>
                <w:color w:val="000000"/>
                <w:sz w:val="22"/>
                <w:szCs w:val="22"/>
              </w:rPr>
            </w:pPr>
            <w:r w:rsidRPr="00675182">
              <w:rPr>
                <w:rFonts w:cstheme="minorHAnsi"/>
                <w:sz w:val="22"/>
                <w:szCs w:val="22"/>
              </w:rPr>
              <w:t>6530* Parkveida pļavas un ganības</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1C7515EE" w14:textId="0DD785C2" w:rsidR="00EA2CD0" w:rsidRPr="00EA2CD0" w:rsidRDefault="00EA2CD0" w:rsidP="00EA2CD0">
            <w:pPr>
              <w:jc w:val="center"/>
              <w:rPr>
                <w:rFonts w:cstheme="minorHAnsi"/>
                <w:color w:val="000000"/>
                <w:sz w:val="22"/>
                <w:szCs w:val="22"/>
              </w:rPr>
            </w:pPr>
            <w:r w:rsidRPr="00EA2CD0">
              <w:rPr>
                <w:sz w:val="22"/>
                <w:szCs w:val="22"/>
              </w:rPr>
              <w:t>7,5</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52D715F0" w14:textId="62214A87" w:rsidR="00EA2CD0" w:rsidRPr="00EA2CD0" w:rsidRDefault="00EA2CD0" w:rsidP="00EA2CD0">
            <w:pPr>
              <w:jc w:val="center"/>
              <w:rPr>
                <w:rFonts w:cstheme="minorHAnsi"/>
                <w:color w:val="000000"/>
                <w:sz w:val="22"/>
                <w:szCs w:val="22"/>
              </w:rPr>
            </w:pPr>
            <w:r w:rsidRPr="00EA2CD0">
              <w:rPr>
                <w:sz w:val="22"/>
                <w:szCs w:val="22"/>
              </w:rPr>
              <w:t>0,01</w:t>
            </w:r>
          </w:p>
        </w:tc>
        <w:tc>
          <w:tcPr>
            <w:tcW w:w="785" w:type="pct"/>
            <w:tcBorders>
              <w:top w:val="single" w:sz="4" w:space="0" w:color="auto"/>
              <w:left w:val="nil"/>
              <w:bottom w:val="single" w:sz="4" w:space="0" w:color="auto"/>
              <w:right w:val="single" w:sz="4" w:space="0" w:color="auto"/>
            </w:tcBorders>
            <w:shd w:val="clear" w:color="auto" w:fill="auto"/>
          </w:tcPr>
          <w:p w14:paraId="20718729" w14:textId="37AA8E59" w:rsidR="00EA2CD0" w:rsidRPr="00EA2CD0" w:rsidRDefault="00EA2CD0" w:rsidP="00EA2CD0">
            <w:pPr>
              <w:jc w:val="center"/>
              <w:rPr>
                <w:rFonts w:cstheme="minorHAnsi"/>
                <w:color w:val="000000"/>
                <w:sz w:val="22"/>
                <w:szCs w:val="22"/>
              </w:rPr>
            </w:pPr>
            <w:r w:rsidRPr="00EA2CD0">
              <w:rPr>
                <w:sz w:val="22"/>
                <w:szCs w:val="22"/>
              </w:rPr>
              <w:t>0,09</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3E5AE3BF" w14:textId="67CCBF49" w:rsidR="00EA2CD0" w:rsidRPr="00EA2CD0" w:rsidRDefault="00EA2CD0" w:rsidP="00EA2CD0">
            <w:pPr>
              <w:jc w:val="center"/>
              <w:rPr>
                <w:rFonts w:cstheme="minorHAnsi"/>
                <w:color w:val="000000"/>
                <w:sz w:val="22"/>
                <w:szCs w:val="22"/>
              </w:rPr>
            </w:pPr>
            <w:r w:rsidRPr="00EA2CD0">
              <w:rPr>
                <w:sz w:val="22"/>
                <w:szCs w:val="22"/>
              </w:rPr>
              <w:t>0,54</w:t>
            </w:r>
          </w:p>
        </w:tc>
        <w:tc>
          <w:tcPr>
            <w:tcW w:w="534" w:type="pct"/>
            <w:shd w:val="clear" w:color="000000" w:fill="FF0000"/>
            <w:vAlign w:val="center"/>
          </w:tcPr>
          <w:p w14:paraId="3FDFE48A" w14:textId="509FA875"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0B4F46EC" w14:textId="180E6CAB" w:rsidR="00EA2CD0" w:rsidRPr="00675182" w:rsidRDefault="00EA2CD0" w:rsidP="00EA2CD0">
            <w:pPr>
              <w:jc w:val="center"/>
              <w:rPr>
                <w:rFonts w:cstheme="minorHAnsi"/>
                <w:color w:val="000000"/>
                <w:sz w:val="22"/>
                <w:szCs w:val="22"/>
              </w:rPr>
            </w:pPr>
            <w:r w:rsidRPr="00675182">
              <w:rPr>
                <w:rFonts w:cstheme="minorHAnsi"/>
                <w:color w:val="000000"/>
                <w:sz w:val="22"/>
                <w:szCs w:val="22"/>
              </w:rPr>
              <w:t>D</w:t>
            </w:r>
          </w:p>
        </w:tc>
      </w:tr>
      <w:tr w:rsidR="000E33C5" w:rsidRPr="00675182" w14:paraId="23DD1F95" w14:textId="77777777" w:rsidTr="00513D22">
        <w:trPr>
          <w:trHeight w:val="284"/>
        </w:trPr>
        <w:tc>
          <w:tcPr>
            <w:tcW w:w="5000" w:type="pct"/>
            <w:gridSpan w:val="7"/>
            <w:shd w:val="clear" w:color="auto" w:fill="EAF1DD" w:themeFill="accent3" w:themeFillTint="33"/>
            <w:tcMar>
              <w:top w:w="13" w:type="dxa"/>
              <w:left w:w="13" w:type="dxa"/>
              <w:bottom w:w="0" w:type="dxa"/>
              <w:right w:w="13" w:type="dxa"/>
            </w:tcMar>
            <w:vAlign w:val="bottom"/>
          </w:tcPr>
          <w:p w14:paraId="7A798B2C" w14:textId="2F04BA9B" w:rsidR="000E33C5" w:rsidRPr="00675182" w:rsidRDefault="000E33C5" w:rsidP="000E33C5">
            <w:pPr>
              <w:rPr>
                <w:rFonts w:cstheme="minorHAnsi"/>
                <w:b/>
                <w:bCs/>
                <w:i/>
                <w:iCs/>
                <w:color w:val="000000"/>
                <w:sz w:val="22"/>
                <w:szCs w:val="22"/>
              </w:rPr>
            </w:pPr>
            <w:r w:rsidRPr="00675182">
              <w:rPr>
                <w:rFonts w:cstheme="minorHAnsi"/>
                <w:b/>
                <w:bCs/>
                <w:i/>
                <w:iCs/>
                <w:color w:val="000000"/>
                <w:sz w:val="22"/>
                <w:szCs w:val="22"/>
              </w:rPr>
              <w:t>Purvu biotopi</w:t>
            </w:r>
          </w:p>
        </w:tc>
      </w:tr>
      <w:bookmarkEnd w:id="44"/>
      <w:tr w:rsidR="00EA2CD0" w:rsidRPr="00675182" w14:paraId="7EE3CAC3" w14:textId="77777777" w:rsidTr="00EA2CD0">
        <w:trPr>
          <w:trHeight w:val="284"/>
        </w:trPr>
        <w:tc>
          <w:tcPr>
            <w:tcW w:w="1678" w:type="pct"/>
            <w:shd w:val="clear" w:color="auto" w:fill="auto"/>
            <w:tcMar>
              <w:top w:w="13" w:type="dxa"/>
              <w:left w:w="13" w:type="dxa"/>
              <w:bottom w:w="0" w:type="dxa"/>
              <w:right w:w="13" w:type="dxa"/>
            </w:tcMar>
            <w:vAlign w:val="bottom"/>
          </w:tcPr>
          <w:p w14:paraId="43F026D0" w14:textId="5E74D490" w:rsidR="00EA2CD0" w:rsidRPr="00675182" w:rsidRDefault="00EA2CD0" w:rsidP="00EA2CD0">
            <w:pPr>
              <w:rPr>
                <w:rFonts w:cstheme="minorHAnsi"/>
                <w:sz w:val="22"/>
                <w:szCs w:val="22"/>
              </w:rPr>
            </w:pPr>
            <w:r w:rsidRPr="00675182">
              <w:rPr>
                <w:rFonts w:cstheme="minorHAnsi"/>
                <w:sz w:val="22"/>
                <w:szCs w:val="22"/>
              </w:rPr>
              <w:t>7110* Aktīvi augstie purvi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6F0DD99E" w14:textId="30DC0E66" w:rsidR="00EA2CD0" w:rsidRPr="00EA2CD0" w:rsidRDefault="00EA2CD0" w:rsidP="00EA2CD0">
            <w:pPr>
              <w:jc w:val="center"/>
              <w:rPr>
                <w:rFonts w:cstheme="minorHAnsi"/>
                <w:sz w:val="22"/>
                <w:szCs w:val="18"/>
              </w:rPr>
            </w:pPr>
            <w:r w:rsidRPr="00EA2CD0">
              <w:rPr>
                <w:sz w:val="22"/>
                <w:szCs w:val="18"/>
              </w:rPr>
              <w:t>2914,1</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01627D5C" w14:textId="63B09BF8" w:rsidR="00EA2CD0" w:rsidRPr="00EA2CD0" w:rsidRDefault="00EA2CD0" w:rsidP="00EA2CD0">
            <w:pPr>
              <w:jc w:val="center"/>
              <w:rPr>
                <w:rFonts w:cstheme="minorHAnsi"/>
                <w:sz w:val="22"/>
                <w:szCs w:val="18"/>
              </w:rPr>
            </w:pPr>
            <w:r w:rsidRPr="00EA2CD0">
              <w:rPr>
                <w:sz w:val="22"/>
                <w:szCs w:val="18"/>
              </w:rPr>
              <w:t>3,17</w:t>
            </w:r>
          </w:p>
        </w:tc>
        <w:tc>
          <w:tcPr>
            <w:tcW w:w="785" w:type="pct"/>
            <w:tcBorders>
              <w:top w:val="single" w:sz="4" w:space="0" w:color="auto"/>
              <w:left w:val="nil"/>
              <w:bottom w:val="single" w:sz="4" w:space="0" w:color="auto"/>
              <w:right w:val="single" w:sz="4" w:space="0" w:color="auto"/>
            </w:tcBorders>
            <w:shd w:val="clear" w:color="auto" w:fill="auto"/>
          </w:tcPr>
          <w:p w14:paraId="3A6FE8BF" w14:textId="38B50C2A" w:rsidR="00EA2CD0" w:rsidRPr="00EA2CD0" w:rsidRDefault="00EA2CD0" w:rsidP="00EA2CD0">
            <w:pPr>
              <w:jc w:val="center"/>
              <w:rPr>
                <w:rFonts w:cstheme="minorHAnsi"/>
                <w:sz w:val="22"/>
                <w:szCs w:val="18"/>
              </w:rPr>
            </w:pPr>
            <w:r w:rsidRPr="00EA2CD0">
              <w:rPr>
                <w:sz w:val="22"/>
                <w:szCs w:val="18"/>
              </w:rPr>
              <w:t>4,00</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7240B550" w14:textId="6D48E4F5" w:rsidR="00EA2CD0" w:rsidRPr="00EA2CD0" w:rsidRDefault="00EA2CD0" w:rsidP="00EA2CD0">
            <w:pPr>
              <w:jc w:val="center"/>
              <w:rPr>
                <w:rFonts w:cstheme="minorHAnsi"/>
                <w:sz w:val="22"/>
                <w:szCs w:val="18"/>
              </w:rPr>
            </w:pPr>
            <w:r w:rsidRPr="00EA2CD0">
              <w:rPr>
                <w:sz w:val="22"/>
                <w:szCs w:val="18"/>
              </w:rPr>
              <w:t>2,60</w:t>
            </w:r>
          </w:p>
        </w:tc>
        <w:tc>
          <w:tcPr>
            <w:tcW w:w="534" w:type="pct"/>
            <w:shd w:val="clear" w:color="auto" w:fill="FFFF00"/>
            <w:vAlign w:val="center"/>
          </w:tcPr>
          <w:p w14:paraId="37789FC5" w14:textId="7F51B0F1"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29961D03" w14:textId="597E481F"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3B796034" w14:textId="77777777" w:rsidTr="00EA2CD0">
        <w:trPr>
          <w:trHeight w:val="284"/>
        </w:trPr>
        <w:tc>
          <w:tcPr>
            <w:tcW w:w="1678" w:type="pct"/>
            <w:shd w:val="clear" w:color="auto" w:fill="auto"/>
            <w:tcMar>
              <w:top w:w="13" w:type="dxa"/>
              <w:left w:w="13" w:type="dxa"/>
              <w:bottom w:w="0" w:type="dxa"/>
              <w:right w:w="13" w:type="dxa"/>
            </w:tcMar>
            <w:vAlign w:val="bottom"/>
          </w:tcPr>
          <w:p w14:paraId="7900B32F" w14:textId="4CADB981" w:rsidR="00EA2CD0" w:rsidRPr="00675182" w:rsidRDefault="00EA2CD0" w:rsidP="00EA2CD0">
            <w:pPr>
              <w:rPr>
                <w:rFonts w:cstheme="minorHAnsi"/>
                <w:b/>
                <w:color w:val="000000"/>
                <w:sz w:val="22"/>
                <w:szCs w:val="22"/>
              </w:rPr>
            </w:pPr>
            <w:r w:rsidRPr="00675182">
              <w:rPr>
                <w:rFonts w:cstheme="minorHAnsi"/>
                <w:sz w:val="22"/>
                <w:szCs w:val="22"/>
              </w:rPr>
              <w:t>7120 Degradēti augstie purvi, kuros iespējama vai noris dabiskā atjaunošanās</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tcPr>
          <w:p w14:paraId="7F027089" w14:textId="160B96F4" w:rsidR="00EA2CD0" w:rsidRPr="00EA2CD0" w:rsidRDefault="00EA2CD0" w:rsidP="00EA2CD0">
            <w:pPr>
              <w:jc w:val="center"/>
              <w:rPr>
                <w:rFonts w:cstheme="minorHAnsi"/>
                <w:color w:val="000000"/>
                <w:sz w:val="22"/>
                <w:szCs w:val="18"/>
              </w:rPr>
            </w:pPr>
            <w:r w:rsidRPr="00EA2CD0">
              <w:rPr>
                <w:sz w:val="22"/>
                <w:szCs w:val="18"/>
              </w:rPr>
              <w:t>405,7</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1BA42CCF" w14:textId="163004AE" w:rsidR="00EA2CD0" w:rsidRPr="00EA2CD0" w:rsidRDefault="00EA2CD0" w:rsidP="00EA2CD0">
            <w:pPr>
              <w:jc w:val="center"/>
              <w:rPr>
                <w:rFonts w:cstheme="minorHAnsi"/>
                <w:color w:val="000000"/>
                <w:sz w:val="22"/>
                <w:szCs w:val="18"/>
              </w:rPr>
            </w:pPr>
            <w:r w:rsidRPr="00EA2CD0">
              <w:rPr>
                <w:sz w:val="22"/>
                <w:szCs w:val="18"/>
              </w:rPr>
              <w:t>0,44</w:t>
            </w:r>
          </w:p>
        </w:tc>
        <w:tc>
          <w:tcPr>
            <w:tcW w:w="785" w:type="pct"/>
            <w:tcBorders>
              <w:top w:val="single" w:sz="4" w:space="0" w:color="auto"/>
              <w:left w:val="nil"/>
              <w:bottom w:val="single" w:sz="4" w:space="0" w:color="auto"/>
              <w:right w:val="single" w:sz="4" w:space="0" w:color="auto"/>
            </w:tcBorders>
            <w:shd w:val="clear" w:color="auto" w:fill="auto"/>
          </w:tcPr>
          <w:p w14:paraId="0457D08D" w14:textId="173C4199" w:rsidR="00EA2CD0" w:rsidRPr="00EA2CD0" w:rsidRDefault="00EA2CD0" w:rsidP="00EA2CD0">
            <w:pPr>
              <w:jc w:val="center"/>
              <w:rPr>
                <w:rFonts w:cstheme="minorHAnsi"/>
                <w:color w:val="000000"/>
                <w:sz w:val="22"/>
                <w:szCs w:val="18"/>
              </w:rPr>
            </w:pPr>
            <w:r w:rsidRPr="00EA2CD0">
              <w:rPr>
                <w:sz w:val="22"/>
                <w:szCs w:val="18"/>
              </w:rPr>
              <w:t>5,97</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tcPr>
          <w:p w14:paraId="37E87269" w14:textId="7E6E465D" w:rsidR="00EA2CD0" w:rsidRPr="00EA2CD0" w:rsidRDefault="00EA2CD0" w:rsidP="00EA2CD0">
            <w:pPr>
              <w:jc w:val="center"/>
              <w:rPr>
                <w:rFonts w:cstheme="minorHAnsi"/>
                <w:color w:val="000000"/>
                <w:sz w:val="22"/>
                <w:szCs w:val="18"/>
              </w:rPr>
            </w:pPr>
            <w:r w:rsidRPr="00EA2CD0">
              <w:rPr>
                <w:sz w:val="22"/>
                <w:szCs w:val="18"/>
              </w:rPr>
              <w:t>2,65</w:t>
            </w:r>
          </w:p>
        </w:tc>
        <w:tc>
          <w:tcPr>
            <w:tcW w:w="534" w:type="pct"/>
            <w:shd w:val="clear" w:color="000000" w:fill="FF0000"/>
            <w:vAlign w:val="center"/>
          </w:tcPr>
          <w:p w14:paraId="6B7A0108" w14:textId="37D7BEB1"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42867669" w14:textId="6ABB7007"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EA2CD0" w:rsidRPr="00675182" w14:paraId="490EC02B" w14:textId="77777777" w:rsidTr="00EA2CD0">
        <w:trPr>
          <w:trHeight w:val="284"/>
        </w:trPr>
        <w:tc>
          <w:tcPr>
            <w:tcW w:w="1678" w:type="pct"/>
            <w:tcBorders>
              <w:right w:val="single" w:sz="4" w:space="0" w:color="auto"/>
            </w:tcBorders>
            <w:shd w:val="clear" w:color="auto" w:fill="auto"/>
            <w:tcMar>
              <w:top w:w="13" w:type="dxa"/>
              <w:left w:w="13" w:type="dxa"/>
              <w:bottom w:w="0" w:type="dxa"/>
              <w:right w:w="13" w:type="dxa"/>
            </w:tcMar>
            <w:vAlign w:val="bottom"/>
          </w:tcPr>
          <w:p w14:paraId="6F72B936" w14:textId="33C5B3AE" w:rsidR="00EA2CD0" w:rsidRPr="00675182" w:rsidRDefault="00EA2CD0" w:rsidP="00EA2CD0">
            <w:pPr>
              <w:rPr>
                <w:rFonts w:cstheme="minorHAnsi"/>
                <w:b/>
                <w:color w:val="000000"/>
                <w:sz w:val="22"/>
                <w:szCs w:val="22"/>
              </w:rPr>
            </w:pPr>
            <w:r w:rsidRPr="00675182">
              <w:rPr>
                <w:rFonts w:cstheme="minorHAnsi"/>
                <w:sz w:val="22"/>
                <w:szCs w:val="22"/>
              </w:rPr>
              <w:t>7140 Pārejas purvi un slīkšņas</w:t>
            </w:r>
          </w:p>
        </w:tc>
        <w:tc>
          <w:tcPr>
            <w:tcW w:w="608"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4D1EAF17" w14:textId="58CD2648" w:rsidR="00EA2CD0" w:rsidRPr="00EA2CD0" w:rsidRDefault="00EA2CD0" w:rsidP="00EA2CD0">
            <w:pPr>
              <w:jc w:val="center"/>
              <w:rPr>
                <w:rFonts w:cstheme="minorHAnsi"/>
                <w:color w:val="000000"/>
                <w:sz w:val="22"/>
                <w:szCs w:val="18"/>
              </w:rPr>
            </w:pPr>
            <w:r w:rsidRPr="00EA2CD0">
              <w:rPr>
                <w:sz w:val="22"/>
                <w:szCs w:val="18"/>
              </w:rPr>
              <w:t>178,0</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2D2FD348" w14:textId="7DAEAEB6" w:rsidR="00EA2CD0" w:rsidRPr="00EA2CD0" w:rsidRDefault="00EA2CD0" w:rsidP="00EA2CD0">
            <w:pPr>
              <w:jc w:val="center"/>
              <w:rPr>
                <w:rFonts w:cstheme="minorHAnsi"/>
                <w:color w:val="000000"/>
                <w:sz w:val="22"/>
                <w:szCs w:val="18"/>
              </w:rPr>
            </w:pPr>
            <w:r w:rsidRPr="00EA2CD0">
              <w:rPr>
                <w:sz w:val="22"/>
                <w:szCs w:val="18"/>
              </w:rPr>
              <w:t>0,19</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EC94767" w14:textId="66E9A7EB" w:rsidR="00EA2CD0" w:rsidRPr="00EA2CD0" w:rsidRDefault="00EA2CD0" w:rsidP="00EA2CD0">
            <w:pPr>
              <w:jc w:val="center"/>
              <w:rPr>
                <w:rFonts w:cstheme="minorHAnsi"/>
                <w:color w:val="000000"/>
                <w:sz w:val="22"/>
                <w:szCs w:val="18"/>
              </w:rPr>
            </w:pPr>
            <w:r w:rsidRPr="00EA2CD0">
              <w:rPr>
                <w:sz w:val="22"/>
                <w:szCs w:val="18"/>
              </w:rPr>
              <w:t>3,46</w:t>
            </w:r>
          </w:p>
        </w:tc>
        <w:tc>
          <w:tcPr>
            <w:tcW w:w="46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14:paraId="2AC4F085" w14:textId="0A481650" w:rsidR="00EA2CD0" w:rsidRPr="00EA2CD0" w:rsidRDefault="00EA2CD0" w:rsidP="00EA2CD0">
            <w:pPr>
              <w:jc w:val="center"/>
              <w:rPr>
                <w:rFonts w:cstheme="minorHAnsi"/>
                <w:color w:val="000000"/>
                <w:sz w:val="22"/>
                <w:szCs w:val="18"/>
              </w:rPr>
            </w:pPr>
            <w:r w:rsidRPr="00EA2CD0">
              <w:rPr>
                <w:sz w:val="22"/>
                <w:szCs w:val="18"/>
              </w:rPr>
              <w:t>2,09</w:t>
            </w:r>
          </w:p>
        </w:tc>
        <w:tc>
          <w:tcPr>
            <w:tcW w:w="534" w:type="pct"/>
            <w:tcBorders>
              <w:left w:val="single" w:sz="4" w:space="0" w:color="auto"/>
            </w:tcBorders>
            <w:shd w:val="clear" w:color="000000" w:fill="FFFF00"/>
            <w:vAlign w:val="center"/>
          </w:tcPr>
          <w:p w14:paraId="604BD756" w14:textId="12845627"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5890E0D9" w14:textId="44D8B0F9"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63F033D2" w14:textId="77777777" w:rsidTr="00EA2CD0">
        <w:trPr>
          <w:trHeight w:val="284"/>
        </w:trPr>
        <w:tc>
          <w:tcPr>
            <w:tcW w:w="1678" w:type="pct"/>
            <w:shd w:val="clear" w:color="auto" w:fill="auto"/>
            <w:tcMar>
              <w:top w:w="13" w:type="dxa"/>
              <w:left w:w="13" w:type="dxa"/>
              <w:bottom w:w="0" w:type="dxa"/>
              <w:right w:w="13" w:type="dxa"/>
            </w:tcMar>
            <w:vAlign w:val="bottom"/>
          </w:tcPr>
          <w:p w14:paraId="6717882B" w14:textId="1A7EDE62" w:rsidR="00EA2CD0" w:rsidRPr="00675182" w:rsidRDefault="00EA2CD0" w:rsidP="00EA2CD0">
            <w:pPr>
              <w:rPr>
                <w:rFonts w:cstheme="minorHAnsi"/>
                <w:b/>
                <w:color w:val="000000"/>
                <w:sz w:val="22"/>
                <w:szCs w:val="22"/>
              </w:rPr>
            </w:pPr>
            <w:r w:rsidRPr="00675182">
              <w:rPr>
                <w:rFonts w:cstheme="minorHAnsi"/>
                <w:sz w:val="22"/>
                <w:szCs w:val="22"/>
              </w:rPr>
              <w:lastRenderedPageBreak/>
              <w:t>7160 Minerālvielām bagāti avoti un avotu purvi</w:t>
            </w:r>
          </w:p>
        </w:tc>
        <w:tc>
          <w:tcPr>
            <w:tcW w:w="608" w:type="pct"/>
            <w:tcBorders>
              <w:top w:val="nil"/>
              <w:left w:val="nil"/>
              <w:bottom w:val="nil"/>
              <w:right w:val="nil"/>
            </w:tcBorders>
            <w:shd w:val="clear" w:color="auto" w:fill="auto"/>
            <w:tcMar>
              <w:top w:w="13" w:type="dxa"/>
              <w:left w:w="13" w:type="dxa"/>
              <w:bottom w:w="0" w:type="dxa"/>
              <w:right w:w="13" w:type="dxa"/>
            </w:tcMar>
            <w:vAlign w:val="bottom"/>
          </w:tcPr>
          <w:p w14:paraId="17BFC08F" w14:textId="3686F658" w:rsidR="00EA2CD0" w:rsidRPr="00EA2CD0" w:rsidRDefault="00EA2CD0" w:rsidP="00EA2CD0">
            <w:pPr>
              <w:jc w:val="center"/>
              <w:rPr>
                <w:rFonts w:cstheme="minorHAnsi"/>
                <w:sz w:val="22"/>
                <w:szCs w:val="22"/>
              </w:rPr>
            </w:pPr>
            <w:r w:rsidRPr="00EA2CD0">
              <w:rPr>
                <w:rFonts w:cstheme="minorHAnsi"/>
                <w:sz w:val="22"/>
                <w:szCs w:val="22"/>
              </w:rPr>
              <w:t>183,5</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324AE89F" w14:textId="4C199E10" w:rsidR="00EA2CD0" w:rsidRPr="00EA2CD0" w:rsidRDefault="00EA2CD0" w:rsidP="00EA2CD0">
            <w:pPr>
              <w:jc w:val="center"/>
              <w:rPr>
                <w:rFonts w:cstheme="minorHAnsi"/>
                <w:color w:val="000000"/>
                <w:sz w:val="22"/>
                <w:szCs w:val="22"/>
              </w:rPr>
            </w:pPr>
            <w:r w:rsidRPr="00EA2CD0">
              <w:rPr>
                <w:rFonts w:ascii="Calibri" w:hAnsi="Calibri"/>
                <w:sz w:val="22"/>
                <w:szCs w:val="22"/>
              </w:rPr>
              <w:t>0,20</w:t>
            </w:r>
          </w:p>
        </w:tc>
        <w:tc>
          <w:tcPr>
            <w:tcW w:w="785" w:type="pct"/>
            <w:tcBorders>
              <w:top w:val="single" w:sz="4" w:space="0" w:color="auto"/>
              <w:left w:val="nil"/>
              <w:bottom w:val="single" w:sz="4" w:space="0" w:color="auto"/>
              <w:right w:val="single" w:sz="4" w:space="0" w:color="auto"/>
            </w:tcBorders>
            <w:shd w:val="clear" w:color="auto" w:fill="auto"/>
            <w:vAlign w:val="bottom"/>
          </w:tcPr>
          <w:p w14:paraId="7ECAD7DA" w14:textId="4122AE71" w:rsidR="00EA2CD0" w:rsidRPr="00EA2CD0" w:rsidRDefault="00EA2CD0" w:rsidP="00EA2CD0">
            <w:pPr>
              <w:jc w:val="center"/>
              <w:rPr>
                <w:rFonts w:cstheme="minorHAnsi"/>
                <w:color w:val="000000"/>
                <w:sz w:val="22"/>
                <w:szCs w:val="22"/>
              </w:rPr>
            </w:pPr>
            <w:r w:rsidRPr="00EA2CD0">
              <w:rPr>
                <w:rFonts w:ascii="Calibri" w:hAnsi="Calibri"/>
                <w:sz w:val="22"/>
                <w:szCs w:val="22"/>
              </w:rPr>
              <w:t>52,73</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bottom"/>
          </w:tcPr>
          <w:p w14:paraId="46C7B9F6" w14:textId="6F561A09" w:rsidR="00EA2CD0" w:rsidRPr="00EA2CD0" w:rsidRDefault="00EA2CD0" w:rsidP="00EA2CD0">
            <w:pPr>
              <w:jc w:val="center"/>
              <w:rPr>
                <w:rFonts w:cstheme="minorHAnsi"/>
                <w:color w:val="000000"/>
                <w:sz w:val="22"/>
                <w:szCs w:val="22"/>
              </w:rPr>
            </w:pPr>
            <w:r w:rsidRPr="00EA2CD0">
              <w:rPr>
                <w:rFonts w:ascii="Calibri" w:hAnsi="Calibri"/>
                <w:sz w:val="22"/>
                <w:szCs w:val="22"/>
              </w:rPr>
              <w:t>24,47</w:t>
            </w:r>
          </w:p>
        </w:tc>
        <w:tc>
          <w:tcPr>
            <w:tcW w:w="534" w:type="pct"/>
            <w:shd w:val="clear" w:color="000000" w:fill="FFFF00"/>
            <w:vAlign w:val="center"/>
          </w:tcPr>
          <w:p w14:paraId="7735DE44" w14:textId="17457682"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689CD6FA" w14:textId="5EE02401"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EA2CD0" w:rsidRPr="00675182" w14:paraId="30AC0614" w14:textId="77777777" w:rsidTr="00292B3E">
        <w:trPr>
          <w:trHeight w:val="284"/>
        </w:trPr>
        <w:tc>
          <w:tcPr>
            <w:tcW w:w="1678" w:type="pct"/>
            <w:shd w:val="clear" w:color="auto" w:fill="auto"/>
            <w:tcMar>
              <w:top w:w="13" w:type="dxa"/>
              <w:left w:w="13" w:type="dxa"/>
              <w:bottom w:w="0" w:type="dxa"/>
              <w:right w:w="13" w:type="dxa"/>
            </w:tcMar>
            <w:vAlign w:val="bottom"/>
          </w:tcPr>
          <w:p w14:paraId="37E9871E" w14:textId="681BC51E" w:rsidR="00EA2CD0" w:rsidRPr="00675182" w:rsidRDefault="00EA2CD0" w:rsidP="00EA2CD0">
            <w:pPr>
              <w:rPr>
                <w:rFonts w:cstheme="minorHAnsi"/>
                <w:sz w:val="22"/>
                <w:szCs w:val="22"/>
              </w:rPr>
            </w:pPr>
            <w:r w:rsidRPr="00675182">
              <w:rPr>
                <w:rFonts w:cstheme="minorHAnsi"/>
                <w:sz w:val="22"/>
                <w:szCs w:val="22"/>
              </w:rPr>
              <w:t>7220* Avoti, kas izgulsnē avotkaļķus</w:t>
            </w:r>
          </w:p>
        </w:tc>
        <w:tc>
          <w:tcPr>
            <w:tcW w:w="608"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14F14CAA" w14:textId="6FB15139" w:rsidR="00EA2CD0" w:rsidRPr="00EA2CD0" w:rsidRDefault="00EA2CD0" w:rsidP="00EA2CD0">
            <w:pPr>
              <w:jc w:val="center"/>
              <w:rPr>
                <w:rFonts w:cstheme="minorHAnsi"/>
                <w:sz w:val="22"/>
                <w:szCs w:val="22"/>
              </w:rPr>
            </w:pPr>
            <w:r w:rsidRPr="00EA2CD0">
              <w:rPr>
                <w:rFonts w:ascii="Calibri" w:hAnsi="Calibri"/>
                <w:sz w:val="22"/>
                <w:szCs w:val="22"/>
              </w:rPr>
              <w:t>8,7</w:t>
            </w:r>
          </w:p>
        </w:tc>
        <w:tc>
          <w:tcPr>
            <w:tcW w:w="396"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bottom"/>
          </w:tcPr>
          <w:p w14:paraId="0816C32B" w14:textId="2BC43727" w:rsidR="00EA2CD0" w:rsidRPr="00EA2CD0" w:rsidRDefault="00EA2CD0" w:rsidP="00EA2CD0">
            <w:pPr>
              <w:jc w:val="center"/>
              <w:rPr>
                <w:rFonts w:cstheme="minorHAnsi"/>
                <w:sz w:val="22"/>
                <w:szCs w:val="22"/>
              </w:rPr>
            </w:pPr>
            <w:r w:rsidRPr="00EA2CD0">
              <w:rPr>
                <w:rFonts w:ascii="Calibri" w:hAnsi="Calibri"/>
                <w:sz w:val="22"/>
                <w:szCs w:val="22"/>
              </w:rPr>
              <w:t>0,01</w:t>
            </w:r>
          </w:p>
        </w:tc>
        <w:tc>
          <w:tcPr>
            <w:tcW w:w="785" w:type="pct"/>
            <w:tcBorders>
              <w:top w:val="nil"/>
              <w:left w:val="nil"/>
              <w:bottom w:val="single" w:sz="4" w:space="0" w:color="auto"/>
              <w:right w:val="single" w:sz="4" w:space="0" w:color="auto"/>
            </w:tcBorders>
            <w:shd w:val="clear" w:color="auto" w:fill="auto"/>
            <w:vAlign w:val="bottom"/>
          </w:tcPr>
          <w:p w14:paraId="6C49FEF1" w14:textId="780838C1" w:rsidR="00EA2CD0" w:rsidRPr="00EA2CD0" w:rsidRDefault="00EA2CD0" w:rsidP="00EA2CD0">
            <w:pPr>
              <w:jc w:val="center"/>
              <w:rPr>
                <w:rFonts w:cstheme="minorHAnsi"/>
                <w:sz w:val="22"/>
                <w:szCs w:val="22"/>
              </w:rPr>
            </w:pPr>
            <w:r w:rsidRPr="00EA2CD0">
              <w:rPr>
                <w:rFonts w:ascii="Calibri" w:hAnsi="Calibri"/>
                <w:sz w:val="22"/>
                <w:szCs w:val="22"/>
              </w:rPr>
              <w:t>54,38</w:t>
            </w:r>
          </w:p>
        </w:tc>
        <w:tc>
          <w:tcPr>
            <w:tcW w:w="466"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bottom"/>
          </w:tcPr>
          <w:p w14:paraId="6DC657D6" w14:textId="476BB8A0" w:rsidR="00EA2CD0" w:rsidRPr="00EA2CD0" w:rsidRDefault="00EA2CD0" w:rsidP="00EA2CD0">
            <w:pPr>
              <w:jc w:val="center"/>
              <w:rPr>
                <w:rFonts w:cstheme="minorHAnsi"/>
                <w:sz w:val="22"/>
                <w:szCs w:val="22"/>
              </w:rPr>
            </w:pPr>
            <w:r w:rsidRPr="00EA2CD0">
              <w:rPr>
                <w:rFonts w:ascii="Calibri" w:hAnsi="Calibri"/>
                <w:sz w:val="22"/>
                <w:szCs w:val="22"/>
              </w:rPr>
              <w:t>17,40</w:t>
            </w:r>
          </w:p>
        </w:tc>
        <w:tc>
          <w:tcPr>
            <w:tcW w:w="534" w:type="pct"/>
            <w:shd w:val="clear" w:color="000000" w:fill="FFFF00"/>
            <w:vAlign w:val="bottom"/>
          </w:tcPr>
          <w:p w14:paraId="6D24A958" w14:textId="33EF2FA2" w:rsidR="00EA2CD0" w:rsidRPr="00675182" w:rsidRDefault="00EA2CD0" w:rsidP="00EA2CD0">
            <w:pPr>
              <w:jc w:val="center"/>
              <w:rPr>
                <w:rFonts w:cstheme="minorHAnsi"/>
                <w:color w:val="000000"/>
                <w:sz w:val="22"/>
                <w:szCs w:val="22"/>
              </w:rPr>
            </w:pPr>
            <w:r w:rsidRPr="00675182">
              <w:rPr>
                <w:rFonts w:cstheme="minorHAnsi"/>
                <w:sz w:val="22"/>
                <w:szCs w:val="22"/>
              </w:rPr>
              <w:t xml:space="preserve">U1 </w:t>
            </w:r>
          </w:p>
        </w:tc>
        <w:tc>
          <w:tcPr>
            <w:tcW w:w="533" w:type="pct"/>
            <w:shd w:val="clear" w:color="auto" w:fill="auto"/>
            <w:vAlign w:val="center"/>
          </w:tcPr>
          <w:p w14:paraId="328197DF" w14:textId="4796DC29"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5C7C5138" w14:textId="77777777" w:rsidTr="00292B3E">
        <w:trPr>
          <w:trHeight w:val="284"/>
        </w:trPr>
        <w:tc>
          <w:tcPr>
            <w:tcW w:w="1678" w:type="pct"/>
            <w:shd w:val="clear" w:color="auto" w:fill="auto"/>
            <w:tcMar>
              <w:top w:w="13" w:type="dxa"/>
              <w:left w:w="13" w:type="dxa"/>
              <w:bottom w:w="0" w:type="dxa"/>
              <w:right w:w="13" w:type="dxa"/>
            </w:tcMar>
            <w:vAlign w:val="bottom"/>
          </w:tcPr>
          <w:p w14:paraId="011FF214" w14:textId="0C65F701" w:rsidR="00EA2CD0" w:rsidRPr="00675182" w:rsidRDefault="00EA2CD0" w:rsidP="00EA2CD0">
            <w:pPr>
              <w:rPr>
                <w:rFonts w:cstheme="minorHAnsi"/>
                <w:sz w:val="22"/>
                <w:szCs w:val="22"/>
              </w:rPr>
            </w:pPr>
            <w:r w:rsidRPr="00675182">
              <w:rPr>
                <w:rFonts w:cstheme="minorHAnsi"/>
                <w:sz w:val="22"/>
                <w:szCs w:val="22"/>
              </w:rPr>
              <w:t>7230 Kaļķaini zāļu purvi</w:t>
            </w:r>
          </w:p>
        </w:tc>
        <w:tc>
          <w:tcPr>
            <w:tcW w:w="608" w:type="pct"/>
            <w:tcBorders>
              <w:top w:val="nil"/>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41968EA8" w14:textId="52AEA4A0" w:rsidR="00EA2CD0" w:rsidRPr="00EA2CD0" w:rsidRDefault="00EA2CD0" w:rsidP="00EA2CD0">
            <w:pPr>
              <w:jc w:val="center"/>
              <w:rPr>
                <w:rFonts w:cstheme="minorHAnsi"/>
                <w:sz w:val="22"/>
                <w:szCs w:val="22"/>
              </w:rPr>
            </w:pPr>
            <w:r w:rsidRPr="00EA2CD0">
              <w:rPr>
                <w:rFonts w:ascii="Calibri" w:hAnsi="Calibri"/>
                <w:sz w:val="22"/>
                <w:szCs w:val="22"/>
              </w:rPr>
              <w:t>0,7</w:t>
            </w:r>
          </w:p>
        </w:tc>
        <w:tc>
          <w:tcPr>
            <w:tcW w:w="396"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bottom"/>
          </w:tcPr>
          <w:p w14:paraId="47EB8F02" w14:textId="246AC82A" w:rsidR="00EA2CD0" w:rsidRPr="00EA2CD0" w:rsidRDefault="00EA2CD0" w:rsidP="00EA2CD0">
            <w:pPr>
              <w:jc w:val="center"/>
              <w:rPr>
                <w:rFonts w:cstheme="minorHAnsi"/>
                <w:sz w:val="22"/>
                <w:szCs w:val="22"/>
              </w:rPr>
            </w:pPr>
            <w:r w:rsidRPr="00EA2CD0">
              <w:rPr>
                <w:rFonts w:ascii="Calibri" w:hAnsi="Calibri"/>
                <w:sz w:val="22"/>
                <w:szCs w:val="22"/>
              </w:rPr>
              <w:t>0,001</w:t>
            </w:r>
          </w:p>
        </w:tc>
        <w:tc>
          <w:tcPr>
            <w:tcW w:w="785" w:type="pct"/>
            <w:tcBorders>
              <w:top w:val="nil"/>
              <w:left w:val="nil"/>
              <w:bottom w:val="single" w:sz="4" w:space="0" w:color="auto"/>
              <w:right w:val="single" w:sz="4" w:space="0" w:color="auto"/>
            </w:tcBorders>
            <w:shd w:val="clear" w:color="auto" w:fill="auto"/>
            <w:vAlign w:val="bottom"/>
          </w:tcPr>
          <w:p w14:paraId="32DA2C13" w14:textId="6AC06F42" w:rsidR="00EA2CD0" w:rsidRPr="00EA2CD0" w:rsidRDefault="00EA2CD0" w:rsidP="00EA2CD0">
            <w:pPr>
              <w:jc w:val="center"/>
              <w:rPr>
                <w:rFonts w:cstheme="minorHAnsi"/>
                <w:sz w:val="22"/>
                <w:szCs w:val="22"/>
              </w:rPr>
            </w:pPr>
            <w:r w:rsidRPr="00EA2CD0">
              <w:rPr>
                <w:rFonts w:ascii="Calibri" w:hAnsi="Calibri"/>
                <w:sz w:val="22"/>
                <w:szCs w:val="22"/>
              </w:rPr>
              <w:t>0,03</w:t>
            </w:r>
          </w:p>
        </w:tc>
        <w:tc>
          <w:tcPr>
            <w:tcW w:w="466"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bottom"/>
          </w:tcPr>
          <w:p w14:paraId="76D9A167" w14:textId="0755EA4A" w:rsidR="00EA2CD0" w:rsidRPr="00EA2CD0" w:rsidRDefault="00EA2CD0" w:rsidP="00EA2CD0">
            <w:pPr>
              <w:jc w:val="center"/>
              <w:rPr>
                <w:rFonts w:cstheme="minorHAnsi"/>
                <w:sz w:val="22"/>
                <w:szCs w:val="22"/>
              </w:rPr>
            </w:pPr>
            <w:r w:rsidRPr="00EA2CD0">
              <w:rPr>
                <w:rFonts w:ascii="Calibri" w:hAnsi="Calibri"/>
                <w:sz w:val="22"/>
                <w:szCs w:val="22"/>
              </w:rPr>
              <w:t>0,03</w:t>
            </w:r>
          </w:p>
        </w:tc>
        <w:tc>
          <w:tcPr>
            <w:tcW w:w="534" w:type="pct"/>
            <w:shd w:val="clear" w:color="auto" w:fill="FF0000"/>
            <w:vAlign w:val="center"/>
          </w:tcPr>
          <w:p w14:paraId="1611D7B8" w14:textId="681F3C41"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458D6584" w14:textId="7808A2EE"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131C75" w:rsidRPr="00675182" w14:paraId="44785201" w14:textId="77777777" w:rsidTr="00513D22">
        <w:trPr>
          <w:trHeight w:val="284"/>
        </w:trPr>
        <w:tc>
          <w:tcPr>
            <w:tcW w:w="5000" w:type="pct"/>
            <w:gridSpan w:val="7"/>
            <w:shd w:val="clear" w:color="auto" w:fill="EAF1DD" w:themeFill="accent3" w:themeFillTint="33"/>
            <w:tcMar>
              <w:top w:w="13" w:type="dxa"/>
              <w:left w:w="13" w:type="dxa"/>
              <w:bottom w:w="0" w:type="dxa"/>
              <w:right w:w="13" w:type="dxa"/>
            </w:tcMar>
            <w:vAlign w:val="bottom"/>
          </w:tcPr>
          <w:p w14:paraId="3ABECAD6" w14:textId="551901A3" w:rsidR="00131C75" w:rsidRPr="00675182" w:rsidRDefault="00131C75" w:rsidP="00131C75">
            <w:pPr>
              <w:rPr>
                <w:rFonts w:cstheme="minorHAnsi"/>
                <w:b/>
                <w:bCs/>
                <w:i/>
                <w:iCs/>
                <w:color w:val="000000"/>
                <w:sz w:val="22"/>
                <w:szCs w:val="22"/>
              </w:rPr>
            </w:pPr>
            <w:r w:rsidRPr="00675182">
              <w:rPr>
                <w:rFonts w:cstheme="minorHAnsi"/>
                <w:b/>
                <w:bCs/>
                <w:i/>
                <w:iCs/>
                <w:color w:val="000000"/>
                <w:sz w:val="22"/>
                <w:szCs w:val="22"/>
              </w:rPr>
              <w:t>Iežu atsegumu un alu biotopi</w:t>
            </w:r>
          </w:p>
        </w:tc>
      </w:tr>
      <w:tr w:rsidR="00EA2CD0" w:rsidRPr="00675182" w14:paraId="3AC400C3" w14:textId="77777777" w:rsidTr="00EA2CD0">
        <w:trPr>
          <w:trHeight w:val="284"/>
        </w:trPr>
        <w:tc>
          <w:tcPr>
            <w:tcW w:w="1678" w:type="pct"/>
            <w:shd w:val="clear" w:color="auto" w:fill="auto"/>
            <w:tcMar>
              <w:top w:w="13" w:type="dxa"/>
              <w:left w:w="13" w:type="dxa"/>
              <w:bottom w:w="0" w:type="dxa"/>
              <w:right w:w="13" w:type="dxa"/>
            </w:tcMar>
            <w:vAlign w:val="bottom"/>
          </w:tcPr>
          <w:p w14:paraId="3DE90113" w14:textId="57D21ED7" w:rsidR="00EA2CD0" w:rsidRPr="00675182" w:rsidRDefault="00EA2CD0" w:rsidP="00EA2CD0">
            <w:pPr>
              <w:rPr>
                <w:rFonts w:cstheme="minorHAnsi"/>
                <w:b/>
                <w:color w:val="000000"/>
                <w:sz w:val="22"/>
                <w:szCs w:val="22"/>
              </w:rPr>
            </w:pPr>
            <w:r w:rsidRPr="00675182">
              <w:rPr>
                <w:rFonts w:cstheme="minorHAnsi"/>
                <w:sz w:val="22"/>
                <w:szCs w:val="22"/>
              </w:rPr>
              <w:t>8210 Karbonātisku pamatiežu atsegumi</w:t>
            </w:r>
          </w:p>
        </w:tc>
        <w:tc>
          <w:tcPr>
            <w:tcW w:w="608" w:type="pct"/>
            <w:tcBorders>
              <w:top w:val="nil"/>
              <w:left w:val="nil"/>
              <w:bottom w:val="nil"/>
              <w:right w:val="nil"/>
            </w:tcBorders>
            <w:shd w:val="clear" w:color="auto" w:fill="auto"/>
            <w:tcMar>
              <w:top w:w="13" w:type="dxa"/>
              <w:left w:w="13" w:type="dxa"/>
              <w:bottom w:w="0" w:type="dxa"/>
              <w:right w:w="13" w:type="dxa"/>
            </w:tcMar>
            <w:vAlign w:val="bottom"/>
          </w:tcPr>
          <w:p w14:paraId="246AE409" w14:textId="1E41B012" w:rsidR="00EA2CD0" w:rsidRPr="00EA2CD0" w:rsidRDefault="00EA2CD0" w:rsidP="00EA2CD0">
            <w:pPr>
              <w:jc w:val="center"/>
              <w:rPr>
                <w:rFonts w:cstheme="minorHAnsi"/>
                <w:color w:val="000000"/>
                <w:sz w:val="22"/>
                <w:szCs w:val="22"/>
              </w:rPr>
            </w:pPr>
            <w:r w:rsidRPr="00EA2CD0">
              <w:rPr>
                <w:rFonts w:cstheme="minorHAnsi"/>
                <w:sz w:val="22"/>
                <w:szCs w:val="22"/>
              </w:rPr>
              <w:t>1,1</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33BAEA69" w14:textId="4A706C00" w:rsidR="00EA2CD0" w:rsidRPr="00EA2CD0" w:rsidRDefault="00EA2CD0" w:rsidP="00EA2CD0">
            <w:pPr>
              <w:jc w:val="center"/>
              <w:rPr>
                <w:rFonts w:cstheme="minorHAnsi"/>
                <w:color w:val="000000"/>
                <w:sz w:val="22"/>
                <w:szCs w:val="22"/>
              </w:rPr>
            </w:pPr>
            <w:r w:rsidRPr="00EA2CD0">
              <w:rPr>
                <w:rFonts w:cstheme="minorHAnsi"/>
                <w:sz w:val="22"/>
                <w:szCs w:val="22"/>
              </w:rPr>
              <w:t>0,001</w:t>
            </w:r>
          </w:p>
        </w:tc>
        <w:tc>
          <w:tcPr>
            <w:tcW w:w="785" w:type="pct"/>
            <w:tcBorders>
              <w:top w:val="single" w:sz="4" w:space="0" w:color="auto"/>
              <w:left w:val="nil"/>
              <w:bottom w:val="single" w:sz="4" w:space="0" w:color="auto"/>
              <w:right w:val="single" w:sz="4" w:space="0" w:color="auto"/>
            </w:tcBorders>
            <w:shd w:val="clear" w:color="auto" w:fill="auto"/>
            <w:vAlign w:val="bottom"/>
          </w:tcPr>
          <w:p w14:paraId="24BFA061" w14:textId="5AAA6653" w:rsidR="00EA2CD0" w:rsidRPr="00EA2CD0" w:rsidRDefault="00EA2CD0" w:rsidP="00EA2CD0">
            <w:pPr>
              <w:jc w:val="center"/>
              <w:rPr>
                <w:rFonts w:cstheme="minorHAnsi"/>
                <w:color w:val="000000"/>
                <w:sz w:val="22"/>
                <w:szCs w:val="22"/>
              </w:rPr>
            </w:pPr>
            <w:r w:rsidRPr="00EA2CD0">
              <w:rPr>
                <w:rFonts w:cstheme="minorHAnsi"/>
                <w:sz w:val="22"/>
                <w:szCs w:val="22"/>
              </w:rPr>
              <w:t>54,82</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bottom"/>
          </w:tcPr>
          <w:p w14:paraId="667861BB" w14:textId="4A8FE59C" w:rsidR="00EA2CD0" w:rsidRPr="00EA2CD0" w:rsidRDefault="00EA2CD0" w:rsidP="00EA2CD0">
            <w:pPr>
              <w:jc w:val="center"/>
              <w:rPr>
                <w:rFonts w:cstheme="minorHAnsi"/>
                <w:color w:val="000000"/>
                <w:sz w:val="22"/>
                <w:szCs w:val="22"/>
              </w:rPr>
            </w:pPr>
            <w:r w:rsidRPr="00EA2CD0">
              <w:rPr>
                <w:rFonts w:cstheme="minorHAnsi"/>
                <w:sz w:val="22"/>
                <w:szCs w:val="22"/>
              </w:rPr>
              <w:t>36,55</w:t>
            </w:r>
          </w:p>
        </w:tc>
        <w:tc>
          <w:tcPr>
            <w:tcW w:w="534" w:type="pct"/>
            <w:shd w:val="clear" w:color="auto" w:fill="92D050"/>
            <w:vAlign w:val="center"/>
          </w:tcPr>
          <w:p w14:paraId="334A417D" w14:textId="09BFF5DD" w:rsidR="00EA2CD0" w:rsidRPr="00675182" w:rsidRDefault="00EA2CD0" w:rsidP="00EA2CD0">
            <w:pPr>
              <w:jc w:val="center"/>
              <w:rPr>
                <w:rFonts w:cstheme="minorHAnsi"/>
                <w:color w:val="000000"/>
                <w:sz w:val="22"/>
                <w:szCs w:val="22"/>
              </w:rPr>
            </w:pPr>
            <w:r w:rsidRPr="00675182">
              <w:rPr>
                <w:rFonts w:cstheme="minorHAnsi"/>
                <w:color w:val="000000"/>
                <w:sz w:val="22"/>
                <w:szCs w:val="22"/>
              </w:rPr>
              <w:t>FV</w:t>
            </w:r>
          </w:p>
        </w:tc>
        <w:tc>
          <w:tcPr>
            <w:tcW w:w="533" w:type="pct"/>
            <w:shd w:val="clear" w:color="auto" w:fill="auto"/>
            <w:vAlign w:val="center"/>
          </w:tcPr>
          <w:p w14:paraId="42BF2A3B" w14:textId="2447D742"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4878DEC7" w14:textId="77777777" w:rsidTr="001E08CB">
        <w:trPr>
          <w:trHeight w:val="284"/>
        </w:trPr>
        <w:tc>
          <w:tcPr>
            <w:tcW w:w="1678" w:type="pct"/>
            <w:tcBorders>
              <w:right w:val="single" w:sz="4" w:space="0" w:color="auto"/>
            </w:tcBorders>
            <w:shd w:val="clear" w:color="auto" w:fill="auto"/>
            <w:tcMar>
              <w:top w:w="13" w:type="dxa"/>
              <w:left w:w="13" w:type="dxa"/>
              <w:bottom w:w="0" w:type="dxa"/>
              <w:right w:w="13" w:type="dxa"/>
            </w:tcMar>
            <w:vAlign w:val="bottom"/>
          </w:tcPr>
          <w:p w14:paraId="6D4B736D" w14:textId="7319CCC0" w:rsidR="00EA2CD0" w:rsidRPr="00675182" w:rsidRDefault="00EA2CD0" w:rsidP="00EA2CD0">
            <w:pPr>
              <w:rPr>
                <w:rFonts w:cstheme="minorHAnsi"/>
                <w:b/>
                <w:color w:val="000000"/>
                <w:sz w:val="22"/>
                <w:szCs w:val="22"/>
              </w:rPr>
            </w:pPr>
            <w:r w:rsidRPr="00675182">
              <w:rPr>
                <w:rFonts w:cstheme="minorHAnsi"/>
                <w:sz w:val="22"/>
                <w:szCs w:val="22"/>
              </w:rPr>
              <w:t>8220 Smilšakmens atsegumi</w:t>
            </w:r>
          </w:p>
        </w:tc>
        <w:tc>
          <w:tcPr>
            <w:tcW w:w="608"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201CFBA7" w14:textId="7B0265F9" w:rsidR="00EA2CD0" w:rsidRPr="00EA2CD0" w:rsidRDefault="00EA2CD0" w:rsidP="00EA2CD0">
            <w:pPr>
              <w:jc w:val="center"/>
              <w:rPr>
                <w:rFonts w:cstheme="minorHAnsi"/>
                <w:color w:val="000000"/>
                <w:sz w:val="22"/>
                <w:szCs w:val="22"/>
              </w:rPr>
            </w:pPr>
            <w:r w:rsidRPr="00EA2CD0">
              <w:rPr>
                <w:rFonts w:cstheme="minorHAnsi"/>
                <w:sz w:val="22"/>
                <w:szCs w:val="22"/>
              </w:rPr>
              <w:t>34,6</w:t>
            </w:r>
          </w:p>
        </w:tc>
        <w:tc>
          <w:tcPr>
            <w:tcW w:w="396"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bottom"/>
          </w:tcPr>
          <w:p w14:paraId="12EF034D" w14:textId="2780706C" w:rsidR="00EA2CD0" w:rsidRPr="00EA2CD0" w:rsidRDefault="00EA2CD0" w:rsidP="00EA2CD0">
            <w:pPr>
              <w:jc w:val="center"/>
              <w:rPr>
                <w:rFonts w:cstheme="minorHAnsi"/>
                <w:color w:val="000000"/>
                <w:sz w:val="22"/>
                <w:szCs w:val="22"/>
              </w:rPr>
            </w:pPr>
            <w:r w:rsidRPr="00EA2CD0">
              <w:rPr>
                <w:rFonts w:cstheme="minorHAnsi"/>
                <w:sz w:val="22"/>
                <w:szCs w:val="22"/>
              </w:rPr>
              <w:t>0,04</w:t>
            </w:r>
          </w:p>
        </w:tc>
        <w:tc>
          <w:tcPr>
            <w:tcW w:w="785" w:type="pct"/>
            <w:tcBorders>
              <w:top w:val="nil"/>
              <w:left w:val="nil"/>
              <w:bottom w:val="single" w:sz="4" w:space="0" w:color="auto"/>
              <w:right w:val="single" w:sz="4" w:space="0" w:color="auto"/>
            </w:tcBorders>
            <w:shd w:val="clear" w:color="auto" w:fill="auto"/>
            <w:vAlign w:val="bottom"/>
          </w:tcPr>
          <w:p w14:paraId="765E4BFA" w14:textId="29F88565" w:rsidR="00EA2CD0" w:rsidRPr="00EA2CD0" w:rsidRDefault="00EA2CD0" w:rsidP="00EA2CD0">
            <w:pPr>
              <w:jc w:val="center"/>
              <w:rPr>
                <w:rFonts w:cstheme="minorHAnsi"/>
                <w:color w:val="000000"/>
                <w:sz w:val="22"/>
                <w:szCs w:val="22"/>
              </w:rPr>
            </w:pPr>
            <w:r w:rsidRPr="00EA2CD0">
              <w:rPr>
                <w:rFonts w:cstheme="minorHAnsi"/>
                <w:sz w:val="22"/>
                <w:szCs w:val="22"/>
              </w:rPr>
              <w:t>346,48</w:t>
            </w:r>
          </w:p>
        </w:tc>
        <w:tc>
          <w:tcPr>
            <w:tcW w:w="466"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bottom"/>
          </w:tcPr>
          <w:p w14:paraId="1A95C011" w14:textId="43FF97D9" w:rsidR="00EA2CD0" w:rsidRPr="00EA2CD0" w:rsidRDefault="00EA2CD0" w:rsidP="00EA2CD0">
            <w:pPr>
              <w:jc w:val="center"/>
              <w:rPr>
                <w:rFonts w:cstheme="minorHAnsi"/>
                <w:color w:val="000000"/>
                <w:sz w:val="22"/>
                <w:szCs w:val="22"/>
              </w:rPr>
            </w:pPr>
            <w:r w:rsidRPr="00EA2CD0">
              <w:rPr>
                <w:rFonts w:cstheme="minorHAnsi"/>
                <w:sz w:val="22"/>
                <w:szCs w:val="22"/>
              </w:rPr>
              <w:t>230,99</w:t>
            </w:r>
          </w:p>
        </w:tc>
        <w:tc>
          <w:tcPr>
            <w:tcW w:w="534" w:type="pct"/>
            <w:tcBorders>
              <w:left w:val="single" w:sz="4" w:space="0" w:color="auto"/>
            </w:tcBorders>
            <w:shd w:val="clear" w:color="auto" w:fill="92D050"/>
            <w:vAlign w:val="center"/>
          </w:tcPr>
          <w:p w14:paraId="7DF60498" w14:textId="518D66C2" w:rsidR="00EA2CD0" w:rsidRPr="00675182" w:rsidRDefault="00EA2CD0" w:rsidP="00EA2CD0">
            <w:pPr>
              <w:jc w:val="center"/>
              <w:rPr>
                <w:rFonts w:cstheme="minorHAnsi"/>
                <w:color w:val="000000"/>
                <w:sz w:val="22"/>
                <w:szCs w:val="22"/>
              </w:rPr>
            </w:pPr>
            <w:r w:rsidRPr="00675182">
              <w:rPr>
                <w:rFonts w:cstheme="minorHAnsi"/>
                <w:color w:val="000000"/>
                <w:sz w:val="22"/>
                <w:szCs w:val="22"/>
              </w:rPr>
              <w:t>FV</w:t>
            </w:r>
          </w:p>
        </w:tc>
        <w:tc>
          <w:tcPr>
            <w:tcW w:w="533" w:type="pct"/>
            <w:shd w:val="clear" w:color="auto" w:fill="auto"/>
            <w:vAlign w:val="center"/>
          </w:tcPr>
          <w:p w14:paraId="621B32CD" w14:textId="38AC0328"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720E8C4F" w14:textId="77777777" w:rsidTr="001E08CB">
        <w:trPr>
          <w:trHeight w:val="284"/>
        </w:trPr>
        <w:tc>
          <w:tcPr>
            <w:tcW w:w="1678" w:type="pct"/>
            <w:shd w:val="clear" w:color="auto" w:fill="auto"/>
            <w:tcMar>
              <w:top w:w="13" w:type="dxa"/>
              <w:left w:w="13" w:type="dxa"/>
              <w:bottom w:w="0" w:type="dxa"/>
              <w:right w:w="13" w:type="dxa"/>
            </w:tcMar>
            <w:vAlign w:val="bottom"/>
          </w:tcPr>
          <w:p w14:paraId="5D3259FF" w14:textId="3A01F7D6" w:rsidR="00EA2CD0" w:rsidRPr="00675182" w:rsidRDefault="00EA2CD0" w:rsidP="00EA2CD0">
            <w:pPr>
              <w:rPr>
                <w:rFonts w:cstheme="minorHAnsi"/>
                <w:b/>
                <w:color w:val="000000"/>
                <w:sz w:val="22"/>
                <w:szCs w:val="22"/>
              </w:rPr>
            </w:pPr>
            <w:r w:rsidRPr="00675182">
              <w:rPr>
                <w:rFonts w:cstheme="minorHAnsi"/>
                <w:sz w:val="22"/>
                <w:szCs w:val="22"/>
              </w:rPr>
              <w:t>8310 Netraucētas alas</w:t>
            </w:r>
          </w:p>
        </w:tc>
        <w:tc>
          <w:tcPr>
            <w:tcW w:w="608" w:type="pct"/>
            <w:tcBorders>
              <w:top w:val="nil"/>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bottom"/>
          </w:tcPr>
          <w:p w14:paraId="545F1BEB" w14:textId="74627CCD" w:rsidR="00EA2CD0" w:rsidRPr="00EA2CD0" w:rsidRDefault="00EA2CD0" w:rsidP="00EA2CD0">
            <w:pPr>
              <w:jc w:val="center"/>
              <w:rPr>
                <w:rFonts w:cstheme="minorHAnsi"/>
                <w:color w:val="000000"/>
                <w:sz w:val="22"/>
                <w:szCs w:val="22"/>
              </w:rPr>
            </w:pPr>
            <w:r w:rsidRPr="00EA2CD0">
              <w:rPr>
                <w:rFonts w:cstheme="minorHAnsi"/>
                <w:sz w:val="22"/>
                <w:szCs w:val="22"/>
              </w:rPr>
              <w:t>0,7</w:t>
            </w:r>
          </w:p>
        </w:tc>
        <w:tc>
          <w:tcPr>
            <w:tcW w:w="396"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bottom"/>
          </w:tcPr>
          <w:p w14:paraId="5FBEDC03" w14:textId="1223D36E" w:rsidR="00EA2CD0" w:rsidRPr="00EA2CD0" w:rsidRDefault="00EA2CD0" w:rsidP="00EA2CD0">
            <w:pPr>
              <w:jc w:val="center"/>
              <w:rPr>
                <w:rFonts w:cstheme="minorHAnsi"/>
                <w:color w:val="000000"/>
                <w:sz w:val="22"/>
                <w:szCs w:val="22"/>
              </w:rPr>
            </w:pPr>
            <w:r w:rsidRPr="00EA2CD0">
              <w:rPr>
                <w:rFonts w:cstheme="minorHAnsi"/>
                <w:sz w:val="22"/>
                <w:szCs w:val="22"/>
              </w:rPr>
              <w:t>0,001</w:t>
            </w:r>
          </w:p>
        </w:tc>
        <w:tc>
          <w:tcPr>
            <w:tcW w:w="785" w:type="pct"/>
            <w:tcBorders>
              <w:top w:val="nil"/>
              <w:left w:val="nil"/>
              <w:bottom w:val="single" w:sz="4" w:space="0" w:color="auto"/>
              <w:right w:val="single" w:sz="4" w:space="0" w:color="auto"/>
            </w:tcBorders>
            <w:shd w:val="clear" w:color="auto" w:fill="auto"/>
            <w:vAlign w:val="bottom"/>
          </w:tcPr>
          <w:p w14:paraId="380B5088" w14:textId="661B150F" w:rsidR="00EA2CD0" w:rsidRPr="00EA2CD0" w:rsidRDefault="00EA2CD0" w:rsidP="00EA2CD0">
            <w:pPr>
              <w:jc w:val="center"/>
              <w:rPr>
                <w:rFonts w:cstheme="minorHAnsi"/>
                <w:color w:val="000000"/>
                <w:sz w:val="22"/>
                <w:szCs w:val="22"/>
              </w:rPr>
            </w:pPr>
            <w:r w:rsidRPr="00EA2CD0">
              <w:rPr>
                <w:rFonts w:cstheme="minorHAnsi"/>
                <w:sz w:val="22"/>
                <w:szCs w:val="22"/>
              </w:rPr>
              <w:t>122,91</w:t>
            </w:r>
          </w:p>
        </w:tc>
        <w:tc>
          <w:tcPr>
            <w:tcW w:w="466" w:type="pct"/>
            <w:tcBorders>
              <w:top w:val="nil"/>
              <w:left w:val="nil"/>
              <w:bottom w:val="single" w:sz="4" w:space="0" w:color="auto"/>
              <w:right w:val="single" w:sz="4" w:space="0" w:color="auto"/>
            </w:tcBorders>
            <w:shd w:val="clear" w:color="auto" w:fill="auto"/>
            <w:tcMar>
              <w:top w:w="13" w:type="dxa"/>
              <w:left w:w="13" w:type="dxa"/>
              <w:bottom w:w="0" w:type="dxa"/>
              <w:right w:w="13" w:type="dxa"/>
            </w:tcMar>
            <w:vAlign w:val="bottom"/>
          </w:tcPr>
          <w:p w14:paraId="251D4B66" w14:textId="05D5BF01" w:rsidR="00EA2CD0" w:rsidRPr="00EA2CD0" w:rsidRDefault="00EA2CD0" w:rsidP="00EA2CD0">
            <w:pPr>
              <w:jc w:val="center"/>
              <w:rPr>
                <w:rFonts w:cstheme="minorHAnsi"/>
                <w:color w:val="000000"/>
                <w:sz w:val="22"/>
                <w:szCs w:val="22"/>
              </w:rPr>
            </w:pPr>
            <w:r w:rsidRPr="00EA2CD0">
              <w:rPr>
                <w:rFonts w:cstheme="minorHAnsi"/>
                <w:sz w:val="22"/>
                <w:szCs w:val="22"/>
              </w:rPr>
              <w:t>114,72</w:t>
            </w:r>
          </w:p>
        </w:tc>
        <w:tc>
          <w:tcPr>
            <w:tcW w:w="534" w:type="pct"/>
            <w:shd w:val="clear" w:color="auto" w:fill="92D050"/>
            <w:vAlign w:val="center"/>
          </w:tcPr>
          <w:p w14:paraId="6FE2414C" w14:textId="20359009" w:rsidR="00EA2CD0" w:rsidRPr="00675182" w:rsidRDefault="00EA2CD0" w:rsidP="00EA2CD0">
            <w:pPr>
              <w:jc w:val="center"/>
              <w:rPr>
                <w:rFonts w:cstheme="minorHAnsi"/>
                <w:color w:val="000000"/>
                <w:sz w:val="22"/>
                <w:szCs w:val="22"/>
              </w:rPr>
            </w:pPr>
            <w:r w:rsidRPr="00675182">
              <w:rPr>
                <w:rFonts w:cstheme="minorHAnsi"/>
                <w:color w:val="000000"/>
                <w:sz w:val="22"/>
                <w:szCs w:val="22"/>
              </w:rPr>
              <w:t>FV</w:t>
            </w:r>
          </w:p>
        </w:tc>
        <w:tc>
          <w:tcPr>
            <w:tcW w:w="533" w:type="pct"/>
            <w:shd w:val="clear" w:color="auto" w:fill="auto"/>
            <w:vAlign w:val="center"/>
          </w:tcPr>
          <w:p w14:paraId="55EFF81E" w14:textId="41E37446"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A24596" w:rsidRPr="00675182" w14:paraId="70242342" w14:textId="77777777" w:rsidTr="00513D22">
        <w:trPr>
          <w:trHeight w:val="284"/>
        </w:trPr>
        <w:tc>
          <w:tcPr>
            <w:tcW w:w="5000" w:type="pct"/>
            <w:gridSpan w:val="7"/>
            <w:shd w:val="clear" w:color="auto" w:fill="EAF1DD" w:themeFill="accent3" w:themeFillTint="33"/>
            <w:tcMar>
              <w:top w:w="13" w:type="dxa"/>
              <w:left w:w="13" w:type="dxa"/>
              <w:bottom w:w="0" w:type="dxa"/>
              <w:right w:w="13" w:type="dxa"/>
            </w:tcMar>
            <w:vAlign w:val="bottom"/>
          </w:tcPr>
          <w:p w14:paraId="3A79DD1B" w14:textId="13C0011D" w:rsidR="00A24596" w:rsidRPr="00675182" w:rsidRDefault="00A24596" w:rsidP="00A24596">
            <w:pPr>
              <w:rPr>
                <w:rFonts w:cstheme="minorHAnsi"/>
                <w:b/>
                <w:bCs/>
                <w:i/>
                <w:iCs/>
                <w:color w:val="000000"/>
                <w:sz w:val="22"/>
                <w:szCs w:val="22"/>
              </w:rPr>
            </w:pPr>
            <w:r w:rsidRPr="00675182">
              <w:rPr>
                <w:rFonts w:cstheme="minorHAnsi"/>
                <w:b/>
                <w:bCs/>
                <w:i/>
                <w:iCs/>
                <w:sz w:val="22"/>
                <w:szCs w:val="22"/>
              </w:rPr>
              <w:t>Mežu biotopi</w:t>
            </w:r>
          </w:p>
        </w:tc>
      </w:tr>
      <w:tr w:rsidR="00EA2CD0" w:rsidRPr="00675182" w14:paraId="0D9DB5F1" w14:textId="77777777" w:rsidTr="00EA2CD0">
        <w:trPr>
          <w:trHeight w:val="284"/>
        </w:trPr>
        <w:tc>
          <w:tcPr>
            <w:tcW w:w="1678" w:type="pct"/>
            <w:shd w:val="clear" w:color="auto" w:fill="auto"/>
            <w:tcMar>
              <w:top w:w="13" w:type="dxa"/>
              <w:left w:w="13" w:type="dxa"/>
              <w:bottom w:w="0" w:type="dxa"/>
              <w:right w:w="13" w:type="dxa"/>
            </w:tcMar>
            <w:vAlign w:val="bottom"/>
          </w:tcPr>
          <w:p w14:paraId="0F0FE1C3" w14:textId="4DF07473" w:rsidR="00EA2CD0" w:rsidRPr="00675182" w:rsidRDefault="00EA2CD0" w:rsidP="00EA2CD0">
            <w:pPr>
              <w:rPr>
                <w:rFonts w:cstheme="minorHAnsi"/>
                <w:b/>
                <w:color w:val="000000"/>
                <w:sz w:val="22"/>
                <w:szCs w:val="22"/>
              </w:rPr>
            </w:pPr>
            <w:r w:rsidRPr="00675182">
              <w:rPr>
                <w:rFonts w:cstheme="minorHAnsi"/>
                <w:sz w:val="22"/>
                <w:szCs w:val="22"/>
              </w:rPr>
              <w:t>9010* Veci vai dabiski boreāli meži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tcPr>
          <w:p w14:paraId="1E85D360" w14:textId="190EAC9C" w:rsidR="00EA2CD0" w:rsidRPr="00EA2CD0" w:rsidRDefault="00EA2CD0" w:rsidP="00EA2CD0">
            <w:pPr>
              <w:jc w:val="center"/>
              <w:rPr>
                <w:rFonts w:cstheme="minorHAnsi"/>
                <w:sz w:val="22"/>
                <w:szCs w:val="22"/>
              </w:rPr>
            </w:pPr>
            <w:r w:rsidRPr="00EA2CD0">
              <w:rPr>
                <w:rFonts w:cstheme="minorHAnsi"/>
                <w:sz w:val="22"/>
                <w:szCs w:val="22"/>
              </w:rPr>
              <w:t>6766,9</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0F0ACCF0" w14:textId="2A13B78B" w:rsidR="00EA2CD0" w:rsidRPr="00EA2CD0" w:rsidRDefault="00EA2CD0" w:rsidP="00EA2CD0">
            <w:pPr>
              <w:jc w:val="center"/>
              <w:rPr>
                <w:rFonts w:cstheme="minorHAnsi"/>
                <w:color w:val="000000"/>
                <w:sz w:val="22"/>
                <w:szCs w:val="22"/>
              </w:rPr>
            </w:pPr>
            <w:r w:rsidRPr="00EA2CD0">
              <w:rPr>
                <w:rFonts w:cstheme="minorHAnsi"/>
                <w:sz w:val="22"/>
                <w:szCs w:val="22"/>
              </w:rPr>
              <w:t>7,37</w:t>
            </w:r>
          </w:p>
        </w:tc>
        <w:tc>
          <w:tcPr>
            <w:tcW w:w="785" w:type="pct"/>
            <w:tcBorders>
              <w:top w:val="single" w:sz="4" w:space="0" w:color="auto"/>
              <w:left w:val="nil"/>
              <w:bottom w:val="single" w:sz="4" w:space="0" w:color="auto"/>
              <w:right w:val="single" w:sz="4" w:space="0" w:color="auto"/>
            </w:tcBorders>
            <w:shd w:val="clear" w:color="auto" w:fill="auto"/>
            <w:vAlign w:val="center"/>
          </w:tcPr>
          <w:p w14:paraId="2C64DC78" w14:textId="15836825" w:rsidR="00EA2CD0" w:rsidRPr="00EA2CD0" w:rsidRDefault="00EA2CD0" w:rsidP="00EA2CD0">
            <w:pPr>
              <w:jc w:val="center"/>
              <w:rPr>
                <w:rFonts w:cstheme="minorHAnsi"/>
                <w:color w:val="000000"/>
                <w:sz w:val="22"/>
                <w:szCs w:val="22"/>
              </w:rPr>
            </w:pPr>
            <w:r w:rsidRPr="00EA2CD0">
              <w:rPr>
                <w:rFonts w:cstheme="minorHAnsi"/>
                <w:sz w:val="22"/>
                <w:szCs w:val="22"/>
              </w:rPr>
              <w:t>29,30</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346AB3CC" w14:textId="24D9C3FA" w:rsidR="00EA2CD0" w:rsidRPr="00EA2CD0" w:rsidRDefault="00EA2CD0" w:rsidP="00EA2CD0">
            <w:pPr>
              <w:jc w:val="center"/>
              <w:rPr>
                <w:rFonts w:cstheme="minorHAnsi"/>
                <w:color w:val="000000"/>
                <w:sz w:val="22"/>
                <w:szCs w:val="22"/>
              </w:rPr>
            </w:pPr>
            <w:r w:rsidRPr="00EA2CD0">
              <w:rPr>
                <w:rFonts w:cstheme="minorHAnsi"/>
                <w:sz w:val="22"/>
                <w:szCs w:val="22"/>
              </w:rPr>
              <w:t>9,02</w:t>
            </w:r>
          </w:p>
        </w:tc>
        <w:tc>
          <w:tcPr>
            <w:tcW w:w="534" w:type="pct"/>
            <w:shd w:val="clear" w:color="000000" w:fill="FF0000"/>
            <w:vAlign w:val="center"/>
          </w:tcPr>
          <w:p w14:paraId="7C806888" w14:textId="3110F766"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653717EC" w14:textId="58A06CA9"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EA2CD0" w:rsidRPr="00675182" w14:paraId="3056277A" w14:textId="77777777" w:rsidTr="00EA2CD0">
        <w:trPr>
          <w:trHeight w:val="284"/>
        </w:trPr>
        <w:tc>
          <w:tcPr>
            <w:tcW w:w="1678" w:type="pct"/>
            <w:shd w:val="clear" w:color="auto" w:fill="auto"/>
            <w:tcMar>
              <w:top w:w="13" w:type="dxa"/>
              <w:left w:w="13" w:type="dxa"/>
              <w:bottom w:w="0" w:type="dxa"/>
              <w:right w:w="13" w:type="dxa"/>
            </w:tcMar>
            <w:vAlign w:val="bottom"/>
          </w:tcPr>
          <w:p w14:paraId="3269B9F4" w14:textId="75A21D10" w:rsidR="00EA2CD0" w:rsidRPr="00675182" w:rsidRDefault="00EA2CD0" w:rsidP="00EA2CD0">
            <w:pPr>
              <w:rPr>
                <w:rFonts w:cstheme="minorHAnsi"/>
                <w:b/>
                <w:color w:val="000000"/>
                <w:sz w:val="22"/>
                <w:szCs w:val="22"/>
              </w:rPr>
            </w:pPr>
            <w:r w:rsidRPr="00675182">
              <w:rPr>
                <w:rFonts w:cstheme="minorHAnsi"/>
                <w:sz w:val="22"/>
                <w:szCs w:val="22"/>
              </w:rPr>
              <w:t>9020* Veci jaukti platlapju meži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tcPr>
          <w:p w14:paraId="78F91F49" w14:textId="23B761A8" w:rsidR="00EA2CD0" w:rsidRPr="00EA2CD0" w:rsidRDefault="00EA2CD0" w:rsidP="00EA2CD0">
            <w:pPr>
              <w:jc w:val="center"/>
              <w:rPr>
                <w:rFonts w:cstheme="minorHAnsi"/>
                <w:sz w:val="22"/>
                <w:szCs w:val="22"/>
              </w:rPr>
            </w:pPr>
            <w:r w:rsidRPr="00EA2CD0">
              <w:rPr>
                <w:rFonts w:cstheme="minorHAnsi"/>
                <w:sz w:val="22"/>
                <w:szCs w:val="22"/>
              </w:rPr>
              <w:t>125,7</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08323B12" w14:textId="672A6E53" w:rsidR="00EA2CD0" w:rsidRPr="00EA2CD0" w:rsidRDefault="00EA2CD0" w:rsidP="00EA2CD0">
            <w:pPr>
              <w:jc w:val="center"/>
              <w:rPr>
                <w:rFonts w:cstheme="minorHAnsi"/>
                <w:color w:val="000000"/>
                <w:sz w:val="22"/>
                <w:szCs w:val="22"/>
              </w:rPr>
            </w:pPr>
            <w:r w:rsidRPr="00EA2CD0">
              <w:rPr>
                <w:rFonts w:cstheme="minorHAnsi"/>
                <w:sz w:val="22"/>
                <w:szCs w:val="22"/>
              </w:rPr>
              <w:t>0,14</w:t>
            </w:r>
          </w:p>
        </w:tc>
        <w:tc>
          <w:tcPr>
            <w:tcW w:w="785" w:type="pct"/>
            <w:tcBorders>
              <w:top w:val="single" w:sz="4" w:space="0" w:color="auto"/>
              <w:left w:val="nil"/>
              <w:bottom w:val="single" w:sz="4" w:space="0" w:color="auto"/>
              <w:right w:val="single" w:sz="4" w:space="0" w:color="auto"/>
            </w:tcBorders>
            <w:shd w:val="clear" w:color="auto" w:fill="auto"/>
            <w:vAlign w:val="center"/>
          </w:tcPr>
          <w:p w14:paraId="0A10C549" w14:textId="1A6B3D30" w:rsidR="00EA2CD0" w:rsidRPr="00EA2CD0" w:rsidRDefault="00EA2CD0" w:rsidP="00EA2CD0">
            <w:pPr>
              <w:jc w:val="center"/>
              <w:rPr>
                <w:rFonts w:cstheme="minorHAnsi"/>
                <w:color w:val="000000"/>
                <w:sz w:val="22"/>
                <w:szCs w:val="22"/>
              </w:rPr>
            </w:pPr>
            <w:r w:rsidRPr="00EA2CD0">
              <w:rPr>
                <w:rFonts w:cstheme="minorHAnsi"/>
                <w:sz w:val="22"/>
                <w:szCs w:val="22"/>
              </w:rPr>
              <w:t>3,90</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406D2749" w14:textId="559CB7BA" w:rsidR="00EA2CD0" w:rsidRPr="00EA2CD0" w:rsidRDefault="00EA2CD0" w:rsidP="00EA2CD0">
            <w:pPr>
              <w:jc w:val="center"/>
              <w:rPr>
                <w:rFonts w:cstheme="minorHAnsi"/>
                <w:color w:val="000000"/>
                <w:sz w:val="22"/>
                <w:szCs w:val="22"/>
              </w:rPr>
            </w:pPr>
            <w:r w:rsidRPr="00EA2CD0">
              <w:rPr>
                <w:rFonts w:cstheme="minorHAnsi"/>
                <w:sz w:val="22"/>
                <w:szCs w:val="22"/>
              </w:rPr>
              <w:t>0,87</w:t>
            </w:r>
          </w:p>
        </w:tc>
        <w:tc>
          <w:tcPr>
            <w:tcW w:w="534" w:type="pct"/>
            <w:shd w:val="clear" w:color="000000" w:fill="FF0000"/>
            <w:vAlign w:val="center"/>
          </w:tcPr>
          <w:p w14:paraId="3688E3FA" w14:textId="25A816A4"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3C9EBA19" w14:textId="405AE60B"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7C80A61A" w14:textId="77777777" w:rsidTr="00EA2CD0">
        <w:trPr>
          <w:trHeight w:val="284"/>
        </w:trPr>
        <w:tc>
          <w:tcPr>
            <w:tcW w:w="1678" w:type="pct"/>
            <w:shd w:val="clear" w:color="auto" w:fill="auto"/>
            <w:tcMar>
              <w:top w:w="13" w:type="dxa"/>
              <w:left w:w="13" w:type="dxa"/>
              <w:bottom w:w="0" w:type="dxa"/>
              <w:right w:w="13" w:type="dxa"/>
            </w:tcMar>
            <w:vAlign w:val="bottom"/>
          </w:tcPr>
          <w:p w14:paraId="1DA91AF0" w14:textId="14F32965" w:rsidR="00EA2CD0" w:rsidRPr="00675182" w:rsidRDefault="00EA2CD0" w:rsidP="00EA2CD0">
            <w:pPr>
              <w:rPr>
                <w:rFonts w:cstheme="minorHAnsi"/>
                <w:b/>
                <w:color w:val="000000"/>
                <w:sz w:val="22"/>
                <w:szCs w:val="22"/>
              </w:rPr>
            </w:pPr>
            <w:r w:rsidRPr="00675182">
              <w:rPr>
                <w:rFonts w:cstheme="minorHAnsi"/>
                <w:sz w:val="22"/>
                <w:szCs w:val="22"/>
              </w:rPr>
              <w:t>9050 Lakstaugiem bagāti egļu meži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tcPr>
          <w:p w14:paraId="3D40F4D8" w14:textId="793C6989" w:rsidR="00EA2CD0" w:rsidRPr="00EA2CD0" w:rsidRDefault="00EA2CD0" w:rsidP="00EA2CD0">
            <w:pPr>
              <w:jc w:val="center"/>
              <w:rPr>
                <w:rFonts w:cstheme="minorHAnsi"/>
                <w:sz w:val="22"/>
                <w:szCs w:val="22"/>
              </w:rPr>
            </w:pPr>
            <w:r w:rsidRPr="00EA2CD0">
              <w:rPr>
                <w:rFonts w:cstheme="minorHAnsi"/>
                <w:sz w:val="22"/>
                <w:szCs w:val="22"/>
              </w:rPr>
              <w:t>1375,1</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7FFDD64F" w14:textId="120A1673" w:rsidR="00EA2CD0" w:rsidRPr="00EA2CD0" w:rsidRDefault="00EA2CD0" w:rsidP="00EA2CD0">
            <w:pPr>
              <w:jc w:val="center"/>
              <w:rPr>
                <w:rFonts w:cstheme="minorHAnsi"/>
                <w:color w:val="000000"/>
                <w:sz w:val="22"/>
                <w:szCs w:val="22"/>
              </w:rPr>
            </w:pPr>
            <w:r w:rsidRPr="00EA2CD0">
              <w:rPr>
                <w:rFonts w:cstheme="minorHAnsi"/>
                <w:sz w:val="22"/>
                <w:szCs w:val="22"/>
              </w:rPr>
              <w:t>1,50</w:t>
            </w:r>
          </w:p>
        </w:tc>
        <w:tc>
          <w:tcPr>
            <w:tcW w:w="785" w:type="pct"/>
            <w:tcBorders>
              <w:top w:val="single" w:sz="4" w:space="0" w:color="auto"/>
              <w:left w:val="nil"/>
              <w:bottom w:val="single" w:sz="4" w:space="0" w:color="auto"/>
              <w:right w:val="single" w:sz="4" w:space="0" w:color="auto"/>
            </w:tcBorders>
            <w:shd w:val="clear" w:color="auto" w:fill="auto"/>
            <w:vAlign w:val="center"/>
          </w:tcPr>
          <w:p w14:paraId="48139EB8" w14:textId="6B045A85" w:rsidR="00EA2CD0" w:rsidRPr="00EA2CD0" w:rsidRDefault="00EA2CD0" w:rsidP="00EA2CD0">
            <w:pPr>
              <w:jc w:val="center"/>
              <w:rPr>
                <w:rFonts w:cstheme="minorHAnsi"/>
                <w:color w:val="000000"/>
                <w:sz w:val="22"/>
                <w:szCs w:val="22"/>
              </w:rPr>
            </w:pPr>
            <w:r w:rsidRPr="00EA2CD0">
              <w:rPr>
                <w:rFonts w:cstheme="minorHAnsi"/>
                <w:sz w:val="22"/>
                <w:szCs w:val="22"/>
              </w:rPr>
              <w:t>50,09</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33BCC2CD" w14:textId="374E7948" w:rsidR="00EA2CD0" w:rsidRPr="00EA2CD0" w:rsidRDefault="00EA2CD0" w:rsidP="00EA2CD0">
            <w:pPr>
              <w:jc w:val="center"/>
              <w:rPr>
                <w:rFonts w:cstheme="minorHAnsi"/>
                <w:color w:val="000000"/>
                <w:sz w:val="22"/>
                <w:szCs w:val="22"/>
              </w:rPr>
            </w:pPr>
            <w:r w:rsidRPr="00EA2CD0">
              <w:rPr>
                <w:rFonts w:cstheme="minorHAnsi"/>
                <w:sz w:val="22"/>
                <w:szCs w:val="22"/>
              </w:rPr>
              <w:t>11,85</w:t>
            </w:r>
          </w:p>
        </w:tc>
        <w:tc>
          <w:tcPr>
            <w:tcW w:w="534" w:type="pct"/>
            <w:shd w:val="clear" w:color="000000" w:fill="FF0000"/>
            <w:vAlign w:val="center"/>
          </w:tcPr>
          <w:p w14:paraId="6B89F0A9" w14:textId="698EBC8B"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25E27A75" w14:textId="5027A291"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EA2CD0" w:rsidRPr="00675182" w14:paraId="1B26CFAD" w14:textId="77777777" w:rsidTr="00EA2CD0">
        <w:trPr>
          <w:trHeight w:val="284"/>
        </w:trPr>
        <w:tc>
          <w:tcPr>
            <w:tcW w:w="1678" w:type="pct"/>
            <w:shd w:val="clear" w:color="auto" w:fill="auto"/>
            <w:tcMar>
              <w:top w:w="13" w:type="dxa"/>
              <w:left w:w="13" w:type="dxa"/>
              <w:bottom w:w="0" w:type="dxa"/>
              <w:right w:w="13" w:type="dxa"/>
            </w:tcMar>
            <w:vAlign w:val="bottom"/>
          </w:tcPr>
          <w:p w14:paraId="5BC5A178" w14:textId="7FF87984" w:rsidR="00EA2CD0" w:rsidRPr="00675182" w:rsidRDefault="00EA2CD0" w:rsidP="00EA2CD0">
            <w:pPr>
              <w:rPr>
                <w:rFonts w:cstheme="minorHAnsi"/>
                <w:b/>
                <w:color w:val="000000"/>
                <w:sz w:val="22"/>
                <w:szCs w:val="22"/>
              </w:rPr>
            </w:pPr>
            <w:r w:rsidRPr="00675182">
              <w:rPr>
                <w:rFonts w:cstheme="minorHAnsi"/>
                <w:sz w:val="22"/>
                <w:szCs w:val="22"/>
              </w:rPr>
              <w:t>9080* Staignāju meži</w:t>
            </w:r>
          </w:p>
        </w:tc>
        <w:tc>
          <w:tcPr>
            <w:tcW w:w="608"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214CF797" w14:textId="157D7C60" w:rsidR="00EA2CD0" w:rsidRPr="00EA2CD0" w:rsidRDefault="00EA2CD0" w:rsidP="00EA2CD0">
            <w:pPr>
              <w:jc w:val="center"/>
              <w:rPr>
                <w:rFonts w:cstheme="minorHAnsi"/>
                <w:sz w:val="22"/>
                <w:szCs w:val="22"/>
              </w:rPr>
            </w:pPr>
            <w:r w:rsidRPr="00EA2CD0">
              <w:rPr>
                <w:rFonts w:cstheme="minorHAnsi"/>
                <w:sz w:val="22"/>
                <w:szCs w:val="22"/>
              </w:rPr>
              <w:t>37,9</w:t>
            </w:r>
          </w:p>
        </w:tc>
        <w:tc>
          <w:tcPr>
            <w:tcW w:w="39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20C3128E" w14:textId="02FF7496" w:rsidR="00EA2CD0" w:rsidRPr="00EA2CD0" w:rsidRDefault="00EA2CD0" w:rsidP="00EA2CD0">
            <w:pPr>
              <w:jc w:val="center"/>
              <w:rPr>
                <w:rFonts w:cstheme="minorHAnsi"/>
                <w:color w:val="000000"/>
                <w:sz w:val="22"/>
                <w:szCs w:val="22"/>
              </w:rPr>
            </w:pPr>
            <w:r w:rsidRPr="00EA2CD0">
              <w:rPr>
                <w:rFonts w:cstheme="minorHAnsi"/>
                <w:sz w:val="22"/>
                <w:szCs w:val="22"/>
              </w:rPr>
              <w:t>0,04</w:t>
            </w:r>
          </w:p>
        </w:tc>
        <w:tc>
          <w:tcPr>
            <w:tcW w:w="785" w:type="pct"/>
            <w:tcBorders>
              <w:top w:val="single" w:sz="4" w:space="0" w:color="auto"/>
              <w:left w:val="nil"/>
              <w:bottom w:val="single" w:sz="4" w:space="0" w:color="auto"/>
              <w:right w:val="single" w:sz="4" w:space="0" w:color="auto"/>
            </w:tcBorders>
            <w:shd w:val="clear" w:color="auto" w:fill="auto"/>
            <w:vAlign w:val="center"/>
          </w:tcPr>
          <w:p w14:paraId="76AB9BFD" w14:textId="2C4B2663" w:rsidR="00EA2CD0" w:rsidRPr="00EA2CD0" w:rsidRDefault="00EA2CD0" w:rsidP="00EA2CD0">
            <w:pPr>
              <w:jc w:val="center"/>
              <w:rPr>
                <w:rFonts w:cstheme="minorHAnsi"/>
                <w:color w:val="000000"/>
                <w:sz w:val="22"/>
                <w:szCs w:val="22"/>
              </w:rPr>
            </w:pPr>
            <w:r w:rsidRPr="00EA2CD0">
              <w:rPr>
                <w:rFonts w:cstheme="minorHAnsi"/>
                <w:sz w:val="22"/>
                <w:szCs w:val="22"/>
              </w:rPr>
              <w:t>0,62</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308C20E9" w14:textId="27974F4F" w:rsidR="00EA2CD0" w:rsidRPr="00EA2CD0" w:rsidRDefault="00EA2CD0" w:rsidP="00EA2CD0">
            <w:pPr>
              <w:jc w:val="center"/>
              <w:rPr>
                <w:rFonts w:cstheme="minorHAnsi"/>
                <w:color w:val="000000"/>
                <w:sz w:val="22"/>
                <w:szCs w:val="22"/>
              </w:rPr>
            </w:pPr>
            <w:r w:rsidRPr="00EA2CD0">
              <w:rPr>
                <w:rFonts w:cstheme="minorHAnsi"/>
                <w:sz w:val="22"/>
                <w:szCs w:val="22"/>
              </w:rPr>
              <w:t>0,15</w:t>
            </w:r>
          </w:p>
        </w:tc>
        <w:tc>
          <w:tcPr>
            <w:tcW w:w="534" w:type="pct"/>
            <w:shd w:val="clear" w:color="000000" w:fill="FF0000"/>
            <w:vAlign w:val="center"/>
          </w:tcPr>
          <w:p w14:paraId="0AD768FC" w14:textId="2EE43AC0" w:rsidR="00EA2CD0" w:rsidRPr="00675182" w:rsidRDefault="00EA2CD0" w:rsidP="00EA2CD0">
            <w:pPr>
              <w:jc w:val="center"/>
              <w:rPr>
                <w:rFonts w:cstheme="minorHAnsi"/>
                <w:color w:val="000000"/>
                <w:sz w:val="22"/>
                <w:szCs w:val="22"/>
              </w:rPr>
            </w:pPr>
            <w:r w:rsidRPr="00675182">
              <w:rPr>
                <w:rFonts w:cstheme="minorHAnsi"/>
                <w:color w:val="000000"/>
                <w:sz w:val="22"/>
                <w:szCs w:val="22"/>
              </w:rPr>
              <w:t>U2</w:t>
            </w:r>
          </w:p>
        </w:tc>
        <w:tc>
          <w:tcPr>
            <w:tcW w:w="533" w:type="pct"/>
            <w:shd w:val="clear" w:color="auto" w:fill="auto"/>
            <w:vAlign w:val="center"/>
          </w:tcPr>
          <w:p w14:paraId="04E332F7" w14:textId="04AEA8AD" w:rsidR="00EA2CD0" w:rsidRPr="00675182" w:rsidRDefault="00EA2CD0" w:rsidP="00EA2CD0">
            <w:pPr>
              <w:jc w:val="center"/>
              <w:rPr>
                <w:rFonts w:cstheme="minorHAnsi"/>
                <w:color w:val="000000"/>
                <w:sz w:val="22"/>
                <w:szCs w:val="22"/>
              </w:rPr>
            </w:pPr>
            <w:r w:rsidRPr="00675182">
              <w:rPr>
                <w:rFonts w:cstheme="minorHAnsi"/>
                <w:color w:val="000000"/>
                <w:sz w:val="22"/>
                <w:szCs w:val="22"/>
              </w:rPr>
              <w:t>D</w:t>
            </w:r>
          </w:p>
        </w:tc>
      </w:tr>
      <w:tr w:rsidR="00EA2CD0" w:rsidRPr="00675182" w14:paraId="7D68021C" w14:textId="77777777" w:rsidTr="00EA2CD0">
        <w:trPr>
          <w:trHeight w:val="284"/>
        </w:trPr>
        <w:tc>
          <w:tcPr>
            <w:tcW w:w="1678" w:type="pct"/>
            <w:shd w:val="clear" w:color="auto" w:fill="auto"/>
            <w:tcMar>
              <w:top w:w="13" w:type="dxa"/>
              <w:left w:w="13" w:type="dxa"/>
              <w:bottom w:w="0" w:type="dxa"/>
              <w:right w:w="13" w:type="dxa"/>
            </w:tcMar>
            <w:vAlign w:val="bottom"/>
          </w:tcPr>
          <w:p w14:paraId="20EFDC50" w14:textId="3B89AEEB" w:rsidR="00EA2CD0" w:rsidRPr="00675182" w:rsidRDefault="00EA2CD0" w:rsidP="00EA2CD0">
            <w:pPr>
              <w:rPr>
                <w:rFonts w:cstheme="minorHAnsi"/>
                <w:b/>
                <w:color w:val="000000"/>
                <w:sz w:val="22"/>
                <w:szCs w:val="22"/>
              </w:rPr>
            </w:pPr>
            <w:r w:rsidRPr="00675182">
              <w:rPr>
                <w:rFonts w:cstheme="minorHAnsi"/>
                <w:sz w:val="22"/>
                <w:szCs w:val="22"/>
              </w:rPr>
              <w:t>9160 Ozolu meži (ozolu, liepu un skābaržu meži)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tcPr>
          <w:p w14:paraId="33102AC5" w14:textId="577C4C46" w:rsidR="00EA2CD0" w:rsidRPr="00EA2CD0" w:rsidRDefault="00EA2CD0" w:rsidP="00EA2CD0">
            <w:pPr>
              <w:jc w:val="center"/>
              <w:rPr>
                <w:rFonts w:cstheme="minorHAnsi"/>
                <w:sz w:val="22"/>
                <w:szCs w:val="22"/>
              </w:rPr>
            </w:pPr>
            <w:r w:rsidRPr="00EA2CD0">
              <w:rPr>
                <w:rFonts w:cstheme="minorHAnsi"/>
                <w:sz w:val="22"/>
                <w:szCs w:val="22"/>
              </w:rPr>
              <w:t>145,5</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0E45A65B" w14:textId="1126FBA4" w:rsidR="00EA2CD0" w:rsidRPr="00EA2CD0" w:rsidRDefault="00EA2CD0" w:rsidP="00EA2CD0">
            <w:pPr>
              <w:jc w:val="center"/>
              <w:rPr>
                <w:rFonts w:cstheme="minorHAnsi"/>
                <w:color w:val="000000"/>
                <w:sz w:val="22"/>
                <w:szCs w:val="22"/>
              </w:rPr>
            </w:pPr>
            <w:r w:rsidRPr="00EA2CD0">
              <w:rPr>
                <w:rFonts w:cstheme="minorHAnsi"/>
                <w:sz w:val="22"/>
                <w:szCs w:val="22"/>
              </w:rPr>
              <w:t>0,16</w:t>
            </w:r>
          </w:p>
        </w:tc>
        <w:tc>
          <w:tcPr>
            <w:tcW w:w="785" w:type="pct"/>
            <w:tcBorders>
              <w:top w:val="single" w:sz="4" w:space="0" w:color="auto"/>
              <w:left w:val="nil"/>
              <w:bottom w:val="single" w:sz="4" w:space="0" w:color="auto"/>
              <w:right w:val="single" w:sz="4" w:space="0" w:color="auto"/>
            </w:tcBorders>
            <w:shd w:val="clear" w:color="auto" w:fill="auto"/>
            <w:vAlign w:val="center"/>
          </w:tcPr>
          <w:p w14:paraId="210B9BEB" w14:textId="0350114C" w:rsidR="00EA2CD0" w:rsidRPr="00EA2CD0" w:rsidRDefault="00EA2CD0" w:rsidP="00EA2CD0">
            <w:pPr>
              <w:jc w:val="center"/>
              <w:rPr>
                <w:rFonts w:cstheme="minorHAnsi"/>
                <w:color w:val="000000"/>
                <w:sz w:val="22"/>
                <w:szCs w:val="22"/>
              </w:rPr>
            </w:pPr>
            <w:r w:rsidRPr="00EA2CD0">
              <w:rPr>
                <w:rFonts w:cstheme="minorHAnsi"/>
                <w:sz w:val="22"/>
                <w:szCs w:val="22"/>
              </w:rPr>
              <w:t>2,80</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55695C50" w14:textId="6C17CC7E" w:rsidR="00EA2CD0" w:rsidRPr="00EA2CD0" w:rsidRDefault="00EA2CD0" w:rsidP="00EA2CD0">
            <w:pPr>
              <w:jc w:val="center"/>
              <w:rPr>
                <w:rFonts w:cstheme="minorHAnsi"/>
                <w:color w:val="000000"/>
                <w:sz w:val="22"/>
                <w:szCs w:val="22"/>
              </w:rPr>
            </w:pPr>
            <w:r w:rsidRPr="00EA2CD0">
              <w:rPr>
                <w:rFonts w:cstheme="minorHAnsi"/>
                <w:sz w:val="22"/>
                <w:szCs w:val="22"/>
              </w:rPr>
              <w:t>21,22</w:t>
            </w:r>
          </w:p>
        </w:tc>
        <w:tc>
          <w:tcPr>
            <w:tcW w:w="534" w:type="pct"/>
            <w:shd w:val="clear" w:color="auto" w:fill="FFFF00"/>
            <w:vAlign w:val="center"/>
          </w:tcPr>
          <w:p w14:paraId="46075004" w14:textId="056AD790"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219572F6" w14:textId="1A47B438"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EA2CD0" w:rsidRPr="00675182" w14:paraId="5C8186E0" w14:textId="77777777" w:rsidTr="00EA2CD0">
        <w:trPr>
          <w:trHeight w:val="284"/>
        </w:trPr>
        <w:tc>
          <w:tcPr>
            <w:tcW w:w="1678" w:type="pct"/>
            <w:shd w:val="clear" w:color="auto" w:fill="auto"/>
            <w:tcMar>
              <w:top w:w="13" w:type="dxa"/>
              <w:left w:w="13" w:type="dxa"/>
              <w:bottom w:w="0" w:type="dxa"/>
              <w:right w:w="13" w:type="dxa"/>
            </w:tcMar>
            <w:vAlign w:val="bottom"/>
          </w:tcPr>
          <w:p w14:paraId="5CE62B07" w14:textId="79100A85" w:rsidR="00EA2CD0" w:rsidRPr="00675182" w:rsidRDefault="00EA2CD0" w:rsidP="00EA2CD0">
            <w:pPr>
              <w:rPr>
                <w:rFonts w:cstheme="minorHAnsi"/>
                <w:sz w:val="22"/>
                <w:szCs w:val="22"/>
              </w:rPr>
            </w:pPr>
            <w:r w:rsidRPr="00675182">
              <w:rPr>
                <w:rFonts w:cstheme="minorHAnsi"/>
                <w:sz w:val="22"/>
                <w:szCs w:val="22"/>
              </w:rPr>
              <w:t>9180* Nogāžu un gravu meži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tcPr>
          <w:p w14:paraId="72F3B012" w14:textId="5164C070" w:rsidR="00EA2CD0" w:rsidRPr="00EA2CD0" w:rsidRDefault="00EA2CD0" w:rsidP="00EA2CD0">
            <w:pPr>
              <w:jc w:val="center"/>
              <w:rPr>
                <w:rFonts w:cstheme="minorHAnsi"/>
                <w:sz w:val="22"/>
                <w:szCs w:val="22"/>
              </w:rPr>
            </w:pPr>
            <w:r w:rsidRPr="00EA2CD0">
              <w:rPr>
                <w:rFonts w:cstheme="minorHAnsi"/>
                <w:sz w:val="22"/>
                <w:szCs w:val="22"/>
              </w:rPr>
              <w:t>1658,7</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09B6A8F7" w14:textId="64B1C7E0" w:rsidR="00EA2CD0" w:rsidRPr="00EA2CD0" w:rsidRDefault="00EA2CD0" w:rsidP="00EA2CD0">
            <w:pPr>
              <w:jc w:val="center"/>
              <w:rPr>
                <w:rFonts w:cstheme="minorHAnsi"/>
                <w:sz w:val="22"/>
                <w:szCs w:val="22"/>
              </w:rPr>
            </w:pPr>
            <w:r w:rsidRPr="00EA2CD0">
              <w:rPr>
                <w:rFonts w:cstheme="minorHAnsi"/>
                <w:sz w:val="22"/>
                <w:szCs w:val="22"/>
              </w:rPr>
              <w:t>1,81</w:t>
            </w:r>
          </w:p>
        </w:tc>
        <w:tc>
          <w:tcPr>
            <w:tcW w:w="785" w:type="pct"/>
            <w:tcBorders>
              <w:top w:val="single" w:sz="4" w:space="0" w:color="auto"/>
              <w:left w:val="nil"/>
              <w:bottom w:val="single" w:sz="4" w:space="0" w:color="auto"/>
              <w:right w:val="single" w:sz="4" w:space="0" w:color="auto"/>
            </w:tcBorders>
            <w:shd w:val="clear" w:color="auto" w:fill="auto"/>
            <w:vAlign w:val="center"/>
          </w:tcPr>
          <w:p w14:paraId="3F7CBA1D" w14:textId="2CD1CE6A" w:rsidR="00EA2CD0" w:rsidRPr="00EA2CD0" w:rsidRDefault="00EA2CD0" w:rsidP="00EA2CD0">
            <w:pPr>
              <w:jc w:val="center"/>
              <w:rPr>
                <w:rFonts w:cstheme="minorHAnsi"/>
                <w:color w:val="000000"/>
                <w:sz w:val="22"/>
                <w:szCs w:val="22"/>
              </w:rPr>
            </w:pPr>
            <w:r w:rsidRPr="00EA2CD0">
              <w:rPr>
                <w:rFonts w:cstheme="minorHAnsi"/>
                <w:sz w:val="22"/>
                <w:szCs w:val="22"/>
              </w:rPr>
              <w:t>52,37</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2EFCAEB9" w14:textId="7D26F5D3" w:rsidR="00EA2CD0" w:rsidRPr="00EA2CD0" w:rsidRDefault="00EA2CD0" w:rsidP="00EA2CD0">
            <w:pPr>
              <w:jc w:val="center"/>
              <w:rPr>
                <w:rFonts w:cstheme="minorHAnsi"/>
                <w:color w:val="000000"/>
                <w:sz w:val="22"/>
                <w:szCs w:val="22"/>
              </w:rPr>
            </w:pPr>
            <w:r w:rsidRPr="00EA2CD0">
              <w:rPr>
                <w:rFonts w:cstheme="minorHAnsi"/>
                <w:sz w:val="22"/>
                <w:szCs w:val="22"/>
              </w:rPr>
              <w:t>25,52</w:t>
            </w:r>
          </w:p>
        </w:tc>
        <w:tc>
          <w:tcPr>
            <w:tcW w:w="534" w:type="pct"/>
            <w:shd w:val="clear" w:color="auto" w:fill="FFFF00"/>
            <w:vAlign w:val="center"/>
          </w:tcPr>
          <w:p w14:paraId="2EC7ADEC" w14:textId="71A3B6A1"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3D6811D9" w14:textId="5B9C5A6D"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EA2CD0" w:rsidRPr="00675182" w14:paraId="7928FBB1" w14:textId="77777777" w:rsidTr="00EA2CD0">
        <w:trPr>
          <w:trHeight w:val="284"/>
        </w:trPr>
        <w:tc>
          <w:tcPr>
            <w:tcW w:w="1678" w:type="pct"/>
            <w:shd w:val="clear" w:color="auto" w:fill="auto"/>
            <w:tcMar>
              <w:top w:w="13" w:type="dxa"/>
              <w:left w:w="13" w:type="dxa"/>
              <w:bottom w:w="0" w:type="dxa"/>
              <w:right w:w="13" w:type="dxa"/>
            </w:tcMar>
            <w:vAlign w:val="bottom"/>
          </w:tcPr>
          <w:p w14:paraId="55D34963" w14:textId="6758B85E" w:rsidR="00EA2CD0" w:rsidRPr="00675182" w:rsidRDefault="00EA2CD0" w:rsidP="00EA2CD0">
            <w:pPr>
              <w:rPr>
                <w:rFonts w:cstheme="minorHAnsi"/>
                <w:sz w:val="22"/>
                <w:szCs w:val="22"/>
              </w:rPr>
            </w:pPr>
            <w:r w:rsidRPr="00675182">
              <w:rPr>
                <w:rFonts w:cstheme="minorHAnsi"/>
                <w:sz w:val="22"/>
                <w:szCs w:val="22"/>
              </w:rPr>
              <w:t>91D0* Purvaini meži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tcPr>
          <w:p w14:paraId="696A7892" w14:textId="69D5D72B" w:rsidR="00EA2CD0" w:rsidRPr="00EA2CD0" w:rsidRDefault="00EA2CD0" w:rsidP="00EA2CD0">
            <w:pPr>
              <w:jc w:val="center"/>
              <w:rPr>
                <w:rFonts w:cstheme="minorHAnsi"/>
                <w:sz w:val="22"/>
                <w:szCs w:val="22"/>
              </w:rPr>
            </w:pPr>
            <w:r w:rsidRPr="00EA2CD0">
              <w:rPr>
                <w:rFonts w:cstheme="minorHAnsi"/>
                <w:sz w:val="22"/>
                <w:szCs w:val="22"/>
              </w:rPr>
              <w:t>1355,6</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34A07100" w14:textId="35FC6851" w:rsidR="00EA2CD0" w:rsidRPr="00EA2CD0" w:rsidRDefault="00EA2CD0" w:rsidP="00EA2CD0">
            <w:pPr>
              <w:jc w:val="center"/>
              <w:rPr>
                <w:rFonts w:cstheme="minorHAnsi"/>
                <w:sz w:val="22"/>
                <w:szCs w:val="22"/>
              </w:rPr>
            </w:pPr>
            <w:r w:rsidRPr="00EA2CD0">
              <w:rPr>
                <w:rFonts w:cstheme="minorHAnsi"/>
                <w:sz w:val="22"/>
                <w:szCs w:val="22"/>
              </w:rPr>
              <w:t>1,48</w:t>
            </w:r>
          </w:p>
        </w:tc>
        <w:tc>
          <w:tcPr>
            <w:tcW w:w="785" w:type="pct"/>
            <w:tcBorders>
              <w:top w:val="single" w:sz="4" w:space="0" w:color="auto"/>
              <w:left w:val="nil"/>
              <w:bottom w:val="single" w:sz="4" w:space="0" w:color="auto"/>
              <w:right w:val="single" w:sz="4" w:space="0" w:color="auto"/>
            </w:tcBorders>
            <w:shd w:val="clear" w:color="auto" w:fill="auto"/>
            <w:vAlign w:val="center"/>
          </w:tcPr>
          <w:p w14:paraId="0A1BDF6D" w14:textId="7AB78A01" w:rsidR="00EA2CD0" w:rsidRPr="00EA2CD0" w:rsidRDefault="00EA2CD0" w:rsidP="00EA2CD0">
            <w:pPr>
              <w:jc w:val="center"/>
              <w:rPr>
                <w:rFonts w:cstheme="minorHAnsi"/>
                <w:color w:val="000000"/>
                <w:sz w:val="22"/>
                <w:szCs w:val="22"/>
              </w:rPr>
            </w:pPr>
            <w:r w:rsidRPr="00EA2CD0">
              <w:rPr>
                <w:rFonts w:cstheme="minorHAnsi"/>
                <w:sz w:val="22"/>
                <w:szCs w:val="22"/>
              </w:rPr>
              <w:t>6,79</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6A570494" w14:textId="32516298" w:rsidR="00EA2CD0" w:rsidRPr="00EA2CD0" w:rsidRDefault="00EA2CD0" w:rsidP="00EA2CD0">
            <w:pPr>
              <w:jc w:val="center"/>
              <w:rPr>
                <w:rFonts w:cstheme="minorHAnsi"/>
                <w:color w:val="000000"/>
                <w:sz w:val="22"/>
                <w:szCs w:val="22"/>
              </w:rPr>
            </w:pPr>
            <w:r w:rsidRPr="00EA2CD0">
              <w:rPr>
                <w:rFonts w:cstheme="minorHAnsi"/>
                <w:sz w:val="22"/>
                <w:szCs w:val="22"/>
              </w:rPr>
              <w:t>1,13</w:t>
            </w:r>
          </w:p>
        </w:tc>
        <w:tc>
          <w:tcPr>
            <w:tcW w:w="534" w:type="pct"/>
            <w:shd w:val="clear" w:color="auto" w:fill="FFFF00"/>
            <w:vAlign w:val="center"/>
          </w:tcPr>
          <w:p w14:paraId="27579382" w14:textId="4CD4ECA0"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65C2B1B9" w14:textId="268924D6" w:rsidR="00EA2CD0" w:rsidRPr="00675182" w:rsidRDefault="00EA2CD0" w:rsidP="00EA2CD0">
            <w:pPr>
              <w:jc w:val="center"/>
              <w:rPr>
                <w:rFonts w:cstheme="minorHAnsi"/>
                <w:color w:val="000000"/>
                <w:sz w:val="22"/>
                <w:szCs w:val="22"/>
              </w:rPr>
            </w:pPr>
            <w:r w:rsidRPr="00675182">
              <w:rPr>
                <w:rFonts w:cstheme="minorHAnsi"/>
                <w:color w:val="000000"/>
                <w:sz w:val="22"/>
                <w:szCs w:val="22"/>
              </w:rPr>
              <w:t>S</w:t>
            </w:r>
          </w:p>
        </w:tc>
      </w:tr>
      <w:tr w:rsidR="00EA2CD0" w:rsidRPr="00675182" w14:paraId="55CC8BEB" w14:textId="77777777" w:rsidTr="00EA2CD0">
        <w:trPr>
          <w:trHeight w:val="284"/>
        </w:trPr>
        <w:tc>
          <w:tcPr>
            <w:tcW w:w="1678" w:type="pct"/>
            <w:shd w:val="clear" w:color="auto" w:fill="auto"/>
            <w:tcMar>
              <w:top w:w="13" w:type="dxa"/>
              <w:left w:w="13" w:type="dxa"/>
              <w:bottom w:w="0" w:type="dxa"/>
              <w:right w:w="13" w:type="dxa"/>
            </w:tcMar>
            <w:vAlign w:val="bottom"/>
          </w:tcPr>
          <w:p w14:paraId="7D4CC8B2" w14:textId="57F1ED86" w:rsidR="00EA2CD0" w:rsidRPr="00675182" w:rsidRDefault="00EA2CD0" w:rsidP="00EA2CD0">
            <w:pPr>
              <w:rPr>
                <w:rFonts w:cstheme="minorHAnsi"/>
                <w:sz w:val="22"/>
                <w:szCs w:val="22"/>
              </w:rPr>
            </w:pPr>
            <w:r w:rsidRPr="00675182">
              <w:rPr>
                <w:rFonts w:cstheme="minorHAnsi"/>
                <w:sz w:val="22"/>
                <w:szCs w:val="22"/>
              </w:rPr>
              <w:t>91E0*Aluviāli meži (aluviāli krastmalu un palieņu meži)</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tcPr>
          <w:p w14:paraId="22B4F58E" w14:textId="76827BFB" w:rsidR="00EA2CD0" w:rsidRPr="00EA2CD0" w:rsidRDefault="00EA2CD0" w:rsidP="00EA2CD0">
            <w:pPr>
              <w:jc w:val="center"/>
              <w:rPr>
                <w:rFonts w:cstheme="minorHAnsi"/>
                <w:sz w:val="22"/>
                <w:szCs w:val="22"/>
              </w:rPr>
            </w:pPr>
            <w:r w:rsidRPr="00EA2CD0">
              <w:rPr>
                <w:rFonts w:cstheme="minorHAnsi"/>
                <w:sz w:val="22"/>
                <w:szCs w:val="22"/>
              </w:rPr>
              <w:t>486,6</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133D1803" w14:textId="237EE133" w:rsidR="00EA2CD0" w:rsidRPr="00EA2CD0" w:rsidRDefault="00EA2CD0" w:rsidP="00EA2CD0">
            <w:pPr>
              <w:jc w:val="center"/>
              <w:rPr>
                <w:rFonts w:cstheme="minorHAnsi"/>
                <w:sz w:val="22"/>
                <w:szCs w:val="22"/>
              </w:rPr>
            </w:pPr>
            <w:r w:rsidRPr="00EA2CD0">
              <w:rPr>
                <w:rFonts w:cstheme="minorHAnsi"/>
                <w:sz w:val="22"/>
                <w:szCs w:val="22"/>
              </w:rPr>
              <w:t>0,53</w:t>
            </w:r>
          </w:p>
        </w:tc>
        <w:tc>
          <w:tcPr>
            <w:tcW w:w="785" w:type="pct"/>
            <w:tcBorders>
              <w:top w:val="single" w:sz="4" w:space="0" w:color="auto"/>
              <w:left w:val="nil"/>
              <w:bottom w:val="single" w:sz="4" w:space="0" w:color="auto"/>
              <w:right w:val="single" w:sz="4" w:space="0" w:color="auto"/>
            </w:tcBorders>
            <w:shd w:val="clear" w:color="auto" w:fill="auto"/>
            <w:vAlign w:val="center"/>
          </w:tcPr>
          <w:p w14:paraId="29CEF33F" w14:textId="640B0D31" w:rsidR="00EA2CD0" w:rsidRPr="00EA2CD0" w:rsidRDefault="00EA2CD0" w:rsidP="00EA2CD0">
            <w:pPr>
              <w:jc w:val="center"/>
              <w:rPr>
                <w:rFonts w:cstheme="minorHAnsi"/>
                <w:color w:val="000000"/>
                <w:sz w:val="22"/>
                <w:szCs w:val="22"/>
              </w:rPr>
            </w:pPr>
            <w:r w:rsidRPr="00EA2CD0">
              <w:rPr>
                <w:rFonts w:cstheme="minorHAnsi"/>
                <w:sz w:val="22"/>
                <w:szCs w:val="22"/>
              </w:rPr>
              <w:t>21,99</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03568EA8" w14:textId="5C51A15B" w:rsidR="00EA2CD0" w:rsidRPr="00EA2CD0" w:rsidRDefault="00EA2CD0" w:rsidP="00EA2CD0">
            <w:pPr>
              <w:jc w:val="center"/>
              <w:rPr>
                <w:rFonts w:cstheme="minorHAnsi"/>
                <w:color w:val="000000"/>
                <w:sz w:val="22"/>
                <w:szCs w:val="22"/>
              </w:rPr>
            </w:pPr>
            <w:r w:rsidRPr="00EA2CD0">
              <w:rPr>
                <w:rFonts w:cstheme="minorHAnsi"/>
                <w:sz w:val="22"/>
                <w:szCs w:val="22"/>
              </w:rPr>
              <w:t>3,99</w:t>
            </w:r>
          </w:p>
        </w:tc>
        <w:tc>
          <w:tcPr>
            <w:tcW w:w="534" w:type="pct"/>
            <w:shd w:val="clear" w:color="auto" w:fill="FFFF00"/>
            <w:vAlign w:val="center"/>
          </w:tcPr>
          <w:p w14:paraId="2AAB838C" w14:textId="3E6C2A7E"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10E25466" w14:textId="5D373A68"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EA2CD0" w:rsidRPr="00675182" w14:paraId="3BC7C5CA" w14:textId="77777777" w:rsidTr="00EA2CD0">
        <w:trPr>
          <w:trHeight w:val="284"/>
        </w:trPr>
        <w:tc>
          <w:tcPr>
            <w:tcW w:w="1678" w:type="pct"/>
            <w:shd w:val="clear" w:color="auto" w:fill="auto"/>
            <w:tcMar>
              <w:top w:w="13" w:type="dxa"/>
              <w:left w:w="13" w:type="dxa"/>
              <w:bottom w:w="0" w:type="dxa"/>
              <w:right w:w="13" w:type="dxa"/>
            </w:tcMar>
            <w:vAlign w:val="bottom"/>
          </w:tcPr>
          <w:p w14:paraId="04419F7F" w14:textId="65245F66" w:rsidR="00EA2CD0" w:rsidRPr="00675182" w:rsidRDefault="00EA2CD0" w:rsidP="00EA2CD0">
            <w:pPr>
              <w:rPr>
                <w:rFonts w:cstheme="minorHAnsi"/>
                <w:sz w:val="22"/>
                <w:szCs w:val="22"/>
              </w:rPr>
            </w:pPr>
            <w:r w:rsidRPr="00675182">
              <w:rPr>
                <w:rFonts w:cstheme="minorHAnsi"/>
                <w:sz w:val="22"/>
                <w:szCs w:val="22"/>
              </w:rPr>
              <w:t>91F0 Jaukti ozolu, gobu, ošu meži gar lielām upēm</w:t>
            </w:r>
          </w:p>
        </w:tc>
        <w:tc>
          <w:tcPr>
            <w:tcW w:w="608" w:type="pct"/>
            <w:tcBorders>
              <w:top w:val="single" w:sz="4" w:space="0" w:color="auto"/>
              <w:left w:val="nil"/>
              <w:bottom w:val="single" w:sz="4" w:space="0" w:color="auto"/>
              <w:right w:val="nil"/>
            </w:tcBorders>
            <w:shd w:val="clear" w:color="auto" w:fill="auto"/>
            <w:tcMar>
              <w:top w:w="13" w:type="dxa"/>
              <w:left w:w="13" w:type="dxa"/>
              <w:bottom w:w="0" w:type="dxa"/>
              <w:right w:w="13" w:type="dxa"/>
            </w:tcMar>
            <w:vAlign w:val="center"/>
          </w:tcPr>
          <w:p w14:paraId="15142D32" w14:textId="441EBC37" w:rsidR="00EA2CD0" w:rsidRPr="00EA2CD0" w:rsidRDefault="00EA2CD0" w:rsidP="00EA2CD0">
            <w:pPr>
              <w:jc w:val="center"/>
              <w:rPr>
                <w:rFonts w:cstheme="minorHAnsi"/>
                <w:sz w:val="22"/>
                <w:szCs w:val="22"/>
              </w:rPr>
            </w:pPr>
            <w:r w:rsidRPr="00EA2CD0">
              <w:rPr>
                <w:rFonts w:cstheme="minorHAnsi"/>
                <w:sz w:val="22"/>
                <w:szCs w:val="22"/>
              </w:rPr>
              <w:t>170,4</w:t>
            </w:r>
          </w:p>
        </w:tc>
        <w:tc>
          <w:tcPr>
            <w:tcW w:w="396"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42168B64" w14:textId="02A9326D" w:rsidR="00EA2CD0" w:rsidRPr="00EA2CD0" w:rsidRDefault="00EA2CD0" w:rsidP="00EA2CD0">
            <w:pPr>
              <w:jc w:val="center"/>
              <w:rPr>
                <w:rFonts w:cstheme="minorHAnsi"/>
                <w:sz w:val="22"/>
                <w:szCs w:val="22"/>
              </w:rPr>
            </w:pPr>
            <w:r w:rsidRPr="00EA2CD0">
              <w:rPr>
                <w:rFonts w:cstheme="minorHAnsi"/>
                <w:sz w:val="22"/>
                <w:szCs w:val="22"/>
              </w:rPr>
              <w:t>0,19</w:t>
            </w:r>
          </w:p>
        </w:tc>
        <w:tc>
          <w:tcPr>
            <w:tcW w:w="785" w:type="pct"/>
            <w:tcBorders>
              <w:top w:val="single" w:sz="4" w:space="0" w:color="auto"/>
              <w:left w:val="nil"/>
              <w:bottom w:val="single" w:sz="4" w:space="0" w:color="auto"/>
              <w:right w:val="single" w:sz="4" w:space="0" w:color="auto"/>
            </w:tcBorders>
            <w:shd w:val="clear" w:color="auto" w:fill="auto"/>
            <w:vAlign w:val="center"/>
          </w:tcPr>
          <w:p w14:paraId="75EE45F4" w14:textId="0FC5F355" w:rsidR="00EA2CD0" w:rsidRPr="00EA2CD0" w:rsidRDefault="00EA2CD0" w:rsidP="00EA2CD0">
            <w:pPr>
              <w:jc w:val="center"/>
              <w:rPr>
                <w:rFonts w:cstheme="minorHAnsi"/>
                <w:color w:val="000000"/>
                <w:sz w:val="22"/>
                <w:szCs w:val="22"/>
              </w:rPr>
            </w:pPr>
            <w:r w:rsidRPr="00EA2CD0">
              <w:rPr>
                <w:rFonts w:cstheme="minorHAnsi"/>
                <w:sz w:val="22"/>
                <w:szCs w:val="22"/>
              </w:rPr>
              <w:t>46,68</w:t>
            </w:r>
          </w:p>
        </w:tc>
        <w:tc>
          <w:tcPr>
            <w:tcW w:w="466"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50FE9E8C" w14:textId="1162C659" w:rsidR="00EA2CD0" w:rsidRPr="00EA2CD0" w:rsidRDefault="00EA2CD0" w:rsidP="00EA2CD0">
            <w:pPr>
              <w:jc w:val="center"/>
              <w:rPr>
                <w:rFonts w:cstheme="minorHAnsi"/>
                <w:color w:val="000000"/>
                <w:sz w:val="22"/>
                <w:szCs w:val="22"/>
              </w:rPr>
            </w:pPr>
            <w:r w:rsidRPr="00EA2CD0">
              <w:rPr>
                <w:rFonts w:cstheme="minorHAnsi"/>
                <w:sz w:val="22"/>
                <w:szCs w:val="22"/>
              </w:rPr>
              <w:t>28,40</w:t>
            </w:r>
          </w:p>
        </w:tc>
        <w:tc>
          <w:tcPr>
            <w:tcW w:w="534" w:type="pct"/>
            <w:shd w:val="clear" w:color="auto" w:fill="FFFF00"/>
            <w:vAlign w:val="center"/>
          </w:tcPr>
          <w:p w14:paraId="531532E8" w14:textId="46B34B07" w:rsidR="00EA2CD0" w:rsidRPr="00675182" w:rsidRDefault="00EA2CD0" w:rsidP="00EA2CD0">
            <w:pPr>
              <w:jc w:val="center"/>
              <w:rPr>
                <w:rFonts w:cstheme="minorHAnsi"/>
                <w:color w:val="000000"/>
                <w:sz w:val="22"/>
                <w:szCs w:val="22"/>
              </w:rPr>
            </w:pPr>
            <w:r w:rsidRPr="00675182">
              <w:rPr>
                <w:rFonts w:cstheme="minorHAnsi"/>
                <w:color w:val="000000"/>
                <w:sz w:val="22"/>
                <w:szCs w:val="22"/>
              </w:rPr>
              <w:t>U1</w:t>
            </w:r>
          </w:p>
        </w:tc>
        <w:tc>
          <w:tcPr>
            <w:tcW w:w="533" w:type="pct"/>
            <w:shd w:val="clear" w:color="auto" w:fill="auto"/>
            <w:vAlign w:val="center"/>
          </w:tcPr>
          <w:p w14:paraId="6F4EC426" w14:textId="52C4D10D" w:rsidR="00EA2CD0" w:rsidRPr="00675182" w:rsidRDefault="00EA2CD0" w:rsidP="00EA2CD0">
            <w:pPr>
              <w:jc w:val="center"/>
              <w:rPr>
                <w:rFonts w:cstheme="minorHAnsi"/>
                <w:color w:val="000000"/>
                <w:sz w:val="22"/>
                <w:szCs w:val="22"/>
              </w:rPr>
            </w:pPr>
            <w:r w:rsidRPr="00675182">
              <w:rPr>
                <w:rFonts w:cstheme="minorHAnsi"/>
                <w:color w:val="000000"/>
                <w:sz w:val="22"/>
                <w:szCs w:val="22"/>
              </w:rPr>
              <w:t>X</w:t>
            </w:r>
          </w:p>
        </w:tc>
      </w:tr>
      <w:tr w:rsidR="00A24596" w:rsidRPr="00675182" w14:paraId="34FC603B" w14:textId="77777777" w:rsidTr="00E660A3">
        <w:trPr>
          <w:trHeight w:val="284"/>
        </w:trPr>
        <w:tc>
          <w:tcPr>
            <w:tcW w:w="1678" w:type="pct"/>
            <w:shd w:val="clear" w:color="auto" w:fill="auto"/>
            <w:tcMar>
              <w:top w:w="13" w:type="dxa"/>
              <w:left w:w="13" w:type="dxa"/>
              <w:bottom w:w="0" w:type="dxa"/>
              <w:right w:w="13" w:type="dxa"/>
            </w:tcMar>
            <w:vAlign w:val="bottom"/>
          </w:tcPr>
          <w:p w14:paraId="1A4D1798" w14:textId="68612B85" w:rsidR="00A24596" w:rsidRPr="00675182" w:rsidRDefault="00A24596" w:rsidP="00A24596">
            <w:pPr>
              <w:jc w:val="right"/>
              <w:rPr>
                <w:rFonts w:cstheme="minorHAnsi"/>
                <w:b/>
                <w:bCs/>
                <w:sz w:val="22"/>
                <w:szCs w:val="22"/>
              </w:rPr>
            </w:pPr>
            <w:r w:rsidRPr="00675182">
              <w:rPr>
                <w:rFonts w:cstheme="minorHAnsi"/>
                <w:b/>
                <w:bCs/>
                <w:sz w:val="22"/>
                <w:szCs w:val="22"/>
              </w:rPr>
              <w:t>Kopā:</w:t>
            </w:r>
          </w:p>
        </w:tc>
        <w:tc>
          <w:tcPr>
            <w:tcW w:w="608" w:type="pct"/>
            <w:shd w:val="clear" w:color="auto" w:fill="auto"/>
            <w:tcMar>
              <w:top w:w="13" w:type="dxa"/>
              <w:left w:w="13" w:type="dxa"/>
              <w:bottom w:w="0" w:type="dxa"/>
              <w:right w:w="13" w:type="dxa"/>
            </w:tcMar>
            <w:vAlign w:val="bottom"/>
          </w:tcPr>
          <w:p w14:paraId="1A8EE4FC" w14:textId="5688A3AE" w:rsidR="00A24596" w:rsidRPr="00675182" w:rsidRDefault="005458CB" w:rsidP="00A24596">
            <w:pPr>
              <w:jc w:val="center"/>
              <w:rPr>
                <w:rFonts w:cstheme="minorHAnsi"/>
                <w:b/>
                <w:bCs/>
                <w:sz w:val="22"/>
                <w:szCs w:val="22"/>
              </w:rPr>
            </w:pPr>
            <w:r w:rsidRPr="00675182">
              <w:rPr>
                <w:rFonts w:cstheme="minorHAnsi"/>
                <w:b/>
                <w:bCs/>
                <w:sz w:val="22"/>
                <w:szCs w:val="22"/>
              </w:rPr>
              <w:t>18</w:t>
            </w:r>
            <w:r w:rsidR="00EA2CD0">
              <w:rPr>
                <w:rFonts w:cstheme="minorHAnsi"/>
                <w:b/>
                <w:bCs/>
                <w:sz w:val="22"/>
                <w:szCs w:val="22"/>
              </w:rPr>
              <w:t>579</w:t>
            </w:r>
            <w:r w:rsidRPr="00675182">
              <w:rPr>
                <w:rFonts w:cstheme="minorHAnsi"/>
                <w:b/>
                <w:bCs/>
                <w:sz w:val="22"/>
                <w:szCs w:val="22"/>
              </w:rPr>
              <w:t>,</w:t>
            </w:r>
            <w:r w:rsidR="00EA2CD0">
              <w:rPr>
                <w:rFonts w:cstheme="minorHAnsi"/>
                <w:b/>
                <w:bCs/>
                <w:sz w:val="22"/>
                <w:szCs w:val="22"/>
              </w:rPr>
              <w:t>5</w:t>
            </w:r>
          </w:p>
        </w:tc>
        <w:tc>
          <w:tcPr>
            <w:tcW w:w="396" w:type="pct"/>
            <w:shd w:val="clear" w:color="auto" w:fill="auto"/>
            <w:tcMar>
              <w:top w:w="13" w:type="dxa"/>
              <w:left w:w="13" w:type="dxa"/>
              <w:bottom w:w="0" w:type="dxa"/>
              <w:right w:w="13" w:type="dxa"/>
            </w:tcMar>
            <w:vAlign w:val="bottom"/>
          </w:tcPr>
          <w:p w14:paraId="76F344F3" w14:textId="42A81814" w:rsidR="00A24596" w:rsidRPr="00675182" w:rsidRDefault="00FC7F11" w:rsidP="00A24596">
            <w:pPr>
              <w:jc w:val="center"/>
              <w:rPr>
                <w:rFonts w:cstheme="minorHAnsi"/>
                <w:b/>
                <w:bCs/>
                <w:sz w:val="22"/>
                <w:szCs w:val="22"/>
              </w:rPr>
            </w:pPr>
            <w:r w:rsidRPr="00675182">
              <w:rPr>
                <w:rFonts w:cstheme="minorHAnsi"/>
                <w:b/>
                <w:bCs/>
                <w:sz w:val="22"/>
                <w:szCs w:val="22"/>
              </w:rPr>
              <w:t>20</w:t>
            </w:r>
            <w:r w:rsidR="00A24596" w:rsidRPr="00675182">
              <w:rPr>
                <w:rFonts w:cstheme="minorHAnsi"/>
                <w:b/>
                <w:bCs/>
                <w:sz w:val="22"/>
                <w:szCs w:val="22"/>
              </w:rPr>
              <w:t>,</w:t>
            </w:r>
            <w:r w:rsidR="00EA2CD0">
              <w:rPr>
                <w:rFonts w:cstheme="minorHAnsi"/>
                <w:b/>
                <w:bCs/>
                <w:sz w:val="22"/>
                <w:szCs w:val="22"/>
              </w:rPr>
              <w:t>24</w:t>
            </w:r>
          </w:p>
        </w:tc>
        <w:tc>
          <w:tcPr>
            <w:tcW w:w="2318" w:type="pct"/>
            <w:gridSpan w:val="4"/>
            <w:shd w:val="clear" w:color="auto" w:fill="auto"/>
            <w:vAlign w:val="center"/>
          </w:tcPr>
          <w:p w14:paraId="69491D77" w14:textId="77777777" w:rsidR="00A24596" w:rsidRPr="00675182" w:rsidRDefault="00A24596" w:rsidP="00A24596">
            <w:pPr>
              <w:jc w:val="center"/>
              <w:rPr>
                <w:rFonts w:cstheme="minorHAnsi"/>
                <w:sz w:val="22"/>
                <w:szCs w:val="22"/>
              </w:rPr>
            </w:pPr>
          </w:p>
        </w:tc>
      </w:tr>
    </w:tbl>
    <w:p w14:paraId="4D825F41" w14:textId="77777777" w:rsidR="00AA3632" w:rsidRPr="00675182" w:rsidRDefault="00AA3632" w:rsidP="002B3341">
      <w:pPr>
        <w:rPr>
          <w:rFonts w:cstheme="minorHAnsi"/>
          <w:sz w:val="20"/>
        </w:rPr>
      </w:pPr>
    </w:p>
    <w:p w14:paraId="425AF53D" w14:textId="57D97C4C" w:rsidR="00A537CD" w:rsidRPr="00675182" w:rsidRDefault="002C0CB7" w:rsidP="002B3341">
      <w:pPr>
        <w:rPr>
          <w:rFonts w:cstheme="minorHAnsi"/>
          <w:sz w:val="20"/>
        </w:rPr>
      </w:pPr>
      <w:r w:rsidRPr="00675182">
        <w:rPr>
          <w:rFonts w:cstheme="minorHAnsi"/>
          <w:sz w:val="20"/>
        </w:rPr>
        <w:t>Informācija par biotopa stāvokli Latvijā no „Ziņojums Eiropas Komisijai par biotopu (dzīvotņu) un sugu aizsardzības stāvokli Latvijā. Novērtējums par 20</w:t>
      </w:r>
      <w:r w:rsidR="00C83FB5" w:rsidRPr="00675182">
        <w:rPr>
          <w:rFonts w:cstheme="minorHAnsi"/>
          <w:sz w:val="20"/>
        </w:rPr>
        <w:t>1</w:t>
      </w:r>
      <w:r w:rsidR="00AE4AB5" w:rsidRPr="00675182">
        <w:rPr>
          <w:rFonts w:cstheme="minorHAnsi"/>
          <w:sz w:val="20"/>
        </w:rPr>
        <w:t>3</w:t>
      </w:r>
      <w:r w:rsidRPr="00675182">
        <w:rPr>
          <w:rFonts w:cstheme="minorHAnsi"/>
          <w:sz w:val="20"/>
        </w:rPr>
        <w:t>.-201</w:t>
      </w:r>
      <w:r w:rsidR="00AE4AB5" w:rsidRPr="00675182">
        <w:rPr>
          <w:rFonts w:cstheme="minorHAnsi"/>
          <w:sz w:val="20"/>
        </w:rPr>
        <w:t>8</w:t>
      </w:r>
      <w:r w:rsidRPr="00675182">
        <w:rPr>
          <w:rFonts w:cstheme="minorHAnsi"/>
          <w:sz w:val="20"/>
        </w:rPr>
        <w:t xml:space="preserve">. gada periodu” </w:t>
      </w:r>
      <w:r w:rsidRPr="00675182">
        <w:rPr>
          <w:rFonts w:cstheme="minorHAnsi"/>
          <w:b/>
          <w:bCs/>
          <w:sz w:val="20"/>
        </w:rPr>
        <w:t>FV</w:t>
      </w:r>
      <w:r w:rsidRPr="00675182">
        <w:rPr>
          <w:rFonts w:cstheme="minorHAnsi"/>
          <w:sz w:val="20"/>
        </w:rPr>
        <w:t xml:space="preserve">: Aizsardzības stāvoklis labvēlīgs (Favourable); </w:t>
      </w:r>
      <w:r w:rsidRPr="00675182">
        <w:rPr>
          <w:rFonts w:cstheme="minorHAnsi"/>
          <w:b/>
          <w:bCs/>
          <w:sz w:val="20"/>
        </w:rPr>
        <w:t>U1</w:t>
      </w:r>
      <w:r w:rsidRPr="00675182">
        <w:rPr>
          <w:rFonts w:cstheme="minorHAnsi"/>
          <w:sz w:val="20"/>
        </w:rPr>
        <w:t xml:space="preserve">: Aizsardzības stāvoklis nelabvēlīgs-nepietiekams (Unfavourable-Inadequate); </w:t>
      </w:r>
      <w:r w:rsidRPr="00675182">
        <w:rPr>
          <w:rFonts w:cstheme="minorHAnsi"/>
          <w:b/>
          <w:bCs/>
          <w:sz w:val="20"/>
        </w:rPr>
        <w:t>U2</w:t>
      </w:r>
      <w:r w:rsidRPr="00675182">
        <w:rPr>
          <w:rFonts w:cstheme="minorHAnsi"/>
          <w:sz w:val="20"/>
        </w:rPr>
        <w:t xml:space="preserve">: Aizsardzības stāvoklis nelabvēlīgs-slikts (Unfavourable-Bad); </w:t>
      </w:r>
      <w:r w:rsidRPr="00675182">
        <w:rPr>
          <w:rFonts w:cstheme="minorHAnsi"/>
          <w:b/>
          <w:bCs/>
          <w:sz w:val="20"/>
        </w:rPr>
        <w:t>XX</w:t>
      </w:r>
      <w:r w:rsidRPr="00675182">
        <w:rPr>
          <w:rFonts w:cstheme="minorHAnsi"/>
          <w:sz w:val="20"/>
        </w:rPr>
        <w:t xml:space="preserve">: Aizsardzības stāvoklis nezināms (Unknown). Apzīmējumi aizsardzības stāvokļa tendencei - </w:t>
      </w:r>
      <w:r w:rsidR="00AE4AB5" w:rsidRPr="00675182">
        <w:rPr>
          <w:rFonts w:cstheme="minorHAnsi"/>
          <w:sz w:val="20"/>
        </w:rPr>
        <w:t>I</w:t>
      </w:r>
      <w:r w:rsidRPr="00675182">
        <w:rPr>
          <w:rFonts w:cstheme="minorHAnsi"/>
          <w:sz w:val="20"/>
        </w:rPr>
        <w:t xml:space="preserve"> - uzlabojas; </w:t>
      </w:r>
      <w:r w:rsidR="00AE4AB5" w:rsidRPr="00675182">
        <w:rPr>
          <w:rFonts w:cstheme="minorHAnsi"/>
          <w:sz w:val="20"/>
        </w:rPr>
        <w:t>D</w:t>
      </w:r>
      <w:r w:rsidRPr="00675182">
        <w:rPr>
          <w:rFonts w:cstheme="minorHAnsi"/>
          <w:sz w:val="20"/>
        </w:rPr>
        <w:t xml:space="preserve">  - pasliktinās; </w:t>
      </w:r>
      <w:r w:rsidR="00AE4AB5" w:rsidRPr="00675182">
        <w:rPr>
          <w:rFonts w:cstheme="minorHAnsi"/>
          <w:sz w:val="20"/>
        </w:rPr>
        <w:t>S</w:t>
      </w:r>
      <w:r w:rsidRPr="00675182">
        <w:rPr>
          <w:rFonts w:cstheme="minorHAnsi"/>
          <w:sz w:val="20"/>
        </w:rPr>
        <w:t xml:space="preserve"> - stabils, x </w:t>
      </w:r>
      <w:r w:rsidR="00C971C2" w:rsidRPr="00675182">
        <w:rPr>
          <w:rFonts w:cstheme="minorHAnsi"/>
          <w:sz w:val="20"/>
        </w:rPr>
        <w:t>–</w:t>
      </w:r>
      <w:r w:rsidRPr="00675182">
        <w:rPr>
          <w:rFonts w:cstheme="minorHAnsi"/>
          <w:sz w:val="20"/>
        </w:rPr>
        <w:t xml:space="preserve"> nezināms</w:t>
      </w:r>
      <w:r w:rsidR="00C971C2" w:rsidRPr="00675182">
        <w:rPr>
          <w:rFonts w:cstheme="minorHAnsi"/>
          <w:sz w:val="20"/>
        </w:rPr>
        <w:t xml:space="preserve">. </w:t>
      </w:r>
      <w:r w:rsidR="003155A4" w:rsidRPr="00675182">
        <w:rPr>
          <w:rFonts w:cstheme="minorHAnsi"/>
          <w:sz w:val="20"/>
        </w:rPr>
        <w:t>–</w:t>
      </w:r>
    </w:p>
    <w:p w14:paraId="5ED62D1D" w14:textId="7BEE634E" w:rsidR="003155A4" w:rsidRPr="00675182" w:rsidRDefault="003155A4" w:rsidP="002B3341">
      <w:pPr>
        <w:rPr>
          <w:rFonts w:cstheme="minorHAnsi"/>
          <w:sz w:val="20"/>
        </w:rPr>
      </w:pPr>
    </w:p>
    <w:p w14:paraId="26B5AD92" w14:textId="0F4F1664" w:rsidR="00266EDF" w:rsidRPr="00675182" w:rsidRDefault="00266EDF" w:rsidP="00266EDF">
      <w:pPr>
        <w:rPr>
          <w:rFonts w:cstheme="minorHAnsi"/>
          <w:b/>
          <w:i/>
        </w:rPr>
      </w:pPr>
      <w:r w:rsidRPr="00675182">
        <w:rPr>
          <w:rFonts w:cstheme="minorHAnsi"/>
          <w:b/>
          <w:i/>
        </w:rPr>
        <w:t>2.3.</w:t>
      </w:r>
      <w:r w:rsidR="00162901" w:rsidRPr="00675182">
        <w:rPr>
          <w:rFonts w:cstheme="minorHAnsi"/>
          <w:b/>
          <w:i/>
        </w:rPr>
        <w:t>2.</w:t>
      </w:r>
      <w:r w:rsidRPr="00675182">
        <w:rPr>
          <w:rFonts w:cstheme="minorHAnsi"/>
          <w:b/>
          <w:i/>
        </w:rPr>
        <w:t xml:space="preserve"> tabula. Pārskats par biotopu platību izmaiņām, veicot biotopu kartējuma aktualizāciju GNP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2053"/>
        <w:gridCol w:w="2257"/>
        <w:gridCol w:w="2053"/>
        <w:gridCol w:w="4452"/>
      </w:tblGrid>
      <w:tr w:rsidR="00266EDF" w:rsidRPr="00675182" w14:paraId="78BA3EB1" w14:textId="77777777" w:rsidTr="0050300D">
        <w:trPr>
          <w:cantSplit/>
          <w:trHeight w:val="284"/>
          <w:tblHeader/>
        </w:trPr>
        <w:tc>
          <w:tcPr>
            <w:tcW w:w="1123" w:type="pct"/>
            <w:shd w:val="clear" w:color="auto" w:fill="D6E3BC" w:themeFill="accent3" w:themeFillTint="66"/>
            <w:vAlign w:val="center"/>
            <w:hideMark/>
          </w:tcPr>
          <w:p w14:paraId="22D08D4A" w14:textId="77777777" w:rsidR="00266EDF" w:rsidRPr="00675182" w:rsidRDefault="00266EDF">
            <w:pPr>
              <w:suppressAutoHyphens w:val="0"/>
              <w:jc w:val="center"/>
              <w:rPr>
                <w:rFonts w:eastAsia="Times New Roman" w:cstheme="minorHAnsi"/>
                <w:b/>
                <w:bCs/>
                <w:sz w:val="22"/>
                <w:szCs w:val="22"/>
                <w:lang w:eastAsia="en-GB"/>
              </w:rPr>
            </w:pPr>
            <w:r w:rsidRPr="00675182">
              <w:rPr>
                <w:rFonts w:eastAsia="Times New Roman" w:cstheme="minorHAnsi"/>
                <w:b/>
                <w:bCs/>
                <w:sz w:val="22"/>
                <w:szCs w:val="22"/>
                <w:lang w:eastAsia="en-GB"/>
              </w:rPr>
              <w:t>ES biotopa kods un nosaukums (*-prioritārs biotops)</w:t>
            </w:r>
          </w:p>
        </w:tc>
        <w:tc>
          <w:tcPr>
            <w:tcW w:w="736" w:type="pct"/>
            <w:shd w:val="clear" w:color="auto" w:fill="D6E3BC" w:themeFill="accent3" w:themeFillTint="66"/>
            <w:vAlign w:val="center"/>
            <w:hideMark/>
          </w:tcPr>
          <w:p w14:paraId="35C912CB" w14:textId="372A71C0" w:rsidR="00266EDF" w:rsidRPr="00675182" w:rsidRDefault="00266EDF">
            <w:pPr>
              <w:suppressAutoHyphens w:val="0"/>
              <w:jc w:val="center"/>
              <w:rPr>
                <w:rFonts w:eastAsia="Times New Roman" w:cstheme="minorHAnsi"/>
                <w:b/>
                <w:bCs/>
                <w:sz w:val="22"/>
                <w:szCs w:val="22"/>
                <w:lang w:eastAsia="en-GB"/>
              </w:rPr>
            </w:pPr>
            <w:r w:rsidRPr="00675182">
              <w:rPr>
                <w:rFonts w:eastAsia="Times New Roman" w:cstheme="minorHAnsi"/>
                <w:b/>
                <w:bCs/>
                <w:kern w:val="24"/>
                <w:sz w:val="22"/>
                <w:szCs w:val="22"/>
                <w:lang w:eastAsia="lv-LV"/>
              </w:rPr>
              <w:t>Platība Natura SDF</w:t>
            </w:r>
            <w:r w:rsidR="00DA5D61">
              <w:rPr>
                <w:rFonts w:eastAsia="Times New Roman" w:cstheme="minorHAnsi"/>
                <w:b/>
                <w:bCs/>
                <w:kern w:val="24"/>
                <w:sz w:val="22"/>
                <w:szCs w:val="22"/>
                <w:lang w:eastAsia="lv-LV"/>
              </w:rPr>
              <w:t xml:space="preserve"> (2019.gads)</w:t>
            </w:r>
            <w:r w:rsidRPr="00675182">
              <w:rPr>
                <w:rFonts w:eastAsia="Times New Roman" w:cstheme="minorHAnsi"/>
                <w:b/>
                <w:bCs/>
                <w:kern w:val="24"/>
                <w:sz w:val="22"/>
                <w:szCs w:val="22"/>
                <w:lang w:eastAsia="lv-LV"/>
              </w:rPr>
              <w:t>, ha</w:t>
            </w:r>
          </w:p>
        </w:tc>
        <w:tc>
          <w:tcPr>
            <w:tcW w:w="809" w:type="pct"/>
            <w:shd w:val="clear" w:color="auto" w:fill="D6E3BC" w:themeFill="accent3" w:themeFillTint="66"/>
            <w:vAlign w:val="center"/>
            <w:hideMark/>
          </w:tcPr>
          <w:p w14:paraId="7DE2D773" w14:textId="77777777" w:rsidR="00266EDF" w:rsidRPr="00675182" w:rsidRDefault="00266EDF">
            <w:pPr>
              <w:suppressAutoHyphens w:val="0"/>
              <w:jc w:val="center"/>
              <w:rPr>
                <w:rFonts w:eastAsia="Times New Roman" w:cstheme="minorHAnsi"/>
                <w:b/>
                <w:bCs/>
                <w:sz w:val="22"/>
                <w:szCs w:val="22"/>
                <w:lang w:eastAsia="en-GB"/>
              </w:rPr>
            </w:pPr>
            <w:r w:rsidRPr="00675182">
              <w:rPr>
                <w:rFonts w:eastAsia="Times New Roman" w:cstheme="minorHAnsi"/>
                <w:b/>
                <w:bCs/>
                <w:sz w:val="22"/>
                <w:szCs w:val="22"/>
                <w:lang w:eastAsia="en-GB"/>
              </w:rPr>
              <w:t>Aktualizētā platība, ha</w:t>
            </w:r>
          </w:p>
        </w:tc>
        <w:tc>
          <w:tcPr>
            <w:tcW w:w="736" w:type="pct"/>
            <w:shd w:val="clear" w:color="auto" w:fill="D6E3BC" w:themeFill="accent3" w:themeFillTint="66"/>
            <w:vAlign w:val="center"/>
            <w:hideMark/>
          </w:tcPr>
          <w:p w14:paraId="02705197" w14:textId="5B712F83" w:rsidR="00266EDF" w:rsidRPr="00675182" w:rsidRDefault="00266EDF">
            <w:pPr>
              <w:suppressAutoHyphens w:val="0"/>
              <w:jc w:val="center"/>
              <w:rPr>
                <w:rFonts w:eastAsia="Times New Roman" w:cstheme="minorHAnsi"/>
                <w:b/>
                <w:bCs/>
                <w:sz w:val="22"/>
                <w:szCs w:val="22"/>
                <w:lang w:eastAsia="en-GB"/>
              </w:rPr>
            </w:pPr>
            <w:r w:rsidRPr="00675182">
              <w:rPr>
                <w:rFonts w:eastAsia="Times New Roman" w:cstheme="minorHAnsi"/>
                <w:b/>
                <w:bCs/>
                <w:sz w:val="22"/>
                <w:szCs w:val="22"/>
                <w:lang w:eastAsia="en-GB"/>
              </w:rPr>
              <w:t>Starpība</w:t>
            </w:r>
            <w:r w:rsidR="00CA06D7">
              <w:rPr>
                <w:rFonts w:eastAsia="Times New Roman" w:cstheme="minorHAnsi"/>
                <w:b/>
                <w:bCs/>
                <w:sz w:val="22"/>
                <w:szCs w:val="22"/>
                <w:lang w:eastAsia="en-GB"/>
              </w:rPr>
              <w:t>, ha</w:t>
            </w:r>
          </w:p>
        </w:tc>
        <w:tc>
          <w:tcPr>
            <w:tcW w:w="1596" w:type="pct"/>
            <w:shd w:val="clear" w:color="auto" w:fill="D6E3BC" w:themeFill="accent3" w:themeFillTint="66"/>
            <w:vAlign w:val="center"/>
            <w:hideMark/>
          </w:tcPr>
          <w:p w14:paraId="29F6B63E" w14:textId="77777777" w:rsidR="00266EDF" w:rsidRPr="00675182" w:rsidRDefault="00266EDF">
            <w:pPr>
              <w:suppressAutoHyphens w:val="0"/>
              <w:jc w:val="center"/>
              <w:rPr>
                <w:rFonts w:eastAsia="Times New Roman" w:cstheme="minorHAnsi"/>
                <w:b/>
                <w:bCs/>
                <w:sz w:val="22"/>
                <w:szCs w:val="22"/>
                <w:lang w:eastAsia="en-GB"/>
              </w:rPr>
            </w:pPr>
            <w:r w:rsidRPr="00675182">
              <w:rPr>
                <w:rFonts w:eastAsia="Times New Roman" w:cstheme="minorHAnsi"/>
                <w:b/>
                <w:bCs/>
                <w:sz w:val="22"/>
                <w:szCs w:val="22"/>
                <w:lang w:eastAsia="en-GB"/>
              </w:rPr>
              <w:t>Iemesls</w:t>
            </w:r>
          </w:p>
        </w:tc>
      </w:tr>
      <w:tr w:rsidR="001C129B" w:rsidRPr="00675182" w14:paraId="25E9880A" w14:textId="77777777" w:rsidTr="00B02532">
        <w:trPr>
          <w:cantSplit/>
          <w:trHeight w:val="284"/>
        </w:trPr>
        <w:tc>
          <w:tcPr>
            <w:tcW w:w="1123" w:type="pct"/>
            <w:shd w:val="clear" w:color="auto" w:fill="auto"/>
            <w:vAlign w:val="center"/>
          </w:tcPr>
          <w:p w14:paraId="1C03F8CD" w14:textId="52DA06C1" w:rsidR="001C129B" w:rsidRPr="00675182" w:rsidRDefault="001C129B" w:rsidP="001C129B">
            <w:pPr>
              <w:rPr>
                <w:rFonts w:cstheme="minorHAnsi"/>
                <w:sz w:val="22"/>
                <w:szCs w:val="22"/>
              </w:rPr>
            </w:pPr>
            <w:r w:rsidRPr="00675182">
              <w:rPr>
                <w:rFonts w:cstheme="minorHAnsi"/>
                <w:sz w:val="22"/>
                <w:szCs w:val="22"/>
              </w:rPr>
              <w:t>2180 Mežainas piejūras kāpas</w:t>
            </w:r>
          </w:p>
        </w:tc>
        <w:tc>
          <w:tcPr>
            <w:tcW w:w="736" w:type="pct"/>
            <w:shd w:val="clear" w:color="auto" w:fill="auto"/>
            <w:vAlign w:val="center"/>
          </w:tcPr>
          <w:p w14:paraId="5F6C848C" w14:textId="2A5847E4" w:rsidR="001C129B" w:rsidRPr="00675182" w:rsidRDefault="001C129B" w:rsidP="00B02532">
            <w:pPr>
              <w:jc w:val="center"/>
              <w:rPr>
                <w:rFonts w:cstheme="minorHAnsi"/>
                <w:sz w:val="22"/>
                <w:szCs w:val="22"/>
              </w:rPr>
            </w:pPr>
            <w:r w:rsidRPr="00675182">
              <w:rPr>
                <w:rFonts w:cstheme="minorHAnsi"/>
                <w:color w:val="000000"/>
                <w:sz w:val="22"/>
                <w:szCs w:val="22"/>
              </w:rPr>
              <w:t>53,67</w:t>
            </w:r>
          </w:p>
        </w:tc>
        <w:tc>
          <w:tcPr>
            <w:tcW w:w="809" w:type="pct"/>
            <w:shd w:val="clear" w:color="auto" w:fill="auto"/>
            <w:noWrap/>
            <w:vAlign w:val="center"/>
          </w:tcPr>
          <w:p w14:paraId="6125D1EA" w14:textId="7CED79F9" w:rsidR="001C129B" w:rsidRPr="00675182" w:rsidRDefault="001C129B" w:rsidP="00B02532">
            <w:pPr>
              <w:jc w:val="center"/>
              <w:rPr>
                <w:rFonts w:cstheme="minorHAnsi"/>
                <w:sz w:val="22"/>
                <w:szCs w:val="22"/>
              </w:rPr>
            </w:pPr>
            <w:r w:rsidRPr="00675182">
              <w:rPr>
                <w:rFonts w:cstheme="minorHAnsi"/>
                <w:b/>
                <w:bCs/>
                <w:color w:val="000000"/>
                <w:sz w:val="22"/>
                <w:szCs w:val="22"/>
              </w:rPr>
              <w:t>-</w:t>
            </w:r>
          </w:p>
        </w:tc>
        <w:tc>
          <w:tcPr>
            <w:tcW w:w="736" w:type="pct"/>
            <w:shd w:val="clear" w:color="000000" w:fill="F8CBAD"/>
            <w:vAlign w:val="center"/>
          </w:tcPr>
          <w:p w14:paraId="02F2DCCC" w14:textId="2A5D002F" w:rsidR="001C129B" w:rsidRPr="00675182" w:rsidRDefault="001C129B" w:rsidP="00B02532">
            <w:pPr>
              <w:jc w:val="center"/>
              <w:rPr>
                <w:rFonts w:cstheme="minorHAnsi"/>
                <w:sz w:val="22"/>
                <w:szCs w:val="22"/>
              </w:rPr>
            </w:pPr>
            <w:r w:rsidRPr="00675182">
              <w:rPr>
                <w:rFonts w:cstheme="minorHAnsi"/>
                <w:sz w:val="22"/>
                <w:szCs w:val="22"/>
              </w:rPr>
              <w:t>53,67</w:t>
            </w:r>
          </w:p>
        </w:tc>
        <w:tc>
          <w:tcPr>
            <w:tcW w:w="1596" w:type="pct"/>
            <w:vAlign w:val="center"/>
          </w:tcPr>
          <w:p w14:paraId="3A0D28F8" w14:textId="2D6FE81F" w:rsidR="001C129B" w:rsidRPr="00675182" w:rsidRDefault="001C129B" w:rsidP="001C129B">
            <w:pPr>
              <w:suppressAutoHyphens w:val="0"/>
              <w:rPr>
                <w:rFonts w:eastAsia="Times New Roman" w:cstheme="minorHAnsi"/>
                <w:sz w:val="22"/>
                <w:szCs w:val="22"/>
                <w:lang w:eastAsia="en-GB"/>
              </w:rPr>
            </w:pPr>
            <w:r w:rsidRPr="00675182">
              <w:rPr>
                <w:rFonts w:eastAsia="Times New Roman" w:cstheme="minorHAnsi"/>
                <w:sz w:val="22"/>
                <w:szCs w:val="22"/>
                <w:lang w:eastAsia="en-GB"/>
              </w:rPr>
              <w:t xml:space="preserve">Precizēta </w:t>
            </w:r>
            <w:r w:rsidR="00DA5D61">
              <w:rPr>
                <w:rFonts w:eastAsia="Times New Roman" w:cstheme="minorHAnsi"/>
                <w:sz w:val="22"/>
                <w:szCs w:val="22"/>
                <w:lang w:eastAsia="en-GB"/>
              </w:rPr>
              <w:t>ES nozīmes</w:t>
            </w:r>
            <w:r w:rsidRPr="00675182">
              <w:rPr>
                <w:rFonts w:eastAsia="Times New Roman" w:cstheme="minorHAnsi"/>
                <w:sz w:val="22"/>
                <w:szCs w:val="22"/>
                <w:lang w:eastAsia="en-GB"/>
              </w:rPr>
              <w:t xml:space="preserve"> biotopu noteikšanas metodika un kartēšanas pieeja. Teritorijas neatbilst ES biotopa kritērijiem.</w:t>
            </w:r>
          </w:p>
        </w:tc>
      </w:tr>
      <w:tr w:rsidR="001C129B" w:rsidRPr="00675182" w14:paraId="00AFCFBB" w14:textId="77777777" w:rsidTr="00B02532">
        <w:trPr>
          <w:cantSplit/>
          <w:trHeight w:val="284"/>
        </w:trPr>
        <w:tc>
          <w:tcPr>
            <w:tcW w:w="1123" w:type="pct"/>
            <w:shd w:val="clear" w:color="auto" w:fill="auto"/>
            <w:vAlign w:val="center"/>
          </w:tcPr>
          <w:p w14:paraId="7F5749E5" w14:textId="26CEDDDE" w:rsidR="001C129B" w:rsidRPr="00675182" w:rsidRDefault="001C129B" w:rsidP="001C129B">
            <w:pPr>
              <w:rPr>
                <w:rFonts w:cstheme="minorHAnsi"/>
                <w:sz w:val="22"/>
                <w:szCs w:val="22"/>
              </w:rPr>
            </w:pPr>
            <w:r w:rsidRPr="00675182">
              <w:rPr>
                <w:rFonts w:cstheme="minorHAnsi"/>
                <w:sz w:val="22"/>
                <w:szCs w:val="22"/>
              </w:rPr>
              <w:t>3130 Ezeri ar oligotrofām līdz mezotrofām augu sabiedrībām</w:t>
            </w:r>
          </w:p>
        </w:tc>
        <w:tc>
          <w:tcPr>
            <w:tcW w:w="736" w:type="pct"/>
            <w:shd w:val="clear" w:color="auto" w:fill="auto"/>
            <w:vAlign w:val="center"/>
          </w:tcPr>
          <w:p w14:paraId="52BAC875" w14:textId="664DEA93" w:rsidR="001C129B" w:rsidRPr="00675182" w:rsidRDefault="001C129B" w:rsidP="00B02532">
            <w:pPr>
              <w:jc w:val="center"/>
              <w:rPr>
                <w:rFonts w:cstheme="minorHAnsi"/>
                <w:sz w:val="22"/>
                <w:szCs w:val="22"/>
              </w:rPr>
            </w:pPr>
            <w:r w:rsidRPr="00675182">
              <w:rPr>
                <w:rFonts w:cstheme="minorHAnsi"/>
                <w:color w:val="000000"/>
                <w:sz w:val="22"/>
                <w:szCs w:val="22"/>
              </w:rPr>
              <w:t>428,95</w:t>
            </w:r>
          </w:p>
        </w:tc>
        <w:tc>
          <w:tcPr>
            <w:tcW w:w="809" w:type="pct"/>
            <w:shd w:val="clear" w:color="auto" w:fill="auto"/>
            <w:noWrap/>
            <w:vAlign w:val="center"/>
          </w:tcPr>
          <w:p w14:paraId="62A90A7E" w14:textId="1AD0B9CE" w:rsidR="001C129B" w:rsidRPr="00675182" w:rsidRDefault="0050300D" w:rsidP="00B02532">
            <w:pPr>
              <w:jc w:val="center"/>
              <w:rPr>
                <w:rFonts w:cstheme="minorHAnsi"/>
                <w:sz w:val="22"/>
                <w:szCs w:val="22"/>
              </w:rPr>
            </w:pPr>
            <w:r w:rsidRPr="00675182">
              <w:rPr>
                <w:rFonts w:cstheme="minorHAnsi"/>
                <w:color w:val="000000"/>
                <w:sz w:val="22"/>
                <w:szCs w:val="22"/>
              </w:rPr>
              <w:t>42</w:t>
            </w:r>
            <w:r w:rsidR="00C31E6B">
              <w:rPr>
                <w:rFonts w:cstheme="minorHAnsi"/>
                <w:color w:val="000000"/>
                <w:sz w:val="22"/>
                <w:szCs w:val="22"/>
              </w:rPr>
              <w:t>9,00</w:t>
            </w:r>
          </w:p>
        </w:tc>
        <w:tc>
          <w:tcPr>
            <w:tcW w:w="736" w:type="pct"/>
            <w:shd w:val="clear" w:color="000000" w:fill="A9D08E"/>
            <w:vAlign w:val="center"/>
          </w:tcPr>
          <w:p w14:paraId="0A046363" w14:textId="1EAA7E43" w:rsidR="001C129B" w:rsidRPr="00675182" w:rsidRDefault="001C129B" w:rsidP="00B02532">
            <w:pPr>
              <w:jc w:val="center"/>
              <w:rPr>
                <w:rFonts w:cstheme="minorHAnsi"/>
                <w:sz w:val="22"/>
                <w:szCs w:val="22"/>
              </w:rPr>
            </w:pPr>
            <w:r w:rsidRPr="00675182">
              <w:rPr>
                <w:rFonts w:cstheme="minorHAnsi"/>
                <w:sz w:val="22"/>
                <w:szCs w:val="22"/>
              </w:rPr>
              <w:t>0,</w:t>
            </w:r>
            <w:r w:rsidR="0050300D" w:rsidRPr="00675182">
              <w:rPr>
                <w:rFonts w:cstheme="minorHAnsi"/>
                <w:sz w:val="22"/>
                <w:szCs w:val="22"/>
              </w:rPr>
              <w:t>0</w:t>
            </w:r>
            <w:r w:rsidR="00C31E6B">
              <w:rPr>
                <w:rFonts w:cstheme="minorHAnsi"/>
                <w:sz w:val="22"/>
                <w:szCs w:val="22"/>
              </w:rPr>
              <w:t>9</w:t>
            </w:r>
          </w:p>
        </w:tc>
        <w:tc>
          <w:tcPr>
            <w:tcW w:w="1596" w:type="pct"/>
            <w:vAlign w:val="center"/>
          </w:tcPr>
          <w:p w14:paraId="656577BF" w14:textId="6CC41E1B" w:rsidR="001C129B" w:rsidRPr="00675182" w:rsidRDefault="001C129B" w:rsidP="001C129B">
            <w:pPr>
              <w:suppressAutoHyphens w:val="0"/>
              <w:rPr>
                <w:rFonts w:eastAsia="Times New Roman" w:cstheme="minorHAnsi"/>
                <w:sz w:val="22"/>
                <w:szCs w:val="22"/>
                <w:lang w:eastAsia="en-GB"/>
              </w:rPr>
            </w:pPr>
            <w:r w:rsidRPr="00675182">
              <w:rPr>
                <w:rFonts w:cstheme="minorHAnsi"/>
                <w:sz w:val="22"/>
                <w:szCs w:val="22"/>
              </w:rPr>
              <w:t xml:space="preserve">Detalizēta </w:t>
            </w:r>
            <w:r w:rsidR="00DA5D61">
              <w:rPr>
                <w:rFonts w:cstheme="minorHAnsi"/>
                <w:sz w:val="22"/>
                <w:szCs w:val="22"/>
              </w:rPr>
              <w:t>ES nozīmes</w:t>
            </w:r>
            <w:r w:rsidRPr="00675182">
              <w:rPr>
                <w:rFonts w:cstheme="minorHAnsi"/>
                <w:sz w:val="22"/>
                <w:szCs w:val="22"/>
              </w:rPr>
              <w:t xml:space="preserve"> biotopu inventarizācija 2017. gadā projekta "Priekšnosacījumu izveide labākai bioloģiskās daudzveidības saglabāšanai un ekosistēmu aizsardzībai Latvijā " ietvaros</w:t>
            </w:r>
          </w:p>
        </w:tc>
      </w:tr>
      <w:tr w:rsidR="001C129B" w:rsidRPr="00675182" w14:paraId="263C60F2" w14:textId="77777777" w:rsidTr="00B02532">
        <w:trPr>
          <w:cantSplit/>
          <w:trHeight w:val="284"/>
        </w:trPr>
        <w:tc>
          <w:tcPr>
            <w:tcW w:w="1123" w:type="pct"/>
            <w:shd w:val="clear" w:color="auto" w:fill="auto"/>
            <w:vAlign w:val="center"/>
          </w:tcPr>
          <w:p w14:paraId="483479E5" w14:textId="190C301C" w:rsidR="001C129B" w:rsidRPr="00675182" w:rsidRDefault="001C129B" w:rsidP="001C129B">
            <w:pPr>
              <w:rPr>
                <w:rFonts w:cstheme="minorHAnsi"/>
                <w:sz w:val="22"/>
                <w:szCs w:val="22"/>
              </w:rPr>
            </w:pPr>
            <w:r w:rsidRPr="00675182">
              <w:rPr>
                <w:rFonts w:cstheme="minorHAnsi"/>
                <w:sz w:val="22"/>
                <w:szCs w:val="22"/>
              </w:rPr>
              <w:t>3140 Ezeri ar mieturaļģu augāju</w:t>
            </w:r>
          </w:p>
        </w:tc>
        <w:tc>
          <w:tcPr>
            <w:tcW w:w="736" w:type="pct"/>
            <w:shd w:val="clear" w:color="auto" w:fill="auto"/>
            <w:vAlign w:val="center"/>
          </w:tcPr>
          <w:p w14:paraId="203531A4" w14:textId="6D738586" w:rsidR="001C129B" w:rsidRPr="00675182" w:rsidRDefault="001C129B" w:rsidP="00B02532">
            <w:pPr>
              <w:jc w:val="center"/>
              <w:rPr>
                <w:rFonts w:cstheme="minorHAnsi"/>
                <w:sz w:val="22"/>
                <w:szCs w:val="22"/>
              </w:rPr>
            </w:pPr>
            <w:r w:rsidRPr="00675182">
              <w:rPr>
                <w:rFonts w:cstheme="minorHAnsi"/>
                <w:color w:val="000000"/>
                <w:sz w:val="22"/>
                <w:szCs w:val="22"/>
              </w:rPr>
              <w:t>32,1</w:t>
            </w:r>
          </w:p>
        </w:tc>
        <w:tc>
          <w:tcPr>
            <w:tcW w:w="809" w:type="pct"/>
            <w:shd w:val="clear" w:color="auto" w:fill="auto"/>
            <w:noWrap/>
            <w:vAlign w:val="center"/>
          </w:tcPr>
          <w:p w14:paraId="33BE2630" w14:textId="68EF87FA" w:rsidR="001C129B" w:rsidRPr="00675182" w:rsidRDefault="001C129B" w:rsidP="00B02532">
            <w:pPr>
              <w:jc w:val="center"/>
              <w:rPr>
                <w:rFonts w:cstheme="minorHAnsi"/>
                <w:sz w:val="22"/>
                <w:szCs w:val="22"/>
              </w:rPr>
            </w:pPr>
            <w:r w:rsidRPr="00675182">
              <w:rPr>
                <w:rFonts w:cstheme="minorHAnsi"/>
                <w:sz w:val="22"/>
                <w:szCs w:val="22"/>
              </w:rPr>
              <w:t>30,7</w:t>
            </w:r>
          </w:p>
        </w:tc>
        <w:tc>
          <w:tcPr>
            <w:tcW w:w="736" w:type="pct"/>
            <w:shd w:val="clear" w:color="000000" w:fill="F8CBAD"/>
            <w:vAlign w:val="center"/>
          </w:tcPr>
          <w:p w14:paraId="20CBCF77" w14:textId="67941479" w:rsidR="001C129B" w:rsidRPr="00675182" w:rsidRDefault="001C129B" w:rsidP="00B02532">
            <w:pPr>
              <w:jc w:val="center"/>
              <w:rPr>
                <w:rFonts w:cstheme="minorHAnsi"/>
                <w:sz w:val="22"/>
                <w:szCs w:val="22"/>
              </w:rPr>
            </w:pPr>
            <w:r w:rsidRPr="00675182">
              <w:rPr>
                <w:rFonts w:cstheme="minorHAnsi"/>
                <w:sz w:val="22"/>
                <w:szCs w:val="22"/>
              </w:rPr>
              <w:t>-1,37</w:t>
            </w:r>
          </w:p>
        </w:tc>
        <w:tc>
          <w:tcPr>
            <w:tcW w:w="1596" w:type="pct"/>
            <w:vAlign w:val="center"/>
          </w:tcPr>
          <w:p w14:paraId="45E2BB68" w14:textId="6C617A2C" w:rsidR="001C129B" w:rsidRPr="00675182" w:rsidRDefault="001C129B" w:rsidP="001C129B">
            <w:pPr>
              <w:suppressAutoHyphens w:val="0"/>
              <w:rPr>
                <w:rFonts w:eastAsia="Times New Roman" w:cstheme="minorHAnsi"/>
                <w:sz w:val="22"/>
                <w:szCs w:val="22"/>
                <w:lang w:eastAsia="en-GB"/>
              </w:rPr>
            </w:pPr>
            <w:r w:rsidRPr="00675182">
              <w:rPr>
                <w:rFonts w:cstheme="minorHAnsi"/>
                <w:sz w:val="22"/>
                <w:szCs w:val="22"/>
              </w:rPr>
              <w:t>Detalizēta</w:t>
            </w:r>
            <w:r w:rsidR="00DA5D61">
              <w:t xml:space="preserve"> </w:t>
            </w:r>
            <w:r w:rsidR="00DA5D61" w:rsidRPr="00DA5D61">
              <w:rPr>
                <w:rFonts w:cstheme="minorHAnsi"/>
                <w:sz w:val="22"/>
                <w:szCs w:val="22"/>
              </w:rPr>
              <w:t xml:space="preserve">ES nozīmes </w:t>
            </w:r>
            <w:r w:rsidRPr="00675182">
              <w:rPr>
                <w:rFonts w:cstheme="minorHAnsi"/>
                <w:sz w:val="22"/>
                <w:szCs w:val="22"/>
              </w:rPr>
              <w:t>biotopu inventarizācija 2017. gadā projekta "Priekšnosacījumu izveide labākai bioloģiskās daudzveidības saglabāšanai un ekosistēmu aizsardzībai Latvijā " ietvaros</w:t>
            </w:r>
          </w:p>
        </w:tc>
      </w:tr>
      <w:tr w:rsidR="0050300D" w:rsidRPr="00675182" w14:paraId="68D592CA" w14:textId="77777777" w:rsidTr="00B02532">
        <w:trPr>
          <w:cantSplit/>
          <w:trHeight w:val="284"/>
        </w:trPr>
        <w:tc>
          <w:tcPr>
            <w:tcW w:w="1123" w:type="pct"/>
            <w:shd w:val="clear" w:color="auto" w:fill="auto"/>
            <w:vAlign w:val="center"/>
          </w:tcPr>
          <w:p w14:paraId="26FE249A" w14:textId="327CBFD9" w:rsidR="0050300D" w:rsidRPr="00675182" w:rsidRDefault="0050300D" w:rsidP="0050300D">
            <w:pPr>
              <w:rPr>
                <w:rFonts w:cstheme="minorHAnsi"/>
                <w:sz w:val="22"/>
                <w:szCs w:val="22"/>
              </w:rPr>
            </w:pPr>
            <w:r w:rsidRPr="00675182">
              <w:rPr>
                <w:rFonts w:cstheme="minorHAnsi"/>
                <w:sz w:val="22"/>
                <w:szCs w:val="22"/>
              </w:rPr>
              <w:t>3150 Eitrofi ezeri ar iegrimušo ūdensaugu un peldaugu augāju</w:t>
            </w:r>
          </w:p>
        </w:tc>
        <w:tc>
          <w:tcPr>
            <w:tcW w:w="736" w:type="pct"/>
            <w:shd w:val="clear" w:color="auto" w:fill="auto"/>
            <w:vAlign w:val="center"/>
          </w:tcPr>
          <w:p w14:paraId="7ECF0201" w14:textId="2E19708E" w:rsidR="0050300D" w:rsidRPr="00675182" w:rsidRDefault="0050300D" w:rsidP="00B02532">
            <w:pPr>
              <w:jc w:val="center"/>
              <w:rPr>
                <w:rFonts w:cstheme="minorHAnsi"/>
                <w:sz w:val="22"/>
                <w:szCs w:val="22"/>
              </w:rPr>
            </w:pPr>
            <w:r w:rsidRPr="00675182">
              <w:rPr>
                <w:rFonts w:cstheme="minorHAnsi"/>
                <w:color w:val="000000"/>
                <w:sz w:val="22"/>
                <w:szCs w:val="22"/>
              </w:rPr>
              <w:t>60,54</w:t>
            </w:r>
          </w:p>
        </w:tc>
        <w:tc>
          <w:tcPr>
            <w:tcW w:w="809" w:type="pct"/>
            <w:shd w:val="clear" w:color="auto" w:fill="auto"/>
            <w:noWrap/>
            <w:vAlign w:val="center"/>
          </w:tcPr>
          <w:p w14:paraId="668CED4D" w14:textId="36DE321A" w:rsidR="0050300D" w:rsidRPr="00675182" w:rsidRDefault="0050300D" w:rsidP="00B02532">
            <w:pPr>
              <w:jc w:val="center"/>
              <w:rPr>
                <w:rFonts w:cstheme="minorHAnsi"/>
                <w:sz w:val="22"/>
                <w:szCs w:val="22"/>
              </w:rPr>
            </w:pPr>
            <w:r w:rsidRPr="00675182">
              <w:rPr>
                <w:rFonts w:cstheme="minorHAnsi"/>
                <w:sz w:val="22"/>
                <w:szCs w:val="22"/>
              </w:rPr>
              <w:t>5</w:t>
            </w:r>
            <w:r w:rsidR="00C31E6B">
              <w:rPr>
                <w:rFonts w:cstheme="minorHAnsi"/>
                <w:sz w:val="22"/>
                <w:szCs w:val="22"/>
              </w:rPr>
              <w:t>29</w:t>
            </w:r>
            <w:r w:rsidRPr="00675182">
              <w:rPr>
                <w:rFonts w:cstheme="minorHAnsi"/>
                <w:sz w:val="22"/>
                <w:szCs w:val="22"/>
              </w:rPr>
              <w:t>,</w:t>
            </w:r>
            <w:r w:rsidR="00C31E6B">
              <w:rPr>
                <w:rFonts w:cstheme="minorHAnsi"/>
                <w:sz w:val="22"/>
                <w:szCs w:val="22"/>
              </w:rPr>
              <w:t>8</w:t>
            </w:r>
          </w:p>
        </w:tc>
        <w:tc>
          <w:tcPr>
            <w:tcW w:w="736" w:type="pct"/>
            <w:shd w:val="clear" w:color="000000" w:fill="A9D08E"/>
            <w:vAlign w:val="center"/>
          </w:tcPr>
          <w:p w14:paraId="47789670" w14:textId="495809EE" w:rsidR="0050300D" w:rsidRPr="00C31E6B" w:rsidRDefault="00C31E6B" w:rsidP="00C31E6B">
            <w:pPr>
              <w:suppressAutoHyphens w:val="0"/>
              <w:jc w:val="center"/>
              <w:rPr>
                <w:rFonts w:cstheme="minorHAnsi"/>
                <w:sz w:val="22"/>
                <w:szCs w:val="22"/>
              </w:rPr>
            </w:pPr>
            <w:r w:rsidRPr="00C31E6B">
              <w:rPr>
                <w:rFonts w:cstheme="minorHAnsi"/>
                <w:sz w:val="20"/>
              </w:rPr>
              <w:t>469,28</w:t>
            </w:r>
          </w:p>
        </w:tc>
        <w:tc>
          <w:tcPr>
            <w:tcW w:w="1596" w:type="pct"/>
            <w:vAlign w:val="center"/>
          </w:tcPr>
          <w:p w14:paraId="78301D00" w14:textId="6D9F7927" w:rsidR="0050300D" w:rsidRPr="00675182" w:rsidRDefault="0050300D" w:rsidP="0050300D">
            <w:pPr>
              <w:suppressAutoHyphens w:val="0"/>
              <w:rPr>
                <w:rFonts w:eastAsia="Times New Roman" w:cstheme="minorHAnsi"/>
                <w:sz w:val="22"/>
                <w:szCs w:val="22"/>
                <w:lang w:eastAsia="en-GB"/>
              </w:rPr>
            </w:pPr>
            <w:r w:rsidRPr="00675182">
              <w:rPr>
                <w:rFonts w:cstheme="minorHAnsi"/>
                <w:sz w:val="22"/>
                <w:szCs w:val="22"/>
              </w:rPr>
              <w:t xml:space="preserve">Detalizēta </w:t>
            </w:r>
            <w:r w:rsidR="00DA5D61" w:rsidRPr="00DA5D61">
              <w:rPr>
                <w:rFonts w:cstheme="minorHAnsi"/>
                <w:sz w:val="22"/>
                <w:szCs w:val="22"/>
              </w:rPr>
              <w:t xml:space="preserve">ES nozīmes </w:t>
            </w:r>
            <w:r w:rsidR="00FC2521">
              <w:rPr>
                <w:rFonts w:cstheme="minorHAnsi"/>
                <w:sz w:val="22"/>
                <w:szCs w:val="22"/>
              </w:rPr>
              <w:t xml:space="preserve"> </w:t>
            </w:r>
            <w:r w:rsidRPr="00675182">
              <w:rPr>
                <w:rFonts w:cstheme="minorHAnsi"/>
                <w:sz w:val="22"/>
                <w:szCs w:val="22"/>
              </w:rPr>
              <w:t>biotopu inventarizācija 2017. gadā projekta "Priekšnosacījumu izveide labākai bioloģiskās daudzveidības saglabāšanai un ekosistēmu aizsardzībai Latvijā " ietvaros</w:t>
            </w:r>
          </w:p>
        </w:tc>
      </w:tr>
      <w:tr w:rsidR="0050300D" w:rsidRPr="00675182" w14:paraId="6BA55009" w14:textId="77777777" w:rsidTr="00B02532">
        <w:trPr>
          <w:cantSplit/>
          <w:trHeight w:val="284"/>
        </w:trPr>
        <w:tc>
          <w:tcPr>
            <w:tcW w:w="1123" w:type="pct"/>
            <w:shd w:val="clear" w:color="auto" w:fill="auto"/>
            <w:vAlign w:val="center"/>
          </w:tcPr>
          <w:p w14:paraId="72F204FF" w14:textId="55BCCF3B" w:rsidR="0050300D" w:rsidRPr="00675182" w:rsidRDefault="0050300D" w:rsidP="0050300D">
            <w:pPr>
              <w:rPr>
                <w:rFonts w:cstheme="minorHAnsi"/>
                <w:sz w:val="22"/>
                <w:szCs w:val="22"/>
              </w:rPr>
            </w:pPr>
            <w:r w:rsidRPr="00675182">
              <w:rPr>
                <w:rFonts w:cstheme="minorHAnsi"/>
                <w:sz w:val="22"/>
                <w:szCs w:val="22"/>
              </w:rPr>
              <w:t>3160 Distrofi ezeri</w:t>
            </w:r>
          </w:p>
        </w:tc>
        <w:tc>
          <w:tcPr>
            <w:tcW w:w="736" w:type="pct"/>
            <w:shd w:val="clear" w:color="auto" w:fill="auto"/>
            <w:vAlign w:val="center"/>
          </w:tcPr>
          <w:p w14:paraId="49B6B122" w14:textId="0BB3F29F" w:rsidR="0050300D" w:rsidRPr="00675182" w:rsidRDefault="0050300D" w:rsidP="00B02532">
            <w:pPr>
              <w:jc w:val="center"/>
              <w:rPr>
                <w:rFonts w:cstheme="minorHAnsi"/>
                <w:sz w:val="22"/>
                <w:szCs w:val="22"/>
              </w:rPr>
            </w:pPr>
            <w:r w:rsidRPr="00675182">
              <w:rPr>
                <w:rFonts w:cstheme="minorHAnsi"/>
                <w:color w:val="000000"/>
                <w:sz w:val="22"/>
                <w:szCs w:val="22"/>
              </w:rPr>
              <w:t>100,01</w:t>
            </w:r>
          </w:p>
        </w:tc>
        <w:tc>
          <w:tcPr>
            <w:tcW w:w="809" w:type="pct"/>
            <w:shd w:val="clear" w:color="auto" w:fill="auto"/>
            <w:noWrap/>
            <w:vAlign w:val="center"/>
          </w:tcPr>
          <w:p w14:paraId="00B640FE" w14:textId="7B9CD2AA" w:rsidR="0050300D" w:rsidRPr="00675182" w:rsidRDefault="001F7DE6" w:rsidP="00B02532">
            <w:pPr>
              <w:jc w:val="center"/>
              <w:rPr>
                <w:rFonts w:cstheme="minorHAnsi"/>
                <w:sz w:val="22"/>
                <w:szCs w:val="22"/>
              </w:rPr>
            </w:pPr>
            <w:r w:rsidRPr="001F7DE6">
              <w:rPr>
                <w:rFonts w:cstheme="minorHAnsi"/>
                <w:sz w:val="22"/>
                <w:szCs w:val="22"/>
              </w:rPr>
              <w:t>116,4</w:t>
            </w:r>
          </w:p>
        </w:tc>
        <w:tc>
          <w:tcPr>
            <w:tcW w:w="736" w:type="pct"/>
            <w:shd w:val="clear" w:color="000000" w:fill="A9D08E"/>
            <w:vAlign w:val="center"/>
          </w:tcPr>
          <w:p w14:paraId="6AE8095E" w14:textId="17B4ED8C" w:rsidR="0050300D" w:rsidRPr="00675182" w:rsidRDefault="0050300D" w:rsidP="00B02532">
            <w:pPr>
              <w:jc w:val="center"/>
              <w:rPr>
                <w:rFonts w:cstheme="minorHAnsi"/>
                <w:sz w:val="22"/>
                <w:szCs w:val="22"/>
              </w:rPr>
            </w:pPr>
            <w:r w:rsidRPr="00675182">
              <w:rPr>
                <w:rFonts w:cstheme="minorHAnsi"/>
                <w:sz w:val="22"/>
                <w:szCs w:val="22"/>
              </w:rPr>
              <w:t>1</w:t>
            </w:r>
            <w:r w:rsidR="001F7DE6">
              <w:rPr>
                <w:rFonts w:cstheme="minorHAnsi"/>
                <w:sz w:val="22"/>
                <w:szCs w:val="22"/>
              </w:rPr>
              <w:t>6</w:t>
            </w:r>
            <w:r w:rsidRPr="00675182">
              <w:rPr>
                <w:rFonts w:cstheme="minorHAnsi"/>
                <w:sz w:val="22"/>
                <w:szCs w:val="22"/>
              </w:rPr>
              <w:t>,</w:t>
            </w:r>
            <w:r w:rsidR="001F7DE6">
              <w:rPr>
                <w:rFonts w:cstheme="minorHAnsi"/>
                <w:sz w:val="22"/>
                <w:szCs w:val="22"/>
              </w:rPr>
              <w:t>4</w:t>
            </w:r>
            <w:r w:rsidRPr="00675182">
              <w:rPr>
                <w:rFonts w:cstheme="minorHAnsi"/>
                <w:sz w:val="22"/>
                <w:szCs w:val="22"/>
              </w:rPr>
              <w:t>3</w:t>
            </w:r>
          </w:p>
        </w:tc>
        <w:tc>
          <w:tcPr>
            <w:tcW w:w="1596" w:type="pct"/>
            <w:vAlign w:val="center"/>
          </w:tcPr>
          <w:p w14:paraId="62BC44B9" w14:textId="507D9F0E" w:rsidR="0050300D" w:rsidRPr="00675182" w:rsidRDefault="0050300D" w:rsidP="0050300D">
            <w:pPr>
              <w:suppressAutoHyphens w:val="0"/>
              <w:rPr>
                <w:rFonts w:eastAsia="Times New Roman" w:cstheme="minorHAnsi"/>
                <w:sz w:val="22"/>
                <w:szCs w:val="22"/>
                <w:lang w:eastAsia="en-GB"/>
              </w:rPr>
            </w:pPr>
            <w:r w:rsidRPr="00675182">
              <w:rPr>
                <w:rFonts w:cstheme="minorHAnsi"/>
                <w:sz w:val="22"/>
                <w:szCs w:val="22"/>
              </w:rPr>
              <w:t xml:space="preserve">Detalizēta </w:t>
            </w:r>
            <w:r w:rsidR="00DA5D61" w:rsidRPr="00DA5D61">
              <w:rPr>
                <w:rFonts w:cstheme="minorHAnsi"/>
                <w:sz w:val="22"/>
                <w:szCs w:val="22"/>
              </w:rPr>
              <w:t xml:space="preserve">ES nozīmes </w:t>
            </w:r>
            <w:r w:rsidRPr="00675182">
              <w:rPr>
                <w:rFonts w:cstheme="minorHAnsi"/>
                <w:sz w:val="22"/>
                <w:szCs w:val="22"/>
              </w:rPr>
              <w:t xml:space="preserve"> biotopu inventarizācija 2017. gadā projekta "Priekšnosacījumu izveide labākai bioloģiskās daudzveidības saglabāšanai un ekosistēmu aizsardzībai Latvijā " ietvaros</w:t>
            </w:r>
          </w:p>
        </w:tc>
      </w:tr>
      <w:tr w:rsidR="0050300D" w:rsidRPr="00675182" w14:paraId="2CB34B32" w14:textId="77777777" w:rsidTr="001F7DE6">
        <w:trPr>
          <w:cantSplit/>
          <w:trHeight w:val="284"/>
        </w:trPr>
        <w:tc>
          <w:tcPr>
            <w:tcW w:w="1123" w:type="pct"/>
            <w:shd w:val="clear" w:color="auto" w:fill="auto"/>
            <w:vAlign w:val="center"/>
          </w:tcPr>
          <w:p w14:paraId="30E879B1" w14:textId="5612AC03" w:rsidR="0050300D" w:rsidRPr="00675182" w:rsidRDefault="0050300D" w:rsidP="0050300D">
            <w:pPr>
              <w:rPr>
                <w:rFonts w:cstheme="minorHAnsi"/>
                <w:sz w:val="22"/>
                <w:szCs w:val="22"/>
              </w:rPr>
            </w:pPr>
            <w:r w:rsidRPr="00675182">
              <w:rPr>
                <w:rFonts w:cstheme="minorHAnsi"/>
                <w:sz w:val="22"/>
                <w:szCs w:val="22"/>
              </w:rPr>
              <w:t>3260 Upju straujteces un dabiski upju posmi</w:t>
            </w:r>
          </w:p>
        </w:tc>
        <w:tc>
          <w:tcPr>
            <w:tcW w:w="736" w:type="pct"/>
            <w:shd w:val="clear" w:color="auto" w:fill="auto"/>
            <w:vAlign w:val="center"/>
          </w:tcPr>
          <w:p w14:paraId="6191557A" w14:textId="4347DB6D" w:rsidR="0050300D" w:rsidRPr="00675182" w:rsidRDefault="0050300D" w:rsidP="00B02532">
            <w:pPr>
              <w:jc w:val="center"/>
              <w:rPr>
                <w:rFonts w:cstheme="minorHAnsi"/>
                <w:sz w:val="22"/>
                <w:szCs w:val="22"/>
              </w:rPr>
            </w:pPr>
            <w:r w:rsidRPr="00675182">
              <w:rPr>
                <w:rFonts w:cstheme="minorHAnsi"/>
                <w:color w:val="000000"/>
                <w:sz w:val="22"/>
                <w:szCs w:val="22"/>
              </w:rPr>
              <w:t>77</w:t>
            </w:r>
            <w:r w:rsidR="00A37BA7" w:rsidRPr="00675182">
              <w:rPr>
                <w:rFonts w:cstheme="minorHAnsi"/>
                <w:color w:val="000000"/>
                <w:sz w:val="22"/>
                <w:szCs w:val="22"/>
              </w:rPr>
              <w:t>7</w:t>
            </w:r>
            <w:r w:rsidRPr="00675182">
              <w:rPr>
                <w:rFonts w:cstheme="minorHAnsi"/>
                <w:color w:val="000000"/>
                <w:sz w:val="22"/>
                <w:szCs w:val="22"/>
              </w:rPr>
              <w:t>,5</w:t>
            </w:r>
          </w:p>
        </w:tc>
        <w:tc>
          <w:tcPr>
            <w:tcW w:w="809" w:type="pct"/>
            <w:shd w:val="clear" w:color="auto" w:fill="auto"/>
            <w:noWrap/>
            <w:vAlign w:val="center"/>
          </w:tcPr>
          <w:p w14:paraId="1F89072C" w14:textId="6F396209" w:rsidR="0050300D" w:rsidRPr="00675182" w:rsidRDefault="001F7DE6" w:rsidP="00B02532">
            <w:pPr>
              <w:jc w:val="center"/>
              <w:rPr>
                <w:rFonts w:cstheme="minorHAnsi"/>
                <w:sz w:val="22"/>
                <w:szCs w:val="22"/>
              </w:rPr>
            </w:pPr>
            <w:r w:rsidRPr="001F7DE6">
              <w:rPr>
                <w:rFonts w:cstheme="minorHAnsi"/>
                <w:sz w:val="22"/>
                <w:szCs w:val="22"/>
              </w:rPr>
              <w:t>776,3</w:t>
            </w:r>
          </w:p>
        </w:tc>
        <w:tc>
          <w:tcPr>
            <w:tcW w:w="736" w:type="pct"/>
            <w:shd w:val="clear" w:color="auto" w:fill="FBD4B4" w:themeFill="accent6" w:themeFillTint="66"/>
            <w:vAlign w:val="center"/>
          </w:tcPr>
          <w:p w14:paraId="66E4D6AF" w14:textId="462DA712" w:rsidR="0050300D" w:rsidRPr="00675182" w:rsidRDefault="001F7DE6" w:rsidP="00B02532">
            <w:pPr>
              <w:jc w:val="center"/>
              <w:rPr>
                <w:rFonts w:cstheme="minorHAnsi"/>
                <w:sz w:val="22"/>
                <w:szCs w:val="22"/>
              </w:rPr>
            </w:pPr>
            <w:r>
              <w:rPr>
                <w:rFonts w:cstheme="minorHAnsi"/>
                <w:sz w:val="22"/>
                <w:szCs w:val="22"/>
              </w:rPr>
              <w:t>-0,24</w:t>
            </w:r>
          </w:p>
        </w:tc>
        <w:tc>
          <w:tcPr>
            <w:tcW w:w="1596" w:type="pct"/>
            <w:vAlign w:val="center"/>
          </w:tcPr>
          <w:p w14:paraId="740CDE26" w14:textId="0A55B6A4" w:rsidR="0050300D" w:rsidRPr="00675182" w:rsidRDefault="0050300D" w:rsidP="0050300D">
            <w:pPr>
              <w:suppressAutoHyphens w:val="0"/>
              <w:rPr>
                <w:rFonts w:eastAsia="Times New Roman" w:cstheme="minorHAnsi"/>
                <w:sz w:val="22"/>
                <w:szCs w:val="22"/>
                <w:lang w:eastAsia="en-GB"/>
              </w:rPr>
            </w:pPr>
            <w:r w:rsidRPr="00675182">
              <w:rPr>
                <w:rFonts w:cstheme="minorHAnsi"/>
                <w:sz w:val="22"/>
                <w:szCs w:val="22"/>
              </w:rPr>
              <w:t xml:space="preserve">Detalizēta </w:t>
            </w:r>
            <w:r w:rsidR="00DA5D61" w:rsidRPr="00DA5D61">
              <w:rPr>
                <w:rFonts w:cstheme="minorHAnsi"/>
                <w:sz w:val="22"/>
                <w:szCs w:val="22"/>
              </w:rPr>
              <w:t xml:space="preserve">ES nozīmes </w:t>
            </w:r>
            <w:r w:rsidRPr="00675182">
              <w:rPr>
                <w:rFonts w:cstheme="minorHAnsi"/>
                <w:sz w:val="22"/>
                <w:szCs w:val="22"/>
              </w:rPr>
              <w:t xml:space="preserve"> biotopu inventarizācija 2017. gadā projekta "Priekšnosacījumu izveide labākai bioloģiskās daudzveidības saglabāšanai un ekosistēmu aizsardzībai Latvijā " ietvaros</w:t>
            </w:r>
          </w:p>
        </w:tc>
      </w:tr>
      <w:tr w:rsidR="001C129B" w:rsidRPr="00675182" w14:paraId="358F2BDB" w14:textId="77777777" w:rsidTr="00B02532">
        <w:trPr>
          <w:cantSplit/>
          <w:trHeight w:val="284"/>
        </w:trPr>
        <w:tc>
          <w:tcPr>
            <w:tcW w:w="1123" w:type="pct"/>
            <w:shd w:val="clear" w:color="auto" w:fill="auto"/>
            <w:vAlign w:val="center"/>
          </w:tcPr>
          <w:p w14:paraId="619E866F" w14:textId="406CF54F" w:rsidR="001C129B" w:rsidRPr="00675182" w:rsidRDefault="001C129B" w:rsidP="001C129B">
            <w:pPr>
              <w:rPr>
                <w:rFonts w:cstheme="minorHAnsi"/>
                <w:sz w:val="22"/>
                <w:szCs w:val="22"/>
              </w:rPr>
            </w:pPr>
            <w:r w:rsidRPr="00675182">
              <w:rPr>
                <w:rFonts w:cstheme="minorHAnsi"/>
                <w:sz w:val="22"/>
                <w:szCs w:val="22"/>
              </w:rPr>
              <w:lastRenderedPageBreak/>
              <w:t>3270 Dūņaini upju krasti ar slāpekli mīlošu viengadīgu pioniersugu augāju</w:t>
            </w:r>
          </w:p>
        </w:tc>
        <w:tc>
          <w:tcPr>
            <w:tcW w:w="736" w:type="pct"/>
            <w:shd w:val="clear" w:color="auto" w:fill="auto"/>
            <w:vAlign w:val="center"/>
          </w:tcPr>
          <w:p w14:paraId="19983076" w14:textId="6BD26D64" w:rsidR="001C129B" w:rsidRPr="00675182" w:rsidRDefault="001C129B" w:rsidP="00B02532">
            <w:pPr>
              <w:jc w:val="center"/>
              <w:rPr>
                <w:rFonts w:cstheme="minorHAnsi"/>
                <w:sz w:val="22"/>
                <w:szCs w:val="22"/>
              </w:rPr>
            </w:pPr>
            <w:r w:rsidRPr="00675182">
              <w:rPr>
                <w:rFonts w:cstheme="minorHAnsi"/>
                <w:color w:val="000000"/>
                <w:sz w:val="22"/>
                <w:szCs w:val="22"/>
              </w:rPr>
              <w:t>2,31</w:t>
            </w:r>
          </w:p>
        </w:tc>
        <w:tc>
          <w:tcPr>
            <w:tcW w:w="809" w:type="pct"/>
            <w:shd w:val="clear" w:color="auto" w:fill="auto"/>
            <w:noWrap/>
            <w:vAlign w:val="center"/>
          </w:tcPr>
          <w:p w14:paraId="7E87D410" w14:textId="680DE2B0" w:rsidR="001C129B" w:rsidRPr="00675182" w:rsidRDefault="009E7111" w:rsidP="00B02532">
            <w:pPr>
              <w:jc w:val="center"/>
              <w:rPr>
                <w:rFonts w:cstheme="minorHAnsi"/>
                <w:sz w:val="22"/>
                <w:szCs w:val="22"/>
              </w:rPr>
            </w:pPr>
            <w:r w:rsidRPr="00675182">
              <w:rPr>
                <w:rFonts w:cstheme="minorHAnsi"/>
                <w:sz w:val="22"/>
                <w:szCs w:val="22"/>
              </w:rPr>
              <w:t>2,31</w:t>
            </w:r>
          </w:p>
        </w:tc>
        <w:tc>
          <w:tcPr>
            <w:tcW w:w="736" w:type="pct"/>
            <w:shd w:val="clear" w:color="auto" w:fill="auto"/>
            <w:vAlign w:val="center"/>
          </w:tcPr>
          <w:p w14:paraId="3BDF68AB" w14:textId="21094A34" w:rsidR="001C129B" w:rsidRPr="00675182" w:rsidRDefault="00B629AD" w:rsidP="00B02532">
            <w:pPr>
              <w:jc w:val="center"/>
              <w:rPr>
                <w:rFonts w:cstheme="minorHAnsi"/>
                <w:sz w:val="22"/>
                <w:szCs w:val="22"/>
              </w:rPr>
            </w:pPr>
            <w:r w:rsidRPr="00675182">
              <w:rPr>
                <w:rFonts w:cstheme="minorHAnsi"/>
                <w:sz w:val="22"/>
                <w:szCs w:val="22"/>
              </w:rPr>
              <w:t>0</w:t>
            </w:r>
          </w:p>
        </w:tc>
        <w:tc>
          <w:tcPr>
            <w:tcW w:w="1596" w:type="pct"/>
            <w:shd w:val="clear" w:color="auto" w:fill="auto"/>
            <w:vAlign w:val="center"/>
          </w:tcPr>
          <w:p w14:paraId="04BF2F88" w14:textId="7D60C23C" w:rsidR="001C129B" w:rsidRPr="00675182" w:rsidRDefault="009E7111" w:rsidP="001C129B">
            <w:pPr>
              <w:suppressAutoHyphens w:val="0"/>
              <w:rPr>
                <w:rFonts w:eastAsia="Times New Roman" w:cstheme="minorHAnsi"/>
                <w:sz w:val="22"/>
                <w:szCs w:val="22"/>
                <w:lang w:eastAsia="en-GB"/>
              </w:rPr>
            </w:pPr>
            <w:r w:rsidRPr="00675182">
              <w:rPr>
                <w:rFonts w:cstheme="minorHAnsi"/>
                <w:sz w:val="22"/>
                <w:szCs w:val="22"/>
              </w:rPr>
              <w:t xml:space="preserve">Saldūdeņu biotopu kartēšanas metodika projekta "Dabas skaitīšana" ietvaros neparedz biotopa veida 3270 poligonu izdalīšanu un poligonu fiksēšanu, jo biotops pēc savas būtības ir dinamiska rakstura dzīvotne - dūņaini lielo upju (tajā skaitā Gaujas) krasti, kas atkarībā no ūdenslīmeņa svārstībām pavasarī un vasaras sākumā nav klāti ar augāju, bet vēlāk apaug ar slāpekli mīlošu viengadīgu pioniersugu augāju. Tāpat biotopa detalizēta kartēšana nav iespējam atbilstoši upju apsekojumu metodikas nosacījumiem. Biotopa 3270 klātbūtne </w:t>
            </w:r>
            <w:r w:rsidR="00B629AD" w:rsidRPr="00675182">
              <w:rPr>
                <w:rFonts w:cstheme="minorHAnsi"/>
                <w:sz w:val="22"/>
                <w:szCs w:val="22"/>
              </w:rPr>
              <w:t>apsekotajā</w:t>
            </w:r>
            <w:r w:rsidRPr="00675182">
              <w:rPr>
                <w:rFonts w:cstheme="minorHAnsi"/>
                <w:sz w:val="22"/>
                <w:szCs w:val="22"/>
              </w:rPr>
              <w:t xml:space="preserve"> upes posmā tika fiksēta un atzīmēta biotopa 3260 Upju straujteces un dabiski upju posmi apsekojuma anketās</w:t>
            </w:r>
            <w:r w:rsidR="00DA5D61">
              <w:rPr>
                <w:rFonts w:cstheme="minorHAnsi"/>
                <w:sz w:val="22"/>
                <w:szCs w:val="22"/>
              </w:rPr>
              <w:t>.</w:t>
            </w:r>
            <w:r w:rsidRPr="00675182">
              <w:rPr>
                <w:rFonts w:cstheme="minorHAnsi"/>
                <w:sz w:val="22"/>
                <w:szCs w:val="22"/>
              </w:rPr>
              <w:t xml:space="preserve"> Biotopa 3270 platības visos gadījumos pārklājas ar biotopa 3260 teritorijām un attiecīgi netiek atsevišķi pieskaitītas biotopu platībai GNP</w:t>
            </w:r>
          </w:p>
        </w:tc>
      </w:tr>
      <w:tr w:rsidR="001C129B" w:rsidRPr="00675182" w14:paraId="727D922B" w14:textId="77777777" w:rsidTr="00B02532">
        <w:trPr>
          <w:cantSplit/>
          <w:trHeight w:val="284"/>
        </w:trPr>
        <w:tc>
          <w:tcPr>
            <w:tcW w:w="1123" w:type="pct"/>
            <w:shd w:val="clear" w:color="auto" w:fill="auto"/>
            <w:vAlign w:val="center"/>
          </w:tcPr>
          <w:p w14:paraId="02EB5595" w14:textId="60F94E4E" w:rsidR="001C129B" w:rsidRPr="00675182" w:rsidRDefault="001C129B" w:rsidP="001C129B">
            <w:pPr>
              <w:rPr>
                <w:rFonts w:cstheme="minorHAnsi"/>
                <w:sz w:val="22"/>
                <w:szCs w:val="22"/>
              </w:rPr>
            </w:pPr>
            <w:r w:rsidRPr="00675182">
              <w:rPr>
                <w:rFonts w:cstheme="minorHAnsi"/>
                <w:sz w:val="22"/>
                <w:szCs w:val="22"/>
              </w:rPr>
              <w:t>6110* Lakstaugu pioniersabiedrības seklās kaļķainās augsnēs</w:t>
            </w:r>
          </w:p>
        </w:tc>
        <w:tc>
          <w:tcPr>
            <w:tcW w:w="736" w:type="pct"/>
            <w:shd w:val="clear" w:color="auto" w:fill="auto"/>
            <w:vAlign w:val="center"/>
          </w:tcPr>
          <w:p w14:paraId="193EDDBE" w14:textId="009958CD" w:rsidR="001C129B" w:rsidRPr="00675182" w:rsidRDefault="001C129B" w:rsidP="00B02532">
            <w:pPr>
              <w:jc w:val="center"/>
              <w:rPr>
                <w:rFonts w:cstheme="minorHAnsi"/>
                <w:sz w:val="22"/>
                <w:szCs w:val="22"/>
              </w:rPr>
            </w:pPr>
            <w:r w:rsidRPr="00675182">
              <w:rPr>
                <w:rFonts w:cstheme="minorHAnsi"/>
                <w:color w:val="000000"/>
                <w:sz w:val="22"/>
                <w:szCs w:val="22"/>
              </w:rPr>
              <w:t>0,01</w:t>
            </w:r>
          </w:p>
        </w:tc>
        <w:tc>
          <w:tcPr>
            <w:tcW w:w="809" w:type="pct"/>
            <w:shd w:val="clear" w:color="auto" w:fill="auto"/>
            <w:noWrap/>
            <w:vAlign w:val="center"/>
          </w:tcPr>
          <w:p w14:paraId="1BCD86BD" w14:textId="1F06CA32" w:rsidR="001C129B" w:rsidRPr="00675182" w:rsidRDefault="001C129B" w:rsidP="00B02532">
            <w:pPr>
              <w:jc w:val="center"/>
              <w:rPr>
                <w:rFonts w:cstheme="minorHAnsi"/>
                <w:sz w:val="22"/>
                <w:szCs w:val="22"/>
              </w:rPr>
            </w:pPr>
            <w:r w:rsidRPr="00675182">
              <w:rPr>
                <w:rFonts w:cstheme="minorHAnsi"/>
                <w:sz w:val="22"/>
                <w:szCs w:val="22"/>
              </w:rPr>
              <w:t>-</w:t>
            </w:r>
          </w:p>
        </w:tc>
        <w:tc>
          <w:tcPr>
            <w:tcW w:w="736" w:type="pct"/>
            <w:shd w:val="clear" w:color="auto" w:fill="FBD4B4" w:themeFill="accent6" w:themeFillTint="66"/>
            <w:vAlign w:val="center"/>
          </w:tcPr>
          <w:p w14:paraId="36B6BA6E" w14:textId="26760B2D" w:rsidR="001C129B" w:rsidRPr="00675182" w:rsidRDefault="001C129B" w:rsidP="00B02532">
            <w:pPr>
              <w:jc w:val="center"/>
              <w:rPr>
                <w:rFonts w:cstheme="minorHAnsi"/>
                <w:sz w:val="22"/>
                <w:szCs w:val="22"/>
              </w:rPr>
            </w:pPr>
            <w:r w:rsidRPr="00675182">
              <w:rPr>
                <w:rFonts w:cstheme="minorHAnsi"/>
                <w:sz w:val="22"/>
                <w:szCs w:val="22"/>
              </w:rPr>
              <w:t>-0,01</w:t>
            </w:r>
          </w:p>
        </w:tc>
        <w:tc>
          <w:tcPr>
            <w:tcW w:w="1596" w:type="pct"/>
            <w:vAlign w:val="center"/>
          </w:tcPr>
          <w:p w14:paraId="1B1AE987" w14:textId="02E25D92" w:rsidR="001C129B" w:rsidRPr="00675182" w:rsidRDefault="001C129B" w:rsidP="001C129B">
            <w:pPr>
              <w:suppressAutoHyphens w:val="0"/>
              <w:rPr>
                <w:rFonts w:eastAsia="Times New Roman" w:cstheme="minorHAnsi"/>
                <w:sz w:val="22"/>
                <w:szCs w:val="22"/>
                <w:lang w:eastAsia="en-GB"/>
              </w:rPr>
            </w:pPr>
            <w:r w:rsidRPr="00675182">
              <w:rPr>
                <w:rFonts w:eastAsia="Times New Roman" w:cstheme="minorHAnsi"/>
                <w:sz w:val="22"/>
                <w:szCs w:val="22"/>
                <w:lang w:eastAsia="en-GB"/>
              </w:rPr>
              <w:t xml:space="preserve">Precizēta </w:t>
            </w:r>
            <w:r w:rsidR="00DA5D61" w:rsidRPr="00DA5D61">
              <w:rPr>
                <w:rFonts w:cstheme="minorHAnsi"/>
                <w:sz w:val="22"/>
                <w:szCs w:val="22"/>
              </w:rPr>
              <w:t xml:space="preserve">ES nozīmes </w:t>
            </w:r>
            <w:r w:rsidRPr="00675182">
              <w:rPr>
                <w:rFonts w:eastAsia="Times New Roman" w:cstheme="minorHAnsi"/>
                <w:sz w:val="22"/>
                <w:szCs w:val="22"/>
                <w:lang w:eastAsia="en-GB"/>
              </w:rPr>
              <w:t>biotopu noteikšanas metodika un kartēšanas pieeja. Teritorijas neatbilst ES biotopa kritērijiem.</w:t>
            </w:r>
          </w:p>
        </w:tc>
      </w:tr>
      <w:tr w:rsidR="0050300D" w:rsidRPr="00675182" w14:paraId="0D417CDE" w14:textId="77777777" w:rsidTr="00B02532">
        <w:trPr>
          <w:cantSplit/>
          <w:trHeight w:val="284"/>
        </w:trPr>
        <w:tc>
          <w:tcPr>
            <w:tcW w:w="1123" w:type="pct"/>
            <w:shd w:val="clear" w:color="auto" w:fill="auto"/>
            <w:vAlign w:val="center"/>
          </w:tcPr>
          <w:p w14:paraId="5A95FD74" w14:textId="22265FD4" w:rsidR="0050300D" w:rsidRPr="00675182" w:rsidRDefault="0050300D" w:rsidP="0050300D">
            <w:pPr>
              <w:rPr>
                <w:rFonts w:cstheme="minorHAnsi"/>
                <w:sz w:val="22"/>
                <w:szCs w:val="22"/>
              </w:rPr>
            </w:pPr>
            <w:r w:rsidRPr="00675182">
              <w:rPr>
                <w:rFonts w:cstheme="minorHAnsi"/>
                <w:sz w:val="22"/>
                <w:szCs w:val="22"/>
              </w:rPr>
              <w:t>6120* Smiltāju zālāji</w:t>
            </w:r>
          </w:p>
        </w:tc>
        <w:tc>
          <w:tcPr>
            <w:tcW w:w="736" w:type="pct"/>
            <w:shd w:val="clear" w:color="auto" w:fill="auto"/>
            <w:vAlign w:val="center"/>
          </w:tcPr>
          <w:p w14:paraId="472929B3" w14:textId="41DF4388" w:rsidR="0050300D" w:rsidRPr="00675182" w:rsidRDefault="0050300D" w:rsidP="00B02532">
            <w:pPr>
              <w:jc w:val="center"/>
              <w:rPr>
                <w:rFonts w:cstheme="minorHAnsi"/>
                <w:sz w:val="22"/>
                <w:szCs w:val="22"/>
              </w:rPr>
            </w:pPr>
            <w:r w:rsidRPr="00675182">
              <w:rPr>
                <w:rFonts w:cstheme="minorHAnsi"/>
                <w:color w:val="000000"/>
                <w:sz w:val="22"/>
                <w:szCs w:val="22"/>
              </w:rPr>
              <w:t>16,97</w:t>
            </w:r>
          </w:p>
        </w:tc>
        <w:tc>
          <w:tcPr>
            <w:tcW w:w="809" w:type="pct"/>
            <w:shd w:val="clear" w:color="auto" w:fill="auto"/>
            <w:noWrap/>
            <w:vAlign w:val="center"/>
          </w:tcPr>
          <w:p w14:paraId="11319AB6" w14:textId="117C1E07" w:rsidR="0050300D" w:rsidRPr="00675182" w:rsidRDefault="0050300D" w:rsidP="00B02532">
            <w:pPr>
              <w:jc w:val="center"/>
              <w:rPr>
                <w:rFonts w:cstheme="minorHAnsi"/>
                <w:sz w:val="22"/>
                <w:szCs w:val="22"/>
              </w:rPr>
            </w:pPr>
            <w:r w:rsidRPr="00675182">
              <w:rPr>
                <w:rFonts w:cstheme="minorHAnsi"/>
                <w:sz w:val="22"/>
                <w:szCs w:val="22"/>
              </w:rPr>
              <w:t>23,</w:t>
            </w:r>
            <w:r w:rsidR="001F7DE6">
              <w:rPr>
                <w:rFonts w:cstheme="minorHAnsi"/>
                <w:sz w:val="22"/>
                <w:szCs w:val="22"/>
              </w:rPr>
              <w:t>2</w:t>
            </w:r>
          </w:p>
        </w:tc>
        <w:tc>
          <w:tcPr>
            <w:tcW w:w="736" w:type="pct"/>
            <w:shd w:val="clear" w:color="000000" w:fill="A9D08E"/>
            <w:vAlign w:val="center"/>
          </w:tcPr>
          <w:p w14:paraId="3708F410" w14:textId="6A717E26" w:rsidR="0050300D" w:rsidRPr="00675182" w:rsidRDefault="0050300D" w:rsidP="00B02532">
            <w:pPr>
              <w:jc w:val="center"/>
              <w:rPr>
                <w:rFonts w:cstheme="minorHAnsi"/>
                <w:sz w:val="22"/>
                <w:szCs w:val="22"/>
              </w:rPr>
            </w:pPr>
            <w:r w:rsidRPr="00675182">
              <w:rPr>
                <w:rFonts w:cstheme="minorHAnsi"/>
                <w:sz w:val="22"/>
                <w:szCs w:val="22"/>
              </w:rPr>
              <w:t>6,</w:t>
            </w:r>
            <w:r w:rsidR="001F7DE6">
              <w:rPr>
                <w:rFonts w:cstheme="minorHAnsi"/>
                <w:sz w:val="22"/>
                <w:szCs w:val="22"/>
              </w:rPr>
              <w:t>27</w:t>
            </w:r>
          </w:p>
        </w:tc>
        <w:tc>
          <w:tcPr>
            <w:tcW w:w="1596" w:type="pct"/>
            <w:vAlign w:val="center"/>
          </w:tcPr>
          <w:p w14:paraId="6D87C946" w14:textId="53394572" w:rsidR="0050300D" w:rsidRPr="00675182" w:rsidRDefault="0050300D" w:rsidP="0050300D">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00DA5D61" w:rsidRPr="00DA5D61">
              <w:rPr>
                <w:rFonts w:cstheme="minorHAnsi"/>
                <w:sz w:val="22"/>
                <w:szCs w:val="22"/>
              </w:rPr>
              <w:t xml:space="preserve">ES nozīmes </w:t>
            </w:r>
            <w:r w:rsidRPr="00675182">
              <w:rPr>
                <w:rFonts w:cstheme="minorHAnsi"/>
                <w:color w:val="000000"/>
                <w:sz w:val="22"/>
                <w:szCs w:val="22"/>
              </w:rPr>
              <w:t>biotopu inventarizācija DA plāna izstrādes laikā</w:t>
            </w:r>
          </w:p>
        </w:tc>
      </w:tr>
      <w:tr w:rsidR="0050300D" w:rsidRPr="00675182" w14:paraId="7C224615" w14:textId="77777777" w:rsidTr="00B02532">
        <w:trPr>
          <w:cantSplit/>
          <w:trHeight w:val="284"/>
        </w:trPr>
        <w:tc>
          <w:tcPr>
            <w:tcW w:w="1123" w:type="pct"/>
            <w:shd w:val="clear" w:color="auto" w:fill="auto"/>
            <w:vAlign w:val="center"/>
          </w:tcPr>
          <w:p w14:paraId="331523FD" w14:textId="0C43F2F4" w:rsidR="0050300D" w:rsidRPr="00675182" w:rsidRDefault="0050300D" w:rsidP="0050300D">
            <w:pPr>
              <w:rPr>
                <w:rFonts w:cstheme="minorHAnsi"/>
                <w:sz w:val="22"/>
                <w:szCs w:val="22"/>
              </w:rPr>
            </w:pPr>
            <w:r w:rsidRPr="00675182">
              <w:rPr>
                <w:rFonts w:cstheme="minorHAnsi"/>
                <w:sz w:val="22"/>
                <w:szCs w:val="22"/>
              </w:rPr>
              <w:t>6210 Sausi zālāji kaļķainās augsnēs</w:t>
            </w:r>
          </w:p>
        </w:tc>
        <w:tc>
          <w:tcPr>
            <w:tcW w:w="736" w:type="pct"/>
            <w:shd w:val="clear" w:color="auto" w:fill="auto"/>
            <w:vAlign w:val="center"/>
          </w:tcPr>
          <w:p w14:paraId="4D126013" w14:textId="34B2B0D7" w:rsidR="0050300D" w:rsidRPr="00675182" w:rsidRDefault="0050300D" w:rsidP="00B02532">
            <w:pPr>
              <w:jc w:val="center"/>
              <w:rPr>
                <w:rFonts w:cstheme="minorHAnsi"/>
                <w:sz w:val="22"/>
                <w:szCs w:val="22"/>
              </w:rPr>
            </w:pPr>
            <w:r w:rsidRPr="00675182">
              <w:rPr>
                <w:rFonts w:cstheme="minorHAnsi"/>
                <w:color w:val="000000"/>
                <w:sz w:val="22"/>
                <w:szCs w:val="22"/>
              </w:rPr>
              <w:t>9,94</w:t>
            </w:r>
          </w:p>
        </w:tc>
        <w:tc>
          <w:tcPr>
            <w:tcW w:w="809" w:type="pct"/>
            <w:shd w:val="clear" w:color="auto" w:fill="auto"/>
            <w:noWrap/>
            <w:vAlign w:val="center"/>
          </w:tcPr>
          <w:p w14:paraId="54FC9776" w14:textId="01A3859D" w:rsidR="0050300D" w:rsidRPr="00675182" w:rsidRDefault="001F7DE6" w:rsidP="00B02532">
            <w:pPr>
              <w:jc w:val="center"/>
              <w:rPr>
                <w:rFonts w:cstheme="minorHAnsi"/>
                <w:sz w:val="22"/>
                <w:szCs w:val="22"/>
              </w:rPr>
            </w:pPr>
            <w:r w:rsidRPr="001F7DE6">
              <w:rPr>
                <w:rFonts w:cstheme="minorHAnsi"/>
                <w:sz w:val="22"/>
                <w:szCs w:val="22"/>
              </w:rPr>
              <w:t>93,7</w:t>
            </w:r>
          </w:p>
        </w:tc>
        <w:tc>
          <w:tcPr>
            <w:tcW w:w="736" w:type="pct"/>
            <w:shd w:val="clear" w:color="000000" w:fill="A9D08E"/>
            <w:vAlign w:val="center"/>
          </w:tcPr>
          <w:p w14:paraId="794B6C8B" w14:textId="39F04FFC" w:rsidR="0050300D" w:rsidRPr="00675182" w:rsidRDefault="001F7DE6" w:rsidP="00B02532">
            <w:pPr>
              <w:jc w:val="center"/>
              <w:rPr>
                <w:rFonts w:cstheme="minorHAnsi"/>
                <w:sz w:val="22"/>
                <w:szCs w:val="22"/>
              </w:rPr>
            </w:pPr>
            <w:r>
              <w:rPr>
                <w:rFonts w:cstheme="minorHAnsi"/>
                <w:sz w:val="22"/>
                <w:szCs w:val="22"/>
              </w:rPr>
              <w:t>83,77</w:t>
            </w:r>
          </w:p>
        </w:tc>
        <w:tc>
          <w:tcPr>
            <w:tcW w:w="1596" w:type="pct"/>
            <w:vAlign w:val="center"/>
          </w:tcPr>
          <w:p w14:paraId="5D90192A" w14:textId="572A0A84" w:rsidR="0050300D" w:rsidRPr="00675182" w:rsidRDefault="0050300D" w:rsidP="0050300D">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00DA5D61" w:rsidRPr="00DA5D61">
              <w:rPr>
                <w:rFonts w:cstheme="minorHAnsi"/>
                <w:sz w:val="22"/>
                <w:szCs w:val="22"/>
              </w:rPr>
              <w:t xml:space="preserve">ES nozīmes </w:t>
            </w:r>
            <w:r w:rsidRPr="00675182">
              <w:rPr>
                <w:rFonts w:cstheme="minorHAnsi"/>
                <w:color w:val="000000"/>
                <w:sz w:val="22"/>
                <w:szCs w:val="22"/>
              </w:rPr>
              <w:t>biotopu inventarizācija DA plāna izstrādes laikā</w:t>
            </w:r>
          </w:p>
        </w:tc>
      </w:tr>
      <w:tr w:rsidR="0050300D" w:rsidRPr="00675182" w14:paraId="04AFEFAF" w14:textId="77777777" w:rsidTr="00711FE3">
        <w:trPr>
          <w:cantSplit/>
          <w:trHeight w:val="284"/>
        </w:trPr>
        <w:tc>
          <w:tcPr>
            <w:tcW w:w="1123" w:type="pct"/>
            <w:shd w:val="clear" w:color="auto" w:fill="auto"/>
            <w:vAlign w:val="center"/>
          </w:tcPr>
          <w:p w14:paraId="2F95CC24" w14:textId="62699472" w:rsidR="0050300D" w:rsidRPr="00675182" w:rsidRDefault="0050300D" w:rsidP="0050300D">
            <w:pPr>
              <w:rPr>
                <w:rFonts w:cstheme="minorHAnsi"/>
                <w:sz w:val="22"/>
                <w:szCs w:val="22"/>
              </w:rPr>
            </w:pPr>
            <w:r w:rsidRPr="00675182">
              <w:rPr>
                <w:rFonts w:cstheme="minorHAnsi"/>
                <w:sz w:val="22"/>
                <w:szCs w:val="22"/>
              </w:rPr>
              <w:t>6230* Vilkakūlas zālāji (tukšaiņu zālāji)</w:t>
            </w:r>
          </w:p>
        </w:tc>
        <w:tc>
          <w:tcPr>
            <w:tcW w:w="736" w:type="pct"/>
            <w:shd w:val="clear" w:color="auto" w:fill="auto"/>
            <w:vAlign w:val="center"/>
          </w:tcPr>
          <w:p w14:paraId="20C541F8" w14:textId="692A01E1" w:rsidR="0050300D" w:rsidRPr="00675182" w:rsidRDefault="0050300D" w:rsidP="00B02532">
            <w:pPr>
              <w:jc w:val="center"/>
              <w:rPr>
                <w:rFonts w:cstheme="minorHAnsi"/>
                <w:sz w:val="22"/>
                <w:szCs w:val="22"/>
              </w:rPr>
            </w:pPr>
            <w:r w:rsidRPr="00675182">
              <w:rPr>
                <w:rFonts w:cstheme="minorHAnsi"/>
                <w:color w:val="000000"/>
                <w:sz w:val="22"/>
                <w:szCs w:val="22"/>
              </w:rPr>
              <w:t>2,82</w:t>
            </w:r>
          </w:p>
        </w:tc>
        <w:tc>
          <w:tcPr>
            <w:tcW w:w="809" w:type="pct"/>
            <w:tcBorders>
              <w:bottom w:val="single" w:sz="4" w:space="0" w:color="auto"/>
            </w:tcBorders>
            <w:shd w:val="clear" w:color="auto" w:fill="auto"/>
            <w:noWrap/>
            <w:vAlign w:val="center"/>
          </w:tcPr>
          <w:p w14:paraId="4A80861C" w14:textId="396AE881" w:rsidR="0050300D" w:rsidRPr="00675182" w:rsidRDefault="0050300D" w:rsidP="00B02532">
            <w:pPr>
              <w:jc w:val="center"/>
              <w:rPr>
                <w:rFonts w:cstheme="minorHAnsi"/>
                <w:sz w:val="22"/>
                <w:szCs w:val="22"/>
              </w:rPr>
            </w:pPr>
            <w:r w:rsidRPr="00675182">
              <w:rPr>
                <w:rFonts w:cstheme="minorHAnsi"/>
                <w:sz w:val="22"/>
                <w:szCs w:val="22"/>
              </w:rPr>
              <w:t>6,7</w:t>
            </w:r>
          </w:p>
        </w:tc>
        <w:tc>
          <w:tcPr>
            <w:tcW w:w="736" w:type="pct"/>
            <w:tcBorders>
              <w:bottom w:val="single" w:sz="4" w:space="0" w:color="auto"/>
            </w:tcBorders>
            <w:shd w:val="clear" w:color="000000" w:fill="A9D08E"/>
            <w:vAlign w:val="center"/>
          </w:tcPr>
          <w:p w14:paraId="3FA5B0CC" w14:textId="7F856A4B" w:rsidR="0050300D" w:rsidRPr="00675182" w:rsidRDefault="0050300D" w:rsidP="00B02532">
            <w:pPr>
              <w:jc w:val="center"/>
              <w:rPr>
                <w:rFonts w:cstheme="minorHAnsi"/>
                <w:sz w:val="22"/>
                <w:szCs w:val="22"/>
              </w:rPr>
            </w:pPr>
            <w:r w:rsidRPr="00675182">
              <w:rPr>
                <w:rFonts w:cstheme="minorHAnsi"/>
                <w:sz w:val="22"/>
                <w:szCs w:val="22"/>
              </w:rPr>
              <w:t>3,91</w:t>
            </w:r>
          </w:p>
        </w:tc>
        <w:tc>
          <w:tcPr>
            <w:tcW w:w="1596" w:type="pct"/>
            <w:vAlign w:val="center"/>
          </w:tcPr>
          <w:p w14:paraId="527C46AB" w14:textId="01D74CA5" w:rsidR="0050300D" w:rsidRPr="00675182" w:rsidRDefault="0050300D" w:rsidP="0050300D">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00DA5D61" w:rsidRPr="00DA5D61">
              <w:rPr>
                <w:rFonts w:cstheme="minorHAnsi"/>
                <w:sz w:val="22"/>
                <w:szCs w:val="22"/>
              </w:rPr>
              <w:t xml:space="preserve">ES nozīmes </w:t>
            </w:r>
            <w:r w:rsidRPr="00675182">
              <w:rPr>
                <w:rFonts w:cstheme="minorHAnsi"/>
                <w:color w:val="000000"/>
                <w:sz w:val="22"/>
                <w:szCs w:val="22"/>
              </w:rPr>
              <w:t xml:space="preserve"> biotopu inventarizācija DA plāna izstrādes laikā</w:t>
            </w:r>
          </w:p>
        </w:tc>
      </w:tr>
      <w:tr w:rsidR="00711FE3" w:rsidRPr="00675182" w14:paraId="2F3CB63C" w14:textId="77777777" w:rsidTr="00711FE3">
        <w:trPr>
          <w:cantSplit/>
          <w:trHeight w:val="284"/>
        </w:trPr>
        <w:tc>
          <w:tcPr>
            <w:tcW w:w="1123" w:type="pct"/>
            <w:shd w:val="clear" w:color="auto" w:fill="auto"/>
            <w:vAlign w:val="center"/>
          </w:tcPr>
          <w:p w14:paraId="1D9FDF41" w14:textId="0CB932C6" w:rsidR="00711FE3" w:rsidRPr="00675182" w:rsidRDefault="00711FE3" w:rsidP="00711FE3">
            <w:pPr>
              <w:rPr>
                <w:rFonts w:cstheme="minorHAnsi"/>
                <w:sz w:val="22"/>
                <w:szCs w:val="22"/>
              </w:rPr>
            </w:pPr>
            <w:r w:rsidRPr="00675182">
              <w:rPr>
                <w:rFonts w:cstheme="minorHAnsi"/>
                <w:sz w:val="22"/>
                <w:szCs w:val="22"/>
              </w:rPr>
              <w:lastRenderedPageBreak/>
              <w:t>6270* Sugām bagātas ganības un ganītas pļavas</w:t>
            </w:r>
          </w:p>
        </w:tc>
        <w:tc>
          <w:tcPr>
            <w:tcW w:w="736" w:type="pct"/>
            <w:shd w:val="clear" w:color="auto" w:fill="auto"/>
            <w:vAlign w:val="center"/>
          </w:tcPr>
          <w:p w14:paraId="1944918A" w14:textId="584ED8C4" w:rsidR="00711FE3" w:rsidRPr="00675182" w:rsidRDefault="00711FE3" w:rsidP="00711FE3">
            <w:pPr>
              <w:jc w:val="center"/>
              <w:rPr>
                <w:rFonts w:cstheme="minorHAnsi"/>
                <w:sz w:val="22"/>
                <w:szCs w:val="22"/>
              </w:rPr>
            </w:pPr>
            <w:r w:rsidRPr="00675182">
              <w:rPr>
                <w:rFonts w:cstheme="minorHAnsi"/>
                <w:color w:val="000000"/>
                <w:sz w:val="22"/>
                <w:szCs w:val="22"/>
              </w:rPr>
              <w:t>15,31</w:t>
            </w:r>
          </w:p>
        </w:tc>
        <w:tc>
          <w:tcPr>
            <w:tcW w:w="809" w:type="pct"/>
            <w:tcBorders>
              <w:top w:val="single" w:sz="4" w:space="0" w:color="auto"/>
              <w:left w:val="nil"/>
              <w:bottom w:val="single" w:sz="4" w:space="0" w:color="auto"/>
              <w:right w:val="nil"/>
            </w:tcBorders>
            <w:shd w:val="clear" w:color="auto" w:fill="auto"/>
            <w:noWrap/>
            <w:vAlign w:val="center"/>
          </w:tcPr>
          <w:p w14:paraId="76901533" w14:textId="06D43E60" w:rsidR="00711FE3" w:rsidRPr="00711FE3" w:rsidRDefault="00711FE3" w:rsidP="00711FE3">
            <w:pPr>
              <w:jc w:val="center"/>
              <w:rPr>
                <w:rFonts w:cstheme="minorHAnsi"/>
                <w:sz w:val="22"/>
                <w:szCs w:val="22"/>
              </w:rPr>
            </w:pPr>
            <w:r w:rsidRPr="00711FE3">
              <w:rPr>
                <w:sz w:val="22"/>
                <w:szCs w:val="22"/>
              </w:rPr>
              <w:t>354,1</w:t>
            </w:r>
          </w:p>
        </w:tc>
        <w:tc>
          <w:tcPr>
            <w:tcW w:w="736" w:type="pct"/>
            <w:tcBorders>
              <w:top w:val="single" w:sz="4" w:space="0" w:color="auto"/>
              <w:bottom w:val="single" w:sz="4" w:space="0" w:color="auto"/>
            </w:tcBorders>
            <w:shd w:val="clear" w:color="000000" w:fill="A9D08E"/>
            <w:vAlign w:val="center"/>
          </w:tcPr>
          <w:p w14:paraId="108A3CF7" w14:textId="71B9B82B" w:rsidR="00711FE3" w:rsidRPr="00711FE3" w:rsidRDefault="00711FE3" w:rsidP="00711FE3">
            <w:pPr>
              <w:jc w:val="center"/>
              <w:rPr>
                <w:rFonts w:cstheme="minorHAnsi"/>
                <w:sz w:val="22"/>
                <w:szCs w:val="22"/>
              </w:rPr>
            </w:pPr>
            <w:r w:rsidRPr="00711FE3">
              <w:rPr>
                <w:rFonts w:cstheme="minorHAnsi"/>
                <w:sz w:val="22"/>
                <w:szCs w:val="22"/>
              </w:rPr>
              <w:t>338,77</w:t>
            </w:r>
          </w:p>
        </w:tc>
        <w:tc>
          <w:tcPr>
            <w:tcW w:w="1596" w:type="pct"/>
            <w:vAlign w:val="center"/>
          </w:tcPr>
          <w:p w14:paraId="225197E3" w14:textId="1C38AB81"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Pr="00DA5D61">
              <w:rPr>
                <w:rFonts w:cstheme="minorHAnsi"/>
                <w:sz w:val="22"/>
                <w:szCs w:val="22"/>
              </w:rPr>
              <w:t>ES nozīmes</w:t>
            </w:r>
            <w:r>
              <w:rPr>
                <w:rFonts w:cstheme="minorHAnsi"/>
                <w:sz w:val="22"/>
                <w:szCs w:val="22"/>
              </w:rPr>
              <w:t xml:space="preserve"> </w:t>
            </w:r>
            <w:r w:rsidRPr="00675182">
              <w:rPr>
                <w:rFonts w:cstheme="minorHAnsi"/>
                <w:color w:val="000000"/>
                <w:sz w:val="22"/>
                <w:szCs w:val="22"/>
              </w:rPr>
              <w:t>biotopu inventarizācija DA plāna izstrādes laikā</w:t>
            </w:r>
          </w:p>
        </w:tc>
      </w:tr>
      <w:tr w:rsidR="00AB5422" w:rsidRPr="00675182" w14:paraId="162D3F9E" w14:textId="77777777" w:rsidTr="00DF79FF">
        <w:trPr>
          <w:cantSplit/>
          <w:trHeight w:val="284"/>
        </w:trPr>
        <w:tc>
          <w:tcPr>
            <w:tcW w:w="1123" w:type="pct"/>
            <w:shd w:val="clear" w:color="auto" w:fill="auto"/>
            <w:vAlign w:val="center"/>
          </w:tcPr>
          <w:p w14:paraId="5683BA87" w14:textId="4359D85A" w:rsidR="00AB5422" w:rsidRPr="00675182" w:rsidRDefault="00AB5422" w:rsidP="00AB5422">
            <w:pPr>
              <w:rPr>
                <w:rFonts w:cstheme="minorHAnsi"/>
                <w:sz w:val="22"/>
                <w:szCs w:val="22"/>
              </w:rPr>
            </w:pPr>
            <w:r w:rsidRPr="00675182">
              <w:rPr>
                <w:rFonts w:cstheme="minorHAnsi"/>
                <w:sz w:val="22"/>
                <w:szCs w:val="22"/>
              </w:rPr>
              <w:t>6410 Mitri zālāji periodiski izžūstošās augsnēs</w:t>
            </w:r>
          </w:p>
        </w:tc>
        <w:tc>
          <w:tcPr>
            <w:tcW w:w="736" w:type="pct"/>
            <w:shd w:val="clear" w:color="auto" w:fill="auto"/>
            <w:vAlign w:val="center"/>
          </w:tcPr>
          <w:p w14:paraId="1697C0F6" w14:textId="051EA422" w:rsidR="00AB5422" w:rsidRPr="00675182" w:rsidRDefault="00AB5422" w:rsidP="00AB5422">
            <w:pPr>
              <w:jc w:val="center"/>
              <w:rPr>
                <w:rFonts w:cstheme="minorHAnsi"/>
                <w:sz w:val="22"/>
                <w:szCs w:val="22"/>
              </w:rPr>
            </w:pPr>
            <w:r w:rsidRPr="00675182">
              <w:rPr>
                <w:rFonts w:cstheme="minorHAnsi"/>
                <w:color w:val="000000"/>
                <w:sz w:val="22"/>
                <w:szCs w:val="22"/>
              </w:rPr>
              <w:t>-</w:t>
            </w:r>
          </w:p>
        </w:tc>
        <w:tc>
          <w:tcPr>
            <w:tcW w:w="809" w:type="pct"/>
            <w:tcBorders>
              <w:top w:val="single" w:sz="4" w:space="0" w:color="auto"/>
              <w:left w:val="nil"/>
              <w:bottom w:val="single" w:sz="4" w:space="0" w:color="auto"/>
              <w:right w:val="nil"/>
            </w:tcBorders>
            <w:shd w:val="clear" w:color="auto" w:fill="auto"/>
            <w:noWrap/>
            <w:vAlign w:val="center"/>
          </w:tcPr>
          <w:p w14:paraId="56D250C4" w14:textId="49C278D1" w:rsidR="00AB5422" w:rsidRPr="00711FE3" w:rsidRDefault="00AB5422" w:rsidP="00AB5422">
            <w:pPr>
              <w:jc w:val="center"/>
              <w:rPr>
                <w:rFonts w:cstheme="minorHAnsi"/>
                <w:sz w:val="22"/>
                <w:szCs w:val="22"/>
              </w:rPr>
            </w:pPr>
            <w:r w:rsidRPr="00711FE3">
              <w:rPr>
                <w:sz w:val="22"/>
                <w:szCs w:val="22"/>
              </w:rPr>
              <w:t>31,0</w:t>
            </w:r>
          </w:p>
        </w:tc>
        <w:tc>
          <w:tcPr>
            <w:tcW w:w="736" w:type="pct"/>
            <w:tcBorders>
              <w:top w:val="single" w:sz="4" w:space="0" w:color="auto"/>
              <w:bottom w:val="single" w:sz="4" w:space="0" w:color="auto"/>
            </w:tcBorders>
            <w:shd w:val="clear" w:color="000000" w:fill="A9D08E"/>
            <w:vAlign w:val="center"/>
          </w:tcPr>
          <w:p w14:paraId="5D716045" w14:textId="04586DA5" w:rsidR="00AB5422" w:rsidRPr="00711FE3" w:rsidRDefault="00AB5422" w:rsidP="00AB5422">
            <w:pPr>
              <w:jc w:val="center"/>
              <w:rPr>
                <w:rFonts w:cstheme="minorHAnsi"/>
                <w:sz w:val="22"/>
                <w:szCs w:val="22"/>
              </w:rPr>
            </w:pPr>
            <w:r w:rsidRPr="00711FE3">
              <w:rPr>
                <w:rFonts w:cstheme="minorHAnsi"/>
                <w:sz w:val="22"/>
                <w:szCs w:val="22"/>
              </w:rPr>
              <w:t>31,00</w:t>
            </w:r>
          </w:p>
        </w:tc>
        <w:tc>
          <w:tcPr>
            <w:tcW w:w="1596" w:type="pct"/>
          </w:tcPr>
          <w:p w14:paraId="61871493" w14:textId="678A5FB2" w:rsidR="00AB5422" w:rsidRPr="00675182" w:rsidRDefault="00AB5422" w:rsidP="00AB5422">
            <w:pPr>
              <w:suppressAutoHyphens w:val="0"/>
              <w:rPr>
                <w:rFonts w:eastAsia="Times New Roman" w:cstheme="minorHAnsi"/>
                <w:sz w:val="22"/>
                <w:szCs w:val="22"/>
                <w:lang w:eastAsia="en-GB"/>
              </w:rPr>
            </w:pPr>
            <w:r w:rsidRPr="00CF3878">
              <w:rPr>
                <w:rFonts w:cstheme="minorHAnsi"/>
                <w:color w:val="000000"/>
                <w:sz w:val="22"/>
                <w:szCs w:val="22"/>
              </w:rPr>
              <w:t xml:space="preserve">Detalizēta </w:t>
            </w:r>
            <w:r w:rsidRPr="00CF3878">
              <w:rPr>
                <w:rFonts w:cstheme="minorHAnsi"/>
                <w:sz w:val="22"/>
                <w:szCs w:val="22"/>
              </w:rPr>
              <w:t>ES nozīmes</w:t>
            </w:r>
            <w:r w:rsidRPr="00CF3878">
              <w:rPr>
                <w:rFonts w:cstheme="minorHAnsi"/>
                <w:color w:val="000000"/>
                <w:sz w:val="22"/>
                <w:szCs w:val="22"/>
              </w:rPr>
              <w:t xml:space="preserve"> biotopu inventarizācija DA plāna izstrādes laikā</w:t>
            </w:r>
          </w:p>
        </w:tc>
      </w:tr>
      <w:tr w:rsidR="00AB5422" w:rsidRPr="00675182" w14:paraId="43A89B5F" w14:textId="77777777" w:rsidTr="00DF79FF">
        <w:trPr>
          <w:cantSplit/>
          <w:trHeight w:val="284"/>
        </w:trPr>
        <w:tc>
          <w:tcPr>
            <w:tcW w:w="1123" w:type="pct"/>
            <w:shd w:val="clear" w:color="auto" w:fill="auto"/>
            <w:vAlign w:val="center"/>
          </w:tcPr>
          <w:p w14:paraId="023C41AC" w14:textId="4E13A5F5" w:rsidR="00AB5422" w:rsidRPr="00675182" w:rsidRDefault="00AB5422" w:rsidP="00AB5422">
            <w:pPr>
              <w:rPr>
                <w:rFonts w:cstheme="minorHAnsi"/>
                <w:sz w:val="22"/>
                <w:szCs w:val="22"/>
              </w:rPr>
            </w:pPr>
            <w:r w:rsidRPr="00675182">
              <w:rPr>
                <w:rFonts w:cstheme="minorHAnsi"/>
                <w:sz w:val="22"/>
                <w:szCs w:val="22"/>
              </w:rPr>
              <w:t>6430 Eitrofas augsto lakstaugu audzes</w:t>
            </w:r>
          </w:p>
        </w:tc>
        <w:tc>
          <w:tcPr>
            <w:tcW w:w="736" w:type="pct"/>
            <w:shd w:val="clear" w:color="auto" w:fill="auto"/>
            <w:vAlign w:val="center"/>
          </w:tcPr>
          <w:p w14:paraId="5CB0226C" w14:textId="192F85B6" w:rsidR="00AB5422" w:rsidRPr="00675182" w:rsidRDefault="00AB5422" w:rsidP="00AB5422">
            <w:pPr>
              <w:jc w:val="center"/>
              <w:rPr>
                <w:rFonts w:cstheme="minorHAnsi"/>
                <w:sz w:val="22"/>
                <w:szCs w:val="22"/>
              </w:rPr>
            </w:pPr>
            <w:r w:rsidRPr="00675182">
              <w:rPr>
                <w:rFonts w:cstheme="minorHAnsi"/>
                <w:color w:val="000000"/>
                <w:sz w:val="22"/>
                <w:szCs w:val="22"/>
              </w:rPr>
              <w:t>0,03</w:t>
            </w:r>
          </w:p>
        </w:tc>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257941" w14:textId="0B255BCB" w:rsidR="00AB5422" w:rsidRPr="00711FE3" w:rsidRDefault="00AB5422" w:rsidP="00AB5422">
            <w:pPr>
              <w:jc w:val="center"/>
              <w:rPr>
                <w:rFonts w:cstheme="minorHAnsi"/>
                <w:sz w:val="22"/>
                <w:szCs w:val="22"/>
              </w:rPr>
            </w:pPr>
            <w:r w:rsidRPr="00711FE3">
              <w:rPr>
                <w:sz w:val="22"/>
                <w:szCs w:val="22"/>
              </w:rPr>
              <w:t>109,7</w:t>
            </w:r>
          </w:p>
        </w:tc>
        <w:tc>
          <w:tcPr>
            <w:tcW w:w="736" w:type="pct"/>
            <w:shd w:val="clear" w:color="000000" w:fill="A9D08E"/>
            <w:vAlign w:val="center"/>
          </w:tcPr>
          <w:p w14:paraId="74A9924B" w14:textId="09379AA7" w:rsidR="00AB5422" w:rsidRPr="00711FE3" w:rsidRDefault="00AB5422" w:rsidP="00AB5422">
            <w:pPr>
              <w:jc w:val="center"/>
              <w:rPr>
                <w:rFonts w:cstheme="minorHAnsi"/>
                <w:sz w:val="22"/>
                <w:szCs w:val="22"/>
              </w:rPr>
            </w:pPr>
            <w:r w:rsidRPr="00711FE3">
              <w:rPr>
                <w:rFonts w:cstheme="minorHAnsi"/>
                <w:sz w:val="22"/>
                <w:szCs w:val="22"/>
              </w:rPr>
              <w:t>109,71</w:t>
            </w:r>
          </w:p>
        </w:tc>
        <w:tc>
          <w:tcPr>
            <w:tcW w:w="1596" w:type="pct"/>
          </w:tcPr>
          <w:p w14:paraId="285E45CD" w14:textId="3020D23F" w:rsidR="00AB5422" w:rsidRPr="00675182" w:rsidRDefault="00AB5422" w:rsidP="00AB5422">
            <w:pPr>
              <w:suppressAutoHyphens w:val="0"/>
              <w:rPr>
                <w:rFonts w:eastAsia="Times New Roman" w:cstheme="minorHAnsi"/>
                <w:sz w:val="22"/>
                <w:szCs w:val="22"/>
                <w:lang w:eastAsia="en-GB"/>
              </w:rPr>
            </w:pPr>
            <w:r w:rsidRPr="00CF3878">
              <w:rPr>
                <w:rFonts w:cstheme="minorHAnsi"/>
                <w:color w:val="000000"/>
                <w:sz w:val="22"/>
                <w:szCs w:val="22"/>
              </w:rPr>
              <w:t xml:space="preserve">Detalizēta </w:t>
            </w:r>
            <w:r w:rsidRPr="00CF3878">
              <w:rPr>
                <w:rFonts w:cstheme="minorHAnsi"/>
                <w:sz w:val="22"/>
                <w:szCs w:val="22"/>
              </w:rPr>
              <w:t>ES nozīmes</w:t>
            </w:r>
            <w:r w:rsidRPr="00CF3878">
              <w:rPr>
                <w:rFonts w:cstheme="minorHAnsi"/>
                <w:color w:val="000000"/>
                <w:sz w:val="22"/>
                <w:szCs w:val="22"/>
              </w:rPr>
              <w:t xml:space="preserve"> biotopu inventarizācija DA plāna izstrādes laikā</w:t>
            </w:r>
          </w:p>
        </w:tc>
      </w:tr>
      <w:tr w:rsidR="00AB5422" w:rsidRPr="00675182" w14:paraId="413ED2B0" w14:textId="77777777" w:rsidTr="00DF79FF">
        <w:trPr>
          <w:cantSplit/>
          <w:trHeight w:val="284"/>
        </w:trPr>
        <w:tc>
          <w:tcPr>
            <w:tcW w:w="1123" w:type="pct"/>
            <w:shd w:val="clear" w:color="auto" w:fill="auto"/>
            <w:vAlign w:val="center"/>
          </w:tcPr>
          <w:p w14:paraId="6DF46AAF" w14:textId="3398E6E6" w:rsidR="00AB5422" w:rsidRPr="00675182" w:rsidRDefault="00AB5422" w:rsidP="00AB5422">
            <w:pPr>
              <w:rPr>
                <w:rFonts w:cstheme="minorHAnsi"/>
                <w:sz w:val="22"/>
                <w:szCs w:val="22"/>
              </w:rPr>
            </w:pPr>
            <w:r w:rsidRPr="00675182">
              <w:rPr>
                <w:rFonts w:cstheme="minorHAnsi"/>
                <w:sz w:val="22"/>
                <w:szCs w:val="22"/>
              </w:rPr>
              <w:t>6450 Palieņu zālāji</w:t>
            </w:r>
          </w:p>
        </w:tc>
        <w:tc>
          <w:tcPr>
            <w:tcW w:w="736" w:type="pct"/>
            <w:shd w:val="clear" w:color="auto" w:fill="auto"/>
            <w:vAlign w:val="center"/>
          </w:tcPr>
          <w:p w14:paraId="54ADA91E" w14:textId="0FF26554" w:rsidR="00AB5422" w:rsidRPr="00675182" w:rsidRDefault="00AB5422" w:rsidP="00AB5422">
            <w:pPr>
              <w:jc w:val="center"/>
              <w:rPr>
                <w:rFonts w:cstheme="minorHAnsi"/>
                <w:sz w:val="22"/>
                <w:szCs w:val="22"/>
              </w:rPr>
            </w:pPr>
            <w:r w:rsidRPr="00675182">
              <w:rPr>
                <w:rFonts w:cstheme="minorHAnsi"/>
                <w:color w:val="000000"/>
                <w:sz w:val="22"/>
                <w:szCs w:val="22"/>
              </w:rPr>
              <w:t>19,95</w:t>
            </w:r>
          </w:p>
        </w:tc>
        <w:tc>
          <w:tcPr>
            <w:tcW w:w="809" w:type="pct"/>
            <w:tcBorders>
              <w:top w:val="single" w:sz="4" w:space="0" w:color="auto"/>
              <w:left w:val="nil"/>
              <w:bottom w:val="single" w:sz="4" w:space="0" w:color="auto"/>
              <w:right w:val="nil"/>
            </w:tcBorders>
            <w:shd w:val="clear" w:color="auto" w:fill="auto"/>
            <w:noWrap/>
            <w:vAlign w:val="center"/>
          </w:tcPr>
          <w:p w14:paraId="253DD352" w14:textId="1CEAEF34" w:rsidR="00AB5422" w:rsidRPr="00711FE3" w:rsidRDefault="00AB5422" w:rsidP="00AB5422">
            <w:pPr>
              <w:jc w:val="center"/>
              <w:rPr>
                <w:rFonts w:cstheme="minorHAnsi"/>
                <w:sz w:val="22"/>
                <w:szCs w:val="22"/>
              </w:rPr>
            </w:pPr>
            <w:r w:rsidRPr="00711FE3">
              <w:rPr>
                <w:sz w:val="22"/>
                <w:szCs w:val="22"/>
              </w:rPr>
              <w:t>64,6</w:t>
            </w:r>
          </w:p>
        </w:tc>
        <w:tc>
          <w:tcPr>
            <w:tcW w:w="736" w:type="pct"/>
            <w:tcBorders>
              <w:top w:val="single" w:sz="4" w:space="0" w:color="auto"/>
              <w:bottom w:val="single" w:sz="4" w:space="0" w:color="auto"/>
            </w:tcBorders>
            <w:shd w:val="clear" w:color="000000" w:fill="A9D08E"/>
            <w:vAlign w:val="center"/>
          </w:tcPr>
          <w:p w14:paraId="4FE0A816" w14:textId="40E5174E" w:rsidR="00AB5422" w:rsidRPr="00711FE3" w:rsidRDefault="00AB5422" w:rsidP="00AB5422">
            <w:pPr>
              <w:jc w:val="center"/>
              <w:rPr>
                <w:rFonts w:cstheme="minorHAnsi"/>
                <w:sz w:val="22"/>
                <w:szCs w:val="22"/>
              </w:rPr>
            </w:pPr>
            <w:r w:rsidRPr="00711FE3">
              <w:rPr>
                <w:rFonts w:cstheme="minorHAnsi"/>
                <w:sz w:val="22"/>
                <w:szCs w:val="22"/>
              </w:rPr>
              <w:t>44,69</w:t>
            </w:r>
          </w:p>
        </w:tc>
        <w:tc>
          <w:tcPr>
            <w:tcW w:w="1596" w:type="pct"/>
          </w:tcPr>
          <w:p w14:paraId="789D2FC7" w14:textId="7099FCF1" w:rsidR="00AB5422" w:rsidRPr="00675182" w:rsidRDefault="00AB5422" w:rsidP="00AB5422">
            <w:pPr>
              <w:suppressAutoHyphens w:val="0"/>
              <w:rPr>
                <w:rFonts w:eastAsia="Times New Roman" w:cstheme="minorHAnsi"/>
                <w:sz w:val="22"/>
                <w:szCs w:val="22"/>
                <w:lang w:eastAsia="en-GB"/>
              </w:rPr>
            </w:pPr>
            <w:r w:rsidRPr="00CF3878">
              <w:rPr>
                <w:rFonts w:cstheme="minorHAnsi"/>
                <w:color w:val="000000"/>
                <w:sz w:val="22"/>
                <w:szCs w:val="22"/>
              </w:rPr>
              <w:t xml:space="preserve">Detalizēta </w:t>
            </w:r>
            <w:r w:rsidRPr="00CF3878">
              <w:rPr>
                <w:rFonts w:cstheme="minorHAnsi"/>
                <w:sz w:val="22"/>
                <w:szCs w:val="22"/>
              </w:rPr>
              <w:t>ES nozīmes</w:t>
            </w:r>
            <w:r w:rsidRPr="00CF3878">
              <w:rPr>
                <w:rFonts w:cstheme="minorHAnsi"/>
                <w:color w:val="000000"/>
                <w:sz w:val="22"/>
                <w:szCs w:val="22"/>
              </w:rPr>
              <w:t xml:space="preserve"> biotopu inventarizācija DA plāna izstrādes laikā</w:t>
            </w:r>
          </w:p>
        </w:tc>
      </w:tr>
      <w:tr w:rsidR="00711FE3" w:rsidRPr="00675182" w14:paraId="49530139" w14:textId="77777777" w:rsidTr="00711FE3">
        <w:trPr>
          <w:cantSplit/>
          <w:trHeight w:val="284"/>
        </w:trPr>
        <w:tc>
          <w:tcPr>
            <w:tcW w:w="1123" w:type="pct"/>
            <w:shd w:val="clear" w:color="auto" w:fill="auto"/>
            <w:vAlign w:val="center"/>
          </w:tcPr>
          <w:p w14:paraId="67113AE1" w14:textId="76F8F549" w:rsidR="00711FE3" w:rsidRPr="00675182" w:rsidRDefault="00711FE3" w:rsidP="00711FE3">
            <w:pPr>
              <w:rPr>
                <w:rFonts w:cstheme="minorHAnsi"/>
                <w:sz w:val="22"/>
                <w:szCs w:val="22"/>
              </w:rPr>
            </w:pPr>
            <w:r w:rsidRPr="00675182">
              <w:rPr>
                <w:rFonts w:cstheme="minorHAnsi"/>
                <w:sz w:val="22"/>
                <w:szCs w:val="22"/>
              </w:rPr>
              <w:t>6510 Mēreni mitras pļavas</w:t>
            </w:r>
          </w:p>
        </w:tc>
        <w:tc>
          <w:tcPr>
            <w:tcW w:w="736" w:type="pct"/>
            <w:shd w:val="clear" w:color="auto" w:fill="auto"/>
            <w:vAlign w:val="center"/>
          </w:tcPr>
          <w:p w14:paraId="1B0CA621" w14:textId="02836FFE" w:rsidR="00711FE3" w:rsidRPr="00675182" w:rsidRDefault="00711FE3" w:rsidP="00711FE3">
            <w:pPr>
              <w:jc w:val="center"/>
              <w:rPr>
                <w:rFonts w:cstheme="minorHAnsi"/>
                <w:sz w:val="22"/>
                <w:szCs w:val="22"/>
              </w:rPr>
            </w:pPr>
            <w:r w:rsidRPr="00675182">
              <w:rPr>
                <w:rFonts w:cstheme="minorHAnsi"/>
                <w:color w:val="000000"/>
                <w:sz w:val="22"/>
                <w:szCs w:val="22"/>
              </w:rPr>
              <w:t>58,44</w:t>
            </w:r>
          </w:p>
        </w:tc>
        <w:tc>
          <w:tcPr>
            <w:tcW w:w="809" w:type="pct"/>
            <w:tcBorders>
              <w:top w:val="single" w:sz="4" w:space="0" w:color="auto"/>
              <w:left w:val="nil"/>
              <w:bottom w:val="single" w:sz="4" w:space="0" w:color="auto"/>
              <w:right w:val="nil"/>
            </w:tcBorders>
            <w:shd w:val="clear" w:color="auto" w:fill="auto"/>
            <w:noWrap/>
            <w:vAlign w:val="center"/>
          </w:tcPr>
          <w:p w14:paraId="4F4DF20A" w14:textId="7895E1DD" w:rsidR="00711FE3" w:rsidRPr="00711FE3" w:rsidRDefault="00711FE3" w:rsidP="00711FE3">
            <w:pPr>
              <w:jc w:val="center"/>
              <w:rPr>
                <w:rFonts w:cstheme="minorHAnsi"/>
                <w:sz w:val="22"/>
                <w:szCs w:val="22"/>
              </w:rPr>
            </w:pPr>
            <w:r w:rsidRPr="00711FE3">
              <w:rPr>
                <w:sz w:val="22"/>
                <w:szCs w:val="22"/>
              </w:rPr>
              <w:t>157,2</w:t>
            </w:r>
          </w:p>
        </w:tc>
        <w:tc>
          <w:tcPr>
            <w:tcW w:w="736" w:type="pct"/>
            <w:tcBorders>
              <w:top w:val="single" w:sz="4" w:space="0" w:color="auto"/>
              <w:bottom w:val="single" w:sz="4" w:space="0" w:color="auto"/>
            </w:tcBorders>
            <w:shd w:val="clear" w:color="000000" w:fill="A9D08E"/>
            <w:vAlign w:val="center"/>
          </w:tcPr>
          <w:p w14:paraId="7C4B505B" w14:textId="535CE329" w:rsidR="00711FE3" w:rsidRPr="00711FE3" w:rsidRDefault="00711FE3" w:rsidP="00711FE3">
            <w:pPr>
              <w:jc w:val="center"/>
              <w:rPr>
                <w:rFonts w:cstheme="minorHAnsi"/>
                <w:sz w:val="22"/>
                <w:szCs w:val="22"/>
              </w:rPr>
            </w:pPr>
            <w:r w:rsidRPr="00711FE3">
              <w:rPr>
                <w:rFonts w:cstheme="minorHAnsi"/>
                <w:sz w:val="22"/>
                <w:szCs w:val="22"/>
              </w:rPr>
              <w:t>98,80</w:t>
            </w:r>
          </w:p>
        </w:tc>
        <w:tc>
          <w:tcPr>
            <w:tcW w:w="1596" w:type="pct"/>
            <w:vAlign w:val="center"/>
          </w:tcPr>
          <w:p w14:paraId="7056B462" w14:textId="6AE6E114"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Pr="00DA5D61">
              <w:rPr>
                <w:rFonts w:cstheme="minorHAnsi"/>
                <w:sz w:val="22"/>
                <w:szCs w:val="22"/>
              </w:rPr>
              <w:t xml:space="preserve">ES nozīmes </w:t>
            </w:r>
            <w:r w:rsidRPr="00675182">
              <w:rPr>
                <w:rFonts w:cstheme="minorHAnsi"/>
                <w:color w:val="000000"/>
                <w:sz w:val="22"/>
                <w:szCs w:val="22"/>
              </w:rPr>
              <w:t>biotopu inventarizācija DA plāna izstrādes laikā</w:t>
            </w:r>
          </w:p>
        </w:tc>
      </w:tr>
      <w:tr w:rsidR="00711FE3" w:rsidRPr="00675182" w14:paraId="1B82AC73" w14:textId="77777777" w:rsidTr="00711FE3">
        <w:trPr>
          <w:cantSplit/>
          <w:trHeight w:val="284"/>
        </w:trPr>
        <w:tc>
          <w:tcPr>
            <w:tcW w:w="1123" w:type="pct"/>
            <w:shd w:val="clear" w:color="auto" w:fill="auto"/>
            <w:vAlign w:val="center"/>
          </w:tcPr>
          <w:p w14:paraId="535973F7" w14:textId="103BA6DB" w:rsidR="00711FE3" w:rsidRPr="00675182" w:rsidRDefault="00711FE3" w:rsidP="00711FE3">
            <w:pPr>
              <w:rPr>
                <w:rFonts w:cstheme="minorHAnsi"/>
                <w:sz w:val="22"/>
                <w:szCs w:val="22"/>
              </w:rPr>
            </w:pPr>
            <w:r w:rsidRPr="00675182">
              <w:rPr>
                <w:rFonts w:cstheme="minorHAnsi"/>
                <w:sz w:val="22"/>
                <w:szCs w:val="22"/>
              </w:rPr>
              <w:t>6530* Parkveida pļavas un ganības</w:t>
            </w:r>
          </w:p>
        </w:tc>
        <w:tc>
          <w:tcPr>
            <w:tcW w:w="736" w:type="pct"/>
            <w:shd w:val="clear" w:color="auto" w:fill="auto"/>
            <w:vAlign w:val="center"/>
          </w:tcPr>
          <w:p w14:paraId="29C29A88" w14:textId="5F768967" w:rsidR="00711FE3" w:rsidRPr="00675182" w:rsidRDefault="00711FE3" w:rsidP="00711FE3">
            <w:pPr>
              <w:jc w:val="center"/>
              <w:rPr>
                <w:rFonts w:cstheme="minorHAnsi"/>
                <w:sz w:val="22"/>
                <w:szCs w:val="22"/>
              </w:rPr>
            </w:pPr>
            <w:r w:rsidRPr="00675182">
              <w:rPr>
                <w:rFonts w:cstheme="minorHAnsi"/>
                <w:sz w:val="22"/>
                <w:szCs w:val="22"/>
              </w:rPr>
              <w:t>-</w:t>
            </w:r>
          </w:p>
        </w:tc>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AF180B" w14:textId="0530B268" w:rsidR="00711FE3" w:rsidRPr="00711FE3" w:rsidRDefault="00711FE3" w:rsidP="00711FE3">
            <w:pPr>
              <w:jc w:val="center"/>
              <w:rPr>
                <w:rFonts w:cstheme="minorHAnsi"/>
                <w:sz w:val="22"/>
                <w:szCs w:val="22"/>
              </w:rPr>
            </w:pPr>
            <w:r w:rsidRPr="00711FE3">
              <w:rPr>
                <w:sz w:val="22"/>
                <w:szCs w:val="22"/>
              </w:rPr>
              <w:t>7,5</w:t>
            </w:r>
          </w:p>
        </w:tc>
        <w:tc>
          <w:tcPr>
            <w:tcW w:w="736" w:type="pct"/>
            <w:shd w:val="clear" w:color="000000" w:fill="A9D08E"/>
            <w:vAlign w:val="center"/>
          </w:tcPr>
          <w:p w14:paraId="3D3A2029" w14:textId="294827F3" w:rsidR="00711FE3" w:rsidRPr="00711FE3" w:rsidRDefault="00711FE3" w:rsidP="00711FE3">
            <w:pPr>
              <w:jc w:val="center"/>
              <w:rPr>
                <w:rFonts w:cstheme="minorHAnsi"/>
                <w:sz w:val="22"/>
                <w:szCs w:val="22"/>
              </w:rPr>
            </w:pPr>
            <w:r w:rsidRPr="00711FE3">
              <w:rPr>
                <w:rFonts w:cstheme="minorHAnsi"/>
                <w:sz w:val="22"/>
                <w:szCs w:val="22"/>
              </w:rPr>
              <w:t>7,50</w:t>
            </w:r>
          </w:p>
        </w:tc>
        <w:tc>
          <w:tcPr>
            <w:tcW w:w="1596" w:type="pct"/>
            <w:vAlign w:val="center"/>
          </w:tcPr>
          <w:p w14:paraId="79F08747" w14:textId="449E5577"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Precizēta </w:t>
            </w:r>
            <w:r w:rsidRPr="00DA5D61">
              <w:rPr>
                <w:rFonts w:cstheme="minorHAnsi"/>
                <w:sz w:val="22"/>
                <w:szCs w:val="22"/>
              </w:rPr>
              <w:t>ES nozīmes</w:t>
            </w:r>
            <w:r w:rsidRPr="00675182">
              <w:rPr>
                <w:rFonts w:cstheme="minorHAnsi"/>
                <w:color w:val="000000"/>
                <w:sz w:val="22"/>
                <w:szCs w:val="22"/>
              </w:rPr>
              <w:t xml:space="preserve"> biotopu noteikšanas metodika</w:t>
            </w:r>
            <w:r>
              <w:rPr>
                <w:rFonts w:cstheme="minorHAnsi"/>
                <w:color w:val="000000"/>
                <w:sz w:val="22"/>
                <w:szCs w:val="22"/>
              </w:rPr>
              <w:t>, iekļaujot arī pilnībā kokiem un krūmiem aizaugušus biotopus</w:t>
            </w:r>
            <w:r w:rsidRPr="00675182">
              <w:rPr>
                <w:rFonts w:cstheme="minorHAnsi"/>
                <w:color w:val="000000"/>
                <w:sz w:val="22"/>
                <w:szCs w:val="22"/>
              </w:rPr>
              <w:t xml:space="preserve">. Detalizēta </w:t>
            </w:r>
            <w:r w:rsidRPr="00DA5D61">
              <w:rPr>
                <w:rFonts w:cstheme="minorHAnsi"/>
                <w:sz w:val="22"/>
                <w:szCs w:val="22"/>
              </w:rPr>
              <w:t xml:space="preserve">ES nozīmes </w:t>
            </w:r>
            <w:r w:rsidRPr="00675182">
              <w:rPr>
                <w:rFonts w:cstheme="minorHAnsi"/>
                <w:color w:val="000000"/>
                <w:sz w:val="22"/>
                <w:szCs w:val="22"/>
              </w:rPr>
              <w:t xml:space="preserve">biotopu inventarizācija DA plāna izstrādes laikā. </w:t>
            </w:r>
          </w:p>
        </w:tc>
      </w:tr>
      <w:tr w:rsidR="00AB5422" w:rsidRPr="00675182" w14:paraId="1A7F276E" w14:textId="77777777" w:rsidTr="00EE0310">
        <w:trPr>
          <w:cantSplit/>
          <w:trHeight w:val="284"/>
        </w:trPr>
        <w:tc>
          <w:tcPr>
            <w:tcW w:w="1123" w:type="pct"/>
            <w:shd w:val="clear" w:color="auto" w:fill="auto"/>
            <w:vAlign w:val="center"/>
          </w:tcPr>
          <w:p w14:paraId="17E50CCE" w14:textId="1E61302A" w:rsidR="00AB5422" w:rsidRPr="00675182" w:rsidRDefault="00AB5422" w:rsidP="00AB5422">
            <w:pPr>
              <w:rPr>
                <w:rFonts w:cstheme="minorHAnsi"/>
                <w:sz w:val="22"/>
                <w:szCs w:val="22"/>
              </w:rPr>
            </w:pPr>
            <w:r w:rsidRPr="00675182">
              <w:rPr>
                <w:rFonts w:cstheme="minorHAnsi"/>
                <w:sz w:val="22"/>
                <w:szCs w:val="22"/>
              </w:rPr>
              <w:t>7110* Aktīvi augstie purvi</w:t>
            </w:r>
          </w:p>
        </w:tc>
        <w:tc>
          <w:tcPr>
            <w:tcW w:w="736" w:type="pct"/>
            <w:shd w:val="clear" w:color="auto" w:fill="auto"/>
            <w:vAlign w:val="center"/>
          </w:tcPr>
          <w:p w14:paraId="49290218" w14:textId="3F548692" w:rsidR="00AB5422" w:rsidRPr="00675182" w:rsidRDefault="00AB5422" w:rsidP="00AB5422">
            <w:pPr>
              <w:jc w:val="center"/>
              <w:rPr>
                <w:rFonts w:cstheme="minorHAnsi"/>
                <w:sz w:val="22"/>
                <w:szCs w:val="22"/>
              </w:rPr>
            </w:pPr>
            <w:r w:rsidRPr="00675182">
              <w:rPr>
                <w:rFonts w:cstheme="minorHAnsi"/>
                <w:color w:val="000000"/>
                <w:sz w:val="22"/>
                <w:szCs w:val="22"/>
              </w:rPr>
              <w:t>1850,52</w:t>
            </w:r>
          </w:p>
        </w:tc>
        <w:tc>
          <w:tcPr>
            <w:tcW w:w="809" w:type="pct"/>
            <w:tcBorders>
              <w:top w:val="single" w:sz="4" w:space="0" w:color="auto"/>
              <w:left w:val="nil"/>
              <w:bottom w:val="single" w:sz="4" w:space="0" w:color="auto"/>
              <w:right w:val="nil"/>
            </w:tcBorders>
            <w:shd w:val="clear" w:color="auto" w:fill="auto"/>
            <w:noWrap/>
            <w:vAlign w:val="center"/>
          </w:tcPr>
          <w:p w14:paraId="45422298" w14:textId="79D0B40E" w:rsidR="00AB5422" w:rsidRPr="00711FE3" w:rsidRDefault="00AB5422" w:rsidP="00AB5422">
            <w:pPr>
              <w:jc w:val="center"/>
              <w:rPr>
                <w:rFonts w:cstheme="minorHAnsi"/>
                <w:sz w:val="22"/>
                <w:szCs w:val="22"/>
              </w:rPr>
            </w:pPr>
            <w:r w:rsidRPr="00711FE3">
              <w:rPr>
                <w:sz w:val="22"/>
                <w:szCs w:val="22"/>
              </w:rPr>
              <w:t>2914,1</w:t>
            </w:r>
          </w:p>
        </w:tc>
        <w:tc>
          <w:tcPr>
            <w:tcW w:w="736" w:type="pct"/>
            <w:tcBorders>
              <w:top w:val="single" w:sz="4" w:space="0" w:color="auto"/>
              <w:bottom w:val="single" w:sz="4" w:space="0" w:color="auto"/>
            </w:tcBorders>
            <w:shd w:val="clear" w:color="000000" w:fill="A9D08E"/>
            <w:vAlign w:val="center"/>
          </w:tcPr>
          <w:p w14:paraId="1535ECD3" w14:textId="12BD2C5E" w:rsidR="00AB5422" w:rsidRPr="00711FE3" w:rsidRDefault="00AB5422" w:rsidP="00AB5422">
            <w:pPr>
              <w:jc w:val="center"/>
              <w:rPr>
                <w:rFonts w:cstheme="minorHAnsi"/>
                <w:sz w:val="22"/>
                <w:szCs w:val="22"/>
              </w:rPr>
            </w:pPr>
            <w:r w:rsidRPr="00711FE3">
              <w:rPr>
                <w:rFonts w:cstheme="minorHAnsi"/>
                <w:sz w:val="22"/>
                <w:szCs w:val="22"/>
              </w:rPr>
              <w:t>1063,59</w:t>
            </w:r>
          </w:p>
        </w:tc>
        <w:tc>
          <w:tcPr>
            <w:tcW w:w="1596" w:type="pct"/>
          </w:tcPr>
          <w:p w14:paraId="50CB18B1" w14:textId="7AF4D98F" w:rsidR="00AB5422" w:rsidRPr="00675182" w:rsidRDefault="00AB5422" w:rsidP="00AB5422">
            <w:pPr>
              <w:suppressAutoHyphens w:val="0"/>
              <w:rPr>
                <w:rFonts w:eastAsia="Times New Roman" w:cstheme="minorHAnsi"/>
                <w:sz w:val="22"/>
                <w:szCs w:val="22"/>
                <w:lang w:eastAsia="en-GB"/>
              </w:rPr>
            </w:pPr>
            <w:r w:rsidRPr="00D96B0F">
              <w:rPr>
                <w:rFonts w:cstheme="minorHAnsi"/>
                <w:color w:val="000000"/>
                <w:sz w:val="22"/>
                <w:szCs w:val="22"/>
              </w:rPr>
              <w:t xml:space="preserve">Detalizēta </w:t>
            </w:r>
            <w:r w:rsidRPr="00D96B0F">
              <w:rPr>
                <w:rFonts w:cstheme="minorHAnsi"/>
                <w:sz w:val="22"/>
                <w:szCs w:val="22"/>
              </w:rPr>
              <w:t>ES nozīmes</w:t>
            </w:r>
            <w:r w:rsidRPr="00D96B0F">
              <w:rPr>
                <w:rFonts w:cstheme="minorHAnsi"/>
                <w:color w:val="000000"/>
                <w:sz w:val="22"/>
                <w:szCs w:val="22"/>
              </w:rPr>
              <w:t xml:space="preserve"> biotopu inventarizācija DA plāna izstrādes laikā</w:t>
            </w:r>
          </w:p>
        </w:tc>
      </w:tr>
      <w:tr w:rsidR="00AB5422" w:rsidRPr="00675182" w14:paraId="795D4083" w14:textId="77777777" w:rsidTr="00EE0310">
        <w:trPr>
          <w:cantSplit/>
          <w:trHeight w:val="284"/>
        </w:trPr>
        <w:tc>
          <w:tcPr>
            <w:tcW w:w="1123" w:type="pct"/>
            <w:shd w:val="clear" w:color="auto" w:fill="auto"/>
            <w:vAlign w:val="center"/>
          </w:tcPr>
          <w:p w14:paraId="5516C345" w14:textId="725FE597" w:rsidR="00AB5422" w:rsidRPr="00675182" w:rsidRDefault="00AB5422" w:rsidP="00AB5422">
            <w:pPr>
              <w:rPr>
                <w:rFonts w:cstheme="minorHAnsi"/>
                <w:sz w:val="22"/>
                <w:szCs w:val="22"/>
              </w:rPr>
            </w:pPr>
            <w:r w:rsidRPr="00675182">
              <w:rPr>
                <w:rFonts w:cstheme="minorHAnsi"/>
                <w:sz w:val="22"/>
                <w:szCs w:val="22"/>
              </w:rPr>
              <w:t>7120 Degradēti augstie purvi, kuros iespējama vai noris dabiskā atjaunošanās</w:t>
            </w:r>
          </w:p>
        </w:tc>
        <w:tc>
          <w:tcPr>
            <w:tcW w:w="736" w:type="pct"/>
            <w:shd w:val="clear" w:color="auto" w:fill="auto"/>
            <w:vAlign w:val="center"/>
          </w:tcPr>
          <w:p w14:paraId="654E10BF" w14:textId="4B5A8CB7" w:rsidR="00AB5422" w:rsidRPr="00675182" w:rsidRDefault="00AB5422" w:rsidP="00AB5422">
            <w:pPr>
              <w:jc w:val="center"/>
              <w:rPr>
                <w:rFonts w:cstheme="minorHAnsi"/>
                <w:sz w:val="22"/>
                <w:szCs w:val="22"/>
              </w:rPr>
            </w:pPr>
            <w:r w:rsidRPr="00675182">
              <w:rPr>
                <w:rFonts w:cstheme="minorHAnsi"/>
                <w:color w:val="000000"/>
                <w:sz w:val="22"/>
                <w:szCs w:val="22"/>
              </w:rPr>
              <w:t>122,2</w:t>
            </w:r>
          </w:p>
        </w:tc>
        <w:tc>
          <w:tcPr>
            <w:tcW w:w="809" w:type="pct"/>
            <w:tcBorders>
              <w:top w:val="single" w:sz="4" w:space="0" w:color="auto"/>
              <w:left w:val="nil"/>
              <w:bottom w:val="single" w:sz="4" w:space="0" w:color="auto"/>
              <w:right w:val="nil"/>
            </w:tcBorders>
            <w:shd w:val="clear" w:color="auto" w:fill="auto"/>
            <w:noWrap/>
            <w:vAlign w:val="center"/>
          </w:tcPr>
          <w:p w14:paraId="7EE551B0" w14:textId="2FC6D731" w:rsidR="00AB5422" w:rsidRPr="00711FE3" w:rsidRDefault="00AB5422" w:rsidP="00AB5422">
            <w:pPr>
              <w:jc w:val="center"/>
              <w:rPr>
                <w:rFonts w:cstheme="minorHAnsi"/>
                <w:sz w:val="22"/>
                <w:szCs w:val="22"/>
              </w:rPr>
            </w:pPr>
            <w:r w:rsidRPr="00711FE3">
              <w:rPr>
                <w:sz w:val="22"/>
                <w:szCs w:val="22"/>
              </w:rPr>
              <w:t>405,7</w:t>
            </w:r>
          </w:p>
        </w:tc>
        <w:tc>
          <w:tcPr>
            <w:tcW w:w="736" w:type="pct"/>
            <w:tcBorders>
              <w:top w:val="single" w:sz="4" w:space="0" w:color="auto"/>
              <w:bottom w:val="single" w:sz="4" w:space="0" w:color="auto"/>
            </w:tcBorders>
            <w:shd w:val="clear" w:color="000000" w:fill="A9D08E"/>
            <w:vAlign w:val="center"/>
          </w:tcPr>
          <w:p w14:paraId="3E7BD921" w14:textId="23688966" w:rsidR="00AB5422" w:rsidRPr="00711FE3" w:rsidRDefault="00AB5422" w:rsidP="00AB5422">
            <w:pPr>
              <w:jc w:val="center"/>
              <w:rPr>
                <w:rFonts w:cstheme="minorHAnsi"/>
                <w:sz w:val="22"/>
                <w:szCs w:val="22"/>
              </w:rPr>
            </w:pPr>
            <w:r w:rsidRPr="00711FE3">
              <w:rPr>
                <w:rFonts w:cstheme="minorHAnsi"/>
                <w:sz w:val="22"/>
                <w:szCs w:val="22"/>
              </w:rPr>
              <w:t>283,54</w:t>
            </w:r>
          </w:p>
        </w:tc>
        <w:tc>
          <w:tcPr>
            <w:tcW w:w="1596" w:type="pct"/>
          </w:tcPr>
          <w:p w14:paraId="30459B22" w14:textId="4703106F" w:rsidR="00AB5422" w:rsidRPr="00675182" w:rsidRDefault="00AB5422" w:rsidP="00AB5422">
            <w:pPr>
              <w:suppressAutoHyphens w:val="0"/>
              <w:rPr>
                <w:rFonts w:eastAsia="Times New Roman" w:cstheme="minorHAnsi"/>
                <w:sz w:val="22"/>
                <w:szCs w:val="22"/>
                <w:lang w:eastAsia="en-GB"/>
              </w:rPr>
            </w:pPr>
            <w:r w:rsidRPr="00D96B0F">
              <w:rPr>
                <w:rFonts w:cstheme="minorHAnsi"/>
                <w:color w:val="000000"/>
                <w:sz w:val="22"/>
                <w:szCs w:val="22"/>
              </w:rPr>
              <w:t xml:space="preserve">Detalizēta </w:t>
            </w:r>
            <w:r w:rsidRPr="00D96B0F">
              <w:rPr>
                <w:rFonts w:cstheme="minorHAnsi"/>
                <w:sz w:val="22"/>
                <w:szCs w:val="22"/>
              </w:rPr>
              <w:t>ES nozīmes</w:t>
            </w:r>
            <w:r w:rsidRPr="00D96B0F">
              <w:rPr>
                <w:rFonts w:cstheme="minorHAnsi"/>
                <w:color w:val="000000"/>
                <w:sz w:val="22"/>
                <w:szCs w:val="22"/>
              </w:rPr>
              <w:t xml:space="preserve"> biotopu inventarizācija DA plāna izstrādes laikā</w:t>
            </w:r>
          </w:p>
        </w:tc>
      </w:tr>
      <w:tr w:rsidR="00AB5422" w:rsidRPr="00675182" w14:paraId="6432F1F1" w14:textId="77777777" w:rsidTr="00EE0310">
        <w:trPr>
          <w:cantSplit/>
          <w:trHeight w:val="284"/>
        </w:trPr>
        <w:tc>
          <w:tcPr>
            <w:tcW w:w="1123" w:type="pct"/>
            <w:shd w:val="clear" w:color="auto" w:fill="auto"/>
            <w:vAlign w:val="center"/>
          </w:tcPr>
          <w:p w14:paraId="68442BE1" w14:textId="6CDAF1E2" w:rsidR="00AB5422" w:rsidRPr="00675182" w:rsidRDefault="00AB5422" w:rsidP="00AB5422">
            <w:pPr>
              <w:rPr>
                <w:rFonts w:cstheme="minorHAnsi"/>
                <w:sz w:val="22"/>
                <w:szCs w:val="22"/>
              </w:rPr>
            </w:pPr>
            <w:r w:rsidRPr="00675182">
              <w:rPr>
                <w:rFonts w:cstheme="minorHAnsi"/>
                <w:sz w:val="22"/>
                <w:szCs w:val="22"/>
              </w:rPr>
              <w:t>7140 Pārejas purvi un slīkšņas</w:t>
            </w:r>
          </w:p>
        </w:tc>
        <w:tc>
          <w:tcPr>
            <w:tcW w:w="736" w:type="pct"/>
            <w:shd w:val="clear" w:color="auto" w:fill="auto"/>
            <w:vAlign w:val="center"/>
          </w:tcPr>
          <w:p w14:paraId="1A543E11" w14:textId="7B85AE3D" w:rsidR="00AB5422" w:rsidRPr="00675182" w:rsidRDefault="00AB5422" w:rsidP="00AB5422">
            <w:pPr>
              <w:jc w:val="center"/>
              <w:rPr>
                <w:rFonts w:cstheme="minorHAnsi"/>
                <w:sz w:val="22"/>
                <w:szCs w:val="22"/>
              </w:rPr>
            </w:pPr>
            <w:r w:rsidRPr="00675182">
              <w:rPr>
                <w:rFonts w:cstheme="minorHAnsi"/>
                <w:color w:val="000000"/>
                <w:sz w:val="22"/>
                <w:szCs w:val="22"/>
              </w:rPr>
              <w:t>83,94</w:t>
            </w:r>
          </w:p>
        </w:tc>
        <w:tc>
          <w:tcPr>
            <w:tcW w:w="809" w:type="pct"/>
            <w:tcBorders>
              <w:top w:val="single" w:sz="4" w:space="0" w:color="auto"/>
              <w:left w:val="nil"/>
              <w:bottom w:val="single" w:sz="4" w:space="0" w:color="auto"/>
              <w:right w:val="nil"/>
            </w:tcBorders>
            <w:shd w:val="clear" w:color="auto" w:fill="auto"/>
            <w:noWrap/>
            <w:vAlign w:val="center"/>
          </w:tcPr>
          <w:p w14:paraId="2CDDD829" w14:textId="2548530B" w:rsidR="00AB5422" w:rsidRPr="00711FE3" w:rsidRDefault="00AB5422" w:rsidP="00AB5422">
            <w:pPr>
              <w:jc w:val="center"/>
              <w:rPr>
                <w:rFonts w:cstheme="minorHAnsi"/>
                <w:sz w:val="22"/>
                <w:szCs w:val="22"/>
              </w:rPr>
            </w:pPr>
            <w:r w:rsidRPr="00711FE3">
              <w:rPr>
                <w:sz w:val="22"/>
                <w:szCs w:val="22"/>
              </w:rPr>
              <w:t>178,0</w:t>
            </w:r>
          </w:p>
        </w:tc>
        <w:tc>
          <w:tcPr>
            <w:tcW w:w="736" w:type="pct"/>
            <w:tcBorders>
              <w:top w:val="single" w:sz="4" w:space="0" w:color="auto"/>
              <w:bottom w:val="single" w:sz="4" w:space="0" w:color="auto"/>
            </w:tcBorders>
            <w:shd w:val="clear" w:color="000000" w:fill="A9D08E"/>
            <w:vAlign w:val="center"/>
          </w:tcPr>
          <w:p w14:paraId="55BA6965" w14:textId="51F41624" w:rsidR="00AB5422" w:rsidRPr="00711FE3" w:rsidRDefault="00AB5422" w:rsidP="00AB5422">
            <w:pPr>
              <w:jc w:val="center"/>
              <w:rPr>
                <w:rFonts w:cstheme="minorHAnsi"/>
                <w:sz w:val="22"/>
                <w:szCs w:val="22"/>
              </w:rPr>
            </w:pPr>
            <w:r w:rsidRPr="00711FE3">
              <w:rPr>
                <w:rFonts w:cstheme="minorHAnsi"/>
                <w:sz w:val="22"/>
                <w:szCs w:val="22"/>
              </w:rPr>
              <w:t>94,09</w:t>
            </w:r>
          </w:p>
        </w:tc>
        <w:tc>
          <w:tcPr>
            <w:tcW w:w="1596" w:type="pct"/>
          </w:tcPr>
          <w:p w14:paraId="6B6A32FD" w14:textId="49C1D4EC" w:rsidR="00AB5422" w:rsidRPr="00675182" w:rsidRDefault="00AB5422" w:rsidP="00AB5422">
            <w:pPr>
              <w:suppressAutoHyphens w:val="0"/>
              <w:rPr>
                <w:rFonts w:eastAsia="Times New Roman" w:cstheme="minorHAnsi"/>
                <w:sz w:val="22"/>
                <w:szCs w:val="22"/>
                <w:lang w:eastAsia="en-GB"/>
              </w:rPr>
            </w:pPr>
            <w:r w:rsidRPr="00D96B0F">
              <w:rPr>
                <w:rFonts w:cstheme="minorHAnsi"/>
                <w:color w:val="000000"/>
                <w:sz w:val="22"/>
                <w:szCs w:val="22"/>
              </w:rPr>
              <w:t xml:space="preserve">Detalizēta </w:t>
            </w:r>
            <w:r w:rsidRPr="00D96B0F">
              <w:rPr>
                <w:rFonts w:cstheme="minorHAnsi"/>
                <w:sz w:val="22"/>
                <w:szCs w:val="22"/>
              </w:rPr>
              <w:t>ES nozīmes</w:t>
            </w:r>
            <w:r w:rsidRPr="00D96B0F">
              <w:rPr>
                <w:rFonts w:cstheme="minorHAnsi"/>
                <w:color w:val="000000"/>
                <w:sz w:val="22"/>
                <w:szCs w:val="22"/>
              </w:rPr>
              <w:t xml:space="preserve"> biotopu inventarizācija DA plāna izstrādes laikā</w:t>
            </w:r>
          </w:p>
        </w:tc>
      </w:tr>
      <w:tr w:rsidR="001C129B" w:rsidRPr="00675182" w14:paraId="2331D5C8" w14:textId="77777777" w:rsidTr="00B02532">
        <w:trPr>
          <w:trHeight w:val="284"/>
        </w:trPr>
        <w:tc>
          <w:tcPr>
            <w:tcW w:w="1123" w:type="pct"/>
            <w:shd w:val="clear" w:color="000000" w:fill="FFFFFF"/>
            <w:vAlign w:val="center"/>
          </w:tcPr>
          <w:p w14:paraId="0FA88BA1" w14:textId="6CD9D849" w:rsidR="001C129B" w:rsidRPr="00675182" w:rsidRDefault="001C129B" w:rsidP="001C129B">
            <w:pPr>
              <w:rPr>
                <w:rFonts w:cstheme="minorHAnsi"/>
                <w:sz w:val="22"/>
                <w:szCs w:val="22"/>
              </w:rPr>
            </w:pPr>
            <w:r w:rsidRPr="00675182">
              <w:rPr>
                <w:rFonts w:cstheme="minorHAnsi"/>
                <w:i/>
                <w:iCs/>
                <w:color w:val="000000"/>
                <w:sz w:val="22"/>
                <w:szCs w:val="22"/>
              </w:rPr>
              <w:t>7150 Rhynchosporion albae</w:t>
            </w:r>
            <w:r w:rsidRPr="00675182">
              <w:rPr>
                <w:rFonts w:cstheme="minorHAnsi"/>
                <w:color w:val="000000"/>
                <w:sz w:val="22"/>
                <w:szCs w:val="22"/>
              </w:rPr>
              <w:t xml:space="preserve"> pioniersabiedrības uz mitras kūdras vai smiltīm</w:t>
            </w:r>
          </w:p>
        </w:tc>
        <w:tc>
          <w:tcPr>
            <w:tcW w:w="736" w:type="pct"/>
            <w:shd w:val="clear" w:color="auto" w:fill="auto"/>
            <w:vAlign w:val="center"/>
          </w:tcPr>
          <w:p w14:paraId="500161E0" w14:textId="728D6381" w:rsidR="001C129B" w:rsidRPr="00675182" w:rsidRDefault="001C129B" w:rsidP="00B02532">
            <w:pPr>
              <w:jc w:val="center"/>
              <w:rPr>
                <w:rFonts w:cstheme="minorHAnsi"/>
                <w:sz w:val="22"/>
                <w:szCs w:val="22"/>
              </w:rPr>
            </w:pPr>
            <w:r w:rsidRPr="00675182">
              <w:rPr>
                <w:rFonts w:cstheme="minorHAnsi"/>
                <w:color w:val="000000"/>
                <w:sz w:val="22"/>
                <w:szCs w:val="22"/>
              </w:rPr>
              <w:t>79,48</w:t>
            </w:r>
          </w:p>
        </w:tc>
        <w:tc>
          <w:tcPr>
            <w:tcW w:w="809" w:type="pct"/>
            <w:tcBorders>
              <w:top w:val="single" w:sz="4" w:space="0" w:color="auto"/>
            </w:tcBorders>
            <w:shd w:val="clear" w:color="auto" w:fill="auto"/>
            <w:noWrap/>
            <w:vAlign w:val="center"/>
          </w:tcPr>
          <w:p w14:paraId="6014A5AA" w14:textId="73961457" w:rsidR="001C129B" w:rsidRPr="00711FE3" w:rsidRDefault="00B629AD" w:rsidP="00B02532">
            <w:pPr>
              <w:jc w:val="center"/>
              <w:rPr>
                <w:rFonts w:cstheme="minorHAnsi"/>
                <w:sz w:val="22"/>
                <w:szCs w:val="22"/>
              </w:rPr>
            </w:pPr>
            <w:r w:rsidRPr="00711FE3">
              <w:rPr>
                <w:rFonts w:cstheme="minorHAnsi"/>
                <w:sz w:val="22"/>
                <w:szCs w:val="22"/>
              </w:rPr>
              <w:t>79,48</w:t>
            </w:r>
          </w:p>
        </w:tc>
        <w:tc>
          <w:tcPr>
            <w:tcW w:w="736" w:type="pct"/>
            <w:shd w:val="clear" w:color="auto" w:fill="auto"/>
            <w:vAlign w:val="center"/>
          </w:tcPr>
          <w:p w14:paraId="13245C0D" w14:textId="4937DF77" w:rsidR="001C129B" w:rsidRPr="00711FE3" w:rsidRDefault="00B629AD" w:rsidP="00B02532">
            <w:pPr>
              <w:jc w:val="center"/>
              <w:rPr>
                <w:rFonts w:cstheme="minorHAnsi"/>
                <w:sz w:val="22"/>
                <w:szCs w:val="22"/>
              </w:rPr>
            </w:pPr>
            <w:r w:rsidRPr="00711FE3">
              <w:rPr>
                <w:rFonts w:cstheme="minorHAnsi"/>
                <w:sz w:val="22"/>
                <w:szCs w:val="22"/>
              </w:rPr>
              <w:t>0</w:t>
            </w:r>
          </w:p>
        </w:tc>
        <w:tc>
          <w:tcPr>
            <w:tcW w:w="1596" w:type="pct"/>
            <w:vAlign w:val="center"/>
          </w:tcPr>
          <w:p w14:paraId="74EC2AC6" w14:textId="01BA9180" w:rsidR="001C129B" w:rsidRPr="00675182" w:rsidRDefault="00B629AD" w:rsidP="00B629AD">
            <w:pPr>
              <w:suppressAutoHyphens w:val="0"/>
              <w:rPr>
                <w:rFonts w:eastAsia="Times New Roman" w:cstheme="minorHAnsi"/>
                <w:sz w:val="22"/>
                <w:szCs w:val="22"/>
                <w:lang w:eastAsia="en-GB"/>
              </w:rPr>
            </w:pPr>
            <w:r w:rsidRPr="00675182">
              <w:rPr>
                <w:rFonts w:cstheme="minorHAnsi"/>
                <w:sz w:val="22"/>
                <w:szCs w:val="22"/>
              </w:rPr>
              <w:t>Atbilstoši biotopu kartēšanas nosacījumiem projekta "Dabas skaitīšana" ietvaros, biotops 7150, kā integrē</w:t>
            </w:r>
            <w:r w:rsidR="00886FCB">
              <w:rPr>
                <w:rFonts w:cstheme="minorHAnsi"/>
                <w:sz w:val="22"/>
                <w:szCs w:val="22"/>
              </w:rPr>
              <w:t>t</w:t>
            </w:r>
            <w:r w:rsidRPr="00675182">
              <w:rPr>
                <w:rFonts w:cstheme="minorHAnsi"/>
                <w:sz w:val="22"/>
                <w:szCs w:val="22"/>
              </w:rPr>
              <w:t xml:space="preserve">s purvu kompleksa elements, tika fiksēts (atzīmēta biotopa konstatācija) kartējot biotopu veidus 7110* Aktīvi augstie purvi un 7140 Pārejas purvi un slīkšņas </w:t>
            </w:r>
            <w:r w:rsidRPr="00675182">
              <w:rPr>
                <w:rFonts w:cstheme="minorHAnsi"/>
                <w:sz w:val="22"/>
                <w:szCs w:val="22"/>
              </w:rPr>
              <w:lastRenderedPageBreak/>
              <w:t>attiecīgo biotopu kartēšanas anketās, nenorādot biotopa veida 7150 aizņemto platību. Biotopa 7150 platības visos gadījumos pārklājas ar biotopu 7110* vai 7140 teritorijām un attiecīgi netiek atsevišķi pieskaitītas biotopu platībai GNP</w:t>
            </w:r>
          </w:p>
        </w:tc>
      </w:tr>
      <w:tr w:rsidR="00711FE3" w:rsidRPr="00675182" w14:paraId="343DDA2A" w14:textId="77777777" w:rsidTr="00711FE3">
        <w:trPr>
          <w:cantSplit/>
          <w:trHeight w:val="284"/>
        </w:trPr>
        <w:tc>
          <w:tcPr>
            <w:tcW w:w="1123" w:type="pct"/>
            <w:shd w:val="clear" w:color="auto" w:fill="auto"/>
            <w:vAlign w:val="center"/>
          </w:tcPr>
          <w:p w14:paraId="4C4D7D2E" w14:textId="3BE3E1DD" w:rsidR="00711FE3" w:rsidRPr="00675182" w:rsidRDefault="00711FE3" w:rsidP="00711FE3">
            <w:pPr>
              <w:rPr>
                <w:rFonts w:cstheme="minorHAnsi"/>
                <w:sz w:val="22"/>
                <w:szCs w:val="22"/>
              </w:rPr>
            </w:pPr>
            <w:r w:rsidRPr="00675182">
              <w:rPr>
                <w:rFonts w:cstheme="minorHAnsi"/>
                <w:sz w:val="22"/>
                <w:szCs w:val="22"/>
              </w:rPr>
              <w:lastRenderedPageBreak/>
              <w:t>7160 Minerālvielām bagāti avoti un avotu purvi</w:t>
            </w:r>
          </w:p>
        </w:tc>
        <w:tc>
          <w:tcPr>
            <w:tcW w:w="736" w:type="pct"/>
            <w:shd w:val="clear" w:color="auto" w:fill="auto"/>
            <w:vAlign w:val="center"/>
          </w:tcPr>
          <w:p w14:paraId="53C82C7F" w14:textId="6AB0CAEF" w:rsidR="00711FE3" w:rsidRPr="00675182" w:rsidRDefault="00711FE3" w:rsidP="00711FE3">
            <w:pPr>
              <w:jc w:val="center"/>
              <w:rPr>
                <w:rFonts w:cstheme="minorHAnsi"/>
                <w:sz w:val="22"/>
                <w:szCs w:val="22"/>
              </w:rPr>
            </w:pPr>
            <w:r w:rsidRPr="00675182">
              <w:rPr>
                <w:rFonts w:cstheme="minorHAnsi"/>
                <w:color w:val="000000"/>
                <w:sz w:val="22"/>
                <w:szCs w:val="22"/>
              </w:rPr>
              <w:t>136,95</w:t>
            </w:r>
          </w:p>
        </w:tc>
        <w:tc>
          <w:tcPr>
            <w:tcW w:w="809" w:type="pct"/>
            <w:shd w:val="clear" w:color="auto" w:fill="auto"/>
            <w:noWrap/>
            <w:vAlign w:val="center"/>
          </w:tcPr>
          <w:p w14:paraId="415FD55C" w14:textId="6BF4308A" w:rsidR="00711FE3" w:rsidRPr="00711FE3" w:rsidRDefault="00711FE3" w:rsidP="00711FE3">
            <w:pPr>
              <w:jc w:val="center"/>
              <w:rPr>
                <w:rFonts w:cstheme="minorHAnsi"/>
                <w:sz w:val="22"/>
                <w:szCs w:val="22"/>
              </w:rPr>
            </w:pPr>
            <w:r w:rsidRPr="00711FE3">
              <w:rPr>
                <w:rFonts w:cstheme="minorHAnsi"/>
                <w:sz w:val="22"/>
                <w:szCs w:val="22"/>
              </w:rPr>
              <w:t>183,5</w:t>
            </w:r>
          </w:p>
        </w:tc>
        <w:tc>
          <w:tcPr>
            <w:tcW w:w="736" w:type="pct"/>
            <w:shd w:val="clear" w:color="000000" w:fill="A9D08E"/>
            <w:vAlign w:val="center"/>
          </w:tcPr>
          <w:p w14:paraId="1489005E" w14:textId="2414C13C" w:rsidR="00711FE3" w:rsidRPr="00711FE3" w:rsidRDefault="00711FE3" w:rsidP="00711FE3">
            <w:pPr>
              <w:jc w:val="center"/>
              <w:rPr>
                <w:rFonts w:cstheme="minorHAnsi"/>
                <w:sz w:val="22"/>
                <w:szCs w:val="22"/>
              </w:rPr>
            </w:pPr>
            <w:r w:rsidRPr="00711FE3">
              <w:rPr>
                <w:rFonts w:cstheme="minorHAnsi"/>
                <w:sz w:val="22"/>
                <w:szCs w:val="22"/>
              </w:rPr>
              <w:t>46,54</w:t>
            </w:r>
          </w:p>
        </w:tc>
        <w:tc>
          <w:tcPr>
            <w:tcW w:w="1596" w:type="pct"/>
            <w:vAlign w:val="center"/>
          </w:tcPr>
          <w:p w14:paraId="66DFD6BC" w14:textId="618C5143"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Pr="00886FCB">
              <w:rPr>
                <w:rFonts w:cstheme="minorHAnsi"/>
                <w:sz w:val="22"/>
                <w:szCs w:val="22"/>
              </w:rPr>
              <w:t>ES nozīmes</w:t>
            </w:r>
            <w:r>
              <w:rPr>
                <w:rFonts w:cstheme="minorHAnsi"/>
                <w:color w:val="000000"/>
                <w:sz w:val="22"/>
                <w:szCs w:val="22"/>
              </w:rPr>
              <w:t xml:space="preserve"> </w:t>
            </w:r>
            <w:r w:rsidRPr="00675182">
              <w:rPr>
                <w:rFonts w:cstheme="minorHAnsi"/>
                <w:color w:val="000000"/>
                <w:sz w:val="22"/>
                <w:szCs w:val="22"/>
              </w:rPr>
              <w:t>biotopu inventarizācija DA plāna izstrādes laikā</w:t>
            </w:r>
          </w:p>
        </w:tc>
      </w:tr>
      <w:tr w:rsidR="00AB5422" w:rsidRPr="00675182" w14:paraId="4520500E" w14:textId="77777777" w:rsidTr="006D5E55">
        <w:trPr>
          <w:cantSplit/>
          <w:trHeight w:val="284"/>
        </w:trPr>
        <w:tc>
          <w:tcPr>
            <w:tcW w:w="1123" w:type="pct"/>
            <w:shd w:val="clear" w:color="auto" w:fill="auto"/>
            <w:vAlign w:val="center"/>
          </w:tcPr>
          <w:p w14:paraId="193B4D14" w14:textId="4A0CE3F0" w:rsidR="00AB5422" w:rsidRPr="00675182" w:rsidRDefault="00AB5422" w:rsidP="00AB5422">
            <w:pPr>
              <w:rPr>
                <w:rFonts w:cstheme="minorHAnsi"/>
                <w:sz w:val="22"/>
                <w:szCs w:val="22"/>
              </w:rPr>
            </w:pPr>
            <w:r w:rsidRPr="00675182">
              <w:rPr>
                <w:rFonts w:cstheme="minorHAnsi"/>
                <w:sz w:val="22"/>
                <w:szCs w:val="22"/>
              </w:rPr>
              <w:t>7220* Avoti, kas izgulsnē avotkaļķus</w:t>
            </w:r>
          </w:p>
        </w:tc>
        <w:tc>
          <w:tcPr>
            <w:tcW w:w="736" w:type="pct"/>
            <w:shd w:val="clear" w:color="auto" w:fill="auto"/>
            <w:vAlign w:val="center"/>
          </w:tcPr>
          <w:p w14:paraId="1308A8BF" w14:textId="6213D09D" w:rsidR="00AB5422" w:rsidRPr="00675182" w:rsidRDefault="00AB5422" w:rsidP="00AB5422">
            <w:pPr>
              <w:jc w:val="center"/>
              <w:rPr>
                <w:rFonts w:cstheme="minorHAnsi"/>
                <w:sz w:val="22"/>
                <w:szCs w:val="22"/>
              </w:rPr>
            </w:pPr>
            <w:r w:rsidRPr="00675182">
              <w:rPr>
                <w:rFonts w:cstheme="minorHAnsi"/>
                <w:color w:val="000000"/>
                <w:sz w:val="22"/>
                <w:szCs w:val="22"/>
              </w:rPr>
              <w:t>1,86</w:t>
            </w:r>
          </w:p>
        </w:tc>
        <w:tc>
          <w:tcPr>
            <w:tcW w:w="809" w:type="pct"/>
            <w:shd w:val="clear" w:color="auto" w:fill="auto"/>
            <w:noWrap/>
            <w:vAlign w:val="center"/>
          </w:tcPr>
          <w:p w14:paraId="4E3E6EDE" w14:textId="4F28A870" w:rsidR="00AB5422" w:rsidRPr="00711FE3" w:rsidRDefault="00AB5422" w:rsidP="00AB5422">
            <w:pPr>
              <w:jc w:val="center"/>
              <w:rPr>
                <w:rFonts w:cstheme="minorHAnsi"/>
                <w:sz w:val="22"/>
                <w:szCs w:val="22"/>
              </w:rPr>
            </w:pPr>
            <w:r w:rsidRPr="00711FE3">
              <w:rPr>
                <w:rFonts w:cstheme="minorHAnsi"/>
                <w:sz w:val="22"/>
                <w:szCs w:val="22"/>
              </w:rPr>
              <w:t>8,7</w:t>
            </w:r>
          </w:p>
        </w:tc>
        <w:tc>
          <w:tcPr>
            <w:tcW w:w="736" w:type="pct"/>
            <w:shd w:val="clear" w:color="000000" w:fill="A9D08E"/>
            <w:vAlign w:val="center"/>
          </w:tcPr>
          <w:p w14:paraId="4C301F6D" w14:textId="53CFD985" w:rsidR="00AB5422" w:rsidRPr="00711FE3" w:rsidRDefault="00AB5422" w:rsidP="00AB5422">
            <w:pPr>
              <w:jc w:val="center"/>
              <w:rPr>
                <w:rFonts w:cstheme="minorHAnsi"/>
                <w:sz w:val="22"/>
                <w:szCs w:val="22"/>
              </w:rPr>
            </w:pPr>
            <w:r w:rsidRPr="00711FE3">
              <w:rPr>
                <w:rFonts w:cstheme="minorHAnsi"/>
                <w:sz w:val="22"/>
                <w:szCs w:val="22"/>
              </w:rPr>
              <w:t>6,84</w:t>
            </w:r>
          </w:p>
        </w:tc>
        <w:tc>
          <w:tcPr>
            <w:tcW w:w="1596" w:type="pct"/>
          </w:tcPr>
          <w:p w14:paraId="6D327E33" w14:textId="68EF1EAD" w:rsidR="00AB5422" w:rsidRPr="00675182" w:rsidRDefault="00AB5422" w:rsidP="00AB5422">
            <w:pPr>
              <w:suppressAutoHyphens w:val="0"/>
              <w:rPr>
                <w:rFonts w:eastAsia="Times New Roman" w:cstheme="minorHAnsi"/>
                <w:sz w:val="22"/>
                <w:szCs w:val="22"/>
                <w:lang w:eastAsia="en-GB"/>
              </w:rPr>
            </w:pPr>
            <w:r w:rsidRPr="006F77F2">
              <w:rPr>
                <w:rFonts w:cstheme="minorHAnsi"/>
                <w:color w:val="000000"/>
                <w:sz w:val="22"/>
                <w:szCs w:val="22"/>
              </w:rPr>
              <w:t xml:space="preserve">Detalizēta </w:t>
            </w:r>
            <w:r w:rsidRPr="006F77F2">
              <w:rPr>
                <w:rFonts w:cstheme="minorHAnsi"/>
                <w:sz w:val="22"/>
                <w:szCs w:val="22"/>
              </w:rPr>
              <w:t>ES nozīmes</w:t>
            </w:r>
            <w:r w:rsidRPr="006F77F2">
              <w:rPr>
                <w:rFonts w:cstheme="minorHAnsi"/>
                <w:color w:val="000000"/>
                <w:sz w:val="22"/>
                <w:szCs w:val="22"/>
              </w:rPr>
              <w:t xml:space="preserve"> biotopu inventarizācija DA plāna izstrādes laikā</w:t>
            </w:r>
          </w:p>
        </w:tc>
      </w:tr>
      <w:tr w:rsidR="00AB5422" w:rsidRPr="00675182" w14:paraId="52DEAC32" w14:textId="77777777" w:rsidTr="006D5E55">
        <w:trPr>
          <w:cantSplit/>
          <w:trHeight w:val="284"/>
        </w:trPr>
        <w:tc>
          <w:tcPr>
            <w:tcW w:w="1123" w:type="pct"/>
            <w:shd w:val="clear" w:color="auto" w:fill="auto"/>
            <w:vAlign w:val="center"/>
          </w:tcPr>
          <w:p w14:paraId="47ADDA51" w14:textId="3381648D" w:rsidR="00AB5422" w:rsidRPr="00675182" w:rsidRDefault="00AB5422" w:rsidP="00AB5422">
            <w:pPr>
              <w:rPr>
                <w:rFonts w:cstheme="minorHAnsi"/>
                <w:sz w:val="22"/>
                <w:szCs w:val="22"/>
              </w:rPr>
            </w:pPr>
            <w:r w:rsidRPr="00675182">
              <w:rPr>
                <w:rFonts w:cstheme="minorHAnsi"/>
                <w:sz w:val="22"/>
                <w:szCs w:val="22"/>
              </w:rPr>
              <w:t>7230 Kaļķaini zāļu purvi</w:t>
            </w:r>
          </w:p>
        </w:tc>
        <w:tc>
          <w:tcPr>
            <w:tcW w:w="736" w:type="pct"/>
            <w:shd w:val="clear" w:color="auto" w:fill="auto"/>
            <w:vAlign w:val="center"/>
          </w:tcPr>
          <w:p w14:paraId="739D3B7A" w14:textId="05C4F421" w:rsidR="00AB5422" w:rsidRPr="00675182" w:rsidRDefault="00AB5422" w:rsidP="00AB5422">
            <w:pPr>
              <w:jc w:val="center"/>
              <w:rPr>
                <w:rFonts w:cstheme="minorHAnsi"/>
                <w:sz w:val="22"/>
                <w:szCs w:val="22"/>
              </w:rPr>
            </w:pPr>
            <w:r w:rsidRPr="00675182">
              <w:rPr>
                <w:rFonts w:cstheme="minorHAnsi"/>
                <w:color w:val="000000"/>
                <w:sz w:val="22"/>
                <w:szCs w:val="22"/>
              </w:rPr>
              <w:t>4,4</w:t>
            </w:r>
          </w:p>
        </w:tc>
        <w:tc>
          <w:tcPr>
            <w:tcW w:w="809" w:type="pct"/>
            <w:shd w:val="clear" w:color="auto" w:fill="auto"/>
            <w:noWrap/>
            <w:vAlign w:val="center"/>
          </w:tcPr>
          <w:p w14:paraId="71FFA04B" w14:textId="5FDBD815" w:rsidR="00AB5422" w:rsidRPr="00711FE3" w:rsidRDefault="00AB5422" w:rsidP="00AB5422">
            <w:pPr>
              <w:jc w:val="center"/>
              <w:rPr>
                <w:rFonts w:cstheme="minorHAnsi"/>
                <w:sz w:val="22"/>
                <w:szCs w:val="22"/>
              </w:rPr>
            </w:pPr>
            <w:r w:rsidRPr="00711FE3">
              <w:rPr>
                <w:rFonts w:cstheme="minorHAnsi"/>
                <w:sz w:val="22"/>
                <w:szCs w:val="22"/>
              </w:rPr>
              <w:t>0,7</w:t>
            </w:r>
          </w:p>
        </w:tc>
        <w:tc>
          <w:tcPr>
            <w:tcW w:w="736" w:type="pct"/>
            <w:shd w:val="clear" w:color="000000" w:fill="F8CBAD"/>
            <w:vAlign w:val="center"/>
          </w:tcPr>
          <w:p w14:paraId="76B54984" w14:textId="7AD8874C" w:rsidR="00AB5422" w:rsidRPr="00711FE3" w:rsidRDefault="00AB5422" w:rsidP="00AB5422">
            <w:pPr>
              <w:jc w:val="center"/>
              <w:rPr>
                <w:rFonts w:cstheme="minorHAnsi"/>
                <w:sz w:val="22"/>
                <w:szCs w:val="22"/>
              </w:rPr>
            </w:pPr>
            <w:r w:rsidRPr="00711FE3">
              <w:rPr>
                <w:rFonts w:cstheme="minorHAnsi"/>
                <w:sz w:val="22"/>
                <w:szCs w:val="22"/>
              </w:rPr>
              <w:t>-3,70</w:t>
            </w:r>
          </w:p>
        </w:tc>
        <w:tc>
          <w:tcPr>
            <w:tcW w:w="1596" w:type="pct"/>
          </w:tcPr>
          <w:p w14:paraId="23D238ED" w14:textId="0C48A24A" w:rsidR="00AB5422" w:rsidRPr="00675182" w:rsidRDefault="00AB5422" w:rsidP="00AB5422">
            <w:pPr>
              <w:suppressAutoHyphens w:val="0"/>
              <w:rPr>
                <w:rFonts w:eastAsia="Times New Roman" w:cstheme="minorHAnsi"/>
                <w:sz w:val="22"/>
                <w:szCs w:val="22"/>
                <w:lang w:eastAsia="en-GB"/>
              </w:rPr>
            </w:pPr>
            <w:r w:rsidRPr="006F77F2">
              <w:rPr>
                <w:rFonts w:cstheme="minorHAnsi"/>
                <w:color w:val="000000"/>
                <w:sz w:val="22"/>
                <w:szCs w:val="22"/>
              </w:rPr>
              <w:t xml:space="preserve">Detalizēta </w:t>
            </w:r>
            <w:r w:rsidRPr="006F77F2">
              <w:rPr>
                <w:rFonts w:cstheme="minorHAnsi"/>
                <w:sz w:val="22"/>
                <w:szCs w:val="22"/>
              </w:rPr>
              <w:t>ES nozīmes</w:t>
            </w:r>
            <w:r w:rsidRPr="006F77F2">
              <w:rPr>
                <w:rFonts w:cstheme="minorHAnsi"/>
                <w:color w:val="000000"/>
                <w:sz w:val="22"/>
                <w:szCs w:val="22"/>
              </w:rPr>
              <w:t xml:space="preserve"> biotopu inventarizācija DA plāna izstrādes laikā</w:t>
            </w:r>
          </w:p>
        </w:tc>
      </w:tr>
      <w:tr w:rsidR="00AB5422" w:rsidRPr="00675182" w14:paraId="75413C9F" w14:textId="77777777" w:rsidTr="006D5E55">
        <w:trPr>
          <w:cantSplit/>
          <w:trHeight w:val="284"/>
        </w:trPr>
        <w:tc>
          <w:tcPr>
            <w:tcW w:w="1123" w:type="pct"/>
            <w:shd w:val="clear" w:color="auto" w:fill="auto"/>
            <w:vAlign w:val="center"/>
          </w:tcPr>
          <w:p w14:paraId="28EEB45C" w14:textId="2FC1F4C6" w:rsidR="00AB5422" w:rsidRPr="00675182" w:rsidRDefault="00AB5422" w:rsidP="00AB5422">
            <w:pPr>
              <w:rPr>
                <w:rFonts w:cstheme="minorHAnsi"/>
                <w:sz w:val="22"/>
                <w:szCs w:val="22"/>
              </w:rPr>
            </w:pPr>
            <w:r w:rsidRPr="00675182">
              <w:rPr>
                <w:rFonts w:cstheme="minorHAnsi"/>
                <w:sz w:val="22"/>
                <w:szCs w:val="22"/>
              </w:rPr>
              <w:t>8210 Karbonātisku pamatiežu atsegumi</w:t>
            </w:r>
          </w:p>
        </w:tc>
        <w:tc>
          <w:tcPr>
            <w:tcW w:w="736" w:type="pct"/>
            <w:shd w:val="clear" w:color="auto" w:fill="auto"/>
            <w:vAlign w:val="center"/>
          </w:tcPr>
          <w:p w14:paraId="6889F4D4" w14:textId="023342BE" w:rsidR="00AB5422" w:rsidRPr="00675182" w:rsidRDefault="00AB5422" w:rsidP="00AB5422">
            <w:pPr>
              <w:jc w:val="center"/>
              <w:rPr>
                <w:rFonts w:cstheme="minorHAnsi"/>
                <w:color w:val="000000"/>
                <w:sz w:val="22"/>
                <w:szCs w:val="22"/>
              </w:rPr>
            </w:pPr>
            <w:r w:rsidRPr="00675182">
              <w:rPr>
                <w:rFonts w:cstheme="minorHAnsi"/>
                <w:color w:val="000000"/>
                <w:sz w:val="22"/>
                <w:szCs w:val="22"/>
              </w:rPr>
              <w:t>0,02</w:t>
            </w:r>
          </w:p>
        </w:tc>
        <w:tc>
          <w:tcPr>
            <w:tcW w:w="809" w:type="pct"/>
            <w:shd w:val="clear" w:color="auto" w:fill="auto"/>
            <w:noWrap/>
            <w:vAlign w:val="center"/>
          </w:tcPr>
          <w:p w14:paraId="0F8246D4" w14:textId="0AF3DBB9" w:rsidR="00AB5422" w:rsidRPr="00711FE3" w:rsidRDefault="00AB5422" w:rsidP="00AB5422">
            <w:pPr>
              <w:jc w:val="center"/>
              <w:rPr>
                <w:rFonts w:cstheme="minorHAnsi"/>
                <w:sz w:val="22"/>
                <w:szCs w:val="22"/>
              </w:rPr>
            </w:pPr>
            <w:r w:rsidRPr="00711FE3">
              <w:rPr>
                <w:rFonts w:cstheme="minorHAnsi"/>
                <w:sz w:val="22"/>
                <w:szCs w:val="22"/>
              </w:rPr>
              <w:t>1,1</w:t>
            </w:r>
          </w:p>
        </w:tc>
        <w:tc>
          <w:tcPr>
            <w:tcW w:w="736" w:type="pct"/>
            <w:shd w:val="clear" w:color="000000" w:fill="A9D08E"/>
            <w:vAlign w:val="center"/>
          </w:tcPr>
          <w:p w14:paraId="13E3F661" w14:textId="18A96748" w:rsidR="00AB5422" w:rsidRPr="00711FE3" w:rsidRDefault="00AB5422" w:rsidP="00AB5422">
            <w:pPr>
              <w:jc w:val="center"/>
              <w:rPr>
                <w:rFonts w:cstheme="minorHAnsi"/>
                <w:sz w:val="22"/>
                <w:szCs w:val="22"/>
              </w:rPr>
            </w:pPr>
            <w:r w:rsidRPr="00711FE3">
              <w:rPr>
                <w:rFonts w:cstheme="minorHAnsi"/>
                <w:sz w:val="22"/>
                <w:szCs w:val="22"/>
              </w:rPr>
              <w:t>1,08</w:t>
            </w:r>
          </w:p>
        </w:tc>
        <w:tc>
          <w:tcPr>
            <w:tcW w:w="1596" w:type="pct"/>
          </w:tcPr>
          <w:p w14:paraId="2B6FA608" w14:textId="1D5F0EF8" w:rsidR="00AB5422" w:rsidRPr="00675182" w:rsidRDefault="00AB5422" w:rsidP="00AB5422">
            <w:pPr>
              <w:suppressAutoHyphens w:val="0"/>
              <w:rPr>
                <w:rFonts w:eastAsia="Times New Roman" w:cstheme="minorHAnsi"/>
                <w:sz w:val="22"/>
                <w:szCs w:val="22"/>
                <w:lang w:eastAsia="en-GB"/>
              </w:rPr>
            </w:pPr>
            <w:r w:rsidRPr="006F77F2">
              <w:rPr>
                <w:rFonts w:cstheme="minorHAnsi"/>
                <w:color w:val="000000"/>
                <w:sz w:val="22"/>
                <w:szCs w:val="22"/>
              </w:rPr>
              <w:t xml:space="preserve">Detalizēta </w:t>
            </w:r>
            <w:r w:rsidRPr="006F77F2">
              <w:rPr>
                <w:rFonts w:cstheme="minorHAnsi"/>
                <w:sz w:val="22"/>
                <w:szCs w:val="22"/>
              </w:rPr>
              <w:t>ES nozīmes</w:t>
            </w:r>
            <w:r w:rsidRPr="006F77F2">
              <w:rPr>
                <w:rFonts w:cstheme="minorHAnsi"/>
                <w:color w:val="000000"/>
                <w:sz w:val="22"/>
                <w:szCs w:val="22"/>
              </w:rPr>
              <w:t xml:space="preserve"> biotopu inventarizācija DA plāna izstrādes laikā</w:t>
            </w:r>
          </w:p>
        </w:tc>
      </w:tr>
      <w:tr w:rsidR="00AB5422" w:rsidRPr="00675182" w14:paraId="2AFC5656" w14:textId="77777777" w:rsidTr="006D5E55">
        <w:trPr>
          <w:cantSplit/>
          <w:trHeight w:val="284"/>
        </w:trPr>
        <w:tc>
          <w:tcPr>
            <w:tcW w:w="1123" w:type="pct"/>
            <w:shd w:val="clear" w:color="auto" w:fill="auto"/>
            <w:vAlign w:val="center"/>
          </w:tcPr>
          <w:p w14:paraId="28222A97" w14:textId="61B1185A" w:rsidR="00AB5422" w:rsidRPr="00675182" w:rsidRDefault="00AB5422" w:rsidP="00AB5422">
            <w:pPr>
              <w:rPr>
                <w:rFonts w:cstheme="minorHAnsi"/>
                <w:sz w:val="22"/>
                <w:szCs w:val="22"/>
              </w:rPr>
            </w:pPr>
            <w:r w:rsidRPr="00675182">
              <w:rPr>
                <w:rFonts w:cstheme="minorHAnsi"/>
                <w:sz w:val="22"/>
                <w:szCs w:val="22"/>
              </w:rPr>
              <w:t>8220 Smilšakmens atsegumi</w:t>
            </w:r>
          </w:p>
        </w:tc>
        <w:tc>
          <w:tcPr>
            <w:tcW w:w="736" w:type="pct"/>
            <w:shd w:val="clear" w:color="auto" w:fill="auto"/>
            <w:vAlign w:val="center"/>
          </w:tcPr>
          <w:p w14:paraId="41C8A564" w14:textId="40053595" w:rsidR="00AB5422" w:rsidRPr="00675182" w:rsidRDefault="00AB5422" w:rsidP="00AB5422">
            <w:pPr>
              <w:jc w:val="center"/>
              <w:rPr>
                <w:rFonts w:cstheme="minorHAnsi"/>
                <w:color w:val="000000"/>
                <w:sz w:val="22"/>
                <w:szCs w:val="22"/>
              </w:rPr>
            </w:pPr>
            <w:r w:rsidRPr="00675182">
              <w:rPr>
                <w:rFonts w:cstheme="minorHAnsi"/>
                <w:color w:val="000000"/>
                <w:sz w:val="22"/>
                <w:szCs w:val="22"/>
              </w:rPr>
              <w:t>6,17</w:t>
            </w:r>
          </w:p>
        </w:tc>
        <w:tc>
          <w:tcPr>
            <w:tcW w:w="809" w:type="pct"/>
            <w:shd w:val="clear" w:color="auto" w:fill="auto"/>
            <w:noWrap/>
            <w:vAlign w:val="center"/>
          </w:tcPr>
          <w:p w14:paraId="497DD28E" w14:textId="0348B49E" w:rsidR="00AB5422" w:rsidRPr="00711FE3" w:rsidRDefault="00AB5422" w:rsidP="00AB5422">
            <w:pPr>
              <w:jc w:val="center"/>
              <w:rPr>
                <w:rFonts w:cstheme="minorHAnsi"/>
                <w:sz w:val="22"/>
                <w:szCs w:val="22"/>
              </w:rPr>
            </w:pPr>
            <w:r w:rsidRPr="00711FE3">
              <w:rPr>
                <w:rFonts w:cstheme="minorHAnsi"/>
                <w:sz w:val="22"/>
                <w:szCs w:val="22"/>
              </w:rPr>
              <w:t>34,6</w:t>
            </w:r>
          </w:p>
        </w:tc>
        <w:tc>
          <w:tcPr>
            <w:tcW w:w="736" w:type="pct"/>
            <w:shd w:val="clear" w:color="000000" w:fill="A9D08E"/>
            <w:vAlign w:val="center"/>
          </w:tcPr>
          <w:p w14:paraId="7B037AA2" w14:textId="39F4563C" w:rsidR="00AB5422" w:rsidRPr="00711FE3" w:rsidRDefault="00AB5422" w:rsidP="00AB5422">
            <w:pPr>
              <w:jc w:val="center"/>
              <w:rPr>
                <w:rFonts w:cstheme="minorHAnsi"/>
                <w:sz w:val="22"/>
                <w:szCs w:val="22"/>
              </w:rPr>
            </w:pPr>
            <w:r w:rsidRPr="00711FE3">
              <w:rPr>
                <w:rFonts w:cstheme="minorHAnsi"/>
                <w:sz w:val="22"/>
                <w:szCs w:val="22"/>
              </w:rPr>
              <w:t>28,48</w:t>
            </w:r>
          </w:p>
        </w:tc>
        <w:tc>
          <w:tcPr>
            <w:tcW w:w="1596" w:type="pct"/>
          </w:tcPr>
          <w:p w14:paraId="4F848C04" w14:textId="1156A19A" w:rsidR="00AB5422" w:rsidRPr="00675182" w:rsidRDefault="00AB5422" w:rsidP="00AB5422">
            <w:pPr>
              <w:suppressAutoHyphens w:val="0"/>
              <w:rPr>
                <w:rFonts w:eastAsia="Times New Roman" w:cstheme="minorHAnsi"/>
                <w:sz w:val="22"/>
                <w:szCs w:val="22"/>
                <w:lang w:eastAsia="en-GB"/>
              </w:rPr>
            </w:pPr>
            <w:r w:rsidRPr="006F77F2">
              <w:rPr>
                <w:rFonts w:cstheme="minorHAnsi"/>
                <w:color w:val="000000"/>
                <w:sz w:val="22"/>
                <w:szCs w:val="22"/>
              </w:rPr>
              <w:t xml:space="preserve">Detalizēta </w:t>
            </w:r>
            <w:r w:rsidRPr="006F77F2">
              <w:rPr>
                <w:rFonts w:cstheme="minorHAnsi"/>
                <w:sz w:val="22"/>
                <w:szCs w:val="22"/>
              </w:rPr>
              <w:t>ES nozīmes</w:t>
            </w:r>
            <w:r w:rsidRPr="006F77F2">
              <w:rPr>
                <w:rFonts w:cstheme="minorHAnsi"/>
                <w:color w:val="000000"/>
                <w:sz w:val="22"/>
                <w:szCs w:val="22"/>
              </w:rPr>
              <w:t xml:space="preserve"> biotopu inventarizācija DA plāna izstrādes laikā</w:t>
            </w:r>
          </w:p>
        </w:tc>
      </w:tr>
      <w:tr w:rsidR="00AB5422" w:rsidRPr="00675182" w14:paraId="65249719" w14:textId="77777777" w:rsidTr="006D5E55">
        <w:trPr>
          <w:cantSplit/>
          <w:trHeight w:val="284"/>
        </w:trPr>
        <w:tc>
          <w:tcPr>
            <w:tcW w:w="1123" w:type="pct"/>
            <w:shd w:val="clear" w:color="auto" w:fill="auto"/>
            <w:vAlign w:val="center"/>
          </w:tcPr>
          <w:p w14:paraId="630618DE" w14:textId="491BA413" w:rsidR="00AB5422" w:rsidRPr="00675182" w:rsidRDefault="00AB5422" w:rsidP="00AB5422">
            <w:pPr>
              <w:rPr>
                <w:rFonts w:cstheme="minorHAnsi"/>
                <w:sz w:val="22"/>
                <w:szCs w:val="22"/>
              </w:rPr>
            </w:pPr>
            <w:r w:rsidRPr="00675182">
              <w:rPr>
                <w:rFonts w:cstheme="minorHAnsi"/>
                <w:sz w:val="22"/>
                <w:szCs w:val="22"/>
              </w:rPr>
              <w:t>8310 Netraucētas alas</w:t>
            </w:r>
          </w:p>
        </w:tc>
        <w:tc>
          <w:tcPr>
            <w:tcW w:w="736" w:type="pct"/>
            <w:shd w:val="clear" w:color="auto" w:fill="auto"/>
            <w:vAlign w:val="center"/>
          </w:tcPr>
          <w:p w14:paraId="7BF4F2CF" w14:textId="5CE33DFB" w:rsidR="00AB5422" w:rsidRPr="00675182" w:rsidRDefault="00AB5422" w:rsidP="00AB5422">
            <w:pPr>
              <w:jc w:val="center"/>
              <w:rPr>
                <w:rFonts w:cstheme="minorHAnsi"/>
                <w:color w:val="000000"/>
                <w:sz w:val="22"/>
                <w:szCs w:val="22"/>
              </w:rPr>
            </w:pPr>
            <w:r w:rsidRPr="00675182">
              <w:rPr>
                <w:rFonts w:cstheme="minorHAnsi"/>
                <w:color w:val="000000"/>
                <w:sz w:val="22"/>
                <w:szCs w:val="22"/>
              </w:rPr>
              <w:t>0,17</w:t>
            </w:r>
          </w:p>
        </w:tc>
        <w:tc>
          <w:tcPr>
            <w:tcW w:w="809" w:type="pct"/>
            <w:shd w:val="clear" w:color="auto" w:fill="auto"/>
            <w:noWrap/>
            <w:vAlign w:val="center"/>
          </w:tcPr>
          <w:p w14:paraId="7F13DA31" w14:textId="690F0906" w:rsidR="00AB5422" w:rsidRPr="00711FE3" w:rsidRDefault="00AB5422" w:rsidP="00AB5422">
            <w:pPr>
              <w:jc w:val="center"/>
              <w:rPr>
                <w:rFonts w:cstheme="minorHAnsi"/>
                <w:sz w:val="22"/>
                <w:szCs w:val="22"/>
              </w:rPr>
            </w:pPr>
            <w:r w:rsidRPr="00711FE3">
              <w:rPr>
                <w:rFonts w:cstheme="minorHAnsi"/>
                <w:sz w:val="22"/>
                <w:szCs w:val="22"/>
              </w:rPr>
              <w:t>0,7</w:t>
            </w:r>
          </w:p>
        </w:tc>
        <w:tc>
          <w:tcPr>
            <w:tcW w:w="736" w:type="pct"/>
            <w:shd w:val="clear" w:color="000000" w:fill="A9D08E"/>
            <w:vAlign w:val="center"/>
          </w:tcPr>
          <w:p w14:paraId="37A698B1" w14:textId="3D87C912" w:rsidR="00AB5422" w:rsidRPr="00711FE3" w:rsidRDefault="00AB5422" w:rsidP="00AB5422">
            <w:pPr>
              <w:jc w:val="center"/>
              <w:rPr>
                <w:rFonts w:cstheme="minorHAnsi"/>
                <w:sz w:val="22"/>
                <w:szCs w:val="22"/>
              </w:rPr>
            </w:pPr>
            <w:r w:rsidRPr="00711FE3">
              <w:rPr>
                <w:rFonts w:cstheme="minorHAnsi"/>
                <w:sz w:val="22"/>
                <w:szCs w:val="22"/>
              </w:rPr>
              <w:t>0,52</w:t>
            </w:r>
          </w:p>
        </w:tc>
        <w:tc>
          <w:tcPr>
            <w:tcW w:w="1596" w:type="pct"/>
          </w:tcPr>
          <w:p w14:paraId="0D3C80C4" w14:textId="7AA3F114" w:rsidR="00AB5422" w:rsidRPr="00675182" w:rsidRDefault="00AB5422" w:rsidP="00AB5422">
            <w:pPr>
              <w:suppressAutoHyphens w:val="0"/>
              <w:rPr>
                <w:rFonts w:eastAsia="Times New Roman" w:cstheme="minorHAnsi"/>
                <w:sz w:val="22"/>
                <w:szCs w:val="22"/>
                <w:lang w:eastAsia="en-GB"/>
              </w:rPr>
            </w:pPr>
            <w:r w:rsidRPr="006F77F2">
              <w:rPr>
                <w:rFonts w:cstheme="minorHAnsi"/>
                <w:color w:val="000000"/>
                <w:sz w:val="22"/>
                <w:szCs w:val="22"/>
              </w:rPr>
              <w:t xml:space="preserve">Detalizēta </w:t>
            </w:r>
            <w:r w:rsidRPr="006F77F2">
              <w:rPr>
                <w:rFonts w:cstheme="minorHAnsi"/>
                <w:sz w:val="22"/>
                <w:szCs w:val="22"/>
              </w:rPr>
              <w:t>ES nozīmes</w:t>
            </w:r>
            <w:r w:rsidRPr="006F77F2">
              <w:rPr>
                <w:rFonts w:cstheme="minorHAnsi"/>
                <w:color w:val="000000"/>
                <w:sz w:val="22"/>
                <w:szCs w:val="22"/>
              </w:rPr>
              <w:t xml:space="preserve"> biotopu inventarizācija DA plāna izstrādes laikā</w:t>
            </w:r>
          </w:p>
        </w:tc>
      </w:tr>
      <w:tr w:rsidR="00AB5422" w:rsidRPr="00675182" w14:paraId="179B324A" w14:textId="77777777" w:rsidTr="006D5E55">
        <w:trPr>
          <w:cantSplit/>
          <w:trHeight w:val="284"/>
        </w:trPr>
        <w:tc>
          <w:tcPr>
            <w:tcW w:w="1123" w:type="pct"/>
            <w:shd w:val="clear" w:color="auto" w:fill="auto"/>
            <w:vAlign w:val="center"/>
          </w:tcPr>
          <w:p w14:paraId="6C076E64" w14:textId="22EF596D" w:rsidR="00AB5422" w:rsidRPr="00675182" w:rsidRDefault="00AB5422" w:rsidP="00AB5422">
            <w:pPr>
              <w:rPr>
                <w:rFonts w:cstheme="minorHAnsi"/>
                <w:sz w:val="22"/>
                <w:szCs w:val="22"/>
              </w:rPr>
            </w:pPr>
            <w:r w:rsidRPr="00675182">
              <w:rPr>
                <w:rFonts w:cstheme="minorHAnsi"/>
                <w:sz w:val="22"/>
                <w:szCs w:val="22"/>
              </w:rPr>
              <w:t>9010* Veci vai dabiski boreāli meži</w:t>
            </w:r>
          </w:p>
        </w:tc>
        <w:tc>
          <w:tcPr>
            <w:tcW w:w="736" w:type="pct"/>
            <w:shd w:val="clear" w:color="auto" w:fill="auto"/>
            <w:vAlign w:val="center"/>
          </w:tcPr>
          <w:p w14:paraId="7422D229" w14:textId="64F187C1" w:rsidR="00AB5422" w:rsidRPr="00675182" w:rsidRDefault="00AB5422" w:rsidP="00AB5422">
            <w:pPr>
              <w:jc w:val="center"/>
              <w:rPr>
                <w:rFonts w:cstheme="minorHAnsi"/>
                <w:color w:val="000000"/>
                <w:sz w:val="22"/>
                <w:szCs w:val="22"/>
              </w:rPr>
            </w:pPr>
            <w:r w:rsidRPr="00675182">
              <w:rPr>
                <w:rFonts w:cstheme="minorHAnsi"/>
                <w:color w:val="000000"/>
                <w:sz w:val="22"/>
                <w:szCs w:val="22"/>
              </w:rPr>
              <w:t>1835,8</w:t>
            </w:r>
          </w:p>
        </w:tc>
        <w:tc>
          <w:tcPr>
            <w:tcW w:w="809" w:type="pct"/>
            <w:shd w:val="clear" w:color="auto" w:fill="auto"/>
            <w:noWrap/>
            <w:vAlign w:val="center"/>
          </w:tcPr>
          <w:p w14:paraId="76E55505" w14:textId="49FC0016" w:rsidR="00AB5422" w:rsidRPr="00711FE3" w:rsidRDefault="00AB5422" w:rsidP="00AB5422">
            <w:pPr>
              <w:jc w:val="center"/>
              <w:rPr>
                <w:rFonts w:cstheme="minorHAnsi"/>
                <w:sz w:val="22"/>
                <w:szCs w:val="22"/>
              </w:rPr>
            </w:pPr>
            <w:r w:rsidRPr="00711FE3">
              <w:rPr>
                <w:rFonts w:cstheme="minorHAnsi"/>
                <w:sz w:val="22"/>
                <w:szCs w:val="22"/>
              </w:rPr>
              <w:t>6766,9</w:t>
            </w:r>
          </w:p>
        </w:tc>
        <w:tc>
          <w:tcPr>
            <w:tcW w:w="736" w:type="pct"/>
            <w:shd w:val="clear" w:color="000000" w:fill="A9D08E"/>
            <w:vAlign w:val="center"/>
          </w:tcPr>
          <w:p w14:paraId="56FB90D5" w14:textId="4257A142" w:rsidR="00AB5422" w:rsidRPr="00711FE3" w:rsidRDefault="00AB5422" w:rsidP="00AB5422">
            <w:pPr>
              <w:jc w:val="center"/>
              <w:rPr>
                <w:rFonts w:cstheme="minorHAnsi"/>
                <w:sz w:val="22"/>
                <w:szCs w:val="22"/>
              </w:rPr>
            </w:pPr>
            <w:r w:rsidRPr="00711FE3">
              <w:rPr>
                <w:rFonts w:cstheme="minorHAnsi"/>
                <w:sz w:val="22"/>
                <w:szCs w:val="22"/>
              </w:rPr>
              <w:t>4931,12</w:t>
            </w:r>
          </w:p>
        </w:tc>
        <w:tc>
          <w:tcPr>
            <w:tcW w:w="1596" w:type="pct"/>
          </w:tcPr>
          <w:p w14:paraId="0BF02A80" w14:textId="73C3BA06" w:rsidR="00AB5422" w:rsidRPr="00675182" w:rsidRDefault="00AB5422" w:rsidP="00AB5422">
            <w:pPr>
              <w:suppressAutoHyphens w:val="0"/>
              <w:rPr>
                <w:rFonts w:eastAsia="Times New Roman" w:cstheme="minorHAnsi"/>
                <w:sz w:val="22"/>
                <w:szCs w:val="22"/>
                <w:lang w:eastAsia="en-GB"/>
              </w:rPr>
            </w:pPr>
            <w:r w:rsidRPr="006F77F2">
              <w:rPr>
                <w:rFonts w:cstheme="minorHAnsi"/>
                <w:color w:val="000000"/>
                <w:sz w:val="22"/>
                <w:szCs w:val="22"/>
              </w:rPr>
              <w:t xml:space="preserve">Detalizēta </w:t>
            </w:r>
            <w:r w:rsidRPr="006F77F2">
              <w:rPr>
                <w:rFonts w:cstheme="minorHAnsi"/>
                <w:sz w:val="22"/>
                <w:szCs w:val="22"/>
              </w:rPr>
              <w:t>ES nozīmes</w:t>
            </w:r>
            <w:r w:rsidRPr="006F77F2">
              <w:rPr>
                <w:rFonts w:cstheme="minorHAnsi"/>
                <w:color w:val="000000"/>
                <w:sz w:val="22"/>
                <w:szCs w:val="22"/>
              </w:rPr>
              <w:t xml:space="preserve"> biotopu inventarizācija DA plāna izstrādes laikā</w:t>
            </w:r>
          </w:p>
        </w:tc>
      </w:tr>
      <w:tr w:rsidR="00AB5422" w:rsidRPr="00675182" w14:paraId="23766015" w14:textId="77777777" w:rsidTr="006D5E55">
        <w:trPr>
          <w:cantSplit/>
          <w:trHeight w:val="284"/>
        </w:trPr>
        <w:tc>
          <w:tcPr>
            <w:tcW w:w="1123" w:type="pct"/>
            <w:shd w:val="clear" w:color="auto" w:fill="auto"/>
            <w:vAlign w:val="center"/>
          </w:tcPr>
          <w:p w14:paraId="44920929" w14:textId="7EFA3685" w:rsidR="00AB5422" w:rsidRPr="00675182" w:rsidRDefault="00AB5422" w:rsidP="00AB5422">
            <w:pPr>
              <w:rPr>
                <w:rFonts w:cstheme="minorHAnsi"/>
                <w:sz w:val="22"/>
                <w:szCs w:val="22"/>
              </w:rPr>
            </w:pPr>
            <w:r w:rsidRPr="00675182">
              <w:rPr>
                <w:rFonts w:cstheme="minorHAnsi"/>
                <w:sz w:val="22"/>
                <w:szCs w:val="22"/>
              </w:rPr>
              <w:t>9020* Veci jaukti platlapju meži</w:t>
            </w:r>
          </w:p>
        </w:tc>
        <w:tc>
          <w:tcPr>
            <w:tcW w:w="736" w:type="pct"/>
            <w:shd w:val="clear" w:color="auto" w:fill="auto"/>
            <w:vAlign w:val="center"/>
          </w:tcPr>
          <w:p w14:paraId="31764B3A" w14:textId="7026760F" w:rsidR="00AB5422" w:rsidRPr="00675182" w:rsidRDefault="00AB5422" w:rsidP="00AB5422">
            <w:pPr>
              <w:jc w:val="center"/>
              <w:rPr>
                <w:rFonts w:cstheme="minorHAnsi"/>
                <w:color w:val="000000"/>
                <w:sz w:val="22"/>
                <w:szCs w:val="22"/>
              </w:rPr>
            </w:pPr>
            <w:r w:rsidRPr="00675182">
              <w:rPr>
                <w:rFonts w:cstheme="minorHAnsi"/>
                <w:color w:val="000000"/>
                <w:sz w:val="22"/>
                <w:szCs w:val="22"/>
              </w:rPr>
              <w:t>30,82</w:t>
            </w:r>
          </w:p>
        </w:tc>
        <w:tc>
          <w:tcPr>
            <w:tcW w:w="809" w:type="pct"/>
            <w:shd w:val="clear" w:color="auto" w:fill="auto"/>
            <w:noWrap/>
            <w:vAlign w:val="center"/>
          </w:tcPr>
          <w:p w14:paraId="2230C80A" w14:textId="7AC59E18" w:rsidR="00AB5422" w:rsidRPr="00711FE3" w:rsidRDefault="00AB5422" w:rsidP="00AB5422">
            <w:pPr>
              <w:jc w:val="center"/>
              <w:rPr>
                <w:rFonts w:cstheme="minorHAnsi"/>
                <w:sz w:val="22"/>
                <w:szCs w:val="22"/>
              </w:rPr>
            </w:pPr>
            <w:r w:rsidRPr="00711FE3">
              <w:rPr>
                <w:rFonts w:cstheme="minorHAnsi"/>
                <w:sz w:val="22"/>
                <w:szCs w:val="22"/>
              </w:rPr>
              <w:t>125,7</w:t>
            </w:r>
          </w:p>
        </w:tc>
        <w:tc>
          <w:tcPr>
            <w:tcW w:w="736" w:type="pct"/>
            <w:shd w:val="clear" w:color="000000" w:fill="A9D08E"/>
            <w:vAlign w:val="center"/>
          </w:tcPr>
          <w:p w14:paraId="4476E48D" w14:textId="3A6672C1" w:rsidR="00AB5422" w:rsidRPr="00711FE3" w:rsidRDefault="00AB5422" w:rsidP="00AB5422">
            <w:pPr>
              <w:jc w:val="center"/>
              <w:rPr>
                <w:rFonts w:cstheme="minorHAnsi"/>
                <w:sz w:val="22"/>
                <w:szCs w:val="22"/>
              </w:rPr>
            </w:pPr>
            <w:r w:rsidRPr="00711FE3">
              <w:rPr>
                <w:rFonts w:cstheme="minorHAnsi"/>
                <w:sz w:val="22"/>
                <w:szCs w:val="22"/>
              </w:rPr>
              <w:t>94,87</w:t>
            </w:r>
          </w:p>
        </w:tc>
        <w:tc>
          <w:tcPr>
            <w:tcW w:w="1596" w:type="pct"/>
          </w:tcPr>
          <w:p w14:paraId="202AC28D" w14:textId="27D2B5CD" w:rsidR="00AB5422" w:rsidRPr="00675182" w:rsidRDefault="00AB5422" w:rsidP="00AB5422">
            <w:pPr>
              <w:suppressAutoHyphens w:val="0"/>
              <w:rPr>
                <w:rFonts w:eastAsia="Times New Roman" w:cstheme="minorHAnsi"/>
                <w:sz w:val="22"/>
                <w:szCs w:val="22"/>
                <w:lang w:eastAsia="en-GB"/>
              </w:rPr>
            </w:pPr>
            <w:r w:rsidRPr="006F77F2">
              <w:rPr>
                <w:rFonts w:cstheme="minorHAnsi"/>
                <w:color w:val="000000"/>
                <w:sz w:val="22"/>
                <w:szCs w:val="22"/>
              </w:rPr>
              <w:t xml:space="preserve">Detalizēta </w:t>
            </w:r>
            <w:r w:rsidRPr="006F77F2">
              <w:rPr>
                <w:rFonts w:cstheme="minorHAnsi"/>
                <w:sz w:val="22"/>
                <w:szCs w:val="22"/>
              </w:rPr>
              <w:t>ES nozīmes</w:t>
            </w:r>
            <w:r w:rsidRPr="006F77F2">
              <w:rPr>
                <w:rFonts w:cstheme="minorHAnsi"/>
                <w:color w:val="000000"/>
                <w:sz w:val="22"/>
                <w:szCs w:val="22"/>
              </w:rPr>
              <w:t xml:space="preserve"> biotopu inventarizācija DA plāna izstrādes laikā</w:t>
            </w:r>
          </w:p>
        </w:tc>
      </w:tr>
      <w:tr w:rsidR="00711FE3" w:rsidRPr="00675182" w14:paraId="35C1FDE7" w14:textId="77777777" w:rsidTr="00711FE3">
        <w:trPr>
          <w:cantSplit/>
          <w:trHeight w:val="284"/>
        </w:trPr>
        <w:tc>
          <w:tcPr>
            <w:tcW w:w="1123" w:type="pct"/>
            <w:shd w:val="clear" w:color="auto" w:fill="auto"/>
            <w:vAlign w:val="center"/>
          </w:tcPr>
          <w:p w14:paraId="541F4B8F" w14:textId="62563997" w:rsidR="00711FE3" w:rsidRPr="00675182" w:rsidRDefault="00711FE3" w:rsidP="00711FE3">
            <w:pPr>
              <w:rPr>
                <w:rFonts w:cstheme="minorHAnsi"/>
                <w:sz w:val="22"/>
                <w:szCs w:val="22"/>
              </w:rPr>
            </w:pPr>
            <w:r w:rsidRPr="00675182">
              <w:rPr>
                <w:rFonts w:cstheme="minorHAnsi"/>
                <w:sz w:val="22"/>
                <w:szCs w:val="22"/>
              </w:rPr>
              <w:t>9050 Lakstaugiem bagāti egļu meži</w:t>
            </w:r>
          </w:p>
        </w:tc>
        <w:tc>
          <w:tcPr>
            <w:tcW w:w="736" w:type="pct"/>
            <w:shd w:val="clear" w:color="auto" w:fill="auto"/>
            <w:vAlign w:val="center"/>
          </w:tcPr>
          <w:p w14:paraId="4FA29540" w14:textId="05FA47F2" w:rsidR="00711FE3" w:rsidRPr="00675182" w:rsidRDefault="00711FE3" w:rsidP="00711FE3">
            <w:pPr>
              <w:jc w:val="center"/>
              <w:rPr>
                <w:rFonts w:cstheme="minorHAnsi"/>
                <w:color w:val="000000"/>
                <w:sz w:val="22"/>
                <w:szCs w:val="22"/>
              </w:rPr>
            </w:pPr>
            <w:r w:rsidRPr="00675182">
              <w:rPr>
                <w:rFonts w:cstheme="minorHAnsi"/>
                <w:color w:val="000000"/>
                <w:sz w:val="22"/>
                <w:szCs w:val="22"/>
              </w:rPr>
              <w:t>211,51</w:t>
            </w:r>
          </w:p>
        </w:tc>
        <w:tc>
          <w:tcPr>
            <w:tcW w:w="809" w:type="pct"/>
            <w:shd w:val="clear" w:color="auto" w:fill="auto"/>
            <w:noWrap/>
            <w:vAlign w:val="center"/>
          </w:tcPr>
          <w:p w14:paraId="2B448C19" w14:textId="139F152C" w:rsidR="00711FE3" w:rsidRPr="00711FE3" w:rsidRDefault="00711FE3" w:rsidP="00711FE3">
            <w:pPr>
              <w:jc w:val="center"/>
              <w:rPr>
                <w:rFonts w:cstheme="minorHAnsi"/>
                <w:sz w:val="22"/>
                <w:szCs w:val="22"/>
              </w:rPr>
            </w:pPr>
            <w:r w:rsidRPr="00711FE3">
              <w:rPr>
                <w:rFonts w:cstheme="minorHAnsi"/>
                <w:sz w:val="22"/>
                <w:szCs w:val="22"/>
              </w:rPr>
              <w:t>1375,1</w:t>
            </w:r>
          </w:p>
        </w:tc>
        <w:tc>
          <w:tcPr>
            <w:tcW w:w="736" w:type="pct"/>
            <w:shd w:val="clear" w:color="000000" w:fill="A9D08E"/>
            <w:vAlign w:val="center"/>
          </w:tcPr>
          <w:p w14:paraId="7FBF585F" w14:textId="350D8E25" w:rsidR="00711FE3" w:rsidRPr="00711FE3" w:rsidRDefault="00711FE3" w:rsidP="00711FE3">
            <w:pPr>
              <w:jc w:val="center"/>
              <w:rPr>
                <w:rFonts w:cstheme="minorHAnsi"/>
                <w:sz w:val="22"/>
                <w:szCs w:val="22"/>
              </w:rPr>
            </w:pPr>
            <w:r w:rsidRPr="00711FE3">
              <w:rPr>
                <w:rFonts w:cstheme="minorHAnsi"/>
                <w:sz w:val="22"/>
                <w:szCs w:val="22"/>
              </w:rPr>
              <w:t>1163,55</w:t>
            </w:r>
          </w:p>
        </w:tc>
        <w:tc>
          <w:tcPr>
            <w:tcW w:w="1596" w:type="pct"/>
            <w:vAlign w:val="center"/>
          </w:tcPr>
          <w:p w14:paraId="6AAE24AD" w14:textId="59954BBE"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Precizēta </w:t>
            </w:r>
            <w:r w:rsidRPr="00886FCB">
              <w:rPr>
                <w:rFonts w:cstheme="minorHAnsi"/>
                <w:sz w:val="22"/>
                <w:szCs w:val="22"/>
              </w:rPr>
              <w:t>ES nozīmes</w:t>
            </w:r>
            <w:r>
              <w:rPr>
                <w:rFonts w:cstheme="minorHAnsi"/>
                <w:color w:val="000000"/>
                <w:sz w:val="22"/>
                <w:szCs w:val="22"/>
              </w:rPr>
              <w:t xml:space="preserve"> </w:t>
            </w:r>
            <w:r w:rsidRPr="00675182">
              <w:rPr>
                <w:rFonts w:cstheme="minorHAnsi"/>
                <w:color w:val="000000"/>
                <w:sz w:val="22"/>
                <w:szCs w:val="22"/>
              </w:rPr>
              <w:t xml:space="preserve">biotopu noteikšanas metodika. Detalizēta </w:t>
            </w:r>
            <w:r>
              <w:t xml:space="preserve"> </w:t>
            </w:r>
            <w:r w:rsidRPr="00886FCB">
              <w:rPr>
                <w:rFonts w:cstheme="minorHAnsi"/>
                <w:color w:val="000000"/>
                <w:sz w:val="22"/>
                <w:szCs w:val="22"/>
              </w:rPr>
              <w:t>ES nozīmes</w:t>
            </w:r>
            <w:r w:rsidRPr="00675182">
              <w:rPr>
                <w:rFonts w:cstheme="minorHAnsi"/>
                <w:color w:val="000000"/>
                <w:sz w:val="22"/>
                <w:szCs w:val="22"/>
              </w:rPr>
              <w:t xml:space="preserve"> biotopu inventarizācija DA plāna izstrādes laikā.</w:t>
            </w:r>
          </w:p>
        </w:tc>
      </w:tr>
      <w:tr w:rsidR="00711FE3" w:rsidRPr="00675182" w14:paraId="2C2203A3" w14:textId="77777777" w:rsidTr="00711FE3">
        <w:trPr>
          <w:cantSplit/>
          <w:trHeight w:val="284"/>
        </w:trPr>
        <w:tc>
          <w:tcPr>
            <w:tcW w:w="1123" w:type="pct"/>
            <w:shd w:val="clear" w:color="auto" w:fill="auto"/>
            <w:vAlign w:val="center"/>
          </w:tcPr>
          <w:p w14:paraId="46457C3B" w14:textId="0A8AD25B" w:rsidR="00711FE3" w:rsidRPr="00675182" w:rsidRDefault="00711FE3" w:rsidP="00711FE3">
            <w:pPr>
              <w:rPr>
                <w:rFonts w:cstheme="minorHAnsi"/>
                <w:sz w:val="22"/>
                <w:szCs w:val="22"/>
              </w:rPr>
            </w:pPr>
            <w:r w:rsidRPr="00675182">
              <w:rPr>
                <w:rFonts w:cstheme="minorHAnsi"/>
                <w:sz w:val="22"/>
                <w:szCs w:val="22"/>
              </w:rPr>
              <w:t>9080* Staignāju meži</w:t>
            </w:r>
          </w:p>
        </w:tc>
        <w:tc>
          <w:tcPr>
            <w:tcW w:w="736" w:type="pct"/>
            <w:shd w:val="clear" w:color="auto" w:fill="auto"/>
            <w:vAlign w:val="center"/>
          </w:tcPr>
          <w:p w14:paraId="72BBBF11" w14:textId="30490CA5" w:rsidR="00711FE3" w:rsidRPr="00675182" w:rsidRDefault="00711FE3" w:rsidP="00711FE3">
            <w:pPr>
              <w:jc w:val="center"/>
              <w:rPr>
                <w:rFonts w:cstheme="minorHAnsi"/>
                <w:color w:val="000000"/>
                <w:sz w:val="22"/>
                <w:szCs w:val="22"/>
              </w:rPr>
            </w:pPr>
            <w:r w:rsidRPr="00675182">
              <w:rPr>
                <w:rFonts w:cstheme="minorHAnsi"/>
                <w:color w:val="000000"/>
                <w:sz w:val="22"/>
                <w:szCs w:val="22"/>
              </w:rPr>
              <w:t>0,74</w:t>
            </w:r>
          </w:p>
        </w:tc>
        <w:tc>
          <w:tcPr>
            <w:tcW w:w="809" w:type="pct"/>
            <w:shd w:val="clear" w:color="auto" w:fill="auto"/>
            <w:noWrap/>
            <w:vAlign w:val="center"/>
          </w:tcPr>
          <w:p w14:paraId="279DF500" w14:textId="53D65A99" w:rsidR="00711FE3" w:rsidRPr="00711FE3" w:rsidRDefault="00711FE3" w:rsidP="00711FE3">
            <w:pPr>
              <w:jc w:val="center"/>
              <w:rPr>
                <w:rFonts w:cstheme="minorHAnsi"/>
                <w:sz w:val="22"/>
                <w:szCs w:val="22"/>
              </w:rPr>
            </w:pPr>
            <w:r w:rsidRPr="00711FE3">
              <w:rPr>
                <w:rFonts w:cstheme="minorHAnsi"/>
                <w:sz w:val="22"/>
                <w:szCs w:val="22"/>
              </w:rPr>
              <w:t>37,9</w:t>
            </w:r>
          </w:p>
        </w:tc>
        <w:tc>
          <w:tcPr>
            <w:tcW w:w="736" w:type="pct"/>
            <w:shd w:val="clear" w:color="000000" w:fill="A9D08E"/>
            <w:vAlign w:val="center"/>
          </w:tcPr>
          <w:p w14:paraId="71CCC45C" w14:textId="4505A46F" w:rsidR="00711FE3" w:rsidRPr="00711FE3" w:rsidRDefault="00711FE3" w:rsidP="00711FE3">
            <w:pPr>
              <w:jc w:val="center"/>
              <w:rPr>
                <w:rFonts w:cstheme="minorHAnsi"/>
                <w:sz w:val="22"/>
                <w:szCs w:val="22"/>
              </w:rPr>
            </w:pPr>
            <w:r w:rsidRPr="00711FE3">
              <w:rPr>
                <w:rFonts w:cstheme="minorHAnsi"/>
                <w:sz w:val="22"/>
                <w:szCs w:val="22"/>
              </w:rPr>
              <w:t>37,18</w:t>
            </w:r>
          </w:p>
        </w:tc>
        <w:tc>
          <w:tcPr>
            <w:tcW w:w="1596" w:type="pct"/>
            <w:vAlign w:val="center"/>
          </w:tcPr>
          <w:p w14:paraId="5795E293" w14:textId="217D3FBB" w:rsidR="00711FE3" w:rsidRPr="00675182" w:rsidRDefault="00AB5422" w:rsidP="00711FE3">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Pr="00886FCB">
              <w:rPr>
                <w:rFonts w:cstheme="minorHAnsi"/>
                <w:sz w:val="22"/>
                <w:szCs w:val="22"/>
              </w:rPr>
              <w:t>ES nozīmes</w:t>
            </w:r>
            <w:r>
              <w:rPr>
                <w:rFonts w:cstheme="minorHAnsi"/>
                <w:color w:val="000000"/>
                <w:sz w:val="22"/>
                <w:szCs w:val="22"/>
              </w:rPr>
              <w:t xml:space="preserve"> </w:t>
            </w:r>
            <w:r w:rsidRPr="00675182">
              <w:rPr>
                <w:rFonts w:cstheme="minorHAnsi"/>
                <w:color w:val="000000"/>
                <w:sz w:val="22"/>
                <w:szCs w:val="22"/>
              </w:rPr>
              <w:t>biotopu inventarizācija DA plāna izstrādes laikā</w:t>
            </w:r>
          </w:p>
        </w:tc>
      </w:tr>
      <w:tr w:rsidR="00711FE3" w:rsidRPr="00675182" w14:paraId="4C6170D8" w14:textId="77777777" w:rsidTr="00711FE3">
        <w:trPr>
          <w:cantSplit/>
          <w:trHeight w:val="284"/>
        </w:trPr>
        <w:tc>
          <w:tcPr>
            <w:tcW w:w="1123" w:type="pct"/>
            <w:shd w:val="clear" w:color="auto" w:fill="auto"/>
            <w:vAlign w:val="center"/>
          </w:tcPr>
          <w:p w14:paraId="5F910299" w14:textId="6402ABFC" w:rsidR="00711FE3" w:rsidRPr="00675182" w:rsidRDefault="00711FE3" w:rsidP="00711FE3">
            <w:pPr>
              <w:rPr>
                <w:rFonts w:cstheme="minorHAnsi"/>
                <w:sz w:val="22"/>
                <w:szCs w:val="22"/>
              </w:rPr>
            </w:pPr>
            <w:r w:rsidRPr="00675182">
              <w:rPr>
                <w:rFonts w:cstheme="minorHAnsi"/>
                <w:sz w:val="22"/>
                <w:szCs w:val="22"/>
              </w:rPr>
              <w:lastRenderedPageBreak/>
              <w:t>9160 Ozolu meži (ozolu, liepu un skābaržu meži)</w:t>
            </w:r>
          </w:p>
        </w:tc>
        <w:tc>
          <w:tcPr>
            <w:tcW w:w="736" w:type="pct"/>
            <w:shd w:val="clear" w:color="auto" w:fill="auto"/>
            <w:vAlign w:val="center"/>
          </w:tcPr>
          <w:p w14:paraId="591D92E1" w14:textId="3A51CBE8" w:rsidR="00711FE3" w:rsidRPr="00675182" w:rsidRDefault="00711FE3" w:rsidP="00711FE3">
            <w:pPr>
              <w:jc w:val="center"/>
              <w:rPr>
                <w:rFonts w:cstheme="minorHAnsi"/>
                <w:color w:val="000000"/>
                <w:sz w:val="22"/>
                <w:szCs w:val="22"/>
              </w:rPr>
            </w:pPr>
            <w:r w:rsidRPr="00675182">
              <w:rPr>
                <w:rFonts w:cstheme="minorHAnsi"/>
                <w:color w:val="000000"/>
                <w:sz w:val="22"/>
                <w:szCs w:val="22"/>
              </w:rPr>
              <w:t>12,52</w:t>
            </w:r>
          </w:p>
        </w:tc>
        <w:tc>
          <w:tcPr>
            <w:tcW w:w="809" w:type="pct"/>
            <w:shd w:val="clear" w:color="auto" w:fill="auto"/>
            <w:noWrap/>
            <w:vAlign w:val="center"/>
          </w:tcPr>
          <w:p w14:paraId="5E989FC6" w14:textId="028FBCF3" w:rsidR="00711FE3" w:rsidRPr="00711FE3" w:rsidRDefault="00711FE3" w:rsidP="00711FE3">
            <w:pPr>
              <w:jc w:val="center"/>
              <w:rPr>
                <w:rFonts w:cstheme="minorHAnsi"/>
                <w:sz w:val="22"/>
                <w:szCs w:val="22"/>
              </w:rPr>
            </w:pPr>
            <w:r w:rsidRPr="00711FE3">
              <w:rPr>
                <w:rFonts w:cstheme="minorHAnsi"/>
                <w:sz w:val="22"/>
                <w:szCs w:val="22"/>
              </w:rPr>
              <w:t>145,5</w:t>
            </w:r>
          </w:p>
        </w:tc>
        <w:tc>
          <w:tcPr>
            <w:tcW w:w="736" w:type="pct"/>
            <w:shd w:val="clear" w:color="000000" w:fill="A9D08E"/>
            <w:vAlign w:val="center"/>
          </w:tcPr>
          <w:p w14:paraId="20364733" w14:textId="0E2E5BDD" w:rsidR="00711FE3" w:rsidRPr="00711FE3" w:rsidRDefault="00711FE3" w:rsidP="00711FE3">
            <w:pPr>
              <w:jc w:val="center"/>
              <w:rPr>
                <w:rFonts w:cstheme="minorHAnsi"/>
                <w:sz w:val="22"/>
                <w:szCs w:val="22"/>
              </w:rPr>
            </w:pPr>
            <w:r w:rsidRPr="00711FE3">
              <w:rPr>
                <w:rFonts w:cstheme="minorHAnsi"/>
                <w:sz w:val="22"/>
                <w:szCs w:val="22"/>
              </w:rPr>
              <w:t>132,96</w:t>
            </w:r>
          </w:p>
        </w:tc>
        <w:tc>
          <w:tcPr>
            <w:tcW w:w="1596" w:type="pct"/>
            <w:vAlign w:val="center"/>
          </w:tcPr>
          <w:p w14:paraId="5D5621F4" w14:textId="187708FA"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Pr="00886FCB">
              <w:rPr>
                <w:rFonts w:cstheme="minorHAnsi"/>
                <w:sz w:val="22"/>
                <w:szCs w:val="22"/>
              </w:rPr>
              <w:t xml:space="preserve">ES nozīmes </w:t>
            </w:r>
            <w:r>
              <w:rPr>
                <w:rFonts w:cstheme="minorHAnsi"/>
                <w:color w:val="000000"/>
                <w:sz w:val="22"/>
                <w:szCs w:val="22"/>
              </w:rPr>
              <w:t xml:space="preserve"> </w:t>
            </w:r>
            <w:r w:rsidRPr="00675182">
              <w:rPr>
                <w:rFonts w:cstheme="minorHAnsi"/>
                <w:color w:val="000000"/>
                <w:sz w:val="22"/>
                <w:szCs w:val="22"/>
              </w:rPr>
              <w:t>biotopu inventarizācija DA plāna izstrādes laikā</w:t>
            </w:r>
          </w:p>
        </w:tc>
      </w:tr>
      <w:tr w:rsidR="00711FE3" w:rsidRPr="00675182" w14:paraId="7B7B2DC9" w14:textId="77777777" w:rsidTr="00711FE3">
        <w:trPr>
          <w:cantSplit/>
          <w:trHeight w:val="284"/>
        </w:trPr>
        <w:tc>
          <w:tcPr>
            <w:tcW w:w="1123" w:type="pct"/>
            <w:shd w:val="clear" w:color="auto" w:fill="auto"/>
            <w:vAlign w:val="center"/>
          </w:tcPr>
          <w:p w14:paraId="2572E691" w14:textId="6897E14D" w:rsidR="00711FE3" w:rsidRPr="00675182" w:rsidRDefault="00711FE3" w:rsidP="00711FE3">
            <w:pPr>
              <w:rPr>
                <w:rFonts w:cstheme="minorHAnsi"/>
                <w:sz w:val="22"/>
                <w:szCs w:val="22"/>
              </w:rPr>
            </w:pPr>
            <w:r w:rsidRPr="00675182">
              <w:rPr>
                <w:rFonts w:cstheme="minorHAnsi"/>
                <w:sz w:val="22"/>
                <w:szCs w:val="22"/>
              </w:rPr>
              <w:t>9180* Nogāžu un gravu meži</w:t>
            </w:r>
          </w:p>
        </w:tc>
        <w:tc>
          <w:tcPr>
            <w:tcW w:w="736" w:type="pct"/>
            <w:shd w:val="clear" w:color="auto" w:fill="auto"/>
            <w:vAlign w:val="center"/>
          </w:tcPr>
          <w:p w14:paraId="44040EE2" w14:textId="14646A7B" w:rsidR="00711FE3" w:rsidRPr="00675182" w:rsidRDefault="00711FE3" w:rsidP="00711FE3">
            <w:pPr>
              <w:jc w:val="center"/>
              <w:rPr>
                <w:rFonts w:cstheme="minorHAnsi"/>
                <w:color w:val="000000"/>
                <w:sz w:val="22"/>
                <w:szCs w:val="22"/>
              </w:rPr>
            </w:pPr>
            <w:r w:rsidRPr="00675182">
              <w:rPr>
                <w:rFonts w:cstheme="minorHAnsi"/>
                <w:color w:val="000000"/>
                <w:sz w:val="22"/>
                <w:szCs w:val="22"/>
              </w:rPr>
              <w:t>1116,95</w:t>
            </w:r>
          </w:p>
        </w:tc>
        <w:tc>
          <w:tcPr>
            <w:tcW w:w="809" w:type="pct"/>
            <w:shd w:val="clear" w:color="auto" w:fill="auto"/>
            <w:noWrap/>
            <w:vAlign w:val="center"/>
          </w:tcPr>
          <w:p w14:paraId="6ABBD582" w14:textId="2C6E71D9" w:rsidR="00711FE3" w:rsidRPr="00711FE3" w:rsidRDefault="00711FE3" w:rsidP="00711FE3">
            <w:pPr>
              <w:jc w:val="center"/>
              <w:rPr>
                <w:rFonts w:cstheme="minorHAnsi"/>
                <w:sz w:val="22"/>
                <w:szCs w:val="22"/>
              </w:rPr>
            </w:pPr>
            <w:r w:rsidRPr="00711FE3">
              <w:rPr>
                <w:rFonts w:cstheme="minorHAnsi"/>
                <w:sz w:val="22"/>
                <w:szCs w:val="22"/>
              </w:rPr>
              <w:t>1658,7</w:t>
            </w:r>
          </w:p>
        </w:tc>
        <w:tc>
          <w:tcPr>
            <w:tcW w:w="736" w:type="pct"/>
            <w:shd w:val="clear" w:color="000000" w:fill="A9D08E"/>
            <w:vAlign w:val="center"/>
          </w:tcPr>
          <w:p w14:paraId="42FABB29" w14:textId="074FB730" w:rsidR="00711FE3" w:rsidRPr="00711FE3" w:rsidRDefault="00711FE3" w:rsidP="00711FE3">
            <w:pPr>
              <w:jc w:val="center"/>
              <w:rPr>
                <w:rFonts w:cstheme="minorHAnsi"/>
                <w:sz w:val="22"/>
                <w:szCs w:val="22"/>
              </w:rPr>
            </w:pPr>
            <w:r w:rsidRPr="00711FE3">
              <w:rPr>
                <w:rFonts w:cstheme="minorHAnsi"/>
                <w:sz w:val="22"/>
                <w:szCs w:val="22"/>
              </w:rPr>
              <w:t>541,73</w:t>
            </w:r>
          </w:p>
        </w:tc>
        <w:tc>
          <w:tcPr>
            <w:tcW w:w="1596" w:type="pct"/>
            <w:vAlign w:val="center"/>
          </w:tcPr>
          <w:p w14:paraId="27EAF30E" w14:textId="00B093D5"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Pr="00886FCB">
              <w:rPr>
                <w:rFonts w:cstheme="minorHAnsi"/>
                <w:sz w:val="22"/>
                <w:szCs w:val="22"/>
              </w:rPr>
              <w:t xml:space="preserve">ES nozīmes </w:t>
            </w:r>
            <w:r>
              <w:rPr>
                <w:rFonts w:cstheme="minorHAnsi"/>
                <w:color w:val="000000"/>
                <w:sz w:val="22"/>
                <w:szCs w:val="22"/>
              </w:rPr>
              <w:t xml:space="preserve"> </w:t>
            </w:r>
            <w:r w:rsidRPr="00675182">
              <w:rPr>
                <w:rFonts w:cstheme="minorHAnsi"/>
                <w:color w:val="000000"/>
                <w:sz w:val="22"/>
                <w:szCs w:val="22"/>
              </w:rPr>
              <w:t>biotopu inventarizācija DA plāna izstrādes laikā</w:t>
            </w:r>
          </w:p>
        </w:tc>
      </w:tr>
      <w:tr w:rsidR="00711FE3" w:rsidRPr="00675182" w14:paraId="2F6DEE60" w14:textId="77777777" w:rsidTr="00711FE3">
        <w:trPr>
          <w:cantSplit/>
          <w:trHeight w:val="284"/>
        </w:trPr>
        <w:tc>
          <w:tcPr>
            <w:tcW w:w="1123" w:type="pct"/>
            <w:shd w:val="clear" w:color="auto" w:fill="auto"/>
            <w:vAlign w:val="center"/>
          </w:tcPr>
          <w:p w14:paraId="6AEBA75E" w14:textId="7DE7D598" w:rsidR="00711FE3" w:rsidRPr="00675182" w:rsidRDefault="00711FE3" w:rsidP="00711FE3">
            <w:pPr>
              <w:rPr>
                <w:rFonts w:cstheme="minorHAnsi"/>
                <w:sz w:val="22"/>
                <w:szCs w:val="22"/>
              </w:rPr>
            </w:pPr>
            <w:r w:rsidRPr="00675182">
              <w:rPr>
                <w:rFonts w:cstheme="minorHAnsi"/>
                <w:sz w:val="22"/>
                <w:szCs w:val="22"/>
              </w:rPr>
              <w:t>91D0* Purvaini meži</w:t>
            </w:r>
          </w:p>
        </w:tc>
        <w:tc>
          <w:tcPr>
            <w:tcW w:w="736" w:type="pct"/>
            <w:shd w:val="clear" w:color="auto" w:fill="auto"/>
            <w:vAlign w:val="center"/>
          </w:tcPr>
          <w:p w14:paraId="6D80A34D" w14:textId="37125219" w:rsidR="00711FE3" w:rsidRPr="00675182" w:rsidRDefault="00711FE3" w:rsidP="00711FE3">
            <w:pPr>
              <w:jc w:val="center"/>
              <w:rPr>
                <w:rFonts w:cstheme="minorHAnsi"/>
                <w:color w:val="000000"/>
                <w:sz w:val="22"/>
                <w:szCs w:val="22"/>
              </w:rPr>
            </w:pPr>
            <w:r w:rsidRPr="00675182">
              <w:rPr>
                <w:rFonts w:cstheme="minorHAnsi"/>
                <w:color w:val="000000"/>
                <w:sz w:val="22"/>
                <w:szCs w:val="22"/>
              </w:rPr>
              <w:t>1149,19</w:t>
            </w:r>
          </w:p>
        </w:tc>
        <w:tc>
          <w:tcPr>
            <w:tcW w:w="809" w:type="pct"/>
            <w:shd w:val="clear" w:color="auto" w:fill="auto"/>
            <w:noWrap/>
            <w:vAlign w:val="center"/>
          </w:tcPr>
          <w:p w14:paraId="7B05BF60" w14:textId="6EF0973A" w:rsidR="00711FE3" w:rsidRPr="00711FE3" w:rsidRDefault="00711FE3" w:rsidP="00711FE3">
            <w:pPr>
              <w:jc w:val="center"/>
              <w:rPr>
                <w:rFonts w:cstheme="minorHAnsi"/>
                <w:sz w:val="22"/>
                <w:szCs w:val="22"/>
              </w:rPr>
            </w:pPr>
            <w:r w:rsidRPr="00711FE3">
              <w:rPr>
                <w:rFonts w:cstheme="minorHAnsi"/>
                <w:sz w:val="22"/>
                <w:szCs w:val="22"/>
              </w:rPr>
              <w:t>1355,6</w:t>
            </w:r>
          </w:p>
        </w:tc>
        <w:tc>
          <w:tcPr>
            <w:tcW w:w="736" w:type="pct"/>
            <w:shd w:val="clear" w:color="000000" w:fill="A9D08E"/>
            <w:vAlign w:val="center"/>
          </w:tcPr>
          <w:p w14:paraId="268BB033" w14:textId="08EA438B" w:rsidR="00711FE3" w:rsidRPr="00711FE3" w:rsidRDefault="00711FE3" w:rsidP="00711FE3">
            <w:pPr>
              <w:jc w:val="center"/>
              <w:rPr>
                <w:rFonts w:cstheme="minorHAnsi"/>
                <w:sz w:val="22"/>
                <w:szCs w:val="22"/>
              </w:rPr>
            </w:pPr>
            <w:r w:rsidRPr="00711FE3">
              <w:rPr>
                <w:rFonts w:cstheme="minorHAnsi"/>
                <w:sz w:val="22"/>
                <w:szCs w:val="22"/>
              </w:rPr>
              <w:t>206,40</w:t>
            </w:r>
          </w:p>
        </w:tc>
        <w:tc>
          <w:tcPr>
            <w:tcW w:w="1596" w:type="pct"/>
            <w:vAlign w:val="center"/>
          </w:tcPr>
          <w:p w14:paraId="57F364C6" w14:textId="2D663B37"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Pr="00886FCB">
              <w:rPr>
                <w:rFonts w:cstheme="minorHAnsi"/>
                <w:sz w:val="22"/>
                <w:szCs w:val="22"/>
              </w:rPr>
              <w:t xml:space="preserve">ES nozīmes </w:t>
            </w:r>
            <w:r>
              <w:rPr>
                <w:rFonts w:cstheme="minorHAnsi"/>
                <w:color w:val="000000"/>
                <w:sz w:val="22"/>
                <w:szCs w:val="22"/>
              </w:rPr>
              <w:t xml:space="preserve"> </w:t>
            </w:r>
            <w:r w:rsidRPr="00675182">
              <w:rPr>
                <w:rFonts w:cstheme="minorHAnsi"/>
                <w:color w:val="000000"/>
                <w:sz w:val="22"/>
                <w:szCs w:val="22"/>
              </w:rPr>
              <w:t>biotopu inventarizācija DA plāna izstrādes laikā</w:t>
            </w:r>
          </w:p>
        </w:tc>
      </w:tr>
      <w:tr w:rsidR="00711FE3" w:rsidRPr="00675182" w14:paraId="19F562FF" w14:textId="77777777" w:rsidTr="00711FE3">
        <w:trPr>
          <w:cantSplit/>
          <w:trHeight w:val="284"/>
        </w:trPr>
        <w:tc>
          <w:tcPr>
            <w:tcW w:w="1123" w:type="pct"/>
            <w:shd w:val="clear" w:color="auto" w:fill="auto"/>
            <w:vAlign w:val="center"/>
          </w:tcPr>
          <w:p w14:paraId="536730D9" w14:textId="0E68AB70" w:rsidR="00711FE3" w:rsidRPr="00675182" w:rsidRDefault="00711FE3" w:rsidP="00711FE3">
            <w:pPr>
              <w:rPr>
                <w:rFonts w:cstheme="minorHAnsi"/>
                <w:sz w:val="22"/>
                <w:szCs w:val="22"/>
              </w:rPr>
            </w:pPr>
            <w:r w:rsidRPr="00675182">
              <w:rPr>
                <w:rFonts w:cstheme="minorHAnsi"/>
                <w:sz w:val="22"/>
                <w:szCs w:val="22"/>
              </w:rPr>
              <w:t>91E0*Aluviāli meži (aluviāli krastmalu un palieņu meži)</w:t>
            </w:r>
          </w:p>
        </w:tc>
        <w:tc>
          <w:tcPr>
            <w:tcW w:w="736" w:type="pct"/>
            <w:shd w:val="clear" w:color="auto" w:fill="auto"/>
            <w:vAlign w:val="center"/>
          </w:tcPr>
          <w:p w14:paraId="38C9E79F" w14:textId="53C247BD" w:rsidR="00711FE3" w:rsidRPr="00675182" w:rsidRDefault="00711FE3" w:rsidP="00711FE3">
            <w:pPr>
              <w:jc w:val="center"/>
              <w:rPr>
                <w:rFonts w:cstheme="minorHAnsi"/>
                <w:color w:val="000000"/>
                <w:sz w:val="22"/>
                <w:szCs w:val="22"/>
              </w:rPr>
            </w:pPr>
            <w:r w:rsidRPr="00675182">
              <w:rPr>
                <w:rFonts w:cstheme="minorHAnsi"/>
                <w:color w:val="000000"/>
                <w:sz w:val="22"/>
                <w:szCs w:val="22"/>
              </w:rPr>
              <w:t>238,61</w:t>
            </w:r>
          </w:p>
        </w:tc>
        <w:tc>
          <w:tcPr>
            <w:tcW w:w="809" w:type="pct"/>
            <w:shd w:val="clear" w:color="auto" w:fill="auto"/>
            <w:noWrap/>
            <w:vAlign w:val="center"/>
          </w:tcPr>
          <w:p w14:paraId="34C7A317" w14:textId="0B7E03C0" w:rsidR="00711FE3" w:rsidRPr="00711FE3" w:rsidRDefault="00711FE3" w:rsidP="00711FE3">
            <w:pPr>
              <w:jc w:val="center"/>
              <w:rPr>
                <w:rFonts w:cstheme="minorHAnsi"/>
                <w:sz w:val="22"/>
                <w:szCs w:val="22"/>
              </w:rPr>
            </w:pPr>
            <w:r w:rsidRPr="00711FE3">
              <w:rPr>
                <w:rFonts w:cstheme="minorHAnsi"/>
                <w:sz w:val="22"/>
                <w:szCs w:val="22"/>
              </w:rPr>
              <w:t>486,6</w:t>
            </w:r>
          </w:p>
        </w:tc>
        <w:tc>
          <w:tcPr>
            <w:tcW w:w="736" w:type="pct"/>
            <w:shd w:val="clear" w:color="000000" w:fill="A9D08E"/>
            <w:vAlign w:val="center"/>
          </w:tcPr>
          <w:p w14:paraId="69C88B82" w14:textId="5EADA0B3" w:rsidR="00711FE3" w:rsidRPr="00711FE3" w:rsidRDefault="00711FE3" w:rsidP="00711FE3">
            <w:pPr>
              <w:jc w:val="center"/>
              <w:rPr>
                <w:rFonts w:cstheme="minorHAnsi"/>
                <w:sz w:val="22"/>
                <w:szCs w:val="22"/>
              </w:rPr>
            </w:pPr>
            <w:r w:rsidRPr="00711FE3">
              <w:rPr>
                <w:rFonts w:cstheme="minorHAnsi"/>
                <w:sz w:val="22"/>
                <w:szCs w:val="22"/>
              </w:rPr>
              <w:t>248,04</w:t>
            </w:r>
          </w:p>
        </w:tc>
        <w:tc>
          <w:tcPr>
            <w:tcW w:w="1596" w:type="pct"/>
            <w:vAlign w:val="center"/>
          </w:tcPr>
          <w:p w14:paraId="4D9CF87B" w14:textId="3795C214"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Detalizēta </w:t>
            </w:r>
            <w:r w:rsidRPr="00886FCB">
              <w:rPr>
                <w:rFonts w:cstheme="minorHAnsi"/>
                <w:sz w:val="22"/>
                <w:szCs w:val="22"/>
              </w:rPr>
              <w:t xml:space="preserve">ES nozīmes </w:t>
            </w:r>
            <w:r>
              <w:rPr>
                <w:rFonts w:cstheme="minorHAnsi"/>
                <w:color w:val="000000"/>
                <w:sz w:val="22"/>
                <w:szCs w:val="22"/>
              </w:rPr>
              <w:t xml:space="preserve"> </w:t>
            </w:r>
            <w:r w:rsidRPr="00675182">
              <w:rPr>
                <w:rFonts w:cstheme="minorHAnsi"/>
                <w:color w:val="000000"/>
                <w:sz w:val="22"/>
                <w:szCs w:val="22"/>
              </w:rPr>
              <w:t>biotopu inventarizācija DA plāna izstrādes laikā</w:t>
            </w:r>
          </w:p>
        </w:tc>
      </w:tr>
      <w:tr w:rsidR="00711FE3" w:rsidRPr="00675182" w14:paraId="4A88DFC9" w14:textId="77777777" w:rsidTr="00711FE3">
        <w:trPr>
          <w:cantSplit/>
          <w:trHeight w:val="284"/>
        </w:trPr>
        <w:tc>
          <w:tcPr>
            <w:tcW w:w="1123" w:type="pct"/>
            <w:shd w:val="clear" w:color="auto" w:fill="auto"/>
            <w:vAlign w:val="center"/>
          </w:tcPr>
          <w:p w14:paraId="6519BAD5" w14:textId="67D6835C" w:rsidR="00711FE3" w:rsidRPr="00675182" w:rsidRDefault="00711FE3" w:rsidP="00711FE3">
            <w:pPr>
              <w:rPr>
                <w:rFonts w:cstheme="minorHAnsi"/>
                <w:sz w:val="22"/>
                <w:szCs w:val="22"/>
              </w:rPr>
            </w:pPr>
            <w:r w:rsidRPr="00675182">
              <w:rPr>
                <w:rFonts w:cstheme="minorHAnsi"/>
                <w:sz w:val="22"/>
                <w:szCs w:val="22"/>
              </w:rPr>
              <w:t>91F0 Jaukti ozolu, gobu, ošu meži gar lielām upēm</w:t>
            </w:r>
          </w:p>
        </w:tc>
        <w:tc>
          <w:tcPr>
            <w:tcW w:w="736" w:type="pct"/>
            <w:shd w:val="clear" w:color="auto" w:fill="auto"/>
            <w:vAlign w:val="center"/>
          </w:tcPr>
          <w:p w14:paraId="27216B9A" w14:textId="34CA49D7" w:rsidR="00711FE3" w:rsidRPr="00675182" w:rsidRDefault="00711FE3" w:rsidP="00711FE3">
            <w:pPr>
              <w:jc w:val="center"/>
              <w:rPr>
                <w:rFonts w:cstheme="minorHAnsi"/>
                <w:color w:val="000000"/>
                <w:sz w:val="22"/>
                <w:szCs w:val="22"/>
              </w:rPr>
            </w:pPr>
            <w:r w:rsidRPr="00675182">
              <w:rPr>
                <w:rFonts w:cstheme="minorHAnsi"/>
                <w:color w:val="000000"/>
                <w:sz w:val="22"/>
                <w:szCs w:val="22"/>
              </w:rPr>
              <w:t>0,51</w:t>
            </w:r>
          </w:p>
        </w:tc>
        <w:tc>
          <w:tcPr>
            <w:tcW w:w="809" w:type="pct"/>
            <w:shd w:val="clear" w:color="auto" w:fill="auto"/>
            <w:noWrap/>
            <w:vAlign w:val="center"/>
          </w:tcPr>
          <w:p w14:paraId="4829ADD7" w14:textId="6F998C54" w:rsidR="00711FE3" w:rsidRPr="00711FE3" w:rsidRDefault="00711FE3" w:rsidP="00711FE3">
            <w:pPr>
              <w:jc w:val="center"/>
              <w:rPr>
                <w:rFonts w:cstheme="minorHAnsi"/>
                <w:sz w:val="22"/>
                <w:szCs w:val="22"/>
              </w:rPr>
            </w:pPr>
            <w:r w:rsidRPr="00711FE3">
              <w:rPr>
                <w:rFonts w:cstheme="minorHAnsi"/>
                <w:sz w:val="22"/>
                <w:szCs w:val="22"/>
              </w:rPr>
              <w:t>170,4</w:t>
            </w:r>
          </w:p>
        </w:tc>
        <w:tc>
          <w:tcPr>
            <w:tcW w:w="736" w:type="pct"/>
            <w:shd w:val="clear" w:color="000000" w:fill="A9D08E"/>
            <w:vAlign w:val="center"/>
          </w:tcPr>
          <w:p w14:paraId="01FEE21B" w14:textId="43DC97F0" w:rsidR="00711FE3" w:rsidRPr="00711FE3" w:rsidRDefault="00711FE3" w:rsidP="00711FE3">
            <w:pPr>
              <w:jc w:val="center"/>
              <w:rPr>
                <w:rFonts w:cstheme="minorHAnsi"/>
                <w:sz w:val="22"/>
                <w:szCs w:val="22"/>
              </w:rPr>
            </w:pPr>
            <w:r w:rsidRPr="00711FE3">
              <w:rPr>
                <w:rFonts w:cstheme="minorHAnsi"/>
                <w:sz w:val="22"/>
                <w:szCs w:val="22"/>
              </w:rPr>
              <w:t>169,87</w:t>
            </w:r>
          </w:p>
        </w:tc>
        <w:tc>
          <w:tcPr>
            <w:tcW w:w="1596" w:type="pct"/>
            <w:vAlign w:val="center"/>
          </w:tcPr>
          <w:p w14:paraId="2A34E6D9" w14:textId="4ECE8E2C" w:rsidR="00711FE3" w:rsidRPr="00675182" w:rsidRDefault="00711FE3" w:rsidP="00711FE3">
            <w:pPr>
              <w:suppressAutoHyphens w:val="0"/>
              <w:rPr>
                <w:rFonts w:eastAsia="Times New Roman" w:cstheme="minorHAnsi"/>
                <w:sz w:val="22"/>
                <w:szCs w:val="22"/>
                <w:lang w:eastAsia="en-GB"/>
              </w:rPr>
            </w:pPr>
            <w:r w:rsidRPr="00675182">
              <w:rPr>
                <w:rFonts w:cstheme="minorHAnsi"/>
                <w:color w:val="000000"/>
                <w:sz w:val="22"/>
                <w:szCs w:val="22"/>
              </w:rPr>
              <w:t xml:space="preserve">Precizēta </w:t>
            </w:r>
            <w:r w:rsidRPr="00886FCB">
              <w:rPr>
                <w:rFonts w:cstheme="minorHAnsi"/>
                <w:sz w:val="22"/>
                <w:szCs w:val="22"/>
              </w:rPr>
              <w:t xml:space="preserve">ES nozīmes </w:t>
            </w:r>
            <w:r>
              <w:rPr>
                <w:rFonts w:cstheme="minorHAnsi"/>
                <w:color w:val="000000"/>
                <w:sz w:val="22"/>
                <w:szCs w:val="22"/>
              </w:rPr>
              <w:t xml:space="preserve"> </w:t>
            </w:r>
            <w:r w:rsidRPr="00675182">
              <w:rPr>
                <w:rFonts w:cstheme="minorHAnsi"/>
                <w:color w:val="000000"/>
                <w:sz w:val="22"/>
                <w:szCs w:val="22"/>
              </w:rPr>
              <w:t xml:space="preserve">biotopu noteikšanas metodika. Detalizēta </w:t>
            </w:r>
            <w:r>
              <w:t xml:space="preserve"> </w:t>
            </w:r>
            <w:r w:rsidRPr="00886FCB">
              <w:rPr>
                <w:rFonts w:cstheme="minorHAnsi"/>
                <w:color w:val="000000"/>
                <w:sz w:val="22"/>
                <w:szCs w:val="22"/>
              </w:rPr>
              <w:t>ES nozīmes</w:t>
            </w:r>
            <w:r w:rsidRPr="00675182">
              <w:rPr>
                <w:rFonts w:cstheme="minorHAnsi"/>
                <w:color w:val="000000"/>
                <w:sz w:val="22"/>
                <w:szCs w:val="22"/>
              </w:rPr>
              <w:t xml:space="preserve"> biotopu inventarizācija DA plāna izstrādes laikā.</w:t>
            </w:r>
          </w:p>
        </w:tc>
      </w:tr>
    </w:tbl>
    <w:p w14:paraId="692967A7" w14:textId="49DBB473" w:rsidR="00944F37" w:rsidRPr="00675182" w:rsidRDefault="00944F37" w:rsidP="00AA3632">
      <w:pPr>
        <w:rPr>
          <w:rFonts w:cstheme="minorHAnsi"/>
          <w:sz w:val="20"/>
        </w:rPr>
        <w:sectPr w:rsidR="00944F37" w:rsidRPr="00675182" w:rsidSect="00CB2400">
          <w:headerReference w:type="default" r:id="rId151"/>
          <w:pgSz w:w="16837" w:h="11905" w:orient="landscape"/>
          <w:pgMar w:top="1797" w:right="1440" w:bottom="1797" w:left="1440" w:header="720" w:footer="720" w:gutter="0"/>
          <w:cols w:space="720"/>
          <w:docGrid w:linePitch="360"/>
        </w:sectPr>
      </w:pPr>
    </w:p>
    <w:tbl>
      <w:tblPr>
        <w:tblW w:w="5000" w:type="pct"/>
        <w:tblLook w:val="04A0" w:firstRow="1" w:lastRow="0" w:firstColumn="1" w:lastColumn="0" w:noHBand="0" w:noVBand="1"/>
      </w:tblPr>
      <w:tblGrid>
        <w:gridCol w:w="13958"/>
      </w:tblGrid>
      <w:tr w:rsidR="00441888" w:rsidRPr="00675182" w14:paraId="153EEE6A" w14:textId="77777777" w:rsidTr="00A537CD">
        <w:tc>
          <w:tcPr>
            <w:tcW w:w="5000" w:type="pct"/>
            <w:shd w:val="clear" w:color="auto" w:fill="auto"/>
          </w:tcPr>
          <w:p w14:paraId="747A5C96" w14:textId="37DB24AC" w:rsidR="00441888" w:rsidRPr="00675182" w:rsidRDefault="00B02532" w:rsidP="00AA3632">
            <w:pPr>
              <w:jc w:val="center"/>
              <w:rPr>
                <w:rFonts w:cstheme="minorHAnsi"/>
              </w:rPr>
            </w:pPr>
            <w:r w:rsidRPr="00675182">
              <w:rPr>
                <w:noProof/>
              </w:rPr>
              <w:lastRenderedPageBreak/>
              <w:drawing>
                <wp:inline distT="0" distB="0" distL="0" distR="0" wp14:anchorId="138DE55F" wp14:editId="25D6454D">
                  <wp:extent cx="7173086" cy="5076000"/>
                  <wp:effectExtent l="0" t="0" r="889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7173086" cy="5076000"/>
                          </a:xfrm>
                          <a:prstGeom prst="rect">
                            <a:avLst/>
                          </a:prstGeom>
                          <a:noFill/>
                          <a:ln>
                            <a:noFill/>
                          </a:ln>
                        </pic:spPr>
                      </pic:pic>
                    </a:graphicData>
                  </a:graphic>
                </wp:inline>
              </w:drawing>
            </w:r>
          </w:p>
        </w:tc>
      </w:tr>
      <w:tr w:rsidR="00441888" w:rsidRPr="00675182" w14:paraId="6BB1731C" w14:textId="77777777" w:rsidTr="00A537CD">
        <w:tc>
          <w:tcPr>
            <w:tcW w:w="5000" w:type="pct"/>
            <w:shd w:val="clear" w:color="auto" w:fill="auto"/>
          </w:tcPr>
          <w:p w14:paraId="2A4D1F2B" w14:textId="6531050D" w:rsidR="00441888" w:rsidRPr="00675182" w:rsidRDefault="00441888" w:rsidP="001F4D4F">
            <w:pPr>
              <w:rPr>
                <w:rFonts w:cstheme="minorHAnsi"/>
                <w:b/>
                <w:bCs/>
                <w:i/>
                <w:sz w:val="20"/>
              </w:rPr>
            </w:pPr>
            <w:r w:rsidRPr="00675182">
              <w:rPr>
                <w:rFonts w:cstheme="minorHAnsi"/>
                <w:b/>
                <w:i/>
              </w:rPr>
              <w:t>2.</w:t>
            </w:r>
            <w:r w:rsidR="001F4D4F" w:rsidRPr="00675182">
              <w:rPr>
                <w:rFonts w:cstheme="minorHAnsi"/>
                <w:b/>
                <w:i/>
              </w:rPr>
              <w:t>3.</w:t>
            </w:r>
            <w:r w:rsidR="00260376" w:rsidRPr="00675182">
              <w:rPr>
                <w:rFonts w:cstheme="minorHAnsi"/>
                <w:b/>
                <w:i/>
              </w:rPr>
              <w:t>1.</w:t>
            </w:r>
            <w:r w:rsidRPr="00675182">
              <w:rPr>
                <w:rFonts w:cstheme="minorHAnsi"/>
                <w:b/>
                <w:i/>
              </w:rPr>
              <w:t xml:space="preserve"> attēls. ES </w:t>
            </w:r>
            <w:r w:rsidR="00886FCB">
              <w:rPr>
                <w:rFonts w:cstheme="minorHAnsi"/>
                <w:b/>
                <w:i/>
              </w:rPr>
              <w:t>nozīmes</w:t>
            </w:r>
            <w:r w:rsidR="00886FCB" w:rsidRPr="00675182">
              <w:rPr>
                <w:rFonts w:cstheme="minorHAnsi"/>
                <w:b/>
                <w:i/>
              </w:rPr>
              <w:t xml:space="preserve"> </w:t>
            </w:r>
            <w:r w:rsidRPr="00675182">
              <w:rPr>
                <w:rFonts w:cstheme="minorHAnsi"/>
                <w:b/>
                <w:i/>
              </w:rPr>
              <w:t xml:space="preserve">biotopi </w:t>
            </w:r>
            <w:r w:rsidR="0048081F" w:rsidRPr="00675182">
              <w:rPr>
                <w:rFonts w:cstheme="minorHAnsi"/>
                <w:b/>
                <w:i/>
              </w:rPr>
              <w:t>GNP teritorijā</w:t>
            </w:r>
          </w:p>
        </w:tc>
      </w:tr>
    </w:tbl>
    <w:p w14:paraId="580F8B81" w14:textId="77777777" w:rsidR="00D4267D" w:rsidRPr="00675182" w:rsidRDefault="00D4267D" w:rsidP="002B3341">
      <w:pPr>
        <w:rPr>
          <w:rFonts w:cstheme="minorHAnsi"/>
        </w:rPr>
        <w:sectPr w:rsidR="00D4267D" w:rsidRPr="00675182" w:rsidSect="00AA3632">
          <w:pgSz w:w="16838" w:h="11906" w:orient="landscape" w:code="9"/>
          <w:pgMar w:top="1797" w:right="1440" w:bottom="1797" w:left="1440" w:header="720" w:footer="720" w:gutter="0"/>
          <w:cols w:space="720"/>
          <w:docGrid w:linePitch="360"/>
        </w:sectPr>
      </w:pPr>
    </w:p>
    <w:p w14:paraId="6767B9C4" w14:textId="77777777" w:rsidR="00FB692C" w:rsidRPr="00675182" w:rsidRDefault="00FB692C" w:rsidP="002B3341">
      <w:pPr>
        <w:pStyle w:val="Heading3"/>
        <w:keepNext w:val="0"/>
        <w:numPr>
          <w:ilvl w:val="0"/>
          <w:numId w:val="0"/>
        </w:numPr>
        <w:rPr>
          <w:rFonts w:cstheme="minorHAnsi"/>
          <w:b/>
          <w:szCs w:val="24"/>
          <w:lang w:val="lv-LV"/>
        </w:rPr>
      </w:pPr>
      <w:bookmarkStart w:id="45" w:name="_Toc116938403"/>
      <w:r w:rsidRPr="00675182">
        <w:rPr>
          <w:rFonts w:cstheme="minorHAnsi"/>
          <w:b/>
          <w:szCs w:val="24"/>
          <w:lang w:val="lv-LV"/>
        </w:rPr>
        <w:lastRenderedPageBreak/>
        <w:t>2.3.1. Saldūdens biotopi</w:t>
      </w:r>
      <w:bookmarkEnd w:id="45"/>
    </w:p>
    <w:p w14:paraId="114E6F3F" w14:textId="77777777" w:rsidR="00EE728B" w:rsidRPr="00675182" w:rsidRDefault="00EE728B" w:rsidP="002B3341">
      <w:pPr>
        <w:rPr>
          <w:rFonts w:cstheme="minorHAnsi"/>
        </w:rPr>
      </w:pPr>
    </w:p>
    <w:p w14:paraId="0734D85B" w14:textId="2F51342A" w:rsidR="00430653" w:rsidRPr="00675182" w:rsidRDefault="00430653" w:rsidP="00430653">
      <w:pPr>
        <w:jc w:val="both"/>
        <w:rPr>
          <w:rFonts w:cstheme="minorHAnsi"/>
          <w:bCs/>
        </w:rPr>
      </w:pPr>
      <w:r w:rsidRPr="00675182">
        <w:rPr>
          <w:rFonts w:cstheme="minorHAnsi"/>
          <w:bCs/>
        </w:rPr>
        <w:t xml:space="preserve">GNP teritorijas saldūdens biotopi apsekoti 2017. gadā projekta </w:t>
      </w:r>
      <w:r w:rsidR="00791535" w:rsidRPr="00675182">
        <w:rPr>
          <w:rFonts w:cstheme="minorHAnsi"/>
          <w:bCs/>
        </w:rPr>
        <w:t>“</w:t>
      </w:r>
      <w:r w:rsidR="00810F5B" w:rsidRPr="00675182">
        <w:rPr>
          <w:rFonts w:cstheme="minorHAnsi"/>
          <w:bCs/>
        </w:rPr>
        <w:t>Priekšnosacījumu izveide labākai bioloģiskās daudzveidības saglabāšanai un ekosistēmu aizsardzībai Latvijā”</w:t>
      </w:r>
      <w:r w:rsidRPr="00675182">
        <w:rPr>
          <w:rFonts w:cstheme="minorHAnsi"/>
          <w:bCs/>
        </w:rPr>
        <w:t xml:space="preserve"> ietvaros, kā arī 2020.</w:t>
      </w:r>
      <w:r w:rsidR="00616FE4" w:rsidRPr="00675182">
        <w:rPr>
          <w:rFonts w:cstheme="minorHAnsi"/>
          <w:bCs/>
        </w:rPr>
        <w:t xml:space="preserve">, </w:t>
      </w:r>
      <w:r w:rsidR="000B2370" w:rsidRPr="00675182">
        <w:rPr>
          <w:rFonts w:cstheme="minorHAnsi"/>
          <w:bCs/>
        </w:rPr>
        <w:t>2021.</w:t>
      </w:r>
      <w:r w:rsidR="00616FE4" w:rsidRPr="00675182">
        <w:rPr>
          <w:rFonts w:cstheme="minorHAnsi"/>
          <w:bCs/>
        </w:rPr>
        <w:t xml:space="preserve"> un 2022.</w:t>
      </w:r>
      <w:r w:rsidR="000B2370" w:rsidRPr="00675182">
        <w:rPr>
          <w:rFonts w:cstheme="minorHAnsi"/>
          <w:bCs/>
        </w:rPr>
        <w:t xml:space="preserve"> </w:t>
      </w:r>
      <w:r w:rsidRPr="00675182">
        <w:rPr>
          <w:rFonts w:cstheme="minorHAnsi"/>
          <w:bCs/>
        </w:rPr>
        <w:t xml:space="preserve">gadā, lai papildinātu biotopu inventarizācijā iegūto informāciju. </w:t>
      </w:r>
    </w:p>
    <w:p w14:paraId="075C373B" w14:textId="77BF7978" w:rsidR="00430653" w:rsidRPr="00675182" w:rsidRDefault="00430653" w:rsidP="00430653">
      <w:pPr>
        <w:jc w:val="both"/>
        <w:rPr>
          <w:rFonts w:cstheme="minorHAnsi"/>
          <w:bCs/>
        </w:rPr>
      </w:pPr>
    </w:p>
    <w:p w14:paraId="665D6673" w14:textId="249BA01C" w:rsidR="00430653" w:rsidRPr="00675182" w:rsidRDefault="00430653" w:rsidP="00430653">
      <w:pPr>
        <w:jc w:val="both"/>
        <w:rPr>
          <w:rFonts w:cstheme="minorHAnsi"/>
          <w:bCs/>
        </w:rPr>
      </w:pPr>
      <w:r w:rsidRPr="00675182">
        <w:rPr>
          <w:rFonts w:cstheme="minorHAnsi"/>
          <w:bCs/>
        </w:rPr>
        <w:t xml:space="preserve">Teritorijā konstatētie ES </w:t>
      </w:r>
      <w:r w:rsidR="00886FCB">
        <w:rPr>
          <w:rFonts w:cstheme="minorHAnsi"/>
          <w:bCs/>
        </w:rPr>
        <w:t>nozīmes</w:t>
      </w:r>
      <w:r w:rsidR="00886FCB" w:rsidRPr="00675182">
        <w:rPr>
          <w:rFonts w:cstheme="minorHAnsi"/>
          <w:bCs/>
        </w:rPr>
        <w:t xml:space="preserve"> </w:t>
      </w:r>
      <w:r w:rsidRPr="00675182">
        <w:rPr>
          <w:rFonts w:cstheme="minorHAnsi"/>
          <w:bCs/>
        </w:rPr>
        <w:t xml:space="preserve">stāvošu </w:t>
      </w:r>
      <w:r w:rsidR="00E30597" w:rsidRPr="00675182">
        <w:rPr>
          <w:rFonts w:cstheme="minorHAnsi"/>
          <w:bCs/>
        </w:rPr>
        <w:t xml:space="preserve">un tekošu </w:t>
      </w:r>
      <w:r w:rsidRPr="00675182">
        <w:rPr>
          <w:rFonts w:cstheme="minorHAnsi"/>
          <w:bCs/>
        </w:rPr>
        <w:t>saldūdeņu biotopi</w:t>
      </w:r>
      <w:r w:rsidR="00266EDF" w:rsidRPr="00675182">
        <w:rPr>
          <w:rFonts w:cstheme="minorHAnsi"/>
          <w:bCs/>
        </w:rPr>
        <w:t xml:space="preserve"> 18</w:t>
      </w:r>
      <w:r w:rsidR="00615620" w:rsidRPr="00675182">
        <w:rPr>
          <w:rFonts w:cstheme="minorHAnsi"/>
          <w:bCs/>
        </w:rPr>
        <w:t>68</w:t>
      </w:r>
      <w:r w:rsidR="001304BF" w:rsidRPr="00675182">
        <w:rPr>
          <w:rFonts w:cstheme="minorHAnsi"/>
          <w:bCs/>
        </w:rPr>
        <w:t xml:space="preserve"> </w:t>
      </w:r>
      <w:r w:rsidR="00266EDF" w:rsidRPr="00675182">
        <w:rPr>
          <w:rFonts w:cstheme="minorHAnsi"/>
          <w:bCs/>
        </w:rPr>
        <w:t>ha platībā, kas atbilst aptuveni 2 % no GNP teritorijas</w:t>
      </w:r>
      <w:r w:rsidRPr="00675182">
        <w:rPr>
          <w:rFonts w:cstheme="minorHAnsi"/>
          <w:bCs/>
        </w:rPr>
        <w:t xml:space="preserve">: </w:t>
      </w:r>
    </w:p>
    <w:p w14:paraId="2830305B" w14:textId="40ED5898" w:rsidR="00430653" w:rsidRPr="00675182" w:rsidRDefault="00430653" w:rsidP="00F91227">
      <w:pPr>
        <w:pStyle w:val="ListParagraph"/>
        <w:numPr>
          <w:ilvl w:val="0"/>
          <w:numId w:val="6"/>
        </w:numPr>
        <w:jc w:val="both"/>
        <w:rPr>
          <w:rFonts w:cstheme="minorHAnsi"/>
          <w:bCs/>
        </w:rPr>
      </w:pPr>
      <w:r w:rsidRPr="00675182">
        <w:rPr>
          <w:rFonts w:cstheme="minorHAnsi"/>
          <w:bCs/>
        </w:rPr>
        <w:t xml:space="preserve">3130 </w:t>
      </w:r>
      <w:r w:rsidRPr="00675182">
        <w:rPr>
          <w:rFonts w:cstheme="minorHAnsi"/>
          <w:bCs/>
          <w:i/>
          <w:iCs/>
        </w:rPr>
        <w:t>Ezeri ar oligotrofām līdz mezotrofām augu sabiedrībām</w:t>
      </w:r>
      <w:r w:rsidR="00886FCB">
        <w:rPr>
          <w:rFonts w:cstheme="minorHAnsi"/>
          <w:bCs/>
          <w:i/>
          <w:iCs/>
        </w:rPr>
        <w:t xml:space="preserve"> (atbilst Latvijas ĪA biotopam</w:t>
      </w:r>
      <w:r w:rsidR="00886FCB" w:rsidRPr="00886FCB">
        <w:t xml:space="preserve"> </w:t>
      </w:r>
      <w:r w:rsidR="00886FCB" w:rsidRPr="00886FCB">
        <w:rPr>
          <w:rFonts w:cstheme="minorHAnsi"/>
          <w:bCs/>
          <w:i/>
          <w:iCs/>
        </w:rPr>
        <w:t>Ezeri ar oligotrofām līdz mezotrofām augu sabiedrībām</w:t>
      </w:r>
      <w:r w:rsidR="00886FCB">
        <w:rPr>
          <w:rFonts w:cstheme="minorHAnsi"/>
          <w:bCs/>
          <w:i/>
          <w:iCs/>
        </w:rPr>
        <w:t>)</w:t>
      </w:r>
      <w:r w:rsidR="00736725" w:rsidRPr="00675182">
        <w:rPr>
          <w:rFonts w:cstheme="minorHAnsi"/>
          <w:bCs/>
          <w:i/>
          <w:iCs/>
        </w:rPr>
        <w:t>:</w:t>
      </w:r>
    </w:p>
    <w:p w14:paraId="5BBBE015" w14:textId="03FA4E87" w:rsidR="00430653" w:rsidRPr="00675182" w:rsidRDefault="00430653" w:rsidP="00F91227">
      <w:pPr>
        <w:pStyle w:val="ListParagraph"/>
        <w:numPr>
          <w:ilvl w:val="1"/>
          <w:numId w:val="6"/>
        </w:numPr>
        <w:jc w:val="both"/>
        <w:rPr>
          <w:rFonts w:cstheme="minorHAnsi"/>
          <w:bCs/>
        </w:rPr>
      </w:pPr>
      <w:r w:rsidRPr="00675182">
        <w:rPr>
          <w:rFonts w:cstheme="minorHAnsi"/>
          <w:bCs/>
        </w:rPr>
        <w:t xml:space="preserve">3130_1 ezeri, kuru ekosistēmā būtiska loma ir tipiskām klases </w:t>
      </w:r>
      <w:r w:rsidRPr="00675182">
        <w:rPr>
          <w:rFonts w:cstheme="minorHAnsi"/>
          <w:bCs/>
          <w:i/>
          <w:iCs/>
        </w:rPr>
        <w:t xml:space="preserve">Littorelletea </w:t>
      </w:r>
      <w:r w:rsidRPr="00675182">
        <w:rPr>
          <w:rFonts w:cstheme="minorHAnsi"/>
          <w:bCs/>
        </w:rPr>
        <w:t>augu sabiedrībām, ko veido lobēliju-ezereņu komplekss un to pavadošās augu sugas;</w:t>
      </w:r>
    </w:p>
    <w:p w14:paraId="51907B57" w14:textId="20BAE639" w:rsidR="00430653" w:rsidRPr="00675182" w:rsidRDefault="00430653" w:rsidP="00F91227">
      <w:pPr>
        <w:pStyle w:val="ListParagraph"/>
        <w:numPr>
          <w:ilvl w:val="1"/>
          <w:numId w:val="6"/>
        </w:numPr>
        <w:jc w:val="both"/>
        <w:rPr>
          <w:rFonts w:cstheme="minorHAnsi"/>
          <w:bCs/>
        </w:rPr>
      </w:pPr>
      <w:r w:rsidRPr="00675182">
        <w:rPr>
          <w:rFonts w:cstheme="minorHAnsi"/>
          <w:bCs/>
        </w:rPr>
        <w:t>3130_3 semidistrofi ezeri (augsta ūdens krāsainība, zema elektrovadītspēja, pH &gt;5)</w:t>
      </w:r>
      <w:r w:rsidR="00736725" w:rsidRPr="00675182">
        <w:rPr>
          <w:rFonts w:cstheme="minorHAnsi"/>
          <w:bCs/>
        </w:rPr>
        <w:t>;</w:t>
      </w:r>
    </w:p>
    <w:p w14:paraId="2ED8A028" w14:textId="012C2EDB" w:rsidR="00430653" w:rsidRPr="00675182" w:rsidRDefault="00430653" w:rsidP="00F91227">
      <w:pPr>
        <w:pStyle w:val="ListParagraph"/>
        <w:numPr>
          <w:ilvl w:val="0"/>
          <w:numId w:val="6"/>
        </w:numPr>
        <w:jc w:val="both"/>
        <w:rPr>
          <w:rFonts w:cstheme="minorHAnsi"/>
          <w:bCs/>
          <w:i/>
          <w:iCs/>
        </w:rPr>
      </w:pPr>
      <w:r w:rsidRPr="00675182">
        <w:rPr>
          <w:rFonts w:cstheme="minorHAnsi"/>
          <w:bCs/>
        </w:rPr>
        <w:t xml:space="preserve">3140 </w:t>
      </w:r>
      <w:r w:rsidRPr="00675182">
        <w:rPr>
          <w:rFonts w:cstheme="minorHAnsi"/>
          <w:bCs/>
          <w:i/>
          <w:iCs/>
        </w:rPr>
        <w:t>Ezeri ar mieturaļģu augāju</w:t>
      </w:r>
      <w:r w:rsidR="00886FCB">
        <w:rPr>
          <w:rFonts w:cstheme="minorHAnsi"/>
          <w:bCs/>
          <w:i/>
          <w:iCs/>
        </w:rPr>
        <w:t xml:space="preserve"> (</w:t>
      </w:r>
      <w:r w:rsidR="00886FCB" w:rsidRPr="00886FCB">
        <w:rPr>
          <w:rFonts w:cstheme="minorHAnsi"/>
          <w:bCs/>
          <w:i/>
          <w:iCs/>
        </w:rPr>
        <w:t>atbilst Latvijas ĪA biotopam Ezeri ar mieturaļģu Charophyta augāju</w:t>
      </w:r>
      <w:r w:rsidR="00886FCB">
        <w:rPr>
          <w:rFonts w:cstheme="minorHAnsi"/>
          <w:bCs/>
          <w:i/>
          <w:iCs/>
        </w:rPr>
        <w:t>)</w:t>
      </w:r>
      <w:r w:rsidR="00736725" w:rsidRPr="00675182">
        <w:rPr>
          <w:rFonts w:cstheme="minorHAnsi"/>
          <w:bCs/>
          <w:i/>
          <w:iCs/>
        </w:rPr>
        <w:t>;</w:t>
      </w:r>
    </w:p>
    <w:p w14:paraId="4784F96B" w14:textId="7773984A" w:rsidR="00430653" w:rsidRPr="00675182" w:rsidRDefault="00430653" w:rsidP="00F91227">
      <w:pPr>
        <w:pStyle w:val="ListParagraph"/>
        <w:numPr>
          <w:ilvl w:val="0"/>
          <w:numId w:val="6"/>
        </w:numPr>
        <w:jc w:val="both"/>
        <w:rPr>
          <w:rFonts w:cstheme="minorHAnsi"/>
          <w:bCs/>
        </w:rPr>
      </w:pPr>
      <w:r w:rsidRPr="00675182">
        <w:rPr>
          <w:rFonts w:cstheme="minorHAnsi"/>
          <w:bCs/>
        </w:rPr>
        <w:t xml:space="preserve">3150 </w:t>
      </w:r>
      <w:r w:rsidRPr="00675182">
        <w:rPr>
          <w:rFonts w:cstheme="minorHAnsi"/>
          <w:bCs/>
          <w:i/>
          <w:iCs/>
        </w:rPr>
        <w:t>Eitrofi ezeri ar iegrimušo ūdensaugu un peldaugu augāju</w:t>
      </w:r>
      <w:r w:rsidR="00886FCB">
        <w:rPr>
          <w:rFonts w:cstheme="minorHAnsi"/>
          <w:bCs/>
          <w:i/>
          <w:iCs/>
        </w:rPr>
        <w:t xml:space="preserve"> (</w:t>
      </w:r>
      <w:r w:rsidR="00886FCB" w:rsidRPr="00886FCB">
        <w:rPr>
          <w:rFonts w:cstheme="minorHAnsi"/>
          <w:bCs/>
          <w:i/>
          <w:iCs/>
        </w:rPr>
        <w:t>atbilst Latvijas ĪA biotopam Eitrofi ezeri ar iegrimušo ūdensaugu un peldaugu augāju</w:t>
      </w:r>
      <w:r w:rsidR="00AC5350">
        <w:rPr>
          <w:rFonts w:cstheme="minorHAnsi"/>
          <w:bCs/>
          <w:i/>
          <w:iCs/>
        </w:rPr>
        <w:t>)</w:t>
      </w:r>
      <w:r w:rsidR="00736725" w:rsidRPr="00675182">
        <w:rPr>
          <w:rFonts w:cstheme="minorHAnsi"/>
          <w:bCs/>
        </w:rPr>
        <w:t>:</w:t>
      </w:r>
    </w:p>
    <w:p w14:paraId="5361645F" w14:textId="59C90C5C" w:rsidR="00430653" w:rsidRPr="00675182" w:rsidRDefault="00430653" w:rsidP="00F91227">
      <w:pPr>
        <w:pStyle w:val="ListParagraph"/>
        <w:numPr>
          <w:ilvl w:val="1"/>
          <w:numId w:val="6"/>
        </w:numPr>
        <w:jc w:val="both"/>
        <w:rPr>
          <w:rFonts w:cstheme="minorHAnsi"/>
          <w:bCs/>
        </w:rPr>
      </w:pPr>
      <w:r w:rsidRPr="00675182">
        <w:rPr>
          <w:rFonts w:cstheme="minorHAnsi"/>
          <w:bCs/>
        </w:rPr>
        <w:t xml:space="preserve">3150_1 </w:t>
      </w:r>
      <w:bookmarkStart w:id="46" w:name="_Hlk52999129"/>
      <w:r w:rsidRPr="00675182">
        <w:rPr>
          <w:rFonts w:cstheme="minorHAnsi"/>
          <w:bCs/>
        </w:rPr>
        <w:t>dzidrūdens ezeri ar iegrimušo augāju</w:t>
      </w:r>
      <w:bookmarkEnd w:id="46"/>
      <w:r w:rsidRPr="00675182">
        <w:rPr>
          <w:rFonts w:cstheme="minorHAnsi"/>
          <w:bCs/>
        </w:rPr>
        <w:t>;</w:t>
      </w:r>
    </w:p>
    <w:p w14:paraId="5A547CEF" w14:textId="4FF7317D" w:rsidR="00430653" w:rsidRPr="00675182" w:rsidRDefault="00430653" w:rsidP="00F91227">
      <w:pPr>
        <w:pStyle w:val="ListParagraph"/>
        <w:numPr>
          <w:ilvl w:val="1"/>
          <w:numId w:val="6"/>
        </w:numPr>
        <w:jc w:val="both"/>
        <w:rPr>
          <w:rFonts w:cstheme="minorHAnsi"/>
          <w:bCs/>
        </w:rPr>
      </w:pPr>
      <w:bookmarkStart w:id="47" w:name="_Hlk52999091"/>
      <w:r w:rsidRPr="00675182">
        <w:rPr>
          <w:rFonts w:cstheme="minorHAnsi"/>
          <w:bCs/>
        </w:rPr>
        <w:t>3150_2 brūnūdens ezeri ar daudzveidīgu augāju</w:t>
      </w:r>
      <w:bookmarkEnd w:id="47"/>
      <w:r w:rsidRPr="00675182">
        <w:rPr>
          <w:rFonts w:cstheme="minorHAnsi"/>
          <w:bCs/>
        </w:rPr>
        <w:t>;</w:t>
      </w:r>
    </w:p>
    <w:p w14:paraId="7649B04B" w14:textId="573FBA33" w:rsidR="00430653" w:rsidRPr="00675182" w:rsidRDefault="00430653" w:rsidP="00F91227">
      <w:pPr>
        <w:pStyle w:val="ListParagraph"/>
        <w:numPr>
          <w:ilvl w:val="1"/>
          <w:numId w:val="6"/>
        </w:numPr>
        <w:jc w:val="both"/>
        <w:rPr>
          <w:rFonts w:cstheme="minorHAnsi"/>
          <w:bCs/>
        </w:rPr>
      </w:pPr>
      <w:r w:rsidRPr="00675182">
        <w:rPr>
          <w:rFonts w:cstheme="minorHAnsi"/>
          <w:bCs/>
        </w:rPr>
        <w:t xml:space="preserve">3150_3 vecupes (vecupju un atteku izcelsmes ezeri) ar daudzveidīgu, </w:t>
      </w:r>
      <w:r w:rsidRPr="00675182">
        <w:rPr>
          <w:rFonts w:cstheme="minorHAnsi"/>
          <w:bCs/>
        </w:rPr>
        <w:tab/>
        <w:t>eitrofiem ezeriem raksturīgo augāju</w:t>
      </w:r>
      <w:r w:rsidR="00736725" w:rsidRPr="00675182">
        <w:rPr>
          <w:rFonts w:cstheme="minorHAnsi"/>
          <w:bCs/>
        </w:rPr>
        <w:t>;</w:t>
      </w:r>
    </w:p>
    <w:p w14:paraId="03FD146D" w14:textId="65B3E240" w:rsidR="00430653" w:rsidRPr="00675182" w:rsidRDefault="00430653" w:rsidP="00F91227">
      <w:pPr>
        <w:pStyle w:val="ListParagraph"/>
        <w:numPr>
          <w:ilvl w:val="0"/>
          <w:numId w:val="6"/>
        </w:numPr>
        <w:jc w:val="both"/>
        <w:rPr>
          <w:rFonts w:cstheme="minorHAnsi"/>
          <w:bCs/>
        </w:rPr>
      </w:pPr>
      <w:r w:rsidRPr="00675182">
        <w:rPr>
          <w:rFonts w:cstheme="minorHAnsi"/>
          <w:bCs/>
        </w:rPr>
        <w:t xml:space="preserve">3160 </w:t>
      </w:r>
      <w:r w:rsidRPr="00675182">
        <w:rPr>
          <w:rFonts w:cstheme="minorHAnsi"/>
          <w:bCs/>
          <w:i/>
          <w:iCs/>
        </w:rPr>
        <w:t>Distrofi ezeri</w:t>
      </w:r>
      <w:r w:rsidR="00AC5350">
        <w:rPr>
          <w:rFonts w:cstheme="minorHAnsi"/>
          <w:bCs/>
          <w:i/>
          <w:iCs/>
        </w:rPr>
        <w:t xml:space="preserve"> (</w:t>
      </w:r>
      <w:r w:rsidR="00AC5350" w:rsidRPr="00AC5350">
        <w:rPr>
          <w:rFonts w:cstheme="minorHAnsi"/>
          <w:bCs/>
          <w:i/>
          <w:iCs/>
        </w:rPr>
        <w:t xml:space="preserve">atbilst Latvijas ĪA biotopam </w:t>
      </w:r>
      <w:r w:rsidR="00AC5350">
        <w:rPr>
          <w:rFonts w:cstheme="minorHAnsi"/>
          <w:bCs/>
          <w:i/>
          <w:iCs/>
        </w:rPr>
        <w:t>Distrofi ezeri)</w:t>
      </w:r>
      <w:r w:rsidR="00736725" w:rsidRPr="00675182">
        <w:rPr>
          <w:rFonts w:cstheme="minorHAnsi"/>
          <w:bCs/>
        </w:rPr>
        <w:t>;</w:t>
      </w:r>
    </w:p>
    <w:p w14:paraId="2A1CDB8F" w14:textId="6489420B" w:rsidR="00430653" w:rsidRPr="00675182" w:rsidRDefault="00430653" w:rsidP="00F91227">
      <w:pPr>
        <w:pStyle w:val="ListParagraph"/>
        <w:numPr>
          <w:ilvl w:val="0"/>
          <w:numId w:val="6"/>
        </w:numPr>
        <w:jc w:val="both"/>
        <w:rPr>
          <w:rFonts w:cstheme="minorHAnsi"/>
          <w:bCs/>
        </w:rPr>
      </w:pPr>
      <w:bookmarkStart w:id="48" w:name="_Hlk53668777"/>
      <w:r w:rsidRPr="00675182">
        <w:rPr>
          <w:rFonts w:cstheme="minorHAnsi"/>
          <w:bCs/>
        </w:rPr>
        <w:t xml:space="preserve">3260 </w:t>
      </w:r>
      <w:r w:rsidRPr="00675182">
        <w:rPr>
          <w:rFonts w:cstheme="minorHAnsi"/>
          <w:bCs/>
          <w:i/>
          <w:iCs/>
        </w:rPr>
        <w:t>Upju straujteces un dabiski upju posmi</w:t>
      </w:r>
      <w:r w:rsidR="00AC5350" w:rsidRPr="00AC5350">
        <w:t xml:space="preserve"> </w:t>
      </w:r>
      <w:r w:rsidR="00AC5350">
        <w:t>(</w:t>
      </w:r>
      <w:r w:rsidR="00AC5350" w:rsidRPr="00AC5350">
        <w:rPr>
          <w:rFonts w:cstheme="minorHAnsi"/>
          <w:bCs/>
          <w:i/>
          <w:iCs/>
        </w:rPr>
        <w:t>atbilst Latvijas ĪA biotopam</w:t>
      </w:r>
      <w:r w:rsidR="00AC5350">
        <w:rPr>
          <w:rFonts w:cstheme="minorHAnsi"/>
          <w:bCs/>
          <w:i/>
          <w:iCs/>
        </w:rPr>
        <w:t xml:space="preserve"> </w:t>
      </w:r>
      <w:r w:rsidR="00AC5350" w:rsidRPr="00AC5350">
        <w:rPr>
          <w:rFonts w:cstheme="minorHAnsi"/>
          <w:bCs/>
          <w:i/>
          <w:iCs/>
        </w:rPr>
        <w:t>Upju straujteces un dabiski upju posmi</w:t>
      </w:r>
      <w:r w:rsidR="00AC5350">
        <w:rPr>
          <w:rFonts w:cstheme="minorHAnsi"/>
          <w:bCs/>
          <w:i/>
          <w:iCs/>
        </w:rPr>
        <w:t>)</w:t>
      </w:r>
      <w:r w:rsidR="00736725" w:rsidRPr="00675182">
        <w:rPr>
          <w:rFonts w:cstheme="minorHAnsi"/>
          <w:bCs/>
          <w:i/>
          <w:iCs/>
        </w:rPr>
        <w:t>:</w:t>
      </w:r>
    </w:p>
    <w:p w14:paraId="301FBD04" w14:textId="21C07C1A" w:rsidR="00430653" w:rsidRPr="00675182" w:rsidRDefault="00430653" w:rsidP="00F91227">
      <w:pPr>
        <w:pStyle w:val="ListParagraph"/>
        <w:numPr>
          <w:ilvl w:val="1"/>
          <w:numId w:val="6"/>
        </w:numPr>
        <w:jc w:val="both"/>
        <w:rPr>
          <w:rFonts w:cstheme="minorHAnsi"/>
          <w:bCs/>
        </w:rPr>
      </w:pPr>
      <w:r w:rsidRPr="00675182">
        <w:rPr>
          <w:rFonts w:cstheme="minorHAnsi"/>
          <w:bCs/>
        </w:rPr>
        <w:t xml:space="preserve">- 3260_1 </w:t>
      </w:r>
      <w:bookmarkStart w:id="49" w:name="_Hlk56780026"/>
      <w:r w:rsidRPr="00675182">
        <w:rPr>
          <w:rFonts w:cstheme="minorHAnsi"/>
          <w:bCs/>
        </w:rPr>
        <w:t>upju straujteces – upes vai upju posmi ar akmeņainu vai oļainu grunti, kuros straumes ātrums ir lielāks par 0,2 m/s</w:t>
      </w:r>
      <w:bookmarkEnd w:id="49"/>
      <w:r w:rsidRPr="00675182">
        <w:rPr>
          <w:rFonts w:cstheme="minorHAnsi"/>
          <w:bCs/>
        </w:rPr>
        <w:t>;</w:t>
      </w:r>
    </w:p>
    <w:p w14:paraId="4CA3018B" w14:textId="3CA761AA" w:rsidR="00430653" w:rsidRPr="00675182" w:rsidRDefault="00430653" w:rsidP="00F91227">
      <w:pPr>
        <w:pStyle w:val="ListParagraph"/>
        <w:numPr>
          <w:ilvl w:val="1"/>
          <w:numId w:val="6"/>
        </w:numPr>
        <w:jc w:val="both"/>
        <w:rPr>
          <w:rFonts w:cstheme="minorHAnsi"/>
          <w:bCs/>
        </w:rPr>
      </w:pPr>
      <w:r w:rsidRPr="00675182">
        <w:rPr>
          <w:rFonts w:cstheme="minorHAnsi"/>
          <w:bCs/>
        </w:rPr>
        <w:t>3260_2 visas dabiskās upes un upju posmi, kuros vidējais straumes ātrums ir mazāks par 0</w:t>
      </w:r>
      <w:r w:rsidR="00736725" w:rsidRPr="00675182">
        <w:rPr>
          <w:rFonts w:cstheme="minorHAnsi"/>
          <w:bCs/>
        </w:rPr>
        <w:t>,</w:t>
      </w:r>
      <w:r w:rsidRPr="00675182">
        <w:rPr>
          <w:rFonts w:cstheme="minorHAnsi"/>
          <w:bCs/>
        </w:rPr>
        <w:t>2 m/s.</w:t>
      </w:r>
      <w:bookmarkEnd w:id="48"/>
    </w:p>
    <w:p w14:paraId="07A3E2CA" w14:textId="77777777" w:rsidR="00430653" w:rsidRPr="00675182" w:rsidRDefault="00430653" w:rsidP="00430653">
      <w:pPr>
        <w:jc w:val="both"/>
        <w:rPr>
          <w:rFonts w:cstheme="minorHAnsi"/>
          <w:bCs/>
        </w:rPr>
      </w:pPr>
    </w:p>
    <w:p w14:paraId="5E83FD0F" w14:textId="77777777" w:rsidR="00EE728B" w:rsidRPr="00675182" w:rsidRDefault="00EE728B" w:rsidP="002B3341">
      <w:pPr>
        <w:jc w:val="both"/>
        <w:rPr>
          <w:rFonts w:cstheme="minorHAnsi"/>
          <w:b/>
        </w:rPr>
      </w:pPr>
      <w:r w:rsidRPr="00675182">
        <w:rPr>
          <w:rFonts w:cstheme="minorHAnsi"/>
          <w:b/>
        </w:rPr>
        <w:t>Dabas aizsardzības vērtība</w:t>
      </w:r>
    </w:p>
    <w:p w14:paraId="5A5F2AF6" w14:textId="77777777" w:rsidR="00772664" w:rsidRPr="00675182" w:rsidRDefault="00894D79" w:rsidP="00894D79">
      <w:pPr>
        <w:jc w:val="both"/>
        <w:rPr>
          <w:rFonts w:cstheme="minorHAnsi"/>
          <w:bCs/>
        </w:rPr>
      </w:pPr>
      <w:r w:rsidRPr="00675182">
        <w:rPr>
          <w:rFonts w:cstheme="minorHAnsi"/>
          <w:bCs/>
        </w:rPr>
        <w:t xml:space="preserve">Ezeri GNP </w:t>
      </w:r>
      <w:r w:rsidR="00CC42CB" w:rsidRPr="00675182">
        <w:rPr>
          <w:rFonts w:cstheme="minorHAnsi"/>
          <w:bCs/>
        </w:rPr>
        <w:t xml:space="preserve">teritorijā </w:t>
      </w:r>
      <w:r w:rsidRPr="00675182">
        <w:rPr>
          <w:rFonts w:cstheme="minorHAnsi"/>
          <w:bCs/>
        </w:rPr>
        <w:t xml:space="preserve">ir ledāju izcelsmes – starppauguru ieplaku un subglaciālo iegultņu ezeri, kā arī purvu un vecupju ezeri. Pirmie pētījumi </w:t>
      </w:r>
      <w:r w:rsidR="00CC42CB" w:rsidRPr="00675182">
        <w:rPr>
          <w:rFonts w:cstheme="minorHAnsi"/>
          <w:bCs/>
        </w:rPr>
        <w:t xml:space="preserve">ezeros </w:t>
      </w:r>
      <w:r w:rsidRPr="00675182">
        <w:rPr>
          <w:rFonts w:cstheme="minorHAnsi"/>
          <w:bCs/>
        </w:rPr>
        <w:t xml:space="preserve">GNP </w:t>
      </w:r>
      <w:r w:rsidR="00CC42CB" w:rsidRPr="00675182">
        <w:rPr>
          <w:rFonts w:cstheme="minorHAnsi"/>
          <w:bCs/>
        </w:rPr>
        <w:t xml:space="preserve">teritorijā </w:t>
      </w:r>
      <w:r w:rsidRPr="00675182">
        <w:rPr>
          <w:rFonts w:cstheme="minorHAnsi"/>
          <w:bCs/>
        </w:rPr>
        <w:t>veikti 19. gs.</w:t>
      </w:r>
      <w:r w:rsidR="00CC42CB" w:rsidRPr="00675182">
        <w:rPr>
          <w:rFonts w:cstheme="minorHAnsi"/>
          <w:bCs/>
        </w:rPr>
        <w:t xml:space="preserve"> –</w:t>
      </w:r>
      <w:r w:rsidRPr="00675182">
        <w:rPr>
          <w:rFonts w:cstheme="minorHAnsi"/>
          <w:bCs/>
        </w:rPr>
        <w:t xml:space="preserve"> pieejami materiāli par reto augu atradnēm ūdeņos, 1927. gadā publicēti dati par aļģu pētījumiem Latvijas ezeros, tostarp Zviedru ezerā</w:t>
      </w:r>
      <w:r w:rsidR="00CC42CB" w:rsidRPr="00675182">
        <w:rPr>
          <w:rFonts w:cstheme="minorHAnsi"/>
          <w:bCs/>
        </w:rPr>
        <w:t xml:space="preserve"> (</w:t>
      </w:r>
      <w:r w:rsidR="00CC42CB" w:rsidRPr="00675182">
        <w:rPr>
          <w:rFonts w:cstheme="minorHAnsi"/>
        </w:rPr>
        <w:t>LU Botāniskā dārza raksti</w:t>
      </w:r>
      <w:r w:rsidR="00CC42CB" w:rsidRPr="00675182">
        <w:rPr>
          <w:rFonts w:cstheme="minorHAnsi"/>
          <w:bCs/>
        </w:rPr>
        <w:t>, 1927).</w:t>
      </w:r>
    </w:p>
    <w:p w14:paraId="6BD4233B" w14:textId="77777777" w:rsidR="00772664" w:rsidRPr="00675182" w:rsidRDefault="00772664" w:rsidP="00894D79">
      <w:pPr>
        <w:jc w:val="both"/>
        <w:rPr>
          <w:rFonts w:cstheme="minorHAnsi"/>
          <w:bCs/>
        </w:rPr>
      </w:pPr>
    </w:p>
    <w:p w14:paraId="6CDB4997" w14:textId="133FA228" w:rsidR="00894D79" w:rsidRPr="00675182" w:rsidRDefault="00894D79" w:rsidP="00894D79">
      <w:pPr>
        <w:jc w:val="both"/>
        <w:rPr>
          <w:rFonts w:cstheme="minorHAnsi"/>
          <w:bCs/>
        </w:rPr>
      </w:pPr>
      <w:r w:rsidRPr="00675182">
        <w:rPr>
          <w:rFonts w:cstheme="minorHAnsi"/>
          <w:bCs/>
        </w:rPr>
        <w:t xml:space="preserve">Vislielākā reto sugu daudzveidība aprakstīta Niniera ezerā: “Nelielajā Niniera ezeriņā atrodams mūsu dzidro, sālīm nabago ezeru sīkais paparžaugs </w:t>
      </w:r>
      <w:r w:rsidRPr="00675182">
        <w:rPr>
          <w:rFonts w:cstheme="minorHAnsi"/>
          <w:bCs/>
          <w:i/>
          <w:iCs/>
        </w:rPr>
        <w:t>Isoetes lacustre</w:t>
      </w:r>
      <w:r w:rsidRPr="00675182">
        <w:rPr>
          <w:rFonts w:cstheme="minorHAnsi"/>
          <w:bCs/>
        </w:rPr>
        <w:t xml:space="preserve"> (bumbuļveida stublāju un smailām, īlēnveidīgām lapām), kā arī tā pavadoņi: ezeru lobelija </w:t>
      </w:r>
      <w:r w:rsidRPr="00675182">
        <w:rPr>
          <w:rFonts w:cstheme="minorHAnsi"/>
          <w:bCs/>
          <w:i/>
          <w:iCs/>
        </w:rPr>
        <w:t>Lobelia dortmanna</w:t>
      </w:r>
      <w:r w:rsidRPr="00675182">
        <w:rPr>
          <w:rFonts w:cstheme="minorHAnsi"/>
          <w:bCs/>
        </w:rPr>
        <w:t xml:space="preserve">, sīkās lēpas </w:t>
      </w:r>
      <w:r w:rsidRPr="00675182">
        <w:rPr>
          <w:rFonts w:cstheme="minorHAnsi"/>
          <w:bCs/>
          <w:i/>
          <w:iCs/>
        </w:rPr>
        <w:t>Nuphar pumilum</w:t>
      </w:r>
      <w:r w:rsidRPr="00675182">
        <w:rPr>
          <w:rFonts w:cstheme="minorHAnsi"/>
          <w:bCs/>
        </w:rPr>
        <w:t xml:space="preserve">, ežgalvītes </w:t>
      </w:r>
      <w:r w:rsidRPr="00675182">
        <w:rPr>
          <w:rFonts w:cstheme="minorHAnsi"/>
          <w:bCs/>
          <w:i/>
          <w:iCs/>
        </w:rPr>
        <w:t>Sparganium affine</w:t>
      </w:r>
      <w:r w:rsidRPr="00675182">
        <w:rPr>
          <w:rFonts w:cstheme="minorHAnsi"/>
          <w:bCs/>
        </w:rPr>
        <w:t xml:space="preserve">, litorella </w:t>
      </w:r>
      <w:r w:rsidRPr="00675182">
        <w:rPr>
          <w:rFonts w:cstheme="minorHAnsi"/>
          <w:bCs/>
          <w:i/>
          <w:iCs/>
        </w:rPr>
        <w:t>Litorella lacustris</w:t>
      </w:r>
      <w:r w:rsidRPr="00675182">
        <w:rPr>
          <w:rFonts w:cstheme="minorHAnsi"/>
          <w:bCs/>
        </w:rPr>
        <w:t xml:space="preserve">, rāpojošā gundega </w:t>
      </w:r>
      <w:r w:rsidRPr="00675182">
        <w:rPr>
          <w:rFonts w:cstheme="minorHAnsi"/>
          <w:bCs/>
          <w:i/>
          <w:iCs/>
        </w:rPr>
        <w:t>Ranunculus reptans</w:t>
      </w:r>
      <w:r w:rsidRPr="00675182">
        <w:rPr>
          <w:rFonts w:cstheme="minorHAnsi"/>
          <w:bCs/>
        </w:rPr>
        <w:t>” (</w:t>
      </w:r>
      <w:r w:rsidR="00CC42CB" w:rsidRPr="00675182">
        <w:rPr>
          <w:rFonts w:cstheme="minorHAnsi"/>
        </w:rPr>
        <w:t xml:space="preserve">Daba un Zinātne, 1939; </w:t>
      </w:r>
      <w:r w:rsidRPr="00675182">
        <w:rPr>
          <w:rFonts w:cstheme="minorHAnsi"/>
          <w:bCs/>
        </w:rPr>
        <w:t>saglabāta avota rakstība).</w:t>
      </w:r>
    </w:p>
    <w:p w14:paraId="33A32529" w14:textId="77777777" w:rsidR="00894D79" w:rsidRPr="00675182" w:rsidRDefault="00894D79" w:rsidP="00894D79">
      <w:pPr>
        <w:jc w:val="both"/>
        <w:rPr>
          <w:rFonts w:cstheme="minorHAnsi"/>
          <w:bCs/>
        </w:rPr>
      </w:pPr>
    </w:p>
    <w:p w14:paraId="14D560C0" w14:textId="065EC117" w:rsidR="00894D79" w:rsidRPr="00675182" w:rsidRDefault="00894D79" w:rsidP="00894D79">
      <w:pPr>
        <w:jc w:val="both"/>
        <w:rPr>
          <w:rFonts w:cstheme="minorHAnsi"/>
          <w:bCs/>
        </w:rPr>
      </w:pPr>
      <w:r w:rsidRPr="00675182">
        <w:rPr>
          <w:rFonts w:cstheme="minorHAnsi"/>
          <w:bCs/>
        </w:rPr>
        <w:lastRenderedPageBreak/>
        <w:t>Neskaitot vecupes, GNP teritorijā ir 48 dabiskas izcelsmes ezeri, kas lielāki par 1 ha (</w:t>
      </w:r>
      <w:r w:rsidR="00CC42CB" w:rsidRPr="00675182">
        <w:rPr>
          <w:rFonts w:cstheme="minorHAnsi"/>
          <w:bCs/>
        </w:rPr>
        <w:t>skat. 2.3.</w:t>
      </w:r>
      <w:r w:rsidR="00162901" w:rsidRPr="00675182">
        <w:rPr>
          <w:rFonts w:cstheme="minorHAnsi"/>
          <w:bCs/>
        </w:rPr>
        <w:t>3</w:t>
      </w:r>
      <w:r w:rsidR="00CC42CB" w:rsidRPr="00675182">
        <w:rPr>
          <w:rFonts w:cstheme="minorHAnsi"/>
          <w:bCs/>
        </w:rPr>
        <w:t xml:space="preserve">. </w:t>
      </w:r>
      <w:r w:rsidRPr="00675182">
        <w:rPr>
          <w:rFonts w:cstheme="minorHAnsi"/>
          <w:bCs/>
        </w:rPr>
        <w:t>tabul</w:t>
      </w:r>
      <w:r w:rsidR="00CC42CB" w:rsidRPr="00675182">
        <w:rPr>
          <w:rFonts w:cstheme="minorHAnsi"/>
          <w:bCs/>
        </w:rPr>
        <w:t>u</w:t>
      </w:r>
      <w:r w:rsidRPr="00675182">
        <w:rPr>
          <w:rFonts w:cstheme="minorHAnsi"/>
          <w:bCs/>
        </w:rPr>
        <w:t xml:space="preserve">). </w:t>
      </w:r>
    </w:p>
    <w:p w14:paraId="6B2240D7" w14:textId="49BB336E" w:rsidR="00CC42CB" w:rsidRPr="00675182" w:rsidRDefault="00E3521C" w:rsidP="00266EDF">
      <w:pPr>
        <w:keepNext/>
        <w:keepLines/>
        <w:jc w:val="both"/>
        <w:rPr>
          <w:rFonts w:cstheme="minorHAnsi"/>
          <w:b/>
          <w:i/>
          <w:iCs/>
        </w:rPr>
      </w:pPr>
      <w:r w:rsidRPr="00675182">
        <w:rPr>
          <w:rFonts w:cstheme="minorHAnsi"/>
          <w:b/>
          <w:i/>
          <w:iCs/>
        </w:rPr>
        <w:t>2.3</w:t>
      </w:r>
      <w:r w:rsidR="00CC42CB" w:rsidRPr="00675182">
        <w:rPr>
          <w:rFonts w:cstheme="minorHAnsi"/>
          <w:b/>
          <w:i/>
          <w:iCs/>
        </w:rPr>
        <w:t>.</w:t>
      </w:r>
      <w:r w:rsidR="00162901" w:rsidRPr="00675182">
        <w:rPr>
          <w:rFonts w:cstheme="minorHAnsi"/>
          <w:b/>
          <w:i/>
          <w:iCs/>
        </w:rPr>
        <w:t>3</w:t>
      </w:r>
      <w:r w:rsidR="00CC42CB" w:rsidRPr="00675182">
        <w:rPr>
          <w:rFonts w:cstheme="minorHAnsi"/>
          <w:b/>
          <w:i/>
          <w:iCs/>
        </w:rPr>
        <w:t>. tabula. GNP Ezeru platība, biotopu kvalitāte un reto sugu skaits (izņemot vecupes)</w:t>
      </w:r>
    </w:p>
    <w:tbl>
      <w:tblPr>
        <w:tblW w:w="8407" w:type="dxa"/>
        <w:tblInd w:w="93" w:type="dxa"/>
        <w:tblLook w:val="04A0" w:firstRow="1" w:lastRow="0" w:firstColumn="1" w:lastColumn="0" w:noHBand="0" w:noVBand="1"/>
      </w:tblPr>
      <w:tblGrid>
        <w:gridCol w:w="3021"/>
        <w:gridCol w:w="1843"/>
        <w:gridCol w:w="1324"/>
        <w:gridCol w:w="992"/>
        <w:gridCol w:w="1227"/>
      </w:tblGrid>
      <w:tr w:rsidR="00CC42CB" w:rsidRPr="00675182" w14:paraId="2AEAA63C" w14:textId="77777777" w:rsidTr="00635FB1">
        <w:trPr>
          <w:trHeight w:val="300"/>
          <w:tblHeader/>
        </w:trPr>
        <w:tc>
          <w:tcPr>
            <w:tcW w:w="3021"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1C1E6E1F" w14:textId="77777777" w:rsidR="00CC42CB" w:rsidRPr="00675182" w:rsidRDefault="00CC42CB" w:rsidP="00D1160C">
            <w:pPr>
              <w:keepNext/>
              <w:keepLines/>
              <w:suppressAutoHyphens w:val="0"/>
              <w:jc w:val="center"/>
              <w:rPr>
                <w:rFonts w:eastAsia="Times New Roman" w:cstheme="minorHAnsi"/>
                <w:b/>
                <w:bCs/>
                <w:color w:val="000000"/>
                <w:szCs w:val="24"/>
                <w:lang w:eastAsia="en-GB"/>
              </w:rPr>
            </w:pPr>
            <w:bookmarkStart w:id="50" w:name="_Hlk52818399"/>
            <w:r w:rsidRPr="00675182">
              <w:rPr>
                <w:rFonts w:eastAsia="Times New Roman" w:cstheme="minorHAnsi"/>
                <w:b/>
                <w:bCs/>
                <w:color w:val="000000"/>
                <w:szCs w:val="24"/>
                <w:lang w:eastAsia="en-GB"/>
              </w:rPr>
              <w:t>Ezera nosaukums</w:t>
            </w:r>
          </w:p>
        </w:tc>
        <w:tc>
          <w:tcPr>
            <w:tcW w:w="1843" w:type="dxa"/>
            <w:tcBorders>
              <w:top w:val="single" w:sz="4" w:space="0" w:color="auto"/>
              <w:left w:val="nil"/>
              <w:bottom w:val="single" w:sz="4" w:space="0" w:color="auto"/>
              <w:right w:val="single" w:sz="4" w:space="0" w:color="auto"/>
            </w:tcBorders>
            <w:shd w:val="clear" w:color="auto" w:fill="D8E4BC"/>
            <w:noWrap/>
            <w:vAlign w:val="center"/>
            <w:hideMark/>
          </w:tcPr>
          <w:p w14:paraId="56735209" w14:textId="77777777" w:rsidR="00CC42CB" w:rsidRPr="00675182" w:rsidRDefault="00CC42CB" w:rsidP="00D1160C">
            <w:pPr>
              <w:keepNext/>
              <w:keepLines/>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Biotopa kods_ variants</w:t>
            </w:r>
          </w:p>
        </w:tc>
        <w:tc>
          <w:tcPr>
            <w:tcW w:w="1324" w:type="dxa"/>
            <w:tcBorders>
              <w:top w:val="single" w:sz="4" w:space="0" w:color="auto"/>
              <w:left w:val="nil"/>
              <w:bottom w:val="single" w:sz="4" w:space="0" w:color="auto"/>
              <w:right w:val="single" w:sz="4" w:space="0" w:color="auto"/>
            </w:tcBorders>
            <w:shd w:val="clear" w:color="auto" w:fill="D8E4BC"/>
            <w:vAlign w:val="center"/>
            <w:hideMark/>
          </w:tcPr>
          <w:p w14:paraId="211EF4A5" w14:textId="3FA1B878" w:rsidR="00CC42CB" w:rsidRPr="00675182" w:rsidRDefault="00CC42CB" w:rsidP="00D1160C">
            <w:pPr>
              <w:keepNext/>
              <w:keepLines/>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Biotopa kvalitāte</w:t>
            </w:r>
            <w:r w:rsidR="00F549AC" w:rsidRPr="00675182">
              <w:rPr>
                <w:rStyle w:val="FootnoteReference"/>
                <w:rFonts w:eastAsia="Times New Roman" w:cstheme="minorHAnsi"/>
                <w:b/>
                <w:bCs/>
                <w:color w:val="000000"/>
                <w:szCs w:val="24"/>
                <w:lang w:eastAsia="en-GB"/>
              </w:rPr>
              <w:footnoteReference w:id="12"/>
            </w:r>
          </w:p>
        </w:tc>
        <w:tc>
          <w:tcPr>
            <w:tcW w:w="992" w:type="dxa"/>
            <w:tcBorders>
              <w:top w:val="single" w:sz="4" w:space="0" w:color="auto"/>
              <w:left w:val="nil"/>
              <w:bottom w:val="single" w:sz="4" w:space="0" w:color="auto"/>
              <w:right w:val="single" w:sz="4" w:space="0" w:color="auto"/>
            </w:tcBorders>
            <w:shd w:val="clear" w:color="auto" w:fill="D8E4BC"/>
            <w:vAlign w:val="center"/>
            <w:hideMark/>
          </w:tcPr>
          <w:p w14:paraId="3B9C1B75" w14:textId="77777777" w:rsidR="00CC42CB" w:rsidRPr="00675182" w:rsidRDefault="00CC42CB" w:rsidP="00D1160C">
            <w:pPr>
              <w:keepNext/>
              <w:keepLines/>
              <w:suppressAutoHyphens w:val="0"/>
              <w:jc w:val="center"/>
              <w:rPr>
                <w:rFonts w:eastAsia="Times New Roman" w:cstheme="minorHAnsi"/>
                <w:b/>
                <w:bCs/>
                <w:color w:val="000000"/>
                <w:szCs w:val="24"/>
                <w:vertAlign w:val="superscript"/>
                <w:lang w:eastAsia="en-GB"/>
              </w:rPr>
            </w:pPr>
            <w:r w:rsidRPr="00675182">
              <w:rPr>
                <w:rFonts w:eastAsia="Times New Roman" w:cstheme="minorHAnsi"/>
                <w:b/>
                <w:bCs/>
                <w:color w:val="000000"/>
                <w:szCs w:val="24"/>
                <w:lang w:eastAsia="en-GB"/>
              </w:rPr>
              <w:t>Platība</w:t>
            </w:r>
            <w:r w:rsidRPr="00675182">
              <w:rPr>
                <w:rFonts w:eastAsia="Times New Roman" w:cstheme="minorHAnsi"/>
                <w:b/>
                <w:bCs/>
                <w:color w:val="000000"/>
                <w:szCs w:val="24"/>
                <w:vertAlign w:val="superscript"/>
                <w:lang w:eastAsia="en-GB"/>
              </w:rPr>
              <w:t>1</w:t>
            </w:r>
          </w:p>
        </w:tc>
        <w:tc>
          <w:tcPr>
            <w:tcW w:w="1227" w:type="dxa"/>
            <w:tcBorders>
              <w:top w:val="single" w:sz="4" w:space="0" w:color="auto"/>
              <w:left w:val="single" w:sz="4" w:space="0" w:color="auto"/>
              <w:bottom w:val="single" w:sz="4" w:space="0" w:color="auto"/>
              <w:right w:val="single" w:sz="4" w:space="0" w:color="auto"/>
            </w:tcBorders>
            <w:shd w:val="clear" w:color="auto" w:fill="D8E4BC"/>
            <w:vAlign w:val="center"/>
            <w:hideMark/>
          </w:tcPr>
          <w:p w14:paraId="6ED63636" w14:textId="77777777" w:rsidR="00CC42CB" w:rsidRPr="00675182" w:rsidRDefault="00CC42CB" w:rsidP="00D1160C">
            <w:pPr>
              <w:keepNext/>
              <w:keepLines/>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Reto sugu skaits</w:t>
            </w:r>
          </w:p>
        </w:tc>
      </w:tr>
      <w:tr w:rsidR="00CC42CB" w:rsidRPr="00675182" w14:paraId="1466D64C"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06F825F0" w14:textId="77777777" w:rsidR="00CC42CB" w:rsidRPr="00675182" w:rsidRDefault="00CC42CB">
            <w:pPr>
              <w:rPr>
                <w:rFonts w:cstheme="minorHAnsi"/>
                <w:color w:val="000000"/>
                <w:szCs w:val="24"/>
              </w:rPr>
            </w:pPr>
            <w:r w:rsidRPr="00675182">
              <w:rPr>
                <w:rFonts w:cstheme="minorHAnsi"/>
              </w:rPr>
              <w:t>Ninieris</w:t>
            </w:r>
          </w:p>
        </w:tc>
        <w:tc>
          <w:tcPr>
            <w:tcW w:w="1843" w:type="dxa"/>
            <w:tcBorders>
              <w:top w:val="single" w:sz="8" w:space="0" w:color="auto"/>
              <w:left w:val="nil"/>
              <w:bottom w:val="single" w:sz="8" w:space="0" w:color="auto"/>
              <w:right w:val="single" w:sz="8" w:space="0" w:color="auto"/>
            </w:tcBorders>
            <w:noWrap/>
            <w:vAlign w:val="center"/>
            <w:hideMark/>
          </w:tcPr>
          <w:p w14:paraId="78D42F5E" w14:textId="77777777" w:rsidR="00CC42CB" w:rsidRPr="00675182" w:rsidRDefault="00CC42CB" w:rsidP="00595C7E">
            <w:pPr>
              <w:jc w:val="center"/>
              <w:rPr>
                <w:rFonts w:cstheme="minorHAnsi"/>
                <w:color w:val="000000"/>
                <w:szCs w:val="24"/>
              </w:rPr>
            </w:pPr>
            <w:r w:rsidRPr="00675182">
              <w:rPr>
                <w:rFonts w:cstheme="minorHAnsi"/>
              </w:rPr>
              <w:t>3130_1</w:t>
            </w:r>
          </w:p>
        </w:tc>
        <w:tc>
          <w:tcPr>
            <w:tcW w:w="1324" w:type="dxa"/>
            <w:tcBorders>
              <w:top w:val="single" w:sz="8" w:space="0" w:color="auto"/>
              <w:left w:val="nil"/>
              <w:bottom w:val="single" w:sz="8" w:space="0" w:color="auto"/>
              <w:right w:val="single" w:sz="4" w:space="0" w:color="auto"/>
            </w:tcBorders>
            <w:shd w:val="clear" w:color="auto" w:fill="FFFF00"/>
            <w:vAlign w:val="center"/>
            <w:hideMark/>
          </w:tcPr>
          <w:p w14:paraId="7F2A186A"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F790AC" w14:textId="77777777" w:rsidR="00CC42CB" w:rsidRPr="00675182" w:rsidRDefault="00CC42CB" w:rsidP="00595C7E">
            <w:pPr>
              <w:jc w:val="center"/>
              <w:rPr>
                <w:rFonts w:cstheme="minorHAnsi"/>
              </w:rPr>
            </w:pPr>
            <w:r w:rsidRPr="00675182">
              <w:rPr>
                <w:rFonts w:cstheme="minorHAnsi"/>
              </w:rPr>
              <w:t>12,4</w:t>
            </w:r>
          </w:p>
        </w:tc>
        <w:tc>
          <w:tcPr>
            <w:tcW w:w="1227" w:type="dxa"/>
            <w:tcBorders>
              <w:top w:val="single" w:sz="8" w:space="0" w:color="auto"/>
              <w:left w:val="single" w:sz="4" w:space="0" w:color="auto"/>
              <w:bottom w:val="single" w:sz="8" w:space="0" w:color="auto"/>
              <w:right w:val="single" w:sz="8" w:space="0" w:color="auto"/>
            </w:tcBorders>
            <w:vAlign w:val="center"/>
            <w:hideMark/>
          </w:tcPr>
          <w:p w14:paraId="1075DB32" w14:textId="77777777" w:rsidR="00CC42CB" w:rsidRPr="00675182" w:rsidRDefault="00CC42CB" w:rsidP="00595C7E">
            <w:pPr>
              <w:jc w:val="center"/>
              <w:rPr>
                <w:rFonts w:cstheme="minorHAnsi"/>
                <w:color w:val="000000"/>
                <w:szCs w:val="24"/>
              </w:rPr>
            </w:pPr>
            <w:r w:rsidRPr="00675182">
              <w:rPr>
                <w:rFonts w:cstheme="minorHAnsi"/>
              </w:rPr>
              <w:t>2</w:t>
            </w:r>
          </w:p>
        </w:tc>
      </w:tr>
      <w:tr w:rsidR="00CC42CB" w:rsidRPr="00675182" w14:paraId="5E0204E6"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4837DFE0" w14:textId="77777777" w:rsidR="00CC42CB" w:rsidRPr="00675182" w:rsidRDefault="00CC42CB">
            <w:pPr>
              <w:rPr>
                <w:rFonts w:cstheme="minorHAnsi"/>
                <w:color w:val="000000"/>
                <w:szCs w:val="24"/>
              </w:rPr>
            </w:pPr>
            <w:r w:rsidRPr="00675182">
              <w:rPr>
                <w:rFonts w:cstheme="minorHAnsi"/>
              </w:rPr>
              <w:t>Ungurs</w:t>
            </w:r>
          </w:p>
        </w:tc>
        <w:tc>
          <w:tcPr>
            <w:tcW w:w="1843" w:type="dxa"/>
            <w:tcBorders>
              <w:top w:val="nil"/>
              <w:left w:val="nil"/>
              <w:bottom w:val="single" w:sz="8" w:space="0" w:color="auto"/>
              <w:right w:val="single" w:sz="8" w:space="0" w:color="auto"/>
            </w:tcBorders>
            <w:noWrap/>
            <w:vAlign w:val="center"/>
            <w:hideMark/>
          </w:tcPr>
          <w:p w14:paraId="22946C0B" w14:textId="77777777" w:rsidR="00CC42CB" w:rsidRPr="00675182" w:rsidRDefault="00CC42CB" w:rsidP="00595C7E">
            <w:pPr>
              <w:jc w:val="center"/>
              <w:rPr>
                <w:rFonts w:cstheme="minorHAnsi"/>
                <w:color w:val="000000"/>
                <w:szCs w:val="24"/>
              </w:rPr>
            </w:pPr>
            <w:r w:rsidRPr="00675182">
              <w:rPr>
                <w:rFonts w:cstheme="minorHAnsi"/>
              </w:rPr>
              <w:t>3130_1/3130_3</w:t>
            </w:r>
          </w:p>
        </w:tc>
        <w:tc>
          <w:tcPr>
            <w:tcW w:w="1324" w:type="dxa"/>
            <w:tcBorders>
              <w:top w:val="nil"/>
              <w:left w:val="nil"/>
              <w:bottom w:val="single" w:sz="8" w:space="0" w:color="auto"/>
              <w:right w:val="single" w:sz="4" w:space="0" w:color="auto"/>
            </w:tcBorders>
            <w:shd w:val="clear" w:color="auto" w:fill="92D050"/>
            <w:vAlign w:val="center"/>
            <w:hideMark/>
          </w:tcPr>
          <w:p w14:paraId="3301A967"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CCB23A" w14:textId="77777777" w:rsidR="00CC42CB" w:rsidRPr="00675182" w:rsidRDefault="00CC42CB" w:rsidP="00595C7E">
            <w:pPr>
              <w:jc w:val="center"/>
              <w:rPr>
                <w:rFonts w:cstheme="minorHAnsi"/>
              </w:rPr>
            </w:pPr>
            <w:r w:rsidRPr="00675182">
              <w:rPr>
                <w:rFonts w:cstheme="minorHAnsi"/>
              </w:rPr>
              <w:t>393,6</w:t>
            </w:r>
          </w:p>
        </w:tc>
        <w:tc>
          <w:tcPr>
            <w:tcW w:w="1227" w:type="dxa"/>
            <w:tcBorders>
              <w:top w:val="nil"/>
              <w:left w:val="single" w:sz="4" w:space="0" w:color="auto"/>
              <w:bottom w:val="single" w:sz="8" w:space="0" w:color="auto"/>
              <w:right w:val="single" w:sz="8" w:space="0" w:color="auto"/>
            </w:tcBorders>
            <w:vAlign w:val="center"/>
            <w:hideMark/>
          </w:tcPr>
          <w:p w14:paraId="04DE44CC" w14:textId="77777777" w:rsidR="00CC42CB" w:rsidRPr="00675182" w:rsidRDefault="00CC42CB" w:rsidP="00595C7E">
            <w:pPr>
              <w:jc w:val="center"/>
              <w:rPr>
                <w:rFonts w:cstheme="minorHAnsi"/>
                <w:color w:val="000000"/>
                <w:szCs w:val="24"/>
              </w:rPr>
            </w:pPr>
            <w:r w:rsidRPr="00675182">
              <w:rPr>
                <w:rFonts w:cstheme="minorHAnsi"/>
              </w:rPr>
              <w:t>3</w:t>
            </w:r>
          </w:p>
        </w:tc>
      </w:tr>
      <w:tr w:rsidR="00CC42CB" w:rsidRPr="00675182" w14:paraId="40F99F38"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0E82CDA4" w14:textId="77777777" w:rsidR="00CC42CB" w:rsidRPr="00675182" w:rsidRDefault="00CC42CB">
            <w:pPr>
              <w:rPr>
                <w:rFonts w:cstheme="minorHAnsi"/>
                <w:color w:val="000000"/>
                <w:szCs w:val="24"/>
              </w:rPr>
            </w:pPr>
            <w:r w:rsidRPr="00675182">
              <w:rPr>
                <w:rFonts w:cstheme="minorHAnsi"/>
              </w:rPr>
              <w:t>Driškins</w:t>
            </w:r>
          </w:p>
        </w:tc>
        <w:tc>
          <w:tcPr>
            <w:tcW w:w="1843" w:type="dxa"/>
            <w:tcBorders>
              <w:top w:val="nil"/>
              <w:left w:val="nil"/>
              <w:bottom w:val="single" w:sz="8" w:space="0" w:color="auto"/>
              <w:right w:val="single" w:sz="8" w:space="0" w:color="auto"/>
            </w:tcBorders>
            <w:noWrap/>
            <w:vAlign w:val="center"/>
            <w:hideMark/>
          </w:tcPr>
          <w:p w14:paraId="4B17B723" w14:textId="77777777" w:rsidR="00CC42CB" w:rsidRPr="00675182" w:rsidRDefault="00CC42CB" w:rsidP="00595C7E">
            <w:pPr>
              <w:jc w:val="center"/>
              <w:rPr>
                <w:rFonts w:cstheme="minorHAnsi"/>
                <w:color w:val="000000"/>
                <w:szCs w:val="24"/>
              </w:rPr>
            </w:pPr>
            <w:r w:rsidRPr="00675182">
              <w:rPr>
                <w:rFonts w:cstheme="minorHAnsi"/>
              </w:rPr>
              <w:t>3130_3</w:t>
            </w:r>
          </w:p>
        </w:tc>
        <w:tc>
          <w:tcPr>
            <w:tcW w:w="1324" w:type="dxa"/>
            <w:tcBorders>
              <w:top w:val="nil"/>
              <w:left w:val="nil"/>
              <w:bottom w:val="single" w:sz="8" w:space="0" w:color="auto"/>
              <w:right w:val="single" w:sz="4" w:space="0" w:color="auto"/>
            </w:tcBorders>
            <w:shd w:val="clear" w:color="auto" w:fill="FFFF00"/>
            <w:vAlign w:val="center"/>
            <w:hideMark/>
          </w:tcPr>
          <w:p w14:paraId="67D99A25"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FB74E1" w14:textId="77777777" w:rsidR="00CC42CB" w:rsidRPr="00675182" w:rsidRDefault="00CC42CB" w:rsidP="00595C7E">
            <w:pPr>
              <w:jc w:val="center"/>
              <w:rPr>
                <w:rFonts w:cstheme="minorHAnsi"/>
              </w:rPr>
            </w:pPr>
            <w:r w:rsidRPr="00675182">
              <w:rPr>
                <w:rFonts w:cstheme="minorHAnsi"/>
              </w:rPr>
              <w:t>17,7</w:t>
            </w:r>
          </w:p>
        </w:tc>
        <w:tc>
          <w:tcPr>
            <w:tcW w:w="1227" w:type="dxa"/>
            <w:tcBorders>
              <w:top w:val="nil"/>
              <w:left w:val="single" w:sz="4" w:space="0" w:color="auto"/>
              <w:bottom w:val="single" w:sz="8" w:space="0" w:color="auto"/>
              <w:right w:val="single" w:sz="8" w:space="0" w:color="auto"/>
            </w:tcBorders>
            <w:vAlign w:val="center"/>
            <w:hideMark/>
          </w:tcPr>
          <w:p w14:paraId="46BFA3BF" w14:textId="77777777" w:rsidR="00CC42CB" w:rsidRPr="00675182" w:rsidRDefault="00CC42CB" w:rsidP="00595C7E">
            <w:pPr>
              <w:jc w:val="center"/>
              <w:rPr>
                <w:rFonts w:cstheme="minorHAnsi"/>
                <w:color w:val="000000"/>
                <w:szCs w:val="24"/>
              </w:rPr>
            </w:pPr>
            <w:r w:rsidRPr="00675182">
              <w:rPr>
                <w:rFonts w:cstheme="minorHAnsi"/>
              </w:rPr>
              <w:t>1</w:t>
            </w:r>
          </w:p>
        </w:tc>
      </w:tr>
      <w:tr w:rsidR="00CC42CB" w:rsidRPr="00675182" w14:paraId="061FFADA"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435DF019" w14:textId="77777777" w:rsidR="00CC42CB" w:rsidRPr="00675182" w:rsidRDefault="00CC42CB">
            <w:pPr>
              <w:rPr>
                <w:rFonts w:cstheme="minorHAnsi"/>
                <w:color w:val="000000"/>
                <w:szCs w:val="24"/>
              </w:rPr>
            </w:pPr>
            <w:r w:rsidRPr="00675182">
              <w:rPr>
                <w:rFonts w:cstheme="minorHAnsi"/>
              </w:rPr>
              <w:t>Pūricu ezers</w:t>
            </w:r>
          </w:p>
        </w:tc>
        <w:tc>
          <w:tcPr>
            <w:tcW w:w="1843" w:type="dxa"/>
            <w:tcBorders>
              <w:top w:val="nil"/>
              <w:left w:val="nil"/>
              <w:bottom w:val="single" w:sz="8" w:space="0" w:color="auto"/>
              <w:right w:val="single" w:sz="8" w:space="0" w:color="auto"/>
            </w:tcBorders>
            <w:noWrap/>
            <w:vAlign w:val="center"/>
            <w:hideMark/>
          </w:tcPr>
          <w:p w14:paraId="05D0D73C" w14:textId="77777777" w:rsidR="00CC42CB" w:rsidRPr="00675182" w:rsidRDefault="00CC42CB" w:rsidP="00595C7E">
            <w:pPr>
              <w:jc w:val="center"/>
              <w:rPr>
                <w:rFonts w:cstheme="minorHAnsi"/>
                <w:color w:val="000000"/>
                <w:szCs w:val="24"/>
              </w:rPr>
            </w:pPr>
            <w:r w:rsidRPr="00675182">
              <w:rPr>
                <w:rFonts w:cstheme="minorHAnsi"/>
              </w:rPr>
              <w:t>3140</w:t>
            </w:r>
          </w:p>
        </w:tc>
        <w:tc>
          <w:tcPr>
            <w:tcW w:w="1324" w:type="dxa"/>
            <w:tcBorders>
              <w:top w:val="nil"/>
              <w:left w:val="nil"/>
              <w:bottom w:val="single" w:sz="8" w:space="0" w:color="auto"/>
              <w:right w:val="single" w:sz="4" w:space="0" w:color="auto"/>
            </w:tcBorders>
            <w:shd w:val="clear" w:color="auto" w:fill="FFFF00"/>
            <w:vAlign w:val="center"/>
            <w:hideMark/>
          </w:tcPr>
          <w:p w14:paraId="37DDDEB5" w14:textId="27701EA7" w:rsidR="00CC42CB" w:rsidRPr="00675182" w:rsidRDefault="000B2370"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B58B49" w14:textId="77777777" w:rsidR="00CC42CB" w:rsidRPr="00675182" w:rsidRDefault="00CC42CB" w:rsidP="00595C7E">
            <w:pPr>
              <w:jc w:val="center"/>
              <w:rPr>
                <w:rFonts w:cstheme="minorHAnsi"/>
                <w:color w:val="000000"/>
                <w:szCs w:val="24"/>
              </w:rPr>
            </w:pPr>
            <w:r w:rsidRPr="00675182">
              <w:rPr>
                <w:rFonts w:cstheme="minorHAnsi"/>
                <w:color w:val="000000"/>
                <w:szCs w:val="24"/>
              </w:rPr>
              <w:t>32,1</w:t>
            </w:r>
          </w:p>
        </w:tc>
        <w:tc>
          <w:tcPr>
            <w:tcW w:w="1227" w:type="dxa"/>
            <w:tcBorders>
              <w:top w:val="nil"/>
              <w:left w:val="single" w:sz="4" w:space="0" w:color="auto"/>
              <w:bottom w:val="single" w:sz="8" w:space="0" w:color="auto"/>
              <w:right w:val="single" w:sz="8" w:space="0" w:color="auto"/>
            </w:tcBorders>
            <w:vAlign w:val="center"/>
          </w:tcPr>
          <w:p w14:paraId="30AD5EF0" w14:textId="77777777" w:rsidR="00CC42CB" w:rsidRPr="00675182" w:rsidRDefault="00CC42CB" w:rsidP="00595C7E">
            <w:pPr>
              <w:jc w:val="center"/>
              <w:rPr>
                <w:rFonts w:cstheme="minorHAnsi"/>
                <w:color w:val="000000"/>
                <w:szCs w:val="24"/>
              </w:rPr>
            </w:pPr>
          </w:p>
        </w:tc>
      </w:tr>
      <w:tr w:rsidR="00CC42CB" w:rsidRPr="00675182" w14:paraId="2D6D1FCF"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13E7329F" w14:textId="77777777" w:rsidR="00CC42CB" w:rsidRPr="00675182" w:rsidRDefault="00CC42CB">
            <w:pPr>
              <w:rPr>
                <w:rFonts w:cstheme="minorHAnsi"/>
                <w:color w:val="000000"/>
                <w:szCs w:val="24"/>
              </w:rPr>
            </w:pPr>
            <w:r w:rsidRPr="00675182">
              <w:rPr>
                <w:rFonts w:cstheme="minorHAnsi"/>
              </w:rPr>
              <w:t>Auciema</w:t>
            </w:r>
          </w:p>
        </w:tc>
        <w:tc>
          <w:tcPr>
            <w:tcW w:w="1843" w:type="dxa"/>
            <w:tcBorders>
              <w:top w:val="nil"/>
              <w:left w:val="nil"/>
              <w:bottom w:val="single" w:sz="8" w:space="0" w:color="auto"/>
              <w:right w:val="single" w:sz="8" w:space="0" w:color="auto"/>
            </w:tcBorders>
            <w:noWrap/>
            <w:vAlign w:val="center"/>
            <w:hideMark/>
          </w:tcPr>
          <w:p w14:paraId="278DC4CC"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FFFF00"/>
            <w:vAlign w:val="center"/>
            <w:hideMark/>
          </w:tcPr>
          <w:p w14:paraId="04C38115"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3BB43B" w14:textId="77777777" w:rsidR="00CC42CB" w:rsidRPr="00675182" w:rsidRDefault="00CC42CB" w:rsidP="00595C7E">
            <w:pPr>
              <w:jc w:val="center"/>
              <w:rPr>
                <w:rFonts w:cstheme="minorHAnsi"/>
                <w:color w:val="000000"/>
                <w:szCs w:val="24"/>
              </w:rPr>
            </w:pPr>
            <w:r w:rsidRPr="00675182">
              <w:rPr>
                <w:rFonts w:cstheme="minorHAnsi"/>
                <w:color w:val="000000"/>
                <w:szCs w:val="24"/>
              </w:rPr>
              <w:t>41,4</w:t>
            </w:r>
          </w:p>
        </w:tc>
        <w:tc>
          <w:tcPr>
            <w:tcW w:w="1227" w:type="dxa"/>
            <w:tcBorders>
              <w:top w:val="nil"/>
              <w:left w:val="single" w:sz="4" w:space="0" w:color="auto"/>
              <w:bottom w:val="single" w:sz="8" w:space="0" w:color="auto"/>
              <w:right w:val="single" w:sz="8" w:space="0" w:color="auto"/>
            </w:tcBorders>
            <w:vAlign w:val="center"/>
          </w:tcPr>
          <w:p w14:paraId="1C7E1EB7" w14:textId="77777777" w:rsidR="00CC42CB" w:rsidRPr="00675182" w:rsidRDefault="00CC42CB" w:rsidP="00595C7E">
            <w:pPr>
              <w:jc w:val="center"/>
              <w:rPr>
                <w:rFonts w:cstheme="minorHAnsi"/>
                <w:color w:val="000000"/>
                <w:szCs w:val="24"/>
              </w:rPr>
            </w:pPr>
          </w:p>
        </w:tc>
      </w:tr>
      <w:tr w:rsidR="00CC42CB" w:rsidRPr="00675182" w14:paraId="638FA275"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4E6A0D0F" w14:textId="77777777" w:rsidR="00CC42CB" w:rsidRPr="00675182" w:rsidRDefault="00CC42CB">
            <w:pPr>
              <w:rPr>
                <w:rFonts w:cstheme="minorHAnsi"/>
                <w:color w:val="000000"/>
                <w:szCs w:val="24"/>
              </w:rPr>
            </w:pPr>
            <w:r w:rsidRPr="00675182">
              <w:rPr>
                <w:rFonts w:cstheme="minorHAnsi"/>
              </w:rPr>
              <w:t>Āraišu ezers</w:t>
            </w:r>
          </w:p>
        </w:tc>
        <w:tc>
          <w:tcPr>
            <w:tcW w:w="1843" w:type="dxa"/>
            <w:tcBorders>
              <w:top w:val="nil"/>
              <w:left w:val="nil"/>
              <w:bottom w:val="single" w:sz="8" w:space="0" w:color="auto"/>
              <w:right w:val="single" w:sz="8" w:space="0" w:color="auto"/>
            </w:tcBorders>
            <w:noWrap/>
            <w:vAlign w:val="center"/>
            <w:hideMark/>
          </w:tcPr>
          <w:p w14:paraId="5583CF84"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FFFF00"/>
            <w:vAlign w:val="center"/>
            <w:hideMark/>
          </w:tcPr>
          <w:p w14:paraId="3CBCD757"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9DFD06" w14:textId="77777777" w:rsidR="00CC42CB" w:rsidRPr="00675182" w:rsidRDefault="00CC42CB" w:rsidP="00595C7E">
            <w:pPr>
              <w:jc w:val="center"/>
              <w:rPr>
                <w:rFonts w:cstheme="minorHAnsi"/>
              </w:rPr>
            </w:pPr>
            <w:r w:rsidRPr="00675182">
              <w:rPr>
                <w:rFonts w:cstheme="minorHAnsi"/>
              </w:rPr>
              <w:t>32,6</w:t>
            </w:r>
          </w:p>
        </w:tc>
        <w:tc>
          <w:tcPr>
            <w:tcW w:w="1227" w:type="dxa"/>
            <w:tcBorders>
              <w:top w:val="nil"/>
              <w:left w:val="single" w:sz="4" w:space="0" w:color="auto"/>
              <w:bottom w:val="single" w:sz="8" w:space="0" w:color="auto"/>
              <w:right w:val="single" w:sz="8" w:space="0" w:color="auto"/>
            </w:tcBorders>
            <w:vAlign w:val="center"/>
            <w:hideMark/>
          </w:tcPr>
          <w:p w14:paraId="4F008F8B" w14:textId="77777777" w:rsidR="00CC42CB" w:rsidRPr="00675182" w:rsidRDefault="00CC42CB" w:rsidP="00595C7E">
            <w:pPr>
              <w:jc w:val="center"/>
              <w:rPr>
                <w:rFonts w:cstheme="minorHAnsi"/>
                <w:color w:val="000000"/>
                <w:szCs w:val="24"/>
              </w:rPr>
            </w:pPr>
            <w:r w:rsidRPr="00675182">
              <w:rPr>
                <w:rFonts w:cstheme="minorHAnsi"/>
              </w:rPr>
              <w:t>1</w:t>
            </w:r>
          </w:p>
        </w:tc>
      </w:tr>
      <w:tr w:rsidR="00CC42CB" w:rsidRPr="00675182" w14:paraId="27D4EC0A"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18584FFA" w14:textId="77777777" w:rsidR="00CC42CB" w:rsidRPr="00675182" w:rsidRDefault="00CC42CB">
            <w:pPr>
              <w:rPr>
                <w:rFonts w:cstheme="minorHAnsi"/>
                <w:color w:val="000000"/>
                <w:szCs w:val="24"/>
              </w:rPr>
            </w:pPr>
            <w:r w:rsidRPr="00675182">
              <w:rPr>
                <w:rFonts w:cstheme="minorHAnsi"/>
              </w:rPr>
              <w:t>Kaņepu ezers</w:t>
            </w:r>
          </w:p>
        </w:tc>
        <w:tc>
          <w:tcPr>
            <w:tcW w:w="1843" w:type="dxa"/>
            <w:tcBorders>
              <w:top w:val="nil"/>
              <w:left w:val="nil"/>
              <w:bottom w:val="single" w:sz="8" w:space="0" w:color="auto"/>
              <w:right w:val="single" w:sz="8" w:space="0" w:color="auto"/>
            </w:tcBorders>
            <w:noWrap/>
            <w:vAlign w:val="center"/>
            <w:hideMark/>
          </w:tcPr>
          <w:p w14:paraId="0F00EBC3"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92D050"/>
            <w:vAlign w:val="center"/>
            <w:hideMark/>
          </w:tcPr>
          <w:p w14:paraId="31614553"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AD3E71" w14:textId="77777777" w:rsidR="00CC42CB" w:rsidRPr="00675182" w:rsidRDefault="00CC42CB" w:rsidP="00595C7E">
            <w:pPr>
              <w:jc w:val="center"/>
              <w:rPr>
                <w:rFonts w:cstheme="minorHAnsi"/>
              </w:rPr>
            </w:pPr>
            <w:r w:rsidRPr="00675182">
              <w:rPr>
                <w:rFonts w:cstheme="minorHAnsi"/>
              </w:rPr>
              <w:t>3,0</w:t>
            </w:r>
          </w:p>
        </w:tc>
        <w:tc>
          <w:tcPr>
            <w:tcW w:w="1227" w:type="dxa"/>
            <w:tcBorders>
              <w:top w:val="nil"/>
              <w:left w:val="single" w:sz="4" w:space="0" w:color="auto"/>
              <w:bottom w:val="single" w:sz="8" w:space="0" w:color="auto"/>
              <w:right w:val="single" w:sz="8" w:space="0" w:color="auto"/>
            </w:tcBorders>
            <w:vAlign w:val="center"/>
            <w:hideMark/>
          </w:tcPr>
          <w:p w14:paraId="40416538" w14:textId="77777777" w:rsidR="00CC42CB" w:rsidRPr="00675182" w:rsidRDefault="00CC42CB" w:rsidP="00595C7E">
            <w:pPr>
              <w:jc w:val="center"/>
              <w:rPr>
                <w:rFonts w:cstheme="minorHAnsi"/>
                <w:color w:val="000000"/>
                <w:szCs w:val="24"/>
              </w:rPr>
            </w:pPr>
            <w:r w:rsidRPr="00675182">
              <w:rPr>
                <w:rFonts w:cstheme="minorHAnsi"/>
              </w:rPr>
              <w:t>2</w:t>
            </w:r>
          </w:p>
        </w:tc>
      </w:tr>
      <w:tr w:rsidR="00CC42CB" w:rsidRPr="00675182" w14:paraId="17F80D5A"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2E6FF52E" w14:textId="77777777" w:rsidR="00CC42CB" w:rsidRPr="00675182" w:rsidRDefault="00CC42CB">
            <w:pPr>
              <w:rPr>
                <w:rFonts w:cstheme="minorHAnsi"/>
                <w:color w:val="000000"/>
                <w:szCs w:val="24"/>
              </w:rPr>
            </w:pPr>
            <w:r w:rsidRPr="00675182">
              <w:rPr>
                <w:rFonts w:cstheme="minorHAnsi"/>
              </w:rPr>
              <w:t>Pekša ezers</w:t>
            </w:r>
          </w:p>
        </w:tc>
        <w:tc>
          <w:tcPr>
            <w:tcW w:w="1843" w:type="dxa"/>
            <w:tcBorders>
              <w:top w:val="nil"/>
              <w:left w:val="nil"/>
              <w:bottom w:val="single" w:sz="8" w:space="0" w:color="auto"/>
              <w:right w:val="single" w:sz="8" w:space="0" w:color="auto"/>
            </w:tcBorders>
            <w:noWrap/>
            <w:vAlign w:val="center"/>
            <w:hideMark/>
          </w:tcPr>
          <w:p w14:paraId="181DAC5F"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FFFF00"/>
            <w:vAlign w:val="center"/>
            <w:hideMark/>
          </w:tcPr>
          <w:p w14:paraId="456A7700"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642793" w14:textId="77777777" w:rsidR="00CC42CB" w:rsidRPr="00675182" w:rsidRDefault="00CC42CB" w:rsidP="00595C7E">
            <w:pPr>
              <w:jc w:val="center"/>
              <w:rPr>
                <w:rFonts w:cstheme="minorHAnsi"/>
                <w:color w:val="000000"/>
                <w:szCs w:val="24"/>
              </w:rPr>
            </w:pPr>
            <w:r w:rsidRPr="00675182">
              <w:rPr>
                <w:rFonts w:cstheme="minorHAnsi"/>
                <w:color w:val="000000"/>
                <w:szCs w:val="24"/>
              </w:rPr>
              <w:t>9,7</w:t>
            </w:r>
          </w:p>
        </w:tc>
        <w:tc>
          <w:tcPr>
            <w:tcW w:w="1227" w:type="dxa"/>
            <w:tcBorders>
              <w:top w:val="nil"/>
              <w:left w:val="single" w:sz="4" w:space="0" w:color="auto"/>
              <w:bottom w:val="single" w:sz="8" w:space="0" w:color="auto"/>
              <w:right w:val="single" w:sz="8" w:space="0" w:color="auto"/>
            </w:tcBorders>
            <w:vAlign w:val="center"/>
          </w:tcPr>
          <w:p w14:paraId="3D4EED72" w14:textId="77777777" w:rsidR="00CC42CB" w:rsidRPr="00675182" w:rsidRDefault="00CC42CB" w:rsidP="00595C7E">
            <w:pPr>
              <w:jc w:val="center"/>
              <w:rPr>
                <w:rFonts w:cstheme="minorHAnsi"/>
                <w:color w:val="000000"/>
                <w:szCs w:val="24"/>
              </w:rPr>
            </w:pPr>
          </w:p>
        </w:tc>
      </w:tr>
      <w:tr w:rsidR="00CC42CB" w:rsidRPr="00675182" w14:paraId="5108B119"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2224EE7E" w14:textId="77777777" w:rsidR="00CC42CB" w:rsidRPr="00675182" w:rsidRDefault="00CC42CB">
            <w:pPr>
              <w:rPr>
                <w:rFonts w:cstheme="minorHAnsi"/>
              </w:rPr>
            </w:pPr>
            <w:r w:rsidRPr="00675182">
              <w:rPr>
                <w:rFonts w:cstheme="minorHAnsi"/>
              </w:rPr>
              <w:t>Pidēnu ezers</w:t>
            </w:r>
          </w:p>
        </w:tc>
        <w:tc>
          <w:tcPr>
            <w:tcW w:w="1843" w:type="dxa"/>
            <w:tcBorders>
              <w:top w:val="nil"/>
              <w:left w:val="nil"/>
              <w:bottom w:val="single" w:sz="8" w:space="0" w:color="auto"/>
              <w:right w:val="single" w:sz="8" w:space="0" w:color="auto"/>
            </w:tcBorders>
            <w:noWrap/>
            <w:vAlign w:val="center"/>
            <w:hideMark/>
          </w:tcPr>
          <w:p w14:paraId="7DDE2578" w14:textId="77777777" w:rsidR="00CC42CB" w:rsidRPr="00675182" w:rsidRDefault="00CC42CB" w:rsidP="00595C7E">
            <w:pPr>
              <w:jc w:val="center"/>
              <w:rPr>
                <w:rFonts w:cstheme="minorHAnsi"/>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92D050"/>
            <w:vAlign w:val="center"/>
            <w:hideMark/>
          </w:tcPr>
          <w:p w14:paraId="4E507AA8" w14:textId="77777777" w:rsidR="00CC42CB" w:rsidRPr="00675182" w:rsidRDefault="00CC42CB" w:rsidP="00595C7E">
            <w:pPr>
              <w:jc w:val="center"/>
              <w:rPr>
                <w:rFonts w:cstheme="minorHAnsi"/>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7E67DC" w14:textId="77777777" w:rsidR="00CC42CB" w:rsidRPr="00675182" w:rsidRDefault="00CC42CB" w:rsidP="00595C7E">
            <w:pPr>
              <w:jc w:val="center"/>
              <w:rPr>
                <w:rFonts w:cstheme="minorHAnsi"/>
                <w:color w:val="000000"/>
                <w:szCs w:val="24"/>
              </w:rPr>
            </w:pPr>
            <w:r w:rsidRPr="00675182">
              <w:rPr>
                <w:rFonts w:cstheme="minorHAnsi"/>
                <w:color w:val="000000"/>
                <w:szCs w:val="24"/>
              </w:rPr>
              <w:t>2,4</w:t>
            </w:r>
          </w:p>
        </w:tc>
        <w:tc>
          <w:tcPr>
            <w:tcW w:w="1227" w:type="dxa"/>
            <w:tcBorders>
              <w:top w:val="nil"/>
              <w:left w:val="single" w:sz="4" w:space="0" w:color="auto"/>
              <w:bottom w:val="single" w:sz="8" w:space="0" w:color="auto"/>
              <w:right w:val="single" w:sz="8" w:space="0" w:color="auto"/>
            </w:tcBorders>
            <w:vAlign w:val="center"/>
            <w:hideMark/>
          </w:tcPr>
          <w:p w14:paraId="0C631AD2" w14:textId="77777777" w:rsidR="00CC42CB" w:rsidRPr="00675182" w:rsidRDefault="00CC42CB" w:rsidP="00595C7E">
            <w:pPr>
              <w:jc w:val="center"/>
              <w:rPr>
                <w:rFonts w:cstheme="minorHAnsi"/>
                <w:color w:val="000000"/>
                <w:szCs w:val="24"/>
              </w:rPr>
            </w:pPr>
            <w:r w:rsidRPr="00675182">
              <w:rPr>
                <w:rFonts w:cstheme="minorHAnsi"/>
                <w:color w:val="000000"/>
                <w:szCs w:val="24"/>
              </w:rPr>
              <w:t>1</w:t>
            </w:r>
          </w:p>
        </w:tc>
      </w:tr>
      <w:tr w:rsidR="00CC42CB" w:rsidRPr="00675182" w14:paraId="1BDE7495"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557EE402" w14:textId="77777777" w:rsidR="00CC42CB" w:rsidRPr="00675182" w:rsidRDefault="00CC42CB">
            <w:pPr>
              <w:rPr>
                <w:rFonts w:cstheme="minorHAnsi"/>
                <w:color w:val="000000"/>
                <w:szCs w:val="24"/>
              </w:rPr>
            </w:pPr>
            <w:r w:rsidRPr="00675182">
              <w:rPr>
                <w:rFonts w:cstheme="minorHAnsi"/>
              </w:rPr>
              <w:t>Pieškalna ezers</w:t>
            </w:r>
          </w:p>
        </w:tc>
        <w:tc>
          <w:tcPr>
            <w:tcW w:w="1843" w:type="dxa"/>
            <w:tcBorders>
              <w:top w:val="nil"/>
              <w:left w:val="nil"/>
              <w:bottom w:val="single" w:sz="8" w:space="0" w:color="auto"/>
              <w:right w:val="single" w:sz="8" w:space="0" w:color="auto"/>
            </w:tcBorders>
            <w:noWrap/>
            <w:vAlign w:val="center"/>
            <w:hideMark/>
          </w:tcPr>
          <w:p w14:paraId="7FFE13AA"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92D050"/>
            <w:vAlign w:val="center"/>
            <w:hideMark/>
          </w:tcPr>
          <w:p w14:paraId="51455306"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8EE72B" w14:textId="77777777" w:rsidR="00CC42CB" w:rsidRPr="00675182" w:rsidRDefault="00CC42CB" w:rsidP="00595C7E">
            <w:pPr>
              <w:jc w:val="center"/>
              <w:rPr>
                <w:rFonts w:cstheme="minorHAnsi"/>
                <w:color w:val="000000"/>
                <w:szCs w:val="24"/>
              </w:rPr>
            </w:pPr>
            <w:r w:rsidRPr="00675182">
              <w:rPr>
                <w:rFonts w:cstheme="minorHAnsi"/>
                <w:color w:val="000000"/>
                <w:szCs w:val="24"/>
              </w:rPr>
              <w:t>1,1</w:t>
            </w:r>
          </w:p>
        </w:tc>
        <w:tc>
          <w:tcPr>
            <w:tcW w:w="1227" w:type="dxa"/>
            <w:tcBorders>
              <w:top w:val="nil"/>
              <w:left w:val="single" w:sz="4" w:space="0" w:color="auto"/>
              <w:bottom w:val="single" w:sz="8" w:space="0" w:color="auto"/>
              <w:right w:val="single" w:sz="8" w:space="0" w:color="auto"/>
            </w:tcBorders>
            <w:vAlign w:val="center"/>
          </w:tcPr>
          <w:p w14:paraId="64473C3A" w14:textId="77777777" w:rsidR="00CC42CB" w:rsidRPr="00675182" w:rsidRDefault="00CC42CB" w:rsidP="00595C7E">
            <w:pPr>
              <w:jc w:val="center"/>
              <w:rPr>
                <w:rFonts w:cstheme="minorHAnsi"/>
                <w:color w:val="000000"/>
                <w:szCs w:val="24"/>
              </w:rPr>
            </w:pPr>
          </w:p>
        </w:tc>
      </w:tr>
      <w:tr w:rsidR="00CC42CB" w:rsidRPr="00675182" w14:paraId="424D122A"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402B471B" w14:textId="77777777" w:rsidR="00CC42CB" w:rsidRPr="00675182" w:rsidRDefault="00CC42CB">
            <w:pPr>
              <w:rPr>
                <w:rFonts w:cstheme="minorHAnsi"/>
                <w:color w:val="000000"/>
                <w:szCs w:val="24"/>
              </w:rPr>
            </w:pPr>
            <w:r w:rsidRPr="00675182">
              <w:rPr>
                <w:rFonts w:cstheme="minorHAnsi"/>
              </w:rPr>
              <w:t>Raiskuma ezers</w:t>
            </w:r>
          </w:p>
        </w:tc>
        <w:tc>
          <w:tcPr>
            <w:tcW w:w="1843" w:type="dxa"/>
            <w:tcBorders>
              <w:top w:val="nil"/>
              <w:left w:val="nil"/>
              <w:bottom w:val="single" w:sz="8" w:space="0" w:color="auto"/>
              <w:right w:val="single" w:sz="8" w:space="0" w:color="auto"/>
            </w:tcBorders>
            <w:noWrap/>
            <w:vAlign w:val="center"/>
            <w:hideMark/>
          </w:tcPr>
          <w:p w14:paraId="57539B84"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92D050"/>
            <w:vAlign w:val="center"/>
            <w:hideMark/>
          </w:tcPr>
          <w:p w14:paraId="3D820672"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3E280B" w14:textId="77777777" w:rsidR="00CC42CB" w:rsidRPr="00675182" w:rsidRDefault="00CC42CB" w:rsidP="00595C7E">
            <w:pPr>
              <w:jc w:val="center"/>
              <w:rPr>
                <w:rFonts w:cstheme="minorHAnsi"/>
                <w:color w:val="000000"/>
                <w:szCs w:val="24"/>
              </w:rPr>
            </w:pPr>
            <w:r w:rsidRPr="00675182">
              <w:rPr>
                <w:rFonts w:cstheme="minorHAnsi"/>
                <w:color w:val="000000"/>
                <w:szCs w:val="24"/>
              </w:rPr>
              <w:t>78,5</w:t>
            </w:r>
          </w:p>
        </w:tc>
        <w:tc>
          <w:tcPr>
            <w:tcW w:w="1227" w:type="dxa"/>
            <w:tcBorders>
              <w:top w:val="nil"/>
              <w:left w:val="single" w:sz="4" w:space="0" w:color="auto"/>
              <w:bottom w:val="single" w:sz="8" w:space="0" w:color="auto"/>
              <w:right w:val="single" w:sz="8" w:space="0" w:color="auto"/>
            </w:tcBorders>
            <w:vAlign w:val="center"/>
          </w:tcPr>
          <w:p w14:paraId="2B9305AA" w14:textId="77777777" w:rsidR="00CC42CB" w:rsidRPr="00675182" w:rsidRDefault="00CC42CB" w:rsidP="00595C7E">
            <w:pPr>
              <w:jc w:val="center"/>
              <w:rPr>
                <w:rFonts w:cstheme="minorHAnsi"/>
                <w:color w:val="000000"/>
                <w:szCs w:val="24"/>
              </w:rPr>
            </w:pPr>
          </w:p>
        </w:tc>
      </w:tr>
      <w:tr w:rsidR="00CC42CB" w:rsidRPr="00675182" w14:paraId="7CA44530"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21BEB312" w14:textId="77777777" w:rsidR="00CC42CB" w:rsidRPr="00675182" w:rsidRDefault="00CC42CB">
            <w:pPr>
              <w:rPr>
                <w:rFonts w:cstheme="minorHAnsi"/>
                <w:color w:val="000000"/>
                <w:szCs w:val="24"/>
              </w:rPr>
            </w:pPr>
            <w:r w:rsidRPr="00675182">
              <w:rPr>
                <w:rFonts w:cstheme="minorHAnsi"/>
              </w:rPr>
              <w:t>Rābuta ezers</w:t>
            </w:r>
          </w:p>
        </w:tc>
        <w:tc>
          <w:tcPr>
            <w:tcW w:w="1843" w:type="dxa"/>
            <w:tcBorders>
              <w:top w:val="nil"/>
              <w:left w:val="nil"/>
              <w:bottom w:val="single" w:sz="8" w:space="0" w:color="auto"/>
              <w:right w:val="single" w:sz="8" w:space="0" w:color="auto"/>
            </w:tcBorders>
            <w:noWrap/>
            <w:vAlign w:val="center"/>
            <w:hideMark/>
          </w:tcPr>
          <w:p w14:paraId="2BE87CE7"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92D050"/>
            <w:vAlign w:val="center"/>
            <w:hideMark/>
          </w:tcPr>
          <w:p w14:paraId="110C68B6"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19C9D6" w14:textId="77777777" w:rsidR="00CC42CB" w:rsidRPr="00675182" w:rsidRDefault="00CC42CB" w:rsidP="00595C7E">
            <w:pPr>
              <w:jc w:val="center"/>
              <w:rPr>
                <w:rFonts w:cstheme="minorHAnsi"/>
              </w:rPr>
            </w:pPr>
            <w:r w:rsidRPr="00675182">
              <w:rPr>
                <w:rFonts w:cstheme="minorHAnsi"/>
              </w:rPr>
              <w:t>9,43</w:t>
            </w:r>
          </w:p>
        </w:tc>
        <w:tc>
          <w:tcPr>
            <w:tcW w:w="1227" w:type="dxa"/>
            <w:tcBorders>
              <w:top w:val="nil"/>
              <w:left w:val="single" w:sz="4" w:space="0" w:color="auto"/>
              <w:bottom w:val="single" w:sz="8" w:space="0" w:color="auto"/>
              <w:right w:val="single" w:sz="8" w:space="0" w:color="auto"/>
            </w:tcBorders>
            <w:vAlign w:val="center"/>
            <w:hideMark/>
          </w:tcPr>
          <w:p w14:paraId="0C60E7AB" w14:textId="77777777" w:rsidR="00CC42CB" w:rsidRPr="00675182" w:rsidRDefault="00CC42CB" w:rsidP="00595C7E">
            <w:pPr>
              <w:jc w:val="center"/>
              <w:rPr>
                <w:rFonts w:cstheme="minorHAnsi"/>
                <w:color w:val="000000"/>
                <w:szCs w:val="24"/>
              </w:rPr>
            </w:pPr>
            <w:r w:rsidRPr="00675182">
              <w:rPr>
                <w:rFonts w:cstheme="minorHAnsi"/>
              </w:rPr>
              <w:t>2</w:t>
            </w:r>
          </w:p>
        </w:tc>
      </w:tr>
      <w:tr w:rsidR="00CC42CB" w:rsidRPr="00675182" w14:paraId="189D1164"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44FF39E0" w14:textId="77777777" w:rsidR="00CC42CB" w:rsidRPr="00675182" w:rsidRDefault="00CC42CB">
            <w:pPr>
              <w:rPr>
                <w:rFonts w:cstheme="minorHAnsi"/>
                <w:color w:val="000000"/>
                <w:szCs w:val="24"/>
              </w:rPr>
            </w:pPr>
            <w:r w:rsidRPr="00675182">
              <w:rPr>
                <w:rFonts w:cstheme="minorHAnsi"/>
              </w:rPr>
              <w:t>Rieviņu ezers</w:t>
            </w:r>
          </w:p>
        </w:tc>
        <w:tc>
          <w:tcPr>
            <w:tcW w:w="1843" w:type="dxa"/>
            <w:tcBorders>
              <w:top w:val="nil"/>
              <w:left w:val="nil"/>
              <w:bottom w:val="single" w:sz="8" w:space="0" w:color="auto"/>
              <w:right w:val="single" w:sz="8" w:space="0" w:color="auto"/>
            </w:tcBorders>
            <w:noWrap/>
            <w:vAlign w:val="center"/>
            <w:hideMark/>
          </w:tcPr>
          <w:p w14:paraId="0E5C0E89"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FFFF00"/>
            <w:vAlign w:val="center"/>
            <w:hideMark/>
          </w:tcPr>
          <w:p w14:paraId="7CA64E2B"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11D4DD" w14:textId="77777777" w:rsidR="00CC42CB" w:rsidRPr="00675182" w:rsidRDefault="00CC42CB" w:rsidP="00595C7E">
            <w:pPr>
              <w:jc w:val="center"/>
              <w:rPr>
                <w:rFonts w:cstheme="minorHAnsi"/>
                <w:color w:val="000000"/>
                <w:szCs w:val="24"/>
              </w:rPr>
            </w:pPr>
            <w:r w:rsidRPr="00675182">
              <w:rPr>
                <w:rFonts w:cstheme="minorHAnsi"/>
                <w:color w:val="000000"/>
                <w:szCs w:val="24"/>
              </w:rPr>
              <w:t>3,7</w:t>
            </w:r>
          </w:p>
        </w:tc>
        <w:tc>
          <w:tcPr>
            <w:tcW w:w="1227" w:type="dxa"/>
            <w:tcBorders>
              <w:top w:val="nil"/>
              <w:left w:val="single" w:sz="4" w:space="0" w:color="auto"/>
              <w:bottom w:val="single" w:sz="8" w:space="0" w:color="auto"/>
              <w:right w:val="single" w:sz="8" w:space="0" w:color="auto"/>
            </w:tcBorders>
            <w:vAlign w:val="center"/>
          </w:tcPr>
          <w:p w14:paraId="2E1FE4E6" w14:textId="77777777" w:rsidR="00CC42CB" w:rsidRPr="00675182" w:rsidRDefault="00CC42CB" w:rsidP="00595C7E">
            <w:pPr>
              <w:jc w:val="center"/>
              <w:rPr>
                <w:rFonts w:cstheme="minorHAnsi"/>
                <w:color w:val="000000"/>
                <w:szCs w:val="24"/>
              </w:rPr>
            </w:pPr>
          </w:p>
        </w:tc>
      </w:tr>
      <w:tr w:rsidR="00CC42CB" w:rsidRPr="00675182" w14:paraId="4C6255DE"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5CB0E7E4" w14:textId="77777777" w:rsidR="00CC42CB" w:rsidRPr="00675182" w:rsidRDefault="00CC42CB">
            <w:pPr>
              <w:rPr>
                <w:rFonts w:cstheme="minorHAnsi"/>
                <w:color w:val="000000"/>
                <w:szCs w:val="24"/>
              </w:rPr>
            </w:pPr>
            <w:r w:rsidRPr="00675182">
              <w:rPr>
                <w:rFonts w:cstheme="minorHAnsi"/>
              </w:rPr>
              <w:t>Vaidavas ezers</w:t>
            </w:r>
          </w:p>
        </w:tc>
        <w:tc>
          <w:tcPr>
            <w:tcW w:w="1843" w:type="dxa"/>
            <w:tcBorders>
              <w:top w:val="nil"/>
              <w:left w:val="nil"/>
              <w:bottom w:val="single" w:sz="8" w:space="0" w:color="auto"/>
              <w:right w:val="single" w:sz="8" w:space="0" w:color="auto"/>
            </w:tcBorders>
            <w:noWrap/>
            <w:vAlign w:val="center"/>
            <w:hideMark/>
          </w:tcPr>
          <w:p w14:paraId="09BD095F"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92D050"/>
            <w:vAlign w:val="center"/>
            <w:hideMark/>
          </w:tcPr>
          <w:p w14:paraId="341D386F"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0AD9A2" w14:textId="77777777" w:rsidR="00CC42CB" w:rsidRPr="00675182" w:rsidRDefault="00CC42CB" w:rsidP="00595C7E">
            <w:pPr>
              <w:jc w:val="center"/>
              <w:rPr>
                <w:rFonts w:cstheme="minorHAnsi"/>
                <w:color w:val="000000"/>
                <w:szCs w:val="24"/>
              </w:rPr>
            </w:pPr>
            <w:r w:rsidRPr="00675182">
              <w:rPr>
                <w:rFonts w:cstheme="minorHAnsi"/>
                <w:color w:val="000000"/>
                <w:szCs w:val="24"/>
              </w:rPr>
              <w:t>87,2</w:t>
            </w:r>
          </w:p>
        </w:tc>
        <w:tc>
          <w:tcPr>
            <w:tcW w:w="1227" w:type="dxa"/>
            <w:tcBorders>
              <w:top w:val="nil"/>
              <w:left w:val="single" w:sz="4" w:space="0" w:color="auto"/>
              <w:bottom w:val="single" w:sz="8" w:space="0" w:color="auto"/>
              <w:right w:val="single" w:sz="8" w:space="0" w:color="auto"/>
            </w:tcBorders>
            <w:vAlign w:val="center"/>
          </w:tcPr>
          <w:p w14:paraId="1B4BF77E" w14:textId="77777777" w:rsidR="00CC42CB" w:rsidRPr="00675182" w:rsidRDefault="00CC42CB" w:rsidP="00595C7E">
            <w:pPr>
              <w:jc w:val="center"/>
              <w:rPr>
                <w:rFonts w:cstheme="minorHAnsi"/>
                <w:color w:val="000000"/>
                <w:szCs w:val="24"/>
              </w:rPr>
            </w:pPr>
          </w:p>
        </w:tc>
      </w:tr>
      <w:tr w:rsidR="00CC42CB" w:rsidRPr="00675182" w14:paraId="42F52A14"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73850F38" w14:textId="77777777" w:rsidR="00CC42CB" w:rsidRPr="00675182" w:rsidRDefault="00CC42CB">
            <w:pPr>
              <w:rPr>
                <w:rFonts w:cstheme="minorHAnsi"/>
                <w:color w:val="000000"/>
                <w:szCs w:val="24"/>
              </w:rPr>
            </w:pPr>
            <w:r w:rsidRPr="00675182">
              <w:rPr>
                <w:rFonts w:cstheme="minorHAnsi"/>
              </w:rPr>
              <w:t>Vīņaudu ezers</w:t>
            </w:r>
          </w:p>
        </w:tc>
        <w:tc>
          <w:tcPr>
            <w:tcW w:w="1843" w:type="dxa"/>
            <w:tcBorders>
              <w:top w:val="nil"/>
              <w:left w:val="nil"/>
              <w:bottom w:val="single" w:sz="8" w:space="0" w:color="auto"/>
              <w:right w:val="single" w:sz="8" w:space="0" w:color="auto"/>
            </w:tcBorders>
            <w:noWrap/>
            <w:vAlign w:val="center"/>
            <w:hideMark/>
          </w:tcPr>
          <w:p w14:paraId="52A5D4EC" w14:textId="77777777" w:rsidR="00CC42CB" w:rsidRPr="00675182" w:rsidRDefault="00CC42CB" w:rsidP="00595C7E">
            <w:pPr>
              <w:jc w:val="center"/>
              <w:rPr>
                <w:rFonts w:cstheme="minorHAnsi"/>
                <w:color w:val="000000"/>
                <w:szCs w:val="24"/>
              </w:rPr>
            </w:pPr>
            <w:r w:rsidRPr="00675182">
              <w:rPr>
                <w:rFonts w:cstheme="minorHAnsi"/>
              </w:rPr>
              <w:t>3150_1</w:t>
            </w:r>
          </w:p>
        </w:tc>
        <w:tc>
          <w:tcPr>
            <w:tcW w:w="1324" w:type="dxa"/>
            <w:tcBorders>
              <w:top w:val="nil"/>
              <w:left w:val="nil"/>
              <w:bottom w:val="single" w:sz="8" w:space="0" w:color="auto"/>
              <w:right w:val="single" w:sz="4" w:space="0" w:color="auto"/>
            </w:tcBorders>
            <w:shd w:val="clear" w:color="auto" w:fill="FFFF00"/>
            <w:vAlign w:val="center"/>
            <w:hideMark/>
          </w:tcPr>
          <w:p w14:paraId="3EE64C0F"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00ABA0" w14:textId="77777777" w:rsidR="00CC42CB" w:rsidRPr="00675182" w:rsidRDefault="00CC42CB" w:rsidP="00595C7E">
            <w:pPr>
              <w:jc w:val="center"/>
              <w:rPr>
                <w:rFonts w:cstheme="minorHAnsi"/>
                <w:color w:val="000000"/>
                <w:szCs w:val="24"/>
              </w:rPr>
            </w:pPr>
            <w:r w:rsidRPr="00675182">
              <w:rPr>
                <w:rFonts w:cstheme="minorHAnsi"/>
                <w:color w:val="000000"/>
                <w:szCs w:val="24"/>
              </w:rPr>
              <w:t>10,6</w:t>
            </w:r>
          </w:p>
        </w:tc>
        <w:tc>
          <w:tcPr>
            <w:tcW w:w="1227" w:type="dxa"/>
            <w:tcBorders>
              <w:top w:val="nil"/>
              <w:left w:val="single" w:sz="4" w:space="0" w:color="auto"/>
              <w:bottom w:val="single" w:sz="8" w:space="0" w:color="auto"/>
              <w:right w:val="single" w:sz="8" w:space="0" w:color="auto"/>
            </w:tcBorders>
            <w:vAlign w:val="center"/>
          </w:tcPr>
          <w:p w14:paraId="48C4DA3D" w14:textId="77777777" w:rsidR="00CC42CB" w:rsidRPr="00675182" w:rsidRDefault="00CC42CB" w:rsidP="00595C7E">
            <w:pPr>
              <w:jc w:val="center"/>
              <w:rPr>
                <w:rFonts w:cstheme="minorHAnsi"/>
                <w:color w:val="000000"/>
                <w:szCs w:val="24"/>
              </w:rPr>
            </w:pPr>
          </w:p>
        </w:tc>
      </w:tr>
      <w:tr w:rsidR="00CC42CB" w:rsidRPr="00675182" w14:paraId="615D6C0B"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525C2BE3" w14:textId="77777777" w:rsidR="00CC42CB" w:rsidRPr="00675182" w:rsidRDefault="00CC42CB">
            <w:pPr>
              <w:rPr>
                <w:rFonts w:cstheme="minorHAnsi"/>
                <w:color w:val="000000"/>
                <w:szCs w:val="24"/>
              </w:rPr>
            </w:pPr>
            <w:r w:rsidRPr="00675182">
              <w:rPr>
                <w:rFonts w:cstheme="minorHAnsi"/>
              </w:rPr>
              <w:t>Briežu ezers</w:t>
            </w:r>
          </w:p>
        </w:tc>
        <w:tc>
          <w:tcPr>
            <w:tcW w:w="1843" w:type="dxa"/>
            <w:tcBorders>
              <w:top w:val="nil"/>
              <w:left w:val="nil"/>
              <w:bottom w:val="single" w:sz="8" w:space="0" w:color="auto"/>
              <w:right w:val="single" w:sz="8" w:space="0" w:color="auto"/>
            </w:tcBorders>
            <w:noWrap/>
            <w:vAlign w:val="center"/>
            <w:hideMark/>
          </w:tcPr>
          <w:p w14:paraId="350C8F83"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92D050"/>
            <w:vAlign w:val="center"/>
            <w:hideMark/>
          </w:tcPr>
          <w:p w14:paraId="3DEA6B95"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2E088C" w14:textId="77777777" w:rsidR="00CC42CB" w:rsidRPr="00675182" w:rsidRDefault="00CC42CB" w:rsidP="00595C7E">
            <w:pPr>
              <w:jc w:val="center"/>
              <w:rPr>
                <w:rFonts w:cstheme="minorHAnsi"/>
                <w:color w:val="000000"/>
                <w:szCs w:val="24"/>
              </w:rPr>
            </w:pPr>
            <w:r w:rsidRPr="00675182">
              <w:rPr>
                <w:rFonts w:cstheme="minorHAnsi"/>
                <w:color w:val="000000"/>
                <w:szCs w:val="24"/>
              </w:rPr>
              <w:t>4,5</w:t>
            </w:r>
          </w:p>
        </w:tc>
        <w:tc>
          <w:tcPr>
            <w:tcW w:w="1227" w:type="dxa"/>
            <w:tcBorders>
              <w:top w:val="nil"/>
              <w:left w:val="single" w:sz="4" w:space="0" w:color="auto"/>
              <w:bottom w:val="single" w:sz="8" w:space="0" w:color="auto"/>
              <w:right w:val="single" w:sz="8" w:space="0" w:color="auto"/>
            </w:tcBorders>
            <w:vAlign w:val="center"/>
          </w:tcPr>
          <w:p w14:paraId="320ABF66" w14:textId="77777777" w:rsidR="00CC42CB" w:rsidRPr="00675182" w:rsidRDefault="00CC42CB" w:rsidP="00595C7E">
            <w:pPr>
              <w:jc w:val="center"/>
              <w:rPr>
                <w:rFonts w:cstheme="minorHAnsi"/>
                <w:color w:val="000000"/>
                <w:szCs w:val="24"/>
              </w:rPr>
            </w:pPr>
          </w:p>
        </w:tc>
      </w:tr>
      <w:tr w:rsidR="00CC42CB" w:rsidRPr="00675182" w14:paraId="57C6F623"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5806C07B" w14:textId="77777777" w:rsidR="00CC42CB" w:rsidRPr="00675182" w:rsidRDefault="00CC42CB">
            <w:pPr>
              <w:rPr>
                <w:rFonts w:cstheme="minorHAnsi"/>
                <w:color w:val="000000"/>
                <w:szCs w:val="24"/>
              </w:rPr>
            </w:pPr>
            <w:r w:rsidRPr="00675182">
              <w:rPr>
                <w:rFonts w:cstheme="minorHAnsi"/>
              </w:rPr>
              <w:t>Idūnu ezeri (2 ezeri)</w:t>
            </w:r>
          </w:p>
        </w:tc>
        <w:tc>
          <w:tcPr>
            <w:tcW w:w="1843" w:type="dxa"/>
            <w:tcBorders>
              <w:top w:val="nil"/>
              <w:left w:val="nil"/>
              <w:bottom w:val="single" w:sz="8" w:space="0" w:color="auto"/>
              <w:right w:val="single" w:sz="8" w:space="0" w:color="auto"/>
            </w:tcBorders>
            <w:noWrap/>
            <w:vAlign w:val="center"/>
            <w:hideMark/>
          </w:tcPr>
          <w:p w14:paraId="16130A66"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FFFF00"/>
            <w:vAlign w:val="center"/>
            <w:hideMark/>
          </w:tcPr>
          <w:p w14:paraId="7382AB1E"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EB8359" w14:textId="77777777" w:rsidR="00CC42CB" w:rsidRPr="00675182" w:rsidRDefault="00CC42CB" w:rsidP="00595C7E">
            <w:pPr>
              <w:jc w:val="center"/>
              <w:rPr>
                <w:rFonts w:cstheme="minorHAnsi"/>
                <w:color w:val="000000"/>
                <w:szCs w:val="24"/>
              </w:rPr>
            </w:pPr>
            <w:r w:rsidRPr="00675182">
              <w:rPr>
                <w:rFonts w:cstheme="minorHAnsi"/>
                <w:color w:val="000000"/>
                <w:szCs w:val="24"/>
              </w:rPr>
              <w:t>4,0</w:t>
            </w:r>
          </w:p>
        </w:tc>
        <w:tc>
          <w:tcPr>
            <w:tcW w:w="1227" w:type="dxa"/>
            <w:tcBorders>
              <w:top w:val="nil"/>
              <w:left w:val="single" w:sz="4" w:space="0" w:color="auto"/>
              <w:bottom w:val="single" w:sz="8" w:space="0" w:color="auto"/>
              <w:right w:val="single" w:sz="8" w:space="0" w:color="auto"/>
            </w:tcBorders>
            <w:vAlign w:val="center"/>
          </w:tcPr>
          <w:p w14:paraId="441AEB70" w14:textId="77777777" w:rsidR="00CC42CB" w:rsidRPr="00675182" w:rsidRDefault="00CC42CB" w:rsidP="00595C7E">
            <w:pPr>
              <w:jc w:val="center"/>
              <w:rPr>
                <w:rFonts w:cstheme="minorHAnsi"/>
                <w:color w:val="000000"/>
                <w:szCs w:val="24"/>
              </w:rPr>
            </w:pPr>
          </w:p>
        </w:tc>
      </w:tr>
      <w:tr w:rsidR="00CC42CB" w:rsidRPr="00675182" w14:paraId="3A50C6F4"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06DD7D60" w14:textId="77777777" w:rsidR="00CC42CB" w:rsidRPr="00675182" w:rsidRDefault="00CC42CB">
            <w:pPr>
              <w:rPr>
                <w:rFonts w:cstheme="minorHAnsi"/>
                <w:color w:val="000000"/>
                <w:szCs w:val="24"/>
              </w:rPr>
            </w:pPr>
            <w:r w:rsidRPr="00675182">
              <w:rPr>
                <w:rFonts w:cstheme="minorHAnsi"/>
              </w:rPr>
              <w:t>Ķiržu ezers</w:t>
            </w:r>
          </w:p>
        </w:tc>
        <w:tc>
          <w:tcPr>
            <w:tcW w:w="1843" w:type="dxa"/>
            <w:tcBorders>
              <w:top w:val="nil"/>
              <w:left w:val="nil"/>
              <w:bottom w:val="single" w:sz="8" w:space="0" w:color="auto"/>
              <w:right w:val="single" w:sz="8" w:space="0" w:color="auto"/>
            </w:tcBorders>
            <w:noWrap/>
            <w:vAlign w:val="center"/>
            <w:hideMark/>
          </w:tcPr>
          <w:p w14:paraId="7A1F8B7C"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FFFF00"/>
            <w:vAlign w:val="center"/>
            <w:hideMark/>
          </w:tcPr>
          <w:p w14:paraId="27371C6B"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49FED4" w14:textId="77777777" w:rsidR="00CC42CB" w:rsidRPr="00675182" w:rsidRDefault="00CC42CB" w:rsidP="00595C7E">
            <w:pPr>
              <w:jc w:val="center"/>
              <w:rPr>
                <w:rFonts w:cstheme="minorHAnsi"/>
                <w:color w:val="000000"/>
                <w:szCs w:val="24"/>
              </w:rPr>
            </w:pPr>
            <w:r w:rsidRPr="00675182">
              <w:rPr>
                <w:rFonts w:cstheme="minorHAnsi"/>
                <w:color w:val="000000"/>
                <w:szCs w:val="24"/>
              </w:rPr>
              <w:t>14,7</w:t>
            </w:r>
          </w:p>
        </w:tc>
        <w:tc>
          <w:tcPr>
            <w:tcW w:w="1227" w:type="dxa"/>
            <w:tcBorders>
              <w:top w:val="nil"/>
              <w:left w:val="single" w:sz="4" w:space="0" w:color="auto"/>
              <w:bottom w:val="single" w:sz="8" w:space="0" w:color="auto"/>
              <w:right w:val="single" w:sz="8" w:space="0" w:color="auto"/>
            </w:tcBorders>
            <w:vAlign w:val="center"/>
          </w:tcPr>
          <w:p w14:paraId="19C1C935" w14:textId="77777777" w:rsidR="00CC42CB" w:rsidRPr="00675182" w:rsidRDefault="00CC42CB" w:rsidP="00595C7E">
            <w:pPr>
              <w:jc w:val="center"/>
              <w:rPr>
                <w:rFonts w:cstheme="minorHAnsi"/>
                <w:color w:val="000000"/>
                <w:szCs w:val="24"/>
              </w:rPr>
            </w:pPr>
          </w:p>
        </w:tc>
      </w:tr>
      <w:tr w:rsidR="00CC42CB" w:rsidRPr="00675182" w14:paraId="77EC1B86"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47ED4A2B" w14:textId="77777777" w:rsidR="00CC42CB" w:rsidRPr="00675182" w:rsidRDefault="00CC42CB">
            <w:pPr>
              <w:rPr>
                <w:rFonts w:cstheme="minorHAnsi"/>
                <w:color w:val="000000"/>
                <w:szCs w:val="24"/>
              </w:rPr>
            </w:pPr>
            <w:r w:rsidRPr="00675182">
              <w:rPr>
                <w:rFonts w:cstheme="minorHAnsi"/>
              </w:rPr>
              <w:t>Lielais Lazdiņš</w:t>
            </w:r>
          </w:p>
        </w:tc>
        <w:tc>
          <w:tcPr>
            <w:tcW w:w="1843" w:type="dxa"/>
            <w:tcBorders>
              <w:top w:val="nil"/>
              <w:left w:val="nil"/>
              <w:bottom w:val="single" w:sz="8" w:space="0" w:color="auto"/>
              <w:right w:val="single" w:sz="8" w:space="0" w:color="auto"/>
            </w:tcBorders>
            <w:noWrap/>
            <w:vAlign w:val="center"/>
            <w:hideMark/>
          </w:tcPr>
          <w:p w14:paraId="7543310E"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FFFF00"/>
            <w:vAlign w:val="center"/>
            <w:hideMark/>
          </w:tcPr>
          <w:p w14:paraId="2DBDD355"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61376C" w14:textId="77777777" w:rsidR="00CC42CB" w:rsidRPr="00675182" w:rsidRDefault="00CC42CB" w:rsidP="00595C7E">
            <w:pPr>
              <w:jc w:val="center"/>
              <w:rPr>
                <w:rFonts w:cstheme="minorHAnsi"/>
              </w:rPr>
            </w:pPr>
            <w:r w:rsidRPr="00675182">
              <w:rPr>
                <w:rFonts w:cstheme="minorHAnsi"/>
              </w:rPr>
              <w:t>8,9</w:t>
            </w:r>
          </w:p>
        </w:tc>
        <w:tc>
          <w:tcPr>
            <w:tcW w:w="1227" w:type="dxa"/>
            <w:tcBorders>
              <w:top w:val="nil"/>
              <w:left w:val="single" w:sz="4" w:space="0" w:color="auto"/>
              <w:bottom w:val="single" w:sz="8" w:space="0" w:color="auto"/>
              <w:right w:val="single" w:sz="8" w:space="0" w:color="auto"/>
            </w:tcBorders>
            <w:vAlign w:val="center"/>
            <w:hideMark/>
          </w:tcPr>
          <w:p w14:paraId="3A981861" w14:textId="77777777" w:rsidR="00CC42CB" w:rsidRPr="00675182" w:rsidRDefault="00CC42CB" w:rsidP="00595C7E">
            <w:pPr>
              <w:jc w:val="center"/>
              <w:rPr>
                <w:rFonts w:cstheme="minorHAnsi"/>
                <w:color w:val="000000"/>
                <w:szCs w:val="24"/>
              </w:rPr>
            </w:pPr>
            <w:r w:rsidRPr="00675182">
              <w:rPr>
                <w:rFonts w:cstheme="minorHAnsi"/>
              </w:rPr>
              <w:t>1</w:t>
            </w:r>
          </w:p>
        </w:tc>
      </w:tr>
      <w:tr w:rsidR="00CC42CB" w:rsidRPr="00675182" w14:paraId="785221D9"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37E8DF2A" w14:textId="77777777" w:rsidR="00CC42CB" w:rsidRPr="00675182" w:rsidRDefault="00CC42CB">
            <w:pPr>
              <w:rPr>
                <w:rFonts w:cstheme="minorHAnsi"/>
                <w:color w:val="000000"/>
                <w:szCs w:val="24"/>
              </w:rPr>
            </w:pPr>
            <w:r w:rsidRPr="00675182">
              <w:rPr>
                <w:rFonts w:cstheme="minorHAnsi"/>
              </w:rPr>
              <w:t>Mazmuižnieku ezers</w:t>
            </w:r>
          </w:p>
        </w:tc>
        <w:tc>
          <w:tcPr>
            <w:tcW w:w="1843" w:type="dxa"/>
            <w:tcBorders>
              <w:top w:val="nil"/>
              <w:left w:val="nil"/>
              <w:bottom w:val="single" w:sz="8" w:space="0" w:color="auto"/>
              <w:right w:val="single" w:sz="8" w:space="0" w:color="auto"/>
            </w:tcBorders>
            <w:noWrap/>
            <w:vAlign w:val="center"/>
            <w:hideMark/>
          </w:tcPr>
          <w:p w14:paraId="7BC60EEB"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92D050"/>
            <w:vAlign w:val="center"/>
            <w:hideMark/>
          </w:tcPr>
          <w:p w14:paraId="78374434"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408263" w14:textId="77777777" w:rsidR="00CC42CB" w:rsidRPr="00675182" w:rsidRDefault="00CC42CB" w:rsidP="00595C7E">
            <w:pPr>
              <w:jc w:val="center"/>
              <w:rPr>
                <w:rFonts w:cstheme="minorHAnsi"/>
                <w:color w:val="000000"/>
                <w:szCs w:val="24"/>
              </w:rPr>
            </w:pPr>
            <w:r w:rsidRPr="00675182">
              <w:rPr>
                <w:rFonts w:cstheme="minorHAnsi"/>
                <w:color w:val="000000"/>
                <w:szCs w:val="24"/>
              </w:rPr>
              <w:t>2,8</w:t>
            </w:r>
          </w:p>
        </w:tc>
        <w:tc>
          <w:tcPr>
            <w:tcW w:w="1227" w:type="dxa"/>
            <w:tcBorders>
              <w:top w:val="nil"/>
              <w:left w:val="single" w:sz="4" w:space="0" w:color="auto"/>
              <w:bottom w:val="single" w:sz="8" w:space="0" w:color="auto"/>
              <w:right w:val="single" w:sz="8" w:space="0" w:color="auto"/>
            </w:tcBorders>
            <w:vAlign w:val="center"/>
            <w:hideMark/>
          </w:tcPr>
          <w:p w14:paraId="74D707C6" w14:textId="77777777" w:rsidR="00CC42CB" w:rsidRPr="00675182" w:rsidRDefault="00CC42CB" w:rsidP="00595C7E">
            <w:pPr>
              <w:jc w:val="center"/>
              <w:rPr>
                <w:rFonts w:cstheme="minorHAnsi"/>
                <w:color w:val="000000"/>
                <w:szCs w:val="24"/>
              </w:rPr>
            </w:pPr>
            <w:r w:rsidRPr="00675182">
              <w:rPr>
                <w:rFonts w:cstheme="minorHAnsi"/>
                <w:color w:val="000000"/>
                <w:szCs w:val="24"/>
              </w:rPr>
              <w:t>2</w:t>
            </w:r>
          </w:p>
        </w:tc>
      </w:tr>
      <w:tr w:rsidR="00CC42CB" w:rsidRPr="00675182" w14:paraId="66095F4C"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01E989D5" w14:textId="77777777" w:rsidR="00CC42CB" w:rsidRPr="00675182" w:rsidRDefault="00CC42CB">
            <w:pPr>
              <w:rPr>
                <w:rFonts w:cstheme="minorHAnsi"/>
                <w:color w:val="000000"/>
                <w:szCs w:val="24"/>
              </w:rPr>
            </w:pPr>
            <w:r w:rsidRPr="00675182">
              <w:rPr>
                <w:rFonts w:cstheme="minorHAnsi"/>
              </w:rPr>
              <w:t>Muižnieku ezers</w:t>
            </w:r>
          </w:p>
        </w:tc>
        <w:tc>
          <w:tcPr>
            <w:tcW w:w="1843" w:type="dxa"/>
            <w:tcBorders>
              <w:top w:val="nil"/>
              <w:left w:val="nil"/>
              <w:bottom w:val="single" w:sz="8" w:space="0" w:color="auto"/>
              <w:right w:val="single" w:sz="8" w:space="0" w:color="auto"/>
            </w:tcBorders>
            <w:noWrap/>
            <w:vAlign w:val="center"/>
            <w:hideMark/>
          </w:tcPr>
          <w:p w14:paraId="77595790"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92D050"/>
            <w:vAlign w:val="center"/>
            <w:hideMark/>
          </w:tcPr>
          <w:p w14:paraId="39812F71"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05E3D5" w14:textId="77777777" w:rsidR="00CC42CB" w:rsidRPr="00675182" w:rsidRDefault="00CC42CB" w:rsidP="00595C7E">
            <w:pPr>
              <w:jc w:val="center"/>
              <w:rPr>
                <w:rFonts w:cstheme="minorHAnsi"/>
                <w:color w:val="000000"/>
                <w:szCs w:val="24"/>
              </w:rPr>
            </w:pPr>
            <w:r w:rsidRPr="00675182">
              <w:rPr>
                <w:rFonts w:cstheme="minorHAnsi"/>
                <w:color w:val="000000"/>
                <w:szCs w:val="24"/>
              </w:rPr>
              <w:t>10,5</w:t>
            </w:r>
          </w:p>
        </w:tc>
        <w:tc>
          <w:tcPr>
            <w:tcW w:w="1227" w:type="dxa"/>
            <w:tcBorders>
              <w:top w:val="nil"/>
              <w:left w:val="single" w:sz="4" w:space="0" w:color="auto"/>
              <w:bottom w:val="single" w:sz="8" w:space="0" w:color="auto"/>
              <w:right w:val="single" w:sz="8" w:space="0" w:color="auto"/>
            </w:tcBorders>
            <w:vAlign w:val="center"/>
          </w:tcPr>
          <w:p w14:paraId="79023DCA" w14:textId="77777777" w:rsidR="00CC42CB" w:rsidRPr="00675182" w:rsidRDefault="00CC42CB" w:rsidP="00595C7E">
            <w:pPr>
              <w:jc w:val="center"/>
              <w:rPr>
                <w:rFonts w:cstheme="minorHAnsi"/>
                <w:color w:val="000000"/>
                <w:szCs w:val="24"/>
              </w:rPr>
            </w:pPr>
          </w:p>
        </w:tc>
      </w:tr>
      <w:tr w:rsidR="00CC42CB" w:rsidRPr="00675182" w14:paraId="6AAA422E"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1099DCA0" w14:textId="77777777" w:rsidR="00CC42CB" w:rsidRPr="00675182" w:rsidRDefault="00CC42CB">
            <w:pPr>
              <w:rPr>
                <w:rFonts w:cstheme="minorHAnsi"/>
                <w:color w:val="000000"/>
                <w:szCs w:val="24"/>
              </w:rPr>
            </w:pPr>
            <w:r w:rsidRPr="00675182">
              <w:rPr>
                <w:rFonts w:cstheme="minorHAnsi"/>
              </w:rPr>
              <w:t>Plaužu ezers</w:t>
            </w:r>
          </w:p>
        </w:tc>
        <w:tc>
          <w:tcPr>
            <w:tcW w:w="1843" w:type="dxa"/>
            <w:tcBorders>
              <w:top w:val="nil"/>
              <w:left w:val="nil"/>
              <w:bottom w:val="single" w:sz="8" w:space="0" w:color="auto"/>
              <w:right w:val="single" w:sz="8" w:space="0" w:color="auto"/>
            </w:tcBorders>
            <w:noWrap/>
            <w:vAlign w:val="center"/>
            <w:hideMark/>
          </w:tcPr>
          <w:p w14:paraId="79B19CD2"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FFFF00"/>
            <w:vAlign w:val="center"/>
            <w:hideMark/>
          </w:tcPr>
          <w:p w14:paraId="2DDA150F"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66A22A" w14:textId="77777777" w:rsidR="00CC42CB" w:rsidRPr="00675182" w:rsidRDefault="00CC42CB" w:rsidP="00595C7E">
            <w:pPr>
              <w:jc w:val="center"/>
              <w:rPr>
                <w:rFonts w:cstheme="minorHAnsi"/>
              </w:rPr>
            </w:pPr>
            <w:r w:rsidRPr="00675182">
              <w:rPr>
                <w:rFonts w:cstheme="minorHAnsi"/>
              </w:rPr>
              <w:t>13,6</w:t>
            </w:r>
          </w:p>
        </w:tc>
        <w:tc>
          <w:tcPr>
            <w:tcW w:w="1227" w:type="dxa"/>
            <w:tcBorders>
              <w:top w:val="nil"/>
              <w:left w:val="single" w:sz="4" w:space="0" w:color="auto"/>
              <w:bottom w:val="single" w:sz="8" w:space="0" w:color="auto"/>
              <w:right w:val="single" w:sz="8" w:space="0" w:color="auto"/>
            </w:tcBorders>
            <w:vAlign w:val="center"/>
            <w:hideMark/>
          </w:tcPr>
          <w:p w14:paraId="5667E432" w14:textId="77777777" w:rsidR="00CC42CB" w:rsidRPr="00675182" w:rsidRDefault="00CC42CB" w:rsidP="00595C7E">
            <w:pPr>
              <w:jc w:val="center"/>
              <w:rPr>
                <w:rFonts w:cstheme="minorHAnsi"/>
                <w:color w:val="000000"/>
                <w:szCs w:val="24"/>
              </w:rPr>
            </w:pPr>
            <w:r w:rsidRPr="00675182">
              <w:rPr>
                <w:rFonts w:cstheme="minorHAnsi"/>
              </w:rPr>
              <w:t>1</w:t>
            </w:r>
          </w:p>
        </w:tc>
      </w:tr>
      <w:tr w:rsidR="00CC42CB" w:rsidRPr="00675182" w14:paraId="52B83202"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20B9CDC2" w14:textId="77777777" w:rsidR="00CC42CB" w:rsidRPr="00675182" w:rsidRDefault="00CC42CB">
            <w:pPr>
              <w:rPr>
                <w:rFonts w:cstheme="minorHAnsi"/>
                <w:color w:val="000000"/>
                <w:szCs w:val="24"/>
              </w:rPr>
            </w:pPr>
            <w:r w:rsidRPr="00675182">
              <w:rPr>
                <w:rFonts w:cstheme="minorHAnsi"/>
              </w:rPr>
              <w:t>Purgaiļu dzelve</w:t>
            </w:r>
          </w:p>
        </w:tc>
        <w:tc>
          <w:tcPr>
            <w:tcW w:w="1843" w:type="dxa"/>
            <w:tcBorders>
              <w:top w:val="nil"/>
              <w:left w:val="nil"/>
              <w:bottom w:val="single" w:sz="8" w:space="0" w:color="auto"/>
              <w:right w:val="single" w:sz="8" w:space="0" w:color="auto"/>
            </w:tcBorders>
            <w:noWrap/>
            <w:vAlign w:val="center"/>
            <w:hideMark/>
          </w:tcPr>
          <w:p w14:paraId="1317464C"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92D050"/>
            <w:vAlign w:val="center"/>
            <w:hideMark/>
          </w:tcPr>
          <w:p w14:paraId="7EF09BA3"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8FA7BC" w14:textId="77777777" w:rsidR="00CC42CB" w:rsidRPr="00675182" w:rsidRDefault="00CC42CB" w:rsidP="00595C7E">
            <w:pPr>
              <w:jc w:val="center"/>
              <w:rPr>
                <w:rFonts w:cstheme="minorHAnsi"/>
                <w:color w:val="000000"/>
                <w:szCs w:val="24"/>
              </w:rPr>
            </w:pPr>
            <w:r w:rsidRPr="00675182">
              <w:rPr>
                <w:rFonts w:cstheme="minorHAnsi"/>
                <w:color w:val="000000"/>
                <w:szCs w:val="24"/>
              </w:rPr>
              <w:t>1,1</w:t>
            </w:r>
          </w:p>
        </w:tc>
        <w:tc>
          <w:tcPr>
            <w:tcW w:w="1227" w:type="dxa"/>
            <w:tcBorders>
              <w:top w:val="nil"/>
              <w:left w:val="single" w:sz="4" w:space="0" w:color="auto"/>
              <w:bottom w:val="single" w:sz="8" w:space="0" w:color="auto"/>
              <w:right w:val="single" w:sz="8" w:space="0" w:color="auto"/>
            </w:tcBorders>
            <w:vAlign w:val="center"/>
          </w:tcPr>
          <w:p w14:paraId="7522CA4F" w14:textId="77777777" w:rsidR="00CC42CB" w:rsidRPr="00675182" w:rsidRDefault="00CC42CB" w:rsidP="00595C7E">
            <w:pPr>
              <w:jc w:val="center"/>
              <w:rPr>
                <w:rFonts w:cstheme="minorHAnsi"/>
                <w:color w:val="000000"/>
                <w:szCs w:val="24"/>
              </w:rPr>
            </w:pPr>
          </w:p>
        </w:tc>
      </w:tr>
      <w:tr w:rsidR="00CC42CB" w:rsidRPr="00675182" w14:paraId="25991BE8"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7F63538F" w14:textId="77777777" w:rsidR="00CC42CB" w:rsidRPr="00675182" w:rsidRDefault="00CC42CB">
            <w:pPr>
              <w:rPr>
                <w:rFonts w:cstheme="minorHAnsi"/>
                <w:color w:val="000000"/>
                <w:szCs w:val="24"/>
              </w:rPr>
            </w:pPr>
            <w:r w:rsidRPr="00675182">
              <w:rPr>
                <w:rFonts w:cstheme="minorHAnsi"/>
              </w:rPr>
              <w:t>Ratnieku ezers</w:t>
            </w:r>
          </w:p>
        </w:tc>
        <w:tc>
          <w:tcPr>
            <w:tcW w:w="1843" w:type="dxa"/>
            <w:tcBorders>
              <w:top w:val="nil"/>
              <w:left w:val="nil"/>
              <w:bottom w:val="single" w:sz="8" w:space="0" w:color="auto"/>
              <w:right w:val="single" w:sz="8" w:space="0" w:color="auto"/>
            </w:tcBorders>
            <w:noWrap/>
            <w:vAlign w:val="center"/>
            <w:hideMark/>
          </w:tcPr>
          <w:p w14:paraId="2089972D"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92D050"/>
            <w:vAlign w:val="center"/>
            <w:hideMark/>
          </w:tcPr>
          <w:p w14:paraId="5979677F"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845E49" w14:textId="77777777" w:rsidR="00CC42CB" w:rsidRPr="00675182" w:rsidRDefault="00CC42CB" w:rsidP="00595C7E">
            <w:pPr>
              <w:jc w:val="center"/>
              <w:rPr>
                <w:rFonts w:cstheme="minorHAnsi"/>
                <w:color w:val="000000"/>
                <w:szCs w:val="24"/>
              </w:rPr>
            </w:pPr>
            <w:r w:rsidRPr="00675182">
              <w:rPr>
                <w:rFonts w:cstheme="minorHAnsi"/>
                <w:color w:val="000000"/>
                <w:szCs w:val="24"/>
              </w:rPr>
              <w:t>44,1</w:t>
            </w:r>
          </w:p>
        </w:tc>
        <w:tc>
          <w:tcPr>
            <w:tcW w:w="1227" w:type="dxa"/>
            <w:tcBorders>
              <w:top w:val="nil"/>
              <w:left w:val="single" w:sz="4" w:space="0" w:color="auto"/>
              <w:bottom w:val="single" w:sz="8" w:space="0" w:color="auto"/>
              <w:right w:val="single" w:sz="8" w:space="0" w:color="auto"/>
            </w:tcBorders>
            <w:vAlign w:val="center"/>
          </w:tcPr>
          <w:p w14:paraId="6E21E69E" w14:textId="77777777" w:rsidR="00CC42CB" w:rsidRPr="00675182" w:rsidRDefault="00CC42CB" w:rsidP="00595C7E">
            <w:pPr>
              <w:jc w:val="center"/>
              <w:rPr>
                <w:rFonts w:cstheme="minorHAnsi"/>
                <w:color w:val="000000"/>
                <w:szCs w:val="24"/>
              </w:rPr>
            </w:pPr>
          </w:p>
        </w:tc>
      </w:tr>
      <w:tr w:rsidR="00CC42CB" w:rsidRPr="00675182" w14:paraId="2E88195B"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7DD06B52" w14:textId="77777777" w:rsidR="00CC42CB" w:rsidRPr="00675182" w:rsidRDefault="00CC42CB">
            <w:pPr>
              <w:rPr>
                <w:rFonts w:cstheme="minorHAnsi"/>
                <w:color w:val="000000"/>
                <w:szCs w:val="24"/>
              </w:rPr>
            </w:pPr>
            <w:r w:rsidRPr="00675182">
              <w:rPr>
                <w:rFonts w:cstheme="minorHAnsi"/>
              </w:rPr>
              <w:t>Inderdēļu ezers</w:t>
            </w:r>
          </w:p>
        </w:tc>
        <w:tc>
          <w:tcPr>
            <w:tcW w:w="1843" w:type="dxa"/>
            <w:tcBorders>
              <w:top w:val="nil"/>
              <w:left w:val="nil"/>
              <w:bottom w:val="single" w:sz="8" w:space="0" w:color="auto"/>
              <w:right w:val="single" w:sz="8" w:space="0" w:color="auto"/>
            </w:tcBorders>
            <w:noWrap/>
            <w:vAlign w:val="center"/>
            <w:hideMark/>
          </w:tcPr>
          <w:p w14:paraId="3FB2130A" w14:textId="77777777" w:rsidR="00CC42CB" w:rsidRPr="00675182" w:rsidRDefault="00CC42CB" w:rsidP="00595C7E">
            <w:pPr>
              <w:jc w:val="center"/>
              <w:rPr>
                <w:rFonts w:cstheme="minorHAnsi"/>
                <w:color w:val="000000"/>
                <w:szCs w:val="24"/>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92D050"/>
            <w:vAlign w:val="center"/>
            <w:hideMark/>
          </w:tcPr>
          <w:p w14:paraId="2D912FFD"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EAD015" w14:textId="77777777" w:rsidR="00CC42CB" w:rsidRPr="00675182" w:rsidRDefault="00CC42CB" w:rsidP="00595C7E">
            <w:pPr>
              <w:jc w:val="center"/>
              <w:rPr>
                <w:rFonts w:cstheme="minorHAnsi"/>
                <w:color w:val="000000"/>
                <w:szCs w:val="24"/>
              </w:rPr>
            </w:pPr>
            <w:r w:rsidRPr="00675182">
              <w:rPr>
                <w:rFonts w:cstheme="minorHAnsi"/>
                <w:color w:val="000000"/>
                <w:szCs w:val="24"/>
              </w:rPr>
              <w:t>13,7</w:t>
            </w:r>
          </w:p>
        </w:tc>
        <w:tc>
          <w:tcPr>
            <w:tcW w:w="1227" w:type="dxa"/>
            <w:tcBorders>
              <w:top w:val="nil"/>
              <w:left w:val="single" w:sz="4" w:space="0" w:color="auto"/>
              <w:bottom w:val="single" w:sz="8" w:space="0" w:color="auto"/>
              <w:right w:val="single" w:sz="8" w:space="0" w:color="auto"/>
            </w:tcBorders>
            <w:vAlign w:val="center"/>
          </w:tcPr>
          <w:p w14:paraId="0C3D80EF" w14:textId="77777777" w:rsidR="00CC42CB" w:rsidRPr="00675182" w:rsidRDefault="00CC42CB" w:rsidP="00595C7E">
            <w:pPr>
              <w:jc w:val="center"/>
              <w:rPr>
                <w:rFonts w:cstheme="minorHAnsi"/>
                <w:color w:val="000000"/>
                <w:szCs w:val="24"/>
              </w:rPr>
            </w:pPr>
          </w:p>
        </w:tc>
      </w:tr>
      <w:tr w:rsidR="000B2370" w:rsidRPr="00675182" w14:paraId="74780203"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tcPr>
          <w:p w14:paraId="733335ED" w14:textId="220DB7A1" w:rsidR="000B2370" w:rsidRPr="00675182" w:rsidRDefault="000B2370" w:rsidP="000B2370">
            <w:pPr>
              <w:rPr>
                <w:rFonts w:cstheme="minorHAnsi"/>
              </w:rPr>
            </w:pPr>
            <w:r w:rsidRPr="00675182">
              <w:rPr>
                <w:rFonts w:cstheme="minorHAnsi"/>
              </w:rPr>
              <w:t>Punga ezers</w:t>
            </w:r>
          </w:p>
        </w:tc>
        <w:tc>
          <w:tcPr>
            <w:tcW w:w="1843" w:type="dxa"/>
            <w:tcBorders>
              <w:top w:val="nil"/>
              <w:left w:val="nil"/>
              <w:bottom w:val="single" w:sz="8" w:space="0" w:color="auto"/>
              <w:right w:val="single" w:sz="8" w:space="0" w:color="auto"/>
            </w:tcBorders>
            <w:noWrap/>
            <w:vAlign w:val="center"/>
          </w:tcPr>
          <w:p w14:paraId="0EA8B68B" w14:textId="034A593C" w:rsidR="000B2370" w:rsidRPr="00675182" w:rsidRDefault="000B2370" w:rsidP="000B2370">
            <w:pPr>
              <w:jc w:val="center"/>
              <w:rPr>
                <w:rFonts w:cstheme="minorHAnsi"/>
              </w:rPr>
            </w:pPr>
            <w:r w:rsidRPr="00675182">
              <w:rPr>
                <w:rFonts w:cstheme="minorHAnsi"/>
              </w:rPr>
              <w:t>3150_2</w:t>
            </w:r>
          </w:p>
        </w:tc>
        <w:tc>
          <w:tcPr>
            <w:tcW w:w="1324" w:type="dxa"/>
            <w:tcBorders>
              <w:top w:val="nil"/>
              <w:left w:val="nil"/>
              <w:bottom w:val="single" w:sz="8" w:space="0" w:color="auto"/>
              <w:right w:val="single" w:sz="4" w:space="0" w:color="auto"/>
            </w:tcBorders>
            <w:shd w:val="clear" w:color="auto" w:fill="92D050"/>
            <w:vAlign w:val="center"/>
          </w:tcPr>
          <w:p w14:paraId="796FA645" w14:textId="564DF9AF" w:rsidR="000B2370" w:rsidRPr="00675182" w:rsidRDefault="000B2370" w:rsidP="000B2370">
            <w:pPr>
              <w:jc w:val="center"/>
              <w:rPr>
                <w:rFonts w:cstheme="minorHAnsi"/>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tcPr>
          <w:p w14:paraId="4B4A929C" w14:textId="087092D6" w:rsidR="000B2370" w:rsidRPr="00675182" w:rsidRDefault="000B2370" w:rsidP="000B2370">
            <w:pPr>
              <w:jc w:val="center"/>
              <w:rPr>
                <w:rFonts w:cstheme="minorHAnsi"/>
                <w:color w:val="000000"/>
                <w:szCs w:val="24"/>
              </w:rPr>
            </w:pPr>
            <w:r w:rsidRPr="00675182">
              <w:rPr>
                <w:rFonts w:cstheme="minorHAnsi"/>
                <w:color w:val="000000"/>
                <w:szCs w:val="24"/>
              </w:rPr>
              <w:t>1,8</w:t>
            </w:r>
          </w:p>
        </w:tc>
        <w:tc>
          <w:tcPr>
            <w:tcW w:w="1227" w:type="dxa"/>
            <w:tcBorders>
              <w:top w:val="nil"/>
              <w:left w:val="single" w:sz="4" w:space="0" w:color="auto"/>
              <w:bottom w:val="single" w:sz="8" w:space="0" w:color="auto"/>
              <w:right w:val="single" w:sz="8" w:space="0" w:color="auto"/>
            </w:tcBorders>
            <w:vAlign w:val="center"/>
          </w:tcPr>
          <w:p w14:paraId="06E75A18" w14:textId="77777777" w:rsidR="000B2370" w:rsidRPr="00675182" w:rsidRDefault="000B2370" w:rsidP="000B2370">
            <w:pPr>
              <w:jc w:val="center"/>
              <w:rPr>
                <w:rFonts w:cstheme="minorHAnsi"/>
                <w:color w:val="000000"/>
                <w:szCs w:val="24"/>
              </w:rPr>
            </w:pPr>
          </w:p>
        </w:tc>
      </w:tr>
      <w:tr w:rsidR="00CC42CB" w:rsidRPr="00675182" w14:paraId="6C61EF2A"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36418B4E" w14:textId="77777777" w:rsidR="00CC42CB" w:rsidRPr="00675182" w:rsidRDefault="00CC42CB">
            <w:pPr>
              <w:rPr>
                <w:rFonts w:cstheme="minorHAnsi"/>
                <w:color w:val="000000"/>
                <w:szCs w:val="24"/>
              </w:rPr>
            </w:pPr>
            <w:r w:rsidRPr="00675182">
              <w:rPr>
                <w:rFonts w:cstheme="minorHAnsi"/>
              </w:rPr>
              <w:t>Apiņu purva ezers</w:t>
            </w:r>
          </w:p>
        </w:tc>
        <w:tc>
          <w:tcPr>
            <w:tcW w:w="1843" w:type="dxa"/>
            <w:tcBorders>
              <w:top w:val="nil"/>
              <w:left w:val="nil"/>
              <w:bottom w:val="single" w:sz="8" w:space="0" w:color="auto"/>
              <w:right w:val="single" w:sz="8" w:space="0" w:color="auto"/>
            </w:tcBorders>
            <w:noWrap/>
            <w:vAlign w:val="center"/>
            <w:hideMark/>
          </w:tcPr>
          <w:p w14:paraId="0B8A019C"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92D050"/>
            <w:vAlign w:val="center"/>
            <w:hideMark/>
          </w:tcPr>
          <w:p w14:paraId="486C8215"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C73341" w14:textId="77777777" w:rsidR="00CC42CB" w:rsidRPr="00675182" w:rsidRDefault="00CC42CB" w:rsidP="00595C7E">
            <w:pPr>
              <w:jc w:val="center"/>
              <w:rPr>
                <w:rFonts w:cstheme="minorHAnsi"/>
                <w:color w:val="000000"/>
                <w:szCs w:val="24"/>
              </w:rPr>
            </w:pPr>
            <w:r w:rsidRPr="00675182">
              <w:rPr>
                <w:rFonts w:cstheme="minorHAnsi"/>
                <w:color w:val="000000"/>
                <w:szCs w:val="24"/>
              </w:rPr>
              <w:t>1,6</w:t>
            </w:r>
          </w:p>
        </w:tc>
        <w:tc>
          <w:tcPr>
            <w:tcW w:w="1227" w:type="dxa"/>
            <w:tcBorders>
              <w:top w:val="nil"/>
              <w:left w:val="single" w:sz="4" w:space="0" w:color="auto"/>
              <w:bottom w:val="single" w:sz="8" w:space="0" w:color="auto"/>
              <w:right w:val="single" w:sz="8" w:space="0" w:color="auto"/>
            </w:tcBorders>
            <w:vAlign w:val="center"/>
          </w:tcPr>
          <w:p w14:paraId="4605ED00" w14:textId="77777777" w:rsidR="00CC42CB" w:rsidRPr="00675182" w:rsidRDefault="00CC42CB" w:rsidP="00595C7E">
            <w:pPr>
              <w:jc w:val="center"/>
              <w:rPr>
                <w:rFonts w:cstheme="minorHAnsi"/>
                <w:color w:val="000000"/>
                <w:szCs w:val="24"/>
              </w:rPr>
            </w:pPr>
          </w:p>
        </w:tc>
      </w:tr>
      <w:tr w:rsidR="00CC42CB" w:rsidRPr="00675182" w14:paraId="4C0D7F0B"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04211A1E" w14:textId="77777777" w:rsidR="00CC42CB" w:rsidRPr="00675182" w:rsidRDefault="00CC42CB">
            <w:pPr>
              <w:rPr>
                <w:rFonts w:cstheme="minorHAnsi"/>
                <w:color w:val="000000"/>
                <w:szCs w:val="24"/>
              </w:rPr>
            </w:pPr>
            <w:r w:rsidRPr="00675182">
              <w:rPr>
                <w:rFonts w:cstheme="minorHAnsi"/>
              </w:rPr>
              <w:t>Caunu dzelves (Burlaku, Caunu, Līkā, Purblaņķu)</w:t>
            </w:r>
          </w:p>
        </w:tc>
        <w:tc>
          <w:tcPr>
            <w:tcW w:w="1843" w:type="dxa"/>
            <w:tcBorders>
              <w:top w:val="nil"/>
              <w:left w:val="nil"/>
              <w:bottom w:val="single" w:sz="8" w:space="0" w:color="auto"/>
              <w:right w:val="single" w:sz="8" w:space="0" w:color="auto"/>
            </w:tcBorders>
            <w:noWrap/>
            <w:vAlign w:val="center"/>
            <w:hideMark/>
          </w:tcPr>
          <w:p w14:paraId="04F3AE1E"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92D050"/>
            <w:vAlign w:val="center"/>
            <w:hideMark/>
          </w:tcPr>
          <w:p w14:paraId="136B77BD" w14:textId="77777777" w:rsidR="00CC42CB" w:rsidRPr="00675182" w:rsidRDefault="00CC42CB" w:rsidP="00595C7E">
            <w:pPr>
              <w:jc w:val="center"/>
              <w:rPr>
                <w:rFonts w:cstheme="minorHAnsi"/>
                <w:color w:val="000000"/>
                <w:szCs w:val="24"/>
              </w:rPr>
            </w:pPr>
            <w:r w:rsidRPr="00675182">
              <w:rPr>
                <w:rFonts w:cstheme="minorHAnsi"/>
                <w:color w:val="000000"/>
                <w:szCs w:val="24"/>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DD420A" w14:textId="77777777" w:rsidR="00CC42CB" w:rsidRPr="00675182" w:rsidRDefault="00CC42CB" w:rsidP="00595C7E">
            <w:pPr>
              <w:jc w:val="center"/>
              <w:rPr>
                <w:rFonts w:cstheme="minorHAnsi"/>
                <w:color w:val="000000"/>
                <w:szCs w:val="24"/>
              </w:rPr>
            </w:pPr>
            <w:r w:rsidRPr="00675182">
              <w:rPr>
                <w:rFonts w:cstheme="minorHAnsi"/>
                <w:color w:val="000000"/>
                <w:szCs w:val="24"/>
              </w:rPr>
              <w:t>13,4</w:t>
            </w:r>
          </w:p>
        </w:tc>
        <w:tc>
          <w:tcPr>
            <w:tcW w:w="1227" w:type="dxa"/>
            <w:tcBorders>
              <w:top w:val="nil"/>
              <w:left w:val="single" w:sz="4" w:space="0" w:color="auto"/>
              <w:bottom w:val="single" w:sz="8" w:space="0" w:color="auto"/>
              <w:right w:val="single" w:sz="8" w:space="0" w:color="auto"/>
            </w:tcBorders>
            <w:vAlign w:val="center"/>
          </w:tcPr>
          <w:p w14:paraId="6F3B2BD5" w14:textId="77777777" w:rsidR="00CC42CB" w:rsidRPr="00675182" w:rsidRDefault="00CC42CB" w:rsidP="00595C7E">
            <w:pPr>
              <w:jc w:val="center"/>
              <w:rPr>
                <w:rFonts w:cstheme="minorHAnsi"/>
                <w:color w:val="000000"/>
                <w:szCs w:val="24"/>
              </w:rPr>
            </w:pPr>
          </w:p>
        </w:tc>
      </w:tr>
      <w:tr w:rsidR="00CC42CB" w:rsidRPr="00675182" w14:paraId="13124BEB"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3CCF9BCB" w14:textId="77777777" w:rsidR="00CC42CB" w:rsidRPr="00675182" w:rsidRDefault="00CC42CB">
            <w:pPr>
              <w:rPr>
                <w:rFonts w:cstheme="minorHAnsi"/>
                <w:color w:val="000000"/>
                <w:szCs w:val="24"/>
              </w:rPr>
            </w:pPr>
            <w:r w:rsidRPr="00675182">
              <w:rPr>
                <w:rFonts w:cstheme="minorHAnsi"/>
              </w:rPr>
              <w:t>Čaules dzelve</w:t>
            </w:r>
          </w:p>
        </w:tc>
        <w:tc>
          <w:tcPr>
            <w:tcW w:w="1843" w:type="dxa"/>
            <w:tcBorders>
              <w:top w:val="nil"/>
              <w:left w:val="nil"/>
              <w:bottom w:val="single" w:sz="8" w:space="0" w:color="auto"/>
              <w:right w:val="single" w:sz="8" w:space="0" w:color="auto"/>
            </w:tcBorders>
            <w:noWrap/>
            <w:vAlign w:val="center"/>
            <w:hideMark/>
          </w:tcPr>
          <w:p w14:paraId="03988993"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00B0F0"/>
            <w:vAlign w:val="center"/>
            <w:hideMark/>
          </w:tcPr>
          <w:p w14:paraId="0DE2832E" w14:textId="77777777" w:rsidR="00CC42CB" w:rsidRPr="00675182" w:rsidRDefault="00CC42CB" w:rsidP="00595C7E">
            <w:pPr>
              <w:jc w:val="center"/>
              <w:rPr>
                <w:rFonts w:cstheme="minorHAnsi"/>
                <w:color w:val="000000"/>
                <w:szCs w:val="24"/>
              </w:rPr>
            </w:pPr>
            <w:r w:rsidRPr="00675182">
              <w:rPr>
                <w:rFonts w:cstheme="minorHAnsi"/>
              </w:rPr>
              <w:t>Izcila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CF26B8" w14:textId="77777777" w:rsidR="00CC42CB" w:rsidRPr="00675182" w:rsidRDefault="00CC42CB" w:rsidP="00595C7E">
            <w:pPr>
              <w:jc w:val="center"/>
              <w:rPr>
                <w:rFonts w:cstheme="minorHAnsi"/>
                <w:color w:val="000000"/>
                <w:szCs w:val="24"/>
              </w:rPr>
            </w:pPr>
            <w:r w:rsidRPr="00675182">
              <w:rPr>
                <w:rFonts w:cstheme="minorHAnsi"/>
                <w:color w:val="000000"/>
                <w:szCs w:val="24"/>
              </w:rPr>
              <w:t>2,9</w:t>
            </w:r>
          </w:p>
        </w:tc>
        <w:tc>
          <w:tcPr>
            <w:tcW w:w="1227" w:type="dxa"/>
            <w:tcBorders>
              <w:top w:val="nil"/>
              <w:left w:val="single" w:sz="4" w:space="0" w:color="auto"/>
              <w:bottom w:val="single" w:sz="8" w:space="0" w:color="auto"/>
              <w:right w:val="single" w:sz="8" w:space="0" w:color="auto"/>
            </w:tcBorders>
            <w:vAlign w:val="center"/>
          </w:tcPr>
          <w:p w14:paraId="370D44B9" w14:textId="77777777" w:rsidR="00CC42CB" w:rsidRPr="00675182" w:rsidRDefault="00CC42CB" w:rsidP="00595C7E">
            <w:pPr>
              <w:jc w:val="center"/>
              <w:rPr>
                <w:rFonts w:cstheme="minorHAnsi"/>
                <w:color w:val="000000"/>
                <w:szCs w:val="24"/>
              </w:rPr>
            </w:pPr>
          </w:p>
        </w:tc>
      </w:tr>
      <w:tr w:rsidR="00CC42CB" w:rsidRPr="00675182" w14:paraId="1BD68276"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3FF740A0" w14:textId="77777777" w:rsidR="00CC42CB" w:rsidRPr="00675182" w:rsidRDefault="00CC42CB">
            <w:pPr>
              <w:rPr>
                <w:rFonts w:cstheme="minorHAnsi"/>
                <w:color w:val="000000"/>
                <w:szCs w:val="24"/>
              </w:rPr>
            </w:pPr>
            <w:r w:rsidRPr="00675182">
              <w:rPr>
                <w:rFonts w:cstheme="minorHAnsi"/>
              </w:rPr>
              <w:t>Dzelves ezeri (Unguru-Grīvu purvs, 3 ezeri)</w:t>
            </w:r>
          </w:p>
        </w:tc>
        <w:tc>
          <w:tcPr>
            <w:tcW w:w="1843" w:type="dxa"/>
            <w:tcBorders>
              <w:top w:val="nil"/>
              <w:left w:val="nil"/>
              <w:bottom w:val="single" w:sz="8" w:space="0" w:color="auto"/>
              <w:right w:val="single" w:sz="8" w:space="0" w:color="auto"/>
            </w:tcBorders>
            <w:noWrap/>
            <w:vAlign w:val="center"/>
            <w:hideMark/>
          </w:tcPr>
          <w:p w14:paraId="0B771431"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FFFF00"/>
            <w:vAlign w:val="center"/>
            <w:hideMark/>
          </w:tcPr>
          <w:p w14:paraId="724E5C03" w14:textId="77777777" w:rsidR="00CC42CB" w:rsidRPr="00675182" w:rsidRDefault="00CC42CB" w:rsidP="00595C7E">
            <w:pPr>
              <w:jc w:val="center"/>
              <w:rPr>
                <w:rFonts w:cstheme="minorHAnsi"/>
                <w:color w:val="000000"/>
                <w:szCs w:val="24"/>
              </w:rPr>
            </w:pPr>
            <w:r w:rsidRPr="00675182">
              <w:rPr>
                <w:rFonts w:cstheme="minorHAnsi"/>
              </w:rPr>
              <w:t>Vidēja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CD27B" w14:textId="77777777" w:rsidR="00CC42CB" w:rsidRPr="00675182" w:rsidRDefault="00CC42CB" w:rsidP="00595C7E">
            <w:pPr>
              <w:jc w:val="center"/>
              <w:rPr>
                <w:rFonts w:cstheme="minorHAnsi"/>
                <w:color w:val="000000"/>
                <w:szCs w:val="24"/>
              </w:rPr>
            </w:pPr>
            <w:r w:rsidRPr="00675182">
              <w:rPr>
                <w:rFonts w:cstheme="minorHAnsi"/>
                <w:color w:val="000000"/>
                <w:szCs w:val="24"/>
              </w:rPr>
              <w:t>11,1</w:t>
            </w:r>
          </w:p>
        </w:tc>
        <w:tc>
          <w:tcPr>
            <w:tcW w:w="1227" w:type="dxa"/>
            <w:tcBorders>
              <w:top w:val="nil"/>
              <w:left w:val="single" w:sz="4" w:space="0" w:color="auto"/>
              <w:bottom w:val="single" w:sz="8" w:space="0" w:color="auto"/>
              <w:right w:val="single" w:sz="8" w:space="0" w:color="auto"/>
            </w:tcBorders>
            <w:vAlign w:val="center"/>
          </w:tcPr>
          <w:p w14:paraId="29938809" w14:textId="77777777" w:rsidR="00CC42CB" w:rsidRPr="00675182" w:rsidRDefault="00CC42CB" w:rsidP="00595C7E">
            <w:pPr>
              <w:jc w:val="center"/>
              <w:rPr>
                <w:rFonts w:cstheme="minorHAnsi"/>
                <w:color w:val="000000"/>
                <w:szCs w:val="24"/>
              </w:rPr>
            </w:pPr>
          </w:p>
        </w:tc>
      </w:tr>
      <w:tr w:rsidR="00CC42CB" w:rsidRPr="00675182" w14:paraId="79B5BAE7"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0F579D65" w14:textId="77777777" w:rsidR="00CC42CB" w:rsidRPr="00675182" w:rsidRDefault="00CC42CB">
            <w:pPr>
              <w:rPr>
                <w:rFonts w:cstheme="minorHAnsi"/>
              </w:rPr>
            </w:pPr>
            <w:r w:rsidRPr="00675182">
              <w:rPr>
                <w:rFonts w:cstheme="minorHAnsi"/>
              </w:rPr>
              <w:t>Dzelvīte (pie Ungura)</w:t>
            </w:r>
          </w:p>
        </w:tc>
        <w:tc>
          <w:tcPr>
            <w:tcW w:w="1843" w:type="dxa"/>
            <w:tcBorders>
              <w:top w:val="nil"/>
              <w:left w:val="nil"/>
              <w:bottom w:val="single" w:sz="8" w:space="0" w:color="auto"/>
              <w:right w:val="single" w:sz="8" w:space="0" w:color="auto"/>
            </w:tcBorders>
            <w:noWrap/>
            <w:vAlign w:val="center"/>
            <w:hideMark/>
          </w:tcPr>
          <w:p w14:paraId="2F3DEBD5" w14:textId="77777777" w:rsidR="00CC42CB" w:rsidRPr="00675182" w:rsidRDefault="00CC42CB" w:rsidP="00595C7E">
            <w:pPr>
              <w:jc w:val="center"/>
              <w:rPr>
                <w:rFonts w:cstheme="minorHAnsi"/>
              </w:rPr>
            </w:pPr>
            <w:r w:rsidRPr="00675182">
              <w:rPr>
                <w:rFonts w:cstheme="minorHAnsi"/>
              </w:rPr>
              <w:t>3160</w:t>
            </w:r>
          </w:p>
        </w:tc>
        <w:tc>
          <w:tcPr>
            <w:tcW w:w="1324" w:type="dxa"/>
            <w:tcBorders>
              <w:top w:val="nil"/>
              <w:left w:val="nil"/>
              <w:bottom w:val="single" w:sz="8" w:space="0" w:color="auto"/>
              <w:right w:val="single" w:sz="4" w:space="0" w:color="auto"/>
            </w:tcBorders>
            <w:vAlign w:val="center"/>
          </w:tcPr>
          <w:p w14:paraId="758D106F" w14:textId="77777777" w:rsidR="00CC42CB" w:rsidRPr="00675182" w:rsidRDefault="00CC42CB" w:rsidP="00595C7E">
            <w:pPr>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FBC6C28" w14:textId="77777777" w:rsidR="00CC42CB" w:rsidRPr="00675182" w:rsidRDefault="00CC42CB" w:rsidP="00595C7E">
            <w:pPr>
              <w:jc w:val="center"/>
              <w:rPr>
                <w:rFonts w:cstheme="minorHAnsi"/>
                <w:color w:val="000000"/>
                <w:szCs w:val="24"/>
              </w:rPr>
            </w:pPr>
            <w:r w:rsidRPr="00675182">
              <w:rPr>
                <w:rFonts w:cstheme="minorHAnsi"/>
                <w:color w:val="000000"/>
                <w:szCs w:val="24"/>
              </w:rPr>
              <w:t>1,6</w:t>
            </w:r>
          </w:p>
        </w:tc>
        <w:tc>
          <w:tcPr>
            <w:tcW w:w="1227" w:type="dxa"/>
            <w:tcBorders>
              <w:top w:val="nil"/>
              <w:left w:val="single" w:sz="4" w:space="0" w:color="auto"/>
              <w:bottom w:val="single" w:sz="8" w:space="0" w:color="auto"/>
              <w:right w:val="single" w:sz="8" w:space="0" w:color="auto"/>
            </w:tcBorders>
            <w:vAlign w:val="center"/>
          </w:tcPr>
          <w:p w14:paraId="3A8E21DC" w14:textId="77777777" w:rsidR="00CC42CB" w:rsidRPr="00675182" w:rsidRDefault="00CC42CB" w:rsidP="00595C7E">
            <w:pPr>
              <w:jc w:val="center"/>
              <w:rPr>
                <w:rFonts w:cstheme="minorHAnsi"/>
                <w:color w:val="000000"/>
                <w:szCs w:val="24"/>
              </w:rPr>
            </w:pPr>
          </w:p>
        </w:tc>
      </w:tr>
      <w:tr w:rsidR="00CC42CB" w:rsidRPr="00675182" w14:paraId="340797BA"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4BD022C8" w14:textId="77777777" w:rsidR="00CC42CB" w:rsidRPr="00675182" w:rsidRDefault="00CC42CB">
            <w:pPr>
              <w:rPr>
                <w:rFonts w:cstheme="minorHAnsi"/>
              </w:rPr>
            </w:pPr>
            <w:r w:rsidRPr="00675182">
              <w:rPr>
                <w:rFonts w:cstheme="minorHAnsi"/>
              </w:rPr>
              <w:t>Pulles ezers</w:t>
            </w:r>
          </w:p>
        </w:tc>
        <w:tc>
          <w:tcPr>
            <w:tcW w:w="1843" w:type="dxa"/>
            <w:tcBorders>
              <w:top w:val="nil"/>
              <w:left w:val="nil"/>
              <w:bottom w:val="single" w:sz="8" w:space="0" w:color="auto"/>
              <w:right w:val="single" w:sz="8" w:space="0" w:color="auto"/>
            </w:tcBorders>
            <w:noWrap/>
            <w:vAlign w:val="center"/>
            <w:hideMark/>
          </w:tcPr>
          <w:p w14:paraId="0AD33E08" w14:textId="77777777" w:rsidR="00CC42CB" w:rsidRPr="00675182" w:rsidRDefault="00CC42CB" w:rsidP="00595C7E">
            <w:pPr>
              <w:jc w:val="center"/>
              <w:rPr>
                <w:rFonts w:cstheme="minorHAnsi"/>
              </w:rPr>
            </w:pPr>
            <w:r w:rsidRPr="00675182">
              <w:rPr>
                <w:rFonts w:cstheme="minorHAnsi"/>
              </w:rPr>
              <w:t>3160</w:t>
            </w:r>
          </w:p>
        </w:tc>
        <w:tc>
          <w:tcPr>
            <w:tcW w:w="1324" w:type="dxa"/>
            <w:tcBorders>
              <w:top w:val="nil"/>
              <w:left w:val="nil"/>
              <w:bottom w:val="single" w:sz="8" w:space="0" w:color="auto"/>
              <w:right w:val="single" w:sz="4" w:space="0" w:color="auto"/>
            </w:tcBorders>
            <w:vAlign w:val="center"/>
          </w:tcPr>
          <w:p w14:paraId="64FF778B" w14:textId="77777777" w:rsidR="00CC42CB" w:rsidRPr="00675182" w:rsidRDefault="00CC42CB" w:rsidP="00595C7E">
            <w:pPr>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79A0A01" w14:textId="77777777" w:rsidR="00CC42CB" w:rsidRPr="00675182" w:rsidRDefault="00CC42CB" w:rsidP="00595C7E">
            <w:pPr>
              <w:jc w:val="center"/>
              <w:rPr>
                <w:rFonts w:cstheme="minorHAnsi"/>
                <w:color w:val="000000"/>
                <w:szCs w:val="24"/>
              </w:rPr>
            </w:pPr>
            <w:r w:rsidRPr="00675182">
              <w:rPr>
                <w:rFonts w:cstheme="minorHAnsi"/>
                <w:color w:val="000000"/>
                <w:szCs w:val="24"/>
              </w:rPr>
              <w:t>2,4</w:t>
            </w:r>
          </w:p>
        </w:tc>
        <w:tc>
          <w:tcPr>
            <w:tcW w:w="1227" w:type="dxa"/>
            <w:tcBorders>
              <w:top w:val="nil"/>
              <w:left w:val="single" w:sz="4" w:space="0" w:color="auto"/>
              <w:bottom w:val="single" w:sz="8" w:space="0" w:color="auto"/>
              <w:right w:val="single" w:sz="8" w:space="0" w:color="auto"/>
            </w:tcBorders>
            <w:vAlign w:val="center"/>
          </w:tcPr>
          <w:p w14:paraId="2B7EA188" w14:textId="77777777" w:rsidR="00CC42CB" w:rsidRPr="00675182" w:rsidRDefault="00CC42CB" w:rsidP="00595C7E">
            <w:pPr>
              <w:jc w:val="center"/>
              <w:rPr>
                <w:rFonts w:cstheme="minorHAnsi"/>
                <w:color w:val="000000"/>
                <w:szCs w:val="24"/>
              </w:rPr>
            </w:pPr>
          </w:p>
        </w:tc>
      </w:tr>
      <w:tr w:rsidR="00CC42CB" w:rsidRPr="00675182" w14:paraId="49D4735D"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225492B0" w14:textId="77777777" w:rsidR="00CC42CB" w:rsidRPr="00675182" w:rsidRDefault="00CC42CB">
            <w:pPr>
              <w:rPr>
                <w:rFonts w:cstheme="minorHAnsi"/>
                <w:color w:val="000000"/>
                <w:szCs w:val="24"/>
              </w:rPr>
            </w:pPr>
            <w:r w:rsidRPr="00675182">
              <w:rPr>
                <w:rFonts w:cstheme="minorHAnsi"/>
              </w:rPr>
              <w:t>Kārtūžu ezers</w:t>
            </w:r>
          </w:p>
        </w:tc>
        <w:tc>
          <w:tcPr>
            <w:tcW w:w="1843" w:type="dxa"/>
            <w:tcBorders>
              <w:top w:val="nil"/>
              <w:left w:val="nil"/>
              <w:bottom w:val="single" w:sz="8" w:space="0" w:color="auto"/>
              <w:right w:val="single" w:sz="8" w:space="0" w:color="auto"/>
            </w:tcBorders>
            <w:noWrap/>
            <w:vAlign w:val="center"/>
            <w:hideMark/>
          </w:tcPr>
          <w:p w14:paraId="218C34CB"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92D050"/>
            <w:vAlign w:val="center"/>
            <w:hideMark/>
          </w:tcPr>
          <w:p w14:paraId="1AD214D5"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75F4FE" w14:textId="77777777" w:rsidR="00CC42CB" w:rsidRPr="00675182" w:rsidRDefault="00CC42CB" w:rsidP="00595C7E">
            <w:pPr>
              <w:jc w:val="center"/>
              <w:rPr>
                <w:rFonts w:cstheme="minorHAnsi"/>
                <w:color w:val="000000"/>
                <w:szCs w:val="24"/>
              </w:rPr>
            </w:pPr>
            <w:r w:rsidRPr="00675182">
              <w:rPr>
                <w:rFonts w:cstheme="minorHAnsi"/>
                <w:color w:val="000000"/>
                <w:szCs w:val="24"/>
              </w:rPr>
              <w:t>1,1</w:t>
            </w:r>
          </w:p>
        </w:tc>
        <w:tc>
          <w:tcPr>
            <w:tcW w:w="1227" w:type="dxa"/>
            <w:tcBorders>
              <w:top w:val="nil"/>
              <w:left w:val="single" w:sz="4" w:space="0" w:color="auto"/>
              <w:bottom w:val="single" w:sz="8" w:space="0" w:color="auto"/>
              <w:right w:val="single" w:sz="8" w:space="0" w:color="auto"/>
            </w:tcBorders>
            <w:vAlign w:val="center"/>
          </w:tcPr>
          <w:p w14:paraId="30445DEF" w14:textId="77777777" w:rsidR="00CC42CB" w:rsidRPr="00675182" w:rsidRDefault="00CC42CB" w:rsidP="00595C7E">
            <w:pPr>
              <w:jc w:val="center"/>
              <w:rPr>
                <w:rFonts w:cstheme="minorHAnsi"/>
                <w:color w:val="000000"/>
                <w:szCs w:val="24"/>
              </w:rPr>
            </w:pPr>
          </w:p>
        </w:tc>
      </w:tr>
      <w:tr w:rsidR="00CC42CB" w:rsidRPr="00675182" w14:paraId="25D7CEEF"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765A92F2" w14:textId="77777777" w:rsidR="00CC42CB" w:rsidRPr="00675182" w:rsidRDefault="00CC42CB">
            <w:pPr>
              <w:rPr>
                <w:rFonts w:cstheme="minorHAnsi"/>
                <w:color w:val="000000"/>
                <w:szCs w:val="24"/>
              </w:rPr>
            </w:pPr>
            <w:r w:rsidRPr="00675182">
              <w:rPr>
                <w:rFonts w:cstheme="minorHAnsi"/>
              </w:rPr>
              <w:lastRenderedPageBreak/>
              <w:t>Melnezers Gulbju salas purvā</w:t>
            </w:r>
          </w:p>
        </w:tc>
        <w:tc>
          <w:tcPr>
            <w:tcW w:w="1843" w:type="dxa"/>
            <w:tcBorders>
              <w:top w:val="nil"/>
              <w:left w:val="nil"/>
              <w:bottom w:val="single" w:sz="8" w:space="0" w:color="auto"/>
              <w:right w:val="single" w:sz="8" w:space="0" w:color="auto"/>
            </w:tcBorders>
            <w:noWrap/>
            <w:vAlign w:val="center"/>
            <w:hideMark/>
          </w:tcPr>
          <w:p w14:paraId="0BC437CB"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92D050"/>
            <w:vAlign w:val="center"/>
            <w:hideMark/>
          </w:tcPr>
          <w:p w14:paraId="019D0D30"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0FA4E3" w14:textId="77777777" w:rsidR="00CC42CB" w:rsidRPr="00675182" w:rsidRDefault="00CC42CB" w:rsidP="00595C7E">
            <w:pPr>
              <w:jc w:val="center"/>
              <w:rPr>
                <w:rFonts w:cstheme="minorHAnsi"/>
                <w:color w:val="000000"/>
                <w:szCs w:val="24"/>
              </w:rPr>
            </w:pPr>
            <w:r w:rsidRPr="00675182">
              <w:rPr>
                <w:rFonts w:cstheme="minorHAnsi"/>
                <w:color w:val="000000"/>
                <w:szCs w:val="24"/>
              </w:rPr>
              <w:t>11,0</w:t>
            </w:r>
          </w:p>
        </w:tc>
        <w:tc>
          <w:tcPr>
            <w:tcW w:w="1227" w:type="dxa"/>
            <w:tcBorders>
              <w:top w:val="nil"/>
              <w:left w:val="single" w:sz="4" w:space="0" w:color="auto"/>
              <w:bottom w:val="single" w:sz="8" w:space="0" w:color="auto"/>
              <w:right w:val="single" w:sz="8" w:space="0" w:color="auto"/>
            </w:tcBorders>
            <w:vAlign w:val="center"/>
          </w:tcPr>
          <w:p w14:paraId="50353FA7" w14:textId="77777777" w:rsidR="00CC42CB" w:rsidRPr="00675182" w:rsidRDefault="00CC42CB" w:rsidP="00595C7E">
            <w:pPr>
              <w:jc w:val="center"/>
              <w:rPr>
                <w:rFonts w:cstheme="minorHAnsi"/>
                <w:color w:val="000000"/>
                <w:szCs w:val="24"/>
              </w:rPr>
            </w:pPr>
          </w:p>
        </w:tc>
      </w:tr>
      <w:tr w:rsidR="00CC42CB" w:rsidRPr="00675182" w14:paraId="7AB61CD1"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632A6935" w14:textId="77777777" w:rsidR="00CC42CB" w:rsidRPr="00675182" w:rsidRDefault="00CC42CB">
            <w:pPr>
              <w:rPr>
                <w:rFonts w:cstheme="minorHAnsi"/>
                <w:color w:val="000000"/>
                <w:szCs w:val="24"/>
              </w:rPr>
            </w:pPr>
            <w:r w:rsidRPr="00675182">
              <w:rPr>
                <w:rFonts w:cstheme="minorHAnsi"/>
              </w:rPr>
              <w:t>Melnezers, Straupes pag.</w:t>
            </w:r>
          </w:p>
        </w:tc>
        <w:tc>
          <w:tcPr>
            <w:tcW w:w="1843" w:type="dxa"/>
            <w:tcBorders>
              <w:top w:val="nil"/>
              <w:left w:val="nil"/>
              <w:bottom w:val="single" w:sz="8" w:space="0" w:color="auto"/>
              <w:right w:val="single" w:sz="8" w:space="0" w:color="auto"/>
            </w:tcBorders>
            <w:noWrap/>
            <w:vAlign w:val="center"/>
            <w:hideMark/>
          </w:tcPr>
          <w:p w14:paraId="6D1313E8"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92D050"/>
            <w:vAlign w:val="center"/>
            <w:hideMark/>
          </w:tcPr>
          <w:p w14:paraId="0FEF9C93"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567F74" w14:textId="77777777" w:rsidR="00CC42CB" w:rsidRPr="00675182" w:rsidRDefault="00CC42CB" w:rsidP="00595C7E">
            <w:pPr>
              <w:jc w:val="center"/>
              <w:rPr>
                <w:rFonts w:cstheme="minorHAnsi"/>
                <w:color w:val="000000"/>
                <w:szCs w:val="24"/>
              </w:rPr>
            </w:pPr>
            <w:r w:rsidRPr="00675182">
              <w:rPr>
                <w:rFonts w:cstheme="minorHAnsi"/>
                <w:color w:val="000000"/>
                <w:szCs w:val="24"/>
              </w:rPr>
              <w:t>2,6</w:t>
            </w:r>
          </w:p>
        </w:tc>
        <w:tc>
          <w:tcPr>
            <w:tcW w:w="1227" w:type="dxa"/>
            <w:tcBorders>
              <w:top w:val="nil"/>
              <w:left w:val="single" w:sz="4" w:space="0" w:color="auto"/>
              <w:bottom w:val="single" w:sz="8" w:space="0" w:color="auto"/>
              <w:right w:val="single" w:sz="8" w:space="0" w:color="auto"/>
            </w:tcBorders>
            <w:vAlign w:val="center"/>
          </w:tcPr>
          <w:p w14:paraId="6F646CFD" w14:textId="77777777" w:rsidR="00CC42CB" w:rsidRPr="00675182" w:rsidRDefault="00CC42CB" w:rsidP="00595C7E">
            <w:pPr>
              <w:jc w:val="center"/>
              <w:rPr>
                <w:rFonts w:cstheme="minorHAnsi"/>
                <w:color w:val="000000"/>
                <w:szCs w:val="24"/>
              </w:rPr>
            </w:pPr>
          </w:p>
        </w:tc>
      </w:tr>
      <w:tr w:rsidR="00CC42CB" w:rsidRPr="00675182" w14:paraId="409F5833"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377C8852" w14:textId="77777777" w:rsidR="00CC42CB" w:rsidRPr="00675182" w:rsidRDefault="00CC42CB">
            <w:pPr>
              <w:rPr>
                <w:rFonts w:cstheme="minorHAnsi"/>
                <w:color w:val="000000"/>
                <w:szCs w:val="24"/>
              </w:rPr>
            </w:pPr>
            <w:r w:rsidRPr="00675182">
              <w:rPr>
                <w:rFonts w:cstheme="minorHAnsi"/>
              </w:rPr>
              <w:t>Dzelves, Sudas purvs (Pīļu un 2 mazas)</w:t>
            </w:r>
          </w:p>
        </w:tc>
        <w:tc>
          <w:tcPr>
            <w:tcW w:w="1843" w:type="dxa"/>
            <w:tcBorders>
              <w:top w:val="nil"/>
              <w:left w:val="nil"/>
              <w:bottom w:val="single" w:sz="8" w:space="0" w:color="auto"/>
              <w:right w:val="single" w:sz="8" w:space="0" w:color="auto"/>
            </w:tcBorders>
            <w:noWrap/>
            <w:vAlign w:val="center"/>
            <w:hideMark/>
          </w:tcPr>
          <w:p w14:paraId="3F867826"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00B0F0"/>
            <w:vAlign w:val="center"/>
            <w:hideMark/>
          </w:tcPr>
          <w:p w14:paraId="24BC12C9" w14:textId="77777777" w:rsidR="00CC42CB" w:rsidRPr="00675182" w:rsidRDefault="00CC42CB" w:rsidP="00595C7E">
            <w:pPr>
              <w:jc w:val="center"/>
              <w:rPr>
                <w:rFonts w:cstheme="minorHAnsi"/>
                <w:color w:val="000000"/>
                <w:szCs w:val="24"/>
              </w:rPr>
            </w:pPr>
            <w:r w:rsidRPr="00675182">
              <w:rPr>
                <w:rFonts w:cstheme="minorHAnsi"/>
              </w:rPr>
              <w:t>Izcila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297FB6" w14:textId="77777777" w:rsidR="00CC42CB" w:rsidRPr="00675182" w:rsidRDefault="00CC42CB" w:rsidP="00595C7E">
            <w:pPr>
              <w:jc w:val="center"/>
              <w:rPr>
                <w:rFonts w:cstheme="minorHAnsi"/>
                <w:color w:val="000000"/>
                <w:szCs w:val="24"/>
              </w:rPr>
            </w:pPr>
            <w:r w:rsidRPr="00675182">
              <w:rPr>
                <w:rFonts w:cstheme="minorHAnsi"/>
                <w:color w:val="000000"/>
                <w:szCs w:val="24"/>
              </w:rPr>
              <w:t>4,7</w:t>
            </w:r>
          </w:p>
        </w:tc>
        <w:tc>
          <w:tcPr>
            <w:tcW w:w="1227" w:type="dxa"/>
            <w:tcBorders>
              <w:top w:val="nil"/>
              <w:left w:val="single" w:sz="4" w:space="0" w:color="auto"/>
              <w:bottom w:val="single" w:sz="8" w:space="0" w:color="auto"/>
              <w:right w:val="single" w:sz="8" w:space="0" w:color="auto"/>
            </w:tcBorders>
            <w:vAlign w:val="center"/>
          </w:tcPr>
          <w:p w14:paraId="79154906" w14:textId="77777777" w:rsidR="00CC42CB" w:rsidRPr="00675182" w:rsidRDefault="00CC42CB" w:rsidP="00595C7E">
            <w:pPr>
              <w:jc w:val="center"/>
              <w:rPr>
                <w:rFonts w:cstheme="minorHAnsi"/>
                <w:color w:val="000000"/>
                <w:szCs w:val="24"/>
              </w:rPr>
            </w:pPr>
          </w:p>
        </w:tc>
      </w:tr>
      <w:tr w:rsidR="00CC42CB" w:rsidRPr="00675182" w14:paraId="1834402F"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3C078175" w14:textId="77777777" w:rsidR="00CC42CB" w:rsidRPr="00675182" w:rsidRDefault="00CC42CB">
            <w:pPr>
              <w:rPr>
                <w:rFonts w:cstheme="minorHAnsi"/>
                <w:color w:val="000000"/>
                <w:szCs w:val="24"/>
              </w:rPr>
            </w:pPr>
            <w:r w:rsidRPr="00675182">
              <w:rPr>
                <w:rFonts w:cstheme="minorHAnsi"/>
              </w:rPr>
              <w:t>Salas ezers, Sudas purvs</w:t>
            </w:r>
          </w:p>
        </w:tc>
        <w:tc>
          <w:tcPr>
            <w:tcW w:w="1843" w:type="dxa"/>
            <w:tcBorders>
              <w:top w:val="nil"/>
              <w:left w:val="nil"/>
              <w:bottom w:val="single" w:sz="8" w:space="0" w:color="auto"/>
              <w:right w:val="single" w:sz="8" w:space="0" w:color="auto"/>
            </w:tcBorders>
            <w:noWrap/>
            <w:vAlign w:val="center"/>
            <w:hideMark/>
          </w:tcPr>
          <w:p w14:paraId="06FE32AF"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92D050"/>
            <w:vAlign w:val="center"/>
            <w:hideMark/>
          </w:tcPr>
          <w:p w14:paraId="60EB1A7F"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645972" w14:textId="77777777" w:rsidR="00CC42CB" w:rsidRPr="00675182" w:rsidRDefault="00CC42CB" w:rsidP="00595C7E">
            <w:pPr>
              <w:jc w:val="center"/>
              <w:rPr>
                <w:rFonts w:cstheme="minorHAnsi"/>
                <w:color w:val="000000"/>
                <w:szCs w:val="24"/>
              </w:rPr>
            </w:pPr>
            <w:r w:rsidRPr="00675182">
              <w:rPr>
                <w:rFonts w:cstheme="minorHAnsi"/>
                <w:color w:val="000000"/>
                <w:szCs w:val="24"/>
              </w:rPr>
              <w:t>7,8</w:t>
            </w:r>
          </w:p>
        </w:tc>
        <w:tc>
          <w:tcPr>
            <w:tcW w:w="1227" w:type="dxa"/>
            <w:tcBorders>
              <w:top w:val="nil"/>
              <w:left w:val="single" w:sz="4" w:space="0" w:color="auto"/>
              <w:bottom w:val="single" w:sz="8" w:space="0" w:color="auto"/>
              <w:right w:val="single" w:sz="8" w:space="0" w:color="auto"/>
            </w:tcBorders>
            <w:vAlign w:val="center"/>
          </w:tcPr>
          <w:p w14:paraId="42C8460D" w14:textId="77777777" w:rsidR="00CC42CB" w:rsidRPr="00675182" w:rsidRDefault="00CC42CB" w:rsidP="00595C7E">
            <w:pPr>
              <w:jc w:val="center"/>
              <w:rPr>
                <w:rFonts w:cstheme="minorHAnsi"/>
                <w:color w:val="000000"/>
                <w:szCs w:val="24"/>
              </w:rPr>
            </w:pPr>
          </w:p>
        </w:tc>
      </w:tr>
      <w:tr w:rsidR="00CC42CB" w:rsidRPr="00675182" w14:paraId="34660BF8"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278F0E49" w14:textId="77777777" w:rsidR="00CC42CB" w:rsidRPr="00675182" w:rsidRDefault="00CC42CB">
            <w:pPr>
              <w:rPr>
                <w:rFonts w:cstheme="minorHAnsi"/>
                <w:color w:val="000000"/>
                <w:szCs w:val="24"/>
              </w:rPr>
            </w:pPr>
            <w:r w:rsidRPr="00675182">
              <w:rPr>
                <w:rFonts w:cstheme="minorHAnsi"/>
              </w:rPr>
              <w:t>Sāls (Salas) ezers</w:t>
            </w:r>
          </w:p>
        </w:tc>
        <w:tc>
          <w:tcPr>
            <w:tcW w:w="1843" w:type="dxa"/>
            <w:tcBorders>
              <w:top w:val="nil"/>
              <w:left w:val="nil"/>
              <w:bottom w:val="single" w:sz="8" w:space="0" w:color="auto"/>
              <w:right w:val="single" w:sz="8" w:space="0" w:color="auto"/>
            </w:tcBorders>
            <w:noWrap/>
            <w:vAlign w:val="center"/>
            <w:hideMark/>
          </w:tcPr>
          <w:p w14:paraId="3623DDBD"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92D050"/>
            <w:vAlign w:val="center"/>
            <w:hideMark/>
          </w:tcPr>
          <w:p w14:paraId="18FE5F9F"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A726EF" w14:textId="77777777" w:rsidR="00CC42CB" w:rsidRPr="00675182" w:rsidRDefault="00CC42CB" w:rsidP="00595C7E">
            <w:pPr>
              <w:jc w:val="center"/>
              <w:rPr>
                <w:rFonts w:cstheme="minorHAnsi"/>
              </w:rPr>
            </w:pPr>
            <w:r w:rsidRPr="00675182">
              <w:rPr>
                <w:rFonts w:cstheme="minorHAnsi"/>
              </w:rPr>
              <w:t>1,6</w:t>
            </w:r>
          </w:p>
        </w:tc>
        <w:tc>
          <w:tcPr>
            <w:tcW w:w="1227" w:type="dxa"/>
            <w:tcBorders>
              <w:top w:val="nil"/>
              <w:left w:val="single" w:sz="4" w:space="0" w:color="auto"/>
              <w:bottom w:val="single" w:sz="8" w:space="0" w:color="auto"/>
              <w:right w:val="single" w:sz="8" w:space="0" w:color="auto"/>
            </w:tcBorders>
            <w:vAlign w:val="center"/>
            <w:hideMark/>
          </w:tcPr>
          <w:p w14:paraId="348D864D" w14:textId="77777777" w:rsidR="00CC42CB" w:rsidRPr="00675182" w:rsidRDefault="00CC42CB" w:rsidP="00595C7E">
            <w:pPr>
              <w:jc w:val="center"/>
              <w:rPr>
                <w:rFonts w:cstheme="minorHAnsi"/>
                <w:color w:val="000000"/>
                <w:szCs w:val="24"/>
              </w:rPr>
            </w:pPr>
            <w:r w:rsidRPr="00675182">
              <w:rPr>
                <w:rFonts w:cstheme="minorHAnsi"/>
              </w:rPr>
              <w:t>1</w:t>
            </w:r>
          </w:p>
        </w:tc>
      </w:tr>
      <w:tr w:rsidR="00CC42CB" w:rsidRPr="00675182" w14:paraId="39013983"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49E5F452" w14:textId="77777777" w:rsidR="00CC42CB" w:rsidRPr="00675182" w:rsidRDefault="00CC42CB">
            <w:pPr>
              <w:rPr>
                <w:rFonts w:cstheme="minorHAnsi"/>
                <w:color w:val="000000"/>
                <w:szCs w:val="24"/>
              </w:rPr>
            </w:pPr>
            <w:r w:rsidRPr="00675182">
              <w:rPr>
                <w:rFonts w:cstheme="minorHAnsi"/>
              </w:rPr>
              <w:t>Velna ez., Sudas purvs</w:t>
            </w:r>
          </w:p>
        </w:tc>
        <w:tc>
          <w:tcPr>
            <w:tcW w:w="1843" w:type="dxa"/>
            <w:tcBorders>
              <w:top w:val="nil"/>
              <w:left w:val="nil"/>
              <w:bottom w:val="single" w:sz="8" w:space="0" w:color="auto"/>
              <w:right w:val="single" w:sz="8" w:space="0" w:color="auto"/>
            </w:tcBorders>
            <w:noWrap/>
            <w:vAlign w:val="center"/>
            <w:hideMark/>
          </w:tcPr>
          <w:p w14:paraId="15DAD5B8"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92D050"/>
            <w:vAlign w:val="center"/>
            <w:hideMark/>
          </w:tcPr>
          <w:p w14:paraId="0745A4DA"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D1EABB" w14:textId="77777777" w:rsidR="00CC42CB" w:rsidRPr="00675182" w:rsidRDefault="00CC42CB" w:rsidP="00595C7E">
            <w:pPr>
              <w:jc w:val="center"/>
              <w:rPr>
                <w:rFonts w:cstheme="minorHAnsi"/>
                <w:color w:val="000000"/>
                <w:szCs w:val="24"/>
              </w:rPr>
            </w:pPr>
            <w:r w:rsidRPr="00675182">
              <w:rPr>
                <w:rFonts w:cstheme="minorHAnsi"/>
                <w:color w:val="000000"/>
                <w:szCs w:val="24"/>
              </w:rPr>
              <w:t>5,6</w:t>
            </w:r>
          </w:p>
        </w:tc>
        <w:tc>
          <w:tcPr>
            <w:tcW w:w="1227" w:type="dxa"/>
            <w:tcBorders>
              <w:top w:val="nil"/>
              <w:left w:val="single" w:sz="4" w:space="0" w:color="auto"/>
              <w:bottom w:val="single" w:sz="8" w:space="0" w:color="auto"/>
              <w:right w:val="single" w:sz="8" w:space="0" w:color="auto"/>
            </w:tcBorders>
            <w:vAlign w:val="center"/>
          </w:tcPr>
          <w:p w14:paraId="3126CFDE" w14:textId="77777777" w:rsidR="00CC42CB" w:rsidRPr="00675182" w:rsidRDefault="00CC42CB" w:rsidP="00595C7E">
            <w:pPr>
              <w:jc w:val="center"/>
              <w:rPr>
                <w:rFonts w:cstheme="minorHAnsi"/>
                <w:color w:val="000000"/>
                <w:szCs w:val="24"/>
              </w:rPr>
            </w:pPr>
          </w:p>
        </w:tc>
      </w:tr>
      <w:tr w:rsidR="00CC42CB" w:rsidRPr="00675182" w14:paraId="58BD161E" w14:textId="77777777" w:rsidTr="00635FB1">
        <w:trPr>
          <w:trHeight w:val="300"/>
        </w:trPr>
        <w:tc>
          <w:tcPr>
            <w:tcW w:w="3021" w:type="dxa"/>
            <w:tcBorders>
              <w:top w:val="single" w:sz="4" w:space="0" w:color="auto"/>
              <w:left w:val="single" w:sz="4" w:space="0" w:color="auto"/>
              <w:bottom w:val="single" w:sz="4" w:space="0" w:color="auto"/>
              <w:right w:val="single" w:sz="4" w:space="0" w:color="auto"/>
            </w:tcBorders>
            <w:noWrap/>
            <w:hideMark/>
          </w:tcPr>
          <w:p w14:paraId="7F082376" w14:textId="77777777" w:rsidR="00CC42CB" w:rsidRPr="00675182" w:rsidRDefault="00CC42CB">
            <w:pPr>
              <w:rPr>
                <w:rFonts w:cstheme="minorHAnsi"/>
                <w:color w:val="000000"/>
                <w:szCs w:val="24"/>
              </w:rPr>
            </w:pPr>
            <w:r w:rsidRPr="00675182">
              <w:rPr>
                <w:rFonts w:cstheme="minorHAnsi"/>
              </w:rPr>
              <w:t>Zviedru ez., Sudas purvs</w:t>
            </w:r>
          </w:p>
        </w:tc>
        <w:tc>
          <w:tcPr>
            <w:tcW w:w="1843" w:type="dxa"/>
            <w:tcBorders>
              <w:top w:val="nil"/>
              <w:left w:val="nil"/>
              <w:bottom w:val="single" w:sz="8" w:space="0" w:color="auto"/>
              <w:right w:val="single" w:sz="8" w:space="0" w:color="auto"/>
            </w:tcBorders>
            <w:noWrap/>
            <w:vAlign w:val="center"/>
            <w:hideMark/>
          </w:tcPr>
          <w:p w14:paraId="76457401" w14:textId="77777777" w:rsidR="00CC42CB" w:rsidRPr="00675182" w:rsidRDefault="00CC42CB" w:rsidP="00595C7E">
            <w:pPr>
              <w:jc w:val="center"/>
              <w:rPr>
                <w:rFonts w:cstheme="minorHAnsi"/>
                <w:color w:val="000000"/>
                <w:szCs w:val="24"/>
              </w:rPr>
            </w:pPr>
            <w:r w:rsidRPr="00675182">
              <w:rPr>
                <w:rFonts w:cstheme="minorHAnsi"/>
              </w:rPr>
              <w:t>3160</w:t>
            </w:r>
          </w:p>
        </w:tc>
        <w:tc>
          <w:tcPr>
            <w:tcW w:w="1324" w:type="dxa"/>
            <w:tcBorders>
              <w:top w:val="nil"/>
              <w:left w:val="nil"/>
              <w:bottom w:val="single" w:sz="8" w:space="0" w:color="auto"/>
              <w:right w:val="single" w:sz="4" w:space="0" w:color="auto"/>
            </w:tcBorders>
            <w:shd w:val="clear" w:color="auto" w:fill="92D050"/>
            <w:vAlign w:val="center"/>
            <w:hideMark/>
          </w:tcPr>
          <w:p w14:paraId="61803A3B" w14:textId="77777777" w:rsidR="00CC42CB" w:rsidRPr="00675182" w:rsidRDefault="00CC42CB" w:rsidP="00595C7E">
            <w:pPr>
              <w:jc w:val="center"/>
              <w:rPr>
                <w:rFonts w:cstheme="minorHAnsi"/>
                <w:color w:val="000000"/>
                <w:szCs w:val="24"/>
              </w:rPr>
            </w:pPr>
            <w:r w:rsidRPr="00675182">
              <w:rPr>
                <w:rFonts w:cstheme="minorHAnsi"/>
              </w:rPr>
              <w:t>Laba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46CA9E" w14:textId="77777777" w:rsidR="00CC42CB" w:rsidRPr="00675182" w:rsidRDefault="00CC42CB" w:rsidP="00595C7E">
            <w:pPr>
              <w:jc w:val="center"/>
              <w:rPr>
                <w:rFonts w:cstheme="minorHAnsi"/>
              </w:rPr>
            </w:pPr>
            <w:r w:rsidRPr="00675182">
              <w:rPr>
                <w:rFonts w:cstheme="minorHAnsi"/>
              </w:rPr>
              <w:t>27,3</w:t>
            </w:r>
          </w:p>
        </w:tc>
        <w:tc>
          <w:tcPr>
            <w:tcW w:w="1227" w:type="dxa"/>
            <w:tcBorders>
              <w:top w:val="nil"/>
              <w:left w:val="single" w:sz="4" w:space="0" w:color="auto"/>
              <w:bottom w:val="single" w:sz="8" w:space="0" w:color="auto"/>
              <w:right w:val="single" w:sz="8" w:space="0" w:color="auto"/>
            </w:tcBorders>
            <w:vAlign w:val="center"/>
            <w:hideMark/>
          </w:tcPr>
          <w:p w14:paraId="29D7D96E" w14:textId="77777777" w:rsidR="00CC42CB" w:rsidRPr="00675182" w:rsidRDefault="00CC42CB" w:rsidP="00595C7E">
            <w:pPr>
              <w:jc w:val="center"/>
              <w:rPr>
                <w:rFonts w:cstheme="minorHAnsi"/>
                <w:color w:val="000000"/>
                <w:szCs w:val="24"/>
              </w:rPr>
            </w:pPr>
            <w:r w:rsidRPr="00675182">
              <w:rPr>
                <w:rFonts w:cstheme="minorHAnsi"/>
              </w:rPr>
              <w:t>2</w:t>
            </w:r>
          </w:p>
        </w:tc>
      </w:tr>
    </w:tbl>
    <w:bookmarkEnd w:id="50"/>
    <w:p w14:paraId="69066FD6" w14:textId="77777777" w:rsidR="00CC42CB" w:rsidRPr="00675182" w:rsidRDefault="00CC42CB" w:rsidP="00CC42CB">
      <w:pPr>
        <w:jc w:val="both"/>
        <w:rPr>
          <w:rFonts w:cstheme="minorHAnsi"/>
          <w:bCs/>
        </w:rPr>
      </w:pPr>
      <w:r w:rsidRPr="00675182">
        <w:rPr>
          <w:rFonts w:cstheme="minorHAnsi"/>
          <w:bCs/>
          <w:vertAlign w:val="superscript"/>
        </w:rPr>
        <w:t xml:space="preserve">1 </w:t>
      </w:r>
      <w:r w:rsidRPr="00675182">
        <w:rPr>
          <w:rFonts w:cstheme="minorHAnsi"/>
          <w:bCs/>
        </w:rPr>
        <w:t xml:space="preserve">Datu avots: </w:t>
      </w:r>
      <w:hyperlink r:id="rId153" w:history="1">
        <w:r w:rsidRPr="00675182">
          <w:rPr>
            <w:rStyle w:val="Hyperlink"/>
            <w:rFonts w:cstheme="minorHAnsi"/>
            <w:bCs/>
          </w:rPr>
          <w:t>www.ezeri.lv</w:t>
        </w:r>
      </w:hyperlink>
    </w:p>
    <w:p w14:paraId="587C9CBE" w14:textId="2F7CC149" w:rsidR="00756C6D" w:rsidRPr="00675182" w:rsidRDefault="00756C6D" w:rsidP="002B3341">
      <w:pPr>
        <w:jc w:val="both"/>
        <w:rPr>
          <w:rFonts w:cstheme="minorHAnsi"/>
          <w:b/>
          <w:szCs w:val="24"/>
        </w:rPr>
      </w:pPr>
    </w:p>
    <w:p w14:paraId="39D5C58A" w14:textId="77777777" w:rsidR="00595C7E" w:rsidRPr="00675182" w:rsidRDefault="00595C7E" w:rsidP="00595C7E">
      <w:pPr>
        <w:jc w:val="both"/>
        <w:rPr>
          <w:rFonts w:cstheme="minorHAnsi"/>
          <w:bCs/>
          <w:u w:val="single"/>
        </w:rPr>
      </w:pPr>
      <w:bookmarkStart w:id="51" w:name="_Hlk53512151"/>
      <w:r w:rsidRPr="00675182">
        <w:rPr>
          <w:rFonts w:cstheme="minorHAnsi"/>
          <w:bCs/>
          <w:u w:val="single"/>
        </w:rPr>
        <w:t xml:space="preserve">3130 </w:t>
      </w:r>
      <w:r w:rsidRPr="00675182">
        <w:rPr>
          <w:rFonts w:cstheme="minorHAnsi"/>
          <w:bCs/>
          <w:i/>
          <w:iCs/>
          <w:u w:val="single"/>
        </w:rPr>
        <w:t>Ezeri ar oligotrofām līdz mezotrofām augu sabiedrībām</w:t>
      </w:r>
    </w:p>
    <w:bookmarkEnd w:id="51"/>
    <w:p w14:paraId="4CBD2492" w14:textId="1F7C30D4" w:rsidR="00FE2E05" w:rsidRPr="00675182" w:rsidRDefault="00FE2E05" w:rsidP="00FE2E05">
      <w:pPr>
        <w:jc w:val="both"/>
        <w:rPr>
          <w:rFonts w:cstheme="minorHAnsi"/>
          <w:bCs/>
        </w:rPr>
      </w:pPr>
      <w:r w:rsidRPr="00675182">
        <w:rPr>
          <w:rFonts w:cstheme="minorHAnsi"/>
          <w:bCs/>
        </w:rPr>
        <w:t>Š</w:t>
      </w:r>
      <w:r w:rsidR="00E30597" w:rsidRPr="00675182">
        <w:rPr>
          <w:rFonts w:cstheme="minorHAnsi"/>
          <w:bCs/>
        </w:rPr>
        <w:t>ī</w:t>
      </w:r>
      <w:r w:rsidRPr="00675182">
        <w:rPr>
          <w:rFonts w:cstheme="minorHAnsi"/>
          <w:bCs/>
        </w:rPr>
        <w:t xml:space="preserve"> biotop</w:t>
      </w:r>
      <w:r w:rsidR="00E30597" w:rsidRPr="00675182">
        <w:rPr>
          <w:rFonts w:cstheme="minorHAnsi"/>
          <w:bCs/>
        </w:rPr>
        <w:t>a veids</w:t>
      </w:r>
      <w:r w:rsidRPr="00675182">
        <w:rPr>
          <w:rFonts w:cstheme="minorHAnsi"/>
          <w:bCs/>
        </w:rPr>
        <w:t xml:space="preserve"> Latvijā ir ļoti reti sastopams un apdraudēts. Pēdējā gadsimta laikā ir būtiski samazinājies biotopam atbilstošo ezeru skaits Latvijā, kā arī pasliktinājusies biotopa kvalitāte lielākajā daļā ezeru (Auniņš (red.), 2013). Šāda tipa ezeri ir vienīgā ilgtspējīgā augtene lobēliju-ezereņu kompleksa sugām, no kurām vairums ir reti sastopamas un aizsargājamas. Būtiskākais faktors šādu ezeru ekosistēmas pastāvēšanai ir zema biogēnu koncentrācija ūdenī. Tas nosaka eitrofikācijas procesa lēno attīstību un nodrošina raksturīgajām sugām nepieciešamos barošanās un gaismas apstākļus. </w:t>
      </w:r>
    </w:p>
    <w:p w14:paraId="0F30CBBC" w14:textId="77777777" w:rsidR="00FE2E05" w:rsidRPr="00675182" w:rsidRDefault="00FE2E05" w:rsidP="00FE2E05">
      <w:pPr>
        <w:jc w:val="both"/>
        <w:rPr>
          <w:rFonts w:cstheme="minorHAnsi"/>
          <w:bCs/>
        </w:rPr>
      </w:pPr>
    </w:p>
    <w:p w14:paraId="5E04A4D7" w14:textId="77777777" w:rsidR="00FE2E05" w:rsidRPr="00675182" w:rsidRDefault="00FE2E05" w:rsidP="00FE2E05">
      <w:pPr>
        <w:jc w:val="both"/>
        <w:rPr>
          <w:rFonts w:cstheme="minorHAnsi"/>
          <w:bCs/>
        </w:rPr>
      </w:pPr>
      <w:r w:rsidRPr="00675182">
        <w:rPr>
          <w:rFonts w:cstheme="minorHAnsi"/>
          <w:bCs/>
        </w:rPr>
        <w:t>Biotopa labvēlīgu aizsardzības stāvokli raksturo ūdens sastāvs – zema barības vielu koncentrācija un zema ūdens cietība (nepārsniedz 165 mkS/cm), augsta ūdens caurredzamība un augsta ūdenī izšķīdušā skābekļa koncentrācija līdz piegrunts slānim, skrajas virsūdens augu audzes un neliels detrīta slānis uz gultnes (Urtāns, 2017).</w:t>
      </w:r>
    </w:p>
    <w:p w14:paraId="7334B920" w14:textId="77777777" w:rsidR="00FE2E05" w:rsidRPr="00675182" w:rsidRDefault="00FE2E05" w:rsidP="00FE2E05">
      <w:pPr>
        <w:jc w:val="both"/>
        <w:rPr>
          <w:rFonts w:cstheme="minorHAnsi"/>
          <w:bCs/>
        </w:rPr>
      </w:pPr>
    </w:p>
    <w:p w14:paraId="48AEE57A" w14:textId="7D8FDD59" w:rsidR="00FE2E05" w:rsidRPr="00675182" w:rsidRDefault="00FE2E05" w:rsidP="00FE2E05">
      <w:pPr>
        <w:jc w:val="both"/>
        <w:rPr>
          <w:rFonts w:cstheme="minorHAnsi"/>
          <w:bCs/>
        </w:rPr>
      </w:pPr>
      <w:r w:rsidRPr="00675182">
        <w:rPr>
          <w:rFonts w:cstheme="minorHAnsi"/>
          <w:bCs/>
        </w:rPr>
        <w:t xml:space="preserve">Biotopam 3130 </w:t>
      </w:r>
      <w:r w:rsidRPr="00675182">
        <w:rPr>
          <w:rFonts w:cstheme="minorHAnsi"/>
          <w:bCs/>
          <w:i/>
          <w:iCs/>
        </w:rPr>
        <w:t xml:space="preserve">Ezeri ar oligotrofām līdz mezotrofām augu sabiedrībām </w:t>
      </w:r>
      <w:r w:rsidRPr="00675182">
        <w:rPr>
          <w:rFonts w:cstheme="minorHAnsi"/>
          <w:bCs/>
        </w:rPr>
        <w:t xml:space="preserve">GNP atbilst trīs ezeri – Ninieris, Ungurs un Driškins. Ninieris atbilst šī biotopa 1. variantam – ezeri, kuru ekosistēmā būtiska loma ir tipiskām klases </w:t>
      </w:r>
      <w:r w:rsidRPr="00675182">
        <w:rPr>
          <w:rFonts w:cstheme="minorHAnsi"/>
          <w:bCs/>
          <w:i/>
          <w:iCs/>
        </w:rPr>
        <w:t>Littorelletea</w:t>
      </w:r>
      <w:r w:rsidRPr="00675182">
        <w:rPr>
          <w:rFonts w:cstheme="minorHAnsi"/>
          <w:bCs/>
        </w:rPr>
        <w:t xml:space="preserve"> augu sabiedrībām, ko veido lobēliju-ezereņu komplekss un to pavadošās sugas (skat. </w:t>
      </w:r>
      <w:r w:rsidR="001F4D4F" w:rsidRPr="00675182">
        <w:rPr>
          <w:rFonts w:cstheme="minorHAnsi"/>
          <w:bCs/>
        </w:rPr>
        <w:t>2.3.3</w:t>
      </w:r>
      <w:r w:rsidRPr="00675182">
        <w:rPr>
          <w:rFonts w:cstheme="minorHAnsi"/>
          <w:bCs/>
        </w:rPr>
        <w:t>. attēlu). Savukārt Ungurā pārklājas divi biotopa varianti – 1. variants un 3. variants – semidistrofi ezeri (skat. 2.3.</w:t>
      </w:r>
      <w:r w:rsidR="001F4D4F" w:rsidRPr="00675182">
        <w:rPr>
          <w:rFonts w:cstheme="minorHAnsi"/>
          <w:bCs/>
        </w:rPr>
        <w:t>2</w:t>
      </w:r>
      <w:r w:rsidRPr="00675182">
        <w:rPr>
          <w:rFonts w:cstheme="minorHAnsi"/>
          <w:bCs/>
        </w:rPr>
        <w:t>. attēlu). Driškins atbilst biotopa 3. variantam. Kopējā biotopa platība ir 42</w:t>
      </w:r>
      <w:r w:rsidR="007A6373" w:rsidRPr="00675182">
        <w:rPr>
          <w:rFonts w:cstheme="minorHAnsi"/>
          <w:bCs/>
        </w:rPr>
        <w:t>9</w:t>
      </w:r>
      <w:r w:rsidRPr="00675182">
        <w:rPr>
          <w:rFonts w:cstheme="minorHAnsi"/>
          <w:bCs/>
        </w:rPr>
        <w:t>,</w:t>
      </w:r>
      <w:r w:rsidR="00BA73E5" w:rsidRPr="00675182">
        <w:rPr>
          <w:rFonts w:cstheme="minorHAnsi"/>
          <w:bCs/>
        </w:rPr>
        <w:t>0</w:t>
      </w:r>
      <w:r w:rsidRPr="00675182">
        <w:rPr>
          <w:rFonts w:cstheme="minorHAnsi"/>
          <w:bCs/>
        </w:rPr>
        <w:t xml:space="preserve"> ha jeb 0,4</w:t>
      </w:r>
      <w:r w:rsidR="00615620" w:rsidRPr="00675182">
        <w:rPr>
          <w:rFonts w:cstheme="minorHAnsi"/>
          <w:bCs/>
        </w:rPr>
        <w:t>7</w:t>
      </w:r>
      <w:r w:rsidRPr="00675182">
        <w:rPr>
          <w:rFonts w:cstheme="minorHAnsi"/>
          <w:bCs/>
        </w:rPr>
        <w:t>% no GNP teritorijas.</w:t>
      </w:r>
    </w:p>
    <w:p w14:paraId="47CDF2AD" w14:textId="77777777" w:rsidR="00595C7E" w:rsidRPr="00675182" w:rsidRDefault="00595C7E" w:rsidP="00595C7E">
      <w:pPr>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4167"/>
      </w:tblGrid>
      <w:tr w:rsidR="00595C7E" w:rsidRPr="00675182" w14:paraId="25C1BE10" w14:textId="77777777" w:rsidTr="00595C7E">
        <w:tc>
          <w:tcPr>
            <w:tcW w:w="4150" w:type="dxa"/>
            <w:hideMark/>
          </w:tcPr>
          <w:p w14:paraId="42E3ABE4" w14:textId="6F96D4DE" w:rsidR="00595C7E" w:rsidRPr="00675182" w:rsidRDefault="00595C7E">
            <w:pPr>
              <w:jc w:val="center"/>
              <w:rPr>
                <w:rFonts w:cstheme="minorHAnsi"/>
                <w:szCs w:val="24"/>
              </w:rPr>
            </w:pPr>
            <w:bookmarkStart w:id="52" w:name="_Hlk53665600"/>
            <w:r w:rsidRPr="00675182">
              <w:rPr>
                <w:rFonts w:cstheme="minorHAnsi"/>
                <w:noProof/>
              </w:rPr>
              <w:drawing>
                <wp:inline distT="0" distB="0" distL="0" distR="0" wp14:anchorId="15E99389" wp14:editId="3904289D">
                  <wp:extent cx="2522220" cy="18973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522220" cy="1897380"/>
                          </a:xfrm>
                          <a:prstGeom prst="rect">
                            <a:avLst/>
                          </a:prstGeom>
                          <a:noFill/>
                          <a:ln>
                            <a:noFill/>
                          </a:ln>
                        </pic:spPr>
                      </pic:pic>
                    </a:graphicData>
                  </a:graphic>
                </wp:inline>
              </w:drawing>
            </w:r>
          </w:p>
        </w:tc>
        <w:tc>
          <w:tcPr>
            <w:tcW w:w="4151" w:type="dxa"/>
            <w:hideMark/>
          </w:tcPr>
          <w:p w14:paraId="334629E3" w14:textId="143037CA" w:rsidR="00595C7E" w:rsidRPr="00675182" w:rsidRDefault="00595C7E">
            <w:pPr>
              <w:jc w:val="center"/>
              <w:rPr>
                <w:rFonts w:cstheme="minorHAnsi"/>
                <w:szCs w:val="24"/>
              </w:rPr>
            </w:pPr>
            <w:r w:rsidRPr="00675182">
              <w:rPr>
                <w:rFonts w:cstheme="minorHAnsi"/>
                <w:noProof/>
              </w:rPr>
              <w:drawing>
                <wp:inline distT="0" distB="0" distL="0" distR="0" wp14:anchorId="3CCDAF95" wp14:editId="356C3B6B">
                  <wp:extent cx="2537460" cy="18973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537460" cy="1897380"/>
                          </a:xfrm>
                          <a:prstGeom prst="rect">
                            <a:avLst/>
                          </a:prstGeom>
                          <a:noFill/>
                          <a:ln>
                            <a:noFill/>
                          </a:ln>
                        </pic:spPr>
                      </pic:pic>
                    </a:graphicData>
                  </a:graphic>
                </wp:inline>
              </w:drawing>
            </w:r>
          </w:p>
        </w:tc>
      </w:tr>
      <w:tr w:rsidR="00595C7E" w:rsidRPr="00675182" w14:paraId="2DF70DEE" w14:textId="77777777" w:rsidTr="00595C7E">
        <w:tc>
          <w:tcPr>
            <w:tcW w:w="4150" w:type="dxa"/>
            <w:hideMark/>
          </w:tcPr>
          <w:p w14:paraId="14A52210" w14:textId="3021CB64" w:rsidR="00595C7E" w:rsidRPr="00675182" w:rsidRDefault="00E3521C">
            <w:pPr>
              <w:jc w:val="both"/>
              <w:rPr>
                <w:rFonts w:cstheme="minorHAnsi"/>
                <w:b/>
                <w:bCs/>
                <w:i/>
                <w:iCs/>
                <w:szCs w:val="24"/>
              </w:rPr>
            </w:pPr>
            <w:r w:rsidRPr="00675182">
              <w:rPr>
                <w:rFonts w:cstheme="minorHAnsi"/>
                <w:b/>
                <w:i/>
                <w:iCs/>
              </w:rPr>
              <w:lastRenderedPageBreak/>
              <w:t>2.3</w:t>
            </w:r>
            <w:r w:rsidR="00800DF2" w:rsidRPr="00675182">
              <w:rPr>
                <w:rFonts w:cstheme="minorHAnsi"/>
                <w:b/>
                <w:bCs/>
                <w:i/>
                <w:iCs/>
                <w:szCs w:val="24"/>
              </w:rPr>
              <w:t>.</w:t>
            </w:r>
            <w:r w:rsidR="001F4D4F" w:rsidRPr="00675182">
              <w:rPr>
                <w:rFonts w:cstheme="minorHAnsi"/>
                <w:b/>
                <w:bCs/>
                <w:i/>
                <w:iCs/>
                <w:szCs w:val="24"/>
              </w:rPr>
              <w:t>2</w:t>
            </w:r>
            <w:r w:rsidR="00800DF2" w:rsidRPr="00675182">
              <w:rPr>
                <w:rFonts w:cstheme="minorHAnsi"/>
                <w:b/>
                <w:bCs/>
                <w:i/>
                <w:iCs/>
                <w:szCs w:val="24"/>
              </w:rPr>
              <w:t xml:space="preserve">. attēls. </w:t>
            </w:r>
            <w:r w:rsidR="00595C7E" w:rsidRPr="00675182">
              <w:rPr>
                <w:rFonts w:cstheme="minorHAnsi"/>
                <w:b/>
                <w:bCs/>
                <w:i/>
                <w:iCs/>
                <w:szCs w:val="24"/>
              </w:rPr>
              <w:t xml:space="preserve">Ungura ezera </w:t>
            </w:r>
            <w:r w:rsidR="00800DF2" w:rsidRPr="00675182">
              <w:rPr>
                <w:rFonts w:cstheme="minorHAnsi"/>
                <w:b/>
                <w:bCs/>
                <w:i/>
                <w:iCs/>
                <w:szCs w:val="24"/>
              </w:rPr>
              <w:t xml:space="preserve">austrumu </w:t>
            </w:r>
            <w:r w:rsidR="00595C7E" w:rsidRPr="00675182">
              <w:rPr>
                <w:rFonts w:cstheme="minorHAnsi"/>
                <w:b/>
                <w:bCs/>
                <w:i/>
                <w:iCs/>
                <w:szCs w:val="24"/>
              </w:rPr>
              <w:t>piekraste, 20</w:t>
            </w:r>
            <w:r w:rsidR="003178F9" w:rsidRPr="00675182">
              <w:rPr>
                <w:rFonts w:cstheme="minorHAnsi"/>
                <w:b/>
                <w:bCs/>
                <w:i/>
                <w:iCs/>
                <w:szCs w:val="24"/>
              </w:rPr>
              <w:t>20</w:t>
            </w:r>
            <w:r w:rsidR="00595C7E" w:rsidRPr="00675182">
              <w:rPr>
                <w:rFonts w:cstheme="minorHAnsi"/>
                <w:b/>
                <w:bCs/>
                <w:i/>
                <w:iCs/>
                <w:szCs w:val="24"/>
              </w:rPr>
              <w:t>. g. (foto: L. Grīnberga)</w:t>
            </w:r>
          </w:p>
        </w:tc>
        <w:tc>
          <w:tcPr>
            <w:tcW w:w="4151" w:type="dxa"/>
            <w:hideMark/>
          </w:tcPr>
          <w:p w14:paraId="1E1886C6" w14:textId="458FA47F" w:rsidR="00595C7E" w:rsidRPr="00675182" w:rsidRDefault="00E3521C">
            <w:pPr>
              <w:jc w:val="both"/>
              <w:rPr>
                <w:rFonts w:cstheme="minorHAnsi"/>
                <w:b/>
                <w:bCs/>
                <w:i/>
                <w:iCs/>
                <w:szCs w:val="24"/>
              </w:rPr>
            </w:pPr>
            <w:r w:rsidRPr="00675182">
              <w:rPr>
                <w:rFonts w:cstheme="minorHAnsi"/>
                <w:b/>
                <w:i/>
                <w:iCs/>
              </w:rPr>
              <w:t>2.3</w:t>
            </w:r>
            <w:r w:rsidR="00800DF2" w:rsidRPr="00675182">
              <w:rPr>
                <w:rFonts w:cstheme="minorHAnsi"/>
                <w:b/>
                <w:bCs/>
                <w:i/>
                <w:iCs/>
                <w:szCs w:val="24"/>
              </w:rPr>
              <w:t>.</w:t>
            </w:r>
            <w:r w:rsidR="001F4D4F" w:rsidRPr="00675182">
              <w:rPr>
                <w:rFonts w:cstheme="minorHAnsi"/>
                <w:b/>
                <w:bCs/>
                <w:i/>
                <w:iCs/>
                <w:szCs w:val="24"/>
              </w:rPr>
              <w:t>3</w:t>
            </w:r>
            <w:r w:rsidR="00800DF2" w:rsidRPr="00675182">
              <w:rPr>
                <w:rFonts w:cstheme="minorHAnsi"/>
                <w:b/>
                <w:bCs/>
                <w:i/>
                <w:iCs/>
                <w:szCs w:val="24"/>
              </w:rPr>
              <w:t xml:space="preserve">. attēls. </w:t>
            </w:r>
            <w:r w:rsidR="00595C7E" w:rsidRPr="00675182">
              <w:rPr>
                <w:rFonts w:cstheme="minorHAnsi"/>
                <w:b/>
                <w:bCs/>
                <w:i/>
                <w:iCs/>
                <w:szCs w:val="24"/>
              </w:rPr>
              <w:t xml:space="preserve">Niniera ezera </w:t>
            </w:r>
            <w:r w:rsidR="00800DF2" w:rsidRPr="00675182">
              <w:rPr>
                <w:rFonts w:cstheme="minorHAnsi"/>
                <w:b/>
                <w:bCs/>
                <w:i/>
                <w:iCs/>
                <w:szCs w:val="24"/>
              </w:rPr>
              <w:t>dienvidu</w:t>
            </w:r>
            <w:r w:rsidR="00595C7E" w:rsidRPr="00675182">
              <w:rPr>
                <w:rFonts w:cstheme="minorHAnsi"/>
                <w:b/>
                <w:bCs/>
                <w:i/>
                <w:iCs/>
                <w:szCs w:val="24"/>
              </w:rPr>
              <w:t xml:space="preserve"> piekraste, 2017. g. (foto: L. Grīnberga)</w:t>
            </w:r>
          </w:p>
        </w:tc>
        <w:bookmarkEnd w:id="52"/>
      </w:tr>
    </w:tbl>
    <w:p w14:paraId="600FCA36" w14:textId="1935974E" w:rsidR="00595C7E" w:rsidRPr="00675182" w:rsidRDefault="00595C7E" w:rsidP="002B3341">
      <w:pPr>
        <w:jc w:val="both"/>
        <w:rPr>
          <w:rFonts w:cstheme="minorHAnsi"/>
          <w:b/>
          <w:szCs w:val="24"/>
        </w:rPr>
      </w:pPr>
    </w:p>
    <w:p w14:paraId="478E7B41" w14:textId="77777777" w:rsidR="00800DF2" w:rsidRPr="00675182" w:rsidRDefault="00800DF2" w:rsidP="00800DF2">
      <w:pPr>
        <w:jc w:val="both"/>
        <w:rPr>
          <w:rFonts w:cstheme="minorHAnsi"/>
          <w:bCs/>
          <w:u w:val="single"/>
        </w:rPr>
      </w:pPr>
      <w:r w:rsidRPr="00675182">
        <w:rPr>
          <w:rFonts w:cstheme="minorHAnsi"/>
          <w:bCs/>
          <w:u w:val="single"/>
        </w:rPr>
        <w:t xml:space="preserve">3140 </w:t>
      </w:r>
      <w:r w:rsidRPr="00675182">
        <w:rPr>
          <w:rFonts w:cstheme="minorHAnsi"/>
          <w:bCs/>
          <w:i/>
          <w:iCs/>
          <w:u w:val="single"/>
        </w:rPr>
        <w:t>Ezeri ar mieturaļģu augāju</w:t>
      </w:r>
    </w:p>
    <w:p w14:paraId="0B077F04" w14:textId="7568C1ED" w:rsidR="00FE2E05" w:rsidRPr="00675182" w:rsidRDefault="00FE2E05" w:rsidP="00FE2E05">
      <w:pPr>
        <w:jc w:val="both"/>
        <w:rPr>
          <w:rFonts w:cstheme="minorHAnsi"/>
          <w:bCs/>
        </w:rPr>
      </w:pPr>
      <w:r w:rsidRPr="00675182">
        <w:rPr>
          <w:rFonts w:cstheme="minorHAnsi"/>
          <w:bCs/>
        </w:rPr>
        <w:t xml:space="preserve">Biotopa </w:t>
      </w:r>
      <w:r w:rsidR="00E30597" w:rsidRPr="00675182">
        <w:rPr>
          <w:rFonts w:cstheme="minorHAnsi"/>
          <w:bCs/>
        </w:rPr>
        <w:t xml:space="preserve">veida </w:t>
      </w:r>
      <w:r w:rsidRPr="00675182">
        <w:rPr>
          <w:rFonts w:cstheme="minorHAnsi"/>
          <w:bCs/>
        </w:rPr>
        <w:t>sastopamību nosaka ezera ūdeņu un nogulumu ķīmiskais sastāvs. Mieturaļģu sabiedrības dominē cietūdens (elektrovadītspēja augstāka par 165 mkS/cm) ezeros, kuru ūdens sastāvā ir augsta kalcija un magnija koncentrācija, ko savukārt nosaka dolomītu un kalcītu saturošo iežu dēdēšana. Biotop</w:t>
      </w:r>
      <w:r w:rsidR="00E30597" w:rsidRPr="00675182">
        <w:rPr>
          <w:rFonts w:cstheme="minorHAnsi"/>
          <w:bCs/>
        </w:rPr>
        <w:t>a veids</w:t>
      </w:r>
      <w:r w:rsidRPr="00675182">
        <w:rPr>
          <w:rFonts w:cstheme="minorHAnsi"/>
          <w:bCs/>
        </w:rPr>
        <w:t xml:space="preserve"> sastopams ļoti reti visā Latvijas teritorijā. Mākslīgas izcelsmes ūdenskrātuves (karjeri, dīķi), kur izveidojies mieturaļģu augājs, par ES nozīmes biotopu netiek uzskatītas (Auniņš (red.) 2013).</w:t>
      </w:r>
    </w:p>
    <w:p w14:paraId="39A07360" w14:textId="77777777" w:rsidR="00FE2E05" w:rsidRPr="00675182" w:rsidRDefault="00FE2E05" w:rsidP="00FE2E05">
      <w:pPr>
        <w:jc w:val="both"/>
        <w:rPr>
          <w:rFonts w:cstheme="minorHAnsi"/>
          <w:bCs/>
        </w:rPr>
      </w:pPr>
    </w:p>
    <w:p w14:paraId="5B77092F" w14:textId="77777777" w:rsidR="00FE2E05" w:rsidRPr="00675182" w:rsidRDefault="00FE2E05" w:rsidP="00FE2E05">
      <w:pPr>
        <w:jc w:val="both"/>
        <w:rPr>
          <w:rFonts w:cstheme="minorHAnsi"/>
          <w:bCs/>
        </w:rPr>
      </w:pPr>
      <w:r w:rsidRPr="00675182">
        <w:rPr>
          <w:rFonts w:cstheme="minorHAnsi"/>
          <w:bCs/>
        </w:rPr>
        <w:t>Biotopa labvēlīgas aizsardzības stāvokli raksturo mieturaļģu sabiedrību vitalitāte un sugu daudzveidība (Urtāns, 2017). Mieturaļģes ezera piegrunts slāni apgādā ar skābekli, veicinot slāpekļa savienojumu pārveidošanās procesus un novēršot ezera savienojumos saistītā fosfora atgriešanos ūdens vidē (</w:t>
      </w:r>
      <w:r w:rsidRPr="00675182">
        <w:rPr>
          <w:rFonts w:cstheme="minorHAnsi"/>
        </w:rPr>
        <w:t>Blindow, 1991)</w:t>
      </w:r>
      <w:r w:rsidRPr="00675182">
        <w:rPr>
          <w:rFonts w:cstheme="minorHAnsi"/>
          <w:bCs/>
        </w:rPr>
        <w:t xml:space="preserve">. Biotopa kvalitāti var negatīvi ietekmēt pastiprināta barības vielu ienese, kā arī ūdens līmeņa izmaiņas, īpaši pazemināšana, kas izraisa ezera aizaugšanu ar virsūdens augiem. </w:t>
      </w:r>
    </w:p>
    <w:p w14:paraId="00A82BB7" w14:textId="77777777" w:rsidR="00FE2E05" w:rsidRPr="00675182" w:rsidRDefault="00FE2E05" w:rsidP="00FE2E05">
      <w:pPr>
        <w:jc w:val="both"/>
        <w:rPr>
          <w:rFonts w:cstheme="minorHAnsi"/>
          <w:b/>
          <w:szCs w:val="24"/>
        </w:rPr>
      </w:pPr>
    </w:p>
    <w:p w14:paraId="4EA1C493" w14:textId="5F29A652" w:rsidR="00FE2E05" w:rsidRPr="00675182" w:rsidRDefault="00FE2E05" w:rsidP="00FE2E05">
      <w:pPr>
        <w:jc w:val="both"/>
        <w:rPr>
          <w:rFonts w:cstheme="minorHAnsi"/>
          <w:bCs/>
          <w:szCs w:val="24"/>
        </w:rPr>
      </w:pPr>
      <w:r w:rsidRPr="00675182">
        <w:rPr>
          <w:rFonts w:cstheme="minorHAnsi"/>
          <w:bCs/>
        </w:rPr>
        <w:t xml:space="preserve">GNP biotopam 3140 </w:t>
      </w:r>
      <w:r w:rsidRPr="00675182">
        <w:rPr>
          <w:rFonts w:cstheme="minorHAnsi"/>
          <w:bCs/>
          <w:i/>
          <w:iCs/>
        </w:rPr>
        <w:t>Ezeri ar mieturaļģu augāju</w:t>
      </w:r>
      <w:r w:rsidRPr="00675182">
        <w:rPr>
          <w:rFonts w:cstheme="minorHAnsi"/>
          <w:bCs/>
        </w:rPr>
        <w:t xml:space="preserve"> atbilst Pūricu ezers (0,03% no GNP teritorijas). </w:t>
      </w:r>
      <w:r w:rsidR="000B2370" w:rsidRPr="00675182">
        <w:rPr>
          <w:rFonts w:cstheme="minorHAnsi"/>
          <w:bCs/>
          <w:szCs w:val="24"/>
        </w:rPr>
        <w:t>Pūricu ezerā mieturaļģu audzes ir galvenokārt skrajas, daļā ezera dominē dzeltenās lēpes, parastā elša audzes, vietām grunts bez veģetācijas. Ezera ziemeļu daļā izveidojušās mieturaļģu “salas” – daļa mieturaļģu pacēlušās līdz ūdens virsmai</w:t>
      </w:r>
      <w:r w:rsidR="00EF0A82" w:rsidRPr="00675182">
        <w:rPr>
          <w:rFonts w:cstheme="minorHAnsi"/>
          <w:bCs/>
          <w:szCs w:val="24"/>
        </w:rPr>
        <w:t xml:space="preserve"> (skat. 2.3.4. un 2.3.5. attēlu)</w:t>
      </w:r>
      <w:r w:rsidR="000B2370" w:rsidRPr="00675182">
        <w:rPr>
          <w:rFonts w:cstheme="minorHAnsi"/>
          <w:bCs/>
          <w:szCs w:val="24"/>
        </w:rPr>
        <w:t>. Pēc vietējo iedzīvotāju sniegtās informācijas, šādas “salas” veidojas gandrīz katru gadu. Ezerā gar rietumu piekrasti izveidojies pārejas purvs, gar austrumu piekrasti dominē virsūdens augu audzes un slīkšņa.</w:t>
      </w:r>
    </w:p>
    <w:p w14:paraId="238B6626" w14:textId="77777777" w:rsidR="000B2370" w:rsidRPr="00675182" w:rsidRDefault="000B2370" w:rsidP="00DF7310">
      <w:pPr>
        <w:keepNext/>
        <w:keepLines/>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56"/>
      </w:tblGrid>
      <w:tr w:rsidR="000B2370" w:rsidRPr="00675182" w14:paraId="3B087A25" w14:textId="77777777" w:rsidTr="000B2370">
        <w:tc>
          <w:tcPr>
            <w:tcW w:w="4150" w:type="dxa"/>
            <w:hideMark/>
          </w:tcPr>
          <w:p w14:paraId="3FD6DC16" w14:textId="4F7B7E63" w:rsidR="000B2370" w:rsidRPr="00675182" w:rsidRDefault="000B2370" w:rsidP="00DF7310">
            <w:pPr>
              <w:keepNext/>
              <w:keepLines/>
              <w:jc w:val="center"/>
              <w:rPr>
                <w:rFonts w:cstheme="minorHAnsi"/>
                <w:szCs w:val="24"/>
              </w:rPr>
            </w:pPr>
            <w:r w:rsidRPr="00675182">
              <w:rPr>
                <w:rFonts w:cstheme="minorHAnsi"/>
                <w:noProof/>
              </w:rPr>
              <w:drawing>
                <wp:inline distT="0" distB="0" distL="0" distR="0" wp14:anchorId="7760F50D" wp14:editId="522E262D">
                  <wp:extent cx="2583180" cy="1722120"/>
                  <wp:effectExtent l="0" t="0" r="7620"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583180" cy="1722120"/>
                          </a:xfrm>
                          <a:prstGeom prst="rect">
                            <a:avLst/>
                          </a:prstGeom>
                          <a:noFill/>
                          <a:ln>
                            <a:noFill/>
                          </a:ln>
                        </pic:spPr>
                      </pic:pic>
                    </a:graphicData>
                  </a:graphic>
                </wp:inline>
              </w:drawing>
            </w:r>
          </w:p>
        </w:tc>
        <w:tc>
          <w:tcPr>
            <w:tcW w:w="4151" w:type="dxa"/>
            <w:hideMark/>
          </w:tcPr>
          <w:p w14:paraId="30C61B0C" w14:textId="42BDB368" w:rsidR="000B2370" w:rsidRPr="00675182" w:rsidRDefault="000B2370" w:rsidP="00DF7310">
            <w:pPr>
              <w:keepNext/>
              <w:keepLines/>
              <w:jc w:val="center"/>
              <w:rPr>
                <w:rFonts w:cstheme="minorHAnsi"/>
                <w:szCs w:val="24"/>
              </w:rPr>
            </w:pPr>
            <w:r w:rsidRPr="00675182">
              <w:rPr>
                <w:rFonts w:cstheme="minorHAnsi"/>
                <w:noProof/>
              </w:rPr>
              <w:drawing>
                <wp:inline distT="0" distB="0" distL="0" distR="0" wp14:anchorId="5DA5E1DE" wp14:editId="191E8414">
                  <wp:extent cx="2583180" cy="1722120"/>
                  <wp:effectExtent l="0" t="0" r="7620"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583180" cy="1722120"/>
                          </a:xfrm>
                          <a:prstGeom prst="rect">
                            <a:avLst/>
                          </a:prstGeom>
                          <a:noFill/>
                          <a:ln>
                            <a:noFill/>
                          </a:ln>
                        </pic:spPr>
                      </pic:pic>
                    </a:graphicData>
                  </a:graphic>
                </wp:inline>
              </w:drawing>
            </w:r>
          </w:p>
        </w:tc>
      </w:tr>
      <w:tr w:rsidR="000B2370" w:rsidRPr="00675182" w14:paraId="6F9D0AFA" w14:textId="77777777" w:rsidTr="000B2370">
        <w:tc>
          <w:tcPr>
            <w:tcW w:w="4150" w:type="dxa"/>
            <w:hideMark/>
          </w:tcPr>
          <w:p w14:paraId="4F42AEAA" w14:textId="594AF2C4" w:rsidR="000B2370" w:rsidRPr="00675182" w:rsidRDefault="00EF0A82" w:rsidP="00DF7310">
            <w:pPr>
              <w:keepNext/>
              <w:keepLines/>
              <w:jc w:val="both"/>
              <w:rPr>
                <w:rFonts w:cstheme="minorHAnsi"/>
                <w:b/>
                <w:bCs/>
                <w:i/>
                <w:iCs/>
                <w:szCs w:val="24"/>
              </w:rPr>
            </w:pPr>
            <w:r w:rsidRPr="00675182">
              <w:rPr>
                <w:rFonts w:cstheme="minorHAnsi"/>
                <w:b/>
                <w:bCs/>
                <w:i/>
                <w:iCs/>
                <w:szCs w:val="24"/>
              </w:rPr>
              <w:t>2.3.4</w:t>
            </w:r>
            <w:r w:rsidR="00616FE4" w:rsidRPr="00675182">
              <w:rPr>
                <w:rFonts w:cstheme="minorHAnsi"/>
                <w:b/>
                <w:bCs/>
                <w:i/>
                <w:iCs/>
                <w:szCs w:val="24"/>
              </w:rPr>
              <w:t>.</w:t>
            </w:r>
            <w:r w:rsidR="000B2370" w:rsidRPr="00675182">
              <w:rPr>
                <w:rFonts w:cstheme="minorHAnsi"/>
                <w:b/>
                <w:bCs/>
                <w:i/>
                <w:iCs/>
                <w:szCs w:val="24"/>
              </w:rPr>
              <w:t xml:space="preserve"> attēls. Pūricu ezers ar mieturaļģu “salām”, 2021. g. (foto: L. Grīnberga)</w:t>
            </w:r>
          </w:p>
        </w:tc>
        <w:tc>
          <w:tcPr>
            <w:tcW w:w="4151" w:type="dxa"/>
            <w:hideMark/>
          </w:tcPr>
          <w:p w14:paraId="4C3385B3" w14:textId="62A714A9" w:rsidR="000B2370" w:rsidRPr="00675182" w:rsidRDefault="00EF0A82" w:rsidP="00DF7310">
            <w:pPr>
              <w:keepNext/>
              <w:keepLines/>
              <w:jc w:val="both"/>
              <w:rPr>
                <w:rFonts w:cstheme="minorHAnsi"/>
                <w:b/>
                <w:bCs/>
                <w:i/>
                <w:iCs/>
                <w:szCs w:val="24"/>
              </w:rPr>
            </w:pPr>
            <w:r w:rsidRPr="00675182">
              <w:rPr>
                <w:rFonts w:cstheme="minorHAnsi"/>
                <w:b/>
                <w:bCs/>
                <w:i/>
                <w:iCs/>
                <w:szCs w:val="24"/>
              </w:rPr>
              <w:t>2.3.5.</w:t>
            </w:r>
            <w:r w:rsidR="000B2370" w:rsidRPr="00675182">
              <w:rPr>
                <w:rFonts w:cstheme="minorHAnsi"/>
                <w:b/>
                <w:bCs/>
                <w:i/>
                <w:iCs/>
                <w:szCs w:val="24"/>
              </w:rPr>
              <w:t xml:space="preserve"> attēls. Mieturaļģes Pūricu ezerā, 2021. g. (foto: L. Grīnberga)</w:t>
            </w:r>
          </w:p>
        </w:tc>
      </w:tr>
    </w:tbl>
    <w:p w14:paraId="40AB1D42" w14:textId="087A0BB8" w:rsidR="001A787B" w:rsidRPr="00675182" w:rsidRDefault="001A787B" w:rsidP="002B3341">
      <w:pPr>
        <w:jc w:val="both"/>
        <w:rPr>
          <w:rFonts w:cstheme="minorHAnsi"/>
          <w:b/>
          <w:szCs w:val="24"/>
        </w:rPr>
      </w:pPr>
    </w:p>
    <w:p w14:paraId="4EE428BD" w14:textId="4FA8F00B" w:rsidR="001A787B" w:rsidRPr="00675182" w:rsidRDefault="003026F3" w:rsidP="001A787B">
      <w:pPr>
        <w:jc w:val="both"/>
        <w:rPr>
          <w:rFonts w:cstheme="minorHAnsi"/>
          <w:bCs/>
          <w:i/>
          <w:iCs/>
          <w:u w:val="single"/>
        </w:rPr>
      </w:pPr>
      <w:r w:rsidRPr="00675182">
        <w:rPr>
          <w:rFonts w:cstheme="minorHAnsi"/>
          <w:bCs/>
          <w:u w:val="single"/>
        </w:rPr>
        <w:t>3</w:t>
      </w:r>
      <w:r w:rsidR="001A787B" w:rsidRPr="00675182">
        <w:rPr>
          <w:rFonts w:cstheme="minorHAnsi"/>
          <w:bCs/>
          <w:u w:val="single"/>
        </w:rPr>
        <w:t>150</w:t>
      </w:r>
      <w:r w:rsidR="001A787B" w:rsidRPr="00675182">
        <w:rPr>
          <w:rFonts w:cstheme="minorHAnsi"/>
          <w:bCs/>
          <w:i/>
          <w:iCs/>
          <w:u w:val="single"/>
        </w:rPr>
        <w:t xml:space="preserve"> Eitrofi ezeri ar iegrimušo ūdensaugu un peldaugu augāju</w:t>
      </w:r>
    </w:p>
    <w:p w14:paraId="21FBBC25" w14:textId="77777777" w:rsidR="001A787B" w:rsidRPr="00675182" w:rsidRDefault="001A787B" w:rsidP="001A787B">
      <w:pPr>
        <w:jc w:val="both"/>
        <w:rPr>
          <w:rFonts w:cstheme="minorHAnsi"/>
          <w:bCs/>
        </w:rPr>
      </w:pPr>
      <w:r w:rsidRPr="00675182">
        <w:rPr>
          <w:rFonts w:cstheme="minorHAnsi"/>
          <w:bCs/>
          <w:u w:val="single"/>
        </w:rPr>
        <w:t>1. variants</w:t>
      </w:r>
      <w:r w:rsidRPr="00675182">
        <w:rPr>
          <w:rFonts w:cstheme="minorHAnsi"/>
          <w:bCs/>
        </w:rPr>
        <w:t xml:space="preserve"> – dzidrūdens ezeri ar iegrimušo augāju</w:t>
      </w:r>
    </w:p>
    <w:p w14:paraId="49B9135E" w14:textId="015A2A97" w:rsidR="00FE2E05" w:rsidRPr="00675182" w:rsidRDefault="001A787B" w:rsidP="00FE2E05">
      <w:pPr>
        <w:jc w:val="both"/>
        <w:rPr>
          <w:rFonts w:cstheme="minorHAnsi"/>
          <w:bCs/>
        </w:rPr>
      </w:pPr>
      <w:r w:rsidRPr="00675182">
        <w:rPr>
          <w:rFonts w:cstheme="minorHAnsi"/>
          <w:bCs/>
        </w:rPr>
        <w:t>Biotops sastopams samērā bieži visā</w:t>
      </w:r>
      <w:r w:rsidR="0042652A" w:rsidRPr="00675182">
        <w:rPr>
          <w:rFonts w:cstheme="minorHAnsi"/>
          <w:bCs/>
        </w:rPr>
        <w:t xml:space="preserve"> Latvijā, pie tā </w:t>
      </w:r>
      <w:r w:rsidR="00FE2E05" w:rsidRPr="00675182">
        <w:rPr>
          <w:rFonts w:cstheme="minorHAnsi"/>
          <w:bCs/>
        </w:rPr>
        <w:t xml:space="preserve">pieskaitāma lielākā daļa Latvijas ezeru. Dabiski eitrofajiem ezeriem atkarībā no to dziļuma ir raksturīga sugām bagātīga iegrimušo augu josla, skraja vai vienlaidus virsūdens un peldlapu augu josla. Dabiski eitrofi ezeri ir Latvijā nozīmīgākā saldūdens augu un dzīvnieku sugu dzīvotne, to nodrošina daudzveidīgais augājs un pieejamās barības vielas (Urtāns, 2017). Nereti </w:t>
      </w:r>
      <w:r w:rsidR="00FE2E05" w:rsidRPr="00675182">
        <w:rPr>
          <w:rFonts w:cstheme="minorHAnsi"/>
          <w:bCs/>
        </w:rPr>
        <w:lastRenderedPageBreak/>
        <w:t xml:space="preserve">biotops ir nozīmīga dzīvotne arī retām un </w:t>
      </w:r>
      <w:r w:rsidR="00421E42">
        <w:rPr>
          <w:rFonts w:cstheme="minorHAnsi"/>
          <w:sz w:val="22"/>
          <w:szCs w:val="22"/>
        </w:rPr>
        <w:t xml:space="preserve">ĪA </w:t>
      </w:r>
      <w:r w:rsidR="00FE2E05" w:rsidRPr="00675182">
        <w:rPr>
          <w:rFonts w:cstheme="minorHAnsi"/>
          <w:bCs/>
        </w:rPr>
        <w:t xml:space="preserve">sugām, piemēram, sīkajai lēpei </w:t>
      </w:r>
      <w:r w:rsidR="00FE2E05" w:rsidRPr="00675182">
        <w:rPr>
          <w:rFonts w:cstheme="minorHAnsi"/>
          <w:bCs/>
          <w:i/>
          <w:iCs/>
        </w:rPr>
        <w:t>Nuphar pumila</w:t>
      </w:r>
      <w:r w:rsidR="00FE2E05" w:rsidRPr="00675182">
        <w:rPr>
          <w:rFonts w:cstheme="minorHAnsi"/>
          <w:bCs/>
        </w:rPr>
        <w:t>. Dabiskos apstākļos lēnāk eitroficējas ezeri ar mazu sateces baseinu un lēnu ūdens apmaiņu, savukārt caurteces ezeri ar ātru ūdens apmaiņu ir atkarīgi no biogēnu, humusvielu u.c. koncentrācijas ūdenī (Leinerte, 1988).</w:t>
      </w:r>
    </w:p>
    <w:p w14:paraId="5C28E5BF" w14:textId="77777777" w:rsidR="00FE2E05" w:rsidRPr="00675182" w:rsidRDefault="00FE2E05" w:rsidP="00FE2E05">
      <w:pPr>
        <w:jc w:val="both"/>
        <w:rPr>
          <w:rFonts w:cstheme="minorHAnsi"/>
          <w:bCs/>
        </w:rPr>
      </w:pPr>
    </w:p>
    <w:p w14:paraId="7445F638" w14:textId="7FA7A06E" w:rsidR="001A787B" w:rsidRPr="00675182" w:rsidRDefault="00FE2E05" w:rsidP="00FE2E05">
      <w:pPr>
        <w:jc w:val="both"/>
        <w:rPr>
          <w:rFonts w:cstheme="minorHAnsi"/>
          <w:bCs/>
        </w:rPr>
      </w:pPr>
      <w:r w:rsidRPr="00675182">
        <w:rPr>
          <w:rFonts w:cstheme="minorHAnsi"/>
          <w:bCs/>
        </w:rPr>
        <w:t xml:space="preserve">Biotopa 3150 </w:t>
      </w:r>
      <w:r w:rsidRPr="00675182">
        <w:rPr>
          <w:rFonts w:cstheme="minorHAnsi"/>
          <w:bCs/>
          <w:i/>
          <w:iCs/>
        </w:rPr>
        <w:t>Eitrofi ezeri ar iegrimušo ūdensaugu un peldlapu augāju</w:t>
      </w:r>
      <w:r w:rsidRPr="00675182">
        <w:rPr>
          <w:rFonts w:cstheme="minorHAnsi"/>
          <w:bCs/>
        </w:rPr>
        <w:t xml:space="preserve"> 1. variantam atbilst vienpadsmit GNP ezeri, biotopa platība ir 2</w:t>
      </w:r>
      <w:r w:rsidR="00FE1473" w:rsidRPr="00675182">
        <w:rPr>
          <w:rFonts w:cstheme="minorHAnsi"/>
          <w:bCs/>
        </w:rPr>
        <w:t>83</w:t>
      </w:r>
      <w:r w:rsidRPr="00675182">
        <w:rPr>
          <w:rFonts w:cstheme="minorHAnsi"/>
          <w:bCs/>
        </w:rPr>
        <w:t>,</w:t>
      </w:r>
      <w:r w:rsidR="00FE1473" w:rsidRPr="00675182">
        <w:rPr>
          <w:rFonts w:cstheme="minorHAnsi"/>
          <w:bCs/>
        </w:rPr>
        <w:t>2</w:t>
      </w:r>
      <w:r w:rsidRPr="00675182">
        <w:rPr>
          <w:rFonts w:cstheme="minorHAnsi"/>
          <w:bCs/>
        </w:rPr>
        <w:t xml:space="preserve"> ha jeb 0,3% no GNP teritorijas</w:t>
      </w:r>
      <w:r w:rsidR="001A787B" w:rsidRPr="00675182">
        <w:rPr>
          <w:rFonts w:cstheme="minorHAnsi"/>
          <w:bCs/>
        </w:rPr>
        <w:t>.</w:t>
      </w:r>
    </w:p>
    <w:p w14:paraId="3B03B6C8" w14:textId="77777777" w:rsidR="001A787B" w:rsidRPr="00675182" w:rsidRDefault="001A787B" w:rsidP="001A787B">
      <w:pPr>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151"/>
      </w:tblGrid>
      <w:tr w:rsidR="001A787B" w:rsidRPr="00675182" w14:paraId="2D610C48" w14:textId="77777777" w:rsidTr="001A787B">
        <w:tc>
          <w:tcPr>
            <w:tcW w:w="4150" w:type="dxa"/>
            <w:hideMark/>
          </w:tcPr>
          <w:p w14:paraId="1887FAFD" w14:textId="6FD8BA71" w:rsidR="001A787B" w:rsidRPr="00675182" w:rsidRDefault="001A787B">
            <w:pPr>
              <w:jc w:val="center"/>
              <w:rPr>
                <w:rFonts w:cstheme="minorHAnsi"/>
                <w:szCs w:val="24"/>
              </w:rPr>
            </w:pPr>
            <w:r w:rsidRPr="00675182">
              <w:rPr>
                <w:rFonts w:cstheme="minorHAnsi"/>
                <w:noProof/>
              </w:rPr>
              <w:drawing>
                <wp:inline distT="0" distB="0" distL="0" distR="0" wp14:anchorId="37736B28" wp14:editId="56F0D2ED">
                  <wp:extent cx="2499360" cy="1874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499360" cy="1874520"/>
                          </a:xfrm>
                          <a:prstGeom prst="rect">
                            <a:avLst/>
                          </a:prstGeom>
                          <a:noFill/>
                          <a:ln>
                            <a:noFill/>
                          </a:ln>
                        </pic:spPr>
                      </pic:pic>
                    </a:graphicData>
                  </a:graphic>
                </wp:inline>
              </w:drawing>
            </w:r>
          </w:p>
        </w:tc>
        <w:tc>
          <w:tcPr>
            <w:tcW w:w="4151" w:type="dxa"/>
            <w:hideMark/>
          </w:tcPr>
          <w:p w14:paraId="33B477B4" w14:textId="5B6654B8" w:rsidR="001A787B" w:rsidRPr="00675182" w:rsidRDefault="001A787B">
            <w:pPr>
              <w:jc w:val="center"/>
              <w:rPr>
                <w:rFonts w:cstheme="minorHAnsi"/>
                <w:szCs w:val="24"/>
              </w:rPr>
            </w:pPr>
            <w:r w:rsidRPr="00675182">
              <w:rPr>
                <w:rFonts w:cstheme="minorHAnsi"/>
                <w:noProof/>
              </w:rPr>
              <w:drawing>
                <wp:inline distT="0" distB="0" distL="0" distR="0" wp14:anchorId="61E2A516" wp14:editId="7C6F7848">
                  <wp:extent cx="2491740" cy="18745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491740" cy="1874520"/>
                          </a:xfrm>
                          <a:prstGeom prst="rect">
                            <a:avLst/>
                          </a:prstGeom>
                          <a:noFill/>
                          <a:ln>
                            <a:noFill/>
                          </a:ln>
                        </pic:spPr>
                      </pic:pic>
                    </a:graphicData>
                  </a:graphic>
                </wp:inline>
              </w:drawing>
            </w:r>
          </w:p>
        </w:tc>
      </w:tr>
      <w:tr w:rsidR="001A787B" w:rsidRPr="00675182" w14:paraId="3511758E" w14:textId="77777777" w:rsidTr="001A787B">
        <w:tc>
          <w:tcPr>
            <w:tcW w:w="4150" w:type="dxa"/>
            <w:hideMark/>
          </w:tcPr>
          <w:p w14:paraId="7F210277" w14:textId="0496A72A" w:rsidR="001A787B" w:rsidRPr="00675182" w:rsidRDefault="00E3521C" w:rsidP="001A787B">
            <w:pPr>
              <w:rPr>
                <w:rFonts w:cstheme="minorHAnsi"/>
                <w:b/>
                <w:bCs/>
                <w:i/>
                <w:iCs/>
                <w:szCs w:val="24"/>
              </w:rPr>
            </w:pPr>
            <w:r w:rsidRPr="00675182">
              <w:rPr>
                <w:rFonts w:cstheme="minorHAnsi"/>
                <w:b/>
                <w:i/>
                <w:iCs/>
              </w:rPr>
              <w:t>2.3</w:t>
            </w:r>
            <w:r w:rsidR="001A787B" w:rsidRPr="00675182">
              <w:rPr>
                <w:rFonts w:cstheme="minorHAnsi"/>
                <w:b/>
                <w:bCs/>
                <w:i/>
                <w:iCs/>
                <w:szCs w:val="24"/>
              </w:rPr>
              <w:t>.</w:t>
            </w:r>
            <w:r w:rsidR="00EF0A82" w:rsidRPr="00675182">
              <w:rPr>
                <w:rFonts w:cstheme="minorHAnsi"/>
                <w:b/>
                <w:bCs/>
                <w:i/>
                <w:iCs/>
                <w:szCs w:val="24"/>
              </w:rPr>
              <w:t>6</w:t>
            </w:r>
            <w:r w:rsidR="001A787B" w:rsidRPr="00675182">
              <w:rPr>
                <w:rFonts w:cstheme="minorHAnsi"/>
                <w:b/>
                <w:bCs/>
                <w:i/>
                <w:iCs/>
                <w:szCs w:val="24"/>
              </w:rPr>
              <w:t>. attēls. Pekša ezera ziemeļaustrumu piekraste, 20</w:t>
            </w:r>
            <w:r w:rsidR="003178F9" w:rsidRPr="00675182">
              <w:rPr>
                <w:rFonts w:cstheme="minorHAnsi"/>
                <w:b/>
                <w:bCs/>
                <w:i/>
                <w:iCs/>
                <w:szCs w:val="24"/>
              </w:rPr>
              <w:t>20</w:t>
            </w:r>
            <w:r w:rsidR="001A787B" w:rsidRPr="00675182">
              <w:rPr>
                <w:rFonts w:cstheme="minorHAnsi"/>
                <w:b/>
                <w:bCs/>
                <w:i/>
                <w:iCs/>
                <w:szCs w:val="24"/>
              </w:rPr>
              <w:t>. g. (foto: L. Grīnberga)</w:t>
            </w:r>
          </w:p>
        </w:tc>
        <w:tc>
          <w:tcPr>
            <w:tcW w:w="4151" w:type="dxa"/>
            <w:hideMark/>
          </w:tcPr>
          <w:p w14:paraId="3068870B" w14:textId="3211E38B" w:rsidR="001A787B" w:rsidRPr="00675182" w:rsidRDefault="00E3521C">
            <w:pPr>
              <w:jc w:val="both"/>
              <w:rPr>
                <w:rFonts w:cstheme="minorHAnsi"/>
                <w:b/>
                <w:bCs/>
                <w:i/>
                <w:iCs/>
                <w:szCs w:val="24"/>
              </w:rPr>
            </w:pPr>
            <w:r w:rsidRPr="00675182">
              <w:rPr>
                <w:rFonts w:cstheme="minorHAnsi"/>
                <w:b/>
                <w:i/>
                <w:iCs/>
              </w:rPr>
              <w:t>2.3.</w:t>
            </w:r>
            <w:r w:rsidR="00EF0A82" w:rsidRPr="00675182">
              <w:rPr>
                <w:rFonts w:cstheme="minorHAnsi"/>
                <w:b/>
                <w:i/>
                <w:iCs/>
              </w:rPr>
              <w:t>7</w:t>
            </w:r>
            <w:r w:rsidR="001A787B" w:rsidRPr="00675182">
              <w:rPr>
                <w:rFonts w:cstheme="minorHAnsi"/>
                <w:b/>
                <w:bCs/>
                <w:i/>
                <w:iCs/>
                <w:szCs w:val="24"/>
              </w:rPr>
              <w:t>. attēls. Āraišu ezers, ezerpils, 2017. g. (foto: L. Grīnberga)</w:t>
            </w:r>
          </w:p>
        </w:tc>
      </w:tr>
    </w:tbl>
    <w:p w14:paraId="79D7AA24" w14:textId="77777777" w:rsidR="001A787B" w:rsidRPr="00675182" w:rsidRDefault="001A787B" w:rsidP="001A787B">
      <w:pPr>
        <w:jc w:val="both"/>
        <w:rPr>
          <w:rFonts w:cstheme="minorHAnsi"/>
          <w:bCs/>
        </w:rPr>
      </w:pPr>
    </w:p>
    <w:p w14:paraId="61A713F2" w14:textId="77777777" w:rsidR="001A787B" w:rsidRPr="00675182" w:rsidRDefault="001A787B" w:rsidP="00EF0A82">
      <w:pPr>
        <w:keepNext/>
        <w:keepLines/>
        <w:jc w:val="both"/>
        <w:rPr>
          <w:rFonts w:cstheme="minorHAnsi"/>
          <w:bCs/>
          <w:i/>
          <w:iCs/>
          <w:u w:val="single"/>
        </w:rPr>
      </w:pPr>
      <w:r w:rsidRPr="00675182">
        <w:rPr>
          <w:rFonts w:cstheme="minorHAnsi"/>
          <w:bCs/>
          <w:u w:val="single"/>
        </w:rPr>
        <w:t xml:space="preserve">3150 </w:t>
      </w:r>
      <w:r w:rsidRPr="00675182">
        <w:rPr>
          <w:rFonts w:cstheme="minorHAnsi"/>
          <w:bCs/>
          <w:i/>
          <w:iCs/>
          <w:u w:val="single"/>
        </w:rPr>
        <w:t xml:space="preserve">Eitrofi ezeri ar iegrimušo ūdenaugu un peldaugu augāju </w:t>
      </w:r>
    </w:p>
    <w:p w14:paraId="61B52844" w14:textId="77777777" w:rsidR="001A787B" w:rsidRPr="00675182" w:rsidRDefault="001A787B" w:rsidP="00EF0A82">
      <w:pPr>
        <w:keepNext/>
        <w:keepLines/>
        <w:jc w:val="both"/>
        <w:rPr>
          <w:rFonts w:cstheme="minorHAnsi"/>
          <w:bCs/>
          <w:u w:val="single"/>
        </w:rPr>
      </w:pPr>
      <w:r w:rsidRPr="00675182">
        <w:rPr>
          <w:rFonts w:cstheme="minorHAnsi"/>
          <w:bCs/>
          <w:u w:val="single"/>
        </w:rPr>
        <w:t>2. variants</w:t>
      </w:r>
      <w:r w:rsidRPr="00675182">
        <w:rPr>
          <w:rFonts w:cstheme="minorHAnsi"/>
          <w:bCs/>
        </w:rPr>
        <w:t xml:space="preserve"> – brūnūdens ezeri ar daudzveidīgu augāju</w:t>
      </w:r>
    </w:p>
    <w:p w14:paraId="2FFE9C88" w14:textId="05CF87E4" w:rsidR="00FE2E05" w:rsidRPr="00675182" w:rsidRDefault="00FE2E05" w:rsidP="00EF0A82">
      <w:pPr>
        <w:keepNext/>
        <w:keepLines/>
        <w:jc w:val="both"/>
        <w:rPr>
          <w:rFonts w:cstheme="minorHAnsi"/>
          <w:bCs/>
        </w:rPr>
      </w:pPr>
      <w:r w:rsidRPr="00675182">
        <w:rPr>
          <w:rFonts w:cstheme="minorHAnsi"/>
          <w:bCs/>
        </w:rPr>
        <w:t xml:space="preserve">Ūdens krāsainība ezeros ir lielāka par 80 pēc Platīna-kobalta skalas, tādēļ iegrimušo augu sugu daudzveidība ir mazāka, veidojas bagāts peldlapu augu augājs, tostarp, zālainā ežgalvīte </w:t>
      </w:r>
      <w:r w:rsidRPr="00675182">
        <w:rPr>
          <w:rFonts w:cstheme="minorHAnsi"/>
          <w:bCs/>
          <w:i/>
          <w:iCs/>
        </w:rPr>
        <w:t xml:space="preserve">Sparganium gramineum, </w:t>
      </w:r>
      <w:r w:rsidRPr="00675182">
        <w:rPr>
          <w:rFonts w:cstheme="minorHAnsi"/>
          <w:bCs/>
        </w:rPr>
        <w:t xml:space="preserve">sīkā lēpe </w:t>
      </w:r>
      <w:r w:rsidRPr="00675182">
        <w:rPr>
          <w:rFonts w:cstheme="minorHAnsi"/>
          <w:bCs/>
          <w:i/>
          <w:iCs/>
        </w:rPr>
        <w:t xml:space="preserve">Nuphar pumila. </w:t>
      </w:r>
      <w:r w:rsidRPr="00675182">
        <w:rPr>
          <w:rFonts w:cstheme="minorHAnsi"/>
          <w:bCs/>
        </w:rPr>
        <w:t>Ūdens caurredzamība brūnūdens ezeros nav kvalitātes rādītājs, tomēr var liecināt par izmaiņām sateces baseinā ilgākā laika posmā.</w:t>
      </w:r>
    </w:p>
    <w:p w14:paraId="55C7DE07" w14:textId="77777777" w:rsidR="00FE2E05" w:rsidRPr="00675182" w:rsidRDefault="00FE2E05" w:rsidP="00FE2E05">
      <w:pPr>
        <w:jc w:val="both"/>
        <w:rPr>
          <w:rFonts w:cstheme="minorHAnsi"/>
          <w:bCs/>
        </w:rPr>
      </w:pPr>
    </w:p>
    <w:p w14:paraId="4D204E29" w14:textId="0153D51E" w:rsidR="001A787B" w:rsidRPr="00675182" w:rsidRDefault="00FE2E05" w:rsidP="00FE2E05">
      <w:pPr>
        <w:jc w:val="both"/>
        <w:rPr>
          <w:rFonts w:cstheme="minorHAnsi"/>
          <w:bCs/>
        </w:rPr>
      </w:pPr>
      <w:r w:rsidRPr="00675182">
        <w:rPr>
          <w:rFonts w:cstheme="minorHAnsi"/>
          <w:bCs/>
        </w:rPr>
        <w:t xml:space="preserve">Biotopa 3150 </w:t>
      </w:r>
      <w:r w:rsidRPr="00675182">
        <w:rPr>
          <w:rFonts w:cstheme="minorHAnsi"/>
          <w:bCs/>
          <w:i/>
          <w:iCs/>
        </w:rPr>
        <w:t>Eitrofi ezeri ar iegrimušo ūdensaugu un peldlapu augāju</w:t>
      </w:r>
      <w:r w:rsidRPr="00675182">
        <w:rPr>
          <w:rFonts w:cstheme="minorHAnsi"/>
          <w:bCs/>
        </w:rPr>
        <w:t xml:space="preserve"> 2. variantam atbilst </w:t>
      </w:r>
      <w:r w:rsidR="000B2370" w:rsidRPr="00675182">
        <w:rPr>
          <w:rFonts w:cstheme="minorHAnsi"/>
          <w:bCs/>
        </w:rPr>
        <w:t>div</w:t>
      </w:r>
      <w:r w:rsidRPr="00675182">
        <w:rPr>
          <w:rFonts w:cstheme="minorHAnsi"/>
          <w:bCs/>
        </w:rPr>
        <w:t xml:space="preserve">padsmit GNP ezeri, biotopa platība ir </w:t>
      </w:r>
      <w:r w:rsidR="000B2370" w:rsidRPr="00675182">
        <w:rPr>
          <w:rFonts w:cstheme="minorHAnsi"/>
          <w:bCs/>
        </w:rPr>
        <w:t>1</w:t>
      </w:r>
      <w:r w:rsidR="00B20746" w:rsidRPr="00675182">
        <w:rPr>
          <w:rFonts w:cstheme="minorHAnsi"/>
          <w:bCs/>
        </w:rPr>
        <w:t>18</w:t>
      </w:r>
      <w:r w:rsidRPr="00675182">
        <w:rPr>
          <w:rFonts w:cstheme="minorHAnsi"/>
          <w:bCs/>
        </w:rPr>
        <w:t xml:space="preserve"> ha jeb 0,12% no teritorijas.</w:t>
      </w:r>
    </w:p>
    <w:p w14:paraId="33971ACE" w14:textId="77777777" w:rsidR="00FE2E05" w:rsidRPr="00675182" w:rsidRDefault="00FE2E05" w:rsidP="00FE2E05">
      <w:pPr>
        <w:jc w:val="both"/>
        <w:rPr>
          <w:rFonts w:cstheme="minorHAnsi"/>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152"/>
      </w:tblGrid>
      <w:tr w:rsidR="001A787B" w:rsidRPr="00675182" w14:paraId="78DE1AFE" w14:textId="77777777" w:rsidTr="001A787B">
        <w:tc>
          <w:tcPr>
            <w:tcW w:w="4150" w:type="dxa"/>
            <w:hideMark/>
          </w:tcPr>
          <w:p w14:paraId="53846A62" w14:textId="69EBD311" w:rsidR="001A787B" w:rsidRPr="00675182" w:rsidRDefault="001A787B">
            <w:pPr>
              <w:jc w:val="center"/>
              <w:rPr>
                <w:rFonts w:cstheme="minorHAnsi"/>
                <w:b/>
                <w:bCs/>
                <w:i/>
                <w:iCs/>
                <w:szCs w:val="24"/>
              </w:rPr>
            </w:pPr>
            <w:r w:rsidRPr="00675182">
              <w:rPr>
                <w:rFonts w:cstheme="minorHAnsi"/>
                <w:b/>
                <w:bCs/>
                <w:i/>
                <w:iCs/>
                <w:noProof/>
              </w:rPr>
              <w:drawing>
                <wp:inline distT="0" distB="0" distL="0" distR="0" wp14:anchorId="683F2033" wp14:editId="5ECFEE0A">
                  <wp:extent cx="2499360" cy="18745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499360" cy="1874520"/>
                          </a:xfrm>
                          <a:prstGeom prst="rect">
                            <a:avLst/>
                          </a:prstGeom>
                          <a:noFill/>
                          <a:ln>
                            <a:noFill/>
                          </a:ln>
                        </pic:spPr>
                      </pic:pic>
                    </a:graphicData>
                  </a:graphic>
                </wp:inline>
              </w:drawing>
            </w:r>
          </w:p>
        </w:tc>
        <w:tc>
          <w:tcPr>
            <w:tcW w:w="4151" w:type="dxa"/>
            <w:hideMark/>
          </w:tcPr>
          <w:p w14:paraId="19F220B9" w14:textId="79649681" w:rsidR="001A787B" w:rsidRPr="00675182" w:rsidRDefault="001A787B">
            <w:pPr>
              <w:jc w:val="center"/>
              <w:rPr>
                <w:rFonts w:cstheme="minorHAnsi"/>
                <w:b/>
                <w:bCs/>
                <w:i/>
                <w:iCs/>
                <w:szCs w:val="24"/>
              </w:rPr>
            </w:pPr>
            <w:r w:rsidRPr="00675182">
              <w:rPr>
                <w:rFonts w:cstheme="minorHAnsi"/>
                <w:b/>
                <w:bCs/>
                <w:i/>
                <w:iCs/>
                <w:noProof/>
              </w:rPr>
              <w:drawing>
                <wp:inline distT="0" distB="0" distL="0" distR="0" wp14:anchorId="58C332E5" wp14:editId="16F96A02">
                  <wp:extent cx="2499360" cy="1874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9360" cy="1874520"/>
                          </a:xfrm>
                          <a:prstGeom prst="rect">
                            <a:avLst/>
                          </a:prstGeom>
                          <a:noFill/>
                          <a:ln>
                            <a:noFill/>
                          </a:ln>
                        </pic:spPr>
                      </pic:pic>
                    </a:graphicData>
                  </a:graphic>
                </wp:inline>
              </w:drawing>
            </w:r>
          </w:p>
        </w:tc>
      </w:tr>
      <w:tr w:rsidR="001A787B" w:rsidRPr="00675182" w14:paraId="4A9BE9B1" w14:textId="77777777" w:rsidTr="001A787B">
        <w:tc>
          <w:tcPr>
            <w:tcW w:w="4150" w:type="dxa"/>
            <w:hideMark/>
          </w:tcPr>
          <w:p w14:paraId="7BBE6E8B" w14:textId="3AEF9258" w:rsidR="001A787B" w:rsidRPr="00675182" w:rsidRDefault="00E3521C">
            <w:pPr>
              <w:jc w:val="both"/>
              <w:rPr>
                <w:rFonts w:cstheme="minorHAnsi"/>
                <w:b/>
                <w:bCs/>
                <w:i/>
                <w:iCs/>
                <w:szCs w:val="24"/>
              </w:rPr>
            </w:pPr>
            <w:r w:rsidRPr="00675182">
              <w:rPr>
                <w:rFonts w:cstheme="minorHAnsi"/>
                <w:b/>
                <w:i/>
                <w:iCs/>
              </w:rPr>
              <w:t>2.3.</w:t>
            </w:r>
            <w:r w:rsidR="00EF0A82" w:rsidRPr="00675182">
              <w:rPr>
                <w:rFonts w:cstheme="minorHAnsi"/>
                <w:b/>
                <w:i/>
                <w:iCs/>
              </w:rPr>
              <w:t>8</w:t>
            </w:r>
            <w:r w:rsidR="001A787B" w:rsidRPr="00675182">
              <w:rPr>
                <w:rFonts w:cstheme="minorHAnsi"/>
                <w:b/>
                <w:bCs/>
                <w:i/>
                <w:iCs/>
                <w:szCs w:val="24"/>
              </w:rPr>
              <w:t>. attēls. Plaužu ezers, 20</w:t>
            </w:r>
            <w:r w:rsidR="003178F9" w:rsidRPr="00675182">
              <w:rPr>
                <w:rFonts w:cstheme="minorHAnsi"/>
                <w:b/>
                <w:bCs/>
                <w:i/>
                <w:iCs/>
                <w:szCs w:val="24"/>
              </w:rPr>
              <w:t>20</w:t>
            </w:r>
            <w:r w:rsidR="001A787B" w:rsidRPr="00675182">
              <w:rPr>
                <w:rFonts w:cstheme="minorHAnsi"/>
                <w:b/>
                <w:bCs/>
                <w:i/>
                <w:iCs/>
                <w:szCs w:val="24"/>
              </w:rPr>
              <w:t>. g. (foto: L. Grīnberga)</w:t>
            </w:r>
          </w:p>
        </w:tc>
        <w:tc>
          <w:tcPr>
            <w:tcW w:w="4151" w:type="dxa"/>
            <w:hideMark/>
          </w:tcPr>
          <w:p w14:paraId="53A3B678" w14:textId="65112FE7" w:rsidR="001A787B" w:rsidRPr="00675182" w:rsidRDefault="00E3521C">
            <w:pPr>
              <w:jc w:val="both"/>
              <w:rPr>
                <w:rFonts w:cstheme="minorHAnsi"/>
                <w:b/>
                <w:bCs/>
                <w:i/>
                <w:iCs/>
                <w:szCs w:val="24"/>
              </w:rPr>
            </w:pPr>
            <w:r w:rsidRPr="00675182">
              <w:rPr>
                <w:rFonts w:cstheme="minorHAnsi"/>
                <w:b/>
                <w:i/>
                <w:iCs/>
              </w:rPr>
              <w:t>2.3.</w:t>
            </w:r>
            <w:r w:rsidR="00EF0A82" w:rsidRPr="00675182">
              <w:rPr>
                <w:rFonts w:cstheme="minorHAnsi"/>
                <w:b/>
                <w:i/>
                <w:iCs/>
              </w:rPr>
              <w:t>9</w:t>
            </w:r>
            <w:r w:rsidR="001A787B" w:rsidRPr="00675182">
              <w:rPr>
                <w:rFonts w:cstheme="minorHAnsi"/>
                <w:b/>
                <w:bCs/>
                <w:i/>
                <w:iCs/>
                <w:szCs w:val="24"/>
              </w:rPr>
              <w:t>. attēls. Inderdēļu ezers, 2017. g. (foto: L. Grīnberga)</w:t>
            </w:r>
          </w:p>
        </w:tc>
      </w:tr>
    </w:tbl>
    <w:p w14:paraId="0CB42FA8" w14:textId="77777777" w:rsidR="001A787B" w:rsidRPr="00675182" w:rsidRDefault="001A787B" w:rsidP="002B3341">
      <w:pPr>
        <w:jc w:val="both"/>
        <w:rPr>
          <w:rFonts w:cstheme="minorHAnsi"/>
          <w:b/>
          <w:szCs w:val="24"/>
        </w:rPr>
      </w:pPr>
    </w:p>
    <w:p w14:paraId="3112693B" w14:textId="77777777" w:rsidR="00130296" w:rsidRPr="00675182" w:rsidRDefault="00130296" w:rsidP="00365F76">
      <w:pPr>
        <w:keepNext/>
        <w:keepLines/>
        <w:jc w:val="both"/>
        <w:rPr>
          <w:rFonts w:cstheme="minorHAnsi"/>
          <w:bCs/>
          <w:i/>
          <w:iCs/>
          <w:u w:val="single"/>
        </w:rPr>
      </w:pPr>
      <w:bookmarkStart w:id="53" w:name="_Hlk52999187"/>
      <w:r w:rsidRPr="00675182">
        <w:rPr>
          <w:rFonts w:cstheme="minorHAnsi"/>
          <w:bCs/>
          <w:u w:val="single"/>
        </w:rPr>
        <w:lastRenderedPageBreak/>
        <w:t xml:space="preserve">3150 </w:t>
      </w:r>
      <w:r w:rsidRPr="00675182">
        <w:rPr>
          <w:rFonts w:cstheme="minorHAnsi"/>
          <w:bCs/>
          <w:i/>
          <w:iCs/>
          <w:u w:val="single"/>
        </w:rPr>
        <w:t xml:space="preserve">Eitrofi ezeri ar iegrimušo ūdensaugu un peldaugu augāju </w:t>
      </w:r>
    </w:p>
    <w:bookmarkEnd w:id="53"/>
    <w:p w14:paraId="4CFF0643" w14:textId="77777777" w:rsidR="00E34CFF" w:rsidRPr="00675182" w:rsidRDefault="00130296" w:rsidP="00E34CFF">
      <w:pPr>
        <w:keepNext/>
        <w:keepLines/>
        <w:jc w:val="both"/>
        <w:rPr>
          <w:rFonts w:cstheme="minorHAnsi"/>
          <w:bCs/>
        </w:rPr>
      </w:pPr>
      <w:r w:rsidRPr="00675182">
        <w:rPr>
          <w:rFonts w:cstheme="minorHAnsi"/>
          <w:bCs/>
          <w:u w:val="single"/>
        </w:rPr>
        <w:t>3. variants</w:t>
      </w:r>
      <w:r w:rsidRPr="00675182">
        <w:rPr>
          <w:rFonts w:cstheme="minorHAnsi"/>
          <w:bCs/>
        </w:rPr>
        <w:t xml:space="preserve"> – </w:t>
      </w:r>
      <w:r w:rsidR="00E34CFF" w:rsidRPr="00675182">
        <w:rPr>
          <w:rFonts w:cstheme="minorHAnsi"/>
          <w:bCs/>
        </w:rPr>
        <w:t>vecupes (vecupju un atteku izcelsmes ezeri) ar daudzveidīgu, eitrofiem ezeriem raksturīgo augāju atbilst GNP teritorijā esošās vecupes.</w:t>
      </w:r>
    </w:p>
    <w:p w14:paraId="6EA00A75" w14:textId="77777777" w:rsidR="00E34CFF" w:rsidRPr="00675182" w:rsidRDefault="00E34CFF" w:rsidP="00E34CFF">
      <w:pPr>
        <w:keepNext/>
        <w:keepLines/>
        <w:jc w:val="both"/>
        <w:rPr>
          <w:rFonts w:cstheme="minorHAnsi"/>
          <w:bCs/>
        </w:rPr>
      </w:pPr>
    </w:p>
    <w:p w14:paraId="1EF61B97" w14:textId="7FF489FA" w:rsidR="00130296" w:rsidRPr="00675182" w:rsidRDefault="00E34CFF" w:rsidP="00E34CFF">
      <w:pPr>
        <w:keepNext/>
        <w:keepLines/>
        <w:jc w:val="both"/>
        <w:rPr>
          <w:rFonts w:cstheme="minorHAnsi"/>
          <w:bCs/>
        </w:rPr>
      </w:pPr>
      <w:r w:rsidRPr="00675182">
        <w:rPr>
          <w:rFonts w:cstheme="minorHAnsi"/>
          <w:bCs/>
        </w:rPr>
        <w:t>Vecupēm raksturīga liela bioloģiskā daudzveidība, tās ir nozīmīgas kā retu bezmugurkaulnieku, putnu un augu sugu dzīvotnes. Šo dzīvotņu pastāvēšanu nosaka palu darbība, kas regulāri pārtrauc ūdenstilpes attīstību un notur visu ekosistēmu tās agrīnajā stadijā. Zemākajās palienes daļās applūšana notiek katru gadu, savukārt augstākajās vietās tas var notikt tikai pie ļoti augsta palu līmeņa. Vecupēs dominē stāvošiem ūdeņiem raksturīgās ūdensaugu sugas – dzeltenā lēpe, upes kosa, Kanādas elodeja, dažādas glīveņu sugas.</w:t>
      </w:r>
    </w:p>
    <w:p w14:paraId="628D2414" w14:textId="77777777" w:rsidR="00130296" w:rsidRPr="00675182" w:rsidRDefault="00130296" w:rsidP="00130296">
      <w:pPr>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51"/>
      </w:tblGrid>
      <w:tr w:rsidR="00130296" w:rsidRPr="00675182" w14:paraId="4293764A" w14:textId="77777777" w:rsidTr="00130296">
        <w:tc>
          <w:tcPr>
            <w:tcW w:w="4150" w:type="dxa"/>
            <w:hideMark/>
          </w:tcPr>
          <w:p w14:paraId="5BAE0442" w14:textId="5CFC7791" w:rsidR="00130296" w:rsidRPr="00675182" w:rsidRDefault="00130296" w:rsidP="00940648">
            <w:pPr>
              <w:keepNext/>
              <w:keepLines/>
              <w:jc w:val="center"/>
              <w:rPr>
                <w:rFonts w:cstheme="minorHAnsi"/>
                <w:szCs w:val="24"/>
              </w:rPr>
            </w:pPr>
            <w:r w:rsidRPr="00675182">
              <w:rPr>
                <w:rFonts w:cstheme="minorHAnsi"/>
                <w:noProof/>
              </w:rPr>
              <w:drawing>
                <wp:inline distT="0" distB="0" distL="0" distR="0" wp14:anchorId="0AA187A6" wp14:editId="4FFAA0ED">
                  <wp:extent cx="2468880" cy="185166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inline>
              </w:drawing>
            </w:r>
          </w:p>
        </w:tc>
        <w:tc>
          <w:tcPr>
            <w:tcW w:w="4151" w:type="dxa"/>
            <w:hideMark/>
          </w:tcPr>
          <w:p w14:paraId="3DE62E85" w14:textId="51BABCF5" w:rsidR="00130296" w:rsidRPr="00675182" w:rsidRDefault="00130296" w:rsidP="00940648">
            <w:pPr>
              <w:keepNext/>
              <w:keepLines/>
              <w:jc w:val="center"/>
              <w:rPr>
                <w:rFonts w:cstheme="minorHAnsi"/>
                <w:szCs w:val="24"/>
              </w:rPr>
            </w:pPr>
            <w:r w:rsidRPr="00675182">
              <w:rPr>
                <w:rFonts w:cstheme="minorHAnsi"/>
                <w:noProof/>
              </w:rPr>
              <w:drawing>
                <wp:inline distT="0" distB="0" distL="0" distR="0" wp14:anchorId="71DDA034" wp14:editId="64B0124B">
                  <wp:extent cx="2468880" cy="185166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inline>
              </w:drawing>
            </w:r>
          </w:p>
        </w:tc>
      </w:tr>
      <w:tr w:rsidR="00130296" w:rsidRPr="00675182" w14:paraId="5E490D17" w14:textId="77777777" w:rsidTr="00130296">
        <w:tc>
          <w:tcPr>
            <w:tcW w:w="4150" w:type="dxa"/>
            <w:hideMark/>
          </w:tcPr>
          <w:p w14:paraId="2E2DC3C9" w14:textId="4AC59F8C" w:rsidR="00130296" w:rsidRPr="00675182" w:rsidRDefault="00E3521C" w:rsidP="00940648">
            <w:pPr>
              <w:keepNext/>
              <w:keepLines/>
              <w:jc w:val="both"/>
              <w:rPr>
                <w:rFonts w:cstheme="minorHAnsi"/>
                <w:b/>
                <w:bCs/>
                <w:i/>
                <w:iCs/>
                <w:szCs w:val="24"/>
              </w:rPr>
            </w:pPr>
            <w:r w:rsidRPr="00675182">
              <w:rPr>
                <w:rFonts w:cstheme="minorHAnsi"/>
                <w:b/>
                <w:i/>
                <w:iCs/>
              </w:rPr>
              <w:t>2.3.</w:t>
            </w:r>
            <w:r w:rsidR="00EF0A82" w:rsidRPr="00675182">
              <w:rPr>
                <w:rFonts w:cstheme="minorHAnsi"/>
                <w:b/>
                <w:i/>
                <w:iCs/>
              </w:rPr>
              <w:t>10</w:t>
            </w:r>
            <w:r w:rsidR="00A85333" w:rsidRPr="00675182">
              <w:rPr>
                <w:rFonts w:cstheme="minorHAnsi"/>
                <w:b/>
                <w:bCs/>
                <w:i/>
                <w:iCs/>
                <w:szCs w:val="24"/>
              </w:rPr>
              <w:t xml:space="preserve">. attēls. </w:t>
            </w:r>
            <w:r w:rsidR="00130296" w:rsidRPr="00675182">
              <w:rPr>
                <w:rFonts w:cstheme="minorHAnsi"/>
                <w:b/>
                <w:bCs/>
                <w:i/>
                <w:iCs/>
                <w:szCs w:val="24"/>
              </w:rPr>
              <w:t>Gāršenieku attekas, 20</w:t>
            </w:r>
            <w:r w:rsidR="003178F9" w:rsidRPr="00675182">
              <w:rPr>
                <w:rFonts w:cstheme="minorHAnsi"/>
                <w:b/>
                <w:bCs/>
                <w:i/>
                <w:iCs/>
                <w:szCs w:val="24"/>
              </w:rPr>
              <w:t>20</w:t>
            </w:r>
            <w:r w:rsidR="00130296" w:rsidRPr="00675182">
              <w:rPr>
                <w:rFonts w:cstheme="minorHAnsi"/>
                <w:b/>
                <w:bCs/>
                <w:i/>
                <w:iCs/>
                <w:szCs w:val="24"/>
              </w:rPr>
              <w:t>. g. (foto: L. Grīnberga)</w:t>
            </w:r>
          </w:p>
        </w:tc>
        <w:tc>
          <w:tcPr>
            <w:tcW w:w="4151" w:type="dxa"/>
            <w:hideMark/>
          </w:tcPr>
          <w:p w14:paraId="2CBCB3C3" w14:textId="4B11A215" w:rsidR="00130296" w:rsidRPr="00675182" w:rsidRDefault="00E3521C" w:rsidP="00940648">
            <w:pPr>
              <w:keepNext/>
              <w:keepLines/>
              <w:jc w:val="both"/>
              <w:rPr>
                <w:rFonts w:cstheme="minorHAnsi"/>
                <w:b/>
                <w:bCs/>
                <w:i/>
                <w:iCs/>
                <w:szCs w:val="24"/>
              </w:rPr>
            </w:pPr>
            <w:r w:rsidRPr="00675182">
              <w:rPr>
                <w:rFonts w:cstheme="minorHAnsi"/>
                <w:b/>
                <w:i/>
                <w:iCs/>
              </w:rPr>
              <w:t>2.3.</w:t>
            </w:r>
            <w:r w:rsidR="00EF0A82" w:rsidRPr="00675182">
              <w:rPr>
                <w:rFonts w:cstheme="minorHAnsi"/>
                <w:b/>
                <w:i/>
                <w:iCs/>
              </w:rPr>
              <w:t>11</w:t>
            </w:r>
            <w:r w:rsidR="00A85333" w:rsidRPr="00675182">
              <w:rPr>
                <w:rFonts w:cstheme="minorHAnsi"/>
                <w:b/>
                <w:bCs/>
                <w:i/>
                <w:iCs/>
                <w:szCs w:val="24"/>
              </w:rPr>
              <w:t xml:space="preserve">. attēls. </w:t>
            </w:r>
            <w:r w:rsidR="00130296" w:rsidRPr="00675182">
              <w:rPr>
                <w:rFonts w:cstheme="minorHAnsi"/>
                <w:b/>
                <w:bCs/>
                <w:i/>
                <w:iCs/>
                <w:szCs w:val="24"/>
              </w:rPr>
              <w:t>Ūdru attekas, 20</w:t>
            </w:r>
            <w:r w:rsidR="003178F9" w:rsidRPr="00675182">
              <w:rPr>
                <w:rFonts w:cstheme="minorHAnsi"/>
                <w:b/>
                <w:bCs/>
                <w:i/>
                <w:iCs/>
                <w:szCs w:val="24"/>
              </w:rPr>
              <w:t>20</w:t>
            </w:r>
            <w:r w:rsidR="00130296" w:rsidRPr="00675182">
              <w:rPr>
                <w:rFonts w:cstheme="minorHAnsi"/>
                <w:b/>
                <w:bCs/>
                <w:i/>
                <w:iCs/>
                <w:szCs w:val="24"/>
              </w:rPr>
              <w:t xml:space="preserve">. g. (foto: L. Grīnberga) </w:t>
            </w:r>
          </w:p>
        </w:tc>
      </w:tr>
    </w:tbl>
    <w:p w14:paraId="33880F9C" w14:textId="77777777" w:rsidR="00130296" w:rsidRPr="00675182" w:rsidRDefault="00130296" w:rsidP="00130296">
      <w:pPr>
        <w:jc w:val="both"/>
        <w:rPr>
          <w:rFonts w:cstheme="minorHAnsi"/>
          <w:bCs/>
        </w:rPr>
      </w:pPr>
    </w:p>
    <w:p w14:paraId="451A72E7" w14:textId="77777777" w:rsidR="00E34CFF" w:rsidRPr="00675182" w:rsidRDefault="00E34CFF" w:rsidP="00E34CFF">
      <w:pPr>
        <w:jc w:val="both"/>
        <w:rPr>
          <w:rFonts w:cstheme="minorHAnsi"/>
          <w:bCs/>
          <w:u w:val="single"/>
        </w:rPr>
      </w:pPr>
      <w:r w:rsidRPr="00675182">
        <w:rPr>
          <w:rFonts w:cstheme="minorHAnsi"/>
          <w:bCs/>
          <w:u w:val="single"/>
        </w:rPr>
        <w:t xml:space="preserve">3160 </w:t>
      </w:r>
      <w:r w:rsidRPr="00675182">
        <w:rPr>
          <w:rFonts w:cstheme="minorHAnsi"/>
          <w:bCs/>
          <w:i/>
          <w:iCs/>
          <w:u w:val="single"/>
        </w:rPr>
        <w:t>Distrofi ezeri</w:t>
      </w:r>
    </w:p>
    <w:p w14:paraId="22B6CF2D" w14:textId="338108F2" w:rsidR="00E34CFF" w:rsidRPr="00675182" w:rsidRDefault="00E34CFF" w:rsidP="00E34CFF">
      <w:pPr>
        <w:jc w:val="both"/>
        <w:rPr>
          <w:rFonts w:cstheme="minorHAnsi"/>
          <w:bCs/>
        </w:rPr>
      </w:pPr>
      <w:r w:rsidRPr="00675182">
        <w:rPr>
          <w:rFonts w:cstheme="minorHAnsi"/>
          <w:bCs/>
        </w:rPr>
        <w:t xml:space="preserve">Distrofi ezeri veidojušies augstajos purvos, vai arī to sateces baseinā dominē kūdras augsnes, kas nodrošina </w:t>
      </w:r>
      <w:r w:rsidR="00E30597" w:rsidRPr="00675182">
        <w:rPr>
          <w:rFonts w:cstheme="minorHAnsi"/>
          <w:bCs/>
        </w:rPr>
        <w:t xml:space="preserve">dabisku </w:t>
      </w:r>
      <w:r w:rsidRPr="00675182">
        <w:rPr>
          <w:rFonts w:cstheme="minorHAnsi"/>
          <w:bCs/>
        </w:rPr>
        <w:t>humusvielu pieplūdi. Raksturīgs humusvielām bagāts ūdens un kūdraina grunts. Reti sastopams ezeru tips, kas parasti ir purvu ekoloģiskā kompleksa daļa un papildina purvu ainavu. Ļoti nozīmīgs ir sateces baseina dabiskais hidroloģiskais režīms, kas nodrošina purva biotopu kompleksa, tajā skaitā arī šo ezeru, dabisku attīstību.</w:t>
      </w:r>
      <w:r w:rsidR="00E30597" w:rsidRPr="00675182">
        <w:rPr>
          <w:rFonts w:cstheme="minorHAnsi"/>
          <w:bCs/>
        </w:rPr>
        <w:t xml:space="preserve"> Biotopu negatīvi ietekmē augsto purvu nosusināšana.</w:t>
      </w:r>
    </w:p>
    <w:p w14:paraId="5A36C138" w14:textId="77777777" w:rsidR="00E34CFF" w:rsidRPr="00675182" w:rsidRDefault="00E34CFF" w:rsidP="00E34CFF">
      <w:pPr>
        <w:jc w:val="both"/>
        <w:rPr>
          <w:rFonts w:cstheme="minorHAnsi"/>
          <w:bCs/>
        </w:rPr>
      </w:pPr>
    </w:p>
    <w:p w14:paraId="0689F1C4" w14:textId="638DE969" w:rsidR="00130296" w:rsidRPr="00675182" w:rsidRDefault="00E34CFF" w:rsidP="00E34CFF">
      <w:pPr>
        <w:jc w:val="both"/>
        <w:rPr>
          <w:rFonts w:cstheme="minorHAnsi"/>
          <w:bCs/>
        </w:rPr>
      </w:pPr>
      <w:r w:rsidRPr="00675182">
        <w:rPr>
          <w:rFonts w:cstheme="minorHAnsi"/>
          <w:bCs/>
        </w:rPr>
        <w:t xml:space="preserve">Biotopam 3160 </w:t>
      </w:r>
      <w:r w:rsidRPr="00675182">
        <w:rPr>
          <w:rFonts w:cstheme="minorHAnsi"/>
          <w:bCs/>
          <w:i/>
          <w:iCs/>
        </w:rPr>
        <w:t>Distrofi ezeri</w:t>
      </w:r>
      <w:r w:rsidRPr="00675182">
        <w:rPr>
          <w:rFonts w:cstheme="minorHAnsi"/>
          <w:bCs/>
        </w:rPr>
        <w:t xml:space="preserve"> atbilst divdesmit viens GNP ezers un purva lāma, to kopējā platība ir </w:t>
      </w:r>
      <w:r w:rsidR="0042652A" w:rsidRPr="00675182">
        <w:rPr>
          <w:rFonts w:cstheme="minorHAnsi"/>
          <w:bCs/>
        </w:rPr>
        <w:t>115,3</w:t>
      </w:r>
      <w:r w:rsidRPr="00675182">
        <w:rPr>
          <w:rFonts w:cstheme="minorHAnsi"/>
          <w:bCs/>
        </w:rPr>
        <w:t xml:space="preserve"> ha jeb 0,1</w:t>
      </w:r>
      <w:r w:rsidR="00FA7C16" w:rsidRPr="00675182">
        <w:rPr>
          <w:rFonts w:cstheme="minorHAnsi"/>
          <w:bCs/>
        </w:rPr>
        <w:t>3</w:t>
      </w:r>
      <w:r w:rsidR="001602D1" w:rsidRPr="00675182">
        <w:rPr>
          <w:rFonts w:cstheme="minorHAnsi"/>
          <w:bCs/>
        </w:rPr>
        <w:t xml:space="preserve"> </w:t>
      </w:r>
      <w:r w:rsidRPr="00675182">
        <w:rPr>
          <w:rFonts w:cstheme="minorHAnsi"/>
          <w:bCs/>
        </w:rPr>
        <w:t>% no GNP teritorijas</w:t>
      </w:r>
      <w:r w:rsidR="00130296" w:rsidRPr="00675182">
        <w:rPr>
          <w:rFonts w:cstheme="minorHAnsi"/>
          <w:bCs/>
        </w:rPr>
        <w:t>.</w:t>
      </w:r>
    </w:p>
    <w:p w14:paraId="750C9AE1" w14:textId="77777777" w:rsidR="00130296" w:rsidRPr="00675182" w:rsidRDefault="00130296" w:rsidP="00130296">
      <w:pPr>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51"/>
      </w:tblGrid>
      <w:tr w:rsidR="00130296" w:rsidRPr="00675182" w14:paraId="6D87FCD6" w14:textId="77777777" w:rsidTr="00130296">
        <w:tc>
          <w:tcPr>
            <w:tcW w:w="4150" w:type="dxa"/>
            <w:hideMark/>
          </w:tcPr>
          <w:p w14:paraId="7F9EB028" w14:textId="14D5A3EC" w:rsidR="00130296" w:rsidRPr="00675182" w:rsidRDefault="00130296" w:rsidP="00365F76">
            <w:pPr>
              <w:keepNext/>
              <w:keepLines/>
              <w:jc w:val="center"/>
              <w:rPr>
                <w:rFonts w:cstheme="minorHAnsi"/>
                <w:szCs w:val="24"/>
              </w:rPr>
            </w:pPr>
            <w:r w:rsidRPr="00675182">
              <w:rPr>
                <w:rFonts w:cstheme="minorHAnsi"/>
                <w:noProof/>
              </w:rPr>
              <w:lastRenderedPageBreak/>
              <w:drawing>
                <wp:inline distT="0" distB="0" distL="0" distR="0" wp14:anchorId="5E57CDDF" wp14:editId="35DA5AAE">
                  <wp:extent cx="2484120" cy="1866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84120" cy="1866900"/>
                          </a:xfrm>
                          <a:prstGeom prst="rect">
                            <a:avLst/>
                          </a:prstGeom>
                          <a:noFill/>
                          <a:ln>
                            <a:noFill/>
                          </a:ln>
                        </pic:spPr>
                      </pic:pic>
                    </a:graphicData>
                  </a:graphic>
                </wp:inline>
              </w:drawing>
            </w:r>
          </w:p>
        </w:tc>
        <w:tc>
          <w:tcPr>
            <w:tcW w:w="4151" w:type="dxa"/>
            <w:hideMark/>
          </w:tcPr>
          <w:p w14:paraId="05D8E9A4" w14:textId="79B863C0" w:rsidR="00130296" w:rsidRPr="00675182" w:rsidRDefault="00130296" w:rsidP="00365F76">
            <w:pPr>
              <w:keepNext/>
              <w:keepLines/>
              <w:jc w:val="center"/>
              <w:rPr>
                <w:rFonts w:cstheme="minorHAnsi"/>
                <w:szCs w:val="24"/>
              </w:rPr>
            </w:pPr>
            <w:r w:rsidRPr="00675182">
              <w:rPr>
                <w:rFonts w:cstheme="minorHAnsi"/>
                <w:noProof/>
              </w:rPr>
              <w:drawing>
                <wp:inline distT="0" distB="0" distL="0" distR="0" wp14:anchorId="6981BBE7" wp14:editId="0F7795BE">
                  <wp:extent cx="2484120" cy="1866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484120" cy="1866900"/>
                          </a:xfrm>
                          <a:prstGeom prst="rect">
                            <a:avLst/>
                          </a:prstGeom>
                          <a:noFill/>
                          <a:ln>
                            <a:noFill/>
                          </a:ln>
                        </pic:spPr>
                      </pic:pic>
                    </a:graphicData>
                  </a:graphic>
                </wp:inline>
              </w:drawing>
            </w:r>
          </w:p>
        </w:tc>
      </w:tr>
      <w:tr w:rsidR="00130296" w:rsidRPr="00675182" w14:paraId="4495B509" w14:textId="77777777" w:rsidTr="00130296">
        <w:tc>
          <w:tcPr>
            <w:tcW w:w="4150" w:type="dxa"/>
            <w:hideMark/>
          </w:tcPr>
          <w:p w14:paraId="14FB89CB" w14:textId="58A569FC" w:rsidR="00130296" w:rsidRPr="00675182" w:rsidRDefault="00E3521C" w:rsidP="00365F76">
            <w:pPr>
              <w:keepNext/>
              <w:keepLines/>
              <w:rPr>
                <w:rFonts w:cstheme="minorHAnsi"/>
                <w:b/>
                <w:bCs/>
                <w:i/>
                <w:iCs/>
                <w:szCs w:val="24"/>
              </w:rPr>
            </w:pPr>
            <w:r w:rsidRPr="00675182">
              <w:rPr>
                <w:rFonts w:cstheme="minorHAnsi"/>
                <w:b/>
                <w:i/>
                <w:iCs/>
              </w:rPr>
              <w:t>2.3.</w:t>
            </w:r>
            <w:r w:rsidR="00135B31" w:rsidRPr="00675182">
              <w:rPr>
                <w:rFonts w:cstheme="minorHAnsi"/>
                <w:b/>
                <w:i/>
                <w:iCs/>
              </w:rPr>
              <w:t>1</w:t>
            </w:r>
            <w:r w:rsidR="00EF0A82" w:rsidRPr="00675182">
              <w:rPr>
                <w:rFonts w:cstheme="minorHAnsi"/>
                <w:b/>
                <w:i/>
                <w:iCs/>
              </w:rPr>
              <w:t>4</w:t>
            </w:r>
            <w:r w:rsidR="00A85333" w:rsidRPr="00675182">
              <w:rPr>
                <w:rFonts w:cstheme="minorHAnsi"/>
                <w:b/>
                <w:bCs/>
                <w:i/>
                <w:iCs/>
                <w:szCs w:val="24"/>
              </w:rPr>
              <w:t xml:space="preserve">. attēls. </w:t>
            </w:r>
            <w:r w:rsidR="00130296" w:rsidRPr="00675182">
              <w:rPr>
                <w:rFonts w:cstheme="minorHAnsi"/>
                <w:b/>
                <w:bCs/>
                <w:i/>
                <w:iCs/>
                <w:szCs w:val="24"/>
              </w:rPr>
              <w:t xml:space="preserve">Kārtūžu ezera </w:t>
            </w:r>
            <w:r w:rsidR="00A85333" w:rsidRPr="00675182">
              <w:rPr>
                <w:rFonts w:cstheme="minorHAnsi"/>
                <w:b/>
                <w:bCs/>
                <w:i/>
                <w:iCs/>
                <w:szCs w:val="24"/>
              </w:rPr>
              <w:t>rietumu</w:t>
            </w:r>
            <w:r w:rsidR="00130296" w:rsidRPr="00675182">
              <w:rPr>
                <w:rFonts w:cstheme="minorHAnsi"/>
                <w:b/>
                <w:bCs/>
                <w:i/>
                <w:iCs/>
                <w:szCs w:val="24"/>
              </w:rPr>
              <w:t xml:space="preserve"> piekraste, 2017. g. (foto: L. Grīnberga)</w:t>
            </w:r>
          </w:p>
        </w:tc>
        <w:tc>
          <w:tcPr>
            <w:tcW w:w="4151" w:type="dxa"/>
            <w:hideMark/>
          </w:tcPr>
          <w:p w14:paraId="10E1E187" w14:textId="0F761E89" w:rsidR="00130296" w:rsidRPr="00675182" w:rsidRDefault="00E3521C" w:rsidP="00365F76">
            <w:pPr>
              <w:keepNext/>
              <w:keepLines/>
              <w:rPr>
                <w:rFonts w:cstheme="minorHAnsi"/>
                <w:b/>
                <w:bCs/>
                <w:i/>
                <w:iCs/>
                <w:szCs w:val="24"/>
              </w:rPr>
            </w:pPr>
            <w:r w:rsidRPr="00675182">
              <w:rPr>
                <w:rFonts w:cstheme="minorHAnsi"/>
                <w:b/>
                <w:i/>
                <w:iCs/>
              </w:rPr>
              <w:t>2.3</w:t>
            </w:r>
            <w:r w:rsidR="00A85333" w:rsidRPr="00675182">
              <w:rPr>
                <w:rFonts w:cstheme="minorHAnsi"/>
                <w:b/>
                <w:bCs/>
                <w:i/>
                <w:iCs/>
                <w:szCs w:val="24"/>
              </w:rPr>
              <w:t>.</w:t>
            </w:r>
            <w:r w:rsidR="00135B31" w:rsidRPr="00675182">
              <w:rPr>
                <w:rFonts w:cstheme="minorHAnsi"/>
                <w:b/>
                <w:bCs/>
                <w:i/>
                <w:iCs/>
                <w:szCs w:val="24"/>
              </w:rPr>
              <w:t>1</w:t>
            </w:r>
            <w:r w:rsidR="00EF0A82" w:rsidRPr="00675182">
              <w:rPr>
                <w:rFonts w:cstheme="minorHAnsi"/>
                <w:b/>
                <w:bCs/>
                <w:i/>
                <w:iCs/>
                <w:szCs w:val="24"/>
              </w:rPr>
              <w:t>5</w:t>
            </w:r>
            <w:r w:rsidR="00A85333" w:rsidRPr="00675182">
              <w:rPr>
                <w:rFonts w:cstheme="minorHAnsi"/>
                <w:b/>
                <w:bCs/>
                <w:i/>
                <w:iCs/>
                <w:szCs w:val="24"/>
              </w:rPr>
              <w:t xml:space="preserve">. attēls. </w:t>
            </w:r>
            <w:r w:rsidR="00130296" w:rsidRPr="00675182">
              <w:rPr>
                <w:rFonts w:cstheme="minorHAnsi"/>
                <w:b/>
                <w:bCs/>
                <w:i/>
                <w:iCs/>
                <w:szCs w:val="24"/>
              </w:rPr>
              <w:t xml:space="preserve">Zviedru ezera </w:t>
            </w:r>
            <w:r w:rsidR="00A85333" w:rsidRPr="00675182">
              <w:rPr>
                <w:rFonts w:cstheme="minorHAnsi"/>
                <w:b/>
                <w:bCs/>
                <w:i/>
                <w:iCs/>
                <w:szCs w:val="24"/>
              </w:rPr>
              <w:t>dienvidrietumu</w:t>
            </w:r>
            <w:r w:rsidR="00130296" w:rsidRPr="00675182">
              <w:rPr>
                <w:rFonts w:cstheme="minorHAnsi"/>
                <w:b/>
                <w:bCs/>
                <w:i/>
                <w:iCs/>
                <w:szCs w:val="24"/>
              </w:rPr>
              <w:t xml:space="preserve"> piekraste, 2017. g. (foto: L. Grīnberga) </w:t>
            </w:r>
          </w:p>
        </w:tc>
      </w:tr>
    </w:tbl>
    <w:p w14:paraId="5BCF2839" w14:textId="77777777" w:rsidR="00A10DE2" w:rsidRPr="00675182" w:rsidRDefault="00A10DE2" w:rsidP="00A10DE2">
      <w:pPr>
        <w:pStyle w:val="ListParagraph"/>
        <w:ind w:left="0"/>
        <w:jc w:val="both"/>
        <w:rPr>
          <w:rFonts w:cstheme="minorHAnsi"/>
          <w:b/>
        </w:rPr>
      </w:pPr>
      <w:r w:rsidRPr="00675182">
        <w:rPr>
          <w:rFonts w:cstheme="minorHAnsi"/>
          <w:b/>
        </w:rPr>
        <w:t>Upju biotopi</w:t>
      </w:r>
    </w:p>
    <w:p w14:paraId="7CA736B4" w14:textId="710D11BB" w:rsidR="00E34CFF" w:rsidRPr="00675182" w:rsidRDefault="00E34CFF" w:rsidP="00E34CFF">
      <w:pPr>
        <w:pStyle w:val="ListParagraph"/>
        <w:ind w:left="0"/>
        <w:jc w:val="both"/>
        <w:rPr>
          <w:rFonts w:cstheme="minorHAnsi"/>
          <w:bCs/>
        </w:rPr>
      </w:pPr>
      <w:r w:rsidRPr="00675182">
        <w:rPr>
          <w:rFonts w:cstheme="minorHAnsi"/>
          <w:bCs/>
        </w:rPr>
        <w:t>GNP teritorija ietilpst Gaujas upju baseinu apgabalā, tikai neliela platība – Sudas purva dienvidu daļa ietilpst Daugavas baseinā. GNP teritorijā esošās ūdensteces var iedalīt vairākās grupās: lielās upes (Gauja), vidējās upes (Brasla, Rauna, Amata, Vaive, Strīķupe), mazās upes (lielākā daļa GPN upju), avoti un strauti.</w:t>
      </w:r>
    </w:p>
    <w:p w14:paraId="35EA8310" w14:textId="77777777" w:rsidR="00E34CFF" w:rsidRPr="00675182" w:rsidRDefault="00E34CFF" w:rsidP="00E34CFF">
      <w:pPr>
        <w:pStyle w:val="ListParagraph"/>
        <w:ind w:left="0"/>
        <w:jc w:val="both"/>
        <w:rPr>
          <w:rFonts w:cstheme="minorHAnsi"/>
          <w:bCs/>
        </w:rPr>
      </w:pPr>
    </w:p>
    <w:p w14:paraId="00B2D768" w14:textId="77777777" w:rsidR="00E34CFF" w:rsidRPr="00675182" w:rsidRDefault="00E34CFF" w:rsidP="00E34CFF">
      <w:pPr>
        <w:pStyle w:val="ListParagraph"/>
        <w:ind w:left="0"/>
        <w:jc w:val="both"/>
        <w:rPr>
          <w:rFonts w:cstheme="minorHAnsi"/>
          <w:bCs/>
        </w:rPr>
      </w:pPr>
      <w:r w:rsidRPr="00675182">
        <w:rPr>
          <w:rFonts w:cstheme="minorHAnsi"/>
          <w:bCs/>
        </w:rPr>
        <w:t>Gaujas posms GNP teritorijā ir 95 km garš. Upes gultne ir 50 – 120 m plata, ar mainīgu dziļumu (0,3 – 7 m) (Pilāts (red.), 2007). Gaujā straujteces mijas ar lēnākiem posmiem, kopējais aizaugums visā posmā ir neliels, ko nosaka lielās ūdenslīmeņa svārstības un grunts sastāvs, ko veido vāji saistītas un viegli pārvietojamas smiltis. Pateicoties smilšainajai gultnei un ātrajai straumei, piesārņojums nespēj akumulēties, kā arī notiek nemitīga ūdens pašattīrīšanās. Turklāt Gaujā ieplūst daudz pazemes ūdeņu, kas ziemā samazina ledus segas biezumu atsevišķos tās posmos, bet vasarā jūtami pazemina ūdens temperatūru. Gaujā ir zemāka ūdens temperatūra nekā citās Latvijas lielajās upēs (Autoru kolektīvs, 2004).</w:t>
      </w:r>
    </w:p>
    <w:p w14:paraId="67FE550B" w14:textId="77777777" w:rsidR="00E34CFF" w:rsidRPr="00675182" w:rsidRDefault="00E34CFF" w:rsidP="00E34CFF">
      <w:pPr>
        <w:pStyle w:val="ListParagraph"/>
        <w:ind w:left="0"/>
        <w:jc w:val="both"/>
        <w:rPr>
          <w:rFonts w:cstheme="minorHAnsi"/>
          <w:bCs/>
        </w:rPr>
      </w:pPr>
    </w:p>
    <w:p w14:paraId="231183E8" w14:textId="77777777" w:rsidR="00E34CFF" w:rsidRPr="00675182" w:rsidRDefault="00E34CFF" w:rsidP="00E34CFF">
      <w:pPr>
        <w:pStyle w:val="ListParagraph"/>
        <w:ind w:left="0"/>
        <w:jc w:val="both"/>
        <w:rPr>
          <w:rFonts w:cstheme="minorHAnsi"/>
          <w:bCs/>
        </w:rPr>
      </w:pPr>
      <w:r w:rsidRPr="00675182">
        <w:rPr>
          <w:rFonts w:cstheme="minorHAnsi"/>
          <w:bCs/>
        </w:rPr>
        <w:t>Ūdeņu kvalitāte GNP lielā mērā ir atkarīga no piesārņojuma avotiem ārpus GNP teritorijas. LVĢMC virszemes ūdeņu kvalitātes monitorings tiek veikts septiņās novērojumu stacijās GNP teritorijā – Amatas, Braslas un Raunas grīvā, Gaujā 1 km augšpus un 1 km lejpus Cēsīm, Gaujā lejpus Līgatnes upes ietekas un lejpus Siguldas. Augstam/labam ekoloģiskajam stāvoklim neatbilst kopējā fosfora koncentrācija dažādos gados gandrīz visās stacijās, tomēr vērojama kvalitātes uzlabošanās pēdējo desmit gadu laikā (</w:t>
      </w:r>
      <w:r w:rsidRPr="00675182">
        <w:rPr>
          <w:rFonts w:cstheme="minorHAnsi"/>
        </w:rPr>
        <w:t>LVĢMC, 2015).</w:t>
      </w:r>
      <w:r w:rsidRPr="00675182">
        <w:rPr>
          <w:rFonts w:cstheme="minorHAnsi"/>
          <w:bCs/>
        </w:rPr>
        <w:t xml:space="preserve"> </w:t>
      </w:r>
    </w:p>
    <w:p w14:paraId="71FE125A" w14:textId="77777777" w:rsidR="00E34CFF" w:rsidRPr="00675182" w:rsidRDefault="00E34CFF" w:rsidP="00E34CFF">
      <w:pPr>
        <w:pStyle w:val="ListParagraph"/>
        <w:ind w:left="0"/>
        <w:jc w:val="both"/>
        <w:rPr>
          <w:rFonts w:cstheme="minorHAnsi"/>
          <w:bCs/>
        </w:rPr>
      </w:pPr>
    </w:p>
    <w:p w14:paraId="3B12F3F1" w14:textId="77777777" w:rsidR="00E34CFF" w:rsidRPr="00675182" w:rsidRDefault="00E34CFF" w:rsidP="00E34CFF">
      <w:pPr>
        <w:pStyle w:val="ListParagraph"/>
        <w:ind w:left="0"/>
        <w:jc w:val="both"/>
        <w:rPr>
          <w:rFonts w:cstheme="minorHAnsi"/>
          <w:bCs/>
        </w:rPr>
      </w:pPr>
      <w:r w:rsidRPr="00675182">
        <w:rPr>
          <w:rFonts w:cstheme="minorHAnsi"/>
          <w:bCs/>
        </w:rPr>
        <w:t>Vidēji lielās un mazās upes ir straujteces, ar atsevišķiem lēnteces posmiem.</w:t>
      </w:r>
    </w:p>
    <w:p w14:paraId="0590BA1F" w14:textId="77777777" w:rsidR="008F0C1C" w:rsidRPr="00675182" w:rsidRDefault="008F0C1C" w:rsidP="00A10DE2">
      <w:pPr>
        <w:jc w:val="both"/>
        <w:rPr>
          <w:rFonts w:cstheme="minorHAnsi"/>
          <w:b/>
        </w:rPr>
      </w:pPr>
    </w:p>
    <w:p w14:paraId="4E159F7E" w14:textId="74FC772D" w:rsidR="00A10DE2" w:rsidRPr="00675182" w:rsidRDefault="00E3521C" w:rsidP="00A10DE2">
      <w:pPr>
        <w:jc w:val="both"/>
        <w:rPr>
          <w:rFonts w:cstheme="minorHAnsi"/>
          <w:b/>
          <w:i/>
          <w:iCs/>
        </w:rPr>
      </w:pPr>
      <w:r w:rsidRPr="00675182">
        <w:rPr>
          <w:rFonts w:cstheme="minorHAnsi"/>
          <w:b/>
          <w:i/>
          <w:iCs/>
        </w:rPr>
        <w:t>2.3</w:t>
      </w:r>
      <w:r w:rsidR="008F0C1C" w:rsidRPr="00675182">
        <w:rPr>
          <w:rFonts w:cstheme="minorHAnsi"/>
          <w:b/>
          <w:i/>
          <w:iCs/>
        </w:rPr>
        <w:t>.</w:t>
      </w:r>
      <w:r w:rsidR="00162901" w:rsidRPr="00675182">
        <w:rPr>
          <w:rFonts w:cstheme="minorHAnsi"/>
          <w:b/>
          <w:i/>
          <w:iCs/>
        </w:rPr>
        <w:t>4</w:t>
      </w:r>
      <w:r w:rsidR="008F0C1C" w:rsidRPr="00675182">
        <w:rPr>
          <w:rFonts w:cstheme="minorHAnsi"/>
          <w:b/>
          <w:i/>
          <w:iCs/>
        </w:rPr>
        <w:t>.</w:t>
      </w:r>
      <w:r w:rsidR="00A10DE2" w:rsidRPr="00675182">
        <w:rPr>
          <w:rFonts w:cstheme="minorHAnsi"/>
          <w:b/>
          <w:i/>
          <w:iCs/>
        </w:rPr>
        <w:t xml:space="preserve"> tabula. Upju biotopi</w:t>
      </w:r>
      <w:r w:rsidR="008F0C1C" w:rsidRPr="00675182">
        <w:rPr>
          <w:rFonts w:cstheme="minorHAnsi"/>
          <w:b/>
          <w:i/>
          <w:iCs/>
        </w:rPr>
        <w:t xml:space="preserve"> un</w:t>
      </w:r>
      <w:r w:rsidR="00A10DE2" w:rsidRPr="00675182">
        <w:rPr>
          <w:rFonts w:cstheme="minorHAnsi"/>
          <w:b/>
          <w:i/>
          <w:iCs/>
        </w:rPr>
        <w:t xml:space="preserve"> to kvalitāte</w:t>
      </w:r>
      <w:r w:rsidR="008F0C1C" w:rsidRPr="00675182">
        <w:rPr>
          <w:rFonts w:cstheme="minorHAnsi"/>
          <w:b/>
          <w:i/>
          <w:iCs/>
        </w:rPr>
        <w:t xml:space="preserve"> GNP teritorijā</w:t>
      </w:r>
    </w:p>
    <w:tbl>
      <w:tblPr>
        <w:tblW w:w="5000" w:type="pct"/>
        <w:tblLook w:val="04A0" w:firstRow="1" w:lastRow="0" w:firstColumn="1" w:lastColumn="0" w:noHBand="0" w:noVBand="1"/>
      </w:tblPr>
      <w:tblGrid>
        <w:gridCol w:w="3572"/>
        <w:gridCol w:w="2499"/>
        <w:gridCol w:w="2230"/>
      </w:tblGrid>
      <w:tr w:rsidR="003178F9" w:rsidRPr="00675182" w14:paraId="54129294" w14:textId="77777777" w:rsidTr="00D35DF1">
        <w:trPr>
          <w:trHeight w:val="300"/>
          <w:tblHeader/>
        </w:trPr>
        <w:tc>
          <w:tcPr>
            <w:tcW w:w="2152" w:type="pct"/>
            <w:tcBorders>
              <w:top w:val="single" w:sz="4" w:space="0" w:color="auto"/>
              <w:left w:val="single" w:sz="4" w:space="0" w:color="auto"/>
              <w:bottom w:val="single" w:sz="4" w:space="0" w:color="auto"/>
              <w:right w:val="single" w:sz="4" w:space="0" w:color="auto"/>
            </w:tcBorders>
            <w:shd w:val="clear" w:color="000000" w:fill="D8E4BC"/>
            <w:noWrap/>
            <w:vAlign w:val="center"/>
          </w:tcPr>
          <w:p w14:paraId="2E947A7E" w14:textId="77777777" w:rsidR="003178F9" w:rsidRPr="00675182" w:rsidRDefault="003178F9" w:rsidP="00A10DE2">
            <w:pPr>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Upes nosaukums</w:t>
            </w:r>
          </w:p>
        </w:tc>
        <w:tc>
          <w:tcPr>
            <w:tcW w:w="1505" w:type="pct"/>
            <w:tcBorders>
              <w:top w:val="single" w:sz="4" w:space="0" w:color="auto"/>
              <w:left w:val="nil"/>
              <w:bottom w:val="single" w:sz="4" w:space="0" w:color="auto"/>
              <w:right w:val="single" w:sz="4" w:space="0" w:color="auto"/>
            </w:tcBorders>
            <w:shd w:val="clear" w:color="000000" w:fill="D8E4BC"/>
            <w:noWrap/>
            <w:vAlign w:val="center"/>
          </w:tcPr>
          <w:p w14:paraId="112C05D3" w14:textId="77777777" w:rsidR="003178F9" w:rsidRPr="00675182" w:rsidRDefault="003178F9" w:rsidP="00A10DE2">
            <w:pPr>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Biotopa kods_ variants</w:t>
            </w:r>
          </w:p>
        </w:tc>
        <w:tc>
          <w:tcPr>
            <w:tcW w:w="1343" w:type="pct"/>
            <w:tcBorders>
              <w:top w:val="single" w:sz="4" w:space="0" w:color="auto"/>
              <w:left w:val="nil"/>
              <w:bottom w:val="single" w:sz="4" w:space="0" w:color="auto"/>
              <w:right w:val="single" w:sz="4" w:space="0" w:color="auto"/>
            </w:tcBorders>
            <w:shd w:val="clear" w:color="000000" w:fill="D8E4BC"/>
            <w:vAlign w:val="center"/>
          </w:tcPr>
          <w:p w14:paraId="60E81F28" w14:textId="2F510DEA" w:rsidR="003178F9" w:rsidRPr="00675182" w:rsidRDefault="003178F9" w:rsidP="00A10DE2">
            <w:pPr>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Biotopa kvalitāte</w:t>
            </w:r>
            <w:r w:rsidR="00F549AC" w:rsidRPr="00675182">
              <w:rPr>
                <w:rStyle w:val="FootnoteReference"/>
                <w:rFonts w:eastAsia="Times New Roman" w:cstheme="minorHAnsi"/>
                <w:b/>
                <w:bCs/>
                <w:color w:val="000000"/>
                <w:szCs w:val="24"/>
                <w:lang w:eastAsia="en-GB"/>
              </w:rPr>
              <w:footnoteReference w:id="13"/>
            </w:r>
          </w:p>
        </w:tc>
      </w:tr>
      <w:tr w:rsidR="003178F9" w:rsidRPr="00675182" w14:paraId="3F137130"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678E187F" w14:textId="77777777" w:rsidR="003178F9" w:rsidRPr="00675182" w:rsidRDefault="003178F9" w:rsidP="002C01EF">
            <w:pPr>
              <w:rPr>
                <w:rFonts w:cstheme="minorHAnsi"/>
                <w:color w:val="000000"/>
                <w:szCs w:val="24"/>
              </w:rPr>
            </w:pPr>
            <w:r w:rsidRPr="00675182">
              <w:rPr>
                <w:rFonts w:cstheme="minorHAnsi"/>
              </w:rPr>
              <w:t>Amata</w:t>
            </w:r>
          </w:p>
        </w:tc>
        <w:tc>
          <w:tcPr>
            <w:tcW w:w="1505" w:type="pct"/>
            <w:tcBorders>
              <w:top w:val="single" w:sz="8" w:space="0" w:color="auto"/>
              <w:left w:val="nil"/>
              <w:bottom w:val="single" w:sz="8" w:space="0" w:color="auto"/>
              <w:right w:val="single" w:sz="8" w:space="0" w:color="auto"/>
            </w:tcBorders>
            <w:shd w:val="clear" w:color="auto" w:fill="auto"/>
            <w:noWrap/>
            <w:vAlign w:val="center"/>
          </w:tcPr>
          <w:p w14:paraId="514EAD15" w14:textId="064EDF8D"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single" w:sz="8" w:space="0" w:color="auto"/>
              <w:left w:val="nil"/>
              <w:bottom w:val="single" w:sz="8" w:space="0" w:color="auto"/>
              <w:right w:val="single" w:sz="8" w:space="0" w:color="auto"/>
            </w:tcBorders>
            <w:shd w:val="clear" w:color="auto" w:fill="92D050"/>
            <w:vAlign w:val="center"/>
          </w:tcPr>
          <w:p w14:paraId="5252DC83"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74D77118"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67EA20E4" w14:textId="77777777" w:rsidR="003178F9" w:rsidRPr="00675182" w:rsidRDefault="003178F9" w:rsidP="002C01EF">
            <w:pPr>
              <w:rPr>
                <w:rFonts w:cstheme="minorHAnsi"/>
                <w:color w:val="000000"/>
                <w:szCs w:val="24"/>
              </w:rPr>
            </w:pPr>
            <w:r w:rsidRPr="00675182">
              <w:rPr>
                <w:rFonts w:cstheme="minorHAnsi"/>
              </w:rPr>
              <w:t>Brasla</w:t>
            </w:r>
          </w:p>
        </w:tc>
        <w:tc>
          <w:tcPr>
            <w:tcW w:w="1505" w:type="pct"/>
            <w:tcBorders>
              <w:top w:val="nil"/>
              <w:left w:val="nil"/>
              <w:bottom w:val="single" w:sz="8" w:space="0" w:color="auto"/>
              <w:right w:val="single" w:sz="8" w:space="0" w:color="auto"/>
            </w:tcBorders>
            <w:shd w:val="clear" w:color="auto" w:fill="auto"/>
            <w:noWrap/>
            <w:vAlign w:val="center"/>
          </w:tcPr>
          <w:p w14:paraId="1BFCBE98" w14:textId="1AE2D9A6"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00B0F0"/>
            <w:vAlign w:val="center"/>
          </w:tcPr>
          <w:p w14:paraId="4A28990C" w14:textId="77777777" w:rsidR="003178F9" w:rsidRPr="00675182" w:rsidRDefault="003178F9" w:rsidP="002C01EF">
            <w:pPr>
              <w:jc w:val="center"/>
              <w:rPr>
                <w:rFonts w:cstheme="minorHAnsi"/>
                <w:color w:val="000000"/>
                <w:szCs w:val="24"/>
              </w:rPr>
            </w:pPr>
            <w:r w:rsidRPr="00675182">
              <w:rPr>
                <w:rFonts w:cstheme="minorHAnsi"/>
                <w:color w:val="000000"/>
                <w:szCs w:val="24"/>
              </w:rPr>
              <w:t>Izcila</w:t>
            </w:r>
          </w:p>
        </w:tc>
      </w:tr>
      <w:tr w:rsidR="003178F9" w:rsidRPr="00675182" w14:paraId="182C8DAF"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081AA0FB" w14:textId="77777777" w:rsidR="003178F9" w:rsidRPr="00675182" w:rsidRDefault="003178F9" w:rsidP="002C01EF">
            <w:pPr>
              <w:rPr>
                <w:rFonts w:cstheme="minorHAnsi"/>
                <w:color w:val="000000"/>
                <w:szCs w:val="24"/>
              </w:rPr>
            </w:pPr>
            <w:r w:rsidRPr="00675182">
              <w:rPr>
                <w:rFonts w:cstheme="minorHAnsi"/>
              </w:rPr>
              <w:t>Braslava</w:t>
            </w:r>
          </w:p>
        </w:tc>
        <w:tc>
          <w:tcPr>
            <w:tcW w:w="1505" w:type="pct"/>
            <w:tcBorders>
              <w:top w:val="nil"/>
              <w:left w:val="nil"/>
              <w:bottom w:val="single" w:sz="8" w:space="0" w:color="auto"/>
              <w:right w:val="single" w:sz="8" w:space="0" w:color="auto"/>
            </w:tcBorders>
            <w:shd w:val="clear" w:color="auto" w:fill="auto"/>
            <w:noWrap/>
            <w:vAlign w:val="center"/>
          </w:tcPr>
          <w:p w14:paraId="009E6905" w14:textId="0BC47C5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582FA242"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D35DF1" w:rsidRPr="00675182" w14:paraId="17FB918F"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5DB63CA5" w14:textId="1A8CCEEA" w:rsidR="00D35DF1" w:rsidRPr="00675182" w:rsidRDefault="00D35DF1" w:rsidP="00D35DF1">
            <w:pPr>
              <w:rPr>
                <w:rFonts w:cstheme="minorHAnsi"/>
              </w:rPr>
            </w:pPr>
            <w:r w:rsidRPr="00675182">
              <w:rPr>
                <w:rFonts w:cstheme="minorHAnsi"/>
              </w:rPr>
              <w:lastRenderedPageBreak/>
              <w:t>Danka</w:t>
            </w:r>
          </w:p>
        </w:tc>
        <w:tc>
          <w:tcPr>
            <w:tcW w:w="1505" w:type="pct"/>
            <w:tcBorders>
              <w:top w:val="nil"/>
              <w:left w:val="nil"/>
              <w:bottom w:val="single" w:sz="8" w:space="0" w:color="auto"/>
              <w:right w:val="single" w:sz="8" w:space="0" w:color="auto"/>
            </w:tcBorders>
            <w:shd w:val="clear" w:color="auto" w:fill="auto"/>
            <w:noWrap/>
            <w:vAlign w:val="center"/>
          </w:tcPr>
          <w:p w14:paraId="334176A2" w14:textId="5240024B" w:rsidR="00D35DF1" w:rsidRPr="00675182" w:rsidRDefault="00D35DF1" w:rsidP="00D35DF1">
            <w:pPr>
              <w:jc w:val="center"/>
              <w:rPr>
                <w:rFonts w:cstheme="minorHAnsi"/>
              </w:rPr>
            </w:pPr>
            <w:r w:rsidRPr="00675182">
              <w:rPr>
                <w:rFonts w:cstheme="minorHAnsi"/>
              </w:rPr>
              <w:t>3260</w:t>
            </w:r>
          </w:p>
        </w:tc>
        <w:tc>
          <w:tcPr>
            <w:tcW w:w="1343" w:type="pct"/>
            <w:tcBorders>
              <w:top w:val="nil"/>
              <w:left w:val="nil"/>
              <w:bottom w:val="single" w:sz="8" w:space="0" w:color="auto"/>
              <w:right w:val="single" w:sz="8" w:space="0" w:color="auto"/>
            </w:tcBorders>
            <w:shd w:val="clear" w:color="auto" w:fill="auto"/>
            <w:vAlign w:val="center"/>
          </w:tcPr>
          <w:p w14:paraId="717105E2" w14:textId="77777777" w:rsidR="00D35DF1" w:rsidRPr="00675182" w:rsidRDefault="00D35DF1" w:rsidP="00D35DF1">
            <w:pPr>
              <w:jc w:val="center"/>
              <w:rPr>
                <w:rFonts w:cstheme="minorHAnsi"/>
                <w:color w:val="000000"/>
                <w:szCs w:val="24"/>
              </w:rPr>
            </w:pPr>
          </w:p>
        </w:tc>
      </w:tr>
      <w:tr w:rsidR="00D35DF1" w:rsidRPr="00675182" w14:paraId="1841724B"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290BE880" w14:textId="26EAADF7" w:rsidR="00D35DF1" w:rsidRPr="00675182" w:rsidRDefault="00D35DF1" w:rsidP="00D35DF1">
            <w:pPr>
              <w:rPr>
                <w:rFonts w:cstheme="minorHAnsi"/>
              </w:rPr>
            </w:pPr>
            <w:r w:rsidRPr="00675182">
              <w:rPr>
                <w:rFonts w:cstheme="minorHAnsi"/>
              </w:rPr>
              <w:t>Danka</w:t>
            </w:r>
          </w:p>
        </w:tc>
        <w:tc>
          <w:tcPr>
            <w:tcW w:w="1505" w:type="pct"/>
            <w:tcBorders>
              <w:top w:val="nil"/>
              <w:left w:val="nil"/>
              <w:bottom w:val="single" w:sz="8" w:space="0" w:color="auto"/>
              <w:right w:val="single" w:sz="8" w:space="0" w:color="auto"/>
            </w:tcBorders>
            <w:shd w:val="clear" w:color="auto" w:fill="auto"/>
            <w:noWrap/>
            <w:vAlign w:val="center"/>
          </w:tcPr>
          <w:p w14:paraId="48E35044" w14:textId="5F2894BD" w:rsidR="00D35DF1" w:rsidRPr="00675182" w:rsidRDefault="00D35DF1" w:rsidP="00D35DF1">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auto"/>
            <w:vAlign w:val="center"/>
          </w:tcPr>
          <w:p w14:paraId="538B0B68" w14:textId="77777777" w:rsidR="00D35DF1" w:rsidRPr="00675182" w:rsidRDefault="00D35DF1" w:rsidP="00D35DF1">
            <w:pPr>
              <w:jc w:val="center"/>
              <w:rPr>
                <w:rFonts w:cstheme="minorHAnsi"/>
                <w:color w:val="000000"/>
                <w:szCs w:val="24"/>
              </w:rPr>
            </w:pPr>
          </w:p>
        </w:tc>
      </w:tr>
      <w:tr w:rsidR="003178F9" w:rsidRPr="00675182" w14:paraId="34C18B30"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00444440" w14:textId="77777777" w:rsidR="003178F9" w:rsidRPr="00675182" w:rsidRDefault="003178F9" w:rsidP="002C01EF">
            <w:pPr>
              <w:rPr>
                <w:rFonts w:cstheme="minorHAnsi"/>
                <w:color w:val="000000"/>
                <w:szCs w:val="24"/>
              </w:rPr>
            </w:pPr>
            <w:r w:rsidRPr="00675182">
              <w:rPr>
                <w:rFonts w:cstheme="minorHAnsi"/>
              </w:rPr>
              <w:t>Draņķupīte</w:t>
            </w:r>
          </w:p>
        </w:tc>
        <w:tc>
          <w:tcPr>
            <w:tcW w:w="1505" w:type="pct"/>
            <w:tcBorders>
              <w:top w:val="nil"/>
              <w:left w:val="nil"/>
              <w:bottom w:val="single" w:sz="8" w:space="0" w:color="auto"/>
              <w:right w:val="single" w:sz="8" w:space="0" w:color="auto"/>
            </w:tcBorders>
            <w:shd w:val="clear" w:color="auto" w:fill="auto"/>
            <w:noWrap/>
            <w:vAlign w:val="center"/>
          </w:tcPr>
          <w:p w14:paraId="55FAFE46"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00B0F0"/>
            <w:vAlign w:val="center"/>
          </w:tcPr>
          <w:p w14:paraId="18F9B806" w14:textId="77777777" w:rsidR="003178F9" w:rsidRPr="00675182" w:rsidRDefault="003178F9" w:rsidP="002C01EF">
            <w:pPr>
              <w:jc w:val="center"/>
              <w:rPr>
                <w:rFonts w:cstheme="minorHAnsi"/>
                <w:color w:val="000000"/>
                <w:szCs w:val="24"/>
              </w:rPr>
            </w:pPr>
            <w:r w:rsidRPr="00675182">
              <w:rPr>
                <w:rFonts w:cstheme="minorHAnsi"/>
                <w:color w:val="000000"/>
                <w:szCs w:val="24"/>
              </w:rPr>
              <w:t>Izcila</w:t>
            </w:r>
          </w:p>
        </w:tc>
      </w:tr>
      <w:tr w:rsidR="003178F9" w:rsidRPr="00675182" w14:paraId="1BF26A59"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00057959" w14:textId="77777777" w:rsidR="003178F9" w:rsidRPr="00675182" w:rsidRDefault="003178F9" w:rsidP="002C01EF">
            <w:pPr>
              <w:rPr>
                <w:rFonts w:cstheme="minorHAnsi"/>
                <w:color w:val="000000"/>
                <w:szCs w:val="24"/>
              </w:rPr>
            </w:pPr>
            <w:r w:rsidRPr="00675182">
              <w:rPr>
                <w:rFonts w:cstheme="minorHAnsi"/>
              </w:rPr>
              <w:t>Egļupe</w:t>
            </w:r>
          </w:p>
        </w:tc>
        <w:tc>
          <w:tcPr>
            <w:tcW w:w="1505" w:type="pct"/>
            <w:tcBorders>
              <w:top w:val="nil"/>
              <w:left w:val="nil"/>
              <w:bottom w:val="single" w:sz="8" w:space="0" w:color="auto"/>
              <w:right w:val="single" w:sz="8" w:space="0" w:color="auto"/>
            </w:tcBorders>
            <w:shd w:val="clear" w:color="auto" w:fill="auto"/>
            <w:noWrap/>
            <w:vAlign w:val="center"/>
          </w:tcPr>
          <w:p w14:paraId="6D0CF4B1"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00B0F0"/>
            <w:vAlign w:val="center"/>
          </w:tcPr>
          <w:p w14:paraId="25140E55" w14:textId="77777777" w:rsidR="003178F9" w:rsidRPr="00675182" w:rsidRDefault="003178F9" w:rsidP="002C01EF">
            <w:pPr>
              <w:jc w:val="center"/>
              <w:rPr>
                <w:rFonts w:cstheme="minorHAnsi"/>
                <w:color w:val="000000"/>
                <w:szCs w:val="24"/>
              </w:rPr>
            </w:pPr>
            <w:r w:rsidRPr="00675182">
              <w:rPr>
                <w:rFonts w:cstheme="minorHAnsi"/>
                <w:color w:val="000000"/>
                <w:szCs w:val="24"/>
              </w:rPr>
              <w:t>Izcila</w:t>
            </w:r>
          </w:p>
        </w:tc>
      </w:tr>
      <w:tr w:rsidR="003178F9" w:rsidRPr="00675182" w14:paraId="3A2E5A7A"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3DE691A7" w14:textId="77777777" w:rsidR="003178F9" w:rsidRPr="00675182" w:rsidRDefault="003178F9" w:rsidP="002C01EF">
            <w:pPr>
              <w:rPr>
                <w:rFonts w:cstheme="minorHAnsi"/>
                <w:color w:val="000000"/>
                <w:szCs w:val="24"/>
              </w:rPr>
            </w:pPr>
            <w:r w:rsidRPr="00675182">
              <w:rPr>
                <w:rFonts w:cstheme="minorHAnsi"/>
              </w:rPr>
              <w:t>Gauja</w:t>
            </w:r>
          </w:p>
        </w:tc>
        <w:tc>
          <w:tcPr>
            <w:tcW w:w="1505" w:type="pct"/>
            <w:tcBorders>
              <w:top w:val="nil"/>
              <w:left w:val="nil"/>
              <w:bottom w:val="single" w:sz="8" w:space="0" w:color="auto"/>
              <w:right w:val="single" w:sz="8" w:space="0" w:color="auto"/>
            </w:tcBorders>
            <w:shd w:val="clear" w:color="auto" w:fill="auto"/>
            <w:noWrap/>
            <w:vAlign w:val="center"/>
          </w:tcPr>
          <w:p w14:paraId="516E8BC8" w14:textId="77777777" w:rsidR="003178F9" w:rsidRPr="00675182" w:rsidRDefault="003178F9" w:rsidP="002C01EF">
            <w:pPr>
              <w:jc w:val="center"/>
              <w:rPr>
                <w:rFonts w:cstheme="minorHAnsi"/>
                <w:color w:val="000000"/>
                <w:szCs w:val="24"/>
              </w:rPr>
            </w:pPr>
            <w:r w:rsidRPr="00675182">
              <w:rPr>
                <w:rFonts w:cstheme="minorHAnsi"/>
              </w:rPr>
              <w:t>3260_1, 2</w:t>
            </w:r>
          </w:p>
        </w:tc>
        <w:tc>
          <w:tcPr>
            <w:tcW w:w="1343" w:type="pct"/>
            <w:tcBorders>
              <w:top w:val="nil"/>
              <w:left w:val="nil"/>
              <w:bottom w:val="single" w:sz="8" w:space="0" w:color="auto"/>
              <w:right w:val="single" w:sz="8" w:space="0" w:color="auto"/>
            </w:tcBorders>
            <w:shd w:val="clear" w:color="auto" w:fill="92D050"/>
            <w:vAlign w:val="center"/>
          </w:tcPr>
          <w:p w14:paraId="18F568E0"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2BD0CDD6"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1F51CA59" w14:textId="77777777" w:rsidR="003178F9" w:rsidRPr="00675182" w:rsidRDefault="003178F9" w:rsidP="002C01EF">
            <w:pPr>
              <w:rPr>
                <w:rFonts w:cstheme="minorHAnsi"/>
                <w:color w:val="000000"/>
                <w:szCs w:val="24"/>
              </w:rPr>
            </w:pPr>
            <w:r w:rsidRPr="00675182">
              <w:rPr>
                <w:rFonts w:cstheme="minorHAnsi"/>
              </w:rPr>
              <w:t>Grašupe</w:t>
            </w:r>
          </w:p>
        </w:tc>
        <w:tc>
          <w:tcPr>
            <w:tcW w:w="1505" w:type="pct"/>
            <w:tcBorders>
              <w:top w:val="nil"/>
              <w:left w:val="nil"/>
              <w:bottom w:val="single" w:sz="8" w:space="0" w:color="auto"/>
              <w:right w:val="single" w:sz="8" w:space="0" w:color="auto"/>
            </w:tcBorders>
            <w:shd w:val="clear" w:color="auto" w:fill="auto"/>
            <w:noWrap/>
            <w:vAlign w:val="center"/>
          </w:tcPr>
          <w:p w14:paraId="1FCC6B83"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00453664"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0BB62944"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04754C9C" w14:textId="77777777" w:rsidR="003178F9" w:rsidRPr="00675182" w:rsidRDefault="003178F9" w:rsidP="002C01EF">
            <w:pPr>
              <w:rPr>
                <w:rFonts w:cstheme="minorHAnsi"/>
                <w:color w:val="000000"/>
                <w:szCs w:val="24"/>
              </w:rPr>
            </w:pPr>
            <w:r w:rsidRPr="00675182">
              <w:rPr>
                <w:rFonts w:cstheme="minorHAnsi"/>
              </w:rPr>
              <w:t>Grīviņupīte</w:t>
            </w:r>
          </w:p>
        </w:tc>
        <w:tc>
          <w:tcPr>
            <w:tcW w:w="1505" w:type="pct"/>
            <w:tcBorders>
              <w:top w:val="nil"/>
              <w:left w:val="nil"/>
              <w:bottom w:val="single" w:sz="8" w:space="0" w:color="auto"/>
              <w:right w:val="single" w:sz="8" w:space="0" w:color="auto"/>
            </w:tcBorders>
            <w:shd w:val="clear" w:color="auto" w:fill="auto"/>
            <w:noWrap/>
            <w:vAlign w:val="center"/>
          </w:tcPr>
          <w:p w14:paraId="2308A330"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1D6929DA"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2B90514D"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6659DCE2" w14:textId="77777777" w:rsidR="003178F9" w:rsidRPr="00675182" w:rsidRDefault="003178F9" w:rsidP="002C01EF">
            <w:pPr>
              <w:rPr>
                <w:rFonts w:cstheme="minorHAnsi"/>
              </w:rPr>
            </w:pPr>
            <w:r w:rsidRPr="00675182">
              <w:rPr>
                <w:rFonts w:cstheme="minorHAnsi"/>
              </w:rPr>
              <w:t>Grūba</w:t>
            </w:r>
          </w:p>
        </w:tc>
        <w:tc>
          <w:tcPr>
            <w:tcW w:w="1505" w:type="pct"/>
            <w:tcBorders>
              <w:top w:val="nil"/>
              <w:left w:val="nil"/>
              <w:bottom w:val="single" w:sz="8" w:space="0" w:color="auto"/>
              <w:right w:val="single" w:sz="8" w:space="0" w:color="auto"/>
            </w:tcBorders>
            <w:shd w:val="clear" w:color="auto" w:fill="auto"/>
            <w:noWrap/>
            <w:vAlign w:val="center"/>
          </w:tcPr>
          <w:p w14:paraId="207BB95F" w14:textId="77777777" w:rsidR="003178F9" w:rsidRPr="00675182" w:rsidRDefault="003178F9" w:rsidP="002C01EF">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auto"/>
            <w:vAlign w:val="center"/>
          </w:tcPr>
          <w:p w14:paraId="4583413C" w14:textId="77777777" w:rsidR="003178F9" w:rsidRPr="00675182" w:rsidRDefault="003178F9" w:rsidP="002C01EF">
            <w:pPr>
              <w:jc w:val="center"/>
              <w:rPr>
                <w:rFonts w:cstheme="minorHAnsi"/>
                <w:color w:val="000000"/>
                <w:szCs w:val="24"/>
              </w:rPr>
            </w:pPr>
          </w:p>
        </w:tc>
      </w:tr>
      <w:tr w:rsidR="003178F9" w:rsidRPr="00675182" w14:paraId="13B1F12C"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5A8BB8FC" w14:textId="77777777" w:rsidR="003178F9" w:rsidRPr="00675182" w:rsidRDefault="003178F9" w:rsidP="002C01EF">
            <w:pPr>
              <w:rPr>
                <w:rFonts w:cstheme="minorHAnsi"/>
                <w:color w:val="000000"/>
                <w:szCs w:val="24"/>
              </w:rPr>
            </w:pPr>
            <w:r w:rsidRPr="00675182">
              <w:rPr>
                <w:rFonts w:cstheme="minorHAnsi"/>
              </w:rPr>
              <w:t>Inčupīte</w:t>
            </w:r>
          </w:p>
        </w:tc>
        <w:tc>
          <w:tcPr>
            <w:tcW w:w="1505" w:type="pct"/>
            <w:tcBorders>
              <w:top w:val="nil"/>
              <w:left w:val="nil"/>
              <w:bottom w:val="single" w:sz="8" w:space="0" w:color="auto"/>
              <w:right w:val="single" w:sz="8" w:space="0" w:color="auto"/>
            </w:tcBorders>
            <w:shd w:val="clear" w:color="auto" w:fill="auto"/>
            <w:noWrap/>
            <w:vAlign w:val="center"/>
          </w:tcPr>
          <w:p w14:paraId="3D44765C"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067D86F6"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D35DF1" w:rsidRPr="00675182" w14:paraId="3146C14B"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46C6BD96" w14:textId="60F714E0" w:rsidR="00D35DF1" w:rsidRPr="00675182" w:rsidRDefault="00D35DF1" w:rsidP="002C01EF">
            <w:pPr>
              <w:rPr>
                <w:rFonts w:cstheme="minorHAnsi"/>
              </w:rPr>
            </w:pPr>
            <w:r w:rsidRPr="00675182">
              <w:rPr>
                <w:rFonts w:cstheme="minorHAnsi"/>
              </w:rPr>
              <w:t>Julla</w:t>
            </w:r>
          </w:p>
        </w:tc>
        <w:tc>
          <w:tcPr>
            <w:tcW w:w="1505" w:type="pct"/>
            <w:tcBorders>
              <w:top w:val="nil"/>
              <w:left w:val="nil"/>
              <w:bottom w:val="single" w:sz="8" w:space="0" w:color="auto"/>
              <w:right w:val="single" w:sz="8" w:space="0" w:color="auto"/>
            </w:tcBorders>
            <w:shd w:val="clear" w:color="auto" w:fill="auto"/>
            <w:noWrap/>
            <w:vAlign w:val="center"/>
          </w:tcPr>
          <w:p w14:paraId="5163EFD8" w14:textId="5EAB98CC" w:rsidR="00D35DF1" w:rsidRPr="00675182" w:rsidRDefault="00D35DF1" w:rsidP="002C01EF">
            <w:pPr>
              <w:jc w:val="center"/>
              <w:rPr>
                <w:rFonts w:cstheme="minorHAnsi"/>
              </w:rPr>
            </w:pPr>
            <w:r w:rsidRPr="00675182">
              <w:rPr>
                <w:rFonts w:cstheme="minorHAnsi"/>
              </w:rPr>
              <w:t>3260</w:t>
            </w:r>
          </w:p>
        </w:tc>
        <w:tc>
          <w:tcPr>
            <w:tcW w:w="1343" w:type="pct"/>
            <w:tcBorders>
              <w:top w:val="nil"/>
              <w:left w:val="nil"/>
              <w:bottom w:val="single" w:sz="8" w:space="0" w:color="auto"/>
              <w:right w:val="single" w:sz="8" w:space="0" w:color="auto"/>
            </w:tcBorders>
            <w:shd w:val="clear" w:color="auto" w:fill="auto"/>
            <w:vAlign w:val="center"/>
          </w:tcPr>
          <w:p w14:paraId="01F50ED5" w14:textId="77777777" w:rsidR="00D35DF1" w:rsidRPr="00675182" w:rsidRDefault="00D35DF1" w:rsidP="002C01EF">
            <w:pPr>
              <w:jc w:val="center"/>
              <w:rPr>
                <w:rFonts w:cstheme="minorHAnsi"/>
                <w:color w:val="000000"/>
                <w:szCs w:val="24"/>
              </w:rPr>
            </w:pPr>
          </w:p>
        </w:tc>
      </w:tr>
      <w:tr w:rsidR="003178F9" w:rsidRPr="00675182" w14:paraId="424C8ACD"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2C7DE952" w14:textId="77777777" w:rsidR="003178F9" w:rsidRPr="00675182" w:rsidRDefault="003178F9" w:rsidP="002C01EF">
            <w:pPr>
              <w:rPr>
                <w:rFonts w:cstheme="minorHAnsi"/>
                <w:color w:val="000000"/>
                <w:szCs w:val="24"/>
              </w:rPr>
            </w:pPr>
            <w:r w:rsidRPr="00675182">
              <w:rPr>
                <w:rFonts w:cstheme="minorHAnsi"/>
              </w:rPr>
              <w:t xml:space="preserve">Jumara </w:t>
            </w:r>
          </w:p>
        </w:tc>
        <w:tc>
          <w:tcPr>
            <w:tcW w:w="1505" w:type="pct"/>
            <w:tcBorders>
              <w:top w:val="nil"/>
              <w:left w:val="nil"/>
              <w:bottom w:val="single" w:sz="8" w:space="0" w:color="auto"/>
              <w:right w:val="single" w:sz="8" w:space="0" w:color="auto"/>
            </w:tcBorders>
            <w:shd w:val="clear" w:color="auto" w:fill="auto"/>
            <w:noWrap/>
            <w:vAlign w:val="center"/>
          </w:tcPr>
          <w:p w14:paraId="756CBB70" w14:textId="77777777" w:rsidR="003178F9" w:rsidRPr="00675182" w:rsidRDefault="003178F9" w:rsidP="002C01EF">
            <w:pPr>
              <w:jc w:val="center"/>
              <w:rPr>
                <w:rFonts w:cstheme="minorHAnsi"/>
                <w:color w:val="000000"/>
                <w:szCs w:val="24"/>
              </w:rPr>
            </w:pPr>
            <w:r w:rsidRPr="00675182">
              <w:rPr>
                <w:rFonts w:cstheme="minorHAnsi"/>
              </w:rPr>
              <w:t>3260_1, 2</w:t>
            </w:r>
          </w:p>
        </w:tc>
        <w:tc>
          <w:tcPr>
            <w:tcW w:w="1343" w:type="pct"/>
            <w:tcBorders>
              <w:top w:val="nil"/>
              <w:left w:val="nil"/>
              <w:bottom w:val="single" w:sz="8" w:space="0" w:color="auto"/>
              <w:right w:val="single" w:sz="8" w:space="0" w:color="auto"/>
            </w:tcBorders>
            <w:shd w:val="clear" w:color="auto" w:fill="FFFF00"/>
            <w:vAlign w:val="center"/>
          </w:tcPr>
          <w:p w14:paraId="675FB0EB"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D35DF1" w:rsidRPr="00675182" w14:paraId="4EE5EEAA"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noWrap/>
          </w:tcPr>
          <w:p w14:paraId="6D4D1DCC" w14:textId="5D438B63" w:rsidR="00D35DF1" w:rsidRPr="00675182" w:rsidRDefault="00D35DF1" w:rsidP="00D35DF1">
            <w:pPr>
              <w:rPr>
                <w:rFonts w:cstheme="minorHAnsi"/>
              </w:rPr>
            </w:pPr>
            <w:r w:rsidRPr="00675182">
              <w:rPr>
                <w:rFonts w:cstheme="minorHAnsi"/>
              </w:rPr>
              <w:t>Kalnupīte (Bēršu strauts)</w:t>
            </w:r>
          </w:p>
        </w:tc>
        <w:tc>
          <w:tcPr>
            <w:tcW w:w="1505" w:type="pct"/>
            <w:tcBorders>
              <w:top w:val="nil"/>
              <w:left w:val="nil"/>
              <w:bottom w:val="single" w:sz="8" w:space="0" w:color="auto"/>
              <w:right w:val="single" w:sz="8" w:space="0" w:color="auto"/>
            </w:tcBorders>
            <w:noWrap/>
            <w:vAlign w:val="center"/>
          </w:tcPr>
          <w:p w14:paraId="427CFA58" w14:textId="03474A02" w:rsidR="00D35DF1" w:rsidRPr="00675182" w:rsidRDefault="00D35DF1" w:rsidP="00D35DF1">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4F9CD6B6" w14:textId="60EED790" w:rsidR="00D35DF1" w:rsidRPr="00675182" w:rsidRDefault="00D35DF1" w:rsidP="00D35DF1">
            <w:pPr>
              <w:jc w:val="center"/>
              <w:rPr>
                <w:rFonts w:cstheme="minorHAnsi"/>
                <w:color w:val="000000"/>
                <w:szCs w:val="24"/>
              </w:rPr>
            </w:pPr>
            <w:r w:rsidRPr="00675182">
              <w:rPr>
                <w:rFonts w:cstheme="minorHAnsi"/>
                <w:color w:val="000000"/>
                <w:szCs w:val="24"/>
              </w:rPr>
              <w:t>Laba</w:t>
            </w:r>
          </w:p>
        </w:tc>
      </w:tr>
      <w:tr w:rsidR="003178F9" w:rsidRPr="00675182" w14:paraId="06042D85"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0D75A3FB" w14:textId="77777777" w:rsidR="003178F9" w:rsidRPr="00675182" w:rsidRDefault="003178F9" w:rsidP="002C01EF">
            <w:pPr>
              <w:rPr>
                <w:rFonts w:cstheme="minorHAnsi"/>
                <w:color w:val="000000"/>
                <w:szCs w:val="24"/>
              </w:rPr>
            </w:pPr>
            <w:r w:rsidRPr="00675182">
              <w:rPr>
                <w:rFonts w:cstheme="minorHAnsi"/>
              </w:rPr>
              <w:t>Krīvupe, lejtece</w:t>
            </w:r>
          </w:p>
        </w:tc>
        <w:tc>
          <w:tcPr>
            <w:tcW w:w="1505" w:type="pct"/>
            <w:tcBorders>
              <w:top w:val="nil"/>
              <w:left w:val="nil"/>
              <w:bottom w:val="single" w:sz="8" w:space="0" w:color="auto"/>
              <w:right w:val="single" w:sz="8" w:space="0" w:color="auto"/>
            </w:tcBorders>
            <w:shd w:val="clear" w:color="auto" w:fill="auto"/>
            <w:noWrap/>
            <w:vAlign w:val="center"/>
          </w:tcPr>
          <w:p w14:paraId="75208EED" w14:textId="0BE2D094"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7D180385"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2965C329"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6952F339" w14:textId="77777777" w:rsidR="003178F9" w:rsidRPr="00675182" w:rsidRDefault="003178F9" w:rsidP="002C01EF">
            <w:pPr>
              <w:rPr>
                <w:rFonts w:cstheme="minorHAnsi"/>
              </w:rPr>
            </w:pPr>
            <w:r w:rsidRPr="00675182">
              <w:rPr>
                <w:rFonts w:cstheme="minorHAnsi"/>
              </w:rPr>
              <w:t>Kumada</w:t>
            </w:r>
          </w:p>
        </w:tc>
        <w:tc>
          <w:tcPr>
            <w:tcW w:w="1505" w:type="pct"/>
            <w:tcBorders>
              <w:top w:val="nil"/>
              <w:left w:val="nil"/>
              <w:bottom w:val="single" w:sz="8" w:space="0" w:color="auto"/>
              <w:right w:val="single" w:sz="8" w:space="0" w:color="auto"/>
            </w:tcBorders>
            <w:shd w:val="clear" w:color="auto" w:fill="auto"/>
            <w:noWrap/>
            <w:vAlign w:val="center"/>
          </w:tcPr>
          <w:p w14:paraId="2E49BC7B" w14:textId="77777777" w:rsidR="003178F9" w:rsidRPr="00675182" w:rsidRDefault="003178F9" w:rsidP="002C01EF">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5DD08E4D" w14:textId="169CA64A" w:rsidR="003178F9" w:rsidRPr="00675182" w:rsidRDefault="00D35DF1" w:rsidP="002C01EF">
            <w:pPr>
              <w:jc w:val="center"/>
              <w:rPr>
                <w:rFonts w:cstheme="minorHAnsi"/>
                <w:color w:val="000000"/>
                <w:szCs w:val="24"/>
              </w:rPr>
            </w:pPr>
            <w:r w:rsidRPr="00675182">
              <w:rPr>
                <w:rFonts w:cstheme="minorHAnsi"/>
                <w:color w:val="000000"/>
                <w:szCs w:val="24"/>
              </w:rPr>
              <w:t>Laba</w:t>
            </w:r>
          </w:p>
        </w:tc>
      </w:tr>
      <w:tr w:rsidR="003178F9" w:rsidRPr="00675182" w14:paraId="4CCCA5C8"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3FFCD163" w14:textId="77777777" w:rsidR="003178F9" w:rsidRPr="00675182" w:rsidRDefault="003178F9" w:rsidP="002C01EF">
            <w:pPr>
              <w:rPr>
                <w:rFonts w:cstheme="minorHAnsi"/>
              </w:rPr>
            </w:pPr>
            <w:r w:rsidRPr="00675182">
              <w:rPr>
                <w:rFonts w:cstheme="minorHAnsi"/>
              </w:rPr>
              <w:t>Ķikutupīte</w:t>
            </w:r>
          </w:p>
        </w:tc>
        <w:tc>
          <w:tcPr>
            <w:tcW w:w="1505" w:type="pct"/>
            <w:tcBorders>
              <w:top w:val="nil"/>
              <w:left w:val="nil"/>
              <w:bottom w:val="single" w:sz="8" w:space="0" w:color="auto"/>
              <w:right w:val="single" w:sz="8" w:space="0" w:color="auto"/>
            </w:tcBorders>
            <w:shd w:val="clear" w:color="auto" w:fill="auto"/>
            <w:noWrap/>
            <w:vAlign w:val="center"/>
          </w:tcPr>
          <w:p w14:paraId="60F9A678" w14:textId="77777777" w:rsidR="003178F9" w:rsidRPr="00675182" w:rsidRDefault="003178F9" w:rsidP="002C01EF">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auto"/>
            <w:vAlign w:val="center"/>
          </w:tcPr>
          <w:p w14:paraId="64742BD3" w14:textId="77777777" w:rsidR="003178F9" w:rsidRPr="00675182" w:rsidRDefault="003178F9" w:rsidP="002C01EF">
            <w:pPr>
              <w:jc w:val="center"/>
              <w:rPr>
                <w:rFonts w:cstheme="minorHAnsi"/>
                <w:color w:val="000000"/>
                <w:szCs w:val="24"/>
              </w:rPr>
            </w:pPr>
          </w:p>
        </w:tc>
      </w:tr>
      <w:tr w:rsidR="003178F9" w:rsidRPr="00675182" w14:paraId="43C1FDE6"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6200BB7A" w14:textId="77777777" w:rsidR="003178F9" w:rsidRPr="00675182" w:rsidRDefault="003178F9" w:rsidP="002C01EF">
            <w:pPr>
              <w:rPr>
                <w:rFonts w:cstheme="minorHAnsi"/>
                <w:color w:val="000000"/>
                <w:szCs w:val="24"/>
              </w:rPr>
            </w:pPr>
            <w:r w:rsidRPr="00675182">
              <w:rPr>
                <w:rFonts w:cstheme="minorHAnsi"/>
              </w:rPr>
              <w:t>Lenčupe</w:t>
            </w:r>
          </w:p>
        </w:tc>
        <w:tc>
          <w:tcPr>
            <w:tcW w:w="1505" w:type="pct"/>
            <w:tcBorders>
              <w:top w:val="nil"/>
              <w:left w:val="nil"/>
              <w:bottom w:val="single" w:sz="8" w:space="0" w:color="auto"/>
              <w:right w:val="single" w:sz="8" w:space="0" w:color="auto"/>
            </w:tcBorders>
            <w:shd w:val="clear" w:color="auto" w:fill="auto"/>
            <w:noWrap/>
            <w:vAlign w:val="center"/>
          </w:tcPr>
          <w:p w14:paraId="51251EA5" w14:textId="17686F5F"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18158C4A" w14:textId="1C854C6E"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4C67BAD1"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04363E98" w14:textId="77777777" w:rsidR="003178F9" w:rsidRPr="00675182" w:rsidRDefault="003178F9" w:rsidP="002C01EF">
            <w:pPr>
              <w:rPr>
                <w:rFonts w:cstheme="minorHAnsi"/>
              </w:rPr>
            </w:pPr>
            <w:r w:rsidRPr="00675182">
              <w:rPr>
                <w:rFonts w:cstheme="minorHAnsi"/>
              </w:rPr>
              <w:t>Līgatne, Augšlīgatnē</w:t>
            </w:r>
          </w:p>
        </w:tc>
        <w:tc>
          <w:tcPr>
            <w:tcW w:w="1505" w:type="pct"/>
            <w:tcBorders>
              <w:top w:val="nil"/>
              <w:left w:val="nil"/>
              <w:bottom w:val="single" w:sz="8" w:space="0" w:color="auto"/>
              <w:right w:val="single" w:sz="8" w:space="0" w:color="auto"/>
            </w:tcBorders>
            <w:shd w:val="clear" w:color="auto" w:fill="auto"/>
            <w:noWrap/>
            <w:vAlign w:val="center"/>
          </w:tcPr>
          <w:p w14:paraId="300BFF1F"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5747210D"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12708A9E"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4276D345" w14:textId="77777777" w:rsidR="003178F9" w:rsidRPr="00675182" w:rsidRDefault="003178F9" w:rsidP="002C01EF">
            <w:pPr>
              <w:rPr>
                <w:rFonts w:cstheme="minorHAnsi"/>
              </w:rPr>
            </w:pPr>
            <w:r w:rsidRPr="00675182">
              <w:rPr>
                <w:rFonts w:cstheme="minorHAnsi"/>
              </w:rPr>
              <w:t>Līgatne, lejtece</w:t>
            </w:r>
          </w:p>
        </w:tc>
        <w:tc>
          <w:tcPr>
            <w:tcW w:w="1505" w:type="pct"/>
            <w:tcBorders>
              <w:top w:val="nil"/>
              <w:left w:val="nil"/>
              <w:bottom w:val="single" w:sz="8" w:space="0" w:color="auto"/>
              <w:right w:val="single" w:sz="8" w:space="0" w:color="auto"/>
            </w:tcBorders>
            <w:shd w:val="clear" w:color="auto" w:fill="auto"/>
            <w:noWrap/>
            <w:vAlign w:val="center"/>
          </w:tcPr>
          <w:p w14:paraId="6393D4C2" w14:textId="77777777" w:rsidR="003178F9" w:rsidRPr="00675182" w:rsidRDefault="003178F9" w:rsidP="002C01EF">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3955F663"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780E121E"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0282959C" w14:textId="77777777" w:rsidR="003178F9" w:rsidRPr="00675182" w:rsidRDefault="003178F9" w:rsidP="002C01EF">
            <w:pPr>
              <w:rPr>
                <w:rFonts w:cstheme="minorHAnsi"/>
                <w:color w:val="000000"/>
                <w:szCs w:val="24"/>
              </w:rPr>
            </w:pPr>
            <w:r w:rsidRPr="00675182">
              <w:rPr>
                <w:rFonts w:cstheme="minorHAnsi"/>
              </w:rPr>
              <w:t>Loja</w:t>
            </w:r>
          </w:p>
        </w:tc>
        <w:tc>
          <w:tcPr>
            <w:tcW w:w="1505" w:type="pct"/>
            <w:tcBorders>
              <w:top w:val="nil"/>
              <w:left w:val="nil"/>
              <w:bottom w:val="single" w:sz="8" w:space="0" w:color="auto"/>
              <w:right w:val="single" w:sz="8" w:space="0" w:color="auto"/>
            </w:tcBorders>
            <w:shd w:val="clear" w:color="auto" w:fill="auto"/>
            <w:noWrap/>
            <w:vAlign w:val="center"/>
          </w:tcPr>
          <w:p w14:paraId="66B23CB7"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00B0F0"/>
            <w:vAlign w:val="center"/>
          </w:tcPr>
          <w:p w14:paraId="5ED0176A" w14:textId="77777777" w:rsidR="003178F9" w:rsidRPr="00675182" w:rsidRDefault="003178F9" w:rsidP="002C01EF">
            <w:pPr>
              <w:jc w:val="center"/>
              <w:rPr>
                <w:rFonts w:cstheme="minorHAnsi"/>
                <w:color w:val="000000"/>
                <w:szCs w:val="24"/>
              </w:rPr>
            </w:pPr>
            <w:r w:rsidRPr="00675182">
              <w:rPr>
                <w:rFonts w:cstheme="minorHAnsi"/>
                <w:color w:val="000000"/>
                <w:szCs w:val="24"/>
              </w:rPr>
              <w:t>Izcila</w:t>
            </w:r>
          </w:p>
        </w:tc>
      </w:tr>
      <w:tr w:rsidR="003178F9" w:rsidRPr="00675182" w14:paraId="2F01AA87"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4ED9F16C" w14:textId="77777777" w:rsidR="003178F9" w:rsidRPr="00675182" w:rsidRDefault="003178F9" w:rsidP="002C01EF">
            <w:pPr>
              <w:rPr>
                <w:rFonts w:cstheme="minorHAnsi"/>
                <w:color w:val="000000"/>
                <w:szCs w:val="24"/>
              </w:rPr>
            </w:pPr>
            <w:r w:rsidRPr="00675182">
              <w:rPr>
                <w:rFonts w:cstheme="minorHAnsi"/>
              </w:rPr>
              <w:t>Lorupe</w:t>
            </w:r>
          </w:p>
        </w:tc>
        <w:tc>
          <w:tcPr>
            <w:tcW w:w="1505" w:type="pct"/>
            <w:tcBorders>
              <w:top w:val="nil"/>
              <w:left w:val="nil"/>
              <w:bottom w:val="single" w:sz="8" w:space="0" w:color="auto"/>
              <w:right w:val="single" w:sz="8" w:space="0" w:color="auto"/>
            </w:tcBorders>
            <w:shd w:val="clear" w:color="auto" w:fill="auto"/>
            <w:noWrap/>
            <w:vAlign w:val="center"/>
          </w:tcPr>
          <w:p w14:paraId="1A0FA510" w14:textId="40D1E54A"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653C0EB5"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573389B8"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6DF7BB02" w14:textId="29F70E0C" w:rsidR="003178F9" w:rsidRPr="00675182" w:rsidRDefault="003178F9" w:rsidP="002C01EF">
            <w:pPr>
              <w:rPr>
                <w:rFonts w:cstheme="minorHAnsi"/>
                <w:color w:val="000000"/>
                <w:szCs w:val="24"/>
              </w:rPr>
            </w:pPr>
            <w:r w:rsidRPr="00675182">
              <w:rPr>
                <w:rFonts w:cstheme="minorHAnsi"/>
              </w:rPr>
              <w:t>Nurmižupīte, līdz Nurmižiem</w:t>
            </w:r>
          </w:p>
        </w:tc>
        <w:tc>
          <w:tcPr>
            <w:tcW w:w="1505" w:type="pct"/>
            <w:tcBorders>
              <w:top w:val="nil"/>
              <w:left w:val="nil"/>
              <w:bottom w:val="single" w:sz="8" w:space="0" w:color="auto"/>
              <w:right w:val="single" w:sz="8" w:space="0" w:color="auto"/>
            </w:tcBorders>
            <w:shd w:val="clear" w:color="auto" w:fill="auto"/>
            <w:noWrap/>
            <w:vAlign w:val="center"/>
          </w:tcPr>
          <w:p w14:paraId="53CE1DE2"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255D3F25"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27EF1410"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6F374370" w14:textId="77777777" w:rsidR="003178F9" w:rsidRPr="00675182" w:rsidRDefault="003178F9" w:rsidP="002C01EF">
            <w:pPr>
              <w:rPr>
                <w:rFonts w:cstheme="minorHAnsi"/>
              </w:rPr>
            </w:pPr>
            <w:r w:rsidRPr="00675182">
              <w:rPr>
                <w:rFonts w:cstheme="minorHAnsi"/>
              </w:rPr>
              <w:t>Nurmižupīte, rezervātā</w:t>
            </w:r>
          </w:p>
        </w:tc>
        <w:tc>
          <w:tcPr>
            <w:tcW w:w="1505" w:type="pct"/>
            <w:tcBorders>
              <w:top w:val="nil"/>
              <w:left w:val="nil"/>
              <w:bottom w:val="single" w:sz="8" w:space="0" w:color="auto"/>
              <w:right w:val="single" w:sz="8" w:space="0" w:color="auto"/>
            </w:tcBorders>
            <w:shd w:val="clear" w:color="auto" w:fill="auto"/>
            <w:noWrap/>
            <w:vAlign w:val="center"/>
          </w:tcPr>
          <w:p w14:paraId="36231999" w14:textId="77777777" w:rsidR="003178F9" w:rsidRPr="00675182" w:rsidRDefault="003178F9" w:rsidP="002C01EF">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7B99CA6F" w14:textId="4F560CBE"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2CAEFE89"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19E178CA" w14:textId="77777777" w:rsidR="003178F9" w:rsidRPr="00675182" w:rsidRDefault="003178F9" w:rsidP="002C01EF">
            <w:pPr>
              <w:rPr>
                <w:rFonts w:cstheme="minorHAnsi"/>
              </w:rPr>
            </w:pPr>
            <w:r w:rsidRPr="00675182">
              <w:rPr>
                <w:rFonts w:cstheme="minorHAnsi"/>
              </w:rPr>
              <w:t>Pērļupe</w:t>
            </w:r>
          </w:p>
        </w:tc>
        <w:tc>
          <w:tcPr>
            <w:tcW w:w="1505" w:type="pct"/>
            <w:tcBorders>
              <w:top w:val="nil"/>
              <w:left w:val="nil"/>
              <w:bottom w:val="single" w:sz="8" w:space="0" w:color="auto"/>
              <w:right w:val="single" w:sz="8" w:space="0" w:color="auto"/>
            </w:tcBorders>
            <w:shd w:val="clear" w:color="auto" w:fill="auto"/>
            <w:noWrap/>
            <w:vAlign w:val="center"/>
          </w:tcPr>
          <w:p w14:paraId="79E3A217" w14:textId="77777777" w:rsidR="003178F9" w:rsidRPr="00675182" w:rsidRDefault="003178F9" w:rsidP="002C01EF">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2CCE3BDA" w14:textId="371AF7D6" w:rsidR="003178F9" w:rsidRPr="00675182" w:rsidRDefault="00D35DF1" w:rsidP="002C01EF">
            <w:pPr>
              <w:jc w:val="center"/>
              <w:rPr>
                <w:rFonts w:cstheme="minorHAnsi"/>
                <w:color w:val="000000"/>
                <w:szCs w:val="24"/>
              </w:rPr>
            </w:pPr>
            <w:r w:rsidRPr="00675182">
              <w:rPr>
                <w:rFonts w:cstheme="minorHAnsi"/>
                <w:color w:val="000000"/>
                <w:szCs w:val="24"/>
              </w:rPr>
              <w:t>Laba</w:t>
            </w:r>
          </w:p>
        </w:tc>
      </w:tr>
      <w:tr w:rsidR="00D35DF1" w:rsidRPr="00675182" w14:paraId="0F454B37" w14:textId="77777777" w:rsidTr="00F413EA">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1FD28202" w14:textId="057E8F54" w:rsidR="00D35DF1" w:rsidRPr="00675182" w:rsidRDefault="00D35DF1" w:rsidP="00D35DF1">
            <w:pPr>
              <w:rPr>
                <w:rFonts w:cstheme="minorHAnsi"/>
              </w:rPr>
            </w:pPr>
            <w:r w:rsidRPr="00675182">
              <w:rPr>
                <w:rFonts w:cstheme="minorHAnsi"/>
              </w:rPr>
              <w:t>Platūne (Platonīte)</w:t>
            </w:r>
          </w:p>
        </w:tc>
        <w:tc>
          <w:tcPr>
            <w:tcW w:w="1505" w:type="pct"/>
            <w:tcBorders>
              <w:top w:val="nil"/>
              <w:left w:val="nil"/>
              <w:bottom w:val="single" w:sz="8" w:space="0" w:color="auto"/>
              <w:right w:val="single" w:sz="8" w:space="0" w:color="auto"/>
            </w:tcBorders>
            <w:shd w:val="clear" w:color="auto" w:fill="auto"/>
            <w:noWrap/>
          </w:tcPr>
          <w:p w14:paraId="69D24AFC" w14:textId="634D4B27" w:rsidR="00D35DF1" w:rsidRPr="00675182" w:rsidRDefault="00D35DF1" w:rsidP="00D35DF1">
            <w:pPr>
              <w:jc w:val="center"/>
              <w:rPr>
                <w:rFonts w:cstheme="minorHAnsi"/>
              </w:rPr>
            </w:pPr>
            <w:r w:rsidRPr="00675182">
              <w:rPr>
                <w:rFonts w:cstheme="minorHAnsi"/>
              </w:rPr>
              <w:t>3260</w:t>
            </w:r>
          </w:p>
        </w:tc>
        <w:tc>
          <w:tcPr>
            <w:tcW w:w="1343" w:type="pct"/>
            <w:tcBorders>
              <w:top w:val="nil"/>
              <w:left w:val="nil"/>
              <w:bottom w:val="single" w:sz="8" w:space="0" w:color="auto"/>
              <w:right w:val="single" w:sz="8" w:space="0" w:color="auto"/>
            </w:tcBorders>
            <w:shd w:val="clear" w:color="auto" w:fill="auto"/>
          </w:tcPr>
          <w:p w14:paraId="43939198" w14:textId="77777777" w:rsidR="00D35DF1" w:rsidRPr="00675182" w:rsidRDefault="00D35DF1" w:rsidP="00D35DF1">
            <w:pPr>
              <w:jc w:val="center"/>
              <w:rPr>
                <w:rFonts w:cstheme="minorHAnsi"/>
                <w:color w:val="000000"/>
                <w:szCs w:val="24"/>
              </w:rPr>
            </w:pPr>
          </w:p>
        </w:tc>
      </w:tr>
      <w:tr w:rsidR="003178F9" w:rsidRPr="00675182" w14:paraId="0996A307"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50679553" w14:textId="77777777" w:rsidR="003178F9" w:rsidRPr="00675182" w:rsidRDefault="003178F9" w:rsidP="002C01EF">
            <w:pPr>
              <w:rPr>
                <w:rFonts w:cstheme="minorHAnsi"/>
                <w:color w:val="000000"/>
                <w:szCs w:val="24"/>
              </w:rPr>
            </w:pPr>
            <w:r w:rsidRPr="00675182">
              <w:rPr>
                <w:rFonts w:cstheme="minorHAnsi"/>
              </w:rPr>
              <w:t>Rakšupe</w:t>
            </w:r>
          </w:p>
        </w:tc>
        <w:tc>
          <w:tcPr>
            <w:tcW w:w="1505" w:type="pct"/>
            <w:tcBorders>
              <w:top w:val="nil"/>
              <w:left w:val="nil"/>
              <w:bottom w:val="single" w:sz="8" w:space="0" w:color="auto"/>
              <w:right w:val="single" w:sz="8" w:space="0" w:color="auto"/>
            </w:tcBorders>
            <w:shd w:val="clear" w:color="auto" w:fill="auto"/>
            <w:noWrap/>
            <w:vAlign w:val="center"/>
          </w:tcPr>
          <w:p w14:paraId="30D87CE7"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7C3C6508"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61BB51BD"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72F8EB41" w14:textId="77777777" w:rsidR="003178F9" w:rsidRPr="00675182" w:rsidRDefault="003178F9" w:rsidP="002C01EF">
            <w:pPr>
              <w:rPr>
                <w:rFonts w:cstheme="minorHAnsi"/>
                <w:color w:val="000000"/>
                <w:szCs w:val="24"/>
              </w:rPr>
            </w:pPr>
            <w:r w:rsidRPr="00675182">
              <w:rPr>
                <w:rFonts w:cstheme="minorHAnsi"/>
              </w:rPr>
              <w:t>Rauna</w:t>
            </w:r>
          </w:p>
        </w:tc>
        <w:tc>
          <w:tcPr>
            <w:tcW w:w="1505" w:type="pct"/>
            <w:tcBorders>
              <w:top w:val="nil"/>
              <w:left w:val="nil"/>
              <w:bottom w:val="single" w:sz="8" w:space="0" w:color="auto"/>
              <w:right w:val="single" w:sz="8" w:space="0" w:color="auto"/>
            </w:tcBorders>
            <w:shd w:val="clear" w:color="auto" w:fill="auto"/>
            <w:noWrap/>
            <w:vAlign w:val="center"/>
          </w:tcPr>
          <w:p w14:paraId="526600CB"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2E39400B"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6F943066"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6A3B9886" w14:textId="77777777" w:rsidR="003178F9" w:rsidRPr="00675182" w:rsidRDefault="003178F9" w:rsidP="002C01EF">
            <w:pPr>
              <w:rPr>
                <w:rFonts w:cstheme="minorHAnsi"/>
                <w:color w:val="000000"/>
                <w:szCs w:val="24"/>
              </w:rPr>
            </w:pPr>
            <w:r w:rsidRPr="00675182">
              <w:rPr>
                <w:rFonts w:cstheme="minorHAnsi"/>
              </w:rPr>
              <w:t>Raunis</w:t>
            </w:r>
          </w:p>
        </w:tc>
        <w:tc>
          <w:tcPr>
            <w:tcW w:w="1505" w:type="pct"/>
            <w:tcBorders>
              <w:top w:val="nil"/>
              <w:left w:val="nil"/>
              <w:bottom w:val="single" w:sz="8" w:space="0" w:color="auto"/>
              <w:right w:val="single" w:sz="8" w:space="0" w:color="auto"/>
            </w:tcBorders>
            <w:shd w:val="clear" w:color="auto" w:fill="auto"/>
            <w:noWrap/>
            <w:vAlign w:val="center"/>
          </w:tcPr>
          <w:p w14:paraId="0B5736DB"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2BE031CC"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D35DF1" w:rsidRPr="00675182" w14:paraId="2F761E9D"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2872EF8A" w14:textId="1EF171D5" w:rsidR="00D35DF1" w:rsidRPr="00675182" w:rsidRDefault="00D35DF1" w:rsidP="00D35DF1">
            <w:pPr>
              <w:rPr>
                <w:rFonts w:cstheme="minorHAnsi"/>
              </w:rPr>
            </w:pPr>
            <w:r w:rsidRPr="00675182">
              <w:rPr>
                <w:rFonts w:cstheme="minorHAnsi"/>
              </w:rPr>
              <w:t>Runtiņš</w:t>
            </w:r>
          </w:p>
        </w:tc>
        <w:tc>
          <w:tcPr>
            <w:tcW w:w="1505" w:type="pct"/>
            <w:tcBorders>
              <w:top w:val="nil"/>
              <w:left w:val="nil"/>
              <w:bottom w:val="single" w:sz="8" w:space="0" w:color="auto"/>
              <w:right w:val="single" w:sz="8" w:space="0" w:color="auto"/>
            </w:tcBorders>
            <w:shd w:val="clear" w:color="auto" w:fill="auto"/>
            <w:noWrap/>
            <w:vAlign w:val="center"/>
          </w:tcPr>
          <w:p w14:paraId="5C5C3A9A" w14:textId="2FA8B85E" w:rsidR="00D35DF1" w:rsidRPr="00675182" w:rsidRDefault="00D35DF1" w:rsidP="00D35DF1">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59410BFF" w14:textId="76B5CCA1" w:rsidR="00D35DF1" w:rsidRPr="00675182" w:rsidRDefault="00D35DF1" w:rsidP="00D35DF1">
            <w:pPr>
              <w:jc w:val="center"/>
              <w:rPr>
                <w:rFonts w:cstheme="minorHAnsi"/>
                <w:color w:val="000000"/>
                <w:szCs w:val="24"/>
              </w:rPr>
            </w:pPr>
            <w:r w:rsidRPr="00675182">
              <w:rPr>
                <w:rFonts w:cstheme="minorHAnsi"/>
                <w:color w:val="000000"/>
                <w:szCs w:val="24"/>
              </w:rPr>
              <w:t>Laba</w:t>
            </w:r>
          </w:p>
        </w:tc>
      </w:tr>
      <w:tr w:rsidR="003178F9" w:rsidRPr="00675182" w14:paraId="59FF3632"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2311AAB9" w14:textId="77777777" w:rsidR="003178F9" w:rsidRPr="00675182" w:rsidRDefault="003178F9" w:rsidP="002C01EF">
            <w:pPr>
              <w:rPr>
                <w:rFonts w:cstheme="minorHAnsi"/>
                <w:color w:val="000000"/>
                <w:szCs w:val="24"/>
              </w:rPr>
            </w:pPr>
            <w:r w:rsidRPr="00675182">
              <w:rPr>
                <w:rFonts w:cstheme="minorHAnsi"/>
              </w:rPr>
              <w:t>Siļķupīte</w:t>
            </w:r>
          </w:p>
        </w:tc>
        <w:tc>
          <w:tcPr>
            <w:tcW w:w="1505" w:type="pct"/>
            <w:tcBorders>
              <w:top w:val="nil"/>
              <w:left w:val="nil"/>
              <w:bottom w:val="single" w:sz="8" w:space="0" w:color="auto"/>
              <w:right w:val="single" w:sz="8" w:space="0" w:color="auto"/>
            </w:tcBorders>
            <w:shd w:val="clear" w:color="auto" w:fill="auto"/>
            <w:noWrap/>
            <w:vAlign w:val="center"/>
          </w:tcPr>
          <w:p w14:paraId="77CF43CF" w14:textId="3333AC1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65695CC6"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58E6EB9F"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2ECF12A1" w14:textId="77777777" w:rsidR="003178F9" w:rsidRPr="00675182" w:rsidRDefault="003178F9" w:rsidP="002C01EF">
            <w:pPr>
              <w:rPr>
                <w:rFonts w:cstheme="minorHAnsi"/>
                <w:color w:val="000000"/>
                <w:szCs w:val="24"/>
              </w:rPr>
            </w:pPr>
            <w:r w:rsidRPr="00675182">
              <w:rPr>
                <w:rFonts w:cstheme="minorHAnsi"/>
              </w:rPr>
              <w:t>Simteņupe</w:t>
            </w:r>
          </w:p>
        </w:tc>
        <w:tc>
          <w:tcPr>
            <w:tcW w:w="1505" w:type="pct"/>
            <w:tcBorders>
              <w:top w:val="nil"/>
              <w:left w:val="nil"/>
              <w:bottom w:val="single" w:sz="8" w:space="0" w:color="auto"/>
              <w:right w:val="single" w:sz="8" w:space="0" w:color="auto"/>
            </w:tcBorders>
            <w:shd w:val="clear" w:color="auto" w:fill="auto"/>
            <w:noWrap/>
            <w:vAlign w:val="center"/>
          </w:tcPr>
          <w:p w14:paraId="590A64A2" w14:textId="605DCABE"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7EC372E4"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49CFAE95"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2DEA05EF" w14:textId="77777777" w:rsidR="003178F9" w:rsidRPr="00675182" w:rsidRDefault="003178F9" w:rsidP="002C01EF">
            <w:pPr>
              <w:rPr>
                <w:rFonts w:cstheme="minorHAnsi"/>
                <w:color w:val="000000"/>
                <w:szCs w:val="24"/>
              </w:rPr>
            </w:pPr>
            <w:r w:rsidRPr="00675182">
              <w:rPr>
                <w:rFonts w:cstheme="minorHAnsi"/>
              </w:rPr>
              <w:t>Skaļupe</w:t>
            </w:r>
          </w:p>
        </w:tc>
        <w:tc>
          <w:tcPr>
            <w:tcW w:w="1505" w:type="pct"/>
            <w:tcBorders>
              <w:top w:val="nil"/>
              <w:left w:val="nil"/>
              <w:bottom w:val="single" w:sz="8" w:space="0" w:color="auto"/>
              <w:right w:val="single" w:sz="8" w:space="0" w:color="auto"/>
            </w:tcBorders>
            <w:shd w:val="clear" w:color="auto" w:fill="auto"/>
            <w:noWrap/>
            <w:vAlign w:val="center"/>
          </w:tcPr>
          <w:p w14:paraId="05F26D22" w14:textId="0937B371"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40515385"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6195D58F"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3F6974E7" w14:textId="77777777" w:rsidR="003178F9" w:rsidRPr="00675182" w:rsidRDefault="003178F9" w:rsidP="002C01EF">
            <w:pPr>
              <w:rPr>
                <w:rFonts w:cstheme="minorHAnsi"/>
                <w:color w:val="000000"/>
                <w:szCs w:val="24"/>
              </w:rPr>
            </w:pPr>
            <w:r w:rsidRPr="00675182">
              <w:rPr>
                <w:rFonts w:cstheme="minorHAnsi"/>
              </w:rPr>
              <w:t>Strauti uz Rakšu vecupēm</w:t>
            </w:r>
          </w:p>
        </w:tc>
        <w:tc>
          <w:tcPr>
            <w:tcW w:w="1505" w:type="pct"/>
            <w:tcBorders>
              <w:top w:val="nil"/>
              <w:left w:val="nil"/>
              <w:bottom w:val="single" w:sz="8" w:space="0" w:color="auto"/>
              <w:right w:val="single" w:sz="8" w:space="0" w:color="auto"/>
            </w:tcBorders>
            <w:shd w:val="clear" w:color="auto" w:fill="auto"/>
            <w:noWrap/>
            <w:vAlign w:val="center"/>
          </w:tcPr>
          <w:p w14:paraId="4BB6958A"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36939DE2"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5DA1E836"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4C2EB274" w14:textId="77777777" w:rsidR="003178F9" w:rsidRPr="00675182" w:rsidRDefault="003178F9" w:rsidP="002C01EF">
            <w:pPr>
              <w:rPr>
                <w:rFonts w:cstheme="minorHAnsi"/>
              </w:rPr>
            </w:pPr>
            <w:r w:rsidRPr="00675182">
              <w:rPr>
                <w:rFonts w:cstheme="minorHAnsi"/>
              </w:rPr>
              <w:t>Strīķupe (augštece)</w:t>
            </w:r>
          </w:p>
        </w:tc>
        <w:tc>
          <w:tcPr>
            <w:tcW w:w="1505" w:type="pct"/>
            <w:tcBorders>
              <w:top w:val="nil"/>
              <w:left w:val="nil"/>
              <w:bottom w:val="single" w:sz="8" w:space="0" w:color="auto"/>
              <w:right w:val="single" w:sz="8" w:space="0" w:color="auto"/>
            </w:tcBorders>
            <w:shd w:val="clear" w:color="auto" w:fill="auto"/>
            <w:noWrap/>
            <w:vAlign w:val="center"/>
          </w:tcPr>
          <w:p w14:paraId="3680EE5F" w14:textId="77777777" w:rsidR="003178F9" w:rsidRPr="00675182" w:rsidRDefault="003178F9" w:rsidP="002C01EF">
            <w:pPr>
              <w:jc w:val="center"/>
              <w:rPr>
                <w:rFonts w:cstheme="minorHAnsi"/>
                <w:color w:val="000000"/>
                <w:szCs w:val="24"/>
              </w:rPr>
            </w:pPr>
            <w:r w:rsidRPr="00675182">
              <w:rPr>
                <w:rFonts w:cstheme="minorHAnsi"/>
              </w:rPr>
              <w:t>3260_2</w:t>
            </w:r>
          </w:p>
        </w:tc>
        <w:tc>
          <w:tcPr>
            <w:tcW w:w="1343" w:type="pct"/>
            <w:tcBorders>
              <w:top w:val="nil"/>
              <w:left w:val="nil"/>
              <w:bottom w:val="single" w:sz="8" w:space="0" w:color="auto"/>
              <w:right w:val="single" w:sz="8" w:space="0" w:color="auto"/>
            </w:tcBorders>
            <w:shd w:val="clear" w:color="auto" w:fill="FFFF00"/>
            <w:vAlign w:val="center"/>
          </w:tcPr>
          <w:p w14:paraId="0B459160"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790EB8A2"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275646F2" w14:textId="77777777" w:rsidR="003178F9" w:rsidRPr="00675182" w:rsidRDefault="003178F9" w:rsidP="002C01EF">
            <w:pPr>
              <w:rPr>
                <w:rFonts w:cstheme="minorHAnsi"/>
              </w:rPr>
            </w:pPr>
            <w:r w:rsidRPr="00675182">
              <w:rPr>
                <w:rFonts w:cstheme="minorHAnsi"/>
              </w:rPr>
              <w:t>Strīķupe (vidustece)</w:t>
            </w:r>
          </w:p>
        </w:tc>
        <w:tc>
          <w:tcPr>
            <w:tcW w:w="1505" w:type="pct"/>
            <w:tcBorders>
              <w:top w:val="nil"/>
              <w:left w:val="nil"/>
              <w:bottom w:val="single" w:sz="8" w:space="0" w:color="auto"/>
              <w:right w:val="single" w:sz="8" w:space="0" w:color="auto"/>
            </w:tcBorders>
            <w:shd w:val="clear" w:color="auto" w:fill="auto"/>
            <w:noWrap/>
            <w:vAlign w:val="center"/>
          </w:tcPr>
          <w:p w14:paraId="33EC77E6" w14:textId="77777777" w:rsidR="003178F9" w:rsidRPr="00675182" w:rsidRDefault="003178F9" w:rsidP="002C01EF">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00B0F0"/>
            <w:vAlign w:val="center"/>
          </w:tcPr>
          <w:p w14:paraId="11C07F0F" w14:textId="77777777" w:rsidR="003178F9" w:rsidRPr="00675182" w:rsidRDefault="003178F9" w:rsidP="002C01EF">
            <w:pPr>
              <w:jc w:val="center"/>
              <w:rPr>
                <w:rFonts w:cstheme="minorHAnsi"/>
                <w:color w:val="000000"/>
                <w:szCs w:val="24"/>
              </w:rPr>
            </w:pPr>
            <w:r w:rsidRPr="00675182">
              <w:rPr>
                <w:rFonts w:cstheme="minorHAnsi"/>
                <w:color w:val="000000"/>
                <w:szCs w:val="24"/>
              </w:rPr>
              <w:t>Izcila</w:t>
            </w:r>
          </w:p>
        </w:tc>
      </w:tr>
      <w:tr w:rsidR="003178F9" w:rsidRPr="00675182" w14:paraId="6F4140DB"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44CE1D7B" w14:textId="77777777" w:rsidR="003178F9" w:rsidRPr="00675182" w:rsidRDefault="003178F9" w:rsidP="002C01EF">
            <w:pPr>
              <w:rPr>
                <w:rFonts w:cstheme="minorHAnsi"/>
                <w:color w:val="000000"/>
                <w:szCs w:val="24"/>
              </w:rPr>
            </w:pPr>
            <w:r w:rsidRPr="00675182">
              <w:rPr>
                <w:rFonts w:cstheme="minorHAnsi"/>
              </w:rPr>
              <w:t>Strīķupe (lejtece)</w:t>
            </w:r>
          </w:p>
        </w:tc>
        <w:tc>
          <w:tcPr>
            <w:tcW w:w="1505" w:type="pct"/>
            <w:tcBorders>
              <w:top w:val="nil"/>
              <w:left w:val="nil"/>
              <w:bottom w:val="single" w:sz="8" w:space="0" w:color="auto"/>
              <w:right w:val="single" w:sz="8" w:space="0" w:color="auto"/>
            </w:tcBorders>
            <w:shd w:val="clear" w:color="auto" w:fill="auto"/>
            <w:noWrap/>
            <w:vAlign w:val="center"/>
          </w:tcPr>
          <w:p w14:paraId="324DD0A0" w14:textId="38EBB66A"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6E4954E7"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6F661707"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35620E8A" w14:textId="77777777" w:rsidR="003178F9" w:rsidRPr="00675182" w:rsidRDefault="003178F9" w:rsidP="002C01EF">
            <w:pPr>
              <w:rPr>
                <w:rFonts w:cstheme="minorHAnsi"/>
                <w:color w:val="000000"/>
                <w:szCs w:val="24"/>
              </w:rPr>
            </w:pPr>
            <w:r w:rsidRPr="00675182">
              <w:rPr>
                <w:rFonts w:cstheme="minorHAnsi"/>
              </w:rPr>
              <w:t>Sveķupīte</w:t>
            </w:r>
          </w:p>
        </w:tc>
        <w:tc>
          <w:tcPr>
            <w:tcW w:w="1505" w:type="pct"/>
            <w:tcBorders>
              <w:top w:val="nil"/>
              <w:left w:val="nil"/>
              <w:bottom w:val="single" w:sz="8" w:space="0" w:color="auto"/>
              <w:right w:val="single" w:sz="8" w:space="0" w:color="auto"/>
            </w:tcBorders>
            <w:shd w:val="clear" w:color="auto" w:fill="auto"/>
            <w:noWrap/>
            <w:vAlign w:val="center"/>
          </w:tcPr>
          <w:p w14:paraId="0DD49D13"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309AACAF"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D35DF1" w:rsidRPr="00675182" w14:paraId="60DC8977"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7F47881F" w14:textId="1F1525FC" w:rsidR="00D35DF1" w:rsidRPr="00675182" w:rsidRDefault="00D35DF1" w:rsidP="00D35DF1">
            <w:pPr>
              <w:rPr>
                <w:rFonts w:cstheme="minorHAnsi"/>
              </w:rPr>
            </w:pPr>
            <w:r w:rsidRPr="00675182">
              <w:rPr>
                <w:rFonts w:cstheme="minorHAnsi"/>
              </w:rPr>
              <w:t>Svīķupīte</w:t>
            </w:r>
          </w:p>
        </w:tc>
        <w:tc>
          <w:tcPr>
            <w:tcW w:w="1505" w:type="pct"/>
            <w:tcBorders>
              <w:top w:val="nil"/>
              <w:left w:val="nil"/>
              <w:bottom w:val="single" w:sz="8" w:space="0" w:color="auto"/>
              <w:right w:val="single" w:sz="8" w:space="0" w:color="auto"/>
            </w:tcBorders>
            <w:shd w:val="clear" w:color="auto" w:fill="auto"/>
            <w:noWrap/>
            <w:vAlign w:val="center"/>
          </w:tcPr>
          <w:p w14:paraId="763E1A6C" w14:textId="095EF0B8" w:rsidR="00D35DF1" w:rsidRPr="00675182" w:rsidRDefault="00D35DF1" w:rsidP="00D35DF1">
            <w:pPr>
              <w:jc w:val="center"/>
              <w:rPr>
                <w:rFonts w:cstheme="minorHAnsi"/>
              </w:rPr>
            </w:pPr>
            <w:r w:rsidRPr="00675182">
              <w:rPr>
                <w:rFonts w:cstheme="minorHAnsi"/>
              </w:rPr>
              <w:t>3261_1</w:t>
            </w:r>
          </w:p>
        </w:tc>
        <w:tc>
          <w:tcPr>
            <w:tcW w:w="1343" w:type="pct"/>
            <w:tcBorders>
              <w:top w:val="nil"/>
              <w:left w:val="nil"/>
              <w:bottom w:val="single" w:sz="8" w:space="0" w:color="auto"/>
              <w:right w:val="single" w:sz="8" w:space="0" w:color="auto"/>
            </w:tcBorders>
            <w:shd w:val="clear" w:color="auto" w:fill="auto"/>
            <w:vAlign w:val="center"/>
          </w:tcPr>
          <w:p w14:paraId="4788A987" w14:textId="77777777" w:rsidR="00D35DF1" w:rsidRPr="00675182" w:rsidRDefault="00D35DF1" w:rsidP="00D35DF1">
            <w:pPr>
              <w:jc w:val="center"/>
              <w:rPr>
                <w:rFonts w:cstheme="minorHAnsi"/>
                <w:color w:val="000000"/>
                <w:szCs w:val="24"/>
              </w:rPr>
            </w:pPr>
          </w:p>
        </w:tc>
      </w:tr>
      <w:tr w:rsidR="003178F9" w:rsidRPr="00675182" w14:paraId="778ED7A7"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3A8E5D8E" w14:textId="77777777" w:rsidR="003178F9" w:rsidRPr="00675182" w:rsidRDefault="003178F9" w:rsidP="002C01EF">
            <w:pPr>
              <w:rPr>
                <w:rFonts w:cstheme="minorHAnsi"/>
                <w:color w:val="000000"/>
                <w:szCs w:val="24"/>
              </w:rPr>
            </w:pPr>
            <w:r w:rsidRPr="00675182">
              <w:rPr>
                <w:rFonts w:cstheme="minorHAnsi"/>
              </w:rPr>
              <w:t>Tālīte, lejtece</w:t>
            </w:r>
          </w:p>
        </w:tc>
        <w:tc>
          <w:tcPr>
            <w:tcW w:w="1505" w:type="pct"/>
            <w:tcBorders>
              <w:top w:val="nil"/>
              <w:left w:val="nil"/>
              <w:bottom w:val="single" w:sz="8" w:space="0" w:color="auto"/>
              <w:right w:val="single" w:sz="8" w:space="0" w:color="auto"/>
            </w:tcBorders>
            <w:shd w:val="clear" w:color="auto" w:fill="auto"/>
            <w:noWrap/>
            <w:vAlign w:val="center"/>
          </w:tcPr>
          <w:p w14:paraId="02A7EDBA"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7F57A393"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038886C4"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3DF40938" w14:textId="77777777" w:rsidR="003178F9" w:rsidRPr="00675182" w:rsidRDefault="003178F9" w:rsidP="002C01EF">
            <w:pPr>
              <w:rPr>
                <w:rFonts w:cstheme="minorHAnsi"/>
                <w:color w:val="000000"/>
                <w:szCs w:val="24"/>
              </w:rPr>
            </w:pPr>
            <w:r w:rsidRPr="00675182">
              <w:rPr>
                <w:rFonts w:cstheme="minorHAnsi"/>
              </w:rPr>
              <w:t>Treičupīte</w:t>
            </w:r>
          </w:p>
        </w:tc>
        <w:tc>
          <w:tcPr>
            <w:tcW w:w="1505" w:type="pct"/>
            <w:tcBorders>
              <w:top w:val="nil"/>
              <w:left w:val="nil"/>
              <w:bottom w:val="single" w:sz="8" w:space="0" w:color="auto"/>
              <w:right w:val="single" w:sz="8" w:space="0" w:color="auto"/>
            </w:tcBorders>
            <w:shd w:val="clear" w:color="auto" w:fill="auto"/>
            <w:noWrap/>
            <w:vAlign w:val="center"/>
          </w:tcPr>
          <w:p w14:paraId="56128461" w14:textId="45C1DB79"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1F6D71AE"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008449C1"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27A6C6FA" w14:textId="77777777" w:rsidR="003178F9" w:rsidRPr="00675182" w:rsidRDefault="003178F9" w:rsidP="002C01EF">
            <w:pPr>
              <w:rPr>
                <w:rFonts w:cstheme="minorHAnsi"/>
                <w:color w:val="000000"/>
                <w:szCs w:val="24"/>
              </w:rPr>
            </w:pPr>
            <w:r w:rsidRPr="00675182">
              <w:rPr>
                <w:rFonts w:cstheme="minorHAnsi"/>
              </w:rPr>
              <w:t>Vaive</w:t>
            </w:r>
          </w:p>
        </w:tc>
        <w:tc>
          <w:tcPr>
            <w:tcW w:w="1505" w:type="pct"/>
            <w:tcBorders>
              <w:top w:val="nil"/>
              <w:left w:val="nil"/>
              <w:bottom w:val="single" w:sz="8" w:space="0" w:color="auto"/>
              <w:right w:val="single" w:sz="8" w:space="0" w:color="auto"/>
            </w:tcBorders>
            <w:shd w:val="clear" w:color="auto" w:fill="auto"/>
            <w:noWrap/>
            <w:vAlign w:val="center"/>
          </w:tcPr>
          <w:p w14:paraId="442C1A05" w14:textId="390D7811"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6AEF0A4E" w14:textId="54C3E61D"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D35DF1" w:rsidRPr="00675182" w14:paraId="2BF339E0"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1BA27C03" w14:textId="4354EB8F" w:rsidR="00D35DF1" w:rsidRPr="00675182" w:rsidRDefault="00D35DF1" w:rsidP="00D35DF1">
            <w:pPr>
              <w:rPr>
                <w:rFonts w:cstheme="minorHAnsi"/>
              </w:rPr>
            </w:pPr>
            <w:r w:rsidRPr="00675182">
              <w:rPr>
                <w:rFonts w:cstheme="minorHAnsi"/>
              </w:rPr>
              <w:t>Vikmeste</w:t>
            </w:r>
          </w:p>
        </w:tc>
        <w:tc>
          <w:tcPr>
            <w:tcW w:w="1505" w:type="pct"/>
            <w:tcBorders>
              <w:top w:val="nil"/>
              <w:left w:val="nil"/>
              <w:bottom w:val="single" w:sz="8" w:space="0" w:color="auto"/>
              <w:right w:val="single" w:sz="8" w:space="0" w:color="auto"/>
            </w:tcBorders>
            <w:shd w:val="clear" w:color="auto" w:fill="auto"/>
            <w:noWrap/>
            <w:vAlign w:val="center"/>
          </w:tcPr>
          <w:p w14:paraId="437C4705" w14:textId="2BDDB27B" w:rsidR="00D35DF1" w:rsidRPr="00675182" w:rsidRDefault="00D35DF1" w:rsidP="00D35DF1">
            <w:pPr>
              <w:jc w:val="center"/>
              <w:rPr>
                <w:rFonts w:cstheme="minorHAnsi"/>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11BD730B" w14:textId="7314D0E1" w:rsidR="00D35DF1" w:rsidRPr="00675182" w:rsidRDefault="00D35DF1" w:rsidP="00D35DF1">
            <w:pPr>
              <w:jc w:val="center"/>
              <w:rPr>
                <w:rFonts w:cstheme="minorHAnsi"/>
                <w:color w:val="000000"/>
                <w:szCs w:val="24"/>
              </w:rPr>
            </w:pPr>
            <w:r w:rsidRPr="00675182">
              <w:rPr>
                <w:rFonts w:cstheme="minorHAnsi"/>
                <w:color w:val="000000"/>
                <w:szCs w:val="24"/>
              </w:rPr>
              <w:t>Laba</w:t>
            </w:r>
          </w:p>
        </w:tc>
      </w:tr>
      <w:tr w:rsidR="003178F9" w:rsidRPr="00675182" w14:paraId="36075C1A"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6E0E124E" w14:textId="77777777" w:rsidR="003178F9" w:rsidRPr="00675182" w:rsidRDefault="003178F9" w:rsidP="002C01EF">
            <w:pPr>
              <w:rPr>
                <w:rFonts w:cstheme="minorHAnsi"/>
                <w:color w:val="000000"/>
                <w:szCs w:val="24"/>
              </w:rPr>
            </w:pPr>
            <w:r w:rsidRPr="00675182">
              <w:rPr>
                <w:rFonts w:cstheme="minorHAnsi"/>
              </w:rPr>
              <w:t>Vējupīte, lejtece</w:t>
            </w:r>
          </w:p>
        </w:tc>
        <w:tc>
          <w:tcPr>
            <w:tcW w:w="1505" w:type="pct"/>
            <w:tcBorders>
              <w:top w:val="nil"/>
              <w:left w:val="nil"/>
              <w:bottom w:val="single" w:sz="8" w:space="0" w:color="auto"/>
              <w:right w:val="single" w:sz="8" w:space="0" w:color="auto"/>
            </w:tcBorders>
            <w:shd w:val="clear" w:color="auto" w:fill="auto"/>
            <w:noWrap/>
            <w:vAlign w:val="center"/>
          </w:tcPr>
          <w:p w14:paraId="2CE12616"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92D050"/>
            <w:vAlign w:val="center"/>
          </w:tcPr>
          <w:p w14:paraId="547EE0A6" w14:textId="77777777" w:rsidR="003178F9" w:rsidRPr="00675182" w:rsidRDefault="003178F9" w:rsidP="002C01EF">
            <w:pPr>
              <w:jc w:val="center"/>
              <w:rPr>
                <w:rFonts w:cstheme="minorHAnsi"/>
                <w:color w:val="000000"/>
                <w:szCs w:val="24"/>
              </w:rPr>
            </w:pPr>
            <w:r w:rsidRPr="00675182">
              <w:rPr>
                <w:rFonts w:cstheme="minorHAnsi"/>
                <w:color w:val="000000"/>
                <w:szCs w:val="24"/>
              </w:rPr>
              <w:t>Laba</w:t>
            </w:r>
          </w:p>
        </w:tc>
      </w:tr>
      <w:tr w:rsidR="003178F9" w:rsidRPr="00675182" w14:paraId="6D71BC4E"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536532DA" w14:textId="77777777" w:rsidR="003178F9" w:rsidRPr="00675182" w:rsidRDefault="003178F9" w:rsidP="002C01EF">
            <w:pPr>
              <w:rPr>
                <w:rFonts w:cstheme="minorHAnsi"/>
                <w:color w:val="000000"/>
                <w:szCs w:val="24"/>
              </w:rPr>
            </w:pPr>
            <w:r w:rsidRPr="00675182">
              <w:rPr>
                <w:rFonts w:cstheme="minorHAnsi"/>
              </w:rPr>
              <w:lastRenderedPageBreak/>
              <w:t>Vildoga</w:t>
            </w:r>
          </w:p>
        </w:tc>
        <w:tc>
          <w:tcPr>
            <w:tcW w:w="1505" w:type="pct"/>
            <w:tcBorders>
              <w:top w:val="nil"/>
              <w:left w:val="nil"/>
              <w:bottom w:val="single" w:sz="8" w:space="0" w:color="auto"/>
              <w:right w:val="single" w:sz="8" w:space="0" w:color="auto"/>
            </w:tcBorders>
            <w:shd w:val="clear" w:color="auto" w:fill="auto"/>
            <w:noWrap/>
            <w:vAlign w:val="center"/>
          </w:tcPr>
          <w:p w14:paraId="6C5CB421" w14:textId="77777777" w:rsidR="003178F9" w:rsidRPr="00675182" w:rsidRDefault="003178F9" w:rsidP="002C01EF">
            <w:pPr>
              <w:jc w:val="center"/>
              <w:rPr>
                <w:rFonts w:cstheme="minorHAnsi"/>
                <w:color w:val="000000"/>
                <w:szCs w:val="24"/>
              </w:rPr>
            </w:pPr>
            <w:r w:rsidRPr="00675182">
              <w:rPr>
                <w:rFonts w:cstheme="minorHAnsi"/>
              </w:rPr>
              <w:t>3260_1</w:t>
            </w:r>
          </w:p>
        </w:tc>
        <w:tc>
          <w:tcPr>
            <w:tcW w:w="1343" w:type="pct"/>
            <w:tcBorders>
              <w:top w:val="nil"/>
              <w:left w:val="nil"/>
              <w:bottom w:val="single" w:sz="8" w:space="0" w:color="auto"/>
              <w:right w:val="single" w:sz="8" w:space="0" w:color="auto"/>
            </w:tcBorders>
            <w:shd w:val="clear" w:color="auto" w:fill="FFFF00"/>
            <w:vAlign w:val="center"/>
          </w:tcPr>
          <w:p w14:paraId="3B773526"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r w:rsidR="003178F9" w:rsidRPr="00675182" w14:paraId="2B484BDA" w14:textId="77777777" w:rsidTr="00D35DF1">
        <w:trPr>
          <w:trHeight w:val="300"/>
        </w:trPr>
        <w:tc>
          <w:tcPr>
            <w:tcW w:w="2152" w:type="pct"/>
            <w:tcBorders>
              <w:top w:val="single" w:sz="4" w:space="0" w:color="auto"/>
              <w:left w:val="single" w:sz="4" w:space="0" w:color="auto"/>
              <w:bottom w:val="single" w:sz="4" w:space="0" w:color="auto"/>
              <w:right w:val="single" w:sz="4" w:space="0" w:color="auto"/>
            </w:tcBorders>
            <w:shd w:val="clear" w:color="auto" w:fill="auto"/>
            <w:noWrap/>
          </w:tcPr>
          <w:p w14:paraId="3F51DCEB" w14:textId="77777777" w:rsidR="003178F9" w:rsidRPr="00675182" w:rsidRDefault="003178F9" w:rsidP="002C01EF">
            <w:pPr>
              <w:rPr>
                <w:rFonts w:cstheme="minorHAnsi"/>
                <w:color w:val="000000"/>
                <w:szCs w:val="24"/>
              </w:rPr>
            </w:pPr>
            <w:r w:rsidRPr="00675182">
              <w:rPr>
                <w:rFonts w:cstheme="minorHAnsi"/>
              </w:rPr>
              <w:t>Zviedrupīte, augštece</w:t>
            </w:r>
          </w:p>
        </w:tc>
        <w:tc>
          <w:tcPr>
            <w:tcW w:w="1505" w:type="pct"/>
            <w:tcBorders>
              <w:top w:val="nil"/>
              <w:left w:val="nil"/>
              <w:bottom w:val="single" w:sz="8" w:space="0" w:color="auto"/>
              <w:right w:val="single" w:sz="8" w:space="0" w:color="auto"/>
            </w:tcBorders>
            <w:shd w:val="clear" w:color="auto" w:fill="auto"/>
            <w:noWrap/>
            <w:vAlign w:val="center"/>
          </w:tcPr>
          <w:p w14:paraId="42950275" w14:textId="77777777" w:rsidR="003178F9" w:rsidRPr="00675182" w:rsidRDefault="003178F9" w:rsidP="002C01EF">
            <w:pPr>
              <w:jc w:val="center"/>
              <w:rPr>
                <w:rFonts w:cstheme="minorHAnsi"/>
                <w:color w:val="000000"/>
                <w:szCs w:val="24"/>
              </w:rPr>
            </w:pPr>
            <w:r w:rsidRPr="00675182">
              <w:rPr>
                <w:rFonts w:cstheme="minorHAnsi"/>
              </w:rPr>
              <w:t>3260_2</w:t>
            </w:r>
          </w:p>
        </w:tc>
        <w:tc>
          <w:tcPr>
            <w:tcW w:w="1343" w:type="pct"/>
            <w:tcBorders>
              <w:top w:val="nil"/>
              <w:left w:val="nil"/>
              <w:bottom w:val="single" w:sz="8" w:space="0" w:color="auto"/>
              <w:right w:val="single" w:sz="8" w:space="0" w:color="auto"/>
            </w:tcBorders>
            <w:shd w:val="clear" w:color="auto" w:fill="FFFF00"/>
            <w:vAlign w:val="center"/>
          </w:tcPr>
          <w:p w14:paraId="698C093C" w14:textId="77777777" w:rsidR="003178F9" w:rsidRPr="00675182" w:rsidRDefault="003178F9" w:rsidP="002C01EF">
            <w:pPr>
              <w:jc w:val="center"/>
              <w:rPr>
                <w:rFonts w:cstheme="minorHAnsi"/>
                <w:color w:val="000000"/>
                <w:szCs w:val="24"/>
              </w:rPr>
            </w:pPr>
            <w:r w:rsidRPr="00675182">
              <w:rPr>
                <w:rFonts w:cstheme="minorHAnsi"/>
                <w:color w:val="000000"/>
                <w:szCs w:val="24"/>
              </w:rPr>
              <w:t>Vidēja</w:t>
            </w:r>
          </w:p>
        </w:tc>
      </w:tr>
    </w:tbl>
    <w:p w14:paraId="13B3082D" w14:textId="009E2A6C" w:rsidR="00A10DE2" w:rsidRPr="00675182" w:rsidRDefault="00135B31" w:rsidP="00A10DE2">
      <w:pPr>
        <w:pStyle w:val="ListParagraph"/>
        <w:ind w:left="0"/>
        <w:jc w:val="both"/>
        <w:rPr>
          <w:rFonts w:cstheme="minorHAnsi"/>
          <w:bCs/>
        </w:rPr>
      </w:pPr>
      <w:r w:rsidRPr="00675182">
        <w:rPr>
          <w:rFonts w:cstheme="minorHAnsi"/>
          <w:bCs/>
        </w:rPr>
        <w:t>Datu avots: Saldūdeņu biotopu inventarizācijas anketas, 2017</w:t>
      </w:r>
    </w:p>
    <w:p w14:paraId="4ECE2D40" w14:textId="77777777" w:rsidR="00D35DF1" w:rsidRPr="00675182" w:rsidRDefault="00D35DF1" w:rsidP="00A10DE2">
      <w:pPr>
        <w:pStyle w:val="ListParagraph"/>
        <w:ind w:left="0"/>
        <w:jc w:val="both"/>
        <w:rPr>
          <w:rFonts w:cstheme="minorHAnsi"/>
          <w:bCs/>
        </w:rPr>
      </w:pPr>
    </w:p>
    <w:p w14:paraId="0F92A59E" w14:textId="1D6E304B" w:rsidR="00A10DE2" w:rsidRPr="00675182" w:rsidRDefault="00A10DE2" w:rsidP="00A03028">
      <w:pPr>
        <w:pStyle w:val="ListParagraph"/>
        <w:keepNext/>
        <w:keepLines/>
        <w:ind w:left="0"/>
        <w:jc w:val="both"/>
        <w:rPr>
          <w:rFonts w:cstheme="minorHAnsi"/>
          <w:bCs/>
        </w:rPr>
      </w:pPr>
      <w:r w:rsidRPr="00675182">
        <w:rPr>
          <w:rFonts w:cstheme="minorHAnsi"/>
          <w:bCs/>
          <w:u w:val="single"/>
        </w:rPr>
        <w:t xml:space="preserve">3260_1 </w:t>
      </w:r>
      <w:r w:rsidRPr="00675182">
        <w:rPr>
          <w:rFonts w:cstheme="minorHAnsi"/>
          <w:bCs/>
          <w:i/>
          <w:iCs/>
          <w:u w:val="single"/>
        </w:rPr>
        <w:t>Upju straujteces</w:t>
      </w:r>
      <w:r w:rsidR="00E34CFF" w:rsidRPr="00675182">
        <w:rPr>
          <w:rFonts w:cstheme="minorHAnsi"/>
          <w:bCs/>
          <w:i/>
          <w:iCs/>
          <w:u w:val="single"/>
        </w:rPr>
        <w:t xml:space="preserve"> </w:t>
      </w:r>
      <w:r w:rsidR="001A2FC3" w:rsidRPr="00675182">
        <w:rPr>
          <w:rFonts w:cstheme="minorHAnsi"/>
          <w:bCs/>
          <w:i/>
          <w:iCs/>
          <w:u w:val="single"/>
        </w:rPr>
        <w:t>– upes vai upju posmi ar akmeņainu vai oļainu grunti, kuros straumes ātrums ir lielāks par 0,2 m/s</w:t>
      </w:r>
    </w:p>
    <w:p w14:paraId="0DA333B4" w14:textId="77777777" w:rsidR="00E34CFF" w:rsidRPr="00675182" w:rsidRDefault="00E34CFF" w:rsidP="00E34CFF">
      <w:pPr>
        <w:pStyle w:val="ListParagraph"/>
        <w:keepNext/>
        <w:keepLines/>
        <w:ind w:left="0"/>
        <w:jc w:val="both"/>
        <w:rPr>
          <w:rFonts w:cstheme="minorHAnsi"/>
          <w:bCs/>
        </w:rPr>
      </w:pPr>
      <w:r w:rsidRPr="00675182">
        <w:rPr>
          <w:rFonts w:cstheme="minorHAnsi"/>
          <w:bCs/>
        </w:rPr>
        <w:t>Upju straujteču posmi, kur krāču un iedzelmju mija nodrošina daudzveidīgu mikrobiotopu līdzāspastāvēšanu nelielā teritorijā, ir bioloģiski daudzveidīgākie upju biotopi. Šim biotopa variantam labvēlīgā aizsardzības stāvoklī raksturīgs grunts sastāvs, kur dominē rupja grants un akmeņi, raksturīgas gruntsūdens izplūdes un barošanās no avotiem. Upes aizaugums ar augstākajiem ūdensaugiem nepārsniedz 30% no upes spoguļvirsmas (Urtāns, 2017).</w:t>
      </w:r>
    </w:p>
    <w:p w14:paraId="76D62D54" w14:textId="77777777" w:rsidR="00A10DE2" w:rsidRPr="00675182" w:rsidRDefault="00A10DE2" w:rsidP="00A10DE2">
      <w:pPr>
        <w:pStyle w:val="ListParagraph"/>
        <w:ind w:left="0"/>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56"/>
      </w:tblGrid>
      <w:tr w:rsidR="00A10DE2" w:rsidRPr="00675182" w14:paraId="4527B110" w14:textId="77777777" w:rsidTr="002C01EF">
        <w:tc>
          <w:tcPr>
            <w:tcW w:w="4107" w:type="dxa"/>
          </w:tcPr>
          <w:p w14:paraId="1195E575" w14:textId="77777777" w:rsidR="00A10DE2" w:rsidRPr="00675182" w:rsidRDefault="00A10DE2" w:rsidP="002C01EF">
            <w:pPr>
              <w:jc w:val="both"/>
              <w:rPr>
                <w:rFonts w:cstheme="minorHAnsi"/>
                <w:bCs/>
              </w:rPr>
            </w:pPr>
            <w:r w:rsidRPr="00675182">
              <w:rPr>
                <w:rFonts w:cstheme="minorHAnsi"/>
                <w:noProof/>
              </w:rPr>
              <w:drawing>
                <wp:inline distT="0" distB="0" distL="0" distR="0" wp14:anchorId="5159017F" wp14:editId="5E9B42F2">
                  <wp:extent cx="2552700" cy="1914756"/>
                  <wp:effectExtent l="0" t="0" r="0" b="9525"/>
                  <wp:docPr id="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557799" cy="1918580"/>
                          </a:xfrm>
                          <a:prstGeom prst="rect">
                            <a:avLst/>
                          </a:prstGeom>
                          <a:noFill/>
                          <a:ln>
                            <a:noFill/>
                          </a:ln>
                        </pic:spPr>
                      </pic:pic>
                    </a:graphicData>
                  </a:graphic>
                </wp:inline>
              </w:drawing>
            </w:r>
          </w:p>
        </w:tc>
        <w:tc>
          <w:tcPr>
            <w:tcW w:w="4194" w:type="dxa"/>
          </w:tcPr>
          <w:p w14:paraId="3E906962" w14:textId="77777777" w:rsidR="00A10DE2" w:rsidRPr="00675182" w:rsidRDefault="00A10DE2" w:rsidP="002C01EF">
            <w:pPr>
              <w:jc w:val="both"/>
              <w:rPr>
                <w:rFonts w:cstheme="minorHAnsi"/>
                <w:bCs/>
              </w:rPr>
            </w:pPr>
            <w:r w:rsidRPr="00675182">
              <w:rPr>
                <w:rFonts w:cstheme="minorHAnsi"/>
                <w:noProof/>
              </w:rPr>
              <w:drawing>
                <wp:inline distT="0" distB="0" distL="0" distR="0" wp14:anchorId="056427A4" wp14:editId="6E517D5E">
                  <wp:extent cx="2552700" cy="1914448"/>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59440" cy="1919502"/>
                          </a:xfrm>
                          <a:prstGeom prst="rect">
                            <a:avLst/>
                          </a:prstGeom>
                          <a:noFill/>
                          <a:ln>
                            <a:noFill/>
                          </a:ln>
                        </pic:spPr>
                      </pic:pic>
                    </a:graphicData>
                  </a:graphic>
                </wp:inline>
              </w:drawing>
            </w:r>
          </w:p>
        </w:tc>
      </w:tr>
      <w:tr w:rsidR="00A10DE2" w:rsidRPr="00675182" w14:paraId="36CDE2E8" w14:textId="77777777" w:rsidTr="002C01EF">
        <w:tc>
          <w:tcPr>
            <w:tcW w:w="4107" w:type="dxa"/>
          </w:tcPr>
          <w:p w14:paraId="1EC09233" w14:textId="2129E467" w:rsidR="00A10DE2" w:rsidRPr="00675182" w:rsidRDefault="00E3521C" w:rsidP="00567C15">
            <w:pPr>
              <w:rPr>
                <w:rFonts w:cstheme="minorHAnsi"/>
                <w:b/>
                <w:i/>
                <w:iCs/>
              </w:rPr>
            </w:pPr>
            <w:r w:rsidRPr="00675182">
              <w:rPr>
                <w:rFonts w:cstheme="minorHAnsi"/>
                <w:b/>
                <w:i/>
                <w:iCs/>
              </w:rPr>
              <w:t>2.3</w:t>
            </w:r>
            <w:r w:rsidR="00567C15" w:rsidRPr="00675182">
              <w:rPr>
                <w:rFonts w:cstheme="minorHAnsi"/>
                <w:b/>
                <w:i/>
                <w:iCs/>
              </w:rPr>
              <w:t>.</w:t>
            </w:r>
            <w:r w:rsidR="00135B31" w:rsidRPr="00675182">
              <w:rPr>
                <w:rFonts w:cstheme="minorHAnsi"/>
                <w:b/>
                <w:i/>
                <w:iCs/>
              </w:rPr>
              <w:t>1</w:t>
            </w:r>
            <w:r w:rsidR="00EF0A82" w:rsidRPr="00675182">
              <w:rPr>
                <w:rFonts w:cstheme="minorHAnsi"/>
                <w:b/>
                <w:i/>
                <w:iCs/>
              </w:rPr>
              <w:t>6</w:t>
            </w:r>
            <w:r w:rsidR="00567C15" w:rsidRPr="00675182">
              <w:rPr>
                <w:rFonts w:cstheme="minorHAnsi"/>
                <w:b/>
                <w:i/>
                <w:iCs/>
              </w:rPr>
              <w:t xml:space="preserve">. attēls. </w:t>
            </w:r>
            <w:r w:rsidR="00A10DE2" w:rsidRPr="00675182">
              <w:rPr>
                <w:rFonts w:cstheme="minorHAnsi"/>
                <w:b/>
                <w:i/>
                <w:iCs/>
              </w:rPr>
              <w:t>Gauja augšpus Līgatnes, 2012. g. (foto: L. Grīnberga)</w:t>
            </w:r>
          </w:p>
        </w:tc>
        <w:tc>
          <w:tcPr>
            <w:tcW w:w="4194" w:type="dxa"/>
          </w:tcPr>
          <w:p w14:paraId="5CB56AC5" w14:textId="3723E46A" w:rsidR="00A10DE2" w:rsidRPr="00675182" w:rsidRDefault="00E3521C" w:rsidP="00567C15">
            <w:pPr>
              <w:rPr>
                <w:rFonts w:cstheme="minorHAnsi"/>
                <w:b/>
                <w:i/>
                <w:iCs/>
              </w:rPr>
            </w:pPr>
            <w:r w:rsidRPr="00675182">
              <w:rPr>
                <w:rFonts w:cstheme="minorHAnsi"/>
                <w:b/>
                <w:i/>
                <w:iCs/>
              </w:rPr>
              <w:t>2.3.</w:t>
            </w:r>
            <w:r w:rsidR="00135B31" w:rsidRPr="00675182">
              <w:rPr>
                <w:rFonts w:cstheme="minorHAnsi"/>
                <w:b/>
                <w:i/>
                <w:iCs/>
              </w:rPr>
              <w:t>1</w:t>
            </w:r>
            <w:r w:rsidR="00EF0A82" w:rsidRPr="00675182">
              <w:rPr>
                <w:rFonts w:cstheme="minorHAnsi"/>
                <w:b/>
                <w:i/>
                <w:iCs/>
              </w:rPr>
              <w:t>7</w:t>
            </w:r>
            <w:r w:rsidR="00567C15" w:rsidRPr="00675182">
              <w:rPr>
                <w:rFonts w:cstheme="minorHAnsi"/>
                <w:b/>
                <w:i/>
                <w:iCs/>
              </w:rPr>
              <w:t xml:space="preserve">. attēls. </w:t>
            </w:r>
            <w:r w:rsidR="00A10DE2" w:rsidRPr="00675182">
              <w:rPr>
                <w:rFonts w:cstheme="minorHAnsi"/>
                <w:b/>
                <w:i/>
                <w:iCs/>
              </w:rPr>
              <w:t xml:space="preserve">Gauja, Jāņrāmja krāces lejpus Jāņmuižas, </w:t>
            </w:r>
            <w:r w:rsidR="003178F9" w:rsidRPr="00675182">
              <w:rPr>
                <w:rFonts w:cstheme="minorHAnsi"/>
                <w:b/>
                <w:i/>
                <w:iCs/>
              </w:rPr>
              <w:t>2020</w:t>
            </w:r>
            <w:r w:rsidR="00A10DE2" w:rsidRPr="00675182">
              <w:rPr>
                <w:rFonts w:cstheme="minorHAnsi"/>
                <w:b/>
                <w:i/>
                <w:iCs/>
              </w:rPr>
              <w:t xml:space="preserve">. g. (foto: L. Grīnberga) </w:t>
            </w:r>
          </w:p>
        </w:tc>
      </w:tr>
    </w:tbl>
    <w:p w14:paraId="1386A1DF" w14:textId="77777777" w:rsidR="00A10DE2" w:rsidRPr="00675182" w:rsidRDefault="00A10DE2" w:rsidP="00A10DE2">
      <w:pPr>
        <w:pStyle w:val="ListParagraph"/>
        <w:ind w:left="0"/>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133"/>
      </w:tblGrid>
      <w:tr w:rsidR="00A10DE2" w:rsidRPr="00675182" w14:paraId="59AAFFFC" w14:textId="77777777" w:rsidTr="002C01EF">
        <w:tc>
          <w:tcPr>
            <w:tcW w:w="4150" w:type="dxa"/>
          </w:tcPr>
          <w:p w14:paraId="2EFC9558" w14:textId="77777777" w:rsidR="00A10DE2" w:rsidRPr="00675182" w:rsidRDefault="00A10DE2" w:rsidP="002C01EF">
            <w:pPr>
              <w:jc w:val="both"/>
              <w:rPr>
                <w:rFonts w:cstheme="minorHAnsi"/>
                <w:b/>
              </w:rPr>
            </w:pPr>
            <w:r w:rsidRPr="00675182">
              <w:rPr>
                <w:rFonts w:cstheme="minorHAnsi"/>
                <w:noProof/>
              </w:rPr>
              <w:drawing>
                <wp:inline distT="0" distB="0" distL="0" distR="0" wp14:anchorId="4743613B" wp14:editId="7EF5E56D">
                  <wp:extent cx="2543175" cy="1907304"/>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50061" cy="1912468"/>
                          </a:xfrm>
                          <a:prstGeom prst="rect">
                            <a:avLst/>
                          </a:prstGeom>
                          <a:noFill/>
                          <a:ln>
                            <a:noFill/>
                          </a:ln>
                        </pic:spPr>
                      </pic:pic>
                    </a:graphicData>
                  </a:graphic>
                </wp:inline>
              </w:drawing>
            </w:r>
          </w:p>
        </w:tc>
        <w:tc>
          <w:tcPr>
            <w:tcW w:w="4151" w:type="dxa"/>
          </w:tcPr>
          <w:p w14:paraId="2AFA26B0" w14:textId="77777777" w:rsidR="00A10DE2" w:rsidRPr="00675182" w:rsidRDefault="00A10DE2" w:rsidP="002C01EF">
            <w:pPr>
              <w:jc w:val="both"/>
              <w:rPr>
                <w:rFonts w:cstheme="minorHAnsi"/>
                <w:b/>
              </w:rPr>
            </w:pPr>
            <w:r w:rsidRPr="00675182">
              <w:rPr>
                <w:rFonts w:cstheme="minorHAnsi"/>
                <w:noProof/>
              </w:rPr>
              <w:drawing>
                <wp:inline distT="0" distB="0" distL="0" distR="0" wp14:anchorId="3A6F945D" wp14:editId="659B80BC">
                  <wp:extent cx="2514277" cy="1885632"/>
                  <wp:effectExtent l="0" t="0" r="635" b="63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521274" cy="1890880"/>
                          </a:xfrm>
                          <a:prstGeom prst="rect">
                            <a:avLst/>
                          </a:prstGeom>
                          <a:noFill/>
                          <a:ln>
                            <a:noFill/>
                          </a:ln>
                        </pic:spPr>
                      </pic:pic>
                    </a:graphicData>
                  </a:graphic>
                </wp:inline>
              </w:drawing>
            </w:r>
          </w:p>
        </w:tc>
      </w:tr>
      <w:tr w:rsidR="00A10DE2" w:rsidRPr="00675182" w14:paraId="1A9C4567" w14:textId="77777777" w:rsidTr="002C01EF">
        <w:tc>
          <w:tcPr>
            <w:tcW w:w="4150" w:type="dxa"/>
          </w:tcPr>
          <w:p w14:paraId="102B3C6B" w14:textId="1B3FE2AF" w:rsidR="00A10DE2" w:rsidRPr="00675182" w:rsidRDefault="00E3521C" w:rsidP="00567C15">
            <w:pPr>
              <w:rPr>
                <w:rFonts w:cstheme="minorHAnsi"/>
                <w:b/>
                <w:i/>
                <w:iCs/>
              </w:rPr>
            </w:pPr>
            <w:r w:rsidRPr="00675182">
              <w:rPr>
                <w:rFonts w:cstheme="minorHAnsi"/>
                <w:b/>
                <w:i/>
                <w:iCs/>
              </w:rPr>
              <w:t>2.3</w:t>
            </w:r>
            <w:r w:rsidR="00567C15" w:rsidRPr="00675182">
              <w:rPr>
                <w:rFonts w:cstheme="minorHAnsi"/>
                <w:b/>
                <w:i/>
                <w:iCs/>
              </w:rPr>
              <w:t>.</w:t>
            </w:r>
            <w:r w:rsidR="00135B31" w:rsidRPr="00675182">
              <w:rPr>
                <w:rFonts w:cstheme="minorHAnsi"/>
                <w:b/>
                <w:i/>
                <w:iCs/>
              </w:rPr>
              <w:t>1</w:t>
            </w:r>
            <w:r w:rsidR="00EF0A82" w:rsidRPr="00675182">
              <w:rPr>
                <w:rFonts w:cstheme="minorHAnsi"/>
                <w:b/>
                <w:i/>
                <w:iCs/>
              </w:rPr>
              <w:t>8</w:t>
            </w:r>
            <w:r w:rsidR="00567C15" w:rsidRPr="00675182">
              <w:rPr>
                <w:rFonts w:cstheme="minorHAnsi"/>
                <w:b/>
                <w:i/>
                <w:iCs/>
              </w:rPr>
              <w:t xml:space="preserve">. attēls. </w:t>
            </w:r>
            <w:r w:rsidR="00A10DE2" w:rsidRPr="00675182">
              <w:rPr>
                <w:rFonts w:cstheme="minorHAnsi"/>
                <w:b/>
                <w:i/>
                <w:iCs/>
              </w:rPr>
              <w:t xml:space="preserve">Egļupes lejtece, </w:t>
            </w:r>
            <w:r w:rsidR="003178F9" w:rsidRPr="00675182">
              <w:rPr>
                <w:rFonts w:cstheme="minorHAnsi"/>
                <w:b/>
                <w:i/>
                <w:iCs/>
              </w:rPr>
              <w:t>2020</w:t>
            </w:r>
            <w:r w:rsidR="00A10DE2" w:rsidRPr="00675182">
              <w:rPr>
                <w:rFonts w:cstheme="minorHAnsi"/>
                <w:b/>
                <w:i/>
                <w:iCs/>
              </w:rPr>
              <w:t>. g. (foto: L. Grīnberga)</w:t>
            </w:r>
          </w:p>
        </w:tc>
        <w:tc>
          <w:tcPr>
            <w:tcW w:w="4151" w:type="dxa"/>
          </w:tcPr>
          <w:p w14:paraId="65B98E7D" w14:textId="6EE7326C" w:rsidR="00A10DE2" w:rsidRPr="00675182" w:rsidRDefault="00E3521C" w:rsidP="00567C15">
            <w:pPr>
              <w:rPr>
                <w:rFonts w:cstheme="minorHAnsi"/>
                <w:b/>
                <w:i/>
                <w:iCs/>
              </w:rPr>
            </w:pPr>
            <w:r w:rsidRPr="00675182">
              <w:rPr>
                <w:rFonts w:cstheme="minorHAnsi"/>
                <w:b/>
                <w:i/>
                <w:iCs/>
              </w:rPr>
              <w:t>2.3.</w:t>
            </w:r>
            <w:r w:rsidR="00135B31" w:rsidRPr="00675182">
              <w:rPr>
                <w:rFonts w:cstheme="minorHAnsi"/>
                <w:b/>
                <w:i/>
                <w:iCs/>
              </w:rPr>
              <w:t>1</w:t>
            </w:r>
            <w:r w:rsidR="00EF0A82" w:rsidRPr="00675182">
              <w:rPr>
                <w:rFonts w:cstheme="minorHAnsi"/>
                <w:b/>
                <w:i/>
                <w:iCs/>
              </w:rPr>
              <w:t>9</w:t>
            </w:r>
            <w:r w:rsidR="00567C15" w:rsidRPr="00675182">
              <w:rPr>
                <w:rFonts w:cstheme="minorHAnsi"/>
                <w:b/>
                <w:i/>
                <w:iCs/>
              </w:rPr>
              <w:t xml:space="preserve">. attēls. </w:t>
            </w:r>
            <w:r w:rsidR="00A10DE2" w:rsidRPr="00675182">
              <w:rPr>
                <w:rFonts w:cstheme="minorHAnsi"/>
                <w:b/>
                <w:i/>
                <w:iCs/>
              </w:rPr>
              <w:t>Krīvupīte lejtecē ļoti strauja, jūtama notekūdeņu smaka, 2017. g. (foto: L. Grīnberga)</w:t>
            </w:r>
          </w:p>
        </w:tc>
      </w:tr>
    </w:tbl>
    <w:p w14:paraId="781F3AC9" w14:textId="77777777" w:rsidR="00A10DE2" w:rsidRPr="00675182" w:rsidRDefault="00A10DE2" w:rsidP="00A10DE2">
      <w:pPr>
        <w:pStyle w:val="ListParagraph"/>
        <w:ind w:left="0"/>
        <w:jc w:val="both"/>
        <w:rPr>
          <w:rFonts w:cstheme="minorHAnsi"/>
          <w:bCs/>
        </w:rPr>
      </w:pPr>
    </w:p>
    <w:p w14:paraId="611F1DF7" w14:textId="5ADF1229" w:rsidR="00A10DE2" w:rsidRPr="00675182" w:rsidRDefault="00A10DE2" w:rsidP="00A10DE2">
      <w:pPr>
        <w:pStyle w:val="ListParagraph"/>
        <w:ind w:left="0"/>
        <w:jc w:val="both"/>
        <w:rPr>
          <w:rFonts w:cstheme="minorHAnsi"/>
          <w:bCs/>
          <w:i/>
          <w:iCs/>
          <w:u w:val="single"/>
        </w:rPr>
      </w:pPr>
      <w:r w:rsidRPr="00675182">
        <w:rPr>
          <w:rFonts w:cstheme="minorHAnsi"/>
          <w:bCs/>
          <w:u w:val="single"/>
        </w:rPr>
        <w:t xml:space="preserve">3260_2 </w:t>
      </w:r>
      <w:r w:rsidRPr="00675182">
        <w:rPr>
          <w:rFonts w:cstheme="minorHAnsi"/>
          <w:bCs/>
          <w:i/>
          <w:iCs/>
          <w:u w:val="single"/>
        </w:rPr>
        <w:t>Visas dabiskās upes un upju posmi, kuros vidējais straumes ātrums ir mazāks par 0</w:t>
      </w:r>
      <w:r w:rsidR="00772664" w:rsidRPr="00675182">
        <w:rPr>
          <w:rFonts w:cstheme="minorHAnsi"/>
          <w:bCs/>
          <w:i/>
          <w:iCs/>
          <w:u w:val="single"/>
        </w:rPr>
        <w:t>,</w:t>
      </w:r>
      <w:r w:rsidRPr="00675182">
        <w:rPr>
          <w:rFonts w:cstheme="minorHAnsi"/>
          <w:bCs/>
          <w:i/>
          <w:iCs/>
          <w:u w:val="single"/>
        </w:rPr>
        <w:t>2 m/s</w:t>
      </w:r>
    </w:p>
    <w:p w14:paraId="33203F28" w14:textId="77777777" w:rsidR="00E34CFF" w:rsidRPr="00675182" w:rsidRDefault="00E34CFF" w:rsidP="00E34CFF">
      <w:pPr>
        <w:pStyle w:val="ListParagraph"/>
        <w:ind w:left="0"/>
        <w:jc w:val="both"/>
        <w:rPr>
          <w:rFonts w:cstheme="minorHAnsi"/>
          <w:bCs/>
        </w:rPr>
      </w:pPr>
      <w:r w:rsidRPr="00675182">
        <w:rPr>
          <w:rFonts w:cstheme="minorHAnsi"/>
          <w:bCs/>
        </w:rPr>
        <w:t xml:space="preserve">Pie šī biotopa varianta pieskaitāmas arī no augsto purvu ezeriem iztekošās ūdensteces, kuru gultni veido kūdra. Šim biotopa variantam labvēlīgā aizsardzības stāvoklī </w:t>
      </w:r>
      <w:r w:rsidRPr="00675182">
        <w:rPr>
          <w:rFonts w:cstheme="minorHAnsi"/>
          <w:bCs/>
        </w:rPr>
        <w:lastRenderedPageBreak/>
        <w:t>raksturīgs lielāks dabiski izgaismotu upes posmu īpatsvars. Kaut gan dominējošais gultnes substrāts šādās upēs ir smalka smilts, kas klāta ar dūņām un dažāda rupjuma detrītu, arī tajās ir sastopami posmi, kuros grunts sastāvā dominē grants un akmeņi. Šādi upes posmi ir bioloģiski daudzveidīgākie (Urtāns, 2017).</w:t>
      </w:r>
    </w:p>
    <w:p w14:paraId="4085B978" w14:textId="77777777" w:rsidR="00A10DE2" w:rsidRPr="00675182" w:rsidRDefault="00A10DE2" w:rsidP="00A10DE2">
      <w:pPr>
        <w:pStyle w:val="ListParagraph"/>
        <w:ind w:left="0"/>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139"/>
      </w:tblGrid>
      <w:tr w:rsidR="00A10DE2" w:rsidRPr="00675182" w14:paraId="7F2B5EDA" w14:textId="77777777" w:rsidTr="002C01EF">
        <w:tc>
          <w:tcPr>
            <w:tcW w:w="4150" w:type="dxa"/>
          </w:tcPr>
          <w:p w14:paraId="65290962" w14:textId="77777777" w:rsidR="00A10DE2" w:rsidRPr="00675182" w:rsidRDefault="00A10DE2" w:rsidP="000B6E93">
            <w:pPr>
              <w:rPr>
                <w:rFonts w:cstheme="minorHAnsi"/>
                <w:szCs w:val="24"/>
              </w:rPr>
            </w:pPr>
            <w:r w:rsidRPr="00675182">
              <w:rPr>
                <w:rFonts w:cstheme="minorHAnsi"/>
                <w:noProof/>
              </w:rPr>
              <w:drawing>
                <wp:inline distT="0" distB="0" distL="0" distR="0" wp14:anchorId="19A69B0B" wp14:editId="2796BA4E">
                  <wp:extent cx="2543175" cy="1907305"/>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547858" cy="1910817"/>
                          </a:xfrm>
                          <a:prstGeom prst="rect">
                            <a:avLst/>
                          </a:prstGeom>
                          <a:noFill/>
                          <a:ln>
                            <a:noFill/>
                          </a:ln>
                        </pic:spPr>
                      </pic:pic>
                    </a:graphicData>
                  </a:graphic>
                </wp:inline>
              </w:drawing>
            </w:r>
          </w:p>
        </w:tc>
        <w:tc>
          <w:tcPr>
            <w:tcW w:w="4151" w:type="dxa"/>
          </w:tcPr>
          <w:p w14:paraId="7259EECF" w14:textId="77777777" w:rsidR="00A10DE2" w:rsidRPr="00675182" w:rsidRDefault="00A10DE2" w:rsidP="000B6E93">
            <w:pPr>
              <w:rPr>
                <w:rFonts w:cstheme="minorHAnsi"/>
                <w:szCs w:val="24"/>
              </w:rPr>
            </w:pPr>
            <w:r w:rsidRPr="00675182">
              <w:rPr>
                <w:rFonts w:cstheme="minorHAnsi"/>
                <w:noProof/>
              </w:rPr>
              <w:drawing>
                <wp:inline distT="0" distB="0" distL="0" distR="0" wp14:anchorId="5C761CD9" wp14:editId="3A3D9ADB">
                  <wp:extent cx="2522220" cy="189250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529925" cy="1898282"/>
                          </a:xfrm>
                          <a:prstGeom prst="rect">
                            <a:avLst/>
                          </a:prstGeom>
                          <a:noFill/>
                          <a:ln>
                            <a:noFill/>
                          </a:ln>
                        </pic:spPr>
                      </pic:pic>
                    </a:graphicData>
                  </a:graphic>
                </wp:inline>
              </w:drawing>
            </w:r>
          </w:p>
        </w:tc>
      </w:tr>
      <w:tr w:rsidR="00A10DE2" w:rsidRPr="00675182" w14:paraId="48507302" w14:textId="77777777" w:rsidTr="002C01EF">
        <w:tc>
          <w:tcPr>
            <w:tcW w:w="4150" w:type="dxa"/>
          </w:tcPr>
          <w:p w14:paraId="3DE2C183" w14:textId="3E04719E" w:rsidR="00A10DE2" w:rsidRPr="00675182" w:rsidRDefault="00E3521C" w:rsidP="000B6E93">
            <w:pPr>
              <w:rPr>
                <w:rFonts w:cstheme="minorHAnsi"/>
                <w:b/>
                <w:i/>
                <w:iCs/>
                <w:szCs w:val="24"/>
              </w:rPr>
            </w:pPr>
            <w:r w:rsidRPr="00675182">
              <w:rPr>
                <w:rFonts w:cstheme="minorHAnsi"/>
                <w:b/>
                <w:i/>
                <w:iCs/>
              </w:rPr>
              <w:t>2.3.</w:t>
            </w:r>
            <w:r w:rsidR="00EF0A82" w:rsidRPr="00675182">
              <w:rPr>
                <w:rFonts w:cstheme="minorHAnsi"/>
                <w:b/>
                <w:i/>
                <w:iCs/>
              </w:rPr>
              <w:t>20</w:t>
            </w:r>
            <w:r w:rsidRPr="00675182">
              <w:rPr>
                <w:rFonts w:cstheme="minorHAnsi"/>
                <w:b/>
                <w:i/>
                <w:iCs/>
              </w:rPr>
              <w:t>. attēls.</w:t>
            </w:r>
            <w:r w:rsidRPr="00675182">
              <w:rPr>
                <w:rFonts w:cstheme="minorHAnsi"/>
                <w:b/>
                <w:i/>
                <w:iCs/>
                <w:szCs w:val="24"/>
              </w:rPr>
              <w:t xml:space="preserve"> </w:t>
            </w:r>
            <w:r w:rsidR="00A10DE2" w:rsidRPr="00675182">
              <w:rPr>
                <w:rFonts w:cstheme="minorHAnsi"/>
                <w:b/>
                <w:i/>
                <w:iCs/>
                <w:szCs w:val="24"/>
              </w:rPr>
              <w:t>Zviedrupīte lejpus iztekas no Zviedru ezera, 2017. g. (foto: L. Grīnberga)</w:t>
            </w:r>
          </w:p>
        </w:tc>
        <w:tc>
          <w:tcPr>
            <w:tcW w:w="4151" w:type="dxa"/>
          </w:tcPr>
          <w:p w14:paraId="3F26A338" w14:textId="13CA706F" w:rsidR="00A10DE2" w:rsidRPr="00675182" w:rsidRDefault="00E3521C" w:rsidP="000B6E93">
            <w:pPr>
              <w:rPr>
                <w:rFonts w:cstheme="minorHAnsi"/>
                <w:b/>
                <w:i/>
                <w:iCs/>
                <w:szCs w:val="24"/>
              </w:rPr>
            </w:pPr>
            <w:r w:rsidRPr="00675182">
              <w:rPr>
                <w:rFonts w:cstheme="minorHAnsi"/>
                <w:b/>
                <w:i/>
                <w:iCs/>
              </w:rPr>
              <w:t>2.3.</w:t>
            </w:r>
            <w:r w:rsidR="00EF0A82" w:rsidRPr="00675182">
              <w:rPr>
                <w:rFonts w:cstheme="minorHAnsi"/>
                <w:b/>
                <w:i/>
                <w:iCs/>
              </w:rPr>
              <w:t>21</w:t>
            </w:r>
            <w:r w:rsidRPr="00675182">
              <w:rPr>
                <w:rFonts w:cstheme="minorHAnsi"/>
                <w:b/>
                <w:i/>
                <w:iCs/>
              </w:rPr>
              <w:t>. attēls.</w:t>
            </w:r>
            <w:r w:rsidRPr="00675182">
              <w:rPr>
                <w:rFonts w:cstheme="minorHAnsi"/>
                <w:b/>
                <w:i/>
                <w:iCs/>
                <w:szCs w:val="24"/>
              </w:rPr>
              <w:t xml:space="preserve"> </w:t>
            </w:r>
            <w:r w:rsidR="00A10DE2" w:rsidRPr="00675182">
              <w:rPr>
                <w:rFonts w:cstheme="minorHAnsi"/>
                <w:b/>
                <w:i/>
                <w:iCs/>
                <w:szCs w:val="24"/>
              </w:rPr>
              <w:t>Strīķupe augštecē, 2007. g. (foto: A. Skuja)</w:t>
            </w:r>
          </w:p>
        </w:tc>
      </w:tr>
    </w:tbl>
    <w:p w14:paraId="41B2ABDC" w14:textId="77777777" w:rsidR="00800DF2" w:rsidRPr="00675182" w:rsidRDefault="00800DF2" w:rsidP="002B3341">
      <w:pPr>
        <w:jc w:val="both"/>
        <w:rPr>
          <w:rFonts w:cstheme="minorHAnsi"/>
          <w:b/>
          <w:szCs w:val="24"/>
        </w:rPr>
      </w:pPr>
    </w:p>
    <w:p w14:paraId="71AE3D50" w14:textId="1A072E82" w:rsidR="00E3521C" w:rsidRPr="00675182" w:rsidRDefault="00E3521C" w:rsidP="002B3341">
      <w:pPr>
        <w:jc w:val="both"/>
        <w:rPr>
          <w:rFonts w:cstheme="minorHAnsi"/>
          <w:b/>
          <w:szCs w:val="24"/>
        </w:rPr>
      </w:pPr>
      <w:r w:rsidRPr="00675182">
        <w:rPr>
          <w:rFonts w:cstheme="minorHAnsi"/>
          <w:b/>
        </w:rPr>
        <w:t>Dabas aizsardzības vērtība</w:t>
      </w:r>
    </w:p>
    <w:p w14:paraId="1D2063D9" w14:textId="7B20A337" w:rsidR="00E3521C" w:rsidRPr="00675182" w:rsidRDefault="00E3521C" w:rsidP="00E3521C">
      <w:pPr>
        <w:jc w:val="both"/>
        <w:rPr>
          <w:rFonts w:cstheme="minorHAnsi"/>
          <w:bCs/>
          <w:szCs w:val="24"/>
        </w:rPr>
      </w:pPr>
      <w:r w:rsidRPr="00675182">
        <w:rPr>
          <w:rFonts w:cstheme="minorHAnsi"/>
          <w:bCs/>
          <w:szCs w:val="24"/>
        </w:rPr>
        <w:t xml:space="preserve">Saldūdens biotopos GNP teritorijā ir daudzu retu un </w:t>
      </w:r>
      <w:r w:rsidR="00034C47">
        <w:rPr>
          <w:rFonts w:cstheme="minorHAnsi"/>
          <w:bCs/>
          <w:szCs w:val="24"/>
        </w:rPr>
        <w:t>ĪA</w:t>
      </w:r>
      <w:r w:rsidRPr="00675182">
        <w:rPr>
          <w:rFonts w:cstheme="minorHAnsi"/>
          <w:bCs/>
          <w:szCs w:val="24"/>
        </w:rPr>
        <w:t xml:space="preserve"> vaskulāro augu, sporaugu, sūnu, bezmugurkaulnieku un zīdītājdzīvnieku atradnes. </w:t>
      </w:r>
    </w:p>
    <w:p w14:paraId="0E42F92D" w14:textId="77777777" w:rsidR="00E3521C" w:rsidRPr="00675182" w:rsidRDefault="00E3521C" w:rsidP="00E3521C">
      <w:pPr>
        <w:jc w:val="both"/>
        <w:rPr>
          <w:rFonts w:cstheme="minorHAnsi"/>
          <w:bCs/>
          <w:szCs w:val="24"/>
        </w:rPr>
      </w:pPr>
    </w:p>
    <w:p w14:paraId="7EA33633" w14:textId="118E007B" w:rsidR="00E3521C" w:rsidRPr="00675182" w:rsidRDefault="00E3521C" w:rsidP="00E3521C">
      <w:pPr>
        <w:jc w:val="both"/>
        <w:rPr>
          <w:rFonts w:cstheme="minorHAnsi"/>
          <w:bCs/>
          <w:szCs w:val="24"/>
        </w:rPr>
      </w:pPr>
      <w:r w:rsidRPr="00675182">
        <w:rPr>
          <w:rFonts w:cstheme="minorHAnsi"/>
          <w:bCs/>
          <w:szCs w:val="24"/>
        </w:rPr>
        <w:t xml:space="preserve">GNP ezeros konstatētas nozīmīgas reto un aizsargājamo sugu, kas iekļautas </w:t>
      </w:r>
      <w:r w:rsidR="002C01EF" w:rsidRPr="00675182">
        <w:rPr>
          <w:rFonts w:cstheme="minorHAnsi"/>
        </w:rPr>
        <w:t>MK 2000. gada 14. novembra noteikumos Nr. 396</w:t>
      </w:r>
      <w:r w:rsidRPr="00675182">
        <w:rPr>
          <w:rFonts w:cstheme="minorHAnsi"/>
          <w:bCs/>
          <w:szCs w:val="24"/>
        </w:rPr>
        <w:t xml:space="preserve"> „Noteikumi par īpaši aizsargājamo sugu un ierobežoti izmantojamo īpaši aizsargājamo sugu sarakstu”, atradnes: Dortmaņa lobēlija </w:t>
      </w:r>
      <w:r w:rsidRPr="00675182">
        <w:rPr>
          <w:rFonts w:cstheme="minorHAnsi"/>
          <w:bCs/>
          <w:i/>
          <w:iCs/>
          <w:szCs w:val="24"/>
        </w:rPr>
        <w:t>Lobelia dortmanna</w:t>
      </w:r>
      <w:r w:rsidRPr="00675182">
        <w:rPr>
          <w:rFonts w:cstheme="minorHAnsi"/>
          <w:bCs/>
          <w:szCs w:val="24"/>
        </w:rPr>
        <w:t xml:space="preserve"> L., gludsporu ezerene </w:t>
      </w:r>
      <w:r w:rsidRPr="00675182">
        <w:rPr>
          <w:rFonts w:cstheme="minorHAnsi"/>
          <w:bCs/>
          <w:i/>
          <w:iCs/>
          <w:szCs w:val="24"/>
        </w:rPr>
        <w:t>Isoёtes lacustris</w:t>
      </w:r>
      <w:r w:rsidRPr="00675182">
        <w:rPr>
          <w:rFonts w:cstheme="minorHAnsi"/>
          <w:bCs/>
          <w:szCs w:val="24"/>
        </w:rPr>
        <w:t xml:space="preserve"> L., vienzieda krastene </w:t>
      </w:r>
      <w:r w:rsidRPr="00675182">
        <w:rPr>
          <w:rFonts w:cstheme="minorHAnsi"/>
          <w:bCs/>
          <w:i/>
          <w:iCs/>
          <w:szCs w:val="24"/>
        </w:rPr>
        <w:t>Littorella uniflora</w:t>
      </w:r>
      <w:r w:rsidRPr="00675182">
        <w:rPr>
          <w:rFonts w:cstheme="minorHAnsi"/>
          <w:bCs/>
          <w:szCs w:val="24"/>
        </w:rPr>
        <w:t xml:space="preserve"> (L.) Asch., zālainā ežgalvīte </w:t>
      </w:r>
      <w:r w:rsidRPr="00675182">
        <w:rPr>
          <w:rFonts w:cstheme="minorHAnsi"/>
          <w:bCs/>
          <w:i/>
          <w:iCs/>
          <w:szCs w:val="24"/>
        </w:rPr>
        <w:t>Sparganium gramineum</w:t>
      </w:r>
      <w:r w:rsidRPr="00675182">
        <w:rPr>
          <w:rFonts w:cstheme="minorHAnsi"/>
          <w:bCs/>
          <w:szCs w:val="24"/>
        </w:rPr>
        <w:t xml:space="preserve"> Georgi, kā arī Sarkanās grāmatas suga - sīkā lēpe </w:t>
      </w:r>
      <w:r w:rsidRPr="00675182">
        <w:rPr>
          <w:rFonts w:cstheme="minorHAnsi"/>
          <w:bCs/>
          <w:i/>
          <w:iCs/>
          <w:szCs w:val="24"/>
        </w:rPr>
        <w:t>Nuphar pumila</w:t>
      </w:r>
      <w:r w:rsidRPr="00675182">
        <w:rPr>
          <w:rFonts w:cstheme="minorHAnsi"/>
          <w:bCs/>
          <w:szCs w:val="24"/>
        </w:rPr>
        <w:t xml:space="preserve"> (Timm) DC. (iekļauta 3.</w:t>
      </w:r>
      <w:r w:rsidR="002C01EF" w:rsidRPr="00675182">
        <w:rPr>
          <w:rFonts w:cstheme="minorHAnsi"/>
          <w:bCs/>
          <w:szCs w:val="24"/>
        </w:rPr>
        <w:t xml:space="preserve"> </w:t>
      </w:r>
      <w:r w:rsidRPr="00675182">
        <w:rPr>
          <w:rFonts w:cstheme="minorHAnsi"/>
          <w:bCs/>
          <w:szCs w:val="24"/>
        </w:rPr>
        <w:t xml:space="preserve">kategorijā). </w:t>
      </w:r>
    </w:p>
    <w:p w14:paraId="56632F79" w14:textId="77777777" w:rsidR="00E3521C" w:rsidRPr="00675182" w:rsidRDefault="00E3521C" w:rsidP="00E3521C">
      <w:pPr>
        <w:jc w:val="both"/>
        <w:rPr>
          <w:rFonts w:cstheme="minorHAnsi"/>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1"/>
      </w:tblGrid>
      <w:tr w:rsidR="00E3521C" w:rsidRPr="00675182" w14:paraId="6350F0EC" w14:textId="77777777" w:rsidTr="002C01EF">
        <w:tc>
          <w:tcPr>
            <w:tcW w:w="4150" w:type="dxa"/>
          </w:tcPr>
          <w:p w14:paraId="362112FE" w14:textId="77777777" w:rsidR="00E3521C" w:rsidRPr="00675182" w:rsidRDefault="00E3521C" w:rsidP="002C01EF">
            <w:pPr>
              <w:jc w:val="center"/>
              <w:rPr>
                <w:rFonts w:cstheme="minorHAnsi"/>
                <w:szCs w:val="24"/>
              </w:rPr>
            </w:pPr>
            <w:bookmarkStart w:id="54" w:name="_Hlk53681034"/>
            <w:r w:rsidRPr="00675182">
              <w:rPr>
                <w:rFonts w:cstheme="minorHAnsi"/>
                <w:noProof/>
              </w:rPr>
              <w:drawing>
                <wp:inline distT="0" distB="0" distL="0" distR="0" wp14:anchorId="7D9942F7" wp14:editId="7BAAEBA6">
                  <wp:extent cx="2501999" cy="1876425"/>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511867" cy="1883826"/>
                          </a:xfrm>
                          <a:prstGeom prst="rect">
                            <a:avLst/>
                          </a:prstGeom>
                          <a:noFill/>
                          <a:ln>
                            <a:noFill/>
                          </a:ln>
                        </pic:spPr>
                      </pic:pic>
                    </a:graphicData>
                  </a:graphic>
                </wp:inline>
              </w:drawing>
            </w:r>
          </w:p>
        </w:tc>
        <w:tc>
          <w:tcPr>
            <w:tcW w:w="4151" w:type="dxa"/>
          </w:tcPr>
          <w:p w14:paraId="2DE2728A" w14:textId="77777777" w:rsidR="00E3521C" w:rsidRPr="00675182" w:rsidRDefault="00E3521C" w:rsidP="002C01EF">
            <w:pPr>
              <w:jc w:val="center"/>
              <w:rPr>
                <w:rFonts w:cstheme="minorHAnsi"/>
                <w:szCs w:val="24"/>
              </w:rPr>
            </w:pPr>
            <w:r w:rsidRPr="00675182">
              <w:rPr>
                <w:rFonts w:cstheme="minorHAnsi"/>
                <w:noProof/>
              </w:rPr>
              <w:drawing>
                <wp:inline distT="0" distB="0" distL="0" distR="0" wp14:anchorId="671F2B20" wp14:editId="31C65327">
                  <wp:extent cx="2489301" cy="1866900"/>
                  <wp:effectExtent l="0" t="0" r="635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495400" cy="1871474"/>
                          </a:xfrm>
                          <a:prstGeom prst="rect">
                            <a:avLst/>
                          </a:prstGeom>
                          <a:noFill/>
                          <a:ln>
                            <a:noFill/>
                          </a:ln>
                        </pic:spPr>
                      </pic:pic>
                    </a:graphicData>
                  </a:graphic>
                </wp:inline>
              </w:drawing>
            </w:r>
          </w:p>
        </w:tc>
      </w:tr>
      <w:tr w:rsidR="00E3521C" w:rsidRPr="00675182" w14:paraId="71DB1A9F" w14:textId="77777777" w:rsidTr="002C01EF">
        <w:tc>
          <w:tcPr>
            <w:tcW w:w="4150" w:type="dxa"/>
          </w:tcPr>
          <w:p w14:paraId="333770F1" w14:textId="4025E316" w:rsidR="00E3521C" w:rsidRPr="00675182" w:rsidRDefault="00E3521C" w:rsidP="000B6E93">
            <w:pPr>
              <w:rPr>
                <w:rFonts w:cstheme="minorHAnsi"/>
                <w:b/>
                <w:i/>
                <w:iCs/>
                <w:szCs w:val="24"/>
              </w:rPr>
            </w:pPr>
            <w:r w:rsidRPr="00675182">
              <w:rPr>
                <w:rFonts w:cstheme="minorHAnsi"/>
                <w:b/>
                <w:i/>
                <w:iCs/>
              </w:rPr>
              <w:t>2.3.</w:t>
            </w:r>
            <w:r w:rsidR="00EF0A82" w:rsidRPr="00675182">
              <w:rPr>
                <w:rFonts w:cstheme="minorHAnsi"/>
                <w:b/>
                <w:i/>
                <w:iCs/>
              </w:rPr>
              <w:t>22</w:t>
            </w:r>
            <w:r w:rsidRPr="00675182">
              <w:rPr>
                <w:rFonts w:cstheme="minorHAnsi"/>
                <w:b/>
                <w:i/>
                <w:iCs/>
              </w:rPr>
              <w:t>. attēls.</w:t>
            </w:r>
            <w:r w:rsidRPr="00675182">
              <w:rPr>
                <w:rFonts w:cstheme="minorHAnsi"/>
                <w:b/>
                <w:i/>
                <w:iCs/>
                <w:szCs w:val="24"/>
              </w:rPr>
              <w:t xml:space="preserve"> Dortma</w:t>
            </w:r>
            <w:r w:rsidR="00616FE4" w:rsidRPr="00675182">
              <w:rPr>
                <w:rFonts w:cstheme="minorHAnsi"/>
                <w:b/>
                <w:i/>
                <w:iCs/>
                <w:szCs w:val="24"/>
              </w:rPr>
              <w:t>ņ</w:t>
            </w:r>
            <w:r w:rsidRPr="00675182">
              <w:rPr>
                <w:rFonts w:cstheme="minorHAnsi"/>
                <w:b/>
                <w:i/>
                <w:iCs/>
                <w:szCs w:val="24"/>
              </w:rPr>
              <w:t>a lobēlijas Niniera piekrastē, 2017. g. (foto: L. Grīnberga)</w:t>
            </w:r>
          </w:p>
        </w:tc>
        <w:tc>
          <w:tcPr>
            <w:tcW w:w="4151" w:type="dxa"/>
          </w:tcPr>
          <w:p w14:paraId="70F493E8" w14:textId="5BDCFA45" w:rsidR="00E3521C" w:rsidRPr="00675182" w:rsidRDefault="00E3521C" w:rsidP="000B6E93">
            <w:pPr>
              <w:rPr>
                <w:rFonts w:cstheme="minorHAnsi"/>
                <w:b/>
                <w:i/>
                <w:iCs/>
                <w:szCs w:val="24"/>
              </w:rPr>
            </w:pPr>
            <w:r w:rsidRPr="00675182">
              <w:rPr>
                <w:rFonts w:cstheme="minorHAnsi"/>
                <w:b/>
                <w:i/>
                <w:iCs/>
              </w:rPr>
              <w:t>2.3.</w:t>
            </w:r>
            <w:r w:rsidR="00EF0A82" w:rsidRPr="00675182">
              <w:rPr>
                <w:rFonts w:cstheme="minorHAnsi"/>
                <w:b/>
                <w:i/>
                <w:iCs/>
              </w:rPr>
              <w:t>23</w:t>
            </w:r>
            <w:r w:rsidRPr="00675182">
              <w:rPr>
                <w:rFonts w:cstheme="minorHAnsi"/>
                <w:b/>
                <w:i/>
                <w:iCs/>
              </w:rPr>
              <w:t>. attēls.</w:t>
            </w:r>
            <w:r w:rsidRPr="00675182">
              <w:rPr>
                <w:rFonts w:cstheme="minorHAnsi"/>
                <w:b/>
                <w:i/>
                <w:iCs/>
                <w:szCs w:val="24"/>
              </w:rPr>
              <w:t xml:space="preserve"> Gludsporu ezerenes Ungura ezerā, 20</w:t>
            </w:r>
            <w:r w:rsidR="003178F9" w:rsidRPr="00675182">
              <w:rPr>
                <w:rFonts w:cstheme="minorHAnsi"/>
                <w:b/>
                <w:i/>
                <w:iCs/>
                <w:szCs w:val="24"/>
              </w:rPr>
              <w:t>20</w:t>
            </w:r>
            <w:r w:rsidRPr="00675182">
              <w:rPr>
                <w:rFonts w:cstheme="minorHAnsi"/>
                <w:b/>
                <w:i/>
                <w:iCs/>
                <w:szCs w:val="24"/>
              </w:rPr>
              <w:t>. g. (foto: L. Grīnberga)</w:t>
            </w:r>
          </w:p>
        </w:tc>
      </w:tr>
      <w:bookmarkEnd w:id="54"/>
    </w:tbl>
    <w:p w14:paraId="39CA8864" w14:textId="29DF2AD6" w:rsidR="00E3521C" w:rsidRPr="00675182" w:rsidRDefault="00E3521C" w:rsidP="002B3341">
      <w:pPr>
        <w:jc w:val="both"/>
        <w:rPr>
          <w:rFonts w:cstheme="minorHAnsi"/>
          <w:b/>
          <w:szCs w:val="24"/>
        </w:rPr>
      </w:pPr>
    </w:p>
    <w:p w14:paraId="4AF4CDF0" w14:textId="447319AD" w:rsidR="000602D0" w:rsidRPr="00675182" w:rsidRDefault="00EE728B" w:rsidP="000B6E93">
      <w:pPr>
        <w:keepNext/>
        <w:keepLines/>
        <w:jc w:val="both"/>
        <w:rPr>
          <w:rFonts w:cstheme="minorHAnsi"/>
          <w:b/>
          <w:szCs w:val="24"/>
        </w:rPr>
      </w:pPr>
      <w:r w:rsidRPr="00675182">
        <w:rPr>
          <w:rFonts w:cstheme="minorHAnsi"/>
          <w:b/>
          <w:szCs w:val="24"/>
        </w:rPr>
        <w:lastRenderedPageBreak/>
        <w:t xml:space="preserve">Sociālekonomiskā vērtība </w:t>
      </w:r>
    </w:p>
    <w:p w14:paraId="2E46FBF4" w14:textId="2E22764F" w:rsidR="00E34CFF" w:rsidRPr="00675182" w:rsidRDefault="00E34CFF" w:rsidP="00E34CFF">
      <w:pPr>
        <w:keepNext/>
        <w:keepLines/>
        <w:jc w:val="both"/>
        <w:rPr>
          <w:rFonts w:cstheme="minorHAnsi"/>
          <w:szCs w:val="24"/>
        </w:rPr>
      </w:pPr>
      <w:r w:rsidRPr="00675182">
        <w:rPr>
          <w:rFonts w:cstheme="minorHAnsi"/>
          <w:szCs w:val="24"/>
        </w:rPr>
        <w:t>Saldūdens biotopi veido unikālas ekosistēmas, kas nodrošina dzīves vidi un barošanās vietas daudzām bezmugurkaulnieku, zivju, abinieku, putnu un zīdītāju sugām. Nozīmīga ir saldūdens biotopu rekreatīvā funkcija, piemēram, laivošana, makšķerēšana.</w:t>
      </w:r>
      <w:r w:rsidRPr="00675182">
        <w:rPr>
          <w:rFonts w:cstheme="minorHAnsi"/>
        </w:rPr>
        <w:t xml:space="preserve"> </w:t>
      </w:r>
      <w:r w:rsidRPr="00675182">
        <w:rPr>
          <w:rFonts w:cstheme="minorHAnsi"/>
          <w:szCs w:val="24"/>
        </w:rPr>
        <w:t xml:space="preserve">Arī ūdenstecēm un to posmiem, kuri neatbilst </w:t>
      </w:r>
      <w:r w:rsidR="00034C47">
        <w:rPr>
          <w:rFonts w:cstheme="minorHAnsi"/>
          <w:szCs w:val="24"/>
        </w:rPr>
        <w:t>ĪA</w:t>
      </w:r>
      <w:r w:rsidRPr="00675182">
        <w:rPr>
          <w:rFonts w:cstheme="minorHAnsi"/>
          <w:szCs w:val="24"/>
        </w:rPr>
        <w:t xml:space="preserve"> biotopam, ir nozīmīga loma saldūdens ekosistēmu sugu daudzveidības un hidroloģiskā režīma uzturēšanā. Tās nodrošina dzīvotnes dažādām dzīvnieku sugām, kā arī kalpo tām kā migrācijas koridori.</w:t>
      </w:r>
      <w:r w:rsidRPr="00675182">
        <w:rPr>
          <w:rFonts w:cstheme="minorHAnsi"/>
        </w:rPr>
        <w:t xml:space="preserve"> </w:t>
      </w:r>
      <w:r w:rsidRPr="00675182">
        <w:rPr>
          <w:rFonts w:cstheme="minorHAnsi"/>
          <w:szCs w:val="24"/>
        </w:rPr>
        <w:t>GNP ezeros ir Latvijā reto ūdensaugu Dortmana lobēlijas, gludsporu ezerenes, vienzieda krastenes un zālainās ežgalvītes atradnes. Būtiski ir saglabāt labu ekoloģiski stāvokli ezeros gan no dabas aizsardzības, gan no ainaviskā viedokļa.</w:t>
      </w:r>
    </w:p>
    <w:p w14:paraId="5E3F1C0C" w14:textId="77777777" w:rsidR="00E3521C" w:rsidRPr="00675182" w:rsidRDefault="00E3521C" w:rsidP="00E3521C">
      <w:pPr>
        <w:jc w:val="both"/>
        <w:rPr>
          <w:rFonts w:cstheme="minorHAnsi"/>
          <w:szCs w:val="24"/>
        </w:rPr>
      </w:pPr>
    </w:p>
    <w:p w14:paraId="196246A0" w14:textId="77777777" w:rsidR="00EE728B" w:rsidRPr="00675182" w:rsidRDefault="00EE728B" w:rsidP="002B3341">
      <w:pPr>
        <w:jc w:val="both"/>
        <w:rPr>
          <w:rFonts w:cstheme="minorHAnsi"/>
          <w:b/>
          <w:szCs w:val="24"/>
        </w:rPr>
      </w:pPr>
      <w:r w:rsidRPr="00675182">
        <w:rPr>
          <w:rFonts w:cstheme="minorHAnsi"/>
          <w:b/>
          <w:szCs w:val="24"/>
        </w:rPr>
        <w:t>Ietekmējošie faktori</w:t>
      </w:r>
    </w:p>
    <w:p w14:paraId="608A0BC7" w14:textId="77777777" w:rsidR="00E3521C" w:rsidRPr="00675182" w:rsidRDefault="00E3521C" w:rsidP="00E3521C">
      <w:pPr>
        <w:jc w:val="both"/>
        <w:rPr>
          <w:rFonts w:cstheme="minorHAnsi"/>
          <w:bCs/>
          <w:szCs w:val="24"/>
        </w:rPr>
      </w:pPr>
      <w:bookmarkStart w:id="55" w:name="_Hlk97902364"/>
      <w:r w:rsidRPr="00675182">
        <w:rPr>
          <w:rFonts w:cstheme="minorHAnsi"/>
          <w:bCs/>
          <w:szCs w:val="24"/>
        </w:rPr>
        <w:t xml:space="preserve">Saldūdeņu biotopu aizsardzībā būtiskākais ir saglabāt dabisko hidroloģisko režīmu, kā arī sekot līdzi zemes lietojuma veida un biogēnu slodzes izmaiņām sateces baseinā. Būtiskāko negatīvo ietekmi uz saldūdens biotopiem GNP ir atstājusi ilgstoša ūdenstilpju piesārņošana ar sadzīves un rūpnieciskajiem notekūdeņiem, kā arī hidromorfoloģiskā pārveidošana un dabiskā hidroloģiskā režīma ietekmēšana. </w:t>
      </w:r>
    </w:p>
    <w:bookmarkEnd w:id="55"/>
    <w:p w14:paraId="3C53D53D" w14:textId="77777777" w:rsidR="00E3521C" w:rsidRPr="00675182" w:rsidRDefault="00E3521C" w:rsidP="00E3521C">
      <w:pPr>
        <w:jc w:val="both"/>
        <w:rPr>
          <w:rFonts w:cstheme="minorHAnsi"/>
          <w:bCs/>
          <w:i/>
          <w:i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34"/>
      </w:tblGrid>
      <w:tr w:rsidR="00E3521C" w:rsidRPr="00675182" w14:paraId="6EAD6AFC" w14:textId="77777777" w:rsidTr="002C01EF">
        <w:tc>
          <w:tcPr>
            <w:tcW w:w="4150" w:type="dxa"/>
          </w:tcPr>
          <w:p w14:paraId="77284DD6" w14:textId="77777777" w:rsidR="00E3521C" w:rsidRPr="00675182" w:rsidRDefault="00E3521C" w:rsidP="002C01EF">
            <w:pPr>
              <w:jc w:val="center"/>
              <w:rPr>
                <w:rFonts w:cstheme="minorHAnsi"/>
                <w:szCs w:val="24"/>
              </w:rPr>
            </w:pPr>
            <w:r w:rsidRPr="00675182">
              <w:rPr>
                <w:rFonts w:cstheme="minorHAnsi"/>
                <w:noProof/>
              </w:rPr>
              <w:drawing>
                <wp:inline distT="0" distB="0" distL="0" distR="0" wp14:anchorId="0DAB6DC3" wp14:editId="049E8F5C">
                  <wp:extent cx="2581275" cy="1935879"/>
                  <wp:effectExtent l="0" t="0" r="0" b="762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585801" cy="1939274"/>
                          </a:xfrm>
                          <a:prstGeom prst="rect">
                            <a:avLst/>
                          </a:prstGeom>
                          <a:noFill/>
                          <a:ln>
                            <a:noFill/>
                          </a:ln>
                        </pic:spPr>
                      </pic:pic>
                    </a:graphicData>
                  </a:graphic>
                </wp:inline>
              </w:drawing>
            </w:r>
          </w:p>
        </w:tc>
        <w:tc>
          <w:tcPr>
            <w:tcW w:w="4151" w:type="dxa"/>
          </w:tcPr>
          <w:p w14:paraId="603F1249" w14:textId="77777777" w:rsidR="00E3521C" w:rsidRPr="00675182" w:rsidRDefault="00E3521C" w:rsidP="002C01EF">
            <w:pPr>
              <w:jc w:val="center"/>
              <w:rPr>
                <w:rFonts w:cstheme="minorHAnsi"/>
                <w:szCs w:val="24"/>
              </w:rPr>
            </w:pPr>
            <w:r w:rsidRPr="00675182">
              <w:rPr>
                <w:rFonts w:cstheme="minorHAnsi"/>
                <w:noProof/>
              </w:rPr>
              <w:drawing>
                <wp:inline distT="0" distB="0" distL="0" distR="0" wp14:anchorId="51EE74C4" wp14:editId="440273D2">
                  <wp:extent cx="2552700" cy="1914448"/>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555626" cy="1916643"/>
                          </a:xfrm>
                          <a:prstGeom prst="rect">
                            <a:avLst/>
                          </a:prstGeom>
                          <a:noFill/>
                          <a:ln>
                            <a:noFill/>
                          </a:ln>
                        </pic:spPr>
                      </pic:pic>
                    </a:graphicData>
                  </a:graphic>
                </wp:inline>
              </w:drawing>
            </w:r>
          </w:p>
        </w:tc>
      </w:tr>
      <w:tr w:rsidR="00E3521C" w:rsidRPr="00675182" w14:paraId="25525EA2" w14:textId="77777777" w:rsidTr="002C01EF">
        <w:tc>
          <w:tcPr>
            <w:tcW w:w="4150" w:type="dxa"/>
          </w:tcPr>
          <w:p w14:paraId="0DEE380A" w14:textId="5C9B0969" w:rsidR="00E3521C" w:rsidRPr="00675182" w:rsidRDefault="000B6E93" w:rsidP="000B6E93">
            <w:pPr>
              <w:rPr>
                <w:rFonts w:cstheme="minorHAnsi"/>
                <w:b/>
                <w:bCs/>
                <w:i/>
                <w:iCs/>
                <w:szCs w:val="24"/>
              </w:rPr>
            </w:pPr>
            <w:r w:rsidRPr="00675182">
              <w:rPr>
                <w:rFonts w:cstheme="minorHAnsi"/>
                <w:b/>
                <w:i/>
                <w:iCs/>
              </w:rPr>
              <w:t>2.3.</w:t>
            </w:r>
            <w:r w:rsidR="00135B31" w:rsidRPr="00675182">
              <w:rPr>
                <w:rFonts w:cstheme="minorHAnsi"/>
                <w:b/>
                <w:i/>
                <w:iCs/>
              </w:rPr>
              <w:t>2</w:t>
            </w:r>
            <w:r w:rsidR="00EF0A82" w:rsidRPr="00675182">
              <w:rPr>
                <w:rFonts w:cstheme="minorHAnsi"/>
                <w:b/>
                <w:i/>
                <w:iCs/>
              </w:rPr>
              <w:t>4</w:t>
            </w:r>
            <w:r w:rsidRPr="00675182">
              <w:rPr>
                <w:rFonts w:cstheme="minorHAnsi"/>
                <w:b/>
                <w:i/>
                <w:iCs/>
              </w:rPr>
              <w:t>. attēls.</w:t>
            </w:r>
            <w:r w:rsidRPr="00675182">
              <w:rPr>
                <w:rFonts w:cstheme="minorHAnsi"/>
                <w:b/>
                <w:i/>
                <w:iCs/>
                <w:szCs w:val="24"/>
              </w:rPr>
              <w:t xml:space="preserve"> </w:t>
            </w:r>
            <w:r w:rsidR="00E3521C" w:rsidRPr="00675182">
              <w:rPr>
                <w:rFonts w:cstheme="minorHAnsi"/>
                <w:b/>
                <w:bCs/>
                <w:i/>
                <w:iCs/>
                <w:szCs w:val="24"/>
              </w:rPr>
              <w:t>Ar notekūdeņiem piesārņota vecupe pie Jāņmuižas NAI, 20</w:t>
            </w:r>
            <w:r w:rsidR="003178F9" w:rsidRPr="00675182">
              <w:rPr>
                <w:rFonts w:cstheme="minorHAnsi"/>
                <w:b/>
                <w:bCs/>
                <w:i/>
                <w:iCs/>
                <w:szCs w:val="24"/>
              </w:rPr>
              <w:t>20</w:t>
            </w:r>
            <w:r w:rsidR="00E3521C" w:rsidRPr="00675182">
              <w:rPr>
                <w:rFonts w:cstheme="minorHAnsi"/>
                <w:b/>
                <w:bCs/>
                <w:i/>
                <w:iCs/>
                <w:szCs w:val="24"/>
              </w:rPr>
              <w:t>. g. (foto: L. Grīnberga)</w:t>
            </w:r>
          </w:p>
        </w:tc>
        <w:tc>
          <w:tcPr>
            <w:tcW w:w="4151" w:type="dxa"/>
          </w:tcPr>
          <w:p w14:paraId="06E8A018" w14:textId="19533635" w:rsidR="00E3521C" w:rsidRPr="00675182" w:rsidRDefault="000B6E93" w:rsidP="000B6E93">
            <w:pPr>
              <w:rPr>
                <w:rFonts w:cstheme="minorHAnsi"/>
                <w:b/>
                <w:bCs/>
                <w:i/>
                <w:iCs/>
                <w:szCs w:val="24"/>
              </w:rPr>
            </w:pPr>
            <w:r w:rsidRPr="00675182">
              <w:rPr>
                <w:rFonts w:cstheme="minorHAnsi"/>
                <w:b/>
                <w:i/>
                <w:iCs/>
              </w:rPr>
              <w:t>2.3.</w:t>
            </w:r>
            <w:r w:rsidR="00135B31" w:rsidRPr="00675182">
              <w:rPr>
                <w:rFonts w:cstheme="minorHAnsi"/>
                <w:b/>
                <w:i/>
                <w:iCs/>
              </w:rPr>
              <w:t>2</w:t>
            </w:r>
            <w:r w:rsidR="00EF0A82" w:rsidRPr="00675182">
              <w:rPr>
                <w:rFonts w:cstheme="minorHAnsi"/>
                <w:b/>
                <w:i/>
                <w:iCs/>
              </w:rPr>
              <w:t>5</w:t>
            </w:r>
            <w:r w:rsidRPr="00675182">
              <w:rPr>
                <w:rFonts w:cstheme="minorHAnsi"/>
                <w:b/>
                <w:i/>
                <w:iCs/>
              </w:rPr>
              <w:t>. attēls.</w:t>
            </w:r>
            <w:r w:rsidRPr="00675182">
              <w:rPr>
                <w:rFonts w:cstheme="minorHAnsi"/>
                <w:b/>
                <w:i/>
                <w:iCs/>
                <w:szCs w:val="24"/>
              </w:rPr>
              <w:t xml:space="preserve"> </w:t>
            </w:r>
            <w:r w:rsidR="00E3521C" w:rsidRPr="00675182">
              <w:rPr>
                <w:rFonts w:cstheme="minorHAnsi"/>
                <w:b/>
                <w:bCs/>
                <w:i/>
                <w:iCs/>
                <w:szCs w:val="24"/>
              </w:rPr>
              <w:t>Krimuldas NAI attīrīto notekūdeņu izplūdes vieta, gravā biezs dūņu slānis, 20</w:t>
            </w:r>
            <w:r w:rsidR="003178F9" w:rsidRPr="00675182">
              <w:rPr>
                <w:rFonts w:cstheme="minorHAnsi"/>
                <w:b/>
                <w:bCs/>
                <w:i/>
                <w:iCs/>
                <w:szCs w:val="24"/>
              </w:rPr>
              <w:t>20</w:t>
            </w:r>
            <w:r w:rsidR="00E3521C" w:rsidRPr="00675182">
              <w:rPr>
                <w:rFonts w:cstheme="minorHAnsi"/>
                <w:b/>
                <w:bCs/>
                <w:i/>
                <w:iCs/>
                <w:szCs w:val="24"/>
              </w:rPr>
              <w:t>. g. (foto: L. Grīnberga)</w:t>
            </w:r>
          </w:p>
        </w:tc>
      </w:tr>
    </w:tbl>
    <w:p w14:paraId="6405433E" w14:textId="77777777" w:rsidR="00E3521C" w:rsidRPr="00675182" w:rsidRDefault="00E3521C" w:rsidP="00E3521C">
      <w:pPr>
        <w:jc w:val="both"/>
        <w:rPr>
          <w:rFonts w:cstheme="minorHAnsi"/>
          <w:szCs w:val="24"/>
        </w:rPr>
      </w:pPr>
    </w:p>
    <w:p w14:paraId="38F18BEC" w14:textId="77777777" w:rsidR="00E3521C" w:rsidRPr="00675182" w:rsidRDefault="00E3521C" w:rsidP="00E3521C">
      <w:pPr>
        <w:jc w:val="both"/>
        <w:rPr>
          <w:rFonts w:cstheme="minorHAnsi"/>
          <w:i/>
          <w:iCs/>
          <w:szCs w:val="24"/>
          <w:u w:val="single"/>
        </w:rPr>
      </w:pPr>
      <w:r w:rsidRPr="00675182">
        <w:rPr>
          <w:rFonts w:cstheme="minorHAnsi"/>
          <w:i/>
          <w:iCs/>
          <w:szCs w:val="24"/>
          <w:u w:val="single"/>
        </w:rPr>
        <w:t>Eitrofikācija</w:t>
      </w:r>
    </w:p>
    <w:p w14:paraId="2591B3E1" w14:textId="216726A9" w:rsidR="00E3521C" w:rsidRPr="00675182" w:rsidRDefault="00E3521C" w:rsidP="00E3521C">
      <w:pPr>
        <w:jc w:val="both"/>
        <w:rPr>
          <w:rFonts w:cstheme="minorHAnsi"/>
          <w:szCs w:val="24"/>
        </w:rPr>
      </w:pPr>
      <w:bookmarkStart w:id="56" w:name="_Hlk97903429"/>
      <w:r w:rsidRPr="00675182">
        <w:rPr>
          <w:rFonts w:cstheme="minorHAnsi"/>
          <w:szCs w:val="24"/>
        </w:rPr>
        <w:t xml:space="preserve">Eitrofikācija ir ūdens bagātināšanās ar viegli noārdāmām barības vielām, galvenokārt fosfora un slāpekļa savienojumiem, kas izraisa pastiprinātu ūdensaugu un aļģu attīstību. Barības vielu ieplūdi ūdeņos rada </w:t>
      </w:r>
      <w:r w:rsidR="00E34CFF" w:rsidRPr="00675182">
        <w:rPr>
          <w:rFonts w:cstheme="minorHAnsi"/>
          <w:szCs w:val="24"/>
        </w:rPr>
        <w:t xml:space="preserve">notekūdeņu </w:t>
      </w:r>
      <w:r w:rsidRPr="00675182">
        <w:rPr>
          <w:rFonts w:cstheme="minorHAnsi"/>
          <w:szCs w:val="24"/>
        </w:rPr>
        <w:t xml:space="preserve">ieplūdes no apdzīvotām vietām, privātmājām, fermām un </w:t>
      </w:r>
      <w:r w:rsidR="00E34CFF" w:rsidRPr="00675182">
        <w:rPr>
          <w:rFonts w:cstheme="minorHAnsi"/>
          <w:szCs w:val="24"/>
        </w:rPr>
        <w:t>ražotņu</w:t>
      </w:r>
      <w:r w:rsidRPr="00675182">
        <w:rPr>
          <w:rFonts w:cstheme="minorHAnsi"/>
          <w:szCs w:val="24"/>
        </w:rPr>
        <w:t xml:space="preserve"> teritorijām, kā arī noplūdes no lauksaimniecības zemēm.</w:t>
      </w:r>
      <w:r w:rsidRPr="00675182">
        <w:rPr>
          <w:rFonts w:cstheme="minorHAnsi"/>
        </w:rPr>
        <w:t xml:space="preserve"> </w:t>
      </w:r>
      <w:r w:rsidRPr="00675182">
        <w:rPr>
          <w:rFonts w:cstheme="minorHAnsi"/>
          <w:szCs w:val="24"/>
        </w:rPr>
        <w:t>Viena no metodēm, kā notiek notekūdeņu apstrāde, ir to iesūcināšana gruntī. Atkarībā no augsnes sastāva, šī metode var ietekmēt gruntsūdeņu kvalitāti un ezeru kvalitāti.</w:t>
      </w:r>
    </w:p>
    <w:p w14:paraId="5709F2DC" w14:textId="77777777" w:rsidR="000B6E93" w:rsidRPr="00675182" w:rsidRDefault="000B6E93" w:rsidP="00E3521C">
      <w:pPr>
        <w:jc w:val="both"/>
        <w:rPr>
          <w:rFonts w:cstheme="minorHAnsi"/>
          <w:szCs w:val="24"/>
        </w:rPr>
      </w:pPr>
    </w:p>
    <w:p w14:paraId="61AE7BBA" w14:textId="2108C746" w:rsidR="00E3521C" w:rsidRPr="00675182" w:rsidRDefault="00E3521C" w:rsidP="00E3521C">
      <w:pPr>
        <w:jc w:val="both"/>
        <w:rPr>
          <w:rFonts w:cstheme="minorHAnsi"/>
          <w:szCs w:val="24"/>
        </w:rPr>
      </w:pPr>
      <w:r w:rsidRPr="00675182">
        <w:rPr>
          <w:rFonts w:cstheme="minorHAnsi"/>
          <w:szCs w:val="24"/>
        </w:rPr>
        <w:t xml:space="preserve">Liela daļa no GNP ezeriem ir tikuši ilgstoši piesārņoti. Mūsdienās piesārņojuma ieplūde ir novērsta, taču iekšējā piesārņojuma slodze ezeros var saglabāties augsta desmitiem, pat simtiem gadu. Strauja eitrofikācija, ko izraisījusi palielināta barības vielu slodze, </w:t>
      </w:r>
      <w:r w:rsidRPr="00675182">
        <w:rPr>
          <w:rFonts w:cstheme="minorHAnsi"/>
          <w:szCs w:val="24"/>
        </w:rPr>
        <w:lastRenderedPageBreak/>
        <w:t xml:space="preserve">kopš 20. gs. vidus konstatēta Auciema, Āraišu, Driškina, Niniera, Raiskuma, Ungura, Vīņaudu, Vaidavas ezeros. </w:t>
      </w:r>
    </w:p>
    <w:bookmarkEnd w:id="56"/>
    <w:p w14:paraId="68D19D2C" w14:textId="77777777" w:rsidR="000B6E93" w:rsidRPr="00675182" w:rsidRDefault="000B6E93" w:rsidP="00E3521C">
      <w:pPr>
        <w:jc w:val="both"/>
        <w:rPr>
          <w:rFonts w:cstheme="minorHAnsi"/>
          <w:szCs w:val="24"/>
        </w:rPr>
      </w:pPr>
    </w:p>
    <w:p w14:paraId="41A61383" w14:textId="088594AB" w:rsidR="00E34CFF" w:rsidRPr="00675182" w:rsidRDefault="00E34CFF" w:rsidP="00E34CFF">
      <w:pPr>
        <w:jc w:val="both"/>
        <w:rPr>
          <w:rFonts w:cstheme="minorHAnsi"/>
          <w:szCs w:val="24"/>
        </w:rPr>
      </w:pPr>
      <w:r w:rsidRPr="00675182">
        <w:rPr>
          <w:rFonts w:cstheme="minorHAnsi"/>
          <w:szCs w:val="24"/>
        </w:rPr>
        <w:t xml:space="preserve">Āraišu ezerā strauja ezera ekoloģiskā stāvokļa pasliktināšanās uzsvērta jau 20.gs. 80.-tajos gados M. Leinertes brošūrā “Ezeri deg!”: “Kopš 1959. gada Āraišu ezerā novada fekālijas saturošus notekūdeņus. Pastāvīga, milzīga barības vielu pieplūduma, kā arī ūdens līmeņa pazemināšanas dēļ ezers lēcienveidīgi eitroficējies dažu gadu laikā. Vasaras stagnācijas periodā ezera dziļūdens daļā skābeklis ir tikai virsējā, 2 – 3 m biezajā slānī. Skābekļa pilnīgs trūkums un zivju slāpšana ziemas stagnācijas periodā jau vairākus gadus ir parasta parādība. Sakarā ar pastiprinātu nogulumu veidošanos ezera līči strauji aizaug”. 20. gs. sākumā Āraišu ezerā bija sastopamas blīvas gludsporu ezerenes </w:t>
      </w:r>
      <w:r w:rsidRPr="00675182">
        <w:rPr>
          <w:rFonts w:cstheme="minorHAnsi"/>
          <w:i/>
          <w:iCs/>
          <w:szCs w:val="24"/>
        </w:rPr>
        <w:t>Isoëtes lacustris</w:t>
      </w:r>
      <w:r w:rsidRPr="00675182">
        <w:rPr>
          <w:rFonts w:cstheme="minorHAnsi"/>
          <w:szCs w:val="24"/>
        </w:rPr>
        <w:t xml:space="preserve"> un pamīšziedu daudzlapes </w:t>
      </w:r>
      <w:r w:rsidRPr="00675182">
        <w:rPr>
          <w:rFonts w:cstheme="minorHAnsi"/>
          <w:i/>
          <w:iCs/>
          <w:szCs w:val="24"/>
        </w:rPr>
        <w:t>Myriophyllum alterniflorum</w:t>
      </w:r>
      <w:r w:rsidRPr="00675182">
        <w:rPr>
          <w:rFonts w:cstheme="minorHAnsi"/>
          <w:szCs w:val="24"/>
        </w:rPr>
        <w:t xml:space="preserve"> audzes (Miķelsone, 1987), kas aug tīros, barības vielām nabadzīgos ezeros. </w:t>
      </w:r>
    </w:p>
    <w:p w14:paraId="1B476128" w14:textId="77777777" w:rsidR="00E34CFF" w:rsidRPr="00675182" w:rsidRDefault="00E34CFF" w:rsidP="00E34CFF">
      <w:pPr>
        <w:jc w:val="both"/>
        <w:rPr>
          <w:rFonts w:cstheme="minorHAnsi"/>
          <w:szCs w:val="24"/>
        </w:rPr>
      </w:pPr>
    </w:p>
    <w:p w14:paraId="1C6709D5" w14:textId="77777777" w:rsidR="00E34CFF" w:rsidRPr="00675182" w:rsidRDefault="00E34CFF" w:rsidP="00E34CFF">
      <w:pPr>
        <w:jc w:val="both"/>
        <w:rPr>
          <w:rFonts w:cstheme="minorHAnsi"/>
          <w:szCs w:val="24"/>
        </w:rPr>
      </w:pPr>
      <w:r w:rsidRPr="00675182">
        <w:rPr>
          <w:rFonts w:cstheme="minorHAnsi"/>
          <w:szCs w:val="24"/>
        </w:rPr>
        <w:t>Pārlieku liela aizaugšana ar iegrimušo un brīvi peldošo augu sugām izraisa strauju sedimentu uzkrāšanos un ezera dziļuma samazināšanos (dūņu slānis var pieaugt apmēram 5 cm gadā), kas veicina virsūdens augu sugu izplatību ezera daļās, kur iepriekš ūdens bija pārāk dziļš to augšanai.</w:t>
      </w:r>
    </w:p>
    <w:p w14:paraId="37F1031A" w14:textId="77777777" w:rsidR="00E34CFF" w:rsidRPr="00675182" w:rsidRDefault="00E34CFF" w:rsidP="00E34CFF">
      <w:pPr>
        <w:jc w:val="both"/>
        <w:rPr>
          <w:rFonts w:cstheme="minorHAnsi"/>
          <w:szCs w:val="24"/>
        </w:rPr>
      </w:pPr>
    </w:p>
    <w:p w14:paraId="3410C44D" w14:textId="77777777" w:rsidR="00E34CFF" w:rsidRPr="00675182" w:rsidRDefault="00E34CFF" w:rsidP="00E34CFF">
      <w:pPr>
        <w:jc w:val="both"/>
        <w:rPr>
          <w:rFonts w:cstheme="minorHAnsi"/>
          <w:szCs w:val="24"/>
        </w:rPr>
      </w:pPr>
      <w:r w:rsidRPr="00675182">
        <w:rPr>
          <w:rFonts w:cstheme="minorHAnsi"/>
          <w:szCs w:val="24"/>
        </w:rPr>
        <w:t>Dziļajos ezeros intensīva zilaļģu ziedēšana potenciāli izraisa bezskābekļa zonas veidošanos piegrunts slānī. Šādos apstākļos atbrīvojas sedimentos saistītais fosfors un atkārtoti nonāk ezera virsējā ūdens slānī, veidojot iekšējo piesārņojuma slodzi.</w:t>
      </w:r>
      <w:r w:rsidRPr="00675182">
        <w:rPr>
          <w:rFonts w:cstheme="minorHAnsi"/>
        </w:rPr>
        <w:t xml:space="preserve"> </w:t>
      </w:r>
      <w:r w:rsidRPr="00675182">
        <w:rPr>
          <w:rFonts w:cstheme="minorHAnsi"/>
          <w:szCs w:val="24"/>
        </w:rPr>
        <w:t xml:space="preserve">Seklos ezeros nogulumos saistītais fosfors tiek aktīvi izmantots vielu apritē un liela nozīme ekosistēmā notiekošajos procesos ir ūdensaugiem. Ūdensaugi asimilē daudzas ūdeņos nonākušās vielas, kā arī fotosintēzes procesā palielina skābekļa daudzumu ūdenī. Tomēr pārmērīgs aizaugums rada skābekļa deficītu, jo naktīs un ūdensaugu sadalīšanās procesā pēc veģetācijas perioda beigām augi intensīvi patērē ūdenī izšķīdušo skābekli (Kļaviņš, Cimdiņš, 2004). </w:t>
      </w:r>
    </w:p>
    <w:p w14:paraId="02479F3C" w14:textId="77777777" w:rsidR="00E34CFF" w:rsidRPr="00675182" w:rsidRDefault="00E34CFF" w:rsidP="00E34CFF">
      <w:pPr>
        <w:jc w:val="both"/>
        <w:rPr>
          <w:rFonts w:cstheme="minorHAnsi"/>
          <w:szCs w:val="24"/>
        </w:rPr>
      </w:pPr>
    </w:p>
    <w:p w14:paraId="10B46B6F" w14:textId="77777777" w:rsidR="00E34CFF" w:rsidRPr="00675182" w:rsidRDefault="00E34CFF" w:rsidP="00E34CFF">
      <w:pPr>
        <w:jc w:val="both"/>
        <w:rPr>
          <w:rFonts w:cstheme="minorHAnsi"/>
        </w:rPr>
      </w:pPr>
      <w:r w:rsidRPr="00675182">
        <w:rPr>
          <w:rFonts w:cstheme="minorHAnsi"/>
          <w:szCs w:val="24"/>
        </w:rPr>
        <w:t>Ezera ekoloģiskā stāvokļa izmaiņu indikators ir arī tur sastopamo reto un aizsargājamo sugu sastopamība un vitalitāte, jo šīs sugas ir jutīgas pret augstu barības vielu koncentrāciju ūdenī un to populāciju izmaiņas labi parāda visas ekosistēmas ekoloģisko stāvokli. Ņemot vērā, ka ūdensaugi uz vides izmaiņām reaģē samērā lēni, monitorings būtu jāveic reizi četros vai piecos gados.</w:t>
      </w:r>
      <w:r w:rsidRPr="00675182">
        <w:rPr>
          <w:rFonts w:cstheme="minorHAnsi"/>
        </w:rPr>
        <w:t xml:space="preserve"> </w:t>
      </w:r>
    </w:p>
    <w:p w14:paraId="2C87333C" w14:textId="77777777" w:rsidR="00E3521C" w:rsidRPr="00675182" w:rsidRDefault="00E3521C" w:rsidP="00940648">
      <w:pPr>
        <w:keepNext/>
        <w:keepLines/>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4"/>
        <w:gridCol w:w="4297"/>
      </w:tblGrid>
      <w:tr w:rsidR="00E3521C" w:rsidRPr="00675182" w14:paraId="0EC431E9" w14:textId="77777777" w:rsidTr="002C01EF">
        <w:tc>
          <w:tcPr>
            <w:tcW w:w="4150" w:type="dxa"/>
          </w:tcPr>
          <w:p w14:paraId="59C54E27" w14:textId="77777777" w:rsidR="00E3521C" w:rsidRPr="00675182" w:rsidRDefault="00E3521C" w:rsidP="00940648">
            <w:pPr>
              <w:keepNext/>
              <w:keepLines/>
              <w:jc w:val="center"/>
              <w:rPr>
                <w:rFonts w:cstheme="minorHAnsi"/>
                <w:szCs w:val="24"/>
              </w:rPr>
            </w:pPr>
            <w:r w:rsidRPr="00675182">
              <w:rPr>
                <w:rFonts w:cstheme="minorHAnsi"/>
                <w:noProof/>
              </w:rPr>
              <w:drawing>
                <wp:inline distT="0" distB="0" distL="0" distR="0" wp14:anchorId="2D22195B" wp14:editId="10337846">
                  <wp:extent cx="2428875" cy="1821583"/>
                  <wp:effectExtent l="0" t="0" r="0" b="762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440159" cy="1830046"/>
                          </a:xfrm>
                          <a:prstGeom prst="rect">
                            <a:avLst/>
                          </a:prstGeom>
                          <a:noFill/>
                          <a:ln>
                            <a:noFill/>
                          </a:ln>
                        </pic:spPr>
                      </pic:pic>
                    </a:graphicData>
                  </a:graphic>
                </wp:inline>
              </w:drawing>
            </w:r>
          </w:p>
        </w:tc>
        <w:tc>
          <w:tcPr>
            <w:tcW w:w="4151" w:type="dxa"/>
          </w:tcPr>
          <w:p w14:paraId="01540158" w14:textId="77777777" w:rsidR="00E3521C" w:rsidRPr="00675182" w:rsidRDefault="00E3521C" w:rsidP="00940648">
            <w:pPr>
              <w:keepNext/>
              <w:keepLines/>
              <w:rPr>
                <w:rFonts w:cstheme="minorHAnsi"/>
                <w:szCs w:val="24"/>
              </w:rPr>
            </w:pPr>
            <w:r w:rsidRPr="00675182">
              <w:rPr>
                <w:rFonts w:cstheme="minorHAnsi"/>
                <w:noProof/>
              </w:rPr>
              <w:drawing>
                <wp:inline distT="0" distB="0" distL="0" distR="0" wp14:anchorId="2199E275" wp14:editId="279171DB">
                  <wp:extent cx="2602148" cy="1828800"/>
                  <wp:effectExtent l="0" t="0" r="825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607690" cy="1832695"/>
                          </a:xfrm>
                          <a:prstGeom prst="rect">
                            <a:avLst/>
                          </a:prstGeom>
                          <a:noFill/>
                          <a:ln>
                            <a:noFill/>
                          </a:ln>
                        </pic:spPr>
                      </pic:pic>
                    </a:graphicData>
                  </a:graphic>
                </wp:inline>
              </w:drawing>
            </w:r>
          </w:p>
        </w:tc>
      </w:tr>
      <w:tr w:rsidR="00E3521C" w:rsidRPr="00675182" w14:paraId="6A3602A3" w14:textId="77777777" w:rsidTr="002C01EF">
        <w:tc>
          <w:tcPr>
            <w:tcW w:w="4150" w:type="dxa"/>
          </w:tcPr>
          <w:p w14:paraId="17BB802E" w14:textId="1EC91F5F" w:rsidR="00E3521C" w:rsidRPr="00675182" w:rsidRDefault="000F4CD9" w:rsidP="00940648">
            <w:pPr>
              <w:keepNext/>
              <w:keepLines/>
              <w:rPr>
                <w:rFonts w:cstheme="minorHAnsi"/>
                <w:b/>
                <w:bCs/>
                <w:i/>
                <w:iCs/>
                <w:szCs w:val="24"/>
              </w:rPr>
            </w:pPr>
            <w:r w:rsidRPr="00675182">
              <w:rPr>
                <w:rFonts w:cstheme="minorHAnsi"/>
                <w:b/>
                <w:i/>
                <w:iCs/>
              </w:rPr>
              <w:t>2.3.</w:t>
            </w:r>
            <w:r w:rsidR="00135B31" w:rsidRPr="00675182">
              <w:rPr>
                <w:rFonts w:cstheme="minorHAnsi"/>
                <w:b/>
                <w:i/>
                <w:iCs/>
              </w:rPr>
              <w:t>2</w:t>
            </w:r>
            <w:r w:rsidR="00EF0A82" w:rsidRPr="00675182">
              <w:rPr>
                <w:rFonts w:cstheme="minorHAnsi"/>
                <w:b/>
                <w:i/>
                <w:iCs/>
              </w:rPr>
              <w:t>6</w:t>
            </w:r>
            <w:r w:rsidRPr="00675182">
              <w:rPr>
                <w:rFonts w:cstheme="minorHAnsi"/>
                <w:b/>
                <w:i/>
                <w:iCs/>
              </w:rPr>
              <w:t>. attēls.</w:t>
            </w:r>
            <w:r w:rsidRPr="00675182">
              <w:rPr>
                <w:rFonts w:cstheme="minorHAnsi"/>
                <w:b/>
                <w:i/>
                <w:iCs/>
                <w:szCs w:val="24"/>
              </w:rPr>
              <w:t xml:space="preserve"> </w:t>
            </w:r>
            <w:r w:rsidR="00E3521C" w:rsidRPr="00675182">
              <w:rPr>
                <w:rFonts w:cstheme="minorHAnsi"/>
                <w:b/>
                <w:bCs/>
                <w:i/>
                <w:iCs/>
                <w:szCs w:val="24"/>
              </w:rPr>
              <w:t xml:space="preserve">Zaļaļģes sedz aizsargājamās gludsporu ezerenes Ungura ezerā, </w:t>
            </w:r>
            <w:r w:rsidR="003178F9" w:rsidRPr="00675182">
              <w:rPr>
                <w:rFonts w:cstheme="minorHAnsi"/>
                <w:b/>
                <w:bCs/>
                <w:i/>
                <w:iCs/>
                <w:szCs w:val="24"/>
              </w:rPr>
              <w:t>2020</w:t>
            </w:r>
            <w:r w:rsidR="00E3521C" w:rsidRPr="00675182">
              <w:rPr>
                <w:rFonts w:cstheme="minorHAnsi"/>
                <w:b/>
                <w:bCs/>
                <w:i/>
                <w:iCs/>
                <w:szCs w:val="24"/>
              </w:rPr>
              <w:t>. g. (foto: L. Grīnberga)</w:t>
            </w:r>
          </w:p>
        </w:tc>
        <w:tc>
          <w:tcPr>
            <w:tcW w:w="4151" w:type="dxa"/>
          </w:tcPr>
          <w:p w14:paraId="0F311D19" w14:textId="4118CDD8" w:rsidR="00E3521C" w:rsidRPr="00675182" w:rsidRDefault="000F4CD9" w:rsidP="00940648">
            <w:pPr>
              <w:keepNext/>
              <w:keepLines/>
              <w:rPr>
                <w:rFonts w:cstheme="minorHAnsi"/>
                <w:b/>
                <w:bCs/>
                <w:i/>
                <w:iCs/>
                <w:szCs w:val="24"/>
              </w:rPr>
            </w:pPr>
            <w:r w:rsidRPr="00675182">
              <w:rPr>
                <w:rFonts w:cstheme="minorHAnsi"/>
                <w:b/>
                <w:i/>
                <w:iCs/>
              </w:rPr>
              <w:t>2.3.</w:t>
            </w:r>
            <w:r w:rsidR="00135B31" w:rsidRPr="00675182">
              <w:rPr>
                <w:rFonts w:cstheme="minorHAnsi"/>
                <w:b/>
                <w:i/>
                <w:iCs/>
              </w:rPr>
              <w:t>2</w:t>
            </w:r>
            <w:r w:rsidR="00EF0A82" w:rsidRPr="00675182">
              <w:rPr>
                <w:rFonts w:cstheme="minorHAnsi"/>
                <w:b/>
                <w:i/>
                <w:iCs/>
              </w:rPr>
              <w:t>7</w:t>
            </w:r>
            <w:r w:rsidRPr="00675182">
              <w:rPr>
                <w:rFonts w:cstheme="minorHAnsi"/>
                <w:b/>
                <w:i/>
                <w:iCs/>
              </w:rPr>
              <w:t>. attēls.</w:t>
            </w:r>
            <w:r w:rsidRPr="00675182">
              <w:rPr>
                <w:rFonts w:cstheme="minorHAnsi"/>
                <w:b/>
                <w:i/>
                <w:iCs/>
                <w:szCs w:val="24"/>
              </w:rPr>
              <w:t xml:space="preserve"> </w:t>
            </w:r>
            <w:r w:rsidR="00E3521C" w:rsidRPr="00675182">
              <w:rPr>
                <w:rFonts w:cstheme="minorHAnsi"/>
                <w:b/>
                <w:bCs/>
                <w:i/>
                <w:iCs/>
                <w:szCs w:val="24"/>
              </w:rPr>
              <w:t>Āraišu ez</w:t>
            </w:r>
            <w:r w:rsidRPr="00675182">
              <w:rPr>
                <w:rFonts w:cstheme="minorHAnsi"/>
                <w:b/>
                <w:bCs/>
                <w:i/>
                <w:iCs/>
                <w:szCs w:val="24"/>
              </w:rPr>
              <w:t>era</w:t>
            </w:r>
            <w:r w:rsidR="00E3521C" w:rsidRPr="00675182">
              <w:rPr>
                <w:rFonts w:cstheme="minorHAnsi"/>
                <w:b/>
                <w:bCs/>
                <w:i/>
                <w:iCs/>
                <w:szCs w:val="24"/>
              </w:rPr>
              <w:t xml:space="preserve"> </w:t>
            </w:r>
            <w:r w:rsidRPr="00675182">
              <w:rPr>
                <w:rFonts w:cstheme="minorHAnsi"/>
                <w:b/>
                <w:bCs/>
                <w:i/>
                <w:iCs/>
                <w:szCs w:val="24"/>
              </w:rPr>
              <w:t>dienvidu</w:t>
            </w:r>
            <w:r w:rsidR="00E3521C" w:rsidRPr="00675182">
              <w:rPr>
                <w:rFonts w:cstheme="minorHAnsi"/>
                <w:b/>
                <w:bCs/>
                <w:i/>
                <w:iCs/>
                <w:szCs w:val="24"/>
              </w:rPr>
              <w:t xml:space="preserve"> gals, ezerā izzudušas retās sugas, aizaug piekraste un līči</w:t>
            </w:r>
            <w:r w:rsidR="00AA3632" w:rsidRPr="00675182">
              <w:rPr>
                <w:rFonts w:cstheme="minorHAnsi"/>
                <w:b/>
                <w:bCs/>
                <w:i/>
                <w:iCs/>
                <w:szCs w:val="24"/>
              </w:rPr>
              <w:t>,</w:t>
            </w:r>
            <w:r w:rsidR="00E3521C" w:rsidRPr="00675182">
              <w:rPr>
                <w:rFonts w:cstheme="minorHAnsi"/>
                <w:b/>
                <w:bCs/>
                <w:i/>
                <w:iCs/>
                <w:szCs w:val="24"/>
              </w:rPr>
              <w:t xml:space="preserve"> </w:t>
            </w:r>
            <w:r w:rsidR="003178F9" w:rsidRPr="00675182">
              <w:rPr>
                <w:rFonts w:cstheme="minorHAnsi"/>
                <w:b/>
                <w:bCs/>
                <w:i/>
                <w:iCs/>
                <w:szCs w:val="24"/>
              </w:rPr>
              <w:t>2020</w:t>
            </w:r>
            <w:r w:rsidRPr="00675182">
              <w:rPr>
                <w:rFonts w:cstheme="minorHAnsi"/>
                <w:b/>
                <w:bCs/>
                <w:i/>
                <w:iCs/>
                <w:szCs w:val="24"/>
              </w:rPr>
              <w:t xml:space="preserve">. </w:t>
            </w:r>
            <w:r w:rsidR="00E02C89" w:rsidRPr="00675182">
              <w:rPr>
                <w:rFonts w:cstheme="minorHAnsi"/>
                <w:b/>
                <w:bCs/>
                <w:i/>
                <w:iCs/>
                <w:szCs w:val="24"/>
              </w:rPr>
              <w:t>g</w:t>
            </w:r>
            <w:r w:rsidRPr="00675182">
              <w:rPr>
                <w:rFonts w:cstheme="minorHAnsi"/>
                <w:b/>
                <w:bCs/>
                <w:i/>
                <w:iCs/>
                <w:szCs w:val="24"/>
              </w:rPr>
              <w:t>.</w:t>
            </w:r>
            <w:r w:rsidR="00E02C89" w:rsidRPr="00675182">
              <w:rPr>
                <w:rFonts w:cstheme="minorHAnsi"/>
                <w:b/>
                <w:bCs/>
                <w:i/>
                <w:iCs/>
                <w:szCs w:val="24"/>
              </w:rPr>
              <w:t xml:space="preserve"> </w:t>
            </w:r>
            <w:r w:rsidR="00E3521C" w:rsidRPr="00675182">
              <w:rPr>
                <w:rFonts w:cstheme="minorHAnsi"/>
                <w:b/>
                <w:bCs/>
                <w:i/>
                <w:iCs/>
                <w:szCs w:val="24"/>
              </w:rPr>
              <w:t>(foto: L. Grīnberga)</w:t>
            </w:r>
          </w:p>
        </w:tc>
      </w:tr>
    </w:tbl>
    <w:p w14:paraId="35101267" w14:textId="77777777" w:rsidR="00E3521C" w:rsidRPr="00675182" w:rsidRDefault="00E3521C" w:rsidP="00E3521C">
      <w:pPr>
        <w:jc w:val="both"/>
        <w:rPr>
          <w:rFonts w:cstheme="minorHAnsi"/>
          <w:szCs w:val="24"/>
        </w:rPr>
      </w:pPr>
    </w:p>
    <w:p w14:paraId="30AEB5C1" w14:textId="77777777" w:rsidR="00231AC4" w:rsidRPr="00675182" w:rsidRDefault="00231AC4" w:rsidP="00231AC4">
      <w:pPr>
        <w:jc w:val="both"/>
        <w:rPr>
          <w:rFonts w:cstheme="minorHAnsi"/>
          <w:i/>
          <w:iCs/>
          <w:szCs w:val="24"/>
          <w:u w:val="single"/>
        </w:rPr>
      </w:pPr>
      <w:bookmarkStart w:id="57" w:name="_Hlk97903523"/>
      <w:r w:rsidRPr="00675182">
        <w:rPr>
          <w:rFonts w:cstheme="minorHAnsi"/>
          <w:i/>
          <w:iCs/>
          <w:szCs w:val="24"/>
          <w:u w:val="single"/>
        </w:rPr>
        <w:t>Rekreācija</w:t>
      </w:r>
    </w:p>
    <w:p w14:paraId="397F6E87" w14:textId="77777777" w:rsidR="00231AC4" w:rsidRPr="00675182" w:rsidRDefault="00231AC4" w:rsidP="00231AC4">
      <w:pPr>
        <w:jc w:val="both"/>
        <w:rPr>
          <w:rFonts w:cstheme="minorHAnsi"/>
          <w:szCs w:val="24"/>
        </w:rPr>
      </w:pPr>
      <w:r w:rsidRPr="00675182">
        <w:rPr>
          <w:rFonts w:cstheme="minorHAnsi"/>
          <w:szCs w:val="24"/>
        </w:rPr>
        <w:t>Ezeru un upju piekrastēs atrodas atpūtas vietas, kas tiek intensīvi izmantotas un rada būtisku slodzi uz ūdenstilpēm. Ļoti būtiski šis piesārņošanas veids ietekmē beznoteces ezerus, piemēram, Ninieri. Beznoteces ezeriem sateces baseini ir nelieli, to veido virszemes notece, tādēļ tie ilgāk saglabājas tīri, taču tie ir daudz jutīgāki pret darbībām, kas caurteces ezerus ietekmē daudz mazāk – peldēšana, makšķerēšana, krasta zemsedzes iznīcināšana.</w:t>
      </w:r>
    </w:p>
    <w:p w14:paraId="68BFFA78" w14:textId="77777777" w:rsidR="00231AC4" w:rsidRPr="00675182" w:rsidRDefault="00231AC4" w:rsidP="00231AC4">
      <w:pPr>
        <w:jc w:val="both"/>
        <w:rPr>
          <w:rFonts w:cstheme="minorHAnsi"/>
          <w:szCs w:val="24"/>
        </w:rPr>
      </w:pPr>
    </w:p>
    <w:p w14:paraId="27F8CE19" w14:textId="77777777" w:rsidR="00231AC4" w:rsidRPr="00675182" w:rsidRDefault="00231AC4" w:rsidP="00231AC4">
      <w:pPr>
        <w:jc w:val="both"/>
        <w:rPr>
          <w:rFonts w:cstheme="minorHAnsi"/>
          <w:szCs w:val="24"/>
        </w:rPr>
      </w:pPr>
      <w:r w:rsidRPr="00675182">
        <w:rPr>
          <w:rFonts w:cstheme="minorHAnsi"/>
          <w:szCs w:val="24"/>
        </w:rPr>
        <w:t>Seklajos ezeros nav pieļaujama ūdens motociklu un lieljaudas motorlaivu lietošana, jo tas veicina ezera nogulumu uzduļķošanos, samazina ūdens caurredzamību un apdraud iegrimušo, tostarp reto un aizsargājamo augu sugu augtenes.</w:t>
      </w:r>
    </w:p>
    <w:bookmarkEnd w:id="57"/>
    <w:p w14:paraId="0F075C44" w14:textId="77777777" w:rsidR="00231AC4" w:rsidRPr="00675182" w:rsidRDefault="00231AC4" w:rsidP="00231AC4">
      <w:pPr>
        <w:jc w:val="both"/>
        <w:rPr>
          <w:rFonts w:cstheme="minorHAnsi"/>
          <w:szCs w:val="24"/>
        </w:rPr>
      </w:pPr>
    </w:p>
    <w:p w14:paraId="286B659C" w14:textId="77777777" w:rsidR="00231AC4" w:rsidRPr="00675182" w:rsidRDefault="00231AC4" w:rsidP="00570A78">
      <w:pPr>
        <w:keepNext/>
        <w:keepLines/>
        <w:jc w:val="both"/>
        <w:rPr>
          <w:rFonts w:cstheme="minorHAnsi"/>
          <w:i/>
          <w:iCs/>
          <w:szCs w:val="24"/>
          <w:u w:val="single"/>
        </w:rPr>
      </w:pPr>
      <w:bookmarkStart w:id="58" w:name="_Hlk97903543"/>
      <w:r w:rsidRPr="00675182">
        <w:rPr>
          <w:rFonts w:cstheme="minorHAnsi"/>
          <w:i/>
          <w:iCs/>
          <w:szCs w:val="24"/>
          <w:u w:val="single"/>
        </w:rPr>
        <w:t>Invazīvo un svešzemju sugu izplatība</w:t>
      </w:r>
    </w:p>
    <w:p w14:paraId="3B25E165" w14:textId="441583A2" w:rsidR="00231AC4" w:rsidRPr="00675182" w:rsidRDefault="00231AC4" w:rsidP="00570A78">
      <w:pPr>
        <w:keepNext/>
        <w:keepLines/>
        <w:jc w:val="both"/>
        <w:rPr>
          <w:rFonts w:cstheme="minorHAnsi"/>
          <w:szCs w:val="24"/>
        </w:rPr>
      </w:pPr>
      <w:r w:rsidRPr="00675182">
        <w:rPr>
          <w:rFonts w:cstheme="minorHAnsi"/>
          <w:szCs w:val="24"/>
        </w:rPr>
        <w:t>Ūdenstilpes, īpaši upes, veicina invazīvo un svešzemju sugu izplatību, izplatot sēklas un sakņu fragmentus. Biežāk izplatītās sugas ūdenstilpju krastos ir Sosnosvka latvānis, puķu sprigane</w:t>
      </w:r>
      <w:r w:rsidR="00616FE4" w:rsidRPr="00675182">
        <w:rPr>
          <w:rFonts w:cstheme="minorHAnsi"/>
          <w:szCs w:val="24"/>
        </w:rPr>
        <w:t xml:space="preserve">, </w:t>
      </w:r>
      <w:r w:rsidRPr="00675182">
        <w:rPr>
          <w:rFonts w:cstheme="minorHAnsi"/>
          <w:szCs w:val="24"/>
        </w:rPr>
        <w:t>sīkziedu sprigane</w:t>
      </w:r>
      <w:r w:rsidR="00616FE4" w:rsidRPr="00675182">
        <w:rPr>
          <w:rFonts w:cstheme="minorHAnsi"/>
          <w:szCs w:val="24"/>
        </w:rPr>
        <w:t>, retāk – Kanādas zeltgalvīte</w:t>
      </w:r>
      <w:r w:rsidRPr="00675182">
        <w:rPr>
          <w:rFonts w:cstheme="minorHAnsi"/>
          <w:szCs w:val="24"/>
        </w:rPr>
        <w:t>. Šo sugu audzes veido blīvas audzes, nereti veicinot krastu eroziju un augsnes izskalošanos. Izmainās ne tikai sugu sastāvs piekrastēs, bet arī uz upju sērēm, kur vietējo sugu vietā arvien biežāk iesakņojas sprigaņu sugas.</w:t>
      </w:r>
    </w:p>
    <w:bookmarkEnd w:id="58"/>
    <w:p w14:paraId="47CAD568" w14:textId="77777777" w:rsidR="00E3521C" w:rsidRPr="00675182" w:rsidRDefault="00E3521C" w:rsidP="00E3521C">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60"/>
      </w:tblGrid>
      <w:tr w:rsidR="00E3521C" w:rsidRPr="00675182" w14:paraId="3D650328" w14:textId="77777777" w:rsidTr="000629FA">
        <w:tc>
          <w:tcPr>
            <w:tcW w:w="3975" w:type="dxa"/>
          </w:tcPr>
          <w:p w14:paraId="4B69C2C2" w14:textId="6A9295EE" w:rsidR="00E3521C" w:rsidRPr="00675182" w:rsidRDefault="00616FE4" w:rsidP="00FA0FF1">
            <w:pPr>
              <w:keepNext/>
              <w:keepLines/>
              <w:jc w:val="both"/>
              <w:rPr>
                <w:rFonts w:cstheme="minorHAnsi"/>
                <w:szCs w:val="24"/>
              </w:rPr>
            </w:pPr>
            <w:r w:rsidRPr="00675182">
              <w:rPr>
                <w:rFonts w:cstheme="minorHAnsi"/>
                <w:noProof/>
              </w:rPr>
              <w:lastRenderedPageBreak/>
              <w:drawing>
                <wp:inline distT="0" distB="0" distL="0" distR="0" wp14:anchorId="148EAD65" wp14:editId="409EBEAD">
                  <wp:extent cx="2603500" cy="1952625"/>
                  <wp:effectExtent l="0" t="0" r="6350" b="9525"/>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Attēls 141"/>
                          <pic:cNvPicPr>
                            <a:picLocks noChangeAspect="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rot="10800000">
                            <a:off x="0" y="0"/>
                            <a:ext cx="2603500" cy="1952625"/>
                          </a:xfrm>
                          <a:prstGeom prst="rect">
                            <a:avLst/>
                          </a:prstGeom>
                          <a:noFill/>
                          <a:ln>
                            <a:noFill/>
                          </a:ln>
                        </pic:spPr>
                      </pic:pic>
                    </a:graphicData>
                  </a:graphic>
                </wp:inline>
              </w:drawing>
            </w:r>
          </w:p>
        </w:tc>
        <w:tc>
          <w:tcPr>
            <w:tcW w:w="4336" w:type="dxa"/>
            <w:vAlign w:val="bottom"/>
          </w:tcPr>
          <w:p w14:paraId="336178D3" w14:textId="77777777" w:rsidR="00E3521C" w:rsidRPr="00675182" w:rsidRDefault="00E3521C" w:rsidP="00FA0FF1">
            <w:pPr>
              <w:keepNext/>
              <w:keepLines/>
              <w:jc w:val="center"/>
              <w:rPr>
                <w:rFonts w:cstheme="minorHAnsi"/>
                <w:szCs w:val="24"/>
              </w:rPr>
            </w:pPr>
            <w:r w:rsidRPr="00675182">
              <w:rPr>
                <w:rFonts w:cstheme="minorHAnsi"/>
                <w:noProof/>
              </w:rPr>
              <w:drawing>
                <wp:inline distT="0" distB="0" distL="0" distR="0" wp14:anchorId="13F58CEF" wp14:editId="4E2C72E2">
                  <wp:extent cx="2616725" cy="196215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629785" cy="1971943"/>
                          </a:xfrm>
                          <a:prstGeom prst="rect">
                            <a:avLst/>
                          </a:prstGeom>
                          <a:noFill/>
                          <a:ln>
                            <a:noFill/>
                          </a:ln>
                        </pic:spPr>
                      </pic:pic>
                    </a:graphicData>
                  </a:graphic>
                </wp:inline>
              </w:drawing>
            </w:r>
          </w:p>
        </w:tc>
      </w:tr>
      <w:tr w:rsidR="00E3521C" w:rsidRPr="00675182" w14:paraId="32D339F8" w14:textId="77777777" w:rsidTr="000629FA">
        <w:trPr>
          <w:trHeight w:val="87"/>
        </w:trPr>
        <w:tc>
          <w:tcPr>
            <w:tcW w:w="3975" w:type="dxa"/>
          </w:tcPr>
          <w:p w14:paraId="6736DA77" w14:textId="7B218758" w:rsidR="00E3521C" w:rsidRPr="00675182" w:rsidRDefault="00E02C89" w:rsidP="00FA0FF1">
            <w:pPr>
              <w:keepNext/>
              <w:keepLines/>
              <w:rPr>
                <w:rFonts w:cstheme="minorHAnsi"/>
                <w:b/>
                <w:bCs/>
                <w:i/>
                <w:iCs/>
                <w:szCs w:val="24"/>
              </w:rPr>
            </w:pPr>
            <w:r w:rsidRPr="00675182">
              <w:rPr>
                <w:rFonts w:cstheme="minorHAnsi"/>
                <w:b/>
                <w:i/>
                <w:iCs/>
              </w:rPr>
              <w:t>2.3.</w:t>
            </w:r>
            <w:r w:rsidR="00135B31" w:rsidRPr="00675182">
              <w:rPr>
                <w:rFonts w:cstheme="minorHAnsi"/>
                <w:b/>
                <w:i/>
                <w:iCs/>
              </w:rPr>
              <w:t>2</w:t>
            </w:r>
            <w:r w:rsidR="00EF0A82" w:rsidRPr="00675182">
              <w:rPr>
                <w:rFonts w:cstheme="minorHAnsi"/>
                <w:b/>
                <w:i/>
                <w:iCs/>
              </w:rPr>
              <w:t>8</w:t>
            </w:r>
            <w:r w:rsidRPr="00675182">
              <w:rPr>
                <w:rFonts w:cstheme="minorHAnsi"/>
                <w:b/>
                <w:i/>
                <w:iCs/>
              </w:rPr>
              <w:t>. attēls.</w:t>
            </w:r>
            <w:r w:rsidRPr="00675182">
              <w:rPr>
                <w:rFonts w:cstheme="minorHAnsi"/>
                <w:b/>
                <w:i/>
                <w:iCs/>
                <w:szCs w:val="24"/>
              </w:rPr>
              <w:t xml:space="preserve"> </w:t>
            </w:r>
            <w:r w:rsidR="00F94CE2" w:rsidRPr="00675182">
              <w:rPr>
                <w:rFonts w:cstheme="minorHAnsi"/>
                <w:b/>
                <w:bCs/>
                <w:i/>
                <w:iCs/>
                <w:szCs w:val="24"/>
              </w:rPr>
              <w:t>Latvāņ</w:t>
            </w:r>
            <w:r w:rsidR="00F94CE2">
              <w:rPr>
                <w:rFonts w:cstheme="minorHAnsi"/>
                <w:b/>
                <w:bCs/>
                <w:i/>
                <w:iCs/>
                <w:szCs w:val="24"/>
              </w:rPr>
              <w:t>i</w:t>
            </w:r>
            <w:r w:rsidR="00F94CE2" w:rsidRPr="00675182">
              <w:rPr>
                <w:rFonts w:cstheme="minorHAnsi"/>
                <w:b/>
                <w:bCs/>
                <w:i/>
                <w:iCs/>
                <w:szCs w:val="24"/>
              </w:rPr>
              <w:t xml:space="preserve"> </w:t>
            </w:r>
            <w:r w:rsidR="00616FE4" w:rsidRPr="00675182">
              <w:rPr>
                <w:rFonts w:cstheme="minorHAnsi"/>
                <w:b/>
                <w:bCs/>
                <w:i/>
                <w:iCs/>
                <w:szCs w:val="24"/>
              </w:rPr>
              <w:t>vējupītes</w:t>
            </w:r>
            <w:r w:rsidR="00E3521C" w:rsidRPr="00675182">
              <w:rPr>
                <w:rFonts w:cstheme="minorHAnsi"/>
                <w:b/>
                <w:bCs/>
                <w:i/>
                <w:iCs/>
                <w:szCs w:val="24"/>
              </w:rPr>
              <w:t xml:space="preserve"> krastos</w:t>
            </w:r>
            <w:r w:rsidR="003178F9" w:rsidRPr="00675182">
              <w:rPr>
                <w:rFonts w:cstheme="minorHAnsi"/>
                <w:b/>
                <w:bCs/>
                <w:i/>
                <w:iCs/>
                <w:szCs w:val="24"/>
              </w:rPr>
              <w:t>, 20</w:t>
            </w:r>
            <w:r w:rsidR="00FA0FF1" w:rsidRPr="00675182">
              <w:rPr>
                <w:rFonts w:cstheme="minorHAnsi"/>
                <w:b/>
                <w:bCs/>
                <w:i/>
                <w:iCs/>
                <w:szCs w:val="24"/>
              </w:rPr>
              <w:t>21</w:t>
            </w:r>
            <w:r w:rsidR="003178F9" w:rsidRPr="00675182">
              <w:rPr>
                <w:rFonts w:cstheme="minorHAnsi"/>
                <w:b/>
                <w:bCs/>
                <w:i/>
                <w:iCs/>
                <w:szCs w:val="24"/>
              </w:rPr>
              <w:t>. g.</w:t>
            </w:r>
            <w:r w:rsidR="00E3521C" w:rsidRPr="00675182">
              <w:rPr>
                <w:rFonts w:cstheme="minorHAnsi"/>
                <w:b/>
                <w:bCs/>
                <w:i/>
                <w:iCs/>
                <w:szCs w:val="24"/>
              </w:rPr>
              <w:t xml:space="preserve"> (foto: L. Grīnberga)</w:t>
            </w:r>
          </w:p>
        </w:tc>
        <w:tc>
          <w:tcPr>
            <w:tcW w:w="4336" w:type="dxa"/>
          </w:tcPr>
          <w:p w14:paraId="3E67E544" w14:textId="028179C7" w:rsidR="00E3521C" w:rsidRPr="00675182" w:rsidRDefault="00E02C89" w:rsidP="00FA0FF1">
            <w:pPr>
              <w:keepNext/>
              <w:keepLines/>
              <w:rPr>
                <w:rFonts w:cstheme="minorHAnsi"/>
                <w:b/>
                <w:bCs/>
                <w:i/>
                <w:iCs/>
                <w:szCs w:val="24"/>
              </w:rPr>
            </w:pPr>
            <w:r w:rsidRPr="00675182">
              <w:rPr>
                <w:rFonts w:cstheme="minorHAnsi"/>
                <w:b/>
                <w:i/>
                <w:iCs/>
              </w:rPr>
              <w:t>2.3.</w:t>
            </w:r>
            <w:r w:rsidR="00135B31" w:rsidRPr="00675182">
              <w:rPr>
                <w:rFonts w:cstheme="minorHAnsi"/>
                <w:b/>
                <w:i/>
                <w:iCs/>
              </w:rPr>
              <w:t>2</w:t>
            </w:r>
            <w:r w:rsidR="00EF0A82" w:rsidRPr="00675182">
              <w:rPr>
                <w:rFonts w:cstheme="minorHAnsi"/>
                <w:b/>
                <w:i/>
                <w:iCs/>
              </w:rPr>
              <w:t>9</w:t>
            </w:r>
            <w:r w:rsidRPr="00675182">
              <w:rPr>
                <w:rFonts w:cstheme="minorHAnsi"/>
                <w:b/>
                <w:i/>
                <w:iCs/>
              </w:rPr>
              <w:t>. attēls.</w:t>
            </w:r>
            <w:r w:rsidRPr="00675182">
              <w:rPr>
                <w:rFonts w:cstheme="minorHAnsi"/>
                <w:b/>
                <w:i/>
                <w:iCs/>
                <w:szCs w:val="24"/>
              </w:rPr>
              <w:t xml:space="preserve"> </w:t>
            </w:r>
            <w:r w:rsidR="00E3521C" w:rsidRPr="00675182">
              <w:rPr>
                <w:rFonts w:cstheme="minorHAnsi"/>
                <w:b/>
                <w:bCs/>
                <w:i/>
                <w:iCs/>
                <w:szCs w:val="24"/>
              </w:rPr>
              <w:t>Plašas puķu spriganes audzes Runtiņa augštecē lejpus Krimuldas baznīcas</w:t>
            </w:r>
            <w:r w:rsidR="003178F9" w:rsidRPr="00675182">
              <w:rPr>
                <w:rFonts w:cstheme="minorHAnsi"/>
                <w:b/>
                <w:bCs/>
                <w:i/>
                <w:iCs/>
                <w:szCs w:val="24"/>
              </w:rPr>
              <w:t>,</w:t>
            </w:r>
            <w:r w:rsidR="00E3521C" w:rsidRPr="00675182">
              <w:rPr>
                <w:rFonts w:cstheme="minorHAnsi"/>
                <w:b/>
                <w:bCs/>
                <w:i/>
                <w:iCs/>
                <w:szCs w:val="24"/>
              </w:rPr>
              <w:t xml:space="preserve"> </w:t>
            </w:r>
            <w:r w:rsidR="003178F9" w:rsidRPr="00675182">
              <w:rPr>
                <w:rFonts w:cstheme="minorHAnsi"/>
                <w:b/>
                <w:bCs/>
                <w:i/>
                <w:iCs/>
                <w:szCs w:val="24"/>
              </w:rPr>
              <w:t xml:space="preserve">2020. g. </w:t>
            </w:r>
            <w:r w:rsidR="00E3521C" w:rsidRPr="00675182">
              <w:rPr>
                <w:rFonts w:cstheme="minorHAnsi"/>
                <w:b/>
                <w:bCs/>
                <w:i/>
                <w:iCs/>
                <w:szCs w:val="24"/>
              </w:rPr>
              <w:t>(foto: L. Grīnberga)</w:t>
            </w:r>
          </w:p>
        </w:tc>
      </w:tr>
    </w:tbl>
    <w:p w14:paraId="2B61D474" w14:textId="77777777" w:rsidR="000629FA" w:rsidRPr="00675182" w:rsidRDefault="000629FA" w:rsidP="000629FA">
      <w:pPr>
        <w:jc w:val="both"/>
        <w:rPr>
          <w:rFonts w:cstheme="minorHAnsi"/>
          <w:szCs w:val="24"/>
        </w:rPr>
      </w:pPr>
    </w:p>
    <w:p w14:paraId="570AE433" w14:textId="7BD4BCF4" w:rsidR="000629FA" w:rsidRPr="00675182" w:rsidRDefault="000629FA" w:rsidP="000629FA">
      <w:pPr>
        <w:jc w:val="both"/>
        <w:rPr>
          <w:rFonts w:cstheme="minorHAnsi"/>
          <w:szCs w:val="24"/>
        </w:rPr>
      </w:pPr>
      <w:r w:rsidRPr="00675182">
        <w:rPr>
          <w:rFonts w:cstheme="minorHAnsi"/>
          <w:szCs w:val="24"/>
        </w:rPr>
        <w:t>Invazīvās sugas ātri “apgūst” jaunas teritorijas ūdenstilpju krastos, tādēļ plānojot apsaimniekošanas pasākumus, piemēram, piekrastes kopšanas darbus, aizsprostu nojaukšanu, jārēķinās ar iespēju, ka tiem sekos invazīvo sugu ieviešanās.</w:t>
      </w:r>
    </w:p>
    <w:p w14:paraId="6C63B7E2" w14:textId="41617642" w:rsidR="00E3521C" w:rsidRPr="00675182" w:rsidRDefault="00E3521C" w:rsidP="00E3521C">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41"/>
      </w:tblGrid>
      <w:tr w:rsidR="000629FA" w:rsidRPr="00675182" w14:paraId="03E822A7" w14:textId="77777777" w:rsidTr="00F413EA">
        <w:tc>
          <w:tcPr>
            <w:tcW w:w="4150" w:type="dxa"/>
          </w:tcPr>
          <w:p w14:paraId="789B0E2E" w14:textId="77777777" w:rsidR="000629FA" w:rsidRPr="00675182" w:rsidRDefault="000629FA" w:rsidP="00F413EA">
            <w:pPr>
              <w:jc w:val="center"/>
              <w:rPr>
                <w:rFonts w:cstheme="minorHAnsi"/>
                <w:szCs w:val="24"/>
              </w:rPr>
            </w:pPr>
            <w:r w:rsidRPr="00675182">
              <w:rPr>
                <w:rFonts w:cstheme="minorHAnsi"/>
                <w:noProof/>
              </w:rPr>
              <w:drawing>
                <wp:inline distT="0" distB="0" distL="0" distR="0" wp14:anchorId="365295DA" wp14:editId="194BACC8">
                  <wp:extent cx="2533650" cy="1900465"/>
                  <wp:effectExtent l="0" t="0" r="0" b="5080"/>
                  <wp:docPr id="1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548718" cy="1911767"/>
                          </a:xfrm>
                          <a:prstGeom prst="rect">
                            <a:avLst/>
                          </a:prstGeom>
                          <a:noFill/>
                          <a:ln>
                            <a:noFill/>
                          </a:ln>
                        </pic:spPr>
                      </pic:pic>
                    </a:graphicData>
                  </a:graphic>
                </wp:inline>
              </w:drawing>
            </w:r>
          </w:p>
        </w:tc>
        <w:tc>
          <w:tcPr>
            <w:tcW w:w="4151" w:type="dxa"/>
          </w:tcPr>
          <w:p w14:paraId="6F7C0567" w14:textId="77777777" w:rsidR="000629FA" w:rsidRPr="00675182" w:rsidRDefault="000629FA" w:rsidP="00F413EA">
            <w:pPr>
              <w:jc w:val="center"/>
              <w:rPr>
                <w:rFonts w:cstheme="minorHAnsi"/>
                <w:szCs w:val="24"/>
              </w:rPr>
            </w:pPr>
            <w:r w:rsidRPr="00675182">
              <w:rPr>
                <w:rFonts w:cstheme="minorHAnsi"/>
                <w:noProof/>
              </w:rPr>
              <w:drawing>
                <wp:inline distT="0" distB="0" distL="0" distR="0" wp14:anchorId="07302D4E" wp14:editId="5E46C919">
                  <wp:extent cx="2514600" cy="1885873"/>
                  <wp:effectExtent l="0" t="0" r="0" b="63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521558" cy="1891092"/>
                          </a:xfrm>
                          <a:prstGeom prst="rect">
                            <a:avLst/>
                          </a:prstGeom>
                          <a:noFill/>
                          <a:ln>
                            <a:noFill/>
                          </a:ln>
                        </pic:spPr>
                      </pic:pic>
                    </a:graphicData>
                  </a:graphic>
                </wp:inline>
              </w:drawing>
            </w:r>
          </w:p>
        </w:tc>
      </w:tr>
      <w:tr w:rsidR="000629FA" w:rsidRPr="00675182" w14:paraId="5A48CFA3" w14:textId="77777777" w:rsidTr="00F413EA">
        <w:tc>
          <w:tcPr>
            <w:tcW w:w="4150" w:type="dxa"/>
          </w:tcPr>
          <w:p w14:paraId="7B86193C" w14:textId="59121EC6" w:rsidR="000629FA" w:rsidRPr="00675182" w:rsidRDefault="000629FA" w:rsidP="00F413EA">
            <w:pPr>
              <w:rPr>
                <w:rFonts w:cstheme="minorHAnsi"/>
                <w:b/>
                <w:bCs/>
                <w:i/>
                <w:iCs/>
                <w:szCs w:val="24"/>
              </w:rPr>
            </w:pPr>
            <w:r w:rsidRPr="00675182">
              <w:rPr>
                <w:rFonts w:cstheme="minorHAnsi"/>
                <w:b/>
                <w:i/>
                <w:iCs/>
              </w:rPr>
              <w:t>2.3.</w:t>
            </w:r>
            <w:r w:rsidR="00EF0A82" w:rsidRPr="00675182">
              <w:rPr>
                <w:rFonts w:cstheme="minorHAnsi"/>
                <w:b/>
                <w:i/>
                <w:iCs/>
              </w:rPr>
              <w:t>30</w:t>
            </w:r>
            <w:r w:rsidRPr="00675182">
              <w:rPr>
                <w:rFonts w:cstheme="minorHAnsi"/>
                <w:b/>
                <w:i/>
                <w:iCs/>
              </w:rPr>
              <w:t>. attēls.</w:t>
            </w:r>
            <w:r w:rsidRPr="00675182">
              <w:rPr>
                <w:rFonts w:cstheme="minorHAnsi"/>
                <w:b/>
                <w:i/>
                <w:iCs/>
                <w:szCs w:val="24"/>
              </w:rPr>
              <w:t xml:space="preserve"> </w:t>
            </w:r>
            <w:r w:rsidRPr="00675182">
              <w:rPr>
                <w:rFonts w:cstheme="minorHAnsi"/>
                <w:b/>
                <w:bCs/>
                <w:i/>
                <w:iCs/>
                <w:szCs w:val="24"/>
              </w:rPr>
              <w:t>Vaives dzirnavu dīķis, 2012. g. (foto: L. Grīnberga)</w:t>
            </w:r>
          </w:p>
        </w:tc>
        <w:tc>
          <w:tcPr>
            <w:tcW w:w="4151" w:type="dxa"/>
          </w:tcPr>
          <w:p w14:paraId="62831851" w14:textId="0B15DDD5" w:rsidR="000629FA" w:rsidRPr="00675182" w:rsidRDefault="000629FA" w:rsidP="00F413EA">
            <w:pPr>
              <w:rPr>
                <w:rFonts w:cstheme="minorHAnsi"/>
                <w:b/>
                <w:bCs/>
                <w:i/>
                <w:iCs/>
                <w:szCs w:val="24"/>
              </w:rPr>
            </w:pPr>
            <w:r w:rsidRPr="00675182">
              <w:rPr>
                <w:rFonts w:cstheme="minorHAnsi"/>
                <w:b/>
                <w:i/>
                <w:iCs/>
              </w:rPr>
              <w:t>2.3.</w:t>
            </w:r>
            <w:r w:rsidR="00EF0A82" w:rsidRPr="00675182">
              <w:rPr>
                <w:rFonts w:cstheme="minorHAnsi"/>
                <w:b/>
                <w:i/>
                <w:iCs/>
              </w:rPr>
              <w:t>31</w:t>
            </w:r>
            <w:r w:rsidRPr="00675182">
              <w:rPr>
                <w:rFonts w:cstheme="minorHAnsi"/>
                <w:b/>
                <w:i/>
                <w:iCs/>
              </w:rPr>
              <w:t>. attēls.</w:t>
            </w:r>
            <w:r w:rsidRPr="00675182">
              <w:rPr>
                <w:rFonts w:cstheme="minorHAnsi"/>
                <w:b/>
                <w:i/>
                <w:iCs/>
                <w:szCs w:val="24"/>
              </w:rPr>
              <w:t xml:space="preserve"> </w:t>
            </w:r>
            <w:r w:rsidRPr="00675182">
              <w:rPr>
                <w:rFonts w:cstheme="minorHAnsi"/>
                <w:b/>
                <w:bCs/>
                <w:i/>
                <w:iCs/>
                <w:szCs w:val="24"/>
              </w:rPr>
              <w:t>Vaive bijušā dzirnavu dīķa vieta, 2020. g. – aizaugusi ar puķu spriganēm un latvāņiem (foto: L. Grīnberga)</w:t>
            </w:r>
          </w:p>
        </w:tc>
      </w:tr>
    </w:tbl>
    <w:p w14:paraId="5302A5C8" w14:textId="77777777" w:rsidR="000629FA" w:rsidRPr="00675182" w:rsidRDefault="000629FA" w:rsidP="00E3521C">
      <w:pPr>
        <w:jc w:val="both"/>
        <w:rPr>
          <w:rFonts w:cstheme="minorHAnsi"/>
          <w:szCs w:val="24"/>
        </w:rPr>
      </w:pPr>
    </w:p>
    <w:p w14:paraId="48923C4E" w14:textId="77777777" w:rsidR="00E3521C" w:rsidRPr="00675182" w:rsidRDefault="00E3521C" w:rsidP="00482409">
      <w:pPr>
        <w:keepNext/>
        <w:keepLines/>
        <w:jc w:val="both"/>
        <w:rPr>
          <w:rFonts w:cstheme="minorHAnsi"/>
          <w:i/>
          <w:iCs/>
          <w:szCs w:val="24"/>
          <w:u w:val="single"/>
        </w:rPr>
      </w:pPr>
      <w:bookmarkStart w:id="59" w:name="_Hlk97903558"/>
      <w:r w:rsidRPr="00675182">
        <w:rPr>
          <w:rFonts w:cstheme="minorHAnsi"/>
          <w:i/>
          <w:iCs/>
          <w:szCs w:val="24"/>
          <w:u w:val="single"/>
        </w:rPr>
        <w:t>HES un citi aizsprosti</w:t>
      </w:r>
    </w:p>
    <w:p w14:paraId="0B8271C3" w14:textId="5AF68A48" w:rsidR="000629FA" w:rsidRPr="00675182" w:rsidRDefault="00E3521C" w:rsidP="00482409">
      <w:pPr>
        <w:keepNext/>
        <w:keepLines/>
        <w:jc w:val="both"/>
        <w:rPr>
          <w:rFonts w:cstheme="minorHAnsi"/>
          <w:szCs w:val="24"/>
        </w:rPr>
      </w:pPr>
      <w:r w:rsidRPr="00675182">
        <w:rPr>
          <w:rFonts w:cstheme="minorHAnsi"/>
          <w:szCs w:val="24"/>
        </w:rPr>
        <w:t>GNP teritorijā uz upēm atrodas vairāki aizsprosti, turklāt upju hidroloģisko režīmu ietekmē arī ārpus teritorijas esošie uzpludinājumi.</w:t>
      </w:r>
      <w:r w:rsidR="000629FA" w:rsidRPr="00675182">
        <w:rPr>
          <w:rFonts w:cstheme="minorHAnsi"/>
          <w:szCs w:val="24"/>
        </w:rPr>
        <w:t xml:space="preserve"> Tie kavē zivju un bezmugurkaulnieku sugu migrāciju, kā arī ietekmē ūdens kvalitāti augšpus un lejpus uzpludinājumam. </w:t>
      </w:r>
    </w:p>
    <w:bookmarkEnd w:id="59"/>
    <w:p w14:paraId="7C2E23C6" w14:textId="77777777" w:rsidR="00E3521C" w:rsidRPr="00675182" w:rsidRDefault="00E3521C" w:rsidP="00E3521C">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7"/>
        <w:gridCol w:w="3944"/>
      </w:tblGrid>
      <w:tr w:rsidR="00E3521C" w:rsidRPr="00675182" w14:paraId="29949A8D" w14:textId="77777777" w:rsidTr="002C01EF">
        <w:tc>
          <w:tcPr>
            <w:tcW w:w="4150" w:type="dxa"/>
          </w:tcPr>
          <w:p w14:paraId="111F6875" w14:textId="498FA952" w:rsidR="00E3521C" w:rsidRPr="00675182" w:rsidRDefault="000629FA" w:rsidP="0060456A">
            <w:pPr>
              <w:keepNext/>
              <w:keepLines/>
              <w:jc w:val="both"/>
              <w:rPr>
                <w:rFonts w:cstheme="minorHAnsi"/>
                <w:szCs w:val="24"/>
              </w:rPr>
            </w:pPr>
            <w:bookmarkStart w:id="60" w:name="_Hlk53658437"/>
            <w:r w:rsidRPr="00675182">
              <w:rPr>
                <w:rFonts w:cstheme="minorHAnsi"/>
                <w:noProof/>
              </w:rPr>
              <w:lastRenderedPageBreak/>
              <w:drawing>
                <wp:inline distT="0" distB="0" distL="0" distR="0" wp14:anchorId="275F8D47" wp14:editId="17BB9225">
                  <wp:extent cx="2790825" cy="1861185"/>
                  <wp:effectExtent l="0" t="0" r="9525" b="5715"/>
                  <wp:docPr id="180" name="Attēls 180"/>
                  <wp:cNvGraphicFramePr/>
                  <a:graphic xmlns:a="http://schemas.openxmlformats.org/drawingml/2006/main">
                    <a:graphicData uri="http://schemas.openxmlformats.org/drawingml/2006/picture">
                      <pic:pic xmlns:pic="http://schemas.openxmlformats.org/drawingml/2006/picture">
                        <pic:nvPicPr>
                          <pic:cNvPr id="180" name="Attēls 180"/>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790825" cy="1861185"/>
                          </a:xfrm>
                          <a:prstGeom prst="rect">
                            <a:avLst/>
                          </a:prstGeom>
                          <a:noFill/>
                          <a:ln>
                            <a:noFill/>
                          </a:ln>
                        </pic:spPr>
                      </pic:pic>
                    </a:graphicData>
                  </a:graphic>
                </wp:inline>
              </w:drawing>
            </w:r>
          </w:p>
        </w:tc>
        <w:tc>
          <w:tcPr>
            <w:tcW w:w="4151" w:type="dxa"/>
          </w:tcPr>
          <w:p w14:paraId="7CF6F7FD" w14:textId="77777777" w:rsidR="00E3521C" w:rsidRPr="00675182" w:rsidRDefault="00E3521C" w:rsidP="0060456A">
            <w:pPr>
              <w:keepNext/>
              <w:keepLines/>
              <w:jc w:val="both"/>
              <w:rPr>
                <w:rFonts w:cstheme="minorHAnsi"/>
                <w:szCs w:val="24"/>
              </w:rPr>
            </w:pPr>
            <w:r w:rsidRPr="00675182">
              <w:rPr>
                <w:rFonts w:cstheme="minorHAnsi"/>
                <w:noProof/>
              </w:rPr>
              <w:drawing>
                <wp:inline distT="0" distB="0" distL="0" distR="0" wp14:anchorId="27FB5BBB" wp14:editId="70FACAA8">
                  <wp:extent cx="2514600" cy="1886177"/>
                  <wp:effectExtent l="0" t="0" r="0" b="0"/>
                  <wp:docPr id="1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520676" cy="1890735"/>
                          </a:xfrm>
                          <a:prstGeom prst="rect">
                            <a:avLst/>
                          </a:prstGeom>
                          <a:noFill/>
                          <a:ln>
                            <a:noFill/>
                          </a:ln>
                        </pic:spPr>
                      </pic:pic>
                    </a:graphicData>
                  </a:graphic>
                </wp:inline>
              </w:drawing>
            </w:r>
          </w:p>
        </w:tc>
      </w:tr>
      <w:tr w:rsidR="00E3521C" w:rsidRPr="00675182" w14:paraId="457EC45C" w14:textId="77777777" w:rsidTr="00AA3632">
        <w:trPr>
          <w:trHeight w:val="291"/>
        </w:trPr>
        <w:tc>
          <w:tcPr>
            <w:tcW w:w="4150" w:type="dxa"/>
          </w:tcPr>
          <w:p w14:paraId="44F9CD98" w14:textId="0677412A" w:rsidR="00E3521C" w:rsidRPr="00675182" w:rsidRDefault="0060456A" w:rsidP="00AA3632">
            <w:pPr>
              <w:keepNext/>
              <w:keepLines/>
              <w:rPr>
                <w:rFonts w:cstheme="minorHAnsi"/>
                <w:b/>
                <w:bCs/>
                <w:i/>
                <w:iCs/>
                <w:szCs w:val="24"/>
              </w:rPr>
            </w:pPr>
            <w:r w:rsidRPr="00675182">
              <w:rPr>
                <w:rFonts w:cstheme="minorHAnsi"/>
                <w:b/>
                <w:i/>
                <w:iCs/>
              </w:rPr>
              <w:t>2.3</w:t>
            </w:r>
            <w:r w:rsidR="00DC7F91" w:rsidRPr="00675182">
              <w:rPr>
                <w:rFonts w:cstheme="minorHAnsi"/>
                <w:b/>
                <w:i/>
                <w:iCs/>
              </w:rPr>
              <w:t>.</w:t>
            </w:r>
            <w:r w:rsidR="00FF336D" w:rsidRPr="00675182">
              <w:rPr>
                <w:rFonts w:cstheme="minorHAnsi"/>
                <w:b/>
                <w:i/>
                <w:iCs/>
              </w:rPr>
              <w:t>32</w:t>
            </w:r>
            <w:r w:rsidRPr="00675182">
              <w:rPr>
                <w:rFonts w:cstheme="minorHAnsi"/>
                <w:b/>
                <w:i/>
                <w:iCs/>
              </w:rPr>
              <w:t>. attēls.</w:t>
            </w:r>
            <w:r w:rsidRPr="00675182">
              <w:rPr>
                <w:rFonts w:cstheme="minorHAnsi"/>
                <w:b/>
                <w:i/>
                <w:iCs/>
                <w:szCs w:val="24"/>
              </w:rPr>
              <w:t xml:space="preserve"> </w:t>
            </w:r>
            <w:r w:rsidR="000629FA" w:rsidRPr="00675182">
              <w:rPr>
                <w:rFonts w:cstheme="minorHAnsi"/>
                <w:b/>
                <w:bCs/>
                <w:i/>
                <w:iCs/>
                <w:szCs w:val="24"/>
              </w:rPr>
              <w:t>Stalbes ūdenskrātuve uz iztaisnotās Līčupes, 2021. g.</w:t>
            </w:r>
            <w:r w:rsidR="00E3521C" w:rsidRPr="00675182">
              <w:rPr>
                <w:rFonts w:cstheme="minorHAnsi"/>
                <w:b/>
                <w:bCs/>
                <w:i/>
                <w:iCs/>
                <w:szCs w:val="24"/>
              </w:rPr>
              <w:t xml:space="preserve"> (foto: L. Grīnberga)</w:t>
            </w:r>
          </w:p>
        </w:tc>
        <w:tc>
          <w:tcPr>
            <w:tcW w:w="4151" w:type="dxa"/>
          </w:tcPr>
          <w:p w14:paraId="3E5106CD" w14:textId="06986C3E" w:rsidR="00E3521C" w:rsidRPr="00675182" w:rsidRDefault="0060456A" w:rsidP="00AA3632">
            <w:pPr>
              <w:keepNext/>
              <w:keepLines/>
              <w:rPr>
                <w:rFonts w:cstheme="minorHAnsi"/>
                <w:b/>
                <w:bCs/>
                <w:i/>
                <w:iCs/>
                <w:szCs w:val="24"/>
              </w:rPr>
            </w:pPr>
            <w:r w:rsidRPr="00675182">
              <w:rPr>
                <w:rFonts w:cstheme="minorHAnsi"/>
                <w:b/>
                <w:i/>
                <w:iCs/>
              </w:rPr>
              <w:t>2.3.</w:t>
            </w:r>
            <w:r w:rsidR="00FF336D" w:rsidRPr="00675182">
              <w:rPr>
                <w:rFonts w:cstheme="minorHAnsi"/>
                <w:b/>
                <w:i/>
                <w:iCs/>
              </w:rPr>
              <w:t>33</w:t>
            </w:r>
            <w:r w:rsidRPr="00675182">
              <w:rPr>
                <w:rFonts w:cstheme="minorHAnsi"/>
                <w:b/>
                <w:i/>
                <w:iCs/>
              </w:rPr>
              <w:t>. attēls.</w:t>
            </w:r>
            <w:r w:rsidRPr="00675182">
              <w:rPr>
                <w:rFonts w:cstheme="minorHAnsi"/>
                <w:b/>
                <w:i/>
                <w:iCs/>
                <w:szCs w:val="24"/>
              </w:rPr>
              <w:t xml:space="preserve"> </w:t>
            </w:r>
            <w:r w:rsidR="00E3521C" w:rsidRPr="00675182">
              <w:rPr>
                <w:rFonts w:cstheme="minorHAnsi"/>
                <w:b/>
                <w:bCs/>
                <w:i/>
                <w:iCs/>
                <w:szCs w:val="24"/>
              </w:rPr>
              <w:t>Nurmižu dzirnavu dīķis</w:t>
            </w:r>
            <w:r w:rsidR="00772664" w:rsidRPr="00675182">
              <w:rPr>
                <w:rFonts w:cstheme="minorHAnsi"/>
                <w:b/>
                <w:bCs/>
                <w:i/>
                <w:iCs/>
                <w:szCs w:val="24"/>
              </w:rPr>
              <w:t>,</w:t>
            </w:r>
            <w:r w:rsidR="00E3521C" w:rsidRPr="00675182">
              <w:rPr>
                <w:rFonts w:cstheme="minorHAnsi"/>
                <w:b/>
                <w:bCs/>
                <w:i/>
                <w:iCs/>
                <w:szCs w:val="24"/>
              </w:rPr>
              <w:t xml:space="preserve"> 2012. g. (foto: L. Grīnberga)</w:t>
            </w:r>
          </w:p>
        </w:tc>
      </w:tr>
      <w:bookmarkEnd w:id="60"/>
    </w:tbl>
    <w:p w14:paraId="2B3FC7C1" w14:textId="77777777" w:rsidR="00E3521C" w:rsidRPr="00675182" w:rsidRDefault="00E3521C" w:rsidP="00E3521C">
      <w:pPr>
        <w:jc w:val="both"/>
        <w:rPr>
          <w:rFonts w:cstheme="minorHAnsi"/>
          <w:szCs w:val="24"/>
        </w:rPr>
      </w:pPr>
    </w:p>
    <w:p w14:paraId="48DEF1C8" w14:textId="77777777" w:rsidR="00E3521C" w:rsidRPr="00675182" w:rsidRDefault="00E3521C" w:rsidP="00E3521C">
      <w:pPr>
        <w:jc w:val="both"/>
        <w:rPr>
          <w:rFonts w:cstheme="minorHAnsi"/>
          <w:i/>
          <w:iCs/>
          <w:szCs w:val="24"/>
          <w:u w:val="single"/>
        </w:rPr>
      </w:pPr>
      <w:bookmarkStart w:id="61" w:name="_Hlk97903575"/>
      <w:r w:rsidRPr="00675182">
        <w:rPr>
          <w:rFonts w:cstheme="minorHAnsi"/>
          <w:i/>
          <w:iCs/>
          <w:szCs w:val="24"/>
          <w:u w:val="single"/>
        </w:rPr>
        <w:t>Makšķerēšana, nelegālā zveja</w:t>
      </w:r>
    </w:p>
    <w:p w14:paraId="2BEE681D" w14:textId="5151E7F1" w:rsidR="00E3521C" w:rsidRPr="00675182" w:rsidRDefault="00E3521C" w:rsidP="00E3521C">
      <w:pPr>
        <w:jc w:val="both"/>
        <w:rPr>
          <w:rFonts w:cstheme="minorHAnsi"/>
          <w:szCs w:val="24"/>
        </w:rPr>
      </w:pPr>
      <w:r w:rsidRPr="00675182">
        <w:rPr>
          <w:rFonts w:cstheme="minorHAnsi"/>
          <w:szCs w:val="24"/>
        </w:rPr>
        <w:t xml:space="preserve">Makšķerēšanas negatīvākais blakusefekts ir zivju piebarošana, īpaši ziemā, kā arī makšķernieku atstātie atkritumi </w:t>
      </w:r>
      <w:r w:rsidR="00FA0FF1" w:rsidRPr="00675182">
        <w:rPr>
          <w:rFonts w:cstheme="minorHAnsi"/>
          <w:szCs w:val="24"/>
        </w:rPr>
        <w:t>ūdenstilpēs</w:t>
      </w:r>
      <w:r w:rsidRPr="00675182">
        <w:rPr>
          <w:rFonts w:cstheme="minorHAnsi"/>
          <w:szCs w:val="24"/>
        </w:rPr>
        <w:t xml:space="preserve"> un to piekrastēs.</w:t>
      </w:r>
    </w:p>
    <w:p w14:paraId="741CEDEF" w14:textId="77777777" w:rsidR="00E3521C" w:rsidRPr="00675182" w:rsidRDefault="00E3521C" w:rsidP="00E3521C">
      <w:pPr>
        <w:jc w:val="both"/>
        <w:rPr>
          <w:rFonts w:cstheme="minorHAnsi"/>
          <w:szCs w:val="24"/>
        </w:rPr>
      </w:pPr>
    </w:p>
    <w:p w14:paraId="14E0DC05" w14:textId="77777777" w:rsidR="00E3521C" w:rsidRPr="00675182" w:rsidRDefault="00E3521C" w:rsidP="00E3521C">
      <w:pPr>
        <w:jc w:val="both"/>
        <w:rPr>
          <w:rFonts w:cstheme="minorHAnsi"/>
          <w:i/>
          <w:iCs/>
          <w:szCs w:val="24"/>
          <w:u w:val="single"/>
        </w:rPr>
      </w:pPr>
      <w:r w:rsidRPr="00675182">
        <w:rPr>
          <w:rFonts w:cstheme="minorHAnsi"/>
          <w:i/>
          <w:iCs/>
          <w:szCs w:val="24"/>
          <w:u w:val="single"/>
        </w:rPr>
        <w:t>Bebru darbība</w:t>
      </w:r>
    </w:p>
    <w:p w14:paraId="11655867" w14:textId="26E0200C" w:rsidR="00E3521C" w:rsidRPr="00675182" w:rsidRDefault="00E3521C" w:rsidP="00E3521C">
      <w:pPr>
        <w:jc w:val="both"/>
        <w:rPr>
          <w:rFonts w:cstheme="minorHAnsi"/>
          <w:szCs w:val="24"/>
        </w:rPr>
      </w:pPr>
      <w:r w:rsidRPr="00675182">
        <w:rPr>
          <w:rFonts w:cstheme="minorHAnsi"/>
          <w:szCs w:val="24"/>
        </w:rPr>
        <w:t>GNP upes ir straujas, bebru ietekme ir samērā neliela, bet šī situācija ir ļoti mainīga, tādēļ jāseko līdzi bebru skaita izmaiņām un situācijai teritorijā, lai nodrošinātu noteci no ezeriem un ūdens apmaiņu, tādējādi novēršot ezeru ūdens līmeņa paaugstināšanos un ekoloģiskā stāvokļa pasliktināšanos. Īpaši bebru darbības ietekmei jāseko līdzi to upju posmos, kur sastopamas retas bezmugurkaulnieku sugas.</w:t>
      </w:r>
      <w:r w:rsidRPr="00675182">
        <w:rPr>
          <w:rFonts w:cstheme="minorHAnsi"/>
        </w:rPr>
        <w:t xml:space="preserve"> </w:t>
      </w:r>
      <w:r w:rsidRPr="00675182">
        <w:rPr>
          <w:rFonts w:cstheme="minorHAnsi"/>
          <w:szCs w:val="24"/>
        </w:rPr>
        <w:t>Igaunijā veiktā pētījumā secināts, ka strauji tekoša upe uzskatāma par stipri ietekmētu, ja viena 1 – 2 km garā posmā ir viens bebru aizsprosts</w:t>
      </w:r>
      <w:r w:rsidR="0060456A" w:rsidRPr="00675182">
        <w:rPr>
          <w:rFonts w:cstheme="minorHAnsi"/>
          <w:szCs w:val="24"/>
        </w:rPr>
        <w:t xml:space="preserve"> (</w:t>
      </w:r>
      <w:r w:rsidR="0060456A" w:rsidRPr="00675182">
        <w:rPr>
          <w:rFonts w:cstheme="minorHAnsi"/>
        </w:rPr>
        <w:t>Järvet</w:t>
      </w:r>
      <w:r w:rsidR="00966A1C" w:rsidRPr="00675182">
        <w:rPr>
          <w:rFonts w:cstheme="minorHAnsi"/>
        </w:rPr>
        <w:t>,</w:t>
      </w:r>
      <w:r w:rsidR="0060456A" w:rsidRPr="00675182">
        <w:rPr>
          <w:rFonts w:cstheme="minorHAnsi"/>
        </w:rPr>
        <w:t xml:space="preserve"> 2014)</w:t>
      </w:r>
      <w:r w:rsidRPr="00675182">
        <w:rPr>
          <w:rFonts w:cstheme="minorHAnsi"/>
          <w:szCs w:val="24"/>
        </w:rPr>
        <w:t>.</w:t>
      </w:r>
    </w:p>
    <w:p w14:paraId="77FD1DD0" w14:textId="77777777" w:rsidR="00E3521C" w:rsidRPr="00675182" w:rsidRDefault="00E3521C" w:rsidP="00E3521C">
      <w:pPr>
        <w:jc w:val="both"/>
        <w:rPr>
          <w:rFonts w:cstheme="minorHAnsi"/>
          <w:szCs w:val="24"/>
        </w:rPr>
      </w:pPr>
    </w:p>
    <w:p w14:paraId="446DAFD2" w14:textId="77777777" w:rsidR="00E3521C" w:rsidRPr="00675182" w:rsidRDefault="00E3521C" w:rsidP="00E3521C">
      <w:pPr>
        <w:jc w:val="both"/>
        <w:rPr>
          <w:rFonts w:cstheme="minorHAnsi"/>
          <w:i/>
          <w:iCs/>
          <w:szCs w:val="24"/>
          <w:u w:val="single"/>
        </w:rPr>
      </w:pPr>
      <w:r w:rsidRPr="00675182">
        <w:rPr>
          <w:rFonts w:cstheme="minorHAnsi"/>
          <w:i/>
          <w:iCs/>
          <w:szCs w:val="24"/>
          <w:u w:val="single"/>
        </w:rPr>
        <w:t>Meliorācijas ietekme</w:t>
      </w:r>
    </w:p>
    <w:p w14:paraId="3EFEDD7C" w14:textId="75F3F561" w:rsidR="00E3521C" w:rsidRPr="00675182" w:rsidRDefault="00E3521C" w:rsidP="00E3521C">
      <w:pPr>
        <w:jc w:val="both"/>
        <w:rPr>
          <w:rFonts w:cstheme="minorHAnsi"/>
          <w:szCs w:val="24"/>
        </w:rPr>
      </w:pPr>
      <w:r w:rsidRPr="00675182">
        <w:rPr>
          <w:rFonts w:cstheme="minorHAnsi"/>
          <w:szCs w:val="24"/>
        </w:rPr>
        <w:t xml:space="preserve">Daudzas ūdenstilpes būtiski ietekmējusi un turpina ietekmēt meliorācija. Visā garumā GNP teritorijā iztaisnota Dūkupīte (ietek Lenčupē), Līčupe (ietek Braslā), vairāk </w:t>
      </w:r>
      <w:r w:rsidR="0060456A" w:rsidRPr="00675182">
        <w:rPr>
          <w:rFonts w:cstheme="minorHAnsi"/>
          <w:szCs w:val="24"/>
        </w:rPr>
        <w:t>ne</w:t>
      </w:r>
      <w:r w:rsidRPr="00675182">
        <w:rPr>
          <w:rFonts w:cstheme="minorHAnsi"/>
          <w:szCs w:val="24"/>
        </w:rPr>
        <w:t xml:space="preserve">kā puse no Grašupes, Ķikutupītes, Nurmižupītes un Krīvupītes kopgaruma. </w:t>
      </w:r>
    </w:p>
    <w:p w14:paraId="5D630874" w14:textId="77777777" w:rsidR="0060456A" w:rsidRPr="00675182" w:rsidRDefault="0060456A" w:rsidP="00E3521C">
      <w:pPr>
        <w:jc w:val="both"/>
        <w:rPr>
          <w:rFonts w:cstheme="minorHAnsi"/>
          <w:szCs w:val="24"/>
        </w:rPr>
      </w:pPr>
    </w:p>
    <w:p w14:paraId="5283C1DA" w14:textId="1359B3D3" w:rsidR="00E3521C" w:rsidRPr="00675182" w:rsidRDefault="00E3521C" w:rsidP="00E3521C">
      <w:pPr>
        <w:jc w:val="both"/>
        <w:rPr>
          <w:rFonts w:cstheme="minorHAnsi"/>
          <w:szCs w:val="24"/>
        </w:rPr>
      </w:pPr>
      <w:r w:rsidRPr="00675182">
        <w:rPr>
          <w:rFonts w:cstheme="minorHAnsi"/>
          <w:szCs w:val="24"/>
        </w:rPr>
        <w:t xml:space="preserve">Regulējot iztekošos strautus un upes, vairākos ezeros pazemināts līmenis, kas veicinājis to aizaugšanu (Āraišu ez., Vīņaudu ez., Idūnu ezeri </w:t>
      </w:r>
      <w:r w:rsidR="0060456A" w:rsidRPr="00675182">
        <w:rPr>
          <w:rFonts w:cstheme="minorHAnsi"/>
          <w:szCs w:val="24"/>
        </w:rPr>
        <w:t>(skat. 2.3.</w:t>
      </w:r>
      <w:r w:rsidR="00135B31" w:rsidRPr="00675182">
        <w:rPr>
          <w:rFonts w:cstheme="minorHAnsi"/>
          <w:szCs w:val="24"/>
        </w:rPr>
        <w:t>3</w:t>
      </w:r>
      <w:r w:rsidR="005F00A2" w:rsidRPr="00675182">
        <w:rPr>
          <w:rFonts w:cstheme="minorHAnsi"/>
          <w:szCs w:val="24"/>
        </w:rPr>
        <w:t>4</w:t>
      </w:r>
      <w:r w:rsidR="0060456A" w:rsidRPr="00675182">
        <w:rPr>
          <w:rFonts w:cstheme="minorHAnsi"/>
          <w:szCs w:val="24"/>
        </w:rPr>
        <w:t>. attēlu</w:t>
      </w:r>
      <w:r w:rsidRPr="00675182">
        <w:rPr>
          <w:rFonts w:cstheme="minorHAnsi"/>
          <w:szCs w:val="24"/>
        </w:rPr>
        <w:t>). Veicot iztekošo upju iztaisnošanu, nosusināts Kūduma ezers</w:t>
      </w:r>
      <w:r w:rsidR="0060456A" w:rsidRPr="00675182">
        <w:rPr>
          <w:rFonts w:cstheme="minorHAnsi"/>
          <w:szCs w:val="24"/>
        </w:rPr>
        <w:t xml:space="preserve"> un</w:t>
      </w:r>
      <w:r w:rsidRPr="00675182">
        <w:rPr>
          <w:rFonts w:cstheme="minorHAnsi"/>
          <w:szCs w:val="24"/>
        </w:rPr>
        <w:t xml:space="preserve"> Anuļu ezers.</w:t>
      </w:r>
    </w:p>
    <w:bookmarkEnd w:id="61"/>
    <w:p w14:paraId="23B09FF0" w14:textId="77777777" w:rsidR="00E3521C" w:rsidRPr="00675182" w:rsidRDefault="00E3521C" w:rsidP="00E3521C">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4153"/>
      </w:tblGrid>
      <w:tr w:rsidR="00E3521C" w:rsidRPr="00675182" w14:paraId="2449A81A" w14:textId="77777777" w:rsidTr="002C01EF">
        <w:tc>
          <w:tcPr>
            <w:tcW w:w="4150" w:type="dxa"/>
          </w:tcPr>
          <w:p w14:paraId="49F48890" w14:textId="77777777" w:rsidR="00E3521C" w:rsidRPr="00675182" w:rsidRDefault="00E3521C" w:rsidP="00940648">
            <w:pPr>
              <w:keepNext/>
              <w:keepLines/>
              <w:jc w:val="center"/>
              <w:rPr>
                <w:rFonts w:cstheme="minorHAnsi"/>
                <w:szCs w:val="24"/>
              </w:rPr>
            </w:pPr>
            <w:r w:rsidRPr="00675182">
              <w:rPr>
                <w:rFonts w:cstheme="minorHAnsi"/>
                <w:noProof/>
              </w:rPr>
              <w:lastRenderedPageBreak/>
              <w:drawing>
                <wp:inline distT="0" distB="0" distL="0" distR="0" wp14:anchorId="603D71EF" wp14:editId="3048D509">
                  <wp:extent cx="2543175" cy="1907305"/>
                  <wp:effectExtent l="0" t="0" r="0" b="0"/>
                  <wp:docPr id="1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548131" cy="1911022"/>
                          </a:xfrm>
                          <a:prstGeom prst="rect">
                            <a:avLst/>
                          </a:prstGeom>
                          <a:noFill/>
                          <a:ln>
                            <a:noFill/>
                          </a:ln>
                        </pic:spPr>
                      </pic:pic>
                    </a:graphicData>
                  </a:graphic>
                </wp:inline>
              </w:drawing>
            </w:r>
          </w:p>
        </w:tc>
        <w:tc>
          <w:tcPr>
            <w:tcW w:w="4151" w:type="dxa"/>
          </w:tcPr>
          <w:p w14:paraId="4527D600" w14:textId="77777777" w:rsidR="00E3521C" w:rsidRPr="00675182" w:rsidRDefault="00E3521C" w:rsidP="00940648">
            <w:pPr>
              <w:keepNext/>
              <w:keepLines/>
              <w:jc w:val="center"/>
              <w:rPr>
                <w:rFonts w:cstheme="minorHAnsi"/>
                <w:szCs w:val="24"/>
              </w:rPr>
            </w:pPr>
            <w:r w:rsidRPr="00675182">
              <w:rPr>
                <w:rFonts w:cstheme="minorHAnsi"/>
                <w:noProof/>
              </w:rPr>
              <w:drawing>
                <wp:inline distT="0" distB="0" distL="0" distR="0" wp14:anchorId="752193BB" wp14:editId="242D687E">
                  <wp:extent cx="2540102" cy="1905000"/>
                  <wp:effectExtent l="0" t="0" r="0" b="0"/>
                  <wp:docPr id="18"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549080" cy="1911734"/>
                          </a:xfrm>
                          <a:prstGeom prst="rect">
                            <a:avLst/>
                          </a:prstGeom>
                          <a:noFill/>
                          <a:ln>
                            <a:noFill/>
                          </a:ln>
                        </pic:spPr>
                      </pic:pic>
                    </a:graphicData>
                  </a:graphic>
                </wp:inline>
              </w:drawing>
            </w:r>
          </w:p>
        </w:tc>
      </w:tr>
      <w:tr w:rsidR="00E3521C" w:rsidRPr="00675182" w14:paraId="1ECF41F5" w14:textId="77777777" w:rsidTr="002C01EF">
        <w:tc>
          <w:tcPr>
            <w:tcW w:w="8301" w:type="dxa"/>
            <w:gridSpan w:val="2"/>
          </w:tcPr>
          <w:p w14:paraId="38C2A8B7" w14:textId="018B2821" w:rsidR="00E3521C" w:rsidRPr="00675182" w:rsidRDefault="0060456A" w:rsidP="00940648">
            <w:pPr>
              <w:keepNext/>
              <w:keepLines/>
              <w:jc w:val="both"/>
              <w:rPr>
                <w:rFonts w:cstheme="minorHAnsi"/>
                <w:b/>
                <w:bCs/>
                <w:i/>
                <w:iCs/>
                <w:szCs w:val="24"/>
              </w:rPr>
            </w:pPr>
            <w:r w:rsidRPr="00675182">
              <w:rPr>
                <w:rFonts w:cstheme="minorHAnsi"/>
                <w:b/>
                <w:i/>
                <w:iCs/>
              </w:rPr>
              <w:t>2.3.</w:t>
            </w:r>
            <w:r w:rsidR="00135B31" w:rsidRPr="00675182">
              <w:rPr>
                <w:rFonts w:cstheme="minorHAnsi"/>
                <w:b/>
                <w:i/>
                <w:iCs/>
              </w:rPr>
              <w:t>3</w:t>
            </w:r>
            <w:r w:rsidR="00FF336D" w:rsidRPr="00675182">
              <w:rPr>
                <w:rFonts w:cstheme="minorHAnsi"/>
                <w:b/>
                <w:i/>
                <w:iCs/>
              </w:rPr>
              <w:t>4</w:t>
            </w:r>
            <w:r w:rsidRPr="00675182">
              <w:rPr>
                <w:rFonts w:cstheme="minorHAnsi"/>
                <w:b/>
                <w:i/>
                <w:iCs/>
              </w:rPr>
              <w:t>. attēls.</w:t>
            </w:r>
            <w:r w:rsidRPr="00675182">
              <w:rPr>
                <w:rFonts w:cstheme="minorHAnsi"/>
                <w:b/>
                <w:i/>
                <w:iCs/>
                <w:szCs w:val="24"/>
              </w:rPr>
              <w:t xml:space="preserve"> </w:t>
            </w:r>
            <w:r w:rsidR="00E3521C" w:rsidRPr="00675182">
              <w:rPr>
                <w:rFonts w:cstheme="minorHAnsi"/>
                <w:b/>
                <w:bCs/>
                <w:i/>
                <w:iCs/>
                <w:szCs w:val="24"/>
              </w:rPr>
              <w:t>Aizaugošie Idūnu ezeri</w:t>
            </w:r>
            <w:r w:rsidR="003178F9" w:rsidRPr="00675182">
              <w:rPr>
                <w:rFonts w:cstheme="minorHAnsi"/>
                <w:b/>
                <w:bCs/>
                <w:i/>
                <w:iCs/>
                <w:szCs w:val="24"/>
              </w:rPr>
              <w:t>, 2017. g.</w:t>
            </w:r>
            <w:r w:rsidR="00E3521C" w:rsidRPr="00675182">
              <w:rPr>
                <w:rFonts w:cstheme="minorHAnsi"/>
                <w:b/>
                <w:bCs/>
                <w:i/>
                <w:iCs/>
                <w:szCs w:val="24"/>
              </w:rPr>
              <w:t xml:space="preserve"> (foto: L. Grīnberga)</w:t>
            </w:r>
          </w:p>
        </w:tc>
      </w:tr>
    </w:tbl>
    <w:p w14:paraId="102226CE" w14:textId="77777777" w:rsidR="00E3521C" w:rsidRPr="00675182" w:rsidRDefault="00E3521C" w:rsidP="00E3521C">
      <w:pPr>
        <w:jc w:val="both"/>
        <w:rPr>
          <w:rFonts w:cstheme="minorHAnsi"/>
          <w:szCs w:val="24"/>
        </w:rPr>
      </w:pPr>
    </w:p>
    <w:p w14:paraId="0937554D" w14:textId="77777777" w:rsidR="00E3521C" w:rsidRPr="00675182" w:rsidRDefault="00E3521C" w:rsidP="00E3521C">
      <w:pPr>
        <w:jc w:val="both"/>
        <w:rPr>
          <w:rFonts w:cstheme="minorHAnsi"/>
          <w:i/>
          <w:iCs/>
          <w:szCs w:val="24"/>
          <w:u w:val="single"/>
        </w:rPr>
      </w:pPr>
      <w:bookmarkStart w:id="62" w:name="_Hlk97903590"/>
      <w:r w:rsidRPr="00675182">
        <w:rPr>
          <w:rFonts w:cstheme="minorHAnsi"/>
          <w:i/>
          <w:iCs/>
          <w:szCs w:val="24"/>
          <w:u w:val="single"/>
        </w:rPr>
        <w:t>Koku sagāzumi</w:t>
      </w:r>
    </w:p>
    <w:p w14:paraId="2AD021BF" w14:textId="2A437DD5" w:rsidR="00E3521C" w:rsidRPr="00675182" w:rsidRDefault="00E3521C" w:rsidP="00E3521C">
      <w:pPr>
        <w:jc w:val="both"/>
        <w:rPr>
          <w:rFonts w:cstheme="minorHAnsi"/>
          <w:szCs w:val="24"/>
        </w:rPr>
      </w:pPr>
      <w:r w:rsidRPr="00675182">
        <w:rPr>
          <w:rFonts w:cstheme="minorHAnsi"/>
          <w:szCs w:val="24"/>
        </w:rPr>
        <w:t>Koku sagāzumi upēs var radīt straumes traucējumus un negatīvu ietekmi uz ekosistēmu. Koku sagāzumu izvākšana ir pieļaujama lielākajās upēs, kuras tiek izmantotas laivošanai.</w:t>
      </w:r>
      <w:r w:rsidRPr="00675182">
        <w:rPr>
          <w:rFonts w:cstheme="minorHAnsi"/>
        </w:rPr>
        <w:t xml:space="preserve"> </w:t>
      </w:r>
      <w:r w:rsidRPr="00675182">
        <w:rPr>
          <w:rFonts w:cstheme="minorHAnsi"/>
          <w:szCs w:val="24"/>
        </w:rPr>
        <w:t>Posmos, kur upēs sakritušie koki aizsprosto straumi, veidojot uzpludinājumus un izraisot detrīta un sedimentu akumulēšanos, būtu rekomendējama daļēja koksnes izvākšana, atjaunojot raksturīgo upes tecējumu, un atstājot pārējo koksni, kas nodrošinātu ūdens bezmugurkaulniekiem un zivīm (sevišķi lašveidīgo zivju mazuļiem) nepieciešamos koksnes mikrobiotopus. Koksne kalpo kā olu dēšanas substrāts ūdens kukaiņiem un ir stabils iekūņošanās un izlidošanas substrāts, tā kalpo arī kā substrāts, kur apmesties un pāroties pieaugušajiem ūdens kukaiņiem.</w:t>
      </w:r>
    </w:p>
    <w:p w14:paraId="7A3F1F01" w14:textId="62956644" w:rsidR="000629FA" w:rsidRPr="00675182" w:rsidRDefault="000629FA" w:rsidP="00E3521C">
      <w:pPr>
        <w:jc w:val="both"/>
        <w:rPr>
          <w:rFonts w:cstheme="minorHAnsi"/>
          <w:szCs w:val="24"/>
        </w:rPr>
      </w:pPr>
    </w:p>
    <w:p w14:paraId="76D4EF76" w14:textId="77777777" w:rsidR="000629FA" w:rsidRPr="00675182" w:rsidRDefault="000629FA" w:rsidP="000629FA">
      <w:pPr>
        <w:jc w:val="both"/>
        <w:rPr>
          <w:rFonts w:cstheme="minorHAnsi"/>
          <w:i/>
          <w:iCs/>
          <w:szCs w:val="24"/>
          <w:u w:val="single"/>
        </w:rPr>
      </w:pPr>
      <w:r w:rsidRPr="00675182">
        <w:rPr>
          <w:rFonts w:cstheme="minorHAnsi"/>
          <w:i/>
          <w:iCs/>
          <w:szCs w:val="24"/>
          <w:u w:val="single"/>
        </w:rPr>
        <w:t>Lauksaimnieciskā darbība</w:t>
      </w:r>
    </w:p>
    <w:bookmarkEnd w:id="62"/>
    <w:p w14:paraId="5374D004" w14:textId="77777777" w:rsidR="00FA0FF1" w:rsidRPr="00675182" w:rsidRDefault="00FA0FF1" w:rsidP="00FA0FF1">
      <w:pPr>
        <w:jc w:val="both"/>
        <w:rPr>
          <w:rFonts w:cstheme="minorHAnsi"/>
          <w:szCs w:val="24"/>
        </w:rPr>
      </w:pPr>
      <w:r w:rsidRPr="00675182">
        <w:rPr>
          <w:rFonts w:cstheme="minorHAnsi"/>
          <w:szCs w:val="24"/>
        </w:rPr>
        <w:t>Intensīvi apsaimniekotās lauksaimniecības zemes lielākoties ir meliorētas, upītes un strauti iztaisnoti. Bet arī iztaisnotās upju augšteces un ietekošie grāvji negatīvi ietekmē ūdens kvalitāti upju vidustecēs un lejtecēs. Lai samazinātu papildus barības vielu nokļūšanu ūdeņos, svarīgi lauksaimniecības zemēm gar grāvjiem un upēm atstāt neapstrādātu buferzonu, kā arī saglabāt koku-krūmu joslu</w:t>
      </w:r>
    </w:p>
    <w:p w14:paraId="530E9E19" w14:textId="77777777" w:rsidR="000629FA" w:rsidRPr="00675182" w:rsidRDefault="000629FA" w:rsidP="000629FA">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56"/>
      </w:tblGrid>
      <w:tr w:rsidR="000629FA" w:rsidRPr="00675182" w14:paraId="317418E6" w14:textId="77777777" w:rsidTr="000629FA">
        <w:tc>
          <w:tcPr>
            <w:tcW w:w="4151" w:type="dxa"/>
            <w:hideMark/>
          </w:tcPr>
          <w:p w14:paraId="72D415C5" w14:textId="13154AA0" w:rsidR="000629FA" w:rsidRPr="00675182" w:rsidRDefault="000629FA">
            <w:pPr>
              <w:jc w:val="both"/>
              <w:rPr>
                <w:rFonts w:cstheme="minorHAnsi"/>
                <w:szCs w:val="24"/>
              </w:rPr>
            </w:pPr>
            <w:r w:rsidRPr="00675182">
              <w:rPr>
                <w:rFonts w:cstheme="minorHAnsi"/>
                <w:noProof/>
              </w:rPr>
              <w:drawing>
                <wp:inline distT="0" distB="0" distL="0" distR="0" wp14:anchorId="01216B38" wp14:editId="4B122B55">
                  <wp:extent cx="2522220" cy="1897380"/>
                  <wp:effectExtent l="0" t="0" r="0" b="762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522220" cy="1897380"/>
                          </a:xfrm>
                          <a:prstGeom prst="rect">
                            <a:avLst/>
                          </a:prstGeom>
                          <a:noFill/>
                          <a:ln>
                            <a:noFill/>
                          </a:ln>
                        </pic:spPr>
                      </pic:pic>
                    </a:graphicData>
                  </a:graphic>
                </wp:inline>
              </w:drawing>
            </w:r>
          </w:p>
        </w:tc>
        <w:tc>
          <w:tcPr>
            <w:tcW w:w="4150" w:type="dxa"/>
            <w:hideMark/>
          </w:tcPr>
          <w:p w14:paraId="4D542DF6" w14:textId="24095DB4" w:rsidR="000629FA" w:rsidRPr="00675182" w:rsidRDefault="000629FA">
            <w:pPr>
              <w:jc w:val="both"/>
              <w:rPr>
                <w:rFonts w:cstheme="minorHAnsi"/>
                <w:szCs w:val="24"/>
              </w:rPr>
            </w:pPr>
            <w:r w:rsidRPr="00675182">
              <w:rPr>
                <w:rFonts w:cstheme="minorHAnsi"/>
                <w:noProof/>
              </w:rPr>
              <w:drawing>
                <wp:inline distT="0" distB="0" distL="0" distR="0" wp14:anchorId="7A1AF278" wp14:editId="0D3ACE4F">
                  <wp:extent cx="2522220" cy="1897380"/>
                  <wp:effectExtent l="0" t="0" r="0" b="762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522220" cy="1897380"/>
                          </a:xfrm>
                          <a:prstGeom prst="rect">
                            <a:avLst/>
                          </a:prstGeom>
                          <a:noFill/>
                          <a:ln>
                            <a:noFill/>
                          </a:ln>
                        </pic:spPr>
                      </pic:pic>
                    </a:graphicData>
                  </a:graphic>
                </wp:inline>
              </w:drawing>
            </w:r>
          </w:p>
        </w:tc>
      </w:tr>
      <w:tr w:rsidR="000629FA" w:rsidRPr="00675182" w14:paraId="725F62CD" w14:textId="77777777" w:rsidTr="000629FA">
        <w:tc>
          <w:tcPr>
            <w:tcW w:w="8301" w:type="dxa"/>
            <w:gridSpan w:val="2"/>
            <w:hideMark/>
          </w:tcPr>
          <w:p w14:paraId="4DEC03EC" w14:textId="4CB9E5C2" w:rsidR="000629FA" w:rsidRPr="00675182" w:rsidRDefault="000629FA">
            <w:pPr>
              <w:jc w:val="both"/>
              <w:rPr>
                <w:rFonts w:cstheme="minorHAnsi"/>
                <w:b/>
                <w:bCs/>
                <w:i/>
                <w:iCs/>
                <w:szCs w:val="24"/>
              </w:rPr>
            </w:pPr>
            <w:r w:rsidRPr="00675182">
              <w:rPr>
                <w:rFonts w:cstheme="minorHAnsi"/>
                <w:b/>
                <w:bCs/>
                <w:i/>
                <w:iCs/>
                <w:szCs w:val="24"/>
              </w:rPr>
              <w:t>2.3.</w:t>
            </w:r>
            <w:r w:rsidR="00FF336D" w:rsidRPr="00675182">
              <w:rPr>
                <w:rFonts w:cstheme="minorHAnsi"/>
                <w:b/>
                <w:bCs/>
                <w:i/>
                <w:iCs/>
                <w:szCs w:val="24"/>
              </w:rPr>
              <w:t>35</w:t>
            </w:r>
            <w:r w:rsidRPr="00675182">
              <w:rPr>
                <w:rFonts w:cstheme="minorHAnsi"/>
                <w:b/>
                <w:bCs/>
                <w:i/>
                <w:iCs/>
                <w:szCs w:val="24"/>
              </w:rPr>
              <w:t>. attēls. Iztaisnotais Dimzu strauts, 2020. g. (foto: L. Grīnberga)</w:t>
            </w:r>
          </w:p>
        </w:tc>
      </w:tr>
    </w:tbl>
    <w:p w14:paraId="484D6076" w14:textId="5B7A7358" w:rsidR="00BF49E5" w:rsidRPr="00675182" w:rsidRDefault="00BF49E5" w:rsidP="002B3341">
      <w:pPr>
        <w:jc w:val="both"/>
        <w:rPr>
          <w:rFonts w:cstheme="minorHAnsi"/>
          <w:szCs w:val="24"/>
        </w:rPr>
      </w:pPr>
    </w:p>
    <w:p w14:paraId="5B582076" w14:textId="1DD55AC6" w:rsidR="00BF49E5" w:rsidRPr="00675182" w:rsidRDefault="00BF49E5" w:rsidP="00570A78">
      <w:pPr>
        <w:pStyle w:val="Heading3"/>
        <w:keepLines/>
        <w:numPr>
          <w:ilvl w:val="0"/>
          <w:numId w:val="0"/>
        </w:numPr>
        <w:rPr>
          <w:rFonts w:cstheme="minorHAnsi"/>
          <w:b/>
          <w:szCs w:val="24"/>
          <w:lang w:val="lv-LV"/>
        </w:rPr>
      </w:pPr>
      <w:bookmarkStart w:id="63" w:name="_Toc116938404"/>
      <w:r w:rsidRPr="00675182">
        <w:rPr>
          <w:rFonts w:cstheme="minorHAnsi"/>
          <w:b/>
          <w:szCs w:val="24"/>
          <w:lang w:val="lv-LV"/>
        </w:rPr>
        <w:t xml:space="preserve">2.3.2. Iežu atsegumu un </w:t>
      </w:r>
      <w:r w:rsidR="00FA4A9C" w:rsidRPr="00675182">
        <w:rPr>
          <w:rFonts w:cstheme="minorHAnsi"/>
          <w:b/>
          <w:szCs w:val="24"/>
          <w:lang w:val="lv-LV"/>
        </w:rPr>
        <w:t>alu biotopi</w:t>
      </w:r>
      <w:bookmarkEnd w:id="63"/>
    </w:p>
    <w:p w14:paraId="6FEC76AC" w14:textId="79F7A3DE" w:rsidR="008A68CA" w:rsidRPr="00675182" w:rsidRDefault="008A68CA" w:rsidP="008A68CA">
      <w:pPr>
        <w:jc w:val="both"/>
        <w:rPr>
          <w:rFonts w:cs="Times New Roman"/>
          <w:szCs w:val="24"/>
        </w:rPr>
      </w:pPr>
      <w:r w:rsidRPr="00675182">
        <w:rPr>
          <w:rFonts w:cs="Times New Roman"/>
          <w:szCs w:val="24"/>
        </w:rPr>
        <w:t xml:space="preserve">GNP ir konstatēti visu triju veidu Latvijā sastopamo ES nozīmes iežu atsegumu biotopi - </w:t>
      </w:r>
      <w:r w:rsidRPr="00675182">
        <w:rPr>
          <w:rFonts w:cs="Times New Roman"/>
          <w:i/>
          <w:iCs/>
          <w:szCs w:val="24"/>
        </w:rPr>
        <w:t xml:space="preserve">8210 Karbonātisku pamatiežu atsegumi </w:t>
      </w:r>
      <w:r w:rsidRPr="00675182">
        <w:rPr>
          <w:rFonts w:cs="Times New Roman"/>
          <w:szCs w:val="24"/>
        </w:rPr>
        <w:t>(42 objekti)</w:t>
      </w:r>
      <w:r w:rsidRPr="00675182">
        <w:rPr>
          <w:rFonts w:cs="Times New Roman"/>
          <w:i/>
          <w:iCs/>
          <w:szCs w:val="24"/>
        </w:rPr>
        <w:t xml:space="preserve">, 8220 Smilšakmens atsegumi </w:t>
      </w:r>
      <w:r w:rsidRPr="00675182">
        <w:rPr>
          <w:rFonts w:cs="Times New Roman"/>
          <w:szCs w:val="24"/>
        </w:rPr>
        <w:t>(2002 objekti) un</w:t>
      </w:r>
      <w:r w:rsidRPr="00675182">
        <w:rPr>
          <w:rFonts w:cs="Times New Roman"/>
          <w:i/>
          <w:iCs/>
          <w:szCs w:val="24"/>
        </w:rPr>
        <w:t xml:space="preserve"> 8310 Netraucētas alas </w:t>
      </w:r>
      <w:r w:rsidRPr="00675182">
        <w:rPr>
          <w:rFonts w:cs="Times New Roman"/>
          <w:szCs w:val="24"/>
        </w:rPr>
        <w:t>(285 objekti)</w:t>
      </w:r>
      <w:r w:rsidRPr="00675182">
        <w:rPr>
          <w:rFonts w:cs="Times New Roman"/>
          <w:i/>
          <w:iCs/>
          <w:szCs w:val="24"/>
        </w:rPr>
        <w:t xml:space="preserve">. </w:t>
      </w:r>
      <w:r w:rsidRPr="00675182">
        <w:rPr>
          <w:rFonts w:cs="Times New Roman"/>
          <w:szCs w:val="24"/>
        </w:rPr>
        <w:t xml:space="preserve">Visi ES nozīmes atsegumi </w:t>
      </w:r>
      <w:r w:rsidRPr="00675182">
        <w:rPr>
          <w:rFonts w:cs="Times New Roman"/>
          <w:szCs w:val="24"/>
        </w:rPr>
        <w:lastRenderedPageBreak/>
        <w:t xml:space="preserve">uzskatāmi arī par atbilstošajiem Latvijā </w:t>
      </w:r>
      <w:r w:rsidR="00AA1F8E">
        <w:rPr>
          <w:rFonts w:cs="Times New Roman"/>
          <w:szCs w:val="24"/>
        </w:rPr>
        <w:t>ĪA</w:t>
      </w:r>
      <w:r w:rsidRPr="00675182">
        <w:rPr>
          <w:rFonts w:cs="Times New Roman"/>
          <w:szCs w:val="24"/>
        </w:rPr>
        <w:t xml:space="preserve"> biotopiem </w:t>
      </w:r>
      <w:r w:rsidRPr="00675182">
        <w:rPr>
          <w:rFonts w:cs="Times New Roman"/>
          <w:i/>
          <w:iCs/>
          <w:szCs w:val="24"/>
        </w:rPr>
        <w:t>“8.5. Karbonātisku pamatiežu atsegumi”, “8.6. Netraucētas alas”, “8.7. Smilšakmens atsegumi”</w:t>
      </w:r>
      <w:r w:rsidRPr="00675182">
        <w:rPr>
          <w:rStyle w:val="FootnoteReference"/>
          <w:rFonts w:cs="Times New Roman"/>
          <w:szCs w:val="24"/>
        </w:rPr>
        <w:footnoteReference w:id="14"/>
      </w:r>
      <w:r w:rsidRPr="00675182">
        <w:rPr>
          <w:rFonts w:cs="Times New Roman"/>
          <w:szCs w:val="24"/>
        </w:rPr>
        <w:t xml:space="preserve">.  Lai gan pagrabalas ir cilvēku paplašinātas dabiskas alas vai pilnīgi no jauna izraktas, tomēr, ņemot vērā, ka tās izveidotas dabiski atsegtos pamatiežos, atzīmējot to augsto nozīmi sugu aizsardzībā (īpaši sikspārņu ziemošanā), ko papildina arī jaunākie dati par sūnu un ķērpju sugu atradumiem pie pagrabalu ieejām, visas šobrīd neizmantotās pagrabalas un to sistēmas pieskaitāmas </w:t>
      </w:r>
      <w:r w:rsidR="00AA1F8E">
        <w:rPr>
          <w:rFonts w:cs="Times New Roman"/>
          <w:szCs w:val="24"/>
        </w:rPr>
        <w:t>ĪA</w:t>
      </w:r>
      <w:r w:rsidRPr="00675182">
        <w:rPr>
          <w:rFonts w:cs="Times New Roman"/>
          <w:szCs w:val="24"/>
        </w:rPr>
        <w:t xml:space="preserve"> biotopiem un aizsardzība nodrošināma atbilstoši ES nozīmes biotopam </w:t>
      </w:r>
      <w:r w:rsidRPr="00675182">
        <w:rPr>
          <w:rFonts w:cs="Times New Roman"/>
          <w:i/>
          <w:iCs/>
          <w:szCs w:val="24"/>
        </w:rPr>
        <w:t>8310 Netraucētas alas</w:t>
      </w:r>
      <w:r w:rsidRPr="00675182">
        <w:rPr>
          <w:rStyle w:val="FootnoteReference"/>
          <w:rFonts w:cs="Times New Roman"/>
          <w:szCs w:val="24"/>
        </w:rPr>
        <w:footnoteReference w:id="15"/>
      </w:r>
      <w:r w:rsidRPr="00675182">
        <w:rPr>
          <w:rFonts w:cs="Times New Roman"/>
          <w:i/>
          <w:iCs/>
          <w:szCs w:val="24"/>
        </w:rPr>
        <w:t>.</w:t>
      </w:r>
      <w:r w:rsidRPr="00675182">
        <w:rPr>
          <w:rFonts w:cs="Times New Roman"/>
          <w:szCs w:val="24"/>
        </w:rPr>
        <w:t xml:space="preserve"> Pagrabalas, kas joprojām tiek izmantotas kā pagrabi (ir ierīkotas durvis un tiek glabāti produkti), netiek iekļautas ES nozīmes biotopu sarakstā, bet var būt nozīmīgas sugu dzīvotnes. </w:t>
      </w:r>
    </w:p>
    <w:p w14:paraId="3B52ED49" w14:textId="77777777" w:rsidR="00BF49E5" w:rsidRPr="00675182" w:rsidRDefault="00BF49E5" w:rsidP="00BF49E5">
      <w:pPr>
        <w:jc w:val="both"/>
        <w:rPr>
          <w:rFonts w:cstheme="minorHAnsi"/>
          <w:b/>
        </w:rPr>
      </w:pPr>
    </w:p>
    <w:p w14:paraId="7765E7DA" w14:textId="77777777" w:rsidR="00BF49E5" w:rsidRPr="00675182" w:rsidRDefault="00BF49E5" w:rsidP="00BF49E5">
      <w:pPr>
        <w:jc w:val="both"/>
        <w:rPr>
          <w:rFonts w:cstheme="minorHAnsi"/>
          <w:b/>
        </w:rPr>
      </w:pPr>
      <w:r w:rsidRPr="00675182">
        <w:rPr>
          <w:rFonts w:cstheme="minorHAnsi"/>
          <w:b/>
        </w:rPr>
        <w:t>Dabas aizsardzības vērtība</w:t>
      </w:r>
    </w:p>
    <w:p w14:paraId="664B9B90" w14:textId="77777777" w:rsidR="00231AC4" w:rsidRPr="00675182" w:rsidRDefault="00231AC4" w:rsidP="008A68CA">
      <w:pPr>
        <w:jc w:val="both"/>
        <w:rPr>
          <w:rFonts w:cstheme="minorHAnsi"/>
          <w:bCs/>
        </w:rPr>
      </w:pPr>
      <w:r w:rsidRPr="00675182">
        <w:rPr>
          <w:rFonts w:cstheme="minorHAnsi"/>
          <w:bCs/>
        </w:rPr>
        <w:t xml:space="preserve">Nozīmīga daļa Latvijas smilšakmens atsegumu un alu biotopu atrodas GNP teritorijā. Visi iežu atsegumu biotopu veidi GNP ir arī nozīmīgas reto un aizsargājamo sugu dzīvotnes. Alās ziemo dažādu sugu sikspārņi, dažas alas nozīmīgas sikspārņu dzīvē arī citos gadalaikos. Uz smilšakmens atsegumu un alu sienām konstatētas citviet Latvijā retas sūnu un ķērpju sugas. Biotopu inventarizācijas laikā, kartējot iežu atsegumu biotopus, konstatētas vairākas jaunas, iepriekš teritorijā nezināmas sūnu sugas, kā arī atrastas jaunas reto sugu atradnes. </w:t>
      </w:r>
    </w:p>
    <w:p w14:paraId="7D9BCD68" w14:textId="77777777" w:rsidR="00231AC4" w:rsidRPr="00675182" w:rsidRDefault="00231AC4" w:rsidP="008A68CA">
      <w:pPr>
        <w:jc w:val="both"/>
        <w:rPr>
          <w:rFonts w:cstheme="minorHAnsi"/>
          <w:bCs/>
        </w:rPr>
      </w:pPr>
    </w:p>
    <w:p w14:paraId="18947F6D" w14:textId="30DDD905" w:rsidR="008A68CA" w:rsidRPr="00675182" w:rsidRDefault="00231AC4" w:rsidP="008A68CA">
      <w:pPr>
        <w:jc w:val="both"/>
        <w:rPr>
          <w:rFonts w:cs="Times New Roman"/>
          <w:szCs w:val="24"/>
        </w:rPr>
      </w:pPr>
      <w:r w:rsidRPr="00675182">
        <w:rPr>
          <w:rFonts w:cstheme="minorHAnsi"/>
          <w:szCs w:val="24"/>
        </w:rPr>
        <w:t>8210</w:t>
      </w:r>
      <w:r w:rsidRPr="00675182">
        <w:rPr>
          <w:rFonts w:cstheme="minorHAnsi"/>
          <w:i/>
          <w:iCs/>
          <w:szCs w:val="24"/>
        </w:rPr>
        <w:t xml:space="preserve"> Karbonātisku pamatiežu atsegumi</w:t>
      </w:r>
      <w:r w:rsidRPr="00675182">
        <w:rPr>
          <w:rFonts w:cstheme="minorHAnsi"/>
          <w:b/>
          <w:bCs/>
          <w:szCs w:val="24"/>
        </w:rPr>
        <w:t xml:space="preserve"> </w:t>
      </w:r>
      <w:r w:rsidR="008A68CA" w:rsidRPr="00675182">
        <w:rPr>
          <w:rFonts w:cs="Times New Roman"/>
          <w:szCs w:val="24"/>
        </w:rPr>
        <w:t>GNP visvairāk sastopami Gaujas pieteku krastos, īpaši pie Līgatnes upes, bet daudzos gadījumos tie ir nelieli dolomītiežu atvērumi nogāzes augšmalās virs smilšakmens atsegumiem (pie Amatas), vietām bijušo lauztuvju vietās, piemēram pie Pērļupes, Vaives. Anketās aprakstīti 42 nozīmīgi karbonātisku pamatiežu atsegumi ar kopējo platību ~ 1,1 ha. Visi raksturoti kā cieti, plaisām bagāti, daudzviet ar iedobēm klāti un visiem ir būtiska atlūzu platība, notiek nogruvumi, virs atsegumiem aug meži, tie ir noēnoti. Lielākajā daļā ekspozīcija vērsta uz ziemeļaustrumiem. Atsegumi maz apauguši, biotopa anketās atzīmēts, ka uz visiem satopamas atsegumiem raksturīgās sūnas (1-30%, vidēji 10 %), ir arī meža zemsedzes sūnas (līdz 5 %), salīdzinoši bieži ir sīkie (kreves) ķērpji (līdz 20 %, vidēji 5 %), bet lielāku ķērpju sugu nav. Parasti atzīmētas arī aļģes.</w:t>
      </w:r>
    </w:p>
    <w:p w14:paraId="367B8418" w14:textId="77777777" w:rsidR="008A68CA" w:rsidRPr="00675182" w:rsidRDefault="008A68CA" w:rsidP="008A68CA">
      <w:pPr>
        <w:jc w:val="both"/>
        <w:rPr>
          <w:rFonts w:cs="Times New Roman"/>
          <w:szCs w:val="24"/>
        </w:rPr>
      </w:pPr>
    </w:p>
    <w:p w14:paraId="13E940D5" w14:textId="77777777" w:rsidR="008A68CA" w:rsidRPr="00675182" w:rsidRDefault="008A68CA" w:rsidP="008A68CA">
      <w:pPr>
        <w:jc w:val="both"/>
        <w:rPr>
          <w:rFonts w:cs="Times New Roman"/>
          <w:szCs w:val="24"/>
        </w:rPr>
      </w:pPr>
      <w:r w:rsidRPr="00675182">
        <w:rPr>
          <w:rFonts w:cs="Times New Roman"/>
          <w:szCs w:val="24"/>
        </w:rPr>
        <w:t xml:space="preserve">Teritorijas karbonātiskie pamatieži izveidojušies tādi, ka atsegumu virsma daudzviet ir nestabila, drūpoša, kas neļauj uzaugt plašai raksturīgajai veģetācijai, bet veido daudzas mikronišas, kas var noderēt dzīvniekiem, piemēram, bezmugurkaulniekiem. Ziņas literatūras avotos un eksperta personīgie novērojumi dabā liecina, ka daudzviet, līdz pagājušā gadsimta sākumam, ir notikusi dolomīta ieguve privātām vajadzībām. </w:t>
      </w:r>
    </w:p>
    <w:p w14:paraId="4C8A9DD8" w14:textId="7668E2BF" w:rsidR="00231AC4" w:rsidRPr="00675182" w:rsidRDefault="00231AC4" w:rsidP="00231AC4">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4A21C1" w:rsidRPr="00675182" w14:paraId="23BE86DA" w14:textId="77777777" w:rsidTr="00114DAF">
        <w:tc>
          <w:tcPr>
            <w:tcW w:w="8301" w:type="dxa"/>
          </w:tcPr>
          <w:p w14:paraId="6472D0BB" w14:textId="58CEE275" w:rsidR="004A21C1" w:rsidRPr="00675182" w:rsidRDefault="00A81D87" w:rsidP="00231AC4">
            <w:pPr>
              <w:jc w:val="both"/>
              <w:rPr>
                <w:rFonts w:cstheme="minorHAnsi"/>
                <w:szCs w:val="24"/>
              </w:rPr>
            </w:pPr>
            <w:r w:rsidRPr="00675182">
              <w:rPr>
                <w:rFonts w:cstheme="minorHAnsi"/>
                <w:noProof/>
              </w:rPr>
              <w:lastRenderedPageBreak/>
              <w:drawing>
                <wp:inline distT="0" distB="0" distL="0" distR="0" wp14:anchorId="750C381A" wp14:editId="2D391594">
                  <wp:extent cx="3359596" cy="252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359596" cy="2520000"/>
                          </a:xfrm>
                          <a:prstGeom prst="rect">
                            <a:avLst/>
                          </a:prstGeom>
                          <a:noFill/>
                          <a:ln>
                            <a:noFill/>
                          </a:ln>
                        </pic:spPr>
                      </pic:pic>
                    </a:graphicData>
                  </a:graphic>
                </wp:inline>
              </w:drawing>
            </w:r>
          </w:p>
        </w:tc>
      </w:tr>
      <w:tr w:rsidR="004A21C1" w:rsidRPr="00675182" w14:paraId="6E50E3A8" w14:textId="77777777" w:rsidTr="00114DAF">
        <w:tc>
          <w:tcPr>
            <w:tcW w:w="8301" w:type="dxa"/>
          </w:tcPr>
          <w:p w14:paraId="5F4828C4" w14:textId="3364DD9A" w:rsidR="004A21C1" w:rsidRPr="00675182" w:rsidRDefault="00A81D87" w:rsidP="00231AC4">
            <w:pPr>
              <w:jc w:val="both"/>
              <w:rPr>
                <w:rFonts w:cstheme="minorHAnsi"/>
                <w:b/>
                <w:bCs/>
                <w:i/>
                <w:iCs/>
                <w:szCs w:val="24"/>
              </w:rPr>
            </w:pPr>
            <w:r w:rsidRPr="00675182">
              <w:rPr>
                <w:rFonts w:cstheme="minorHAnsi"/>
                <w:b/>
                <w:bCs/>
                <w:i/>
                <w:iCs/>
                <w:szCs w:val="24"/>
              </w:rPr>
              <w:t>2.</w:t>
            </w:r>
            <w:r w:rsidR="00135B31" w:rsidRPr="00675182">
              <w:rPr>
                <w:rFonts w:cstheme="minorHAnsi"/>
                <w:b/>
                <w:bCs/>
                <w:i/>
                <w:iCs/>
                <w:szCs w:val="24"/>
              </w:rPr>
              <w:t>3</w:t>
            </w:r>
            <w:r w:rsidRPr="00675182">
              <w:rPr>
                <w:rFonts w:cstheme="minorHAnsi"/>
                <w:b/>
                <w:bCs/>
                <w:i/>
                <w:iCs/>
                <w:szCs w:val="24"/>
              </w:rPr>
              <w:t>.</w:t>
            </w:r>
            <w:r w:rsidR="00135B31" w:rsidRPr="00675182">
              <w:rPr>
                <w:rFonts w:cstheme="minorHAnsi"/>
                <w:b/>
                <w:bCs/>
                <w:i/>
                <w:iCs/>
                <w:szCs w:val="24"/>
              </w:rPr>
              <w:t>3</w:t>
            </w:r>
            <w:r w:rsidR="00B05CEB" w:rsidRPr="00675182">
              <w:rPr>
                <w:rFonts w:cstheme="minorHAnsi"/>
                <w:b/>
                <w:bCs/>
                <w:i/>
                <w:iCs/>
                <w:szCs w:val="24"/>
              </w:rPr>
              <w:t>6</w:t>
            </w:r>
            <w:r w:rsidR="00135B31" w:rsidRPr="00675182">
              <w:rPr>
                <w:rFonts w:cstheme="minorHAnsi"/>
                <w:b/>
                <w:bCs/>
                <w:i/>
                <w:iCs/>
                <w:szCs w:val="24"/>
              </w:rPr>
              <w:t>.</w:t>
            </w:r>
            <w:r w:rsidRPr="00675182">
              <w:rPr>
                <w:rFonts w:cstheme="minorHAnsi"/>
                <w:b/>
                <w:bCs/>
                <w:i/>
                <w:iCs/>
                <w:szCs w:val="24"/>
              </w:rPr>
              <w:t xml:space="preserve"> attēls. Dolomīta krauja 2015. g. (foto: Ģ. Stinkulis)</w:t>
            </w:r>
          </w:p>
        </w:tc>
      </w:tr>
    </w:tbl>
    <w:p w14:paraId="1C6F0838" w14:textId="77777777" w:rsidR="004A21C1" w:rsidRPr="00675182" w:rsidRDefault="004A21C1" w:rsidP="00231AC4">
      <w:pPr>
        <w:jc w:val="both"/>
        <w:rPr>
          <w:rFonts w:cstheme="minorHAnsi"/>
          <w:szCs w:val="24"/>
        </w:rPr>
      </w:pPr>
    </w:p>
    <w:p w14:paraId="34F1DEF4" w14:textId="661EAC50" w:rsidR="008A68CA" w:rsidRPr="00675182" w:rsidRDefault="00231AC4" w:rsidP="00FE22D1">
      <w:pPr>
        <w:jc w:val="both"/>
        <w:rPr>
          <w:rFonts w:cs="Times New Roman"/>
          <w:szCs w:val="24"/>
        </w:rPr>
      </w:pPr>
      <w:r w:rsidRPr="00675182">
        <w:rPr>
          <w:rFonts w:cstheme="minorHAnsi"/>
          <w:szCs w:val="24"/>
        </w:rPr>
        <w:t xml:space="preserve">8220 </w:t>
      </w:r>
      <w:r w:rsidRPr="00675182">
        <w:rPr>
          <w:rFonts w:cstheme="minorHAnsi"/>
          <w:i/>
          <w:iCs/>
          <w:szCs w:val="24"/>
        </w:rPr>
        <w:t>Smilšakmens atsegumi</w:t>
      </w:r>
      <w:r w:rsidRPr="00675182">
        <w:rPr>
          <w:rFonts w:cstheme="minorHAnsi"/>
          <w:szCs w:val="24"/>
        </w:rPr>
        <w:t xml:space="preserve"> </w:t>
      </w:r>
      <w:r w:rsidR="008A68CA" w:rsidRPr="00675182">
        <w:rPr>
          <w:rFonts w:cs="Times New Roman"/>
          <w:szCs w:val="24"/>
        </w:rPr>
        <w:t xml:space="preserve">ir viena no nozīmīgākajām GNP dabas vērtībām. Kopējais aprakstīto atsegumu skaits ir 2002 ar kopējo platību 36,5 ha, kas būtiski palielinājis zināmo atsegumu skaitu un platību arī valstī kopumā. Lielākā daļā smilšakmens atsegumu ir konstatēts dzelzs un māla cements, bet dažviet arī karbonātu klātbūtne. Neskatoties uz cementējumu, lielākā daļā smilšakmens atsegumi raksturoti kā viscaur irdeni, mazāk vidēji irdeni, bet reti cieti. Neskatoties uz cietības raksturojumu, daudzos atsegumos atzīmēta cilvēku veikti ieskrāpējumi (uzraksti, zīmējumi). Tikai 8 atsegumos atzīmēta ekspansīvu lakstaugu sugu klātbūtne 1-5 % platībā (divos gadījumos kā suga norādīta nātre </w:t>
      </w:r>
      <w:r w:rsidR="008A68CA" w:rsidRPr="00675182">
        <w:rPr>
          <w:rFonts w:cs="Times New Roman"/>
          <w:i/>
          <w:iCs/>
          <w:szCs w:val="24"/>
        </w:rPr>
        <w:t>Urtica dioica</w:t>
      </w:r>
      <w:r w:rsidR="008A68CA" w:rsidRPr="00675182">
        <w:rPr>
          <w:rFonts w:cs="Times New Roman"/>
          <w:szCs w:val="24"/>
        </w:rPr>
        <w:t>).  Daļai no atsegumiem ir norādīta arī invazīva augu sugu klātbūtne, kas apskatīta pie ietekmējošajiem faktoriem zemāk tekstā.</w:t>
      </w:r>
    </w:p>
    <w:p w14:paraId="048A0127" w14:textId="77777777" w:rsidR="008A68CA" w:rsidRPr="00675182" w:rsidRDefault="008A68CA" w:rsidP="00FE22D1">
      <w:pPr>
        <w:jc w:val="both"/>
        <w:rPr>
          <w:rFonts w:cs="Times New Roman"/>
          <w:szCs w:val="24"/>
        </w:rPr>
      </w:pPr>
    </w:p>
    <w:p w14:paraId="3E031055" w14:textId="3DA2876A" w:rsidR="008A68CA" w:rsidRPr="00675182" w:rsidRDefault="008A68CA" w:rsidP="00FE22D1">
      <w:pPr>
        <w:jc w:val="both"/>
        <w:rPr>
          <w:rFonts w:cs="Times New Roman"/>
          <w:szCs w:val="24"/>
        </w:rPr>
      </w:pPr>
      <w:r w:rsidRPr="00675182">
        <w:rPr>
          <w:rFonts w:cs="Times New Roman"/>
          <w:szCs w:val="24"/>
        </w:rPr>
        <w:t xml:space="preserve">Smilšakmens atsegumiem raksturīga labi izveidota sūnu flora ar daudzām retām sūnu sugām un papildus mēdz būt nozīmīgas ķērpju atradnes. Sugu sastāva raksturojumam izmantotas 1313 anketas. Tikai 14 anketās minēts, ka nav nevienas atsegumam raksturīgās sūnu sugas, pārējās to segums ir vidēji 42% (plašā amplitūdā no 1-100%). Divās trešdaļas atsegumu ir raksturīgas arī meža zemsedzes sūnas, kas vidēji aizņem 10,3 %. Sīkie (krevu) ķērpji atzīmēti divās trešdaļās anketu ar vidējo segumu ~ 26% (1-95%). Aļģu klātbūtne atzīmēta pusē atsegumu. </w:t>
      </w:r>
      <w:r w:rsidR="00FE22D1" w:rsidRPr="00675182">
        <w:rPr>
          <w:rFonts w:cs="Times New Roman"/>
          <w:szCs w:val="24"/>
        </w:rPr>
        <w:t>Anketu dati</w:t>
      </w:r>
      <w:r w:rsidRPr="00675182">
        <w:rPr>
          <w:rFonts w:cs="Times New Roman"/>
          <w:szCs w:val="24"/>
        </w:rPr>
        <w:t xml:space="preserve"> liek domāt, ka lielāks atseguma sūnu segums ļauj prognozēt lielāku reto un </w:t>
      </w:r>
      <w:r w:rsidR="00E2130A">
        <w:rPr>
          <w:rFonts w:cs="Times New Roman"/>
          <w:szCs w:val="24"/>
        </w:rPr>
        <w:t>ĪA</w:t>
      </w:r>
      <w:r w:rsidRPr="00675182">
        <w:rPr>
          <w:rFonts w:cs="Times New Roman"/>
          <w:szCs w:val="24"/>
        </w:rPr>
        <w:t xml:space="preserve"> sugu klātbūtni. Atsegumi, kuriem ir samērā daudz dažādu mikronišu (bedres, iedobes, plaisas), kas vērsti uz </w:t>
      </w:r>
      <w:r w:rsidR="00E2130A">
        <w:rPr>
          <w:rFonts w:cs="Times New Roman"/>
          <w:szCs w:val="24"/>
        </w:rPr>
        <w:t>ziemeļiem</w:t>
      </w:r>
      <w:r w:rsidRPr="00675182">
        <w:rPr>
          <w:rFonts w:cs="Times New Roman"/>
          <w:szCs w:val="24"/>
        </w:rPr>
        <w:t xml:space="preserve">, </w:t>
      </w:r>
      <w:r w:rsidR="00E2130A">
        <w:rPr>
          <w:rFonts w:cs="Times New Roman"/>
          <w:szCs w:val="24"/>
        </w:rPr>
        <w:t>ziemeļaustrumiem</w:t>
      </w:r>
      <w:r w:rsidR="00E2130A" w:rsidRPr="00675182">
        <w:rPr>
          <w:rFonts w:cs="Times New Roman"/>
          <w:szCs w:val="24"/>
        </w:rPr>
        <w:t xml:space="preserve"> </w:t>
      </w:r>
      <w:r w:rsidRPr="00675182">
        <w:rPr>
          <w:rFonts w:cs="Times New Roman"/>
          <w:szCs w:val="24"/>
        </w:rPr>
        <w:t xml:space="preserve">un </w:t>
      </w:r>
      <w:r w:rsidR="00E2130A">
        <w:rPr>
          <w:rFonts w:cs="Times New Roman"/>
          <w:szCs w:val="24"/>
        </w:rPr>
        <w:t>ziemeļrietumiem</w:t>
      </w:r>
      <w:r w:rsidR="00E2130A" w:rsidRPr="00675182">
        <w:rPr>
          <w:rFonts w:cs="Times New Roman"/>
          <w:szCs w:val="24"/>
        </w:rPr>
        <w:t xml:space="preserve"> </w:t>
      </w:r>
      <w:r w:rsidRPr="00675182">
        <w:rPr>
          <w:rFonts w:cs="Times New Roman"/>
          <w:szCs w:val="24"/>
        </w:rPr>
        <w:t>kopumā ir atsegumiem raksturīgajām sugām bagātāki. Avoksnājs pakājē (191 anketa) un avots pār atsegumu (76 anketas) veicina sugu daudzveidību, ja vien atsegums nav ļoti irdens un ar daudz svaigiem nobrukumiem, jo tad nepaspēj izveidoties noturīga veģetācija (5 anketās ar avoksnāju pakājē, 2 anketās ar avotu atzīmēts, ka nav atseguma sūnu).  Pārsvarā atsegumos ir stipri noēnotas daļas (atzīmēts 905 anketas jeb 70% no visiem atsegumiem), lielākajā daļā augsts noēnojums skar vidēji 53%, bieži vairāk kā 60 % konkrētā atseguma platības. Vidēji un stipri noēnotie atsegumi ir salīdzinoši sūnām bagātāki nekā saulainie un daļēji noēnotie, bet te nozīmīga loma var būt arī citiem faktoriem.</w:t>
      </w:r>
    </w:p>
    <w:p w14:paraId="1696509E" w14:textId="77777777" w:rsidR="008A68CA" w:rsidRPr="00675182" w:rsidRDefault="008A68CA" w:rsidP="00FE22D1">
      <w:pPr>
        <w:jc w:val="both"/>
        <w:rPr>
          <w:rFonts w:cs="Times New Roman"/>
          <w:szCs w:val="24"/>
        </w:rPr>
      </w:pPr>
      <w:r w:rsidRPr="00675182">
        <w:rPr>
          <w:rFonts w:cs="Times New Roman"/>
          <w:szCs w:val="24"/>
        </w:rPr>
        <w:lastRenderedPageBreak/>
        <w:t xml:space="preserve"> Vietām virs smilšakmens slāņiem iegūluši dolomīti, kas papildina smilšakmens virsmu ar karbonātiem un sekmē kalcifīto sugu augšanu. Uz lodīšu smilšakmens zināma mūru sīkpapardes </w:t>
      </w:r>
      <w:r w:rsidRPr="00675182">
        <w:rPr>
          <w:rFonts w:cs="Times New Roman"/>
          <w:i/>
          <w:iCs/>
          <w:szCs w:val="24"/>
        </w:rPr>
        <w:t>Aspelnium ruta-muraria</w:t>
      </w:r>
      <w:r w:rsidRPr="00675182">
        <w:rPr>
          <w:rFonts w:cs="Times New Roman"/>
          <w:szCs w:val="24"/>
        </w:rPr>
        <w:t xml:space="preserve"> atradne. No jauna atrasta plūksnu sīkpaparde </w:t>
      </w:r>
      <w:r w:rsidRPr="00675182">
        <w:rPr>
          <w:rFonts w:cs="Times New Roman"/>
          <w:i/>
          <w:iCs/>
          <w:szCs w:val="24"/>
        </w:rPr>
        <w:t>Asplenium trichomanoides</w:t>
      </w:r>
      <w:r w:rsidRPr="00675182">
        <w:rPr>
          <w:rFonts w:cs="Times New Roman"/>
          <w:szCs w:val="24"/>
        </w:rPr>
        <w:t xml:space="preserve"> (J. Klušas novērojumi), kuras atradnes nebija konstatētas kopš 20. gs. sākuma. </w:t>
      </w:r>
    </w:p>
    <w:p w14:paraId="493A46B6" w14:textId="1F9F78AB" w:rsidR="00A81D87" w:rsidRPr="00675182" w:rsidRDefault="00A81D87" w:rsidP="00231AC4">
      <w:pPr>
        <w:jc w:val="both"/>
        <w:rPr>
          <w:rFonts w:cstheme="minorHAnsi"/>
          <w:szCs w:val="24"/>
        </w:rPr>
      </w:pPr>
    </w:p>
    <w:tbl>
      <w:tblPr>
        <w:tblStyle w:val="TableGrid"/>
        <w:tblW w:w="0" w:type="auto"/>
        <w:tblLook w:val="04A0" w:firstRow="1" w:lastRow="0" w:firstColumn="1" w:lastColumn="0" w:noHBand="0" w:noVBand="1"/>
      </w:tblPr>
      <w:tblGrid>
        <w:gridCol w:w="4155"/>
        <w:gridCol w:w="4156"/>
      </w:tblGrid>
      <w:tr w:rsidR="00A81D87" w:rsidRPr="00675182" w14:paraId="0407898F" w14:textId="77777777" w:rsidTr="00DA4393">
        <w:tc>
          <w:tcPr>
            <w:tcW w:w="4150" w:type="dxa"/>
            <w:tcBorders>
              <w:top w:val="nil"/>
              <w:left w:val="nil"/>
              <w:bottom w:val="nil"/>
              <w:right w:val="nil"/>
            </w:tcBorders>
          </w:tcPr>
          <w:p w14:paraId="06FC7CD5" w14:textId="0184B4AD" w:rsidR="00A81D87" w:rsidRPr="00675182" w:rsidRDefault="00A81D87" w:rsidP="00231AC4">
            <w:pPr>
              <w:jc w:val="both"/>
              <w:rPr>
                <w:rFonts w:cstheme="minorHAnsi"/>
                <w:szCs w:val="24"/>
              </w:rPr>
            </w:pPr>
            <w:r w:rsidRPr="00675182">
              <w:rPr>
                <w:rFonts w:cstheme="minorHAnsi"/>
                <w:noProof/>
              </w:rPr>
              <w:drawing>
                <wp:inline distT="0" distB="0" distL="0" distR="0" wp14:anchorId="00CC4496" wp14:editId="18D2CD86">
                  <wp:extent cx="2520000" cy="1680101"/>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520000" cy="1680101"/>
                          </a:xfrm>
                          <a:prstGeom prst="rect">
                            <a:avLst/>
                          </a:prstGeom>
                          <a:noFill/>
                          <a:ln>
                            <a:noFill/>
                          </a:ln>
                        </pic:spPr>
                      </pic:pic>
                    </a:graphicData>
                  </a:graphic>
                </wp:inline>
              </w:drawing>
            </w:r>
          </w:p>
        </w:tc>
        <w:tc>
          <w:tcPr>
            <w:tcW w:w="4151" w:type="dxa"/>
            <w:tcBorders>
              <w:top w:val="nil"/>
              <w:left w:val="nil"/>
              <w:bottom w:val="nil"/>
              <w:right w:val="nil"/>
            </w:tcBorders>
          </w:tcPr>
          <w:p w14:paraId="1F4DBAE4" w14:textId="315FF056" w:rsidR="00A81D87" w:rsidRPr="00675182" w:rsidRDefault="00A81D87" w:rsidP="00231AC4">
            <w:pPr>
              <w:jc w:val="both"/>
              <w:rPr>
                <w:rFonts w:cstheme="minorHAnsi"/>
                <w:szCs w:val="24"/>
              </w:rPr>
            </w:pPr>
            <w:r w:rsidRPr="00675182">
              <w:rPr>
                <w:rFonts w:cstheme="minorHAnsi"/>
                <w:noProof/>
              </w:rPr>
              <w:drawing>
                <wp:inline distT="0" distB="0" distL="0" distR="0" wp14:anchorId="45A0A50C" wp14:editId="615AC721">
                  <wp:extent cx="2520000" cy="1680101"/>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520000" cy="1680101"/>
                          </a:xfrm>
                          <a:prstGeom prst="rect">
                            <a:avLst/>
                          </a:prstGeom>
                          <a:noFill/>
                          <a:ln>
                            <a:noFill/>
                          </a:ln>
                        </pic:spPr>
                      </pic:pic>
                    </a:graphicData>
                  </a:graphic>
                </wp:inline>
              </w:drawing>
            </w:r>
          </w:p>
        </w:tc>
      </w:tr>
      <w:tr w:rsidR="00A81D87" w:rsidRPr="00675182" w14:paraId="49CEF175" w14:textId="77777777" w:rsidTr="00DA4393">
        <w:tc>
          <w:tcPr>
            <w:tcW w:w="4150" w:type="dxa"/>
            <w:tcBorders>
              <w:top w:val="nil"/>
              <w:left w:val="nil"/>
              <w:bottom w:val="nil"/>
              <w:right w:val="nil"/>
            </w:tcBorders>
          </w:tcPr>
          <w:p w14:paraId="3034E66D" w14:textId="00B22F58" w:rsidR="00A81D87" w:rsidRPr="00675182" w:rsidRDefault="00A81D87" w:rsidP="00231AC4">
            <w:pPr>
              <w:jc w:val="both"/>
              <w:rPr>
                <w:rFonts w:cstheme="minorHAnsi"/>
                <w:b/>
                <w:bCs/>
                <w:i/>
                <w:iCs/>
                <w:szCs w:val="24"/>
              </w:rPr>
            </w:pPr>
            <w:r w:rsidRPr="00675182">
              <w:rPr>
                <w:rFonts w:cstheme="minorHAnsi"/>
                <w:b/>
                <w:bCs/>
                <w:i/>
                <w:iCs/>
                <w:szCs w:val="24"/>
              </w:rPr>
              <w:t>2.</w:t>
            </w:r>
            <w:r w:rsidR="00135B31" w:rsidRPr="00675182">
              <w:rPr>
                <w:rFonts w:cstheme="minorHAnsi"/>
                <w:b/>
                <w:bCs/>
                <w:i/>
                <w:iCs/>
                <w:szCs w:val="24"/>
              </w:rPr>
              <w:t>3.3</w:t>
            </w:r>
            <w:r w:rsidR="00B05CEB" w:rsidRPr="00675182">
              <w:rPr>
                <w:rFonts w:cstheme="minorHAnsi"/>
                <w:b/>
                <w:bCs/>
                <w:i/>
                <w:iCs/>
                <w:szCs w:val="24"/>
              </w:rPr>
              <w:t>7</w:t>
            </w:r>
            <w:r w:rsidRPr="00675182">
              <w:rPr>
                <w:rFonts w:cstheme="minorHAnsi"/>
                <w:b/>
                <w:bCs/>
                <w:i/>
                <w:iCs/>
                <w:szCs w:val="24"/>
              </w:rPr>
              <w:t>. attēls. Ērgļu klintis 2020. g. (foto: J. Ješkins)</w:t>
            </w:r>
          </w:p>
        </w:tc>
        <w:tc>
          <w:tcPr>
            <w:tcW w:w="4151" w:type="dxa"/>
            <w:tcBorders>
              <w:top w:val="nil"/>
              <w:left w:val="nil"/>
              <w:bottom w:val="nil"/>
              <w:right w:val="nil"/>
            </w:tcBorders>
          </w:tcPr>
          <w:p w14:paraId="7878B544" w14:textId="7216C483" w:rsidR="00A81D87" w:rsidRPr="00675182" w:rsidRDefault="00A81D87" w:rsidP="00231AC4">
            <w:pPr>
              <w:jc w:val="both"/>
              <w:rPr>
                <w:rFonts w:cstheme="minorHAnsi"/>
                <w:b/>
                <w:bCs/>
                <w:i/>
                <w:iCs/>
                <w:szCs w:val="24"/>
              </w:rPr>
            </w:pPr>
            <w:r w:rsidRPr="00675182">
              <w:rPr>
                <w:rFonts w:cstheme="minorHAnsi"/>
                <w:b/>
                <w:bCs/>
                <w:i/>
                <w:iCs/>
                <w:szCs w:val="24"/>
              </w:rPr>
              <w:t>2.</w:t>
            </w:r>
            <w:r w:rsidR="00135B31" w:rsidRPr="00675182">
              <w:rPr>
                <w:rFonts w:cstheme="minorHAnsi"/>
                <w:b/>
                <w:bCs/>
                <w:i/>
                <w:iCs/>
                <w:szCs w:val="24"/>
              </w:rPr>
              <w:t>3.3</w:t>
            </w:r>
            <w:r w:rsidR="00B05CEB" w:rsidRPr="00675182">
              <w:rPr>
                <w:rFonts w:cstheme="minorHAnsi"/>
                <w:b/>
                <w:bCs/>
                <w:i/>
                <w:iCs/>
                <w:szCs w:val="24"/>
              </w:rPr>
              <w:t>8</w:t>
            </w:r>
            <w:r w:rsidR="00135B31" w:rsidRPr="00675182">
              <w:rPr>
                <w:rFonts w:cstheme="minorHAnsi"/>
                <w:b/>
                <w:bCs/>
                <w:i/>
                <w:iCs/>
                <w:szCs w:val="24"/>
              </w:rPr>
              <w:t>.</w:t>
            </w:r>
            <w:r w:rsidRPr="00675182">
              <w:rPr>
                <w:rFonts w:cstheme="minorHAnsi"/>
                <w:b/>
                <w:bCs/>
                <w:i/>
                <w:iCs/>
                <w:szCs w:val="24"/>
              </w:rPr>
              <w:t xml:space="preserve"> attēls. Gūdu klintis 2020. g. (foto: J. Ješkins)</w:t>
            </w:r>
          </w:p>
        </w:tc>
      </w:tr>
      <w:tr w:rsidR="00A81D87" w:rsidRPr="00675182" w14:paraId="10E9BDCF" w14:textId="77777777" w:rsidTr="00DA4393">
        <w:tc>
          <w:tcPr>
            <w:tcW w:w="4150" w:type="dxa"/>
            <w:tcBorders>
              <w:top w:val="nil"/>
              <w:left w:val="nil"/>
              <w:bottom w:val="nil"/>
              <w:right w:val="nil"/>
            </w:tcBorders>
          </w:tcPr>
          <w:p w14:paraId="2311E3CE" w14:textId="50455F50" w:rsidR="00A81D87" w:rsidRPr="00675182" w:rsidRDefault="00A81D87" w:rsidP="00231AC4">
            <w:pPr>
              <w:jc w:val="both"/>
              <w:rPr>
                <w:rFonts w:cstheme="minorHAnsi"/>
                <w:szCs w:val="24"/>
              </w:rPr>
            </w:pPr>
            <w:r w:rsidRPr="00675182">
              <w:rPr>
                <w:rFonts w:cstheme="minorHAnsi"/>
                <w:noProof/>
              </w:rPr>
              <w:drawing>
                <wp:inline distT="0" distB="0" distL="0" distR="0" wp14:anchorId="464AE8A8" wp14:editId="056E0683">
                  <wp:extent cx="2520000" cy="1680101"/>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520000" cy="1680101"/>
                          </a:xfrm>
                          <a:prstGeom prst="rect">
                            <a:avLst/>
                          </a:prstGeom>
                          <a:noFill/>
                          <a:ln>
                            <a:noFill/>
                          </a:ln>
                        </pic:spPr>
                      </pic:pic>
                    </a:graphicData>
                  </a:graphic>
                </wp:inline>
              </w:drawing>
            </w:r>
          </w:p>
        </w:tc>
        <w:tc>
          <w:tcPr>
            <w:tcW w:w="4151" w:type="dxa"/>
            <w:tcBorders>
              <w:top w:val="nil"/>
              <w:left w:val="nil"/>
              <w:bottom w:val="nil"/>
              <w:right w:val="nil"/>
            </w:tcBorders>
          </w:tcPr>
          <w:p w14:paraId="005D2890" w14:textId="70146133" w:rsidR="00A81D87" w:rsidRPr="00675182" w:rsidRDefault="00DA4393" w:rsidP="00231AC4">
            <w:pPr>
              <w:jc w:val="both"/>
              <w:rPr>
                <w:rFonts w:cstheme="minorHAnsi"/>
                <w:szCs w:val="24"/>
              </w:rPr>
            </w:pPr>
            <w:r w:rsidRPr="00675182">
              <w:rPr>
                <w:rFonts w:cstheme="minorHAnsi"/>
                <w:noProof/>
              </w:rPr>
              <w:drawing>
                <wp:inline distT="0" distB="0" distL="0" distR="0" wp14:anchorId="754BA652" wp14:editId="3B0A9F31">
                  <wp:extent cx="2241331" cy="1681200"/>
                  <wp:effectExtent l="0" t="0" r="698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241331" cy="1681200"/>
                          </a:xfrm>
                          <a:prstGeom prst="rect">
                            <a:avLst/>
                          </a:prstGeom>
                          <a:noFill/>
                          <a:ln>
                            <a:noFill/>
                          </a:ln>
                        </pic:spPr>
                      </pic:pic>
                    </a:graphicData>
                  </a:graphic>
                </wp:inline>
              </w:drawing>
            </w:r>
          </w:p>
        </w:tc>
      </w:tr>
      <w:tr w:rsidR="00A81D87" w:rsidRPr="00675182" w14:paraId="7B2E1919" w14:textId="77777777" w:rsidTr="00DA4393">
        <w:tc>
          <w:tcPr>
            <w:tcW w:w="4150" w:type="dxa"/>
            <w:tcBorders>
              <w:top w:val="nil"/>
              <w:left w:val="nil"/>
              <w:bottom w:val="nil"/>
              <w:right w:val="nil"/>
            </w:tcBorders>
          </w:tcPr>
          <w:p w14:paraId="72236917" w14:textId="68FEC6D7" w:rsidR="00A81D87" w:rsidRPr="00675182" w:rsidRDefault="00A81D87" w:rsidP="00231AC4">
            <w:pPr>
              <w:jc w:val="both"/>
              <w:rPr>
                <w:rFonts w:cstheme="minorHAnsi"/>
                <w:b/>
                <w:bCs/>
                <w:i/>
                <w:iCs/>
                <w:szCs w:val="24"/>
              </w:rPr>
            </w:pPr>
            <w:r w:rsidRPr="00675182">
              <w:rPr>
                <w:rFonts w:cstheme="minorHAnsi"/>
                <w:b/>
                <w:bCs/>
                <w:i/>
                <w:iCs/>
                <w:szCs w:val="24"/>
              </w:rPr>
              <w:t>2.</w:t>
            </w:r>
            <w:r w:rsidR="00135B31" w:rsidRPr="00675182">
              <w:rPr>
                <w:rFonts w:cstheme="minorHAnsi"/>
                <w:b/>
                <w:bCs/>
                <w:i/>
                <w:iCs/>
                <w:szCs w:val="24"/>
              </w:rPr>
              <w:t>3</w:t>
            </w:r>
            <w:r w:rsidRPr="00675182">
              <w:rPr>
                <w:rFonts w:cstheme="minorHAnsi"/>
                <w:b/>
                <w:bCs/>
                <w:i/>
                <w:iCs/>
                <w:szCs w:val="24"/>
              </w:rPr>
              <w:t>.</w:t>
            </w:r>
            <w:r w:rsidR="00135B31" w:rsidRPr="00675182">
              <w:rPr>
                <w:rFonts w:cstheme="minorHAnsi"/>
                <w:b/>
                <w:bCs/>
                <w:i/>
                <w:iCs/>
                <w:szCs w:val="24"/>
              </w:rPr>
              <w:t>3</w:t>
            </w:r>
            <w:r w:rsidR="00B05CEB" w:rsidRPr="00675182">
              <w:rPr>
                <w:rFonts w:cstheme="minorHAnsi"/>
                <w:b/>
                <w:bCs/>
                <w:i/>
                <w:iCs/>
                <w:szCs w:val="24"/>
              </w:rPr>
              <w:t>9</w:t>
            </w:r>
            <w:r w:rsidR="00135B31" w:rsidRPr="00675182">
              <w:rPr>
                <w:rFonts w:cstheme="minorHAnsi"/>
                <w:b/>
                <w:bCs/>
                <w:i/>
                <w:iCs/>
                <w:szCs w:val="24"/>
              </w:rPr>
              <w:t xml:space="preserve">. </w:t>
            </w:r>
            <w:r w:rsidRPr="00675182">
              <w:rPr>
                <w:rFonts w:cstheme="minorHAnsi"/>
                <w:b/>
                <w:bCs/>
                <w:i/>
                <w:iCs/>
                <w:szCs w:val="24"/>
              </w:rPr>
              <w:t xml:space="preserve">attēls. </w:t>
            </w:r>
            <w:r w:rsidR="00DA4393" w:rsidRPr="00675182">
              <w:rPr>
                <w:rFonts w:cstheme="minorHAnsi"/>
                <w:b/>
                <w:bCs/>
                <w:i/>
                <w:iCs/>
                <w:szCs w:val="24"/>
              </w:rPr>
              <w:t>Fragments no Ķūķu klintīm, 2020. g. (foto: J. Ješkins)</w:t>
            </w:r>
          </w:p>
        </w:tc>
        <w:tc>
          <w:tcPr>
            <w:tcW w:w="4151" w:type="dxa"/>
            <w:tcBorders>
              <w:top w:val="nil"/>
              <w:left w:val="nil"/>
              <w:bottom w:val="nil"/>
              <w:right w:val="nil"/>
            </w:tcBorders>
          </w:tcPr>
          <w:p w14:paraId="53839D15" w14:textId="7A80C564" w:rsidR="00A81D87" w:rsidRPr="00675182" w:rsidRDefault="00DA4393" w:rsidP="00231AC4">
            <w:pPr>
              <w:jc w:val="both"/>
              <w:rPr>
                <w:rFonts w:cstheme="minorHAnsi"/>
                <w:b/>
                <w:bCs/>
                <w:i/>
                <w:iCs/>
                <w:szCs w:val="24"/>
              </w:rPr>
            </w:pPr>
            <w:r w:rsidRPr="00675182">
              <w:rPr>
                <w:rFonts w:cstheme="minorHAnsi"/>
                <w:b/>
                <w:bCs/>
                <w:i/>
                <w:iCs/>
                <w:szCs w:val="24"/>
              </w:rPr>
              <w:t>2.</w:t>
            </w:r>
            <w:r w:rsidR="00135B31" w:rsidRPr="00675182">
              <w:rPr>
                <w:rFonts w:cstheme="minorHAnsi"/>
                <w:b/>
                <w:bCs/>
                <w:i/>
                <w:iCs/>
                <w:szCs w:val="24"/>
              </w:rPr>
              <w:t>3.</w:t>
            </w:r>
            <w:r w:rsidR="00B05CEB" w:rsidRPr="00675182">
              <w:rPr>
                <w:rFonts w:cstheme="minorHAnsi"/>
                <w:b/>
                <w:bCs/>
                <w:i/>
                <w:iCs/>
                <w:szCs w:val="24"/>
              </w:rPr>
              <w:t>40</w:t>
            </w:r>
            <w:r w:rsidRPr="00675182">
              <w:rPr>
                <w:rFonts w:cstheme="minorHAnsi"/>
                <w:b/>
                <w:bCs/>
                <w:i/>
                <w:iCs/>
                <w:szCs w:val="24"/>
              </w:rPr>
              <w:t>. attēls. Katrīnas iezis, 2015. g. (foto: G. Stinkulis)</w:t>
            </w:r>
          </w:p>
        </w:tc>
      </w:tr>
    </w:tbl>
    <w:p w14:paraId="3D3173E2" w14:textId="77777777" w:rsidR="00B17427" w:rsidRPr="00675182" w:rsidRDefault="00B17427" w:rsidP="00B17427">
      <w:pPr>
        <w:jc w:val="both"/>
        <w:rPr>
          <w:rFonts w:cstheme="minorHAnsi"/>
          <w:szCs w:val="24"/>
        </w:rPr>
      </w:pPr>
    </w:p>
    <w:p w14:paraId="38E62B62" w14:textId="5332160D" w:rsidR="00B17427" w:rsidRPr="00675182" w:rsidRDefault="00B17427" w:rsidP="00B17427">
      <w:pPr>
        <w:jc w:val="both"/>
        <w:rPr>
          <w:rFonts w:cstheme="minorHAnsi"/>
          <w:szCs w:val="24"/>
        </w:rPr>
      </w:pPr>
      <w:r w:rsidRPr="00675182">
        <w:rPr>
          <w:rFonts w:cstheme="minorHAnsi"/>
          <w:szCs w:val="24"/>
        </w:rPr>
        <w:t xml:space="preserve">8310 </w:t>
      </w:r>
      <w:r w:rsidRPr="00675182">
        <w:rPr>
          <w:rFonts w:cstheme="minorHAnsi"/>
          <w:i/>
          <w:iCs/>
          <w:szCs w:val="24"/>
        </w:rPr>
        <w:t xml:space="preserve">Netraucētas alas </w:t>
      </w:r>
      <w:r w:rsidRPr="00675182">
        <w:rPr>
          <w:rFonts w:cstheme="minorHAnsi"/>
          <w:szCs w:val="24"/>
        </w:rPr>
        <w:t xml:space="preserve">ir viens no nozīmīgākajiem biotopiem </w:t>
      </w:r>
      <w:r w:rsidR="00F4330C" w:rsidRPr="00675182">
        <w:rPr>
          <w:rFonts w:cstheme="minorHAnsi"/>
          <w:szCs w:val="24"/>
        </w:rPr>
        <w:t>GNP</w:t>
      </w:r>
      <w:r w:rsidRPr="00675182">
        <w:rPr>
          <w:rFonts w:cstheme="minorHAnsi"/>
          <w:szCs w:val="24"/>
        </w:rPr>
        <w:t xml:space="preserve">. Šobrīd apzinātas </w:t>
      </w:r>
      <w:r w:rsidR="00934D04" w:rsidRPr="00675182">
        <w:rPr>
          <w:rFonts w:cstheme="minorHAnsi"/>
          <w:szCs w:val="24"/>
        </w:rPr>
        <w:t>2</w:t>
      </w:r>
      <w:r w:rsidR="00FE22D1" w:rsidRPr="00675182">
        <w:rPr>
          <w:rFonts w:cstheme="minorHAnsi"/>
          <w:szCs w:val="24"/>
        </w:rPr>
        <w:t>85</w:t>
      </w:r>
      <w:r w:rsidRPr="00675182">
        <w:rPr>
          <w:rFonts w:cstheme="minorHAnsi"/>
          <w:szCs w:val="24"/>
        </w:rPr>
        <w:t xml:space="preserve"> alas</w:t>
      </w:r>
      <w:r w:rsidR="00BD0A62" w:rsidRPr="00675182">
        <w:rPr>
          <w:rFonts w:cstheme="minorHAnsi"/>
          <w:szCs w:val="24"/>
        </w:rPr>
        <w:t xml:space="preserve"> (ieskaitot Līgatnes pagrabalas)</w:t>
      </w:r>
      <w:r w:rsidRPr="00675182">
        <w:rPr>
          <w:rFonts w:cstheme="minorHAnsi"/>
          <w:szCs w:val="24"/>
        </w:rPr>
        <w:t>. Visvairāk alu izveidojušās smilšakmens iežos, bet dažas arī dolomīta atsegumos. Savdabīga kultūrvēsturiska liecība ir smilšakmens pagrabalas, kas īpaši raksturīgas Līgatnes apkārtnei. Alu lielākā nozīme no dabas vērtību saglabāšanas viedokļa ir kā sikspārņu ziemošanas vietām, bet īpaši nozīmīgas ir alas, kur sikspārņi uzturas arī citos gadalaikos. Dabiski notiek alu nogruvumi</w:t>
      </w:r>
      <w:r w:rsidR="00F4330C" w:rsidRPr="00675182">
        <w:rPr>
          <w:rFonts w:cstheme="minorHAnsi"/>
          <w:szCs w:val="24"/>
        </w:rPr>
        <w:t>. Atsevišķās vietās, ūdenim izskalojot jaunus ceļus smilšakmenī,</w:t>
      </w:r>
      <w:r w:rsidRPr="00675182">
        <w:rPr>
          <w:rFonts w:cstheme="minorHAnsi"/>
          <w:szCs w:val="24"/>
        </w:rPr>
        <w:t xml:space="preserve"> </w:t>
      </w:r>
      <w:r w:rsidR="00F4330C" w:rsidRPr="00675182">
        <w:rPr>
          <w:rFonts w:cstheme="minorHAnsi"/>
          <w:szCs w:val="24"/>
        </w:rPr>
        <w:t>norisinās</w:t>
      </w:r>
      <w:r w:rsidRPr="00675182">
        <w:rPr>
          <w:rFonts w:cstheme="minorHAnsi"/>
          <w:szCs w:val="24"/>
        </w:rPr>
        <w:t xml:space="preserve"> arī jaunu alu veidošanās. Dažas alas pēc tam tiek atraktas, </w:t>
      </w:r>
      <w:r w:rsidR="00F4330C" w:rsidRPr="00675182">
        <w:rPr>
          <w:rFonts w:cstheme="minorHAnsi"/>
          <w:szCs w:val="24"/>
        </w:rPr>
        <w:t xml:space="preserve">kā arī </w:t>
      </w:r>
      <w:r w:rsidRPr="00675182">
        <w:rPr>
          <w:rFonts w:cstheme="minorHAnsi"/>
          <w:szCs w:val="24"/>
        </w:rPr>
        <w:t>zināms viens pilnīgi jaunas alas rakšanas gadījums.</w:t>
      </w:r>
    </w:p>
    <w:p w14:paraId="7B590221" w14:textId="20B39E8E" w:rsidR="00DA4393" w:rsidRPr="00675182" w:rsidRDefault="00DA4393" w:rsidP="00940648">
      <w:pPr>
        <w:keepNext/>
        <w:keepLines/>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27"/>
      </w:tblGrid>
      <w:tr w:rsidR="00DA4393" w:rsidRPr="00675182" w14:paraId="3DF4ED28" w14:textId="77777777" w:rsidTr="00DA4393">
        <w:tc>
          <w:tcPr>
            <w:tcW w:w="4150" w:type="dxa"/>
          </w:tcPr>
          <w:p w14:paraId="623502E6" w14:textId="4432E38B" w:rsidR="00DA4393" w:rsidRPr="00675182" w:rsidRDefault="00DA4393" w:rsidP="00940648">
            <w:pPr>
              <w:keepNext/>
              <w:keepLines/>
              <w:jc w:val="both"/>
              <w:rPr>
                <w:rFonts w:cstheme="minorHAnsi"/>
                <w:szCs w:val="24"/>
              </w:rPr>
            </w:pPr>
            <w:r w:rsidRPr="00675182">
              <w:rPr>
                <w:rFonts w:cstheme="minorHAnsi"/>
                <w:noProof/>
              </w:rPr>
              <w:drawing>
                <wp:inline distT="0" distB="0" distL="0" distR="0" wp14:anchorId="01675650" wp14:editId="0A8C307B">
                  <wp:extent cx="2520000" cy="1680101"/>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520000" cy="1680101"/>
                          </a:xfrm>
                          <a:prstGeom prst="rect">
                            <a:avLst/>
                          </a:prstGeom>
                          <a:noFill/>
                          <a:ln>
                            <a:noFill/>
                          </a:ln>
                        </pic:spPr>
                      </pic:pic>
                    </a:graphicData>
                  </a:graphic>
                </wp:inline>
              </w:drawing>
            </w:r>
          </w:p>
        </w:tc>
        <w:tc>
          <w:tcPr>
            <w:tcW w:w="4151" w:type="dxa"/>
          </w:tcPr>
          <w:p w14:paraId="26BD0EFE" w14:textId="3B2BFC4E" w:rsidR="00DA4393" w:rsidRPr="00675182" w:rsidRDefault="00DA4393" w:rsidP="00940648">
            <w:pPr>
              <w:keepNext/>
              <w:keepLines/>
              <w:jc w:val="both"/>
              <w:rPr>
                <w:rFonts w:cstheme="minorHAnsi"/>
                <w:szCs w:val="24"/>
              </w:rPr>
            </w:pPr>
            <w:r w:rsidRPr="00675182">
              <w:rPr>
                <w:rFonts w:cstheme="minorHAnsi"/>
                <w:noProof/>
              </w:rPr>
              <w:drawing>
                <wp:inline distT="0" distB="0" distL="0" distR="0" wp14:anchorId="12756C3E" wp14:editId="33214935">
                  <wp:extent cx="2241690" cy="1681200"/>
                  <wp:effectExtent l="0" t="0" r="635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241690" cy="1681200"/>
                          </a:xfrm>
                          <a:prstGeom prst="rect">
                            <a:avLst/>
                          </a:prstGeom>
                          <a:noFill/>
                          <a:ln>
                            <a:noFill/>
                          </a:ln>
                        </pic:spPr>
                      </pic:pic>
                    </a:graphicData>
                  </a:graphic>
                </wp:inline>
              </w:drawing>
            </w:r>
          </w:p>
        </w:tc>
      </w:tr>
      <w:tr w:rsidR="00DA4393" w:rsidRPr="00675182" w14:paraId="2588A0DE" w14:textId="77777777" w:rsidTr="00DA4393">
        <w:tc>
          <w:tcPr>
            <w:tcW w:w="4150" w:type="dxa"/>
          </w:tcPr>
          <w:p w14:paraId="783AEAEC" w14:textId="5E65E8DF" w:rsidR="00DA4393" w:rsidRPr="00675182" w:rsidRDefault="00DA4393" w:rsidP="00940648">
            <w:pPr>
              <w:keepNext/>
              <w:keepLines/>
              <w:jc w:val="both"/>
              <w:rPr>
                <w:rFonts w:cstheme="minorHAnsi"/>
                <w:szCs w:val="24"/>
              </w:rPr>
            </w:pPr>
            <w:r w:rsidRPr="00675182">
              <w:rPr>
                <w:rFonts w:cstheme="minorHAnsi"/>
                <w:b/>
                <w:bCs/>
                <w:i/>
                <w:iCs/>
                <w:szCs w:val="24"/>
              </w:rPr>
              <w:t>2.</w:t>
            </w:r>
            <w:r w:rsidR="00135B31" w:rsidRPr="00675182">
              <w:rPr>
                <w:rFonts w:cstheme="minorHAnsi"/>
                <w:b/>
                <w:bCs/>
                <w:i/>
                <w:iCs/>
                <w:szCs w:val="24"/>
              </w:rPr>
              <w:t>3.</w:t>
            </w:r>
            <w:r w:rsidR="00B05CEB" w:rsidRPr="00675182">
              <w:rPr>
                <w:rFonts w:cstheme="minorHAnsi"/>
                <w:b/>
                <w:bCs/>
                <w:i/>
                <w:iCs/>
                <w:szCs w:val="24"/>
              </w:rPr>
              <w:t>41</w:t>
            </w:r>
            <w:r w:rsidRPr="00675182">
              <w:rPr>
                <w:rFonts w:cstheme="minorHAnsi"/>
                <w:b/>
                <w:bCs/>
                <w:i/>
                <w:iCs/>
                <w:szCs w:val="24"/>
              </w:rPr>
              <w:t>. attēls. Fragments no Velnalas klintīm un Velna ala, 2020. g. (foto: J. Ješkins)</w:t>
            </w:r>
          </w:p>
        </w:tc>
        <w:tc>
          <w:tcPr>
            <w:tcW w:w="4151" w:type="dxa"/>
          </w:tcPr>
          <w:p w14:paraId="0753664F" w14:textId="7262FEBA" w:rsidR="00DA4393" w:rsidRPr="00675182" w:rsidRDefault="00DA4393" w:rsidP="00940648">
            <w:pPr>
              <w:keepNext/>
              <w:keepLines/>
              <w:jc w:val="both"/>
              <w:rPr>
                <w:rFonts w:cstheme="minorHAnsi"/>
                <w:szCs w:val="24"/>
              </w:rPr>
            </w:pPr>
            <w:r w:rsidRPr="00675182">
              <w:rPr>
                <w:rFonts w:cstheme="minorHAnsi"/>
                <w:b/>
                <w:bCs/>
                <w:i/>
                <w:iCs/>
                <w:szCs w:val="24"/>
              </w:rPr>
              <w:t>2.</w:t>
            </w:r>
            <w:r w:rsidR="00135B31" w:rsidRPr="00675182">
              <w:rPr>
                <w:rFonts w:cstheme="minorHAnsi"/>
                <w:b/>
                <w:bCs/>
                <w:i/>
                <w:iCs/>
                <w:szCs w:val="24"/>
              </w:rPr>
              <w:t>3.</w:t>
            </w:r>
            <w:r w:rsidR="00B05CEB" w:rsidRPr="00675182">
              <w:rPr>
                <w:rFonts w:cstheme="minorHAnsi"/>
                <w:b/>
                <w:bCs/>
                <w:i/>
                <w:iCs/>
                <w:szCs w:val="24"/>
              </w:rPr>
              <w:t>42</w:t>
            </w:r>
            <w:r w:rsidRPr="00675182">
              <w:rPr>
                <w:rFonts w:cstheme="minorHAnsi"/>
                <w:b/>
                <w:bCs/>
                <w:i/>
                <w:iCs/>
                <w:szCs w:val="24"/>
              </w:rPr>
              <w:t>. attēls. Gūtmaņa ala, 2015. g. (foto: M. Krievāns)</w:t>
            </w:r>
          </w:p>
        </w:tc>
      </w:tr>
    </w:tbl>
    <w:p w14:paraId="25D67D16" w14:textId="77777777" w:rsidR="00DA4393" w:rsidRPr="00675182" w:rsidRDefault="00DA4393" w:rsidP="00B17427">
      <w:pPr>
        <w:jc w:val="both"/>
        <w:rPr>
          <w:rFonts w:cstheme="minorHAnsi"/>
          <w:szCs w:val="24"/>
        </w:rPr>
      </w:pPr>
    </w:p>
    <w:p w14:paraId="3CBC3EBB" w14:textId="77777777" w:rsidR="00BF49E5" w:rsidRPr="00675182" w:rsidRDefault="00BF49E5" w:rsidP="00BF49E5">
      <w:pPr>
        <w:jc w:val="both"/>
        <w:rPr>
          <w:rFonts w:cstheme="minorHAnsi"/>
          <w:b/>
          <w:szCs w:val="24"/>
        </w:rPr>
      </w:pPr>
      <w:r w:rsidRPr="00675182">
        <w:rPr>
          <w:rFonts w:cstheme="minorHAnsi"/>
          <w:b/>
          <w:szCs w:val="24"/>
        </w:rPr>
        <w:t xml:space="preserve">Sociālekonomiskā vērtība </w:t>
      </w:r>
    </w:p>
    <w:p w14:paraId="113991D8" w14:textId="30562A82" w:rsidR="00FE22D1" w:rsidRPr="00675182" w:rsidRDefault="00FE22D1" w:rsidP="00FE22D1">
      <w:pPr>
        <w:jc w:val="both"/>
        <w:rPr>
          <w:rFonts w:cs="Times New Roman"/>
          <w:szCs w:val="24"/>
        </w:rPr>
      </w:pPr>
      <w:r w:rsidRPr="00675182">
        <w:rPr>
          <w:rFonts w:cs="Times New Roman"/>
          <w:szCs w:val="24"/>
        </w:rPr>
        <w:t>Iežu atsegumu biotopi ir nozīmīgi no zinātniskā viedokļa kā izpētes teritorijas dažādās jomās. Tiem ir augsta izziņas vērtība kā ģeoloģiskajiem objektiem un kā sugu dzīvotnēm, īpaši sūnu un ķērpju jomā, bet iespējams, ka nav pietiekami novērtēta sēņu, aļģu un citu organismu grupu klātbūtne. Alu daudzums un pieejamība sniedz unikālu papildus iespēju sikspārņu pētījumiem GNP. Vēstures pētniekiem nozīmīga ir iespēja izzināt ierakstus atsegumu un alu sienās.</w:t>
      </w:r>
    </w:p>
    <w:p w14:paraId="74A98C46" w14:textId="77777777" w:rsidR="00FE22D1" w:rsidRPr="00675182" w:rsidRDefault="00FE22D1" w:rsidP="00FE22D1">
      <w:pPr>
        <w:jc w:val="both"/>
        <w:rPr>
          <w:rFonts w:cs="Times New Roman"/>
          <w:szCs w:val="24"/>
        </w:rPr>
      </w:pPr>
    </w:p>
    <w:p w14:paraId="689CC576" w14:textId="77777777" w:rsidR="00FE22D1" w:rsidRPr="00675182" w:rsidRDefault="00FE22D1" w:rsidP="00FE22D1">
      <w:pPr>
        <w:jc w:val="both"/>
        <w:rPr>
          <w:rFonts w:cs="Times New Roman"/>
          <w:szCs w:val="24"/>
        </w:rPr>
      </w:pPr>
      <w:r w:rsidRPr="00675182">
        <w:rPr>
          <w:rFonts w:cs="Times New Roman"/>
          <w:szCs w:val="24"/>
        </w:rPr>
        <w:t>Iežu atsegumi un alas ir populāri tūrisma objekti, piedāvā daudzveidīgas sugu vērošanas un fotografēšanas iespējas. Daudziem populārākajiem objektiem joprojām ir būtiska nozīme gan valsts, gan plašākā mērogā kā nozīmīgiem tūrisma un rekreācijas objektiem, piemēram, Gūtmaņala ir starptautiski atpazīstams Latvijas simbols, Līču-Laņģu klintis ieguvušas popularitāti pandēmijas iespaidā, kad ceļošana uz ārvalstīm bija ierobežota. Dažādu objektu nozīme kā tūrisma objektiem ir atkarīga no pašvaldību un citu ieinteresēto personu lobija konkrētos apstākļos, piemēram, citi objekti laika gaitā pakāpeniski zaudējuši apmeklētāju interesi – Ērgļu klintis mūsdienās ir maz apmeklētas, bet senāk populārais Tītmaņu iezis labiekārtojumu zaudējis pilnībā, jo atrodas uz privātas zemes.</w:t>
      </w:r>
    </w:p>
    <w:p w14:paraId="278534C4" w14:textId="77777777" w:rsidR="00103F4A" w:rsidRPr="00675182" w:rsidRDefault="00103F4A" w:rsidP="00BF49E5">
      <w:pPr>
        <w:jc w:val="both"/>
        <w:rPr>
          <w:rFonts w:cstheme="minorHAnsi"/>
          <w:b/>
          <w:szCs w:val="24"/>
        </w:rPr>
      </w:pPr>
    </w:p>
    <w:p w14:paraId="28EE4527" w14:textId="0EA9EA11" w:rsidR="00BF49E5" w:rsidRPr="00675182" w:rsidRDefault="00BF49E5" w:rsidP="00BF49E5">
      <w:pPr>
        <w:jc w:val="both"/>
        <w:rPr>
          <w:rFonts w:cstheme="minorHAnsi"/>
          <w:b/>
          <w:szCs w:val="24"/>
        </w:rPr>
      </w:pPr>
      <w:r w:rsidRPr="00675182">
        <w:rPr>
          <w:rFonts w:cstheme="minorHAnsi"/>
          <w:b/>
          <w:szCs w:val="24"/>
        </w:rPr>
        <w:t>Ietekmējošie faktori</w:t>
      </w:r>
    </w:p>
    <w:p w14:paraId="5AF311AF" w14:textId="52F8DBAB" w:rsidR="00FE22D1" w:rsidRPr="00675182" w:rsidRDefault="00FE22D1" w:rsidP="00BF7348">
      <w:pPr>
        <w:keepNext/>
        <w:keepLines/>
        <w:jc w:val="both"/>
        <w:rPr>
          <w:rFonts w:cs="Times New Roman"/>
          <w:szCs w:val="24"/>
        </w:rPr>
      </w:pPr>
      <w:r w:rsidRPr="00675182">
        <w:rPr>
          <w:rFonts w:cs="Times New Roman"/>
          <w:szCs w:val="24"/>
        </w:rPr>
        <w:t xml:space="preserve">Kopējais atsegumu stāvoklis biotopu inventarizācijas </w:t>
      </w:r>
      <w:r w:rsidR="009C59E7">
        <w:rPr>
          <w:rFonts w:cs="Times New Roman"/>
          <w:szCs w:val="24"/>
        </w:rPr>
        <w:t>laikā</w:t>
      </w:r>
      <w:r w:rsidR="009C59E7" w:rsidRPr="00675182">
        <w:rPr>
          <w:rFonts w:cs="Times New Roman"/>
          <w:szCs w:val="24"/>
        </w:rPr>
        <w:t xml:space="preserve"> </w:t>
      </w:r>
      <w:r w:rsidRPr="00675182">
        <w:rPr>
          <w:rFonts w:cs="Times New Roman"/>
          <w:szCs w:val="24"/>
        </w:rPr>
        <w:t xml:space="preserve">ir novērtēts kā labs. Lielākā daļa ietekmju atzīmētas </w:t>
      </w:r>
      <w:r w:rsidRPr="00675182">
        <w:rPr>
          <w:rFonts w:cs="Times New Roman"/>
          <w:i/>
          <w:iCs/>
          <w:szCs w:val="24"/>
        </w:rPr>
        <w:t xml:space="preserve">8220 Smilšakmens atsegumos </w:t>
      </w:r>
      <w:r w:rsidRPr="00675182">
        <w:rPr>
          <w:rFonts w:cs="Times New Roman"/>
          <w:szCs w:val="24"/>
        </w:rPr>
        <w:t>un</w:t>
      </w:r>
      <w:r w:rsidRPr="00675182">
        <w:rPr>
          <w:rFonts w:cs="Times New Roman"/>
          <w:i/>
          <w:iCs/>
          <w:szCs w:val="24"/>
        </w:rPr>
        <w:t xml:space="preserve"> 8310 Netraucētas alas</w:t>
      </w:r>
      <w:r w:rsidRPr="00675182">
        <w:rPr>
          <w:rFonts w:cs="Times New Roman"/>
          <w:szCs w:val="24"/>
        </w:rPr>
        <w:t xml:space="preserve">. </w:t>
      </w:r>
      <w:r w:rsidRPr="00675182">
        <w:rPr>
          <w:rFonts w:cs="Times New Roman"/>
          <w:i/>
          <w:iCs/>
          <w:szCs w:val="24"/>
        </w:rPr>
        <w:t>8210 Karbonātisku pamatiežu</w:t>
      </w:r>
      <w:r w:rsidRPr="00675182">
        <w:rPr>
          <w:rFonts w:cs="Times New Roman"/>
          <w:szCs w:val="24"/>
        </w:rPr>
        <w:t xml:space="preserve"> atsegumi minēts tikai piemēslojums.</w:t>
      </w:r>
    </w:p>
    <w:p w14:paraId="375B1DA3" w14:textId="77777777" w:rsidR="00FE22D1" w:rsidRPr="00675182" w:rsidRDefault="00FE22D1" w:rsidP="00FE22D1">
      <w:pPr>
        <w:keepNext/>
        <w:keepLines/>
        <w:rPr>
          <w:rFonts w:cs="Times New Roman"/>
          <w:szCs w:val="24"/>
        </w:rPr>
      </w:pPr>
    </w:p>
    <w:p w14:paraId="39FA5B8A" w14:textId="7345AAC0" w:rsidR="00FE22D1" w:rsidRPr="00675182" w:rsidRDefault="00FE22D1" w:rsidP="00FE22D1">
      <w:pPr>
        <w:jc w:val="both"/>
      </w:pPr>
      <w:r w:rsidRPr="00675182">
        <w:rPr>
          <w:rFonts w:cs="Times New Roman"/>
          <w:szCs w:val="24"/>
        </w:rPr>
        <w:t xml:space="preserve">No iežu atsegumu kā sugu dzīvotņu viedokļa būtiskākais nelabvēlīgi ietekmējošais ir antropogēnais faktors. Intensīvi apmeklētās vietās notiek dzīvotņu izmīdīšana, atsegumu pastiprināta erozija, traucējums alās ziemojošām sugām. Ietekmju analīzei izmantotas 1320 digitālās anketas. Cilvēku ietekme atzīmēta 444 atsegumos (~ 34%), skrāpējumi 382 atsegumos (29%), no tiem Sietiņiezis un Revolūcijas iezis atzīmēts kā ļoti skrāpējumu ietekmēti, 13 atsegumi ir vidēji ietekmēti. Nomīdījums atzīmēts 48 </w:t>
      </w:r>
      <w:r w:rsidR="00AC5350">
        <w:rPr>
          <w:rFonts w:cs="Times New Roman"/>
          <w:szCs w:val="24"/>
        </w:rPr>
        <w:t>atsegumos</w:t>
      </w:r>
      <w:r w:rsidR="00AC5350" w:rsidRPr="00675182">
        <w:rPr>
          <w:rFonts w:cs="Times New Roman"/>
          <w:szCs w:val="24"/>
        </w:rPr>
        <w:t xml:space="preserve"> </w:t>
      </w:r>
      <w:r w:rsidRPr="00675182">
        <w:rPr>
          <w:rFonts w:cs="Times New Roman"/>
          <w:szCs w:val="24"/>
        </w:rPr>
        <w:t xml:space="preserve">(tikai 8220), bet kā būtisks traucējums tas raksturots Raiskuma klintīs un Sietiņiezī, vidēja negatīvā ietekme ir Kraukļu alas iezim un Buļu iezim.  Kāpnes, laipas vai pieejas ir izveidotas vismaz 200 iežu atsegumos (6 (no 7) - </w:t>
      </w:r>
      <w:r w:rsidRPr="00675182">
        <w:rPr>
          <w:rFonts w:cs="Times New Roman"/>
          <w:i/>
          <w:iCs/>
          <w:szCs w:val="24"/>
        </w:rPr>
        <w:t xml:space="preserve">8210 </w:t>
      </w:r>
      <w:r w:rsidRPr="00675182">
        <w:rPr>
          <w:rFonts w:cs="Times New Roman"/>
          <w:szCs w:val="24"/>
        </w:rPr>
        <w:t xml:space="preserve">un 194 (no 1313) - </w:t>
      </w:r>
      <w:r w:rsidRPr="00675182">
        <w:rPr>
          <w:rFonts w:cs="Times New Roman"/>
          <w:i/>
          <w:iCs/>
          <w:szCs w:val="24"/>
        </w:rPr>
        <w:lastRenderedPageBreak/>
        <w:t>8220</w:t>
      </w:r>
      <w:r w:rsidRPr="00675182">
        <w:rPr>
          <w:rFonts w:cs="Times New Roman"/>
          <w:szCs w:val="24"/>
        </w:rPr>
        <w:t xml:space="preserve">), kas kopā ir ~ 15 %, no tiem ieteikts atjaunot labiekārtojumu pie Ligates 8., 9., 10. ieža, Raiskuma klintīs, Grīviņu iezī un Zvārtes iezī, bet likvidēt Pēteralas iezī un Velnu ceplī (visi 8220). Apbūve veikta 54 atsegumos, būtiski negatīva ietekme ir atzīmēta pie Kraukļu alas ieža  un Sietiņiezī. Neorganizēts, nekontrolēts alu apmeklējums apdraud ziemojošos sikspārņus un mehāniskas noberšanas dēļ arī uz sienām pie alu ieejām augošās sūnas, piemēram, alus spulgsūnu </w:t>
      </w:r>
      <w:r w:rsidRPr="00675182">
        <w:rPr>
          <w:rFonts w:cs="Times New Roman"/>
          <w:i/>
          <w:iCs/>
          <w:szCs w:val="24"/>
        </w:rPr>
        <w:t xml:space="preserve">Schistostega pennata. </w:t>
      </w:r>
      <w:r w:rsidRPr="00675182">
        <w:rPr>
          <w:rFonts w:cs="Times New Roman"/>
          <w:szCs w:val="24"/>
        </w:rPr>
        <w:t xml:space="preserve">Atsevišķi jaunāki un vecāki sadzīves atkritumi konstatēti vismaz trešdaļā atsegumu. Nozīmīgākais traucējums </w:t>
      </w:r>
      <w:r w:rsidRPr="00675182">
        <w:rPr>
          <w:rFonts w:cs="Times New Roman"/>
          <w:i/>
          <w:iCs/>
          <w:szCs w:val="24"/>
        </w:rPr>
        <w:t>8310 Netraucētas alas</w:t>
      </w:r>
      <w:r w:rsidRPr="00675182">
        <w:rPr>
          <w:rFonts w:cs="Times New Roman"/>
          <w:szCs w:val="24"/>
        </w:rPr>
        <w:t xml:space="preserve"> ir to apmeklējums , īpaši, ja tas notiek sikspārņiem nozīmīgā laikā (Kalējala, Pēterala, Liepas Lielā Ellīte, alas Līču Laņģu klintīs, Lielā sikspārņu ala u.c.). Minēta nomīdīšana un piesārņojums ar sadzīves atkritumiem.</w:t>
      </w:r>
      <w:r w:rsidRPr="00675182">
        <w:t xml:space="preserve"> Apmeklētāju iecienītās vietās, alu aizsardzībā prioritāra ir jau esošās tūrisma infrastruktūras uzlabošana,  ja tāda apkārtnē ir izveidota, lai samazinātu alas apmeklējumu. Ieteikta atsevišķu alu  norobežošana, infrastruktūras likvidēšana (Pēterala sūnu aizsardzībai uz ieejas atsegumiem, citas alas sikspārņu aizsardzībai).</w:t>
      </w:r>
    </w:p>
    <w:p w14:paraId="7B40613A" w14:textId="77777777" w:rsidR="00FE22D1" w:rsidRPr="00675182" w:rsidRDefault="00FE22D1" w:rsidP="00FE22D1">
      <w:pPr>
        <w:jc w:val="both"/>
      </w:pPr>
    </w:p>
    <w:p w14:paraId="5496855D" w14:textId="52B47FA2" w:rsidR="00FE22D1" w:rsidRPr="00675182" w:rsidRDefault="00FE22D1" w:rsidP="00FE22D1">
      <w:pPr>
        <w:jc w:val="both"/>
      </w:pPr>
      <w:r w:rsidRPr="00675182">
        <w:t>LIFE projekta „Natura 2000 teritoriju nacionālā aizsardzības un apsaimniekošanas programma”, LIFE11 NAT/LV/000371 (2012‒2017) ietvaros pārveidots nožogojums pie Kalējalas, novirzot tūristu plūsmu uz blakusesošo nišu, uzstādīta informācijas zīme, kas brīdina apmeklētājus par aizliegumu apmeklēt Kalējalu laikā no oktobra līdz aprīlim. Iepriekšējais nožogojums bija izveidots, lai vispār nepieļautu apmeklētāju piekļuvi atsegumam ar alu, taču tas tika nepārtraukti bojāts, jo ala iepriekš ir bijusi pieejama apskatei. Pašreizējais risinājums paredzēja plūsmas novirzīšanu un sabiedrības izglītošanu, bet norobežojošā barjera uzbūvēta nepareizi (viegli pārkāpjama ar horizontāliem šķēršļiem), tāpēc gaidītais efekts nav sasniegts un apmeklētāju slodze uz alu nesamazinās. Līdzīgu nožogojumu izveide alu aizsardzībai jāpārdomā un jāizvēlas optimālāki risinājumi. Līdzīgi arī Līču-Laņģu takās nav izveidots veiksmīgs risinājums smilšakmens atseguma un alu aizsardzībai, jo maršruts izveidots visa atseguma garumā, nevis tikai gar daļu sienas un apmeklētāji izmanto iespēju iekļūt alās, radot traucējumu. Turklāt objekts ir ļoti populārs un plaši apmeklēts, kas daudzviet nevis novērsis izmīdījumu kā bija cerēts, bet pastiprinājis to (neparedzēti liela slodze).</w:t>
      </w:r>
    </w:p>
    <w:p w14:paraId="56B561C2" w14:textId="77777777" w:rsidR="00FE22D1" w:rsidRPr="00675182" w:rsidRDefault="00FE22D1" w:rsidP="00FE22D1">
      <w:pPr>
        <w:jc w:val="both"/>
      </w:pPr>
    </w:p>
    <w:p w14:paraId="2D871E86" w14:textId="07743AB4" w:rsidR="00FE22D1" w:rsidRPr="00675182" w:rsidRDefault="00FE22D1" w:rsidP="00FE22D1">
      <w:pPr>
        <w:jc w:val="both"/>
        <w:rPr>
          <w:rFonts w:cs="Times New Roman"/>
          <w:szCs w:val="24"/>
        </w:rPr>
      </w:pPr>
      <w:r w:rsidRPr="00675182">
        <w:rPr>
          <w:rFonts w:cs="Times New Roman"/>
          <w:szCs w:val="24"/>
        </w:rPr>
        <w:t>Visiem iežu atsegumu biotopiem raksturīgi periodiski dabiski nobrukumi, kas uztur pietiekami daudz atsegtās platības, bet alu gadījumā var neatgriezeniski iznīcināt biotopu. Lai tādi norisinātos, ir jābūt aktīviem nogāžu procesiem, kas ietver virskārtas nogruvumus un nobiru materiāla aiznešanu no pakājes. Iežu atsegumiem apaugot ar mežu un augsnes virskārtai pieaugot, samazinās atsegtās daļas platība un var notikt lokāla atseguma sugu izzušana. Alu biotopos var notikt gan jaunu eju veidošanās, lielākoties ūdens ietekmē, gan griestu iebrukumi. Alu un atsegumu biotopi kā nozīmīgas dzīvotnes ir vietās, kur dabiskie procesi ir līdzsvarā – ir pietiekami daudz senāku aprimušu daļu, bet aizaugšana nav notikusi, kā arī nav izteikts antropogēnais traucējums. Pārsvarā šādi atsegumu un alu biotopi ir nomaļās, grūtāk pieejamās vietās Gaujas un tās pieteku krastos, vai arī stāvas un vertikālas, tādējādi grūtāk pieejamas atsegumu sienas apdzīvoto vietu tuvumā.</w:t>
      </w:r>
    </w:p>
    <w:p w14:paraId="10FCBC19" w14:textId="77777777" w:rsidR="00FE22D1" w:rsidRPr="00675182" w:rsidRDefault="00FE22D1" w:rsidP="00FE22D1">
      <w:pPr>
        <w:jc w:val="both"/>
        <w:rPr>
          <w:rFonts w:cs="Times New Roman"/>
          <w:i/>
          <w:iCs/>
          <w:szCs w:val="24"/>
        </w:rPr>
      </w:pPr>
    </w:p>
    <w:p w14:paraId="33AAB713" w14:textId="6B75A4E5" w:rsidR="00FE22D1" w:rsidRPr="00675182" w:rsidRDefault="00FE22D1" w:rsidP="00FE22D1">
      <w:pPr>
        <w:jc w:val="both"/>
        <w:rPr>
          <w:rFonts w:cs="Times New Roman"/>
          <w:szCs w:val="24"/>
        </w:rPr>
      </w:pPr>
      <w:r w:rsidRPr="00675182">
        <w:rPr>
          <w:rFonts w:cs="Times New Roman"/>
          <w:szCs w:val="24"/>
        </w:rPr>
        <w:t xml:space="preserve">Vairāku smilšakmens atsegumu anketās (84 jeb 6,4 % ) atzīmētas invazīvās sugas, galvenokārt, uz nobirām un pakājē augošas sīkziedu spriganes </w:t>
      </w:r>
      <w:r w:rsidRPr="00675182">
        <w:rPr>
          <w:rFonts w:cs="Times New Roman"/>
          <w:i/>
          <w:iCs/>
          <w:szCs w:val="24"/>
        </w:rPr>
        <w:t xml:space="preserve">Impatiens parviflora </w:t>
      </w:r>
      <w:r w:rsidRPr="00675182">
        <w:rPr>
          <w:rFonts w:cs="Times New Roman"/>
          <w:szCs w:val="24"/>
        </w:rPr>
        <w:lastRenderedPageBreak/>
        <w:t>(</w:t>
      </w:r>
      <w:r w:rsidR="00F06967">
        <w:rPr>
          <w:rFonts w:cs="Times New Roman"/>
          <w:szCs w:val="24"/>
        </w:rPr>
        <w:t xml:space="preserve">pie </w:t>
      </w:r>
      <w:r w:rsidRPr="00675182">
        <w:rPr>
          <w:rFonts w:cs="Times New Roman"/>
          <w:szCs w:val="24"/>
        </w:rPr>
        <w:t xml:space="preserve">58 </w:t>
      </w:r>
      <w:r w:rsidR="00F06967" w:rsidRPr="00675182">
        <w:rPr>
          <w:rFonts w:cs="Times New Roman"/>
          <w:szCs w:val="24"/>
        </w:rPr>
        <w:t>a</w:t>
      </w:r>
      <w:r w:rsidR="00F06967">
        <w:rPr>
          <w:rFonts w:cs="Times New Roman"/>
          <w:szCs w:val="24"/>
        </w:rPr>
        <w:t>tsegumiem</w:t>
      </w:r>
      <w:r w:rsidRPr="00675182">
        <w:rPr>
          <w:rFonts w:cs="Times New Roman"/>
          <w:szCs w:val="24"/>
        </w:rPr>
        <w:t>)</w:t>
      </w:r>
      <w:r w:rsidRPr="00675182">
        <w:rPr>
          <w:rFonts w:cs="Times New Roman"/>
          <w:i/>
          <w:iCs/>
          <w:szCs w:val="24"/>
        </w:rPr>
        <w:t xml:space="preserve">. </w:t>
      </w:r>
      <w:r w:rsidRPr="00675182">
        <w:rPr>
          <w:rFonts w:cs="Times New Roman"/>
          <w:szCs w:val="24"/>
        </w:rPr>
        <w:t xml:space="preserve">Vairākās anketās kopā ar sīkziedu sprigani atzīmēta arī puķu sprigane </w:t>
      </w:r>
      <w:r w:rsidRPr="00675182">
        <w:rPr>
          <w:rFonts w:cs="Times New Roman"/>
          <w:i/>
          <w:iCs/>
          <w:szCs w:val="24"/>
        </w:rPr>
        <w:t xml:space="preserve">Impatiens glandulifera </w:t>
      </w:r>
      <w:r w:rsidRPr="00675182">
        <w:rPr>
          <w:rFonts w:cs="Times New Roman"/>
          <w:szCs w:val="24"/>
        </w:rPr>
        <w:t>(</w:t>
      </w:r>
      <w:r w:rsidR="00F06967">
        <w:rPr>
          <w:rFonts w:cs="Times New Roman"/>
          <w:szCs w:val="24"/>
        </w:rPr>
        <w:t xml:space="preserve">pie </w:t>
      </w:r>
      <w:r w:rsidRPr="00675182">
        <w:rPr>
          <w:rFonts w:cs="Times New Roman"/>
          <w:szCs w:val="24"/>
        </w:rPr>
        <w:t xml:space="preserve">5 </w:t>
      </w:r>
      <w:r w:rsidR="00F06967">
        <w:rPr>
          <w:rFonts w:cs="Times New Roman"/>
          <w:szCs w:val="24"/>
        </w:rPr>
        <w:t>atsegumiem</w:t>
      </w:r>
      <w:r w:rsidRPr="00675182">
        <w:rPr>
          <w:rFonts w:cs="Times New Roman"/>
          <w:szCs w:val="24"/>
        </w:rPr>
        <w:t xml:space="preserve">) un/vai Sosonovska latvānis </w:t>
      </w:r>
      <w:r w:rsidRPr="00675182">
        <w:rPr>
          <w:rFonts w:cs="Times New Roman"/>
          <w:i/>
          <w:iCs/>
          <w:szCs w:val="24"/>
        </w:rPr>
        <w:t xml:space="preserve">Heracleum sosnowskii </w:t>
      </w:r>
      <w:r w:rsidRPr="00675182">
        <w:rPr>
          <w:rFonts w:cs="Times New Roman"/>
          <w:szCs w:val="24"/>
        </w:rPr>
        <w:t xml:space="preserve">(8 </w:t>
      </w:r>
      <w:r w:rsidR="00F06967">
        <w:rPr>
          <w:rFonts w:cs="Times New Roman"/>
          <w:szCs w:val="24"/>
        </w:rPr>
        <w:t>atsegumi</w:t>
      </w:r>
      <w:r w:rsidRPr="00675182">
        <w:rPr>
          <w:rFonts w:cs="Times New Roman"/>
          <w:szCs w:val="24"/>
        </w:rPr>
        <w:t>), parasti lielākie augi atrasti atseguma pakājē</w:t>
      </w:r>
      <w:r w:rsidRPr="00675182">
        <w:rPr>
          <w:rFonts w:cs="Times New Roman"/>
          <w:i/>
          <w:iCs/>
          <w:szCs w:val="24"/>
        </w:rPr>
        <w:t xml:space="preserve">. </w:t>
      </w:r>
      <w:r w:rsidRPr="00675182">
        <w:rPr>
          <w:rFonts w:cs="Times New Roman"/>
          <w:szCs w:val="24"/>
        </w:rPr>
        <w:t>Anketās minēta arī vārpainā korinte</w:t>
      </w:r>
      <w:r w:rsidRPr="00675182">
        <w:rPr>
          <w:rFonts w:cs="Times New Roman"/>
          <w:i/>
          <w:iCs/>
          <w:szCs w:val="24"/>
        </w:rPr>
        <w:t xml:space="preserve"> Amelanchier spicta </w:t>
      </w:r>
      <w:r w:rsidRPr="00675182">
        <w:rPr>
          <w:rFonts w:cs="Times New Roman"/>
          <w:szCs w:val="24"/>
        </w:rPr>
        <w:t xml:space="preserve">(2 </w:t>
      </w:r>
      <w:r w:rsidR="00F06967">
        <w:rPr>
          <w:rFonts w:cs="Times New Roman"/>
          <w:szCs w:val="24"/>
        </w:rPr>
        <w:t>atsegumi</w:t>
      </w:r>
      <w:r w:rsidRPr="00675182">
        <w:rPr>
          <w:rFonts w:cs="Times New Roman"/>
          <w:szCs w:val="24"/>
        </w:rPr>
        <w:t>), krokainā roze</w:t>
      </w:r>
      <w:r w:rsidRPr="00675182">
        <w:rPr>
          <w:rFonts w:cs="Times New Roman"/>
          <w:i/>
          <w:iCs/>
          <w:szCs w:val="24"/>
        </w:rPr>
        <w:t xml:space="preserve"> Rosa rugosa </w:t>
      </w:r>
      <w:r w:rsidRPr="00675182">
        <w:rPr>
          <w:rFonts w:cs="Times New Roman"/>
          <w:szCs w:val="24"/>
        </w:rPr>
        <w:t xml:space="preserve">(1 </w:t>
      </w:r>
      <w:r w:rsidR="00F06967">
        <w:rPr>
          <w:rFonts w:cs="Times New Roman"/>
          <w:szCs w:val="24"/>
        </w:rPr>
        <w:t>atsegums</w:t>
      </w:r>
      <w:r w:rsidRPr="00675182">
        <w:rPr>
          <w:rFonts w:cs="Times New Roman"/>
          <w:szCs w:val="24"/>
        </w:rPr>
        <w:t>)</w:t>
      </w:r>
      <w:r w:rsidRPr="00675182">
        <w:rPr>
          <w:rFonts w:cs="Times New Roman"/>
          <w:i/>
          <w:iCs/>
          <w:szCs w:val="24"/>
        </w:rPr>
        <w:t xml:space="preserve"> </w:t>
      </w:r>
      <w:r w:rsidRPr="00675182">
        <w:rPr>
          <w:rFonts w:cs="Times New Roman"/>
          <w:szCs w:val="24"/>
        </w:rPr>
        <w:t>un Kanādas zeltslotiņa</w:t>
      </w:r>
      <w:r w:rsidRPr="00675182">
        <w:rPr>
          <w:rFonts w:cs="Times New Roman"/>
          <w:i/>
          <w:iCs/>
          <w:szCs w:val="24"/>
        </w:rPr>
        <w:t xml:space="preserve"> Solidago canadensis </w:t>
      </w:r>
      <w:r w:rsidRPr="00675182">
        <w:rPr>
          <w:rFonts w:cs="Times New Roman"/>
          <w:szCs w:val="24"/>
        </w:rPr>
        <w:t xml:space="preserve">(2 </w:t>
      </w:r>
      <w:r w:rsidR="00F06967">
        <w:rPr>
          <w:rFonts w:cs="Times New Roman"/>
          <w:szCs w:val="24"/>
        </w:rPr>
        <w:t>atsegumi</w:t>
      </w:r>
      <w:r w:rsidRPr="00675182">
        <w:rPr>
          <w:rFonts w:cs="Times New Roman"/>
          <w:szCs w:val="24"/>
        </w:rPr>
        <w:t>).</w:t>
      </w:r>
      <w:r w:rsidRPr="00675182">
        <w:rPr>
          <w:rFonts w:cs="Times New Roman"/>
          <w:i/>
          <w:iCs/>
          <w:szCs w:val="24"/>
        </w:rPr>
        <w:t xml:space="preserve"> </w:t>
      </w:r>
      <w:r w:rsidRPr="00675182">
        <w:rPr>
          <w:rFonts w:cs="Times New Roman"/>
          <w:szCs w:val="24"/>
        </w:rPr>
        <w:t>Kopējā  atsegumu platība, kur nevēlamu sugu klātbūtne reģistrēta ir 3,02 ha, bet daudzviet šīs sugas visu atseguma platību neietekmē, jo aug tikai pakājē vai uz nobirām, vidēji aizņemot 1 % no platības (lielākais ir 30 % vienā gadījumā), tomēr visu šo sugu radītā konkurence var apdraudēt atseguma sugu sastopamību un vitalitāti.</w:t>
      </w:r>
    </w:p>
    <w:p w14:paraId="12A5013A" w14:textId="77777777" w:rsidR="00FE22D1" w:rsidRPr="00675182" w:rsidRDefault="00FE22D1" w:rsidP="00FE22D1">
      <w:pPr>
        <w:jc w:val="both"/>
        <w:rPr>
          <w:rFonts w:cs="Times New Roman"/>
          <w:szCs w:val="24"/>
        </w:rPr>
      </w:pPr>
    </w:p>
    <w:p w14:paraId="373E16D0" w14:textId="76D035CE" w:rsidR="00FE22D1" w:rsidRPr="00675182" w:rsidRDefault="00FE22D1" w:rsidP="00FE22D1">
      <w:pPr>
        <w:jc w:val="both"/>
        <w:rPr>
          <w:rFonts w:cs="Times New Roman"/>
          <w:szCs w:val="24"/>
        </w:rPr>
      </w:pPr>
      <w:r w:rsidRPr="00675182">
        <w:rPr>
          <w:rFonts w:cs="Times New Roman"/>
          <w:szCs w:val="24"/>
        </w:rPr>
        <w:t xml:space="preserve">Vairāk nekā pusē gadījumu </w:t>
      </w:r>
      <w:r w:rsidRPr="00675182">
        <w:rPr>
          <w:rFonts w:cs="Times New Roman"/>
          <w:i/>
          <w:iCs/>
          <w:szCs w:val="24"/>
        </w:rPr>
        <w:t>8220 Smilšakmens atseguma</w:t>
      </w:r>
      <w:r w:rsidRPr="00675182">
        <w:rPr>
          <w:rFonts w:cs="Times New Roman"/>
          <w:szCs w:val="24"/>
        </w:rPr>
        <w:t xml:space="preserve"> priekšā </w:t>
      </w:r>
      <w:r w:rsidR="007224EE">
        <w:rPr>
          <w:rFonts w:cs="Times New Roman"/>
          <w:szCs w:val="24"/>
        </w:rPr>
        <w:t xml:space="preserve">konstatēti </w:t>
      </w:r>
      <w:r w:rsidRPr="00675182">
        <w:rPr>
          <w:rFonts w:cs="Times New Roman"/>
          <w:szCs w:val="24"/>
        </w:rPr>
        <w:t xml:space="preserve">krūmi (777 ieraksti), no tiem </w:t>
      </w:r>
      <w:r w:rsidR="0006537E" w:rsidRPr="00675182">
        <w:rPr>
          <w:rFonts w:cs="Times New Roman"/>
          <w:szCs w:val="24"/>
        </w:rPr>
        <w:t xml:space="preserve">lielākajā daļā gadījumu nav nepieciešama </w:t>
      </w:r>
      <w:r w:rsidR="00F06967">
        <w:rPr>
          <w:rFonts w:cs="Times New Roman"/>
          <w:szCs w:val="24"/>
        </w:rPr>
        <w:t xml:space="preserve">to </w:t>
      </w:r>
      <w:r w:rsidR="0006537E" w:rsidRPr="00675182">
        <w:rPr>
          <w:rFonts w:cs="Times New Roman"/>
          <w:szCs w:val="24"/>
        </w:rPr>
        <w:t>novākšana</w:t>
      </w:r>
      <w:r w:rsidRPr="00675182">
        <w:rPr>
          <w:rFonts w:cs="Times New Roman"/>
          <w:szCs w:val="24"/>
        </w:rPr>
        <w:t xml:space="preserve"> (</w:t>
      </w:r>
      <w:r w:rsidR="00F06967">
        <w:rPr>
          <w:rFonts w:cs="Times New Roman"/>
          <w:szCs w:val="24"/>
        </w:rPr>
        <w:t xml:space="preserve">pie </w:t>
      </w:r>
      <w:r w:rsidRPr="00675182">
        <w:rPr>
          <w:rFonts w:cs="Times New Roman"/>
          <w:szCs w:val="24"/>
        </w:rPr>
        <w:t xml:space="preserve">691 </w:t>
      </w:r>
      <w:r w:rsidR="00F06967">
        <w:rPr>
          <w:rFonts w:cs="Times New Roman"/>
          <w:szCs w:val="24"/>
        </w:rPr>
        <w:t>atseguma</w:t>
      </w:r>
      <w:r w:rsidRPr="00675182">
        <w:rPr>
          <w:rFonts w:cs="Times New Roman"/>
          <w:szCs w:val="24"/>
        </w:rPr>
        <w:t xml:space="preserve">). Krūmu novākšana ieteikta 7 atsegumos, bet krūmu aizsega atjaunošana </w:t>
      </w:r>
      <w:r w:rsidR="00F06967">
        <w:rPr>
          <w:rFonts w:cs="Times New Roman"/>
          <w:szCs w:val="24"/>
        </w:rPr>
        <w:t>pie diviem</w:t>
      </w:r>
      <w:r w:rsidRPr="00675182">
        <w:rPr>
          <w:rFonts w:cs="Times New Roman"/>
          <w:szCs w:val="24"/>
        </w:rPr>
        <w:t xml:space="preserve">, kopā ar labiekārtojuma novākšanu un mežaudzes atjaunošanu virs atseguma un tā priekšā (Velnu ceplis jeb Lielā Ellīte). Mežaudzes atjaunošanas nepieciešamība virs atseguma minēta arī pie Caurieža. Kritušo koku novākšana no atseguma ieteikta </w:t>
      </w:r>
      <w:r w:rsidR="00F06967">
        <w:rPr>
          <w:rFonts w:cs="Times New Roman"/>
          <w:szCs w:val="24"/>
        </w:rPr>
        <w:t xml:space="preserve">pie </w:t>
      </w:r>
      <w:r w:rsidRPr="00675182">
        <w:rPr>
          <w:rFonts w:cs="Times New Roman"/>
          <w:szCs w:val="24"/>
        </w:rPr>
        <w:t xml:space="preserve">10 </w:t>
      </w:r>
      <w:r w:rsidR="00F06967">
        <w:rPr>
          <w:rFonts w:cs="Times New Roman"/>
          <w:szCs w:val="24"/>
        </w:rPr>
        <w:t>atsegumiem</w:t>
      </w:r>
      <w:r w:rsidRPr="00675182">
        <w:rPr>
          <w:rFonts w:cs="Times New Roman"/>
          <w:szCs w:val="24"/>
        </w:rPr>
        <w:t>.</w:t>
      </w:r>
    </w:p>
    <w:p w14:paraId="49AA55F1" w14:textId="77777777" w:rsidR="00B17427" w:rsidRPr="00675182" w:rsidRDefault="00B17427" w:rsidP="00B17427">
      <w:pPr>
        <w:jc w:val="both"/>
        <w:rPr>
          <w:rFonts w:cstheme="minorHAnsi"/>
          <w:szCs w:val="24"/>
        </w:rPr>
      </w:pPr>
    </w:p>
    <w:p w14:paraId="30E284E2" w14:textId="5A232DDB" w:rsidR="00205A7B" w:rsidRPr="00675182" w:rsidRDefault="00205A7B" w:rsidP="002B3341">
      <w:pPr>
        <w:pStyle w:val="Heading3"/>
        <w:keepNext w:val="0"/>
        <w:numPr>
          <w:ilvl w:val="0"/>
          <w:numId w:val="0"/>
        </w:numPr>
        <w:rPr>
          <w:rFonts w:cstheme="minorHAnsi"/>
          <w:b/>
          <w:szCs w:val="24"/>
          <w:lang w:val="lv-LV"/>
        </w:rPr>
      </w:pPr>
      <w:bookmarkStart w:id="64" w:name="_Toc116938405"/>
      <w:r w:rsidRPr="00675182">
        <w:rPr>
          <w:rFonts w:cstheme="minorHAnsi"/>
          <w:b/>
          <w:szCs w:val="24"/>
          <w:lang w:val="lv-LV"/>
        </w:rPr>
        <w:t>2.3.</w:t>
      </w:r>
      <w:r w:rsidR="00FA4A9C" w:rsidRPr="00675182">
        <w:rPr>
          <w:rFonts w:cstheme="minorHAnsi"/>
          <w:b/>
          <w:szCs w:val="24"/>
          <w:lang w:val="lv-LV"/>
        </w:rPr>
        <w:t>3</w:t>
      </w:r>
      <w:r w:rsidRPr="00675182">
        <w:rPr>
          <w:rFonts w:cstheme="minorHAnsi"/>
          <w:b/>
          <w:szCs w:val="24"/>
          <w:lang w:val="lv-LV"/>
        </w:rPr>
        <w:t>. Zālāju biotopi</w:t>
      </w:r>
      <w:bookmarkEnd w:id="64"/>
      <w:r w:rsidRPr="00675182">
        <w:rPr>
          <w:rFonts w:cstheme="minorHAnsi"/>
          <w:b/>
          <w:szCs w:val="24"/>
          <w:lang w:val="lv-LV"/>
        </w:rPr>
        <w:t xml:space="preserve"> </w:t>
      </w:r>
    </w:p>
    <w:p w14:paraId="7D109742" w14:textId="77777777" w:rsidR="00590DF2" w:rsidRPr="00675182" w:rsidRDefault="00590DF2" w:rsidP="002B3341">
      <w:pPr>
        <w:rPr>
          <w:rFonts w:cstheme="minorHAnsi"/>
          <w:b/>
        </w:rPr>
      </w:pPr>
    </w:p>
    <w:p w14:paraId="262F0345" w14:textId="77777777" w:rsidR="0075622A" w:rsidRPr="00675182" w:rsidRDefault="0075622A" w:rsidP="0075622A">
      <w:pPr>
        <w:jc w:val="both"/>
        <w:rPr>
          <w:rFonts w:cstheme="minorHAnsi"/>
          <w:b/>
        </w:rPr>
      </w:pPr>
      <w:r w:rsidRPr="00675182">
        <w:rPr>
          <w:rFonts w:cstheme="minorHAnsi"/>
          <w:b/>
        </w:rPr>
        <w:t>Dabas aizsardzības vērtība</w:t>
      </w:r>
    </w:p>
    <w:p w14:paraId="749D3B64" w14:textId="2CAD2369" w:rsidR="0075622A" w:rsidRPr="00675182" w:rsidRDefault="0075622A" w:rsidP="0075622A">
      <w:pPr>
        <w:jc w:val="both"/>
        <w:rPr>
          <w:rFonts w:cstheme="minorHAnsi"/>
          <w:bCs/>
          <w:szCs w:val="24"/>
        </w:rPr>
      </w:pPr>
      <w:r w:rsidRPr="00675182">
        <w:rPr>
          <w:rFonts w:cstheme="minorHAnsi"/>
          <w:bCs/>
        </w:rPr>
        <w:t>ES nozīmes zālāju biotopi aizņem 8</w:t>
      </w:r>
      <w:r w:rsidR="00BA73E5" w:rsidRPr="00675182">
        <w:rPr>
          <w:rFonts w:cstheme="minorHAnsi"/>
          <w:bCs/>
        </w:rPr>
        <w:t>33</w:t>
      </w:r>
      <w:r w:rsidRPr="00675182">
        <w:rPr>
          <w:rFonts w:cstheme="minorHAnsi"/>
          <w:bCs/>
        </w:rPr>
        <w:t xml:space="preserve">,6 ha jeb </w:t>
      </w:r>
      <w:r w:rsidR="00BA73E5" w:rsidRPr="00675182">
        <w:rPr>
          <w:rFonts w:cstheme="minorHAnsi"/>
          <w:bCs/>
        </w:rPr>
        <w:t>0,91</w:t>
      </w:r>
      <w:r w:rsidRPr="00675182">
        <w:rPr>
          <w:rFonts w:cstheme="minorHAnsi"/>
          <w:bCs/>
        </w:rPr>
        <w:t xml:space="preserve"> % no GNP platības</w:t>
      </w:r>
      <w:r w:rsidR="00F06967">
        <w:rPr>
          <w:rFonts w:cstheme="minorHAnsi"/>
          <w:bCs/>
        </w:rPr>
        <w:t xml:space="preserve"> un tie visi atbilst Latvijas ĪA biotopiem</w:t>
      </w:r>
      <w:r w:rsidRPr="00675182">
        <w:rPr>
          <w:rFonts w:cstheme="minorHAnsi"/>
          <w:bCs/>
        </w:rPr>
        <w:t xml:space="preserve">. </w:t>
      </w:r>
      <w:r w:rsidRPr="00675182">
        <w:rPr>
          <w:rFonts w:cstheme="minorHAnsi"/>
          <w:bCs/>
          <w:szCs w:val="24"/>
        </w:rPr>
        <w:t xml:space="preserve">GNP teritorijā konstatēti kopumā deviņi dažādi ES nozīmes aizsargājamie zālāju biotopi. Katrs no tiem raksturo specifiskus augsnes un mitruma apstākļus, kuros izveidojušās reti sastopamas augu sabiedrības. Dabiskie zālāji attīstījušies vietās, kur ilgstoši notikusi tradicionāla, ekstensīva apsaimniekošana, zālājs nav ielabots, agrotehniski apstrādāts, intensīvi mēslots, nav piesētas graudzāles vai tauriņzieži. Zālāju biotopus raksturo blīva velēna, kas veidojusies daudzu gadu desmitu vai pat simtu laikā. Zālājos novērojams daudzveidīgs stāvojums, nav izteiktu dominējošu augu sugu, kā arī ir liels vaskulāro un paparžaugu sugu piesātinājums jeb augsta sugu daudzveidība uz vienu kvadrātmetru. Dabiskie zālāji ir nozīmīgas dzīvotnes </w:t>
      </w:r>
      <w:r w:rsidR="00EE2881">
        <w:rPr>
          <w:rFonts w:cstheme="minorHAnsi"/>
          <w:bCs/>
          <w:szCs w:val="24"/>
        </w:rPr>
        <w:t>ĪA</w:t>
      </w:r>
      <w:r w:rsidRPr="00675182">
        <w:rPr>
          <w:rFonts w:cstheme="minorHAnsi"/>
          <w:bCs/>
          <w:szCs w:val="24"/>
        </w:rPr>
        <w:t xml:space="preserve"> un reti sastopamām augu un dzīvnieku sugām, kā arī kalpo par barības ieguves vietu dažādiem bezmugurkaulniekiem un citiem dzīvniekiem (Rūsiņa (red.), 2017).</w:t>
      </w:r>
    </w:p>
    <w:p w14:paraId="4EFC568D" w14:textId="77777777" w:rsidR="0075622A" w:rsidRPr="00675182" w:rsidRDefault="0075622A" w:rsidP="0075622A">
      <w:pPr>
        <w:jc w:val="both"/>
        <w:rPr>
          <w:rFonts w:cstheme="minorHAnsi"/>
          <w:bCs/>
          <w:szCs w:val="24"/>
        </w:rPr>
      </w:pPr>
    </w:p>
    <w:p w14:paraId="4191365D" w14:textId="77777777" w:rsidR="0075622A" w:rsidRPr="00675182" w:rsidRDefault="0075622A" w:rsidP="0075622A">
      <w:pPr>
        <w:jc w:val="both"/>
        <w:rPr>
          <w:rFonts w:cstheme="minorHAnsi"/>
          <w:bCs/>
          <w:szCs w:val="24"/>
        </w:rPr>
      </w:pPr>
      <w:r w:rsidRPr="00675182">
        <w:rPr>
          <w:rFonts w:cstheme="minorHAnsi"/>
          <w:bCs/>
          <w:szCs w:val="24"/>
        </w:rPr>
        <w:t>Ne mazāk svarīga ir dabisko zālāju kultūrvēsturiskā un ainaviskā nozīme. Jau 18. gs. liecībās – Johana Broces zīmējumos, kā arī vēsturiskos foto attēlos no 20. gs. sākuma, redzams, ka GNP teritorijā, jo īpaši, upju un ezeru tuvumā bijuši plaši zālāji, kas ir neatņemama šo apkaimju ainavas sastāvdaļa. Zālāju biotopi, kas atrodas palieņu teritorijās un palos applūst, nav piemēroti ielabošanai, tādējādi ilgstoši saglabājušies nemainīgi. Šīs ilgstoši nemainīgās augu sabiedrības ar lielo sugu piesātinājumu ir nozīmīga kultūrvēsturiskā vērtība (Rūsiņa (red.) 2017).</w:t>
      </w:r>
    </w:p>
    <w:p w14:paraId="7ADF7123" w14:textId="77777777" w:rsidR="0075622A" w:rsidRPr="00675182" w:rsidRDefault="0075622A" w:rsidP="0075622A">
      <w:pPr>
        <w:jc w:val="both"/>
        <w:rPr>
          <w:rFonts w:cstheme="minorHAnsi"/>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56"/>
      </w:tblGrid>
      <w:tr w:rsidR="0075622A" w:rsidRPr="00675182" w14:paraId="513DEB59" w14:textId="77777777" w:rsidTr="00286810">
        <w:trPr>
          <w:trHeight w:val="2018"/>
        </w:trPr>
        <w:tc>
          <w:tcPr>
            <w:tcW w:w="4040" w:type="dxa"/>
            <w:vAlign w:val="center"/>
          </w:tcPr>
          <w:p w14:paraId="6904465F" w14:textId="77777777" w:rsidR="0075622A" w:rsidRPr="00675182" w:rsidRDefault="0075622A" w:rsidP="00286810">
            <w:pPr>
              <w:keepNext/>
              <w:keepLines/>
              <w:jc w:val="center"/>
              <w:rPr>
                <w:rFonts w:cstheme="minorHAnsi"/>
                <w:bCs/>
                <w:szCs w:val="24"/>
              </w:rPr>
            </w:pPr>
            <w:r w:rsidRPr="00675182">
              <w:rPr>
                <w:rFonts w:cstheme="minorHAnsi"/>
                <w:bCs/>
                <w:noProof/>
                <w:szCs w:val="24"/>
              </w:rPr>
              <w:lastRenderedPageBreak/>
              <w:drawing>
                <wp:inline distT="0" distB="0" distL="0" distR="0" wp14:anchorId="17B1EF18" wp14:editId="202E385F">
                  <wp:extent cx="2449825" cy="1523365"/>
                  <wp:effectExtent l="0" t="0" r="1905" b="635"/>
                  <wp:docPr id="25" name="Picture 2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2499399" cy="1554191"/>
                          </a:xfrm>
                          <a:prstGeom prst="rect">
                            <a:avLst/>
                          </a:prstGeom>
                        </pic:spPr>
                      </pic:pic>
                    </a:graphicData>
                  </a:graphic>
                </wp:inline>
              </w:drawing>
            </w:r>
          </w:p>
        </w:tc>
        <w:tc>
          <w:tcPr>
            <w:tcW w:w="4271" w:type="dxa"/>
            <w:vAlign w:val="center"/>
          </w:tcPr>
          <w:p w14:paraId="640C91B0" w14:textId="77777777" w:rsidR="0075622A" w:rsidRPr="00675182" w:rsidRDefault="0075622A" w:rsidP="00286810">
            <w:pPr>
              <w:keepNext/>
              <w:keepLines/>
              <w:jc w:val="center"/>
              <w:rPr>
                <w:rFonts w:cstheme="minorHAnsi"/>
                <w:bCs/>
                <w:szCs w:val="24"/>
              </w:rPr>
            </w:pPr>
            <w:r w:rsidRPr="00675182">
              <w:rPr>
                <w:rFonts w:cstheme="minorHAnsi"/>
                <w:bCs/>
                <w:noProof/>
                <w:szCs w:val="24"/>
              </w:rPr>
              <w:drawing>
                <wp:inline distT="0" distB="0" distL="0" distR="0" wp14:anchorId="28356762" wp14:editId="23CBF066">
                  <wp:extent cx="2501806" cy="1571341"/>
                  <wp:effectExtent l="0" t="0" r="635" b="3810"/>
                  <wp:docPr id="26" name="Picture 26" descr="A painting on th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ainting on the wall&#10;&#10;Description automatically generated"/>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2536895" cy="1593380"/>
                          </a:xfrm>
                          <a:prstGeom prst="rect">
                            <a:avLst/>
                          </a:prstGeom>
                        </pic:spPr>
                      </pic:pic>
                    </a:graphicData>
                  </a:graphic>
                </wp:inline>
              </w:drawing>
            </w:r>
          </w:p>
        </w:tc>
      </w:tr>
      <w:tr w:rsidR="0075622A" w:rsidRPr="00675182" w14:paraId="546B19AC" w14:textId="77777777" w:rsidTr="00286810">
        <w:tc>
          <w:tcPr>
            <w:tcW w:w="4040" w:type="dxa"/>
          </w:tcPr>
          <w:p w14:paraId="4F7A8A13" w14:textId="77777777" w:rsidR="0075622A" w:rsidRPr="00675182" w:rsidRDefault="0075622A" w:rsidP="00286810">
            <w:pPr>
              <w:keepNext/>
              <w:keepLines/>
              <w:rPr>
                <w:rFonts w:cstheme="minorHAnsi"/>
                <w:b/>
                <w:i/>
                <w:iCs/>
                <w:szCs w:val="24"/>
              </w:rPr>
            </w:pPr>
            <w:r w:rsidRPr="00675182">
              <w:rPr>
                <w:rFonts w:cstheme="minorHAnsi"/>
                <w:b/>
                <w:i/>
                <w:iCs/>
                <w:szCs w:val="24"/>
              </w:rPr>
              <w:t xml:space="preserve">2.3.43. attēls. Amatas ieleja pie Kārļiem, 1795. J.Broce </w:t>
            </w:r>
          </w:p>
          <w:p w14:paraId="2B0FE574" w14:textId="4A59463A" w:rsidR="0075622A" w:rsidRPr="00675182" w:rsidRDefault="0075622A" w:rsidP="00286810">
            <w:pPr>
              <w:keepNext/>
              <w:keepLines/>
              <w:rPr>
                <w:rFonts w:cstheme="minorHAnsi"/>
                <w:b/>
                <w:i/>
                <w:iCs/>
                <w:szCs w:val="24"/>
              </w:rPr>
            </w:pPr>
            <w:r w:rsidRPr="00675182">
              <w:rPr>
                <w:rFonts w:cstheme="minorHAnsi"/>
                <w:bCs/>
                <w:i/>
                <w:iCs/>
                <w:sz w:val="20"/>
              </w:rPr>
              <w:t>Datu avots: https://www.acadlib.lu.lv/broce</w:t>
            </w:r>
          </w:p>
        </w:tc>
        <w:tc>
          <w:tcPr>
            <w:tcW w:w="4271" w:type="dxa"/>
          </w:tcPr>
          <w:p w14:paraId="1BE251DC" w14:textId="5DE8001A" w:rsidR="0075622A" w:rsidRPr="00675182" w:rsidRDefault="0075622A" w:rsidP="00286810">
            <w:pPr>
              <w:keepNext/>
              <w:keepLines/>
              <w:rPr>
                <w:rFonts w:cstheme="minorHAnsi"/>
                <w:b/>
                <w:i/>
                <w:iCs/>
                <w:szCs w:val="24"/>
              </w:rPr>
            </w:pPr>
            <w:r w:rsidRPr="00675182">
              <w:rPr>
                <w:rFonts w:cstheme="minorHAnsi"/>
                <w:b/>
                <w:i/>
                <w:iCs/>
                <w:szCs w:val="24"/>
              </w:rPr>
              <w:t xml:space="preserve">2.3.44. attēls. Raunas upe, netālu no ietekas Gaujā, 1793. J.Broce </w:t>
            </w:r>
            <w:r w:rsidRPr="00675182">
              <w:rPr>
                <w:rFonts w:cstheme="minorHAnsi"/>
                <w:bCs/>
                <w:i/>
                <w:iCs/>
                <w:sz w:val="20"/>
              </w:rPr>
              <w:t>Datu avots: https://www.acadlib.lu.lv/broce</w:t>
            </w:r>
          </w:p>
        </w:tc>
      </w:tr>
      <w:tr w:rsidR="0075622A" w:rsidRPr="00675182" w14:paraId="4377B90A" w14:textId="77777777" w:rsidTr="00286810">
        <w:tc>
          <w:tcPr>
            <w:tcW w:w="4040" w:type="dxa"/>
          </w:tcPr>
          <w:p w14:paraId="2BC4B088" w14:textId="77777777" w:rsidR="0075622A" w:rsidRPr="00675182" w:rsidRDefault="0075622A" w:rsidP="00286810">
            <w:pPr>
              <w:keepNext/>
              <w:keepLines/>
              <w:jc w:val="both"/>
              <w:rPr>
                <w:rFonts w:cstheme="minorHAnsi"/>
                <w:bCs/>
                <w:szCs w:val="24"/>
              </w:rPr>
            </w:pPr>
            <w:r w:rsidRPr="00675182">
              <w:rPr>
                <w:rFonts w:cstheme="minorHAnsi"/>
                <w:bCs/>
                <w:noProof/>
                <w:szCs w:val="24"/>
              </w:rPr>
              <w:drawing>
                <wp:inline distT="0" distB="0" distL="0" distR="0" wp14:anchorId="61D22BB4" wp14:editId="56E39080">
                  <wp:extent cx="2540416" cy="1679346"/>
                  <wp:effectExtent l="0" t="0" r="0" b="0"/>
                  <wp:docPr id="28" name="Picture 28" descr="A tree in the middle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tree in the middle of a field&#10;&#10;Description automatically generated"/>
                          <pic:cNvPicPr/>
                        </pic:nvPicPr>
                        <pic:blipFill>
                          <a:blip r:embed="rId197">
                            <a:extLst>
                              <a:ext uri="{28A0092B-C50C-407E-A947-70E740481C1C}">
                                <a14:useLocalDpi xmlns:a14="http://schemas.microsoft.com/office/drawing/2010/main" val="0"/>
                              </a:ext>
                            </a:extLst>
                          </a:blip>
                          <a:stretch>
                            <a:fillRect/>
                          </a:stretch>
                        </pic:blipFill>
                        <pic:spPr>
                          <a:xfrm>
                            <a:off x="0" y="0"/>
                            <a:ext cx="2548641" cy="1684783"/>
                          </a:xfrm>
                          <a:prstGeom prst="rect">
                            <a:avLst/>
                          </a:prstGeom>
                        </pic:spPr>
                      </pic:pic>
                    </a:graphicData>
                  </a:graphic>
                </wp:inline>
              </w:drawing>
            </w:r>
          </w:p>
        </w:tc>
        <w:tc>
          <w:tcPr>
            <w:tcW w:w="4271" w:type="dxa"/>
          </w:tcPr>
          <w:p w14:paraId="33B50B1A" w14:textId="77777777" w:rsidR="0075622A" w:rsidRPr="00675182" w:rsidRDefault="0075622A" w:rsidP="00286810">
            <w:pPr>
              <w:keepNext/>
              <w:keepLines/>
              <w:jc w:val="both"/>
              <w:rPr>
                <w:rFonts w:cstheme="minorHAnsi"/>
                <w:bCs/>
                <w:szCs w:val="24"/>
              </w:rPr>
            </w:pPr>
            <w:r w:rsidRPr="00675182">
              <w:rPr>
                <w:rFonts w:cstheme="minorHAnsi"/>
                <w:bCs/>
                <w:noProof/>
                <w:szCs w:val="24"/>
              </w:rPr>
              <w:drawing>
                <wp:inline distT="0" distB="0" distL="0" distR="0" wp14:anchorId="732B5EDB" wp14:editId="61E2E806">
                  <wp:extent cx="2537841" cy="1553365"/>
                  <wp:effectExtent l="0" t="0" r="2540" b="0"/>
                  <wp:docPr id="29" name="Picture 29" descr="A picture containing outdoor, grass, photo,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 grass, photo, person&#10;&#10;Description automatically generated"/>
                          <pic:cNvPicPr/>
                        </pic:nvPicPr>
                        <pic:blipFill>
                          <a:blip r:embed="rId198">
                            <a:extLst>
                              <a:ext uri="{28A0092B-C50C-407E-A947-70E740481C1C}">
                                <a14:useLocalDpi xmlns:a14="http://schemas.microsoft.com/office/drawing/2010/main" val="0"/>
                              </a:ext>
                            </a:extLst>
                          </a:blip>
                          <a:stretch>
                            <a:fillRect/>
                          </a:stretch>
                        </pic:blipFill>
                        <pic:spPr>
                          <a:xfrm>
                            <a:off x="0" y="0"/>
                            <a:ext cx="2566103" cy="1570664"/>
                          </a:xfrm>
                          <a:prstGeom prst="rect">
                            <a:avLst/>
                          </a:prstGeom>
                        </pic:spPr>
                      </pic:pic>
                    </a:graphicData>
                  </a:graphic>
                </wp:inline>
              </w:drawing>
            </w:r>
          </w:p>
        </w:tc>
      </w:tr>
      <w:tr w:rsidR="0075622A" w:rsidRPr="00675182" w14:paraId="55A22EE0" w14:textId="77777777" w:rsidTr="00286810">
        <w:tc>
          <w:tcPr>
            <w:tcW w:w="4040" w:type="dxa"/>
          </w:tcPr>
          <w:p w14:paraId="6302913E" w14:textId="77777777" w:rsidR="0075622A" w:rsidRPr="00675182" w:rsidRDefault="0075622A" w:rsidP="00286810">
            <w:pPr>
              <w:keepNext/>
              <w:keepLines/>
              <w:rPr>
                <w:rFonts w:cstheme="minorHAnsi"/>
                <w:b/>
                <w:i/>
                <w:iCs/>
                <w:szCs w:val="24"/>
              </w:rPr>
            </w:pPr>
            <w:r w:rsidRPr="00675182">
              <w:rPr>
                <w:rFonts w:cstheme="minorHAnsi"/>
                <w:b/>
                <w:i/>
                <w:iCs/>
                <w:szCs w:val="24"/>
              </w:rPr>
              <w:t xml:space="preserve">2.3.45. attēls. Pļavu ainava Vēķu ezera krastā Āraišu apkaimē. Foto: V.Upītis. 20. gs. 30.-tie gadi </w:t>
            </w:r>
          </w:p>
          <w:p w14:paraId="748AE4D7" w14:textId="77777777" w:rsidR="0075622A" w:rsidRPr="00675182" w:rsidRDefault="0075622A" w:rsidP="00286810">
            <w:pPr>
              <w:keepNext/>
              <w:keepLines/>
              <w:rPr>
                <w:rFonts w:cstheme="minorHAnsi"/>
                <w:bCs/>
                <w:sz w:val="20"/>
              </w:rPr>
            </w:pPr>
            <w:r w:rsidRPr="00675182">
              <w:rPr>
                <w:rFonts w:cstheme="minorHAnsi"/>
                <w:bCs/>
                <w:sz w:val="20"/>
              </w:rPr>
              <w:t>Datu avots: zudusilatvija.lv</w:t>
            </w:r>
          </w:p>
        </w:tc>
        <w:tc>
          <w:tcPr>
            <w:tcW w:w="4271" w:type="dxa"/>
          </w:tcPr>
          <w:p w14:paraId="0F7A0CD6" w14:textId="77777777" w:rsidR="0075622A" w:rsidRPr="00675182" w:rsidRDefault="0075622A" w:rsidP="00286810">
            <w:pPr>
              <w:keepNext/>
              <w:keepLines/>
              <w:rPr>
                <w:rFonts w:cstheme="minorHAnsi"/>
                <w:b/>
                <w:i/>
                <w:iCs/>
                <w:szCs w:val="24"/>
              </w:rPr>
            </w:pPr>
            <w:r w:rsidRPr="00675182">
              <w:rPr>
                <w:rFonts w:cstheme="minorHAnsi"/>
                <w:b/>
                <w:i/>
                <w:iCs/>
                <w:szCs w:val="24"/>
              </w:rPr>
              <w:t xml:space="preserve">2.3.46. attēls. Ainava ar zālājiem un tīrumiem pie Zvārtes ieža, 20. gs. 30.-tie gadi </w:t>
            </w:r>
          </w:p>
          <w:p w14:paraId="584B239D" w14:textId="77777777" w:rsidR="0075622A" w:rsidRPr="00675182" w:rsidRDefault="0075622A" w:rsidP="00286810">
            <w:pPr>
              <w:keepNext/>
              <w:keepLines/>
              <w:rPr>
                <w:rFonts w:cstheme="minorHAnsi"/>
                <w:b/>
                <w:i/>
                <w:iCs/>
                <w:szCs w:val="24"/>
              </w:rPr>
            </w:pPr>
            <w:r w:rsidRPr="00675182">
              <w:rPr>
                <w:rFonts w:cstheme="minorHAnsi"/>
                <w:bCs/>
                <w:sz w:val="20"/>
              </w:rPr>
              <w:t>Datu avots: zudusilatvija.lv</w:t>
            </w:r>
            <w:r w:rsidRPr="00675182">
              <w:rPr>
                <w:rFonts w:cstheme="minorHAnsi"/>
                <w:b/>
                <w:i/>
                <w:iCs/>
                <w:szCs w:val="24"/>
              </w:rPr>
              <w:t xml:space="preserve"> </w:t>
            </w:r>
          </w:p>
        </w:tc>
      </w:tr>
    </w:tbl>
    <w:p w14:paraId="49ED3658" w14:textId="77777777" w:rsidR="0075622A" w:rsidRPr="00675182" w:rsidRDefault="0075622A" w:rsidP="0075622A">
      <w:pPr>
        <w:ind w:firstLine="720"/>
        <w:jc w:val="both"/>
        <w:rPr>
          <w:rFonts w:cstheme="minorHAnsi"/>
          <w:bCs/>
          <w:szCs w:val="24"/>
        </w:rPr>
      </w:pPr>
    </w:p>
    <w:p w14:paraId="2C4AA82F" w14:textId="09344B7D" w:rsidR="0075622A" w:rsidRPr="00675182" w:rsidRDefault="0075622A" w:rsidP="0075622A">
      <w:pPr>
        <w:jc w:val="both"/>
        <w:rPr>
          <w:rFonts w:cstheme="minorHAnsi"/>
          <w:bCs/>
          <w:szCs w:val="24"/>
        </w:rPr>
      </w:pPr>
      <w:r w:rsidRPr="00675182">
        <w:rPr>
          <w:rFonts w:cstheme="minorHAnsi"/>
          <w:bCs/>
          <w:szCs w:val="24"/>
        </w:rPr>
        <w:t>Vēsturiski GNP zālāju dabas vērtību apzināšana uzsākta 20. gs</w:t>
      </w:r>
      <w:r w:rsidR="00D63CA9">
        <w:rPr>
          <w:rFonts w:cstheme="minorHAnsi"/>
          <w:bCs/>
          <w:szCs w:val="24"/>
        </w:rPr>
        <w:t>.</w:t>
      </w:r>
      <w:r w:rsidRPr="00675182">
        <w:rPr>
          <w:rFonts w:cstheme="minorHAnsi"/>
          <w:bCs/>
          <w:szCs w:val="24"/>
        </w:rPr>
        <w:t xml:space="preserve"> otrajā pusē, kad veikti fragmentāri pētījumi, piemēram, apzināta veģetācija Nurmižu rezervāta meža laucēs (Tabaka, 1979), kā arī pētīta flora un veģetācija no Murjāņiem līdz Vējupītes ietekai Gaujā (Baroniņa, 1978). GNP dabiskie zālāji inventarizēti 1996. un 1999. gadā ar mērķi noskaidrot augu sabiedrību daudzveidību (Jermacāne, 2000). Laikā no 2001. līdz 2003. gadam, </w:t>
      </w:r>
      <w:r w:rsidR="00A80737">
        <w:rPr>
          <w:rFonts w:cstheme="minorHAnsi"/>
          <w:bCs/>
          <w:szCs w:val="24"/>
        </w:rPr>
        <w:t>Latvijas Dabas fonds</w:t>
      </w:r>
      <w:r w:rsidR="00A80737" w:rsidRPr="00675182">
        <w:rPr>
          <w:rFonts w:cstheme="minorHAnsi"/>
          <w:bCs/>
          <w:szCs w:val="24"/>
        </w:rPr>
        <w:t xml:space="preserve"> </w:t>
      </w:r>
      <w:r w:rsidRPr="00675182">
        <w:rPr>
          <w:rFonts w:cstheme="minorHAnsi"/>
          <w:bCs/>
          <w:szCs w:val="24"/>
        </w:rPr>
        <w:t xml:space="preserve">veica zālāju biotopu kartēšanu visā Latvijā, tajā skaitā GNP teritorijā (Kabucis </w:t>
      </w:r>
      <w:r w:rsidRPr="00675182">
        <w:rPr>
          <w:rFonts w:cstheme="minorHAnsi"/>
          <w:bCs/>
          <w:i/>
          <w:iCs/>
          <w:szCs w:val="24"/>
        </w:rPr>
        <w:t>et al</w:t>
      </w:r>
      <w:r w:rsidRPr="00675182">
        <w:rPr>
          <w:rFonts w:cstheme="minorHAnsi"/>
          <w:bCs/>
          <w:szCs w:val="24"/>
        </w:rPr>
        <w:t xml:space="preserve">., 2003). 2009. gadā GNP teritorijā tika veikta zālāju inventarizācija, vērtējot iepriekšējos gados apsekotos poligonus un analizējot izmaiņas augu sabiedrību daudzveidībā (Rūsiņa, 2012). </w:t>
      </w:r>
    </w:p>
    <w:p w14:paraId="4722E139" w14:textId="77777777" w:rsidR="0075622A" w:rsidRPr="00675182" w:rsidRDefault="0075622A" w:rsidP="0075622A">
      <w:pPr>
        <w:ind w:firstLine="720"/>
        <w:jc w:val="both"/>
        <w:rPr>
          <w:rFonts w:cstheme="minorHAnsi"/>
          <w:bCs/>
          <w:szCs w:val="24"/>
        </w:rPr>
      </w:pPr>
    </w:p>
    <w:p w14:paraId="202732DB" w14:textId="77777777" w:rsidR="0075622A" w:rsidRPr="00675182" w:rsidRDefault="0075622A" w:rsidP="0075622A">
      <w:pPr>
        <w:jc w:val="both"/>
        <w:rPr>
          <w:rFonts w:cstheme="minorHAnsi"/>
          <w:bCs/>
          <w:szCs w:val="24"/>
        </w:rPr>
      </w:pPr>
      <w:r w:rsidRPr="00675182">
        <w:rPr>
          <w:rFonts w:cstheme="minorHAnsi"/>
          <w:bCs/>
          <w:szCs w:val="24"/>
        </w:rPr>
        <w:t xml:space="preserve">DA plāna izstrādes ietvaros visā GNP teritorijā 2020. gada un 2021. gada veģetācijas sezonā apsekoti gan iepriekš (līdz 2014. gadam) kartētie zālāju biotopi, gan citi ilggadīgie zālāji. Tie kartēti pēc aktuālās BVZ kartēšanas metodikas (Lārmanis (red.), 2013), nosakot ES nozīmes biotopus (Auniņš (red.), 2013). </w:t>
      </w:r>
    </w:p>
    <w:p w14:paraId="1AD6CBA9" w14:textId="77777777" w:rsidR="0075622A" w:rsidRPr="00675182" w:rsidRDefault="0075622A" w:rsidP="0075622A">
      <w:pPr>
        <w:ind w:firstLine="720"/>
        <w:jc w:val="both"/>
        <w:rPr>
          <w:rFonts w:cstheme="minorHAnsi"/>
          <w:bCs/>
          <w:szCs w:val="24"/>
        </w:rPr>
      </w:pPr>
    </w:p>
    <w:p w14:paraId="3D4FCC8A" w14:textId="70CA176B" w:rsidR="0075622A" w:rsidRPr="00675182" w:rsidRDefault="0075622A" w:rsidP="0075622A">
      <w:pPr>
        <w:jc w:val="both"/>
        <w:rPr>
          <w:rFonts w:cstheme="minorHAnsi"/>
          <w:bCs/>
          <w:szCs w:val="24"/>
        </w:rPr>
      </w:pPr>
      <w:r w:rsidRPr="00675182">
        <w:rPr>
          <w:rFonts w:cstheme="minorHAnsi"/>
          <w:bCs/>
          <w:szCs w:val="24"/>
        </w:rPr>
        <w:t xml:space="preserve">GNP teritorijā kopumā </w:t>
      </w:r>
      <w:r w:rsidR="001602D1" w:rsidRPr="00675182">
        <w:rPr>
          <w:rFonts w:cstheme="minorHAnsi"/>
          <w:bCs/>
          <w:szCs w:val="24"/>
        </w:rPr>
        <w:t>8</w:t>
      </w:r>
      <w:r w:rsidR="002E5F41">
        <w:rPr>
          <w:rFonts w:cstheme="minorHAnsi"/>
          <w:bCs/>
          <w:szCs w:val="24"/>
        </w:rPr>
        <w:t>48</w:t>
      </w:r>
      <w:r w:rsidRPr="00675182">
        <w:rPr>
          <w:rFonts w:cstheme="minorHAnsi"/>
          <w:bCs/>
          <w:szCs w:val="24"/>
        </w:rPr>
        <w:t xml:space="preserve"> ha platībā konstatēti deviņi ES nozīmes</w:t>
      </w:r>
      <w:r w:rsidR="0043190C">
        <w:rPr>
          <w:rFonts w:cstheme="minorHAnsi"/>
          <w:bCs/>
          <w:szCs w:val="24"/>
        </w:rPr>
        <w:t>/ Latvijas</w:t>
      </w:r>
      <w:r w:rsidRPr="00675182">
        <w:rPr>
          <w:rFonts w:cstheme="minorHAnsi"/>
          <w:bCs/>
          <w:szCs w:val="24"/>
        </w:rPr>
        <w:t xml:space="preserve"> </w:t>
      </w:r>
      <w:r w:rsidR="0043190C">
        <w:rPr>
          <w:rFonts w:cstheme="minorHAnsi"/>
          <w:bCs/>
          <w:szCs w:val="24"/>
        </w:rPr>
        <w:t>īpaši aizsargājamie</w:t>
      </w:r>
      <w:r w:rsidRPr="00675182">
        <w:rPr>
          <w:rFonts w:cstheme="minorHAnsi"/>
          <w:bCs/>
          <w:szCs w:val="24"/>
        </w:rPr>
        <w:t xml:space="preserve"> zālāju biotopi: </w:t>
      </w:r>
    </w:p>
    <w:p w14:paraId="3966A22D" w14:textId="64D09022" w:rsidR="0075622A" w:rsidRPr="00675182" w:rsidRDefault="0075622A" w:rsidP="00A84218">
      <w:pPr>
        <w:pStyle w:val="ListParagraph"/>
        <w:numPr>
          <w:ilvl w:val="0"/>
          <w:numId w:val="18"/>
        </w:numPr>
        <w:jc w:val="both"/>
        <w:rPr>
          <w:rFonts w:cstheme="minorHAnsi"/>
          <w:bCs/>
          <w:szCs w:val="24"/>
        </w:rPr>
      </w:pPr>
      <w:r w:rsidRPr="00675182">
        <w:rPr>
          <w:rFonts w:cstheme="minorHAnsi"/>
          <w:bCs/>
          <w:szCs w:val="24"/>
        </w:rPr>
        <w:t xml:space="preserve">6120* </w:t>
      </w:r>
      <w:r w:rsidR="0043190C">
        <w:rPr>
          <w:rFonts w:cstheme="minorHAnsi"/>
          <w:bCs/>
          <w:szCs w:val="24"/>
        </w:rPr>
        <w:t>(3.2.)</w:t>
      </w:r>
      <w:r w:rsidR="0043190C">
        <w:rPr>
          <w:rStyle w:val="FootnoteReference"/>
          <w:rFonts w:cstheme="minorHAnsi"/>
          <w:bCs/>
          <w:szCs w:val="24"/>
        </w:rPr>
        <w:footnoteReference w:id="16"/>
      </w:r>
      <w:r w:rsidR="0043190C">
        <w:rPr>
          <w:rFonts w:cstheme="minorHAnsi"/>
          <w:bCs/>
          <w:szCs w:val="24"/>
        </w:rPr>
        <w:t xml:space="preserve"> </w:t>
      </w:r>
      <w:r w:rsidRPr="00675182">
        <w:rPr>
          <w:rFonts w:cstheme="minorHAnsi"/>
          <w:bCs/>
          <w:i/>
          <w:iCs/>
          <w:szCs w:val="24"/>
        </w:rPr>
        <w:t>Smiltāju zālāji</w:t>
      </w:r>
      <w:r w:rsidRPr="00675182">
        <w:rPr>
          <w:rFonts w:cstheme="minorHAnsi"/>
          <w:bCs/>
          <w:szCs w:val="24"/>
        </w:rPr>
        <w:t xml:space="preserve"> (23,2 ha); </w:t>
      </w:r>
    </w:p>
    <w:p w14:paraId="31685C3C" w14:textId="4E7C130D" w:rsidR="0075622A" w:rsidRPr="00675182" w:rsidRDefault="0075622A" w:rsidP="00A84218">
      <w:pPr>
        <w:pStyle w:val="ListParagraph"/>
        <w:numPr>
          <w:ilvl w:val="0"/>
          <w:numId w:val="18"/>
        </w:numPr>
        <w:jc w:val="both"/>
        <w:rPr>
          <w:rFonts w:cstheme="minorHAnsi"/>
          <w:bCs/>
          <w:szCs w:val="24"/>
        </w:rPr>
      </w:pPr>
      <w:r w:rsidRPr="00675182">
        <w:rPr>
          <w:rFonts w:cstheme="minorHAnsi"/>
          <w:bCs/>
          <w:szCs w:val="24"/>
        </w:rPr>
        <w:t xml:space="preserve">6210 </w:t>
      </w:r>
      <w:r w:rsidR="0043190C">
        <w:rPr>
          <w:rFonts w:cstheme="minorHAnsi"/>
          <w:bCs/>
          <w:szCs w:val="24"/>
        </w:rPr>
        <w:t xml:space="preserve">(3.6.) </w:t>
      </w:r>
      <w:r w:rsidRPr="00675182">
        <w:rPr>
          <w:rFonts w:cstheme="minorHAnsi"/>
          <w:bCs/>
          <w:i/>
          <w:iCs/>
          <w:szCs w:val="24"/>
        </w:rPr>
        <w:t>Sausi zālāji kaļķainās augsnēs</w:t>
      </w:r>
      <w:r w:rsidRPr="00675182">
        <w:rPr>
          <w:rFonts w:cstheme="minorHAnsi"/>
          <w:bCs/>
          <w:szCs w:val="24"/>
        </w:rPr>
        <w:t xml:space="preserve"> (</w:t>
      </w:r>
      <w:r w:rsidR="002E5F41">
        <w:rPr>
          <w:rFonts w:cstheme="minorHAnsi"/>
          <w:bCs/>
          <w:szCs w:val="24"/>
        </w:rPr>
        <w:t>93</w:t>
      </w:r>
      <w:r w:rsidRPr="00675182">
        <w:rPr>
          <w:rFonts w:cstheme="minorHAnsi"/>
          <w:bCs/>
          <w:szCs w:val="24"/>
        </w:rPr>
        <w:t xml:space="preserve">,7ha); </w:t>
      </w:r>
    </w:p>
    <w:p w14:paraId="0BA73301" w14:textId="20819974" w:rsidR="0075622A" w:rsidRPr="00675182" w:rsidRDefault="0075622A" w:rsidP="00A84218">
      <w:pPr>
        <w:pStyle w:val="ListParagraph"/>
        <w:numPr>
          <w:ilvl w:val="0"/>
          <w:numId w:val="18"/>
        </w:numPr>
        <w:jc w:val="both"/>
        <w:rPr>
          <w:rFonts w:cstheme="minorHAnsi"/>
          <w:bCs/>
          <w:szCs w:val="24"/>
        </w:rPr>
      </w:pPr>
      <w:r w:rsidRPr="00675182">
        <w:rPr>
          <w:rFonts w:cstheme="minorHAnsi"/>
          <w:bCs/>
          <w:szCs w:val="24"/>
        </w:rPr>
        <w:lastRenderedPageBreak/>
        <w:t>6230*</w:t>
      </w:r>
      <w:r w:rsidR="0043190C">
        <w:rPr>
          <w:rFonts w:cstheme="minorHAnsi"/>
          <w:bCs/>
          <w:szCs w:val="24"/>
        </w:rPr>
        <w:t xml:space="preserve"> (3.7.)</w:t>
      </w:r>
      <w:r w:rsidRPr="00675182">
        <w:rPr>
          <w:rFonts w:cstheme="minorHAnsi"/>
          <w:bCs/>
          <w:szCs w:val="24"/>
        </w:rPr>
        <w:t xml:space="preserve"> </w:t>
      </w:r>
      <w:r w:rsidRPr="00675182">
        <w:rPr>
          <w:rFonts w:cstheme="minorHAnsi"/>
          <w:bCs/>
          <w:i/>
          <w:iCs/>
          <w:szCs w:val="24"/>
        </w:rPr>
        <w:t>Vilkakūlas zālāj</w:t>
      </w:r>
      <w:r w:rsidR="0043190C">
        <w:rPr>
          <w:rFonts w:cstheme="minorHAnsi"/>
          <w:bCs/>
          <w:i/>
          <w:iCs/>
          <w:szCs w:val="24"/>
        </w:rPr>
        <w:t xml:space="preserve">i (tukšaiņu zālāji) </w:t>
      </w:r>
      <w:r w:rsidRPr="00675182">
        <w:rPr>
          <w:rFonts w:cstheme="minorHAnsi"/>
          <w:bCs/>
          <w:szCs w:val="24"/>
        </w:rPr>
        <w:t xml:space="preserve">(6,7 ha); </w:t>
      </w:r>
    </w:p>
    <w:p w14:paraId="285C7299" w14:textId="17E571CF" w:rsidR="0075622A" w:rsidRPr="00675182" w:rsidRDefault="0075622A" w:rsidP="00A84218">
      <w:pPr>
        <w:pStyle w:val="ListParagraph"/>
        <w:numPr>
          <w:ilvl w:val="0"/>
          <w:numId w:val="18"/>
        </w:numPr>
        <w:jc w:val="both"/>
        <w:rPr>
          <w:rFonts w:cstheme="minorHAnsi"/>
          <w:bCs/>
          <w:szCs w:val="24"/>
        </w:rPr>
      </w:pPr>
      <w:r w:rsidRPr="00675182">
        <w:rPr>
          <w:rFonts w:cstheme="minorHAnsi"/>
          <w:bCs/>
          <w:szCs w:val="24"/>
        </w:rPr>
        <w:t>6270*</w:t>
      </w:r>
      <w:r w:rsidR="0043190C">
        <w:rPr>
          <w:rFonts w:cstheme="minorHAnsi"/>
          <w:bCs/>
          <w:szCs w:val="24"/>
        </w:rPr>
        <w:t xml:space="preserve"> (3.9.)</w:t>
      </w:r>
      <w:r w:rsidRPr="00675182">
        <w:rPr>
          <w:rFonts w:cstheme="minorHAnsi"/>
          <w:bCs/>
          <w:szCs w:val="24"/>
        </w:rPr>
        <w:t xml:space="preserve"> </w:t>
      </w:r>
      <w:r w:rsidRPr="00675182">
        <w:rPr>
          <w:rFonts w:cstheme="minorHAnsi"/>
          <w:bCs/>
          <w:i/>
          <w:iCs/>
          <w:szCs w:val="24"/>
        </w:rPr>
        <w:t>Sugām bagātas ganības un ganītas pļavas</w:t>
      </w:r>
      <w:r w:rsidRPr="00675182">
        <w:rPr>
          <w:rFonts w:cstheme="minorHAnsi"/>
          <w:bCs/>
          <w:szCs w:val="24"/>
        </w:rPr>
        <w:t xml:space="preserve"> (3</w:t>
      </w:r>
      <w:r w:rsidR="002E5F41">
        <w:rPr>
          <w:rFonts w:cstheme="minorHAnsi"/>
          <w:bCs/>
          <w:szCs w:val="24"/>
        </w:rPr>
        <w:t>54</w:t>
      </w:r>
      <w:r w:rsidRPr="00675182">
        <w:rPr>
          <w:rFonts w:cstheme="minorHAnsi"/>
          <w:bCs/>
          <w:szCs w:val="24"/>
        </w:rPr>
        <w:t>,</w:t>
      </w:r>
      <w:r w:rsidR="002E5F41">
        <w:rPr>
          <w:rFonts w:cstheme="minorHAnsi"/>
          <w:bCs/>
          <w:szCs w:val="24"/>
        </w:rPr>
        <w:t>1</w:t>
      </w:r>
      <w:r w:rsidR="00BA73E5" w:rsidRPr="00675182">
        <w:rPr>
          <w:rFonts w:cstheme="minorHAnsi"/>
          <w:bCs/>
          <w:szCs w:val="24"/>
        </w:rPr>
        <w:t xml:space="preserve"> </w:t>
      </w:r>
      <w:r w:rsidRPr="00675182">
        <w:rPr>
          <w:rFonts w:cstheme="minorHAnsi"/>
          <w:bCs/>
          <w:szCs w:val="24"/>
        </w:rPr>
        <w:t>ha);</w:t>
      </w:r>
    </w:p>
    <w:p w14:paraId="7DA52B20" w14:textId="4836B743" w:rsidR="0075622A" w:rsidRPr="00675182" w:rsidRDefault="0075622A" w:rsidP="00A84218">
      <w:pPr>
        <w:pStyle w:val="ListParagraph"/>
        <w:numPr>
          <w:ilvl w:val="0"/>
          <w:numId w:val="18"/>
        </w:numPr>
        <w:jc w:val="both"/>
        <w:rPr>
          <w:rFonts w:cstheme="minorHAnsi"/>
          <w:bCs/>
          <w:szCs w:val="24"/>
        </w:rPr>
      </w:pPr>
      <w:r w:rsidRPr="00675182">
        <w:rPr>
          <w:rFonts w:cstheme="minorHAnsi"/>
          <w:bCs/>
          <w:szCs w:val="24"/>
        </w:rPr>
        <w:t xml:space="preserve">6410 </w:t>
      </w:r>
      <w:r w:rsidR="0043190C">
        <w:rPr>
          <w:rFonts w:cstheme="minorHAnsi"/>
          <w:bCs/>
          <w:szCs w:val="24"/>
        </w:rPr>
        <w:t xml:space="preserve">(3.8.) </w:t>
      </w:r>
      <w:r w:rsidRPr="00675182">
        <w:rPr>
          <w:rFonts w:cstheme="minorHAnsi"/>
          <w:bCs/>
          <w:i/>
          <w:iCs/>
          <w:szCs w:val="24"/>
        </w:rPr>
        <w:t>Mitri zālāji periodiski izžūstošās augsnēs</w:t>
      </w:r>
      <w:r w:rsidRPr="00675182">
        <w:rPr>
          <w:rFonts w:cstheme="minorHAnsi"/>
          <w:bCs/>
          <w:szCs w:val="24"/>
        </w:rPr>
        <w:t xml:space="preserve"> (3</w:t>
      </w:r>
      <w:r w:rsidR="002E5F41">
        <w:rPr>
          <w:rFonts w:cstheme="minorHAnsi"/>
          <w:bCs/>
          <w:szCs w:val="24"/>
        </w:rPr>
        <w:t>1</w:t>
      </w:r>
      <w:r w:rsidRPr="00675182">
        <w:rPr>
          <w:rFonts w:cstheme="minorHAnsi"/>
          <w:bCs/>
          <w:szCs w:val="24"/>
        </w:rPr>
        <w:t>,</w:t>
      </w:r>
      <w:r w:rsidR="002E5F41">
        <w:rPr>
          <w:rFonts w:cstheme="minorHAnsi"/>
          <w:bCs/>
          <w:szCs w:val="24"/>
        </w:rPr>
        <w:t>0</w:t>
      </w:r>
      <w:r w:rsidR="00BA73E5" w:rsidRPr="00675182">
        <w:rPr>
          <w:rFonts w:cstheme="minorHAnsi"/>
          <w:bCs/>
          <w:szCs w:val="24"/>
        </w:rPr>
        <w:t xml:space="preserve"> </w:t>
      </w:r>
      <w:r w:rsidRPr="00675182">
        <w:rPr>
          <w:rFonts w:cstheme="minorHAnsi"/>
          <w:bCs/>
          <w:szCs w:val="24"/>
        </w:rPr>
        <w:t>ha);</w:t>
      </w:r>
    </w:p>
    <w:p w14:paraId="447458C5" w14:textId="6DC01CC7" w:rsidR="0075622A" w:rsidRPr="00675182" w:rsidRDefault="0075622A" w:rsidP="00A84218">
      <w:pPr>
        <w:pStyle w:val="ListParagraph"/>
        <w:numPr>
          <w:ilvl w:val="0"/>
          <w:numId w:val="18"/>
        </w:numPr>
        <w:jc w:val="both"/>
        <w:rPr>
          <w:rFonts w:cstheme="minorHAnsi"/>
          <w:bCs/>
          <w:szCs w:val="24"/>
        </w:rPr>
      </w:pPr>
      <w:r w:rsidRPr="00675182">
        <w:rPr>
          <w:rFonts w:cstheme="minorHAnsi"/>
          <w:bCs/>
          <w:szCs w:val="24"/>
        </w:rPr>
        <w:t>6430</w:t>
      </w:r>
      <w:r w:rsidR="0043190C">
        <w:rPr>
          <w:rFonts w:cstheme="minorHAnsi"/>
          <w:bCs/>
          <w:szCs w:val="24"/>
        </w:rPr>
        <w:t xml:space="preserve"> (3.10.)</w:t>
      </w:r>
      <w:r w:rsidRPr="00675182">
        <w:rPr>
          <w:rFonts w:cstheme="minorHAnsi"/>
          <w:bCs/>
          <w:szCs w:val="24"/>
        </w:rPr>
        <w:t xml:space="preserve"> </w:t>
      </w:r>
      <w:r w:rsidRPr="00675182">
        <w:rPr>
          <w:rFonts w:cstheme="minorHAnsi"/>
          <w:bCs/>
          <w:i/>
          <w:iCs/>
          <w:szCs w:val="24"/>
        </w:rPr>
        <w:t>Eitrofas augsto lakstaugu audzes</w:t>
      </w:r>
      <w:r w:rsidRPr="00675182">
        <w:rPr>
          <w:rFonts w:cstheme="minorHAnsi"/>
          <w:bCs/>
          <w:szCs w:val="24"/>
        </w:rPr>
        <w:t xml:space="preserve"> (1</w:t>
      </w:r>
      <w:r w:rsidR="002E5F41">
        <w:rPr>
          <w:rFonts w:cstheme="minorHAnsi"/>
          <w:bCs/>
          <w:szCs w:val="24"/>
        </w:rPr>
        <w:t>09</w:t>
      </w:r>
      <w:r w:rsidRPr="00675182">
        <w:rPr>
          <w:rFonts w:cstheme="minorHAnsi"/>
          <w:bCs/>
          <w:szCs w:val="24"/>
        </w:rPr>
        <w:t>,</w:t>
      </w:r>
      <w:r w:rsidR="002E5F41">
        <w:rPr>
          <w:rFonts w:cstheme="minorHAnsi"/>
          <w:bCs/>
          <w:szCs w:val="24"/>
        </w:rPr>
        <w:t>7</w:t>
      </w:r>
      <w:r w:rsidRPr="00675182">
        <w:rPr>
          <w:rFonts w:cstheme="minorHAnsi"/>
          <w:bCs/>
          <w:szCs w:val="24"/>
        </w:rPr>
        <w:t xml:space="preserve"> ha);</w:t>
      </w:r>
    </w:p>
    <w:p w14:paraId="3E7E5801" w14:textId="23E57D4B" w:rsidR="0075622A" w:rsidRPr="00675182" w:rsidRDefault="0075622A" w:rsidP="00A84218">
      <w:pPr>
        <w:pStyle w:val="ListParagraph"/>
        <w:numPr>
          <w:ilvl w:val="0"/>
          <w:numId w:val="18"/>
        </w:numPr>
        <w:jc w:val="both"/>
        <w:rPr>
          <w:rFonts w:cstheme="minorHAnsi"/>
          <w:bCs/>
          <w:szCs w:val="24"/>
        </w:rPr>
      </w:pPr>
      <w:r w:rsidRPr="00675182">
        <w:rPr>
          <w:rFonts w:cstheme="minorHAnsi"/>
          <w:bCs/>
          <w:szCs w:val="24"/>
        </w:rPr>
        <w:t>6450</w:t>
      </w:r>
      <w:r w:rsidR="0043190C">
        <w:rPr>
          <w:rFonts w:cstheme="minorHAnsi"/>
          <w:bCs/>
          <w:szCs w:val="24"/>
        </w:rPr>
        <w:t xml:space="preserve"> (3.11.)</w:t>
      </w:r>
      <w:r w:rsidRPr="00675182">
        <w:rPr>
          <w:rFonts w:cstheme="minorHAnsi"/>
          <w:bCs/>
          <w:szCs w:val="24"/>
        </w:rPr>
        <w:t xml:space="preserve"> </w:t>
      </w:r>
      <w:r w:rsidRPr="00675182">
        <w:rPr>
          <w:rFonts w:cstheme="minorHAnsi"/>
          <w:bCs/>
          <w:i/>
          <w:iCs/>
          <w:szCs w:val="24"/>
        </w:rPr>
        <w:t>Palieņu zālāji</w:t>
      </w:r>
      <w:r w:rsidRPr="00675182">
        <w:rPr>
          <w:rFonts w:cstheme="minorHAnsi"/>
          <w:bCs/>
          <w:szCs w:val="24"/>
        </w:rPr>
        <w:t xml:space="preserve"> (</w:t>
      </w:r>
      <w:r w:rsidR="002E5F41">
        <w:rPr>
          <w:rFonts w:cstheme="minorHAnsi"/>
          <w:bCs/>
          <w:szCs w:val="24"/>
        </w:rPr>
        <w:t>64</w:t>
      </w:r>
      <w:r w:rsidRPr="00675182">
        <w:rPr>
          <w:rFonts w:cstheme="minorHAnsi"/>
          <w:bCs/>
          <w:szCs w:val="24"/>
        </w:rPr>
        <w:t>,</w:t>
      </w:r>
      <w:r w:rsidR="002E5F41">
        <w:rPr>
          <w:rFonts w:cstheme="minorHAnsi"/>
          <w:bCs/>
          <w:szCs w:val="24"/>
        </w:rPr>
        <w:t>6</w:t>
      </w:r>
      <w:r w:rsidRPr="00675182">
        <w:rPr>
          <w:rFonts w:cstheme="minorHAnsi"/>
          <w:bCs/>
          <w:szCs w:val="24"/>
        </w:rPr>
        <w:t xml:space="preserve"> ha);</w:t>
      </w:r>
    </w:p>
    <w:p w14:paraId="1003016C" w14:textId="6973A35D" w:rsidR="0075622A" w:rsidRPr="00675182" w:rsidRDefault="0075622A" w:rsidP="00A84218">
      <w:pPr>
        <w:pStyle w:val="ListParagraph"/>
        <w:numPr>
          <w:ilvl w:val="0"/>
          <w:numId w:val="18"/>
        </w:numPr>
        <w:jc w:val="both"/>
        <w:rPr>
          <w:rFonts w:cstheme="minorHAnsi"/>
          <w:bCs/>
          <w:szCs w:val="24"/>
        </w:rPr>
      </w:pPr>
      <w:r w:rsidRPr="00675182">
        <w:rPr>
          <w:rFonts w:cstheme="minorHAnsi"/>
          <w:bCs/>
          <w:szCs w:val="24"/>
        </w:rPr>
        <w:t xml:space="preserve">6510 </w:t>
      </w:r>
      <w:r w:rsidR="0043190C">
        <w:rPr>
          <w:rFonts w:cstheme="minorHAnsi"/>
          <w:bCs/>
          <w:szCs w:val="24"/>
        </w:rPr>
        <w:t>(3.12.)</w:t>
      </w:r>
      <w:r w:rsidRPr="00675182">
        <w:rPr>
          <w:rFonts w:cstheme="minorHAnsi"/>
          <w:bCs/>
          <w:i/>
          <w:iCs/>
          <w:szCs w:val="24"/>
        </w:rPr>
        <w:t>Mēreni mitras pļavas</w:t>
      </w:r>
      <w:r w:rsidRPr="00675182">
        <w:rPr>
          <w:rFonts w:cstheme="minorHAnsi"/>
          <w:bCs/>
          <w:szCs w:val="24"/>
        </w:rPr>
        <w:t xml:space="preserve"> (</w:t>
      </w:r>
      <w:r w:rsidR="002E5F41">
        <w:rPr>
          <w:rFonts w:cstheme="minorHAnsi"/>
          <w:bCs/>
          <w:szCs w:val="24"/>
        </w:rPr>
        <w:t>157</w:t>
      </w:r>
      <w:r w:rsidRPr="00675182">
        <w:rPr>
          <w:rFonts w:cstheme="minorHAnsi"/>
          <w:bCs/>
          <w:szCs w:val="24"/>
        </w:rPr>
        <w:t>,</w:t>
      </w:r>
      <w:r w:rsidR="002E5F41">
        <w:rPr>
          <w:rFonts w:cstheme="minorHAnsi"/>
          <w:bCs/>
          <w:szCs w:val="24"/>
        </w:rPr>
        <w:t>2</w:t>
      </w:r>
      <w:r w:rsidR="00BA73E5" w:rsidRPr="00675182">
        <w:rPr>
          <w:rFonts w:cstheme="minorHAnsi"/>
          <w:bCs/>
          <w:szCs w:val="24"/>
        </w:rPr>
        <w:t xml:space="preserve"> </w:t>
      </w:r>
      <w:r w:rsidRPr="00675182">
        <w:rPr>
          <w:rFonts w:cstheme="minorHAnsi"/>
          <w:bCs/>
          <w:szCs w:val="24"/>
        </w:rPr>
        <w:t>ha);</w:t>
      </w:r>
    </w:p>
    <w:p w14:paraId="5E5A44A7" w14:textId="6BD02A54" w:rsidR="0075622A" w:rsidRPr="00675182" w:rsidRDefault="0075622A" w:rsidP="00A84218">
      <w:pPr>
        <w:pStyle w:val="ListParagraph"/>
        <w:numPr>
          <w:ilvl w:val="0"/>
          <w:numId w:val="18"/>
        </w:numPr>
        <w:jc w:val="both"/>
        <w:rPr>
          <w:rFonts w:cstheme="minorHAnsi"/>
          <w:bCs/>
          <w:szCs w:val="24"/>
        </w:rPr>
      </w:pPr>
      <w:r w:rsidRPr="00675182">
        <w:rPr>
          <w:rFonts w:cstheme="minorHAnsi"/>
          <w:bCs/>
          <w:szCs w:val="24"/>
        </w:rPr>
        <w:t>6530*</w:t>
      </w:r>
      <w:r w:rsidR="0043190C">
        <w:rPr>
          <w:rFonts w:cstheme="minorHAnsi"/>
          <w:bCs/>
          <w:szCs w:val="24"/>
        </w:rPr>
        <w:t xml:space="preserve"> (3.5.)</w:t>
      </w:r>
      <w:r w:rsidRPr="00675182">
        <w:rPr>
          <w:rFonts w:cstheme="minorHAnsi"/>
          <w:bCs/>
          <w:szCs w:val="24"/>
        </w:rPr>
        <w:t xml:space="preserve"> </w:t>
      </w:r>
      <w:r w:rsidRPr="00675182">
        <w:rPr>
          <w:rFonts w:cstheme="minorHAnsi"/>
          <w:bCs/>
          <w:i/>
          <w:iCs/>
          <w:szCs w:val="24"/>
        </w:rPr>
        <w:t>Parkveida pļavas un ganības</w:t>
      </w:r>
      <w:r w:rsidRPr="00675182">
        <w:rPr>
          <w:rFonts w:cstheme="minorHAnsi"/>
          <w:bCs/>
          <w:szCs w:val="24"/>
        </w:rPr>
        <w:t xml:space="preserve"> (</w:t>
      </w:r>
      <w:r w:rsidR="00BA73E5" w:rsidRPr="00675182">
        <w:rPr>
          <w:rFonts w:cstheme="minorHAnsi"/>
          <w:bCs/>
          <w:szCs w:val="24"/>
        </w:rPr>
        <w:t>7</w:t>
      </w:r>
      <w:r w:rsidRPr="00675182">
        <w:rPr>
          <w:rFonts w:cstheme="minorHAnsi"/>
          <w:bCs/>
          <w:szCs w:val="24"/>
        </w:rPr>
        <w:t>,</w:t>
      </w:r>
      <w:r w:rsidR="00BA73E5" w:rsidRPr="00675182">
        <w:rPr>
          <w:rFonts w:cstheme="minorHAnsi"/>
          <w:bCs/>
          <w:szCs w:val="24"/>
        </w:rPr>
        <w:t>5</w:t>
      </w:r>
      <w:r w:rsidRPr="00675182">
        <w:rPr>
          <w:rFonts w:cstheme="minorHAnsi"/>
          <w:bCs/>
          <w:szCs w:val="24"/>
        </w:rPr>
        <w:t xml:space="preserve"> ha). </w:t>
      </w:r>
    </w:p>
    <w:p w14:paraId="4808B241" w14:textId="77777777" w:rsidR="0075622A" w:rsidRPr="00675182" w:rsidRDefault="0075622A" w:rsidP="0075622A">
      <w:pPr>
        <w:ind w:firstLine="720"/>
        <w:jc w:val="both"/>
        <w:rPr>
          <w:rFonts w:cstheme="minorHAnsi"/>
          <w:bCs/>
          <w:szCs w:val="24"/>
        </w:rPr>
      </w:pPr>
    </w:p>
    <w:p w14:paraId="10AB3D8F" w14:textId="62155877" w:rsidR="0075622A" w:rsidRPr="00675182" w:rsidRDefault="0075622A" w:rsidP="0075622A">
      <w:pPr>
        <w:jc w:val="both"/>
        <w:rPr>
          <w:rFonts w:cstheme="minorHAnsi"/>
          <w:bCs/>
          <w:szCs w:val="24"/>
        </w:rPr>
      </w:pPr>
      <w:r w:rsidRPr="00675182">
        <w:rPr>
          <w:rFonts w:cstheme="minorHAnsi"/>
          <w:bCs/>
          <w:szCs w:val="24"/>
        </w:rPr>
        <w:t xml:space="preserve">Līdzšinējos GNP zālāju biotopu pētījumos ir ticis uzsvērts, ka BVZ koncentrējas upju ielejās (Pilāts (red.) 2007; Kabucis et al., 2003). Gaujas ielejā uz virspalu terasēm nereti sastopams biotops 6210 </w:t>
      </w:r>
      <w:r w:rsidRPr="00675182">
        <w:rPr>
          <w:rFonts w:cstheme="minorHAnsi"/>
          <w:bCs/>
          <w:i/>
          <w:iCs/>
          <w:szCs w:val="24"/>
        </w:rPr>
        <w:t>Sausi zālāji kaļķainās augsnēs</w:t>
      </w:r>
      <w:r w:rsidRPr="00675182">
        <w:rPr>
          <w:rFonts w:cstheme="minorHAnsi"/>
          <w:bCs/>
          <w:szCs w:val="24"/>
        </w:rPr>
        <w:t>, kā arī atsevišķi poligoni ar reti sastopamo biotopu 6120</w:t>
      </w:r>
      <w:r w:rsidR="003D20D9">
        <w:rPr>
          <w:rFonts w:cstheme="minorHAnsi"/>
          <w:bCs/>
          <w:szCs w:val="24"/>
        </w:rPr>
        <w:t>*</w:t>
      </w:r>
      <w:r w:rsidRPr="00675182">
        <w:rPr>
          <w:rFonts w:cstheme="minorHAnsi"/>
          <w:bCs/>
          <w:szCs w:val="24"/>
        </w:rPr>
        <w:t xml:space="preserve"> </w:t>
      </w:r>
      <w:r w:rsidRPr="00675182">
        <w:rPr>
          <w:rFonts w:cstheme="minorHAnsi"/>
          <w:bCs/>
          <w:i/>
          <w:iCs/>
          <w:szCs w:val="24"/>
        </w:rPr>
        <w:t>Smiltāju zālāji</w:t>
      </w:r>
      <w:r w:rsidRPr="00675182">
        <w:rPr>
          <w:rFonts w:cstheme="minorHAnsi"/>
          <w:bCs/>
          <w:szCs w:val="24"/>
        </w:rPr>
        <w:t xml:space="preserve">, piemēram, zālājs pie Līgatnes pārceltuves. Ārpus upju ielejām biotops 6210 </w:t>
      </w:r>
      <w:r w:rsidRPr="00675182">
        <w:rPr>
          <w:rFonts w:cstheme="minorHAnsi"/>
          <w:bCs/>
          <w:i/>
          <w:iCs/>
          <w:szCs w:val="24"/>
        </w:rPr>
        <w:t>Sausi zālāji kaļķainās augsnēs</w:t>
      </w:r>
      <w:r w:rsidRPr="00675182">
        <w:rPr>
          <w:rFonts w:cstheme="minorHAnsi"/>
          <w:bCs/>
          <w:szCs w:val="24"/>
        </w:rPr>
        <w:t xml:space="preserve"> sastopams uz pauguriem, vai nogāzēm, īpaši izteikti Cēsu apkaimē, Priekuļu pagastā. </w:t>
      </w:r>
    </w:p>
    <w:p w14:paraId="1465578A" w14:textId="77777777" w:rsidR="0075622A" w:rsidRPr="00675182" w:rsidRDefault="0075622A" w:rsidP="0075622A">
      <w:pPr>
        <w:jc w:val="both"/>
        <w:rPr>
          <w:rFonts w:cstheme="minorHAnsi"/>
          <w:bCs/>
          <w:szCs w:val="24"/>
        </w:rPr>
      </w:pPr>
    </w:p>
    <w:p w14:paraId="0EDC12A4" w14:textId="77777777" w:rsidR="0075622A" w:rsidRPr="00675182" w:rsidRDefault="0075622A" w:rsidP="0075622A">
      <w:pPr>
        <w:jc w:val="both"/>
        <w:rPr>
          <w:rFonts w:cstheme="minorHAnsi"/>
          <w:bCs/>
          <w:szCs w:val="24"/>
        </w:rPr>
      </w:pPr>
      <w:r w:rsidRPr="00675182">
        <w:rPr>
          <w:rFonts w:cstheme="minorHAnsi"/>
          <w:bCs/>
          <w:szCs w:val="24"/>
        </w:rPr>
        <w:t xml:space="preserve">Vislielākajās platībās GNP konstatēts biotops 6270* </w:t>
      </w:r>
      <w:r w:rsidRPr="00675182">
        <w:rPr>
          <w:rFonts w:cstheme="minorHAnsi"/>
          <w:bCs/>
          <w:i/>
          <w:iCs/>
          <w:szCs w:val="24"/>
        </w:rPr>
        <w:t>Sugām bagātas pļavas un ganības</w:t>
      </w:r>
      <w:r w:rsidRPr="00675182">
        <w:rPr>
          <w:rFonts w:cstheme="minorHAnsi"/>
          <w:bCs/>
          <w:szCs w:val="24"/>
        </w:rPr>
        <w:t xml:space="preserve">. Tas sastopams gan upju ielejās, gan citviet ārpus upju ielejām, kur biotops attīstījies ilggadīgajos zālājos, dabiskojoties atmatām. Nereti dabiskojušās ir tieši tās platības, kas Padomju Savienības laikā izmantotas kā liellopu ganības. Lielākais biotopa 6270* </w:t>
      </w:r>
      <w:r w:rsidRPr="00675182">
        <w:rPr>
          <w:rFonts w:cstheme="minorHAnsi"/>
          <w:bCs/>
          <w:i/>
          <w:iCs/>
          <w:szCs w:val="24"/>
        </w:rPr>
        <w:t>Sugām bagātas pļavas un ganības</w:t>
      </w:r>
      <w:r w:rsidRPr="00675182">
        <w:rPr>
          <w:rFonts w:cstheme="minorHAnsi"/>
          <w:bCs/>
          <w:szCs w:val="24"/>
        </w:rPr>
        <w:t xml:space="preserve"> blīvums konstatēts Ieriķu, Kārļu, kā arī Liepas apkaimē. </w:t>
      </w:r>
    </w:p>
    <w:p w14:paraId="2BC3D853" w14:textId="77777777" w:rsidR="0075622A" w:rsidRPr="00675182" w:rsidRDefault="0075622A" w:rsidP="0075622A">
      <w:pPr>
        <w:jc w:val="both"/>
        <w:rPr>
          <w:rFonts w:cstheme="minorHAnsi"/>
          <w:bCs/>
          <w:szCs w:val="24"/>
        </w:rPr>
      </w:pPr>
    </w:p>
    <w:p w14:paraId="134EAB37" w14:textId="77777777" w:rsidR="0075622A" w:rsidRPr="00675182" w:rsidRDefault="0075622A" w:rsidP="002D0AEC">
      <w:pPr>
        <w:jc w:val="both"/>
        <w:rPr>
          <w:rFonts w:cstheme="minorHAnsi"/>
          <w:bCs/>
          <w:szCs w:val="24"/>
        </w:rPr>
      </w:pPr>
      <w:r w:rsidRPr="00675182">
        <w:rPr>
          <w:rFonts w:cstheme="minorHAnsi"/>
          <w:bCs/>
          <w:szCs w:val="24"/>
        </w:rPr>
        <w:t xml:space="preserve">Zālāju biotops 6430 </w:t>
      </w:r>
      <w:r w:rsidRPr="00675182">
        <w:rPr>
          <w:rFonts w:cstheme="minorHAnsi"/>
          <w:bCs/>
          <w:i/>
          <w:iCs/>
          <w:szCs w:val="24"/>
        </w:rPr>
        <w:t>Eitrofas augsto lakstaugu audzes</w:t>
      </w:r>
      <w:r w:rsidRPr="00675182">
        <w:rPr>
          <w:rFonts w:cstheme="minorHAnsi"/>
          <w:bCs/>
          <w:szCs w:val="24"/>
        </w:rPr>
        <w:t xml:space="preserve"> sastopams Gaujas krastos visā upes garumā GNP teritorijā, veidojot vienu no lielākajām zālāju biotopu platībām GNP. Biotops veidojas šaurās, lineārās joslās upes krastos un uz salām, kur atklāto platību nodrošina dinamiska upes un sauszemes joslas mijiedarbība, radot regulāru traucējumu - vecās kūlas aiznešanu palu laikā, vienlaikus nepieļaujot koku un krūmu augšanu un nodrošinot regulāru barības vielu pienesi un apriti. </w:t>
      </w:r>
    </w:p>
    <w:p w14:paraId="4C0B2643" w14:textId="77777777" w:rsidR="0075622A" w:rsidRPr="00675182" w:rsidRDefault="0075622A" w:rsidP="0075622A">
      <w:pPr>
        <w:jc w:val="both"/>
        <w:rPr>
          <w:rFonts w:cstheme="minorHAnsi"/>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56"/>
      </w:tblGrid>
      <w:tr w:rsidR="0075622A" w:rsidRPr="00675182" w14:paraId="436E20E4" w14:textId="77777777" w:rsidTr="00286810">
        <w:tc>
          <w:tcPr>
            <w:tcW w:w="4150" w:type="dxa"/>
          </w:tcPr>
          <w:p w14:paraId="62C7A48A" w14:textId="77777777" w:rsidR="0075622A" w:rsidRPr="00675182" w:rsidRDefault="0075622A" w:rsidP="00286810">
            <w:pPr>
              <w:keepNext/>
              <w:keepLines/>
              <w:jc w:val="both"/>
              <w:rPr>
                <w:rFonts w:cstheme="minorHAnsi"/>
                <w:bCs/>
                <w:szCs w:val="24"/>
              </w:rPr>
            </w:pPr>
            <w:r w:rsidRPr="00675182">
              <w:rPr>
                <w:rFonts w:cstheme="minorHAnsi"/>
                <w:bCs/>
                <w:noProof/>
                <w:szCs w:val="24"/>
              </w:rPr>
              <w:drawing>
                <wp:inline distT="0" distB="0" distL="0" distR="0" wp14:anchorId="58EC20BE" wp14:editId="75B10ECF">
                  <wp:extent cx="2508774" cy="1881505"/>
                  <wp:effectExtent l="0" t="0" r="6350" b="0"/>
                  <wp:docPr id="224" name="Picture 224" descr="A picture containing grass, outdoor, plant,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A picture containing grass, outdoor, plant, flower&#10;&#10;Description automatically generated"/>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2519559" cy="1889594"/>
                          </a:xfrm>
                          <a:prstGeom prst="rect">
                            <a:avLst/>
                          </a:prstGeom>
                        </pic:spPr>
                      </pic:pic>
                    </a:graphicData>
                  </a:graphic>
                </wp:inline>
              </w:drawing>
            </w:r>
          </w:p>
        </w:tc>
        <w:tc>
          <w:tcPr>
            <w:tcW w:w="4151" w:type="dxa"/>
          </w:tcPr>
          <w:p w14:paraId="200037EC" w14:textId="77777777" w:rsidR="0075622A" w:rsidRPr="00675182" w:rsidRDefault="0075622A" w:rsidP="00286810">
            <w:pPr>
              <w:keepNext/>
              <w:keepLines/>
              <w:jc w:val="both"/>
              <w:rPr>
                <w:rFonts w:cstheme="minorHAnsi"/>
                <w:bCs/>
                <w:szCs w:val="24"/>
              </w:rPr>
            </w:pPr>
            <w:r w:rsidRPr="00675182">
              <w:rPr>
                <w:rFonts w:cstheme="minorHAnsi"/>
                <w:bCs/>
                <w:noProof/>
                <w:szCs w:val="24"/>
              </w:rPr>
              <w:drawing>
                <wp:inline distT="0" distB="0" distL="0" distR="0" wp14:anchorId="249209B8" wp14:editId="118BAEB0">
                  <wp:extent cx="2508839" cy="1881554"/>
                  <wp:effectExtent l="0" t="0" r="6350" b="0"/>
                  <wp:docPr id="225" name="Picture 225" descr="A picture containing tree, outdoor, grass,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picture containing tree, outdoor, grass, mountain&#10;&#10;Description automatically generated"/>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2542991" cy="1907167"/>
                          </a:xfrm>
                          <a:prstGeom prst="rect">
                            <a:avLst/>
                          </a:prstGeom>
                        </pic:spPr>
                      </pic:pic>
                    </a:graphicData>
                  </a:graphic>
                </wp:inline>
              </w:drawing>
            </w:r>
          </w:p>
        </w:tc>
      </w:tr>
      <w:tr w:rsidR="0075622A" w:rsidRPr="00675182" w14:paraId="47A620B1" w14:textId="77777777" w:rsidTr="00D64847">
        <w:trPr>
          <w:trHeight w:val="381"/>
        </w:trPr>
        <w:tc>
          <w:tcPr>
            <w:tcW w:w="4150" w:type="dxa"/>
          </w:tcPr>
          <w:p w14:paraId="72F0A198" w14:textId="033B5966" w:rsidR="0075622A" w:rsidRPr="00675182" w:rsidRDefault="0075622A" w:rsidP="00286810">
            <w:pPr>
              <w:keepNext/>
              <w:keepLines/>
              <w:rPr>
                <w:rFonts w:cstheme="minorHAnsi"/>
                <w:b/>
                <w:i/>
                <w:iCs/>
                <w:szCs w:val="24"/>
              </w:rPr>
            </w:pPr>
            <w:r w:rsidRPr="00675182">
              <w:rPr>
                <w:rFonts w:cstheme="minorHAnsi"/>
                <w:b/>
                <w:i/>
                <w:iCs/>
                <w:szCs w:val="24"/>
              </w:rPr>
              <w:t>2.3.</w:t>
            </w:r>
            <w:r w:rsidR="00D64847" w:rsidRPr="00675182">
              <w:rPr>
                <w:rFonts w:cstheme="minorHAnsi"/>
                <w:b/>
                <w:i/>
                <w:iCs/>
                <w:szCs w:val="24"/>
              </w:rPr>
              <w:t>47</w:t>
            </w:r>
            <w:r w:rsidRPr="00675182">
              <w:rPr>
                <w:rFonts w:cstheme="minorHAnsi"/>
                <w:b/>
                <w:i/>
                <w:iCs/>
                <w:szCs w:val="24"/>
              </w:rPr>
              <w:t>. attēls. Zālāju biotops 6270* Sugām bagātas ganības un ganītas pļavas pie Vaives skolas.  (foto: M. Medne)</w:t>
            </w:r>
          </w:p>
        </w:tc>
        <w:tc>
          <w:tcPr>
            <w:tcW w:w="4151" w:type="dxa"/>
          </w:tcPr>
          <w:p w14:paraId="14742B19" w14:textId="51DF25CB" w:rsidR="0075622A" w:rsidRPr="00675182" w:rsidRDefault="0075622A" w:rsidP="00286810">
            <w:pPr>
              <w:keepNext/>
              <w:keepLines/>
              <w:rPr>
                <w:rFonts w:cstheme="minorHAnsi"/>
                <w:b/>
                <w:i/>
                <w:iCs/>
                <w:szCs w:val="24"/>
              </w:rPr>
            </w:pPr>
            <w:r w:rsidRPr="00675182">
              <w:rPr>
                <w:rFonts w:cstheme="minorHAnsi"/>
                <w:b/>
                <w:i/>
                <w:iCs/>
                <w:szCs w:val="24"/>
              </w:rPr>
              <w:t>2.3.</w:t>
            </w:r>
            <w:r w:rsidR="00D64847" w:rsidRPr="00675182">
              <w:rPr>
                <w:rFonts w:cstheme="minorHAnsi"/>
                <w:b/>
                <w:i/>
                <w:iCs/>
                <w:szCs w:val="24"/>
              </w:rPr>
              <w:t>48</w:t>
            </w:r>
            <w:r w:rsidRPr="00675182">
              <w:rPr>
                <w:rFonts w:cstheme="minorHAnsi"/>
                <w:b/>
                <w:i/>
                <w:iCs/>
                <w:szCs w:val="24"/>
              </w:rPr>
              <w:t>. attēls. Zālāju biotops 6430 Eitrofas augsto lakstaugu audzes pie Jumaras ietekas Gaujā (foto: M. Medne)</w:t>
            </w:r>
          </w:p>
        </w:tc>
      </w:tr>
    </w:tbl>
    <w:p w14:paraId="4B41127F" w14:textId="77777777" w:rsidR="0075622A" w:rsidRPr="00675182" w:rsidRDefault="0075622A" w:rsidP="0075622A">
      <w:pPr>
        <w:jc w:val="both"/>
        <w:rPr>
          <w:rFonts w:cstheme="minorHAnsi"/>
          <w:bCs/>
          <w:szCs w:val="24"/>
        </w:rPr>
      </w:pPr>
    </w:p>
    <w:p w14:paraId="0C431DFC" w14:textId="77777777" w:rsidR="0075622A" w:rsidRPr="00675182" w:rsidRDefault="0075622A" w:rsidP="0075622A">
      <w:pPr>
        <w:jc w:val="both"/>
        <w:rPr>
          <w:rFonts w:cstheme="minorHAnsi"/>
          <w:bCs/>
          <w:strike/>
          <w:szCs w:val="24"/>
        </w:rPr>
      </w:pPr>
      <w:r w:rsidRPr="00675182">
        <w:rPr>
          <w:rFonts w:cstheme="minorHAnsi"/>
          <w:bCs/>
          <w:szCs w:val="24"/>
        </w:rPr>
        <w:t xml:space="preserve">Nozīmīgākās biotopa 6450 </w:t>
      </w:r>
      <w:r w:rsidRPr="00675182">
        <w:rPr>
          <w:rFonts w:cstheme="minorHAnsi"/>
          <w:bCs/>
          <w:i/>
          <w:iCs/>
          <w:szCs w:val="24"/>
        </w:rPr>
        <w:t>Palieņu zālāji</w:t>
      </w:r>
      <w:r w:rsidRPr="00675182">
        <w:rPr>
          <w:rFonts w:cstheme="minorHAnsi"/>
          <w:bCs/>
          <w:szCs w:val="24"/>
        </w:rPr>
        <w:t xml:space="preserve"> platības atrodas Vaives upes krastos Krīvu un Priekuļu apkaimē, kā arī vietām Gaujas, Tālītes un citu upju ielejās, kur šis biotops </w:t>
      </w:r>
      <w:r w:rsidRPr="00675182">
        <w:rPr>
          <w:rFonts w:cstheme="minorHAnsi"/>
          <w:bCs/>
          <w:szCs w:val="24"/>
        </w:rPr>
        <w:lastRenderedPageBreak/>
        <w:t xml:space="preserve">sastopams kompleksos ar citiem zālāju biotopiem. Biotops 6410 </w:t>
      </w:r>
      <w:r w:rsidRPr="00675182">
        <w:rPr>
          <w:rFonts w:cstheme="minorHAnsi"/>
          <w:bCs/>
          <w:i/>
          <w:iCs/>
          <w:szCs w:val="24"/>
        </w:rPr>
        <w:t>Mitri zālāji periodiski izžūstošās augsnēs</w:t>
      </w:r>
      <w:r w:rsidRPr="00675182">
        <w:rPr>
          <w:rFonts w:cstheme="minorHAnsi"/>
          <w:bCs/>
          <w:szCs w:val="24"/>
        </w:rPr>
        <w:t xml:space="preserve"> sastopams reti visā GNP teritorijā, vietās, kur lokāli izveidojušies specifiski apstākļi ar mainīgu augsnes mitrumu, taču lielākā šī biotopa koncentrācija ir Ieriķu apkaimē. Līdzīga izplatība ir biotopam 6510 </w:t>
      </w:r>
      <w:r w:rsidRPr="00675182">
        <w:rPr>
          <w:rFonts w:cstheme="minorHAnsi"/>
          <w:bCs/>
          <w:i/>
          <w:iCs/>
          <w:szCs w:val="24"/>
        </w:rPr>
        <w:t>Mēreni mitras pļavas</w:t>
      </w:r>
      <w:r w:rsidRPr="00675182">
        <w:rPr>
          <w:rFonts w:cstheme="minorHAnsi"/>
          <w:bCs/>
          <w:szCs w:val="24"/>
        </w:rPr>
        <w:t xml:space="preserve">, kam raksturīgi mēreni mitri, auglīgi augšanas apstākļi. Vismazākajās platībās (skat. 2.3.1. tabulu) GNP sastopami zālāju biotopi 6230* </w:t>
      </w:r>
      <w:r w:rsidRPr="00675182">
        <w:rPr>
          <w:rFonts w:cstheme="minorHAnsi"/>
          <w:bCs/>
          <w:i/>
          <w:iCs/>
          <w:szCs w:val="24"/>
        </w:rPr>
        <w:t>Vilkakūlas zālāji</w:t>
      </w:r>
      <w:r w:rsidRPr="00675182">
        <w:rPr>
          <w:rFonts w:cstheme="minorHAnsi"/>
          <w:bCs/>
          <w:szCs w:val="24"/>
        </w:rPr>
        <w:t xml:space="preserve"> un 6530* </w:t>
      </w:r>
      <w:r w:rsidRPr="00675182">
        <w:rPr>
          <w:rFonts w:cstheme="minorHAnsi"/>
          <w:bCs/>
          <w:i/>
          <w:iCs/>
          <w:szCs w:val="24"/>
        </w:rPr>
        <w:t>Parkveida pļavas un ganības</w:t>
      </w:r>
      <w:r w:rsidRPr="00675182">
        <w:rPr>
          <w:rFonts w:cstheme="minorHAnsi"/>
          <w:bCs/>
          <w:szCs w:val="24"/>
        </w:rPr>
        <w:t>.</w:t>
      </w:r>
    </w:p>
    <w:p w14:paraId="05E2057F" w14:textId="77777777" w:rsidR="0075622A" w:rsidRPr="00675182" w:rsidRDefault="0075622A" w:rsidP="0075622A">
      <w:pPr>
        <w:jc w:val="both"/>
        <w:rPr>
          <w:rFonts w:cstheme="minorHAnsi"/>
          <w:bCs/>
          <w:szCs w:val="24"/>
        </w:rPr>
      </w:pPr>
    </w:p>
    <w:p w14:paraId="6A75D9B3" w14:textId="62CA0DBD" w:rsidR="00012A8A" w:rsidRDefault="00012A8A" w:rsidP="0075622A">
      <w:pPr>
        <w:suppressAutoHyphens w:val="0"/>
        <w:jc w:val="both"/>
        <w:rPr>
          <w:rFonts w:cstheme="minorHAnsi"/>
          <w:bCs/>
          <w:szCs w:val="24"/>
        </w:rPr>
      </w:pPr>
      <w:r>
        <w:rPr>
          <w:rFonts w:cstheme="minorHAnsi"/>
          <w:bCs/>
          <w:szCs w:val="24"/>
        </w:rPr>
        <w:t>Lielākajai daļai zālāju biotopu inventarizācijas anketās atzīmētas kādas problēmas ar kvalitāti, gan strukturālajos rādītājos (kūlas segums, krūmu apaugums), gan sugu sastāvā, piemēram, ekspansīvo vai invazīvo sugu segums, indikatorsugu skaits. Tā kā zālāju biotopiem nav vienkāršotas kvalitātes novērtējuma skalas, bet gan daudzpusīgs novērtējums inventarizācijas anketā par dažādiem tā aizsardzības stāvokļa aspektiem, nav veikts apkopojošs novērtējums par kvalitāti katram biotopu veidam, bet ir norādīti problemātiskie rādītāji un nepieciešamā apsaimniekošana katram zālāju poligonam (skat. ietekmējošo faktoru sadaļā).</w:t>
      </w:r>
      <w:r w:rsidR="00440CD2">
        <w:rPr>
          <w:rFonts w:cstheme="minorHAnsi"/>
          <w:bCs/>
          <w:szCs w:val="24"/>
        </w:rPr>
        <w:t xml:space="preserve"> </w:t>
      </w:r>
      <w:r w:rsidR="00890235">
        <w:rPr>
          <w:rFonts w:cstheme="minorHAnsi"/>
          <w:bCs/>
          <w:szCs w:val="24"/>
        </w:rPr>
        <w:t>2.3.5</w:t>
      </w:r>
      <w:r w:rsidR="00440CD2">
        <w:rPr>
          <w:rFonts w:cstheme="minorHAnsi"/>
          <w:bCs/>
          <w:szCs w:val="24"/>
        </w:rPr>
        <w:t>. tabulā sniegts apkopojums par biotopu aizsardzības stāvokli un esošo apsaimniekošanu vai tās trūkumu (biotopu platību summa var nesakrist ar kopējo biotopa platību GNP, jo par daļu zālāju poligonu nav datu).</w:t>
      </w:r>
      <w:r w:rsidR="00890235">
        <w:rPr>
          <w:rFonts w:cstheme="minorHAnsi"/>
          <w:bCs/>
          <w:szCs w:val="24"/>
        </w:rPr>
        <w:t xml:space="preserve"> Apsaimniekošana nav nepieciešama biotopam 6430 Eitrofas augsto lakstaugu audzes, kurš pastāv, pateicoties palu darbībai, savukārt, biotopa 6530* Parkveida pļavas un ganības aizsardzības un apsaimniekošanas mērķi saistīti ar bezmugurkaulnieku sugu dzīvotnēm un tā apsaimniekojamās platības norādītas pie sugu dzīvotņu apsaimniekošanas.</w:t>
      </w:r>
    </w:p>
    <w:p w14:paraId="7FDB17F9" w14:textId="04C6378C" w:rsidR="00890235" w:rsidRDefault="00890235" w:rsidP="0075622A">
      <w:pPr>
        <w:suppressAutoHyphens w:val="0"/>
        <w:jc w:val="both"/>
        <w:rPr>
          <w:rFonts w:cstheme="minorHAnsi"/>
          <w:bCs/>
          <w:szCs w:val="24"/>
        </w:rPr>
      </w:pPr>
    </w:p>
    <w:p w14:paraId="5AA5C529" w14:textId="7171672F" w:rsidR="00890235" w:rsidRPr="00145094" w:rsidRDefault="00890235" w:rsidP="0075622A">
      <w:pPr>
        <w:suppressAutoHyphens w:val="0"/>
        <w:jc w:val="both"/>
        <w:rPr>
          <w:rFonts w:cstheme="minorHAnsi"/>
          <w:b/>
          <w:i/>
          <w:iCs/>
          <w:szCs w:val="24"/>
        </w:rPr>
      </w:pPr>
      <w:r w:rsidRPr="00145094">
        <w:rPr>
          <w:rFonts w:cstheme="minorHAnsi"/>
          <w:b/>
          <w:i/>
          <w:iCs/>
          <w:szCs w:val="24"/>
        </w:rPr>
        <w:t>2.3.5. tabula. Labā aizsardzības stāvoklī esošo zālāju biotopu un tādu zālāju biotopu, kuriem nepieciešama kvalitātes uzlabošana, platības GNP, hektāros.</w:t>
      </w:r>
    </w:p>
    <w:tbl>
      <w:tblPr>
        <w:tblStyle w:val="TableGrid"/>
        <w:tblW w:w="0" w:type="auto"/>
        <w:tblLook w:val="04A0" w:firstRow="1" w:lastRow="0" w:firstColumn="1" w:lastColumn="0" w:noHBand="0" w:noVBand="1"/>
      </w:tblPr>
      <w:tblGrid>
        <w:gridCol w:w="2076"/>
        <w:gridCol w:w="2075"/>
        <w:gridCol w:w="2075"/>
        <w:gridCol w:w="2075"/>
      </w:tblGrid>
      <w:tr w:rsidR="00440CD2" w:rsidRPr="00890235" w14:paraId="100CC247" w14:textId="2E29B53E" w:rsidTr="00890235">
        <w:trPr>
          <w:tblHeader/>
        </w:trPr>
        <w:tc>
          <w:tcPr>
            <w:tcW w:w="2076" w:type="dxa"/>
            <w:shd w:val="clear" w:color="auto" w:fill="C2D69B" w:themeFill="accent3" w:themeFillTint="99"/>
            <w:vAlign w:val="center"/>
          </w:tcPr>
          <w:p w14:paraId="2741B9A8" w14:textId="13FD039B" w:rsidR="00440CD2" w:rsidRPr="00890235" w:rsidRDefault="00440CD2" w:rsidP="00890235">
            <w:pPr>
              <w:suppressAutoHyphens w:val="0"/>
              <w:jc w:val="center"/>
              <w:rPr>
                <w:rFonts w:cstheme="minorHAnsi"/>
                <w:b/>
                <w:szCs w:val="24"/>
              </w:rPr>
            </w:pPr>
            <w:r w:rsidRPr="00890235">
              <w:rPr>
                <w:rFonts w:cstheme="minorHAnsi"/>
                <w:b/>
                <w:szCs w:val="24"/>
              </w:rPr>
              <w:t>Biotops</w:t>
            </w:r>
          </w:p>
        </w:tc>
        <w:tc>
          <w:tcPr>
            <w:tcW w:w="2075" w:type="dxa"/>
            <w:shd w:val="clear" w:color="auto" w:fill="C2D69B" w:themeFill="accent3" w:themeFillTint="99"/>
            <w:vAlign w:val="center"/>
          </w:tcPr>
          <w:p w14:paraId="1F7C362E" w14:textId="4E31AD16" w:rsidR="00440CD2" w:rsidRPr="00890235" w:rsidRDefault="00440CD2" w:rsidP="00890235">
            <w:pPr>
              <w:suppressAutoHyphens w:val="0"/>
              <w:jc w:val="center"/>
              <w:rPr>
                <w:rFonts w:cstheme="minorHAnsi"/>
                <w:b/>
                <w:szCs w:val="24"/>
              </w:rPr>
            </w:pPr>
            <w:r w:rsidRPr="00890235">
              <w:rPr>
                <w:rFonts w:cstheme="minorHAnsi"/>
                <w:b/>
                <w:szCs w:val="24"/>
              </w:rPr>
              <w:t>Apsaimniekots, nav nepieciešami speciāli pasākumi, tikai regulārā uzturēšana</w:t>
            </w:r>
          </w:p>
        </w:tc>
        <w:tc>
          <w:tcPr>
            <w:tcW w:w="2075" w:type="dxa"/>
            <w:shd w:val="clear" w:color="auto" w:fill="C2D69B" w:themeFill="accent3" w:themeFillTint="99"/>
            <w:vAlign w:val="center"/>
          </w:tcPr>
          <w:p w14:paraId="7B373582" w14:textId="67AA22C5" w:rsidR="00440CD2" w:rsidRPr="00890235" w:rsidRDefault="00440CD2" w:rsidP="00890235">
            <w:pPr>
              <w:suppressAutoHyphens w:val="0"/>
              <w:jc w:val="center"/>
              <w:rPr>
                <w:rFonts w:cstheme="minorHAnsi"/>
                <w:b/>
                <w:szCs w:val="24"/>
              </w:rPr>
            </w:pPr>
            <w:r w:rsidRPr="00890235">
              <w:rPr>
                <w:rFonts w:cstheme="minorHAnsi"/>
                <w:b/>
                <w:szCs w:val="24"/>
              </w:rPr>
              <w:t>Apsaimniekots, vajag vienu vai vairākus kvalitāti atjaunojošus pasākums</w:t>
            </w:r>
          </w:p>
        </w:tc>
        <w:tc>
          <w:tcPr>
            <w:tcW w:w="2075" w:type="dxa"/>
            <w:shd w:val="clear" w:color="auto" w:fill="C2D69B" w:themeFill="accent3" w:themeFillTint="99"/>
            <w:vAlign w:val="center"/>
          </w:tcPr>
          <w:p w14:paraId="111AE0F2" w14:textId="1565671A" w:rsidR="00440CD2" w:rsidRPr="00890235" w:rsidRDefault="00440CD2" w:rsidP="00890235">
            <w:pPr>
              <w:suppressAutoHyphens w:val="0"/>
              <w:jc w:val="center"/>
              <w:rPr>
                <w:rFonts w:cstheme="minorHAnsi"/>
                <w:b/>
                <w:szCs w:val="24"/>
              </w:rPr>
            </w:pPr>
            <w:r w:rsidRPr="00890235">
              <w:rPr>
                <w:rFonts w:cstheme="minorHAnsi"/>
                <w:b/>
                <w:szCs w:val="24"/>
              </w:rPr>
              <w:t>Neapsaimniekots, nepieciešami kompleksi atjaunošanas pasākumi</w:t>
            </w:r>
          </w:p>
        </w:tc>
      </w:tr>
      <w:tr w:rsidR="00440CD2" w14:paraId="7798557C" w14:textId="4F345A16" w:rsidTr="00890235">
        <w:tc>
          <w:tcPr>
            <w:tcW w:w="2076" w:type="dxa"/>
          </w:tcPr>
          <w:p w14:paraId="5485CF9F" w14:textId="678A54E0" w:rsidR="00440CD2" w:rsidRDefault="00440CD2" w:rsidP="00890235">
            <w:pPr>
              <w:suppressAutoHyphens w:val="0"/>
              <w:rPr>
                <w:rFonts w:cstheme="minorHAnsi"/>
                <w:bCs/>
                <w:szCs w:val="24"/>
              </w:rPr>
            </w:pPr>
            <w:r>
              <w:rPr>
                <w:rFonts w:cstheme="minorHAnsi"/>
                <w:bCs/>
                <w:szCs w:val="24"/>
              </w:rPr>
              <w:t>6120* Smiltāju zālāji</w:t>
            </w:r>
          </w:p>
        </w:tc>
        <w:tc>
          <w:tcPr>
            <w:tcW w:w="2075" w:type="dxa"/>
            <w:vAlign w:val="center"/>
          </w:tcPr>
          <w:p w14:paraId="2C7AD896" w14:textId="32A4813D" w:rsidR="00440CD2" w:rsidRDefault="00440CD2" w:rsidP="00890235">
            <w:pPr>
              <w:suppressAutoHyphens w:val="0"/>
              <w:jc w:val="center"/>
              <w:rPr>
                <w:rFonts w:cstheme="minorHAnsi"/>
                <w:bCs/>
                <w:szCs w:val="24"/>
              </w:rPr>
            </w:pPr>
            <w:r>
              <w:rPr>
                <w:rFonts w:cstheme="minorHAnsi"/>
                <w:bCs/>
                <w:szCs w:val="24"/>
              </w:rPr>
              <w:t>5,3</w:t>
            </w:r>
          </w:p>
        </w:tc>
        <w:tc>
          <w:tcPr>
            <w:tcW w:w="2075" w:type="dxa"/>
            <w:vAlign w:val="center"/>
          </w:tcPr>
          <w:p w14:paraId="7FD3B374" w14:textId="27C60779" w:rsidR="00440CD2" w:rsidRDefault="00440CD2" w:rsidP="00890235">
            <w:pPr>
              <w:suppressAutoHyphens w:val="0"/>
              <w:jc w:val="center"/>
              <w:rPr>
                <w:rFonts w:cstheme="minorHAnsi"/>
                <w:bCs/>
                <w:szCs w:val="24"/>
              </w:rPr>
            </w:pPr>
            <w:r>
              <w:rPr>
                <w:rFonts w:cstheme="minorHAnsi"/>
                <w:bCs/>
                <w:szCs w:val="24"/>
              </w:rPr>
              <w:t>10,9</w:t>
            </w:r>
          </w:p>
        </w:tc>
        <w:tc>
          <w:tcPr>
            <w:tcW w:w="2075" w:type="dxa"/>
            <w:vAlign w:val="center"/>
          </w:tcPr>
          <w:p w14:paraId="2670E459" w14:textId="4D928AEE" w:rsidR="00440CD2" w:rsidRDefault="00440CD2" w:rsidP="00890235">
            <w:pPr>
              <w:suppressAutoHyphens w:val="0"/>
              <w:jc w:val="center"/>
              <w:rPr>
                <w:rFonts w:cstheme="minorHAnsi"/>
                <w:bCs/>
                <w:szCs w:val="24"/>
              </w:rPr>
            </w:pPr>
            <w:r>
              <w:rPr>
                <w:rFonts w:cstheme="minorHAnsi"/>
                <w:bCs/>
                <w:szCs w:val="24"/>
              </w:rPr>
              <w:t>6,5</w:t>
            </w:r>
          </w:p>
        </w:tc>
      </w:tr>
      <w:tr w:rsidR="00440CD2" w14:paraId="4584D134" w14:textId="53F4E274" w:rsidTr="00890235">
        <w:tc>
          <w:tcPr>
            <w:tcW w:w="2076" w:type="dxa"/>
          </w:tcPr>
          <w:p w14:paraId="2A146910" w14:textId="2AC43010" w:rsidR="00440CD2" w:rsidRDefault="00440CD2" w:rsidP="00890235">
            <w:pPr>
              <w:suppressAutoHyphens w:val="0"/>
              <w:rPr>
                <w:rFonts w:cstheme="minorHAnsi"/>
                <w:bCs/>
                <w:szCs w:val="24"/>
              </w:rPr>
            </w:pPr>
            <w:r>
              <w:rPr>
                <w:rFonts w:cstheme="minorHAnsi"/>
                <w:bCs/>
                <w:szCs w:val="24"/>
              </w:rPr>
              <w:t>6210 Sausi zālāji kaļķainās augsnēs</w:t>
            </w:r>
          </w:p>
        </w:tc>
        <w:tc>
          <w:tcPr>
            <w:tcW w:w="2075" w:type="dxa"/>
            <w:vAlign w:val="center"/>
          </w:tcPr>
          <w:p w14:paraId="6C0F5DC1" w14:textId="7C73A5B1" w:rsidR="00440CD2" w:rsidRDefault="00440CD2" w:rsidP="00890235">
            <w:pPr>
              <w:suppressAutoHyphens w:val="0"/>
              <w:jc w:val="center"/>
              <w:rPr>
                <w:rFonts w:cstheme="minorHAnsi"/>
                <w:bCs/>
                <w:szCs w:val="24"/>
              </w:rPr>
            </w:pPr>
            <w:r>
              <w:rPr>
                <w:rFonts w:cstheme="minorHAnsi"/>
                <w:bCs/>
                <w:szCs w:val="24"/>
              </w:rPr>
              <w:t>7,1</w:t>
            </w:r>
          </w:p>
        </w:tc>
        <w:tc>
          <w:tcPr>
            <w:tcW w:w="2075" w:type="dxa"/>
            <w:vAlign w:val="center"/>
          </w:tcPr>
          <w:p w14:paraId="248CB83D" w14:textId="565B6BBA" w:rsidR="00440CD2" w:rsidRDefault="00440CD2" w:rsidP="00890235">
            <w:pPr>
              <w:suppressAutoHyphens w:val="0"/>
              <w:jc w:val="center"/>
              <w:rPr>
                <w:rFonts w:cstheme="minorHAnsi"/>
                <w:bCs/>
                <w:szCs w:val="24"/>
              </w:rPr>
            </w:pPr>
            <w:r>
              <w:rPr>
                <w:rFonts w:cstheme="minorHAnsi"/>
                <w:bCs/>
                <w:szCs w:val="24"/>
              </w:rPr>
              <w:t>68,6</w:t>
            </w:r>
          </w:p>
        </w:tc>
        <w:tc>
          <w:tcPr>
            <w:tcW w:w="2075" w:type="dxa"/>
            <w:vAlign w:val="center"/>
          </w:tcPr>
          <w:p w14:paraId="74A057DA" w14:textId="67F611F6" w:rsidR="00440CD2" w:rsidRDefault="00440CD2" w:rsidP="00890235">
            <w:pPr>
              <w:suppressAutoHyphens w:val="0"/>
              <w:jc w:val="center"/>
              <w:rPr>
                <w:rFonts w:cstheme="minorHAnsi"/>
                <w:bCs/>
                <w:szCs w:val="24"/>
              </w:rPr>
            </w:pPr>
            <w:r>
              <w:rPr>
                <w:rFonts w:cstheme="minorHAnsi"/>
                <w:bCs/>
                <w:szCs w:val="24"/>
              </w:rPr>
              <w:t>26,4</w:t>
            </w:r>
          </w:p>
        </w:tc>
      </w:tr>
      <w:tr w:rsidR="00440CD2" w14:paraId="6BAB2D14" w14:textId="46572C9F" w:rsidTr="00890235">
        <w:tc>
          <w:tcPr>
            <w:tcW w:w="2076" w:type="dxa"/>
          </w:tcPr>
          <w:p w14:paraId="135A97F4" w14:textId="7BE66278" w:rsidR="00440CD2" w:rsidRDefault="00440CD2" w:rsidP="00890235">
            <w:pPr>
              <w:suppressAutoHyphens w:val="0"/>
              <w:rPr>
                <w:rFonts w:cstheme="minorHAnsi"/>
                <w:bCs/>
                <w:szCs w:val="24"/>
              </w:rPr>
            </w:pPr>
            <w:r>
              <w:rPr>
                <w:rFonts w:cstheme="minorHAnsi"/>
                <w:bCs/>
                <w:szCs w:val="24"/>
              </w:rPr>
              <w:t>6230* Vilkakūlas zālāji (tukšaiņu zālāji)</w:t>
            </w:r>
          </w:p>
        </w:tc>
        <w:tc>
          <w:tcPr>
            <w:tcW w:w="2075" w:type="dxa"/>
            <w:vAlign w:val="center"/>
          </w:tcPr>
          <w:p w14:paraId="158419E0" w14:textId="1A980F18" w:rsidR="00440CD2" w:rsidRDefault="008C0976" w:rsidP="00890235">
            <w:pPr>
              <w:suppressAutoHyphens w:val="0"/>
              <w:jc w:val="center"/>
              <w:rPr>
                <w:rFonts w:cstheme="minorHAnsi"/>
                <w:bCs/>
                <w:szCs w:val="24"/>
              </w:rPr>
            </w:pPr>
            <w:r>
              <w:rPr>
                <w:rFonts w:cstheme="minorHAnsi"/>
                <w:bCs/>
                <w:szCs w:val="24"/>
              </w:rPr>
              <w:t>4,1</w:t>
            </w:r>
          </w:p>
        </w:tc>
        <w:tc>
          <w:tcPr>
            <w:tcW w:w="2075" w:type="dxa"/>
            <w:vAlign w:val="center"/>
          </w:tcPr>
          <w:p w14:paraId="07E15CA0" w14:textId="24D27B8A" w:rsidR="00440CD2" w:rsidRDefault="008C0976" w:rsidP="00890235">
            <w:pPr>
              <w:suppressAutoHyphens w:val="0"/>
              <w:jc w:val="center"/>
              <w:rPr>
                <w:rFonts w:cstheme="minorHAnsi"/>
                <w:bCs/>
                <w:szCs w:val="24"/>
              </w:rPr>
            </w:pPr>
            <w:r>
              <w:rPr>
                <w:rFonts w:cstheme="minorHAnsi"/>
                <w:bCs/>
                <w:szCs w:val="24"/>
              </w:rPr>
              <w:t>2,5</w:t>
            </w:r>
          </w:p>
        </w:tc>
        <w:tc>
          <w:tcPr>
            <w:tcW w:w="2075" w:type="dxa"/>
            <w:vAlign w:val="center"/>
          </w:tcPr>
          <w:p w14:paraId="1957B54B" w14:textId="7EBA79B2" w:rsidR="00440CD2" w:rsidRDefault="008C0976" w:rsidP="00890235">
            <w:pPr>
              <w:suppressAutoHyphens w:val="0"/>
              <w:jc w:val="center"/>
              <w:rPr>
                <w:rFonts w:cstheme="minorHAnsi"/>
                <w:bCs/>
                <w:szCs w:val="24"/>
              </w:rPr>
            </w:pPr>
            <w:r>
              <w:rPr>
                <w:rFonts w:cstheme="minorHAnsi"/>
                <w:bCs/>
                <w:szCs w:val="24"/>
              </w:rPr>
              <w:t>0,1</w:t>
            </w:r>
          </w:p>
        </w:tc>
      </w:tr>
      <w:tr w:rsidR="00440CD2" w14:paraId="6678BB24" w14:textId="54D2B671" w:rsidTr="00890235">
        <w:tc>
          <w:tcPr>
            <w:tcW w:w="2076" w:type="dxa"/>
          </w:tcPr>
          <w:p w14:paraId="20ED58FF" w14:textId="37D18CAC" w:rsidR="00440CD2" w:rsidRDefault="008C0976" w:rsidP="00890235">
            <w:pPr>
              <w:suppressAutoHyphens w:val="0"/>
              <w:rPr>
                <w:rFonts w:cstheme="minorHAnsi"/>
                <w:bCs/>
                <w:szCs w:val="24"/>
              </w:rPr>
            </w:pPr>
            <w:r>
              <w:rPr>
                <w:rFonts w:cstheme="minorHAnsi"/>
                <w:bCs/>
                <w:szCs w:val="24"/>
              </w:rPr>
              <w:t>6270* Sugām bagātas ganības un ganītas pļavas</w:t>
            </w:r>
          </w:p>
        </w:tc>
        <w:tc>
          <w:tcPr>
            <w:tcW w:w="2075" w:type="dxa"/>
            <w:vAlign w:val="center"/>
          </w:tcPr>
          <w:p w14:paraId="4C7BE482" w14:textId="2C27BAB5" w:rsidR="00440CD2" w:rsidRDefault="00890235" w:rsidP="00890235">
            <w:pPr>
              <w:suppressAutoHyphens w:val="0"/>
              <w:jc w:val="center"/>
              <w:rPr>
                <w:rFonts w:cstheme="minorHAnsi"/>
                <w:bCs/>
                <w:szCs w:val="24"/>
              </w:rPr>
            </w:pPr>
            <w:r>
              <w:rPr>
                <w:rFonts w:cstheme="minorHAnsi"/>
                <w:bCs/>
                <w:szCs w:val="24"/>
              </w:rPr>
              <w:t>62,7</w:t>
            </w:r>
          </w:p>
        </w:tc>
        <w:tc>
          <w:tcPr>
            <w:tcW w:w="2075" w:type="dxa"/>
            <w:vAlign w:val="center"/>
          </w:tcPr>
          <w:p w14:paraId="47FA4012" w14:textId="174A9CD2" w:rsidR="00440CD2" w:rsidRDefault="00890235" w:rsidP="00890235">
            <w:pPr>
              <w:suppressAutoHyphens w:val="0"/>
              <w:jc w:val="center"/>
              <w:rPr>
                <w:rFonts w:cstheme="minorHAnsi"/>
                <w:bCs/>
                <w:szCs w:val="24"/>
              </w:rPr>
            </w:pPr>
            <w:r>
              <w:rPr>
                <w:rFonts w:cstheme="minorHAnsi"/>
                <w:bCs/>
                <w:szCs w:val="24"/>
              </w:rPr>
              <w:t>244,8</w:t>
            </w:r>
          </w:p>
        </w:tc>
        <w:tc>
          <w:tcPr>
            <w:tcW w:w="2075" w:type="dxa"/>
            <w:vAlign w:val="center"/>
          </w:tcPr>
          <w:p w14:paraId="32ADEFBC" w14:textId="05FD05F7" w:rsidR="00440CD2" w:rsidRDefault="00890235" w:rsidP="00890235">
            <w:pPr>
              <w:suppressAutoHyphens w:val="0"/>
              <w:jc w:val="center"/>
              <w:rPr>
                <w:rFonts w:cstheme="minorHAnsi"/>
                <w:bCs/>
                <w:szCs w:val="24"/>
              </w:rPr>
            </w:pPr>
            <w:r>
              <w:rPr>
                <w:rFonts w:cstheme="minorHAnsi"/>
                <w:bCs/>
                <w:szCs w:val="24"/>
              </w:rPr>
              <w:t>38,2</w:t>
            </w:r>
          </w:p>
        </w:tc>
      </w:tr>
      <w:tr w:rsidR="00440CD2" w14:paraId="434CB205" w14:textId="55D2BB3D" w:rsidTr="00890235">
        <w:tc>
          <w:tcPr>
            <w:tcW w:w="2076" w:type="dxa"/>
          </w:tcPr>
          <w:p w14:paraId="40B054A8" w14:textId="5B62EFF1" w:rsidR="00440CD2" w:rsidRDefault="00890235" w:rsidP="00890235">
            <w:pPr>
              <w:suppressAutoHyphens w:val="0"/>
              <w:rPr>
                <w:rFonts w:cstheme="minorHAnsi"/>
                <w:bCs/>
                <w:szCs w:val="24"/>
              </w:rPr>
            </w:pPr>
            <w:r>
              <w:rPr>
                <w:rFonts w:cstheme="minorHAnsi"/>
                <w:bCs/>
                <w:szCs w:val="24"/>
              </w:rPr>
              <w:t>6410 Mitri zālāji periodiski izžūstošās augsnēs</w:t>
            </w:r>
          </w:p>
        </w:tc>
        <w:tc>
          <w:tcPr>
            <w:tcW w:w="2075" w:type="dxa"/>
            <w:vAlign w:val="center"/>
          </w:tcPr>
          <w:p w14:paraId="47AC7F2E" w14:textId="543D917D" w:rsidR="00440CD2" w:rsidRDefault="00890235" w:rsidP="00890235">
            <w:pPr>
              <w:suppressAutoHyphens w:val="0"/>
              <w:jc w:val="center"/>
              <w:rPr>
                <w:rFonts w:cstheme="minorHAnsi"/>
                <w:bCs/>
                <w:szCs w:val="24"/>
              </w:rPr>
            </w:pPr>
            <w:r>
              <w:rPr>
                <w:rFonts w:cstheme="minorHAnsi"/>
                <w:bCs/>
                <w:szCs w:val="24"/>
              </w:rPr>
              <w:t>4,3</w:t>
            </w:r>
          </w:p>
        </w:tc>
        <w:tc>
          <w:tcPr>
            <w:tcW w:w="2075" w:type="dxa"/>
            <w:vAlign w:val="center"/>
          </w:tcPr>
          <w:p w14:paraId="3F97F2DC" w14:textId="5B2FA81F" w:rsidR="00440CD2" w:rsidRDefault="00890235" w:rsidP="00890235">
            <w:pPr>
              <w:suppressAutoHyphens w:val="0"/>
              <w:jc w:val="center"/>
              <w:rPr>
                <w:rFonts w:cstheme="minorHAnsi"/>
                <w:bCs/>
                <w:szCs w:val="24"/>
              </w:rPr>
            </w:pPr>
            <w:r>
              <w:rPr>
                <w:rFonts w:cstheme="minorHAnsi"/>
                <w:bCs/>
                <w:szCs w:val="24"/>
              </w:rPr>
              <w:t>26,5</w:t>
            </w:r>
          </w:p>
        </w:tc>
        <w:tc>
          <w:tcPr>
            <w:tcW w:w="2075" w:type="dxa"/>
            <w:vAlign w:val="center"/>
          </w:tcPr>
          <w:p w14:paraId="1065F8FE" w14:textId="31314FEC" w:rsidR="00440CD2" w:rsidRDefault="00890235" w:rsidP="00890235">
            <w:pPr>
              <w:suppressAutoHyphens w:val="0"/>
              <w:jc w:val="center"/>
              <w:rPr>
                <w:rFonts w:cstheme="minorHAnsi"/>
                <w:bCs/>
                <w:szCs w:val="24"/>
              </w:rPr>
            </w:pPr>
            <w:r>
              <w:rPr>
                <w:rFonts w:cstheme="minorHAnsi"/>
                <w:bCs/>
                <w:szCs w:val="24"/>
              </w:rPr>
              <w:t>4,3</w:t>
            </w:r>
          </w:p>
        </w:tc>
      </w:tr>
      <w:tr w:rsidR="00440CD2" w14:paraId="35BA8FCD" w14:textId="330DD5FB" w:rsidTr="00890235">
        <w:tc>
          <w:tcPr>
            <w:tcW w:w="2076" w:type="dxa"/>
          </w:tcPr>
          <w:p w14:paraId="70564A52" w14:textId="22B77E45" w:rsidR="00440CD2" w:rsidRDefault="00890235" w:rsidP="00890235">
            <w:pPr>
              <w:suppressAutoHyphens w:val="0"/>
              <w:rPr>
                <w:rFonts w:cstheme="minorHAnsi"/>
                <w:bCs/>
                <w:szCs w:val="24"/>
              </w:rPr>
            </w:pPr>
            <w:r>
              <w:rPr>
                <w:rFonts w:cstheme="minorHAnsi"/>
                <w:bCs/>
                <w:szCs w:val="24"/>
              </w:rPr>
              <w:t>6450 Palieņu zālāji</w:t>
            </w:r>
          </w:p>
        </w:tc>
        <w:tc>
          <w:tcPr>
            <w:tcW w:w="2075" w:type="dxa"/>
            <w:vAlign w:val="center"/>
          </w:tcPr>
          <w:p w14:paraId="396E2A32" w14:textId="5C6259D6" w:rsidR="00440CD2" w:rsidRDefault="00890235" w:rsidP="00890235">
            <w:pPr>
              <w:suppressAutoHyphens w:val="0"/>
              <w:jc w:val="center"/>
              <w:rPr>
                <w:rFonts w:cstheme="minorHAnsi"/>
                <w:bCs/>
                <w:szCs w:val="24"/>
              </w:rPr>
            </w:pPr>
            <w:r>
              <w:rPr>
                <w:rFonts w:cstheme="minorHAnsi"/>
                <w:bCs/>
                <w:szCs w:val="24"/>
              </w:rPr>
              <w:t>2,3</w:t>
            </w:r>
          </w:p>
        </w:tc>
        <w:tc>
          <w:tcPr>
            <w:tcW w:w="2075" w:type="dxa"/>
            <w:vAlign w:val="center"/>
          </w:tcPr>
          <w:p w14:paraId="52558420" w14:textId="6BE4B868" w:rsidR="00440CD2" w:rsidRDefault="00890235" w:rsidP="00890235">
            <w:pPr>
              <w:suppressAutoHyphens w:val="0"/>
              <w:jc w:val="center"/>
              <w:rPr>
                <w:rFonts w:cstheme="minorHAnsi"/>
                <w:bCs/>
                <w:szCs w:val="24"/>
              </w:rPr>
            </w:pPr>
            <w:r>
              <w:rPr>
                <w:rFonts w:cstheme="minorHAnsi"/>
                <w:bCs/>
                <w:szCs w:val="24"/>
              </w:rPr>
              <w:t>26,1</w:t>
            </w:r>
          </w:p>
        </w:tc>
        <w:tc>
          <w:tcPr>
            <w:tcW w:w="2075" w:type="dxa"/>
            <w:vAlign w:val="center"/>
          </w:tcPr>
          <w:p w14:paraId="34D6D062" w14:textId="4006AFCD" w:rsidR="00440CD2" w:rsidRDefault="00890235" w:rsidP="00890235">
            <w:pPr>
              <w:suppressAutoHyphens w:val="0"/>
              <w:jc w:val="center"/>
              <w:rPr>
                <w:rFonts w:cstheme="minorHAnsi"/>
                <w:bCs/>
                <w:szCs w:val="24"/>
              </w:rPr>
            </w:pPr>
            <w:r>
              <w:rPr>
                <w:rFonts w:cstheme="minorHAnsi"/>
                <w:bCs/>
                <w:szCs w:val="24"/>
              </w:rPr>
              <w:t>54,4</w:t>
            </w:r>
          </w:p>
        </w:tc>
      </w:tr>
      <w:tr w:rsidR="00890235" w14:paraId="0354056A" w14:textId="77777777" w:rsidTr="00890235">
        <w:tc>
          <w:tcPr>
            <w:tcW w:w="2076" w:type="dxa"/>
          </w:tcPr>
          <w:p w14:paraId="689AC39E" w14:textId="65B69CE2" w:rsidR="00890235" w:rsidRDefault="00890235" w:rsidP="00890235">
            <w:pPr>
              <w:suppressAutoHyphens w:val="0"/>
              <w:rPr>
                <w:rFonts w:cstheme="minorHAnsi"/>
                <w:bCs/>
                <w:szCs w:val="24"/>
              </w:rPr>
            </w:pPr>
            <w:r>
              <w:rPr>
                <w:rFonts w:cstheme="minorHAnsi"/>
                <w:bCs/>
                <w:szCs w:val="24"/>
              </w:rPr>
              <w:lastRenderedPageBreak/>
              <w:t>6510 Mēreni mitras pļavas</w:t>
            </w:r>
          </w:p>
        </w:tc>
        <w:tc>
          <w:tcPr>
            <w:tcW w:w="2075" w:type="dxa"/>
            <w:vAlign w:val="center"/>
          </w:tcPr>
          <w:p w14:paraId="144F79D0" w14:textId="003B5615" w:rsidR="00890235" w:rsidRDefault="00890235" w:rsidP="00890235">
            <w:pPr>
              <w:suppressAutoHyphens w:val="0"/>
              <w:jc w:val="center"/>
              <w:rPr>
                <w:rFonts w:cstheme="minorHAnsi"/>
                <w:bCs/>
                <w:szCs w:val="24"/>
              </w:rPr>
            </w:pPr>
            <w:r>
              <w:rPr>
                <w:rFonts w:cstheme="minorHAnsi"/>
                <w:bCs/>
                <w:szCs w:val="24"/>
              </w:rPr>
              <w:t>3,7</w:t>
            </w:r>
          </w:p>
        </w:tc>
        <w:tc>
          <w:tcPr>
            <w:tcW w:w="2075" w:type="dxa"/>
            <w:vAlign w:val="center"/>
          </w:tcPr>
          <w:p w14:paraId="4800EC3D" w14:textId="14498AC3" w:rsidR="00890235" w:rsidRDefault="00890235" w:rsidP="00890235">
            <w:pPr>
              <w:suppressAutoHyphens w:val="0"/>
              <w:jc w:val="center"/>
              <w:rPr>
                <w:rFonts w:cstheme="minorHAnsi"/>
                <w:bCs/>
                <w:szCs w:val="24"/>
              </w:rPr>
            </w:pPr>
            <w:r>
              <w:rPr>
                <w:rFonts w:cstheme="minorHAnsi"/>
                <w:bCs/>
                <w:szCs w:val="24"/>
              </w:rPr>
              <w:t>86,7</w:t>
            </w:r>
          </w:p>
        </w:tc>
        <w:tc>
          <w:tcPr>
            <w:tcW w:w="2075" w:type="dxa"/>
            <w:vAlign w:val="center"/>
          </w:tcPr>
          <w:p w14:paraId="6673CB88" w14:textId="1F7B268F" w:rsidR="00890235" w:rsidRDefault="00890235" w:rsidP="00890235">
            <w:pPr>
              <w:suppressAutoHyphens w:val="0"/>
              <w:jc w:val="center"/>
              <w:rPr>
                <w:rFonts w:cstheme="minorHAnsi"/>
                <w:bCs/>
                <w:szCs w:val="24"/>
              </w:rPr>
            </w:pPr>
            <w:r>
              <w:rPr>
                <w:rFonts w:cstheme="minorHAnsi"/>
                <w:bCs/>
                <w:szCs w:val="24"/>
              </w:rPr>
              <w:t>4,0</w:t>
            </w:r>
          </w:p>
        </w:tc>
      </w:tr>
    </w:tbl>
    <w:p w14:paraId="2360902B" w14:textId="77777777" w:rsidR="00012A8A" w:rsidRDefault="00012A8A" w:rsidP="0075622A">
      <w:pPr>
        <w:suppressAutoHyphens w:val="0"/>
        <w:jc w:val="both"/>
        <w:rPr>
          <w:rFonts w:cstheme="minorHAnsi"/>
          <w:bCs/>
          <w:szCs w:val="24"/>
        </w:rPr>
      </w:pPr>
    </w:p>
    <w:p w14:paraId="4AF98E69" w14:textId="27184E05" w:rsidR="0075622A" w:rsidRPr="00675182" w:rsidRDefault="0075622A" w:rsidP="0075622A">
      <w:pPr>
        <w:suppressAutoHyphens w:val="0"/>
        <w:jc w:val="both"/>
        <w:rPr>
          <w:rFonts w:eastAsia="Times New Roman" w:cstheme="minorHAnsi"/>
          <w:szCs w:val="24"/>
          <w:lang w:eastAsia="en-GB"/>
        </w:rPr>
      </w:pPr>
      <w:r w:rsidRPr="00675182">
        <w:rPr>
          <w:rFonts w:cstheme="minorHAnsi"/>
          <w:bCs/>
          <w:szCs w:val="24"/>
        </w:rPr>
        <w:t xml:space="preserve">Zālāju biotopu kartēšanas ietvaros GNP teritorijā konstatēti 405 ha potenciāli zālāju biotopi, kuros ir novērojamas būtiskas dabiskošanās pazīmes (sastopamas indikatorsugas, sāk veidoties velēna un zālāju biotopiem raksturīgas augu sabiedrības), taču biotopam atbilstoša kvalitāte vēl nav sasniegta. Potenciālo zālāju biotopu izcelsme ir atmatas, kādreizējie kultivētie zālāji, vai arī ilggadīgie zālāji, kuri kādreiz mēsloti, drenēti un citādi ietekmēti ražības palielināšanai, taču ilgāku laiku apsaimniekoti ekstensīvi. Lielākās potenciālo zālāju biotopu platības atrodas Liepas un Bērzkroga apkaimē. </w:t>
      </w:r>
    </w:p>
    <w:p w14:paraId="62D9319A" w14:textId="77777777" w:rsidR="0075622A" w:rsidRPr="00675182" w:rsidRDefault="0075622A" w:rsidP="0075622A">
      <w:pPr>
        <w:ind w:firstLine="720"/>
        <w:jc w:val="both"/>
        <w:rPr>
          <w:rFonts w:cstheme="minorHAnsi"/>
          <w:bCs/>
          <w:szCs w:val="24"/>
        </w:rPr>
      </w:pPr>
    </w:p>
    <w:p w14:paraId="4150CA85" w14:textId="77777777" w:rsidR="0075622A" w:rsidRPr="00675182" w:rsidRDefault="0075622A" w:rsidP="0075622A">
      <w:pPr>
        <w:keepNext/>
        <w:keepLines/>
        <w:jc w:val="both"/>
        <w:rPr>
          <w:rFonts w:cstheme="minorHAnsi"/>
          <w:b/>
          <w:szCs w:val="24"/>
        </w:rPr>
      </w:pPr>
      <w:r w:rsidRPr="00675182">
        <w:rPr>
          <w:rFonts w:cstheme="minorHAnsi"/>
          <w:b/>
          <w:szCs w:val="24"/>
        </w:rPr>
        <w:t xml:space="preserve">Sociālekonomiskā vērtība </w:t>
      </w:r>
    </w:p>
    <w:p w14:paraId="53762788" w14:textId="77777777" w:rsidR="0075622A" w:rsidRPr="00675182" w:rsidRDefault="0075622A" w:rsidP="0075622A">
      <w:pPr>
        <w:keepNext/>
        <w:keepLines/>
        <w:jc w:val="both"/>
        <w:rPr>
          <w:rFonts w:cstheme="minorHAnsi"/>
        </w:rPr>
      </w:pPr>
      <w:r w:rsidRPr="00675182">
        <w:rPr>
          <w:rFonts w:cstheme="minorHAnsi"/>
        </w:rPr>
        <w:t xml:space="preserve">Zālāju biotopu sociālekonomiskā vērtība vērtējama daudzpusīgi. Apsaimniekojot zālājus, iegūst lopbarību – sienu un skābsienu, kā arī tos izmanto kā ganības liellopiem, sīklopiem un bitēm. Piena un gaļas produktus, kā arī medus un cita veida biškopības produkciju, kas iegūta apsaimniekojot zālāju biotopus, iespējams reklamēt kā īpaši dabiskas izcelsmes pārtiku, sniedzot ražotājam iespēju pārdot saražoto produkciju dārgāk. Dabiskie zālāji ir nozīmīgi zāļu tēju materiāla ieguvei, kā arī retāk sastopamu ārstniecības augu ieguvei pirtniekiem. Dabiskie zālāji ir neatņemama GNP raksturīgās ainavas sastāvdaļa, tādēļ vērtējami kā nozīmīgs tūrisma un rekreācijas resurss (piemēram, Balonu pļava Siguldā, zālāji pie Zvārtes ieža, zālāji pie Āraišu ezerpils). </w:t>
      </w:r>
    </w:p>
    <w:p w14:paraId="76D776BA" w14:textId="77777777" w:rsidR="0075622A" w:rsidRPr="00675182" w:rsidRDefault="0075622A" w:rsidP="0075622A">
      <w:pPr>
        <w:keepNext/>
        <w:keepLines/>
        <w:jc w:val="both"/>
        <w:rPr>
          <w:rFonts w:cstheme="minorHAnsi"/>
        </w:rPr>
      </w:pPr>
    </w:p>
    <w:p w14:paraId="42F2B41B" w14:textId="77777777" w:rsidR="0075622A" w:rsidRPr="00675182" w:rsidRDefault="0075622A" w:rsidP="0075622A">
      <w:pPr>
        <w:keepNext/>
        <w:keepLines/>
        <w:jc w:val="both"/>
        <w:rPr>
          <w:rFonts w:cstheme="minorHAnsi"/>
        </w:rPr>
      </w:pPr>
      <w:r w:rsidRPr="00675182">
        <w:rPr>
          <w:rFonts w:cstheme="minorHAnsi"/>
        </w:rPr>
        <w:t xml:space="preserve">Dabiskajos zālājos iespējams iegūt dabisku zālāju sēklas, kā arī sugām bagātu sienu vai zāli, ko izmantot zālāju biotopu atjaunošanas vajadzībām. </w:t>
      </w:r>
    </w:p>
    <w:p w14:paraId="73F4576E" w14:textId="77777777" w:rsidR="0075622A" w:rsidRPr="00675182" w:rsidRDefault="0075622A" w:rsidP="0075622A">
      <w:pPr>
        <w:ind w:firstLine="720"/>
        <w:jc w:val="both"/>
        <w:rPr>
          <w:rFonts w:cstheme="minorHAnsi"/>
        </w:rPr>
      </w:pPr>
    </w:p>
    <w:p w14:paraId="7FCB1F2D" w14:textId="729B102C" w:rsidR="0075622A" w:rsidRPr="00675182" w:rsidRDefault="0075622A" w:rsidP="0075622A">
      <w:pPr>
        <w:jc w:val="both"/>
        <w:rPr>
          <w:rFonts w:cstheme="minorHAnsi"/>
        </w:rPr>
      </w:pPr>
      <w:r w:rsidRPr="00675182">
        <w:rPr>
          <w:rFonts w:cstheme="minorHAnsi"/>
        </w:rPr>
        <w:t>Kā nozīmīgs ar zālājiem saistīts ekonomisks resurss jāvērtē platībmaksājumi, kurus saņem par lauksaimniecības zemju apsaimniekošanu. Lauku attīstības programmas aktivitātē BDUZ ir pieejams papildus atbalsts – platībmaksājums par ES nozīmes zālāju biotopu vai putnu dzīvotņu uzturēšanu, ja tiek izpildīti atbalsta saņemšanas nosacījumi (ekstensīva apsaimniekošana – pļaušana ar siena vai zāles novākšanu vai arī noganīšana). Atbalsta apmērs ir diferencēts un atkarīgs no biotopa ražības klases. Atbalsts paredzēts kā kompensācija par neiegūto ienākumu apsaimniekojot ES nozīmes biotopus, jo nereti zāles biomasa biotopos ir neliela, savukārt – dabas aizsardzības vērtība ļoti augsta.</w:t>
      </w:r>
    </w:p>
    <w:p w14:paraId="2E780A3E" w14:textId="77777777" w:rsidR="0075622A" w:rsidRPr="00675182" w:rsidRDefault="0075622A" w:rsidP="0075622A">
      <w:pPr>
        <w:ind w:firstLine="720"/>
        <w:jc w:val="both"/>
        <w:rPr>
          <w:rFonts w:cstheme="minorHAnsi"/>
          <w:bCs/>
          <w:szCs w:val="24"/>
        </w:rPr>
      </w:pPr>
    </w:p>
    <w:p w14:paraId="4FCD2CC4" w14:textId="77777777" w:rsidR="0075622A" w:rsidRPr="00675182" w:rsidRDefault="0075622A" w:rsidP="0075622A">
      <w:pPr>
        <w:jc w:val="both"/>
        <w:rPr>
          <w:rFonts w:cstheme="minorHAnsi"/>
          <w:b/>
          <w:szCs w:val="24"/>
        </w:rPr>
      </w:pPr>
      <w:r w:rsidRPr="00675182">
        <w:rPr>
          <w:rFonts w:cstheme="minorHAnsi"/>
          <w:b/>
          <w:szCs w:val="24"/>
        </w:rPr>
        <w:t>Ietekmējošie faktori</w:t>
      </w:r>
    </w:p>
    <w:p w14:paraId="0D3B34D2" w14:textId="77777777" w:rsidR="0075622A" w:rsidRPr="00675182" w:rsidRDefault="0075622A" w:rsidP="0075622A">
      <w:pPr>
        <w:jc w:val="both"/>
        <w:rPr>
          <w:rFonts w:cstheme="minorHAnsi"/>
          <w:bCs/>
          <w:i/>
          <w:iCs/>
          <w:szCs w:val="24"/>
          <w:u w:val="single"/>
        </w:rPr>
      </w:pPr>
      <w:r w:rsidRPr="00675182">
        <w:rPr>
          <w:rFonts w:cstheme="minorHAnsi"/>
          <w:bCs/>
          <w:i/>
          <w:iCs/>
          <w:szCs w:val="24"/>
          <w:u w:val="single"/>
        </w:rPr>
        <w:t>Nepiemērota apsaimniekošana</w:t>
      </w:r>
    </w:p>
    <w:p w14:paraId="3366190F" w14:textId="77777777" w:rsidR="0075622A" w:rsidRPr="00675182" w:rsidRDefault="0075622A" w:rsidP="0075622A">
      <w:pPr>
        <w:jc w:val="both"/>
        <w:rPr>
          <w:rFonts w:cstheme="minorHAnsi"/>
          <w:bCs/>
          <w:szCs w:val="24"/>
        </w:rPr>
      </w:pPr>
      <w:r w:rsidRPr="00675182">
        <w:rPr>
          <w:rFonts w:cstheme="minorHAnsi"/>
          <w:bCs/>
          <w:szCs w:val="24"/>
        </w:rPr>
        <w:t xml:space="preserve">Lai nodrošinātu labu aizsardzības stāvokli, zālāju biotopiem nepieciešama regulāra apsaimniekošana – pļaušana ar siena savākšanu vai arī noganīšana ar konkrētam biotopam piemērotu slodzi. Lai gan vienotā platībmaksājuma un papildus atbalsta par ES nozīmes zālāju biotopu vai putnu dzīvotņu uzturēšanu saņemšanai ir jāievēro šie </w:t>
      </w:r>
      <w:r w:rsidRPr="00675182">
        <w:rPr>
          <w:rFonts w:cstheme="minorHAnsi"/>
          <w:bCs/>
          <w:szCs w:val="24"/>
        </w:rPr>
        <w:lastRenderedPageBreak/>
        <w:t xml:space="preserve">nosacījumi, zālāju inventarizācijas laikā daudzviet tika konstatēta nepiemērota zālāju apsaimniekošana – zāles nopļaušana ar atstāšanu vai arī zāles smalcināšana. Šāda apsaimniekošana saistīta ar plašākiem sociālekonomiskiem procesiem – nopļautā zāle vairs nav nepieciešama lopu barošanai, jo būtiski mainījies dzīvesveids un samazinājies mazo piemājas saimniecību daudzums. Nepiemērota zālāju biotopu apsaimniekošana rezultējas ar barības vielu uzkrāšanos augsnē, kas noved pie augu sabiedrības izmaiņām un bioloģiskās daudzveidības samazināšanās. Smalcināšanas ietekmē veidojas kūlas slānis, kas izmaina vides apstākļus, palīdz uzkrāties mitrumam un traucē sēklu dīgšanu, veidojot fizisku barjeru augu attīstībai un sēklu uzdīgšanai. </w:t>
      </w:r>
    </w:p>
    <w:p w14:paraId="6EDC13D6" w14:textId="77777777" w:rsidR="0075622A" w:rsidRPr="00675182" w:rsidRDefault="0075622A" w:rsidP="0075622A">
      <w:pPr>
        <w:jc w:val="both"/>
        <w:rPr>
          <w:rFonts w:cstheme="minorHAnsi"/>
          <w:bCs/>
          <w:szCs w:val="24"/>
        </w:rPr>
      </w:pPr>
    </w:p>
    <w:p w14:paraId="0BF1EC36" w14:textId="77777777" w:rsidR="0075622A" w:rsidRPr="00675182" w:rsidRDefault="0075622A" w:rsidP="0075622A">
      <w:pPr>
        <w:rPr>
          <w:rFonts w:cstheme="minorHAnsi"/>
          <w:bCs/>
          <w:i/>
          <w:iCs/>
          <w:szCs w:val="24"/>
          <w:u w:val="single"/>
        </w:rPr>
      </w:pPr>
      <w:r w:rsidRPr="00675182">
        <w:rPr>
          <w:rFonts w:cstheme="minorHAnsi"/>
          <w:bCs/>
          <w:i/>
          <w:iCs/>
          <w:szCs w:val="24"/>
          <w:u w:val="single"/>
        </w:rPr>
        <w:t>Zālāju apsaimniekošanas trūkums</w:t>
      </w:r>
    </w:p>
    <w:p w14:paraId="5AFF83A5" w14:textId="0836D753" w:rsidR="0075622A" w:rsidRPr="00675182" w:rsidRDefault="0075622A" w:rsidP="0075622A">
      <w:pPr>
        <w:jc w:val="both"/>
        <w:rPr>
          <w:rFonts w:cstheme="minorHAnsi"/>
          <w:bCs/>
          <w:szCs w:val="24"/>
        </w:rPr>
      </w:pPr>
      <w:r w:rsidRPr="00675182">
        <w:rPr>
          <w:rFonts w:cstheme="minorHAnsi"/>
          <w:bCs/>
          <w:szCs w:val="24"/>
        </w:rPr>
        <w:t>Zālāji, kas atrodas grūti pieejamās vietās, piemēram, Gaujas un citu upju ielejās meža masīvos, kā arī izteikti pārmitri zālāji, kurus grūti apsaimniekot ar lielo traktortehniku, daudzviet ir ilgstoši pamesti un siena pļaušana vai ganīšana vairs nenotiek. Vēsturiski šādas vietas tika pļautas ar rokām, siens savākts un līdz ziemai noglabāts senajos siena šķūnīšos (skat. 2.3.4</w:t>
      </w:r>
      <w:r w:rsidR="00D64847" w:rsidRPr="00675182">
        <w:rPr>
          <w:rFonts w:cstheme="minorHAnsi"/>
          <w:bCs/>
          <w:szCs w:val="24"/>
        </w:rPr>
        <w:t>9</w:t>
      </w:r>
      <w:r w:rsidRPr="00675182">
        <w:rPr>
          <w:rFonts w:cstheme="minorHAnsi"/>
          <w:bCs/>
          <w:szCs w:val="24"/>
        </w:rPr>
        <w:t>.attēlu). Pašreiz šādi senie zālāji ir dažādās degradācijas stadijās – gan pilnībā degradējušies un aizauguši ar krūmiem, kā arī daļēji aizauguši ar krūmiem un ekspansīvām sugām. Papildus negatīvu ietekmi dod mežacūku darbība, kas uzrok velēnu, ļaujot vieglāk iesēties un izplatīties ekspansīvām sugām. 20. gs. vidū GNP mežniecībās notikusi meža pļavu apmežošanas – tās daudzviet masveidā apstādītas ar eglēm, priedēm, jo nav izdevies atrast interesentus pļavu tradicionālai apsaimniekošanai (U. Saulīša ziņojums)</w:t>
      </w:r>
      <w:r w:rsidR="00D36E0C">
        <w:rPr>
          <w:rFonts w:cstheme="minorHAnsi"/>
          <w:bCs/>
          <w:szCs w:val="24"/>
        </w:rPr>
        <w:t>.</w:t>
      </w:r>
    </w:p>
    <w:p w14:paraId="176A3B58" w14:textId="77777777" w:rsidR="0075622A" w:rsidRPr="00675182" w:rsidRDefault="0075622A" w:rsidP="0075622A">
      <w:pPr>
        <w:ind w:firstLine="720"/>
        <w:jc w:val="both"/>
        <w:rPr>
          <w:rFonts w:cstheme="minorHAnsi"/>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75622A" w:rsidRPr="00675182" w14:paraId="1FC735BE" w14:textId="77777777" w:rsidTr="00286810">
        <w:tc>
          <w:tcPr>
            <w:tcW w:w="8301" w:type="dxa"/>
          </w:tcPr>
          <w:p w14:paraId="61734FBF" w14:textId="77777777" w:rsidR="0075622A" w:rsidRPr="00675182" w:rsidRDefault="0075622A" w:rsidP="00286810">
            <w:pPr>
              <w:jc w:val="both"/>
              <w:rPr>
                <w:rFonts w:cstheme="minorHAnsi"/>
                <w:bCs/>
                <w:szCs w:val="24"/>
              </w:rPr>
            </w:pPr>
            <w:r w:rsidRPr="00675182">
              <w:rPr>
                <w:rFonts w:cstheme="minorHAnsi"/>
                <w:bCs/>
                <w:noProof/>
                <w:szCs w:val="24"/>
              </w:rPr>
              <w:drawing>
                <wp:inline distT="0" distB="0" distL="0" distR="0" wp14:anchorId="36B95D6C" wp14:editId="0041B6A7">
                  <wp:extent cx="5277485" cy="2298700"/>
                  <wp:effectExtent l="0" t="0" r="5715" b="0"/>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10;&#10;Description automatically generated"/>
                          <pic:cNvPicPr/>
                        </pic:nvPicPr>
                        <pic:blipFill>
                          <a:blip r:embed="rId201">
                            <a:extLst>
                              <a:ext uri="{28A0092B-C50C-407E-A947-70E740481C1C}">
                                <a14:useLocalDpi xmlns:a14="http://schemas.microsoft.com/office/drawing/2010/main" val="0"/>
                              </a:ext>
                            </a:extLst>
                          </a:blip>
                          <a:stretch>
                            <a:fillRect/>
                          </a:stretch>
                        </pic:blipFill>
                        <pic:spPr>
                          <a:xfrm>
                            <a:off x="0" y="0"/>
                            <a:ext cx="5277485" cy="2298700"/>
                          </a:xfrm>
                          <a:prstGeom prst="rect">
                            <a:avLst/>
                          </a:prstGeom>
                        </pic:spPr>
                      </pic:pic>
                    </a:graphicData>
                  </a:graphic>
                </wp:inline>
              </w:drawing>
            </w:r>
          </w:p>
        </w:tc>
      </w:tr>
      <w:tr w:rsidR="0075622A" w:rsidRPr="00675182" w14:paraId="2B11A087" w14:textId="77777777" w:rsidTr="00286810">
        <w:tc>
          <w:tcPr>
            <w:tcW w:w="8301" w:type="dxa"/>
          </w:tcPr>
          <w:p w14:paraId="38658E52" w14:textId="030FF12A" w:rsidR="0075622A" w:rsidRPr="00675182" w:rsidRDefault="0075622A" w:rsidP="00286810">
            <w:pPr>
              <w:jc w:val="both"/>
              <w:rPr>
                <w:rFonts w:cstheme="minorHAnsi"/>
                <w:b/>
                <w:i/>
                <w:iCs/>
                <w:szCs w:val="24"/>
              </w:rPr>
            </w:pPr>
            <w:r w:rsidRPr="00675182">
              <w:rPr>
                <w:rFonts w:cstheme="minorHAnsi"/>
                <w:b/>
                <w:i/>
                <w:iCs/>
                <w:szCs w:val="24"/>
              </w:rPr>
              <w:t>2.3.4</w:t>
            </w:r>
            <w:r w:rsidR="00D64847" w:rsidRPr="00675182">
              <w:rPr>
                <w:rFonts w:cstheme="minorHAnsi"/>
                <w:b/>
                <w:i/>
                <w:iCs/>
                <w:szCs w:val="24"/>
              </w:rPr>
              <w:t>9</w:t>
            </w:r>
            <w:r w:rsidRPr="00675182">
              <w:rPr>
                <w:rFonts w:cstheme="minorHAnsi"/>
                <w:b/>
                <w:i/>
                <w:iCs/>
                <w:szCs w:val="24"/>
              </w:rPr>
              <w:t>. attēls. 20. gs. vidū nelieli zālāji Gaujas ielejā Kvēpenes apkaimē, meža masīvos tika pļauti un izmantoti siena ieguvei, par ko liecina topogrāfiskajā kartē atzīmētie siena šķūnīši – “cap.” (Krievu armijas ģenerālštāba karte, 1963.</w:t>
            </w:r>
            <w:r w:rsidR="00D64847" w:rsidRPr="00675182">
              <w:rPr>
                <w:rFonts w:cstheme="minorHAnsi"/>
                <w:b/>
                <w:i/>
                <w:iCs/>
                <w:szCs w:val="24"/>
              </w:rPr>
              <w:t xml:space="preserve"> </w:t>
            </w:r>
            <w:r w:rsidRPr="00675182">
              <w:rPr>
                <w:rFonts w:cstheme="minorHAnsi"/>
                <w:b/>
                <w:i/>
                <w:iCs/>
                <w:szCs w:val="24"/>
              </w:rPr>
              <w:t xml:space="preserve">gads (1:25 000). </w:t>
            </w:r>
            <w:r w:rsidRPr="00675182">
              <w:rPr>
                <w:rFonts w:cstheme="minorHAnsi"/>
                <w:bCs/>
                <w:szCs w:val="24"/>
              </w:rPr>
              <w:t>Datu avots: vesture.dodies.lv</w:t>
            </w:r>
          </w:p>
        </w:tc>
      </w:tr>
    </w:tbl>
    <w:p w14:paraId="5E48327C" w14:textId="77777777" w:rsidR="0075622A" w:rsidRPr="00675182" w:rsidRDefault="0075622A" w:rsidP="0075622A">
      <w:pPr>
        <w:jc w:val="both"/>
        <w:rPr>
          <w:rFonts w:cstheme="minorHAnsi"/>
          <w:bCs/>
          <w:szCs w:val="24"/>
        </w:rPr>
      </w:pPr>
    </w:p>
    <w:p w14:paraId="12C597EA" w14:textId="77777777" w:rsidR="0075622A" w:rsidRPr="00675182" w:rsidRDefault="0075622A" w:rsidP="00BA73E5">
      <w:pPr>
        <w:keepNext/>
        <w:keepLines/>
        <w:jc w:val="both"/>
        <w:rPr>
          <w:rFonts w:cstheme="minorHAnsi"/>
          <w:bCs/>
          <w:i/>
          <w:iCs/>
          <w:szCs w:val="24"/>
          <w:u w:val="single"/>
        </w:rPr>
      </w:pPr>
      <w:r w:rsidRPr="00675182">
        <w:rPr>
          <w:rFonts w:cstheme="minorHAnsi"/>
          <w:bCs/>
          <w:i/>
          <w:iCs/>
          <w:szCs w:val="24"/>
          <w:u w:val="single"/>
        </w:rPr>
        <w:lastRenderedPageBreak/>
        <w:t>Invazīvo un ekspansīvo sugu izplatība</w:t>
      </w:r>
    </w:p>
    <w:p w14:paraId="4161AFD1" w14:textId="2DEB19F0" w:rsidR="0075622A" w:rsidRPr="00675182" w:rsidRDefault="0075622A" w:rsidP="00BA73E5">
      <w:pPr>
        <w:keepNext/>
        <w:keepLines/>
        <w:jc w:val="both"/>
        <w:rPr>
          <w:rFonts w:cstheme="minorHAnsi"/>
          <w:bCs/>
          <w:i/>
          <w:iCs/>
          <w:szCs w:val="24"/>
        </w:rPr>
      </w:pPr>
      <w:r w:rsidRPr="00675182">
        <w:rPr>
          <w:rFonts w:cstheme="minorHAnsi"/>
          <w:bCs/>
          <w:szCs w:val="24"/>
        </w:rPr>
        <w:t xml:space="preserve">Dabiskos zālājus apdraud invazīvās sugas Sosnovska latvāņa </w:t>
      </w:r>
      <w:r w:rsidRPr="00675182">
        <w:rPr>
          <w:rFonts w:cstheme="minorHAnsi"/>
          <w:bCs/>
          <w:i/>
          <w:iCs/>
          <w:szCs w:val="24"/>
        </w:rPr>
        <w:t>Heracleum sosnowskii</w:t>
      </w:r>
      <w:r w:rsidRPr="00675182">
        <w:rPr>
          <w:rFonts w:cstheme="minorHAnsi"/>
          <w:bCs/>
          <w:szCs w:val="24"/>
        </w:rPr>
        <w:t xml:space="preserve">, kā arī citu invazīvu svešzemju sugu izplatība. Cēsu novada Vaives pagastā ir novērojama būtiska Sosnovska latvāņu invāzija, kā rezultātā vairāki iepriekš zināmi dabiskie zālāji ir pilnībā aizauguši ar šo invazīvo sugu. Sosnovska latvāņi ir vairāk izplatīti pie Priekuļiem, Cēsu apkārtnē, kā arī ap Siguldas pilsētu. No citām zālājus apdraudošām invazīvām sugām jāmin Kanādas zeltgalvīte </w:t>
      </w:r>
      <w:r w:rsidRPr="00675182">
        <w:rPr>
          <w:rFonts w:cstheme="minorHAnsi"/>
          <w:bCs/>
          <w:i/>
          <w:iCs/>
          <w:szCs w:val="24"/>
        </w:rPr>
        <w:t>Solidago canadensis</w:t>
      </w:r>
      <w:r w:rsidRPr="00675182">
        <w:rPr>
          <w:rFonts w:cstheme="minorHAnsi"/>
          <w:bCs/>
          <w:szCs w:val="24"/>
        </w:rPr>
        <w:t xml:space="preserve"> (skat. 2.3.</w:t>
      </w:r>
      <w:r w:rsidR="00D64847" w:rsidRPr="00675182">
        <w:rPr>
          <w:rFonts w:cstheme="minorHAnsi"/>
          <w:bCs/>
          <w:szCs w:val="24"/>
        </w:rPr>
        <w:t>50</w:t>
      </w:r>
      <w:r w:rsidRPr="00675182">
        <w:rPr>
          <w:rFonts w:cstheme="minorHAnsi"/>
          <w:bCs/>
          <w:szCs w:val="24"/>
        </w:rPr>
        <w:t xml:space="preserve">. attēlu), kas masīvi izplatījusies Cēsu apkaimē un Priekuļu novadā, tajā skaitā, nereti sastopama arī dabiskajos zālājos dažādās ekspansijas pakāpēs. Raiskuma pagastā pie Ķūķiem, kā arī vietām Kārļu apkaimē izplatījusies daudzlapu lupīna </w:t>
      </w:r>
      <w:r w:rsidRPr="00675182">
        <w:rPr>
          <w:rFonts w:cstheme="minorHAnsi"/>
          <w:bCs/>
          <w:i/>
          <w:iCs/>
          <w:szCs w:val="24"/>
        </w:rPr>
        <w:t>Lupina polyphyllos</w:t>
      </w:r>
      <w:r w:rsidRPr="00675182">
        <w:rPr>
          <w:rFonts w:cstheme="minorHAnsi"/>
          <w:bCs/>
          <w:szCs w:val="24"/>
        </w:rPr>
        <w:t xml:space="preserve"> (skat. 2.3.</w:t>
      </w:r>
      <w:r w:rsidR="00D64847" w:rsidRPr="00675182">
        <w:rPr>
          <w:rFonts w:cstheme="minorHAnsi"/>
          <w:bCs/>
          <w:szCs w:val="24"/>
        </w:rPr>
        <w:t>51</w:t>
      </w:r>
      <w:r w:rsidRPr="00675182">
        <w:rPr>
          <w:rFonts w:cstheme="minorHAnsi"/>
          <w:bCs/>
          <w:szCs w:val="24"/>
        </w:rPr>
        <w:t xml:space="preserve">. attēlu). </w:t>
      </w:r>
    </w:p>
    <w:p w14:paraId="5BA2CD86" w14:textId="77777777" w:rsidR="0075622A" w:rsidRPr="00675182" w:rsidRDefault="0075622A" w:rsidP="0075622A">
      <w:pPr>
        <w:ind w:firstLine="720"/>
        <w:jc w:val="both"/>
        <w:rPr>
          <w:rFonts w:cstheme="minorHAnsi"/>
          <w:bCs/>
          <w:i/>
          <w:i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51"/>
      </w:tblGrid>
      <w:tr w:rsidR="0075622A" w:rsidRPr="00675182" w14:paraId="3AA9CD60" w14:textId="77777777" w:rsidTr="00286810">
        <w:tc>
          <w:tcPr>
            <w:tcW w:w="4150" w:type="dxa"/>
          </w:tcPr>
          <w:p w14:paraId="0FB37D67" w14:textId="77777777" w:rsidR="0075622A" w:rsidRPr="00675182" w:rsidRDefault="0075622A" w:rsidP="00286810">
            <w:pPr>
              <w:keepNext/>
              <w:keepLines/>
              <w:jc w:val="both"/>
              <w:rPr>
                <w:rFonts w:cstheme="minorHAnsi"/>
                <w:bCs/>
                <w:szCs w:val="24"/>
              </w:rPr>
            </w:pPr>
            <w:r w:rsidRPr="00675182">
              <w:rPr>
                <w:rFonts w:cstheme="minorHAnsi"/>
                <w:bCs/>
                <w:noProof/>
                <w:szCs w:val="24"/>
              </w:rPr>
              <w:drawing>
                <wp:inline distT="0" distB="0" distL="0" distR="0" wp14:anchorId="7408E3E8" wp14:editId="141C20D0">
                  <wp:extent cx="2393005" cy="1794682"/>
                  <wp:effectExtent l="0" t="0" r="0" b="0"/>
                  <wp:docPr id="32" name="Picture 32" descr="A field of tall grass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field of tall grass with trees in the background&#10;&#10;Description automatically generated"/>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2398611" cy="1798886"/>
                          </a:xfrm>
                          <a:prstGeom prst="rect">
                            <a:avLst/>
                          </a:prstGeom>
                        </pic:spPr>
                      </pic:pic>
                    </a:graphicData>
                  </a:graphic>
                </wp:inline>
              </w:drawing>
            </w:r>
          </w:p>
        </w:tc>
        <w:tc>
          <w:tcPr>
            <w:tcW w:w="4151" w:type="dxa"/>
          </w:tcPr>
          <w:p w14:paraId="73DE8539" w14:textId="77777777" w:rsidR="0075622A" w:rsidRPr="00675182" w:rsidRDefault="0075622A" w:rsidP="00286810">
            <w:pPr>
              <w:keepNext/>
              <w:keepLines/>
              <w:jc w:val="both"/>
              <w:rPr>
                <w:rFonts w:cstheme="minorHAnsi"/>
                <w:bCs/>
                <w:szCs w:val="24"/>
              </w:rPr>
            </w:pPr>
            <w:r w:rsidRPr="00675182">
              <w:rPr>
                <w:rFonts w:cstheme="minorHAnsi"/>
                <w:bCs/>
                <w:noProof/>
                <w:szCs w:val="24"/>
              </w:rPr>
              <w:drawing>
                <wp:inline distT="0" distB="0" distL="0" distR="0" wp14:anchorId="16239239" wp14:editId="6DAD5332">
                  <wp:extent cx="2393004" cy="1794681"/>
                  <wp:effectExtent l="0" t="0" r="0" b="0"/>
                  <wp:docPr id="33" name="Picture 33" descr="A large green field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arge green field with trees in the background&#10;&#10;Description automatically generated"/>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2409121" cy="1806768"/>
                          </a:xfrm>
                          <a:prstGeom prst="rect">
                            <a:avLst/>
                          </a:prstGeom>
                        </pic:spPr>
                      </pic:pic>
                    </a:graphicData>
                  </a:graphic>
                </wp:inline>
              </w:drawing>
            </w:r>
          </w:p>
        </w:tc>
      </w:tr>
      <w:tr w:rsidR="0075622A" w:rsidRPr="00675182" w14:paraId="4AC931B4" w14:textId="77777777" w:rsidTr="00286810">
        <w:tc>
          <w:tcPr>
            <w:tcW w:w="4150" w:type="dxa"/>
          </w:tcPr>
          <w:p w14:paraId="1F38A47C" w14:textId="41C849C4" w:rsidR="0075622A" w:rsidRPr="00675182" w:rsidRDefault="0075622A" w:rsidP="00286810">
            <w:pPr>
              <w:keepNext/>
              <w:keepLines/>
              <w:rPr>
                <w:rFonts w:cstheme="minorHAnsi"/>
                <w:b/>
                <w:i/>
                <w:iCs/>
                <w:szCs w:val="24"/>
              </w:rPr>
            </w:pPr>
            <w:r w:rsidRPr="00675182">
              <w:rPr>
                <w:rFonts w:cstheme="minorHAnsi"/>
                <w:b/>
                <w:i/>
                <w:iCs/>
                <w:szCs w:val="24"/>
              </w:rPr>
              <w:t>2.3.</w:t>
            </w:r>
            <w:r w:rsidR="00D64847" w:rsidRPr="00675182">
              <w:rPr>
                <w:rFonts w:cstheme="minorHAnsi"/>
                <w:b/>
                <w:i/>
                <w:iCs/>
                <w:szCs w:val="24"/>
              </w:rPr>
              <w:t>50</w:t>
            </w:r>
            <w:r w:rsidRPr="00675182">
              <w:rPr>
                <w:rFonts w:cstheme="minorHAnsi"/>
                <w:b/>
                <w:i/>
                <w:iCs/>
                <w:szCs w:val="24"/>
              </w:rPr>
              <w:t xml:space="preserve">. attēls. Ar Kanādas zeltgalvīti </w:t>
            </w:r>
            <w:r w:rsidRPr="00BF7348">
              <w:rPr>
                <w:rFonts w:cstheme="minorHAnsi"/>
                <w:b/>
                <w:i/>
                <w:iCs/>
                <w:szCs w:val="24"/>
              </w:rPr>
              <w:t>Solidago canadensis</w:t>
            </w:r>
            <w:r w:rsidRPr="00675182">
              <w:rPr>
                <w:rFonts w:cstheme="minorHAnsi"/>
                <w:b/>
                <w:i/>
                <w:iCs/>
                <w:szCs w:val="24"/>
              </w:rPr>
              <w:t xml:space="preserve"> aizaugošs biotops 6210 Sausi zālāji kaļķainās augsnēs Priekuļu pagastā (foto: M. Medne)</w:t>
            </w:r>
          </w:p>
        </w:tc>
        <w:tc>
          <w:tcPr>
            <w:tcW w:w="4151" w:type="dxa"/>
          </w:tcPr>
          <w:p w14:paraId="5B0ADCE5" w14:textId="3776ED75" w:rsidR="0075622A" w:rsidRPr="00675182" w:rsidRDefault="0075622A" w:rsidP="00286810">
            <w:pPr>
              <w:keepNext/>
              <w:keepLines/>
              <w:rPr>
                <w:rFonts w:cstheme="minorHAnsi"/>
                <w:b/>
                <w:i/>
                <w:iCs/>
                <w:szCs w:val="24"/>
              </w:rPr>
            </w:pPr>
            <w:r w:rsidRPr="00675182">
              <w:rPr>
                <w:rFonts w:cstheme="minorHAnsi"/>
                <w:b/>
                <w:i/>
                <w:iCs/>
                <w:szCs w:val="24"/>
              </w:rPr>
              <w:t>2.3.</w:t>
            </w:r>
            <w:r w:rsidR="00D64847" w:rsidRPr="00675182">
              <w:rPr>
                <w:rFonts w:cstheme="minorHAnsi"/>
                <w:b/>
                <w:i/>
                <w:iCs/>
                <w:szCs w:val="24"/>
              </w:rPr>
              <w:t>51</w:t>
            </w:r>
            <w:r w:rsidRPr="00675182">
              <w:rPr>
                <w:rFonts w:cstheme="minorHAnsi"/>
                <w:b/>
                <w:i/>
                <w:iCs/>
                <w:szCs w:val="24"/>
              </w:rPr>
              <w:t xml:space="preserve">. attēls. Ar daudzlapu lupīnu </w:t>
            </w:r>
            <w:r w:rsidRPr="00BF7348">
              <w:rPr>
                <w:rFonts w:cstheme="minorHAnsi"/>
                <w:bCs/>
                <w:szCs w:val="24"/>
              </w:rPr>
              <w:t>Lupina polyphyllos</w:t>
            </w:r>
            <w:r w:rsidRPr="00675182">
              <w:rPr>
                <w:rFonts w:cstheme="minorHAnsi"/>
                <w:b/>
                <w:i/>
                <w:iCs/>
                <w:szCs w:val="24"/>
              </w:rPr>
              <w:t xml:space="preserve"> aizaugošs biotops 6270* Sugām bagātas ganības un ganītas pļavas pie Ķūķiem, Raiskuma pagastā (foto: M. Medne)</w:t>
            </w:r>
          </w:p>
        </w:tc>
      </w:tr>
    </w:tbl>
    <w:p w14:paraId="2384B18A" w14:textId="77777777" w:rsidR="0075622A" w:rsidRPr="00675182" w:rsidRDefault="0075622A" w:rsidP="0075622A">
      <w:pPr>
        <w:jc w:val="both"/>
        <w:rPr>
          <w:rFonts w:cstheme="minorHAnsi"/>
          <w:bCs/>
          <w:szCs w:val="24"/>
        </w:rPr>
      </w:pPr>
    </w:p>
    <w:p w14:paraId="349BCB3B" w14:textId="77777777" w:rsidR="0075622A" w:rsidRPr="00675182" w:rsidRDefault="0075622A" w:rsidP="0075622A">
      <w:pPr>
        <w:jc w:val="both"/>
        <w:rPr>
          <w:rFonts w:cstheme="minorHAnsi"/>
          <w:bCs/>
          <w:szCs w:val="24"/>
        </w:rPr>
      </w:pPr>
      <w:r w:rsidRPr="00675182">
        <w:rPr>
          <w:rFonts w:cstheme="minorHAnsi"/>
          <w:bCs/>
          <w:szCs w:val="24"/>
        </w:rPr>
        <w:t xml:space="preserve">Pamestos, kā arī nepiemēroti apsaimniekotos zālājos, daudzviet izplatījušās ekspansīvās sugas – vietējās augu sugas, kas plaši pārņem zālāju, veidojot monodominantas audzes un neļaujot attīstīties sugu daudzveidībai. Biežāk sastopamā ekspansīvā suga ir slotiņu ciesa </w:t>
      </w:r>
      <w:r w:rsidRPr="00675182">
        <w:rPr>
          <w:rFonts w:cstheme="minorHAnsi"/>
          <w:bCs/>
          <w:i/>
          <w:iCs/>
          <w:szCs w:val="24"/>
        </w:rPr>
        <w:t>Calamagrostis epigeyos</w:t>
      </w:r>
      <w:r w:rsidRPr="00675182">
        <w:rPr>
          <w:rFonts w:cstheme="minorHAnsi"/>
          <w:bCs/>
          <w:szCs w:val="24"/>
        </w:rPr>
        <w:t xml:space="preserve">, kas izplatās sausajos biotopos. Mitros biotopos nereti sastopama lielā nātre </w:t>
      </w:r>
      <w:r w:rsidRPr="00675182">
        <w:rPr>
          <w:rFonts w:cstheme="minorHAnsi"/>
          <w:bCs/>
          <w:i/>
          <w:iCs/>
          <w:szCs w:val="24"/>
        </w:rPr>
        <w:t>Urtica dioica</w:t>
      </w:r>
      <w:r w:rsidRPr="00675182">
        <w:rPr>
          <w:rFonts w:cstheme="minorHAnsi"/>
          <w:bCs/>
          <w:szCs w:val="24"/>
        </w:rPr>
        <w:t xml:space="preserve">, ložņu vārpata </w:t>
      </w:r>
      <w:r w:rsidRPr="00675182">
        <w:rPr>
          <w:rFonts w:cstheme="minorHAnsi"/>
          <w:bCs/>
          <w:i/>
          <w:iCs/>
          <w:szCs w:val="24"/>
        </w:rPr>
        <w:t>Elytrigia repens</w:t>
      </w:r>
      <w:r w:rsidRPr="00675182">
        <w:rPr>
          <w:rFonts w:cstheme="minorHAnsi"/>
          <w:bCs/>
          <w:szCs w:val="24"/>
        </w:rPr>
        <w:t xml:space="preserve">, arī podagras gārsa </w:t>
      </w:r>
      <w:r w:rsidRPr="00675182">
        <w:rPr>
          <w:rFonts w:cstheme="minorHAnsi"/>
          <w:bCs/>
          <w:i/>
          <w:iCs/>
          <w:szCs w:val="24"/>
        </w:rPr>
        <w:t>Aegopodium podagraria</w:t>
      </w:r>
      <w:r w:rsidRPr="00675182">
        <w:rPr>
          <w:rFonts w:cstheme="minorHAnsi"/>
          <w:bCs/>
          <w:szCs w:val="24"/>
        </w:rPr>
        <w:t xml:space="preserve">. Zālājos, kas cēlušies no atmatām, nereti sastopams meža suņuburkšķis </w:t>
      </w:r>
      <w:r w:rsidRPr="00675182">
        <w:rPr>
          <w:rFonts w:cstheme="minorHAnsi"/>
          <w:bCs/>
          <w:i/>
          <w:iCs/>
          <w:szCs w:val="24"/>
        </w:rPr>
        <w:t>Anthriscus sylvestris</w:t>
      </w:r>
      <w:r w:rsidRPr="00675182">
        <w:rPr>
          <w:rFonts w:cstheme="minorHAnsi"/>
          <w:bCs/>
          <w:szCs w:val="24"/>
        </w:rPr>
        <w:t xml:space="preserve">, arī ārstniecības pienene </w:t>
      </w:r>
      <w:r w:rsidRPr="00675182">
        <w:rPr>
          <w:rFonts w:cstheme="minorHAnsi"/>
          <w:bCs/>
          <w:i/>
          <w:iCs/>
          <w:szCs w:val="24"/>
        </w:rPr>
        <w:t>Taraxacum officinale</w:t>
      </w:r>
      <w:r w:rsidRPr="00675182">
        <w:rPr>
          <w:rFonts w:cstheme="minorHAnsi"/>
          <w:bCs/>
          <w:szCs w:val="24"/>
        </w:rPr>
        <w:t xml:space="preserve">, piemēram, biotopā 6510 Mēreni mitras pļavas Āraišu ezerpils apkaimē. </w:t>
      </w:r>
    </w:p>
    <w:p w14:paraId="57D076F1" w14:textId="77777777" w:rsidR="0075622A" w:rsidRPr="00675182" w:rsidRDefault="0075622A" w:rsidP="0075622A">
      <w:pPr>
        <w:jc w:val="both"/>
        <w:rPr>
          <w:rFonts w:cstheme="minorHAnsi"/>
          <w:bCs/>
          <w:i/>
          <w:iCs/>
          <w:szCs w:val="24"/>
          <w:u w:val="single"/>
        </w:rPr>
      </w:pPr>
    </w:p>
    <w:p w14:paraId="736FD397" w14:textId="77777777" w:rsidR="0075622A" w:rsidRPr="00675182" w:rsidRDefault="0075622A" w:rsidP="0075622A">
      <w:pPr>
        <w:jc w:val="both"/>
        <w:rPr>
          <w:rFonts w:cstheme="minorHAnsi"/>
          <w:bCs/>
          <w:i/>
          <w:iCs/>
          <w:szCs w:val="24"/>
          <w:u w:val="single"/>
        </w:rPr>
      </w:pPr>
      <w:r w:rsidRPr="00675182">
        <w:rPr>
          <w:rFonts w:cstheme="minorHAnsi"/>
          <w:bCs/>
          <w:i/>
          <w:iCs/>
          <w:szCs w:val="24"/>
          <w:u w:val="single"/>
        </w:rPr>
        <w:t>Zālāju agrotehniska apstrāde, apbūve un hidroloģiskā režīma izmaiņas</w:t>
      </w:r>
    </w:p>
    <w:p w14:paraId="2415321B" w14:textId="77777777" w:rsidR="0075622A" w:rsidRPr="00675182" w:rsidRDefault="0075622A" w:rsidP="0075622A">
      <w:pPr>
        <w:jc w:val="both"/>
        <w:rPr>
          <w:rFonts w:cstheme="minorHAnsi"/>
          <w:bCs/>
          <w:szCs w:val="24"/>
        </w:rPr>
      </w:pPr>
      <w:bookmarkStart w:id="65" w:name="_Hlk97905789"/>
      <w:r w:rsidRPr="00675182">
        <w:rPr>
          <w:rFonts w:cstheme="minorHAnsi"/>
          <w:bCs/>
          <w:szCs w:val="24"/>
        </w:rPr>
        <w:t xml:space="preserve">Apsekojot iepriekšējās dekādēs kartētos zālāju biotopus, tika secināts, ka vietām zālāji ir iznīcināti, jo tie ir pārvērsti par aramzemi, vai arī zālājs ticis apbūvēts, ierīkoti dārziņi, krāšņumdārzs, siltumnīcas, dažāda veida viensētu pagalma infrastruktūra, kā arī zālājs tiek pļauts kā mauriņš. </w:t>
      </w:r>
      <w:bookmarkEnd w:id="65"/>
    </w:p>
    <w:p w14:paraId="5C2FFF29" w14:textId="77777777" w:rsidR="0075622A" w:rsidRPr="00675182" w:rsidRDefault="0075622A" w:rsidP="0075622A">
      <w:pPr>
        <w:jc w:val="both"/>
        <w:rPr>
          <w:rFonts w:cstheme="minorHAnsi"/>
          <w:bCs/>
          <w:szCs w:val="24"/>
        </w:rPr>
      </w:pPr>
    </w:p>
    <w:p w14:paraId="385CC16E" w14:textId="77777777" w:rsidR="0075622A" w:rsidRPr="00675182" w:rsidRDefault="0075622A" w:rsidP="0075622A">
      <w:pPr>
        <w:jc w:val="both"/>
        <w:rPr>
          <w:rFonts w:cstheme="minorHAnsi"/>
          <w:bCs/>
          <w:szCs w:val="24"/>
        </w:rPr>
      </w:pPr>
      <w:r w:rsidRPr="00675182">
        <w:rPr>
          <w:rFonts w:cstheme="minorHAnsi"/>
          <w:bCs/>
          <w:szCs w:val="24"/>
        </w:rPr>
        <w:t xml:space="preserve">Vietām upju ielejās dabiskos zālājus negatīvi ietekmējusi bebru darbība, kā rezultātā pārmitrajos apstākļos daļēji degradējusies augu sabiedrība, zālājā saraktas bebru alas, attīstījušies grīšļu ciņi. Bebru darbība izteikti negatīvi ietekmējusi zālāju kompleksu </w:t>
      </w:r>
      <w:r w:rsidRPr="00675182">
        <w:rPr>
          <w:rFonts w:cstheme="minorHAnsi"/>
          <w:bCs/>
          <w:szCs w:val="24"/>
        </w:rPr>
        <w:lastRenderedPageBreak/>
        <w:t xml:space="preserve">Jaunraunā, Tālītes palienē, kā arī kādreizējos dabiskos zālājus pie Līviem, Simtupes (Rakšupes) palienē pie Stubiem. </w:t>
      </w:r>
    </w:p>
    <w:p w14:paraId="59756443" w14:textId="77777777" w:rsidR="0075622A" w:rsidRPr="00675182" w:rsidRDefault="0075622A" w:rsidP="0075622A">
      <w:pPr>
        <w:jc w:val="both"/>
        <w:rPr>
          <w:rFonts w:cstheme="minorHAnsi"/>
          <w:bCs/>
          <w:szCs w:val="24"/>
        </w:rPr>
      </w:pPr>
    </w:p>
    <w:p w14:paraId="07944D3D" w14:textId="2A82FCD0" w:rsidR="0075622A" w:rsidRPr="00675182" w:rsidRDefault="0075622A" w:rsidP="0075622A">
      <w:pPr>
        <w:jc w:val="both"/>
        <w:rPr>
          <w:rFonts w:cstheme="minorHAnsi"/>
          <w:bCs/>
          <w:szCs w:val="24"/>
        </w:rPr>
      </w:pPr>
      <w:r w:rsidRPr="00675182">
        <w:rPr>
          <w:rFonts w:cstheme="minorHAnsi"/>
          <w:bCs/>
          <w:szCs w:val="24"/>
        </w:rPr>
        <w:t>Mitrākās ieplakās dabiskos zālājus norok, lai ierīkotu dīķus, piemēram, Kārļu centrā, savukārt Drabešu pagasta Rakšos kādreizējā dabiskā zālāja vietā ierīkots zoodārzs.</w:t>
      </w:r>
    </w:p>
    <w:p w14:paraId="7E29766D" w14:textId="17B11CA6" w:rsidR="00847FA5" w:rsidRPr="00675182" w:rsidRDefault="00847FA5" w:rsidP="0075622A">
      <w:pPr>
        <w:jc w:val="both"/>
        <w:rPr>
          <w:rFonts w:cstheme="minorHAnsi"/>
          <w:bCs/>
          <w:szCs w:val="24"/>
        </w:rPr>
      </w:pPr>
    </w:p>
    <w:p w14:paraId="6087EC13" w14:textId="5D86D01F" w:rsidR="006D2D32" w:rsidRPr="00675182" w:rsidRDefault="006D2D32" w:rsidP="006D2D32">
      <w:pPr>
        <w:jc w:val="both"/>
        <w:rPr>
          <w:rFonts w:cstheme="minorHAnsi"/>
          <w:bCs/>
          <w:szCs w:val="24"/>
        </w:rPr>
      </w:pPr>
      <w:r w:rsidRPr="00675182">
        <w:rPr>
          <w:rFonts w:cstheme="minorHAnsi"/>
          <w:bCs/>
          <w:szCs w:val="24"/>
        </w:rPr>
        <w:t>DA plāna izstrādes ietvaros tika veikts vienpadsmit zālāju kompleksu izvērtējums, lai identificētu zālāju hidroloģiskā režīma izmaiņu iemeslus un izvērtētu iespējamos pasākumus zālāju biotopu stāvokļa uzlabošanai. Kopsavilkumu par veikto novērtējumu un secinājumiem skatīt DA plāna 24. pielikumā. Vairums no šajā izvērtējumā iekļautajām situācijām ietver skaidrojumu par sukcesiju un zālāju pārpurvošanos Gaujas senlejas zemākajās vietās dabisku hidroloģisku procesu ietekmē, piemēram, saistībā ar pazemes ūdeņu izplūdi, kā tas ir zālājos pie Strautiņiem Cēsu pilsētas apkaimē, vai arī zālājā pie Zābakiem Krimuldā. Zālājos Krīvu apkaimē, pie Lejas Ķiberiem konstatēts, ka mitruma uzkrāšanās notiek, jo PSRS laikos ievietotā drenāžas sistēma ir aizsērējusi vai sabrukusi. Ķiberu zālājos notiek intensīva ganīšana, daļa no zālājiem ir pilnībā degradēti. Ir iespējama zālāju mitruma režīma uzlabošana, atjaunojot vai izveidojot drenāžu, tomēr daudzpusīgi jāvērtē šāda pasākuma nepieciešamība. Zālājus Tālītes upes lejtecē ietekmē neregulāra bebru darbība – izveidojies grīšļiem klāts avoksnājs, kā arī tuvējās meža platībās novērojami daudz sausokņi, kas liecina par bebru darbību. Zālāju stāvokļa uzlabošanai nepieciešams sekot līdzi bebru aktivitātei un nodrošināt bebru skait</w:t>
      </w:r>
      <w:r w:rsidR="00556840" w:rsidRPr="00675182">
        <w:rPr>
          <w:rFonts w:cstheme="minorHAnsi"/>
          <w:bCs/>
          <w:szCs w:val="24"/>
        </w:rPr>
        <w:t>a</w:t>
      </w:r>
      <w:r w:rsidRPr="00675182">
        <w:rPr>
          <w:rFonts w:cstheme="minorHAnsi"/>
          <w:bCs/>
          <w:szCs w:val="24"/>
        </w:rPr>
        <w:t xml:space="preserve"> un to darbības regulēšanu tuvējā apkaimē. </w:t>
      </w:r>
    </w:p>
    <w:p w14:paraId="5F63CA0A" w14:textId="77777777" w:rsidR="0075622A" w:rsidRPr="00675182" w:rsidRDefault="0075622A" w:rsidP="0075622A">
      <w:pPr>
        <w:jc w:val="both"/>
        <w:rPr>
          <w:rFonts w:cstheme="minorHAnsi"/>
          <w:bCs/>
          <w:szCs w:val="24"/>
        </w:rPr>
      </w:pPr>
    </w:p>
    <w:p w14:paraId="124ADA45" w14:textId="77777777" w:rsidR="0075622A" w:rsidRPr="00675182" w:rsidRDefault="0075622A" w:rsidP="0075622A">
      <w:pPr>
        <w:jc w:val="both"/>
        <w:rPr>
          <w:rFonts w:cstheme="minorHAnsi"/>
          <w:i/>
          <w:iCs/>
          <w:u w:val="single"/>
        </w:rPr>
      </w:pPr>
      <w:r w:rsidRPr="00675182">
        <w:rPr>
          <w:rFonts w:cstheme="minorHAnsi"/>
          <w:i/>
          <w:iCs/>
          <w:u w:val="single"/>
        </w:rPr>
        <w:t>Zālāju biotopu atjaunošana</w:t>
      </w:r>
    </w:p>
    <w:p w14:paraId="5A4ADB5A" w14:textId="6379D022" w:rsidR="00DC4946" w:rsidRPr="00675182" w:rsidRDefault="0075622A" w:rsidP="0075622A">
      <w:pPr>
        <w:jc w:val="both"/>
        <w:rPr>
          <w:rFonts w:cstheme="minorHAnsi"/>
        </w:rPr>
      </w:pPr>
      <w:r w:rsidRPr="00675182">
        <w:rPr>
          <w:rFonts w:cstheme="minorHAnsi"/>
        </w:rPr>
        <w:t xml:space="preserve">Lai nodrošinātu labvēlīgu aizsardzības stāvokli zālāju biotopiem, 2021. gadā </w:t>
      </w:r>
      <w:r w:rsidR="00B57AEF">
        <w:rPr>
          <w:rFonts w:cstheme="minorHAnsi"/>
        </w:rPr>
        <w:t>DAP</w:t>
      </w:r>
      <w:r w:rsidRPr="00675182">
        <w:rPr>
          <w:rFonts w:cstheme="minorHAnsi"/>
        </w:rPr>
        <w:t xml:space="preserve"> ar </w:t>
      </w:r>
      <w:r w:rsidR="00717391">
        <w:rPr>
          <w:rFonts w:cstheme="minorHAnsi"/>
        </w:rPr>
        <w:t>KF</w:t>
      </w:r>
      <w:r w:rsidRPr="00675182">
        <w:rPr>
          <w:rFonts w:cstheme="minorHAnsi"/>
        </w:rPr>
        <w:t xml:space="preserve"> </w:t>
      </w:r>
      <w:r w:rsidR="007109C7">
        <w:rPr>
          <w:rFonts w:cstheme="minorHAnsi"/>
        </w:rPr>
        <w:t xml:space="preserve">projekta </w:t>
      </w:r>
      <w:r w:rsidRPr="00675182">
        <w:rPr>
          <w:rFonts w:cstheme="minorHAnsi"/>
        </w:rPr>
        <w:t>atbalstu uzsākusi dabisko zālāju atjaunošanas pasākumus GNP, atjaunojot dabiskos zālājus ~40 ha platībā dažādās vietās visā GNP teritorijā, piemēram, pļavas Roču rezervātā, zālājus Lenčupes palienē pie Lenču skolas, sauso zālāju pie Līgatnes pārceltuves, Krimuldas Velnalas zālāju, zālāju Sveķupītes baseinā Auciema apkaimē, kā arī citviet. Plānotie atjaunošanas pasākumi ietvers tādus zālāju atjaunošanas pasākumus kā krūmu ciršanu un krūmu celmu frēzēšanu, sēklām bagāta siena izklāšanu iepriekš sagatavotā augsnē, invazīvo sugu apkarošanu ar pļaušanu, bebru darbības regulēšanu u.c. pasākumus. Darbus plānots pabeigt 2023. gadā. GNP vēsturē šīs ir apjomīgākās zālāju biotopu atjaunošanas aktivitātes.</w:t>
      </w:r>
    </w:p>
    <w:p w14:paraId="5CA44D79" w14:textId="348B2D05" w:rsidR="0075622A" w:rsidRPr="00675182" w:rsidRDefault="0075622A" w:rsidP="0075622A">
      <w:pPr>
        <w:jc w:val="both"/>
        <w:rPr>
          <w:rFonts w:cstheme="minorHAnsi"/>
        </w:rPr>
      </w:pPr>
      <w:r w:rsidRPr="00675182">
        <w:rPr>
          <w:rFonts w:cstheme="minorHAnsi"/>
        </w:rPr>
        <w:t xml:space="preserve"> </w:t>
      </w:r>
    </w:p>
    <w:p w14:paraId="263D14F1" w14:textId="3A0A3475" w:rsidR="0075622A" w:rsidRPr="00675182" w:rsidRDefault="0075622A" w:rsidP="0075622A">
      <w:pPr>
        <w:jc w:val="both"/>
        <w:rPr>
          <w:rFonts w:cstheme="minorHAnsi"/>
        </w:rPr>
      </w:pPr>
      <w:r w:rsidRPr="00675182">
        <w:rPr>
          <w:rFonts w:cstheme="minorHAnsi"/>
        </w:rPr>
        <w:t>Apkopojot datus no zālāju biotopu kartēšanas anketām, GNP zālāju biotopiem nepieciešami daudzveidīgi atjaunošanas pasākumi:</w:t>
      </w:r>
    </w:p>
    <w:p w14:paraId="1059304E" w14:textId="53328304" w:rsidR="0075622A" w:rsidRPr="00675182" w:rsidRDefault="00E85C0F" w:rsidP="00A84218">
      <w:pPr>
        <w:pStyle w:val="ListParagraph"/>
        <w:numPr>
          <w:ilvl w:val="0"/>
          <w:numId w:val="36"/>
        </w:numPr>
        <w:jc w:val="both"/>
        <w:rPr>
          <w:rFonts w:cstheme="minorHAnsi"/>
        </w:rPr>
      </w:pPr>
      <w:r>
        <w:rPr>
          <w:rFonts w:cstheme="minorHAnsi"/>
        </w:rPr>
        <w:t>a</w:t>
      </w:r>
      <w:r w:rsidRPr="00675182">
        <w:rPr>
          <w:rFonts w:cstheme="minorHAnsi"/>
        </w:rPr>
        <w:t xml:space="preserve">tjaunojoša </w:t>
      </w:r>
      <w:r w:rsidR="0075622A" w:rsidRPr="00675182">
        <w:rPr>
          <w:rFonts w:cstheme="minorHAnsi"/>
        </w:rPr>
        <w:t>ganīšana un pļaušana - 412,31 ha;</w:t>
      </w:r>
    </w:p>
    <w:p w14:paraId="489ED024" w14:textId="53D9020D" w:rsidR="0075622A" w:rsidRPr="00675182" w:rsidRDefault="00E85C0F" w:rsidP="00A84218">
      <w:pPr>
        <w:pStyle w:val="ListParagraph"/>
        <w:numPr>
          <w:ilvl w:val="0"/>
          <w:numId w:val="36"/>
        </w:numPr>
        <w:jc w:val="both"/>
        <w:rPr>
          <w:rFonts w:cstheme="minorHAnsi"/>
        </w:rPr>
      </w:pPr>
      <w:r>
        <w:rPr>
          <w:rFonts w:cstheme="minorHAnsi"/>
        </w:rPr>
        <w:t>k</w:t>
      </w:r>
      <w:r w:rsidRPr="00675182">
        <w:rPr>
          <w:rFonts w:cstheme="minorHAnsi"/>
        </w:rPr>
        <w:t xml:space="preserve">ūlas </w:t>
      </w:r>
      <w:r w:rsidR="0075622A" w:rsidRPr="00675182">
        <w:rPr>
          <w:rFonts w:cstheme="minorHAnsi"/>
        </w:rPr>
        <w:t>un sūnu ierobežošana - 167,52 ha;</w:t>
      </w:r>
    </w:p>
    <w:p w14:paraId="0FA3CA93" w14:textId="47307F25" w:rsidR="0075622A" w:rsidRPr="00675182" w:rsidRDefault="00E85C0F" w:rsidP="00A84218">
      <w:pPr>
        <w:pStyle w:val="ListParagraph"/>
        <w:numPr>
          <w:ilvl w:val="0"/>
          <w:numId w:val="36"/>
        </w:numPr>
        <w:jc w:val="both"/>
        <w:rPr>
          <w:rFonts w:cstheme="minorHAnsi"/>
        </w:rPr>
      </w:pPr>
      <w:r>
        <w:rPr>
          <w:rFonts w:cstheme="minorHAnsi"/>
        </w:rPr>
        <w:t>z</w:t>
      </w:r>
      <w:r w:rsidRPr="00675182">
        <w:rPr>
          <w:rFonts w:cstheme="minorHAnsi"/>
        </w:rPr>
        <w:t xml:space="preserve">ālāja </w:t>
      </w:r>
      <w:r w:rsidR="0075622A" w:rsidRPr="00675182">
        <w:rPr>
          <w:rFonts w:cstheme="minorHAnsi"/>
        </w:rPr>
        <w:t>virsmas nolīdzināšana - 134,88;</w:t>
      </w:r>
    </w:p>
    <w:p w14:paraId="199F268C" w14:textId="2A8A80CA" w:rsidR="0075622A" w:rsidRPr="00675182" w:rsidRDefault="00E85C0F" w:rsidP="00A84218">
      <w:pPr>
        <w:pStyle w:val="ListParagraph"/>
        <w:numPr>
          <w:ilvl w:val="0"/>
          <w:numId w:val="36"/>
        </w:numPr>
        <w:jc w:val="both"/>
        <w:rPr>
          <w:rFonts w:cstheme="minorHAnsi"/>
        </w:rPr>
      </w:pPr>
      <w:r>
        <w:rPr>
          <w:rFonts w:cstheme="minorHAnsi"/>
        </w:rPr>
        <w:t>k</w:t>
      </w:r>
      <w:r w:rsidRPr="00675182">
        <w:rPr>
          <w:rFonts w:cstheme="minorHAnsi"/>
        </w:rPr>
        <w:t xml:space="preserve">oku </w:t>
      </w:r>
      <w:r w:rsidR="0075622A" w:rsidRPr="00675182">
        <w:rPr>
          <w:rFonts w:cstheme="minorHAnsi"/>
        </w:rPr>
        <w:t>un krūmu apauguma novākšana - 186,37 ha;</w:t>
      </w:r>
    </w:p>
    <w:p w14:paraId="099684BB" w14:textId="1E7B90C3" w:rsidR="0075622A" w:rsidRPr="00675182" w:rsidRDefault="00E85C0F" w:rsidP="00A84218">
      <w:pPr>
        <w:pStyle w:val="ListParagraph"/>
        <w:numPr>
          <w:ilvl w:val="0"/>
          <w:numId w:val="36"/>
        </w:numPr>
        <w:jc w:val="both"/>
        <w:rPr>
          <w:rFonts w:cstheme="minorHAnsi"/>
        </w:rPr>
      </w:pPr>
      <w:r>
        <w:rPr>
          <w:rFonts w:cstheme="minorHAnsi"/>
        </w:rPr>
        <w:t>m</w:t>
      </w:r>
      <w:r w:rsidRPr="00675182">
        <w:rPr>
          <w:rFonts w:cstheme="minorHAnsi"/>
        </w:rPr>
        <w:t xml:space="preserve">itruma </w:t>
      </w:r>
      <w:r w:rsidR="0075622A" w:rsidRPr="00675182">
        <w:rPr>
          <w:rFonts w:cstheme="minorHAnsi"/>
        </w:rPr>
        <w:t>režīma atjaunošana - 15,77;</w:t>
      </w:r>
    </w:p>
    <w:p w14:paraId="6E6EB26D" w14:textId="056D5858" w:rsidR="0075622A" w:rsidRPr="00675182" w:rsidRDefault="00E85C0F" w:rsidP="00A84218">
      <w:pPr>
        <w:pStyle w:val="ListParagraph"/>
        <w:numPr>
          <w:ilvl w:val="0"/>
          <w:numId w:val="36"/>
        </w:numPr>
        <w:jc w:val="both"/>
        <w:rPr>
          <w:rFonts w:cstheme="minorHAnsi"/>
        </w:rPr>
      </w:pPr>
      <w:r>
        <w:rPr>
          <w:rFonts w:cstheme="minorHAnsi"/>
        </w:rPr>
        <w:t>a</w:t>
      </w:r>
      <w:r w:rsidRPr="00675182">
        <w:rPr>
          <w:rFonts w:cstheme="minorHAnsi"/>
        </w:rPr>
        <w:t xml:space="preserve">ugsnes </w:t>
      </w:r>
      <w:r w:rsidR="0075622A" w:rsidRPr="00675182">
        <w:rPr>
          <w:rFonts w:cstheme="minorHAnsi"/>
        </w:rPr>
        <w:t>auglības samazināšana - 73,06 ha;</w:t>
      </w:r>
    </w:p>
    <w:p w14:paraId="27BFFE27" w14:textId="4EE2D0BB" w:rsidR="0075622A" w:rsidRPr="00675182" w:rsidRDefault="00E85C0F" w:rsidP="00A84218">
      <w:pPr>
        <w:pStyle w:val="ListParagraph"/>
        <w:numPr>
          <w:ilvl w:val="0"/>
          <w:numId w:val="36"/>
        </w:numPr>
        <w:jc w:val="both"/>
        <w:rPr>
          <w:rFonts w:cstheme="minorHAnsi"/>
        </w:rPr>
      </w:pPr>
      <w:r>
        <w:rPr>
          <w:rFonts w:cstheme="minorHAnsi"/>
        </w:rPr>
        <w:t>s</w:t>
      </w:r>
      <w:r w:rsidRPr="00675182">
        <w:rPr>
          <w:rFonts w:cstheme="minorHAnsi"/>
        </w:rPr>
        <w:t xml:space="preserve">ugu </w:t>
      </w:r>
      <w:r w:rsidR="0075622A" w:rsidRPr="00675182">
        <w:rPr>
          <w:rFonts w:cstheme="minorHAnsi"/>
        </w:rPr>
        <w:t>sastāva mērķtiecīga veidošana - 58,31 ha;</w:t>
      </w:r>
    </w:p>
    <w:p w14:paraId="0B85F011" w14:textId="1CAEDD05" w:rsidR="0075622A" w:rsidRPr="00675182" w:rsidRDefault="00E85C0F" w:rsidP="00A84218">
      <w:pPr>
        <w:pStyle w:val="ListParagraph"/>
        <w:numPr>
          <w:ilvl w:val="0"/>
          <w:numId w:val="36"/>
        </w:numPr>
        <w:jc w:val="both"/>
        <w:rPr>
          <w:rFonts w:cstheme="minorHAnsi"/>
        </w:rPr>
      </w:pPr>
      <w:r>
        <w:rPr>
          <w:rFonts w:cstheme="minorHAnsi"/>
        </w:rPr>
        <w:t>n</w:t>
      </w:r>
      <w:r w:rsidRPr="00675182">
        <w:rPr>
          <w:rFonts w:cstheme="minorHAnsi"/>
        </w:rPr>
        <w:t xml:space="preserve">evēlamu </w:t>
      </w:r>
      <w:r w:rsidR="0075622A" w:rsidRPr="00675182">
        <w:rPr>
          <w:rFonts w:cstheme="minorHAnsi"/>
        </w:rPr>
        <w:t xml:space="preserve">augu sugu ierobežošana </w:t>
      </w:r>
      <w:r>
        <w:rPr>
          <w:rFonts w:cstheme="minorHAnsi"/>
        </w:rPr>
        <w:t>–</w:t>
      </w:r>
      <w:r w:rsidR="0075622A" w:rsidRPr="00675182">
        <w:rPr>
          <w:rFonts w:cstheme="minorHAnsi"/>
        </w:rPr>
        <w:t xml:space="preserve"> 481,28 ha.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51"/>
      </w:tblGrid>
      <w:tr w:rsidR="0075622A" w:rsidRPr="00675182" w14:paraId="5D996E25" w14:textId="77777777" w:rsidTr="00286810">
        <w:tc>
          <w:tcPr>
            <w:tcW w:w="4150" w:type="dxa"/>
          </w:tcPr>
          <w:p w14:paraId="2C57841C" w14:textId="77777777" w:rsidR="0075622A" w:rsidRPr="00675182" w:rsidRDefault="0075622A" w:rsidP="00286810">
            <w:pPr>
              <w:keepNext/>
              <w:keepLines/>
              <w:jc w:val="both"/>
              <w:rPr>
                <w:rFonts w:cstheme="minorHAnsi"/>
                <w:bCs/>
                <w:szCs w:val="24"/>
              </w:rPr>
            </w:pPr>
            <w:r w:rsidRPr="00675182">
              <w:rPr>
                <w:rFonts w:cstheme="minorHAnsi"/>
                <w:bCs/>
                <w:noProof/>
                <w:szCs w:val="24"/>
              </w:rPr>
              <w:lastRenderedPageBreak/>
              <w:drawing>
                <wp:inline distT="0" distB="0" distL="0" distR="0" wp14:anchorId="2D5D91BD" wp14:editId="79ACBAC6">
                  <wp:extent cx="2404745" cy="1803486"/>
                  <wp:effectExtent l="0" t="0" r="0" b="0"/>
                  <wp:docPr id="220" name="Picture 220" descr="A picture containing tree, outdoor, snow,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A picture containing tree, outdoor, snow, sky&#10;&#10;Description automatically generated"/>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2426691" cy="1819945"/>
                          </a:xfrm>
                          <a:prstGeom prst="rect">
                            <a:avLst/>
                          </a:prstGeom>
                        </pic:spPr>
                      </pic:pic>
                    </a:graphicData>
                  </a:graphic>
                </wp:inline>
              </w:drawing>
            </w:r>
          </w:p>
        </w:tc>
        <w:tc>
          <w:tcPr>
            <w:tcW w:w="4151" w:type="dxa"/>
          </w:tcPr>
          <w:p w14:paraId="3473E809" w14:textId="77777777" w:rsidR="0075622A" w:rsidRPr="00675182" w:rsidRDefault="0075622A" w:rsidP="00286810">
            <w:pPr>
              <w:keepNext/>
              <w:keepLines/>
              <w:jc w:val="both"/>
              <w:rPr>
                <w:rFonts w:cstheme="minorHAnsi"/>
                <w:bCs/>
                <w:szCs w:val="24"/>
              </w:rPr>
            </w:pPr>
            <w:r w:rsidRPr="00675182">
              <w:rPr>
                <w:rFonts w:cstheme="minorHAnsi"/>
                <w:bCs/>
                <w:noProof/>
                <w:szCs w:val="24"/>
              </w:rPr>
              <w:drawing>
                <wp:inline distT="0" distB="0" distL="0" distR="0" wp14:anchorId="72864A31" wp14:editId="24D93B34">
                  <wp:extent cx="2300299" cy="1836420"/>
                  <wp:effectExtent l="0" t="0" r="1905" b="0"/>
                  <wp:docPr id="221" name="Picture 221" descr="A grassy area with trees in the ba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A grassy area with trees in the back&#10;&#10;Description automatically generated with medium confidence"/>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2300299" cy="1836420"/>
                          </a:xfrm>
                          <a:prstGeom prst="rect">
                            <a:avLst/>
                          </a:prstGeom>
                        </pic:spPr>
                      </pic:pic>
                    </a:graphicData>
                  </a:graphic>
                </wp:inline>
              </w:drawing>
            </w:r>
          </w:p>
        </w:tc>
      </w:tr>
      <w:tr w:rsidR="0075622A" w:rsidRPr="00675182" w14:paraId="1FDC5012" w14:textId="77777777" w:rsidTr="00286810">
        <w:tc>
          <w:tcPr>
            <w:tcW w:w="4150" w:type="dxa"/>
          </w:tcPr>
          <w:p w14:paraId="62236937" w14:textId="7141C6BE" w:rsidR="0075622A" w:rsidRPr="00675182" w:rsidRDefault="0075622A" w:rsidP="00286810">
            <w:pPr>
              <w:keepNext/>
              <w:keepLines/>
              <w:rPr>
                <w:rFonts w:cstheme="minorHAnsi"/>
                <w:b/>
                <w:i/>
                <w:iCs/>
                <w:szCs w:val="24"/>
              </w:rPr>
            </w:pPr>
            <w:r w:rsidRPr="00675182">
              <w:rPr>
                <w:rFonts w:cstheme="minorHAnsi"/>
                <w:b/>
                <w:i/>
                <w:iCs/>
                <w:szCs w:val="24"/>
              </w:rPr>
              <w:t>2.3.</w:t>
            </w:r>
            <w:r w:rsidR="00D64847" w:rsidRPr="00675182">
              <w:rPr>
                <w:rFonts w:cstheme="minorHAnsi"/>
                <w:b/>
                <w:i/>
                <w:iCs/>
                <w:szCs w:val="24"/>
              </w:rPr>
              <w:t>52</w:t>
            </w:r>
            <w:r w:rsidRPr="00675182">
              <w:rPr>
                <w:rFonts w:cstheme="minorHAnsi"/>
                <w:b/>
                <w:i/>
                <w:iCs/>
                <w:szCs w:val="24"/>
              </w:rPr>
              <w:t xml:space="preserve">. attēls. Zālāja biotopa </w:t>
            </w:r>
            <w:r w:rsidR="007109C7">
              <w:rPr>
                <w:rFonts w:cstheme="minorHAnsi"/>
                <w:b/>
                <w:i/>
                <w:iCs/>
                <w:szCs w:val="24"/>
              </w:rPr>
              <w:t>6210</w:t>
            </w:r>
            <w:r w:rsidRPr="00675182">
              <w:rPr>
                <w:rFonts w:cstheme="minorHAnsi"/>
                <w:b/>
                <w:i/>
                <w:iCs/>
                <w:szCs w:val="24"/>
              </w:rPr>
              <w:t xml:space="preserve"> Sausi zālāji kaļķainās augsnēs atjaunošanas darbi pie Kumelītēm, Līgatnes pagastā (foto: J.Saulītis)</w:t>
            </w:r>
          </w:p>
        </w:tc>
        <w:tc>
          <w:tcPr>
            <w:tcW w:w="4151" w:type="dxa"/>
          </w:tcPr>
          <w:p w14:paraId="038852C7" w14:textId="5F35821C" w:rsidR="0075622A" w:rsidRPr="00675182" w:rsidRDefault="0075622A" w:rsidP="00286810">
            <w:pPr>
              <w:keepNext/>
              <w:keepLines/>
              <w:rPr>
                <w:rFonts w:cstheme="minorHAnsi"/>
                <w:b/>
                <w:i/>
                <w:iCs/>
                <w:szCs w:val="24"/>
              </w:rPr>
            </w:pPr>
            <w:r w:rsidRPr="00675182">
              <w:rPr>
                <w:rFonts w:cstheme="minorHAnsi"/>
                <w:b/>
                <w:i/>
                <w:iCs/>
                <w:szCs w:val="24"/>
              </w:rPr>
              <w:t>2.3.</w:t>
            </w:r>
            <w:r w:rsidR="00D64847" w:rsidRPr="00675182">
              <w:rPr>
                <w:rFonts w:cstheme="minorHAnsi"/>
                <w:b/>
                <w:i/>
                <w:iCs/>
                <w:szCs w:val="24"/>
              </w:rPr>
              <w:t>53</w:t>
            </w:r>
            <w:r w:rsidRPr="00675182">
              <w:rPr>
                <w:rFonts w:cstheme="minorHAnsi"/>
                <w:b/>
                <w:i/>
                <w:iCs/>
                <w:szCs w:val="24"/>
              </w:rPr>
              <w:t>. attēls Ar bērziem un ekspansīvajām sugām aizaudzis senais zālājs Roču rezervātā, pie Rotu mājām (foto: J.Saulītis)</w:t>
            </w:r>
          </w:p>
        </w:tc>
      </w:tr>
    </w:tbl>
    <w:p w14:paraId="61F889B8" w14:textId="77777777" w:rsidR="0075622A" w:rsidRPr="00675182" w:rsidRDefault="0075622A" w:rsidP="0075622A">
      <w:pPr>
        <w:keepNext/>
        <w:keepLines/>
        <w:jc w:val="both"/>
        <w:rPr>
          <w:rFonts w:cstheme="minorHAnsi"/>
        </w:rPr>
      </w:pPr>
    </w:p>
    <w:p w14:paraId="16C8471D" w14:textId="52882083" w:rsidR="0075622A" w:rsidRPr="00675182" w:rsidRDefault="0075622A" w:rsidP="0075622A">
      <w:pPr>
        <w:keepNext/>
        <w:keepLines/>
        <w:jc w:val="both"/>
        <w:rPr>
          <w:rFonts w:cstheme="minorHAnsi"/>
        </w:rPr>
      </w:pPr>
      <w:r w:rsidRPr="00675182">
        <w:rPr>
          <w:rFonts w:cstheme="minorHAnsi"/>
        </w:rPr>
        <w:t xml:space="preserve">Laikā no 2012. gada līdz 2015. gadam norisinājās LIFE+ </w:t>
      </w:r>
      <w:r w:rsidR="004E2659" w:rsidRPr="00675182">
        <w:rPr>
          <w:rFonts w:cstheme="minorHAnsi"/>
        </w:rPr>
        <w:t xml:space="preserve"> projekts </w:t>
      </w:r>
      <w:r w:rsidRPr="00675182">
        <w:rPr>
          <w:rFonts w:cstheme="minorHAnsi"/>
        </w:rPr>
        <w:t xml:space="preserve">LIFE – FOR-REST, kura laikā GNP tika atjaunota parkveida ainava, kas piemērota lapkoku praulgrauzim </w:t>
      </w:r>
      <w:r w:rsidRPr="00675182">
        <w:rPr>
          <w:rFonts w:cstheme="minorHAnsi"/>
          <w:i/>
          <w:iCs/>
        </w:rPr>
        <w:t>Osmoderma barnabita</w:t>
      </w:r>
      <w:r w:rsidRPr="00675182">
        <w:rPr>
          <w:rFonts w:cstheme="minorHAnsi"/>
        </w:rPr>
        <w:t xml:space="preserve"> kopumā 67,2 ha platībā. Dzīvotņu atjaunošana notika divās parkveida ainavu telpās: Ungurmuižā un Siguldas – Turaidas – Krimuldas apkaimē, kas ietvēra dažādus ainavas elementus – mežaudzes, aizaugušus zālājus, parku, aleju. Atjaunošanai tika veikti biotehniskie pasākumi: krūmu novākšana un teritorijas atmežošana, atvašu pļaušana. Projektā laikā Klauku līcī tika atjaunota vienlaidus parkveida ainava 25,07 ha platībā, starp parkveida kokiem izcērtot sekundāro apaugumu, kā arī nofrēzējot koku un krūmu celmus (Lārmanis, Andrušaitis 2016). Kopš 2019. gada atjaunotā Klauku līča teritorijā tiek noganīti zālāji, uzturot teritoriju atklātu un nodrošinot biotopa uzturēšanu. </w:t>
      </w:r>
    </w:p>
    <w:p w14:paraId="1C5CF343" w14:textId="77777777" w:rsidR="0075622A" w:rsidRPr="00675182" w:rsidRDefault="0075622A" w:rsidP="0075622A">
      <w:pPr>
        <w:keepNext/>
        <w:keepLines/>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51"/>
      </w:tblGrid>
      <w:tr w:rsidR="0075622A" w:rsidRPr="00675182" w14:paraId="22D2E31B" w14:textId="77777777" w:rsidTr="00286810">
        <w:tc>
          <w:tcPr>
            <w:tcW w:w="4150" w:type="dxa"/>
          </w:tcPr>
          <w:p w14:paraId="34ED0F02" w14:textId="77777777" w:rsidR="0075622A" w:rsidRPr="00675182" w:rsidRDefault="0075622A" w:rsidP="00B20746">
            <w:pPr>
              <w:jc w:val="both"/>
              <w:rPr>
                <w:rFonts w:cstheme="minorHAnsi"/>
                <w:bCs/>
                <w:szCs w:val="24"/>
              </w:rPr>
            </w:pPr>
            <w:r w:rsidRPr="00675182">
              <w:rPr>
                <w:rFonts w:cstheme="minorHAnsi"/>
                <w:bCs/>
                <w:noProof/>
                <w:szCs w:val="24"/>
              </w:rPr>
              <w:drawing>
                <wp:inline distT="0" distB="0" distL="0" distR="0" wp14:anchorId="3CC1080B" wp14:editId="545E52C8">
                  <wp:extent cx="2404822" cy="1602153"/>
                  <wp:effectExtent l="0" t="0" r="0" b="0"/>
                  <wp:docPr id="164" name="Picture 164" descr="A group of trees in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group of trees in a field&#10;&#10;Description automatically generated with medium confidence"/>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2421515" cy="1613274"/>
                          </a:xfrm>
                          <a:prstGeom prst="rect">
                            <a:avLst/>
                          </a:prstGeom>
                        </pic:spPr>
                      </pic:pic>
                    </a:graphicData>
                  </a:graphic>
                </wp:inline>
              </w:drawing>
            </w:r>
          </w:p>
        </w:tc>
        <w:tc>
          <w:tcPr>
            <w:tcW w:w="4151" w:type="dxa"/>
          </w:tcPr>
          <w:p w14:paraId="05658603" w14:textId="77777777" w:rsidR="0075622A" w:rsidRPr="00675182" w:rsidRDefault="0075622A" w:rsidP="00B20746">
            <w:pPr>
              <w:jc w:val="both"/>
              <w:rPr>
                <w:rFonts w:cstheme="minorHAnsi"/>
                <w:bCs/>
                <w:szCs w:val="24"/>
              </w:rPr>
            </w:pPr>
            <w:r w:rsidRPr="00675182">
              <w:rPr>
                <w:rFonts w:cstheme="minorHAnsi"/>
                <w:bCs/>
                <w:noProof/>
                <w:szCs w:val="24"/>
              </w:rPr>
              <w:drawing>
                <wp:inline distT="0" distB="0" distL="0" distR="0" wp14:anchorId="419A92C1" wp14:editId="61FCD69F">
                  <wp:extent cx="2404748" cy="1602105"/>
                  <wp:effectExtent l="0" t="0" r="0" b="0"/>
                  <wp:docPr id="185" name="Picture 185" descr="A group of cows graze in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A group of cows graze in a field&#10;&#10;Description automatically generated with medium confidence"/>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2433000" cy="1620927"/>
                          </a:xfrm>
                          <a:prstGeom prst="rect">
                            <a:avLst/>
                          </a:prstGeom>
                        </pic:spPr>
                      </pic:pic>
                    </a:graphicData>
                  </a:graphic>
                </wp:inline>
              </w:drawing>
            </w:r>
          </w:p>
        </w:tc>
      </w:tr>
      <w:tr w:rsidR="0075622A" w:rsidRPr="00675182" w14:paraId="39B471C5" w14:textId="77777777" w:rsidTr="004E2659">
        <w:trPr>
          <w:trHeight w:val="1389"/>
        </w:trPr>
        <w:tc>
          <w:tcPr>
            <w:tcW w:w="4150" w:type="dxa"/>
          </w:tcPr>
          <w:p w14:paraId="0F5F3743" w14:textId="47388322" w:rsidR="0075622A" w:rsidRPr="00675182" w:rsidRDefault="0075622A" w:rsidP="00B20746">
            <w:pPr>
              <w:rPr>
                <w:rFonts w:cstheme="minorHAnsi"/>
                <w:b/>
                <w:i/>
                <w:iCs/>
                <w:szCs w:val="24"/>
              </w:rPr>
            </w:pPr>
            <w:r w:rsidRPr="00675182">
              <w:rPr>
                <w:rFonts w:cstheme="minorHAnsi"/>
                <w:b/>
                <w:i/>
                <w:iCs/>
                <w:szCs w:val="24"/>
              </w:rPr>
              <w:t>2.3.</w:t>
            </w:r>
            <w:r w:rsidR="00D64847" w:rsidRPr="00675182">
              <w:rPr>
                <w:rFonts w:cstheme="minorHAnsi"/>
                <w:b/>
                <w:i/>
                <w:iCs/>
                <w:szCs w:val="24"/>
              </w:rPr>
              <w:t>54</w:t>
            </w:r>
            <w:r w:rsidRPr="00675182">
              <w:rPr>
                <w:rFonts w:cstheme="minorHAnsi"/>
                <w:b/>
                <w:i/>
                <w:iCs/>
                <w:szCs w:val="24"/>
              </w:rPr>
              <w:t>. attēls. Atjaunots biotops 6530* Parkveida pļavas un ganības Klauku līcī (foto: K.Kalns / GrassLIFE)</w:t>
            </w:r>
          </w:p>
        </w:tc>
        <w:tc>
          <w:tcPr>
            <w:tcW w:w="4151" w:type="dxa"/>
          </w:tcPr>
          <w:p w14:paraId="52D7BE82" w14:textId="7613DEBF" w:rsidR="0075622A" w:rsidRPr="00675182" w:rsidRDefault="0075622A" w:rsidP="00B20746">
            <w:pPr>
              <w:rPr>
                <w:rFonts w:cstheme="minorHAnsi"/>
                <w:b/>
                <w:i/>
                <w:iCs/>
                <w:szCs w:val="24"/>
              </w:rPr>
            </w:pPr>
            <w:r w:rsidRPr="00675182">
              <w:rPr>
                <w:rFonts w:cstheme="minorHAnsi"/>
                <w:b/>
                <w:i/>
                <w:iCs/>
                <w:szCs w:val="24"/>
              </w:rPr>
              <w:t>2.3.</w:t>
            </w:r>
            <w:r w:rsidR="00D64847" w:rsidRPr="00675182">
              <w:rPr>
                <w:rFonts w:cstheme="minorHAnsi"/>
                <w:b/>
                <w:i/>
                <w:iCs/>
                <w:szCs w:val="24"/>
              </w:rPr>
              <w:t>55</w:t>
            </w:r>
            <w:r w:rsidRPr="00675182">
              <w:rPr>
                <w:rFonts w:cstheme="minorHAnsi"/>
                <w:b/>
                <w:i/>
                <w:iCs/>
                <w:szCs w:val="24"/>
              </w:rPr>
              <w:t>. attēls. Klauku līča parkveida ainavas noganīšana ar Golovejas šķirnes liellopiem (foto: K.Kalns / GrassLIFE)</w:t>
            </w:r>
          </w:p>
        </w:tc>
      </w:tr>
    </w:tbl>
    <w:p w14:paraId="6683C8F0" w14:textId="68C08191" w:rsidR="00F1186D" w:rsidRPr="00675182" w:rsidRDefault="00F1186D" w:rsidP="00B20746">
      <w:pPr>
        <w:jc w:val="both"/>
        <w:rPr>
          <w:rFonts w:cstheme="minorHAnsi"/>
        </w:rPr>
      </w:pPr>
    </w:p>
    <w:p w14:paraId="4982E708" w14:textId="21509180" w:rsidR="00B64C5E" w:rsidRPr="00675182" w:rsidRDefault="00B64C5E" w:rsidP="00F229C9">
      <w:pPr>
        <w:pStyle w:val="Heading3"/>
        <w:keepLines/>
        <w:tabs>
          <w:tab w:val="num" w:pos="0"/>
        </w:tabs>
        <w:ind w:hanging="11"/>
        <w:jc w:val="both"/>
        <w:rPr>
          <w:rFonts w:cstheme="minorHAnsi"/>
          <w:b/>
          <w:szCs w:val="24"/>
          <w:lang w:val="lv-LV"/>
        </w:rPr>
      </w:pPr>
      <w:bookmarkStart w:id="66" w:name="_Toc116938406"/>
      <w:r w:rsidRPr="00675182">
        <w:rPr>
          <w:rFonts w:cstheme="minorHAnsi"/>
          <w:b/>
          <w:szCs w:val="24"/>
          <w:lang w:val="lv-LV"/>
        </w:rPr>
        <w:lastRenderedPageBreak/>
        <w:t>2.3.</w:t>
      </w:r>
      <w:r w:rsidR="00FA4A9C" w:rsidRPr="00675182">
        <w:rPr>
          <w:rFonts w:cstheme="minorHAnsi"/>
          <w:b/>
          <w:szCs w:val="24"/>
          <w:lang w:val="lv-LV"/>
        </w:rPr>
        <w:t>4</w:t>
      </w:r>
      <w:r w:rsidRPr="00675182">
        <w:rPr>
          <w:rFonts w:cstheme="minorHAnsi"/>
          <w:b/>
          <w:szCs w:val="24"/>
          <w:lang w:val="lv-LV"/>
        </w:rPr>
        <w:t>. Purvu biotopi</w:t>
      </w:r>
      <w:bookmarkEnd w:id="66"/>
    </w:p>
    <w:p w14:paraId="3DE5EA7C" w14:textId="77777777" w:rsidR="00A04ABC" w:rsidRPr="00675182" w:rsidRDefault="00A04ABC" w:rsidP="00F229C9">
      <w:pPr>
        <w:keepNext/>
        <w:keepLines/>
        <w:rPr>
          <w:rFonts w:cstheme="minorHAnsi"/>
        </w:rPr>
      </w:pPr>
    </w:p>
    <w:p w14:paraId="6529360F" w14:textId="77777777" w:rsidR="00FA4A9C" w:rsidRPr="00675182" w:rsidRDefault="00FA4A9C" w:rsidP="00F229C9">
      <w:pPr>
        <w:keepNext/>
        <w:keepLines/>
        <w:jc w:val="both"/>
        <w:rPr>
          <w:rFonts w:cstheme="minorHAnsi"/>
          <w:b/>
        </w:rPr>
      </w:pPr>
      <w:r w:rsidRPr="00675182">
        <w:rPr>
          <w:rFonts w:cstheme="minorHAnsi"/>
          <w:b/>
        </w:rPr>
        <w:t>Dabas aizsardzības vērtība</w:t>
      </w:r>
    </w:p>
    <w:p w14:paraId="4C54D92B" w14:textId="337E79DF" w:rsidR="00F229C9" w:rsidRPr="00675182" w:rsidRDefault="00F229C9" w:rsidP="00F229C9">
      <w:pPr>
        <w:keepNext/>
        <w:keepLines/>
        <w:jc w:val="both"/>
        <w:rPr>
          <w:rFonts w:cstheme="minorHAnsi"/>
          <w:bCs/>
          <w:szCs w:val="24"/>
        </w:rPr>
      </w:pPr>
      <w:r w:rsidRPr="00675182">
        <w:rPr>
          <w:rFonts w:cstheme="minorHAnsi"/>
          <w:bCs/>
          <w:szCs w:val="24"/>
        </w:rPr>
        <w:t>GNP teritorijas dažādo ekosistēmu mozaīka ir cieši saistīta ar teritorijai raksturīgo abiotisko faktoru kopumu, tajā skaitā nogulumu litoloģiju, reljefa formām un mūsdienu ģeomorfoloģisko procesu dinamiku. Tieši ģeomorfoloģisko struktūru un procesu kopums nosaka GNP sastopamo purvu veidu (dažādu tipu purvu, avoksnāju un avotu purvu) izvietojumu, konfigurāciju, lielumu un sastopamības biežumu. GNP zināmi vairāk nekā 90 purvi, kas pieder pie kāda no Latvijā raksturīgajiem purvu tipiem, kā arī gandrīz 390 avotu un avoksnāju biotopu poligoni.</w:t>
      </w:r>
      <w:r w:rsidR="007109C7">
        <w:rPr>
          <w:rFonts w:cstheme="minorHAnsi"/>
          <w:bCs/>
          <w:szCs w:val="24"/>
        </w:rPr>
        <w:t xml:space="preserve"> Pamatā visi ES nozīmes purvu biotopi, izņemot ES nozīmes biotopus 7110* un 7120, atbilst arī Latvijas IA biotopiem, tomēr kā Natura 2000 teritorijai GNP nozīmīgi ir visi ES nozīmes purvu biotopi.</w:t>
      </w:r>
    </w:p>
    <w:p w14:paraId="6AEF51D6" w14:textId="77777777" w:rsidR="00F229C9" w:rsidRPr="00675182" w:rsidRDefault="00F229C9" w:rsidP="00F229C9">
      <w:pPr>
        <w:jc w:val="both"/>
        <w:rPr>
          <w:rFonts w:cstheme="minorHAnsi"/>
          <w:bCs/>
          <w:szCs w:val="24"/>
          <w:highlight w:val="yellow"/>
        </w:rPr>
      </w:pPr>
    </w:p>
    <w:p w14:paraId="6E1C1D63" w14:textId="5B9F259A" w:rsidR="00F229C9" w:rsidRPr="00675182" w:rsidRDefault="00F229C9" w:rsidP="00F229C9">
      <w:pPr>
        <w:jc w:val="both"/>
        <w:rPr>
          <w:rFonts w:cstheme="minorHAnsi"/>
          <w:bCs/>
          <w:szCs w:val="24"/>
        </w:rPr>
      </w:pPr>
      <w:r w:rsidRPr="00675182">
        <w:rPr>
          <w:rFonts w:cstheme="minorHAnsi"/>
          <w:bCs/>
          <w:szCs w:val="24"/>
        </w:rPr>
        <w:t xml:space="preserve">Nacionālajā parkā sastopami visi trīs Latvijā sastopamiem purvu tipi – augstie jeb sūnu purvi, pārejas purvi, zemie jeb zāļu purvi. Visplašākajās platībās ir pārstāvēti augstā tipa purvi, kas lielākās platības aizņem Sudas – Zviedru purva kompleksā, kā arī konstatēti vairākos purvu kompleksos GNP ziemeļu daļā - Apiņu, Tavaiņa, Baukalnu, Bērzkalnu, Dreimaņu, Gulbju salas, Kurmju - Blaņķu, Struņķu, Tūtes, Marijas kalna un Brīnumu (Kreiļu) purvos. Pārejas purvu tipa biotopi GNP sastopamai kā lielo purvu kompleksu, piemēram, Sudas – Zviedru purva, daļas – </w:t>
      </w:r>
      <w:r w:rsidR="007109C7">
        <w:rPr>
          <w:rFonts w:cstheme="minorHAnsi"/>
          <w:bCs/>
          <w:szCs w:val="24"/>
        </w:rPr>
        <w:t xml:space="preserve">ES nozīmes </w:t>
      </w:r>
      <w:r w:rsidRPr="00675182">
        <w:rPr>
          <w:rFonts w:cstheme="minorHAnsi"/>
          <w:bCs/>
          <w:szCs w:val="24"/>
        </w:rPr>
        <w:t xml:space="preserve">biotopa veida 7140 1. variants, vai attīstās dabiski aizaugošu ezeru krastos – </w:t>
      </w:r>
      <w:r w:rsidR="007109C7" w:rsidRPr="007109C7">
        <w:rPr>
          <w:rFonts w:cstheme="minorHAnsi"/>
          <w:bCs/>
          <w:szCs w:val="24"/>
        </w:rPr>
        <w:t xml:space="preserve">ES nozīmes </w:t>
      </w:r>
      <w:r w:rsidRPr="00675182">
        <w:rPr>
          <w:rFonts w:cstheme="minorHAnsi"/>
          <w:bCs/>
          <w:szCs w:val="24"/>
        </w:rPr>
        <w:t>biotopa veida 7140 2. variants. Zemā tipa (zāļu) purvi GNP sastopami retāk, galvenokārt nelielās starppauguru ieplakās vai citos mazākos, lokālos reljefa pazeminājumos.</w:t>
      </w:r>
    </w:p>
    <w:p w14:paraId="0EA18D31" w14:textId="77777777" w:rsidR="00F229C9" w:rsidRPr="00675182" w:rsidRDefault="00F229C9" w:rsidP="00F229C9">
      <w:pPr>
        <w:jc w:val="both"/>
        <w:rPr>
          <w:rFonts w:cstheme="minorHAnsi"/>
          <w:bCs/>
          <w:szCs w:val="24"/>
          <w:highlight w:val="yellow"/>
        </w:rPr>
      </w:pPr>
    </w:p>
    <w:p w14:paraId="47A045D7" w14:textId="2B4B9AB6" w:rsidR="00F229C9" w:rsidRPr="00675182" w:rsidRDefault="00F229C9" w:rsidP="00F229C9">
      <w:pPr>
        <w:jc w:val="both"/>
        <w:rPr>
          <w:rFonts w:cstheme="minorHAnsi"/>
          <w:bCs/>
          <w:szCs w:val="24"/>
        </w:rPr>
      </w:pPr>
      <w:r w:rsidRPr="00675182">
        <w:rPr>
          <w:rFonts w:cstheme="minorHAnsi"/>
          <w:bCs/>
          <w:szCs w:val="24"/>
        </w:rPr>
        <w:t xml:space="preserve">GNP raksturīga iezīme ir avoti, avoksnāji un avotu purvi. Tie visbiežāk </w:t>
      </w:r>
      <w:r w:rsidR="00572802" w:rsidRPr="00675182">
        <w:rPr>
          <w:rFonts w:cstheme="minorHAnsi"/>
          <w:bCs/>
          <w:szCs w:val="24"/>
        </w:rPr>
        <w:t>ir</w:t>
      </w:r>
      <w:r w:rsidRPr="00675182">
        <w:rPr>
          <w:rFonts w:cstheme="minorHAnsi"/>
          <w:bCs/>
          <w:szCs w:val="24"/>
        </w:rPr>
        <w:t xml:space="preserve"> saistīti ar mežiem pauguru un upju ieleju nogāzēs. Avoti var izplūst kādā atsevišķā vietā vai arī veidot avotu izplūdes kompleksu – joslu vai apgabalu nogāzē, vai sazarotas sistēmas avoksnājus mežos paugurainā reljefā. Šādos avotu izplūdes apgabalos sastopamas pārejas un zāļu purviem līdzīgas augu sabiedrības, kuras papildina noteiktu avotu tipu specializēto sugu sabiedrības. Avoksnāji sastopami gan zāļu purvos, gan arī ap avotu iztekām mežā, reti pārejas purvos. Tie var aizņemt gan pavisam niecīgu teritoriju, pāris kvadrātmetru lielumā ap kāda avota izplūdes vietu, gan veidot purvainas platības, kur zāļu purva veģetācija mijās ar avoksnāju veģetāciju un tekoša ūdens straumēm. Avoksnājiem barības vielas piegādā izplūstošie pazemes ūdeņi, tādēļ to veģetācijas raksturu nosaka ūdens ķīmiskais sastāvs, straumes ātrums un temperatūra. Ja avoti izplūst no karbonātiskiem iežiem, tie iznes virspusē dažādus kalcija savienojumus, ar kuriem piesātinās augsne. Rodas labvēlīgi apstākļi kalcifilām sugām, un līdz ar to šādās vietās veidojas kaļķainie zāļu purvi.</w:t>
      </w:r>
    </w:p>
    <w:p w14:paraId="6DD961E9" w14:textId="77777777" w:rsidR="00F229C9" w:rsidRPr="00675182" w:rsidRDefault="00F229C9" w:rsidP="00B36C8F">
      <w:pPr>
        <w:jc w:val="both"/>
        <w:rPr>
          <w:rFonts w:cstheme="minorHAnsi"/>
          <w:bCs/>
          <w:szCs w:val="24"/>
        </w:rPr>
      </w:pPr>
    </w:p>
    <w:p w14:paraId="1A54D680" w14:textId="7B5FB771" w:rsidR="000D41E7" w:rsidRPr="00675182" w:rsidRDefault="000D41E7" w:rsidP="00B36C8F">
      <w:pPr>
        <w:jc w:val="both"/>
        <w:rPr>
          <w:rFonts w:cstheme="minorHAnsi"/>
          <w:bCs/>
          <w:szCs w:val="24"/>
        </w:rPr>
      </w:pPr>
      <w:r w:rsidRPr="00675182">
        <w:rPr>
          <w:rFonts w:cstheme="minorHAnsi"/>
          <w:bCs/>
          <w:szCs w:val="24"/>
        </w:rPr>
        <w:t>Saskaņā ar MVR</w:t>
      </w:r>
      <w:r w:rsidR="00F229C9" w:rsidRPr="00675182">
        <w:rPr>
          <w:rFonts w:cstheme="minorHAnsi"/>
          <w:bCs/>
          <w:szCs w:val="24"/>
        </w:rPr>
        <w:t xml:space="preserve"> </w:t>
      </w:r>
      <w:r w:rsidRPr="00675182">
        <w:rPr>
          <w:rFonts w:cstheme="minorHAnsi"/>
          <w:bCs/>
          <w:szCs w:val="24"/>
        </w:rPr>
        <w:t xml:space="preserve">datu bāzē pieejamo informāciju zāļu, pārejas un sūnu purvi </w:t>
      </w:r>
      <w:r w:rsidR="00CF5A40" w:rsidRPr="00675182">
        <w:rPr>
          <w:rFonts w:cstheme="minorHAnsi"/>
          <w:bCs/>
          <w:szCs w:val="24"/>
        </w:rPr>
        <w:t xml:space="preserve">GNP teritorijā </w:t>
      </w:r>
      <w:r w:rsidRPr="00675182">
        <w:rPr>
          <w:rFonts w:cstheme="minorHAnsi"/>
          <w:bCs/>
          <w:szCs w:val="24"/>
        </w:rPr>
        <w:t>aizņem 3246,8 ha. Dominējošais purvu veids, kas aizņem 3008,9 ha, ir sūnu, jeb augstie purvi. GNP teritorijas vēsturiskajā izpētē atzīmēti vairāk nekā 90 purvi, tie biežāk sastopami nacionālā parka ziemeļrietumu daļā, tomēr GNP lielākais purva komplekss – Sudas</w:t>
      </w:r>
      <w:r w:rsidR="00F229C9" w:rsidRPr="00675182">
        <w:rPr>
          <w:rFonts w:cstheme="minorHAnsi"/>
          <w:bCs/>
          <w:szCs w:val="24"/>
        </w:rPr>
        <w:t xml:space="preserve"> - </w:t>
      </w:r>
      <w:r w:rsidR="00B36C8F" w:rsidRPr="00675182">
        <w:rPr>
          <w:rFonts w:cstheme="minorHAnsi"/>
          <w:bCs/>
          <w:szCs w:val="24"/>
        </w:rPr>
        <w:t>Zviedru</w:t>
      </w:r>
      <w:r w:rsidRPr="00675182">
        <w:rPr>
          <w:rFonts w:cstheme="minorHAnsi"/>
          <w:bCs/>
          <w:szCs w:val="24"/>
        </w:rPr>
        <w:t xml:space="preserve"> purvs (tā platība ir aptuveni 2575 ha), atrodas nacionālā parka dienvidrietumu daļā. 2020. </w:t>
      </w:r>
      <w:r w:rsidR="00B36C8F" w:rsidRPr="00675182">
        <w:rPr>
          <w:rFonts w:cstheme="minorHAnsi"/>
          <w:bCs/>
          <w:szCs w:val="24"/>
        </w:rPr>
        <w:t xml:space="preserve">un 2021. </w:t>
      </w:r>
      <w:r w:rsidRPr="00675182">
        <w:rPr>
          <w:rFonts w:cstheme="minorHAnsi"/>
          <w:bCs/>
          <w:szCs w:val="24"/>
        </w:rPr>
        <w:t>gada sezonā veicamās biotopu apsekošanas uzdevums paredzēja apsekot potenciāli iespējamus purvu biotopus 3865,7 ha platībā.</w:t>
      </w:r>
    </w:p>
    <w:p w14:paraId="0DCF46A7" w14:textId="63D62213" w:rsidR="00B36C8F" w:rsidRPr="00675182" w:rsidRDefault="00B36C8F" w:rsidP="00B36C8F">
      <w:pPr>
        <w:jc w:val="both"/>
        <w:rPr>
          <w:rFonts w:cstheme="minorHAnsi"/>
          <w:bCs/>
          <w:szCs w:val="24"/>
          <w:highlight w:val="yellow"/>
        </w:rPr>
      </w:pPr>
    </w:p>
    <w:p w14:paraId="35861500" w14:textId="7DDFF956" w:rsidR="00B36C8F" w:rsidRPr="00675182" w:rsidRDefault="00B36C8F" w:rsidP="00B36C8F">
      <w:pPr>
        <w:jc w:val="both"/>
      </w:pPr>
      <w:r w:rsidRPr="00675182">
        <w:rPr>
          <w:rFonts w:cstheme="minorHAnsi"/>
          <w:bCs/>
          <w:szCs w:val="24"/>
        </w:rPr>
        <w:t>Purvu ekosistēmu izpēte GNP ir gandrīz tik pat sena kā pats GNP. Gaujas baseina purvu, tajā skaitā Sudas purva, pirmais floristiskais raksturojums dots 1973. gada izdotajā ceļvedī Baltijas botāniķu 12. konferencei-ekspedīcijai.</w:t>
      </w:r>
      <w:r w:rsidRPr="00675182">
        <w:t xml:space="preserve"> </w:t>
      </w:r>
    </w:p>
    <w:p w14:paraId="5F8012A7" w14:textId="77777777" w:rsidR="00B36C8F" w:rsidRPr="00675182" w:rsidRDefault="00B36C8F" w:rsidP="00B36C8F">
      <w:pPr>
        <w:jc w:val="both"/>
        <w:rPr>
          <w:highlight w:val="yellow"/>
        </w:rPr>
      </w:pPr>
    </w:p>
    <w:p w14:paraId="73E076F1" w14:textId="4B542625" w:rsidR="00B36C8F" w:rsidRPr="00675182" w:rsidRDefault="00B36C8F" w:rsidP="00B36C8F">
      <w:pPr>
        <w:jc w:val="both"/>
      </w:pPr>
      <w:r w:rsidRPr="00675182">
        <w:t xml:space="preserve">Salīdzinoši detalizēts deviņu lielāko GNP purvu pētījums veikts iepriekšējā GNP </w:t>
      </w:r>
      <w:r w:rsidR="000852AA">
        <w:t>DA</w:t>
      </w:r>
      <w:r w:rsidRPr="00675182">
        <w:t xml:space="preserve"> plāna sagatavošanas ietvaros (Pakalne, Čakare, 2000.). Izpētes ietvaros veikts literatūras apkopojums par pētījumiem, kas veikti par purvu veģetāciju GNP, novērtēts purvu stāvoklis, bioloģiskā vērtība un dabiskuma pakāpe, kā arī sagatavotas rekomendācijas purvu turpmākai apsekošanai un saglabāšanai.</w:t>
      </w:r>
    </w:p>
    <w:p w14:paraId="12F2A5A4" w14:textId="77777777" w:rsidR="00B36C8F" w:rsidRPr="00675182" w:rsidRDefault="00B36C8F" w:rsidP="00B36C8F">
      <w:pPr>
        <w:jc w:val="both"/>
        <w:rPr>
          <w:highlight w:val="yellow"/>
        </w:rPr>
      </w:pPr>
    </w:p>
    <w:p w14:paraId="053FE282" w14:textId="4985729B" w:rsidR="00B36C8F" w:rsidRPr="00675182" w:rsidRDefault="00B36C8F" w:rsidP="00B36C8F">
      <w:pPr>
        <w:jc w:val="both"/>
        <w:rPr>
          <w:rFonts w:cstheme="minorHAnsi"/>
          <w:bCs/>
          <w:szCs w:val="24"/>
        </w:rPr>
      </w:pPr>
      <w:r w:rsidRPr="00675182">
        <w:rPr>
          <w:rFonts w:cstheme="minorHAnsi"/>
          <w:bCs/>
          <w:szCs w:val="24"/>
        </w:rPr>
        <w:t xml:space="preserve">Avoksnāju un avotu purvu veģetācija pētīta 2000. un 2002. gadā. Latvijas un </w:t>
      </w:r>
      <w:r w:rsidR="00BB40A8">
        <w:rPr>
          <w:rFonts w:cstheme="minorHAnsi"/>
          <w:bCs/>
          <w:szCs w:val="24"/>
        </w:rPr>
        <w:t>ES</w:t>
      </w:r>
      <w:r w:rsidR="00BB40A8" w:rsidRPr="00675182">
        <w:rPr>
          <w:rFonts w:cstheme="minorHAnsi"/>
          <w:bCs/>
          <w:szCs w:val="24"/>
        </w:rPr>
        <w:t xml:space="preserve"> </w:t>
      </w:r>
      <w:r w:rsidRPr="00675182">
        <w:rPr>
          <w:rFonts w:cstheme="minorHAnsi"/>
          <w:bCs/>
          <w:szCs w:val="24"/>
        </w:rPr>
        <w:t>nozīmes avoksnāju un avotaino purvu biotopu izpēte turpināta 2003. un 2004. gadā.</w:t>
      </w:r>
    </w:p>
    <w:p w14:paraId="0B13FD71" w14:textId="77777777" w:rsidR="00B36C8F" w:rsidRPr="00675182" w:rsidRDefault="00B36C8F" w:rsidP="00B36C8F">
      <w:pPr>
        <w:jc w:val="both"/>
        <w:rPr>
          <w:rFonts w:cstheme="minorHAnsi"/>
          <w:bCs/>
          <w:szCs w:val="24"/>
          <w:highlight w:val="yellow"/>
        </w:rPr>
      </w:pPr>
    </w:p>
    <w:p w14:paraId="7EE13884" w14:textId="1F8A81BF" w:rsidR="00B36C8F" w:rsidRPr="00675182" w:rsidRDefault="00B36C8F" w:rsidP="00B36C8F">
      <w:pPr>
        <w:jc w:val="both"/>
        <w:rPr>
          <w:rFonts w:cstheme="minorHAnsi"/>
          <w:bCs/>
          <w:szCs w:val="24"/>
        </w:rPr>
      </w:pPr>
      <w:r w:rsidRPr="00675182">
        <w:rPr>
          <w:rFonts w:cstheme="minorHAnsi"/>
          <w:bCs/>
          <w:szCs w:val="24"/>
        </w:rPr>
        <w:t xml:space="preserve">LIFE projekta “Meža biotopu atjaunošana Gaujas nacionālajā parkā” LIFE10 NAT/LV/000159 FOR-REST ietvaros tika veikta izpēte un sagatavota Hidroloģiskā režīma atjaunošanas programma Gulbjusalas purvaino mežu kompleksa hidroloģiskā režīma atjaunošanai. 2014. gadā tika veikti meliorācijas sistēmu rekonstrukcijas darbi ierīkojot aizsprostus uz grāvjiem un aizberot atsevišķus grāvu posmus. Pasākumi paredzēja hidroloģiskā režīma uzlabošanu ne vien purvainajos mežos Gulbjusalas </w:t>
      </w:r>
      <w:r w:rsidR="00BB40A8">
        <w:rPr>
          <w:rFonts w:cstheme="minorHAnsi"/>
          <w:bCs/>
          <w:szCs w:val="24"/>
        </w:rPr>
        <w:t>DL</w:t>
      </w:r>
      <w:r w:rsidRPr="00675182">
        <w:rPr>
          <w:rFonts w:cstheme="minorHAnsi"/>
          <w:bCs/>
          <w:szCs w:val="24"/>
        </w:rPr>
        <w:t>, bet arī Gulbjusalas un Melnā ezera purvos.</w:t>
      </w:r>
    </w:p>
    <w:p w14:paraId="38BA6E4C" w14:textId="77777777" w:rsidR="00B36C8F" w:rsidRPr="00675182" w:rsidRDefault="00B36C8F" w:rsidP="00B36C8F">
      <w:pPr>
        <w:jc w:val="both"/>
        <w:rPr>
          <w:rFonts w:cstheme="minorHAnsi"/>
          <w:bCs/>
          <w:szCs w:val="24"/>
          <w:highlight w:val="yellow"/>
        </w:rPr>
      </w:pPr>
    </w:p>
    <w:p w14:paraId="28E60F97" w14:textId="2EA46D11" w:rsidR="00B36C8F" w:rsidRPr="00675182" w:rsidRDefault="00B36C8F" w:rsidP="00B36C8F">
      <w:pPr>
        <w:jc w:val="both"/>
        <w:rPr>
          <w:rFonts w:cstheme="minorHAnsi"/>
          <w:bCs/>
          <w:szCs w:val="24"/>
        </w:rPr>
      </w:pPr>
      <w:r w:rsidRPr="00675182">
        <w:rPr>
          <w:rFonts w:cstheme="minorHAnsi"/>
          <w:bCs/>
          <w:szCs w:val="24"/>
        </w:rPr>
        <w:t>GNP nozīmīgākā purvu kompleksa - Sudas – Zviedru purva, attīstības, veģetācijas, hidroloģijas, kā arī susināšanas un izmantošanas vēstures izpēte veikta LIFE projekta “Prioritāro mitrāju biotopu aizsardzība un apsaimniekošana Latvijā” LIFE13 NAT/LV/000578 ietvaros, sagatavojot purva kompleksa apsaimniekošanas plānu, kura ietvaros plānoti un vēlāk arī veikti purva hidroloģiskā režīma atjaunošanas pasākumi</w:t>
      </w:r>
      <w:r w:rsidR="00CA15BA" w:rsidRPr="00675182">
        <w:rPr>
          <w:rFonts w:cstheme="minorHAnsi"/>
          <w:bCs/>
          <w:szCs w:val="24"/>
        </w:rPr>
        <w:t>.</w:t>
      </w:r>
    </w:p>
    <w:p w14:paraId="43B5A1D9" w14:textId="0C6B6DC9" w:rsidR="000D41E7" w:rsidRPr="00675182" w:rsidRDefault="000D41E7" w:rsidP="00B36C8F">
      <w:pPr>
        <w:jc w:val="both"/>
        <w:rPr>
          <w:rFonts w:cstheme="minorHAnsi"/>
          <w:bCs/>
          <w:szCs w:val="24"/>
          <w:highlight w:val="yellow"/>
        </w:rPr>
      </w:pPr>
    </w:p>
    <w:p w14:paraId="2A0EE843" w14:textId="62418176" w:rsidR="000D41E7" w:rsidRPr="00675182" w:rsidRDefault="00F65CAF" w:rsidP="00B36C8F">
      <w:pPr>
        <w:jc w:val="both"/>
        <w:rPr>
          <w:rFonts w:cstheme="minorHAnsi"/>
          <w:bCs/>
          <w:szCs w:val="24"/>
        </w:rPr>
      </w:pPr>
      <w:r w:rsidRPr="00675182">
        <w:rPr>
          <w:rFonts w:cstheme="minorHAnsi"/>
          <w:bCs/>
          <w:szCs w:val="24"/>
        </w:rPr>
        <w:t xml:space="preserve">GNP teritorijā ES nozīmes purvu biotopi kopumā ir konstatēti </w:t>
      </w:r>
      <w:r w:rsidR="004E2659" w:rsidRPr="00675182">
        <w:rPr>
          <w:rFonts w:cstheme="minorHAnsi"/>
          <w:bCs/>
          <w:szCs w:val="24"/>
        </w:rPr>
        <w:t xml:space="preserve">~ </w:t>
      </w:r>
      <w:r w:rsidR="004A6993" w:rsidRPr="00675182">
        <w:rPr>
          <w:rFonts w:cstheme="minorHAnsi"/>
          <w:bCs/>
          <w:szCs w:val="24"/>
        </w:rPr>
        <w:t>3</w:t>
      </w:r>
      <w:r w:rsidR="00DA210A" w:rsidRPr="00675182">
        <w:rPr>
          <w:rFonts w:cstheme="minorHAnsi"/>
          <w:bCs/>
          <w:szCs w:val="24"/>
        </w:rPr>
        <w:t>700</w:t>
      </w:r>
      <w:r w:rsidR="004A6993" w:rsidRPr="00675182">
        <w:rPr>
          <w:rFonts w:cstheme="minorHAnsi"/>
          <w:bCs/>
          <w:szCs w:val="24"/>
        </w:rPr>
        <w:t xml:space="preserve"> </w:t>
      </w:r>
      <w:r w:rsidRPr="00675182">
        <w:rPr>
          <w:rFonts w:cstheme="minorHAnsi"/>
          <w:bCs/>
          <w:szCs w:val="24"/>
        </w:rPr>
        <w:t xml:space="preserve">ha platībā, kas veido 4 % no nacionālā parka platības. </w:t>
      </w:r>
      <w:r w:rsidR="000D41E7" w:rsidRPr="00675182">
        <w:rPr>
          <w:rFonts w:cstheme="minorHAnsi"/>
          <w:bCs/>
          <w:szCs w:val="24"/>
        </w:rPr>
        <w:t xml:space="preserve">GNP sastopami šādi ES </w:t>
      </w:r>
      <w:r w:rsidR="00BB40A8">
        <w:rPr>
          <w:rFonts w:cstheme="minorHAnsi"/>
          <w:bCs/>
          <w:szCs w:val="24"/>
        </w:rPr>
        <w:t xml:space="preserve">nozīmes </w:t>
      </w:r>
      <w:r w:rsidR="000D41E7" w:rsidRPr="00675182">
        <w:rPr>
          <w:rFonts w:cstheme="minorHAnsi"/>
          <w:bCs/>
          <w:szCs w:val="24"/>
        </w:rPr>
        <w:t>purvu biotopu veidi:</w:t>
      </w:r>
    </w:p>
    <w:p w14:paraId="0C340D7B" w14:textId="77777777" w:rsidR="00F65CAF" w:rsidRPr="00675182" w:rsidRDefault="00F65CAF" w:rsidP="00A84218">
      <w:pPr>
        <w:pStyle w:val="ListParagraph"/>
        <w:numPr>
          <w:ilvl w:val="0"/>
          <w:numId w:val="35"/>
        </w:numPr>
        <w:ind w:left="567" w:hanging="436"/>
        <w:jc w:val="both"/>
        <w:rPr>
          <w:rFonts w:cstheme="minorHAnsi"/>
          <w:bCs/>
          <w:i/>
          <w:iCs/>
          <w:szCs w:val="24"/>
        </w:rPr>
      </w:pPr>
      <w:bookmarkStart w:id="67" w:name="_Hlk83216132"/>
      <w:r w:rsidRPr="00675182">
        <w:rPr>
          <w:rFonts w:cstheme="minorHAnsi"/>
          <w:bCs/>
          <w:szCs w:val="24"/>
        </w:rPr>
        <w:t xml:space="preserve">7110* </w:t>
      </w:r>
      <w:r w:rsidRPr="00675182">
        <w:rPr>
          <w:rFonts w:cstheme="minorHAnsi"/>
          <w:bCs/>
          <w:i/>
          <w:iCs/>
          <w:szCs w:val="24"/>
        </w:rPr>
        <w:t>Aktīvi augstie purvi</w:t>
      </w:r>
      <w:bookmarkEnd w:id="67"/>
      <w:r w:rsidRPr="00675182">
        <w:rPr>
          <w:rFonts w:cstheme="minorHAnsi"/>
          <w:bCs/>
          <w:i/>
          <w:iCs/>
          <w:szCs w:val="24"/>
        </w:rPr>
        <w:t>;</w:t>
      </w:r>
    </w:p>
    <w:p w14:paraId="43F5D0E5" w14:textId="77777777" w:rsidR="00F65CAF" w:rsidRPr="00675182" w:rsidRDefault="00F65CAF" w:rsidP="00A84218">
      <w:pPr>
        <w:pStyle w:val="ListParagraph"/>
        <w:numPr>
          <w:ilvl w:val="0"/>
          <w:numId w:val="35"/>
        </w:numPr>
        <w:ind w:left="567" w:hanging="436"/>
        <w:jc w:val="both"/>
        <w:rPr>
          <w:rFonts w:cstheme="minorHAnsi"/>
          <w:bCs/>
          <w:szCs w:val="24"/>
        </w:rPr>
      </w:pPr>
      <w:r w:rsidRPr="00675182">
        <w:rPr>
          <w:rFonts w:cstheme="minorHAnsi"/>
          <w:bCs/>
          <w:szCs w:val="24"/>
        </w:rPr>
        <w:t xml:space="preserve">7120 </w:t>
      </w:r>
      <w:r w:rsidRPr="00675182">
        <w:rPr>
          <w:rFonts w:cstheme="minorHAnsi"/>
          <w:bCs/>
          <w:i/>
          <w:iCs/>
          <w:szCs w:val="24"/>
        </w:rPr>
        <w:t>Degradēti augstie purvi, kuros iespējama vai noris dabiska atjaunošanās:</w:t>
      </w:r>
    </w:p>
    <w:p w14:paraId="485BB749" w14:textId="77777777" w:rsidR="00F65CAF" w:rsidRPr="00675182" w:rsidRDefault="00F65CAF" w:rsidP="00225C07">
      <w:pPr>
        <w:pStyle w:val="ListParagraph"/>
        <w:ind w:left="567"/>
        <w:jc w:val="both"/>
        <w:rPr>
          <w:rFonts w:cstheme="minorHAnsi"/>
          <w:bCs/>
          <w:szCs w:val="24"/>
        </w:rPr>
      </w:pPr>
      <w:r w:rsidRPr="00675182">
        <w:rPr>
          <w:rFonts w:cstheme="minorHAnsi"/>
          <w:bCs/>
          <w:szCs w:val="24"/>
        </w:rPr>
        <w:t>- 7120_1 nosusināšanas stipri ietekmēti augstie purvi vai to daļas;</w:t>
      </w:r>
    </w:p>
    <w:p w14:paraId="01933A0C" w14:textId="77777777" w:rsidR="00F65CAF" w:rsidRPr="00675182" w:rsidRDefault="00F65CAF" w:rsidP="00225C07">
      <w:pPr>
        <w:pStyle w:val="ListParagraph"/>
        <w:ind w:left="567"/>
        <w:jc w:val="both"/>
        <w:rPr>
          <w:rFonts w:cstheme="minorHAnsi"/>
          <w:bCs/>
          <w:szCs w:val="24"/>
        </w:rPr>
      </w:pPr>
      <w:r w:rsidRPr="00675182">
        <w:rPr>
          <w:rFonts w:cstheme="minorHAnsi"/>
          <w:bCs/>
          <w:szCs w:val="24"/>
        </w:rPr>
        <w:t>- 7120_2 agrākās kudras ieguves vietas, kur kūdra iegūta ar griešanas vai ekskavācijas paņēmienu;</w:t>
      </w:r>
    </w:p>
    <w:p w14:paraId="08269FA0" w14:textId="77777777" w:rsidR="00F65CAF" w:rsidRPr="00675182" w:rsidRDefault="00F65CAF" w:rsidP="00225C07">
      <w:pPr>
        <w:pStyle w:val="ListParagraph"/>
        <w:ind w:left="567"/>
        <w:jc w:val="both"/>
        <w:rPr>
          <w:rFonts w:cstheme="minorHAnsi"/>
          <w:bCs/>
          <w:szCs w:val="24"/>
        </w:rPr>
      </w:pPr>
      <w:r w:rsidRPr="00675182">
        <w:rPr>
          <w:rFonts w:cstheme="minorHAnsi"/>
          <w:bCs/>
          <w:szCs w:val="24"/>
        </w:rPr>
        <w:t>- 7120_3 izstrādāti frēzlauki, ja tajos nefunkcionē meliorācijas sistēma un ir paaugstināts ūdens līmenis, sasniedot kūdras virsu;</w:t>
      </w:r>
    </w:p>
    <w:p w14:paraId="4CC6789E" w14:textId="06106C14" w:rsidR="00F65CAF" w:rsidRPr="00675182" w:rsidRDefault="00F65CAF" w:rsidP="00A84218">
      <w:pPr>
        <w:pStyle w:val="ListParagraph"/>
        <w:numPr>
          <w:ilvl w:val="0"/>
          <w:numId w:val="35"/>
        </w:numPr>
        <w:ind w:left="567" w:hanging="436"/>
        <w:jc w:val="both"/>
        <w:rPr>
          <w:rFonts w:cstheme="minorHAnsi"/>
          <w:bCs/>
          <w:szCs w:val="24"/>
        </w:rPr>
      </w:pPr>
      <w:r w:rsidRPr="00675182">
        <w:rPr>
          <w:rFonts w:cstheme="minorHAnsi"/>
          <w:bCs/>
          <w:szCs w:val="24"/>
        </w:rPr>
        <w:t xml:space="preserve">7140 </w:t>
      </w:r>
      <w:r w:rsidRPr="00675182">
        <w:rPr>
          <w:rFonts w:cstheme="minorHAnsi"/>
          <w:bCs/>
          <w:i/>
          <w:iCs/>
          <w:szCs w:val="24"/>
        </w:rPr>
        <w:t>Parejas purvi un slīkšņas:</w:t>
      </w:r>
    </w:p>
    <w:p w14:paraId="750E3347" w14:textId="77777777" w:rsidR="00F65CAF" w:rsidRPr="00675182" w:rsidRDefault="00F65CAF" w:rsidP="00225C07">
      <w:pPr>
        <w:pStyle w:val="ListParagraph"/>
        <w:ind w:left="567"/>
        <w:jc w:val="both"/>
        <w:rPr>
          <w:rFonts w:cstheme="minorHAnsi"/>
          <w:bCs/>
          <w:szCs w:val="24"/>
        </w:rPr>
      </w:pPr>
      <w:r w:rsidRPr="00675182">
        <w:rPr>
          <w:rFonts w:cstheme="minorHAnsi"/>
          <w:bCs/>
          <w:szCs w:val="24"/>
        </w:rPr>
        <w:t>- 7140_1 pārejas purvi augsto purvu malās, pie purvu minerālgrunts salām vai reljefa pazeminājumos - sugām nabadzīgi līdz vidēji bagāti pārejas purvi ar izteiktu sūnu stāvu, kurā dominē sfagni;</w:t>
      </w:r>
    </w:p>
    <w:p w14:paraId="3CD22646" w14:textId="77777777" w:rsidR="00F65CAF" w:rsidRPr="00675182" w:rsidRDefault="00F65CAF" w:rsidP="00225C07">
      <w:pPr>
        <w:pStyle w:val="ListParagraph"/>
        <w:ind w:left="567"/>
        <w:jc w:val="both"/>
        <w:rPr>
          <w:rFonts w:cstheme="minorHAnsi"/>
          <w:bCs/>
          <w:szCs w:val="24"/>
        </w:rPr>
      </w:pPr>
      <w:r w:rsidRPr="00675182">
        <w:rPr>
          <w:rFonts w:cstheme="minorHAnsi"/>
          <w:bCs/>
          <w:szCs w:val="24"/>
        </w:rPr>
        <w:t>- 7140_2 limnogēnie purvi, tai skaitā slīkšņas – tos veido gan zāļu purvu, gan pārejas purvu veģetācija, kas izveidojusies, aizaugot un pāraugot ezeriem;</w:t>
      </w:r>
    </w:p>
    <w:p w14:paraId="65133274" w14:textId="77777777" w:rsidR="00F65CAF" w:rsidRPr="00675182" w:rsidRDefault="00F65CAF" w:rsidP="00A84218">
      <w:pPr>
        <w:pStyle w:val="ListParagraph"/>
        <w:numPr>
          <w:ilvl w:val="0"/>
          <w:numId w:val="35"/>
        </w:numPr>
        <w:ind w:left="567" w:hanging="436"/>
        <w:jc w:val="both"/>
        <w:rPr>
          <w:rFonts w:cstheme="minorHAnsi"/>
          <w:bCs/>
          <w:szCs w:val="24"/>
        </w:rPr>
      </w:pPr>
      <w:r w:rsidRPr="00675182">
        <w:rPr>
          <w:rFonts w:cstheme="minorHAnsi"/>
          <w:bCs/>
          <w:szCs w:val="24"/>
        </w:rPr>
        <w:t xml:space="preserve">7150 </w:t>
      </w:r>
      <w:r w:rsidRPr="00675182">
        <w:rPr>
          <w:rFonts w:cstheme="minorHAnsi"/>
          <w:bCs/>
          <w:i/>
          <w:iCs/>
          <w:szCs w:val="24"/>
        </w:rPr>
        <w:t>Rhinchosporion albae sabiedrības uz mitras kūdras vai smiltīm;</w:t>
      </w:r>
    </w:p>
    <w:p w14:paraId="2C8382FA" w14:textId="77777777" w:rsidR="00F65CAF" w:rsidRPr="00675182" w:rsidRDefault="00F65CAF" w:rsidP="00A84218">
      <w:pPr>
        <w:pStyle w:val="ListParagraph"/>
        <w:numPr>
          <w:ilvl w:val="0"/>
          <w:numId w:val="35"/>
        </w:numPr>
        <w:ind w:left="567" w:hanging="436"/>
        <w:jc w:val="both"/>
        <w:rPr>
          <w:rFonts w:cstheme="minorHAnsi"/>
          <w:bCs/>
          <w:szCs w:val="24"/>
        </w:rPr>
      </w:pPr>
      <w:bookmarkStart w:id="68" w:name="_Hlk83217100"/>
      <w:r w:rsidRPr="00675182">
        <w:rPr>
          <w:rFonts w:cstheme="minorHAnsi"/>
          <w:bCs/>
          <w:szCs w:val="24"/>
        </w:rPr>
        <w:t xml:space="preserve">7160 </w:t>
      </w:r>
      <w:r w:rsidRPr="00675182">
        <w:rPr>
          <w:rFonts w:cstheme="minorHAnsi"/>
          <w:bCs/>
          <w:i/>
          <w:iCs/>
          <w:szCs w:val="24"/>
        </w:rPr>
        <w:t>Minerālvielām bagāti avoti un avotu purvi</w:t>
      </w:r>
      <w:bookmarkEnd w:id="68"/>
      <w:r w:rsidRPr="00675182">
        <w:rPr>
          <w:rFonts w:cstheme="minorHAnsi"/>
          <w:bCs/>
          <w:i/>
          <w:iCs/>
          <w:szCs w:val="24"/>
        </w:rPr>
        <w:t>:</w:t>
      </w:r>
    </w:p>
    <w:p w14:paraId="4C448DCE" w14:textId="77777777" w:rsidR="00F65CAF" w:rsidRPr="00675182" w:rsidRDefault="00F65CAF" w:rsidP="00225C07">
      <w:pPr>
        <w:pStyle w:val="ListParagraph"/>
        <w:ind w:left="567"/>
        <w:jc w:val="both"/>
        <w:rPr>
          <w:rFonts w:cstheme="minorHAnsi"/>
          <w:bCs/>
          <w:szCs w:val="24"/>
        </w:rPr>
      </w:pPr>
      <w:r w:rsidRPr="00675182">
        <w:rPr>
          <w:rFonts w:cstheme="minorHAnsi"/>
          <w:bCs/>
          <w:i/>
          <w:iCs/>
          <w:szCs w:val="24"/>
        </w:rPr>
        <w:lastRenderedPageBreak/>
        <w:t xml:space="preserve">- </w:t>
      </w:r>
      <w:r w:rsidRPr="00675182">
        <w:rPr>
          <w:rFonts w:cstheme="minorHAnsi"/>
          <w:bCs/>
          <w:szCs w:val="24"/>
        </w:rPr>
        <w:t>7160_1 avoksnāji;</w:t>
      </w:r>
    </w:p>
    <w:p w14:paraId="7D0101A2" w14:textId="77777777" w:rsidR="00F65CAF" w:rsidRPr="00675182" w:rsidRDefault="00F65CAF" w:rsidP="00225C07">
      <w:pPr>
        <w:pStyle w:val="ListParagraph"/>
        <w:ind w:left="567"/>
        <w:jc w:val="both"/>
        <w:rPr>
          <w:rFonts w:cstheme="minorHAnsi"/>
          <w:bCs/>
          <w:szCs w:val="24"/>
        </w:rPr>
      </w:pPr>
      <w:r w:rsidRPr="00675182">
        <w:rPr>
          <w:rFonts w:cstheme="minorHAnsi"/>
          <w:bCs/>
          <w:szCs w:val="24"/>
        </w:rPr>
        <w:t>- 7160_2 avoti;</w:t>
      </w:r>
    </w:p>
    <w:p w14:paraId="2AA88FFA" w14:textId="77777777" w:rsidR="00F65CAF" w:rsidRPr="00675182" w:rsidRDefault="00F65CAF" w:rsidP="00225C07">
      <w:pPr>
        <w:pStyle w:val="ListParagraph"/>
        <w:ind w:left="567"/>
        <w:jc w:val="both"/>
        <w:rPr>
          <w:rFonts w:cstheme="minorHAnsi"/>
          <w:bCs/>
          <w:szCs w:val="24"/>
        </w:rPr>
      </w:pPr>
      <w:r w:rsidRPr="00675182">
        <w:rPr>
          <w:rFonts w:cstheme="minorHAnsi"/>
          <w:bCs/>
          <w:szCs w:val="24"/>
        </w:rPr>
        <w:t>- 7160_3 avotu purvi;</w:t>
      </w:r>
    </w:p>
    <w:p w14:paraId="1FA8217F" w14:textId="77777777" w:rsidR="00F65CAF" w:rsidRPr="00675182" w:rsidRDefault="00F65CAF" w:rsidP="00A84218">
      <w:pPr>
        <w:pStyle w:val="ListParagraph"/>
        <w:numPr>
          <w:ilvl w:val="0"/>
          <w:numId w:val="35"/>
        </w:numPr>
        <w:ind w:left="567" w:hanging="436"/>
        <w:jc w:val="both"/>
        <w:rPr>
          <w:rFonts w:cstheme="minorHAnsi"/>
          <w:bCs/>
          <w:szCs w:val="24"/>
        </w:rPr>
      </w:pPr>
      <w:r w:rsidRPr="00675182">
        <w:rPr>
          <w:rFonts w:cstheme="minorHAnsi"/>
          <w:bCs/>
          <w:szCs w:val="24"/>
        </w:rPr>
        <w:t xml:space="preserve">7220* </w:t>
      </w:r>
      <w:r w:rsidRPr="00675182">
        <w:rPr>
          <w:rFonts w:cstheme="minorHAnsi"/>
          <w:bCs/>
          <w:i/>
          <w:iCs/>
          <w:szCs w:val="24"/>
        </w:rPr>
        <w:t>Avoti, kas veido avotkaļķus;</w:t>
      </w:r>
    </w:p>
    <w:p w14:paraId="1019B70B" w14:textId="77777777" w:rsidR="00F65CAF" w:rsidRPr="00675182" w:rsidRDefault="00F65CAF" w:rsidP="00A84218">
      <w:pPr>
        <w:pStyle w:val="ListParagraph"/>
        <w:numPr>
          <w:ilvl w:val="0"/>
          <w:numId w:val="35"/>
        </w:numPr>
        <w:ind w:left="567" w:hanging="436"/>
        <w:jc w:val="both"/>
        <w:rPr>
          <w:rFonts w:cstheme="minorHAnsi"/>
          <w:bCs/>
          <w:i/>
          <w:iCs/>
          <w:szCs w:val="24"/>
        </w:rPr>
      </w:pPr>
      <w:r w:rsidRPr="00675182">
        <w:rPr>
          <w:rFonts w:cstheme="minorHAnsi"/>
          <w:bCs/>
          <w:szCs w:val="24"/>
        </w:rPr>
        <w:t xml:space="preserve">7230 </w:t>
      </w:r>
      <w:r w:rsidRPr="00675182">
        <w:rPr>
          <w:rFonts w:cstheme="minorHAnsi"/>
          <w:bCs/>
          <w:i/>
          <w:iCs/>
          <w:szCs w:val="24"/>
        </w:rPr>
        <w:t>Kaļķaini zāļu purvi:</w:t>
      </w:r>
    </w:p>
    <w:p w14:paraId="458FD36C" w14:textId="2FDE742C" w:rsidR="00F65CAF" w:rsidRPr="00675182" w:rsidRDefault="00F65CAF" w:rsidP="00225C07">
      <w:pPr>
        <w:pStyle w:val="ListParagraph"/>
        <w:ind w:left="567"/>
        <w:jc w:val="both"/>
        <w:rPr>
          <w:rFonts w:cstheme="minorHAnsi"/>
          <w:bCs/>
          <w:szCs w:val="24"/>
        </w:rPr>
      </w:pPr>
      <w:r w:rsidRPr="00675182">
        <w:rPr>
          <w:rFonts w:cstheme="minorHAnsi"/>
          <w:bCs/>
          <w:szCs w:val="24"/>
        </w:rPr>
        <w:t xml:space="preserve">- 7230_1 kaļķaini </w:t>
      </w:r>
      <w:r w:rsidR="005F36B9" w:rsidRPr="00675182">
        <w:rPr>
          <w:rFonts w:cstheme="minorHAnsi"/>
          <w:bCs/>
          <w:szCs w:val="24"/>
        </w:rPr>
        <w:t>zāļu</w:t>
      </w:r>
      <w:r w:rsidRPr="00675182">
        <w:rPr>
          <w:rFonts w:cstheme="minorHAnsi"/>
          <w:bCs/>
          <w:szCs w:val="24"/>
        </w:rPr>
        <w:t xml:space="preserve"> purvi ar avotiem.</w:t>
      </w:r>
    </w:p>
    <w:p w14:paraId="16865B65" w14:textId="041B7E1D" w:rsidR="00FA4A9C" w:rsidRPr="00675182" w:rsidRDefault="00FA4A9C" w:rsidP="00FA4A9C">
      <w:pPr>
        <w:jc w:val="both"/>
        <w:rPr>
          <w:rFonts w:cstheme="minorHAnsi"/>
          <w:b/>
          <w:szCs w:val="24"/>
        </w:rPr>
      </w:pPr>
    </w:p>
    <w:p w14:paraId="6B539A8A" w14:textId="0A38335C" w:rsidR="005F36B9" w:rsidRPr="00675182" w:rsidRDefault="00D226C8" w:rsidP="005F36B9">
      <w:pPr>
        <w:jc w:val="both"/>
        <w:rPr>
          <w:rFonts w:cstheme="minorHAnsi"/>
          <w:b/>
          <w:szCs w:val="24"/>
        </w:rPr>
      </w:pPr>
      <w:bookmarkStart w:id="69" w:name="_Hlk83226493"/>
      <w:r w:rsidRPr="00675182">
        <w:rPr>
          <w:rFonts w:cstheme="minorHAnsi"/>
          <w:b/>
          <w:i/>
          <w:iCs/>
        </w:rPr>
        <w:t>2.3.</w:t>
      </w:r>
      <w:r w:rsidR="00145094">
        <w:rPr>
          <w:rFonts w:cstheme="minorHAnsi"/>
          <w:b/>
          <w:i/>
          <w:iCs/>
        </w:rPr>
        <w:t>6</w:t>
      </w:r>
      <w:r w:rsidR="005F36B9" w:rsidRPr="00675182">
        <w:rPr>
          <w:rFonts w:cstheme="minorHAnsi"/>
          <w:b/>
          <w:i/>
          <w:iCs/>
        </w:rPr>
        <w:t>. tabula. GNP purvu biotopu veidu platība, biotopu kvalitāte</w:t>
      </w:r>
    </w:p>
    <w:tbl>
      <w:tblPr>
        <w:tblW w:w="7924" w:type="dxa"/>
        <w:tblInd w:w="93" w:type="dxa"/>
        <w:tblLook w:val="04A0" w:firstRow="1" w:lastRow="0" w:firstColumn="1" w:lastColumn="0" w:noHBand="0" w:noVBand="1"/>
      </w:tblPr>
      <w:tblGrid>
        <w:gridCol w:w="3233"/>
        <w:gridCol w:w="3190"/>
        <w:gridCol w:w="1501"/>
      </w:tblGrid>
      <w:tr w:rsidR="005F36B9" w:rsidRPr="00675182" w14:paraId="34DEE908" w14:textId="77777777" w:rsidTr="005F36B9">
        <w:trPr>
          <w:trHeight w:val="300"/>
          <w:tblHeader/>
        </w:trPr>
        <w:tc>
          <w:tcPr>
            <w:tcW w:w="3233" w:type="dxa"/>
            <w:tcBorders>
              <w:top w:val="single" w:sz="4" w:space="0" w:color="auto"/>
              <w:left w:val="single" w:sz="4" w:space="0" w:color="auto"/>
              <w:bottom w:val="single" w:sz="8" w:space="0" w:color="auto"/>
              <w:right w:val="single" w:sz="4" w:space="0" w:color="auto"/>
            </w:tcBorders>
            <w:shd w:val="clear" w:color="auto" w:fill="D8E4BC"/>
            <w:noWrap/>
            <w:vAlign w:val="center"/>
            <w:hideMark/>
          </w:tcPr>
          <w:p w14:paraId="015C88E3" w14:textId="77777777" w:rsidR="005F36B9" w:rsidRPr="00675182" w:rsidRDefault="005F36B9">
            <w:pPr>
              <w:keepNext/>
              <w:keepLines/>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Biotopa kods_ variants</w:t>
            </w:r>
          </w:p>
        </w:tc>
        <w:tc>
          <w:tcPr>
            <w:tcW w:w="3190" w:type="dxa"/>
            <w:tcBorders>
              <w:top w:val="single" w:sz="4" w:space="0" w:color="auto"/>
              <w:left w:val="nil"/>
              <w:bottom w:val="single" w:sz="4" w:space="0" w:color="auto"/>
              <w:right w:val="single" w:sz="4" w:space="0" w:color="auto"/>
            </w:tcBorders>
            <w:shd w:val="clear" w:color="auto" w:fill="D8E4BC"/>
            <w:vAlign w:val="center"/>
            <w:hideMark/>
          </w:tcPr>
          <w:p w14:paraId="55FC1D8B" w14:textId="77777777" w:rsidR="005F36B9" w:rsidRPr="00675182" w:rsidRDefault="005F36B9">
            <w:pPr>
              <w:keepNext/>
              <w:keepLines/>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Biotopa kvalitāte</w:t>
            </w:r>
          </w:p>
          <w:p w14:paraId="4406365D" w14:textId="77777777" w:rsidR="005F36B9" w:rsidRPr="00675182" w:rsidRDefault="005F36B9">
            <w:pPr>
              <w:keepNext/>
              <w:keepLines/>
              <w:suppressAutoHyphens w:val="0"/>
              <w:jc w:val="center"/>
              <w:rPr>
                <w:rFonts w:eastAsia="Times New Roman" w:cstheme="minorHAnsi"/>
                <w:b/>
                <w:bCs/>
                <w:color w:val="000000"/>
                <w:szCs w:val="24"/>
                <w:lang w:eastAsia="en-GB"/>
              </w:rPr>
            </w:pPr>
            <w:r w:rsidRPr="00675182">
              <w:rPr>
                <w:rFonts w:eastAsia="Times New Roman" w:cstheme="minorHAnsi"/>
                <w:b/>
                <w:bCs/>
                <w:color w:val="000000"/>
                <w:szCs w:val="24"/>
                <w:lang w:eastAsia="en-GB"/>
              </w:rPr>
              <w:t>Izcila/laba/vidēja/zema (%)</w:t>
            </w:r>
          </w:p>
        </w:tc>
        <w:tc>
          <w:tcPr>
            <w:tcW w:w="1501" w:type="dxa"/>
            <w:tcBorders>
              <w:top w:val="single" w:sz="4" w:space="0" w:color="auto"/>
              <w:left w:val="nil"/>
              <w:bottom w:val="single" w:sz="4" w:space="0" w:color="auto"/>
              <w:right w:val="single" w:sz="4" w:space="0" w:color="auto"/>
            </w:tcBorders>
            <w:shd w:val="clear" w:color="auto" w:fill="D8E4BC"/>
            <w:vAlign w:val="center"/>
            <w:hideMark/>
          </w:tcPr>
          <w:p w14:paraId="3D605D0F" w14:textId="77777777" w:rsidR="005F36B9" w:rsidRPr="00675182" w:rsidRDefault="005F36B9">
            <w:pPr>
              <w:keepNext/>
              <w:keepLines/>
              <w:suppressAutoHyphens w:val="0"/>
              <w:jc w:val="center"/>
              <w:rPr>
                <w:rFonts w:eastAsia="Times New Roman" w:cstheme="minorHAnsi"/>
                <w:b/>
                <w:bCs/>
                <w:color w:val="000000"/>
                <w:szCs w:val="24"/>
                <w:vertAlign w:val="superscript"/>
                <w:lang w:eastAsia="en-GB"/>
              </w:rPr>
            </w:pPr>
            <w:r w:rsidRPr="00675182">
              <w:rPr>
                <w:rFonts w:eastAsia="Times New Roman" w:cstheme="minorHAnsi"/>
                <w:b/>
                <w:bCs/>
                <w:color w:val="000000"/>
                <w:szCs w:val="24"/>
                <w:lang w:eastAsia="en-GB"/>
              </w:rPr>
              <w:t>Platība</w:t>
            </w:r>
          </w:p>
        </w:tc>
      </w:tr>
      <w:tr w:rsidR="0082362E" w:rsidRPr="00675182" w14:paraId="51EA8C9B"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tcPr>
          <w:p w14:paraId="60F28994" w14:textId="4BCE2ED1" w:rsidR="0082362E" w:rsidRPr="00675182" w:rsidRDefault="0082362E" w:rsidP="0082362E">
            <w:pPr>
              <w:jc w:val="center"/>
              <w:rPr>
                <w:rStyle w:val="FootnoteReference"/>
                <w:rFonts w:cstheme="minorHAnsi"/>
                <w:color w:val="000000"/>
                <w:szCs w:val="24"/>
              </w:rPr>
            </w:pPr>
            <w:r w:rsidRPr="00675182">
              <w:rPr>
                <w:rFonts w:cstheme="minorHAnsi"/>
                <w:color w:val="000000"/>
                <w:szCs w:val="24"/>
              </w:rPr>
              <w:t>7110*</w:t>
            </w:r>
          </w:p>
        </w:tc>
        <w:tc>
          <w:tcPr>
            <w:tcW w:w="3190" w:type="dxa"/>
            <w:tcBorders>
              <w:top w:val="single" w:sz="8" w:space="0" w:color="auto"/>
              <w:left w:val="nil"/>
              <w:bottom w:val="single" w:sz="8" w:space="0" w:color="auto"/>
              <w:right w:val="single" w:sz="4" w:space="0" w:color="auto"/>
            </w:tcBorders>
            <w:shd w:val="clear" w:color="auto" w:fill="auto"/>
            <w:vAlign w:val="center"/>
          </w:tcPr>
          <w:p w14:paraId="5394D2BF" w14:textId="3FE6D57A" w:rsidR="0082362E" w:rsidRPr="00675182" w:rsidRDefault="0082362E" w:rsidP="0082362E">
            <w:pPr>
              <w:jc w:val="center"/>
              <w:rPr>
                <w:rFonts w:cstheme="minorHAnsi"/>
                <w:color w:val="000000"/>
                <w:szCs w:val="24"/>
              </w:rPr>
            </w:pPr>
            <w:r w:rsidRPr="00675182">
              <w:rPr>
                <w:rFonts w:cstheme="minorHAnsi"/>
                <w:color w:val="000000"/>
                <w:szCs w:val="24"/>
              </w:rPr>
              <w:t xml:space="preserve">73/12/6/9 </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0F65DD61" w14:textId="15988316" w:rsidR="0082362E" w:rsidRPr="00675182" w:rsidRDefault="0082362E" w:rsidP="0082362E">
            <w:pPr>
              <w:jc w:val="center"/>
              <w:rPr>
                <w:rFonts w:cstheme="minorHAnsi"/>
              </w:rPr>
            </w:pPr>
            <w:r w:rsidRPr="00675182">
              <w:rPr>
                <w:rFonts w:cstheme="minorHAnsi"/>
              </w:rPr>
              <w:t>2788,9</w:t>
            </w:r>
          </w:p>
        </w:tc>
      </w:tr>
      <w:tr w:rsidR="0082362E" w:rsidRPr="00675182" w14:paraId="7CC9FD81"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A2710D6" w14:textId="6F937595" w:rsidR="0082362E" w:rsidRPr="00675182" w:rsidRDefault="0082362E" w:rsidP="0082362E">
            <w:pPr>
              <w:jc w:val="center"/>
              <w:rPr>
                <w:rFonts w:cstheme="minorHAnsi"/>
                <w:color w:val="000000"/>
                <w:szCs w:val="24"/>
                <w:vertAlign w:val="superscript"/>
              </w:rPr>
            </w:pPr>
            <w:r w:rsidRPr="00675182">
              <w:rPr>
                <w:rFonts w:cstheme="minorHAnsi"/>
                <w:color w:val="000000"/>
                <w:szCs w:val="24"/>
              </w:rPr>
              <w:t>7110*</w:t>
            </w:r>
            <w:r w:rsidR="007109C7">
              <w:rPr>
                <w:rFonts w:cstheme="minorHAnsi"/>
                <w:color w:val="000000"/>
                <w:szCs w:val="24"/>
              </w:rPr>
              <w:t>*</w:t>
            </w:r>
            <w:r w:rsidRPr="00675182">
              <w:rPr>
                <w:rFonts w:cstheme="minorHAnsi"/>
                <w:color w:val="000000"/>
                <w:szCs w:val="24"/>
              </w:rPr>
              <w:t xml:space="preserve"> </w:t>
            </w:r>
          </w:p>
        </w:tc>
        <w:tc>
          <w:tcPr>
            <w:tcW w:w="3190" w:type="dxa"/>
            <w:tcBorders>
              <w:top w:val="single" w:sz="8" w:space="0" w:color="auto"/>
              <w:left w:val="nil"/>
              <w:bottom w:val="single" w:sz="8" w:space="0" w:color="auto"/>
              <w:right w:val="single" w:sz="4" w:space="0" w:color="auto"/>
            </w:tcBorders>
            <w:shd w:val="clear" w:color="auto" w:fill="auto"/>
            <w:vAlign w:val="center"/>
            <w:hideMark/>
          </w:tcPr>
          <w:p w14:paraId="17BDA328" w14:textId="699C0ACD" w:rsidR="0082362E" w:rsidRPr="00675182" w:rsidRDefault="0082362E" w:rsidP="0082362E">
            <w:pPr>
              <w:jc w:val="center"/>
              <w:rPr>
                <w:rFonts w:cstheme="minorHAnsi"/>
                <w:color w:val="000000"/>
                <w:szCs w:val="24"/>
              </w:rPr>
            </w:pPr>
            <w:r w:rsidRPr="00675182">
              <w:rPr>
                <w:rFonts w:cstheme="minorHAnsi"/>
                <w:color w:val="000000"/>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8FEF6" w14:textId="078726D7" w:rsidR="0082362E" w:rsidRPr="00675182" w:rsidRDefault="0082362E" w:rsidP="0082362E">
            <w:pPr>
              <w:jc w:val="center"/>
              <w:rPr>
                <w:rFonts w:cstheme="minorHAnsi"/>
              </w:rPr>
            </w:pPr>
            <w:r w:rsidRPr="00675182">
              <w:rPr>
                <w:rFonts w:cstheme="minorHAnsi"/>
              </w:rPr>
              <w:t>125,1</w:t>
            </w:r>
          </w:p>
        </w:tc>
      </w:tr>
      <w:tr w:rsidR="0082362E" w:rsidRPr="00675182" w14:paraId="764F6B18"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6C0F2B68" w14:textId="301C93D2" w:rsidR="0082362E" w:rsidRPr="00675182" w:rsidRDefault="0082362E" w:rsidP="0082362E">
            <w:pPr>
              <w:jc w:val="center"/>
              <w:rPr>
                <w:rFonts w:cstheme="minorHAnsi"/>
                <w:color w:val="000000"/>
                <w:szCs w:val="24"/>
              </w:rPr>
            </w:pPr>
            <w:r w:rsidRPr="00675182">
              <w:rPr>
                <w:rFonts w:cstheme="minorHAnsi"/>
                <w:color w:val="000000"/>
                <w:szCs w:val="24"/>
              </w:rPr>
              <w:t>7120_X</w:t>
            </w:r>
          </w:p>
        </w:tc>
        <w:tc>
          <w:tcPr>
            <w:tcW w:w="3190" w:type="dxa"/>
            <w:tcBorders>
              <w:top w:val="single" w:sz="8" w:space="0" w:color="auto"/>
              <w:left w:val="nil"/>
              <w:bottom w:val="single" w:sz="8" w:space="0" w:color="auto"/>
              <w:right w:val="single" w:sz="4" w:space="0" w:color="auto"/>
            </w:tcBorders>
            <w:shd w:val="clear" w:color="auto" w:fill="auto"/>
            <w:vAlign w:val="center"/>
            <w:hideMark/>
          </w:tcPr>
          <w:p w14:paraId="1D012434" w14:textId="15A22E76" w:rsidR="0082362E" w:rsidRPr="00675182" w:rsidRDefault="0082362E" w:rsidP="0082362E">
            <w:pPr>
              <w:jc w:val="center"/>
              <w:rPr>
                <w:rFonts w:cstheme="minorHAnsi"/>
                <w:szCs w:val="24"/>
              </w:rPr>
            </w:pPr>
            <w:r w:rsidRPr="00675182">
              <w:rPr>
                <w:rFonts w:cstheme="minorHAnsi"/>
                <w:szCs w:val="24"/>
              </w:rPr>
              <w:t xml:space="preserve">0 / 0 / 100 / 0 (100 % Vidēja) </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69643" w14:textId="05DE4CE6" w:rsidR="0082362E" w:rsidRPr="00675182" w:rsidRDefault="0082362E" w:rsidP="0082362E">
            <w:pPr>
              <w:jc w:val="center"/>
              <w:rPr>
                <w:rFonts w:cstheme="minorHAnsi"/>
              </w:rPr>
            </w:pPr>
            <w:r w:rsidRPr="00675182">
              <w:rPr>
                <w:rFonts w:cstheme="minorHAnsi"/>
              </w:rPr>
              <w:t>6,1</w:t>
            </w:r>
          </w:p>
        </w:tc>
      </w:tr>
      <w:tr w:rsidR="0082362E" w:rsidRPr="00675182" w14:paraId="576E7F0D"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FCC60FE" w14:textId="5143E2F2" w:rsidR="0082362E" w:rsidRPr="00675182" w:rsidRDefault="0082362E" w:rsidP="0082362E">
            <w:pPr>
              <w:jc w:val="center"/>
              <w:rPr>
                <w:rFonts w:cstheme="minorHAnsi"/>
                <w:color w:val="000000"/>
                <w:szCs w:val="24"/>
              </w:rPr>
            </w:pPr>
            <w:r w:rsidRPr="00675182">
              <w:rPr>
                <w:rFonts w:cstheme="minorHAnsi"/>
                <w:color w:val="000000"/>
                <w:szCs w:val="24"/>
              </w:rPr>
              <w:t>7120_X*</w:t>
            </w:r>
            <w:r w:rsidR="007109C7">
              <w:rPr>
                <w:rFonts w:cstheme="minorHAnsi"/>
                <w:color w:val="000000"/>
                <w:szCs w:val="24"/>
              </w:rPr>
              <w:t>*</w:t>
            </w:r>
          </w:p>
        </w:tc>
        <w:tc>
          <w:tcPr>
            <w:tcW w:w="3190" w:type="dxa"/>
            <w:tcBorders>
              <w:top w:val="single" w:sz="8" w:space="0" w:color="auto"/>
              <w:left w:val="nil"/>
              <w:bottom w:val="single" w:sz="8" w:space="0" w:color="auto"/>
              <w:right w:val="single" w:sz="4" w:space="0" w:color="auto"/>
            </w:tcBorders>
            <w:shd w:val="clear" w:color="auto" w:fill="auto"/>
            <w:vAlign w:val="center"/>
            <w:hideMark/>
          </w:tcPr>
          <w:p w14:paraId="3EB1D20E" w14:textId="1AF28C1B" w:rsidR="0082362E" w:rsidRPr="00675182" w:rsidRDefault="0082362E" w:rsidP="0082362E">
            <w:pPr>
              <w:jc w:val="center"/>
              <w:rPr>
                <w:rFonts w:cstheme="minorHAnsi"/>
                <w:szCs w:val="24"/>
              </w:rPr>
            </w:pPr>
            <w:r w:rsidRPr="00675182">
              <w:rPr>
                <w:rFonts w:cstheme="minorHAnsi"/>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43E80" w14:textId="1AC60C05" w:rsidR="0082362E" w:rsidRPr="00675182" w:rsidRDefault="0082362E" w:rsidP="0082362E">
            <w:pPr>
              <w:jc w:val="center"/>
              <w:rPr>
                <w:rFonts w:cstheme="minorHAnsi"/>
              </w:rPr>
            </w:pPr>
            <w:r w:rsidRPr="00675182">
              <w:rPr>
                <w:rFonts w:cstheme="minorHAnsi"/>
              </w:rPr>
              <w:t>6,4</w:t>
            </w:r>
          </w:p>
        </w:tc>
      </w:tr>
      <w:tr w:rsidR="0082362E" w:rsidRPr="00675182" w14:paraId="530FE573"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450D0BA9" w14:textId="2261D424" w:rsidR="0082362E" w:rsidRPr="00675182" w:rsidRDefault="0082362E" w:rsidP="0082362E">
            <w:pPr>
              <w:jc w:val="center"/>
              <w:rPr>
                <w:rFonts w:cstheme="minorHAnsi"/>
                <w:color w:val="000000"/>
                <w:szCs w:val="24"/>
              </w:rPr>
            </w:pPr>
            <w:r w:rsidRPr="00675182">
              <w:rPr>
                <w:rFonts w:cstheme="minorHAnsi"/>
                <w:color w:val="000000"/>
                <w:szCs w:val="24"/>
              </w:rPr>
              <w:t>7120_1</w:t>
            </w:r>
          </w:p>
        </w:tc>
        <w:tc>
          <w:tcPr>
            <w:tcW w:w="3190" w:type="dxa"/>
            <w:tcBorders>
              <w:top w:val="nil"/>
              <w:left w:val="nil"/>
              <w:bottom w:val="single" w:sz="8" w:space="0" w:color="auto"/>
              <w:right w:val="single" w:sz="4" w:space="0" w:color="auto"/>
            </w:tcBorders>
            <w:shd w:val="clear" w:color="auto" w:fill="auto"/>
            <w:vAlign w:val="center"/>
            <w:hideMark/>
          </w:tcPr>
          <w:p w14:paraId="2085287D" w14:textId="045EC7D9" w:rsidR="0082362E" w:rsidRPr="00675182" w:rsidRDefault="0082362E" w:rsidP="0082362E">
            <w:pPr>
              <w:jc w:val="center"/>
              <w:rPr>
                <w:rFonts w:cstheme="minorHAnsi"/>
                <w:szCs w:val="24"/>
              </w:rPr>
            </w:pPr>
            <w:r w:rsidRPr="00675182">
              <w:rPr>
                <w:rFonts w:cstheme="minorHAnsi"/>
                <w:szCs w:val="24"/>
              </w:rPr>
              <w:t xml:space="preserve">0 / 0 / 5 / 95 </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F11F0" w14:textId="11F47652" w:rsidR="0082362E" w:rsidRPr="00675182" w:rsidRDefault="0082362E" w:rsidP="0082362E">
            <w:pPr>
              <w:jc w:val="center"/>
              <w:rPr>
                <w:rFonts w:cstheme="minorHAnsi"/>
              </w:rPr>
            </w:pPr>
            <w:r w:rsidRPr="00675182">
              <w:rPr>
                <w:rFonts w:cstheme="minorHAnsi"/>
              </w:rPr>
              <w:t>485,6</w:t>
            </w:r>
          </w:p>
        </w:tc>
      </w:tr>
      <w:tr w:rsidR="0082362E" w:rsidRPr="00675182" w14:paraId="4DE39262"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23E24EA3" w14:textId="5B56ED92" w:rsidR="0082362E" w:rsidRPr="00675182" w:rsidRDefault="0082362E" w:rsidP="0082362E">
            <w:pPr>
              <w:jc w:val="center"/>
              <w:rPr>
                <w:rFonts w:cstheme="minorHAnsi"/>
                <w:color w:val="000000"/>
                <w:szCs w:val="24"/>
              </w:rPr>
            </w:pPr>
            <w:r w:rsidRPr="00675182">
              <w:rPr>
                <w:rFonts w:cstheme="minorHAnsi"/>
                <w:color w:val="000000"/>
                <w:szCs w:val="24"/>
              </w:rPr>
              <w:t>7120_1*</w:t>
            </w:r>
            <w:r w:rsidR="007109C7">
              <w:rPr>
                <w:rFonts w:cstheme="minorHAnsi"/>
                <w:color w:val="000000"/>
                <w:szCs w:val="24"/>
              </w:rPr>
              <w:t>*</w:t>
            </w:r>
          </w:p>
        </w:tc>
        <w:tc>
          <w:tcPr>
            <w:tcW w:w="3190" w:type="dxa"/>
            <w:tcBorders>
              <w:top w:val="nil"/>
              <w:left w:val="nil"/>
              <w:bottom w:val="single" w:sz="8" w:space="0" w:color="auto"/>
              <w:right w:val="single" w:sz="4" w:space="0" w:color="auto"/>
            </w:tcBorders>
            <w:shd w:val="clear" w:color="auto" w:fill="auto"/>
            <w:vAlign w:val="center"/>
            <w:hideMark/>
          </w:tcPr>
          <w:p w14:paraId="3BEF7F3C" w14:textId="2E2CD498" w:rsidR="0082362E" w:rsidRPr="00675182" w:rsidRDefault="0082362E" w:rsidP="0082362E">
            <w:pPr>
              <w:jc w:val="center"/>
              <w:rPr>
                <w:rFonts w:cstheme="minorHAnsi"/>
                <w:szCs w:val="24"/>
              </w:rPr>
            </w:pPr>
            <w:r w:rsidRPr="00675182">
              <w:rPr>
                <w:rFonts w:cstheme="minorHAnsi"/>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0E73A" w14:textId="44529C81" w:rsidR="0082362E" w:rsidRPr="00675182" w:rsidRDefault="0082362E" w:rsidP="0082362E">
            <w:pPr>
              <w:jc w:val="center"/>
              <w:rPr>
                <w:rFonts w:cstheme="minorHAnsi"/>
              </w:rPr>
            </w:pPr>
            <w:r w:rsidRPr="00675182">
              <w:rPr>
                <w:rFonts w:cstheme="minorHAnsi"/>
              </w:rPr>
              <w:t>177,2</w:t>
            </w:r>
          </w:p>
        </w:tc>
      </w:tr>
      <w:tr w:rsidR="0082362E" w:rsidRPr="00675182" w14:paraId="1F245158"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2E738C40" w14:textId="42254387" w:rsidR="0082362E" w:rsidRPr="00675182" w:rsidRDefault="0082362E" w:rsidP="0082362E">
            <w:pPr>
              <w:jc w:val="center"/>
              <w:rPr>
                <w:rFonts w:cstheme="minorHAnsi"/>
                <w:color w:val="000000"/>
                <w:szCs w:val="24"/>
              </w:rPr>
            </w:pPr>
            <w:r w:rsidRPr="00675182">
              <w:rPr>
                <w:rFonts w:cstheme="minorHAnsi"/>
                <w:color w:val="000000"/>
                <w:szCs w:val="24"/>
              </w:rPr>
              <w:t>7120_2</w:t>
            </w:r>
          </w:p>
        </w:tc>
        <w:tc>
          <w:tcPr>
            <w:tcW w:w="3190" w:type="dxa"/>
            <w:tcBorders>
              <w:top w:val="nil"/>
              <w:left w:val="nil"/>
              <w:bottom w:val="single" w:sz="8" w:space="0" w:color="auto"/>
              <w:right w:val="single" w:sz="4" w:space="0" w:color="auto"/>
            </w:tcBorders>
            <w:shd w:val="clear" w:color="auto" w:fill="auto"/>
            <w:vAlign w:val="center"/>
            <w:hideMark/>
          </w:tcPr>
          <w:p w14:paraId="21D83424" w14:textId="4FF476FA" w:rsidR="0082362E" w:rsidRPr="00675182" w:rsidRDefault="0082362E" w:rsidP="0082362E">
            <w:pPr>
              <w:jc w:val="center"/>
              <w:rPr>
                <w:rFonts w:cstheme="minorHAnsi"/>
                <w:color w:val="000000"/>
                <w:szCs w:val="24"/>
              </w:rPr>
            </w:pPr>
            <w:r w:rsidRPr="00675182">
              <w:rPr>
                <w:rFonts w:cstheme="minorHAnsi"/>
                <w:szCs w:val="24"/>
              </w:rPr>
              <w:t>0 / 0 / 0 / 100 (100 % Zema)</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50817" w14:textId="41A38C53" w:rsidR="0082362E" w:rsidRPr="00675182" w:rsidRDefault="0082362E" w:rsidP="0082362E">
            <w:pPr>
              <w:jc w:val="center"/>
              <w:rPr>
                <w:rFonts w:cstheme="minorHAnsi"/>
              </w:rPr>
            </w:pPr>
            <w:r w:rsidRPr="00675182">
              <w:rPr>
                <w:rFonts w:cstheme="minorHAnsi"/>
              </w:rPr>
              <w:t>19,7</w:t>
            </w:r>
          </w:p>
        </w:tc>
      </w:tr>
      <w:tr w:rsidR="0082362E" w:rsidRPr="00675182" w14:paraId="7F8A4C0E"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4F516187" w14:textId="6643C096" w:rsidR="0082362E" w:rsidRPr="00675182" w:rsidRDefault="0082362E" w:rsidP="0082362E">
            <w:pPr>
              <w:jc w:val="center"/>
              <w:rPr>
                <w:rFonts w:cstheme="minorHAnsi"/>
                <w:color w:val="000000"/>
                <w:szCs w:val="24"/>
              </w:rPr>
            </w:pPr>
            <w:r w:rsidRPr="00675182">
              <w:rPr>
                <w:rFonts w:cstheme="minorHAnsi"/>
                <w:color w:val="000000"/>
                <w:szCs w:val="24"/>
              </w:rPr>
              <w:t>7120_2*</w:t>
            </w:r>
            <w:r w:rsidR="007109C7">
              <w:rPr>
                <w:rFonts w:cstheme="minorHAnsi"/>
                <w:color w:val="000000"/>
                <w:szCs w:val="24"/>
              </w:rPr>
              <w:t>*</w:t>
            </w:r>
          </w:p>
        </w:tc>
        <w:tc>
          <w:tcPr>
            <w:tcW w:w="3190" w:type="dxa"/>
            <w:tcBorders>
              <w:top w:val="nil"/>
              <w:left w:val="nil"/>
              <w:bottom w:val="single" w:sz="8" w:space="0" w:color="auto"/>
              <w:right w:val="single" w:sz="4" w:space="0" w:color="auto"/>
            </w:tcBorders>
            <w:shd w:val="clear" w:color="auto" w:fill="auto"/>
            <w:vAlign w:val="center"/>
            <w:hideMark/>
          </w:tcPr>
          <w:p w14:paraId="0017599B" w14:textId="34540EDF" w:rsidR="0082362E" w:rsidRPr="00675182" w:rsidRDefault="0082362E" w:rsidP="0082362E">
            <w:pPr>
              <w:jc w:val="center"/>
              <w:rPr>
                <w:rFonts w:cstheme="minorHAnsi"/>
                <w:color w:val="000000"/>
                <w:szCs w:val="24"/>
              </w:rPr>
            </w:pPr>
            <w:r w:rsidRPr="00675182">
              <w:rPr>
                <w:rFonts w:cstheme="minorHAnsi"/>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52F75" w14:textId="6F049364" w:rsidR="0082362E" w:rsidRPr="00675182" w:rsidRDefault="0082362E" w:rsidP="0082362E">
            <w:pPr>
              <w:jc w:val="center"/>
              <w:rPr>
                <w:rFonts w:cstheme="minorHAnsi"/>
                <w:color w:val="000000"/>
                <w:szCs w:val="24"/>
              </w:rPr>
            </w:pPr>
            <w:r w:rsidRPr="00675182">
              <w:rPr>
                <w:rFonts w:cstheme="minorHAnsi"/>
              </w:rPr>
              <w:t>66,4</w:t>
            </w:r>
          </w:p>
        </w:tc>
      </w:tr>
      <w:tr w:rsidR="0082362E" w:rsidRPr="00675182" w14:paraId="0EEF45E5"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794B788" w14:textId="631E1B91" w:rsidR="0082362E" w:rsidRPr="00675182" w:rsidRDefault="0082362E" w:rsidP="0082362E">
            <w:pPr>
              <w:jc w:val="center"/>
              <w:rPr>
                <w:rFonts w:cstheme="minorHAnsi"/>
                <w:color w:val="000000"/>
                <w:szCs w:val="24"/>
              </w:rPr>
            </w:pPr>
            <w:r w:rsidRPr="00675182">
              <w:rPr>
                <w:rFonts w:cstheme="minorHAnsi"/>
                <w:color w:val="000000"/>
                <w:szCs w:val="24"/>
              </w:rPr>
              <w:t>7120_3*</w:t>
            </w:r>
            <w:r w:rsidR="007109C7">
              <w:rPr>
                <w:rFonts w:cstheme="minorHAnsi"/>
                <w:color w:val="000000"/>
                <w:szCs w:val="24"/>
              </w:rPr>
              <w:t>*</w:t>
            </w:r>
          </w:p>
        </w:tc>
        <w:tc>
          <w:tcPr>
            <w:tcW w:w="3190" w:type="dxa"/>
            <w:tcBorders>
              <w:top w:val="nil"/>
              <w:left w:val="nil"/>
              <w:bottom w:val="single" w:sz="8" w:space="0" w:color="auto"/>
              <w:right w:val="single" w:sz="4" w:space="0" w:color="auto"/>
            </w:tcBorders>
            <w:shd w:val="clear" w:color="auto" w:fill="auto"/>
            <w:vAlign w:val="center"/>
            <w:hideMark/>
          </w:tcPr>
          <w:p w14:paraId="1F51E5C1" w14:textId="4C14D6E1" w:rsidR="0082362E" w:rsidRPr="00675182" w:rsidRDefault="0082362E" w:rsidP="0082362E">
            <w:pPr>
              <w:jc w:val="center"/>
              <w:rPr>
                <w:rFonts w:cstheme="minorHAnsi"/>
                <w:color w:val="000000"/>
                <w:szCs w:val="24"/>
              </w:rPr>
            </w:pPr>
            <w:r w:rsidRPr="00675182">
              <w:rPr>
                <w:rFonts w:cstheme="minorHAnsi"/>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7CEA5" w14:textId="2FC4F1B8" w:rsidR="0082362E" w:rsidRPr="00675182" w:rsidRDefault="0082362E" w:rsidP="0082362E">
            <w:pPr>
              <w:jc w:val="center"/>
              <w:rPr>
                <w:rFonts w:cstheme="minorHAnsi"/>
                <w:color w:val="000000"/>
                <w:szCs w:val="24"/>
              </w:rPr>
            </w:pPr>
            <w:r w:rsidRPr="00675182">
              <w:rPr>
                <w:rFonts w:cstheme="minorHAnsi"/>
              </w:rPr>
              <w:t>8,6</w:t>
            </w:r>
          </w:p>
        </w:tc>
      </w:tr>
      <w:tr w:rsidR="0082362E" w:rsidRPr="00675182" w14:paraId="1B66293C"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C590D47" w14:textId="2E55ACCB" w:rsidR="0082362E" w:rsidRPr="00675182" w:rsidRDefault="0082362E" w:rsidP="0082362E">
            <w:pPr>
              <w:jc w:val="center"/>
              <w:rPr>
                <w:rFonts w:cstheme="minorHAnsi"/>
                <w:color w:val="000000"/>
                <w:szCs w:val="24"/>
                <w:vertAlign w:val="superscript"/>
              </w:rPr>
            </w:pPr>
            <w:r w:rsidRPr="00675182">
              <w:rPr>
                <w:rFonts w:cstheme="minorHAnsi"/>
                <w:color w:val="000000"/>
                <w:szCs w:val="24"/>
              </w:rPr>
              <w:t>7140_X</w:t>
            </w:r>
          </w:p>
        </w:tc>
        <w:tc>
          <w:tcPr>
            <w:tcW w:w="3190" w:type="dxa"/>
            <w:tcBorders>
              <w:top w:val="nil"/>
              <w:left w:val="nil"/>
              <w:bottom w:val="single" w:sz="8" w:space="0" w:color="auto"/>
              <w:right w:val="single" w:sz="4" w:space="0" w:color="auto"/>
            </w:tcBorders>
            <w:shd w:val="clear" w:color="auto" w:fill="auto"/>
            <w:vAlign w:val="center"/>
            <w:hideMark/>
          </w:tcPr>
          <w:p w14:paraId="4F5F2147" w14:textId="57F27059" w:rsidR="0082362E" w:rsidRPr="00675182" w:rsidRDefault="0082362E" w:rsidP="0082362E">
            <w:pPr>
              <w:jc w:val="center"/>
              <w:rPr>
                <w:rFonts w:cstheme="minorHAnsi"/>
                <w:color w:val="000000"/>
                <w:szCs w:val="24"/>
              </w:rPr>
            </w:pPr>
            <w:r w:rsidRPr="00675182">
              <w:rPr>
                <w:rFonts w:cstheme="minorHAnsi"/>
                <w:szCs w:val="24"/>
              </w:rPr>
              <w:t>0/24/76/0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C7B62" w14:textId="73D74617" w:rsidR="0082362E" w:rsidRPr="00675182" w:rsidRDefault="0082362E" w:rsidP="0082362E">
            <w:pPr>
              <w:jc w:val="center"/>
              <w:rPr>
                <w:rFonts w:cstheme="minorHAnsi"/>
                <w:color w:val="000000"/>
                <w:szCs w:val="24"/>
              </w:rPr>
            </w:pPr>
            <w:r w:rsidRPr="00675182">
              <w:rPr>
                <w:rFonts w:cstheme="minorHAnsi"/>
              </w:rPr>
              <w:t>2,5</w:t>
            </w:r>
          </w:p>
        </w:tc>
      </w:tr>
      <w:tr w:rsidR="0082362E" w:rsidRPr="00675182" w14:paraId="3C93120C"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94892FA" w14:textId="07CAAB91" w:rsidR="0082362E" w:rsidRPr="00675182" w:rsidRDefault="0082362E" w:rsidP="0082362E">
            <w:pPr>
              <w:jc w:val="center"/>
              <w:rPr>
                <w:rFonts w:cstheme="minorHAnsi"/>
                <w:color w:val="000000"/>
                <w:szCs w:val="24"/>
              </w:rPr>
            </w:pPr>
            <w:r w:rsidRPr="00675182">
              <w:rPr>
                <w:rFonts w:cstheme="minorHAnsi"/>
                <w:color w:val="000000"/>
                <w:szCs w:val="24"/>
              </w:rPr>
              <w:t>7140_X</w:t>
            </w:r>
            <w:r w:rsidRPr="00675182">
              <w:t>*</w:t>
            </w:r>
            <w:r w:rsidR="007109C7">
              <w:t>*</w:t>
            </w:r>
          </w:p>
        </w:tc>
        <w:tc>
          <w:tcPr>
            <w:tcW w:w="3190" w:type="dxa"/>
            <w:tcBorders>
              <w:top w:val="nil"/>
              <w:left w:val="nil"/>
              <w:bottom w:val="single" w:sz="8" w:space="0" w:color="auto"/>
              <w:right w:val="single" w:sz="4" w:space="0" w:color="auto"/>
            </w:tcBorders>
            <w:shd w:val="clear" w:color="auto" w:fill="auto"/>
            <w:vAlign w:val="center"/>
            <w:hideMark/>
          </w:tcPr>
          <w:p w14:paraId="303B52CB" w14:textId="2169AD2A" w:rsidR="0082362E" w:rsidRPr="00675182" w:rsidRDefault="0082362E" w:rsidP="0082362E">
            <w:pPr>
              <w:jc w:val="center"/>
              <w:rPr>
                <w:rFonts w:cstheme="minorHAnsi"/>
                <w:color w:val="000000"/>
                <w:szCs w:val="24"/>
              </w:rPr>
            </w:pPr>
            <w:r w:rsidRPr="00675182">
              <w:rPr>
                <w:rFonts w:cstheme="minorHAnsi"/>
                <w:color w:val="000000"/>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404A5" w14:textId="164FBAA7" w:rsidR="0082362E" w:rsidRPr="00675182" w:rsidRDefault="0082362E" w:rsidP="0082362E">
            <w:pPr>
              <w:jc w:val="center"/>
              <w:rPr>
                <w:rFonts w:cstheme="minorHAnsi"/>
              </w:rPr>
            </w:pPr>
            <w:r w:rsidRPr="00675182">
              <w:rPr>
                <w:rFonts w:cstheme="minorHAnsi"/>
              </w:rPr>
              <w:t>0,3</w:t>
            </w:r>
          </w:p>
        </w:tc>
      </w:tr>
      <w:tr w:rsidR="0082362E" w:rsidRPr="00675182" w14:paraId="65982245"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128239C" w14:textId="3A871F82" w:rsidR="0082362E" w:rsidRPr="00675182" w:rsidRDefault="0082362E" w:rsidP="0082362E">
            <w:pPr>
              <w:jc w:val="center"/>
              <w:rPr>
                <w:rFonts w:cstheme="minorHAnsi"/>
                <w:color w:val="000000"/>
                <w:szCs w:val="24"/>
              </w:rPr>
            </w:pPr>
            <w:r w:rsidRPr="00675182">
              <w:rPr>
                <w:rFonts w:cstheme="minorHAnsi"/>
                <w:color w:val="000000"/>
                <w:szCs w:val="24"/>
              </w:rPr>
              <w:t>7140_1</w:t>
            </w:r>
          </w:p>
        </w:tc>
        <w:tc>
          <w:tcPr>
            <w:tcW w:w="3190" w:type="dxa"/>
            <w:tcBorders>
              <w:top w:val="nil"/>
              <w:left w:val="nil"/>
              <w:bottom w:val="single" w:sz="8" w:space="0" w:color="auto"/>
              <w:right w:val="single" w:sz="4" w:space="0" w:color="auto"/>
            </w:tcBorders>
            <w:shd w:val="clear" w:color="auto" w:fill="auto"/>
            <w:vAlign w:val="center"/>
            <w:hideMark/>
          </w:tcPr>
          <w:p w14:paraId="2BEAFBED" w14:textId="17C8A879" w:rsidR="0082362E" w:rsidRPr="00675182" w:rsidRDefault="0082362E" w:rsidP="0082362E">
            <w:pPr>
              <w:jc w:val="center"/>
              <w:rPr>
                <w:rFonts w:cstheme="minorHAnsi"/>
                <w:color w:val="000000"/>
                <w:szCs w:val="24"/>
              </w:rPr>
            </w:pPr>
            <w:r w:rsidRPr="00675182">
              <w:rPr>
                <w:rFonts w:cstheme="minorHAnsi"/>
                <w:color w:val="000000"/>
                <w:szCs w:val="24"/>
              </w:rPr>
              <w:t>0/70/20/10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F8E6F" w14:textId="34291E7A" w:rsidR="0082362E" w:rsidRPr="00675182" w:rsidRDefault="0082362E" w:rsidP="0082362E">
            <w:pPr>
              <w:jc w:val="center"/>
              <w:rPr>
                <w:rFonts w:cstheme="minorHAnsi"/>
              </w:rPr>
            </w:pPr>
            <w:r w:rsidRPr="00675182">
              <w:rPr>
                <w:rFonts w:cstheme="minorHAnsi"/>
                <w:color w:val="000000"/>
                <w:szCs w:val="24"/>
              </w:rPr>
              <w:t>28,1</w:t>
            </w:r>
          </w:p>
        </w:tc>
      </w:tr>
      <w:tr w:rsidR="0082362E" w:rsidRPr="00675182" w14:paraId="22B789BB"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1867AB47" w14:textId="12FACF46" w:rsidR="0082362E" w:rsidRPr="00675182" w:rsidRDefault="0082362E" w:rsidP="0082362E">
            <w:pPr>
              <w:jc w:val="center"/>
              <w:rPr>
                <w:rFonts w:cstheme="minorHAnsi"/>
                <w:color w:val="000000"/>
                <w:szCs w:val="24"/>
              </w:rPr>
            </w:pPr>
            <w:r w:rsidRPr="00675182">
              <w:rPr>
                <w:rFonts w:cstheme="minorHAnsi"/>
                <w:color w:val="000000"/>
                <w:szCs w:val="24"/>
              </w:rPr>
              <w:t>7140_1*</w:t>
            </w:r>
            <w:r w:rsidR="007109C7">
              <w:rPr>
                <w:rFonts w:cstheme="minorHAnsi"/>
                <w:color w:val="000000"/>
                <w:szCs w:val="24"/>
              </w:rPr>
              <w:t>*</w:t>
            </w:r>
          </w:p>
        </w:tc>
        <w:tc>
          <w:tcPr>
            <w:tcW w:w="3190" w:type="dxa"/>
            <w:tcBorders>
              <w:top w:val="nil"/>
              <w:left w:val="nil"/>
              <w:bottom w:val="single" w:sz="8" w:space="0" w:color="auto"/>
              <w:right w:val="single" w:sz="4" w:space="0" w:color="auto"/>
            </w:tcBorders>
            <w:shd w:val="clear" w:color="auto" w:fill="auto"/>
            <w:vAlign w:val="center"/>
            <w:hideMark/>
          </w:tcPr>
          <w:p w14:paraId="5C228015" w14:textId="3F7526B0" w:rsidR="0082362E" w:rsidRPr="00675182" w:rsidRDefault="0082362E" w:rsidP="0082362E">
            <w:pPr>
              <w:jc w:val="center"/>
              <w:rPr>
                <w:rFonts w:cstheme="minorHAnsi"/>
                <w:color w:val="000000"/>
                <w:szCs w:val="24"/>
              </w:rPr>
            </w:pPr>
            <w:r w:rsidRPr="00675182">
              <w:rPr>
                <w:rFonts w:cstheme="minorHAnsi"/>
                <w:color w:val="000000"/>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895CC" w14:textId="733A025C" w:rsidR="0082362E" w:rsidRPr="00675182" w:rsidRDefault="0082362E" w:rsidP="0082362E">
            <w:pPr>
              <w:jc w:val="center"/>
              <w:rPr>
                <w:rFonts w:cstheme="minorHAnsi"/>
              </w:rPr>
            </w:pPr>
            <w:r w:rsidRPr="00675182">
              <w:rPr>
                <w:rFonts w:cstheme="minorHAnsi"/>
                <w:color w:val="000000"/>
                <w:szCs w:val="24"/>
              </w:rPr>
              <w:t>29,3</w:t>
            </w:r>
          </w:p>
        </w:tc>
      </w:tr>
      <w:tr w:rsidR="0082362E" w:rsidRPr="00675182" w14:paraId="14C5B909"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762B7D82" w14:textId="3850DC26" w:rsidR="0082362E" w:rsidRPr="00675182" w:rsidRDefault="0082362E" w:rsidP="0082362E">
            <w:pPr>
              <w:jc w:val="center"/>
              <w:rPr>
                <w:rFonts w:cstheme="minorHAnsi"/>
                <w:color w:val="000000"/>
                <w:szCs w:val="24"/>
              </w:rPr>
            </w:pPr>
            <w:r w:rsidRPr="00675182">
              <w:rPr>
                <w:rFonts w:cstheme="minorHAnsi"/>
                <w:color w:val="000000"/>
                <w:szCs w:val="24"/>
              </w:rPr>
              <w:t>7140_2</w:t>
            </w:r>
          </w:p>
        </w:tc>
        <w:tc>
          <w:tcPr>
            <w:tcW w:w="3190" w:type="dxa"/>
            <w:tcBorders>
              <w:top w:val="nil"/>
              <w:left w:val="nil"/>
              <w:bottom w:val="single" w:sz="8" w:space="0" w:color="auto"/>
              <w:right w:val="single" w:sz="4" w:space="0" w:color="auto"/>
            </w:tcBorders>
            <w:shd w:val="clear" w:color="auto" w:fill="auto"/>
            <w:vAlign w:val="center"/>
            <w:hideMark/>
          </w:tcPr>
          <w:p w14:paraId="7D7AD55D" w14:textId="3D088229" w:rsidR="0082362E" w:rsidRPr="00675182" w:rsidRDefault="0082362E" w:rsidP="0082362E">
            <w:pPr>
              <w:jc w:val="center"/>
              <w:rPr>
                <w:rFonts w:cstheme="minorHAnsi"/>
                <w:color w:val="000000"/>
                <w:szCs w:val="24"/>
              </w:rPr>
            </w:pPr>
            <w:r w:rsidRPr="00675182">
              <w:rPr>
                <w:rFonts w:cstheme="minorHAnsi"/>
                <w:color w:val="000000"/>
                <w:szCs w:val="24"/>
              </w:rPr>
              <w:t>1/73/23/3</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85BC6" w14:textId="73AABEA1" w:rsidR="0082362E" w:rsidRPr="00675182" w:rsidRDefault="0082362E" w:rsidP="0082362E">
            <w:pPr>
              <w:jc w:val="center"/>
              <w:rPr>
                <w:rFonts w:cstheme="minorHAnsi"/>
              </w:rPr>
            </w:pPr>
            <w:r w:rsidRPr="00675182">
              <w:rPr>
                <w:rFonts w:cstheme="minorHAnsi"/>
                <w:color w:val="000000"/>
                <w:szCs w:val="24"/>
              </w:rPr>
              <w:t>70,1</w:t>
            </w:r>
          </w:p>
        </w:tc>
      </w:tr>
      <w:tr w:rsidR="0082362E" w:rsidRPr="00675182" w14:paraId="65C5E2A2"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tcPr>
          <w:p w14:paraId="737EDB1F" w14:textId="7B9DDC1F" w:rsidR="0082362E" w:rsidRPr="00675182" w:rsidRDefault="0082362E" w:rsidP="0082362E">
            <w:pPr>
              <w:jc w:val="center"/>
              <w:rPr>
                <w:rFonts w:cstheme="minorHAnsi"/>
                <w:color w:val="000000"/>
                <w:szCs w:val="24"/>
              </w:rPr>
            </w:pPr>
            <w:r w:rsidRPr="00675182">
              <w:rPr>
                <w:rFonts w:cstheme="minorHAnsi"/>
                <w:color w:val="000000"/>
                <w:szCs w:val="24"/>
              </w:rPr>
              <w:t>7140_2*</w:t>
            </w:r>
            <w:r w:rsidR="007109C7">
              <w:rPr>
                <w:rFonts w:cstheme="minorHAnsi"/>
                <w:color w:val="000000"/>
                <w:szCs w:val="24"/>
              </w:rPr>
              <w:t>*</w:t>
            </w:r>
          </w:p>
        </w:tc>
        <w:tc>
          <w:tcPr>
            <w:tcW w:w="3190" w:type="dxa"/>
            <w:tcBorders>
              <w:top w:val="nil"/>
              <w:left w:val="nil"/>
              <w:bottom w:val="single" w:sz="8" w:space="0" w:color="auto"/>
              <w:right w:val="single" w:sz="4" w:space="0" w:color="auto"/>
            </w:tcBorders>
            <w:shd w:val="clear" w:color="auto" w:fill="auto"/>
            <w:vAlign w:val="center"/>
          </w:tcPr>
          <w:p w14:paraId="64A92F71" w14:textId="140CBBFA" w:rsidR="0082362E" w:rsidRPr="00675182" w:rsidRDefault="0082362E" w:rsidP="0082362E">
            <w:pPr>
              <w:jc w:val="center"/>
              <w:rPr>
                <w:rFonts w:cstheme="minorHAnsi"/>
                <w:color w:val="000000"/>
                <w:szCs w:val="24"/>
              </w:rPr>
            </w:pPr>
            <w:r w:rsidRPr="00675182">
              <w:rPr>
                <w:rFonts w:cstheme="minorHAnsi"/>
                <w:color w:val="000000"/>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498DF391" w14:textId="169895EC" w:rsidR="0082362E" w:rsidRPr="00675182" w:rsidRDefault="0082362E" w:rsidP="0082362E">
            <w:pPr>
              <w:jc w:val="center"/>
              <w:rPr>
                <w:rFonts w:cstheme="minorHAnsi"/>
              </w:rPr>
            </w:pPr>
            <w:r w:rsidRPr="00675182">
              <w:rPr>
                <w:rFonts w:cstheme="minorHAnsi"/>
                <w:color w:val="000000"/>
                <w:szCs w:val="24"/>
              </w:rPr>
              <w:t>46,7</w:t>
            </w:r>
          </w:p>
        </w:tc>
      </w:tr>
      <w:tr w:rsidR="0082362E" w:rsidRPr="00675182" w14:paraId="1AA4363E"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E8C98A4" w14:textId="30A4E7D6" w:rsidR="0082362E" w:rsidRPr="00675182" w:rsidRDefault="0082362E" w:rsidP="0082362E">
            <w:pPr>
              <w:jc w:val="center"/>
              <w:rPr>
                <w:rFonts w:cstheme="minorHAnsi"/>
                <w:color w:val="000000"/>
                <w:szCs w:val="24"/>
              </w:rPr>
            </w:pPr>
            <w:r w:rsidRPr="00675182">
              <w:rPr>
                <w:rFonts w:cstheme="minorHAnsi"/>
                <w:color w:val="000000"/>
                <w:szCs w:val="24"/>
              </w:rPr>
              <w:t>7160_X</w:t>
            </w:r>
          </w:p>
        </w:tc>
        <w:tc>
          <w:tcPr>
            <w:tcW w:w="3190" w:type="dxa"/>
            <w:tcBorders>
              <w:top w:val="nil"/>
              <w:left w:val="nil"/>
              <w:bottom w:val="single" w:sz="8" w:space="0" w:color="auto"/>
              <w:right w:val="single" w:sz="4" w:space="0" w:color="auto"/>
            </w:tcBorders>
            <w:shd w:val="clear" w:color="auto" w:fill="auto"/>
            <w:vAlign w:val="center"/>
            <w:hideMark/>
          </w:tcPr>
          <w:p w14:paraId="32C89828" w14:textId="6DC56A86" w:rsidR="0082362E" w:rsidRPr="00675182" w:rsidRDefault="0082362E" w:rsidP="0082362E">
            <w:pPr>
              <w:jc w:val="center"/>
              <w:rPr>
                <w:rFonts w:cstheme="minorHAnsi"/>
                <w:color w:val="000000"/>
                <w:szCs w:val="24"/>
              </w:rPr>
            </w:pPr>
            <w:r w:rsidRPr="00675182">
              <w:rPr>
                <w:rFonts w:cstheme="minorHAnsi"/>
                <w:color w:val="000000"/>
                <w:szCs w:val="24"/>
              </w:rPr>
              <w:t>0 / 85/ 15 / 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2026F" w14:textId="61FA8A0A" w:rsidR="0082362E" w:rsidRPr="00675182" w:rsidRDefault="0082362E" w:rsidP="0082362E">
            <w:pPr>
              <w:jc w:val="center"/>
              <w:rPr>
                <w:rFonts w:cstheme="minorHAnsi"/>
              </w:rPr>
            </w:pPr>
            <w:r w:rsidRPr="00675182">
              <w:rPr>
                <w:rFonts w:cstheme="minorHAnsi"/>
                <w:color w:val="000000"/>
                <w:szCs w:val="24"/>
              </w:rPr>
              <w:t>9,2</w:t>
            </w:r>
          </w:p>
        </w:tc>
      </w:tr>
      <w:tr w:rsidR="0082362E" w:rsidRPr="00675182" w14:paraId="0E3A05C8" w14:textId="77777777" w:rsidTr="0082362E">
        <w:trPr>
          <w:trHeight w:val="300"/>
        </w:trPr>
        <w:tc>
          <w:tcPr>
            <w:tcW w:w="3233" w:type="dxa"/>
            <w:tcBorders>
              <w:top w:val="single" w:sz="8" w:space="0" w:color="auto"/>
              <w:left w:val="single" w:sz="4" w:space="0" w:color="auto"/>
              <w:bottom w:val="single" w:sz="8" w:space="0" w:color="auto"/>
              <w:right w:val="single" w:sz="8" w:space="0" w:color="auto"/>
            </w:tcBorders>
            <w:shd w:val="clear" w:color="auto" w:fill="auto"/>
            <w:noWrap/>
          </w:tcPr>
          <w:p w14:paraId="408CFE7F" w14:textId="78E2EB01" w:rsidR="0082362E" w:rsidRPr="00675182" w:rsidRDefault="0082362E" w:rsidP="0082362E">
            <w:pPr>
              <w:jc w:val="center"/>
              <w:rPr>
                <w:rFonts w:cstheme="minorHAnsi"/>
                <w:color w:val="000000"/>
                <w:szCs w:val="24"/>
              </w:rPr>
            </w:pPr>
            <w:r w:rsidRPr="00675182">
              <w:rPr>
                <w:rFonts w:cstheme="minorHAnsi"/>
              </w:rPr>
              <w:t>7160_X*</w:t>
            </w:r>
            <w:r w:rsidR="007109C7">
              <w:rPr>
                <w:rFonts w:cstheme="minorHAnsi"/>
              </w:rPr>
              <w:t>*</w:t>
            </w:r>
          </w:p>
        </w:tc>
        <w:tc>
          <w:tcPr>
            <w:tcW w:w="3190" w:type="dxa"/>
            <w:tcBorders>
              <w:top w:val="nil"/>
              <w:left w:val="nil"/>
              <w:bottom w:val="single" w:sz="4" w:space="0" w:color="auto"/>
              <w:right w:val="single" w:sz="4" w:space="0" w:color="auto"/>
            </w:tcBorders>
            <w:shd w:val="clear" w:color="auto" w:fill="auto"/>
            <w:vAlign w:val="center"/>
          </w:tcPr>
          <w:p w14:paraId="7C0C1936" w14:textId="6F84DBB3" w:rsidR="0082362E" w:rsidRPr="00675182" w:rsidRDefault="0082362E" w:rsidP="0082362E">
            <w:pPr>
              <w:jc w:val="center"/>
              <w:rPr>
                <w:rFonts w:cstheme="minorHAnsi"/>
                <w:color w:val="000000"/>
                <w:szCs w:val="24"/>
              </w:rPr>
            </w:pPr>
            <w:r w:rsidRPr="00675182">
              <w:rPr>
                <w:rFonts w:cstheme="minorHAnsi"/>
                <w:color w:val="000000"/>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77302CF7" w14:textId="56ED54F7" w:rsidR="0082362E" w:rsidRPr="00675182" w:rsidRDefault="0082362E" w:rsidP="0082362E">
            <w:pPr>
              <w:jc w:val="center"/>
              <w:rPr>
                <w:rFonts w:cstheme="minorHAnsi"/>
              </w:rPr>
            </w:pPr>
            <w:r w:rsidRPr="00675182">
              <w:rPr>
                <w:rFonts w:cstheme="minorHAnsi"/>
                <w:color w:val="000000"/>
                <w:szCs w:val="24"/>
              </w:rPr>
              <w:t>13,8</w:t>
            </w:r>
          </w:p>
        </w:tc>
      </w:tr>
      <w:tr w:rsidR="0082362E" w:rsidRPr="00675182" w14:paraId="067AD578" w14:textId="77777777" w:rsidTr="0082362E">
        <w:trPr>
          <w:trHeight w:val="300"/>
        </w:trPr>
        <w:tc>
          <w:tcPr>
            <w:tcW w:w="3233" w:type="dxa"/>
            <w:tcBorders>
              <w:top w:val="single" w:sz="8" w:space="0" w:color="auto"/>
              <w:left w:val="single" w:sz="4" w:space="0" w:color="auto"/>
              <w:bottom w:val="single" w:sz="8" w:space="0" w:color="auto"/>
              <w:right w:val="single" w:sz="4" w:space="0" w:color="auto"/>
            </w:tcBorders>
            <w:shd w:val="clear" w:color="auto" w:fill="auto"/>
            <w:noWrap/>
          </w:tcPr>
          <w:p w14:paraId="795558CD" w14:textId="69E17A25" w:rsidR="0082362E" w:rsidRPr="00675182" w:rsidRDefault="0082362E" w:rsidP="0082362E">
            <w:pPr>
              <w:jc w:val="center"/>
              <w:rPr>
                <w:rFonts w:cstheme="minorHAnsi"/>
                <w:color w:val="000000"/>
                <w:szCs w:val="24"/>
              </w:rPr>
            </w:pPr>
            <w:r w:rsidRPr="00675182">
              <w:rPr>
                <w:rFonts w:cstheme="minorHAnsi"/>
              </w:rPr>
              <w:t>7160_1</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5A3CA357" w14:textId="0A17C54C" w:rsidR="0082362E" w:rsidRPr="00675182" w:rsidRDefault="0082362E" w:rsidP="0082362E">
            <w:pPr>
              <w:jc w:val="center"/>
              <w:rPr>
                <w:rFonts w:cstheme="minorHAnsi"/>
                <w:color w:val="000000"/>
                <w:szCs w:val="24"/>
              </w:rPr>
            </w:pPr>
            <w:r w:rsidRPr="00675182">
              <w:rPr>
                <w:rFonts w:cstheme="minorHAnsi"/>
              </w:rPr>
              <w:t xml:space="preserve"> 9</w:t>
            </w:r>
            <w:r w:rsidRPr="00675182">
              <w:rPr>
                <w:rFonts w:cstheme="minorHAnsi"/>
                <w:color w:val="000000"/>
                <w:szCs w:val="24"/>
              </w:rPr>
              <w:t>/60/23/8</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63531C8A" w14:textId="4CF89EA5" w:rsidR="0082362E" w:rsidRPr="00675182" w:rsidRDefault="0082362E" w:rsidP="0082362E">
            <w:pPr>
              <w:jc w:val="center"/>
              <w:rPr>
                <w:rFonts w:cstheme="minorHAnsi"/>
              </w:rPr>
            </w:pPr>
            <w:r w:rsidRPr="00675182">
              <w:rPr>
                <w:rFonts w:cstheme="minorHAnsi"/>
              </w:rPr>
              <w:t>107,9</w:t>
            </w:r>
          </w:p>
        </w:tc>
      </w:tr>
      <w:tr w:rsidR="0082362E" w:rsidRPr="00675182" w14:paraId="2D69B876" w14:textId="77777777" w:rsidTr="0082362E">
        <w:trPr>
          <w:trHeight w:val="300"/>
        </w:trPr>
        <w:tc>
          <w:tcPr>
            <w:tcW w:w="3233" w:type="dxa"/>
            <w:tcBorders>
              <w:top w:val="single" w:sz="8" w:space="0" w:color="auto"/>
              <w:left w:val="single" w:sz="4" w:space="0" w:color="auto"/>
              <w:bottom w:val="single" w:sz="8" w:space="0" w:color="auto"/>
              <w:right w:val="single" w:sz="4" w:space="0" w:color="auto"/>
            </w:tcBorders>
            <w:shd w:val="clear" w:color="auto" w:fill="auto"/>
            <w:noWrap/>
          </w:tcPr>
          <w:p w14:paraId="2F6279ED" w14:textId="05BDE4C0" w:rsidR="0082362E" w:rsidRPr="00675182" w:rsidRDefault="0082362E" w:rsidP="0082362E">
            <w:pPr>
              <w:jc w:val="center"/>
              <w:rPr>
                <w:rFonts w:cstheme="minorHAnsi"/>
                <w:color w:val="000000"/>
                <w:szCs w:val="24"/>
              </w:rPr>
            </w:pPr>
            <w:r w:rsidRPr="00675182">
              <w:rPr>
                <w:rFonts w:cstheme="minorHAnsi"/>
              </w:rPr>
              <w:t>7160_1*</w:t>
            </w:r>
            <w:r w:rsidR="007109C7">
              <w:rPr>
                <w:rFonts w:cstheme="minorHAnsi"/>
              </w:rPr>
              <w:t>*</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6FEC41B3" w14:textId="68EAA5EC" w:rsidR="0082362E" w:rsidRPr="00675182" w:rsidRDefault="0082362E" w:rsidP="0082362E">
            <w:pPr>
              <w:jc w:val="center"/>
              <w:rPr>
                <w:rFonts w:cstheme="minorHAnsi"/>
                <w:color w:val="000000"/>
                <w:szCs w:val="24"/>
              </w:rPr>
            </w:pPr>
            <w:r w:rsidRPr="00675182">
              <w:rPr>
                <w:rFonts w:cstheme="minorHAnsi"/>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55A1709A" w14:textId="0CEC3A8F" w:rsidR="0082362E" w:rsidRPr="00675182" w:rsidRDefault="0082362E" w:rsidP="0082362E">
            <w:pPr>
              <w:jc w:val="center"/>
              <w:rPr>
                <w:rFonts w:cstheme="minorHAnsi"/>
              </w:rPr>
            </w:pPr>
            <w:r w:rsidRPr="00675182">
              <w:rPr>
                <w:rFonts w:cstheme="minorHAnsi"/>
              </w:rPr>
              <w:t>13,7</w:t>
            </w:r>
          </w:p>
        </w:tc>
      </w:tr>
      <w:tr w:rsidR="0082362E" w:rsidRPr="00675182" w14:paraId="22979E99" w14:textId="77777777" w:rsidTr="0082362E">
        <w:trPr>
          <w:trHeight w:val="300"/>
        </w:trPr>
        <w:tc>
          <w:tcPr>
            <w:tcW w:w="3233" w:type="dxa"/>
            <w:tcBorders>
              <w:top w:val="single" w:sz="8" w:space="0" w:color="auto"/>
              <w:left w:val="single" w:sz="4" w:space="0" w:color="auto"/>
              <w:bottom w:val="single" w:sz="8" w:space="0" w:color="auto"/>
              <w:right w:val="single" w:sz="4" w:space="0" w:color="auto"/>
            </w:tcBorders>
            <w:shd w:val="clear" w:color="auto" w:fill="auto"/>
            <w:noWrap/>
          </w:tcPr>
          <w:p w14:paraId="5F557E28" w14:textId="5D8F4209" w:rsidR="0082362E" w:rsidRPr="00675182" w:rsidRDefault="0082362E" w:rsidP="0082362E">
            <w:pPr>
              <w:jc w:val="center"/>
              <w:rPr>
                <w:rFonts w:cstheme="minorHAnsi"/>
                <w:color w:val="000000"/>
                <w:szCs w:val="24"/>
              </w:rPr>
            </w:pPr>
            <w:r w:rsidRPr="00675182">
              <w:rPr>
                <w:rFonts w:cstheme="minorHAnsi"/>
              </w:rPr>
              <w:t>7160_2</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6DD5AEC7" w14:textId="5BE5350D" w:rsidR="0082362E" w:rsidRPr="00675182" w:rsidRDefault="0082362E" w:rsidP="0082362E">
            <w:pPr>
              <w:jc w:val="center"/>
              <w:rPr>
                <w:rFonts w:cstheme="minorHAnsi"/>
                <w:color w:val="000000"/>
                <w:szCs w:val="24"/>
              </w:rPr>
            </w:pPr>
            <w:r w:rsidRPr="00675182">
              <w:rPr>
                <w:rFonts w:cstheme="minorHAnsi"/>
                <w:color w:val="000000"/>
                <w:szCs w:val="24"/>
              </w:rPr>
              <w:t>2/66/29/3</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399EF7DD" w14:textId="03310F24" w:rsidR="0082362E" w:rsidRPr="00675182" w:rsidRDefault="0082362E" w:rsidP="0082362E">
            <w:pPr>
              <w:jc w:val="center"/>
              <w:rPr>
                <w:rFonts w:cstheme="minorHAnsi"/>
              </w:rPr>
            </w:pPr>
            <w:r w:rsidRPr="00675182">
              <w:rPr>
                <w:rFonts w:cstheme="minorHAnsi"/>
              </w:rPr>
              <w:t>22,3</w:t>
            </w:r>
          </w:p>
        </w:tc>
      </w:tr>
      <w:tr w:rsidR="0082362E" w:rsidRPr="00675182" w14:paraId="59E1AA19" w14:textId="77777777" w:rsidTr="0082362E">
        <w:trPr>
          <w:trHeight w:val="300"/>
        </w:trPr>
        <w:tc>
          <w:tcPr>
            <w:tcW w:w="3233" w:type="dxa"/>
            <w:tcBorders>
              <w:top w:val="single" w:sz="8" w:space="0" w:color="auto"/>
              <w:left w:val="single" w:sz="4" w:space="0" w:color="auto"/>
              <w:bottom w:val="single" w:sz="8" w:space="0" w:color="auto"/>
              <w:right w:val="single" w:sz="4" w:space="0" w:color="auto"/>
            </w:tcBorders>
            <w:shd w:val="clear" w:color="auto" w:fill="auto"/>
            <w:noWrap/>
          </w:tcPr>
          <w:p w14:paraId="4318E8B8" w14:textId="338E1622" w:rsidR="0082362E" w:rsidRPr="00675182" w:rsidRDefault="0082362E" w:rsidP="0082362E">
            <w:pPr>
              <w:jc w:val="center"/>
              <w:rPr>
                <w:rFonts w:cstheme="minorHAnsi"/>
                <w:color w:val="000000"/>
                <w:szCs w:val="24"/>
              </w:rPr>
            </w:pPr>
            <w:r w:rsidRPr="00675182">
              <w:rPr>
                <w:rFonts w:cstheme="minorHAnsi"/>
              </w:rPr>
              <w:t>7160_2*</w:t>
            </w:r>
            <w:r w:rsidR="007109C7">
              <w:rPr>
                <w:rFonts w:cstheme="minorHAnsi"/>
              </w:rPr>
              <w:t>*</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2DA4AD44" w14:textId="089232A5" w:rsidR="0082362E" w:rsidRPr="00675182" w:rsidRDefault="0082362E" w:rsidP="0082362E">
            <w:pPr>
              <w:jc w:val="center"/>
              <w:rPr>
                <w:rFonts w:cstheme="minorHAnsi"/>
                <w:color w:val="000000"/>
                <w:szCs w:val="24"/>
              </w:rPr>
            </w:pPr>
            <w:r w:rsidRPr="00675182">
              <w:rPr>
                <w:rFonts w:cstheme="minorHAnsi"/>
                <w:color w:val="000000"/>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2197DC0D" w14:textId="6BADAAA9" w:rsidR="0082362E" w:rsidRPr="00675182" w:rsidRDefault="0082362E" w:rsidP="0082362E">
            <w:pPr>
              <w:jc w:val="center"/>
              <w:rPr>
                <w:rFonts w:cstheme="minorHAnsi"/>
              </w:rPr>
            </w:pPr>
            <w:r w:rsidRPr="00675182">
              <w:rPr>
                <w:rFonts w:cstheme="minorHAnsi"/>
              </w:rPr>
              <w:t>5,7</w:t>
            </w:r>
          </w:p>
        </w:tc>
      </w:tr>
      <w:tr w:rsidR="0082362E" w:rsidRPr="00675182" w14:paraId="25E3B344" w14:textId="77777777" w:rsidTr="0082362E">
        <w:trPr>
          <w:trHeight w:val="300"/>
        </w:trPr>
        <w:tc>
          <w:tcPr>
            <w:tcW w:w="3233" w:type="dxa"/>
            <w:tcBorders>
              <w:top w:val="single" w:sz="8" w:space="0" w:color="auto"/>
              <w:left w:val="single" w:sz="4" w:space="0" w:color="auto"/>
              <w:bottom w:val="single" w:sz="8" w:space="0" w:color="auto"/>
              <w:right w:val="single" w:sz="4" w:space="0" w:color="auto"/>
            </w:tcBorders>
            <w:shd w:val="clear" w:color="auto" w:fill="auto"/>
            <w:noWrap/>
          </w:tcPr>
          <w:p w14:paraId="2D9B8E1F" w14:textId="00791854" w:rsidR="0082362E" w:rsidRPr="00675182" w:rsidRDefault="0082362E" w:rsidP="0082362E">
            <w:pPr>
              <w:jc w:val="center"/>
              <w:rPr>
                <w:rFonts w:cstheme="minorHAnsi"/>
                <w:color w:val="000000"/>
                <w:szCs w:val="24"/>
              </w:rPr>
            </w:pPr>
            <w:r w:rsidRPr="00675182">
              <w:rPr>
                <w:rFonts w:cstheme="minorHAnsi"/>
              </w:rPr>
              <w:t>7160_3</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43A8013F" w14:textId="40A6EF8F" w:rsidR="0082362E" w:rsidRPr="00675182" w:rsidRDefault="0082362E" w:rsidP="0082362E">
            <w:pPr>
              <w:jc w:val="center"/>
              <w:rPr>
                <w:rFonts w:cstheme="minorHAnsi"/>
                <w:color w:val="000000"/>
                <w:szCs w:val="24"/>
              </w:rPr>
            </w:pPr>
            <w:r w:rsidRPr="00675182">
              <w:rPr>
                <w:rFonts w:cstheme="minorHAnsi"/>
                <w:color w:val="000000"/>
                <w:szCs w:val="24"/>
              </w:rPr>
              <w:t>1/88/0/0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1F449A64" w14:textId="5F411EC2" w:rsidR="0082362E" w:rsidRPr="00675182" w:rsidRDefault="0082362E" w:rsidP="0082362E">
            <w:pPr>
              <w:jc w:val="center"/>
              <w:rPr>
                <w:rFonts w:cstheme="minorHAnsi"/>
              </w:rPr>
            </w:pPr>
            <w:r w:rsidRPr="00675182">
              <w:rPr>
                <w:rFonts w:cstheme="minorHAnsi"/>
              </w:rPr>
              <w:t>13,8</w:t>
            </w:r>
          </w:p>
        </w:tc>
      </w:tr>
      <w:tr w:rsidR="0082362E" w:rsidRPr="00675182" w14:paraId="6ACF6863" w14:textId="77777777" w:rsidTr="0082362E">
        <w:trPr>
          <w:trHeight w:val="300"/>
        </w:trPr>
        <w:tc>
          <w:tcPr>
            <w:tcW w:w="3233" w:type="dxa"/>
            <w:tcBorders>
              <w:top w:val="single" w:sz="8" w:space="0" w:color="auto"/>
              <w:left w:val="single" w:sz="4" w:space="0" w:color="auto"/>
              <w:bottom w:val="single" w:sz="8" w:space="0" w:color="auto"/>
              <w:right w:val="single" w:sz="4" w:space="0" w:color="auto"/>
            </w:tcBorders>
            <w:shd w:val="clear" w:color="auto" w:fill="auto"/>
            <w:noWrap/>
          </w:tcPr>
          <w:p w14:paraId="1E694EDB" w14:textId="4B44E236" w:rsidR="0082362E" w:rsidRPr="00675182" w:rsidRDefault="0082362E" w:rsidP="0082362E">
            <w:pPr>
              <w:jc w:val="center"/>
              <w:rPr>
                <w:rFonts w:cstheme="minorHAnsi"/>
                <w:color w:val="000000"/>
                <w:szCs w:val="24"/>
              </w:rPr>
            </w:pPr>
            <w:r w:rsidRPr="00675182">
              <w:rPr>
                <w:rFonts w:cstheme="minorHAnsi"/>
              </w:rPr>
              <w:t>7160_3*</w:t>
            </w:r>
            <w:r w:rsidR="007109C7">
              <w:rPr>
                <w:rFonts w:cstheme="minorHAnsi"/>
              </w:rPr>
              <w:t>*</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4902EDEB" w14:textId="75BB6FE4" w:rsidR="0082362E" w:rsidRPr="00675182" w:rsidRDefault="0082362E" w:rsidP="0082362E">
            <w:pPr>
              <w:jc w:val="center"/>
              <w:rPr>
                <w:rFonts w:cstheme="minorHAnsi"/>
                <w:color w:val="000000"/>
                <w:szCs w:val="24"/>
              </w:rPr>
            </w:pPr>
            <w:r w:rsidRPr="00675182">
              <w:rPr>
                <w:rFonts w:cstheme="minorHAnsi"/>
                <w:color w:val="000000"/>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106E195B" w14:textId="32C07591" w:rsidR="0082362E" w:rsidRPr="00675182" w:rsidRDefault="0082362E" w:rsidP="0082362E">
            <w:pPr>
              <w:jc w:val="center"/>
              <w:rPr>
                <w:rFonts w:cstheme="minorHAnsi"/>
              </w:rPr>
            </w:pPr>
            <w:r w:rsidRPr="00675182">
              <w:rPr>
                <w:rFonts w:cstheme="minorHAnsi"/>
              </w:rPr>
              <w:t>1,9</w:t>
            </w:r>
          </w:p>
        </w:tc>
      </w:tr>
      <w:tr w:rsidR="0082362E" w:rsidRPr="00675182" w14:paraId="725751C3" w14:textId="77777777" w:rsidTr="0082362E">
        <w:trPr>
          <w:trHeight w:val="300"/>
        </w:trPr>
        <w:tc>
          <w:tcPr>
            <w:tcW w:w="323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3F2BE30C" w14:textId="1C6AF958" w:rsidR="0082362E" w:rsidRPr="00675182" w:rsidRDefault="0082362E" w:rsidP="0082362E">
            <w:pPr>
              <w:jc w:val="center"/>
              <w:rPr>
                <w:rFonts w:cstheme="minorHAnsi"/>
                <w:color w:val="000000"/>
                <w:szCs w:val="24"/>
              </w:rPr>
            </w:pPr>
            <w:r w:rsidRPr="00675182">
              <w:rPr>
                <w:rFonts w:cstheme="minorHAnsi"/>
                <w:color w:val="000000"/>
                <w:szCs w:val="24"/>
              </w:rPr>
              <w:t>7220*</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11B224D8" w14:textId="4EEC6B40" w:rsidR="0082362E" w:rsidRPr="00675182" w:rsidRDefault="0082362E" w:rsidP="0082362E">
            <w:pPr>
              <w:jc w:val="center"/>
              <w:rPr>
                <w:rFonts w:cstheme="minorHAnsi"/>
                <w:color w:val="000000"/>
                <w:szCs w:val="24"/>
              </w:rPr>
            </w:pPr>
            <w:r w:rsidRPr="00675182">
              <w:rPr>
                <w:rFonts w:cstheme="minorHAnsi"/>
                <w:color w:val="000000"/>
                <w:szCs w:val="24"/>
              </w:rPr>
              <w:t>1/95/4/0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7A3C3201" w14:textId="5EDB5EA0" w:rsidR="0082362E" w:rsidRPr="00675182" w:rsidRDefault="0082362E" w:rsidP="0082362E">
            <w:pPr>
              <w:jc w:val="center"/>
              <w:rPr>
                <w:rFonts w:cstheme="minorHAnsi"/>
              </w:rPr>
            </w:pPr>
            <w:r w:rsidRPr="00675182">
              <w:rPr>
                <w:rFonts w:cstheme="minorHAnsi"/>
              </w:rPr>
              <w:t>7,4</w:t>
            </w:r>
          </w:p>
        </w:tc>
      </w:tr>
      <w:tr w:rsidR="0082362E" w:rsidRPr="00675182" w14:paraId="22EC5A35" w14:textId="77777777" w:rsidTr="0082362E">
        <w:trPr>
          <w:trHeight w:val="300"/>
        </w:trPr>
        <w:tc>
          <w:tcPr>
            <w:tcW w:w="323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69479C12" w14:textId="2A850391" w:rsidR="0082362E" w:rsidRPr="00675182" w:rsidRDefault="0082362E" w:rsidP="0082362E">
            <w:pPr>
              <w:jc w:val="center"/>
              <w:rPr>
                <w:rFonts w:cstheme="minorHAnsi"/>
                <w:color w:val="000000"/>
                <w:szCs w:val="24"/>
              </w:rPr>
            </w:pPr>
            <w:r w:rsidRPr="00675182">
              <w:rPr>
                <w:rFonts w:cstheme="minorHAnsi"/>
                <w:color w:val="000000"/>
                <w:szCs w:val="24"/>
              </w:rPr>
              <w:t>7220*</w:t>
            </w:r>
            <w:r w:rsidR="007109C7">
              <w:rPr>
                <w:rFonts w:cstheme="minorHAnsi"/>
                <w:color w:val="000000"/>
                <w:szCs w:val="24"/>
              </w:rPr>
              <w:t>*</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7B3B5D50" w14:textId="7FACA8B8" w:rsidR="0082362E" w:rsidRPr="00675182" w:rsidRDefault="0082362E" w:rsidP="0082362E">
            <w:pPr>
              <w:jc w:val="center"/>
              <w:rPr>
                <w:rFonts w:cstheme="minorHAnsi"/>
                <w:color w:val="000000"/>
                <w:szCs w:val="24"/>
              </w:rPr>
            </w:pPr>
            <w:r w:rsidRPr="00675182">
              <w:rPr>
                <w:rFonts w:cstheme="minorHAnsi"/>
                <w:color w:val="000000"/>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2F77D327" w14:textId="1DD18B63" w:rsidR="0082362E" w:rsidRPr="00675182" w:rsidRDefault="0082362E" w:rsidP="0082362E">
            <w:pPr>
              <w:jc w:val="center"/>
              <w:rPr>
                <w:rFonts w:cstheme="minorHAnsi"/>
              </w:rPr>
            </w:pPr>
            <w:r w:rsidRPr="00675182">
              <w:rPr>
                <w:rFonts w:cstheme="minorHAnsi"/>
              </w:rPr>
              <w:t>0,1</w:t>
            </w:r>
          </w:p>
        </w:tc>
      </w:tr>
      <w:tr w:rsidR="0082362E" w:rsidRPr="00675182" w14:paraId="1B5ACCA5" w14:textId="77777777" w:rsidTr="0082362E">
        <w:trPr>
          <w:trHeight w:val="300"/>
        </w:trPr>
        <w:tc>
          <w:tcPr>
            <w:tcW w:w="323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29E83C7" w14:textId="05698EF7" w:rsidR="0082362E" w:rsidRPr="00675182" w:rsidRDefault="0082362E" w:rsidP="0082362E">
            <w:pPr>
              <w:jc w:val="center"/>
              <w:rPr>
                <w:rFonts w:cstheme="minorHAnsi"/>
                <w:color w:val="000000"/>
                <w:szCs w:val="24"/>
              </w:rPr>
            </w:pPr>
            <w:r w:rsidRPr="00675182">
              <w:rPr>
                <w:rFonts w:cstheme="minorHAnsi"/>
                <w:color w:val="000000"/>
                <w:szCs w:val="24"/>
              </w:rPr>
              <w:t>7230_1</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46325E68" w14:textId="3D9E55F9" w:rsidR="0082362E" w:rsidRPr="00675182" w:rsidRDefault="0082362E" w:rsidP="0082362E">
            <w:pPr>
              <w:jc w:val="center"/>
              <w:rPr>
                <w:rFonts w:cstheme="minorHAnsi"/>
                <w:color w:val="000000"/>
                <w:szCs w:val="24"/>
              </w:rPr>
            </w:pPr>
            <w:r w:rsidRPr="00675182">
              <w:rPr>
                <w:rFonts w:cstheme="minorHAnsi"/>
                <w:color w:val="000000"/>
                <w:szCs w:val="24"/>
              </w:rPr>
              <w:t>-</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155C9207" w14:textId="7E550CCB" w:rsidR="0082362E" w:rsidRPr="00675182" w:rsidRDefault="0082362E" w:rsidP="0082362E">
            <w:pPr>
              <w:jc w:val="center"/>
              <w:rPr>
                <w:rFonts w:cstheme="minorHAnsi"/>
              </w:rPr>
            </w:pPr>
            <w:r w:rsidRPr="00675182">
              <w:rPr>
                <w:rFonts w:cstheme="minorHAnsi"/>
              </w:rPr>
              <w:t>0,7</w:t>
            </w:r>
          </w:p>
        </w:tc>
      </w:tr>
    </w:tbl>
    <w:bookmarkEnd w:id="69"/>
    <w:p w14:paraId="486C4138" w14:textId="734995F4" w:rsidR="008639E1" w:rsidRPr="00675182" w:rsidRDefault="0082362E" w:rsidP="0082362E">
      <w:pPr>
        <w:suppressAutoHyphens w:val="0"/>
        <w:rPr>
          <w:rFonts w:cstheme="minorHAnsi"/>
          <w:b/>
          <w:szCs w:val="24"/>
        </w:rPr>
        <w:sectPr w:rsidR="008639E1" w:rsidRPr="00675182" w:rsidSect="00CD74B1">
          <w:headerReference w:type="default" r:id="rId208"/>
          <w:pgSz w:w="11905" w:h="16837"/>
          <w:pgMar w:top="1440" w:right="1797" w:bottom="1440" w:left="1797" w:header="720" w:footer="720" w:gutter="0"/>
          <w:cols w:space="720"/>
          <w:docGrid w:linePitch="360"/>
        </w:sectPr>
      </w:pPr>
      <w:r w:rsidRPr="00675182">
        <w:rPr>
          <w:rFonts w:cstheme="minorHAnsi"/>
          <w:bCs/>
          <w:szCs w:val="24"/>
        </w:rPr>
        <w:t>*</w:t>
      </w:r>
      <w:r w:rsidR="007109C7">
        <w:rPr>
          <w:rFonts w:cstheme="minorHAnsi"/>
          <w:bCs/>
          <w:szCs w:val="24"/>
        </w:rPr>
        <w:t>*</w:t>
      </w:r>
      <w:r w:rsidRPr="00675182">
        <w:rPr>
          <w:rFonts w:cstheme="minorHAnsi"/>
          <w:bCs/>
          <w:szCs w:val="24"/>
        </w:rPr>
        <w:t xml:space="preserve"> - </w:t>
      </w:r>
      <w:r w:rsidRPr="00675182">
        <w:rPr>
          <w:bCs/>
        </w:rPr>
        <w:t>Biotopa</w:t>
      </w:r>
      <w:r w:rsidRPr="00675182">
        <w:t xml:space="preserve"> kvalitātes vērtējuma informācija nav pieejama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7"/>
      </w:tblGrid>
      <w:tr w:rsidR="003921F7" w:rsidRPr="00675182" w14:paraId="66191FA4" w14:textId="77777777" w:rsidTr="003921F7">
        <w:tc>
          <w:tcPr>
            <w:tcW w:w="13947" w:type="dxa"/>
          </w:tcPr>
          <w:p w14:paraId="1BCEC2F0" w14:textId="5763D736" w:rsidR="003921F7" w:rsidRPr="00675182" w:rsidRDefault="00574289" w:rsidP="005F36B9">
            <w:pPr>
              <w:jc w:val="both"/>
              <w:rPr>
                <w:rFonts w:cstheme="minorHAnsi"/>
                <w:b/>
                <w:szCs w:val="24"/>
              </w:rPr>
            </w:pPr>
            <w:r w:rsidRPr="00675182">
              <w:rPr>
                <w:noProof/>
              </w:rPr>
              <w:lastRenderedPageBreak/>
              <w:drawing>
                <wp:inline distT="0" distB="0" distL="0" distR="0" wp14:anchorId="7C86A37D" wp14:editId="2549CE1C">
                  <wp:extent cx="7121858" cy="5040000"/>
                  <wp:effectExtent l="0" t="0" r="3175" b="8255"/>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7121858" cy="5040000"/>
                          </a:xfrm>
                          <a:prstGeom prst="rect">
                            <a:avLst/>
                          </a:prstGeom>
                          <a:noFill/>
                          <a:ln>
                            <a:noFill/>
                          </a:ln>
                        </pic:spPr>
                      </pic:pic>
                    </a:graphicData>
                  </a:graphic>
                </wp:inline>
              </w:drawing>
            </w:r>
          </w:p>
        </w:tc>
      </w:tr>
      <w:tr w:rsidR="003921F7" w:rsidRPr="00675182" w14:paraId="600C21AD" w14:textId="77777777" w:rsidTr="003921F7">
        <w:tc>
          <w:tcPr>
            <w:tcW w:w="13947" w:type="dxa"/>
          </w:tcPr>
          <w:p w14:paraId="6CDFC818" w14:textId="3F0EF76F" w:rsidR="003921F7" w:rsidRPr="00675182" w:rsidRDefault="003921F7" w:rsidP="003921F7">
            <w:pPr>
              <w:jc w:val="both"/>
              <w:rPr>
                <w:rFonts w:cstheme="minorHAnsi"/>
                <w:b/>
                <w:szCs w:val="24"/>
              </w:rPr>
            </w:pPr>
            <w:r w:rsidRPr="00675182">
              <w:rPr>
                <w:rFonts w:cstheme="minorHAnsi"/>
                <w:b/>
                <w:i/>
                <w:iCs/>
                <w:szCs w:val="24"/>
              </w:rPr>
              <w:t>2.3.</w:t>
            </w:r>
            <w:r w:rsidR="00D64847" w:rsidRPr="00675182">
              <w:rPr>
                <w:rFonts w:cstheme="minorHAnsi"/>
                <w:b/>
                <w:i/>
                <w:iCs/>
                <w:szCs w:val="24"/>
              </w:rPr>
              <w:t>56</w:t>
            </w:r>
            <w:r w:rsidRPr="00675182">
              <w:rPr>
                <w:rFonts w:cstheme="minorHAnsi"/>
                <w:b/>
                <w:i/>
                <w:iCs/>
                <w:szCs w:val="24"/>
              </w:rPr>
              <w:t xml:space="preserve">. attēls. ES </w:t>
            </w:r>
            <w:r w:rsidR="007109C7">
              <w:rPr>
                <w:rFonts w:cstheme="minorHAnsi"/>
                <w:b/>
                <w:i/>
                <w:iCs/>
                <w:szCs w:val="24"/>
              </w:rPr>
              <w:t xml:space="preserve">nozīmes </w:t>
            </w:r>
            <w:r w:rsidRPr="00675182">
              <w:rPr>
                <w:rFonts w:cstheme="minorHAnsi"/>
                <w:b/>
                <w:i/>
                <w:iCs/>
                <w:szCs w:val="24"/>
              </w:rPr>
              <w:t>purvu biotopu izvietojums funkcionālajās zonās GNP teritorijā</w:t>
            </w:r>
          </w:p>
        </w:tc>
      </w:tr>
    </w:tbl>
    <w:p w14:paraId="571EBF58" w14:textId="77777777" w:rsidR="008639E1" w:rsidRPr="00675182" w:rsidRDefault="008639E1">
      <w:pPr>
        <w:suppressAutoHyphens w:val="0"/>
        <w:rPr>
          <w:rFonts w:cstheme="minorHAnsi"/>
          <w:b/>
          <w:szCs w:val="24"/>
        </w:rPr>
        <w:sectPr w:rsidR="008639E1" w:rsidRPr="00675182" w:rsidSect="008639E1">
          <w:headerReference w:type="default" r:id="rId210"/>
          <w:pgSz w:w="16837" w:h="11905" w:orient="landscape"/>
          <w:pgMar w:top="1797" w:right="1440" w:bottom="1797" w:left="1440" w:header="720" w:footer="720" w:gutter="0"/>
          <w:cols w:space="720"/>
          <w:docGrid w:linePitch="360"/>
        </w:sectPr>
      </w:pPr>
    </w:p>
    <w:p w14:paraId="4009B083" w14:textId="77777777" w:rsidR="005F36B9" w:rsidRPr="00675182" w:rsidRDefault="005F36B9" w:rsidP="00FA4A9C">
      <w:pPr>
        <w:jc w:val="both"/>
        <w:rPr>
          <w:rFonts w:cstheme="minorHAnsi"/>
          <w:b/>
          <w:szCs w:val="24"/>
        </w:rPr>
      </w:pPr>
    </w:p>
    <w:p w14:paraId="0FB6B29F" w14:textId="77777777" w:rsidR="00F65CAF" w:rsidRPr="00675182" w:rsidRDefault="00F65CAF" w:rsidP="00F65CAF">
      <w:pPr>
        <w:jc w:val="both"/>
        <w:rPr>
          <w:rFonts w:cstheme="minorHAnsi"/>
          <w:bCs/>
          <w:szCs w:val="24"/>
          <w:u w:val="single"/>
        </w:rPr>
      </w:pPr>
      <w:r w:rsidRPr="00675182">
        <w:rPr>
          <w:rFonts w:cstheme="minorHAnsi"/>
          <w:bCs/>
          <w:szCs w:val="24"/>
          <w:u w:val="single"/>
        </w:rPr>
        <w:t xml:space="preserve">7110* </w:t>
      </w:r>
      <w:r w:rsidRPr="00675182">
        <w:rPr>
          <w:rFonts w:cstheme="minorHAnsi"/>
          <w:bCs/>
          <w:i/>
          <w:iCs/>
          <w:szCs w:val="24"/>
          <w:u w:val="single"/>
        </w:rPr>
        <w:t>Aktīvi augstie purvi</w:t>
      </w:r>
    </w:p>
    <w:p w14:paraId="6EEF3B46" w14:textId="47973054" w:rsidR="00F65CAF" w:rsidRPr="00675182" w:rsidRDefault="00F65CAF" w:rsidP="00F65CAF">
      <w:pPr>
        <w:jc w:val="both"/>
        <w:rPr>
          <w:rFonts w:cstheme="minorHAnsi"/>
          <w:bCs/>
          <w:szCs w:val="24"/>
        </w:rPr>
      </w:pPr>
      <w:r w:rsidRPr="00675182">
        <w:rPr>
          <w:rFonts w:cstheme="minorHAnsi"/>
          <w:bCs/>
          <w:szCs w:val="24"/>
        </w:rPr>
        <w:t>Biotopa veids sastop</w:t>
      </w:r>
      <w:r w:rsidR="00D226C8" w:rsidRPr="00675182">
        <w:rPr>
          <w:rFonts w:cstheme="minorHAnsi"/>
          <w:bCs/>
          <w:szCs w:val="24"/>
        </w:rPr>
        <w:t>a</w:t>
      </w:r>
      <w:r w:rsidRPr="00675182">
        <w:rPr>
          <w:rFonts w:cstheme="minorHAnsi"/>
          <w:bCs/>
          <w:szCs w:val="24"/>
        </w:rPr>
        <w:t xml:space="preserve">ms gandrīz visos GNP augstajos purvos – Sudas, Apiņu, Tavaiņa, Baukalnu, Dreimaņu, Gulbju salas, Kurmju, Kreiļu, nelielās platībās ar būtiski ietekmētu hidroloģisko režīmu arī Marijas kalna purvā. Lielākās biotopa platības konstatētas Sudas – Zviedru purva kompleksā, kur šis biotops aizņem 1972,39 ha. Praktiski visu GNP augsto purvu hidroloģisko režīmu </w:t>
      </w:r>
      <w:r w:rsidR="00D226C8" w:rsidRPr="00675182">
        <w:rPr>
          <w:rFonts w:cstheme="minorHAnsi"/>
          <w:bCs/>
          <w:szCs w:val="24"/>
        </w:rPr>
        <w:t>dažādā</w:t>
      </w:r>
      <w:r w:rsidRPr="00675182">
        <w:rPr>
          <w:rFonts w:cstheme="minorHAnsi"/>
          <w:bCs/>
          <w:szCs w:val="24"/>
        </w:rPr>
        <w:t xml:space="preserve"> pakāpē ietekmē purvu malās vai purvu platībā ierīkotie meliorācijas grāvji, vairākos purvos arī senāk veiktā kūdras ieguve un ar to saistītā platību nosusināšana.</w:t>
      </w:r>
    </w:p>
    <w:p w14:paraId="6AC1F180" w14:textId="77777777" w:rsidR="00F65CAF" w:rsidRPr="00675182" w:rsidRDefault="00F65CAF" w:rsidP="00F65CAF">
      <w:pPr>
        <w:jc w:val="both"/>
        <w:rPr>
          <w:rFonts w:cstheme="minorHAnsi"/>
          <w:bCs/>
          <w:szCs w:val="24"/>
        </w:rPr>
      </w:pPr>
    </w:p>
    <w:p w14:paraId="2D5AAC1E" w14:textId="77777777" w:rsidR="00F65CAF" w:rsidRPr="00675182" w:rsidRDefault="00F65CAF" w:rsidP="00F65CAF">
      <w:pPr>
        <w:jc w:val="both"/>
        <w:rPr>
          <w:rFonts w:cstheme="minorHAnsi"/>
          <w:bCs/>
          <w:szCs w:val="24"/>
          <w:u w:val="single"/>
        </w:rPr>
      </w:pPr>
      <w:r w:rsidRPr="00675182">
        <w:rPr>
          <w:rFonts w:cstheme="minorHAnsi"/>
          <w:bCs/>
          <w:szCs w:val="24"/>
          <w:u w:val="single"/>
        </w:rPr>
        <w:t xml:space="preserve">7120 </w:t>
      </w:r>
      <w:r w:rsidRPr="00675182">
        <w:rPr>
          <w:rFonts w:cstheme="minorHAnsi"/>
          <w:bCs/>
          <w:i/>
          <w:iCs/>
          <w:szCs w:val="24"/>
          <w:u w:val="single"/>
        </w:rPr>
        <w:t>Degradēti augstie purvi, kuros iespējama vai noris dabiska atjaunošanās</w:t>
      </w:r>
    </w:p>
    <w:p w14:paraId="64BBC7F1" w14:textId="47F04C63" w:rsidR="00F65CAF" w:rsidRDefault="00F65CAF" w:rsidP="00F65CAF">
      <w:pPr>
        <w:jc w:val="both"/>
        <w:rPr>
          <w:rFonts w:cstheme="minorHAnsi"/>
          <w:bCs/>
          <w:szCs w:val="24"/>
        </w:rPr>
      </w:pPr>
      <w:r w:rsidRPr="00675182">
        <w:rPr>
          <w:rFonts w:cstheme="minorHAnsi"/>
          <w:bCs/>
          <w:szCs w:val="24"/>
        </w:rPr>
        <w:t xml:space="preserve">Biotopa platības konstatētas desmit augsto purvu kompleksos - Apiņu, Tavaiņa, Baukalnu, Dreimaņu, Gulbju salas, Kurmju, Kreiļu, Marijas kalna un Ungura purvā, kā arī nelielās platībās Sudas – Zviedru purvā, biotopa aizņemtā platība veido </w:t>
      </w:r>
      <w:r w:rsidR="000C7BC0" w:rsidRPr="000C7BC0">
        <w:rPr>
          <w:rFonts w:cstheme="minorHAnsi"/>
          <w:bCs/>
          <w:szCs w:val="24"/>
        </w:rPr>
        <w:t>40</w:t>
      </w:r>
      <w:r w:rsidR="000C7BC0">
        <w:rPr>
          <w:rFonts w:cstheme="minorHAnsi"/>
          <w:bCs/>
          <w:szCs w:val="24"/>
        </w:rPr>
        <w:t xml:space="preserve">6 ha. </w:t>
      </w:r>
    </w:p>
    <w:p w14:paraId="68AF5E62" w14:textId="77777777" w:rsidR="000C7BC0" w:rsidRPr="00675182" w:rsidRDefault="000C7BC0" w:rsidP="00F65CAF">
      <w:pPr>
        <w:jc w:val="both"/>
        <w:rPr>
          <w:rFonts w:cstheme="minorHAnsi"/>
          <w:bCs/>
          <w:szCs w:val="24"/>
        </w:rPr>
      </w:pPr>
    </w:p>
    <w:p w14:paraId="12F25BF2" w14:textId="77777777" w:rsidR="00F65CAF" w:rsidRPr="00675182" w:rsidRDefault="00F65CAF" w:rsidP="00F65CAF">
      <w:pPr>
        <w:jc w:val="both"/>
        <w:rPr>
          <w:rFonts w:cstheme="minorHAnsi"/>
          <w:bCs/>
          <w:szCs w:val="24"/>
          <w:u w:val="single"/>
        </w:rPr>
      </w:pPr>
      <w:r w:rsidRPr="00675182">
        <w:rPr>
          <w:rFonts w:cstheme="minorHAnsi"/>
          <w:bCs/>
          <w:szCs w:val="24"/>
          <w:u w:val="single"/>
        </w:rPr>
        <w:t xml:space="preserve">7140* </w:t>
      </w:r>
      <w:r w:rsidRPr="00675182">
        <w:rPr>
          <w:rFonts w:cstheme="minorHAnsi"/>
          <w:bCs/>
          <w:i/>
          <w:iCs/>
          <w:szCs w:val="24"/>
          <w:u w:val="single"/>
        </w:rPr>
        <w:t>Parejas purvi un slīkšņas</w:t>
      </w:r>
    </w:p>
    <w:p w14:paraId="76BDFBE6" w14:textId="4B66CDD5" w:rsidR="00F65CAF" w:rsidRPr="00675182" w:rsidRDefault="00F65CAF" w:rsidP="00F65CAF">
      <w:pPr>
        <w:jc w:val="both"/>
        <w:rPr>
          <w:rFonts w:cstheme="minorHAnsi"/>
          <w:bCs/>
          <w:szCs w:val="24"/>
        </w:rPr>
      </w:pPr>
      <w:r w:rsidRPr="00675182">
        <w:rPr>
          <w:rFonts w:cstheme="minorHAnsi"/>
          <w:bCs/>
          <w:szCs w:val="24"/>
        </w:rPr>
        <w:t>Biotops GNP konstatēts</w:t>
      </w:r>
      <w:r w:rsidR="003E2BE2" w:rsidRPr="00675182">
        <w:rPr>
          <w:rFonts w:cstheme="minorHAnsi"/>
          <w:bCs/>
          <w:szCs w:val="24"/>
        </w:rPr>
        <w:t xml:space="preserve"> </w:t>
      </w:r>
      <w:r w:rsidR="009F10FF" w:rsidRPr="00675182">
        <w:t xml:space="preserve">gandrīz </w:t>
      </w:r>
      <w:r w:rsidR="003E2BE2" w:rsidRPr="00675182">
        <w:rPr>
          <w:rFonts w:cstheme="minorHAnsi"/>
          <w:bCs/>
          <w:szCs w:val="24"/>
        </w:rPr>
        <w:t>180</w:t>
      </w:r>
      <w:r w:rsidRPr="00675182">
        <w:rPr>
          <w:rFonts w:cstheme="minorHAnsi"/>
          <w:bCs/>
          <w:szCs w:val="24"/>
        </w:rPr>
        <w:t xml:space="preserve"> ha platībā. Nozīmīgākās biotopa platības – aptuveni 70 %, veido biotopa 2. variants, kas veidojas aizaugot un pāraugot ezeriem.</w:t>
      </w:r>
    </w:p>
    <w:p w14:paraId="71758E1A" w14:textId="77777777" w:rsidR="00F65CAF" w:rsidRPr="00675182" w:rsidRDefault="00F65CAF" w:rsidP="00F65CAF">
      <w:pPr>
        <w:jc w:val="both"/>
        <w:rPr>
          <w:rFonts w:cstheme="minorHAnsi"/>
          <w:bCs/>
          <w:szCs w:val="24"/>
        </w:rPr>
      </w:pPr>
    </w:p>
    <w:p w14:paraId="45D97CD9" w14:textId="77777777" w:rsidR="00F65CAF" w:rsidRPr="00675182" w:rsidRDefault="00F65CAF" w:rsidP="00F65CAF">
      <w:pPr>
        <w:jc w:val="both"/>
        <w:rPr>
          <w:rFonts w:cstheme="minorHAnsi"/>
          <w:bCs/>
          <w:i/>
          <w:iCs/>
          <w:szCs w:val="24"/>
          <w:u w:val="single"/>
        </w:rPr>
      </w:pPr>
      <w:r w:rsidRPr="00675182">
        <w:rPr>
          <w:rFonts w:cstheme="minorHAnsi"/>
          <w:bCs/>
          <w:szCs w:val="24"/>
          <w:u w:val="single"/>
        </w:rPr>
        <w:t xml:space="preserve">7160 </w:t>
      </w:r>
      <w:r w:rsidRPr="00675182">
        <w:rPr>
          <w:rFonts w:cstheme="minorHAnsi"/>
          <w:bCs/>
          <w:i/>
          <w:iCs/>
          <w:szCs w:val="24"/>
          <w:u w:val="single"/>
        </w:rPr>
        <w:t>Minerālvielām bagāti avoti un avotu purvi</w:t>
      </w:r>
    </w:p>
    <w:p w14:paraId="43975EFB" w14:textId="2C7A415F" w:rsidR="00F65CAF" w:rsidRPr="00675182" w:rsidRDefault="00F65CAF" w:rsidP="00F65CAF">
      <w:pPr>
        <w:jc w:val="both"/>
        <w:rPr>
          <w:rFonts w:cstheme="minorHAnsi"/>
          <w:bCs/>
          <w:szCs w:val="24"/>
        </w:rPr>
      </w:pPr>
      <w:r w:rsidRPr="00675182">
        <w:rPr>
          <w:rFonts w:cstheme="minorHAnsi"/>
          <w:bCs/>
          <w:szCs w:val="24"/>
        </w:rPr>
        <w:t xml:space="preserve">Šis biotopa veids GNP sastopams gravu nogāzēs, terasēs, upju un vecupju krastos, kā arī palieņu teritorijās. Biotops </w:t>
      </w:r>
      <w:r w:rsidR="007B438B">
        <w:rPr>
          <w:rFonts w:cstheme="minorHAnsi"/>
          <w:bCs/>
          <w:szCs w:val="24"/>
        </w:rPr>
        <w:t>GNP</w:t>
      </w:r>
      <w:r w:rsidRPr="00675182">
        <w:rPr>
          <w:rFonts w:cstheme="minorHAnsi"/>
          <w:bCs/>
          <w:szCs w:val="24"/>
        </w:rPr>
        <w:t xml:space="preserve"> konstatēts </w:t>
      </w:r>
      <w:r w:rsidR="00DA210A" w:rsidRPr="00675182">
        <w:rPr>
          <w:rFonts w:cstheme="minorHAnsi"/>
          <w:bCs/>
          <w:szCs w:val="24"/>
        </w:rPr>
        <w:t>gandrīz</w:t>
      </w:r>
      <w:r w:rsidR="009F10FF" w:rsidRPr="00675182">
        <w:rPr>
          <w:rFonts w:cstheme="minorHAnsi"/>
          <w:bCs/>
          <w:szCs w:val="24"/>
        </w:rPr>
        <w:t xml:space="preserve"> 190 ha platībā</w:t>
      </w:r>
      <w:r w:rsidRPr="00675182">
        <w:rPr>
          <w:rFonts w:cstheme="minorHAnsi"/>
          <w:bCs/>
          <w:szCs w:val="24"/>
        </w:rPr>
        <w:t xml:space="preserve">, ko veido gandrīz 400 biotopa atradnes. Biotopa platība </w:t>
      </w:r>
      <w:r w:rsidR="00D226C8" w:rsidRPr="00675182">
        <w:rPr>
          <w:rFonts w:cstheme="minorHAnsi"/>
          <w:bCs/>
          <w:szCs w:val="24"/>
        </w:rPr>
        <w:t>nereti</w:t>
      </w:r>
      <w:r w:rsidRPr="00675182">
        <w:rPr>
          <w:rFonts w:cstheme="minorHAnsi"/>
          <w:bCs/>
          <w:szCs w:val="24"/>
        </w:rPr>
        <w:t xml:space="preserve"> pārklājas ar meža platībām, tāpat pieejama informācija, ka biotopa platības senāk izmantotas kā pļavas un ganības.</w:t>
      </w:r>
    </w:p>
    <w:p w14:paraId="2123AE55" w14:textId="77777777" w:rsidR="00F65CAF" w:rsidRPr="00675182" w:rsidRDefault="00F65CAF" w:rsidP="00F65CAF">
      <w:pPr>
        <w:jc w:val="both"/>
        <w:rPr>
          <w:rFonts w:cstheme="minorHAnsi"/>
          <w:bCs/>
          <w:szCs w:val="24"/>
        </w:rPr>
      </w:pPr>
    </w:p>
    <w:p w14:paraId="70E3C2F9" w14:textId="77777777" w:rsidR="00F65CAF" w:rsidRPr="00675182" w:rsidRDefault="00F65CAF" w:rsidP="00F65CAF">
      <w:pPr>
        <w:jc w:val="both"/>
        <w:rPr>
          <w:rFonts w:cstheme="minorHAnsi"/>
          <w:bCs/>
          <w:szCs w:val="24"/>
          <w:u w:val="single"/>
        </w:rPr>
      </w:pPr>
      <w:r w:rsidRPr="00675182">
        <w:rPr>
          <w:rFonts w:cstheme="minorHAnsi"/>
          <w:bCs/>
          <w:szCs w:val="24"/>
          <w:u w:val="single"/>
        </w:rPr>
        <w:t xml:space="preserve">7220* </w:t>
      </w:r>
      <w:r w:rsidRPr="00675182">
        <w:rPr>
          <w:rFonts w:cstheme="minorHAnsi"/>
          <w:bCs/>
          <w:i/>
          <w:iCs/>
          <w:szCs w:val="24"/>
          <w:u w:val="single"/>
        </w:rPr>
        <w:t>Avoti, kas veido avotkaļķus</w:t>
      </w:r>
    </w:p>
    <w:p w14:paraId="6CBBD153" w14:textId="0EDDB7E4" w:rsidR="00F65CAF" w:rsidRPr="00675182" w:rsidRDefault="00F65CAF" w:rsidP="00F65CAF">
      <w:pPr>
        <w:jc w:val="both"/>
        <w:rPr>
          <w:rFonts w:cstheme="minorHAnsi"/>
          <w:bCs/>
          <w:szCs w:val="24"/>
        </w:rPr>
      </w:pPr>
      <w:r w:rsidRPr="00675182">
        <w:rPr>
          <w:rFonts w:cstheme="minorHAnsi"/>
          <w:bCs/>
          <w:szCs w:val="24"/>
        </w:rPr>
        <w:t xml:space="preserve">Biotops nelielās platībās sastopams Gaujas un tās pieteku – Raunas, Amatas, Līgatnes, Vildogas, Vējupītes gravu un krastu </w:t>
      </w:r>
      <w:r w:rsidR="00D226C8" w:rsidRPr="00675182">
        <w:rPr>
          <w:rFonts w:cstheme="minorHAnsi"/>
          <w:bCs/>
          <w:szCs w:val="24"/>
        </w:rPr>
        <w:t>nogāzēs</w:t>
      </w:r>
      <w:r w:rsidRPr="00675182">
        <w:rPr>
          <w:rFonts w:cstheme="minorHAnsi"/>
          <w:bCs/>
          <w:szCs w:val="24"/>
        </w:rPr>
        <w:t>, kā arī citur gravu nogāzēs</w:t>
      </w:r>
      <w:r w:rsidR="00A37457" w:rsidRPr="00675182">
        <w:rPr>
          <w:rFonts w:cstheme="minorHAnsi"/>
          <w:bCs/>
          <w:szCs w:val="24"/>
        </w:rPr>
        <w:t>, piemēram, Kazugravā</w:t>
      </w:r>
      <w:r w:rsidRPr="00675182">
        <w:rPr>
          <w:rFonts w:cstheme="minorHAnsi"/>
          <w:bCs/>
          <w:szCs w:val="24"/>
        </w:rPr>
        <w:t xml:space="preserve">. Kopumā konstatēti </w:t>
      </w:r>
      <w:r w:rsidR="003E2BE2" w:rsidRPr="00675182">
        <w:rPr>
          <w:rFonts w:cstheme="minorHAnsi"/>
          <w:bCs/>
          <w:szCs w:val="24"/>
        </w:rPr>
        <w:t>32</w:t>
      </w:r>
      <w:r w:rsidRPr="00675182">
        <w:rPr>
          <w:rFonts w:cstheme="minorHAnsi"/>
          <w:bCs/>
          <w:szCs w:val="24"/>
        </w:rPr>
        <w:t xml:space="preserve"> šī biotopa poligonu, kas </w:t>
      </w:r>
      <w:r w:rsidR="00D93B0B" w:rsidRPr="00675182">
        <w:rPr>
          <w:rFonts w:cstheme="minorHAnsi"/>
          <w:bCs/>
          <w:szCs w:val="24"/>
        </w:rPr>
        <w:t>aizņem</w:t>
      </w:r>
      <w:r w:rsidRPr="00675182">
        <w:rPr>
          <w:rFonts w:cstheme="minorHAnsi"/>
          <w:bCs/>
          <w:szCs w:val="24"/>
        </w:rPr>
        <w:t xml:space="preserve"> </w:t>
      </w:r>
      <w:r w:rsidR="003E2BE2" w:rsidRPr="00675182">
        <w:rPr>
          <w:rFonts w:cstheme="minorHAnsi"/>
          <w:bCs/>
          <w:szCs w:val="24"/>
        </w:rPr>
        <w:t>8</w:t>
      </w:r>
      <w:r w:rsidRPr="00675182">
        <w:rPr>
          <w:rFonts w:cstheme="minorHAnsi"/>
          <w:bCs/>
          <w:szCs w:val="24"/>
        </w:rPr>
        <w:t>,</w:t>
      </w:r>
      <w:r w:rsidR="00DA210A" w:rsidRPr="00675182">
        <w:rPr>
          <w:rFonts w:cstheme="minorHAnsi"/>
          <w:bCs/>
          <w:szCs w:val="24"/>
        </w:rPr>
        <w:t>7</w:t>
      </w:r>
      <w:r w:rsidRPr="00675182">
        <w:rPr>
          <w:rFonts w:cstheme="minorHAnsi"/>
          <w:bCs/>
          <w:szCs w:val="24"/>
        </w:rPr>
        <w:t xml:space="preserve"> ha platību.</w:t>
      </w:r>
    </w:p>
    <w:p w14:paraId="7C5A5B8E" w14:textId="77777777" w:rsidR="00F65CAF" w:rsidRPr="00675182" w:rsidRDefault="00F65CAF" w:rsidP="00F65CAF">
      <w:pPr>
        <w:jc w:val="both"/>
        <w:rPr>
          <w:rFonts w:cstheme="minorHAnsi"/>
          <w:bCs/>
          <w:szCs w:val="24"/>
        </w:rPr>
      </w:pPr>
    </w:p>
    <w:p w14:paraId="317740E9" w14:textId="77777777" w:rsidR="00F65CAF" w:rsidRPr="00675182" w:rsidRDefault="00F65CAF" w:rsidP="00F65CAF">
      <w:pPr>
        <w:jc w:val="both"/>
        <w:rPr>
          <w:rFonts w:cstheme="minorHAnsi"/>
          <w:bCs/>
          <w:i/>
          <w:iCs/>
          <w:szCs w:val="24"/>
          <w:u w:val="single"/>
        </w:rPr>
      </w:pPr>
      <w:r w:rsidRPr="00675182">
        <w:rPr>
          <w:rFonts w:cstheme="minorHAnsi"/>
          <w:bCs/>
          <w:szCs w:val="24"/>
          <w:u w:val="single"/>
        </w:rPr>
        <w:t xml:space="preserve">7230 </w:t>
      </w:r>
      <w:r w:rsidRPr="00675182">
        <w:rPr>
          <w:rFonts w:cstheme="minorHAnsi"/>
          <w:bCs/>
          <w:i/>
          <w:iCs/>
          <w:szCs w:val="24"/>
          <w:u w:val="single"/>
        </w:rPr>
        <w:t>Kaļķaini zāļu purvi</w:t>
      </w:r>
    </w:p>
    <w:p w14:paraId="4701FAE5" w14:textId="5A841187" w:rsidR="00F65CAF" w:rsidRPr="00675182" w:rsidRDefault="00F65CAF" w:rsidP="00F65CAF">
      <w:pPr>
        <w:jc w:val="both"/>
        <w:rPr>
          <w:rFonts w:cstheme="minorHAnsi"/>
          <w:bCs/>
          <w:szCs w:val="24"/>
        </w:rPr>
      </w:pPr>
      <w:r w:rsidRPr="00675182">
        <w:rPr>
          <w:rFonts w:cstheme="minorHAnsi"/>
          <w:bCs/>
          <w:szCs w:val="24"/>
        </w:rPr>
        <w:t xml:space="preserve">GNP </w:t>
      </w:r>
      <w:r w:rsidR="00D93B0B" w:rsidRPr="00675182">
        <w:rPr>
          <w:rFonts w:cstheme="minorHAnsi"/>
          <w:bCs/>
          <w:szCs w:val="24"/>
        </w:rPr>
        <w:t>teritorijā</w:t>
      </w:r>
      <w:r w:rsidRPr="00675182">
        <w:rPr>
          <w:rFonts w:cstheme="minorHAnsi"/>
          <w:bCs/>
          <w:szCs w:val="24"/>
        </w:rPr>
        <w:t xml:space="preserve"> biotops konstatēts tikai vienā vietā Vaives kreisajā krastā netālu no Kalauzu dzirnavām, biotopa aizņemtā platība ir 0,7 ha. </w:t>
      </w:r>
    </w:p>
    <w:p w14:paraId="17A15238" w14:textId="22DBF095" w:rsidR="0042146D" w:rsidRPr="00675182" w:rsidRDefault="0042146D" w:rsidP="00F65CAF">
      <w:pPr>
        <w:jc w:val="both"/>
        <w:rPr>
          <w:rFonts w:cstheme="minorHAnsi"/>
          <w:bCs/>
          <w:szCs w:val="24"/>
        </w:rPr>
      </w:pPr>
    </w:p>
    <w:p w14:paraId="56763410" w14:textId="77777777" w:rsidR="0042146D" w:rsidRPr="00675182" w:rsidRDefault="0042146D" w:rsidP="0042146D">
      <w:pPr>
        <w:spacing w:before="120"/>
        <w:jc w:val="both"/>
        <w:rPr>
          <w:rFonts w:cstheme="minorHAnsi"/>
          <w:bCs/>
          <w:szCs w:val="24"/>
        </w:rPr>
      </w:pPr>
      <w:r w:rsidRPr="00675182">
        <w:rPr>
          <w:rFonts w:cstheme="minorHAnsi"/>
          <w:bCs/>
          <w:szCs w:val="24"/>
        </w:rPr>
        <w:t>GNP purvu, avoksnāju un avotu purvu platības dažādu projektu ietvaros veikti pasākumi hidroloģiskā režīma atjaunošanai, apmeklētāju slodzes ietekmes mazināšanai un aizsargājamo un reto sugu dzīvotņu kvalitātes uzlabošanai.</w:t>
      </w:r>
    </w:p>
    <w:p w14:paraId="0FB8314B" w14:textId="77777777" w:rsidR="0042146D" w:rsidRPr="00675182" w:rsidRDefault="0042146D" w:rsidP="0042146D">
      <w:pPr>
        <w:spacing w:before="120"/>
        <w:jc w:val="both"/>
        <w:rPr>
          <w:rFonts w:cstheme="minorHAnsi"/>
          <w:bCs/>
          <w:szCs w:val="24"/>
        </w:rPr>
      </w:pPr>
      <w:r w:rsidRPr="00675182">
        <w:rPr>
          <w:rFonts w:cstheme="minorHAnsi"/>
          <w:bCs/>
          <w:szCs w:val="24"/>
        </w:rPr>
        <w:t>Dāvida avotu apkārtnē 20. gs. 90. gados pēc Latvijas Lauksaimniecības universitātes iniciatīvas veikta koku un krūmu izciršanu, saglabājot atsevišķus kokus, tika ierīkotas vienkāršas laipas, ierobežojot apmeklētāju pārvietošanos pa avoksnāju. 2013.–2014. gadā avoksnājs bija labā stāvoklī – nomīdījums mazs, nebija aizaudzis ar krūmiem.</w:t>
      </w:r>
    </w:p>
    <w:p w14:paraId="2847B7CE" w14:textId="77777777" w:rsidR="0042146D" w:rsidRPr="00675182" w:rsidRDefault="0042146D" w:rsidP="0042146D">
      <w:pPr>
        <w:spacing w:before="120"/>
        <w:jc w:val="both"/>
        <w:rPr>
          <w:rFonts w:cstheme="minorHAnsi"/>
          <w:bCs/>
          <w:szCs w:val="24"/>
        </w:rPr>
      </w:pPr>
      <w:r w:rsidRPr="00675182">
        <w:rPr>
          <w:rFonts w:cstheme="minorHAnsi"/>
          <w:bCs/>
          <w:szCs w:val="24"/>
        </w:rPr>
        <w:t>LIFE programmas projekta „Meža biotopu atjaunošana Gaujas Nacionālajā parkā” (LIFE10 NAT/LV/000159) ietvaros 2014.–2016. gadā veikta hidroloģiskā režīma atjaunošana Gulbjusalas purvā 138 ha platībā, aizberot grāvjus, veidojot kūdras un koka aizsprostus grāvjos.</w:t>
      </w:r>
    </w:p>
    <w:p w14:paraId="62631E18" w14:textId="77777777" w:rsidR="0042146D" w:rsidRPr="00675182" w:rsidRDefault="0042146D" w:rsidP="0042146D">
      <w:pPr>
        <w:spacing w:before="120"/>
        <w:jc w:val="both"/>
        <w:rPr>
          <w:rFonts w:cstheme="minorHAnsi"/>
          <w:bCs/>
          <w:szCs w:val="24"/>
        </w:rPr>
      </w:pPr>
      <w:r w:rsidRPr="00675182">
        <w:rPr>
          <w:rFonts w:cstheme="minorHAnsi"/>
          <w:bCs/>
          <w:szCs w:val="24"/>
        </w:rPr>
        <w:lastRenderedPageBreak/>
        <w:t>LIFE programmas projekta “Natura 2000 teritoriju nacionālā aizsardzības un apsaimniekošanas programma” (LIFE11 NAT/LV/000371) ietvaros veikta koku un krūmu izciršana un pļaušana trīs gadus pēc kārtas avotu purvā pie Rakšiem 0,6 ha platībā. Rezultāti ir sekmīgi, jo palielinājusies atklātā avotu purva platība un uzlabojušies gaismas apstākļi raksturīgajām sugām.</w:t>
      </w:r>
    </w:p>
    <w:p w14:paraId="0F866AC5" w14:textId="77777777" w:rsidR="0042146D" w:rsidRPr="00675182" w:rsidRDefault="0042146D" w:rsidP="0042146D">
      <w:pPr>
        <w:spacing w:before="120"/>
        <w:jc w:val="both"/>
        <w:rPr>
          <w:rFonts w:cstheme="minorHAnsi"/>
          <w:bCs/>
          <w:szCs w:val="24"/>
        </w:rPr>
      </w:pPr>
      <w:r w:rsidRPr="00675182">
        <w:rPr>
          <w:rFonts w:cstheme="minorHAnsi"/>
          <w:bCs/>
          <w:szCs w:val="24"/>
        </w:rPr>
        <w:t>Projekta “Prioritāro mitrāju biotopu aizsardzība un apsaimniekošana Latvijā” (LIFE13 NAT/LV/000578) ietvaros 2017. gadā veikta hidroloģiskā režīma atjaunošana, aizsprostojot grāvjus Sudas - Zviedru purvā.</w:t>
      </w:r>
    </w:p>
    <w:p w14:paraId="6AA94D7B" w14:textId="77777777" w:rsidR="0042146D" w:rsidRPr="00675182" w:rsidRDefault="0042146D" w:rsidP="00F65CAF">
      <w:pPr>
        <w:jc w:val="both"/>
        <w:rPr>
          <w:rFonts w:cstheme="minorHAnsi"/>
          <w:bCs/>
          <w:szCs w:val="24"/>
        </w:rPr>
      </w:pPr>
    </w:p>
    <w:p w14:paraId="3B6CFC78" w14:textId="77777777" w:rsidR="00FA4A9C" w:rsidRPr="00675182" w:rsidRDefault="00FA4A9C" w:rsidP="00FA4A9C">
      <w:pPr>
        <w:jc w:val="both"/>
        <w:rPr>
          <w:rFonts w:cstheme="minorHAnsi"/>
          <w:b/>
          <w:szCs w:val="24"/>
        </w:rPr>
      </w:pPr>
      <w:r w:rsidRPr="00675182">
        <w:rPr>
          <w:rFonts w:cstheme="minorHAnsi"/>
          <w:b/>
          <w:szCs w:val="24"/>
        </w:rPr>
        <w:t xml:space="preserve">Sociālekonomiskā vērtība </w:t>
      </w:r>
    </w:p>
    <w:p w14:paraId="272ADBD5" w14:textId="3D261218" w:rsidR="00E30597" w:rsidRPr="00675182" w:rsidRDefault="00E30597" w:rsidP="00E30597">
      <w:pPr>
        <w:jc w:val="both"/>
        <w:rPr>
          <w:rFonts w:cstheme="minorHAnsi"/>
        </w:rPr>
      </w:pPr>
      <w:r w:rsidRPr="00675182">
        <w:rPr>
          <w:rFonts w:cstheme="minorHAnsi"/>
        </w:rPr>
        <w:t>No saimnieciskā viedokļa par purvu lielāko ekonomisko vērtību uzskatāmi uzkrātie kūdras resursi. Kūdras ieguve nelielā apjomā vēsturiski notikusi vairākos purvos GNP teritorijā, tajā skaitā Sudas purvā. Tomēr nenosusināti un neizstrādāti purvi ir nozīmīgāki kā atmosfēras oglekļa krātuves, kur, sadaloties atmirušajiem augiem un uzkrājoties kūdrai, tiek uzkrāts milzīgs daudzums oglekļa.</w:t>
      </w:r>
    </w:p>
    <w:p w14:paraId="7890EB19" w14:textId="6A9809C0" w:rsidR="0042146D" w:rsidRPr="00675182" w:rsidRDefault="0042146D" w:rsidP="00E30597">
      <w:pPr>
        <w:jc w:val="both"/>
        <w:rPr>
          <w:rFonts w:cstheme="minorHAnsi"/>
        </w:rPr>
      </w:pPr>
    </w:p>
    <w:p w14:paraId="65BB0BB3" w14:textId="23D7DF25" w:rsidR="0042146D" w:rsidRPr="00675182" w:rsidRDefault="0042146D" w:rsidP="00E30597">
      <w:pPr>
        <w:jc w:val="both"/>
        <w:rPr>
          <w:rFonts w:cstheme="minorHAnsi"/>
        </w:rPr>
      </w:pPr>
      <w:r w:rsidRPr="00675182">
        <w:rPr>
          <w:rFonts w:cstheme="minorHAnsi"/>
        </w:rPr>
        <w:t>Unguru purvā, kas atrodas uz dienvidiem no Unguru ezera GNP centrālajā daļā, joprojām tiek veikta kūdras ieguve ar frēzkūdras ieguves tehnoloģiju (Licence nr.8/45, atradnes fonda nr.2660). Kūdras ieguvi saskaņā ar platības nomu līgumu veic SIA “UNGURI”. Kūdras ieguves teritorijas Unguru purvs nomas līgums starp SIA “UNGURI” un DAP ir noslēgts par 450 ha platības nomu kūdras ieguvei laika posmam līdz 2036. gadam. DA plāna sagatavošanas laikā tiek gatavots Unguru kūdras purva rekultivācijas plāns, kurā plānotos rekultivācijas pasākumus un rekultivācijas darbu provizorisko laika plānojumu nepieciešams saskaņot ar DAP.</w:t>
      </w:r>
      <w:r w:rsidR="00F418DE">
        <w:rPr>
          <w:rFonts w:cstheme="minorHAnsi"/>
        </w:rPr>
        <w:t xml:space="preserve"> Pirms rekultivācijas plāna izstrādes uzsākta hidroloģiskā izpēte.</w:t>
      </w:r>
    </w:p>
    <w:p w14:paraId="32403B7E" w14:textId="77777777" w:rsidR="00E30597" w:rsidRPr="00675182" w:rsidRDefault="00E30597" w:rsidP="00E30597">
      <w:pPr>
        <w:jc w:val="both"/>
        <w:rPr>
          <w:rFonts w:cstheme="minorHAnsi"/>
        </w:rPr>
      </w:pPr>
    </w:p>
    <w:p w14:paraId="653724B1" w14:textId="6FD66039" w:rsidR="00E30597" w:rsidRPr="00675182" w:rsidRDefault="00E30597" w:rsidP="00E30597">
      <w:pPr>
        <w:jc w:val="both"/>
        <w:rPr>
          <w:rFonts w:cstheme="minorHAnsi"/>
        </w:rPr>
      </w:pPr>
      <w:r w:rsidRPr="00675182">
        <w:rPr>
          <w:rFonts w:cstheme="minorHAnsi"/>
        </w:rPr>
        <w:t>Augstie un pārejas purvi GNP teritorijā tiek izmantoti ogu ieguvei tādā apjomā</w:t>
      </w:r>
      <w:r w:rsidR="00A37457" w:rsidRPr="00675182">
        <w:rPr>
          <w:rFonts w:cstheme="minorHAnsi"/>
        </w:rPr>
        <w:t>,</w:t>
      </w:r>
      <w:r w:rsidRPr="00675182">
        <w:rPr>
          <w:rFonts w:cstheme="minorHAnsi"/>
        </w:rPr>
        <w:t xml:space="preserve"> kā to pieļauj teritorijas aizsardzību un izmantošanu regulējošie noteikumi, galvenokārt tiek vāktas dzērvenes. Atsevišķi minerālvielām bagāti avoti (avotu biotopi) tiek izmantoti ūdens ieguvei personīgām vajadzībām.</w:t>
      </w:r>
    </w:p>
    <w:p w14:paraId="0F8784ED" w14:textId="77777777" w:rsidR="00E30597" w:rsidRPr="00675182" w:rsidRDefault="00E30597" w:rsidP="00E30597">
      <w:pPr>
        <w:jc w:val="both"/>
        <w:rPr>
          <w:rFonts w:cstheme="minorHAnsi"/>
        </w:rPr>
      </w:pPr>
    </w:p>
    <w:p w14:paraId="5D033DC8" w14:textId="77777777" w:rsidR="00E30597" w:rsidRPr="00675182" w:rsidRDefault="00E30597" w:rsidP="00E30597">
      <w:pPr>
        <w:jc w:val="both"/>
        <w:rPr>
          <w:rFonts w:cstheme="minorHAnsi"/>
        </w:rPr>
      </w:pPr>
      <w:r w:rsidRPr="00675182">
        <w:rPr>
          <w:rFonts w:cstheme="minorHAnsi"/>
        </w:rPr>
        <w:t>Nozīmīgākā vērtība purviem GNP ir zinātniskā un dabas izziņas vērtība.</w:t>
      </w:r>
    </w:p>
    <w:p w14:paraId="4CC0DAD9" w14:textId="77777777" w:rsidR="00E30597" w:rsidRPr="00675182" w:rsidRDefault="00E30597" w:rsidP="00FA4A9C">
      <w:pPr>
        <w:jc w:val="both"/>
        <w:rPr>
          <w:rFonts w:cstheme="minorHAnsi"/>
        </w:rPr>
      </w:pPr>
    </w:p>
    <w:p w14:paraId="7A7DBC7F" w14:textId="2D1654D3" w:rsidR="00FA4A9C" w:rsidRPr="00675182" w:rsidRDefault="00FA4A9C" w:rsidP="00FA4A9C">
      <w:pPr>
        <w:jc w:val="both"/>
        <w:rPr>
          <w:rFonts w:cstheme="minorHAnsi"/>
          <w:b/>
          <w:szCs w:val="24"/>
        </w:rPr>
      </w:pPr>
      <w:r w:rsidRPr="00675182">
        <w:rPr>
          <w:rFonts w:cstheme="minorHAnsi"/>
          <w:b/>
          <w:szCs w:val="24"/>
        </w:rPr>
        <w:t>Ietekmējošie faktori</w:t>
      </w:r>
    </w:p>
    <w:p w14:paraId="45BAFBAA" w14:textId="77777777" w:rsidR="00E30597" w:rsidRDefault="00E30597" w:rsidP="00E30597">
      <w:pPr>
        <w:jc w:val="both"/>
        <w:rPr>
          <w:rFonts w:cstheme="minorHAnsi"/>
          <w:szCs w:val="24"/>
        </w:rPr>
      </w:pPr>
      <w:bookmarkStart w:id="70" w:name="_Hlk97906643"/>
      <w:r w:rsidRPr="00675182">
        <w:rPr>
          <w:rFonts w:cstheme="minorHAnsi"/>
          <w:szCs w:val="24"/>
        </w:rPr>
        <w:t>Praktiski visu GNP teritorijā ietilpstošo purvu platības ilgstošā laika periodā negatīvi ir ietekmējusi vēsturiska susināšana. Sausāki augšanas apstākļi ir labvēlīgi koku attīstībai, un purvos izveidojas koku segums, kas pasliktina purvu biotopu un ar tiem saistīto reto un aizsargājamo sugu dzīvotņu kvalitāti. Īpaši negatīvā ietekme vērojama purvu malās, kur norisinās intensīva vēsturisko purva platību aizaugšana ar kokiem vai purvu sedzošās kokaudzes sabiezināšanās, kā arī notiek purvu aizaugšana ar parasto priedi un purva bērzu.</w:t>
      </w:r>
    </w:p>
    <w:p w14:paraId="1669CAF0" w14:textId="77777777" w:rsidR="00412EA7" w:rsidRPr="00675182" w:rsidRDefault="00412EA7" w:rsidP="00E30597">
      <w:pPr>
        <w:jc w:val="both"/>
        <w:rPr>
          <w:rFonts w:cstheme="minorHAnsi"/>
          <w:szCs w:val="24"/>
        </w:rPr>
      </w:pPr>
    </w:p>
    <w:bookmarkEnd w:id="70"/>
    <w:p w14:paraId="05844824" w14:textId="02C2EAF3" w:rsidR="00073731" w:rsidRPr="00675182" w:rsidRDefault="00073731" w:rsidP="00073731">
      <w:pPr>
        <w:jc w:val="both"/>
        <w:rPr>
          <w:rFonts w:cstheme="minorHAnsi"/>
          <w:szCs w:val="24"/>
        </w:rPr>
      </w:pPr>
      <w:r w:rsidRPr="00675182">
        <w:rPr>
          <w:rFonts w:cstheme="minorHAnsi"/>
          <w:szCs w:val="24"/>
        </w:rPr>
        <w:t xml:space="preserve">Vairākos purvos GNP vēsturiski veikta kūdras ieguve nelielos apmēros. Šāda ietekme </w:t>
      </w:r>
      <w:r w:rsidR="00FA4525" w:rsidRPr="00675182">
        <w:rPr>
          <w:rFonts w:cstheme="minorHAnsi"/>
          <w:szCs w:val="24"/>
        </w:rPr>
        <w:t>tika konstatēta</w:t>
      </w:r>
      <w:r w:rsidRPr="00675182">
        <w:rPr>
          <w:rFonts w:cstheme="minorHAnsi"/>
          <w:szCs w:val="24"/>
        </w:rPr>
        <w:t xml:space="preserve"> Baukalnu, Bērzkalnu, Gulbjusalas, Kurmju - Blaņķu, Struņķu, Tūtes, Marijas kalna un Brīnumu (Kreiļu) purvos, kā arī Sudas – Zviedru purva ziemeļu un dienvidu daļās. Vēsturiskās kūdras ieguves vietās šajos purvos joprojām ir saglabājušās </w:t>
      </w:r>
      <w:r w:rsidRPr="00675182">
        <w:rPr>
          <w:rFonts w:cstheme="minorHAnsi"/>
          <w:szCs w:val="24"/>
        </w:rPr>
        <w:lastRenderedPageBreak/>
        <w:t>daļēji funkcionējošas nosusināšanas sistēmas, kuras, lai arī ekstensīvi, nosusina ietekmētās purvu daļas, saglabājot negatīvu ietekmi uz purvu veģetāciju un purvu ekosistēmu kopumā.</w:t>
      </w:r>
    </w:p>
    <w:p w14:paraId="3ED03D42" w14:textId="77777777" w:rsidR="00073731" w:rsidRPr="00675182" w:rsidRDefault="00073731" w:rsidP="00073731">
      <w:pPr>
        <w:jc w:val="both"/>
        <w:rPr>
          <w:rFonts w:cstheme="minorHAnsi"/>
          <w:szCs w:val="24"/>
          <w:highlight w:val="yellow"/>
        </w:rPr>
      </w:pPr>
    </w:p>
    <w:p w14:paraId="55CAEA72" w14:textId="77777777" w:rsidR="00073731" w:rsidRPr="00675182" w:rsidRDefault="00073731" w:rsidP="00073731">
      <w:pPr>
        <w:jc w:val="both"/>
        <w:rPr>
          <w:rFonts w:cstheme="minorHAnsi"/>
          <w:szCs w:val="24"/>
        </w:rPr>
      </w:pPr>
      <w:r w:rsidRPr="00675182">
        <w:rPr>
          <w:rFonts w:cstheme="minorHAnsi"/>
          <w:szCs w:val="24"/>
        </w:rPr>
        <w:t>Natura 2000 nacionālajā aizsardzības un apsaimniekošanas programmā laika posmam no 2018. līdz 2030. gadam, kas sagatavota LIFE+ projekta “Natura 2000 teritoriju nacionālā aizsardzības un apsaimniekošanas programma” (LIFE11 NAT/LV/000371) ietvaros uzsvērts, ka minerālvielām bagātus avotus un avoksnājus GNP apdraud saimnieciska darbība avoksnāja un tam piegulošajā meža vismaz 20–40 m plata josla. Būtisks apdraudējums ir hidroloģiskā režīma pārmaiņas apvidū, kas ietekme pazemes ūdeņu kustību un krājumus.</w:t>
      </w:r>
    </w:p>
    <w:p w14:paraId="6490ED5B" w14:textId="77777777" w:rsidR="00073731" w:rsidRPr="00675182" w:rsidRDefault="00073731" w:rsidP="00073731">
      <w:pPr>
        <w:jc w:val="both"/>
        <w:rPr>
          <w:rFonts w:cstheme="minorHAnsi"/>
          <w:szCs w:val="24"/>
          <w:highlight w:val="yellow"/>
        </w:rPr>
      </w:pPr>
    </w:p>
    <w:p w14:paraId="26EEA303" w14:textId="77777777" w:rsidR="00073731" w:rsidRPr="00675182" w:rsidRDefault="00073731" w:rsidP="00073731">
      <w:pPr>
        <w:jc w:val="both"/>
        <w:rPr>
          <w:rFonts w:cstheme="minorHAnsi"/>
          <w:szCs w:val="24"/>
        </w:rPr>
      </w:pPr>
      <w:r w:rsidRPr="00675182">
        <w:rPr>
          <w:rFonts w:cstheme="minorHAnsi"/>
          <w:szCs w:val="24"/>
        </w:rPr>
        <w:t xml:space="preserve">Vairāku purvu platībās un tiem piegulošajās teritorijās nepieciešams veikt padziļinātu hidroloģisko izpēti, lai novērtētu situāciju un plānotu hidroloģiskā režīma atjaunošanas pasākumus – izstrādātu hidroloģiskā režīma atjaunošanas plānus konkrētām teritorijām, kā arī plānotu un veiktu hidroloģiskā režīma atjaunošanas nodrošināšanai nepieciešamos meliorācijas sistēmu rekonstrukcijas pasākumus (skat. 3. nodaļu). </w:t>
      </w:r>
    </w:p>
    <w:p w14:paraId="318D7F55" w14:textId="77777777" w:rsidR="00E30597" w:rsidRPr="00675182" w:rsidRDefault="00E30597" w:rsidP="00E30597">
      <w:pPr>
        <w:rPr>
          <w:rFonts w:cstheme="minorHAnsi"/>
        </w:rPr>
      </w:pPr>
    </w:p>
    <w:p w14:paraId="5BFF1088" w14:textId="5F6120F3" w:rsidR="00B64C5E" w:rsidRPr="00675182" w:rsidRDefault="00CD2117" w:rsidP="002B3341">
      <w:pPr>
        <w:pStyle w:val="Heading3"/>
        <w:keepNext w:val="0"/>
        <w:tabs>
          <w:tab w:val="num" w:pos="0"/>
        </w:tabs>
        <w:rPr>
          <w:rFonts w:cstheme="minorHAnsi"/>
          <w:b/>
          <w:kern w:val="1"/>
          <w:lang w:val="lv-LV"/>
        </w:rPr>
      </w:pPr>
      <w:bookmarkStart w:id="71" w:name="_Toc116938407"/>
      <w:r w:rsidRPr="00675182">
        <w:rPr>
          <w:rFonts w:cstheme="minorHAnsi"/>
          <w:b/>
          <w:lang w:val="lv-LV"/>
        </w:rPr>
        <w:t>2</w:t>
      </w:r>
      <w:r w:rsidR="00C225C7" w:rsidRPr="00675182">
        <w:rPr>
          <w:rFonts w:cstheme="minorHAnsi"/>
          <w:b/>
          <w:lang w:val="lv-LV"/>
        </w:rPr>
        <w:t>.3.</w:t>
      </w:r>
      <w:r w:rsidR="00FA4A9C" w:rsidRPr="00675182">
        <w:rPr>
          <w:rFonts w:cstheme="minorHAnsi"/>
          <w:b/>
          <w:lang w:val="lv-LV"/>
        </w:rPr>
        <w:t>5</w:t>
      </w:r>
      <w:r w:rsidR="00B64C5E" w:rsidRPr="00675182">
        <w:rPr>
          <w:rFonts w:cstheme="minorHAnsi"/>
          <w:b/>
          <w:lang w:val="lv-LV"/>
        </w:rPr>
        <w:t>. Mežu biotopi</w:t>
      </w:r>
      <w:bookmarkEnd w:id="71"/>
      <w:r w:rsidR="00B64C5E" w:rsidRPr="00675182">
        <w:rPr>
          <w:rFonts w:cstheme="minorHAnsi"/>
          <w:b/>
          <w:lang w:val="lv-LV"/>
        </w:rPr>
        <w:t xml:space="preserve"> </w:t>
      </w:r>
    </w:p>
    <w:p w14:paraId="632A21F2" w14:textId="77777777" w:rsidR="00B64C5E" w:rsidRPr="00675182" w:rsidRDefault="00B64C5E" w:rsidP="002B3341">
      <w:pPr>
        <w:rPr>
          <w:rFonts w:cstheme="minorHAnsi"/>
        </w:rPr>
      </w:pPr>
    </w:p>
    <w:p w14:paraId="5F88C11A" w14:textId="77777777" w:rsidR="0041520F" w:rsidRPr="00675182" w:rsidRDefault="0041520F" w:rsidP="0041520F">
      <w:pPr>
        <w:jc w:val="both"/>
        <w:rPr>
          <w:rFonts w:cstheme="minorHAnsi"/>
          <w:b/>
        </w:rPr>
      </w:pPr>
      <w:r w:rsidRPr="00675182">
        <w:rPr>
          <w:rFonts w:cstheme="minorHAnsi"/>
          <w:b/>
        </w:rPr>
        <w:t>Dabas aizsardzības vērtība</w:t>
      </w:r>
    </w:p>
    <w:p w14:paraId="14E546EE" w14:textId="363C8FDD" w:rsidR="00E25C3E" w:rsidRPr="00675182" w:rsidRDefault="0085087A" w:rsidP="00E25C3E">
      <w:pPr>
        <w:jc w:val="both"/>
        <w:rPr>
          <w:rFonts w:cstheme="minorHAnsi"/>
          <w:bCs/>
          <w:szCs w:val="24"/>
        </w:rPr>
      </w:pPr>
      <w:r w:rsidRPr="00675182">
        <w:rPr>
          <w:rFonts w:cstheme="minorHAnsi"/>
          <w:bCs/>
          <w:szCs w:val="24"/>
        </w:rPr>
        <w:t xml:space="preserve">Meži ir GNP visplašāk pārstāvētā ekosistēma, kas aizņem pusi no nacionālā parka platības – vismaz 45 100 ha (mežaudžu platība atbilstoši MVR datiem). </w:t>
      </w:r>
      <w:r w:rsidR="00E25C3E" w:rsidRPr="00675182">
        <w:rPr>
          <w:rFonts w:cstheme="minorHAnsi"/>
          <w:bCs/>
          <w:szCs w:val="24"/>
        </w:rPr>
        <w:t xml:space="preserve">Teritorijas mežu ekosistēmu izvietojumu, struktūru un daudzveidību pamatā nosaka ģeoloģisko un hidroloģisko apstākļu kopums. Lai arī GNP teritorijā sastopami visi trīs Latvijai raksturīgie mežu veģetācijas tipi: boreālie skujkoku meži, Eiropas vasarzaļie platlapju meži un Eirosibīrijas melnalkšņu staignāji, šie mežu veģetācijas tipi pārstāvēti neviendabīgi pēc platības un nevienmērīgi pēc izvietojuma. Reljefa un hidroloģisko īpatnību dēļ GNP ir salīdzinoši maz pārmitro mežu – </w:t>
      </w:r>
      <w:r w:rsidR="00E25C3E" w:rsidRPr="00675182">
        <w:rPr>
          <w:rFonts w:cstheme="minorHAnsi"/>
          <w:bCs/>
          <w:i/>
          <w:iCs/>
          <w:szCs w:val="24"/>
        </w:rPr>
        <w:t>melnalkšņu staignāji</w:t>
      </w:r>
      <w:r w:rsidR="00E25C3E" w:rsidRPr="00675182">
        <w:rPr>
          <w:rFonts w:cstheme="minorHAnsi"/>
          <w:bCs/>
          <w:szCs w:val="24"/>
        </w:rPr>
        <w:t xml:space="preserve">, kas atbilst aizsargājamu biotopu kvalitātei, sastopami platībā, kas mazāka par 40 ha, </w:t>
      </w:r>
      <w:r w:rsidR="00E25C3E" w:rsidRPr="00675182">
        <w:rPr>
          <w:rFonts w:cstheme="minorHAnsi"/>
          <w:bCs/>
          <w:i/>
          <w:iCs/>
          <w:szCs w:val="24"/>
        </w:rPr>
        <w:t>purvaino mežu aizsargājami biotopi</w:t>
      </w:r>
      <w:r w:rsidR="00E25C3E" w:rsidRPr="00675182">
        <w:rPr>
          <w:rFonts w:cstheme="minorHAnsi"/>
          <w:bCs/>
          <w:szCs w:val="24"/>
        </w:rPr>
        <w:t xml:space="preserve"> sastopami nedaudz vairāk nekā 1300 ha platībā, galvenokārt augsto purvu perifērijās un pavisam retos gadījumos lokālos reljefa pazeminājumos. Periodiski pārmitro mežu biotopi – aluviālie un palieņu mežu biotopi, kas atrodas Gaujas un citu upju palienēs, kā arī avotu un avoksnāju ietekmētās platībās, aizņem nedaudz vairāk nekā 650 ha. GNP vizītkartes </w:t>
      </w:r>
      <w:r w:rsidR="00E25C3E" w:rsidRPr="00675182">
        <w:rPr>
          <w:rFonts w:cstheme="minorHAnsi"/>
          <w:bCs/>
          <w:i/>
          <w:iCs/>
          <w:szCs w:val="24"/>
        </w:rPr>
        <w:t>platlapju meži</w:t>
      </w:r>
      <w:r w:rsidR="00E25C3E" w:rsidRPr="00675182">
        <w:rPr>
          <w:rFonts w:cstheme="minorHAnsi"/>
          <w:bCs/>
          <w:szCs w:val="24"/>
        </w:rPr>
        <w:t xml:space="preserve"> Gaujas ielejas un pieteku gravu nogāzēs aizņem gandrīz 2000 ha lielu platību un pamatā koncentrējas posmā no Siguldas līdz Cēsīm. Tomēr lielākās platības aizņem skujukoku dominētas mežu ekosistēmas - </w:t>
      </w:r>
      <w:r w:rsidR="00E25C3E" w:rsidRPr="00675182">
        <w:rPr>
          <w:rFonts w:cstheme="minorHAnsi"/>
          <w:bCs/>
          <w:i/>
          <w:iCs/>
          <w:szCs w:val="24"/>
        </w:rPr>
        <w:t>boreālo mežu biotopi</w:t>
      </w:r>
      <w:r w:rsidR="00E25C3E" w:rsidRPr="00675182">
        <w:rPr>
          <w:rFonts w:cstheme="minorHAnsi"/>
          <w:bCs/>
          <w:szCs w:val="24"/>
        </w:rPr>
        <w:t xml:space="preserve">, kuru platība kopā ar </w:t>
      </w:r>
      <w:r w:rsidR="00E25C3E" w:rsidRPr="00675182">
        <w:rPr>
          <w:rFonts w:cstheme="minorHAnsi"/>
          <w:bCs/>
          <w:i/>
          <w:iCs/>
          <w:szCs w:val="24"/>
        </w:rPr>
        <w:t>lakstaugiem bagātiem egļu mežiem</w:t>
      </w:r>
      <w:r w:rsidR="00E25C3E" w:rsidRPr="00675182">
        <w:rPr>
          <w:rFonts w:cstheme="minorHAnsi"/>
          <w:bCs/>
          <w:szCs w:val="24"/>
        </w:rPr>
        <w:t xml:space="preserve"> veido gandrīz 8000 ha.</w:t>
      </w:r>
    </w:p>
    <w:p w14:paraId="12FBA2AD" w14:textId="77777777" w:rsidR="00E25C3E" w:rsidRPr="00675182" w:rsidRDefault="00E25C3E" w:rsidP="00E25C3E">
      <w:pPr>
        <w:jc w:val="both"/>
        <w:rPr>
          <w:rFonts w:cstheme="minorHAnsi"/>
          <w:bCs/>
          <w:szCs w:val="24"/>
          <w:highlight w:val="yellow"/>
        </w:rPr>
      </w:pPr>
    </w:p>
    <w:p w14:paraId="3ADEC6C4" w14:textId="4556E4FF" w:rsidR="00E25C3E" w:rsidRPr="00675182" w:rsidRDefault="00E25C3E" w:rsidP="00E25C3E">
      <w:pPr>
        <w:jc w:val="both"/>
        <w:rPr>
          <w:rFonts w:cstheme="minorHAnsi"/>
          <w:bCs/>
          <w:szCs w:val="24"/>
        </w:rPr>
      </w:pPr>
      <w:r w:rsidRPr="00675182">
        <w:rPr>
          <w:rFonts w:cstheme="minorHAnsi"/>
          <w:bCs/>
          <w:szCs w:val="24"/>
        </w:rPr>
        <w:t>Par aptverošu aizsargājamo mežu izpētes sākumu GNP var</w:t>
      </w:r>
      <w:r w:rsidR="00FA4525" w:rsidRPr="00675182">
        <w:rPr>
          <w:rFonts w:cstheme="minorHAnsi"/>
          <w:bCs/>
          <w:szCs w:val="24"/>
        </w:rPr>
        <w:t xml:space="preserve"> uzskatīt</w:t>
      </w:r>
      <w:r w:rsidRPr="00675182">
        <w:rPr>
          <w:rFonts w:cstheme="minorHAnsi"/>
          <w:bCs/>
          <w:szCs w:val="24"/>
        </w:rPr>
        <w:t xml:space="preserve"> DMB un </w:t>
      </w:r>
      <w:r w:rsidR="004A7964" w:rsidRPr="00675182">
        <w:rPr>
          <w:rFonts w:cstheme="minorHAnsi"/>
          <w:bCs/>
          <w:szCs w:val="24"/>
        </w:rPr>
        <w:t>PMDB</w:t>
      </w:r>
      <w:r w:rsidRPr="00675182">
        <w:rPr>
          <w:rFonts w:cstheme="minorHAnsi"/>
          <w:bCs/>
          <w:szCs w:val="24"/>
        </w:rPr>
        <w:t xml:space="preserve"> izpēti, kas veikta 1998. - 1999. gadā. Izpētei un apsekošanai tika atlasīti meži 18690 ha platībā (kas līdzvērtīga DA plāna izstrādes ietvaros apsekošanai atlasītajai mežu platībai). Izdevumā “Bioloģiskā daudzveidība Gaujas Nacionālajā parkā” (Pilāts (red.), 2007) sniegtā informācija liecina, ka DMB un </w:t>
      </w:r>
      <w:r w:rsidR="004A7964" w:rsidRPr="00675182">
        <w:rPr>
          <w:rFonts w:cstheme="minorHAnsi"/>
          <w:bCs/>
          <w:szCs w:val="24"/>
        </w:rPr>
        <w:t>P</w:t>
      </w:r>
      <w:r w:rsidRPr="00675182">
        <w:rPr>
          <w:rFonts w:cstheme="minorHAnsi"/>
          <w:bCs/>
          <w:szCs w:val="24"/>
        </w:rPr>
        <w:t xml:space="preserve">DMB konstatēti aptuveni 12 % no apsekotās mežu platības. DA plāna izstrādes ietvaros tika analizēts no DAP saņemtais vēsturisko </w:t>
      </w:r>
      <w:bookmarkStart w:id="72" w:name="_Hlk107825979"/>
      <w:r w:rsidRPr="00675182">
        <w:rPr>
          <w:rFonts w:cstheme="minorHAnsi"/>
          <w:bCs/>
          <w:szCs w:val="24"/>
        </w:rPr>
        <w:t>DMB\</w:t>
      </w:r>
      <w:r w:rsidR="004A7964" w:rsidRPr="00675182">
        <w:rPr>
          <w:rFonts w:cstheme="minorHAnsi"/>
          <w:bCs/>
          <w:szCs w:val="24"/>
        </w:rPr>
        <w:t>P</w:t>
      </w:r>
      <w:r w:rsidRPr="00675182">
        <w:rPr>
          <w:rFonts w:cstheme="minorHAnsi"/>
          <w:bCs/>
          <w:szCs w:val="24"/>
        </w:rPr>
        <w:t xml:space="preserve">DMB </w:t>
      </w:r>
      <w:bookmarkEnd w:id="72"/>
      <w:r w:rsidRPr="00675182">
        <w:rPr>
          <w:rFonts w:cstheme="minorHAnsi"/>
          <w:bCs/>
          <w:szCs w:val="24"/>
        </w:rPr>
        <w:t xml:space="preserve">slānis (1999. gads) un tika secināts, ka, no vēsturiski </w:t>
      </w:r>
      <w:r w:rsidRPr="00675182">
        <w:rPr>
          <w:rFonts w:cstheme="minorHAnsi"/>
          <w:bCs/>
          <w:szCs w:val="24"/>
        </w:rPr>
        <w:lastRenderedPageBreak/>
        <w:t>konstatētajiem 3578 ha DMB\</w:t>
      </w:r>
      <w:r w:rsidR="004A7964" w:rsidRPr="00675182">
        <w:rPr>
          <w:rFonts w:cstheme="minorHAnsi"/>
          <w:bCs/>
          <w:szCs w:val="24"/>
        </w:rPr>
        <w:t>P</w:t>
      </w:r>
      <w:r w:rsidRPr="00675182">
        <w:rPr>
          <w:rFonts w:cstheme="minorHAnsi"/>
          <w:bCs/>
          <w:szCs w:val="24"/>
        </w:rPr>
        <w:t>DMB, šobrīd aizsargājams meža biotops konstatēts vien 1643 ha platībā. Detalizētākā izpētē konstatēts, ka lielākā daļa no zaudēto vēsturisko DMB\</w:t>
      </w:r>
      <w:r w:rsidR="004A7964" w:rsidRPr="00675182">
        <w:rPr>
          <w:rFonts w:cstheme="minorHAnsi"/>
          <w:bCs/>
          <w:szCs w:val="24"/>
        </w:rPr>
        <w:t>P</w:t>
      </w:r>
      <w:r w:rsidRPr="00675182">
        <w:rPr>
          <w:rFonts w:cstheme="minorHAnsi"/>
          <w:bCs/>
          <w:szCs w:val="24"/>
        </w:rPr>
        <w:t>DMB platībām ir saistīta ar mežsaimniecisko darbību šajos meža nogabalos gan privāto īpašnieku, gan valsts īpašuma meža platībās.</w:t>
      </w:r>
    </w:p>
    <w:p w14:paraId="79E840D8" w14:textId="77777777" w:rsidR="00E25C3E" w:rsidRPr="00675182" w:rsidRDefault="00E25C3E" w:rsidP="00E25C3E">
      <w:pPr>
        <w:jc w:val="both"/>
        <w:rPr>
          <w:rFonts w:cstheme="minorHAnsi"/>
          <w:bCs/>
          <w:szCs w:val="24"/>
          <w:highlight w:val="yellow"/>
        </w:rPr>
      </w:pPr>
    </w:p>
    <w:p w14:paraId="0F7C30C9" w14:textId="77777777" w:rsidR="00E25C3E" w:rsidRPr="00675182" w:rsidRDefault="00E25C3E" w:rsidP="00E25C3E">
      <w:pPr>
        <w:jc w:val="both"/>
        <w:rPr>
          <w:rFonts w:cstheme="minorHAnsi"/>
          <w:bCs/>
          <w:szCs w:val="24"/>
        </w:rPr>
      </w:pPr>
      <w:r w:rsidRPr="00675182">
        <w:rPr>
          <w:rFonts w:cstheme="minorHAnsi"/>
          <w:bCs/>
          <w:szCs w:val="24"/>
        </w:rPr>
        <w:t>Turpmākās aizsargājamo meža biotopu izpētes fokusējušās uz:</w:t>
      </w:r>
    </w:p>
    <w:p w14:paraId="2A6851DB" w14:textId="692AACD4" w:rsidR="00E25C3E" w:rsidRPr="00675182" w:rsidRDefault="00E25C3E" w:rsidP="00A84218">
      <w:pPr>
        <w:pStyle w:val="ListParagraph"/>
        <w:numPr>
          <w:ilvl w:val="1"/>
          <w:numId w:val="49"/>
        </w:numPr>
        <w:ind w:left="426"/>
        <w:jc w:val="both"/>
        <w:rPr>
          <w:rFonts w:cstheme="minorHAnsi"/>
          <w:bCs/>
          <w:szCs w:val="24"/>
        </w:rPr>
      </w:pPr>
      <w:r w:rsidRPr="00675182">
        <w:rPr>
          <w:rFonts w:cstheme="minorHAnsi"/>
          <w:bCs/>
          <w:szCs w:val="24"/>
        </w:rPr>
        <w:t xml:space="preserve">vispārīgiem ES nozīmes mežu izdalīšanas principiem; </w:t>
      </w:r>
    </w:p>
    <w:p w14:paraId="7F19194B" w14:textId="77777777" w:rsidR="00E25C3E" w:rsidRPr="00675182" w:rsidRDefault="00E25C3E" w:rsidP="00A84218">
      <w:pPr>
        <w:pStyle w:val="ListParagraph"/>
        <w:numPr>
          <w:ilvl w:val="1"/>
          <w:numId w:val="49"/>
        </w:numPr>
        <w:ind w:left="426"/>
        <w:jc w:val="both"/>
        <w:rPr>
          <w:rFonts w:cstheme="minorHAnsi"/>
          <w:bCs/>
          <w:szCs w:val="24"/>
        </w:rPr>
      </w:pPr>
      <w:r w:rsidRPr="00675182">
        <w:rPr>
          <w:rFonts w:cstheme="minorHAnsi"/>
          <w:bCs/>
          <w:szCs w:val="24"/>
        </w:rPr>
        <w:t xml:space="preserve">atsevišķiem biotopu veidiem, izpētē un novērtēšanā kombinējot apsekojumus dabā un datu bāzu informācijas analīzi, kā, piemēram, biotopu veidu 9010* </w:t>
      </w:r>
      <w:r w:rsidRPr="00675182">
        <w:rPr>
          <w:rFonts w:cstheme="minorHAnsi"/>
          <w:bCs/>
          <w:i/>
          <w:iCs/>
          <w:szCs w:val="24"/>
        </w:rPr>
        <w:t>Veci vai dabiski boreāli meži</w:t>
      </w:r>
      <w:r w:rsidRPr="00675182">
        <w:rPr>
          <w:rFonts w:cstheme="minorHAnsi"/>
          <w:bCs/>
          <w:szCs w:val="24"/>
        </w:rPr>
        <w:t xml:space="preserve"> un 9180* </w:t>
      </w:r>
      <w:r w:rsidRPr="00675182">
        <w:rPr>
          <w:rFonts w:cstheme="minorHAnsi"/>
          <w:bCs/>
          <w:i/>
          <w:iCs/>
          <w:szCs w:val="24"/>
        </w:rPr>
        <w:t xml:space="preserve">Nogāžu un gravu meži </w:t>
      </w:r>
      <w:r w:rsidRPr="00675182">
        <w:rPr>
          <w:rFonts w:cstheme="minorHAnsi"/>
          <w:bCs/>
          <w:szCs w:val="24"/>
        </w:rPr>
        <w:t>kartējums LIFE programmas projekta “Meža biotopu atjaunošana Gaujas nacionālajā parkā” LIFE10 NAT/LV/000159 FOR-REST;</w:t>
      </w:r>
    </w:p>
    <w:p w14:paraId="00EC512E" w14:textId="71F0C012" w:rsidR="00E25C3E" w:rsidRPr="00675182" w:rsidRDefault="00E25C3E" w:rsidP="00A84218">
      <w:pPr>
        <w:pStyle w:val="ListParagraph"/>
        <w:numPr>
          <w:ilvl w:val="1"/>
          <w:numId w:val="49"/>
        </w:numPr>
        <w:ind w:left="426"/>
        <w:jc w:val="both"/>
        <w:rPr>
          <w:rFonts w:cstheme="minorHAnsi"/>
          <w:bCs/>
          <w:szCs w:val="24"/>
        </w:rPr>
      </w:pPr>
      <w:r w:rsidRPr="00675182">
        <w:rPr>
          <w:rFonts w:cstheme="minorHAnsi"/>
          <w:bCs/>
          <w:szCs w:val="24"/>
        </w:rPr>
        <w:t xml:space="preserve">ES nozīmes un Latvijā </w:t>
      </w:r>
      <w:r w:rsidR="0018643B">
        <w:rPr>
          <w:rFonts w:cstheme="minorHAnsi"/>
          <w:bCs/>
          <w:szCs w:val="24"/>
        </w:rPr>
        <w:t>ĪA</w:t>
      </w:r>
      <w:r w:rsidRPr="00675182">
        <w:rPr>
          <w:rFonts w:cstheme="minorHAnsi"/>
          <w:bCs/>
          <w:szCs w:val="24"/>
        </w:rPr>
        <w:t xml:space="preserve"> meža biotopu kartēšanu atsevišķās zemes </w:t>
      </w:r>
      <w:r w:rsidR="00F418DE" w:rsidRPr="00675182">
        <w:rPr>
          <w:rFonts w:cstheme="minorHAnsi"/>
          <w:bCs/>
          <w:szCs w:val="24"/>
        </w:rPr>
        <w:t>vienīb</w:t>
      </w:r>
      <w:r w:rsidR="00F418DE">
        <w:rPr>
          <w:rFonts w:cstheme="minorHAnsi"/>
          <w:bCs/>
          <w:szCs w:val="24"/>
        </w:rPr>
        <w:t>ā</w:t>
      </w:r>
      <w:r w:rsidR="00F418DE" w:rsidRPr="00675182">
        <w:rPr>
          <w:rFonts w:cstheme="minorHAnsi"/>
          <w:bCs/>
          <w:szCs w:val="24"/>
        </w:rPr>
        <w:t xml:space="preserve">s </w:t>
      </w:r>
      <w:r w:rsidR="00023872">
        <w:rPr>
          <w:rFonts w:cstheme="minorHAnsi"/>
          <w:bCs/>
          <w:szCs w:val="24"/>
        </w:rPr>
        <w:t>MAP</w:t>
      </w:r>
      <w:r w:rsidRPr="00675182">
        <w:rPr>
          <w:rFonts w:cstheme="minorHAnsi"/>
          <w:bCs/>
          <w:szCs w:val="24"/>
        </w:rPr>
        <w:t xml:space="preserve">  izstrādes ietvaros.</w:t>
      </w:r>
    </w:p>
    <w:p w14:paraId="34713C6D" w14:textId="77777777" w:rsidR="00E25C3E" w:rsidRPr="00675182" w:rsidRDefault="00E25C3E" w:rsidP="00FA4525">
      <w:pPr>
        <w:pStyle w:val="ListParagraph"/>
        <w:ind w:left="426"/>
        <w:jc w:val="both"/>
        <w:rPr>
          <w:rFonts w:cstheme="minorHAnsi"/>
          <w:bCs/>
          <w:szCs w:val="24"/>
          <w:highlight w:val="yellow"/>
        </w:rPr>
      </w:pPr>
    </w:p>
    <w:p w14:paraId="04F2F9CD" w14:textId="3C055A77" w:rsidR="00E25C3E" w:rsidRPr="00675182" w:rsidRDefault="00E25C3E" w:rsidP="00E25C3E">
      <w:pPr>
        <w:jc w:val="both"/>
        <w:rPr>
          <w:rFonts w:cstheme="minorHAnsi"/>
          <w:bCs/>
          <w:szCs w:val="24"/>
        </w:rPr>
      </w:pPr>
      <w:r w:rsidRPr="00675182">
        <w:rPr>
          <w:rFonts w:cstheme="minorHAnsi"/>
          <w:bCs/>
          <w:szCs w:val="24"/>
        </w:rPr>
        <w:t xml:space="preserve">Kopumā var secināt, ka, līdz šī DA plāna izstrādes uzsākšanai un plāna izstrādes ietvaros veiktajai </w:t>
      </w:r>
      <w:r w:rsidR="00F418DE">
        <w:rPr>
          <w:rFonts w:cstheme="minorHAnsi"/>
          <w:bCs/>
          <w:szCs w:val="24"/>
        </w:rPr>
        <w:t xml:space="preserve">ES nozīmes </w:t>
      </w:r>
      <w:r w:rsidRPr="00675182">
        <w:rPr>
          <w:rFonts w:cstheme="minorHAnsi"/>
          <w:bCs/>
          <w:szCs w:val="24"/>
        </w:rPr>
        <w:t xml:space="preserve"> meža biotopu kartēšanai, visaptveroša, detalizēta un pēc vienotas metodikas veikta, meža biotopu kartēšana </w:t>
      </w:r>
      <w:r w:rsidR="00F418DE">
        <w:rPr>
          <w:rFonts w:cstheme="minorHAnsi"/>
          <w:bCs/>
          <w:szCs w:val="24"/>
        </w:rPr>
        <w:t xml:space="preserve">GNP </w:t>
      </w:r>
      <w:r w:rsidRPr="00675182">
        <w:rPr>
          <w:rFonts w:cstheme="minorHAnsi"/>
          <w:bCs/>
          <w:szCs w:val="24"/>
        </w:rPr>
        <w:t xml:space="preserve">nav </w:t>
      </w:r>
      <w:r w:rsidR="00FA4525" w:rsidRPr="00675182">
        <w:rPr>
          <w:rFonts w:cstheme="minorHAnsi"/>
          <w:bCs/>
          <w:szCs w:val="24"/>
        </w:rPr>
        <w:t>bijusi</w:t>
      </w:r>
      <w:r w:rsidRPr="00675182">
        <w:rPr>
          <w:rFonts w:cstheme="minorHAnsi"/>
          <w:bCs/>
          <w:szCs w:val="24"/>
        </w:rPr>
        <w:t xml:space="preserve">. Par to liecina arī iepriekš apkopotajā informācija, kas pieejama Natura 2000 datu formā, kur norādīts, ka tikai biotopa veidam 9050 </w:t>
      </w:r>
      <w:r w:rsidRPr="00675182">
        <w:rPr>
          <w:rFonts w:cstheme="minorHAnsi"/>
          <w:bCs/>
          <w:i/>
          <w:iCs/>
          <w:szCs w:val="24"/>
        </w:rPr>
        <w:t>Lakstaugiem bagāti egļu meži</w:t>
      </w:r>
      <w:r w:rsidRPr="00675182">
        <w:rPr>
          <w:rFonts w:cstheme="minorHAnsi"/>
          <w:bCs/>
          <w:szCs w:val="24"/>
        </w:rPr>
        <w:t xml:space="preserve"> biotopa veida kartējuma un stāvokļa novērtējuma datu kvalitāte norādīta laba – balstīta uz izpētēm un kartēšanu, pārējiem biotopu veidiem – biotopu kartējuma un novērtējuma kvalitāte norādīta kā viduvēja (balstīta uz nepilnīgu kartējumu un informācijas interpolāciju).</w:t>
      </w:r>
    </w:p>
    <w:p w14:paraId="74AA0004" w14:textId="77777777" w:rsidR="00E25C3E" w:rsidRPr="00675182" w:rsidRDefault="00E25C3E" w:rsidP="0041520F">
      <w:pPr>
        <w:jc w:val="both"/>
        <w:rPr>
          <w:rFonts w:cstheme="minorHAnsi"/>
          <w:bCs/>
          <w:szCs w:val="24"/>
        </w:rPr>
      </w:pPr>
    </w:p>
    <w:p w14:paraId="6699F4B6" w14:textId="3C78C55A" w:rsidR="0041520F" w:rsidRPr="00675182" w:rsidRDefault="00F95FC4" w:rsidP="0041520F">
      <w:pPr>
        <w:jc w:val="both"/>
        <w:rPr>
          <w:rFonts w:cstheme="minorHAnsi"/>
          <w:bCs/>
          <w:szCs w:val="24"/>
        </w:rPr>
      </w:pPr>
      <w:r w:rsidRPr="00675182">
        <w:rPr>
          <w:rFonts w:cstheme="minorHAnsi"/>
          <w:bCs/>
          <w:szCs w:val="24"/>
        </w:rPr>
        <w:t xml:space="preserve">No kopējās GNP mežu platības apsekojumam DA plāna izstrādes ietvaros 2020. un 2021. gada sezonās, tika atlasīti 18035,6 ha, kas ir 40% no visas mežu platības. ES nozīmes  mežu </w:t>
      </w:r>
      <w:r w:rsidR="00F418DE">
        <w:rPr>
          <w:rFonts w:cstheme="minorHAnsi"/>
          <w:bCs/>
          <w:szCs w:val="24"/>
        </w:rPr>
        <w:t xml:space="preserve">biotopu </w:t>
      </w:r>
      <w:r w:rsidRPr="00675182">
        <w:rPr>
          <w:rFonts w:cstheme="minorHAnsi"/>
          <w:bCs/>
          <w:szCs w:val="24"/>
        </w:rPr>
        <w:t xml:space="preserve">platības GNP iegūtas, apkopojot informāciju no meža platību apsekojumiem 2020., 2021. un 2022. gadā, kas veikti DA plāna izstrādes ietvaros, un DDPS </w:t>
      </w:r>
      <w:r w:rsidR="00847FA5" w:rsidRPr="00675182">
        <w:rPr>
          <w:rFonts w:cstheme="minorHAnsi"/>
          <w:bCs/>
          <w:szCs w:val="24"/>
        </w:rPr>
        <w:t>“Ozols”</w:t>
      </w:r>
      <w:r w:rsidRPr="00675182">
        <w:rPr>
          <w:rFonts w:cstheme="minorHAnsi"/>
          <w:bCs/>
          <w:szCs w:val="24"/>
        </w:rPr>
        <w:t xml:space="preserve"> pieejamo informāciju par ES nozīmes mežu biotopu platībām, kas iegūta apsekojumos MAP sagatavošanas ietvaros un citos aizsargājamo biotopu apsekošanas projektos. Kopējā ES nozīmes aizsargājamo meža biotopu platība GNP veido </w:t>
      </w:r>
      <w:r w:rsidR="009F10FF" w:rsidRPr="00675182">
        <w:rPr>
          <w:rFonts w:cstheme="minorHAnsi"/>
          <w:bCs/>
          <w:szCs w:val="24"/>
        </w:rPr>
        <w:t>12049</w:t>
      </w:r>
      <w:r w:rsidR="00FE4FC7" w:rsidRPr="00675182">
        <w:rPr>
          <w:rFonts w:cstheme="minorHAnsi"/>
          <w:bCs/>
          <w:szCs w:val="24"/>
        </w:rPr>
        <w:t xml:space="preserve"> </w:t>
      </w:r>
      <w:r w:rsidRPr="00675182">
        <w:rPr>
          <w:rFonts w:cstheme="minorHAnsi"/>
          <w:bCs/>
          <w:szCs w:val="24"/>
        </w:rPr>
        <w:t>ha, kas ir vairāk nekā 13 % no nacionālā parka teritorijas. Aizsargājamo meža biotopu platību sadalījumu valsts pašvaldību un privāto īpašnieku valdījuma meža platībās skat 2.3.5</w:t>
      </w:r>
      <w:r w:rsidR="002164B2" w:rsidRPr="00675182">
        <w:rPr>
          <w:rFonts w:cstheme="minorHAnsi"/>
          <w:bCs/>
          <w:szCs w:val="24"/>
        </w:rPr>
        <w:t>7</w:t>
      </w:r>
      <w:r w:rsidRPr="00675182">
        <w:rPr>
          <w:rFonts w:cstheme="minorHAnsi"/>
          <w:bCs/>
          <w:szCs w:val="24"/>
        </w:rPr>
        <w:t>. attēlā un izvietojumu GNP teritorijā skat. 2.</w:t>
      </w:r>
      <w:r w:rsidR="00FE4FC7" w:rsidRPr="00675182">
        <w:rPr>
          <w:rFonts w:cstheme="minorHAnsi"/>
          <w:bCs/>
          <w:szCs w:val="24"/>
        </w:rPr>
        <w:t>61</w:t>
      </w:r>
      <w:r w:rsidRPr="00675182">
        <w:rPr>
          <w:rFonts w:cstheme="minorHAnsi"/>
          <w:bCs/>
          <w:szCs w:val="24"/>
        </w:rPr>
        <w:t>. attēlā.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41520F" w:rsidRPr="00675182" w14:paraId="362348F9" w14:textId="77777777" w:rsidTr="0085087A">
        <w:trPr>
          <w:trHeight w:val="4535"/>
        </w:trPr>
        <w:tc>
          <w:tcPr>
            <w:tcW w:w="8301" w:type="dxa"/>
          </w:tcPr>
          <w:p w14:paraId="3B4DE3A7" w14:textId="028E84EC" w:rsidR="0041520F" w:rsidRPr="00675182" w:rsidRDefault="00D74C65" w:rsidP="00806799">
            <w:pPr>
              <w:jc w:val="both"/>
              <w:rPr>
                <w:rFonts w:cstheme="minorHAnsi"/>
                <w:b/>
                <w:i/>
                <w:iCs/>
                <w:szCs w:val="24"/>
              </w:rPr>
            </w:pPr>
            <w:r w:rsidRPr="00675182">
              <w:rPr>
                <w:rFonts w:cstheme="minorHAnsi"/>
                <w:noProof/>
              </w:rPr>
              <w:lastRenderedPageBreak/>
              <w:drawing>
                <wp:inline distT="0" distB="0" distL="0" distR="0" wp14:anchorId="308E062F" wp14:editId="5390189C">
                  <wp:extent cx="4578350" cy="275590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pic:cNvPicPr>
                            <a:picLocks noChangeAspect="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tc>
      </w:tr>
      <w:tr w:rsidR="0041520F" w:rsidRPr="00675182" w14:paraId="31D0FD28" w14:textId="77777777" w:rsidTr="00806799">
        <w:tc>
          <w:tcPr>
            <w:tcW w:w="8301" w:type="dxa"/>
          </w:tcPr>
          <w:p w14:paraId="02B340FE" w14:textId="4C72C9AE" w:rsidR="0041520F" w:rsidRPr="00675182" w:rsidRDefault="0085087A" w:rsidP="00806799">
            <w:pPr>
              <w:jc w:val="both"/>
              <w:rPr>
                <w:rFonts w:cstheme="minorHAnsi"/>
                <w:b/>
                <w:i/>
                <w:iCs/>
                <w:szCs w:val="24"/>
              </w:rPr>
            </w:pPr>
            <w:r w:rsidRPr="00675182">
              <w:rPr>
                <w:rFonts w:cstheme="minorHAnsi"/>
                <w:b/>
                <w:i/>
                <w:iCs/>
                <w:szCs w:val="24"/>
              </w:rPr>
              <w:t>2.3.5</w:t>
            </w:r>
            <w:r w:rsidR="002164B2" w:rsidRPr="00675182">
              <w:rPr>
                <w:rFonts w:cstheme="minorHAnsi"/>
                <w:b/>
                <w:i/>
                <w:iCs/>
                <w:szCs w:val="24"/>
              </w:rPr>
              <w:t>7</w:t>
            </w:r>
            <w:r w:rsidRPr="00675182">
              <w:rPr>
                <w:rFonts w:cstheme="minorHAnsi"/>
                <w:b/>
                <w:i/>
                <w:iCs/>
                <w:szCs w:val="24"/>
              </w:rPr>
              <w:t>. attēls. Aizsargājamo meža biotopu platību sadalījums (%) pēc īpašuma piederības</w:t>
            </w:r>
          </w:p>
        </w:tc>
      </w:tr>
    </w:tbl>
    <w:p w14:paraId="398CB9CE" w14:textId="77777777" w:rsidR="0041520F" w:rsidRPr="00675182" w:rsidRDefault="0041520F" w:rsidP="0041520F">
      <w:pPr>
        <w:jc w:val="both"/>
        <w:rPr>
          <w:rFonts w:cstheme="minorHAnsi"/>
          <w:bCs/>
          <w:szCs w:val="24"/>
        </w:rPr>
      </w:pPr>
    </w:p>
    <w:p w14:paraId="66C0EF3F" w14:textId="0F02E097" w:rsidR="0041520F" w:rsidRPr="00675182" w:rsidRDefault="0085087A" w:rsidP="0041520F">
      <w:pPr>
        <w:jc w:val="both"/>
        <w:rPr>
          <w:rFonts w:cstheme="minorHAnsi"/>
          <w:bCs/>
          <w:szCs w:val="24"/>
        </w:rPr>
      </w:pPr>
      <w:r w:rsidRPr="00675182">
        <w:rPr>
          <w:rFonts w:cstheme="minorHAnsi"/>
          <w:bCs/>
          <w:szCs w:val="24"/>
        </w:rPr>
        <w:t xml:space="preserve">Aptuveni 66 % konstatēto aizsargājamo meža biotopu atrodas nacionālā parka </w:t>
      </w:r>
      <w:r w:rsidR="004111AF">
        <w:rPr>
          <w:rFonts w:cstheme="minorHAnsi"/>
          <w:bCs/>
          <w:szCs w:val="24"/>
        </w:rPr>
        <w:t>DLZ</w:t>
      </w:r>
      <w:r w:rsidRPr="00675182">
        <w:rPr>
          <w:rFonts w:cstheme="minorHAnsi"/>
          <w:bCs/>
          <w:szCs w:val="24"/>
        </w:rPr>
        <w:t xml:space="preserve">, 13 % biotopu kartēti </w:t>
      </w:r>
      <w:r w:rsidR="004111AF">
        <w:rPr>
          <w:rFonts w:cstheme="minorHAnsi"/>
          <w:bCs/>
          <w:szCs w:val="24"/>
        </w:rPr>
        <w:t>SRZ</w:t>
      </w:r>
      <w:r w:rsidRPr="00675182">
        <w:rPr>
          <w:rFonts w:cstheme="minorHAnsi"/>
          <w:bCs/>
          <w:szCs w:val="24"/>
        </w:rPr>
        <w:t xml:space="preserve">, 15 % </w:t>
      </w:r>
      <w:r w:rsidR="004111AF">
        <w:rPr>
          <w:rFonts w:cstheme="minorHAnsi"/>
          <w:bCs/>
          <w:szCs w:val="24"/>
        </w:rPr>
        <w:t>AAZ</w:t>
      </w:r>
      <w:r w:rsidRPr="00675182">
        <w:rPr>
          <w:rFonts w:cstheme="minorHAnsi"/>
          <w:bCs/>
          <w:szCs w:val="24"/>
        </w:rPr>
        <w:t xml:space="preserve"> un tikai kopumā 5 % meža biotopu konstatēti GNP neitrālajā vai kultūrvēsturiskajā zonā (sadalījumu skat. 2.3.5</w:t>
      </w:r>
      <w:r w:rsidR="00A82E48" w:rsidRPr="00675182">
        <w:rPr>
          <w:rFonts w:cstheme="minorHAnsi"/>
          <w:bCs/>
          <w:szCs w:val="24"/>
        </w:rPr>
        <w:t>8</w:t>
      </w:r>
      <w:r w:rsidRPr="00675182">
        <w:rPr>
          <w:rFonts w:cstheme="minorHAnsi"/>
          <w:bCs/>
          <w:szCs w:val="24"/>
        </w:rPr>
        <w:t>. attēlā), konstatēto biotopu izvietojumu GNP funkcionālajās zonās skat. 2.3.</w:t>
      </w:r>
      <w:r w:rsidR="00A82E48" w:rsidRPr="00675182">
        <w:rPr>
          <w:rFonts w:cstheme="minorHAnsi"/>
          <w:bCs/>
          <w:szCs w:val="24"/>
        </w:rPr>
        <w:t>62</w:t>
      </w:r>
      <w:r w:rsidRPr="00675182">
        <w:rPr>
          <w:rFonts w:cstheme="minorHAnsi"/>
          <w:bCs/>
          <w:szCs w:val="24"/>
        </w:rPr>
        <w:t>. attēlā.</w:t>
      </w:r>
    </w:p>
    <w:p w14:paraId="1BBA2BAA" w14:textId="77777777" w:rsidR="0085087A" w:rsidRPr="00675182" w:rsidRDefault="0085087A" w:rsidP="0041520F">
      <w:pPr>
        <w:jc w:val="both"/>
        <w:rPr>
          <w:rFonts w:cstheme="minorHAnsi"/>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41520F" w:rsidRPr="00675182" w14:paraId="33A19269" w14:textId="77777777" w:rsidTr="00806799">
        <w:tc>
          <w:tcPr>
            <w:tcW w:w="8301" w:type="dxa"/>
          </w:tcPr>
          <w:p w14:paraId="12A734CF" w14:textId="07CD63ED" w:rsidR="0041520F" w:rsidRPr="00675182" w:rsidRDefault="00D74C65" w:rsidP="00806799">
            <w:pPr>
              <w:jc w:val="both"/>
              <w:rPr>
                <w:rFonts w:cstheme="minorHAnsi"/>
                <w:bCs/>
                <w:szCs w:val="24"/>
              </w:rPr>
            </w:pPr>
            <w:r w:rsidRPr="00675182">
              <w:rPr>
                <w:rFonts w:cstheme="minorHAnsi"/>
                <w:noProof/>
              </w:rPr>
              <w:drawing>
                <wp:inline distT="0" distB="0" distL="0" distR="0" wp14:anchorId="6D7F401B" wp14:editId="45CB30D0">
                  <wp:extent cx="4769485" cy="28670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a:picLocks noChangeAspect="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769485" cy="2867025"/>
                          </a:xfrm>
                          <a:prstGeom prst="rect">
                            <a:avLst/>
                          </a:prstGeom>
                          <a:noFill/>
                        </pic:spPr>
                      </pic:pic>
                    </a:graphicData>
                  </a:graphic>
                </wp:inline>
              </w:drawing>
            </w:r>
          </w:p>
        </w:tc>
      </w:tr>
      <w:tr w:rsidR="0041520F" w:rsidRPr="00675182" w14:paraId="72C89EAF" w14:textId="77777777" w:rsidTr="00806799">
        <w:tc>
          <w:tcPr>
            <w:tcW w:w="8301" w:type="dxa"/>
          </w:tcPr>
          <w:p w14:paraId="587A9C3C" w14:textId="7C6EBC1F" w:rsidR="0041520F" w:rsidRPr="00675182" w:rsidRDefault="00C77BEE" w:rsidP="00806799">
            <w:pPr>
              <w:jc w:val="both"/>
              <w:rPr>
                <w:rFonts w:cstheme="minorHAnsi"/>
                <w:b/>
                <w:i/>
                <w:iCs/>
                <w:szCs w:val="24"/>
              </w:rPr>
            </w:pPr>
            <w:r w:rsidRPr="00675182">
              <w:rPr>
                <w:rFonts w:cstheme="minorHAnsi"/>
                <w:b/>
                <w:i/>
                <w:iCs/>
                <w:szCs w:val="24"/>
              </w:rPr>
              <w:t>2.3.</w:t>
            </w:r>
            <w:r w:rsidR="00E45DEC" w:rsidRPr="00675182">
              <w:rPr>
                <w:rFonts w:cstheme="minorHAnsi"/>
                <w:b/>
                <w:i/>
                <w:iCs/>
                <w:szCs w:val="24"/>
              </w:rPr>
              <w:t>5</w:t>
            </w:r>
            <w:r w:rsidR="002164B2" w:rsidRPr="00675182">
              <w:rPr>
                <w:rFonts w:cstheme="minorHAnsi"/>
                <w:b/>
                <w:i/>
                <w:iCs/>
                <w:szCs w:val="24"/>
              </w:rPr>
              <w:t>8</w:t>
            </w:r>
            <w:r w:rsidR="0041520F" w:rsidRPr="00675182">
              <w:rPr>
                <w:rFonts w:cstheme="minorHAnsi"/>
                <w:b/>
                <w:i/>
                <w:iCs/>
                <w:szCs w:val="24"/>
              </w:rPr>
              <w:t xml:space="preserve">. attēls. </w:t>
            </w:r>
            <w:r w:rsidR="0085087A" w:rsidRPr="00675182">
              <w:rPr>
                <w:rFonts w:cstheme="minorHAnsi"/>
                <w:b/>
                <w:i/>
                <w:iCs/>
                <w:szCs w:val="24"/>
              </w:rPr>
              <w:t>ES nozīmes meža biotopu platības sadalījums (%) GNP funkcionālajās zonās</w:t>
            </w:r>
          </w:p>
        </w:tc>
      </w:tr>
    </w:tbl>
    <w:p w14:paraId="157C8734" w14:textId="77777777" w:rsidR="0041520F" w:rsidRPr="00675182" w:rsidRDefault="0041520F" w:rsidP="0041520F">
      <w:pPr>
        <w:jc w:val="both"/>
        <w:rPr>
          <w:rFonts w:cstheme="minorHAnsi"/>
          <w:bCs/>
          <w:szCs w:val="24"/>
        </w:rPr>
      </w:pPr>
    </w:p>
    <w:p w14:paraId="655B9175" w14:textId="2AA61BE9" w:rsidR="0041520F" w:rsidRPr="00675182" w:rsidRDefault="0041520F" w:rsidP="00EE4934">
      <w:pPr>
        <w:keepNext/>
        <w:keepLines/>
        <w:jc w:val="both"/>
        <w:rPr>
          <w:rFonts w:cstheme="minorHAnsi"/>
          <w:bCs/>
          <w:szCs w:val="24"/>
        </w:rPr>
      </w:pPr>
      <w:r w:rsidRPr="00675182">
        <w:rPr>
          <w:rFonts w:cstheme="minorHAnsi"/>
          <w:bCs/>
          <w:szCs w:val="24"/>
        </w:rPr>
        <w:lastRenderedPageBreak/>
        <w:t xml:space="preserve">GNP sastopami šādi ES aizsargājamo </w:t>
      </w:r>
      <w:r w:rsidR="0085087A" w:rsidRPr="00675182">
        <w:rPr>
          <w:rFonts w:cstheme="minorHAnsi"/>
          <w:bCs/>
          <w:szCs w:val="24"/>
        </w:rPr>
        <w:t>mežu</w:t>
      </w:r>
      <w:r w:rsidRPr="00675182">
        <w:rPr>
          <w:rFonts w:cstheme="minorHAnsi"/>
          <w:bCs/>
          <w:szCs w:val="24"/>
        </w:rPr>
        <w:t xml:space="preserve"> biotopu veidi:</w:t>
      </w:r>
    </w:p>
    <w:p w14:paraId="04E81EDB" w14:textId="77777777" w:rsidR="0041520F" w:rsidRPr="00675182" w:rsidRDefault="0041520F" w:rsidP="00A84218">
      <w:pPr>
        <w:pStyle w:val="ListParagraph"/>
        <w:keepNext/>
        <w:keepLines/>
        <w:numPr>
          <w:ilvl w:val="0"/>
          <w:numId w:val="16"/>
        </w:numPr>
        <w:jc w:val="both"/>
        <w:rPr>
          <w:rFonts w:cstheme="minorHAnsi"/>
          <w:bCs/>
          <w:szCs w:val="24"/>
        </w:rPr>
      </w:pPr>
      <w:r w:rsidRPr="00675182">
        <w:rPr>
          <w:rFonts w:cstheme="minorHAnsi"/>
          <w:bCs/>
          <w:szCs w:val="24"/>
        </w:rPr>
        <w:t xml:space="preserve">9010* </w:t>
      </w:r>
      <w:r w:rsidRPr="00675182">
        <w:rPr>
          <w:rFonts w:cstheme="minorHAnsi"/>
          <w:bCs/>
          <w:i/>
          <w:iCs/>
          <w:szCs w:val="24"/>
        </w:rPr>
        <w:t>Veci vai dabiski boreāli meži</w:t>
      </w:r>
    </w:p>
    <w:p w14:paraId="57F479DE" w14:textId="77777777" w:rsidR="0041520F" w:rsidRPr="00675182" w:rsidRDefault="0041520F" w:rsidP="00A84218">
      <w:pPr>
        <w:pStyle w:val="ListParagraph"/>
        <w:keepNext/>
        <w:keepLines/>
        <w:numPr>
          <w:ilvl w:val="0"/>
          <w:numId w:val="16"/>
        </w:numPr>
        <w:jc w:val="both"/>
        <w:rPr>
          <w:rFonts w:cstheme="minorHAnsi"/>
          <w:bCs/>
          <w:i/>
          <w:iCs/>
          <w:szCs w:val="24"/>
        </w:rPr>
      </w:pPr>
      <w:r w:rsidRPr="00675182">
        <w:rPr>
          <w:rFonts w:cstheme="minorHAnsi"/>
          <w:bCs/>
          <w:szCs w:val="24"/>
        </w:rPr>
        <w:t xml:space="preserve">9020* </w:t>
      </w:r>
      <w:r w:rsidRPr="00675182">
        <w:rPr>
          <w:rFonts w:cstheme="minorHAnsi"/>
          <w:bCs/>
          <w:i/>
          <w:iCs/>
          <w:szCs w:val="24"/>
        </w:rPr>
        <w:t>Veci jaukti platlapju meži</w:t>
      </w:r>
    </w:p>
    <w:p w14:paraId="58F43055" w14:textId="77777777" w:rsidR="0041520F" w:rsidRPr="00675182" w:rsidRDefault="0041520F" w:rsidP="00A84218">
      <w:pPr>
        <w:pStyle w:val="ListParagraph"/>
        <w:keepNext/>
        <w:keepLines/>
        <w:numPr>
          <w:ilvl w:val="0"/>
          <w:numId w:val="16"/>
        </w:numPr>
        <w:jc w:val="both"/>
        <w:rPr>
          <w:rFonts w:cstheme="minorHAnsi"/>
          <w:bCs/>
          <w:szCs w:val="24"/>
        </w:rPr>
      </w:pPr>
      <w:r w:rsidRPr="00675182">
        <w:rPr>
          <w:rFonts w:cstheme="minorHAnsi"/>
          <w:bCs/>
          <w:szCs w:val="24"/>
        </w:rPr>
        <w:t xml:space="preserve">9050 </w:t>
      </w:r>
      <w:r w:rsidRPr="00675182">
        <w:rPr>
          <w:rFonts w:cstheme="minorHAnsi"/>
          <w:bCs/>
          <w:i/>
          <w:iCs/>
          <w:szCs w:val="24"/>
        </w:rPr>
        <w:t>Lakstaugiem bagāti egļu meži</w:t>
      </w:r>
    </w:p>
    <w:p w14:paraId="2AEF224B" w14:textId="77777777" w:rsidR="0041520F" w:rsidRPr="00675182" w:rsidRDefault="0041520F" w:rsidP="00A84218">
      <w:pPr>
        <w:pStyle w:val="ListParagraph"/>
        <w:keepNext/>
        <w:keepLines/>
        <w:numPr>
          <w:ilvl w:val="0"/>
          <w:numId w:val="16"/>
        </w:numPr>
        <w:jc w:val="both"/>
        <w:rPr>
          <w:rFonts w:cstheme="minorHAnsi"/>
          <w:bCs/>
          <w:szCs w:val="24"/>
        </w:rPr>
      </w:pPr>
      <w:r w:rsidRPr="00675182">
        <w:rPr>
          <w:rFonts w:cstheme="minorHAnsi"/>
          <w:bCs/>
          <w:szCs w:val="24"/>
        </w:rPr>
        <w:t xml:space="preserve">9080* </w:t>
      </w:r>
      <w:r w:rsidRPr="00675182">
        <w:rPr>
          <w:rFonts w:cstheme="minorHAnsi"/>
          <w:bCs/>
          <w:i/>
          <w:iCs/>
          <w:szCs w:val="24"/>
        </w:rPr>
        <w:t>Staignāju meži</w:t>
      </w:r>
    </w:p>
    <w:p w14:paraId="330362ED" w14:textId="77777777" w:rsidR="0041520F" w:rsidRPr="00675182" w:rsidRDefault="0041520F" w:rsidP="00A84218">
      <w:pPr>
        <w:pStyle w:val="ListParagraph"/>
        <w:keepNext/>
        <w:keepLines/>
        <w:numPr>
          <w:ilvl w:val="0"/>
          <w:numId w:val="16"/>
        </w:numPr>
        <w:jc w:val="both"/>
        <w:rPr>
          <w:rFonts w:cstheme="minorHAnsi"/>
          <w:bCs/>
          <w:szCs w:val="24"/>
        </w:rPr>
      </w:pPr>
      <w:r w:rsidRPr="00675182">
        <w:rPr>
          <w:rFonts w:cstheme="minorHAnsi"/>
          <w:bCs/>
          <w:szCs w:val="24"/>
        </w:rPr>
        <w:t xml:space="preserve">9160 </w:t>
      </w:r>
      <w:r w:rsidRPr="00675182">
        <w:rPr>
          <w:rFonts w:cstheme="minorHAnsi"/>
          <w:bCs/>
          <w:i/>
          <w:iCs/>
          <w:szCs w:val="24"/>
        </w:rPr>
        <w:t>Ozolu meži (ozolu, liepu un skābaržu meži)</w:t>
      </w:r>
    </w:p>
    <w:p w14:paraId="23F6E31C" w14:textId="77777777" w:rsidR="0041520F" w:rsidRPr="00675182" w:rsidRDefault="0041520F" w:rsidP="00A84218">
      <w:pPr>
        <w:pStyle w:val="ListParagraph"/>
        <w:numPr>
          <w:ilvl w:val="0"/>
          <w:numId w:val="16"/>
        </w:numPr>
        <w:jc w:val="both"/>
        <w:rPr>
          <w:rFonts w:cstheme="minorHAnsi"/>
          <w:bCs/>
          <w:szCs w:val="24"/>
        </w:rPr>
      </w:pPr>
      <w:r w:rsidRPr="00675182">
        <w:rPr>
          <w:rFonts w:cstheme="minorHAnsi"/>
          <w:bCs/>
          <w:szCs w:val="24"/>
        </w:rPr>
        <w:t xml:space="preserve">9180* </w:t>
      </w:r>
      <w:r w:rsidRPr="00675182">
        <w:rPr>
          <w:rFonts w:cstheme="minorHAnsi"/>
          <w:bCs/>
          <w:i/>
          <w:iCs/>
          <w:szCs w:val="24"/>
        </w:rPr>
        <w:t>Nogāžu un gravu meži</w:t>
      </w:r>
    </w:p>
    <w:p w14:paraId="517367D0" w14:textId="77777777" w:rsidR="0041520F" w:rsidRPr="00675182" w:rsidRDefault="0041520F" w:rsidP="00A84218">
      <w:pPr>
        <w:pStyle w:val="ListParagraph"/>
        <w:numPr>
          <w:ilvl w:val="0"/>
          <w:numId w:val="16"/>
        </w:numPr>
        <w:jc w:val="both"/>
        <w:rPr>
          <w:rFonts w:cstheme="minorHAnsi"/>
          <w:bCs/>
          <w:i/>
          <w:iCs/>
          <w:szCs w:val="24"/>
        </w:rPr>
      </w:pPr>
      <w:r w:rsidRPr="00675182">
        <w:rPr>
          <w:rFonts w:cstheme="minorHAnsi"/>
          <w:bCs/>
          <w:szCs w:val="24"/>
        </w:rPr>
        <w:t xml:space="preserve">91D0* </w:t>
      </w:r>
      <w:r w:rsidRPr="00675182">
        <w:rPr>
          <w:rFonts w:cstheme="minorHAnsi"/>
          <w:bCs/>
          <w:i/>
          <w:iCs/>
          <w:szCs w:val="24"/>
        </w:rPr>
        <w:t>Purvaini meži</w:t>
      </w:r>
    </w:p>
    <w:p w14:paraId="53626AB5" w14:textId="77777777" w:rsidR="0041520F" w:rsidRPr="00675182" w:rsidRDefault="0041520F" w:rsidP="00A84218">
      <w:pPr>
        <w:pStyle w:val="ListParagraph"/>
        <w:numPr>
          <w:ilvl w:val="0"/>
          <w:numId w:val="16"/>
        </w:numPr>
        <w:jc w:val="both"/>
        <w:rPr>
          <w:rFonts w:cstheme="minorHAnsi"/>
          <w:bCs/>
          <w:szCs w:val="24"/>
        </w:rPr>
      </w:pPr>
      <w:r w:rsidRPr="00675182">
        <w:rPr>
          <w:rFonts w:cstheme="minorHAnsi"/>
          <w:bCs/>
          <w:szCs w:val="24"/>
        </w:rPr>
        <w:t xml:space="preserve">91E0* </w:t>
      </w:r>
      <w:r w:rsidRPr="00675182">
        <w:rPr>
          <w:rFonts w:cstheme="minorHAnsi"/>
          <w:bCs/>
          <w:i/>
          <w:iCs/>
          <w:szCs w:val="24"/>
        </w:rPr>
        <w:t>Aluviāli meži (aluviāli krastmalu un palieņu meži)</w:t>
      </w:r>
    </w:p>
    <w:p w14:paraId="01A47AEC" w14:textId="0FC977AC" w:rsidR="0041520F" w:rsidRPr="00675182" w:rsidRDefault="0041520F" w:rsidP="00A84218">
      <w:pPr>
        <w:pStyle w:val="ListParagraph"/>
        <w:numPr>
          <w:ilvl w:val="0"/>
          <w:numId w:val="16"/>
        </w:numPr>
        <w:jc w:val="both"/>
        <w:rPr>
          <w:rFonts w:cstheme="minorHAnsi"/>
          <w:bCs/>
          <w:szCs w:val="24"/>
        </w:rPr>
      </w:pPr>
      <w:r w:rsidRPr="00675182">
        <w:rPr>
          <w:rFonts w:cstheme="minorHAnsi"/>
          <w:bCs/>
          <w:szCs w:val="24"/>
        </w:rPr>
        <w:t xml:space="preserve">91F0* </w:t>
      </w:r>
      <w:r w:rsidRPr="00675182">
        <w:rPr>
          <w:rFonts w:cstheme="minorHAnsi"/>
          <w:bCs/>
          <w:i/>
          <w:iCs/>
          <w:szCs w:val="24"/>
        </w:rPr>
        <w:t>Jaukti ozolu, gobu, ošu meži gar lielām upēm</w:t>
      </w:r>
    </w:p>
    <w:p w14:paraId="1E0C690F" w14:textId="77777777" w:rsidR="0041520F" w:rsidRPr="00675182" w:rsidRDefault="0041520F" w:rsidP="0041520F">
      <w:pPr>
        <w:jc w:val="both"/>
        <w:rPr>
          <w:rFonts w:cstheme="minorHAnsi"/>
          <w:bCs/>
          <w:szCs w:val="24"/>
        </w:rPr>
      </w:pPr>
    </w:p>
    <w:p w14:paraId="40FED903" w14:textId="4409DFF3" w:rsidR="00F418DE" w:rsidRDefault="00F418DE" w:rsidP="0041520F">
      <w:pPr>
        <w:jc w:val="both"/>
        <w:rPr>
          <w:rFonts w:cstheme="minorHAnsi"/>
          <w:bCs/>
          <w:szCs w:val="24"/>
        </w:rPr>
      </w:pPr>
      <w:r>
        <w:rPr>
          <w:rFonts w:cstheme="minorHAnsi"/>
          <w:bCs/>
          <w:szCs w:val="24"/>
        </w:rPr>
        <w:t>Latvijas ĪA meža biotopiem atbilst tie ES nozīmes meža biotopi, kuru kvalitāte novērtēta kā izcila un laba, tomēr tā kā GNP ir noteikta par Natura 2000 teritoriju, tad GNP aizsardzība nodrošināma visiem ES nozīmes meža biotopiem, neatkarīgi no to atbilstības Latvijas ĪA biotopu izdalīšanas kritērijiem.</w:t>
      </w:r>
    </w:p>
    <w:p w14:paraId="5D271634" w14:textId="44E8E964" w:rsidR="0041520F" w:rsidRPr="00675182" w:rsidRDefault="00F418DE" w:rsidP="0041520F">
      <w:pPr>
        <w:jc w:val="both"/>
        <w:rPr>
          <w:rFonts w:cstheme="minorHAnsi"/>
          <w:bCs/>
          <w:szCs w:val="24"/>
        </w:rPr>
      </w:pPr>
      <w:r>
        <w:rPr>
          <w:rFonts w:cstheme="minorHAnsi"/>
          <w:bCs/>
          <w:szCs w:val="24"/>
        </w:rPr>
        <w:t>ES nozīmes</w:t>
      </w:r>
      <w:r w:rsidRPr="00675182">
        <w:rPr>
          <w:rFonts w:cstheme="minorHAnsi"/>
          <w:bCs/>
          <w:szCs w:val="24"/>
        </w:rPr>
        <w:t xml:space="preserve"> </w:t>
      </w:r>
      <w:r w:rsidR="00EE4934" w:rsidRPr="00675182">
        <w:rPr>
          <w:rFonts w:cstheme="minorHAnsi"/>
          <w:bCs/>
          <w:szCs w:val="24"/>
        </w:rPr>
        <w:t>meža biotopu veidu sadalījumu pēc to aizņemtās platības skat. 2.3.5</w:t>
      </w:r>
      <w:r w:rsidR="002164B2" w:rsidRPr="00675182">
        <w:rPr>
          <w:rFonts w:cstheme="minorHAnsi"/>
          <w:bCs/>
          <w:szCs w:val="24"/>
        </w:rPr>
        <w:t>9</w:t>
      </w:r>
      <w:r w:rsidR="00EE4934" w:rsidRPr="00675182">
        <w:rPr>
          <w:rFonts w:cstheme="minorHAnsi"/>
          <w:bCs/>
          <w:szCs w:val="24"/>
        </w:rPr>
        <w:t xml:space="preserve">. attēlā. </w:t>
      </w:r>
      <w:r w:rsidR="0041520F" w:rsidRPr="00675182">
        <w:rPr>
          <w:rFonts w:cstheme="minorHAnsi"/>
          <w:bCs/>
          <w:szCs w:val="24"/>
        </w:rPr>
        <w:t xml:space="preserve">Visbiežāk </w:t>
      </w:r>
      <w:r w:rsidR="003D4496">
        <w:rPr>
          <w:rFonts w:cstheme="minorHAnsi"/>
          <w:bCs/>
          <w:szCs w:val="24"/>
        </w:rPr>
        <w:t>(</w:t>
      </w:r>
      <w:r w:rsidR="003D4496" w:rsidRPr="00675182">
        <w:rPr>
          <w:rFonts w:cstheme="minorHAnsi"/>
          <w:bCs/>
          <w:szCs w:val="24"/>
        </w:rPr>
        <w:t>nedaudz vairāk nekā pusē gadījumu</w:t>
      </w:r>
      <w:r w:rsidR="003D4496">
        <w:rPr>
          <w:rFonts w:cstheme="minorHAnsi"/>
          <w:bCs/>
          <w:szCs w:val="24"/>
        </w:rPr>
        <w:t xml:space="preserve">) </w:t>
      </w:r>
      <w:r w:rsidR="0041520F" w:rsidRPr="00675182">
        <w:rPr>
          <w:rFonts w:cstheme="minorHAnsi"/>
          <w:bCs/>
          <w:szCs w:val="24"/>
        </w:rPr>
        <w:t xml:space="preserve">apsekojumos konstatēts meža biotopu veids 9010* </w:t>
      </w:r>
      <w:r w:rsidR="0041520F" w:rsidRPr="00675182">
        <w:rPr>
          <w:rFonts w:cstheme="minorHAnsi"/>
          <w:bCs/>
          <w:i/>
          <w:iCs/>
          <w:szCs w:val="24"/>
        </w:rPr>
        <w:t>Veci vai dabiski boreāli meži</w:t>
      </w:r>
      <w:r w:rsidR="0041520F" w:rsidRPr="00675182">
        <w:rPr>
          <w:rFonts w:cstheme="minorHAnsi"/>
          <w:bCs/>
          <w:szCs w:val="24"/>
        </w:rPr>
        <w:t xml:space="preserve">. Pārējie biežāk pārstāvētie aizsargājamo meža biotopu veidi ir 9050 </w:t>
      </w:r>
      <w:r w:rsidR="0041520F" w:rsidRPr="00675182">
        <w:rPr>
          <w:rFonts w:cstheme="minorHAnsi"/>
          <w:bCs/>
          <w:i/>
          <w:iCs/>
          <w:szCs w:val="24"/>
        </w:rPr>
        <w:t>Lakstaugiem bagāti egļu meži</w:t>
      </w:r>
      <w:r w:rsidR="0041520F" w:rsidRPr="00675182">
        <w:rPr>
          <w:rFonts w:cstheme="minorHAnsi"/>
          <w:bCs/>
          <w:szCs w:val="24"/>
        </w:rPr>
        <w:t xml:space="preserve">, 9180* </w:t>
      </w:r>
      <w:r w:rsidR="0041520F" w:rsidRPr="00675182">
        <w:rPr>
          <w:rFonts w:cstheme="minorHAnsi"/>
          <w:bCs/>
          <w:i/>
          <w:iCs/>
          <w:szCs w:val="24"/>
        </w:rPr>
        <w:t>Nogāžu un gravu meži</w:t>
      </w:r>
      <w:r w:rsidR="0041520F" w:rsidRPr="00675182">
        <w:rPr>
          <w:rFonts w:cstheme="minorHAnsi"/>
          <w:bCs/>
          <w:szCs w:val="24"/>
        </w:rPr>
        <w:t xml:space="preserve"> un 91D0* </w:t>
      </w:r>
      <w:r w:rsidR="0041520F" w:rsidRPr="00675182">
        <w:rPr>
          <w:rFonts w:cstheme="minorHAnsi"/>
          <w:bCs/>
          <w:i/>
          <w:iCs/>
          <w:szCs w:val="24"/>
        </w:rPr>
        <w:t>Purvaini meži</w:t>
      </w:r>
      <w:r w:rsidR="0041520F" w:rsidRPr="00675182">
        <w:rPr>
          <w:rFonts w:cstheme="minorHAnsi"/>
          <w:bCs/>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41520F" w:rsidRPr="00675182" w14:paraId="6A6907A7" w14:textId="77777777" w:rsidTr="00806799">
        <w:tc>
          <w:tcPr>
            <w:tcW w:w="8301" w:type="dxa"/>
          </w:tcPr>
          <w:p w14:paraId="3F8B9F3F" w14:textId="66900A10" w:rsidR="0041520F" w:rsidRPr="00675182" w:rsidRDefault="00EE4934" w:rsidP="00806799">
            <w:pPr>
              <w:jc w:val="both"/>
              <w:rPr>
                <w:rFonts w:cstheme="minorHAnsi"/>
                <w:bCs/>
                <w:szCs w:val="24"/>
              </w:rPr>
            </w:pPr>
            <w:r w:rsidRPr="00675182">
              <w:rPr>
                <w:rFonts w:cstheme="minorHAnsi"/>
                <w:noProof/>
              </w:rPr>
              <w:drawing>
                <wp:inline distT="0" distB="0" distL="0" distR="0" wp14:anchorId="3EDEEBFE" wp14:editId="183586B6">
                  <wp:extent cx="5048250" cy="3352800"/>
                  <wp:effectExtent l="0" t="0" r="0" b="0"/>
                  <wp:docPr id="214" name="Chart 199">
                    <a:extLst xmlns:a="http://schemas.openxmlformats.org/drawingml/2006/main">
                      <a:ext uri="{FF2B5EF4-FFF2-40B4-BE49-F238E27FC236}">
                        <a16:creationId xmlns:a16="http://schemas.microsoft.com/office/drawing/2014/main" id="{DDDAC373-33D1-4B3B-A017-3BFFA898E7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tc>
      </w:tr>
      <w:tr w:rsidR="0041520F" w:rsidRPr="00675182" w14:paraId="6CF124C4" w14:textId="77777777" w:rsidTr="00806799">
        <w:tc>
          <w:tcPr>
            <w:tcW w:w="8301" w:type="dxa"/>
          </w:tcPr>
          <w:p w14:paraId="5A5794B7" w14:textId="364E7E17" w:rsidR="0041520F" w:rsidRPr="00675182" w:rsidRDefault="00C77BEE" w:rsidP="00806799">
            <w:pPr>
              <w:jc w:val="both"/>
              <w:rPr>
                <w:rFonts w:cstheme="minorHAnsi"/>
                <w:b/>
                <w:i/>
                <w:iCs/>
                <w:szCs w:val="24"/>
              </w:rPr>
            </w:pPr>
            <w:r w:rsidRPr="00675182">
              <w:rPr>
                <w:rFonts w:cstheme="minorHAnsi"/>
                <w:b/>
                <w:i/>
                <w:iCs/>
                <w:szCs w:val="24"/>
              </w:rPr>
              <w:t>2.3.</w:t>
            </w:r>
            <w:r w:rsidR="00EE4934" w:rsidRPr="00675182">
              <w:rPr>
                <w:rFonts w:cstheme="minorHAnsi"/>
                <w:b/>
                <w:i/>
                <w:iCs/>
                <w:szCs w:val="24"/>
              </w:rPr>
              <w:t>5</w:t>
            </w:r>
            <w:r w:rsidR="002164B2" w:rsidRPr="00675182">
              <w:rPr>
                <w:rFonts w:cstheme="minorHAnsi"/>
                <w:b/>
                <w:i/>
                <w:iCs/>
                <w:szCs w:val="24"/>
              </w:rPr>
              <w:t>9</w:t>
            </w:r>
            <w:r w:rsidR="0041520F" w:rsidRPr="00675182">
              <w:rPr>
                <w:rFonts w:cstheme="minorHAnsi"/>
                <w:b/>
                <w:i/>
                <w:iCs/>
                <w:szCs w:val="24"/>
              </w:rPr>
              <w:t xml:space="preserve">. attēls. </w:t>
            </w:r>
            <w:r w:rsidR="00EE4934" w:rsidRPr="00675182">
              <w:rPr>
                <w:rFonts w:cstheme="minorHAnsi"/>
                <w:b/>
                <w:i/>
                <w:iCs/>
                <w:szCs w:val="24"/>
              </w:rPr>
              <w:t>GNP konstatēto ES nozīmes  meža biotopu veidu procentuālais sadalījums</w:t>
            </w:r>
          </w:p>
        </w:tc>
      </w:tr>
    </w:tbl>
    <w:p w14:paraId="7A1C6FCE" w14:textId="77777777" w:rsidR="0041520F" w:rsidRPr="00675182" w:rsidRDefault="0041520F" w:rsidP="0041520F">
      <w:pPr>
        <w:jc w:val="both"/>
        <w:rPr>
          <w:rFonts w:cstheme="minorHAnsi"/>
          <w:bCs/>
          <w:szCs w:val="24"/>
        </w:rPr>
      </w:pPr>
    </w:p>
    <w:p w14:paraId="40D1E855" w14:textId="3F007359" w:rsidR="00EE4934" w:rsidRPr="00675182" w:rsidRDefault="00EE4934" w:rsidP="00F413EA">
      <w:pPr>
        <w:jc w:val="both"/>
        <w:rPr>
          <w:rFonts w:cstheme="minorHAnsi"/>
          <w:bCs/>
          <w:szCs w:val="24"/>
        </w:rPr>
      </w:pPr>
      <w:r w:rsidRPr="00675182">
        <w:rPr>
          <w:rFonts w:cstheme="minorHAnsi"/>
          <w:bCs/>
          <w:szCs w:val="24"/>
        </w:rPr>
        <w:t xml:space="preserve">GNP konstatēto </w:t>
      </w:r>
      <w:r w:rsidR="00F418DE">
        <w:rPr>
          <w:rFonts w:cstheme="minorHAnsi"/>
          <w:bCs/>
          <w:szCs w:val="24"/>
        </w:rPr>
        <w:t>ES nozīmes</w:t>
      </w:r>
      <w:r w:rsidR="00F418DE" w:rsidRPr="00675182">
        <w:rPr>
          <w:rFonts w:cstheme="minorHAnsi"/>
          <w:bCs/>
          <w:szCs w:val="24"/>
        </w:rPr>
        <w:t xml:space="preserve"> </w:t>
      </w:r>
      <w:r w:rsidRPr="00675182">
        <w:rPr>
          <w:rFonts w:cstheme="minorHAnsi"/>
          <w:bCs/>
          <w:szCs w:val="24"/>
        </w:rPr>
        <w:t>meža biotopu kvalitātes vērtējuma sadalījumu skat. 2.3.</w:t>
      </w:r>
      <w:r w:rsidR="002164B2" w:rsidRPr="00675182">
        <w:rPr>
          <w:rFonts w:cstheme="minorHAnsi"/>
          <w:bCs/>
          <w:szCs w:val="24"/>
        </w:rPr>
        <w:t>60</w:t>
      </w:r>
      <w:r w:rsidRPr="00675182">
        <w:rPr>
          <w:rFonts w:cstheme="minorHAnsi"/>
          <w:bCs/>
          <w:szCs w:val="24"/>
        </w:rPr>
        <w:t xml:space="preserve">. attēlā. Niecīga kartēto meža biotopu daļa novērtēta kā zemas kvalitātes biotopi - mazāk par 1%, gandrīz 1/5 biotopu platību novērtētas kā vidējas kvalitātes biotopi, bet kā labas vai izcilas kvalitātes biotopi novērtēti 41 % konstatēto ES </w:t>
      </w:r>
      <w:r w:rsidR="009D7DFE">
        <w:rPr>
          <w:rFonts w:cstheme="minorHAnsi"/>
          <w:bCs/>
          <w:szCs w:val="24"/>
        </w:rPr>
        <w:t>nozīmes</w:t>
      </w:r>
      <w:r w:rsidR="009D7DFE" w:rsidRPr="00675182">
        <w:rPr>
          <w:rFonts w:cstheme="minorHAnsi"/>
          <w:bCs/>
          <w:szCs w:val="24"/>
        </w:rPr>
        <w:t xml:space="preserve"> </w:t>
      </w:r>
      <w:r w:rsidRPr="00675182">
        <w:rPr>
          <w:rFonts w:cstheme="minorHAnsi"/>
          <w:bCs/>
          <w:szCs w:val="24"/>
        </w:rPr>
        <w:t xml:space="preserve">meža </w:t>
      </w:r>
      <w:r w:rsidRPr="00675182">
        <w:rPr>
          <w:rFonts w:cstheme="minorHAnsi"/>
          <w:bCs/>
          <w:szCs w:val="24"/>
        </w:rPr>
        <w:lastRenderedPageBreak/>
        <w:t xml:space="preserve">biotopu. Atlikušajiem 41 % </w:t>
      </w:r>
      <w:r w:rsidR="009D7DFE">
        <w:rPr>
          <w:rFonts w:cstheme="minorHAnsi"/>
          <w:bCs/>
          <w:szCs w:val="24"/>
        </w:rPr>
        <w:t>ES nozīmes</w:t>
      </w:r>
      <w:r w:rsidR="009D7DFE" w:rsidRPr="00675182">
        <w:rPr>
          <w:rFonts w:cstheme="minorHAnsi"/>
          <w:bCs/>
          <w:szCs w:val="24"/>
        </w:rPr>
        <w:t xml:space="preserve"> </w:t>
      </w:r>
      <w:r w:rsidRPr="00675182">
        <w:rPr>
          <w:rFonts w:cstheme="minorHAnsi"/>
          <w:bCs/>
          <w:szCs w:val="24"/>
        </w:rPr>
        <w:t xml:space="preserve">meža biotopu platības šobrīd nav pieejama kvalitātes vērtējuma informācija. </w:t>
      </w:r>
    </w:p>
    <w:p w14:paraId="3CA510CD" w14:textId="77777777" w:rsidR="00EE4934" w:rsidRPr="00675182" w:rsidRDefault="00EE4934" w:rsidP="00EE4934">
      <w:pPr>
        <w:rPr>
          <w:rFonts w:cstheme="minorHAnsi"/>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41520F" w:rsidRPr="00675182" w14:paraId="4196FCA9" w14:textId="77777777" w:rsidTr="00806799">
        <w:tc>
          <w:tcPr>
            <w:tcW w:w="8301" w:type="dxa"/>
          </w:tcPr>
          <w:p w14:paraId="2CC5F6BA" w14:textId="27251BD7" w:rsidR="0041520F" w:rsidRPr="00675182" w:rsidRDefault="00D74C65" w:rsidP="00806799">
            <w:pPr>
              <w:jc w:val="both"/>
              <w:rPr>
                <w:rFonts w:cstheme="minorHAnsi"/>
                <w:bCs/>
                <w:szCs w:val="24"/>
              </w:rPr>
            </w:pPr>
            <w:r w:rsidRPr="00675182">
              <w:rPr>
                <w:rFonts w:cstheme="minorHAnsi"/>
                <w:noProof/>
              </w:rPr>
              <w:drawing>
                <wp:inline distT="0" distB="0" distL="0" distR="0" wp14:anchorId="55A9CA9D" wp14:editId="6DCEDC1F">
                  <wp:extent cx="5076825" cy="31115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a:picLocks noChangeAspect="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076825" cy="3111500"/>
                          </a:xfrm>
                          <a:prstGeom prst="rect">
                            <a:avLst/>
                          </a:prstGeom>
                          <a:noFill/>
                        </pic:spPr>
                      </pic:pic>
                    </a:graphicData>
                  </a:graphic>
                </wp:inline>
              </w:drawing>
            </w:r>
          </w:p>
        </w:tc>
      </w:tr>
      <w:tr w:rsidR="0041520F" w:rsidRPr="00675182" w14:paraId="1DE3C85A" w14:textId="77777777" w:rsidTr="0026300C">
        <w:trPr>
          <w:trHeight w:val="127"/>
        </w:trPr>
        <w:tc>
          <w:tcPr>
            <w:tcW w:w="8301" w:type="dxa"/>
          </w:tcPr>
          <w:p w14:paraId="5867B6FC" w14:textId="0F55F946" w:rsidR="0041520F" w:rsidRPr="00675182" w:rsidRDefault="00C77BEE" w:rsidP="00806799">
            <w:pPr>
              <w:jc w:val="both"/>
              <w:rPr>
                <w:rFonts w:cstheme="minorHAnsi"/>
                <w:b/>
                <w:i/>
                <w:iCs/>
                <w:szCs w:val="24"/>
              </w:rPr>
            </w:pPr>
            <w:r w:rsidRPr="00675182">
              <w:rPr>
                <w:rFonts w:cstheme="minorHAnsi"/>
                <w:b/>
                <w:i/>
                <w:iCs/>
                <w:szCs w:val="24"/>
              </w:rPr>
              <w:t>2.3.</w:t>
            </w:r>
            <w:r w:rsidR="002164B2" w:rsidRPr="00675182">
              <w:rPr>
                <w:rFonts w:cstheme="minorHAnsi"/>
                <w:b/>
                <w:i/>
                <w:iCs/>
                <w:szCs w:val="24"/>
              </w:rPr>
              <w:t>6</w:t>
            </w:r>
            <w:r w:rsidR="00A82E48" w:rsidRPr="00675182">
              <w:rPr>
                <w:rFonts w:cstheme="minorHAnsi"/>
                <w:b/>
                <w:i/>
                <w:iCs/>
                <w:szCs w:val="24"/>
              </w:rPr>
              <w:t>0</w:t>
            </w:r>
            <w:r w:rsidR="0041520F" w:rsidRPr="00675182">
              <w:rPr>
                <w:rFonts w:cstheme="minorHAnsi"/>
                <w:b/>
                <w:i/>
                <w:iCs/>
                <w:szCs w:val="24"/>
              </w:rPr>
              <w:t xml:space="preserve">. attēls. </w:t>
            </w:r>
            <w:r w:rsidR="0026300C" w:rsidRPr="00675182">
              <w:rPr>
                <w:rFonts w:cstheme="minorHAnsi"/>
                <w:b/>
                <w:i/>
                <w:iCs/>
                <w:szCs w:val="24"/>
              </w:rPr>
              <w:t xml:space="preserve">GNP konstatēto </w:t>
            </w:r>
            <w:r w:rsidR="009D7DFE">
              <w:rPr>
                <w:rFonts w:cstheme="minorHAnsi"/>
                <w:b/>
                <w:i/>
                <w:iCs/>
                <w:szCs w:val="24"/>
              </w:rPr>
              <w:t>ES nozīmes</w:t>
            </w:r>
            <w:r w:rsidR="009D7DFE" w:rsidRPr="00675182">
              <w:rPr>
                <w:rFonts w:cstheme="minorHAnsi"/>
                <w:b/>
                <w:i/>
                <w:iCs/>
                <w:szCs w:val="24"/>
              </w:rPr>
              <w:t xml:space="preserve"> </w:t>
            </w:r>
            <w:r w:rsidR="0026300C" w:rsidRPr="00675182">
              <w:rPr>
                <w:rFonts w:cstheme="minorHAnsi"/>
                <w:b/>
                <w:i/>
                <w:iCs/>
                <w:szCs w:val="24"/>
              </w:rPr>
              <w:t>meža biotopu kvalitātes novērtējuma sadalījums (%)</w:t>
            </w:r>
            <w:r w:rsidR="0041520F" w:rsidRPr="00675182">
              <w:rPr>
                <w:rFonts w:cstheme="minorHAnsi"/>
                <w:b/>
                <w:i/>
                <w:iCs/>
                <w:szCs w:val="24"/>
              </w:rPr>
              <w:t>)</w:t>
            </w:r>
          </w:p>
        </w:tc>
      </w:tr>
    </w:tbl>
    <w:p w14:paraId="4689E043" w14:textId="77777777" w:rsidR="0041520F" w:rsidRPr="00675182" w:rsidRDefault="0041520F" w:rsidP="0041520F">
      <w:pPr>
        <w:jc w:val="both"/>
        <w:rPr>
          <w:rFonts w:cstheme="minorHAnsi"/>
          <w:bCs/>
          <w:szCs w:val="24"/>
        </w:rPr>
      </w:pPr>
    </w:p>
    <w:p w14:paraId="27C36017" w14:textId="7048A108" w:rsidR="0026300C" w:rsidRPr="00675182" w:rsidRDefault="0026300C" w:rsidP="0026300C">
      <w:pPr>
        <w:jc w:val="both"/>
        <w:rPr>
          <w:rFonts w:cstheme="minorHAnsi"/>
          <w:bCs/>
          <w:szCs w:val="24"/>
        </w:rPr>
      </w:pPr>
      <w:r w:rsidRPr="00675182">
        <w:rPr>
          <w:rFonts w:cstheme="minorHAnsi"/>
          <w:bCs/>
          <w:szCs w:val="24"/>
        </w:rPr>
        <w:t xml:space="preserve">GNP konstatēto </w:t>
      </w:r>
      <w:r w:rsidR="009D7DFE">
        <w:rPr>
          <w:rFonts w:cstheme="minorHAnsi"/>
          <w:bCs/>
          <w:szCs w:val="24"/>
        </w:rPr>
        <w:t>ES nozīmes</w:t>
      </w:r>
      <w:r w:rsidR="009D7DFE" w:rsidRPr="00675182">
        <w:rPr>
          <w:rFonts w:cstheme="minorHAnsi"/>
          <w:bCs/>
          <w:szCs w:val="24"/>
        </w:rPr>
        <w:t xml:space="preserve"> </w:t>
      </w:r>
      <w:r w:rsidRPr="00675182">
        <w:rPr>
          <w:rFonts w:cstheme="minorHAnsi"/>
          <w:bCs/>
          <w:szCs w:val="24"/>
        </w:rPr>
        <w:t>meža biotopu izvietojumu GNP funkcionālajās zonās un sadalījumu īpašuma formās skat 2.3.</w:t>
      </w:r>
      <w:r w:rsidR="00A82E48" w:rsidRPr="00675182">
        <w:rPr>
          <w:rFonts w:cstheme="minorHAnsi"/>
          <w:bCs/>
          <w:szCs w:val="24"/>
        </w:rPr>
        <w:t>61</w:t>
      </w:r>
      <w:r w:rsidRPr="00675182">
        <w:rPr>
          <w:rFonts w:cstheme="minorHAnsi"/>
          <w:bCs/>
          <w:szCs w:val="24"/>
        </w:rPr>
        <w:t>. attēlā un 2.3.</w:t>
      </w:r>
      <w:r w:rsidR="00A82E48" w:rsidRPr="00675182">
        <w:rPr>
          <w:rFonts w:cstheme="minorHAnsi"/>
          <w:bCs/>
          <w:szCs w:val="24"/>
        </w:rPr>
        <w:t>62</w:t>
      </w:r>
      <w:r w:rsidRPr="00675182">
        <w:rPr>
          <w:rFonts w:cstheme="minorHAnsi"/>
          <w:bCs/>
          <w:szCs w:val="24"/>
        </w:rPr>
        <w:t>. attēlā.</w:t>
      </w:r>
    </w:p>
    <w:p w14:paraId="0D4A2A66" w14:textId="77777777" w:rsidR="0026300C" w:rsidRPr="00675182" w:rsidRDefault="0026300C" w:rsidP="0026300C">
      <w:pPr>
        <w:jc w:val="both"/>
        <w:rPr>
          <w:rFonts w:cstheme="minorHAnsi"/>
          <w:bCs/>
          <w:szCs w:val="24"/>
        </w:rPr>
      </w:pPr>
    </w:p>
    <w:p w14:paraId="1C496D6F" w14:textId="77777777" w:rsidR="00F95FC4" w:rsidRPr="00675182" w:rsidRDefault="00F95FC4" w:rsidP="00F95FC4">
      <w:pPr>
        <w:jc w:val="both"/>
        <w:rPr>
          <w:rFonts w:cstheme="minorHAnsi"/>
          <w:bCs/>
          <w:szCs w:val="24"/>
        </w:rPr>
      </w:pPr>
      <w:r w:rsidRPr="00675182">
        <w:rPr>
          <w:rFonts w:cstheme="minorHAnsi"/>
          <w:bCs/>
          <w:szCs w:val="24"/>
        </w:rPr>
        <w:t>Biotopu platības izmaiņas (informāciju skat. 2.3.2. tabulā) saistītas ar aizsardzības režīmu GNP – saimnieciskās darbības ierobežojumiem mežu platībās, tomēr biotopu platību pieaugums vairāk saistāms ar veikto apjomīgo izpēti DA plāna ietvaros, tajā skaitā veicot biotopu apsekošanu platībās, kur tas līdz šim nebija veikts.</w:t>
      </w:r>
    </w:p>
    <w:p w14:paraId="171EB9FE" w14:textId="594E1C8F" w:rsidR="005A5C53" w:rsidRPr="00675182" w:rsidRDefault="0026300C" w:rsidP="0026300C">
      <w:pPr>
        <w:jc w:val="both"/>
        <w:rPr>
          <w:rFonts w:cstheme="minorHAnsi"/>
          <w:bCs/>
          <w:i/>
          <w:iCs/>
          <w:sz w:val="20"/>
        </w:rPr>
        <w:sectPr w:rsidR="005A5C53" w:rsidRPr="00675182" w:rsidSect="00CD74B1">
          <w:headerReference w:type="default" r:id="rId215"/>
          <w:pgSz w:w="11905" w:h="16837"/>
          <w:pgMar w:top="1440" w:right="1797" w:bottom="1440" w:left="1797" w:header="720" w:footer="720" w:gutter="0"/>
          <w:cols w:space="720"/>
          <w:docGrid w:linePitch="360"/>
        </w:sectPr>
      </w:pPr>
      <w:r w:rsidRPr="00675182">
        <w:rPr>
          <w:rFonts w:cstheme="minorHAnsi"/>
          <w:bCs/>
          <w:i/>
          <w:iCs/>
          <w:sz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6"/>
        <w:gridCol w:w="11"/>
      </w:tblGrid>
      <w:tr w:rsidR="00C77BEE" w:rsidRPr="00675182" w14:paraId="3E2B9169" w14:textId="77777777" w:rsidTr="00675A49">
        <w:tc>
          <w:tcPr>
            <w:tcW w:w="5000" w:type="pct"/>
            <w:gridSpan w:val="2"/>
          </w:tcPr>
          <w:p w14:paraId="5839D84B" w14:textId="4D5868DD" w:rsidR="00C77BEE" w:rsidRPr="00675182" w:rsidRDefault="00574289" w:rsidP="005A5C53">
            <w:pPr>
              <w:jc w:val="center"/>
              <w:rPr>
                <w:rFonts w:cstheme="minorHAnsi"/>
                <w:b/>
                <w:szCs w:val="24"/>
              </w:rPr>
            </w:pPr>
            <w:r w:rsidRPr="00675182">
              <w:rPr>
                <w:noProof/>
              </w:rPr>
              <w:lastRenderedPageBreak/>
              <w:drawing>
                <wp:inline distT="0" distB="0" distL="0" distR="0" wp14:anchorId="68755C2A" wp14:editId="5F8D37F6">
                  <wp:extent cx="7121858" cy="5040000"/>
                  <wp:effectExtent l="0" t="0" r="3175" b="825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7121858" cy="5040000"/>
                          </a:xfrm>
                          <a:prstGeom prst="rect">
                            <a:avLst/>
                          </a:prstGeom>
                          <a:noFill/>
                          <a:ln>
                            <a:noFill/>
                          </a:ln>
                        </pic:spPr>
                      </pic:pic>
                    </a:graphicData>
                  </a:graphic>
                </wp:inline>
              </w:drawing>
            </w:r>
          </w:p>
        </w:tc>
      </w:tr>
      <w:tr w:rsidR="00C77BEE" w:rsidRPr="00675182" w14:paraId="589BF5C2" w14:textId="77777777" w:rsidTr="00675A49">
        <w:tc>
          <w:tcPr>
            <w:tcW w:w="5000" w:type="pct"/>
            <w:gridSpan w:val="2"/>
          </w:tcPr>
          <w:p w14:paraId="28762CA8" w14:textId="2D56AF5C" w:rsidR="00C77BEE" w:rsidRPr="00675182" w:rsidRDefault="005A5C53" w:rsidP="0041520F">
            <w:pPr>
              <w:jc w:val="both"/>
              <w:rPr>
                <w:rFonts w:cstheme="minorHAnsi"/>
                <w:b/>
                <w:i/>
                <w:iCs/>
                <w:szCs w:val="24"/>
              </w:rPr>
            </w:pPr>
            <w:r w:rsidRPr="00675182">
              <w:rPr>
                <w:rFonts w:cstheme="minorHAnsi"/>
                <w:b/>
                <w:i/>
                <w:iCs/>
                <w:szCs w:val="24"/>
              </w:rPr>
              <w:t>2.3.</w:t>
            </w:r>
            <w:r w:rsidR="002164B2" w:rsidRPr="00675182">
              <w:rPr>
                <w:rFonts w:cstheme="minorHAnsi"/>
                <w:b/>
                <w:i/>
                <w:iCs/>
                <w:szCs w:val="24"/>
              </w:rPr>
              <w:t>6</w:t>
            </w:r>
            <w:r w:rsidR="00A82E48" w:rsidRPr="00675182">
              <w:rPr>
                <w:rFonts w:cstheme="minorHAnsi"/>
                <w:b/>
                <w:i/>
                <w:iCs/>
                <w:szCs w:val="24"/>
              </w:rPr>
              <w:t>1</w:t>
            </w:r>
            <w:r w:rsidRPr="00675182">
              <w:rPr>
                <w:rFonts w:cstheme="minorHAnsi"/>
                <w:b/>
                <w:i/>
                <w:iCs/>
                <w:szCs w:val="24"/>
              </w:rPr>
              <w:t xml:space="preserve">. attēls. ES </w:t>
            </w:r>
            <w:r w:rsidR="009D7DFE">
              <w:rPr>
                <w:rFonts w:cstheme="minorHAnsi"/>
                <w:b/>
                <w:i/>
                <w:iCs/>
                <w:szCs w:val="24"/>
              </w:rPr>
              <w:t>nozīmes</w:t>
            </w:r>
            <w:r w:rsidR="009D7DFE" w:rsidRPr="00675182">
              <w:rPr>
                <w:rFonts w:cstheme="minorHAnsi"/>
                <w:b/>
                <w:i/>
                <w:iCs/>
                <w:szCs w:val="24"/>
              </w:rPr>
              <w:t xml:space="preserve"> </w:t>
            </w:r>
            <w:r w:rsidRPr="00675182">
              <w:rPr>
                <w:rFonts w:cstheme="minorHAnsi"/>
                <w:b/>
                <w:i/>
                <w:iCs/>
                <w:szCs w:val="24"/>
              </w:rPr>
              <w:t xml:space="preserve">meža biotopu </w:t>
            </w:r>
            <w:r w:rsidR="00BD288B" w:rsidRPr="00675182">
              <w:rPr>
                <w:rFonts w:cstheme="minorHAnsi"/>
                <w:b/>
                <w:i/>
                <w:iCs/>
                <w:szCs w:val="24"/>
              </w:rPr>
              <w:t xml:space="preserve">izvietojums </w:t>
            </w:r>
            <w:r w:rsidR="00E30597" w:rsidRPr="00675182">
              <w:rPr>
                <w:rFonts w:cstheme="minorHAnsi"/>
                <w:b/>
                <w:i/>
                <w:iCs/>
                <w:szCs w:val="24"/>
              </w:rPr>
              <w:t xml:space="preserve">un </w:t>
            </w:r>
            <w:r w:rsidR="00BD288B" w:rsidRPr="00675182">
              <w:rPr>
                <w:rFonts w:cstheme="minorHAnsi"/>
                <w:b/>
                <w:i/>
                <w:iCs/>
                <w:szCs w:val="24"/>
              </w:rPr>
              <w:t xml:space="preserve">to </w:t>
            </w:r>
            <w:r w:rsidR="00E30597" w:rsidRPr="00675182">
              <w:rPr>
                <w:rFonts w:cstheme="minorHAnsi"/>
                <w:b/>
                <w:i/>
                <w:iCs/>
                <w:szCs w:val="24"/>
              </w:rPr>
              <w:t xml:space="preserve">sadalījums </w:t>
            </w:r>
            <w:r w:rsidR="00BD288B" w:rsidRPr="00675182">
              <w:rPr>
                <w:rFonts w:cstheme="minorHAnsi"/>
                <w:b/>
                <w:i/>
                <w:iCs/>
                <w:szCs w:val="24"/>
              </w:rPr>
              <w:t xml:space="preserve">pēc </w:t>
            </w:r>
            <w:r w:rsidR="00E30597" w:rsidRPr="00675182">
              <w:rPr>
                <w:rFonts w:cstheme="minorHAnsi"/>
                <w:b/>
                <w:i/>
                <w:iCs/>
                <w:szCs w:val="24"/>
              </w:rPr>
              <w:t>īpašuma formā</w:t>
            </w:r>
            <w:r w:rsidR="00BD288B" w:rsidRPr="00675182">
              <w:rPr>
                <w:rFonts w:cstheme="minorHAnsi"/>
                <w:b/>
                <w:i/>
                <w:iCs/>
                <w:szCs w:val="24"/>
              </w:rPr>
              <w:t>m</w:t>
            </w:r>
          </w:p>
        </w:tc>
      </w:tr>
      <w:tr w:rsidR="005A5C53" w:rsidRPr="00675182" w14:paraId="6AF349FC" w14:textId="77777777" w:rsidTr="00675A49">
        <w:trPr>
          <w:gridAfter w:val="1"/>
          <w:wAfter w:w="4" w:type="pct"/>
        </w:trPr>
        <w:tc>
          <w:tcPr>
            <w:tcW w:w="4996" w:type="pct"/>
          </w:tcPr>
          <w:p w14:paraId="06399AC6" w14:textId="52C695DA" w:rsidR="005A5C53" w:rsidRPr="00675182" w:rsidRDefault="00F23389" w:rsidP="005A5C53">
            <w:pPr>
              <w:jc w:val="center"/>
              <w:rPr>
                <w:rFonts w:cstheme="minorHAnsi"/>
                <w:b/>
                <w:i/>
                <w:iCs/>
                <w:szCs w:val="24"/>
              </w:rPr>
            </w:pPr>
            <w:r w:rsidRPr="00675182">
              <w:rPr>
                <w:noProof/>
              </w:rPr>
              <w:lastRenderedPageBreak/>
              <w:drawing>
                <wp:inline distT="0" distB="0" distL="0" distR="0" wp14:anchorId="6F938E15" wp14:editId="62FC6FB4">
                  <wp:extent cx="7121860" cy="5040000"/>
                  <wp:effectExtent l="0" t="0" r="3175"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7121860" cy="5040000"/>
                          </a:xfrm>
                          <a:prstGeom prst="rect">
                            <a:avLst/>
                          </a:prstGeom>
                          <a:noFill/>
                          <a:ln>
                            <a:noFill/>
                          </a:ln>
                        </pic:spPr>
                      </pic:pic>
                    </a:graphicData>
                  </a:graphic>
                </wp:inline>
              </w:drawing>
            </w:r>
          </w:p>
        </w:tc>
      </w:tr>
      <w:tr w:rsidR="005A5C53" w:rsidRPr="00675182" w14:paraId="11564C6F" w14:textId="77777777" w:rsidTr="00675A49">
        <w:trPr>
          <w:gridAfter w:val="1"/>
          <w:wAfter w:w="4" w:type="pct"/>
        </w:trPr>
        <w:tc>
          <w:tcPr>
            <w:tcW w:w="4996" w:type="pct"/>
          </w:tcPr>
          <w:p w14:paraId="126A4142" w14:textId="71923536" w:rsidR="005A5C53" w:rsidRPr="00675182" w:rsidRDefault="005A5C53" w:rsidP="0041520F">
            <w:pPr>
              <w:jc w:val="both"/>
              <w:rPr>
                <w:rFonts w:cstheme="minorHAnsi"/>
                <w:b/>
                <w:i/>
                <w:iCs/>
                <w:szCs w:val="24"/>
              </w:rPr>
            </w:pPr>
            <w:r w:rsidRPr="00675182">
              <w:rPr>
                <w:rFonts w:cstheme="minorHAnsi"/>
                <w:b/>
                <w:i/>
                <w:iCs/>
                <w:szCs w:val="24"/>
              </w:rPr>
              <w:t>2.3.</w:t>
            </w:r>
            <w:r w:rsidR="002164B2" w:rsidRPr="00675182">
              <w:rPr>
                <w:rFonts w:cstheme="minorHAnsi"/>
                <w:b/>
                <w:i/>
                <w:iCs/>
                <w:szCs w:val="24"/>
              </w:rPr>
              <w:t>6</w:t>
            </w:r>
            <w:r w:rsidR="00A82E48" w:rsidRPr="00675182">
              <w:rPr>
                <w:rFonts w:cstheme="minorHAnsi"/>
                <w:b/>
                <w:i/>
                <w:iCs/>
                <w:szCs w:val="24"/>
              </w:rPr>
              <w:t>2</w:t>
            </w:r>
            <w:r w:rsidRPr="00675182">
              <w:rPr>
                <w:rFonts w:cstheme="minorHAnsi"/>
                <w:b/>
                <w:i/>
                <w:iCs/>
                <w:szCs w:val="24"/>
              </w:rPr>
              <w:t xml:space="preserve">. attēls. ES </w:t>
            </w:r>
            <w:r w:rsidR="009D7DFE">
              <w:rPr>
                <w:rFonts w:cstheme="minorHAnsi"/>
                <w:b/>
                <w:i/>
                <w:iCs/>
                <w:szCs w:val="24"/>
              </w:rPr>
              <w:t>nozīmes</w:t>
            </w:r>
            <w:r w:rsidR="009D7DFE" w:rsidRPr="00675182">
              <w:rPr>
                <w:rFonts w:cstheme="minorHAnsi"/>
                <w:b/>
                <w:i/>
                <w:iCs/>
                <w:szCs w:val="24"/>
              </w:rPr>
              <w:t xml:space="preserve"> </w:t>
            </w:r>
            <w:r w:rsidRPr="00675182">
              <w:rPr>
                <w:rFonts w:cstheme="minorHAnsi"/>
                <w:b/>
                <w:i/>
                <w:iCs/>
                <w:szCs w:val="24"/>
              </w:rPr>
              <w:t xml:space="preserve">meža biotopu </w:t>
            </w:r>
            <w:r w:rsidR="00BD288B" w:rsidRPr="00675182">
              <w:rPr>
                <w:rFonts w:cstheme="minorHAnsi"/>
                <w:b/>
                <w:i/>
                <w:iCs/>
                <w:szCs w:val="24"/>
              </w:rPr>
              <w:t xml:space="preserve">izvietojums </w:t>
            </w:r>
            <w:r w:rsidR="00A90DFC" w:rsidRPr="00675182">
              <w:rPr>
                <w:rFonts w:cstheme="minorHAnsi"/>
                <w:b/>
                <w:i/>
                <w:iCs/>
                <w:szCs w:val="24"/>
              </w:rPr>
              <w:t xml:space="preserve">funkcionālajās </w:t>
            </w:r>
            <w:r w:rsidRPr="00675182">
              <w:rPr>
                <w:rFonts w:cstheme="minorHAnsi"/>
                <w:b/>
                <w:i/>
                <w:iCs/>
                <w:szCs w:val="24"/>
              </w:rPr>
              <w:t>GNP teritorijā</w:t>
            </w:r>
          </w:p>
        </w:tc>
      </w:tr>
    </w:tbl>
    <w:p w14:paraId="65A7A83C" w14:textId="0C6C9D85" w:rsidR="005A5C53" w:rsidRPr="00675182" w:rsidRDefault="005A5C53" w:rsidP="0041520F">
      <w:pPr>
        <w:jc w:val="both"/>
        <w:rPr>
          <w:rFonts w:cstheme="minorHAnsi"/>
          <w:b/>
          <w:szCs w:val="24"/>
        </w:rPr>
        <w:sectPr w:rsidR="005A5C53" w:rsidRPr="00675182" w:rsidSect="005A5C53">
          <w:headerReference w:type="default" r:id="rId218"/>
          <w:pgSz w:w="16837" w:h="11905" w:orient="landscape"/>
          <w:pgMar w:top="1797" w:right="1440" w:bottom="1797" w:left="1440" w:header="720" w:footer="720" w:gutter="0"/>
          <w:cols w:space="720"/>
          <w:docGrid w:linePitch="360"/>
        </w:sectPr>
      </w:pPr>
    </w:p>
    <w:p w14:paraId="594DD8AC" w14:textId="77777777" w:rsidR="00C77BEE" w:rsidRPr="00675182" w:rsidRDefault="00C77BEE" w:rsidP="0041520F">
      <w:pPr>
        <w:jc w:val="both"/>
        <w:rPr>
          <w:rFonts w:cstheme="minorHAnsi"/>
          <w:b/>
          <w:szCs w:val="24"/>
        </w:rPr>
      </w:pPr>
    </w:p>
    <w:p w14:paraId="5A89F539" w14:textId="77777777" w:rsidR="0041520F" w:rsidRPr="00675182" w:rsidRDefault="0041520F" w:rsidP="0041520F">
      <w:pPr>
        <w:jc w:val="both"/>
        <w:rPr>
          <w:rFonts w:cstheme="minorHAnsi"/>
          <w:b/>
          <w:szCs w:val="24"/>
        </w:rPr>
      </w:pPr>
      <w:r w:rsidRPr="00675182">
        <w:rPr>
          <w:rFonts w:cstheme="minorHAnsi"/>
          <w:b/>
          <w:szCs w:val="24"/>
        </w:rPr>
        <w:t xml:space="preserve">Sociālekonomiskā vērtība </w:t>
      </w:r>
    </w:p>
    <w:p w14:paraId="53502801" w14:textId="77777777" w:rsidR="00F95FC4" w:rsidRPr="00675182" w:rsidRDefault="00F95FC4" w:rsidP="00F95FC4">
      <w:pPr>
        <w:jc w:val="both"/>
        <w:rPr>
          <w:rFonts w:cstheme="minorHAnsi"/>
        </w:rPr>
      </w:pPr>
      <w:r w:rsidRPr="00675182">
        <w:rPr>
          <w:rFonts w:cstheme="minorHAnsi"/>
        </w:rPr>
        <w:t>Meža ekosistēmu galvenā nosacītā ekonomiskā vērtība ir to koksnes resursi attiecīgajās mežaudzēs. Atbilstoši spēkā esošajiem GNP teritorijas zonējuma ierobežojumiem, aizsargājamos biotopos un pārējā mežu platībā, nav pieļaujama vai ir ierobežota koksnes ieguve dažādās cirtēs, kā arī mirušās koksnes - kritalu un sausokņu izvākšana. Aizsargājamo meža un purvu biotopu platībās potenciāli koksnes ieguve iespējama, veicot biotopu apsaimniekošanas vai atjaunošanas pasākumus, proti, pasākumus, kas nepieciešami biotopu stāvokļa uzlabošanai vai nevēlamas ietekmes mazināšanai. Šādi pasākumi īstenojami atbilstoši speciāli sagatavotiem biotopu apsaimniekošanas plāniem, kuru sagatavošanā iesaistīti attiecīgajās jomās sertificēti sugu un biotopu eksperti. Tāpat ekonomiskus ieguvumus var sniegt kopšanas vai mežaudžu dabiskošanas un aizsargājamu biotopu attīstību veicinošas cirtes jaunākās audzēs, kurās, vienlaikus ar mežaudžu struktūras dabiskošanu, iespējams iegūt dažādu dimensiju sortimentus, kā arī izejvielas enerģētiskās koksnes ražošanai. Vienlaikus akcentējams, ka plašās GNP mežu teritorijās koksnes ieguve mežaudzēs ir iespējama nodrošinot ilgtspējīgu meža platību pārvaldību, kam jānodrošina ne vien koksnes ieguve apjomos, kas nepārsniedz resursa atjaunošanos, bet arī primāri jānodrošina aizsargājamās dabas teritorijas izveides un aizsardzības daudzveidīgo specifisko mērķu sasniegšana.</w:t>
      </w:r>
    </w:p>
    <w:p w14:paraId="451B97CA" w14:textId="77777777" w:rsidR="00F95FC4" w:rsidRPr="00675182" w:rsidRDefault="00F95FC4" w:rsidP="00F95FC4">
      <w:pPr>
        <w:jc w:val="both"/>
        <w:rPr>
          <w:rFonts w:cstheme="minorHAnsi"/>
        </w:rPr>
      </w:pPr>
    </w:p>
    <w:p w14:paraId="4E9AE9AA" w14:textId="36D3D403" w:rsidR="00F95FC4" w:rsidRPr="00675182" w:rsidRDefault="00F95FC4" w:rsidP="00F95FC4">
      <w:pPr>
        <w:jc w:val="both"/>
        <w:rPr>
          <w:rFonts w:cstheme="minorHAnsi"/>
        </w:rPr>
      </w:pPr>
      <w:r w:rsidRPr="00675182">
        <w:rPr>
          <w:rFonts w:cstheme="minorHAnsi"/>
        </w:rPr>
        <w:t xml:space="preserve">Mežiem kopumā ir nenovērtējama loma dažādu regulācijas un atbalsta </w:t>
      </w:r>
      <w:r w:rsidR="006A5BE3">
        <w:rPr>
          <w:rFonts w:cstheme="minorHAnsi"/>
        </w:rPr>
        <w:t>EP</w:t>
      </w:r>
      <w:r w:rsidRPr="00675182">
        <w:rPr>
          <w:rFonts w:cstheme="minorHAnsi"/>
        </w:rPr>
        <w:t xml:space="preserve"> nodrošināšanā. Tāpat GNP šķērsojošo upju un ietilpstošo ūdenstilpju ekoloģiskā kvalitāte un ar to saistītā šo ūdensteču un ezeru piemērotība īpaši retu aizsargājamo sugu dzīvotņu nodrošināšanai ir tiešā veidā saistīta ar mežu ekstensīvu izmantošanu. Tomēr identificējamas arī situācijas, kad sekundāro mežaudžu attīstībai upju tiešā tuvumā var būt negatīva ietekme uz </w:t>
      </w:r>
      <w:r w:rsidR="00DB58E4">
        <w:rPr>
          <w:rFonts w:cstheme="minorHAnsi"/>
        </w:rPr>
        <w:t>ŪO</w:t>
      </w:r>
      <w:r w:rsidR="00DB58E4" w:rsidRPr="00675182">
        <w:rPr>
          <w:rFonts w:cstheme="minorHAnsi"/>
        </w:rPr>
        <w:t xml:space="preserve"> </w:t>
      </w:r>
      <w:r w:rsidRPr="00675182">
        <w:rPr>
          <w:rFonts w:cstheme="minorHAnsi"/>
        </w:rPr>
        <w:t>ekoloģisko kvalitāti vai upju piemērotību izmantošanai rekreācijai un tūrismam. Piemēram, palieņu teritoriju aizaugšana ar baltalkšņa dominētām audzēm un sekojoša šādu mežaudžu sabrukšana, veicinot pārmērīgu barības vielu ienesi ūdeņu ekosistēmās un radot koku sagāzumus upēs, kas veido fiziskus šķēršļus ūdens plūsmai un teritorijas apmeklētājiem.</w:t>
      </w:r>
    </w:p>
    <w:p w14:paraId="7409E961" w14:textId="77777777" w:rsidR="00E30597" w:rsidRPr="00675182" w:rsidRDefault="00E30597" w:rsidP="00E30597">
      <w:pPr>
        <w:jc w:val="both"/>
        <w:rPr>
          <w:rFonts w:cstheme="minorHAnsi"/>
        </w:rPr>
      </w:pPr>
    </w:p>
    <w:p w14:paraId="3B4B35EF" w14:textId="77777777" w:rsidR="00E30597" w:rsidRPr="00675182" w:rsidRDefault="00E30597" w:rsidP="00E30597">
      <w:pPr>
        <w:jc w:val="both"/>
        <w:rPr>
          <w:rFonts w:cstheme="minorHAnsi"/>
        </w:rPr>
      </w:pPr>
      <w:r w:rsidRPr="00675182">
        <w:rPr>
          <w:rFonts w:cstheme="minorHAnsi"/>
        </w:rPr>
        <w:t>Mežiem GNP teritorijā ir neatsverama loma tūrisma un rekreācijas produktu un pakalpojumu nodrošināšanā, papildus tam meži GNP teritorijā tiek izmantoti ogu un sēņu ieguvei. Meža teritorijas ir pievilcīgas aktīvās atpūtas cienītājiem, kuri teritoriju izmanto treniņiem un sacensībām dažādos sporta veidos. Tāpat arī teritorijas izmantošana medībām uzskatāma par teritorijas izmantošanu rekreācijas mērķiem.</w:t>
      </w:r>
    </w:p>
    <w:p w14:paraId="4F60E9DD" w14:textId="77777777" w:rsidR="00E30597" w:rsidRPr="00675182" w:rsidRDefault="00E30597" w:rsidP="00E30597">
      <w:pPr>
        <w:jc w:val="both"/>
        <w:rPr>
          <w:rFonts w:cstheme="minorHAnsi"/>
        </w:rPr>
      </w:pPr>
    </w:p>
    <w:p w14:paraId="53F8AD88" w14:textId="209AD854" w:rsidR="00E30597" w:rsidRPr="00675182" w:rsidRDefault="00E30597" w:rsidP="00E30597">
      <w:pPr>
        <w:jc w:val="both"/>
        <w:rPr>
          <w:rFonts w:cstheme="minorHAnsi"/>
        </w:rPr>
      </w:pPr>
      <w:r w:rsidRPr="00675182">
        <w:rPr>
          <w:rFonts w:cstheme="minorHAnsi"/>
        </w:rPr>
        <w:t>GNP mežiem, kā unikālu bioloģisko un abiotisko apstākļu teritorijai Latvijā, ir būtiska nozīme kā mežu zinātniskās pētniecības objektam. Teritorijā iespējams īstenot plašus mežu dabiskās sukcesijas pētījumus, kā arī ierīkot pētījumu objektus saimnieciski ietekmētās meža platībās ar mērķi izvērtēt dažādus aizsargājamo meža biotopu attīstību veicinošus pasākumus.</w:t>
      </w:r>
    </w:p>
    <w:p w14:paraId="6F69CF67" w14:textId="17A5AC75" w:rsidR="00A90DFC" w:rsidRPr="00675182" w:rsidRDefault="00A90DFC" w:rsidP="00E30597">
      <w:pPr>
        <w:jc w:val="both"/>
        <w:rPr>
          <w:rFonts w:cstheme="minorHAnsi"/>
        </w:rPr>
      </w:pPr>
    </w:p>
    <w:p w14:paraId="7B2B256A" w14:textId="77777777" w:rsidR="0041520F" w:rsidRPr="00675182" w:rsidRDefault="0041520F" w:rsidP="00F95FC4">
      <w:pPr>
        <w:keepNext/>
        <w:keepLines/>
        <w:jc w:val="both"/>
        <w:rPr>
          <w:rFonts w:cstheme="minorHAnsi"/>
          <w:b/>
          <w:szCs w:val="24"/>
        </w:rPr>
      </w:pPr>
      <w:r w:rsidRPr="00675182">
        <w:rPr>
          <w:rFonts w:cstheme="minorHAnsi"/>
          <w:b/>
          <w:szCs w:val="24"/>
        </w:rPr>
        <w:lastRenderedPageBreak/>
        <w:t>Ietekmējošie faktori</w:t>
      </w:r>
    </w:p>
    <w:p w14:paraId="41DE8D11" w14:textId="76A0B52C" w:rsidR="00A90DFC" w:rsidRPr="00675182" w:rsidRDefault="00A90DFC" w:rsidP="00F95FC4">
      <w:pPr>
        <w:keepNext/>
        <w:keepLines/>
        <w:jc w:val="both"/>
        <w:rPr>
          <w:rFonts w:cstheme="minorHAnsi"/>
          <w:szCs w:val="24"/>
        </w:rPr>
      </w:pPr>
      <w:bookmarkStart w:id="73" w:name="_Hlk97906910"/>
      <w:r w:rsidRPr="00675182">
        <w:rPr>
          <w:rFonts w:cstheme="minorHAnsi"/>
          <w:szCs w:val="24"/>
        </w:rPr>
        <w:t>Tradicionālas mežsaimniecības pieejā apsaimniekotajos mežos, kā arī lielās platībās, kur veikta meža apsaimniekošana</w:t>
      </w:r>
      <w:r w:rsidR="00603EE6" w:rsidRPr="00675182">
        <w:rPr>
          <w:rFonts w:cstheme="minorHAnsi"/>
          <w:szCs w:val="24"/>
        </w:rPr>
        <w:t>,</w:t>
      </w:r>
      <w:r w:rsidRPr="00675182">
        <w:rPr>
          <w:rFonts w:cstheme="minorHAnsi"/>
          <w:szCs w:val="24"/>
        </w:rPr>
        <w:t xml:space="preserve"> ievērojot specifiskus apsaimniekošanas nosacījumus, </w:t>
      </w:r>
      <w:r w:rsidR="00BE520F" w:rsidRPr="00675182">
        <w:rPr>
          <w:rFonts w:cstheme="minorHAnsi"/>
          <w:szCs w:val="24"/>
        </w:rPr>
        <w:t xml:space="preserve">ir </w:t>
      </w:r>
      <w:r w:rsidRPr="00675182">
        <w:rPr>
          <w:rFonts w:cstheme="minorHAnsi"/>
          <w:szCs w:val="24"/>
        </w:rPr>
        <w:t>samazinājies dabisko mežu elementu daudzums – atmiruši un atmirstoši koki, ietekmētas potenciālu biotopu mežaudzes, kuru struktūru veidoja dažādu sugu, izmēru un vecuma koku sajaukums un kurām raksturīgs noturīgs mikroklimats. Labvēlīga aizsardzības statusa nodrošināšana vairumam konstatēto meža biotopu nav savienojama ar koku ciršanu, kā arī kritalu un sausokņu izvākšanu. Pārmitro meža biotopu platības negatīvi ietekmē purvaiņu un slapjaiņu mežu vēsturiskā nosusināšana, meliorācija.</w:t>
      </w:r>
    </w:p>
    <w:p w14:paraId="11D6A563" w14:textId="77777777" w:rsidR="00A90DFC" w:rsidRPr="00675182" w:rsidRDefault="00A90DFC" w:rsidP="00A90DFC">
      <w:pPr>
        <w:jc w:val="both"/>
        <w:rPr>
          <w:rFonts w:cstheme="minorHAnsi"/>
          <w:szCs w:val="24"/>
          <w:highlight w:val="yellow"/>
        </w:rPr>
      </w:pPr>
    </w:p>
    <w:p w14:paraId="487A155A" w14:textId="019BC93C" w:rsidR="00F95FC4" w:rsidRPr="00675182" w:rsidRDefault="00F95FC4" w:rsidP="00F95FC4">
      <w:pPr>
        <w:jc w:val="both"/>
        <w:rPr>
          <w:rFonts w:cstheme="minorHAnsi"/>
          <w:szCs w:val="24"/>
        </w:rPr>
      </w:pPr>
      <w:r w:rsidRPr="00675182">
        <w:rPr>
          <w:rFonts w:cstheme="minorHAnsi"/>
          <w:szCs w:val="24"/>
        </w:rPr>
        <w:t xml:space="preserve">Meža izmantošanas negatīvā ietekme uz dabas vērtību aizsardzību ir identificēta jau iepriekšējā GNP </w:t>
      </w:r>
      <w:r w:rsidR="00DD2095">
        <w:rPr>
          <w:rFonts w:cstheme="minorHAnsi"/>
          <w:szCs w:val="24"/>
        </w:rPr>
        <w:t>DA</w:t>
      </w:r>
      <w:r w:rsidRPr="00675182">
        <w:rPr>
          <w:rFonts w:cstheme="minorHAnsi"/>
          <w:szCs w:val="24"/>
        </w:rPr>
        <w:t xml:space="preserve"> plānā</w:t>
      </w:r>
      <w:r w:rsidR="00A727D5" w:rsidRPr="00675182">
        <w:rPr>
          <w:rFonts w:cstheme="minorHAnsi"/>
          <w:szCs w:val="24"/>
        </w:rPr>
        <w:t xml:space="preserve"> (Autoru kolektīvs, 2004)</w:t>
      </w:r>
      <w:r w:rsidRPr="00675182">
        <w:rPr>
          <w:rFonts w:cstheme="minorHAnsi"/>
          <w:szCs w:val="24"/>
        </w:rPr>
        <w:t>. Tāpat Natura 2000 nacionālajā aizsardzības un apsaimniekošanas programmā laika posmam no 2018. līdz 2030. gada</w:t>
      </w:r>
      <w:r w:rsidR="00A727D5" w:rsidRPr="00675182">
        <w:rPr>
          <w:rFonts w:cstheme="minorHAnsi"/>
          <w:szCs w:val="24"/>
        </w:rPr>
        <w:t>m</w:t>
      </w:r>
      <w:r w:rsidRPr="00675182">
        <w:rPr>
          <w:rFonts w:cstheme="minorHAnsi"/>
          <w:szCs w:val="24"/>
        </w:rPr>
        <w:t xml:space="preserve">, kas sagatavota LIFE+ projekta “Natura 2000 teritoriju nacionālā aizsardzības un apsaimniekošanas programma” (LIFE11 NAT/LV/000371) ietvaros, attiecībā uz GNP ir secināts, ka mežu biotopus un ar tiem saistītas aizsargājamas sugas negatīvi ietekme biotopu fragmentācija un mežizstrāde – veicot normatīvajos aktos atļautas cirtes, samazinās bioloģiskajai daudzveidībai nozīmīgais mirušas koksnes apjoms, bioloģiski veco koku un mežaudžu īpatsvars. Izvērtējot </w:t>
      </w:r>
      <w:r w:rsidR="001E2992" w:rsidRPr="00675182">
        <w:rPr>
          <w:rFonts w:cstheme="minorHAnsi"/>
          <w:szCs w:val="24"/>
        </w:rPr>
        <w:t>DA</w:t>
      </w:r>
      <w:r w:rsidRPr="00675182">
        <w:rPr>
          <w:rFonts w:cstheme="minorHAnsi"/>
          <w:szCs w:val="24"/>
        </w:rPr>
        <w:t xml:space="preserve"> plāna izstrādes ietvaros apkopoto informāciju par aizsargājamo meža biotopu platībām GNP funkcionālajās zonās, secināts, ka 42 % pieaugušo vai pāraugušo audžu DLZ novērtētas kā atbilstošas aizsargājamo biotopu izdalīšanai, bet AAZ mežu platībās tikai 21 % pieaugušu un pāraugušu mežaudžu konstatēti ES nozīmes aizsargājamie mežu biotopi. Konstatēto aizsargājamo biotopu sastopamības atšķirība DLZ un AAZ mežos saistīta ar meža izmantošanas nosacījumiem, kas, kā iepriekš uzsvērts GNP </w:t>
      </w:r>
      <w:r w:rsidR="001E2992" w:rsidRPr="00675182">
        <w:rPr>
          <w:rFonts w:cstheme="minorHAnsi"/>
          <w:szCs w:val="24"/>
        </w:rPr>
        <w:t>DA</w:t>
      </w:r>
      <w:r w:rsidRPr="00675182">
        <w:rPr>
          <w:rFonts w:cstheme="minorHAnsi"/>
          <w:szCs w:val="24"/>
        </w:rPr>
        <w:t xml:space="preserve"> plānā un Natura 2000 teritoriju aizsardzības un apsaimniekošanas programmā, ir galvenais dabas vērtību saglabāšanu negatīvi ietekmējošais faktors. Salīdzinot biotopu konstatēšanas biežumu pieaugušu un pāraugušu mežaudžu platībās DLZ un AAZ ir </w:t>
      </w:r>
      <w:r w:rsidR="001E2992" w:rsidRPr="00675182">
        <w:rPr>
          <w:rFonts w:cstheme="minorHAnsi"/>
          <w:szCs w:val="24"/>
        </w:rPr>
        <w:t>secināts</w:t>
      </w:r>
      <w:r w:rsidRPr="00675182">
        <w:rPr>
          <w:rFonts w:cstheme="minorHAnsi"/>
          <w:szCs w:val="24"/>
        </w:rPr>
        <w:t>, ka ES nozīmes aizsargājamie meža biotopi konstatēti attiecīgi 51</w:t>
      </w:r>
      <w:r w:rsidR="000C01AB" w:rsidRPr="00675182">
        <w:rPr>
          <w:rFonts w:cstheme="minorHAnsi"/>
          <w:szCs w:val="24"/>
        </w:rPr>
        <w:t>,</w:t>
      </w:r>
      <w:r w:rsidRPr="00675182">
        <w:rPr>
          <w:rFonts w:cstheme="minorHAnsi"/>
          <w:szCs w:val="24"/>
        </w:rPr>
        <w:t>8 % un 27</w:t>
      </w:r>
      <w:r w:rsidR="000C01AB" w:rsidRPr="00675182">
        <w:rPr>
          <w:rFonts w:cstheme="minorHAnsi"/>
          <w:szCs w:val="24"/>
        </w:rPr>
        <w:t>,</w:t>
      </w:r>
      <w:r w:rsidRPr="00675182">
        <w:rPr>
          <w:rFonts w:cstheme="minorHAnsi"/>
          <w:szCs w:val="24"/>
        </w:rPr>
        <w:t>4 % audžu, kurās nav veikta mežsaimnieciskā darbība, un tikai attiecīgi 20 % un 14</w:t>
      </w:r>
      <w:r w:rsidR="000C01AB" w:rsidRPr="00675182">
        <w:rPr>
          <w:rFonts w:cstheme="minorHAnsi"/>
          <w:szCs w:val="24"/>
        </w:rPr>
        <w:t>,</w:t>
      </w:r>
      <w:r w:rsidRPr="00675182">
        <w:rPr>
          <w:rFonts w:cstheme="minorHAnsi"/>
          <w:szCs w:val="24"/>
        </w:rPr>
        <w:t>6 % mežaudžu, kur veikta koksnes ieguve (skat. 2.3.</w:t>
      </w:r>
      <w:r w:rsidR="00A82E48" w:rsidRPr="00675182">
        <w:rPr>
          <w:rFonts w:cstheme="minorHAnsi"/>
          <w:szCs w:val="24"/>
        </w:rPr>
        <w:t>63</w:t>
      </w:r>
      <w:r w:rsidRPr="00675182">
        <w:rPr>
          <w:rFonts w:cstheme="minorHAnsi"/>
          <w:szCs w:val="24"/>
        </w:rPr>
        <w:t xml:space="preserve">. attēlu). No apsekojumos dabā veiktajiem novērojumiem, var apgalvot, ka platībās, kur koksnes ieguve izlases cirtēs vai sanitārajā cirtēs veikta vienmērīgi visā platībā un salīdzinoši nesen – pēdējos 10-15 gados, aizsargājamu meža biotopu konstatēšanas iespēja ir vēl </w:t>
      </w:r>
      <w:r w:rsidR="001E2992" w:rsidRPr="00675182">
        <w:rPr>
          <w:rFonts w:cstheme="minorHAnsi"/>
          <w:szCs w:val="24"/>
        </w:rPr>
        <w:t>zemāka</w:t>
      </w:r>
      <w:r w:rsidRPr="00675182">
        <w:rPr>
          <w:rFonts w:cstheme="minorHAnsi"/>
          <w:szCs w:val="24"/>
        </w:rPr>
        <w:t xml:space="preserve"> nekā redzams apkopotajā statistikā.</w:t>
      </w:r>
    </w:p>
    <w:p w14:paraId="61DBE0C5" w14:textId="77777777" w:rsidR="000C01AB" w:rsidRPr="00675182" w:rsidRDefault="000C01AB" w:rsidP="00F95FC4">
      <w:pPr>
        <w:jc w:val="both"/>
        <w:rPr>
          <w:rFonts w:cstheme="minorHAnsi"/>
          <w:szCs w:val="24"/>
          <w:highlight w:val="yellow"/>
        </w:rPr>
      </w:pPr>
    </w:p>
    <w:p w14:paraId="0E91FE5B" w14:textId="5EF022E7" w:rsidR="00F95FC4" w:rsidRPr="00675182" w:rsidRDefault="00F95FC4" w:rsidP="00F95FC4">
      <w:pPr>
        <w:jc w:val="both"/>
        <w:rPr>
          <w:rFonts w:cstheme="minorHAnsi"/>
          <w:szCs w:val="24"/>
        </w:rPr>
      </w:pPr>
      <w:r w:rsidRPr="00675182">
        <w:rPr>
          <w:rFonts w:cstheme="minorHAnsi"/>
          <w:szCs w:val="24"/>
        </w:rPr>
        <w:t>No veikt</w:t>
      </w:r>
      <w:r w:rsidR="005B72BA" w:rsidRPr="00675182">
        <w:rPr>
          <w:rFonts w:cstheme="minorHAnsi"/>
          <w:szCs w:val="24"/>
        </w:rPr>
        <w:t>ā</w:t>
      </w:r>
      <w:r w:rsidRPr="00675182">
        <w:rPr>
          <w:rFonts w:cstheme="minorHAnsi"/>
          <w:szCs w:val="24"/>
        </w:rPr>
        <w:t xml:space="preserve"> izvērtējuma </w:t>
      </w:r>
      <w:r w:rsidR="001E2992" w:rsidRPr="00675182">
        <w:rPr>
          <w:rFonts w:cstheme="minorHAnsi"/>
          <w:szCs w:val="24"/>
        </w:rPr>
        <w:t>tika secināts</w:t>
      </w:r>
      <w:r w:rsidRPr="00675182">
        <w:rPr>
          <w:rFonts w:cstheme="minorHAnsi"/>
          <w:szCs w:val="24"/>
        </w:rPr>
        <w:t>, ka vislielākā negatīvā mežsaimnieciskā ietekme u</w:t>
      </w:r>
      <w:r w:rsidR="001E2992" w:rsidRPr="00675182">
        <w:rPr>
          <w:rFonts w:cstheme="minorHAnsi"/>
          <w:szCs w:val="24"/>
        </w:rPr>
        <w:t xml:space="preserve">z </w:t>
      </w:r>
      <w:r w:rsidRPr="00675182">
        <w:rPr>
          <w:rFonts w:cstheme="minorHAnsi"/>
          <w:szCs w:val="24"/>
        </w:rPr>
        <w:t>meža biotopiem vai potenciāliem meža biotopiem vērojama pieaugušās un pāraugušās mežaudzēs, kur veiktas izlases cirtes un mirušās koksnes izvākšana sanitārajās cirtēs. Šādu mežaudžu struktūra un kvalitāte, no aizsargājamo sugu dzīvotņu piemērotības aspekta raugoties, ir būtiski degradēta – veidots vienmērīgs koku izvietojums, izvākti atmirušie koki, kritalas un pamežs, kas būtiski izmainījis mežaudžu mikroklimatu un reto un aizsargājamo sugu dzīvotņu pieejamību šajās platībās.</w:t>
      </w:r>
    </w:p>
    <w:p w14:paraId="5B7D75A3" w14:textId="7716C2CE" w:rsidR="005B72BA" w:rsidRPr="00675182" w:rsidRDefault="005B72BA" w:rsidP="00F95FC4">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5B72BA" w:rsidRPr="00675182" w14:paraId="1622C76B" w14:textId="77777777" w:rsidTr="00B44E7D">
        <w:tc>
          <w:tcPr>
            <w:tcW w:w="8301" w:type="dxa"/>
          </w:tcPr>
          <w:p w14:paraId="011823D1" w14:textId="2D1DB428" w:rsidR="005B72BA" w:rsidRPr="00675182" w:rsidRDefault="00B44E7D" w:rsidP="00F95FC4">
            <w:pPr>
              <w:jc w:val="both"/>
              <w:rPr>
                <w:rFonts w:cstheme="minorHAnsi"/>
                <w:szCs w:val="24"/>
              </w:rPr>
            </w:pPr>
            <w:r w:rsidRPr="00675182">
              <w:rPr>
                <w:rFonts w:cstheme="minorHAnsi"/>
                <w:noProof/>
              </w:rPr>
              <w:lastRenderedPageBreak/>
              <w:drawing>
                <wp:inline distT="0" distB="0" distL="0" distR="0" wp14:anchorId="67953EB1" wp14:editId="6392F62C">
                  <wp:extent cx="4924425" cy="3695700"/>
                  <wp:effectExtent l="0" t="0" r="9525" b="0"/>
                  <wp:docPr id="230" name="Diagramma 230">
                    <a:extLst xmlns:a="http://schemas.openxmlformats.org/drawingml/2006/main">
                      <a:ext uri="{FF2B5EF4-FFF2-40B4-BE49-F238E27FC236}">
                        <a16:creationId xmlns:a16="http://schemas.microsoft.com/office/drawing/2014/main" id="{365799F2-A89A-7D0C-0DE2-F1CD4E86B1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tc>
      </w:tr>
      <w:tr w:rsidR="005B72BA" w:rsidRPr="00675182" w14:paraId="427A5E2D" w14:textId="77777777" w:rsidTr="00B44E7D">
        <w:tc>
          <w:tcPr>
            <w:tcW w:w="8301" w:type="dxa"/>
          </w:tcPr>
          <w:p w14:paraId="4F491A14" w14:textId="5083BC6B" w:rsidR="005B72BA" w:rsidRPr="00675182" w:rsidRDefault="00B44E7D" w:rsidP="00F95FC4">
            <w:pPr>
              <w:jc w:val="both"/>
              <w:rPr>
                <w:rFonts w:cstheme="minorHAnsi"/>
                <w:b/>
                <w:bCs/>
                <w:i/>
                <w:iCs/>
                <w:szCs w:val="24"/>
              </w:rPr>
            </w:pPr>
            <w:r w:rsidRPr="00675182">
              <w:rPr>
                <w:rFonts w:cstheme="minorHAnsi"/>
                <w:b/>
                <w:bCs/>
                <w:i/>
                <w:iCs/>
                <w:szCs w:val="24"/>
              </w:rPr>
              <w:t>2.3.</w:t>
            </w:r>
            <w:r w:rsidR="00A82E48" w:rsidRPr="00675182">
              <w:rPr>
                <w:rFonts w:cstheme="minorHAnsi"/>
                <w:b/>
                <w:bCs/>
                <w:i/>
                <w:iCs/>
                <w:szCs w:val="24"/>
              </w:rPr>
              <w:t>63</w:t>
            </w:r>
            <w:r w:rsidRPr="00675182">
              <w:rPr>
                <w:rFonts w:cstheme="minorHAnsi"/>
                <w:b/>
                <w:bCs/>
                <w:i/>
                <w:iCs/>
                <w:szCs w:val="24"/>
              </w:rPr>
              <w:t>. attēls. Konstatētie ES nozīmes biotopi pieaugušās un pāraugušās mežaudzēs ar un bez mežsaimnieciskās darbības, ha</w:t>
            </w:r>
          </w:p>
        </w:tc>
      </w:tr>
    </w:tbl>
    <w:p w14:paraId="3F3C5BD0" w14:textId="77777777" w:rsidR="005B72BA" w:rsidRPr="00675182" w:rsidRDefault="005B72BA" w:rsidP="00F95FC4">
      <w:pPr>
        <w:jc w:val="both"/>
        <w:rPr>
          <w:rFonts w:cstheme="minorHAnsi"/>
          <w:szCs w:val="24"/>
        </w:rPr>
      </w:pPr>
    </w:p>
    <w:p w14:paraId="4AFC9868" w14:textId="30914466" w:rsidR="00B44E7D" w:rsidRPr="00675182" w:rsidRDefault="00B44E7D" w:rsidP="00B44E7D">
      <w:pPr>
        <w:jc w:val="both"/>
        <w:rPr>
          <w:rFonts w:cstheme="minorHAnsi"/>
          <w:szCs w:val="24"/>
        </w:rPr>
      </w:pPr>
      <w:r w:rsidRPr="00675182">
        <w:rPr>
          <w:rFonts w:cstheme="minorHAnsi"/>
          <w:szCs w:val="24"/>
        </w:rPr>
        <w:t>Fragmentācija tiek uzskatīta par būtisku draudu globālajai bioloģiskajai daudzveidībai. Vairākums biotopu fragmentācijas definīciju uzsver vienlaidu biotopa sadalīšanu mazākos, telpiski izolētos plankumos.</w:t>
      </w:r>
      <w:r w:rsidRPr="00675182">
        <w:rPr>
          <w:rFonts w:cstheme="minorHAnsi"/>
        </w:rPr>
        <w:t xml:space="preserve"> </w:t>
      </w:r>
      <w:r w:rsidRPr="00675182">
        <w:rPr>
          <w:rFonts w:cstheme="minorHAnsi"/>
          <w:szCs w:val="24"/>
        </w:rPr>
        <w:t>Protams, biotopa iznīcināšanas procesam ir lielāka negatīvā ietekme uz aizsargājamu vai retu sugu un populāciju izdzīvošanu nekā fragmentācijai, kaut gan šie procesi ir saistīti un to efektus ir grūti novērtēt nošķirti. Mazu, fragmentētu biotopu platību spēja nodrošināt aizsargājamu un retu sugu saglabāšanu zinātniskajā literatūrā tiek atzīta par nepietiekamu</w:t>
      </w:r>
      <w:r w:rsidR="00C21BA0" w:rsidRPr="00675182">
        <w:rPr>
          <w:rFonts w:cstheme="minorHAnsi"/>
          <w:szCs w:val="24"/>
        </w:rPr>
        <w:t xml:space="preserve"> (</w:t>
      </w:r>
      <w:r w:rsidR="00C21BA0" w:rsidRPr="00675182">
        <w:rPr>
          <w:rFonts w:cstheme="minorHAnsi"/>
        </w:rPr>
        <w:t>Ylisirniö et al., 2016; Berglund, Jonsson, 2005)</w:t>
      </w:r>
      <w:r w:rsidRPr="00675182">
        <w:rPr>
          <w:rFonts w:cstheme="minorHAnsi"/>
          <w:szCs w:val="24"/>
        </w:rPr>
        <w:t>.</w:t>
      </w:r>
    </w:p>
    <w:p w14:paraId="576FAA51" w14:textId="77777777" w:rsidR="00B44E7D" w:rsidRPr="00675182" w:rsidRDefault="00B44E7D" w:rsidP="00B44E7D">
      <w:pPr>
        <w:jc w:val="both"/>
        <w:rPr>
          <w:rFonts w:cstheme="minorHAnsi"/>
          <w:szCs w:val="24"/>
          <w:highlight w:val="yellow"/>
        </w:rPr>
      </w:pPr>
    </w:p>
    <w:p w14:paraId="71E5CBC6" w14:textId="556F5671" w:rsidR="00B44E7D" w:rsidRPr="00675182" w:rsidRDefault="006F0684" w:rsidP="00B44E7D">
      <w:pPr>
        <w:jc w:val="both"/>
        <w:rPr>
          <w:rFonts w:cstheme="minorHAnsi"/>
          <w:szCs w:val="24"/>
        </w:rPr>
      </w:pPr>
      <w:r w:rsidRPr="00675182">
        <w:rPr>
          <w:rFonts w:cstheme="minorHAnsi"/>
          <w:szCs w:val="24"/>
        </w:rPr>
        <w:t xml:space="preserve">Paralēli biotopu zaudēšanai un fragmentācijai </w:t>
      </w:r>
      <w:r w:rsidR="000641D2" w:rsidRPr="00675182">
        <w:rPr>
          <w:rFonts w:cstheme="minorHAnsi"/>
          <w:szCs w:val="24"/>
        </w:rPr>
        <w:t>notiek</w:t>
      </w:r>
      <w:r w:rsidRPr="00675182">
        <w:rPr>
          <w:rFonts w:cstheme="minorHAnsi"/>
          <w:szCs w:val="24"/>
        </w:rPr>
        <w:t xml:space="preserve"> biotopu kvalitātes noplicināšana, kas, visbiežāk, nozīmē kāda biotopu kvalitātes aspekta, piemēram, </w:t>
      </w:r>
      <w:r w:rsidR="00B44E7D" w:rsidRPr="00675182">
        <w:rPr>
          <w:rFonts w:cstheme="minorHAnsi"/>
          <w:szCs w:val="24"/>
        </w:rPr>
        <w:t>mirušās koksnes daudzuma samazināšanos, kuras rezultātā biotops pakāpeniski kļūst neapdzīvojams vai nepiemērots konkrētām sugām. Līdz ar to arī biotopu noplicināšana var būt iemesls biotopa zudumam funkcionālā nozīmē pat ja biotops kā platība tiek saglabāts. Mirušās koksnes daudzums (atbilstoša caurmēra &gt; 20-25 cm diametrā, stāv-kaltuši koki un kritalas) ir noteicošais faktors virknes aizsargājamo sugu dzīvotņu nodrošināšanai. Īpaši nozīmīgi tas ir koksnes sēnēm un bezmugurkaulnieku sugām. Pētījumos boreālās zonas mežos ir secināts, ka, dabiskiem apstākļiem atbildošs, mirušās koksnes apjoms šajos mežos būtu 60 – 120 m</w:t>
      </w:r>
      <w:r w:rsidR="00B44E7D" w:rsidRPr="00675182">
        <w:rPr>
          <w:rFonts w:cstheme="minorHAnsi"/>
          <w:szCs w:val="24"/>
          <w:vertAlign w:val="superscript"/>
        </w:rPr>
        <w:t>3</w:t>
      </w:r>
      <w:r w:rsidR="00B44E7D" w:rsidRPr="00675182">
        <w:rPr>
          <w:rFonts w:cstheme="minorHAnsi"/>
          <w:szCs w:val="24"/>
        </w:rPr>
        <w:t>/ha</w:t>
      </w:r>
      <w:r w:rsidR="00C21BA0" w:rsidRPr="00675182">
        <w:rPr>
          <w:rFonts w:cstheme="minorHAnsi"/>
        </w:rPr>
        <w:t xml:space="preserve"> (Siitonen, 2001)</w:t>
      </w:r>
      <w:r w:rsidR="00B44E7D" w:rsidRPr="00675182">
        <w:rPr>
          <w:rFonts w:cstheme="minorHAnsi"/>
          <w:szCs w:val="24"/>
        </w:rPr>
        <w:t>. Boreālajiem mežiem raksturīgās specifiskās mežu sugas sastopamas meža platībās, ja mirušās koksnes apjoms nav būtiski mazāks par 25 m</w:t>
      </w:r>
      <w:r w:rsidR="00B44E7D" w:rsidRPr="00675182">
        <w:rPr>
          <w:rFonts w:cstheme="minorHAnsi"/>
          <w:szCs w:val="24"/>
          <w:vertAlign w:val="superscript"/>
        </w:rPr>
        <w:t>3</w:t>
      </w:r>
      <w:r w:rsidR="00B44E7D" w:rsidRPr="00675182">
        <w:rPr>
          <w:rFonts w:cstheme="minorHAnsi"/>
          <w:szCs w:val="24"/>
        </w:rPr>
        <w:t>/ha.</w:t>
      </w:r>
    </w:p>
    <w:p w14:paraId="17C76FC8" w14:textId="77777777" w:rsidR="00B44E7D" w:rsidRPr="00675182" w:rsidRDefault="00B44E7D" w:rsidP="00B44E7D">
      <w:pPr>
        <w:jc w:val="both"/>
        <w:rPr>
          <w:rFonts w:cstheme="minorHAnsi"/>
          <w:szCs w:val="24"/>
          <w:highlight w:val="yellow"/>
        </w:rPr>
      </w:pPr>
    </w:p>
    <w:p w14:paraId="59180114" w14:textId="79984E54" w:rsidR="00B44E7D" w:rsidRPr="00675182" w:rsidRDefault="005C691C" w:rsidP="00B44E7D">
      <w:pPr>
        <w:jc w:val="both"/>
        <w:rPr>
          <w:rFonts w:cstheme="minorHAnsi"/>
          <w:szCs w:val="24"/>
        </w:rPr>
      </w:pPr>
      <w:r w:rsidRPr="00675182">
        <w:rPr>
          <w:rFonts w:cstheme="minorHAnsi"/>
          <w:szCs w:val="24"/>
        </w:rPr>
        <w:t xml:space="preserve">Nosakot aizsardzības režīmu tikai augstas vērtības meža platībām (piem., </w:t>
      </w:r>
      <w:r w:rsidR="0050655C">
        <w:rPr>
          <w:rFonts w:cstheme="minorHAnsi"/>
          <w:szCs w:val="24"/>
        </w:rPr>
        <w:t>ĪA</w:t>
      </w:r>
      <w:r w:rsidRPr="00675182">
        <w:rPr>
          <w:rFonts w:cstheme="minorHAnsi"/>
          <w:szCs w:val="24"/>
        </w:rPr>
        <w:t xml:space="preserve"> biotopiem, dabiskiem meža biotopiem u.tml.), nevar nodrošināt f</w:t>
      </w:r>
      <w:r w:rsidR="00B44E7D" w:rsidRPr="00675182">
        <w:rPr>
          <w:rFonts w:cstheme="minorHAnsi"/>
          <w:szCs w:val="24"/>
        </w:rPr>
        <w:t>unkcionāl</w:t>
      </w:r>
      <w:r w:rsidRPr="00675182">
        <w:rPr>
          <w:rFonts w:cstheme="minorHAnsi"/>
          <w:szCs w:val="24"/>
        </w:rPr>
        <w:t>u</w:t>
      </w:r>
      <w:r w:rsidR="00B44E7D" w:rsidRPr="00675182">
        <w:rPr>
          <w:rFonts w:cstheme="minorHAnsi"/>
          <w:szCs w:val="24"/>
        </w:rPr>
        <w:t xml:space="preserve">, reto un </w:t>
      </w:r>
      <w:r w:rsidR="00B44E7D" w:rsidRPr="00675182">
        <w:rPr>
          <w:rFonts w:cstheme="minorHAnsi"/>
          <w:szCs w:val="24"/>
        </w:rPr>
        <w:lastRenderedPageBreak/>
        <w:t xml:space="preserve">aizsargājamo sugu dzīvotnes nodrošinošas mežaudžu struktūras aizsardzību. </w:t>
      </w:r>
      <w:r w:rsidRPr="00675182">
        <w:rPr>
          <w:rFonts w:cstheme="minorHAnsi"/>
          <w:szCs w:val="24"/>
        </w:rPr>
        <w:t>Lai nodrošinātu š</w:t>
      </w:r>
      <w:r w:rsidR="00B44E7D" w:rsidRPr="00675182">
        <w:rPr>
          <w:rFonts w:cstheme="minorHAnsi"/>
          <w:szCs w:val="24"/>
        </w:rPr>
        <w:t>ādu bioloģisk</w:t>
      </w:r>
      <w:r w:rsidR="00896649" w:rsidRPr="00675182">
        <w:rPr>
          <w:rFonts w:cstheme="minorHAnsi"/>
          <w:szCs w:val="24"/>
        </w:rPr>
        <w:t xml:space="preserve">ai </w:t>
      </w:r>
      <w:r w:rsidR="00B44E7D" w:rsidRPr="00675182">
        <w:rPr>
          <w:rFonts w:cstheme="minorHAnsi"/>
          <w:szCs w:val="24"/>
        </w:rPr>
        <w:t>daudzveidīb</w:t>
      </w:r>
      <w:r w:rsidR="00896649" w:rsidRPr="00675182">
        <w:rPr>
          <w:rFonts w:cstheme="minorHAnsi"/>
          <w:szCs w:val="24"/>
        </w:rPr>
        <w:t xml:space="preserve">ai </w:t>
      </w:r>
      <w:r w:rsidR="00B44E7D" w:rsidRPr="00675182">
        <w:rPr>
          <w:rFonts w:cstheme="minorHAnsi"/>
          <w:szCs w:val="24"/>
        </w:rPr>
        <w:t>īpaši nozīmīgu platību aizsardzīb</w:t>
      </w:r>
      <w:r w:rsidR="00896649" w:rsidRPr="00675182">
        <w:rPr>
          <w:rFonts w:cstheme="minorHAnsi"/>
          <w:szCs w:val="24"/>
        </w:rPr>
        <w:t xml:space="preserve">u, ir nepieciešams aizsargāt arī </w:t>
      </w:r>
      <w:r w:rsidR="00B44E7D" w:rsidRPr="00675182">
        <w:rPr>
          <w:rFonts w:cstheme="minorHAnsi"/>
          <w:szCs w:val="24"/>
        </w:rPr>
        <w:t xml:space="preserve">tiem </w:t>
      </w:r>
      <w:r w:rsidR="00896649" w:rsidRPr="00675182">
        <w:rPr>
          <w:rFonts w:cstheme="minorHAnsi"/>
          <w:szCs w:val="24"/>
        </w:rPr>
        <w:t>piegulošas</w:t>
      </w:r>
      <w:r w:rsidR="00B44E7D" w:rsidRPr="00675182">
        <w:rPr>
          <w:rFonts w:cstheme="minorHAnsi"/>
          <w:szCs w:val="24"/>
        </w:rPr>
        <w:t xml:space="preserve"> pieauguš</w:t>
      </w:r>
      <w:r w:rsidR="00896649" w:rsidRPr="00675182">
        <w:rPr>
          <w:rFonts w:cstheme="minorHAnsi"/>
          <w:szCs w:val="24"/>
        </w:rPr>
        <w:t>as</w:t>
      </w:r>
      <w:r w:rsidR="00B44E7D" w:rsidRPr="00675182">
        <w:rPr>
          <w:rFonts w:cstheme="minorHAnsi"/>
          <w:szCs w:val="24"/>
        </w:rPr>
        <w:t xml:space="preserve"> un pārauguš</w:t>
      </w:r>
      <w:r w:rsidR="00896649" w:rsidRPr="00675182">
        <w:rPr>
          <w:rFonts w:cstheme="minorHAnsi"/>
          <w:szCs w:val="24"/>
        </w:rPr>
        <w:t>as</w:t>
      </w:r>
      <w:r w:rsidR="00B44E7D" w:rsidRPr="00675182">
        <w:rPr>
          <w:rFonts w:cstheme="minorHAnsi"/>
          <w:szCs w:val="24"/>
        </w:rPr>
        <w:t xml:space="preserve"> mežaud</w:t>
      </w:r>
      <w:r w:rsidR="00896649" w:rsidRPr="00675182">
        <w:rPr>
          <w:rFonts w:cstheme="minorHAnsi"/>
          <w:szCs w:val="24"/>
        </w:rPr>
        <w:t>zes</w:t>
      </w:r>
      <w:r w:rsidR="00B44E7D" w:rsidRPr="00675182">
        <w:rPr>
          <w:rFonts w:cstheme="minorHAnsi"/>
          <w:szCs w:val="24"/>
        </w:rPr>
        <w:t xml:space="preserve"> </w:t>
      </w:r>
      <w:r w:rsidR="00C21BA0" w:rsidRPr="00675182">
        <w:rPr>
          <w:rFonts w:cstheme="minorHAnsi"/>
        </w:rPr>
        <w:t>(Rendenieks, Nikodemus, 2012)</w:t>
      </w:r>
      <w:r w:rsidR="00896649" w:rsidRPr="00675182">
        <w:rPr>
          <w:rFonts w:cstheme="minorHAnsi"/>
          <w:szCs w:val="24"/>
        </w:rPr>
        <w:t xml:space="preserve">. Tas </w:t>
      </w:r>
      <w:r w:rsidR="00B44E7D" w:rsidRPr="00675182">
        <w:rPr>
          <w:rFonts w:cstheme="minorHAnsi"/>
          <w:szCs w:val="24"/>
        </w:rPr>
        <w:t>samazin</w:t>
      </w:r>
      <w:r w:rsidR="00896649" w:rsidRPr="00675182">
        <w:rPr>
          <w:rFonts w:cstheme="minorHAnsi"/>
          <w:szCs w:val="24"/>
        </w:rPr>
        <w:t>ātu</w:t>
      </w:r>
      <w:r w:rsidR="00B44E7D" w:rsidRPr="00675182">
        <w:rPr>
          <w:rFonts w:cstheme="minorHAnsi"/>
          <w:szCs w:val="24"/>
        </w:rPr>
        <w:t xml:space="preserve"> meža ekosistēmu fragmentācij</w:t>
      </w:r>
      <w:r w:rsidR="00896649" w:rsidRPr="00675182">
        <w:rPr>
          <w:rFonts w:cstheme="minorHAnsi"/>
          <w:szCs w:val="24"/>
        </w:rPr>
        <w:t>u</w:t>
      </w:r>
      <w:r w:rsidR="00B44E7D" w:rsidRPr="00675182">
        <w:rPr>
          <w:rFonts w:cstheme="minorHAnsi"/>
          <w:szCs w:val="24"/>
        </w:rPr>
        <w:t>, tajā skaitā malas efekt</w:t>
      </w:r>
      <w:r w:rsidR="00896649" w:rsidRPr="00675182">
        <w:rPr>
          <w:rFonts w:cstheme="minorHAnsi"/>
          <w:szCs w:val="24"/>
        </w:rPr>
        <w:t xml:space="preserve">u </w:t>
      </w:r>
      <w:r w:rsidR="00B44E7D" w:rsidRPr="00675182">
        <w:rPr>
          <w:rFonts w:cstheme="minorHAnsi"/>
          <w:szCs w:val="24"/>
        </w:rPr>
        <w:t>un nodrošin</w:t>
      </w:r>
      <w:r w:rsidR="00896649" w:rsidRPr="00675182">
        <w:rPr>
          <w:rFonts w:cstheme="minorHAnsi"/>
          <w:szCs w:val="24"/>
        </w:rPr>
        <w:t xml:space="preserve">ātu </w:t>
      </w:r>
      <w:r w:rsidR="00B44E7D" w:rsidRPr="00675182">
        <w:rPr>
          <w:rFonts w:cstheme="minorHAnsi"/>
          <w:szCs w:val="24"/>
        </w:rPr>
        <w:t xml:space="preserve">aizsargājamu meža biotopu un līdz ar to reto un aizsargājamo sugu dzīvotņu attīstību un </w:t>
      </w:r>
      <w:r w:rsidR="00896649" w:rsidRPr="00675182">
        <w:rPr>
          <w:rFonts w:cstheme="minorHAnsi"/>
          <w:szCs w:val="24"/>
        </w:rPr>
        <w:t xml:space="preserve">to </w:t>
      </w:r>
      <w:r w:rsidR="00B44E7D" w:rsidRPr="00675182">
        <w:rPr>
          <w:rFonts w:cstheme="minorHAnsi"/>
          <w:szCs w:val="24"/>
        </w:rPr>
        <w:t>platīb</w:t>
      </w:r>
      <w:r w:rsidR="00896649" w:rsidRPr="00675182">
        <w:rPr>
          <w:rFonts w:cstheme="minorHAnsi"/>
          <w:szCs w:val="24"/>
        </w:rPr>
        <w:t>u</w:t>
      </w:r>
      <w:r w:rsidR="00B44E7D" w:rsidRPr="00675182">
        <w:rPr>
          <w:rFonts w:cstheme="minorHAnsi"/>
          <w:szCs w:val="24"/>
        </w:rPr>
        <w:t xml:space="preserve"> palielināšanos.</w:t>
      </w:r>
    </w:p>
    <w:p w14:paraId="7AAF5191" w14:textId="77777777" w:rsidR="00C21BA0" w:rsidRPr="00675182" w:rsidRDefault="00C21BA0" w:rsidP="00B44E7D">
      <w:pPr>
        <w:jc w:val="both"/>
        <w:rPr>
          <w:rFonts w:cstheme="minorHAnsi"/>
          <w:szCs w:val="24"/>
          <w:highlight w:val="yellow"/>
        </w:rPr>
      </w:pPr>
    </w:p>
    <w:p w14:paraId="08EE49AA" w14:textId="4FF693FB" w:rsidR="00B44E7D" w:rsidRPr="00675182" w:rsidRDefault="00B44E7D" w:rsidP="00B44E7D">
      <w:pPr>
        <w:jc w:val="both"/>
        <w:rPr>
          <w:rFonts w:cstheme="minorHAnsi"/>
          <w:szCs w:val="24"/>
        </w:rPr>
      </w:pPr>
      <w:r w:rsidRPr="00675182">
        <w:rPr>
          <w:rFonts w:cstheme="minorHAnsi"/>
          <w:szCs w:val="24"/>
        </w:rPr>
        <w:t>Ievērojami mazākas aizsargājamo meža biotopu platības GNP negatīvi ietekmē hidroloģiskā režīma izmaiņas. Šīs mežu platības visbiežāk ir nosusināšanas ietekmētiem purviem piegulošās mežu platības, kuru hidroloģiskā režīma uzlabošanas pasākumi plānojami un veicami visam attiecīgā purva un purvaino mežu kompleksam kopumā.</w:t>
      </w:r>
    </w:p>
    <w:p w14:paraId="711D97A5" w14:textId="77777777" w:rsidR="00B44E7D" w:rsidRPr="00675182" w:rsidRDefault="00B44E7D" w:rsidP="00A90DFC">
      <w:pPr>
        <w:jc w:val="both"/>
        <w:rPr>
          <w:rFonts w:cstheme="minorHAnsi"/>
          <w:szCs w:val="24"/>
        </w:rPr>
      </w:pPr>
    </w:p>
    <w:p w14:paraId="343C1810" w14:textId="6301F7CE" w:rsidR="00A90DFC" w:rsidRPr="00675182" w:rsidRDefault="00A90DFC" w:rsidP="00A90DFC">
      <w:pPr>
        <w:jc w:val="both"/>
        <w:rPr>
          <w:rFonts w:cstheme="minorHAnsi"/>
          <w:szCs w:val="24"/>
        </w:rPr>
      </w:pPr>
      <w:r w:rsidRPr="00675182">
        <w:rPr>
          <w:rFonts w:cstheme="minorHAnsi"/>
          <w:szCs w:val="24"/>
        </w:rPr>
        <w:t xml:space="preserve">Lai nodrošinātu esošo augstvērtīgo aizsargājamo meža biotopu platības un kvalitātes saglabāšanos un palielināšanos, kā arī, lai nodrošinātu </w:t>
      </w:r>
      <w:r w:rsidR="009E5BDF">
        <w:rPr>
          <w:rFonts w:cstheme="minorHAnsi"/>
          <w:szCs w:val="24"/>
        </w:rPr>
        <w:t>ĪA</w:t>
      </w:r>
      <w:r w:rsidRPr="00675182">
        <w:rPr>
          <w:rFonts w:cstheme="minorHAnsi"/>
          <w:szCs w:val="24"/>
        </w:rPr>
        <w:t xml:space="preserve"> meža biotopu labvēlīgas aizsardzības statusu ar pieļaujamiem mežsaimnieciskās darbības pasākumiem, tiks izvērtēts un precizēts GNP funkcionālais zonējums, kā arī precizēti teritorijas IAIN.</w:t>
      </w:r>
    </w:p>
    <w:bookmarkEnd w:id="73"/>
    <w:p w14:paraId="41474DDE" w14:textId="77777777" w:rsidR="0041520F" w:rsidRPr="00675182" w:rsidRDefault="0041520F" w:rsidP="0041520F">
      <w:pPr>
        <w:jc w:val="both"/>
        <w:rPr>
          <w:rFonts w:cstheme="minorHAnsi"/>
          <w:szCs w:val="24"/>
        </w:rPr>
      </w:pPr>
    </w:p>
    <w:p w14:paraId="1D77D1C4" w14:textId="5D8C8D73" w:rsidR="007D0469" w:rsidRPr="00017208" w:rsidRDefault="00011E51" w:rsidP="00BF7348">
      <w:pPr>
        <w:pStyle w:val="Heading2"/>
        <w:keepNext w:val="0"/>
        <w:rPr>
          <w:lang w:val="lv-LV"/>
        </w:rPr>
      </w:pPr>
      <w:bookmarkStart w:id="74" w:name="_Toc116938408"/>
      <w:r w:rsidRPr="00675182">
        <w:rPr>
          <w:rFonts w:cstheme="minorHAnsi"/>
          <w:i w:val="0"/>
          <w:lang w:val="lv-LV"/>
        </w:rPr>
        <w:t>2.4.</w:t>
      </w:r>
      <w:r w:rsidR="00AB6284" w:rsidRPr="00675182">
        <w:rPr>
          <w:rFonts w:cstheme="minorHAnsi"/>
          <w:i w:val="0"/>
          <w:lang w:val="lv-LV"/>
        </w:rPr>
        <w:t xml:space="preserve"> </w:t>
      </w:r>
      <w:r w:rsidRPr="00675182">
        <w:rPr>
          <w:rFonts w:cstheme="minorHAnsi"/>
          <w:i w:val="0"/>
          <w:lang w:val="lv-LV"/>
        </w:rPr>
        <w:t>Sugas, to sociālekonomiskā vērtība un sugas ietekmējošie faktori</w:t>
      </w:r>
      <w:bookmarkEnd w:id="38"/>
      <w:bookmarkEnd w:id="74"/>
    </w:p>
    <w:p w14:paraId="2AE07BB8" w14:textId="6A447BFB" w:rsidR="00FA13D7" w:rsidRPr="00675182" w:rsidRDefault="00FA13D7" w:rsidP="00BF7348">
      <w:pPr>
        <w:pStyle w:val="Heading3"/>
        <w:keepNext w:val="0"/>
        <w:numPr>
          <w:ilvl w:val="0"/>
          <w:numId w:val="0"/>
        </w:numPr>
      </w:pPr>
      <w:bookmarkStart w:id="75" w:name="_Toc116938409"/>
      <w:r w:rsidRPr="00675182">
        <w:rPr>
          <w:rFonts w:cstheme="minorHAnsi"/>
          <w:b/>
          <w:lang w:val="lv-LV"/>
        </w:rPr>
        <w:t>2.4.1. Flora</w:t>
      </w:r>
      <w:bookmarkEnd w:id="75"/>
      <w:r w:rsidRPr="00675182">
        <w:rPr>
          <w:rFonts w:cstheme="minorHAnsi"/>
          <w:b/>
          <w:lang w:val="lv-LV"/>
        </w:rPr>
        <w:t xml:space="preserve"> </w:t>
      </w:r>
    </w:p>
    <w:p w14:paraId="7A766E3B" w14:textId="77777777" w:rsidR="00732143" w:rsidRPr="00675182" w:rsidRDefault="00732143" w:rsidP="00A84218">
      <w:pPr>
        <w:pStyle w:val="Heading4"/>
        <w:numPr>
          <w:ilvl w:val="3"/>
          <w:numId w:val="44"/>
        </w:numPr>
        <w:ind w:left="0" w:firstLine="0"/>
        <w:rPr>
          <w:rFonts w:asciiTheme="minorHAnsi" w:hAnsiTheme="minorHAnsi" w:cstheme="minorHAnsi"/>
        </w:rPr>
      </w:pPr>
      <w:r w:rsidRPr="00675182">
        <w:rPr>
          <w:rFonts w:asciiTheme="minorHAnsi" w:hAnsiTheme="minorHAnsi" w:cstheme="minorHAnsi"/>
        </w:rPr>
        <w:t xml:space="preserve">2.4.1.1. Vaskulārie augi </w:t>
      </w:r>
    </w:p>
    <w:p w14:paraId="2C6FC313" w14:textId="77777777" w:rsidR="00732143" w:rsidRPr="00675182" w:rsidRDefault="00732143" w:rsidP="00732143">
      <w:pPr>
        <w:jc w:val="both"/>
        <w:rPr>
          <w:rFonts w:cstheme="minorHAnsi"/>
          <w:b/>
        </w:rPr>
      </w:pPr>
    </w:p>
    <w:p w14:paraId="569B6A45" w14:textId="77777777" w:rsidR="00732143" w:rsidRPr="00675182" w:rsidRDefault="00732143" w:rsidP="00732143">
      <w:pPr>
        <w:jc w:val="both"/>
        <w:rPr>
          <w:rFonts w:cstheme="minorHAnsi"/>
          <w:b/>
        </w:rPr>
      </w:pPr>
      <w:r w:rsidRPr="00675182">
        <w:rPr>
          <w:rFonts w:cstheme="minorHAnsi"/>
          <w:b/>
        </w:rPr>
        <w:t>Dabas aizsardzības vērtība</w:t>
      </w:r>
    </w:p>
    <w:p w14:paraId="2348C604" w14:textId="60552D84" w:rsidR="00732143" w:rsidRPr="00675182" w:rsidRDefault="00732143" w:rsidP="00732143">
      <w:pPr>
        <w:jc w:val="both"/>
        <w:rPr>
          <w:rFonts w:cstheme="minorHAnsi"/>
          <w:bCs/>
          <w:szCs w:val="24"/>
        </w:rPr>
      </w:pPr>
      <w:r w:rsidRPr="00675182">
        <w:rPr>
          <w:rFonts w:cstheme="minorHAnsi"/>
          <w:bCs/>
          <w:szCs w:val="24"/>
        </w:rPr>
        <w:t xml:space="preserve">GNP flora ir ļoti daudzveidīga un sugām bagāta, jo daudzveidīgas ir dzīvotnes parka teritorijā. Daudzām sugām pēdējos gados konstatētas jaunas atradnes, bet vairākas sugas pēdējo 15 gadu laikā nav konstatētas. Biotopu inventarizācijas laikā parka florā atklātas arī jaunas teritorijai vēl nereģistrētas sugas, piemēram, retā un </w:t>
      </w:r>
      <w:r w:rsidR="00322869">
        <w:rPr>
          <w:rFonts w:cstheme="minorHAnsi"/>
          <w:bCs/>
          <w:szCs w:val="24"/>
        </w:rPr>
        <w:t>ĪA</w:t>
      </w:r>
      <w:r w:rsidRPr="00675182">
        <w:rPr>
          <w:rFonts w:cstheme="minorHAnsi"/>
          <w:bCs/>
          <w:szCs w:val="24"/>
        </w:rPr>
        <w:t xml:space="preserve"> krāšņā neļķe </w:t>
      </w:r>
      <w:r w:rsidRPr="00675182">
        <w:rPr>
          <w:rFonts w:cstheme="minorHAnsi"/>
          <w:bCs/>
          <w:i/>
          <w:iCs/>
          <w:szCs w:val="24"/>
        </w:rPr>
        <w:t>Dianthus superbus</w:t>
      </w:r>
      <w:r w:rsidRPr="00675182">
        <w:rPr>
          <w:rFonts w:cstheme="minorHAnsi"/>
          <w:bCs/>
          <w:szCs w:val="24"/>
        </w:rPr>
        <w:t xml:space="preserve"> atrasta Raiskuma novadā (D. Krasnopoļska, 2019), bet Latvijā samērā bieži izplatītais, taču līdz šim GNP neatzīmētais grīslis zilganais grīslis </w:t>
      </w:r>
      <w:r w:rsidRPr="00675182">
        <w:rPr>
          <w:rFonts w:cstheme="minorHAnsi"/>
          <w:bCs/>
          <w:i/>
          <w:iCs/>
          <w:szCs w:val="24"/>
        </w:rPr>
        <w:t>Carex flacca</w:t>
      </w:r>
      <w:r w:rsidRPr="00675182">
        <w:rPr>
          <w:rFonts w:cstheme="minorHAnsi"/>
          <w:bCs/>
          <w:szCs w:val="24"/>
        </w:rPr>
        <w:t xml:space="preserve"> konstatēts Priekuļu novadā.</w:t>
      </w:r>
    </w:p>
    <w:p w14:paraId="39E13EFA" w14:textId="77777777" w:rsidR="00732143" w:rsidRPr="00675182" w:rsidRDefault="00732143" w:rsidP="00732143">
      <w:pPr>
        <w:jc w:val="both"/>
        <w:rPr>
          <w:rFonts w:cstheme="minorHAnsi"/>
          <w:bCs/>
          <w:szCs w:val="24"/>
        </w:rPr>
      </w:pPr>
    </w:p>
    <w:p w14:paraId="1139C727" w14:textId="3EBFF8EB" w:rsidR="00732143" w:rsidRPr="00675182" w:rsidRDefault="00732143" w:rsidP="00732143">
      <w:pPr>
        <w:jc w:val="both"/>
        <w:rPr>
          <w:rFonts w:cstheme="minorHAnsi"/>
          <w:bCs/>
          <w:szCs w:val="24"/>
        </w:rPr>
      </w:pPr>
      <w:r w:rsidRPr="00675182">
        <w:rPr>
          <w:rFonts w:cstheme="minorHAnsi"/>
          <w:bCs/>
          <w:szCs w:val="24"/>
        </w:rPr>
        <w:t xml:space="preserve">GNP ir nozīmīga teritorija </w:t>
      </w:r>
      <w:r w:rsidR="00322869">
        <w:rPr>
          <w:rFonts w:cstheme="minorHAnsi"/>
          <w:bCs/>
          <w:szCs w:val="24"/>
        </w:rPr>
        <w:t>ĪA</w:t>
      </w:r>
      <w:r w:rsidRPr="00675182">
        <w:rPr>
          <w:rFonts w:cstheme="minorHAnsi"/>
          <w:bCs/>
          <w:szCs w:val="24"/>
        </w:rPr>
        <w:t xml:space="preserve"> sugu aizsardzībā vairākām sugām. Villainā gundega </w:t>
      </w:r>
      <w:r w:rsidRPr="00675182">
        <w:rPr>
          <w:rFonts w:cstheme="minorHAnsi"/>
          <w:bCs/>
          <w:i/>
          <w:iCs/>
          <w:szCs w:val="24"/>
        </w:rPr>
        <w:t>Ranunculus languinosus</w:t>
      </w:r>
      <w:r w:rsidRPr="00675182">
        <w:rPr>
          <w:rFonts w:cstheme="minorHAnsi"/>
          <w:bCs/>
          <w:szCs w:val="24"/>
        </w:rPr>
        <w:t xml:space="preserve"> Cēsu apkārtnē veido bagātīgas audzes, lielākā daļa pārējo atradņu ir Latvijas dienvidu daļā. GNP nogāžu un gravu mežos bagātīgas audzes veido ziemas mēnesene </w:t>
      </w:r>
      <w:r w:rsidRPr="00675182">
        <w:rPr>
          <w:rFonts w:cstheme="minorHAnsi"/>
          <w:bCs/>
          <w:i/>
          <w:iCs/>
          <w:szCs w:val="24"/>
        </w:rPr>
        <w:t xml:space="preserve">Lunaria rediviva </w:t>
      </w:r>
      <w:r w:rsidRPr="00675182">
        <w:rPr>
          <w:rFonts w:cstheme="minorHAnsi"/>
          <w:bCs/>
          <w:szCs w:val="24"/>
        </w:rPr>
        <w:t xml:space="preserve">(skat. 2.4.3. attēlu). Latvijā ļoti reti satopamajai tumšzilajai drudzenei </w:t>
      </w:r>
      <w:r w:rsidRPr="00675182">
        <w:rPr>
          <w:rFonts w:cstheme="minorHAnsi"/>
          <w:bCs/>
          <w:i/>
          <w:iCs/>
          <w:szCs w:val="24"/>
        </w:rPr>
        <w:t>Gentiana pneumonanthe</w:t>
      </w:r>
      <w:r w:rsidRPr="00675182">
        <w:rPr>
          <w:rFonts w:cstheme="minorHAnsi"/>
          <w:bCs/>
          <w:szCs w:val="24"/>
        </w:rPr>
        <w:t xml:space="preserve"> Ieriķu apkārtnē ir jau ilgstoši zināma atradne, kas saglabājusies par spīti nepiemērotai apsaimniekošanai (bijusi gan zālāja pamešana, gan smalcināšana). 2007.</w:t>
      </w:r>
      <w:r w:rsidR="009E4B55" w:rsidRPr="00675182">
        <w:rPr>
          <w:rFonts w:cstheme="minorHAnsi"/>
          <w:bCs/>
          <w:szCs w:val="24"/>
        </w:rPr>
        <w:t xml:space="preserve"> </w:t>
      </w:r>
      <w:r w:rsidRPr="00675182">
        <w:rPr>
          <w:rFonts w:cstheme="minorHAnsi"/>
          <w:bCs/>
          <w:szCs w:val="24"/>
        </w:rPr>
        <w:t>gadā publicētajā GNP sugu saraksta ievaddaļā suga raksturota kā iespējams izzudusi, jo nebija izdevies to konstatēt, taču 2019.</w:t>
      </w:r>
      <w:r w:rsidR="009E4B55" w:rsidRPr="00675182">
        <w:rPr>
          <w:rFonts w:cstheme="minorHAnsi"/>
          <w:bCs/>
          <w:szCs w:val="24"/>
        </w:rPr>
        <w:t xml:space="preserve"> </w:t>
      </w:r>
      <w:r w:rsidRPr="00675182">
        <w:rPr>
          <w:rFonts w:cstheme="minorHAnsi"/>
          <w:bCs/>
          <w:szCs w:val="24"/>
        </w:rPr>
        <w:t>gadā atradnē ziedēja 20 tumšzilās drudzenes. Šobrīd atradni apdraud pagalma veidošana zālājā. Nozīmīgas ir arī cietpaparžu</w:t>
      </w:r>
      <w:r w:rsidRPr="00675182">
        <w:rPr>
          <w:rFonts w:cstheme="minorHAnsi"/>
          <w:bCs/>
          <w:i/>
          <w:iCs/>
          <w:szCs w:val="24"/>
        </w:rPr>
        <w:t xml:space="preserve"> Polysticum spp.</w:t>
      </w:r>
      <w:r w:rsidRPr="00675182">
        <w:rPr>
          <w:rFonts w:cstheme="minorHAnsi"/>
          <w:bCs/>
          <w:szCs w:val="24"/>
        </w:rPr>
        <w:t xml:space="preserve"> atradnes, kas šobrīd Vidzemē ir vienīgās (pārējās zināmas no Kurzemes). Stabila atradne joprojām ir Latvijā retajai mūru sīkpapardei </w:t>
      </w:r>
      <w:r w:rsidRPr="00675182">
        <w:rPr>
          <w:rFonts w:cstheme="minorHAnsi"/>
          <w:bCs/>
          <w:i/>
          <w:iCs/>
          <w:szCs w:val="24"/>
        </w:rPr>
        <w:t>Asplenium ruta-muraria</w:t>
      </w:r>
      <w:r w:rsidRPr="00675182">
        <w:rPr>
          <w:rFonts w:cstheme="minorHAnsi"/>
          <w:bCs/>
          <w:szCs w:val="24"/>
        </w:rPr>
        <w:t xml:space="preserve"> uz lodīšu smilšakmens atsegumiem Roču rezervātā. Pēc ilgāka pārtraukuma, bet jaunā vietā atrasta valstī ļoti retā plūksnu sīkpaparde </w:t>
      </w:r>
      <w:r w:rsidRPr="00675182">
        <w:rPr>
          <w:rFonts w:cstheme="minorHAnsi"/>
          <w:bCs/>
          <w:i/>
          <w:iCs/>
          <w:szCs w:val="24"/>
        </w:rPr>
        <w:t xml:space="preserve">Asplenium trichomanes </w:t>
      </w:r>
      <w:r w:rsidRPr="00675182">
        <w:rPr>
          <w:rFonts w:cstheme="minorHAnsi"/>
          <w:bCs/>
          <w:szCs w:val="24"/>
        </w:rPr>
        <w:t xml:space="preserve">(J.Kluša 2019., Nurmiži). Jauna suga Latvijas florā ir 2016. gadā konstatētā zaļā sīkpaparde </w:t>
      </w:r>
      <w:r w:rsidRPr="00675182">
        <w:rPr>
          <w:rFonts w:cstheme="minorHAnsi"/>
          <w:bCs/>
          <w:i/>
          <w:iCs/>
          <w:szCs w:val="24"/>
        </w:rPr>
        <w:t>Asplenium viride</w:t>
      </w:r>
      <w:r w:rsidRPr="00675182">
        <w:rPr>
          <w:rFonts w:cstheme="minorHAnsi"/>
          <w:bCs/>
          <w:szCs w:val="24"/>
        </w:rPr>
        <w:t xml:space="preserve"> (skat. 2.4.1. attēlu) Kārļu </w:t>
      </w:r>
      <w:r w:rsidRPr="00675182">
        <w:rPr>
          <w:rFonts w:cstheme="minorHAnsi"/>
          <w:bCs/>
          <w:szCs w:val="24"/>
        </w:rPr>
        <w:lastRenderedPageBreak/>
        <w:t xml:space="preserve">apkārtnē (I.Kukāres ziņojums Latvijas botāniķu biedrībā). Joprojām labā stāvoklī ir Latvijā vienīgā meldru kosas </w:t>
      </w:r>
      <w:r w:rsidRPr="00675182">
        <w:rPr>
          <w:rFonts w:cstheme="minorHAnsi"/>
          <w:bCs/>
          <w:i/>
          <w:iCs/>
          <w:szCs w:val="24"/>
        </w:rPr>
        <w:t>Equisetum sciropides</w:t>
      </w:r>
      <w:r w:rsidRPr="00675182">
        <w:rPr>
          <w:rFonts w:cstheme="minorHAnsi"/>
          <w:bCs/>
          <w:szCs w:val="24"/>
        </w:rPr>
        <w:t xml:space="preserve"> atradne Braslas krastos (skat. 2.4.2. attēl</w:t>
      </w:r>
      <w:r w:rsidR="009E4B55" w:rsidRPr="00675182">
        <w:rPr>
          <w:rFonts w:cstheme="minorHAnsi"/>
          <w:bCs/>
          <w:szCs w:val="24"/>
        </w:rPr>
        <w:t>u</w:t>
      </w:r>
      <w:r w:rsidRPr="00675182">
        <w:rPr>
          <w:rFonts w:cstheme="minorHAnsi"/>
          <w:bCs/>
          <w:szCs w:val="24"/>
        </w:rPr>
        <w:t xml:space="preserve">). </w:t>
      </w:r>
    </w:p>
    <w:tbl>
      <w:tblPr>
        <w:tblStyle w:val="TableGrid"/>
        <w:tblpPr w:leftFromText="180" w:rightFromText="180" w:vertAnchor="text" w:horzAnchor="margin" w:tblpY="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4116"/>
      </w:tblGrid>
      <w:tr w:rsidR="00732143" w:rsidRPr="00675182" w14:paraId="0A989B15" w14:textId="77777777" w:rsidTr="00732143">
        <w:tc>
          <w:tcPr>
            <w:tcW w:w="4199" w:type="dxa"/>
            <w:hideMark/>
          </w:tcPr>
          <w:p w14:paraId="7099DDD6" w14:textId="676C985D" w:rsidR="00732143" w:rsidRPr="00675182" w:rsidRDefault="00732143">
            <w:pPr>
              <w:jc w:val="both"/>
              <w:rPr>
                <w:rFonts w:cstheme="minorHAnsi"/>
                <w:bCs/>
                <w:szCs w:val="24"/>
              </w:rPr>
            </w:pPr>
            <w:bookmarkStart w:id="76" w:name="_Hlk83132881"/>
            <w:r w:rsidRPr="00675182">
              <w:rPr>
                <w:rFonts w:cstheme="minorHAnsi"/>
                <w:noProof/>
                <w:szCs w:val="24"/>
              </w:rPr>
              <w:drawing>
                <wp:inline distT="0" distB="0" distL="0" distR="0" wp14:anchorId="5E706DDD" wp14:editId="28F20312">
                  <wp:extent cx="2667000" cy="1775460"/>
                  <wp:effectExtent l="0" t="0" r="0" b="0"/>
                  <wp:docPr id="189" name="Picture 189" descr="A close-up of some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A close-up of some plants&#10;&#10;Description automatically generated with medium confidence"/>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667000" cy="1775460"/>
                          </a:xfrm>
                          <a:prstGeom prst="rect">
                            <a:avLst/>
                          </a:prstGeom>
                          <a:noFill/>
                          <a:ln>
                            <a:noFill/>
                          </a:ln>
                        </pic:spPr>
                      </pic:pic>
                    </a:graphicData>
                  </a:graphic>
                </wp:inline>
              </w:drawing>
            </w:r>
          </w:p>
        </w:tc>
        <w:tc>
          <w:tcPr>
            <w:tcW w:w="4112" w:type="dxa"/>
            <w:hideMark/>
          </w:tcPr>
          <w:p w14:paraId="59E03D32" w14:textId="3240C8FC" w:rsidR="00732143" w:rsidRPr="00675182" w:rsidRDefault="00732143">
            <w:pPr>
              <w:jc w:val="both"/>
              <w:rPr>
                <w:rFonts w:cstheme="minorHAnsi"/>
                <w:bCs/>
                <w:szCs w:val="24"/>
              </w:rPr>
            </w:pPr>
            <w:r w:rsidRPr="00675182">
              <w:rPr>
                <w:rFonts w:cstheme="minorHAnsi"/>
                <w:noProof/>
                <w:szCs w:val="24"/>
              </w:rPr>
              <w:drawing>
                <wp:inline distT="0" distB="0" distL="0" distR="0" wp14:anchorId="1A33AB34" wp14:editId="5A4C0AA2">
                  <wp:extent cx="2613660" cy="1737360"/>
                  <wp:effectExtent l="0" t="0" r="0" b="0"/>
                  <wp:docPr id="188" name="Picture 188" descr="A picture containing outdoor, grass,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A picture containing outdoor, grass, plant&#10;&#10;Description automatically generated"/>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613660" cy="1737360"/>
                          </a:xfrm>
                          <a:prstGeom prst="rect">
                            <a:avLst/>
                          </a:prstGeom>
                          <a:noFill/>
                          <a:ln>
                            <a:noFill/>
                          </a:ln>
                        </pic:spPr>
                      </pic:pic>
                    </a:graphicData>
                  </a:graphic>
                </wp:inline>
              </w:drawing>
            </w:r>
          </w:p>
        </w:tc>
      </w:tr>
      <w:tr w:rsidR="00732143" w:rsidRPr="00675182" w14:paraId="0B808F30" w14:textId="77777777" w:rsidTr="00732143">
        <w:tc>
          <w:tcPr>
            <w:tcW w:w="4199" w:type="dxa"/>
            <w:hideMark/>
          </w:tcPr>
          <w:p w14:paraId="1B822808" w14:textId="77777777" w:rsidR="00732143" w:rsidRPr="00675182" w:rsidRDefault="00732143">
            <w:pPr>
              <w:jc w:val="both"/>
              <w:rPr>
                <w:rFonts w:cstheme="minorHAnsi"/>
                <w:b/>
                <w:i/>
                <w:iCs/>
                <w:sz w:val="22"/>
                <w:szCs w:val="22"/>
              </w:rPr>
            </w:pPr>
            <w:r w:rsidRPr="00675182">
              <w:rPr>
                <w:rFonts w:cstheme="minorHAnsi"/>
                <w:b/>
                <w:i/>
                <w:iCs/>
                <w:sz w:val="22"/>
                <w:szCs w:val="22"/>
              </w:rPr>
              <w:t>2.4.1. attēls. Zaļā sīkpaparde GNP Amatas upes krastā (foto: I. Kukāre 06.07.2016.)</w:t>
            </w:r>
          </w:p>
        </w:tc>
        <w:tc>
          <w:tcPr>
            <w:tcW w:w="4112" w:type="dxa"/>
            <w:hideMark/>
          </w:tcPr>
          <w:p w14:paraId="6B46859C" w14:textId="77777777" w:rsidR="00732143" w:rsidRPr="00675182" w:rsidRDefault="00732143">
            <w:pPr>
              <w:jc w:val="both"/>
              <w:rPr>
                <w:rFonts w:cstheme="minorHAnsi"/>
                <w:b/>
                <w:i/>
                <w:iCs/>
                <w:sz w:val="22"/>
                <w:szCs w:val="22"/>
              </w:rPr>
            </w:pPr>
            <w:r w:rsidRPr="00675182">
              <w:rPr>
                <w:rFonts w:cstheme="minorHAnsi"/>
                <w:b/>
                <w:i/>
                <w:iCs/>
                <w:sz w:val="22"/>
                <w:szCs w:val="22"/>
              </w:rPr>
              <w:t xml:space="preserve">2.4.2. attēls. Meldru kosa GNP Braslas upes krastā (foto: D. Krasnopoļska 25.07.2021.) </w:t>
            </w:r>
          </w:p>
        </w:tc>
      </w:tr>
      <w:bookmarkEnd w:id="76"/>
    </w:tbl>
    <w:p w14:paraId="5E01CBEC" w14:textId="77777777" w:rsidR="00732143" w:rsidRPr="00675182" w:rsidRDefault="00732143" w:rsidP="00732143">
      <w:pPr>
        <w:jc w:val="both"/>
        <w:rPr>
          <w:rFonts w:cstheme="minorHAnsi"/>
          <w:bCs/>
          <w:szCs w:val="24"/>
        </w:rPr>
      </w:pPr>
    </w:p>
    <w:p w14:paraId="05F91260" w14:textId="4F2E0CBB" w:rsidR="00732143" w:rsidRPr="00675182" w:rsidRDefault="00732143" w:rsidP="00732143">
      <w:pPr>
        <w:jc w:val="both"/>
        <w:rPr>
          <w:rFonts w:cstheme="minorHAnsi"/>
          <w:bCs/>
          <w:szCs w:val="24"/>
        </w:rPr>
      </w:pPr>
      <w:r w:rsidRPr="00675182">
        <w:rPr>
          <w:rFonts w:cstheme="minorHAnsi"/>
          <w:bCs/>
          <w:szCs w:val="24"/>
        </w:rPr>
        <w:t xml:space="preserve">Augsta reto sugu sastopamība ir dažādos nelielos purvos un avotainās vietās, te aug retās orhidejas, piemēram, trejdaivu koraļsakne </w:t>
      </w:r>
      <w:r w:rsidRPr="00675182">
        <w:rPr>
          <w:rFonts w:cstheme="minorHAnsi"/>
          <w:bCs/>
          <w:i/>
          <w:iCs/>
          <w:szCs w:val="24"/>
        </w:rPr>
        <w:t>Corallorhiza trifida</w:t>
      </w:r>
      <w:r w:rsidRPr="00675182">
        <w:rPr>
          <w:rFonts w:cstheme="minorHAnsi"/>
          <w:bCs/>
          <w:szCs w:val="24"/>
        </w:rPr>
        <w:t xml:space="preserve"> (skat. 2.4.4. attēlu) un Rusova dzegužpirkstīte </w:t>
      </w:r>
      <w:r w:rsidRPr="00675182">
        <w:rPr>
          <w:rFonts w:cstheme="minorHAnsi"/>
          <w:bCs/>
          <w:i/>
          <w:iCs/>
          <w:szCs w:val="24"/>
        </w:rPr>
        <w:t xml:space="preserve">Dactylorhiza rusowii </w:t>
      </w:r>
      <w:r w:rsidRPr="00675182">
        <w:rPr>
          <w:rFonts w:cstheme="minorHAnsi"/>
          <w:bCs/>
          <w:szCs w:val="24"/>
        </w:rPr>
        <w:t xml:space="preserve">(skat. 2.4.5. attēlu). </w:t>
      </w:r>
      <w:r w:rsidR="00FA28E3" w:rsidRPr="00675182">
        <w:rPr>
          <w:rFonts w:cs="Times New Roman"/>
          <w:szCs w:val="24"/>
        </w:rPr>
        <w:t xml:space="preserve">No bieži satopamām sugām jāatzīmē ES nozīmes suga spilvainais ancītis </w:t>
      </w:r>
      <w:r w:rsidR="00FA28E3" w:rsidRPr="00675182">
        <w:rPr>
          <w:rFonts w:cs="Times New Roman"/>
          <w:i/>
          <w:iCs/>
          <w:szCs w:val="24"/>
        </w:rPr>
        <w:t>Agrimonia pilosa</w:t>
      </w:r>
      <w:r w:rsidR="00FA28E3" w:rsidRPr="00675182">
        <w:rPr>
          <w:rFonts w:cs="Times New Roman"/>
          <w:szCs w:val="24"/>
        </w:rPr>
        <w:t>, kas aug ceļmalās, krūmainās mežmalās, uz stigām un meža ceļiem. Plāna izstrādes laikā būtiski papildināti dati par sugas sastopamību salīdzinot ar iepriekšējo novērtējumu, kurā apsekota tikai viena atradne</w:t>
      </w:r>
      <w:r w:rsidRPr="00675182">
        <w:rPr>
          <w:rFonts w:cstheme="minorHAnsi"/>
          <w:bCs/>
          <w:szCs w:val="24"/>
        </w:rPr>
        <w:t xml:space="preserve">. Reto ūdensaugu aizsardzībai nozīmīga dzīvotne ir Ungura ezers, kur aug gludsporu ezerene </w:t>
      </w:r>
      <w:r w:rsidRPr="00675182">
        <w:rPr>
          <w:rFonts w:cstheme="minorHAnsi"/>
          <w:bCs/>
          <w:i/>
          <w:iCs/>
          <w:szCs w:val="24"/>
        </w:rPr>
        <w:t>Isoetes lacustris</w:t>
      </w:r>
      <w:r w:rsidRPr="00675182">
        <w:rPr>
          <w:rFonts w:cstheme="minorHAnsi"/>
          <w:bCs/>
          <w:szCs w:val="24"/>
        </w:rPr>
        <w:t xml:space="preserve">, Dortmanna lobēlija </w:t>
      </w:r>
      <w:r w:rsidRPr="00675182">
        <w:rPr>
          <w:rFonts w:cstheme="minorHAnsi"/>
          <w:bCs/>
          <w:i/>
          <w:iCs/>
          <w:szCs w:val="24"/>
        </w:rPr>
        <w:t>Lobelia dortmanna</w:t>
      </w:r>
      <w:r w:rsidRPr="00675182">
        <w:rPr>
          <w:rFonts w:cstheme="minorHAnsi"/>
          <w:bCs/>
          <w:szCs w:val="24"/>
        </w:rPr>
        <w:t xml:space="preserve"> un vienzieda krastene </w:t>
      </w:r>
      <w:r w:rsidRPr="00675182">
        <w:rPr>
          <w:rFonts w:cstheme="minorHAnsi"/>
          <w:bCs/>
          <w:i/>
          <w:iCs/>
          <w:szCs w:val="24"/>
        </w:rPr>
        <w:t>Litorella uniflora</w:t>
      </w:r>
      <w:r w:rsidRPr="00675182">
        <w:rPr>
          <w:rFonts w:cstheme="minorHAnsi"/>
          <w:bCs/>
          <w:szCs w:val="24"/>
        </w:rPr>
        <w:t xml:space="preserve">, taču senāk Ungura ezerā ievāktā (E. Verners, 1909) ūdeņu biezlapīte </w:t>
      </w:r>
      <w:r w:rsidRPr="00675182">
        <w:rPr>
          <w:rFonts w:cstheme="minorHAnsi"/>
          <w:bCs/>
          <w:i/>
          <w:iCs/>
          <w:szCs w:val="24"/>
        </w:rPr>
        <w:t>Crassula aquatica</w:t>
      </w:r>
      <w:r w:rsidRPr="00675182">
        <w:rPr>
          <w:rFonts w:cstheme="minorHAnsi"/>
          <w:bCs/>
          <w:szCs w:val="24"/>
        </w:rPr>
        <w:t xml:space="preserve"> nav konstatēta, lai gan vairākkārt meklēta. Ezerenes un lobēlijas sastopamas arī dažos citos ezeros, bet to izplatība strauji samazinājusies pēdējo 20 gadu laikā, nav konstatēta dzeloņsporu ezerene </w:t>
      </w:r>
      <w:r w:rsidRPr="00675182">
        <w:rPr>
          <w:rFonts w:cstheme="minorHAnsi"/>
          <w:bCs/>
          <w:i/>
          <w:iCs/>
          <w:szCs w:val="24"/>
        </w:rPr>
        <w:t>Isoetes echinospora</w:t>
      </w:r>
      <w:r w:rsidRPr="00675182">
        <w:rPr>
          <w:rFonts w:cstheme="minorHAnsi"/>
          <w:bCs/>
          <w:szCs w:val="24"/>
        </w:rPr>
        <w:t xml:space="preserve"> (U. Suško, I. Kukāres, u.c dati).</w:t>
      </w:r>
    </w:p>
    <w:p w14:paraId="3F42A718" w14:textId="77777777" w:rsidR="00732143" w:rsidRPr="00675182" w:rsidRDefault="00732143" w:rsidP="00732143">
      <w:pPr>
        <w:jc w:val="both"/>
        <w:rPr>
          <w:rFonts w:cstheme="minorHAnsi"/>
          <w:bCs/>
          <w:szCs w:val="24"/>
        </w:rPr>
      </w:pPr>
    </w:p>
    <w:p w14:paraId="7B1122B9" w14:textId="65BD32A6" w:rsidR="00732143" w:rsidRPr="00675182" w:rsidRDefault="00732143" w:rsidP="00732143">
      <w:pPr>
        <w:jc w:val="both"/>
        <w:rPr>
          <w:rFonts w:cstheme="minorHAnsi"/>
          <w:bCs/>
          <w:szCs w:val="24"/>
        </w:rPr>
      </w:pPr>
      <w:r w:rsidRPr="00675182">
        <w:rPr>
          <w:rFonts w:cstheme="minorHAnsi"/>
          <w:bCs/>
          <w:szCs w:val="24"/>
        </w:rPr>
        <w:t xml:space="preserve">Pēdējo 15 gadu laikā GNP ir apzinātas 74 </w:t>
      </w:r>
      <w:r w:rsidR="00D3263D">
        <w:rPr>
          <w:rFonts w:cstheme="minorHAnsi"/>
          <w:bCs/>
          <w:szCs w:val="24"/>
        </w:rPr>
        <w:t>ĪA</w:t>
      </w:r>
      <w:r w:rsidRPr="00675182">
        <w:rPr>
          <w:rFonts w:cstheme="minorHAnsi"/>
          <w:bCs/>
          <w:szCs w:val="24"/>
        </w:rPr>
        <w:t xml:space="preserve"> un retās sugas, no kurām:</w:t>
      </w:r>
    </w:p>
    <w:p w14:paraId="5B6E1FB2" w14:textId="3A22B334" w:rsidR="00732143" w:rsidRPr="00675182" w:rsidRDefault="00732143" w:rsidP="00732143">
      <w:pPr>
        <w:jc w:val="both"/>
        <w:rPr>
          <w:rFonts w:cstheme="minorHAnsi"/>
          <w:bCs/>
          <w:szCs w:val="24"/>
        </w:rPr>
      </w:pPr>
      <w:r w:rsidRPr="00675182">
        <w:rPr>
          <w:rFonts w:cstheme="minorHAnsi"/>
          <w:bCs/>
          <w:szCs w:val="24"/>
        </w:rPr>
        <w:t>•</w:t>
      </w:r>
      <w:r w:rsidRPr="00675182">
        <w:rPr>
          <w:rFonts w:cstheme="minorHAnsi"/>
          <w:bCs/>
          <w:szCs w:val="24"/>
        </w:rPr>
        <w:tab/>
        <w:t>33 sugu aizsardzībai var veidot mikroliegumus</w:t>
      </w:r>
      <w:r w:rsidR="00D3263D">
        <w:rPr>
          <w:rFonts w:cstheme="minorHAnsi"/>
          <w:bCs/>
          <w:szCs w:val="24"/>
        </w:rPr>
        <w:t>;</w:t>
      </w:r>
      <w:r w:rsidR="00D3263D" w:rsidRPr="00675182">
        <w:rPr>
          <w:rFonts w:cstheme="minorHAnsi"/>
          <w:bCs/>
          <w:szCs w:val="24"/>
        </w:rPr>
        <w:t xml:space="preserve"> </w:t>
      </w:r>
    </w:p>
    <w:p w14:paraId="2AC2DFAF" w14:textId="6D8808A6" w:rsidR="00732143" w:rsidRPr="00675182" w:rsidRDefault="00732143" w:rsidP="00732143">
      <w:pPr>
        <w:jc w:val="both"/>
        <w:rPr>
          <w:rFonts w:cstheme="minorHAnsi"/>
          <w:bCs/>
          <w:szCs w:val="24"/>
        </w:rPr>
      </w:pPr>
      <w:r w:rsidRPr="00675182">
        <w:rPr>
          <w:rFonts w:cstheme="minorHAnsi"/>
          <w:bCs/>
          <w:szCs w:val="24"/>
        </w:rPr>
        <w:t>•</w:t>
      </w:r>
      <w:r w:rsidRPr="00675182">
        <w:rPr>
          <w:rFonts w:cstheme="minorHAnsi"/>
          <w:bCs/>
          <w:szCs w:val="24"/>
        </w:rPr>
        <w:tab/>
        <w:t xml:space="preserve">61 suga iekļauta Latvijā </w:t>
      </w:r>
      <w:r w:rsidR="00D3263D">
        <w:rPr>
          <w:rFonts w:cstheme="minorHAnsi"/>
          <w:bCs/>
          <w:szCs w:val="24"/>
        </w:rPr>
        <w:t>ĪA</w:t>
      </w:r>
      <w:r w:rsidRPr="00675182">
        <w:rPr>
          <w:rFonts w:cstheme="minorHAnsi"/>
          <w:bCs/>
          <w:szCs w:val="24"/>
        </w:rPr>
        <w:t xml:space="preserve"> vai ierobežoti izmantojamo </w:t>
      </w:r>
      <w:r w:rsidR="00D3263D">
        <w:rPr>
          <w:rFonts w:cstheme="minorHAnsi"/>
          <w:bCs/>
          <w:szCs w:val="24"/>
        </w:rPr>
        <w:t>ĪA</w:t>
      </w:r>
      <w:r w:rsidRPr="00675182">
        <w:rPr>
          <w:rFonts w:cstheme="minorHAnsi"/>
          <w:bCs/>
          <w:szCs w:val="24"/>
        </w:rPr>
        <w:t xml:space="preserve"> sugu sarakstā</w:t>
      </w:r>
      <w:r w:rsidR="00D3263D">
        <w:rPr>
          <w:rFonts w:cstheme="minorHAnsi"/>
          <w:bCs/>
          <w:szCs w:val="24"/>
        </w:rPr>
        <w:t>;</w:t>
      </w:r>
    </w:p>
    <w:p w14:paraId="110C0542" w14:textId="78D6C337" w:rsidR="00732143" w:rsidRPr="00675182" w:rsidRDefault="00732143" w:rsidP="00732143">
      <w:pPr>
        <w:jc w:val="both"/>
        <w:rPr>
          <w:rFonts w:cstheme="minorHAnsi"/>
          <w:bCs/>
          <w:szCs w:val="24"/>
        </w:rPr>
      </w:pPr>
      <w:r w:rsidRPr="00675182">
        <w:rPr>
          <w:rFonts w:cstheme="minorHAnsi"/>
          <w:bCs/>
          <w:szCs w:val="24"/>
        </w:rPr>
        <w:t>•</w:t>
      </w:r>
      <w:r w:rsidRPr="00675182">
        <w:rPr>
          <w:rFonts w:cstheme="minorHAnsi"/>
          <w:bCs/>
          <w:szCs w:val="24"/>
        </w:rPr>
        <w:tab/>
        <w:t xml:space="preserve">69 sugas iekļautas Latvijas Sarkanajā Grāmatā; </w:t>
      </w:r>
    </w:p>
    <w:p w14:paraId="15326FCC" w14:textId="3E8F8306" w:rsidR="00732143" w:rsidRPr="00675182" w:rsidRDefault="00732143" w:rsidP="00732143">
      <w:pPr>
        <w:jc w:val="both"/>
        <w:rPr>
          <w:rFonts w:cstheme="minorHAnsi"/>
          <w:bCs/>
          <w:szCs w:val="24"/>
        </w:rPr>
      </w:pPr>
      <w:r w:rsidRPr="00675182">
        <w:rPr>
          <w:rFonts w:cstheme="minorHAnsi"/>
          <w:bCs/>
          <w:szCs w:val="24"/>
        </w:rPr>
        <w:t>•</w:t>
      </w:r>
      <w:r w:rsidRPr="00675182">
        <w:rPr>
          <w:rFonts w:cstheme="minorHAnsi"/>
          <w:bCs/>
          <w:szCs w:val="24"/>
        </w:rPr>
        <w:tab/>
        <w:t>10 sugas (piecas atsevišķas sugas un viena sugu grupa ar</w:t>
      </w:r>
      <w:r w:rsidR="00FD3CED">
        <w:rPr>
          <w:rFonts w:cstheme="minorHAnsi"/>
          <w:bCs/>
          <w:szCs w:val="24"/>
        </w:rPr>
        <w:t xml:space="preserve"> </w:t>
      </w:r>
      <w:r w:rsidRPr="00675182">
        <w:rPr>
          <w:rFonts w:cstheme="minorHAnsi"/>
          <w:bCs/>
          <w:szCs w:val="24"/>
        </w:rPr>
        <w:t xml:space="preserve">5 sugām) ir iekļautas Biotopu direktīvas II vai V pielikumā. </w:t>
      </w:r>
    </w:p>
    <w:p w14:paraId="015D4B99" w14:textId="77777777" w:rsidR="00732143" w:rsidRPr="00675182" w:rsidRDefault="00732143" w:rsidP="00732143">
      <w:pPr>
        <w:jc w:val="both"/>
        <w:rPr>
          <w:rFonts w:cstheme="minorHAnsi"/>
          <w:bCs/>
          <w:szCs w:val="24"/>
        </w:rPr>
      </w:pPr>
    </w:p>
    <w:tbl>
      <w:tblPr>
        <w:tblStyle w:val="TableGrid"/>
        <w:tblpPr w:leftFromText="180" w:rightFromText="180" w:vertAnchor="text" w:horzAnchor="margin" w:tblpY="199"/>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2"/>
        <w:gridCol w:w="2875"/>
        <w:gridCol w:w="2853"/>
      </w:tblGrid>
      <w:tr w:rsidR="00732143" w:rsidRPr="00675182" w14:paraId="6894B38F" w14:textId="77777777" w:rsidTr="00732143">
        <w:tc>
          <w:tcPr>
            <w:tcW w:w="2497" w:type="dxa"/>
            <w:hideMark/>
          </w:tcPr>
          <w:p w14:paraId="4AF7AF23" w14:textId="08534872" w:rsidR="00732143" w:rsidRPr="00675182" w:rsidRDefault="00732143" w:rsidP="00732143">
            <w:pPr>
              <w:keepNext/>
              <w:keepLines/>
              <w:jc w:val="center"/>
              <w:rPr>
                <w:rFonts w:cstheme="minorHAnsi"/>
                <w:bCs/>
                <w:szCs w:val="24"/>
              </w:rPr>
            </w:pPr>
            <w:r w:rsidRPr="00675182">
              <w:rPr>
                <w:rFonts w:cstheme="minorHAnsi"/>
                <w:noProof/>
                <w:szCs w:val="24"/>
              </w:rPr>
              <w:lastRenderedPageBreak/>
              <w:drawing>
                <wp:inline distT="0" distB="0" distL="0" distR="0" wp14:anchorId="4B3B9D4B" wp14:editId="11E48F1F">
                  <wp:extent cx="2423160" cy="1623060"/>
                  <wp:effectExtent l="0" t="0" r="0" b="0"/>
                  <wp:docPr id="187" name="Picture 187" descr="A close-up of some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A close-up of some flowers&#10;&#10;Description automatically generated with medium confidence"/>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rot="16200000" flipV="1">
                            <a:off x="0" y="0"/>
                            <a:ext cx="2423160" cy="1623060"/>
                          </a:xfrm>
                          <a:prstGeom prst="rect">
                            <a:avLst/>
                          </a:prstGeom>
                          <a:noFill/>
                          <a:ln>
                            <a:noFill/>
                          </a:ln>
                        </pic:spPr>
                      </pic:pic>
                    </a:graphicData>
                  </a:graphic>
                </wp:inline>
              </w:drawing>
            </w:r>
          </w:p>
        </w:tc>
        <w:tc>
          <w:tcPr>
            <w:tcW w:w="3027" w:type="dxa"/>
            <w:hideMark/>
          </w:tcPr>
          <w:p w14:paraId="1B06BD3D" w14:textId="50069957" w:rsidR="00732143" w:rsidRPr="00675182" w:rsidRDefault="00732143" w:rsidP="00732143">
            <w:pPr>
              <w:keepNext/>
              <w:keepLines/>
              <w:jc w:val="center"/>
              <w:rPr>
                <w:rFonts w:cstheme="minorHAnsi"/>
                <w:bCs/>
                <w:szCs w:val="24"/>
              </w:rPr>
            </w:pPr>
            <w:r w:rsidRPr="00675182">
              <w:rPr>
                <w:rFonts w:cstheme="minorHAnsi"/>
                <w:noProof/>
                <w:szCs w:val="24"/>
              </w:rPr>
              <w:drawing>
                <wp:inline distT="0" distB="0" distL="0" distR="0" wp14:anchorId="490E10F3" wp14:editId="3357F2B3">
                  <wp:extent cx="2423160" cy="1615440"/>
                  <wp:effectExtent l="3810" t="0" r="0" b="0"/>
                  <wp:docPr id="165" name="Picture 165" descr="A picture containing grass,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A picture containing grass, outdoor, plant&#10;&#10;Description automatically generated"/>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rot="-5400000">
                            <a:off x="0" y="0"/>
                            <a:ext cx="2423160" cy="1615440"/>
                          </a:xfrm>
                          <a:prstGeom prst="rect">
                            <a:avLst/>
                          </a:prstGeom>
                          <a:noFill/>
                          <a:ln>
                            <a:noFill/>
                          </a:ln>
                        </pic:spPr>
                      </pic:pic>
                    </a:graphicData>
                  </a:graphic>
                </wp:inline>
              </w:drawing>
            </w:r>
          </w:p>
        </w:tc>
        <w:tc>
          <w:tcPr>
            <w:tcW w:w="2976" w:type="dxa"/>
            <w:hideMark/>
          </w:tcPr>
          <w:p w14:paraId="6C9699BC" w14:textId="1E16ACB0" w:rsidR="00732143" w:rsidRPr="00675182" w:rsidRDefault="00732143" w:rsidP="00732143">
            <w:pPr>
              <w:keepNext/>
              <w:keepLines/>
              <w:jc w:val="center"/>
              <w:rPr>
                <w:rFonts w:cstheme="minorHAnsi"/>
                <w:bCs/>
                <w:noProof/>
                <w:szCs w:val="24"/>
              </w:rPr>
            </w:pPr>
            <w:r w:rsidRPr="00675182">
              <w:rPr>
                <w:rFonts w:cstheme="minorHAnsi"/>
                <w:noProof/>
                <w:szCs w:val="24"/>
              </w:rPr>
              <w:drawing>
                <wp:inline distT="0" distB="0" distL="0" distR="0" wp14:anchorId="3BAD17CA" wp14:editId="49174DF6">
                  <wp:extent cx="2415540" cy="1615440"/>
                  <wp:effectExtent l="0" t="0" r="3810" b="3810"/>
                  <wp:docPr id="158" name="Picture 158" descr="A close-up of a purple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A close-up of a purple flower&#10;&#10;Description automatically generated with low confidence"/>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rot="-5400000">
                            <a:off x="0" y="0"/>
                            <a:ext cx="2415540" cy="1615440"/>
                          </a:xfrm>
                          <a:prstGeom prst="rect">
                            <a:avLst/>
                          </a:prstGeom>
                          <a:noFill/>
                          <a:ln>
                            <a:noFill/>
                          </a:ln>
                        </pic:spPr>
                      </pic:pic>
                    </a:graphicData>
                  </a:graphic>
                </wp:inline>
              </w:drawing>
            </w:r>
          </w:p>
        </w:tc>
      </w:tr>
      <w:tr w:rsidR="00732143" w:rsidRPr="00675182" w14:paraId="7E109DC4" w14:textId="77777777" w:rsidTr="00732143">
        <w:tc>
          <w:tcPr>
            <w:tcW w:w="2497" w:type="dxa"/>
            <w:hideMark/>
          </w:tcPr>
          <w:p w14:paraId="2BB9754E" w14:textId="77777777" w:rsidR="00732143" w:rsidRPr="00675182" w:rsidRDefault="00732143" w:rsidP="00732143">
            <w:pPr>
              <w:keepNext/>
              <w:keepLines/>
              <w:rPr>
                <w:rFonts w:cstheme="minorHAnsi"/>
                <w:b/>
                <w:i/>
                <w:iCs/>
                <w:sz w:val="22"/>
                <w:szCs w:val="22"/>
              </w:rPr>
            </w:pPr>
            <w:r w:rsidRPr="00675182">
              <w:rPr>
                <w:rFonts w:cstheme="minorHAnsi"/>
                <w:b/>
                <w:i/>
                <w:iCs/>
                <w:sz w:val="22"/>
                <w:szCs w:val="22"/>
              </w:rPr>
              <w:t>2.4.3. attēls. Daudzgadīgā mēnesene Lunaria rediviva pie Ieriķiem (foto: I. Kukāre 23.05.2021.)</w:t>
            </w:r>
          </w:p>
        </w:tc>
        <w:tc>
          <w:tcPr>
            <w:tcW w:w="3027" w:type="dxa"/>
            <w:hideMark/>
          </w:tcPr>
          <w:p w14:paraId="04D5EA96" w14:textId="77777777" w:rsidR="00732143" w:rsidRPr="00675182" w:rsidRDefault="00732143" w:rsidP="00732143">
            <w:pPr>
              <w:keepNext/>
              <w:keepLines/>
              <w:rPr>
                <w:rFonts w:cstheme="minorHAnsi"/>
                <w:b/>
                <w:i/>
                <w:iCs/>
                <w:sz w:val="22"/>
                <w:szCs w:val="22"/>
              </w:rPr>
            </w:pPr>
            <w:r w:rsidRPr="00675182">
              <w:rPr>
                <w:rFonts w:cstheme="minorHAnsi"/>
                <w:b/>
                <w:i/>
                <w:iCs/>
                <w:sz w:val="22"/>
                <w:szCs w:val="22"/>
              </w:rPr>
              <w:t>2.4.4. attēls. Trejdaivu koraļsakne Corallorhiza trifida GNP Pūricu apkārtnē (foto: D. Krasnopoļska 12.06.2021.)</w:t>
            </w:r>
          </w:p>
        </w:tc>
        <w:tc>
          <w:tcPr>
            <w:tcW w:w="2976" w:type="dxa"/>
            <w:hideMark/>
          </w:tcPr>
          <w:p w14:paraId="1D952747" w14:textId="60AABA2A" w:rsidR="00732143" w:rsidRPr="00675182" w:rsidRDefault="00732143" w:rsidP="00732143">
            <w:pPr>
              <w:keepNext/>
              <w:keepLines/>
              <w:rPr>
                <w:rFonts w:cstheme="minorHAnsi"/>
                <w:b/>
                <w:i/>
                <w:iCs/>
                <w:sz w:val="22"/>
                <w:szCs w:val="22"/>
              </w:rPr>
            </w:pPr>
            <w:r w:rsidRPr="00675182">
              <w:rPr>
                <w:rFonts w:cstheme="minorHAnsi"/>
                <w:b/>
                <w:i/>
                <w:iCs/>
                <w:sz w:val="22"/>
                <w:szCs w:val="22"/>
              </w:rPr>
              <w:t>2.4.5. attēls. Rusova dzegužpirkstīte Dactylorhiza rusowii GNP Turaidas apkārtnē (foto: D. Krasnopoļska 13.06.2021</w:t>
            </w:r>
            <w:r w:rsidR="009D7DFE">
              <w:rPr>
                <w:rFonts w:cstheme="minorHAnsi"/>
                <w:b/>
                <w:i/>
                <w:iCs/>
                <w:sz w:val="22"/>
                <w:szCs w:val="22"/>
              </w:rPr>
              <w:t>.)</w:t>
            </w:r>
          </w:p>
        </w:tc>
      </w:tr>
    </w:tbl>
    <w:p w14:paraId="5E815346" w14:textId="77777777" w:rsidR="00732143" w:rsidRPr="00675182" w:rsidRDefault="00732143" w:rsidP="00732143">
      <w:pPr>
        <w:jc w:val="both"/>
        <w:rPr>
          <w:rFonts w:cstheme="minorHAnsi"/>
          <w:bCs/>
          <w:szCs w:val="24"/>
        </w:rPr>
      </w:pPr>
    </w:p>
    <w:p w14:paraId="204890B3" w14:textId="4578F473" w:rsidR="00FA28E3" w:rsidRPr="00675182" w:rsidRDefault="00FA28E3" w:rsidP="00BF7348">
      <w:pPr>
        <w:spacing w:before="120" w:line="259" w:lineRule="auto"/>
        <w:jc w:val="both"/>
        <w:rPr>
          <w:rFonts w:cs="Times New Roman"/>
          <w:szCs w:val="24"/>
        </w:rPr>
      </w:pPr>
      <w:bookmarkStart w:id="77" w:name="_Hlk57679986"/>
      <w:r w:rsidRPr="00675182">
        <w:rPr>
          <w:rFonts w:cs="Times New Roman"/>
          <w:szCs w:val="24"/>
        </w:rPr>
        <w:t xml:space="preserve">Atsevišķas reto sugu atradnes ir apzināti radītas, augus pārstādot, šādu reģistrējumu vietas kopējā sugu sarakstā saglabātas, ja atradne netiek kopta un suga dabiski patstāvīgi atjaunojas. Piemēram, </w:t>
      </w:r>
      <w:r w:rsidR="00FD3CED">
        <w:rPr>
          <w:rFonts w:cs="Times New Roman"/>
          <w:szCs w:val="24"/>
        </w:rPr>
        <w:t>GNP</w:t>
      </w:r>
      <w:r w:rsidRPr="00675182">
        <w:rPr>
          <w:rFonts w:cs="Times New Roman"/>
          <w:szCs w:val="24"/>
        </w:rPr>
        <w:t xml:space="preserve"> 1978. gadā sadarbībā ar tā laika Latvijas Lauksaimniecības akadēmijas botānikas katedru tika uzsākta botāniskā ekspozīcijas ierīkošana Līgatnes apkārtnē (pavairošanas lauciņi un botānikas taka), kur mēģināja audzēt vismaz 34 augu sugas no tā laika reto un aizsargājamo sugu saraksta. Šobrīd izmēģinājuma lauciņš ir privātā zemē, pētījums sen pamests, bet dabā saglabājušies un vairojas atsevišķi ieviestie reti augi, tajā skaitā Latvijas </w:t>
      </w:r>
      <w:r w:rsidR="007D6B12">
        <w:rPr>
          <w:rFonts w:cs="Times New Roman"/>
          <w:szCs w:val="24"/>
        </w:rPr>
        <w:t>ĪA</w:t>
      </w:r>
      <w:r w:rsidRPr="00675182">
        <w:rPr>
          <w:rFonts w:cs="Times New Roman"/>
          <w:szCs w:val="24"/>
        </w:rPr>
        <w:t xml:space="preserve"> sugu sarakstā iekļautā smiltāju esparsete  </w:t>
      </w:r>
      <w:r w:rsidRPr="00675182">
        <w:rPr>
          <w:rFonts w:cs="Times New Roman"/>
          <w:i/>
          <w:iCs/>
          <w:szCs w:val="24"/>
        </w:rPr>
        <w:t>Onobrychis arenaria</w:t>
      </w:r>
      <w:r w:rsidRPr="00675182">
        <w:rPr>
          <w:rFonts w:cs="Times New Roman"/>
          <w:szCs w:val="24"/>
        </w:rPr>
        <w:t>.</w:t>
      </w:r>
    </w:p>
    <w:p w14:paraId="0F6E94A1" w14:textId="77777777" w:rsidR="00FA28E3" w:rsidRPr="00675182" w:rsidRDefault="00FA28E3" w:rsidP="00732143">
      <w:pPr>
        <w:jc w:val="both"/>
        <w:rPr>
          <w:rFonts w:cstheme="minorHAnsi"/>
          <w:bCs/>
          <w:szCs w:val="24"/>
        </w:rPr>
      </w:pPr>
    </w:p>
    <w:p w14:paraId="078E893D" w14:textId="7EEBB988" w:rsidR="00732143" w:rsidRDefault="00732143" w:rsidP="00732143">
      <w:pPr>
        <w:jc w:val="both"/>
        <w:rPr>
          <w:rFonts w:cstheme="minorHAnsi"/>
          <w:bCs/>
          <w:szCs w:val="24"/>
        </w:rPr>
      </w:pPr>
      <w:r w:rsidRPr="00675182">
        <w:rPr>
          <w:rFonts w:cstheme="minorHAnsi"/>
          <w:bCs/>
          <w:szCs w:val="24"/>
        </w:rPr>
        <w:t>Informācija par ES nozīmes aizsargājamām vaskulāro augu sugām ir apkopota 2.4.1.</w:t>
      </w:r>
      <w:r w:rsidR="0093003D">
        <w:rPr>
          <w:rFonts w:cstheme="minorHAnsi"/>
          <w:bCs/>
          <w:szCs w:val="24"/>
        </w:rPr>
        <w:t>A</w:t>
      </w:r>
      <w:r w:rsidRPr="00675182">
        <w:rPr>
          <w:rFonts w:cstheme="minorHAnsi"/>
          <w:bCs/>
          <w:szCs w:val="24"/>
        </w:rPr>
        <w:t xml:space="preserve"> tabulā</w:t>
      </w:r>
      <w:bookmarkEnd w:id="77"/>
      <w:r w:rsidR="00FA28E3" w:rsidRPr="00675182">
        <w:rPr>
          <w:rFonts w:cstheme="minorHAnsi"/>
          <w:bCs/>
          <w:szCs w:val="24"/>
        </w:rPr>
        <w:t>, par pārējām sugām</w:t>
      </w:r>
      <w:r w:rsidR="00966D26">
        <w:rPr>
          <w:rFonts w:cstheme="minorHAnsi"/>
          <w:bCs/>
          <w:szCs w:val="24"/>
        </w:rPr>
        <w:t xml:space="preserve"> DA plāna 3</w:t>
      </w:r>
      <w:r w:rsidR="002F28B6">
        <w:rPr>
          <w:rFonts w:cstheme="minorHAnsi"/>
          <w:bCs/>
          <w:szCs w:val="24"/>
        </w:rPr>
        <w:t>5</w:t>
      </w:r>
      <w:r w:rsidR="00966D26">
        <w:rPr>
          <w:rFonts w:cstheme="minorHAnsi"/>
          <w:bCs/>
          <w:szCs w:val="24"/>
        </w:rPr>
        <w:t xml:space="preserve">. pielikumā. </w:t>
      </w:r>
      <w:r w:rsidR="00FA28E3" w:rsidRPr="00675182">
        <w:rPr>
          <w:rFonts w:cstheme="minorHAnsi"/>
          <w:bCs/>
          <w:szCs w:val="24"/>
        </w:rPr>
        <w:t xml:space="preserve"> </w:t>
      </w:r>
    </w:p>
    <w:p w14:paraId="4820EE69" w14:textId="77777777" w:rsidR="00966D26" w:rsidRPr="00675182" w:rsidRDefault="00966D26" w:rsidP="00732143">
      <w:pPr>
        <w:jc w:val="both"/>
        <w:rPr>
          <w:rFonts w:cstheme="minorHAnsi"/>
          <w:bCs/>
          <w:szCs w:val="24"/>
        </w:rPr>
      </w:pPr>
    </w:p>
    <w:p w14:paraId="02339659" w14:textId="77777777" w:rsidR="00732143" w:rsidRPr="00675182" w:rsidRDefault="00732143" w:rsidP="00732143">
      <w:pPr>
        <w:jc w:val="both"/>
        <w:rPr>
          <w:rFonts w:cstheme="minorHAnsi"/>
          <w:b/>
          <w:szCs w:val="24"/>
        </w:rPr>
      </w:pPr>
      <w:r w:rsidRPr="00675182">
        <w:rPr>
          <w:rFonts w:cstheme="minorHAnsi"/>
          <w:b/>
          <w:szCs w:val="24"/>
        </w:rPr>
        <w:t xml:space="preserve">Sociālekonomiskā vērtība </w:t>
      </w:r>
    </w:p>
    <w:p w14:paraId="101B75C1" w14:textId="77777777" w:rsidR="00732143" w:rsidRPr="00675182" w:rsidRDefault="00732143" w:rsidP="00732143">
      <w:pPr>
        <w:jc w:val="both"/>
        <w:rPr>
          <w:rFonts w:cstheme="minorHAnsi"/>
        </w:rPr>
      </w:pPr>
      <w:r w:rsidRPr="00675182">
        <w:rPr>
          <w:rFonts w:cstheme="minorHAnsi"/>
        </w:rPr>
        <w:t>Daudzveidīgās dzīvotnes un to sugas jau iepriekš ir tikušas izmantotas dažādiem izglītojošiem mērķiem. GNP ir piemērota vieta studentu, skolnieku apmācībai un izglītošanai sugu atpazīšanā, kā arī sabiedrības izglītošanai. Dažādie biotopi sniedz iespēju ievākt tautas medicīnā un uzturā izmantojamus augus.</w:t>
      </w:r>
    </w:p>
    <w:p w14:paraId="0881210B" w14:textId="77777777" w:rsidR="00732143" w:rsidRPr="00675182" w:rsidRDefault="00732143" w:rsidP="00732143">
      <w:pPr>
        <w:jc w:val="both"/>
        <w:rPr>
          <w:rFonts w:cstheme="minorHAnsi"/>
          <w:b/>
          <w:szCs w:val="24"/>
        </w:rPr>
      </w:pPr>
    </w:p>
    <w:p w14:paraId="5CDD68C1" w14:textId="77777777" w:rsidR="00732143" w:rsidRPr="00675182" w:rsidRDefault="00732143" w:rsidP="00732143">
      <w:pPr>
        <w:jc w:val="both"/>
        <w:rPr>
          <w:rFonts w:cstheme="minorHAnsi"/>
          <w:b/>
          <w:szCs w:val="24"/>
        </w:rPr>
      </w:pPr>
      <w:r w:rsidRPr="00675182">
        <w:rPr>
          <w:rFonts w:cstheme="minorHAnsi"/>
          <w:b/>
          <w:szCs w:val="24"/>
        </w:rPr>
        <w:t>Ietekmējošie faktori</w:t>
      </w:r>
    </w:p>
    <w:p w14:paraId="35089213" w14:textId="77777777" w:rsidR="00732143" w:rsidRPr="00675182" w:rsidRDefault="00732143" w:rsidP="00732143">
      <w:pPr>
        <w:suppressAutoHyphens w:val="0"/>
        <w:jc w:val="both"/>
        <w:rPr>
          <w:rFonts w:cstheme="minorHAnsi"/>
          <w:szCs w:val="24"/>
        </w:rPr>
      </w:pPr>
      <w:r w:rsidRPr="00675182">
        <w:rPr>
          <w:rFonts w:cstheme="minorHAnsi"/>
          <w:szCs w:val="24"/>
        </w:rPr>
        <w:t xml:space="preserve">Nozīmīgākie draudi augu sugu daudzveidībai GNP ir piemērotu dzīvotņu izzušana. </w:t>
      </w:r>
    </w:p>
    <w:p w14:paraId="24D8B434" w14:textId="559C7FE4" w:rsidR="00732143" w:rsidRPr="00675182" w:rsidRDefault="00732143" w:rsidP="00732143">
      <w:pPr>
        <w:suppressAutoHyphens w:val="0"/>
        <w:jc w:val="both"/>
        <w:rPr>
          <w:rFonts w:cstheme="minorHAnsi"/>
          <w:bCs/>
          <w:szCs w:val="24"/>
        </w:rPr>
      </w:pPr>
      <w:r w:rsidRPr="00675182">
        <w:rPr>
          <w:rFonts w:cstheme="minorHAnsi"/>
          <w:bCs/>
          <w:szCs w:val="24"/>
        </w:rPr>
        <w:t xml:space="preserve">Iepriekšējā GNP </w:t>
      </w:r>
      <w:r w:rsidR="00565DEB">
        <w:rPr>
          <w:rFonts w:cstheme="minorHAnsi"/>
          <w:bCs/>
          <w:szCs w:val="24"/>
        </w:rPr>
        <w:t xml:space="preserve">DA </w:t>
      </w:r>
      <w:r w:rsidRPr="00675182">
        <w:rPr>
          <w:rFonts w:cstheme="minorHAnsi"/>
          <w:bCs/>
          <w:szCs w:val="24"/>
        </w:rPr>
        <w:t>plānā bija atzīmēta 71 aizsargājamā un retā suga, taču šis skaits ietvēra arī sugas, kas bija konstatētas tikai iepriekšējā gadsimta sākumā vai vidū, bet vēlāk nebija atrastas. Pateicoties biotopu apzināšanai, ir atrastas jaunas sugas un apstiprinātas vairākas sen nekonstatētu sugu jaunas atradnes, tomēr, salīdzinot R.</w:t>
      </w:r>
      <w:r w:rsidR="008D0924">
        <w:rPr>
          <w:rFonts w:cstheme="minorHAnsi"/>
          <w:bCs/>
          <w:szCs w:val="24"/>
        </w:rPr>
        <w:t xml:space="preserve"> </w:t>
      </w:r>
      <w:r w:rsidRPr="00675182">
        <w:rPr>
          <w:rFonts w:cstheme="minorHAnsi"/>
          <w:bCs/>
          <w:szCs w:val="24"/>
        </w:rPr>
        <w:t xml:space="preserve">Limbēnas 1991. gadā apkopotās inventarizācijas rezultātus un pēdējo 15 gadu </w:t>
      </w:r>
      <w:r w:rsidRPr="00675182">
        <w:rPr>
          <w:rFonts w:cstheme="minorHAnsi"/>
          <w:bCs/>
          <w:szCs w:val="24"/>
        </w:rPr>
        <w:lastRenderedPageBreak/>
        <w:t xml:space="preserve">novērojumus, jāsecina, ka daudzu sugu stāvoklis būtiski pasliktinājies. Cēloņi ir vairāki, bet nozīmīgākie saistīti ar apsaimniekošanas veidu un intensitātes maiņu. </w:t>
      </w:r>
    </w:p>
    <w:p w14:paraId="2885E571" w14:textId="77777777" w:rsidR="00732143" w:rsidRPr="00675182" w:rsidRDefault="00732143" w:rsidP="00732143">
      <w:pPr>
        <w:suppressAutoHyphens w:val="0"/>
        <w:jc w:val="both"/>
        <w:rPr>
          <w:rFonts w:cstheme="minorHAnsi"/>
          <w:szCs w:val="24"/>
        </w:rPr>
      </w:pPr>
    </w:p>
    <w:p w14:paraId="474F32EF" w14:textId="53938EA8" w:rsidR="00FA28E3" w:rsidRPr="00675182" w:rsidRDefault="00732143" w:rsidP="00E55535">
      <w:pPr>
        <w:spacing w:after="160" w:line="259" w:lineRule="auto"/>
        <w:jc w:val="both"/>
        <w:rPr>
          <w:rFonts w:eastAsia="Times New Roman" w:cs="Times New Roman"/>
          <w:szCs w:val="24"/>
          <w:highlight w:val="yellow"/>
        </w:rPr>
      </w:pPr>
      <w:r w:rsidRPr="00675182">
        <w:rPr>
          <w:rFonts w:cstheme="minorHAnsi"/>
          <w:szCs w:val="24"/>
        </w:rPr>
        <w:t xml:space="preserve">Agrāk Gaujas ielejai raksturīgu sugu izplatība strauji samazinās, izzūdot tām piemērotām dzīvotnēm. Apdraudētas ir visas sauso kaļķaino zālāju sugas, jo mazauglīgie Gaujas krastu zālāji tiek pamesti, eitroficējas, netiek atbilstoši apsaimniekoti (lielākās platības tiek vai nesen tikušas smalcinātas), tāpēc būtiski sarūk Gaujas krastiem raksturīgas sugas, piemēram, samazinās lielziedu vīgriezes </w:t>
      </w:r>
      <w:r w:rsidRPr="00675182">
        <w:rPr>
          <w:rFonts w:cstheme="minorHAnsi"/>
          <w:i/>
          <w:iCs/>
          <w:szCs w:val="24"/>
        </w:rPr>
        <w:t xml:space="preserve">Filipendula vulgaris </w:t>
      </w:r>
      <w:r w:rsidRPr="00675182">
        <w:rPr>
          <w:rFonts w:cstheme="minorHAnsi"/>
          <w:szCs w:val="24"/>
        </w:rPr>
        <w:t xml:space="preserve">sastopamība. Līdz ar to izzūd arī retās un aizsargājamās sugas, piemēram, krustlapu drudzene </w:t>
      </w:r>
      <w:r w:rsidRPr="00675182">
        <w:rPr>
          <w:rFonts w:cstheme="minorHAnsi"/>
          <w:i/>
          <w:iCs/>
          <w:szCs w:val="24"/>
        </w:rPr>
        <w:t>Gentiana cruciata</w:t>
      </w:r>
      <w:r w:rsidRPr="00675182">
        <w:rPr>
          <w:rFonts w:cstheme="minorHAnsi"/>
          <w:szCs w:val="24"/>
        </w:rPr>
        <w:t xml:space="preserve">. Biotopu inventarizācijas dati liecina, ka tikai atsevišķos zālājos sastopamas dzegužpuķes </w:t>
      </w:r>
      <w:r w:rsidRPr="00675182">
        <w:rPr>
          <w:rFonts w:cstheme="minorHAnsi"/>
          <w:i/>
          <w:iCs/>
          <w:szCs w:val="24"/>
        </w:rPr>
        <w:t xml:space="preserve">Orchis </w:t>
      </w:r>
      <w:r w:rsidRPr="00675182">
        <w:rPr>
          <w:rFonts w:cstheme="minorHAnsi"/>
          <w:szCs w:val="24"/>
        </w:rPr>
        <w:t>spp., šobrīd to atradnes lielākoties ir gar ceļiem zālāju malās un mežmalās. Ir nepieciešami pasākumi sarūkošo sauso zālāju pareizai apsaimniekošanai un atjaunošanai.</w:t>
      </w:r>
      <w:r w:rsidR="00FA28E3" w:rsidRPr="00675182">
        <w:rPr>
          <w:rFonts w:cstheme="minorHAnsi"/>
          <w:szCs w:val="24"/>
        </w:rPr>
        <w:t xml:space="preserve"> </w:t>
      </w:r>
      <w:r w:rsidR="00FA28E3" w:rsidRPr="00675182">
        <w:rPr>
          <w:rFonts w:eastAsia="Times New Roman" w:cs="Times New Roman"/>
          <w:szCs w:val="24"/>
        </w:rPr>
        <w:t xml:space="preserve">Dzeltenās akmeņlauzītes </w:t>
      </w:r>
      <w:r w:rsidR="00FA28E3" w:rsidRPr="00675182">
        <w:rPr>
          <w:rFonts w:eastAsia="Times New Roman" w:cs="Times New Roman"/>
          <w:i/>
          <w:iCs/>
          <w:szCs w:val="24"/>
        </w:rPr>
        <w:t xml:space="preserve">Saxifraga hirculus </w:t>
      </w:r>
      <w:r w:rsidR="00FA28E3" w:rsidRPr="00675182">
        <w:rPr>
          <w:rFonts w:eastAsia="Times New Roman" w:cs="Times New Roman"/>
          <w:szCs w:val="24"/>
        </w:rPr>
        <w:t>a</w:t>
      </w:r>
      <w:r w:rsidR="00FA28E3" w:rsidRPr="00675182">
        <w:t>tradnē Rakšu purvā vērojama biotopa aizaugšana ar niedrēm, krūmiem un kokiem, ir negatīva bebru darbības ietekme - no purva iztekošās Badupītes aizdambēšana. 2015. – 2016. gadā veikta atradnes apsaimniekošana, izcērtot daļā atradnes kokus un krūmus, izpļaujot un izvācot niedres, kas turpināta vēl dažus gadus. Pasākumi palielinājuši nevēlamu izmīdīšanu, šobrīd suga nav konstatēta, bet tas var būt saistīts arī ar atradnē zināmo niecīgo eksemplāru skaitu (3-5 ziedoši indivīdi, pēdējo reizi konstatēti 2008. gadā).</w:t>
      </w:r>
    </w:p>
    <w:p w14:paraId="3C56EFC0" w14:textId="77777777" w:rsidR="00732143" w:rsidRPr="00675182" w:rsidRDefault="00732143" w:rsidP="00E55535">
      <w:pPr>
        <w:suppressAutoHyphens w:val="0"/>
        <w:jc w:val="both"/>
        <w:rPr>
          <w:rFonts w:cstheme="minorHAnsi"/>
          <w:bCs/>
          <w:szCs w:val="24"/>
        </w:rPr>
      </w:pPr>
      <w:r w:rsidRPr="00675182">
        <w:rPr>
          <w:rFonts w:cstheme="minorHAnsi"/>
          <w:bCs/>
          <w:szCs w:val="24"/>
        </w:rPr>
        <w:t xml:space="preserve">Vairākas atklātu vietu - zālāju, skraju upmalas krūmāju un saulainu mežmalu sugas šobrīd saglabājušās ceļmalās vai dzelzceļa malā, kur to aizsardzību nevar nodrošināt. Piemēram, smaržlapu roze </w:t>
      </w:r>
      <w:r w:rsidRPr="00675182">
        <w:rPr>
          <w:rFonts w:cstheme="minorHAnsi"/>
          <w:bCs/>
          <w:i/>
          <w:iCs/>
          <w:szCs w:val="24"/>
        </w:rPr>
        <w:t>Rosa rubiginosa</w:t>
      </w:r>
      <w:r w:rsidRPr="00675182">
        <w:rPr>
          <w:rFonts w:cstheme="minorHAnsi"/>
          <w:bCs/>
          <w:szCs w:val="24"/>
        </w:rPr>
        <w:t xml:space="preserve"> Cēsu apkārtnē aug uz dzelzceļa uzbēruma nogāzes, tepat netālu bija zināma arī bagātīga vīru dzegužpuķes atradne. Senāk dzelzceļa malas tika noganītas, pļautas, vietām arī dedzinātas, tomēr tas sekmēja šo sugu saglabāšanos. Pašreiz šādas darbības vairs nenotiek, vietām tiek reizēm izcirsti krūmi, vietām pļautas un atstātas nogāzes, bet šo sugu atradnēs ir būtiski palielinājies slotiņu ciesas </w:t>
      </w:r>
      <w:r w:rsidRPr="00675182">
        <w:rPr>
          <w:rFonts w:cstheme="minorHAnsi"/>
          <w:bCs/>
          <w:i/>
          <w:iCs/>
          <w:szCs w:val="24"/>
        </w:rPr>
        <w:t>Calamagrostis epigeios</w:t>
      </w:r>
      <w:r w:rsidRPr="00675182">
        <w:rPr>
          <w:rFonts w:cstheme="minorHAnsi"/>
          <w:bCs/>
          <w:szCs w:val="24"/>
        </w:rPr>
        <w:t xml:space="preserve"> daudzums, līdz ar to arī kūla un agresīvi izplešas Kanādas zeltgalvīte </w:t>
      </w:r>
      <w:r w:rsidRPr="00675182">
        <w:rPr>
          <w:rFonts w:cstheme="minorHAnsi"/>
          <w:bCs/>
          <w:i/>
          <w:iCs/>
          <w:szCs w:val="24"/>
        </w:rPr>
        <w:t>Solidago canadensis</w:t>
      </w:r>
      <w:r w:rsidRPr="00675182">
        <w:rPr>
          <w:rFonts w:cstheme="minorHAnsi"/>
          <w:bCs/>
          <w:szCs w:val="24"/>
        </w:rPr>
        <w:t xml:space="preserve">. Nepieciešams steidzami atjaunot zālājus, kur šīs sugas varētu pārcelties. </w:t>
      </w:r>
    </w:p>
    <w:p w14:paraId="6E386D91" w14:textId="77777777" w:rsidR="00732143" w:rsidRPr="00675182" w:rsidRDefault="00732143" w:rsidP="00E55535">
      <w:pPr>
        <w:suppressAutoHyphens w:val="0"/>
        <w:jc w:val="both"/>
        <w:rPr>
          <w:rFonts w:cstheme="minorHAnsi"/>
          <w:bCs/>
          <w:szCs w:val="24"/>
        </w:rPr>
      </w:pPr>
    </w:p>
    <w:p w14:paraId="05D04532" w14:textId="467C3534" w:rsidR="00732143" w:rsidRPr="00675182" w:rsidRDefault="00732143" w:rsidP="00E55535">
      <w:pPr>
        <w:suppressAutoHyphens w:val="0"/>
        <w:jc w:val="both"/>
        <w:rPr>
          <w:rFonts w:eastAsia="Times New Roman" w:cstheme="minorHAnsi"/>
          <w:szCs w:val="24"/>
          <w:lang w:eastAsia="en-US"/>
        </w:rPr>
      </w:pPr>
      <w:r w:rsidRPr="00675182">
        <w:rPr>
          <w:rFonts w:cstheme="minorHAnsi"/>
          <w:bCs/>
          <w:szCs w:val="24"/>
        </w:rPr>
        <w:t xml:space="preserve">Labākā stāvoklī ir spilvainais ancītis </w:t>
      </w:r>
      <w:r w:rsidRPr="00675182">
        <w:rPr>
          <w:rFonts w:cstheme="minorHAnsi"/>
          <w:bCs/>
          <w:i/>
          <w:iCs/>
          <w:szCs w:val="24"/>
        </w:rPr>
        <w:t>Agrimonia pilosa</w:t>
      </w:r>
      <w:r w:rsidRPr="00675182">
        <w:rPr>
          <w:rFonts w:cstheme="minorHAnsi"/>
          <w:bCs/>
          <w:szCs w:val="24"/>
        </w:rPr>
        <w:t xml:space="preserve">, jo tā pastāvēšanai sugas aizsardzībai ir būtiski saglabāt dabiskas takas, brauktuves un stigas bez papildus uzbērta seguma, ieteicams </w:t>
      </w:r>
      <w:r w:rsidR="00DD2095">
        <w:rPr>
          <w:rFonts w:cstheme="minorHAnsi"/>
          <w:bCs/>
          <w:szCs w:val="24"/>
        </w:rPr>
        <w:t>DLZ</w:t>
      </w:r>
      <w:r w:rsidRPr="00675182">
        <w:rPr>
          <w:rFonts w:cstheme="minorHAnsi"/>
          <w:bCs/>
          <w:szCs w:val="24"/>
        </w:rPr>
        <w:t xml:space="preserve"> mazāk izmantotajiem ceļiem ceļmalas uzturēt bez intensīvas pļaušanas un zāles atstāšanas.</w:t>
      </w:r>
    </w:p>
    <w:p w14:paraId="21FB49D6" w14:textId="77777777" w:rsidR="00732143" w:rsidRPr="00675182" w:rsidRDefault="00732143" w:rsidP="00E55535">
      <w:pPr>
        <w:suppressAutoHyphens w:val="0"/>
        <w:jc w:val="both"/>
        <w:rPr>
          <w:rFonts w:cstheme="minorHAnsi"/>
          <w:szCs w:val="24"/>
        </w:rPr>
      </w:pPr>
    </w:p>
    <w:p w14:paraId="10C4855D" w14:textId="13A432AB" w:rsidR="00FA28E3" w:rsidRPr="00675182" w:rsidRDefault="00FA28E3" w:rsidP="00E55535">
      <w:pPr>
        <w:spacing w:after="160" w:line="259" w:lineRule="auto"/>
        <w:jc w:val="both"/>
        <w:rPr>
          <w:rFonts w:cs="Times New Roman"/>
          <w:szCs w:val="24"/>
        </w:rPr>
      </w:pPr>
      <w:r w:rsidRPr="00675182">
        <w:rPr>
          <w:rFonts w:cs="Times New Roman"/>
          <w:szCs w:val="24"/>
        </w:rPr>
        <w:t xml:space="preserve">Otrs nozīmīgākais sugu daudzveidību ietekmējošais negatīvais faktors ir dabisko traucējumu trūkums boreālajos sausajos priežu mežos, kur eitrofikācijas dēļ pieaug zemsedzes sūnu daudzums un egles paauga. Rezultātā būtiski samazinājusies piemērotā platība meža silpurenei </w:t>
      </w:r>
      <w:r w:rsidRPr="00BF7348">
        <w:rPr>
          <w:rFonts w:cs="Times New Roman"/>
          <w:i/>
          <w:iCs/>
          <w:szCs w:val="24"/>
        </w:rPr>
        <w:t>Pulsatilla patens</w:t>
      </w:r>
      <w:r w:rsidRPr="00675182">
        <w:rPr>
          <w:rFonts w:cs="Times New Roman"/>
          <w:szCs w:val="24"/>
        </w:rPr>
        <w:t xml:space="preserve">, pļavas silpurenei </w:t>
      </w:r>
      <w:r w:rsidRPr="00675182">
        <w:rPr>
          <w:rFonts w:cs="Times New Roman"/>
          <w:i/>
          <w:iCs/>
          <w:szCs w:val="24"/>
        </w:rPr>
        <w:t>Pulsatilla pratensis</w:t>
      </w:r>
      <w:r w:rsidRPr="00675182">
        <w:rPr>
          <w:rFonts w:cs="Times New Roman"/>
          <w:szCs w:val="24"/>
        </w:rPr>
        <w:t xml:space="preserve">, parastajam plakanstaipeknim </w:t>
      </w:r>
      <w:r w:rsidRPr="00675182">
        <w:rPr>
          <w:rFonts w:cs="Times New Roman"/>
          <w:i/>
          <w:iCs/>
          <w:szCs w:val="24"/>
        </w:rPr>
        <w:t>Diphasiastrum complanatum</w:t>
      </w:r>
      <w:r w:rsidRPr="00675182">
        <w:rPr>
          <w:rFonts w:cs="Times New Roman"/>
          <w:szCs w:val="24"/>
        </w:rPr>
        <w:t xml:space="preserve"> un Zeilera plakanstaipeknim </w:t>
      </w:r>
      <w:r w:rsidRPr="00675182">
        <w:rPr>
          <w:rFonts w:cs="Times New Roman"/>
          <w:i/>
          <w:iCs/>
          <w:szCs w:val="24"/>
        </w:rPr>
        <w:t>D.zeilerii</w:t>
      </w:r>
      <w:r w:rsidRPr="00675182">
        <w:rPr>
          <w:rFonts w:cs="Times New Roman"/>
          <w:szCs w:val="24"/>
        </w:rPr>
        <w:t xml:space="preserve">. Meža silpurenes </w:t>
      </w:r>
      <w:r w:rsidRPr="00675182">
        <w:rPr>
          <w:rFonts w:cs="Times New Roman"/>
          <w:i/>
          <w:iCs/>
          <w:szCs w:val="24"/>
        </w:rPr>
        <w:t>Pulsatilla patens</w:t>
      </w:r>
      <w:r w:rsidRPr="00675182">
        <w:rPr>
          <w:rFonts w:cs="Times New Roman"/>
          <w:szCs w:val="24"/>
        </w:rPr>
        <w:t xml:space="preserve"> visās 7 atradnēs ir mazskaitlīgas, koncentrētas uz stigām un gar ceļmalām. Šo sugu apdraud arī izrakšana un pārstādīšana, tomēr nelielā mērā, jo īpatņu skaits ir neliels un tāpēc neizraisa </w:t>
      </w:r>
      <w:r w:rsidRPr="00675182">
        <w:rPr>
          <w:rFonts w:cs="Times New Roman"/>
          <w:szCs w:val="24"/>
        </w:rPr>
        <w:lastRenderedPageBreak/>
        <w:t xml:space="preserve">interesi. Veiktajā pētījumā par GNP meža silpurenes sastopamību un audžu vitalitāti, konstatēts, ka GNP atradnes varētu uzskatīt par lielāku atradņu pārpalikumiem, to ģenētiskā daudzveidība sagaidāma zema, atradnēs dominē lielie īpatņi, augu skaits ir neliels vai pat tikai viens cers, ziedēšana nav bagātīga, dominē jauni ģeneratīvie īpatņi ar mazu lapu skaitu. Tikai divas atradnes no septiņām uzskatāmas par salīdzinoši perspektīvākām. Atradnē militārajā poligonā pie Cēsīm un atradnē Silciemā zem elektrolīnijas tiek nodrošināts traucējums militāro mācību un elektrolīnijas kopšanas darbu laikā, kas jāvērtē kā pozitīvs faktors. </w:t>
      </w:r>
    </w:p>
    <w:p w14:paraId="47997701" w14:textId="3D1D7D7D" w:rsidR="00FA28E3" w:rsidRPr="00675182" w:rsidRDefault="00FA28E3" w:rsidP="00E55535">
      <w:pPr>
        <w:spacing w:after="160" w:line="259" w:lineRule="auto"/>
        <w:jc w:val="both"/>
        <w:rPr>
          <w:rFonts w:cs="Times New Roman"/>
          <w:szCs w:val="24"/>
        </w:rPr>
      </w:pPr>
      <w:r w:rsidRPr="00675182">
        <w:rPr>
          <w:rFonts w:cs="Times New Roman"/>
          <w:szCs w:val="24"/>
        </w:rPr>
        <w:t xml:space="preserve">Dzeltenā dzegužkurpīte </w:t>
      </w:r>
      <w:r w:rsidRPr="00675182">
        <w:rPr>
          <w:rFonts w:cs="Times New Roman"/>
          <w:i/>
          <w:iCs/>
          <w:szCs w:val="24"/>
        </w:rPr>
        <w:t xml:space="preserve">Cyprypedium calceolus </w:t>
      </w:r>
      <w:r w:rsidRPr="00675182">
        <w:rPr>
          <w:rFonts w:cs="Times New Roman"/>
          <w:szCs w:val="24"/>
        </w:rPr>
        <w:t>GNP uzskaitīti 30 - 45 eksemplāri (kopā ziedoši un neziedoši</w:t>
      </w:r>
      <w:r w:rsidR="00D73FA1">
        <w:rPr>
          <w:rStyle w:val="FootnoteReference"/>
          <w:rFonts w:cs="Times New Roman"/>
          <w:szCs w:val="24"/>
        </w:rPr>
        <w:footnoteReference w:id="17"/>
      </w:r>
      <w:r w:rsidRPr="00675182">
        <w:rPr>
          <w:rFonts w:cs="Times New Roman"/>
          <w:szCs w:val="24"/>
        </w:rPr>
        <w:t>)</w:t>
      </w:r>
      <w:r w:rsidR="00CD2CB8">
        <w:rPr>
          <w:rFonts w:cs="Times New Roman"/>
          <w:szCs w:val="24"/>
        </w:rPr>
        <w:t>.</w:t>
      </w:r>
      <w:r w:rsidRPr="00675182">
        <w:rPr>
          <w:rFonts w:cs="Times New Roman"/>
          <w:szCs w:val="24"/>
        </w:rPr>
        <w:t xml:space="preserve"> Zināmas 5 vietas, no tām divās ar lielāku eksemplāru skaitu, divās pa vienam vai diviem indivīdiem, bet viena atradne jāuzskata par vēsturisku. Visos gadījumos tomēr populācija vērtējama kā maza. Atradnēs ir augsts noēnojums, bet nav zināmas vai tas ir nelielā sakaita iemesls. Dzegužkurpīte aug mežos uz gravas nogāzēm vai tās augšmalā, kur zemes virskārtai tuvu atrodas dolomītieži. Literatūrā d</w:t>
      </w:r>
      <w:r w:rsidRPr="00675182">
        <w:rPr>
          <w:rFonts w:eastAsia="Times New Roman"/>
        </w:rPr>
        <w:t>zegužkurpīte raksturota kā auglīgos mežos mēreni mitrās neitrālās vai karbonātiskās augsnēs satopams kalcifils augs (Cepurīte, 2005; Delforge, 2006; Priedītis, 2014). Pētījumā par dzegužkurpītes augtenēm Latvijā secināts, ka augsnes reakcijai un kalcija koncentrācijai augsnē nav izšķiroša nozīme dzegužkurpītes augšanā (Kļaviņa, Osvalde, 2017). Sekmīgai dīgšanai neieciešamas vietas, kur ir liels gaismas daudzums, neliels kopējais augu pārklājums un bieza sūnu kārta, kas nodrošina stabilus un mitrus apstākļus (Kull, 2017).</w:t>
      </w:r>
    </w:p>
    <w:p w14:paraId="65774EE8" w14:textId="485BC6FA" w:rsidR="00FA28E3" w:rsidRPr="00675182" w:rsidRDefault="00FA28E3" w:rsidP="00E55535">
      <w:pPr>
        <w:spacing w:after="160" w:line="259" w:lineRule="auto"/>
        <w:jc w:val="both"/>
        <w:rPr>
          <w:rFonts w:cs="Times New Roman"/>
          <w:szCs w:val="24"/>
        </w:rPr>
      </w:pPr>
      <w:r w:rsidRPr="00675182">
        <w:rPr>
          <w:rFonts w:cs="Times New Roman"/>
          <w:szCs w:val="24"/>
        </w:rPr>
        <w:t xml:space="preserve">Lēzeļa lipare </w:t>
      </w:r>
      <w:r w:rsidRPr="00675182">
        <w:rPr>
          <w:rFonts w:cs="Times New Roman"/>
          <w:i/>
          <w:iCs/>
          <w:szCs w:val="24"/>
        </w:rPr>
        <w:t xml:space="preserve">Liparis loeselii </w:t>
      </w:r>
      <w:r w:rsidRPr="00675182">
        <w:rPr>
          <w:rFonts w:cs="Times New Roman"/>
          <w:szCs w:val="24"/>
        </w:rPr>
        <w:t xml:space="preserve">GNP zināma vienā stabilā plašākā atradnē pie Pūricu ezera un divās vietās ar nelielu indivīdu skaitu. Atradnē pie Pūricu ezera </w:t>
      </w:r>
      <w:r w:rsidRPr="00675182">
        <w:t>2021. gadā veiktajā sugas stāvokļa monitoringā uzskaitīti 27 ziedoši un 32 neziedoši Lēzela lipares augi un nav novērota iepriekš atzīmētā negatīvā bebru darbības ietekme. Atradnē Vaives ielejā lejpus Kalauzām, avotainā pārejas purvā suga vairs netika atrasta (iepriekš 10 eksemplāri). Bērzu pļavā (zāļu purvā) D no Vīņaudu ezera 2015. gadā konstatēti 3 neziedoši eksemplāri. Atradnes Vaives ielejā un Bērzu pļava ir nelielas un aizaug ar krūmiem, kokiem, kur būtu jāveic biotopu atjaunošana.</w:t>
      </w:r>
    </w:p>
    <w:p w14:paraId="6DBA2DD9" w14:textId="03ED451B" w:rsidR="00732143" w:rsidRPr="00675182" w:rsidRDefault="00FA28E3" w:rsidP="00E55535">
      <w:pPr>
        <w:jc w:val="both"/>
        <w:rPr>
          <w:rFonts w:cs="Times New Roman"/>
          <w:szCs w:val="24"/>
        </w:rPr>
      </w:pPr>
      <w:r w:rsidRPr="00675182">
        <w:rPr>
          <w:rFonts w:cs="Times New Roman"/>
          <w:szCs w:val="24"/>
        </w:rPr>
        <w:t>Trešais, reto sugu daudzveidību ietekmējošais faktors ir dažādu ūdens režīma izmaiņu sekas. Meliorācijas sistēmu izbūve un uzturēšana jau senāk nosusinājusi daļu purvu teritoriju, daļā ezeru notikusi ūdenslīmeņa regulēšana. Piesardzīgi vērtējama vecupju tīrīšana ar pārrakšana, kas var izmanīt dabisko veģetāciju, negatīvi ietekmēt avotainos un purvainos krastus. Dabiskā ūdens režīma atjaunošana var atjaunot arī retām sugām labvēlīgus apstākļus.</w:t>
      </w:r>
    </w:p>
    <w:p w14:paraId="4080DFF2" w14:textId="77777777" w:rsidR="00FA28E3" w:rsidRPr="00675182" w:rsidRDefault="00FA28E3" w:rsidP="00E55535">
      <w:pPr>
        <w:jc w:val="both"/>
        <w:rPr>
          <w:rFonts w:cstheme="minorHAnsi"/>
          <w:b/>
        </w:rPr>
      </w:pPr>
    </w:p>
    <w:p w14:paraId="1A7DD93E" w14:textId="77777777" w:rsidR="00732143" w:rsidRPr="00675182" w:rsidRDefault="00732143" w:rsidP="00FA28E3">
      <w:pPr>
        <w:keepNext/>
        <w:keepLines/>
        <w:jc w:val="both"/>
        <w:rPr>
          <w:rFonts w:cstheme="minorHAnsi"/>
          <w:b/>
        </w:rPr>
      </w:pPr>
      <w:r w:rsidRPr="00675182">
        <w:rPr>
          <w:rFonts w:cstheme="minorHAnsi"/>
          <w:b/>
        </w:rPr>
        <w:lastRenderedPageBreak/>
        <w:t>Invazīvās sugas</w:t>
      </w:r>
    </w:p>
    <w:p w14:paraId="6903D94A" w14:textId="19C15354" w:rsidR="00732143" w:rsidRPr="00675182" w:rsidRDefault="00732143" w:rsidP="00FA28E3">
      <w:pPr>
        <w:keepNext/>
        <w:keepLines/>
        <w:suppressAutoHyphens w:val="0"/>
        <w:jc w:val="both"/>
        <w:rPr>
          <w:rFonts w:cstheme="minorHAnsi"/>
          <w:szCs w:val="24"/>
        </w:rPr>
      </w:pPr>
      <w:r w:rsidRPr="00675182">
        <w:rPr>
          <w:rFonts w:cstheme="minorHAnsi"/>
          <w:szCs w:val="24"/>
        </w:rPr>
        <w:t xml:space="preserve">Vienlīdz lielu negatīvo ietekmi uz GNP floru ir atstājusi pastiprinātā antropogēnā slodze un apsaimniekošanas pārtraukšana. Izmīdīšana, aktīva mežsaimnieciskā darbība un meliorācijas nosusinošās sekas negatīvi ietekmē sugu stāvokli biotopos, kas nepanes traucējumus. Šādās vietās ieviešas invazīvās un potenciāli invazīvās sugas. Kā ceļošanas koridorus tās izmanto dažādas antropogēni traucētas vietas – ceļa un dzelzceļa malas, elektrolīnijas, gāzes vadu, karjerus, apbūves laukumus, kā arī vietas ar dabiskajiem traucējumiem – upju palienes. Lielāko apdzīvoto vietu (Cēsis, Sigulda) tuvumā, mazdārziņu un kapu apkārtnēs, kā arī gar </w:t>
      </w:r>
      <w:r w:rsidR="00FF62CC" w:rsidRPr="00675182">
        <w:rPr>
          <w:rFonts w:cstheme="minorHAnsi"/>
          <w:szCs w:val="24"/>
        </w:rPr>
        <w:t>autoceļiem A2 un A3</w:t>
      </w:r>
      <w:r w:rsidRPr="00675182">
        <w:rPr>
          <w:rFonts w:cstheme="minorHAnsi"/>
          <w:szCs w:val="24"/>
        </w:rPr>
        <w:t xml:space="preserve">, dzelzceļa malā ir liela dažādu svešzemju sugu daudzveidība, tajā skaitā biežāk sastopamas arī potenciāli invazīvās sugas. </w:t>
      </w:r>
    </w:p>
    <w:p w14:paraId="53B3EDCF" w14:textId="77777777" w:rsidR="00732143" w:rsidRPr="00675182" w:rsidRDefault="00732143" w:rsidP="00732143">
      <w:pPr>
        <w:suppressAutoHyphens w:val="0"/>
        <w:jc w:val="both"/>
        <w:rPr>
          <w:rFonts w:cstheme="minorHAnsi"/>
          <w:szCs w:val="24"/>
        </w:rPr>
      </w:pPr>
      <w:r w:rsidRPr="00675182">
        <w:rPr>
          <w:rFonts w:cstheme="minorHAnsi"/>
          <w:szCs w:val="24"/>
        </w:rPr>
        <w:t xml:space="preserve"> </w:t>
      </w:r>
    </w:p>
    <w:p w14:paraId="38B6F6B1" w14:textId="77777777" w:rsidR="00732143" w:rsidRPr="00675182" w:rsidRDefault="00732143" w:rsidP="00732143">
      <w:pPr>
        <w:suppressAutoHyphens w:val="0"/>
        <w:jc w:val="both"/>
        <w:rPr>
          <w:rFonts w:cstheme="minorHAnsi"/>
          <w:bCs/>
        </w:rPr>
      </w:pPr>
      <w:r w:rsidRPr="00675182">
        <w:rPr>
          <w:rFonts w:cstheme="minorHAnsi"/>
          <w:bCs/>
        </w:rPr>
        <w:t>GNP teritorijā konstatētas vismaz 16 invazīvās vaskulāro augu sugas (un 1 sūnu suga).</w:t>
      </w:r>
    </w:p>
    <w:p w14:paraId="5E22ABA2" w14:textId="28A67D95" w:rsidR="00732143" w:rsidRPr="00675182" w:rsidRDefault="00732143" w:rsidP="00732143">
      <w:pPr>
        <w:jc w:val="both"/>
        <w:rPr>
          <w:rFonts w:cstheme="minorHAnsi"/>
          <w:bCs/>
          <w:szCs w:val="24"/>
        </w:rPr>
      </w:pPr>
      <w:r w:rsidRPr="00675182">
        <w:rPr>
          <w:rFonts w:cstheme="minorHAnsi"/>
          <w:bCs/>
          <w:szCs w:val="24"/>
        </w:rPr>
        <w:t xml:space="preserve">Biežāk izplatītās sugas apdraud vairāku ES nozīmes biotopu kvalitāti (biežāk zālāju, mežu un purvu biotopu grupās, retāk ūdeņu biotopos, reti un lokāli atsegumu biotopos). Nozīmīgākās sugas minētas un to ietekmes raksturotas arī attiecīgo biotopu un sugu nodaļās. </w:t>
      </w:r>
    </w:p>
    <w:p w14:paraId="731F3CB1" w14:textId="77777777" w:rsidR="00732143" w:rsidRPr="00675182" w:rsidRDefault="00732143" w:rsidP="00732143">
      <w:pPr>
        <w:jc w:val="both"/>
        <w:rPr>
          <w:rFonts w:cstheme="minorHAnsi"/>
          <w:bCs/>
          <w:szCs w:val="24"/>
        </w:rPr>
      </w:pPr>
    </w:p>
    <w:p w14:paraId="10684026" w14:textId="65FE9445" w:rsidR="00732143" w:rsidRPr="00675182" w:rsidRDefault="00732143" w:rsidP="00732143">
      <w:pPr>
        <w:jc w:val="both"/>
        <w:rPr>
          <w:rFonts w:cstheme="minorHAnsi"/>
          <w:bCs/>
          <w:szCs w:val="24"/>
        </w:rPr>
      </w:pPr>
      <w:r w:rsidRPr="00675182">
        <w:rPr>
          <w:rFonts w:cstheme="minorHAnsi"/>
          <w:bCs/>
          <w:szCs w:val="24"/>
        </w:rPr>
        <w:t xml:space="preserve">Agresīvākās biežāk satopamās sugas ir Sosnovska latvānis un puķu sprigane. Abas sugas bieži ieviešas arī dabiskos biotopos visā GNP teritorijā, kur agresīvi konkurē ar biotopam raksturīgajām sugām. </w:t>
      </w:r>
    </w:p>
    <w:p w14:paraId="43A647EF" w14:textId="77777777" w:rsidR="00FF62CC" w:rsidRPr="00675182" w:rsidRDefault="00FF62CC" w:rsidP="00732143">
      <w:pPr>
        <w:jc w:val="both"/>
        <w:rPr>
          <w:rFonts w:cstheme="minorHAnsi"/>
          <w:bCs/>
          <w:szCs w:val="24"/>
        </w:rPr>
      </w:pPr>
    </w:p>
    <w:p w14:paraId="0A71B060" w14:textId="77777777" w:rsidR="00732143" w:rsidRPr="00675182" w:rsidRDefault="00732143" w:rsidP="00732143">
      <w:pPr>
        <w:jc w:val="both"/>
        <w:rPr>
          <w:rFonts w:cstheme="minorHAnsi"/>
          <w:bCs/>
          <w:szCs w:val="24"/>
        </w:rPr>
      </w:pPr>
      <w:r w:rsidRPr="00675182">
        <w:rPr>
          <w:rFonts w:cstheme="minorHAnsi"/>
          <w:szCs w:val="24"/>
        </w:rPr>
        <w:t xml:space="preserve">Sosnovska latvāņa apkarošanā Siguldas un Cēsu apkārtnē redzamas sekmes, taču tas joprojām izplatās upju ielejās (īpaši invadēta ir Vaives upes ieleja) un atzīmēts jaunākajos kartēšanas materiālos. </w:t>
      </w:r>
      <w:r w:rsidRPr="00675182">
        <w:rPr>
          <w:rFonts w:cstheme="minorHAnsi"/>
          <w:bCs/>
          <w:szCs w:val="24"/>
        </w:rPr>
        <w:t>Iepriekšējā periodā vairākkārtīgi aktualizētas Sosnovska latvāņa izplatības kartes. Pasākumi sugas ierobežošanai veikti visā GNP teritorijā gan pēc pašvaldību, gan privātpersonu iniciatīvas, veicot latvāņu vairākkārtēju pļaušanu, aršanu un izrakšanu, bet sekmes ne visur ir noturīgas, jo notiek atkārtota invadēšanās no piegulošajām teritorijām.</w:t>
      </w:r>
    </w:p>
    <w:p w14:paraId="4687F9B0" w14:textId="77777777" w:rsidR="00732143" w:rsidRPr="00675182" w:rsidRDefault="00732143" w:rsidP="00732143">
      <w:pPr>
        <w:jc w:val="both"/>
        <w:rPr>
          <w:rFonts w:cstheme="minorHAnsi"/>
          <w:szCs w:val="24"/>
        </w:rPr>
      </w:pPr>
    </w:p>
    <w:p w14:paraId="6982B239" w14:textId="082D0070" w:rsidR="00732143" w:rsidRPr="00675182" w:rsidRDefault="00732143" w:rsidP="00732143">
      <w:pPr>
        <w:jc w:val="both"/>
        <w:rPr>
          <w:rFonts w:cstheme="minorHAnsi"/>
          <w:bCs/>
          <w:szCs w:val="24"/>
        </w:rPr>
      </w:pPr>
      <w:r w:rsidRPr="00675182">
        <w:rPr>
          <w:rFonts w:cstheme="minorHAnsi"/>
          <w:bCs/>
          <w:szCs w:val="24"/>
        </w:rPr>
        <w:t xml:space="preserve">Pagaidām GNP retāk satopama, bet izteikti agresīva ir arī ošlapu kļava </w:t>
      </w:r>
      <w:r w:rsidRPr="00675182">
        <w:rPr>
          <w:rFonts w:cstheme="minorHAnsi"/>
          <w:bCs/>
          <w:i/>
          <w:iCs/>
          <w:szCs w:val="24"/>
        </w:rPr>
        <w:t>Acer negundo</w:t>
      </w:r>
      <w:r w:rsidRPr="00675182">
        <w:rPr>
          <w:rFonts w:cstheme="minorHAnsi"/>
          <w:bCs/>
          <w:szCs w:val="24"/>
        </w:rPr>
        <w:t xml:space="preserve">, kas Vidzemē lielākās audzēs konstatēta Gaujas grīvas tuvumā un pakāpeniski no lejteces izplatās uz augšu. GNP teritorijā ošlapu kļava biežāk satopama Murjāņi- Sigulda posmā pieupes sērēs un krasta krūmājos. </w:t>
      </w:r>
    </w:p>
    <w:p w14:paraId="55FC1404" w14:textId="77777777" w:rsidR="00732143" w:rsidRPr="00675182" w:rsidRDefault="00732143" w:rsidP="00732143">
      <w:pPr>
        <w:jc w:val="both"/>
        <w:rPr>
          <w:rFonts w:cstheme="minorHAnsi"/>
          <w:bCs/>
          <w:szCs w:val="24"/>
        </w:rPr>
      </w:pPr>
    </w:p>
    <w:p w14:paraId="4298B917" w14:textId="7BBF4F52" w:rsidR="00732143" w:rsidRPr="00675182" w:rsidRDefault="00732143" w:rsidP="00732143">
      <w:pPr>
        <w:jc w:val="both"/>
        <w:rPr>
          <w:rFonts w:cstheme="minorHAnsi"/>
          <w:bCs/>
          <w:szCs w:val="24"/>
        </w:rPr>
      </w:pPr>
      <w:r w:rsidRPr="00675182">
        <w:rPr>
          <w:rFonts w:cstheme="minorHAnsi"/>
          <w:bCs/>
          <w:szCs w:val="24"/>
        </w:rPr>
        <w:t xml:space="preserve">Samērā agresīvas grūti izskaužamas sugas GNP ir Kanādas zeltgalvīte </w:t>
      </w:r>
      <w:r w:rsidRPr="00675182">
        <w:rPr>
          <w:rFonts w:cstheme="minorHAnsi"/>
          <w:bCs/>
          <w:i/>
          <w:iCs/>
          <w:szCs w:val="24"/>
        </w:rPr>
        <w:t>Solidago canadensis</w:t>
      </w:r>
      <w:r w:rsidRPr="00675182">
        <w:rPr>
          <w:rFonts w:cstheme="minorHAnsi"/>
          <w:bCs/>
          <w:szCs w:val="24"/>
        </w:rPr>
        <w:t xml:space="preserve"> un daudzlapu lupīna </w:t>
      </w:r>
      <w:r w:rsidRPr="00675182">
        <w:rPr>
          <w:rFonts w:cstheme="minorHAnsi"/>
          <w:bCs/>
          <w:i/>
          <w:iCs/>
          <w:szCs w:val="24"/>
        </w:rPr>
        <w:t xml:space="preserve">Lupinus poyphyllus. </w:t>
      </w:r>
      <w:r w:rsidRPr="00675182">
        <w:rPr>
          <w:rFonts w:cstheme="minorHAnsi"/>
          <w:bCs/>
          <w:szCs w:val="24"/>
        </w:rPr>
        <w:t>Abas sugas biežāk satopamas traucētās vietās, piemēram</w:t>
      </w:r>
      <w:r w:rsidR="00FF62CC" w:rsidRPr="00675182">
        <w:rPr>
          <w:rFonts w:cstheme="minorHAnsi"/>
          <w:bCs/>
          <w:szCs w:val="24"/>
        </w:rPr>
        <w:t>,</w:t>
      </w:r>
      <w:r w:rsidRPr="00675182">
        <w:rPr>
          <w:rFonts w:cstheme="minorHAnsi"/>
          <w:bCs/>
          <w:szCs w:val="24"/>
        </w:rPr>
        <w:t xml:space="preserve"> ceļa un dzelzceļa malās, uz elektrolīnijām, karjeros, atmatās, bet tās var ieviesties arī dabiskos biotopos un samazināt to kvalitāti. </w:t>
      </w:r>
    </w:p>
    <w:p w14:paraId="780186D0" w14:textId="77777777" w:rsidR="00732143" w:rsidRPr="00675182" w:rsidRDefault="00732143" w:rsidP="00732143">
      <w:pPr>
        <w:jc w:val="both"/>
        <w:rPr>
          <w:rFonts w:cstheme="minorHAnsi"/>
          <w:bCs/>
          <w:szCs w:val="24"/>
        </w:rPr>
      </w:pPr>
    </w:p>
    <w:p w14:paraId="6D9DC322" w14:textId="728B0071" w:rsidR="00732143" w:rsidRPr="00675182" w:rsidRDefault="00732143" w:rsidP="00732143">
      <w:pPr>
        <w:jc w:val="both"/>
        <w:rPr>
          <w:rFonts w:cstheme="minorHAnsi"/>
          <w:bCs/>
          <w:szCs w:val="24"/>
        </w:rPr>
      </w:pPr>
      <w:r w:rsidRPr="00675182">
        <w:rPr>
          <w:rFonts w:cstheme="minorHAnsi"/>
          <w:bCs/>
          <w:szCs w:val="24"/>
        </w:rPr>
        <w:t>Šo sugu iznīcināšana ir prioritāra visā GNP teritorijā. Nozīmīgi ir nepieļaut to ienākšanu un izplatību ES nozīmes biotopos, kur šīs sugas uzreiz jāizskauž</w:t>
      </w:r>
      <w:r w:rsidR="00B73005" w:rsidRPr="00675182">
        <w:rPr>
          <w:rFonts w:cstheme="minorHAnsi"/>
          <w:bCs/>
          <w:szCs w:val="24"/>
        </w:rPr>
        <w:t>,</w:t>
      </w:r>
      <w:r w:rsidRPr="00675182">
        <w:rPr>
          <w:rFonts w:cstheme="minorHAnsi"/>
          <w:bCs/>
          <w:szCs w:val="24"/>
        </w:rPr>
        <w:t xml:space="preserve"> izmantojot labāko zināmo paņēmienu, kas neapdraud ES </w:t>
      </w:r>
      <w:r w:rsidR="00454A6E">
        <w:rPr>
          <w:rFonts w:cstheme="minorHAnsi"/>
          <w:bCs/>
          <w:szCs w:val="24"/>
        </w:rPr>
        <w:t xml:space="preserve">nozīmes </w:t>
      </w:r>
      <w:r w:rsidRPr="00675182">
        <w:rPr>
          <w:rFonts w:cstheme="minorHAnsi"/>
          <w:bCs/>
          <w:szCs w:val="24"/>
        </w:rPr>
        <w:t xml:space="preserve">biotopa saglabāšanu un/vai ĪA sugas. Priekšroka dodama mehāniskai iznīcināšanai vienlaicīgi iespējami lielākā platībā, bet tādā veidā, kas iespējami maz bojā zemsedzi. Izvērtējot ieguvumus un zaudējumus ES nozīmes biotopu aizsardzībā pieļaujama zinātniski pamatota citu agresīvāku metožu lietošana (piemēram: specifisku šo sugu kaitēkļu izmantošana, ķīmiskās metodes, ja to </w:t>
      </w:r>
      <w:r w:rsidRPr="00675182">
        <w:rPr>
          <w:rFonts w:cstheme="minorHAnsi"/>
          <w:bCs/>
          <w:szCs w:val="24"/>
        </w:rPr>
        <w:lastRenderedPageBreak/>
        <w:t>neaizliedz normatīvie akti). Metodes izvēlei jāatbilst labākajai zināmajai informācijai par konkrētās sugas morfoloģiju un ekoloģiju, un jāturpinās tik ilgi līdz suga pilnībā ir izskausta.</w:t>
      </w:r>
    </w:p>
    <w:p w14:paraId="5853ED01" w14:textId="77777777" w:rsidR="00732143" w:rsidRPr="00675182" w:rsidRDefault="00732143" w:rsidP="00732143">
      <w:pPr>
        <w:jc w:val="both"/>
        <w:rPr>
          <w:rFonts w:cstheme="minorHAnsi"/>
          <w:bCs/>
          <w:szCs w:val="24"/>
        </w:rPr>
      </w:pPr>
    </w:p>
    <w:p w14:paraId="26B830BB" w14:textId="2F708EDF" w:rsidR="00732143" w:rsidRPr="00675182" w:rsidRDefault="00732143" w:rsidP="00732143">
      <w:pPr>
        <w:jc w:val="both"/>
        <w:rPr>
          <w:rFonts w:cstheme="minorHAnsi"/>
          <w:i/>
          <w:iCs/>
        </w:rPr>
      </w:pPr>
      <w:r w:rsidRPr="00675182">
        <w:rPr>
          <w:rFonts w:cstheme="minorHAnsi"/>
          <w:bCs/>
          <w:szCs w:val="24"/>
        </w:rPr>
        <w:t xml:space="preserve">Vairākām invazīvajām sugām GNP nav tik agresīva izplatība, tās negatīvi ietekmē mazāku apkārtni, ir salīdzinoši vieglāk izskaužamas un reti invadē ES nozīmes biotopus, to sastopamība GNP nav būtiski palielinājusies, salīdzinot ar iepriekšējā </w:t>
      </w:r>
      <w:r w:rsidR="009F619B">
        <w:rPr>
          <w:rFonts w:cstheme="minorHAnsi"/>
          <w:bCs/>
          <w:szCs w:val="24"/>
        </w:rPr>
        <w:t xml:space="preserve">DA </w:t>
      </w:r>
      <w:r w:rsidRPr="00675182">
        <w:rPr>
          <w:rFonts w:cstheme="minorHAnsi"/>
          <w:bCs/>
          <w:szCs w:val="24"/>
        </w:rPr>
        <w:t xml:space="preserve">plāna periodu. No šādām sugām jāpiemin kapsētu apkārtnē lokāli izplatītās kapmirtes </w:t>
      </w:r>
      <w:r w:rsidRPr="00675182">
        <w:rPr>
          <w:rFonts w:cstheme="minorHAnsi"/>
          <w:bCs/>
          <w:i/>
          <w:iCs/>
          <w:szCs w:val="24"/>
        </w:rPr>
        <w:t>Vinca</w:t>
      </w:r>
      <w:r w:rsidRPr="00675182">
        <w:rPr>
          <w:rFonts w:cstheme="minorHAnsi"/>
          <w:bCs/>
          <w:szCs w:val="24"/>
        </w:rPr>
        <w:t xml:space="preserve"> spp. (pie Āraišu vecajiem kapiem</w:t>
      </w:r>
      <w:r w:rsidR="00FA28E3" w:rsidRPr="00675182">
        <w:rPr>
          <w:rFonts w:cstheme="minorHAnsi"/>
          <w:bCs/>
          <w:szCs w:val="24"/>
        </w:rPr>
        <w:t>, pie Raiskuma kapiem</w:t>
      </w:r>
      <w:r w:rsidRPr="00675182">
        <w:rPr>
          <w:rFonts w:cstheme="minorHAnsi"/>
          <w:bCs/>
          <w:szCs w:val="24"/>
        </w:rPr>
        <w:t xml:space="preserve">), pie Nurmižiem jau izsenis zināmā Sahalīnas dižsūrene </w:t>
      </w:r>
      <w:r w:rsidRPr="00675182">
        <w:rPr>
          <w:rFonts w:cstheme="minorHAnsi"/>
          <w:i/>
          <w:iCs/>
        </w:rPr>
        <w:t>Reynoutria sachalinensis.</w:t>
      </w:r>
    </w:p>
    <w:p w14:paraId="033248F5" w14:textId="77777777" w:rsidR="00732143" w:rsidRPr="00675182" w:rsidRDefault="00732143" w:rsidP="00732143">
      <w:pPr>
        <w:jc w:val="both"/>
        <w:rPr>
          <w:rFonts w:cstheme="minorHAnsi"/>
          <w:i/>
          <w:iCs/>
        </w:rPr>
      </w:pPr>
    </w:p>
    <w:p w14:paraId="3B259C5F" w14:textId="76761472" w:rsidR="00732143" w:rsidRPr="00675182" w:rsidRDefault="00732143" w:rsidP="00732143">
      <w:pPr>
        <w:jc w:val="both"/>
        <w:rPr>
          <w:rFonts w:cstheme="minorHAnsi"/>
        </w:rPr>
      </w:pPr>
      <w:r w:rsidRPr="00675182">
        <w:rPr>
          <w:rFonts w:cstheme="minorHAnsi"/>
        </w:rPr>
        <w:t xml:space="preserve">Atsevišķas sugas Latvijas dabā jau ir ieņēmušas noturīgu nišu, pašlaik nav identificējams to nodarītais kaitējums vietējai florai, piemēram: Kanādas elodeja </w:t>
      </w:r>
      <w:r w:rsidRPr="00675182">
        <w:rPr>
          <w:rFonts w:cstheme="minorHAnsi"/>
          <w:i/>
          <w:iCs/>
        </w:rPr>
        <w:t>Elodea canadensis</w:t>
      </w:r>
      <w:r w:rsidRPr="00675182">
        <w:rPr>
          <w:rFonts w:cstheme="minorHAnsi"/>
        </w:rPr>
        <w:t xml:space="preserve">, sīkziedu sprigane </w:t>
      </w:r>
      <w:r w:rsidRPr="00675182">
        <w:rPr>
          <w:rFonts w:cstheme="minorHAnsi"/>
          <w:i/>
          <w:iCs/>
        </w:rPr>
        <w:t>Impatiens parviflora</w:t>
      </w:r>
      <w:r w:rsidRPr="00675182">
        <w:rPr>
          <w:rFonts w:cstheme="minorHAnsi"/>
        </w:rPr>
        <w:t xml:space="preserve">. Ņemot vērā, ka sugas mēdz veidot viendabīgas audzes, kas stipri samazina citu sugu sastopamību, jāsecina, ka periodā, kad tās strauji izplatījās, atsevišķu lokālu vietu sugu daudzveidība samazinājās, tomēr šobrīd nav datu, kas liecinātu, ka sugas turpinātu agresīvu izplatību dabiskos biotopos. Citādi tas ir traucētās vietās - Kanādas elodeja mēdz strauji aizaudzēt nesen izveidotus dīķus, bet sīkziedu sprigane pārņem kailcirtes. Eiropā sugas abas sugas tiek raksturotas kā augsti invazīvas. </w:t>
      </w:r>
    </w:p>
    <w:p w14:paraId="2AFB6289" w14:textId="77777777" w:rsidR="00B73005" w:rsidRPr="00675182" w:rsidRDefault="00B73005" w:rsidP="00732143">
      <w:pPr>
        <w:jc w:val="both"/>
        <w:rPr>
          <w:rFonts w:cstheme="minorHAnsi"/>
        </w:rPr>
      </w:pPr>
    </w:p>
    <w:p w14:paraId="2CECB94A" w14:textId="35598799" w:rsidR="00732143" w:rsidRPr="00675182" w:rsidRDefault="00732143" w:rsidP="00732143">
      <w:pPr>
        <w:jc w:val="both"/>
        <w:rPr>
          <w:rFonts w:cstheme="minorHAnsi"/>
        </w:rPr>
      </w:pPr>
      <w:r w:rsidRPr="00675182">
        <w:rPr>
          <w:rFonts w:cstheme="minorHAnsi"/>
        </w:rPr>
        <w:t>Kanādas elodeja GNP aug lēni tekošos vai stāvošos ūdeņos, ES nozīmes biotopu anketās (</w:t>
      </w:r>
      <w:r w:rsidRPr="00675182">
        <w:rPr>
          <w:rFonts w:cstheme="minorHAnsi"/>
          <w:i/>
          <w:iCs/>
        </w:rPr>
        <w:t>3260 Upju straujteces un dabiski upju posmi 2.variants</w:t>
      </w:r>
      <w:r w:rsidRPr="00675182">
        <w:rPr>
          <w:rFonts w:cstheme="minorHAnsi"/>
        </w:rPr>
        <w:t>) tā atzīmēta Strīķupes augštecē. Piesardzības nolūkā, īpaši upēs, veicot apsaimniekošanas pasākumu potenciālo ietekmi</w:t>
      </w:r>
      <w:r w:rsidR="00B73005" w:rsidRPr="00675182">
        <w:rPr>
          <w:rFonts w:cstheme="minorHAnsi"/>
        </w:rPr>
        <w:t>,</w:t>
      </w:r>
      <w:r w:rsidRPr="00675182">
        <w:rPr>
          <w:rFonts w:cstheme="minorHAnsi"/>
        </w:rPr>
        <w:t xml:space="preserve"> jāizvērtē iespēja, ka Kanādas elodeja varētu ceļot ar straumi un invadēt kādu nozīmīgu teritoriju zemāk. Nepieciešams paredzēt pasākumus šādas izplatības iespēju mazināšanai (mehāniska izcelšana, utilizācija ārpus applūstošās piekrastes).</w:t>
      </w:r>
    </w:p>
    <w:p w14:paraId="46B3C802" w14:textId="77777777" w:rsidR="00B73005" w:rsidRPr="00675182" w:rsidRDefault="00B73005" w:rsidP="00732143">
      <w:pPr>
        <w:jc w:val="both"/>
        <w:rPr>
          <w:rFonts w:cstheme="minorHAnsi"/>
        </w:rPr>
      </w:pPr>
    </w:p>
    <w:p w14:paraId="108D0F06" w14:textId="77777777" w:rsidR="00732143" w:rsidRPr="00675182" w:rsidRDefault="00732143" w:rsidP="00732143">
      <w:pPr>
        <w:jc w:val="both"/>
        <w:rPr>
          <w:rFonts w:cstheme="minorHAnsi"/>
        </w:rPr>
      </w:pPr>
      <w:r w:rsidRPr="00675182">
        <w:rPr>
          <w:rFonts w:cstheme="minorHAnsi"/>
        </w:rPr>
        <w:t xml:space="preserve">Kanādas elodejas un sīkziedu spriganes stāvoklis regulāri jānovērtē Natura 2000 vietu monitoringa - ES nozīmes biotopu novērtējuma ietvaros, jo šīs sugas tiek reģistrētas biotopu kartēšanas anketās un tām tiek norādīta sastopamības klase (1-3) poligona ietvaros, kas izmantojama izmaiņu analīzei. Ja sastopamība nozīmīgos biotopos pieaug, tad plānojami koordinēti izskaušanas pasākumi lokālā mērogā. </w:t>
      </w:r>
    </w:p>
    <w:p w14:paraId="0E860311" w14:textId="77777777" w:rsidR="00732143" w:rsidRPr="00675182" w:rsidRDefault="00732143" w:rsidP="00732143">
      <w:pPr>
        <w:jc w:val="both"/>
        <w:rPr>
          <w:rFonts w:cstheme="minorHAnsi"/>
        </w:rPr>
      </w:pPr>
    </w:p>
    <w:p w14:paraId="4A8F92C6" w14:textId="1830DBAE" w:rsidR="00732143" w:rsidRPr="00675182" w:rsidRDefault="00732143" w:rsidP="00732143">
      <w:pPr>
        <w:jc w:val="both"/>
        <w:rPr>
          <w:rFonts w:cstheme="minorHAnsi"/>
        </w:rPr>
      </w:pPr>
      <w:r w:rsidRPr="00675182">
        <w:rPr>
          <w:rFonts w:cstheme="minorHAnsi"/>
        </w:rPr>
        <w:t xml:space="preserve">Mežos visā GNP, lielākoties pie apdzīvotām vietām atzīmētas arī citas invazīvas sugas, kuru izplatība ir vienmērīga visā parka teritorijā, taču pietrūkst datu par to radīto negatīvo ietekmi. Biežāk satopamās sugas ir vārpainā korinte </w:t>
      </w:r>
      <w:r w:rsidRPr="00675182">
        <w:rPr>
          <w:rFonts w:cstheme="minorHAnsi"/>
          <w:i/>
          <w:iCs/>
        </w:rPr>
        <w:t>Amelanchier spicata</w:t>
      </w:r>
      <w:r w:rsidRPr="00675182">
        <w:rPr>
          <w:rFonts w:cstheme="minorHAnsi"/>
        </w:rPr>
        <w:t xml:space="preserve">, Lauksaimniecības zemēs iepriekšējā plāna periodā bija bažas par austrumu dižpērkones </w:t>
      </w:r>
      <w:r w:rsidRPr="00675182">
        <w:rPr>
          <w:rFonts w:cstheme="minorHAnsi"/>
          <w:i/>
          <w:iCs/>
        </w:rPr>
        <w:t xml:space="preserve">Bunias orientalis </w:t>
      </w:r>
      <w:r w:rsidRPr="00675182">
        <w:rPr>
          <w:rFonts w:cstheme="minorHAnsi"/>
        </w:rPr>
        <w:t xml:space="preserve">(Augšlīgatnes apkārtnē, bijušo un esošo mazdārziņu teritorijās Cēsu un Siguldas apkārtnē), bastarda tūsklapes </w:t>
      </w:r>
      <w:r w:rsidRPr="00675182">
        <w:rPr>
          <w:rFonts w:cstheme="minorHAnsi"/>
          <w:i/>
          <w:iCs/>
        </w:rPr>
        <w:t xml:space="preserve">Petasites hybridus </w:t>
      </w:r>
      <w:r w:rsidRPr="00675182">
        <w:rPr>
          <w:rFonts w:cstheme="minorHAnsi"/>
        </w:rPr>
        <w:t xml:space="preserve">(Cēsu, Vaidavas apkārtnē), bumbuļu topinambūra </w:t>
      </w:r>
      <w:r w:rsidRPr="00675182">
        <w:rPr>
          <w:rFonts w:cstheme="minorHAnsi"/>
          <w:i/>
          <w:iCs/>
        </w:rPr>
        <w:t>Heli</w:t>
      </w:r>
      <w:r w:rsidR="00FA28E3" w:rsidRPr="00675182">
        <w:rPr>
          <w:rFonts w:cstheme="minorHAnsi"/>
          <w:i/>
          <w:iCs/>
        </w:rPr>
        <w:t>a</w:t>
      </w:r>
      <w:r w:rsidRPr="00675182">
        <w:rPr>
          <w:rFonts w:cstheme="minorHAnsi"/>
          <w:i/>
          <w:iCs/>
        </w:rPr>
        <w:t xml:space="preserve">nthus tuberosus </w:t>
      </w:r>
      <w:r w:rsidRPr="00675182">
        <w:rPr>
          <w:rFonts w:cstheme="minorHAnsi"/>
        </w:rPr>
        <w:t xml:space="preserve">izplatības (Cēsu apkārtnē) potenciālo pieaugumu, taču plāna izstrādes laikā šo sugu sastopamības nozīmīgs palielinājums nav novērots. </w:t>
      </w:r>
    </w:p>
    <w:p w14:paraId="27BA2B50" w14:textId="77777777" w:rsidR="00260FDA" w:rsidRPr="00675182" w:rsidRDefault="00260FDA" w:rsidP="00732143">
      <w:pPr>
        <w:jc w:val="both"/>
        <w:rPr>
          <w:rFonts w:cstheme="minorHAnsi"/>
        </w:rPr>
      </w:pPr>
    </w:p>
    <w:p w14:paraId="00FEA0EE" w14:textId="55B700DE" w:rsidR="00732143" w:rsidRPr="00675182" w:rsidRDefault="00732143" w:rsidP="00732143">
      <w:pPr>
        <w:jc w:val="both"/>
        <w:rPr>
          <w:rFonts w:cstheme="minorHAnsi"/>
        </w:rPr>
      </w:pPr>
      <w:r w:rsidRPr="00675182">
        <w:rPr>
          <w:rFonts w:cstheme="minorHAnsi"/>
        </w:rPr>
        <w:t xml:space="preserve">Dažādās vietās konstatētas arī citas invazīvās sugas, kuru radītais apdraudējums nav acīmredzams, taču var būt negatīvs, jo tās veido hibrīdus ar vietējām sugām. Šo sugu </w:t>
      </w:r>
      <w:r w:rsidRPr="00675182">
        <w:rPr>
          <w:rFonts w:cstheme="minorHAnsi"/>
        </w:rPr>
        <w:lastRenderedPageBreak/>
        <w:t xml:space="preserve">ierobežošana ir sarežģīta un pretrunīga, jo tās var būt dabā grūti nosakāmas vai ar pozitīvu nozīmi citos aspektos. Visā GNP satopamas dziedzerstublāja kazrozes </w:t>
      </w:r>
      <w:r w:rsidRPr="00675182">
        <w:rPr>
          <w:rFonts w:cstheme="minorHAnsi"/>
          <w:i/>
          <w:iCs/>
        </w:rPr>
        <w:t>Epilobium adenocaulon</w:t>
      </w:r>
      <w:r w:rsidRPr="00675182">
        <w:rPr>
          <w:rFonts w:cstheme="minorHAnsi"/>
        </w:rPr>
        <w:t xml:space="preserve"> indivīdi, kuras izskaušana ir problemātiska, jo no vietējām sugām šo atšķirt var tikai speciālists (nepieciešama sēklas virsmas apskate). Ainaviskus stādījumus Cēsu -Valmieras ceļa malās veido mājas ābeles </w:t>
      </w:r>
      <w:r w:rsidRPr="00675182">
        <w:rPr>
          <w:rFonts w:cstheme="minorHAnsi"/>
          <w:i/>
          <w:iCs/>
        </w:rPr>
        <w:t xml:space="preserve">Malus domestica, </w:t>
      </w:r>
      <w:r w:rsidRPr="00675182">
        <w:rPr>
          <w:rFonts w:cstheme="minorHAnsi"/>
        </w:rPr>
        <w:t>kas</w:t>
      </w:r>
      <w:r w:rsidRPr="00675182">
        <w:rPr>
          <w:rFonts w:cstheme="minorHAnsi"/>
          <w:i/>
          <w:iCs/>
        </w:rPr>
        <w:t xml:space="preserve"> </w:t>
      </w:r>
      <w:r w:rsidRPr="00675182">
        <w:rPr>
          <w:rFonts w:cstheme="minorHAnsi"/>
        </w:rPr>
        <w:t xml:space="preserve">iesējas tuvākajās mežmalās un apdraud mežābeles </w:t>
      </w:r>
      <w:r w:rsidRPr="00675182">
        <w:rPr>
          <w:rFonts w:cstheme="minorHAnsi"/>
          <w:i/>
          <w:iCs/>
        </w:rPr>
        <w:t xml:space="preserve">Malus sylvestris </w:t>
      </w:r>
      <w:r w:rsidRPr="00675182">
        <w:rPr>
          <w:rFonts w:cstheme="minorHAnsi"/>
        </w:rPr>
        <w:t>sastopamību</w:t>
      </w:r>
      <w:r w:rsidRPr="00675182">
        <w:rPr>
          <w:rFonts w:cstheme="minorHAnsi"/>
          <w:i/>
          <w:iCs/>
        </w:rPr>
        <w:t>.</w:t>
      </w:r>
      <w:r w:rsidRPr="00675182">
        <w:rPr>
          <w:rFonts w:cstheme="minorHAnsi"/>
        </w:rPr>
        <w:t xml:space="preserve"> Vidzemes šosejas malā pie Ieriķiem un Melturiem aug krokainā roze </w:t>
      </w:r>
      <w:r w:rsidRPr="00675182">
        <w:rPr>
          <w:rFonts w:cstheme="minorHAnsi"/>
          <w:i/>
          <w:iCs/>
        </w:rPr>
        <w:t>Rosa rugosa</w:t>
      </w:r>
      <w:r w:rsidRPr="00675182">
        <w:rPr>
          <w:rFonts w:cstheme="minorHAnsi"/>
        </w:rPr>
        <w:t>, kas stādīta nogāžu nostiprināšanai, šobrīd nav vērojama to pastiprināta izplatīšanās GNP teritorijā.</w:t>
      </w:r>
    </w:p>
    <w:p w14:paraId="43708C9F" w14:textId="5A1B5AD2" w:rsidR="00732143" w:rsidRPr="00675182" w:rsidRDefault="00732143" w:rsidP="00732143">
      <w:pPr>
        <w:jc w:val="both"/>
        <w:rPr>
          <w:rFonts w:cstheme="minorHAnsi"/>
        </w:rPr>
      </w:pPr>
      <w:r w:rsidRPr="00675182">
        <w:rPr>
          <w:rFonts w:cstheme="minorHAnsi"/>
        </w:rPr>
        <w:t xml:space="preserve">Šo sugu izskaušanai īpaši koordinēti pasākumi nav veicami, tomēr </w:t>
      </w:r>
      <w:r w:rsidR="009E4B55" w:rsidRPr="00675182">
        <w:rPr>
          <w:rFonts w:cstheme="minorHAnsi"/>
        </w:rPr>
        <w:t>ir ieteicams</w:t>
      </w:r>
      <w:r w:rsidRPr="00675182">
        <w:rPr>
          <w:rFonts w:cstheme="minorHAnsi"/>
        </w:rPr>
        <w:t xml:space="preserve"> sekot to izplatībai un ierobežošanu veikt</w:t>
      </w:r>
      <w:r w:rsidR="00260FDA" w:rsidRPr="00675182">
        <w:rPr>
          <w:rFonts w:cstheme="minorHAnsi"/>
        </w:rPr>
        <w:t>,</w:t>
      </w:r>
      <w:r w:rsidRPr="00675182">
        <w:rPr>
          <w:rFonts w:cstheme="minorHAnsi"/>
        </w:rPr>
        <w:t xml:space="preserve"> tiklīdz tas ir nepieciešams un iespējams. </w:t>
      </w:r>
    </w:p>
    <w:p w14:paraId="1DABFEA8" w14:textId="77777777" w:rsidR="00260FDA" w:rsidRPr="00675182" w:rsidRDefault="00260FDA" w:rsidP="00732143">
      <w:pPr>
        <w:jc w:val="both"/>
        <w:rPr>
          <w:rFonts w:cstheme="minorHAnsi"/>
        </w:rPr>
        <w:sectPr w:rsidR="00260FDA" w:rsidRPr="00675182" w:rsidSect="00CD74B1">
          <w:headerReference w:type="default" r:id="rId225"/>
          <w:pgSz w:w="11905" w:h="16837"/>
          <w:pgMar w:top="1440" w:right="1797" w:bottom="1440" w:left="1797" w:header="720" w:footer="720" w:gutter="0"/>
          <w:cols w:space="720"/>
          <w:docGrid w:linePitch="360"/>
        </w:sectPr>
      </w:pPr>
    </w:p>
    <w:p w14:paraId="198AC7AE" w14:textId="626BB9C4" w:rsidR="00260FDA" w:rsidRPr="00675182" w:rsidRDefault="00260FDA" w:rsidP="00260FDA">
      <w:pPr>
        <w:pStyle w:val="BodyText"/>
        <w:spacing w:after="0"/>
        <w:rPr>
          <w:rFonts w:cstheme="minorHAnsi"/>
          <w:b/>
          <w:i/>
          <w:lang w:val="lv-LV"/>
        </w:rPr>
      </w:pPr>
      <w:bookmarkStart w:id="78" w:name="_Hlk129003207"/>
      <w:r w:rsidRPr="00675182">
        <w:rPr>
          <w:rFonts w:cstheme="minorHAnsi"/>
          <w:b/>
          <w:i/>
          <w:lang w:val="lv-LV"/>
        </w:rPr>
        <w:lastRenderedPageBreak/>
        <w:t>2.4.1.</w:t>
      </w:r>
      <w:r w:rsidR="004F30FB">
        <w:rPr>
          <w:rFonts w:cstheme="minorHAnsi"/>
          <w:b/>
          <w:i/>
          <w:lang w:val="lv-LV"/>
        </w:rPr>
        <w:t>A.</w:t>
      </w:r>
      <w:r w:rsidRPr="00675182">
        <w:rPr>
          <w:rFonts w:cstheme="minorHAnsi"/>
          <w:b/>
          <w:i/>
          <w:lang w:val="lv-LV"/>
        </w:rPr>
        <w:t xml:space="preserve"> tabula. GNP konstatētās Eiropā aizsargājamās vaskulāro augu sugas un to aizsardzības statuss </w:t>
      </w: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563"/>
        <w:gridCol w:w="1979"/>
        <w:gridCol w:w="1535"/>
        <w:gridCol w:w="1215"/>
        <w:gridCol w:w="1822"/>
        <w:gridCol w:w="3608"/>
      </w:tblGrid>
      <w:tr w:rsidR="00FA28E3" w:rsidRPr="00675182" w14:paraId="2C426C63" w14:textId="77777777" w:rsidTr="00B045CA">
        <w:trPr>
          <w:trHeight w:val="615"/>
          <w:tblHeader/>
        </w:trPr>
        <w:tc>
          <w:tcPr>
            <w:tcW w:w="300" w:type="pct"/>
            <w:tcBorders>
              <w:bottom w:val="single" w:sz="4" w:space="0" w:color="auto"/>
            </w:tcBorders>
            <w:shd w:val="clear" w:color="auto" w:fill="D6E3BC"/>
            <w:vAlign w:val="center"/>
            <w:hideMark/>
          </w:tcPr>
          <w:p w14:paraId="5E884CA5" w14:textId="77777777" w:rsidR="00FA28E3" w:rsidRPr="00675182" w:rsidRDefault="00FA28E3" w:rsidP="000845AA">
            <w:pPr>
              <w:jc w:val="center"/>
              <w:rPr>
                <w:rFonts w:eastAsia="Times New Roman" w:cs="Times New Roman"/>
                <w:b/>
                <w:bCs/>
                <w:color w:val="000000"/>
                <w:szCs w:val="24"/>
                <w:lang w:eastAsia="en-GB"/>
              </w:rPr>
            </w:pPr>
            <w:r w:rsidRPr="00675182">
              <w:rPr>
                <w:rFonts w:eastAsia="Times New Roman" w:cs="Times New Roman"/>
                <w:b/>
                <w:bCs/>
                <w:color w:val="000000"/>
                <w:szCs w:val="24"/>
                <w:lang w:eastAsia="en-GB"/>
              </w:rPr>
              <w:t>N.p.k.</w:t>
            </w:r>
          </w:p>
        </w:tc>
        <w:tc>
          <w:tcPr>
            <w:tcW w:w="947" w:type="pct"/>
            <w:tcBorders>
              <w:bottom w:val="single" w:sz="4" w:space="0" w:color="auto"/>
            </w:tcBorders>
            <w:shd w:val="clear" w:color="auto" w:fill="D6E3BC"/>
            <w:vAlign w:val="center"/>
            <w:hideMark/>
          </w:tcPr>
          <w:p w14:paraId="2DF14BA8" w14:textId="77777777" w:rsidR="00FA28E3" w:rsidRPr="00675182" w:rsidRDefault="00FA28E3" w:rsidP="000845AA">
            <w:pPr>
              <w:jc w:val="center"/>
              <w:rPr>
                <w:rFonts w:eastAsia="Times New Roman" w:cs="Times New Roman"/>
                <w:b/>
                <w:bCs/>
                <w:color w:val="000000"/>
                <w:szCs w:val="24"/>
                <w:lang w:eastAsia="en-GB"/>
              </w:rPr>
            </w:pPr>
            <w:r w:rsidRPr="00675182">
              <w:rPr>
                <w:rFonts w:eastAsia="Times New Roman" w:cs="Times New Roman"/>
                <w:b/>
                <w:color w:val="000000"/>
                <w:szCs w:val="24"/>
                <w:lang w:eastAsia="en-GB"/>
              </w:rPr>
              <w:t>Sugas nosaukums latviski</w:t>
            </w:r>
          </w:p>
        </w:tc>
        <w:tc>
          <w:tcPr>
            <w:tcW w:w="731" w:type="pct"/>
            <w:tcBorders>
              <w:bottom w:val="single" w:sz="4" w:space="0" w:color="auto"/>
            </w:tcBorders>
            <w:shd w:val="clear" w:color="auto" w:fill="D6E3BC"/>
            <w:vAlign w:val="center"/>
            <w:hideMark/>
          </w:tcPr>
          <w:p w14:paraId="1CF02D39" w14:textId="77777777" w:rsidR="00FA28E3" w:rsidRPr="00675182" w:rsidRDefault="00FA28E3" w:rsidP="000845AA">
            <w:pPr>
              <w:jc w:val="center"/>
              <w:rPr>
                <w:rFonts w:eastAsia="Times New Roman" w:cs="Times New Roman"/>
                <w:b/>
                <w:bCs/>
                <w:color w:val="000000"/>
                <w:szCs w:val="24"/>
                <w:lang w:eastAsia="en-GB"/>
              </w:rPr>
            </w:pPr>
            <w:r w:rsidRPr="00675182">
              <w:rPr>
                <w:rFonts w:eastAsia="Times New Roman" w:cs="Times New Roman"/>
                <w:b/>
                <w:color w:val="000000"/>
                <w:szCs w:val="24"/>
                <w:lang w:eastAsia="en-GB"/>
              </w:rPr>
              <w:t>Sugas nosaukums latīniski</w:t>
            </w:r>
          </w:p>
        </w:tc>
        <w:tc>
          <w:tcPr>
            <w:tcW w:w="567" w:type="pct"/>
            <w:tcBorders>
              <w:bottom w:val="single" w:sz="4" w:space="0" w:color="auto"/>
            </w:tcBorders>
            <w:shd w:val="clear" w:color="auto" w:fill="D6E3BC"/>
            <w:vAlign w:val="center"/>
            <w:hideMark/>
          </w:tcPr>
          <w:p w14:paraId="4503983B" w14:textId="77777777" w:rsidR="00FA28E3" w:rsidRPr="00675182" w:rsidRDefault="00FA28E3" w:rsidP="000845AA">
            <w:pPr>
              <w:jc w:val="center"/>
              <w:rPr>
                <w:rFonts w:eastAsia="Times New Roman" w:cs="Times New Roman"/>
                <w:b/>
                <w:bCs/>
                <w:color w:val="000000"/>
                <w:szCs w:val="24"/>
                <w:lang w:eastAsia="en-GB"/>
              </w:rPr>
            </w:pPr>
            <w:r w:rsidRPr="00675182">
              <w:rPr>
                <w:rFonts w:eastAsia="Times New Roman" w:cs="Times New Roman"/>
                <w:b/>
                <w:bCs/>
                <w:szCs w:val="24"/>
              </w:rPr>
              <w:t>Aizsardzības statuss</w:t>
            </w:r>
          </w:p>
        </w:tc>
        <w:tc>
          <w:tcPr>
            <w:tcW w:w="449" w:type="pct"/>
            <w:tcBorders>
              <w:bottom w:val="single" w:sz="4" w:space="0" w:color="auto"/>
            </w:tcBorders>
            <w:shd w:val="clear" w:color="auto" w:fill="D6E3BC"/>
            <w:vAlign w:val="center"/>
          </w:tcPr>
          <w:p w14:paraId="35F3F5F0" w14:textId="77777777" w:rsidR="00FA28E3" w:rsidRPr="00675182" w:rsidRDefault="00FA28E3" w:rsidP="000845AA">
            <w:pPr>
              <w:jc w:val="center"/>
              <w:rPr>
                <w:rFonts w:eastAsia="Times New Roman" w:cs="Times New Roman"/>
                <w:b/>
                <w:bCs/>
                <w:color w:val="000000"/>
                <w:szCs w:val="24"/>
                <w:lang w:eastAsia="en-GB"/>
              </w:rPr>
            </w:pPr>
            <w:r w:rsidRPr="00675182">
              <w:rPr>
                <w:rFonts w:eastAsia="Times New Roman" w:cs="Times New Roman"/>
                <w:b/>
                <w:bCs/>
                <w:color w:val="000000"/>
                <w:szCs w:val="24"/>
              </w:rPr>
              <w:t>Cits statuss</w:t>
            </w:r>
          </w:p>
        </w:tc>
        <w:tc>
          <w:tcPr>
            <w:tcW w:w="673" w:type="pct"/>
            <w:tcBorders>
              <w:bottom w:val="single" w:sz="4" w:space="0" w:color="auto"/>
            </w:tcBorders>
            <w:shd w:val="clear" w:color="auto" w:fill="D6E3BC"/>
            <w:vAlign w:val="center"/>
            <w:hideMark/>
          </w:tcPr>
          <w:p w14:paraId="6B2EBE3E" w14:textId="77777777" w:rsidR="00FA28E3" w:rsidRPr="00675182" w:rsidRDefault="00FA28E3" w:rsidP="000845AA">
            <w:pPr>
              <w:jc w:val="center"/>
              <w:rPr>
                <w:rFonts w:eastAsia="Times New Roman" w:cs="Times New Roman"/>
                <w:b/>
                <w:bCs/>
                <w:color w:val="000000"/>
                <w:szCs w:val="24"/>
                <w:lang w:eastAsia="en-GB"/>
              </w:rPr>
            </w:pPr>
            <w:r w:rsidRPr="00675182">
              <w:rPr>
                <w:rFonts w:eastAsia="Times New Roman" w:cs="Times New Roman"/>
                <w:b/>
                <w:bCs/>
                <w:color w:val="000000"/>
                <w:szCs w:val="24"/>
                <w:lang w:eastAsia="en-GB"/>
              </w:rPr>
              <w:t>Sugas labvēlīga aizsardzības stāvokļa novērtējums Latvijā</w:t>
            </w:r>
          </w:p>
        </w:tc>
        <w:tc>
          <w:tcPr>
            <w:tcW w:w="1333" w:type="pct"/>
            <w:tcBorders>
              <w:bottom w:val="single" w:sz="4" w:space="0" w:color="auto"/>
            </w:tcBorders>
            <w:shd w:val="clear" w:color="auto" w:fill="D6E3BC"/>
            <w:vAlign w:val="center"/>
          </w:tcPr>
          <w:p w14:paraId="7B454A5B" w14:textId="0AE31C28" w:rsidR="00FA28E3" w:rsidRPr="00675182" w:rsidRDefault="00FA28E3" w:rsidP="000845AA">
            <w:pPr>
              <w:jc w:val="center"/>
              <w:rPr>
                <w:rFonts w:eastAsia="Times New Roman" w:cs="Times New Roman"/>
                <w:b/>
                <w:bCs/>
                <w:color w:val="000000"/>
                <w:szCs w:val="24"/>
                <w:lang w:eastAsia="en-GB"/>
              </w:rPr>
            </w:pPr>
            <w:r w:rsidRPr="00675182">
              <w:rPr>
                <w:rFonts w:eastAsia="Times New Roman" w:cs="Times New Roman"/>
                <w:b/>
                <w:bCs/>
                <w:color w:val="000000"/>
                <w:szCs w:val="24"/>
                <w:lang w:eastAsia="en-GB"/>
              </w:rPr>
              <w:t xml:space="preserve">Sugas sastopamība GNP, </w:t>
            </w:r>
            <w:r w:rsidR="009C0AAA">
              <w:rPr>
                <w:rFonts w:eastAsia="Times New Roman" w:cs="Times New Roman"/>
                <w:b/>
                <w:bCs/>
                <w:color w:val="000000"/>
                <w:szCs w:val="24"/>
                <w:lang w:eastAsia="en-GB"/>
              </w:rPr>
              <w:t xml:space="preserve">negatīvās </w:t>
            </w:r>
            <w:r w:rsidRPr="00675182">
              <w:rPr>
                <w:rFonts w:eastAsia="Times New Roman" w:cs="Times New Roman"/>
                <w:b/>
                <w:bCs/>
                <w:color w:val="000000"/>
                <w:szCs w:val="24"/>
                <w:lang w:eastAsia="en-GB"/>
              </w:rPr>
              <w:t>ietekmes</w:t>
            </w:r>
          </w:p>
        </w:tc>
      </w:tr>
      <w:tr w:rsidR="00B045CA" w:rsidRPr="00675182" w14:paraId="12451346" w14:textId="77777777" w:rsidTr="00B045CA">
        <w:trPr>
          <w:cantSplit/>
          <w:trHeight w:val="315"/>
        </w:trPr>
        <w:tc>
          <w:tcPr>
            <w:tcW w:w="300" w:type="pct"/>
            <w:tcBorders>
              <w:top w:val="single" w:sz="4" w:space="0" w:color="auto"/>
              <w:left w:val="single" w:sz="4" w:space="0" w:color="auto"/>
              <w:bottom w:val="single" w:sz="4" w:space="0" w:color="auto"/>
              <w:right w:val="single" w:sz="4" w:space="0" w:color="auto"/>
            </w:tcBorders>
            <w:vAlign w:val="center"/>
          </w:tcPr>
          <w:p w14:paraId="0B44D807" w14:textId="77777777" w:rsidR="00B045CA" w:rsidRPr="00675182" w:rsidRDefault="00B045CA" w:rsidP="00B045CA">
            <w:pPr>
              <w:jc w:val="center"/>
              <w:rPr>
                <w:rFonts w:eastAsia="Times New Roman" w:cs="Times New Roman"/>
                <w:color w:val="000000"/>
                <w:szCs w:val="24"/>
                <w:lang w:eastAsia="en-GB"/>
              </w:rPr>
            </w:pPr>
            <w:r w:rsidRPr="00675182">
              <w:rPr>
                <w:rFonts w:cs="Times New Roman"/>
                <w:color w:val="000000"/>
                <w:szCs w:val="24"/>
              </w:rPr>
              <w:t>1.</w:t>
            </w:r>
          </w:p>
        </w:tc>
        <w:tc>
          <w:tcPr>
            <w:tcW w:w="947" w:type="pct"/>
            <w:tcBorders>
              <w:top w:val="single" w:sz="4" w:space="0" w:color="auto"/>
              <w:left w:val="single" w:sz="4" w:space="0" w:color="auto"/>
              <w:bottom w:val="single" w:sz="4" w:space="0" w:color="auto"/>
              <w:right w:val="single" w:sz="4" w:space="0" w:color="auto"/>
            </w:tcBorders>
            <w:vAlign w:val="center"/>
          </w:tcPr>
          <w:p w14:paraId="6B2031A6" w14:textId="77777777" w:rsidR="00B045CA" w:rsidRPr="00675182" w:rsidRDefault="00B045CA" w:rsidP="00B045CA">
            <w:pPr>
              <w:rPr>
                <w:rFonts w:eastAsia="Times New Roman" w:cs="Times New Roman"/>
                <w:color w:val="000000"/>
                <w:szCs w:val="24"/>
                <w:lang w:eastAsia="en-GB"/>
              </w:rPr>
            </w:pPr>
            <w:r w:rsidRPr="00675182">
              <w:rPr>
                <w:rFonts w:cs="Times New Roman"/>
                <w:color w:val="000000"/>
                <w:szCs w:val="24"/>
              </w:rPr>
              <w:t>Dzeltenā dzegužkurpīte</w:t>
            </w:r>
          </w:p>
        </w:tc>
        <w:tc>
          <w:tcPr>
            <w:tcW w:w="731" w:type="pct"/>
            <w:tcBorders>
              <w:top w:val="single" w:sz="4" w:space="0" w:color="auto"/>
              <w:left w:val="single" w:sz="4" w:space="0" w:color="auto"/>
              <w:bottom w:val="single" w:sz="4" w:space="0" w:color="auto"/>
              <w:right w:val="single" w:sz="4" w:space="0" w:color="auto"/>
            </w:tcBorders>
            <w:vAlign w:val="center"/>
          </w:tcPr>
          <w:p w14:paraId="4D1D947B" w14:textId="77777777" w:rsidR="00B045CA" w:rsidRPr="00675182" w:rsidRDefault="00B045CA" w:rsidP="00B045CA">
            <w:pPr>
              <w:rPr>
                <w:rFonts w:eastAsia="Times New Roman" w:cs="Times New Roman"/>
                <w:i/>
                <w:iCs/>
                <w:color w:val="000000"/>
                <w:szCs w:val="24"/>
                <w:lang w:eastAsia="en-GB"/>
              </w:rPr>
            </w:pPr>
            <w:r w:rsidRPr="00675182">
              <w:rPr>
                <w:rFonts w:cs="Times New Roman"/>
                <w:i/>
                <w:iCs/>
                <w:color w:val="000000"/>
                <w:szCs w:val="24"/>
              </w:rPr>
              <w:t>Cypripedium calceolus</w:t>
            </w:r>
          </w:p>
        </w:tc>
        <w:tc>
          <w:tcPr>
            <w:tcW w:w="567" w:type="pct"/>
            <w:tcBorders>
              <w:top w:val="single" w:sz="4" w:space="0" w:color="auto"/>
              <w:left w:val="single" w:sz="4" w:space="0" w:color="auto"/>
              <w:bottom w:val="single" w:sz="4" w:space="0" w:color="auto"/>
              <w:right w:val="single" w:sz="4" w:space="0" w:color="auto"/>
            </w:tcBorders>
            <w:vAlign w:val="center"/>
          </w:tcPr>
          <w:p w14:paraId="02D6112C" w14:textId="77777777" w:rsidR="00B045CA" w:rsidRPr="00675182" w:rsidRDefault="00B045CA" w:rsidP="00B045CA">
            <w:pPr>
              <w:jc w:val="center"/>
              <w:rPr>
                <w:rFonts w:eastAsia="Times New Roman" w:cs="Times New Roman"/>
                <w:color w:val="000000"/>
                <w:szCs w:val="24"/>
                <w:lang w:eastAsia="en-GB"/>
              </w:rPr>
            </w:pPr>
            <w:r w:rsidRPr="00675182">
              <w:rPr>
                <w:rFonts w:cs="Times New Roman"/>
                <w:color w:val="000000"/>
                <w:szCs w:val="24"/>
              </w:rPr>
              <w:t>ES II, IV, ĪAS 1, MIK</w:t>
            </w:r>
          </w:p>
        </w:tc>
        <w:tc>
          <w:tcPr>
            <w:tcW w:w="449" w:type="pct"/>
            <w:tcBorders>
              <w:top w:val="single" w:sz="4" w:space="0" w:color="auto"/>
              <w:left w:val="single" w:sz="4" w:space="0" w:color="auto"/>
              <w:bottom w:val="single" w:sz="4" w:space="0" w:color="auto"/>
              <w:right w:val="single" w:sz="4" w:space="0" w:color="auto"/>
            </w:tcBorders>
            <w:vAlign w:val="center"/>
          </w:tcPr>
          <w:p w14:paraId="695D7A55" w14:textId="77777777" w:rsidR="00B045CA" w:rsidRPr="00675182" w:rsidRDefault="00B045CA" w:rsidP="00B045CA">
            <w:pPr>
              <w:jc w:val="center"/>
              <w:rPr>
                <w:rFonts w:eastAsia="Times New Roman" w:cs="Times New Roman"/>
                <w:color w:val="000000"/>
                <w:szCs w:val="24"/>
                <w:lang w:eastAsia="en-GB"/>
              </w:rPr>
            </w:pPr>
            <w:r w:rsidRPr="00675182">
              <w:rPr>
                <w:rFonts w:eastAsia="Times New Roman" w:cs="Times New Roman"/>
                <w:color w:val="000000"/>
                <w:szCs w:val="24"/>
                <w:lang w:eastAsia="en-GB"/>
              </w:rPr>
              <w:t>SG II, BSS</w:t>
            </w:r>
          </w:p>
        </w:tc>
        <w:tc>
          <w:tcPr>
            <w:tcW w:w="673" w:type="pct"/>
            <w:tcBorders>
              <w:top w:val="single" w:sz="4" w:space="0" w:color="auto"/>
              <w:left w:val="nil"/>
              <w:bottom w:val="single" w:sz="4" w:space="0" w:color="auto"/>
              <w:right w:val="single" w:sz="4" w:space="0" w:color="auto"/>
            </w:tcBorders>
            <w:shd w:val="clear" w:color="auto" w:fill="FFFF00"/>
            <w:vAlign w:val="center"/>
          </w:tcPr>
          <w:p w14:paraId="422AF54F" w14:textId="77777777" w:rsidR="00B045CA" w:rsidRPr="00675182" w:rsidRDefault="00B045CA" w:rsidP="00B045CA">
            <w:pPr>
              <w:jc w:val="center"/>
              <w:rPr>
                <w:rFonts w:eastAsia="Times New Roman" w:cs="Times New Roman"/>
                <w:color w:val="000000"/>
                <w:szCs w:val="24"/>
                <w:lang w:eastAsia="en-GB"/>
              </w:rPr>
            </w:pPr>
            <w:r w:rsidRPr="00675182">
              <w:rPr>
                <w:rFonts w:cs="Times New Roman"/>
                <w:color w:val="000000"/>
                <w:szCs w:val="24"/>
                <w:shd w:val="clear" w:color="auto" w:fill="FFFF00"/>
              </w:rPr>
              <w:t>U1</w:t>
            </w:r>
          </w:p>
        </w:tc>
        <w:tc>
          <w:tcPr>
            <w:tcW w:w="1333" w:type="pct"/>
            <w:tcBorders>
              <w:top w:val="single" w:sz="4" w:space="0" w:color="auto"/>
              <w:left w:val="single" w:sz="4" w:space="0" w:color="auto"/>
              <w:bottom w:val="single" w:sz="4" w:space="0" w:color="auto"/>
              <w:right w:val="single" w:sz="4" w:space="0" w:color="auto"/>
            </w:tcBorders>
            <w:vAlign w:val="center"/>
          </w:tcPr>
          <w:p w14:paraId="0511ADCC" w14:textId="0C53439E" w:rsidR="00B045CA" w:rsidRPr="00675182" w:rsidRDefault="00B045CA" w:rsidP="00B045CA">
            <w:pPr>
              <w:rPr>
                <w:rFonts w:eastAsia="Times New Roman" w:cs="Times New Roman"/>
                <w:color w:val="000000"/>
                <w:szCs w:val="24"/>
                <w:lang w:eastAsia="en-GB"/>
              </w:rPr>
            </w:pPr>
            <w:r>
              <w:rPr>
                <w:rFonts w:eastAsia="Times New Roman"/>
                <w:color w:val="000000"/>
                <w:sz w:val="22"/>
                <w:szCs w:val="22"/>
                <w:lang w:eastAsia="en-GB"/>
              </w:rPr>
              <w:t>4 vietās (pie Pūricu ezera, Vilciņu purvā, Rakšu purvā, pie Vāļu attekām)</w:t>
            </w:r>
            <w:r w:rsidR="00C17E74">
              <w:rPr>
                <w:rFonts w:eastAsia="Times New Roman"/>
                <w:color w:val="000000"/>
                <w:sz w:val="22"/>
                <w:szCs w:val="22"/>
                <w:lang w:eastAsia="en-GB"/>
              </w:rPr>
              <w:t>. A</w:t>
            </w:r>
            <w:r w:rsidR="00C17E74" w:rsidRPr="00C17E74">
              <w:rPr>
                <w:rFonts w:eastAsia="Times New Roman"/>
                <w:color w:val="000000"/>
                <w:sz w:val="22"/>
                <w:szCs w:val="22"/>
                <w:lang w:eastAsia="en-GB"/>
              </w:rPr>
              <w:t>ugsts noēnojums </w:t>
            </w:r>
          </w:p>
        </w:tc>
      </w:tr>
      <w:tr w:rsidR="00B045CA" w:rsidRPr="00675182" w14:paraId="42112B95" w14:textId="77777777" w:rsidTr="00B045CA">
        <w:trPr>
          <w:cantSplit/>
          <w:trHeight w:val="315"/>
        </w:trPr>
        <w:tc>
          <w:tcPr>
            <w:tcW w:w="300" w:type="pct"/>
            <w:tcBorders>
              <w:top w:val="single" w:sz="4" w:space="0" w:color="auto"/>
              <w:left w:val="single" w:sz="4" w:space="0" w:color="auto"/>
              <w:bottom w:val="single" w:sz="4" w:space="0" w:color="auto"/>
              <w:right w:val="single" w:sz="4" w:space="0" w:color="auto"/>
            </w:tcBorders>
            <w:vAlign w:val="center"/>
          </w:tcPr>
          <w:p w14:paraId="7F0125B0" w14:textId="77777777" w:rsidR="00B045CA" w:rsidRPr="00675182" w:rsidRDefault="00B045CA" w:rsidP="00B045CA">
            <w:pPr>
              <w:jc w:val="center"/>
              <w:rPr>
                <w:rFonts w:cs="Times New Roman"/>
                <w:color w:val="000000"/>
                <w:szCs w:val="24"/>
              </w:rPr>
            </w:pPr>
            <w:r w:rsidRPr="00675182">
              <w:rPr>
                <w:rFonts w:cs="Times New Roman"/>
                <w:color w:val="000000"/>
                <w:szCs w:val="24"/>
              </w:rPr>
              <w:t>2.</w:t>
            </w:r>
          </w:p>
        </w:tc>
        <w:tc>
          <w:tcPr>
            <w:tcW w:w="947" w:type="pct"/>
            <w:tcBorders>
              <w:top w:val="single" w:sz="4" w:space="0" w:color="auto"/>
              <w:left w:val="single" w:sz="4" w:space="0" w:color="auto"/>
              <w:bottom w:val="single" w:sz="4" w:space="0" w:color="auto"/>
              <w:right w:val="single" w:sz="4" w:space="0" w:color="auto"/>
            </w:tcBorders>
            <w:vAlign w:val="center"/>
          </w:tcPr>
          <w:p w14:paraId="6A0FD928" w14:textId="77777777" w:rsidR="00B045CA" w:rsidRPr="00675182" w:rsidRDefault="00B045CA" w:rsidP="00B045CA">
            <w:pPr>
              <w:rPr>
                <w:rFonts w:cs="Times New Roman"/>
                <w:color w:val="000000"/>
                <w:szCs w:val="24"/>
              </w:rPr>
            </w:pPr>
            <w:r w:rsidRPr="00675182">
              <w:rPr>
                <w:rFonts w:cs="Times New Roman"/>
                <w:color w:val="000000"/>
                <w:szCs w:val="24"/>
              </w:rPr>
              <w:t>Meža silpurene</w:t>
            </w:r>
          </w:p>
        </w:tc>
        <w:tc>
          <w:tcPr>
            <w:tcW w:w="731" w:type="pct"/>
            <w:tcBorders>
              <w:top w:val="single" w:sz="4" w:space="0" w:color="auto"/>
              <w:left w:val="single" w:sz="4" w:space="0" w:color="auto"/>
              <w:bottom w:val="single" w:sz="4" w:space="0" w:color="auto"/>
              <w:right w:val="single" w:sz="4" w:space="0" w:color="auto"/>
            </w:tcBorders>
            <w:vAlign w:val="center"/>
          </w:tcPr>
          <w:p w14:paraId="7D0AB60F" w14:textId="77777777" w:rsidR="00B045CA" w:rsidRPr="00675182" w:rsidRDefault="00B045CA" w:rsidP="00B045CA">
            <w:pPr>
              <w:rPr>
                <w:rFonts w:cs="Times New Roman"/>
                <w:i/>
                <w:iCs/>
                <w:color w:val="000000"/>
                <w:szCs w:val="24"/>
              </w:rPr>
            </w:pPr>
            <w:r w:rsidRPr="00675182">
              <w:rPr>
                <w:rFonts w:cs="Times New Roman"/>
                <w:i/>
                <w:iCs/>
                <w:color w:val="000000"/>
                <w:szCs w:val="24"/>
              </w:rPr>
              <w:t>Pulsatilla patens</w:t>
            </w:r>
          </w:p>
        </w:tc>
        <w:tc>
          <w:tcPr>
            <w:tcW w:w="567" w:type="pct"/>
            <w:tcBorders>
              <w:top w:val="single" w:sz="4" w:space="0" w:color="auto"/>
              <w:left w:val="single" w:sz="4" w:space="0" w:color="auto"/>
              <w:bottom w:val="single" w:sz="4" w:space="0" w:color="auto"/>
              <w:right w:val="single" w:sz="4" w:space="0" w:color="auto"/>
            </w:tcBorders>
            <w:vAlign w:val="center"/>
          </w:tcPr>
          <w:p w14:paraId="1EF7582F" w14:textId="77777777" w:rsidR="00B045CA" w:rsidRPr="00675182" w:rsidRDefault="00B045CA" w:rsidP="00B045CA">
            <w:pPr>
              <w:jc w:val="center"/>
              <w:rPr>
                <w:rFonts w:cs="Times New Roman"/>
                <w:color w:val="000000"/>
                <w:szCs w:val="24"/>
              </w:rPr>
            </w:pPr>
            <w:r w:rsidRPr="00675182">
              <w:rPr>
                <w:rFonts w:cs="Times New Roman"/>
                <w:color w:val="000000"/>
                <w:szCs w:val="24"/>
              </w:rPr>
              <w:t>ES II, IV, ĪAS 1, MIK</w:t>
            </w:r>
          </w:p>
        </w:tc>
        <w:tc>
          <w:tcPr>
            <w:tcW w:w="449" w:type="pct"/>
            <w:tcBorders>
              <w:top w:val="single" w:sz="4" w:space="0" w:color="auto"/>
              <w:left w:val="single" w:sz="4" w:space="0" w:color="auto"/>
              <w:bottom w:val="single" w:sz="4" w:space="0" w:color="auto"/>
              <w:right w:val="single" w:sz="4" w:space="0" w:color="auto"/>
            </w:tcBorders>
            <w:vAlign w:val="center"/>
          </w:tcPr>
          <w:p w14:paraId="11FECAEF" w14:textId="77777777" w:rsidR="00B045CA" w:rsidRPr="00675182" w:rsidRDefault="00B045CA" w:rsidP="00B045CA">
            <w:pPr>
              <w:jc w:val="center"/>
              <w:rPr>
                <w:rFonts w:eastAsia="Times New Roman" w:cs="Times New Roman"/>
                <w:color w:val="000000"/>
                <w:szCs w:val="24"/>
                <w:lang w:eastAsia="en-GB"/>
              </w:rPr>
            </w:pPr>
            <w:r w:rsidRPr="00675182">
              <w:rPr>
                <w:rFonts w:eastAsia="Times New Roman" w:cs="Times New Roman"/>
                <w:color w:val="000000"/>
                <w:szCs w:val="24"/>
                <w:lang w:eastAsia="en-GB"/>
              </w:rPr>
              <w:t>SG IV, BSS</w:t>
            </w:r>
          </w:p>
        </w:tc>
        <w:tc>
          <w:tcPr>
            <w:tcW w:w="673" w:type="pct"/>
            <w:tcBorders>
              <w:top w:val="single" w:sz="4" w:space="0" w:color="auto"/>
              <w:left w:val="nil"/>
              <w:bottom w:val="single" w:sz="4" w:space="0" w:color="auto"/>
              <w:right w:val="single" w:sz="4" w:space="0" w:color="auto"/>
            </w:tcBorders>
            <w:shd w:val="clear" w:color="auto" w:fill="FFFF00"/>
            <w:vAlign w:val="center"/>
          </w:tcPr>
          <w:p w14:paraId="76BBEDB7" w14:textId="77777777" w:rsidR="00B045CA" w:rsidRPr="00675182" w:rsidRDefault="00B045CA" w:rsidP="00B045CA">
            <w:pPr>
              <w:jc w:val="center"/>
              <w:rPr>
                <w:rFonts w:cs="Times New Roman"/>
                <w:color w:val="000000"/>
                <w:szCs w:val="24"/>
              </w:rPr>
            </w:pPr>
            <w:r w:rsidRPr="00675182">
              <w:rPr>
                <w:rFonts w:cs="Times New Roman"/>
                <w:color w:val="000000"/>
                <w:szCs w:val="24"/>
              </w:rPr>
              <w:t>U1</w:t>
            </w:r>
          </w:p>
        </w:tc>
        <w:tc>
          <w:tcPr>
            <w:tcW w:w="1333" w:type="pct"/>
            <w:tcBorders>
              <w:top w:val="single" w:sz="4" w:space="0" w:color="auto"/>
              <w:left w:val="single" w:sz="4" w:space="0" w:color="auto"/>
              <w:bottom w:val="single" w:sz="4" w:space="0" w:color="auto"/>
              <w:right w:val="single" w:sz="4" w:space="0" w:color="auto"/>
            </w:tcBorders>
            <w:vAlign w:val="center"/>
          </w:tcPr>
          <w:p w14:paraId="229B7CD8" w14:textId="1A3AEFB2" w:rsidR="00B045CA" w:rsidRPr="00675182" w:rsidRDefault="008F5704" w:rsidP="00B045CA">
            <w:pPr>
              <w:rPr>
                <w:rFonts w:cs="Times New Roman"/>
                <w:color w:val="000000"/>
                <w:szCs w:val="24"/>
              </w:rPr>
            </w:pPr>
            <w:r>
              <w:rPr>
                <w:rFonts w:eastAsia="Times New Roman"/>
                <w:color w:val="000000"/>
                <w:sz w:val="22"/>
                <w:szCs w:val="22"/>
                <w:lang w:eastAsia="en-GB"/>
              </w:rPr>
              <w:t xml:space="preserve">7 atradnes, </w:t>
            </w:r>
            <w:r w:rsidRPr="008F5704">
              <w:rPr>
                <w:rFonts w:eastAsia="Times New Roman"/>
                <w:color w:val="000000"/>
                <w:sz w:val="22"/>
                <w:szCs w:val="22"/>
                <w:lang w:eastAsia="en-GB"/>
              </w:rPr>
              <w:t>dabisko traucējumu trūkums/ meža zemsedzes eitrofikācija, piesārņojums, izrakšana/plūkšana</w:t>
            </w:r>
            <w:r>
              <w:rPr>
                <w:rFonts w:eastAsia="Times New Roman"/>
                <w:color w:val="000000"/>
                <w:sz w:val="22"/>
                <w:szCs w:val="22"/>
                <w:lang w:eastAsia="en-GB"/>
              </w:rPr>
              <w:t>. Veikta mākslīga atradņu papildināšana 202</w:t>
            </w:r>
            <w:r w:rsidR="00F766AB">
              <w:rPr>
                <w:rFonts w:eastAsia="Times New Roman"/>
                <w:color w:val="000000"/>
                <w:sz w:val="22"/>
                <w:szCs w:val="22"/>
                <w:lang w:eastAsia="en-GB"/>
              </w:rPr>
              <w:t>2.gadā ar  no GNP iegūtu sēklu stādiem, kas izaudzēti Nacionālajā Botāniskajā dārzā</w:t>
            </w:r>
          </w:p>
        </w:tc>
      </w:tr>
      <w:tr w:rsidR="00B045CA" w:rsidRPr="00675182" w14:paraId="754028F9" w14:textId="77777777" w:rsidTr="00B045CA">
        <w:trPr>
          <w:cantSplit/>
          <w:trHeight w:val="315"/>
        </w:trPr>
        <w:tc>
          <w:tcPr>
            <w:tcW w:w="300" w:type="pct"/>
            <w:tcBorders>
              <w:top w:val="single" w:sz="4" w:space="0" w:color="auto"/>
              <w:left w:val="single" w:sz="4" w:space="0" w:color="auto"/>
              <w:bottom w:val="single" w:sz="4" w:space="0" w:color="auto"/>
              <w:right w:val="single" w:sz="4" w:space="0" w:color="auto"/>
            </w:tcBorders>
            <w:vAlign w:val="center"/>
          </w:tcPr>
          <w:p w14:paraId="27C1C70D" w14:textId="77777777" w:rsidR="00B045CA" w:rsidRPr="00675182" w:rsidRDefault="00B045CA" w:rsidP="00B045CA">
            <w:pPr>
              <w:jc w:val="center"/>
              <w:rPr>
                <w:rFonts w:cs="Times New Roman"/>
                <w:color w:val="000000"/>
                <w:szCs w:val="24"/>
              </w:rPr>
            </w:pPr>
            <w:r w:rsidRPr="00675182">
              <w:rPr>
                <w:rFonts w:cs="Times New Roman"/>
                <w:color w:val="000000"/>
                <w:szCs w:val="24"/>
              </w:rPr>
              <w:t>3.</w:t>
            </w:r>
          </w:p>
        </w:tc>
        <w:tc>
          <w:tcPr>
            <w:tcW w:w="947" w:type="pct"/>
            <w:tcBorders>
              <w:top w:val="single" w:sz="4" w:space="0" w:color="auto"/>
              <w:left w:val="single" w:sz="4" w:space="0" w:color="auto"/>
              <w:bottom w:val="single" w:sz="4" w:space="0" w:color="auto"/>
              <w:right w:val="single" w:sz="4" w:space="0" w:color="auto"/>
            </w:tcBorders>
            <w:vAlign w:val="center"/>
          </w:tcPr>
          <w:p w14:paraId="4FFE01FB" w14:textId="77777777" w:rsidR="00B045CA" w:rsidRPr="00675182" w:rsidRDefault="00B045CA" w:rsidP="00B045CA">
            <w:pPr>
              <w:rPr>
                <w:rFonts w:cs="Times New Roman"/>
                <w:color w:val="000000"/>
                <w:szCs w:val="24"/>
              </w:rPr>
            </w:pPr>
            <w:r w:rsidRPr="00675182">
              <w:rPr>
                <w:rFonts w:cs="Times New Roman"/>
                <w:color w:val="000000"/>
                <w:szCs w:val="24"/>
              </w:rPr>
              <w:t>Lēzela lipare</w:t>
            </w:r>
          </w:p>
        </w:tc>
        <w:tc>
          <w:tcPr>
            <w:tcW w:w="731" w:type="pct"/>
            <w:tcBorders>
              <w:top w:val="single" w:sz="4" w:space="0" w:color="auto"/>
              <w:left w:val="single" w:sz="4" w:space="0" w:color="auto"/>
              <w:bottom w:val="single" w:sz="4" w:space="0" w:color="auto"/>
              <w:right w:val="single" w:sz="4" w:space="0" w:color="auto"/>
            </w:tcBorders>
            <w:vAlign w:val="center"/>
          </w:tcPr>
          <w:p w14:paraId="5E9EE63B" w14:textId="77777777" w:rsidR="00B045CA" w:rsidRPr="00675182" w:rsidRDefault="00B045CA" w:rsidP="00B045CA">
            <w:pPr>
              <w:rPr>
                <w:rFonts w:cs="Times New Roman"/>
                <w:i/>
                <w:iCs/>
                <w:color w:val="000000"/>
                <w:szCs w:val="24"/>
              </w:rPr>
            </w:pPr>
            <w:r w:rsidRPr="00675182">
              <w:rPr>
                <w:rFonts w:cs="Times New Roman"/>
                <w:i/>
                <w:iCs/>
                <w:color w:val="000000"/>
                <w:szCs w:val="24"/>
              </w:rPr>
              <w:t>Liparis loeselii</w:t>
            </w:r>
          </w:p>
        </w:tc>
        <w:tc>
          <w:tcPr>
            <w:tcW w:w="567" w:type="pct"/>
            <w:tcBorders>
              <w:top w:val="single" w:sz="4" w:space="0" w:color="auto"/>
              <w:left w:val="single" w:sz="4" w:space="0" w:color="auto"/>
              <w:bottom w:val="single" w:sz="4" w:space="0" w:color="auto"/>
              <w:right w:val="single" w:sz="4" w:space="0" w:color="auto"/>
            </w:tcBorders>
            <w:vAlign w:val="center"/>
          </w:tcPr>
          <w:p w14:paraId="10F33C6E" w14:textId="77777777" w:rsidR="00B045CA" w:rsidRPr="00675182" w:rsidRDefault="00B045CA" w:rsidP="00B045CA">
            <w:pPr>
              <w:jc w:val="center"/>
              <w:rPr>
                <w:rFonts w:cs="Times New Roman"/>
                <w:color w:val="000000"/>
                <w:szCs w:val="24"/>
              </w:rPr>
            </w:pPr>
            <w:r w:rsidRPr="00675182">
              <w:rPr>
                <w:rFonts w:cs="Times New Roman"/>
                <w:color w:val="000000"/>
                <w:szCs w:val="24"/>
              </w:rPr>
              <w:t>ES II, IV, ĪAS 1, MIK</w:t>
            </w:r>
          </w:p>
        </w:tc>
        <w:tc>
          <w:tcPr>
            <w:tcW w:w="449" w:type="pct"/>
            <w:tcBorders>
              <w:top w:val="single" w:sz="4" w:space="0" w:color="auto"/>
              <w:left w:val="single" w:sz="4" w:space="0" w:color="auto"/>
              <w:bottom w:val="single" w:sz="4" w:space="0" w:color="auto"/>
              <w:right w:val="single" w:sz="4" w:space="0" w:color="auto"/>
            </w:tcBorders>
            <w:vAlign w:val="center"/>
          </w:tcPr>
          <w:p w14:paraId="5E61F704" w14:textId="77777777" w:rsidR="00B045CA" w:rsidRPr="00675182" w:rsidRDefault="00B045CA" w:rsidP="00B045CA">
            <w:pPr>
              <w:jc w:val="center"/>
              <w:rPr>
                <w:rFonts w:eastAsia="Times New Roman" w:cs="Times New Roman"/>
                <w:color w:val="000000"/>
                <w:szCs w:val="24"/>
                <w:lang w:eastAsia="en-GB"/>
              </w:rPr>
            </w:pPr>
            <w:r w:rsidRPr="00675182">
              <w:rPr>
                <w:rFonts w:eastAsia="Times New Roman" w:cs="Times New Roman"/>
                <w:color w:val="000000"/>
                <w:szCs w:val="24"/>
                <w:lang w:eastAsia="en-GB"/>
              </w:rPr>
              <w:t>SG III</w:t>
            </w:r>
          </w:p>
        </w:tc>
        <w:tc>
          <w:tcPr>
            <w:tcW w:w="673" w:type="pct"/>
            <w:tcBorders>
              <w:top w:val="single" w:sz="4" w:space="0" w:color="auto"/>
              <w:left w:val="nil"/>
              <w:bottom w:val="single" w:sz="4" w:space="0" w:color="auto"/>
              <w:right w:val="single" w:sz="4" w:space="0" w:color="auto"/>
            </w:tcBorders>
            <w:shd w:val="clear" w:color="auto" w:fill="FFFF00"/>
            <w:vAlign w:val="center"/>
          </w:tcPr>
          <w:p w14:paraId="6F4E30FD" w14:textId="77777777" w:rsidR="00B045CA" w:rsidRPr="00675182" w:rsidRDefault="00B045CA" w:rsidP="00B045CA">
            <w:pPr>
              <w:jc w:val="center"/>
              <w:rPr>
                <w:rFonts w:cs="Times New Roman"/>
                <w:color w:val="000000"/>
                <w:szCs w:val="24"/>
              </w:rPr>
            </w:pPr>
            <w:r w:rsidRPr="00675182">
              <w:rPr>
                <w:rFonts w:cs="Times New Roman"/>
                <w:color w:val="000000"/>
                <w:szCs w:val="24"/>
              </w:rPr>
              <w:t>U1</w:t>
            </w:r>
          </w:p>
        </w:tc>
        <w:tc>
          <w:tcPr>
            <w:tcW w:w="1333" w:type="pct"/>
            <w:tcBorders>
              <w:top w:val="single" w:sz="4" w:space="0" w:color="auto"/>
              <w:left w:val="single" w:sz="4" w:space="0" w:color="auto"/>
              <w:bottom w:val="single" w:sz="4" w:space="0" w:color="auto"/>
              <w:right w:val="single" w:sz="4" w:space="0" w:color="auto"/>
            </w:tcBorders>
            <w:vAlign w:val="center"/>
          </w:tcPr>
          <w:p w14:paraId="25BA4044" w14:textId="7239C964" w:rsidR="00B045CA" w:rsidRPr="00675182" w:rsidRDefault="00B045CA" w:rsidP="00B045CA">
            <w:pPr>
              <w:rPr>
                <w:rFonts w:cs="Times New Roman"/>
                <w:color w:val="000000"/>
                <w:szCs w:val="24"/>
              </w:rPr>
            </w:pPr>
            <w:r>
              <w:rPr>
                <w:rFonts w:eastAsia="Times New Roman"/>
                <w:color w:val="000000"/>
                <w:sz w:val="22"/>
                <w:szCs w:val="22"/>
                <w:lang w:eastAsia="en-GB"/>
              </w:rPr>
              <w:t>&gt;60 vietās , lielākoties Siguldas-Līgatnes apkārtnē</w:t>
            </w:r>
            <w:r w:rsidR="004F045C">
              <w:rPr>
                <w:rFonts w:eastAsia="Times New Roman"/>
                <w:color w:val="000000"/>
                <w:sz w:val="22"/>
                <w:szCs w:val="22"/>
                <w:lang w:eastAsia="en-GB"/>
              </w:rPr>
              <w:t>. B</w:t>
            </w:r>
            <w:r w:rsidR="004F045C" w:rsidRPr="004F045C">
              <w:rPr>
                <w:rFonts w:eastAsia="Times New Roman"/>
                <w:color w:val="000000"/>
                <w:sz w:val="22"/>
                <w:szCs w:val="22"/>
                <w:lang w:eastAsia="en-GB"/>
              </w:rPr>
              <w:t xml:space="preserve">ebru darbība (appludina) un </w:t>
            </w:r>
            <w:r w:rsidR="004F045C">
              <w:rPr>
                <w:rFonts w:eastAsia="Times New Roman"/>
                <w:color w:val="000000"/>
                <w:sz w:val="22"/>
                <w:szCs w:val="22"/>
                <w:lang w:eastAsia="en-GB"/>
              </w:rPr>
              <w:t xml:space="preserve">atradņu </w:t>
            </w:r>
            <w:r w:rsidR="004F045C" w:rsidRPr="004F045C">
              <w:rPr>
                <w:rFonts w:eastAsia="Times New Roman"/>
                <w:color w:val="000000"/>
                <w:sz w:val="22"/>
                <w:szCs w:val="22"/>
                <w:lang w:eastAsia="en-GB"/>
              </w:rPr>
              <w:t>aizaugšana</w:t>
            </w:r>
          </w:p>
        </w:tc>
      </w:tr>
      <w:tr w:rsidR="00B045CA" w:rsidRPr="00675182" w14:paraId="7D4948B9" w14:textId="77777777" w:rsidTr="00B045CA">
        <w:trPr>
          <w:cantSplit/>
          <w:trHeight w:val="315"/>
        </w:trPr>
        <w:tc>
          <w:tcPr>
            <w:tcW w:w="300" w:type="pct"/>
            <w:tcBorders>
              <w:top w:val="single" w:sz="4" w:space="0" w:color="auto"/>
              <w:left w:val="single" w:sz="4" w:space="0" w:color="auto"/>
              <w:bottom w:val="single" w:sz="4" w:space="0" w:color="auto"/>
              <w:right w:val="single" w:sz="4" w:space="0" w:color="auto"/>
            </w:tcBorders>
            <w:vAlign w:val="center"/>
          </w:tcPr>
          <w:p w14:paraId="3970C21B" w14:textId="77777777" w:rsidR="00B045CA" w:rsidRPr="00675182" w:rsidRDefault="00B045CA" w:rsidP="00B045CA">
            <w:pPr>
              <w:jc w:val="center"/>
              <w:rPr>
                <w:rFonts w:cs="Times New Roman"/>
                <w:color w:val="000000"/>
                <w:szCs w:val="24"/>
              </w:rPr>
            </w:pPr>
            <w:r w:rsidRPr="00675182">
              <w:rPr>
                <w:rFonts w:cs="Times New Roman"/>
                <w:color w:val="000000"/>
                <w:szCs w:val="24"/>
              </w:rPr>
              <w:t>4.</w:t>
            </w:r>
          </w:p>
        </w:tc>
        <w:tc>
          <w:tcPr>
            <w:tcW w:w="947" w:type="pct"/>
            <w:tcBorders>
              <w:top w:val="single" w:sz="4" w:space="0" w:color="auto"/>
              <w:left w:val="single" w:sz="4" w:space="0" w:color="auto"/>
              <w:bottom w:val="single" w:sz="4" w:space="0" w:color="auto"/>
              <w:right w:val="single" w:sz="4" w:space="0" w:color="auto"/>
            </w:tcBorders>
            <w:vAlign w:val="center"/>
          </w:tcPr>
          <w:p w14:paraId="35D36425" w14:textId="77777777" w:rsidR="00B045CA" w:rsidRPr="00675182" w:rsidRDefault="00B045CA" w:rsidP="00B045CA">
            <w:pPr>
              <w:rPr>
                <w:rFonts w:cs="Times New Roman"/>
                <w:color w:val="000000"/>
                <w:szCs w:val="24"/>
              </w:rPr>
            </w:pPr>
            <w:r w:rsidRPr="00675182">
              <w:rPr>
                <w:rFonts w:cs="Times New Roman"/>
                <w:color w:val="000000"/>
                <w:szCs w:val="24"/>
              </w:rPr>
              <w:t>Dzeltenā akmeņlauzīte</w:t>
            </w:r>
          </w:p>
        </w:tc>
        <w:tc>
          <w:tcPr>
            <w:tcW w:w="731" w:type="pct"/>
            <w:tcBorders>
              <w:top w:val="single" w:sz="4" w:space="0" w:color="auto"/>
              <w:left w:val="single" w:sz="4" w:space="0" w:color="auto"/>
              <w:bottom w:val="single" w:sz="4" w:space="0" w:color="auto"/>
              <w:right w:val="single" w:sz="4" w:space="0" w:color="auto"/>
            </w:tcBorders>
            <w:vAlign w:val="center"/>
          </w:tcPr>
          <w:p w14:paraId="09B5AD38" w14:textId="77777777" w:rsidR="00B045CA" w:rsidRPr="00675182" w:rsidRDefault="00B045CA" w:rsidP="00B045CA">
            <w:pPr>
              <w:rPr>
                <w:rFonts w:cs="Times New Roman"/>
                <w:i/>
                <w:iCs/>
                <w:color w:val="000000"/>
                <w:szCs w:val="24"/>
              </w:rPr>
            </w:pPr>
            <w:r w:rsidRPr="00675182">
              <w:rPr>
                <w:rFonts w:cs="Times New Roman"/>
                <w:i/>
                <w:iCs/>
                <w:color w:val="000000"/>
                <w:szCs w:val="24"/>
              </w:rPr>
              <w:t>Saxifraga hirculus</w:t>
            </w:r>
          </w:p>
        </w:tc>
        <w:tc>
          <w:tcPr>
            <w:tcW w:w="567" w:type="pct"/>
            <w:tcBorders>
              <w:top w:val="single" w:sz="4" w:space="0" w:color="auto"/>
              <w:left w:val="single" w:sz="4" w:space="0" w:color="auto"/>
              <w:bottom w:val="single" w:sz="4" w:space="0" w:color="auto"/>
              <w:right w:val="single" w:sz="4" w:space="0" w:color="auto"/>
            </w:tcBorders>
            <w:vAlign w:val="center"/>
          </w:tcPr>
          <w:p w14:paraId="19C305A7" w14:textId="77777777" w:rsidR="00B045CA" w:rsidRPr="00675182" w:rsidRDefault="00B045CA" w:rsidP="00B045CA">
            <w:pPr>
              <w:jc w:val="center"/>
              <w:rPr>
                <w:rFonts w:cs="Times New Roman"/>
                <w:color w:val="000000"/>
                <w:szCs w:val="24"/>
              </w:rPr>
            </w:pPr>
            <w:r w:rsidRPr="00675182">
              <w:rPr>
                <w:rFonts w:cs="Times New Roman"/>
                <w:color w:val="000000"/>
                <w:szCs w:val="24"/>
              </w:rPr>
              <w:t>ES II, IV, ĪAS 1, MIK</w:t>
            </w:r>
          </w:p>
        </w:tc>
        <w:tc>
          <w:tcPr>
            <w:tcW w:w="449" w:type="pct"/>
            <w:tcBorders>
              <w:top w:val="single" w:sz="4" w:space="0" w:color="auto"/>
              <w:left w:val="single" w:sz="4" w:space="0" w:color="auto"/>
              <w:bottom w:val="single" w:sz="4" w:space="0" w:color="auto"/>
              <w:right w:val="single" w:sz="4" w:space="0" w:color="auto"/>
            </w:tcBorders>
            <w:vAlign w:val="center"/>
          </w:tcPr>
          <w:p w14:paraId="69BC9602" w14:textId="77777777" w:rsidR="00B045CA" w:rsidRPr="00675182" w:rsidRDefault="00B045CA" w:rsidP="00B045CA">
            <w:pPr>
              <w:jc w:val="center"/>
              <w:rPr>
                <w:rFonts w:eastAsia="Times New Roman" w:cs="Times New Roman"/>
                <w:color w:val="000000"/>
                <w:szCs w:val="24"/>
                <w:lang w:eastAsia="en-GB"/>
              </w:rPr>
            </w:pPr>
            <w:r w:rsidRPr="00675182">
              <w:rPr>
                <w:rFonts w:eastAsia="Times New Roman" w:cs="Times New Roman"/>
                <w:color w:val="000000"/>
                <w:szCs w:val="24"/>
                <w:lang w:eastAsia="en-GB"/>
              </w:rPr>
              <w:t xml:space="preserve">BK, SG I, </w:t>
            </w:r>
          </w:p>
        </w:tc>
        <w:tc>
          <w:tcPr>
            <w:tcW w:w="673" w:type="pct"/>
            <w:tcBorders>
              <w:top w:val="single" w:sz="4" w:space="0" w:color="auto"/>
              <w:left w:val="nil"/>
              <w:bottom w:val="single" w:sz="4" w:space="0" w:color="auto"/>
              <w:right w:val="single" w:sz="4" w:space="0" w:color="auto"/>
            </w:tcBorders>
            <w:shd w:val="clear" w:color="auto" w:fill="FFFF00"/>
            <w:vAlign w:val="center"/>
          </w:tcPr>
          <w:p w14:paraId="02D3A95D" w14:textId="77777777" w:rsidR="00B045CA" w:rsidRPr="00675182" w:rsidRDefault="00B045CA" w:rsidP="00B045CA">
            <w:pPr>
              <w:jc w:val="center"/>
              <w:rPr>
                <w:rFonts w:cs="Times New Roman"/>
                <w:color w:val="000000"/>
                <w:szCs w:val="24"/>
              </w:rPr>
            </w:pPr>
            <w:r w:rsidRPr="00675182">
              <w:rPr>
                <w:rFonts w:cs="Times New Roman"/>
                <w:color w:val="000000"/>
                <w:szCs w:val="24"/>
              </w:rPr>
              <w:t>U1</w:t>
            </w:r>
          </w:p>
        </w:tc>
        <w:tc>
          <w:tcPr>
            <w:tcW w:w="1333" w:type="pct"/>
            <w:tcBorders>
              <w:top w:val="single" w:sz="4" w:space="0" w:color="auto"/>
              <w:left w:val="single" w:sz="4" w:space="0" w:color="auto"/>
              <w:bottom w:val="single" w:sz="4" w:space="0" w:color="auto"/>
              <w:right w:val="single" w:sz="4" w:space="0" w:color="auto"/>
            </w:tcBorders>
            <w:vAlign w:val="center"/>
          </w:tcPr>
          <w:p w14:paraId="0D151813" w14:textId="08305B72" w:rsidR="00B045CA" w:rsidRPr="00675182" w:rsidRDefault="00AD41DA" w:rsidP="00B045CA">
            <w:pPr>
              <w:rPr>
                <w:rFonts w:cs="Times New Roman"/>
                <w:color w:val="000000"/>
                <w:szCs w:val="24"/>
              </w:rPr>
            </w:pPr>
            <w:r w:rsidRPr="00AD41DA">
              <w:rPr>
                <w:rFonts w:eastAsia="Times New Roman"/>
                <w:color w:val="000000"/>
                <w:sz w:val="22"/>
                <w:szCs w:val="22"/>
                <w:lang w:eastAsia="en-GB"/>
              </w:rPr>
              <w:t>1 vietā, ļoti reti vai izzudusi (3 ziedoši, 2 neziedoši indivīdi 2008.gadā, pēc tam nav konstatēta), veikta dzīvotnes apsaimniekošana</w:t>
            </w:r>
          </w:p>
        </w:tc>
      </w:tr>
      <w:tr w:rsidR="00B045CA" w:rsidRPr="00675182" w14:paraId="7453527B" w14:textId="77777777" w:rsidTr="00B045CA">
        <w:trPr>
          <w:cantSplit/>
          <w:trHeight w:val="315"/>
        </w:trPr>
        <w:tc>
          <w:tcPr>
            <w:tcW w:w="300" w:type="pct"/>
            <w:tcBorders>
              <w:top w:val="single" w:sz="4" w:space="0" w:color="auto"/>
              <w:left w:val="single" w:sz="4" w:space="0" w:color="auto"/>
              <w:bottom w:val="single" w:sz="4" w:space="0" w:color="auto"/>
              <w:right w:val="single" w:sz="4" w:space="0" w:color="auto"/>
            </w:tcBorders>
            <w:vAlign w:val="center"/>
          </w:tcPr>
          <w:p w14:paraId="7F77DE66" w14:textId="77777777" w:rsidR="00B045CA" w:rsidRPr="00675182" w:rsidRDefault="00B045CA" w:rsidP="00B045CA">
            <w:pPr>
              <w:jc w:val="center"/>
              <w:rPr>
                <w:rFonts w:cs="Times New Roman"/>
                <w:color w:val="000000"/>
                <w:szCs w:val="24"/>
              </w:rPr>
            </w:pPr>
            <w:r w:rsidRPr="00675182">
              <w:rPr>
                <w:rFonts w:cs="Times New Roman"/>
                <w:color w:val="000000"/>
                <w:szCs w:val="24"/>
              </w:rPr>
              <w:t>5.</w:t>
            </w:r>
          </w:p>
        </w:tc>
        <w:tc>
          <w:tcPr>
            <w:tcW w:w="947" w:type="pct"/>
            <w:tcBorders>
              <w:top w:val="single" w:sz="4" w:space="0" w:color="auto"/>
              <w:left w:val="single" w:sz="4" w:space="0" w:color="auto"/>
              <w:bottom w:val="single" w:sz="4" w:space="0" w:color="auto"/>
              <w:right w:val="single" w:sz="4" w:space="0" w:color="auto"/>
            </w:tcBorders>
            <w:vAlign w:val="center"/>
          </w:tcPr>
          <w:p w14:paraId="349BF40E" w14:textId="77777777" w:rsidR="00B045CA" w:rsidRPr="00675182" w:rsidRDefault="00B045CA" w:rsidP="00B045CA">
            <w:pPr>
              <w:rPr>
                <w:rFonts w:cs="Times New Roman"/>
                <w:color w:val="000000"/>
                <w:szCs w:val="24"/>
              </w:rPr>
            </w:pPr>
            <w:r w:rsidRPr="00675182">
              <w:rPr>
                <w:rFonts w:cs="Times New Roman"/>
                <w:color w:val="000000"/>
                <w:szCs w:val="24"/>
              </w:rPr>
              <w:t>Spilvainais ancītis</w:t>
            </w:r>
          </w:p>
        </w:tc>
        <w:tc>
          <w:tcPr>
            <w:tcW w:w="731" w:type="pct"/>
            <w:tcBorders>
              <w:top w:val="single" w:sz="4" w:space="0" w:color="auto"/>
              <w:left w:val="single" w:sz="4" w:space="0" w:color="auto"/>
              <w:bottom w:val="single" w:sz="4" w:space="0" w:color="auto"/>
              <w:right w:val="single" w:sz="4" w:space="0" w:color="auto"/>
            </w:tcBorders>
            <w:vAlign w:val="center"/>
          </w:tcPr>
          <w:p w14:paraId="5DEE8072" w14:textId="77777777" w:rsidR="00B045CA" w:rsidRPr="00675182" w:rsidRDefault="00B045CA" w:rsidP="00B045CA">
            <w:pPr>
              <w:rPr>
                <w:rFonts w:cs="Times New Roman"/>
                <w:i/>
                <w:iCs/>
                <w:color w:val="000000"/>
                <w:szCs w:val="24"/>
              </w:rPr>
            </w:pPr>
            <w:r w:rsidRPr="00675182">
              <w:rPr>
                <w:rFonts w:cs="Times New Roman"/>
                <w:i/>
                <w:iCs/>
                <w:color w:val="000000"/>
                <w:szCs w:val="24"/>
              </w:rPr>
              <w:t>Agrimonia pilosa</w:t>
            </w:r>
          </w:p>
        </w:tc>
        <w:tc>
          <w:tcPr>
            <w:tcW w:w="567" w:type="pct"/>
            <w:tcBorders>
              <w:top w:val="single" w:sz="4" w:space="0" w:color="auto"/>
              <w:left w:val="single" w:sz="4" w:space="0" w:color="auto"/>
              <w:bottom w:val="single" w:sz="4" w:space="0" w:color="auto"/>
              <w:right w:val="single" w:sz="4" w:space="0" w:color="auto"/>
            </w:tcBorders>
            <w:vAlign w:val="center"/>
          </w:tcPr>
          <w:p w14:paraId="21C27A92" w14:textId="77777777" w:rsidR="00B045CA" w:rsidRPr="00675182" w:rsidRDefault="00B045CA" w:rsidP="00B045CA">
            <w:pPr>
              <w:jc w:val="center"/>
              <w:rPr>
                <w:rFonts w:cs="Times New Roman"/>
                <w:color w:val="000000"/>
                <w:szCs w:val="24"/>
              </w:rPr>
            </w:pPr>
            <w:r w:rsidRPr="00675182">
              <w:rPr>
                <w:rFonts w:cs="Times New Roman"/>
                <w:color w:val="000000"/>
                <w:szCs w:val="24"/>
              </w:rPr>
              <w:t>ES II, IV</w:t>
            </w:r>
          </w:p>
        </w:tc>
        <w:tc>
          <w:tcPr>
            <w:tcW w:w="449" w:type="pct"/>
            <w:tcBorders>
              <w:top w:val="single" w:sz="4" w:space="0" w:color="auto"/>
              <w:left w:val="single" w:sz="4" w:space="0" w:color="auto"/>
              <w:bottom w:val="single" w:sz="4" w:space="0" w:color="auto"/>
              <w:right w:val="single" w:sz="4" w:space="0" w:color="auto"/>
            </w:tcBorders>
            <w:vAlign w:val="center"/>
          </w:tcPr>
          <w:p w14:paraId="3CE4EEC2" w14:textId="77777777" w:rsidR="00B045CA" w:rsidRPr="00675182" w:rsidRDefault="00B045CA" w:rsidP="00B045CA">
            <w:pPr>
              <w:jc w:val="center"/>
              <w:rPr>
                <w:rFonts w:eastAsia="Times New Roman" w:cs="Times New Roman"/>
                <w:color w:val="000000"/>
                <w:szCs w:val="24"/>
                <w:lang w:eastAsia="en-GB"/>
              </w:rPr>
            </w:pPr>
            <w:r w:rsidRPr="00675182">
              <w:rPr>
                <w:rFonts w:eastAsia="Times New Roman" w:cs="Times New Roman"/>
                <w:color w:val="000000"/>
                <w:szCs w:val="24"/>
                <w:lang w:eastAsia="en-GB"/>
              </w:rPr>
              <w:t>-</w:t>
            </w:r>
          </w:p>
        </w:tc>
        <w:tc>
          <w:tcPr>
            <w:tcW w:w="673" w:type="pct"/>
            <w:tcBorders>
              <w:top w:val="single" w:sz="4" w:space="0" w:color="auto"/>
              <w:left w:val="nil"/>
              <w:bottom w:val="single" w:sz="4" w:space="0" w:color="auto"/>
              <w:right w:val="single" w:sz="4" w:space="0" w:color="auto"/>
            </w:tcBorders>
            <w:shd w:val="clear" w:color="auto" w:fill="92D050"/>
            <w:vAlign w:val="center"/>
          </w:tcPr>
          <w:p w14:paraId="35A85966" w14:textId="77777777" w:rsidR="00B045CA" w:rsidRPr="00675182" w:rsidRDefault="00B045CA" w:rsidP="00B045CA">
            <w:pPr>
              <w:jc w:val="center"/>
              <w:rPr>
                <w:rFonts w:cs="Times New Roman"/>
                <w:color w:val="000000"/>
                <w:szCs w:val="24"/>
              </w:rPr>
            </w:pPr>
            <w:r w:rsidRPr="00675182">
              <w:rPr>
                <w:rFonts w:cs="Times New Roman"/>
                <w:color w:val="000000"/>
                <w:szCs w:val="24"/>
              </w:rPr>
              <w:t>FV</w:t>
            </w:r>
          </w:p>
        </w:tc>
        <w:tc>
          <w:tcPr>
            <w:tcW w:w="1333" w:type="pct"/>
            <w:tcBorders>
              <w:top w:val="single" w:sz="4" w:space="0" w:color="auto"/>
              <w:left w:val="single" w:sz="4" w:space="0" w:color="auto"/>
              <w:bottom w:val="single" w:sz="4" w:space="0" w:color="auto"/>
              <w:right w:val="single" w:sz="4" w:space="0" w:color="auto"/>
            </w:tcBorders>
            <w:vAlign w:val="center"/>
          </w:tcPr>
          <w:p w14:paraId="167A7E7E" w14:textId="673A35F2" w:rsidR="00B045CA" w:rsidRPr="00675182" w:rsidRDefault="00B045CA" w:rsidP="00B045CA">
            <w:pPr>
              <w:rPr>
                <w:rFonts w:cs="Times New Roman"/>
                <w:color w:val="000000"/>
                <w:szCs w:val="24"/>
              </w:rPr>
            </w:pPr>
            <w:r>
              <w:rPr>
                <w:rFonts w:eastAsia="Times New Roman"/>
                <w:color w:val="000000"/>
                <w:sz w:val="22"/>
                <w:szCs w:val="22"/>
                <w:lang w:eastAsia="en-GB"/>
              </w:rPr>
              <w:t>12 atsevišķas atradnes, visā GNP teritorijā, izņemot dienvidaustrumu daļu</w:t>
            </w:r>
            <w:r w:rsidR="00860FEB">
              <w:rPr>
                <w:rFonts w:eastAsia="Times New Roman"/>
                <w:color w:val="000000"/>
                <w:sz w:val="22"/>
                <w:szCs w:val="22"/>
                <w:lang w:eastAsia="en-GB"/>
              </w:rPr>
              <w:t xml:space="preserve">. </w:t>
            </w:r>
            <w:r w:rsidR="00860FEB">
              <w:rPr>
                <w:rStyle w:val="normaltextrun"/>
                <w:rFonts w:ascii="Calibri" w:hAnsi="Calibri"/>
                <w:bdr w:val="none" w:sz="0" w:space="0" w:color="auto" w:frame="1"/>
              </w:rPr>
              <w:t>P</w:t>
            </w:r>
            <w:r w:rsidR="00860FEB" w:rsidRPr="00860FEB">
              <w:rPr>
                <w:rStyle w:val="normaltextrun"/>
                <w:rFonts w:ascii="Calibri" w:hAnsi="Calibri"/>
                <w:color w:val="000000"/>
                <w:sz w:val="22"/>
                <w:szCs w:val="22"/>
                <w:bdr w:val="none" w:sz="0" w:space="0" w:color="auto" w:frame="1"/>
              </w:rPr>
              <w:t>ārlieku intensīva ceļa malu, krūmāju pļaušana, intensīvs izmīdījums, seno brauktuvju un taku aizaugšana</w:t>
            </w:r>
          </w:p>
        </w:tc>
      </w:tr>
      <w:tr w:rsidR="00B045CA" w:rsidRPr="00675182" w14:paraId="40A6F181" w14:textId="77777777" w:rsidTr="00B045CA">
        <w:trPr>
          <w:cantSplit/>
          <w:trHeight w:val="315"/>
        </w:trPr>
        <w:tc>
          <w:tcPr>
            <w:tcW w:w="300" w:type="pct"/>
            <w:tcBorders>
              <w:top w:val="single" w:sz="4" w:space="0" w:color="auto"/>
              <w:left w:val="single" w:sz="4" w:space="0" w:color="auto"/>
              <w:bottom w:val="single" w:sz="4" w:space="0" w:color="auto"/>
              <w:right w:val="single" w:sz="4" w:space="0" w:color="auto"/>
            </w:tcBorders>
            <w:vAlign w:val="center"/>
          </w:tcPr>
          <w:p w14:paraId="3B90270E" w14:textId="77777777" w:rsidR="00B045CA" w:rsidRPr="00675182" w:rsidRDefault="00B045CA" w:rsidP="00B045CA">
            <w:pPr>
              <w:jc w:val="center"/>
              <w:rPr>
                <w:rFonts w:cs="Times New Roman"/>
                <w:color w:val="000000"/>
                <w:szCs w:val="24"/>
              </w:rPr>
            </w:pPr>
            <w:r w:rsidRPr="00675182">
              <w:rPr>
                <w:rFonts w:cs="Times New Roman"/>
                <w:color w:val="000000"/>
                <w:szCs w:val="24"/>
              </w:rPr>
              <w:lastRenderedPageBreak/>
              <w:t>6.</w:t>
            </w:r>
          </w:p>
        </w:tc>
        <w:tc>
          <w:tcPr>
            <w:tcW w:w="947" w:type="pct"/>
            <w:tcBorders>
              <w:top w:val="single" w:sz="4" w:space="0" w:color="auto"/>
              <w:left w:val="single" w:sz="4" w:space="0" w:color="auto"/>
              <w:bottom w:val="single" w:sz="4" w:space="0" w:color="auto"/>
              <w:right w:val="single" w:sz="4" w:space="0" w:color="auto"/>
            </w:tcBorders>
            <w:vAlign w:val="center"/>
          </w:tcPr>
          <w:p w14:paraId="24370CFE" w14:textId="77777777" w:rsidR="00B045CA" w:rsidRPr="00675182" w:rsidRDefault="00B045CA" w:rsidP="00B045CA">
            <w:pPr>
              <w:rPr>
                <w:rFonts w:cs="Times New Roman"/>
                <w:color w:val="000000"/>
                <w:szCs w:val="24"/>
              </w:rPr>
            </w:pPr>
            <w:r w:rsidRPr="00675182">
              <w:rPr>
                <w:rFonts w:cs="Times New Roman"/>
                <w:color w:val="000000"/>
                <w:szCs w:val="24"/>
              </w:rPr>
              <w:t>Staipekņi</w:t>
            </w:r>
          </w:p>
        </w:tc>
        <w:tc>
          <w:tcPr>
            <w:tcW w:w="731" w:type="pct"/>
            <w:tcBorders>
              <w:top w:val="single" w:sz="4" w:space="0" w:color="auto"/>
              <w:left w:val="single" w:sz="4" w:space="0" w:color="auto"/>
              <w:bottom w:val="single" w:sz="4" w:space="0" w:color="auto"/>
              <w:right w:val="single" w:sz="4" w:space="0" w:color="auto"/>
            </w:tcBorders>
            <w:vAlign w:val="center"/>
          </w:tcPr>
          <w:p w14:paraId="6EFA3BFF" w14:textId="77777777" w:rsidR="00B045CA" w:rsidRPr="00675182" w:rsidRDefault="00B045CA" w:rsidP="00B045CA">
            <w:pPr>
              <w:rPr>
                <w:rFonts w:cs="Times New Roman"/>
                <w:i/>
                <w:iCs/>
                <w:color w:val="000000"/>
                <w:szCs w:val="24"/>
              </w:rPr>
            </w:pPr>
            <w:r w:rsidRPr="00675182">
              <w:rPr>
                <w:rFonts w:cs="Times New Roman"/>
                <w:i/>
                <w:iCs/>
                <w:color w:val="000000"/>
                <w:szCs w:val="24"/>
              </w:rPr>
              <w:t xml:space="preserve">Lycopodium </w:t>
            </w:r>
            <w:r w:rsidRPr="00675182">
              <w:rPr>
                <w:rFonts w:cs="Times New Roman"/>
                <w:color w:val="000000"/>
                <w:szCs w:val="24"/>
              </w:rPr>
              <w:t>spp.</w:t>
            </w:r>
          </w:p>
        </w:tc>
        <w:tc>
          <w:tcPr>
            <w:tcW w:w="567" w:type="pct"/>
            <w:tcBorders>
              <w:top w:val="single" w:sz="4" w:space="0" w:color="auto"/>
              <w:left w:val="single" w:sz="4" w:space="0" w:color="auto"/>
              <w:bottom w:val="single" w:sz="4" w:space="0" w:color="auto"/>
              <w:right w:val="single" w:sz="4" w:space="0" w:color="auto"/>
            </w:tcBorders>
            <w:vAlign w:val="center"/>
          </w:tcPr>
          <w:p w14:paraId="10DC89AB" w14:textId="77777777" w:rsidR="00B045CA" w:rsidRPr="00675182" w:rsidRDefault="00B045CA" w:rsidP="00B045CA">
            <w:pPr>
              <w:jc w:val="center"/>
              <w:rPr>
                <w:rFonts w:cs="Times New Roman"/>
                <w:color w:val="000000"/>
                <w:szCs w:val="24"/>
              </w:rPr>
            </w:pPr>
            <w:r w:rsidRPr="00675182">
              <w:rPr>
                <w:rFonts w:cs="Times New Roman"/>
                <w:color w:val="000000"/>
                <w:szCs w:val="24"/>
              </w:rPr>
              <w:t>ĪAS 2</w:t>
            </w:r>
          </w:p>
        </w:tc>
        <w:tc>
          <w:tcPr>
            <w:tcW w:w="449" w:type="pct"/>
            <w:tcBorders>
              <w:top w:val="single" w:sz="4" w:space="0" w:color="auto"/>
              <w:left w:val="single" w:sz="4" w:space="0" w:color="auto"/>
              <w:bottom w:val="single" w:sz="4" w:space="0" w:color="auto"/>
              <w:right w:val="single" w:sz="4" w:space="0" w:color="auto"/>
            </w:tcBorders>
            <w:vAlign w:val="center"/>
          </w:tcPr>
          <w:p w14:paraId="779A2B7A" w14:textId="7100192A" w:rsidR="00B045CA" w:rsidRPr="00675182" w:rsidRDefault="00B045CA" w:rsidP="00B045CA">
            <w:pPr>
              <w:jc w:val="center"/>
              <w:rPr>
                <w:rFonts w:eastAsia="Times New Roman" w:cs="Times New Roman"/>
                <w:color w:val="000000"/>
                <w:szCs w:val="24"/>
                <w:lang w:eastAsia="en-GB"/>
              </w:rPr>
            </w:pPr>
            <w:r w:rsidRPr="00675182">
              <w:rPr>
                <w:rFonts w:eastAsia="Times New Roman" w:cs="Times New Roman"/>
                <w:color w:val="000000"/>
                <w:szCs w:val="24"/>
                <w:lang w:eastAsia="en-GB"/>
              </w:rPr>
              <w:t>SG IV</w:t>
            </w:r>
            <w:r>
              <w:rPr>
                <w:rFonts w:eastAsia="Times New Roman" w:cs="Times New Roman"/>
                <w:color w:val="000000"/>
                <w:szCs w:val="24"/>
                <w:lang w:eastAsia="en-GB"/>
              </w:rPr>
              <w:t>, V</w:t>
            </w:r>
          </w:p>
        </w:tc>
        <w:tc>
          <w:tcPr>
            <w:tcW w:w="673" w:type="pct"/>
            <w:tcBorders>
              <w:top w:val="single" w:sz="4" w:space="0" w:color="auto"/>
              <w:left w:val="nil"/>
              <w:bottom w:val="single" w:sz="4" w:space="0" w:color="auto"/>
              <w:right w:val="single" w:sz="4" w:space="0" w:color="auto"/>
            </w:tcBorders>
            <w:shd w:val="clear" w:color="auto" w:fill="FFFF00"/>
            <w:vAlign w:val="center"/>
          </w:tcPr>
          <w:p w14:paraId="7082D6A9" w14:textId="77777777" w:rsidR="00B045CA" w:rsidRPr="00675182" w:rsidRDefault="00B045CA" w:rsidP="00B045CA">
            <w:pPr>
              <w:jc w:val="center"/>
              <w:rPr>
                <w:rFonts w:cs="Times New Roman"/>
                <w:color w:val="000000"/>
                <w:szCs w:val="24"/>
              </w:rPr>
            </w:pPr>
            <w:r w:rsidRPr="00675182">
              <w:rPr>
                <w:rFonts w:cs="Times New Roman"/>
                <w:color w:val="000000"/>
                <w:szCs w:val="24"/>
              </w:rPr>
              <w:t>U1</w:t>
            </w:r>
          </w:p>
        </w:tc>
        <w:tc>
          <w:tcPr>
            <w:tcW w:w="1333" w:type="pct"/>
            <w:tcBorders>
              <w:top w:val="single" w:sz="4" w:space="0" w:color="auto"/>
              <w:left w:val="single" w:sz="4" w:space="0" w:color="auto"/>
              <w:bottom w:val="single" w:sz="4" w:space="0" w:color="auto"/>
              <w:right w:val="single" w:sz="4" w:space="0" w:color="auto"/>
            </w:tcBorders>
            <w:vAlign w:val="center"/>
          </w:tcPr>
          <w:p w14:paraId="66720E99" w14:textId="41328508" w:rsidR="00B045CA" w:rsidRPr="00675182" w:rsidRDefault="00B045CA" w:rsidP="00B045CA">
            <w:pPr>
              <w:rPr>
                <w:rFonts w:cs="Times New Roman"/>
                <w:color w:val="000000"/>
                <w:szCs w:val="24"/>
              </w:rPr>
            </w:pPr>
            <w:r>
              <w:rPr>
                <w:rFonts w:eastAsia="Times New Roman"/>
                <w:color w:val="000000"/>
                <w:sz w:val="22"/>
                <w:szCs w:val="22"/>
                <w:lang w:eastAsia="en-GB"/>
              </w:rPr>
              <w:t>Samērā bieži purvos, purvainos mežos (zināmas 23 sugas no bieži līdz iespējams izzudušas statusam)</w:t>
            </w:r>
            <w:r w:rsidR="00F247AB">
              <w:rPr>
                <w:rFonts w:eastAsia="Times New Roman"/>
                <w:color w:val="000000"/>
                <w:sz w:val="22"/>
                <w:szCs w:val="22"/>
                <w:lang w:eastAsia="en-GB"/>
              </w:rPr>
              <w:t xml:space="preserve">. </w:t>
            </w:r>
            <w:r w:rsidR="00F247AB" w:rsidRPr="00F247AB">
              <w:rPr>
                <w:rStyle w:val="normaltextrun"/>
                <w:rFonts w:ascii="Calibri" w:hAnsi="Calibri"/>
                <w:color w:val="000000"/>
                <w:sz w:val="22"/>
                <w:szCs w:val="22"/>
                <w:shd w:val="clear" w:color="auto" w:fill="FFFFFF"/>
              </w:rPr>
              <w:t xml:space="preserve">Ļoti bieži 3 sugas - </w:t>
            </w:r>
            <w:r w:rsidR="00F247AB" w:rsidRPr="00F247AB">
              <w:rPr>
                <w:rStyle w:val="normaltextrun"/>
                <w:rFonts w:ascii="Calibri" w:hAnsi="Calibri"/>
                <w:i/>
                <w:iCs/>
                <w:color w:val="000000"/>
                <w:sz w:val="22"/>
                <w:szCs w:val="22"/>
                <w:shd w:val="clear" w:color="auto" w:fill="FFFFFF"/>
              </w:rPr>
              <w:t>Lycopodium annotinum</w:t>
            </w:r>
            <w:r w:rsidR="00F247AB" w:rsidRPr="00F247AB">
              <w:rPr>
                <w:rStyle w:val="normaltextrun"/>
                <w:rFonts w:ascii="Calibri" w:hAnsi="Calibri"/>
                <w:color w:val="000000"/>
                <w:sz w:val="22"/>
                <w:szCs w:val="22"/>
                <w:shd w:val="clear" w:color="auto" w:fill="FFFFFF"/>
              </w:rPr>
              <w:t xml:space="preserve">, </w:t>
            </w:r>
            <w:r w:rsidR="00F247AB" w:rsidRPr="00F247AB">
              <w:rPr>
                <w:rStyle w:val="normaltextrun"/>
                <w:rFonts w:ascii="Calibri" w:hAnsi="Calibri"/>
                <w:i/>
                <w:iCs/>
                <w:color w:val="000000"/>
                <w:sz w:val="22"/>
                <w:szCs w:val="22"/>
                <w:shd w:val="clear" w:color="auto" w:fill="FFFFFF"/>
              </w:rPr>
              <w:t>L.clavatum</w:t>
            </w:r>
            <w:r w:rsidR="00F247AB" w:rsidRPr="00F247AB">
              <w:rPr>
                <w:rStyle w:val="normaltextrun"/>
                <w:rFonts w:ascii="Calibri" w:hAnsi="Calibri"/>
                <w:color w:val="000000"/>
                <w:sz w:val="22"/>
                <w:szCs w:val="22"/>
                <w:shd w:val="clear" w:color="auto" w:fill="FFFFFF"/>
              </w:rPr>
              <w:t xml:space="preserve">, </w:t>
            </w:r>
            <w:r w:rsidR="00F247AB" w:rsidRPr="00F247AB">
              <w:rPr>
                <w:rStyle w:val="normaltextrun"/>
                <w:rFonts w:ascii="Calibri" w:hAnsi="Calibri"/>
                <w:i/>
                <w:iCs/>
                <w:color w:val="000000"/>
                <w:sz w:val="22"/>
                <w:szCs w:val="22"/>
                <w:shd w:val="clear" w:color="auto" w:fill="FFFFFF"/>
              </w:rPr>
              <w:t>Huperzia selago</w:t>
            </w:r>
            <w:r w:rsidR="00F247AB" w:rsidRPr="00F247AB">
              <w:rPr>
                <w:rStyle w:val="normaltextrun"/>
                <w:rFonts w:ascii="Calibri" w:hAnsi="Calibri"/>
                <w:color w:val="000000"/>
                <w:sz w:val="22"/>
                <w:szCs w:val="22"/>
                <w:shd w:val="clear" w:color="auto" w:fill="FFFFFF"/>
              </w:rPr>
              <w:t xml:space="preserve">, ļoti reti 2 sugas </w:t>
            </w:r>
            <w:r w:rsidR="00F247AB" w:rsidRPr="00F247AB">
              <w:rPr>
                <w:rStyle w:val="normaltextrun"/>
                <w:rFonts w:ascii="Calibri" w:hAnsi="Calibri"/>
                <w:i/>
                <w:iCs/>
                <w:color w:val="000000"/>
                <w:sz w:val="22"/>
                <w:szCs w:val="22"/>
                <w:shd w:val="clear" w:color="auto" w:fill="FFFFFF"/>
              </w:rPr>
              <w:t>Diphasiastrum complanatum</w:t>
            </w:r>
            <w:r w:rsidR="00F247AB" w:rsidRPr="00F247AB">
              <w:rPr>
                <w:rStyle w:val="normaltextrun"/>
                <w:rFonts w:ascii="Calibri" w:hAnsi="Calibri"/>
                <w:color w:val="000000"/>
                <w:sz w:val="22"/>
                <w:szCs w:val="22"/>
                <w:shd w:val="clear" w:color="auto" w:fill="FFFFFF"/>
              </w:rPr>
              <w:t xml:space="preserve"> un </w:t>
            </w:r>
            <w:r w:rsidR="00F247AB" w:rsidRPr="00F247AB">
              <w:rPr>
                <w:rStyle w:val="normaltextrun"/>
                <w:rFonts w:ascii="Calibri" w:hAnsi="Calibri"/>
                <w:i/>
                <w:iCs/>
                <w:color w:val="000000"/>
                <w:sz w:val="22"/>
                <w:szCs w:val="22"/>
                <w:shd w:val="clear" w:color="auto" w:fill="FFFFFF"/>
              </w:rPr>
              <w:t>D.zeilleri</w:t>
            </w:r>
            <w:r w:rsidR="00F247AB" w:rsidRPr="00F247AB">
              <w:rPr>
                <w:rStyle w:val="normaltextrun"/>
                <w:rFonts w:ascii="Calibri" w:hAnsi="Calibri"/>
                <w:color w:val="000000"/>
                <w:sz w:val="22"/>
                <w:szCs w:val="22"/>
                <w:shd w:val="clear" w:color="auto" w:fill="FFFFFF"/>
              </w:rPr>
              <w:t>; visiem</w:t>
            </w:r>
            <w:r w:rsidR="00F247AB">
              <w:rPr>
                <w:rStyle w:val="normaltextrun"/>
                <w:rFonts w:ascii="Calibri" w:hAnsi="Calibri"/>
                <w:color w:val="000000"/>
                <w:sz w:val="22"/>
                <w:szCs w:val="22"/>
                <w:shd w:val="clear" w:color="auto" w:fill="FFFFFF"/>
              </w:rPr>
              <w:t xml:space="preserve"> </w:t>
            </w:r>
            <w:r w:rsidR="00F247AB" w:rsidRPr="00F247AB">
              <w:rPr>
                <w:rStyle w:val="normaltextrun"/>
                <w:rFonts w:ascii="Calibri" w:hAnsi="Calibri"/>
                <w:sz w:val="22"/>
                <w:szCs w:val="22"/>
                <w:shd w:val="clear" w:color="auto" w:fill="FFFFFF"/>
              </w:rPr>
              <w:t>negatīvā ietekme no</w:t>
            </w:r>
            <w:r w:rsidR="00F247AB" w:rsidRPr="00F247AB">
              <w:rPr>
                <w:rStyle w:val="normaltextrun"/>
                <w:rFonts w:ascii="Calibri" w:hAnsi="Calibri"/>
                <w:color w:val="000000"/>
                <w:sz w:val="22"/>
                <w:szCs w:val="22"/>
                <w:shd w:val="clear" w:color="auto" w:fill="FFFFFF"/>
              </w:rPr>
              <w:t xml:space="preserve"> mežsaimnieciskās darbības - kailcirtes, mehāniska izraušana;  </w:t>
            </w:r>
            <w:r w:rsidR="00F247AB" w:rsidRPr="00F247AB">
              <w:rPr>
                <w:rStyle w:val="normaltextrun"/>
                <w:rFonts w:ascii="Calibri" w:hAnsi="Calibri"/>
                <w:i/>
                <w:iCs/>
                <w:color w:val="000000"/>
                <w:sz w:val="22"/>
                <w:szCs w:val="22"/>
                <w:shd w:val="clear" w:color="auto" w:fill="FFFFFF"/>
              </w:rPr>
              <w:t>L.clavatum</w:t>
            </w:r>
            <w:r w:rsidR="00F247AB" w:rsidRPr="00F247AB">
              <w:rPr>
                <w:rStyle w:val="normaltextrun"/>
                <w:rFonts w:ascii="Calibri" w:hAnsi="Calibri"/>
                <w:color w:val="000000"/>
                <w:sz w:val="22"/>
                <w:szCs w:val="22"/>
                <w:shd w:val="clear" w:color="auto" w:fill="FFFFFF"/>
              </w:rPr>
              <w:t xml:space="preserve">, </w:t>
            </w:r>
            <w:r w:rsidR="00F247AB" w:rsidRPr="00F247AB">
              <w:rPr>
                <w:rStyle w:val="normaltextrun"/>
                <w:rFonts w:ascii="Calibri" w:hAnsi="Calibri"/>
                <w:i/>
                <w:iCs/>
                <w:color w:val="000000"/>
                <w:sz w:val="22"/>
                <w:szCs w:val="22"/>
                <w:shd w:val="clear" w:color="auto" w:fill="FFFFFF"/>
              </w:rPr>
              <w:t>D.complanatum</w:t>
            </w:r>
            <w:r w:rsidR="00F247AB" w:rsidRPr="00F247AB">
              <w:rPr>
                <w:rStyle w:val="normaltextrun"/>
                <w:rFonts w:ascii="Calibri" w:hAnsi="Calibri"/>
                <w:color w:val="000000"/>
                <w:sz w:val="22"/>
                <w:szCs w:val="22"/>
                <w:shd w:val="clear" w:color="auto" w:fill="FFFFFF"/>
              </w:rPr>
              <w:t xml:space="preserve"> dabisko traucējumu trūkums/ meža zemsedzes eitrofikācija; </w:t>
            </w:r>
            <w:r w:rsidR="00F247AB" w:rsidRPr="00F247AB">
              <w:rPr>
                <w:rStyle w:val="normaltextrun"/>
                <w:rFonts w:ascii="Calibri" w:hAnsi="Calibri"/>
                <w:i/>
                <w:iCs/>
                <w:color w:val="000000"/>
                <w:sz w:val="22"/>
                <w:szCs w:val="22"/>
                <w:shd w:val="clear" w:color="auto" w:fill="FFFFFF"/>
              </w:rPr>
              <w:t xml:space="preserve"> </w:t>
            </w:r>
            <w:r w:rsidR="00F247AB" w:rsidRPr="00F247AB">
              <w:rPr>
                <w:rStyle w:val="normaltextrun"/>
                <w:rFonts w:ascii="Calibri" w:hAnsi="Calibri"/>
                <w:color w:val="000000"/>
                <w:sz w:val="22"/>
                <w:szCs w:val="22"/>
                <w:shd w:val="clear" w:color="auto" w:fill="FFFFFF"/>
              </w:rPr>
              <w:t>tikai vēsturiskās atradnes</w:t>
            </w:r>
            <w:r w:rsidR="00F247AB" w:rsidRPr="00F247AB">
              <w:rPr>
                <w:rStyle w:val="normaltextrun"/>
                <w:rFonts w:ascii="Calibri" w:hAnsi="Calibri"/>
                <w:i/>
                <w:iCs/>
                <w:color w:val="000000"/>
                <w:sz w:val="22"/>
                <w:szCs w:val="22"/>
                <w:shd w:val="clear" w:color="auto" w:fill="FFFFFF"/>
              </w:rPr>
              <w:t xml:space="preserve"> D.zeilerii </w:t>
            </w:r>
            <w:r w:rsidR="00F247AB" w:rsidRPr="00F247AB">
              <w:rPr>
                <w:rStyle w:val="normaltextrun"/>
                <w:rFonts w:ascii="Calibri" w:hAnsi="Calibri"/>
                <w:color w:val="000000"/>
                <w:sz w:val="22"/>
                <w:szCs w:val="22"/>
                <w:shd w:val="clear" w:color="auto" w:fill="FFFFFF"/>
              </w:rPr>
              <w:t>un</w:t>
            </w:r>
            <w:r w:rsidR="00F247AB" w:rsidRPr="00F247AB">
              <w:rPr>
                <w:rStyle w:val="normaltextrun"/>
                <w:rFonts w:ascii="Calibri" w:hAnsi="Calibri"/>
                <w:i/>
                <w:iCs/>
                <w:color w:val="000000"/>
                <w:sz w:val="22"/>
                <w:szCs w:val="22"/>
                <w:shd w:val="clear" w:color="auto" w:fill="FFFFFF"/>
              </w:rPr>
              <w:t xml:space="preserve"> Lycopodiella inundata</w:t>
            </w:r>
          </w:p>
        </w:tc>
      </w:tr>
    </w:tbl>
    <w:p w14:paraId="0595E59B" w14:textId="23B17684" w:rsidR="00260FDA" w:rsidRPr="00675182" w:rsidRDefault="00260FDA" w:rsidP="00260FDA">
      <w:pPr>
        <w:rPr>
          <w:rFonts w:cstheme="minorHAnsi"/>
          <w:sz w:val="20"/>
        </w:rPr>
      </w:pPr>
      <w:r w:rsidRPr="00675182">
        <w:rPr>
          <w:rFonts w:cstheme="minorHAnsi"/>
          <w:sz w:val="20"/>
        </w:rPr>
        <w:t xml:space="preserve">Informācija par sugu aizsardzības stāvokli Latvijā no „Ziņojums Eiropas Komisijai par biotopu (dzīvotņu) un sugu aizsardzības stāvokli Latvijā. Novērtējums par 2013.-2018. gada periodu” </w:t>
      </w:r>
      <w:r w:rsidRPr="00675182">
        <w:rPr>
          <w:rFonts w:cstheme="minorHAnsi"/>
          <w:b/>
          <w:bCs/>
          <w:sz w:val="20"/>
        </w:rPr>
        <w:t>FV</w:t>
      </w:r>
      <w:r w:rsidRPr="00675182">
        <w:rPr>
          <w:rFonts w:cstheme="minorHAnsi"/>
          <w:sz w:val="20"/>
        </w:rPr>
        <w:t xml:space="preserve">: Aizsardzības stāvoklis labvēlīgs (Favourable); </w:t>
      </w:r>
      <w:r w:rsidRPr="00675182">
        <w:rPr>
          <w:rFonts w:cstheme="minorHAnsi"/>
          <w:b/>
          <w:bCs/>
          <w:sz w:val="20"/>
        </w:rPr>
        <w:t>U1</w:t>
      </w:r>
      <w:r w:rsidRPr="00675182">
        <w:rPr>
          <w:rFonts w:cstheme="minorHAnsi"/>
          <w:sz w:val="20"/>
        </w:rPr>
        <w:t xml:space="preserve">: Aizsardzības stāvoklis nelabvēlīgs-nepietiekams (Unfavourable-Inadequate); </w:t>
      </w:r>
      <w:r w:rsidRPr="00675182">
        <w:rPr>
          <w:rFonts w:cstheme="minorHAnsi"/>
          <w:b/>
          <w:bCs/>
          <w:sz w:val="20"/>
        </w:rPr>
        <w:t>U2</w:t>
      </w:r>
      <w:r w:rsidRPr="00675182">
        <w:rPr>
          <w:rFonts w:cstheme="minorHAnsi"/>
          <w:sz w:val="20"/>
        </w:rPr>
        <w:t xml:space="preserve">: Aizsardzības stāvoklis nelabvēlīgs-slikts (Unfavourable-Bad); </w:t>
      </w:r>
      <w:r w:rsidRPr="00675182">
        <w:rPr>
          <w:rFonts w:cstheme="minorHAnsi"/>
          <w:b/>
          <w:bCs/>
          <w:sz w:val="20"/>
        </w:rPr>
        <w:t>XX</w:t>
      </w:r>
      <w:r w:rsidRPr="00675182">
        <w:rPr>
          <w:rFonts w:cstheme="minorHAnsi"/>
          <w:sz w:val="20"/>
        </w:rPr>
        <w:t xml:space="preserve">: Aizsardzības stāvoklis nezināms (Unknown). </w:t>
      </w:r>
    </w:p>
    <w:p w14:paraId="62960E26" w14:textId="77777777" w:rsidR="00260FDA" w:rsidRPr="00675182" w:rsidRDefault="00260FDA" w:rsidP="00260FDA">
      <w:pPr>
        <w:pStyle w:val="BodyText"/>
        <w:spacing w:after="0"/>
        <w:rPr>
          <w:rFonts w:cstheme="minorHAnsi"/>
          <w:b/>
          <w:bCs/>
          <w:sz w:val="20"/>
          <w:lang w:val="lv-LV"/>
        </w:rPr>
      </w:pPr>
    </w:p>
    <w:p w14:paraId="31A9B367" w14:textId="77777777" w:rsidR="00260FDA" w:rsidRPr="00675182" w:rsidRDefault="00260FDA" w:rsidP="00260FDA">
      <w:pPr>
        <w:pStyle w:val="BodyText"/>
        <w:spacing w:after="0"/>
        <w:rPr>
          <w:rFonts w:cstheme="minorHAnsi"/>
          <w:b/>
          <w:bCs/>
          <w:sz w:val="20"/>
          <w:lang w:val="lv-LV"/>
        </w:rPr>
      </w:pPr>
      <w:r w:rsidRPr="00675182">
        <w:rPr>
          <w:rFonts w:cstheme="minorHAnsi"/>
          <w:b/>
          <w:bCs/>
          <w:sz w:val="20"/>
          <w:lang w:val="lv-LV"/>
        </w:rPr>
        <w:t>Saīsinājumi:</w:t>
      </w:r>
    </w:p>
    <w:p w14:paraId="565449F6" w14:textId="77777777" w:rsidR="00260FDA" w:rsidRPr="00675182" w:rsidRDefault="00260FDA" w:rsidP="00260FDA">
      <w:pPr>
        <w:rPr>
          <w:rFonts w:cstheme="minorHAnsi"/>
          <w:spacing w:val="-1"/>
          <w:sz w:val="20"/>
        </w:rPr>
      </w:pPr>
      <w:r w:rsidRPr="00675182">
        <w:rPr>
          <w:rFonts w:cstheme="minorHAnsi"/>
          <w:b/>
          <w:bCs/>
          <w:sz w:val="20"/>
        </w:rPr>
        <w:t>SG</w:t>
      </w:r>
      <w:r w:rsidRPr="00675182">
        <w:rPr>
          <w:rFonts w:cstheme="minorHAnsi"/>
          <w:sz w:val="20"/>
        </w:rPr>
        <w:t xml:space="preserve"> – </w:t>
      </w:r>
      <w:r w:rsidRPr="00675182">
        <w:rPr>
          <w:rFonts w:cstheme="minorHAnsi"/>
          <w:spacing w:val="-1"/>
          <w:sz w:val="20"/>
        </w:rPr>
        <w:t xml:space="preserve">Latvijas Sarkanā grāmata. LSG tiek lietotas šādas apdraudēto sugu kategorijas: </w:t>
      </w:r>
      <w:r w:rsidRPr="00675182">
        <w:rPr>
          <w:rFonts w:cstheme="minorHAnsi"/>
          <w:b/>
          <w:bCs/>
          <w:sz w:val="20"/>
        </w:rPr>
        <w:t>I</w:t>
      </w:r>
      <w:r w:rsidRPr="00675182">
        <w:rPr>
          <w:rFonts w:cstheme="minorHAnsi"/>
          <w:sz w:val="20"/>
        </w:rPr>
        <w:t xml:space="preserve"> - izzūdošās sugas; </w:t>
      </w:r>
      <w:r w:rsidRPr="00675182">
        <w:rPr>
          <w:rFonts w:cstheme="minorHAnsi"/>
          <w:b/>
          <w:bCs/>
          <w:sz w:val="20"/>
        </w:rPr>
        <w:t>II</w:t>
      </w:r>
      <w:r w:rsidRPr="00675182">
        <w:rPr>
          <w:rFonts w:cstheme="minorHAnsi"/>
          <w:sz w:val="20"/>
        </w:rPr>
        <w:t xml:space="preserve"> </w:t>
      </w:r>
      <w:r w:rsidRPr="00675182">
        <w:rPr>
          <w:rFonts w:cstheme="minorHAnsi"/>
          <w:spacing w:val="-1"/>
          <w:sz w:val="20"/>
        </w:rPr>
        <w:t xml:space="preserve">- sarūkošās sugas; </w:t>
      </w:r>
      <w:r w:rsidRPr="00675182">
        <w:rPr>
          <w:rFonts w:cstheme="minorHAnsi"/>
          <w:b/>
          <w:bCs/>
          <w:spacing w:val="-1"/>
          <w:sz w:val="20"/>
        </w:rPr>
        <w:t>III</w:t>
      </w:r>
      <w:r w:rsidRPr="00675182">
        <w:rPr>
          <w:rFonts w:cstheme="minorHAnsi"/>
          <w:spacing w:val="-1"/>
          <w:sz w:val="20"/>
        </w:rPr>
        <w:t xml:space="preserve"> - retās sugas; </w:t>
      </w:r>
      <w:r w:rsidRPr="00675182">
        <w:rPr>
          <w:rFonts w:cstheme="minorHAnsi"/>
          <w:b/>
          <w:bCs/>
          <w:spacing w:val="-1"/>
          <w:sz w:val="20"/>
        </w:rPr>
        <w:t>IV</w:t>
      </w:r>
      <w:r w:rsidRPr="00675182">
        <w:rPr>
          <w:rFonts w:cstheme="minorHAnsi"/>
          <w:spacing w:val="-1"/>
          <w:sz w:val="20"/>
        </w:rPr>
        <w:t xml:space="preserve"> - maz pazīstamās sugas.</w:t>
      </w:r>
    </w:p>
    <w:p w14:paraId="7AA65082" w14:textId="599CE609" w:rsidR="00260FDA" w:rsidRPr="00675182" w:rsidRDefault="00260FDA" w:rsidP="00260FDA">
      <w:pPr>
        <w:rPr>
          <w:rFonts w:cstheme="minorHAnsi"/>
          <w:sz w:val="20"/>
          <w:szCs w:val="24"/>
        </w:rPr>
      </w:pPr>
      <w:r w:rsidRPr="00675182">
        <w:rPr>
          <w:rFonts w:cstheme="minorHAnsi"/>
          <w:b/>
          <w:bCs/>
          <w:sz w:val="20"/>
          <w:szCs w:val="24"/>
        </w:rPr>
        <w:t>ES</w:t>
      </w:r>
      <w:r w:rsidRPr="00675182">
        <w:rPr>
          <w:rFonts w:cstheme="minorHAnsi"/>
          <w:sz w:val="20"/>
          <w:szCs w:val="24"/>
        </w:rPr>
        <w:t xml:space="preserve"> – Eiropas Padomes direktīva 92/43/EEK (21.05.1992) Par dabisko dzīvotņu, savvaļas floras un faunas aizsardzību. </w:t>
      </w:r>
      <w:r w:rsidRPr="00675182">
        <w:rPr>
          <w:rFonts w:cstheme="minorHAnsi"/>
          <w:b/>
          <w:sz w:val="20"/>
          <w:szCs w:val="24"/>
        </w:rPr>
        <w:t>II</w:t>
      </w:r>
      <w:r w:rsidRPr="00675182">
        <w:rPr>
          <w:rFonts w:cstheme="minorHAnsi"/>
          <w:sz w:val="20"/>
          <w:szCs w:val="24"/>
        </w:rPr>
        <w:t xml:space="preserve"> pielikums. Dzīvnieku un augu sugas, kas ir Kopienas interešu sfērā un kuru aizsardzībai nepieciešama </w:t>
      </w:r>
      <w:r w:rsidR="00CD689F">
        <w:rPr>
          <w:rFonts w:cstheme="minorHAnsi"/>
          <w:sz w:val="20"/>
          <w:szCs w:val="24"/>
        </w:rPr>
        <w:t>ĪA</w:t>
      </w:r>
      <w:r w:rsidRPr="00675182">
        <w:rPr>
          <w:rFonts w:cstheme="minorHAnsi"/>
          <w:sz w:val="20"/>
          <w:szCs w:val="24"/>
        </w:rPr>
        <w:t xml:space="preserve"> teritoriju nodalīšana. </w:t>
      </w:r>
      <w:r w:rsidRPr="00675182">
        <w:rPr>
          <w:rFonts w:cstheme="minorHAnsi"/>
          <w:b/>
          <w:sz w:val="20"/>
          <w:szCs w:val="24"/>
        </w:rPr>
        <w:t>V</w:t>
      </w:r>
      <w:r w:rsidRPr="00675182">
        <w:rPr>
          <w:rFonts w:cstheme="minorHAnsi"/>
          <w:sz w:val="20"/>
          <w:szCs w:val="24"/>
        </w:rPr>
        <w:t xml:space="preserve"> pielikums. Dzīvnieku un augu sugas, kas ir Kopienas interešu sfērā un kuru iegūšana un ekspluatācija dabā var būt pieļaujama.</w:t>
      </w:r>
    </w:p>
    <w:p w14:paraId="596B8BE1" w14:textId="77777777" w:rsidR="00260FDA" w:rsidRPr="00675182" w:rsidRDefault="00260FDA" w:rsidP="00260FDA">
      <w:pPr>
        <w:rPr>
          <w:rFonts w:cstheme="minorHAnsi"/>
          <w:sz w:val="20"/>
          <w:szCs w:val="24"/>
        </w:rPr>
      </w:pPr>
      <w:r w:rsidRPr="00675182">
        <w:rPr>
          <w:rFonts w:cstheme="minorHAnsi"/>
          <w:b/>
          <w:bCs/>
          <w:sz w:val="20"/>
          <w:szCs w:val="24"/>
        </w:rPr>
        <w:lastRenderedPageBreak/>
        <w:t>ĪAS</w:t>
      </w:r>
      <w:r w:rsidRPr="00675182">
        <w:rPr>
          <w:rFonts w:cstheme="minorHAnsi"/>
          <w:sz w:val="20"/>
          <w:szCs w:val="24"/>
        </w:rPr>
        <w:t xml:space="preserve"> – īpaši aizsargājama suga (MK noteikumi Nr. 396. ”Noteikumi par īpaši aizsargājamo sugu un ierobežoti izmantojamo īpaši aizsargājamo sugu sarakstu”, 14.11.2000., grozījumi 27.07.2004.)</w:t>
      </w:r>
    </w:p>
    <w:p w14:paraId="0DE20BEF" w14:textId="77777777" w:rsidR="00260FDA" w:rsidRPr="00675182" w:rsidRDefault="00260FDA" w:rsidP="00260FDA">
      <w:pPr>
        <w:rPr>
          <w:rFonts w:cstheme="minorHAnsi"/>
          <w:sz w:val="20"/>
          <w:szCs w:val="24"/>
        </w:rPr>
      </w:pPr>
      <w:r w:rsidRPr="00675182">
        <w:rPr>
          <w:rFonts w:cstheme="minorHAnsi"/>
          <w:b/>
          <w:sz w:val="20"/>
          <w:szCs w:val="24"/>
        </w:rPr>
        <w:t xml:space="preserve">MIK </w:t>
      </w:r>
      <w:r w:rsidRPr="00675182">
        <w:rPr>
          <w:rFonts w:cstheme="minorHAnsi"/>
          <w:sz w:val="20"/>
          <w:szCs w:val="24"/>
        </w:rPr>
        <w:t>– sugas aizsardzībai veidojams mikroliegums, 2. pielikums MK 2012. gada 18. decembra noteikumiem Nr. 940 „Noteikumi par mikroliegumu izveidošanas un apsaimniekošanas kārtību, to aizsardzību, kā arī mikroliegumu un to buferzonu noteikšanu”</w:t>
      </w:r>
    </w:p>
    <w:p w14:paraId="33F09775" w14:textId="77777777" w:rsidR="00260FDA" w:rsidRPr="00675182" w:rsidRDefault="00260FDA" w:rsidP="00260FDA">
      <w:pPr>
        <w:rPr>
          <w:rFonts w:cstheme="minorHAnsi"/>
          <w:sz w:val="20"/>
          <w:szCs w:val="24"/>
        </w:rPr>
      </w:pPr>
      <w:r w:rsidRPr="00675182">
        <w:rPr>
          <w:rFonts w:cstheme="minorHAnsi"/>
          <w:b/>
          <w:sz w:val="20"/>
          <w:szCs w:val="24"/>
        </w:rPr>
        <w:t>BK</w:t>
      </w:r>
      <w:r w:rsidRPr="00675182">
        <w:rPr>
          <w:rFonts w:cstheme="minorHAnsi"/>
          <w:sz w:val="20"/>
          <w:szCs w:val="24"/>
        </w:rPr>
        <w:t xml:space="preserve"> – Bernes konvencijas suga</w:t>
      </w:r>
    </w:p>
    <w:p w14:paraId="2FEF2FDB" w14:textId="77777777" w:rsidR="00260FDA" w:rsidRPr="00675182" w:rsidRDefault="00260FDA" w:rsidP="00260FDA">
      <w:pPr>
        <w:rPr>
          <w:rFonts w:cstheme="minorHAnsi"/>
          <w:sz w:val="20"/>
          <w:szCs w:val="24"/>
        </w:rPr>
      </w:pPr>
      <w:r w:rsidRPr="00675182">
        <w:rPr>
          <w:rFonts w:cstheme="minorHAnsi"/>
          <w:b/>
          <w:bCs/>
          <w:sz w:val="20"/>
          <w:szCs w:val="24"/>
        </w:rPr>
        <w:t>BSS</w:t>
      </w:r>
      <w:r w:rsidRPr="00675182">
        <w:rPr>
          <w:rFonts w:cstheme="minorHAnsi"/>
          <w:sz w:val="20"/>
          <w:szCs w:val="24"/>
        </w:rPr>
        <w:t xml:space="preserve"> – mežaudžu atslēgas biotopu speciālistu suga</w:t>
      </w:r>
    </w:p>
    <w:p w14:paraId="5661CBC6" w14:textId="77777777" w:rsidR="00260FDA" w:rsidRDefault="00260FDA" w:rsidP="00732143">
      <w:pPr>
        <w:jc w:val="both"/>
        <w:rPr>
          <w:rFonts w:cstheme="minorHAnsi"/>
        </w:rPr>
      </w:pPr>
    </w:p>
    <w:p w14:paraId="4C371C39" w14:textId="1DE6ED74" w:rsidR="00315BC7" w:rsidRPr="00315BC7" w:rsidRDefault="004F30FB" w:rsidP="00315BC7">
      <w:pPr>
        <w:pStyle w:val="BodyText"/>
        <w:spacing w:after="0"/>
        <w:rPr>
          <w:rFonts w:cstheme="minorBidi"/>
          <w:b/>
          <w:bCs/>
          <w:i/>
          <w:iCs/>
          <w:lang w:val="lv-LV"/>
        </w:rPr>
      </w:pPr>
      <w:r w:rsidRPr="00675182">
        <w:rPr>
          <w:rFonts w:cstheme="minorHAnsi"/>
          <w:b/>
          <w:i/>
          <w:lang w:val="lv-LV"/>
        </w:rPr>
        <w:t>2.4.1.</w:t>
      </w:r>
      <w:r>
        <w:rPr>
          <w:rFonts w:cstheme="minorHAnsi"/>
          <w:b/>
          <w:i/>
          <w:lang w:val="lv-LV"/>
        </w:rPr>
        <w:t>B.</w:t>
      </w:r>
      <w:r w:rsidRPr="00675182">
        <w:rPr>
          <w:rFonts w:cstheme="minorHAnsi"/>
          <w:b/>
          <w:i/>
          <w:lang w:val="lv-LV"/>
        </w:rPr>
        <w:t xml:space="preserve"> tabula. </w:t>
      </w:r>
      <w:r w:rsidR="00315BC7" w:rsidRPr="00315BC7">
        <w:rPr>
          <w:rFonts w:cstheme="minorBidi"/>
          <w:b/>
          <w:bCs/>
          <w:i/>
          <w:iCs/>
          <w:lang w:val="lv-LV"/>
        </w:rPr>
        <w:t xml:space="preserve">Biotopu direktīvas pielikumos iekļauto vaskulāro augu populāciju lielums un sugu dzīvotņu platība </w:t>
      </w:r>
      <w:r w:rsidR="00315BC7">
        <w:rPr>
          <w:rFonts w:cstheme="minorBidi"/>
          <w:b/>
          <w:bCs/>
          <w:i/>
          <w:iCs/>
          <w:lang w:val="lv-LV"/>
        </w:rPr>
        <w:t>GNP</w:t>
      </w:r>
    </w:p>
    <w:tbl>
      <w:tblPr>
        <w:tblW w:w="5000" w:type="pct"/>
        <w:tblLook w:val="04A0" w:firstRow="1" w:lastRow="0" w:firstColumn="1" w:lastColumn="0" w:noHBand="0" w:noVBand="1"/>
      </w:tblPr>
      <w:tblGrid>
        <w:gridCol w:w="2567"/>
        <w:gridCol w:w="1644"/>
        <w:gridCol w:w="1005"/>
        <w:gridCol w:w="1660"/>
        <w:gridCol w:w="1250"/>
        <w:gridCol w:w="1227"/>
        <w:gridCol w:w="2156"/>
        <w:gridCol w:w="2438"/>
      </w:tblGrid>
      <w:tr w:rsidR="00B045CA" w:rsidRPr="007B30AD" w14:paraId="7C44EEC3" w14:textId="77777777" w:rsidTr="00B045CA">
        <w:trPr>
          <w:trHeight w:val="904"/>
          <w:tblHeader/>
        </w:trPr>
        <w:tc>
          <w:tcPr>
            <w:tcW w:w="920"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942836E" w14:textId="77777777" w:rsidR="00315BC7" w:rsidRPr="007B30AD" w:rsidRDefault="00315BC7" w:rsidP="00711C3A">
            <w:pPr>
              <w:keepNext/>
              <w:keepLines/>
              <w:suppressAutoHyphens w:val="0"/>
              <w:jc w:val="center"/>
              <w:rPr>
                <w:rFonts w:eastAsia="Times New Roman" w:cstheme="minorHAnsi"/>
                <w:b/>
                <w:sz w:val="22"/>
                <w:szCs w:val="22"/>
                <w:lang w:eastAsia="en-GB"/>
              </w:rPr>
            </w:pPr>
            <w:r w:rsidRPr="007B30AD">
              <w:rPr>
                <w:rFonts w:eastAsia="Times New Roman" w:cstheme="minorHAnsi"/>
                <w:b/>
                <w:sz w:val="22"/>
                <w:szCs w:val="22"/>
                <w:lang w:eastAsia="en-GB"/>
              </w:rPr>
              <w:t xml:space="preserve">Sugas nosaukums </w:t>
            </w:r>
          </w:p>
          <w:p w14:paraId="07B9132B" w14:textId="77777777" w:rsidR="00315BC7" w:rsidRPr="007B30AD" w:rsidRDefault="00315BC7" w:rsidP="00711C3A">
            <w:pPr>
              <w:keepNext/>
              <w:keepLines/>
              <w:suppressAutoHyphens w:val="0"/>
              <w:jc w:val="center"/>
              <w:rPr>
                <w:rFonts w:eastAsia="Times New Roman" w:cstheme="minorHAnsi"/>
                <w:b/>
                <w:sz w:val="22"/>
                <w:szCs w:val="22"/>
                <w:lang w:eastAsia="en-GB"/>
              </w:rPr>
            </w:pPr>
            <w:r w:rsidRPr="007B30AD">
              <w:rPr>
                <w:rFonts w:eastAsia="Times New Roman" w:cstheme="minorHAnsi"/>
                <w:b/>
                <w:sz w:val="22"/>
                <w:szCs w:val="22"/>
                <w:lang w:eastAsia="en-GB"/>
              </w:rPr>
              <w:t>(latviski un latīniski)</w:t>
            </w:r>
          </w:p>
          <w:p w14:paraId="62210401" w14:textId="77777777" w:rsidR="00315BC7" w:rsidRPr="007B30AD" w:rsidRDefault="00315BC7" w:rsidP="00711C3A">
            <w:pPr>
              <w:keepNext/>
              <w:keepLines/>
              <w:jc w:val="center"/>
              <w:rPr>
                <w:rFonts w:eastAsia="Times New Roman" w:cstheme="minorHAnsi"/>
                <w:b/>
                <w:sz w:val="22"/>
                <w:szCs w:val="22"/>
                <w:lang w:eastAsia="en-GB"/>
              </w:rPr>
            </w:pPr>
          </w:p>
        </w:tc>
        <w:tc>
          <w:tcPr>
            <w:tcW w:w="949" w:type="pct"/>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7A37AB9" w14:textId="77777777" w:rsidR="00315BC7" w:rsidRPr="007B30AD" w:rsidRDefault="00315BC7" w:rsidP="00711C3A">
            <w:pPr>
              <w:keepNext/>
              <w:keepLines/>
              <w:suppressAutoHyphens w:val="0"/>
              <w:jc w:val="center"/>
              <w:rPr>
                <w:rFonts w:eastAsia="Times New Roman" w:cstheme="minorHAnsi"/>
                <w:b/>
                <w:sz w:val="22"/>
                <w:szCs w:val="22"/>
                <w:lang w:eastAsia="en-GB"/>
              </w:rPr>
            </w:pPr>
            <w:r w:rsidRPr="007B30AD">
              <w:rPr>
                <w:rFonts w:eastAsia="Times New Roman" w:cstheme="minorHAnsi"/>
                <w:b/>
                <w:sz w:val="22"/>
                <w:szCs w:val="22"/>
                <w:lang w:eastAsia="en-GB"/>
              </w:rPr>
              <w:t>Sugas populācijas novērtējums teritorijā</w:t>
            </w:r>
          </w:p>
        </w:tc>
        <w:tc>
          <w:tcPr>
            <w:tcW w:w="59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5A7D550" w14:textId="77777777" w:rsidR="00315BC7" w:rsidRPr="007B30AD" w:rsidRDefault="00315BC7" w:rsidP="00711C3A">
            <w:pPr>
              <w:keepNext/>
              <w:keepLines/>
              <w:suppressAutoHyphens w:val="0"/>
              <w:jc w:val="center"/>
              <w:rPr>
                <w:rFonts w:eastAsia="Times New Roman" w:cstheme="minorHAnsi"/>
                <w:b/>
                <w:sz w:val="22"/>
                <w:szCs w:val="22"/>
                <w:lang w:eastAsia="en-GB"/>
              </w:rPr>
            </w:pPr>
            <w:r w:rsidRPr="007B30AD">
              <w:rPr>
                <w:rFonts w:eastAsia="Times New Roman" w:cstheme="minorHAnsi"/>
                <w:b/>
                <w:sz w:val="22"/>
                <w:szCs w:val="22"/>
                <w:lang w:eastAsia="en-GB"/>
              </w:rPr>
              <w:t>Teritorijā esošās sugas populācijas attiecība (%) pret sugas populāciju Natura 2000 teritorijās Latvijā kopumā</w:t>
            </w:r>
          </w:p>
        </w:tc>
        <w:tc>
          <w:tcPr>
            <w:tcW w:w="448"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2AF2A30" w14:textId="77777777" w:rsidR="00315BC7" w:rsidRPr="007B30AD" w:rsidRDefault="00315BC7" w:rsidP="00711C3A">
            <w:pPr>
              <w:keepNext/>
              <w:keepLines/>
              <w:suppressAutoHyphens w:val="0"/>
              <w:jc w:val="center"/>
              <w:rPr>
                <w:rFonts w:eastAsia="Times New Roman" w:cstheme="minorHAnsi"/>
                <w:b/>
                <w:sz w:val="22"/>
                <w:szCs w:val="22"/>
                <w:lang w:eastAsia="en-GB"/>
              </w:rPr>
            </w:pPr>
            <w:r w:rsidRPr="007B30AD">
              <w:rPr>
                <w:rFonts w:eastAsia="Times New Roman" w:cstheme="minorHAnsi"/>
                <w:b/>
                <w:sz w:val="22"/>
                <w:szCs w:val="22"/>
                <w:lang w:eastAsia="en-GB"/>
              </w:rPr>
              <w:t>Teritorijā esošās sugas populācijas attiecība (%) pret sugas populāciju valstī</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4F26242" w14:textId="77777777" w:rsidR="00315BC7" w:rsidRPr="007B30AD" w:rsidRDefault="00315BC7" w:rsidP="00711C3A">
            <w:pPr>
              <w:keepNext/>
              <w:keepLines/>
              <w:jc w:val="center"/>
              <w:rPr>
                <w:rFonts w:cstheme="minorHAnsi"/>
                <w:b/>
                <w:sz w:val="22"/>
                <w:szCs w:val="22"/>
              </w:rPr>
            </w:pPr>
            <w:r w:rsidRPr="007B30AD">
              <w:rPr>
                <w:rFonts w:cstheme="minorHAnsi"/>
                <w:b/>
                <w:sz w:val="22"/>
                <w:szCs w:val="22"/>
              </w:rPr>
              <w:t>Sugas dzīvotnes platība (ha)</w:t>
            </w:r>
          </w:p>
        </w:tc>
        <w:tc>
          <w:tcPr>
            <w:tcW w:w="773"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1B04A42" w14:textId="77777777" w:rsidR="00315BC7" w:rsidRPr="007B30AD" w:rsidRDefault="00315BC7" w:rsidP="00711C3A">
            <w:pPr>
              <w:keepNext/>
              <w:keepLines/>
              <w:jc w:val="center"/>
              <w:rPr>
                <w:rFonts w:cstheme="minorHAnsi"/>
                <w:b/>
                <w:sz w:val="22"/>
                <w:szCs w:val="22"/>
              </w:rPr>
            </w:pPr>
            <w:r w:rsidRPr="007B30AD">
              <w:rPr>
                <w:rFonts w:cstheme="minorHAnsi"/>
                <w:b/>
                <w:sz w:val="22"/>
                <w:szCs w:val="22"/>
              </w:rPr>
              <w:t>Sugas dzīvotnes platības attiecība (%) pret sugas dzīvotnes platību Natura 2000 teritorijās Latvijā kopumā</w:t>
            </w:r>
          </w:p>
        </w:tc>
        <w:tc>
          <w:tcPr>
            <w:tcW w:w="874"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31D7601" w14:textId="77777777" w:rsidR="00315BC7" w:rsidRPr="007B30AD" w:rsidRDefault="00315BC7" w:rsidP="00711C3A">
            <w:pPr>
              <w:keepNext/>
              <w:keepLines/>
              <w:jc w:val="center"/>
              <w:rPr>
                <w:rFonts w:cstheme="minorHAnsi"/>
                <w:b/>
                <w:sz w:val="22"/>
                <w:szCs w:val="22"/>
              </w:rPr>
            </w:pPr>
            <w:r w:rsidRPr="007B30AD">
              <w:rPr>
                <w:rFonts w:cstheme="minorHAnsi"/>
                <w:b/>
                <w:sz w:val="22"/>
                <w:szCs w:val="22"/>
              </w:rPr>
              <w:t>Sugas dzīvotnes platības attiecība (%) pret sugas dzīvotnes platību valstī</w:t>
            </w:r>
          </w:p>
        </w:tc>
      </w:tr>
      <w:tr w:rsidR="00B045CA" w:rsidRPr="007B30AD" w14:paraId="4444E711" w14:textId="77777777" w:rsidTr="00B045CA">
        <w:trPr>
          <w:trHeight w:val="300"/>
        </w:trPr>
        <w:tc>
          <w:tcPr>
            <w:tcW w:w="920" w:type="pct"/>
            <w:vMerge/>
            <w:tcBorders>
              <w:top w:val="single" w:sz="4" w:space="0" w:color="auto"/>
              <w:left w:val="single" w:sz="4" w:space="0" w:color="auto"/>
              <w:bottom w:val="single" w:sz="4" w:space="0" w:color="auto"/>
              <w:right w:val="single" w:sz="4" w:space="0" w:color="auto"/>
            </w:tcBorders>
            <w:vAlign w:val="center"/>
            <w:hideMark/>
          </w:tcPr>
          <w:p w14:paraId="7B889CFB" w14:textId="77777777" w:rsidR="00315BC7" w:rsidRPr="007B30AD" w:rsidRDefault="00315BC7" w:rsidP="00711C3A">
            <w:pPr>
              <w:suppressAutoHyphens w:val="0"/>
              <w:rPr>
                <w:rFonts w:eastAsia="Times New Roman" w:cstheme="minorHAnsi"/>
                <w:sz w:val="22"/>
                <w:szCs w:val="22"/>
                <w:lang w:eastAsia="en-GB"/>
              </w:rPr>
            </w:pPr>
          </w:p>
        </w:tc>
        <w:tc>
          <w:tcPr>
            <w:tcW w:w="589"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2FB49FC" w14:textId="77777777" w:rsidR="00315BC7" w:rsidRPr="007B30AD" w:rsidRDefault="00315BC7" w:rsidP="00711C3A">
            <w:pPr>
              <w:suppressAutoHyphens w:val="0"/>
              <w:rPr>
                <w:rFonts w:eastAsia="Times New Roman" w:cstheme="minorHAnsi"/>
                <w:b/>
                <w:sz w:val="22"/>
                <w:szCs w:val="22"/>
                <w:lang w:eastAsia="en-GB"/>
              </w:rPr>
            </w:pPr>
            <w:r w:rsidRPr="007B30AD">
              <w:rPr>
                <w:rFonts w:eastAsia="Times New Roman" w:cstheme="minorHAnsi"/>
                <w:b/>
                <w:sz w:val="22"/>
                <w:szCs w:val="22"/>
                <w:lang w:eastAsia="en-GB"/>
              </w:rPr>
              <w:t>Min.</w:t>
            </w:r>
          </w:p>
        </w:tc>
        <w:tc>
          <w:tcPr>
            <w:tcW w:w="3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D522BAD" w14:textId="77777777" w:rsidR="00315BC7" w:rsidRPr="007B30AD" w:rsidRDefault="00315BC7" w:rsidP="00711C3A">
            <w:pPr>
              <w:suppressAutoHyphens w:val="0"/>
              <w:rPr>
                <w:rFonts w:eastAsia="Times New Roman" w:cstheme="minorHAnsi"/>
                <w:b/>
                <w:sz w:val="22"/>
                <w:szCs w:val="22"/>
                <w:lang w:eastAsia="en-GB"/>
              </w:rPr>
            </w:pPr>
            <w:r w:rsidRPr="007B30AD">
              <w:rPr>
                <w:rFonts w:eastAsia="Times New Roman" w:cstheme="minorHAnsi"/>
                <w:b/>
                <w:sz w:val="22"/>
                <w:szCs w:val="22"/>
                <w:lang w:eastAsia="en-GB"/>
              </w:rPr>
              <w:t>Maks.</w:t>
            </w:r>
          </w:p>
        </w:tc>
        <w:tc>
          <w:tcPr>
            <w:tcW w:w="595" w:type="pct"/>
            <w:vMerge/>
            <w:tcBorders>
              <w:top w:val="single" w:sz="4" w:space="0" w:color="auto"/>
            </w:tcBorders>
            <w:vAlign w:val="center"/>
            <w:hideMark/>
          </w:tcPr>
          <w:p w14:paraId="1462719A" w14:textId="77777777" w:rsidR="00315BC7" w:rsidRPr="007B30AD" w:rsidRDefault="00315BC7" w:rsidP="00711C3A">
            <w:pPr>
              <w:suppressAutoHyphens w:val="0"/>
              <w:rPr>
                <w:rFonts w:eastAsia="Times New Roman" w:cstheme="minorHAnsi"/>
                <w:sz w:val="22"/>
                <w:szCs w:val="22"/>
                <w:lang w:eastAsia="en-GB"/>
              </w:rPr>
            </w:pPr>
          </w:p>
        </w:tc>
        <w:tc>
          <w:tcPr>
            <w:tcW w:w="448" w:type="pct"/>
            <w:vMerge/>
            <w:tcBorders>
              <w:top w:val="single" w:sz="4" w:space="0" w:color="auto"/>
            </w:tcBorders>
            <w:vAlign w:val="center"/>
            <w:hideMark/>
          </w:tcPr>
          <w:p w14:paraId="1FACEE0C" w14:textId="77777777" w:rsidR="00315BC7" w:rsidRPr="007B30AD" w:rsidRDefault="00315BC7" w:rsidP="00711C3A">
            <w:pPr>
              <w:suppressAutoHyphens w:val="0"/>
              <w:rPr>
                <w:rFonts w:eastAsia="Times New Roman" w:cstheme="minorHAnsi"/>
                <w:sz w:val="22"/>
                <w:szCs w:val="22"/>
                <w:lang w:eastAsia="en-GB"/>
              </w:rPr>
            </w:pPr>
          </w:p>
        </w:tc>
        <w:tc>
          <w:tcPr>
            <w:tcW w:w="440" w:type="pct"/>
            <w:vMerge/>
            <w:tcBorders>
              <w:top w:val="single" w:sz="4" w:space="0" w:color="auto"/>
            </w:tcBorders>
          </w:tcPr>
          <w:p w14:paraId="483518AD" w14:textId="77777777" w:rsidR="00315BC7" w:rsidRPr="007B30AD" w:rsidRDefault="00315BC7" w:rsidP="00711C3A">
            <w:pPr>
              <w:suppressAutoHyphens w:val="0"/>
              <w:rPr>
                <w:rFonts w:eastAsia="Times New Roman" w:cstheme="minorHAnsi"/>
                <w:sz w:val="22"/>
                <w:szCs w:val="22"/>
                <w:highlight w:val="yellow"/>
                <w:lang w:eastAsia="en-GB"/>
              </w:rPr>
            </w:pPr>
          </w:p>
        </w:tc>
        <w:tc>
          <w:tcPr>
            <w:tcW w:w="773" w:type="pct"/>
            <w:vMerge/>
            <w:tcBorders>
              <w:top w:val="single" w:sz="4" w:space="0" w:color="auto"/>
            </w:tcBorders>
          </w:tcPr>
          <w:p w14:paraId="38008847" w14:textId="77777777" w:rsidR="00315BC7" w:rsidRPr="007B30AD" w:rsidRDefault="00315BC7" w:rsidP="00711C3A">
            <w:pPr>
              <w:suppressAutoHyphens w:val="0"/>
              <w:rPr>
                <w:rFonts w:eastAsia="Times New Roman" w:cstheme="minorHAnsi"/>
                <w:sz w:val="22"/>
                <w:szCs w:val="22"/>
                <w:highlight w:val="yellow"/>
                <w:lang w:eastAsia="en-GB"/>
              </w:rPr>
            </w:pPr>
          </w:p>
        </w:tc>
        <w:tc>
          <w:tcPr>
            <w:tcW w:w="874" w:type="pct"/>
            <w:vMerge/>
            <w:tcBorders>
              <w:top w:val="single" w:sz="4" w:space="0" w:color="auto"/>
            </w:tcBorders>
          </w:tcPr>
          <w:p w14:paraId="0778E70F" w14:textId="77777777" w:rsidR="00315BC7" w:rsidRPr="007B30AD" w:rsidRDefault="00315BC7" w:rsidP="00711C3A">
            <w:pPr>
              <w:suppressAutoHyphens w:val="0"/>
              <w:rPr>
                <w:rFonts w:eastAsia="Times New Roman" w:cstheme="minorHAnsi"/>
                <w:sz w:val="22"/>
                <w:szCs w:val="22"/>
                <w:highlight w:val="yellow"/>
                <w:lang w:eastAsia="en-GB"/>
              </w:rPr>
            </w:pPr>
          </w:p>
        </w:tc>
      </w:tr>
      <w:tr w:rsidR="00B045CA" w:rsidRPr="007B30AD" w14:paraId="19BAB2CC" w14:textId="77777777" w:rsidTr="00B045CA">
        <w:trPr>
          <w:trHeight w:val="495"/>
        </w:trPr>
        <w:tc>
          <w:tcPr>
            <w:tcW w:w="920" w:type="pct"/>
            <w:tcBorders>
              <w:top w:val="single" w:sz="4" w:space="0" w:color="auto"/>
              <w:left w:val="single" w:sz="4" w:space="0" w:color="auto"/>
              <w:bottom w:val="single" w:sz="4" w:space="0" w:color="auto"/>
              <w:right w:val="single" w:sz="4" w:space="0" w:color="auto"/>
            </w:tcBorders>
            <w:vAlign w:val="center"/>
            <w:hideMark/>
          </w:tcPr>
          <w:p w14:paraId="5030A56B" w14:textId="77777777" w:rsidR="00B045CA" w:rsidRDefault="00B045CA" w:rsidP="00B045CA">
            <w:pPr>
              <w:suppressAutoHyphens w:val="0"/>
              <w:rPr>
                <w:rFonts w:cs="Times New Roman"/>
                <w:color w:val="000000"/>
                <w:szCs w:val="24"/>
              </w:rPr>
            </w:pPr>
            <w:r w:rsidRPr="00675182">
              <w:rPr>
                <w:rFonts w:cs="Times New Roman"/>
                <w:color w:val="000000"/>
                <w:szCs w:val="24"/>
              </w:rPr>
              <w:t>Dzeltenā dzegužkurpīte</w:t>
            </w:r>
          </w:p>
          <w:p w14:paraId="0A203B9F" w14:textId="7546E77D" w:rsidR="00B045CA" w:rsidRPr="007B30AD" w:rsidRDefault="00B045CA" w:rsidP="00B045CA">
            <w:pPr>
              <w:suppressAutoHyphens w:val="0"/>
              <w:rPr>
                <w:rFonts w:eastAsia="Times New Roman" w:cstheme="minorHAnsi"/>
                <w:sz w:val="22"/>
                <w:szCs w:val="22"/>
                <w:lang w:eastAsia="en-GB"/>
              </w:rPr>
            </w:pPr>
            <w:r w:rsidRPr="00675182">
              <w:rPr>
                <w:rFonts w:cs="Times New Roman"/>
                <w:i/>
                <w:iCs/>
                <w:color w:val="000000"/>
                <w:szCs w:val="24"/>
              </w:rPr>
              <w:t>Cypripedium calceolus</w:t>
            </w:r>
          </w:p>
        </w:tc>
        <w:tc>
          <w:tcPr>
            <w:tcW w:w="589" w:type="pct"/>
            <w:tcBorders>
              <w:top w:val="single" w:sz="4" w:space="0" w:color="auto"/>
              <w:left w:val="nil"/>
              <w:bottom w:val="single" w:sz="4" w:space="0" w:color="auto"/>
              <w:right w:val="single" w:sz="4" w:space="0" w:color="auto"/>
            </w:tcBorders>
            <w:shd w:val="clear" w:color="auto" w:fill="auto"/>
            <w:noWrap/>
            <w:vAlign w:val="center"/>
          </w:tcPr>
          <w:p w14:paraId="119BF1F8" w14:textId="37576835" w:rsidR="00B045CA" w:rsidRPr="007B30AD" w:rsidRDefault="00B045CA" w:rsidP="00B045CA">
            <w:pPr>
              <w:suppressAutoHyphens w:val="0"/>
              <w:jc w:val="center"/>
              <w:rPr>
                <w:rFonts w:eastAsia="Times New Roman" w:cstheme="minorHAnsi"/>
                <w:sz w:val="22"/>
                <w:szCs w:val="22"/>
                <w:lang w:eastAsia="en-GB"/>
              </w:rPr>
            </w:pPr>
            <w:r>
              <w:rPr>
                <w:rFonts w:eastAsia="Times New Roman" w:cstheme="minorHAnsi"/>
                <w:sz w:val="22"/>
                <w:szCs w:val="22"/>
                <w:lang w:eastAsia="en-GB"/>
              </w:rPr>
              <w:t>30</w:t>
            </w:r>
          </w:p>
        </w:tc>
        <w:tc>
          <w:tcPr>
            <w:tcW w:w="360" w:type="pct"/>
            <w:tcBorders>
              <w:top w:val="single" w:sz="4" w:space="0" w:color="auto"/>
              <w:left w:val="nil"/>
              <w:bottom w:val="single" w:sz="4" w:space="0" w:color="auto"/>
              <w:right w:val="single" w:sz="4" w:space="0" w:color="auto"/>
            </w:tcBorders>
            <w:shd w:val="clear" w:color="auto" w:fill="auto"/>
            <w:vAlign w:val="center"/>
          </w:tcPr>
          <w:p w14:paraId="269E7B35" w14:textId="2F4592A5" w:rsidR="00B045CA" w:rsidRPr="007B30AD" w:rsidRDefault="00B045CA" w:rsidP="00B045CA">
            <w:pPr>
              <w:suppressAutoHyphens w:val="0"/>
              <w:jc w:val="center"/>
              <w:rPr>
                <w:rFonts w:eastAsia="Times New Roman" w:cstheme="minorHAnsi"/>
                <w:sz w:val="22"/>
                <w:szCs w:val="22"/>
                <w:lang w:eastAsia="en-GB"/>
              </w:rPr>
            </w:pPr>
            <w:r>
              <w:rPr>
                <w:rFonts w:eastAsia="Times New Roman" w:cstheme="minorHAnsi"/>
                <w:sz w:val="22"/>
                <w:szCs w:val="22"/>
                <w:lang w:eastAsia="en-GB"/>
              </w:rPr>
              <w:t>45</w:t>
            </w:r>
          </w:p>
        </w:tc>
        <w:tc>
          <w:tcPr>
            <w:tcW w:w="595" w:type="pct"/>
            <w:tcBorders>
              <w:top w:val="single" w:sz="4" w:space="0" w:color="auto"/>
              <w:left w:val="nil"/>
              <w:bottom w:val="single" w:sz="4" w:space="0" w:color="auto"/>
              <w:right w:val="single" w:sz="4" w:space="0" w:color="auto"/>
            </w:tcBorders>
            <w:shd w:val="clear" w:color="auto" w:fill="auto"/>
            <w:vAlign w:val="center"/>
          </w:tcPr>
          <w:p w14:paraId="28E95801" w14:textId="1B17922B" w:rsidR="00B045CA" w:rsidRPr="007B30AD" w:rsidRDefault="00B045CA" w:rsidP="00B045CA">
            <w:pPr>
              <w:suppressAutoHyphens w:val="0"/>
              <w:jc w:val="center"/>
              <w:rPr>
                <w:rFonts w:eastAsia="Times New Roman" w:cstheme="minorHAnsi"/>
                <w:sz w:val="22"/>
                <w:szCs w:val="22"/>
                <w:lang w:eastAsia="en-GB"/>
              </w:rPr>
            </w:pPr>
            <w:r>
              <w:rPr>
                <w:rFonts w:eastAsia="Times New Roman" w:cstheme="minorHAnsi"/>
                <w:sz w:val="22"/>
                <w:szCs w:val="22"/>
                <w:lang w:eastAsia="en-GB"/>
              </w:rPr>
              <w:t>0,7-1</w:t>
            </w:r>
          </w:p>
        </w:tc>
        <w:tc>
          <w:tcPr>
            <w:tcW w:w="448" w:type="pct"/>
            <w:tcBorders>
              <w:top w:val="single" w:sz="4" w:space="0" w:color="auto"/>
              <w:left w:val="nil"/>
              <w:bottom w:val="single" w:sz="4" w:space="0" w:color="auto"/>
              <w:right w:val="single" w:sz="4" w:space="0" w:color="auto"/>
            </w:tcBorders>
            <w:shd w:val="clear" w:color="auto" w:fill="auto"/>
            <w:vAlign w:val="center"/>
          </w:tcPr>
          <w:p w14:paraId="1AE1D73D" w14:textId="724F475F" w:rsidR="00B045CA" w:rsidRPr="007B30AD" w:rsidRDefault="00B045CA" w:rsidP="00B045CA">
            <w:pPr>
              <w:suppressAutoHyphens w:val="0"/>
              <w:jc w:val="center"/>
              <w:rPr>
                <w:rFonts w:eastAsia="Times New Roman" w:cstheme="minorHAnsi"/>
                <w:sz w:val="22"/>
                <w:szCs w:val="22"/>
                <w:lang w:eastAsia="en-GB"/>
              </w:rPr>
            </w:pPr>
            <w:r>
              <w:rPr>
                <w:rFonts w:eastAsia="Times New Roman" w:cstheme="minorHAnsi"/>
                <w:sz w:val="22"/>
                <w:szCs w:val="22"/>
                <w:lang w:eastAsia="en-GB"/>
              </w:rPr>
              <w:t>0,7-0,9</w:t>
            </w:r>
          </w:p>
        </w:tc>
        <w:tc>
          <w:tcPr>
            <w:tcW w:w="440" w:type="pct"/>
            <w:tcBorders>
              <w:top w:val="single" w:sz="4" w:space="0" w:color="auto"/>
              <w:left w:val="nil"/>
              <w:bottom w:val="single" w:sz="4" w:space="0" w:color="auto"/>
              <w:right w:val="single" w:sz="4" w:space="0" w:color="auto"/>
            </w:tcBorders>
            <w:vAlign w:val="center"/>
          </w:tcPr>
          <w:p w14:paraId="650AED77" w14:textId="6671F9DA" w:rsidR="00B045CA" w:rsidRPr="007B30AD" w:rsidRDefault="00B045CA" w:rsidP="00B045CA">
            <w:pPr>
              <w:suppressAutoHyphens w:val="0"/>
              <w:jc w:val="center"/>
              <w:rPr>
                <w:rFonts w:cstheme="minorHAnsi"/>
                <w:sz w:val="22"/>
                <w:szCs w:val="22"/>
                <w:highlight w:val="yellow"/>
              </w:rPr>
            </w:pPr>
            <w:r>
              <w:rPr>
                <w:rFonts w:cstheme="minorHAnsi"/>
                <w:sz w:val="22"/>
                <w:szCs w:val="22"/>
              </w:rPr>
              <w:t>0,92</w:t>
            </w:r>
          </w:p>
        </w:tc>
        <w:tc>
          <w:tcPr>
            <w:tcW w:w="773" w:type="pct"/>
            <w:tcBorders>
              <w:top w:val="single" w:sz="4" w:space="0" w:color="auto"/>
              <w:left w:val="nil"/>
              <w:bottom w:val="single" w:sz="4" w:space="0" w:color="auto"/>
              <w:right w:val="single" w:sz="4" w:space="0" w:color="auto"/>
            </w:tcBorders>
            <w:vAlign w:val="center"/>
          </w:tcPr>
          <w:p w14:paraId="6F44D1CF" w14:textId="785E1E5F" w:rsidR="00B045CA" w:rsidRPr="007B30AD" w:rsidRDefault="00B045CA" w:rsidP="00B045CA">
            <w:pPr>
              <w:suppressAutoHyphens w:val="0"/>
              <w:jc w:val="center"/>
              <w:rPr>
                <w:rFonts w:cstheme="minorHAnsi"/>
                <w:sz w:val="22"/>
                <w:szCs w:val="22"/>
                <w:highlight w:val="yellow"/>
              </w:rPr>
            </w:pPr>
            <w:r>
              <w:rPr>
                <w:rFonts w:cstheme="minorHAnsi"/>
                <w:sz w:val="22"/>
                <w:szCs w:val="22"/>
              </w:rPr>
              <w:t>Nav datu</w:t>
            </w:r>
            <w:r>
              <w:rPr>
                <w:rStyle w:val="FootnoteReference"/>
                <w:rFonts w:cstheme="minorHAnsi"/>
                <w:sz w:val="22"/>
                <w:szCs w:val="22"/>
              </w:rPr>
              <w:footnoteReference w:id="18"/>
            </w:r>
          </w:p>
        </w:tc>
        <w:tc>
          <w:tcPr>
            <w:tcW w:w="874" w:type="pct"/>
            <w:tcBorders>
              <w:top w:val="single" w:sz="4" w:space="0" w:color="auto"/>
              <w:left w:val="nil"/>
              <w:bottom w:val="single" w:sz="4" w:space="0" w:color="auto"/>
              <w:right w:val="single" w:sz="4" w:space="0" w:color="auto"/>
            </w:tcBorders>
            <w:shd w:val="clear" w:color="auto" w:fill="auto"/>
            <w:vAlign w:val="center"/>
          </w:tcPr>
          <w:p w14:paraId="3E31DB66" w14:textId="5B4C02E7" w:rsidR="00B045CA" w:rsidRPr="007B30AD" w:rsidRDefault="00B045CA" w:rsidP="00B045CA">
            <w:pPr>
              <w:suppressAutoHyphens w:val="0"/>
              <w:jc w:val="center"/>
              <w:rPr>
                <w:rFonts w:cstheme="minorHAnsi"/>
                <w:sz w:val="22"/>
                <w:szCs w:val="22"/>
              </w:rPr>
            </w:pPr>
            <w:r>
              <w:rPr>
                <w:rFonts w:cstheme="minorHAnsi"/>
                <w:sz w:val="22"/>
                <w:szCs w:val="22"/>
              </w:rPr>
              <w:t>Izmantota faktiskā dzīvotnes platība (~50 m ap zināmajiem indivīdiem)</w:t>
            </w:r>
          </w:p>
        </w:tc>
      </w:tr>
      <w:tr w:rsidR="00B045CA" w:rsidRPr="007B30AD" w14:paraId="4A72CCD6" w14:textId="77777777" w:rsidTr="00B045CA">
        <w:trPr>
          <w:trHeight w:val="495"/>
        </w:trPr>
        <w:tc>
          <w:tcPr>
            <w:tcW w:w="920" w:type="pct"/>
            <w:tcBorders>
              <w:top w:val="single" w:sz="4" w:space="0" w:color="auto"/>
              <w:left w:val="single" w:sz="4" w:space="0" w:color="auto"/>
              <w:bottom w:val="single" w:sz="4" w:space="0" w:color="auto"/>
              <w:right w:val="single" w:sz="4" w:space="0" w:color="auto"/>
            </w:tcBorders>
            <w:vAlign w:val="center"/>
          </w:tcPr>
          <w:p w14:paraId="72804DA1" w14:textId="77777777" w:rsidR="00B045CA" w:rsidRDefault="00B045CA" w:rsidP="00B045CA">
            <w:pPr>
              <w:suppressAutoHyphens w:val="0"/>
              <w:rPr>
                <w:rFonts w:cs="Times New Roman"/>
                <w:color w:val="000000"/>
                <w:szCs w:val="24"/>
              </w:rPr>
            </w:pPr>
            <w:r w:rsidRPr="00675182">
              <w:rPr>
                <w:rFonts w:cs="Times New Roman"/>
                <w:color w:val="000000"/>
                <w:szCs w:val="24"/>
              </w:rPr>
              <w:t>Meža silpurene</w:t>
            </w:r>
          </w:p>
          <w:p w14:paraId="3CE8415D" w14:textId="0EE9221F" w:rsidR="00B045CA" w:rsidRPr="007B30AD" w:rsidRDefault="00B045CA" w:rsidP="00B045CA">
            <w:pPr>
              <w:suppressAutoHyphens w:val="0"/>
              <w:rPr>
                <w:rFonts w:cstheme="minorHAnsi"/>
                <w:sz w:val="22"/>
                <w:szCs w:val="22"/>
              </w:rPr>
            </w:pPr>
            <w:r w:rsidRPr="00675182">
              <w:rPr>
                <w:rFonts w:cs="Times New Roman"/>
                <w:i/>
                <w:iCs/>
                <w:color w:val="000000"/>
                <w:szCs w:val="24"/>
              </w:rPr>
              <w:t>Pulsatilla patens</w:t>
            </w:r>
          </w:p>
        </w:tc>
        <w:tc>
          <w:tcPr>
            <w:tcW w:w="589" w:type="pct"/>
            <w:tcBorders>
              <w:top w:val="single" w:sz="4" w:space="0" w:color="auto"/>
              <w:left w:val="nil"/>
              <w:bottom w:val="single" w:sz="4" w:space="0" w:color="auto"/>
              <w:right w:val="single" w:sz="4" w:space="0" w:color="auto"/>
            </w:tcBorders>
            <w:shd w:val="clear" w:color="auto" w:fill="auto"/>
            <w:noWrap/>
            <w:vAlign w:val="center"/>
          </w:tcPr>
          <w:p w14:paraId="35205F82" w14:textId="0E184983" w:rsidR="00B045CA" w:rsidRPr="007B30AD" w:rsidRDefault="00B045CA" w:rsidP="00B045CA">
            <w:pPr>
              <w:suppressAutoHyphens w:val="0"/>
              <w:jc w:val="center"/>
              <w:rPr>
                <w:rFonts w:cstheme="minorHAnsi"/>
                <w:sz w:val="22"/>
                <w:szCs w:val="22"/>
              </w:rPr>
            </w:pPr>
            <w:r>
              <w:rPr>
                <w:rFonts w:cstheme="minorHAnsi"/>
                <w:sz w:val="22"/>
                <w:szCs w:val="22"/>
              </w:rPr>
              <w:t>40</w:t>
            </w:r>
          </w:p>
        </w:tc>
        <w:tc>
          <w:tcPr>
            <w:tcW w:w="360" w:type="pct"/>
            <w:tcBorders>
              <w:top w:val="single" w:sz="4" w:space="0" w:color="auto"/>
              <w:left w:val="nil"/>
              <w:bottom w:val="single" w:sz="4" w:space="0" w:color="auto"/>
              <w:right w:val="single" w:sz="4" w:space="0" w:color="auto"/>
            </w:tcBorders>
            <w:shd w:val="clear" w:color="auto" w:fill="auto"/>
            <w:vAlign w:val="center"/>
          </w:tcPr>
          <w:p w14:paraId="35FCC615" w14:textId="54C8E827" w:rsidR="00B045CA" w:rsidRPr="007B30AD" w:rsidRDefault="00B045CA" w:rsidP="00B045CA">
            <w:pPr>
              <w:suppressAutoHyphens w:val="0"/>
              <w:jc w:val="center"/>
              <w:rPr>
                <w:rFonts w:cstheme="minorHAnsi"/>
                <w:sz w:val="22"/>
                <w:szCs w:val="22"/>
              </w:rPr>
            </w:pPr>
            <w:r>
              <w:rPr>
                <w:rFonts w:cstheme="minorHAnsi"/>
                <w:sz w:val="22"/>
                <w:szCs w:val="22"/>
              </w:rPr>
              <w:t>43</w:t>
            </w:r>
          </w:p>
        </w:tc>
        <w:tc>
          <w:tcPr>
            <w:tcW w:w="595" w:type="pct"/>
            <w:tcBorders>
              <w:top w:val="single" w:sz="4" w:space="0" w:color="auto"/>
              <w:left w:val="nil"/>
              <w:bottom w:val="single" w:sz="4" w:space="0" w:color="auto"/>
              <w:right w:val="single" w:sz="4" w:space="0" w:color="auto"/>
            </w:tcBorders>
            <w:shd w:val="clear" w:color="auto" w:fill="auto"/>
            <w:vAlign w:val="center"/>
          </w:tcPr>
          <w:p w14:paraId="3D47F4E3" w14:textId="3A7EF789" w:rsidR="00B045CA" w:rsidRPr="007B30AD" w:rsidRDefault="00B045CA" w:rsidP="00B045CA">
            <w:pPr>
              <w:suppressAutoHyphens w:val="0"/>
              <w:jc w:val="center"/>
              <w:rPr>
                <w:rFonts w:cstheme="minorHAnsi"/>
                <w:sz w:val="22"/>
                <w:szCs w:val="22"/>
              </w:rPr>
            </w:pPr>
            <w:r>
              <w:rPr>
                <w:rFonts w:cstheme="minorHAnsi"/>
                <w:sz w:val="22"/>
                <w:szCs w:val="22"/>
              </w:rPr>
              <w:t>1</w:t>
            </w:r>
          </w:p>
        </w:tc>
        <w:tc>
          <w:tcPr>
            <w:tcW w:w="448" w:type="pct"/>
            <w:tcBorders>
              <w:top w:val="single" w:sz="4" w:space="0" w:color="auto"/>
              <w:left w:val="nil"/>
              <w:bottom w:val="single" w:sz="4" w:space="0" w:color="auto"/>
              <w:right w:val="single" w:sz="4" w:space="0" w:color="auto"/>
            </w:tcBorders>
            <w:shd w:val="clear" w:color="auto" w:fill="auto"/>
            <w:vAlign w:val="center"/>
          </w:tcPr>
          <w:p w14:paraId="0C8A7977" w14:textId="33EB14AB" w:rsidR="00B045CA" w:rsidRPr="007B30AD" w:rsidRDefault="00B045CA" w:rsidP="00B045CA">
            <w:pPr>
              <w:suppressAutoHyphens w:val="0"/>
              <w:jc w:val="center"/>
              <w:rPr>
                <w:rFonts w:cstheme="minorHAnsi"/>
                <w:sz w:val="22"/>
                <w:szCs w:val="22"/>
              </w:rPr>
            </w:pPr>
            <w:r>
              <w:rPr>
                <w:rFonts w:cstheme="minorHAnsi"/>
                <w:sz w:val="22"/>
                <w:szCs w:val="22"/>
              </w:rPr>
              <w:t>0,2-0,7</w:t>
            </w:r>
          </w:p>
        </w:tc>
        <w:tc>
          <w:tcPr>
            <w:tcW w:w="440" w:type="pct"/>
            <w:tcBorders>
              <w:top w:val="single" w:sz="4" w:space="0" w:color="auto"/>
              <w:left w:val="nil"/>
              <w:bottom w:val="single" w:sz="4" w:space="0" w:color="auto"/>
              <w:right w:val="single" w:sz="4" w:space="0" w:color="auto"/>
            </w:tcBorders>
            <w:vAlign w:val="center"/>
          </w:tcPr>
          <w:p w14:paraId="37628B45" w14:textId="5C84AC0D" w:rsidR="00B045CA" w:rsidRPr="007B30AD" w:rsidRDefault="00B045CA" w:rsidP="00B045CA">
            <w:pPr>
              <w:suppressAutoHyphens w:val="0"/>
              <w:jc w:val="center"/>
              <w:rPr>
                <w:rFonts w:cstheme="minorHAnsi"/>
                <w:sz w:val="22"/>
                <w:szCs w:val="22"/>
              </w:rPr>
            </w:pPr>
            <w:r>
              <w:rPr>
                <w:rFonts w:cstheme="minorHAnsi"/>
                <w:sz w:val="22"/>
                <w:szCs w:val="22"/>
              </w:rPr>
              <w:t>121,3</w:t>
            </w:r>
          </w:p>
        </w:tc>
        <w:tc>
          <w:tcPr>
            <w:tcW w:w="773" w:type="pct"/>
            <w:tcBorders>
              <w:top w:val="single" w:sz="4" w:space="0" w:color="auto"/>
              <w:left w:val="nil"/>
              <w:bottom w:val="single" w:sz="4" w:space="0" w:color="auto"/>
              <w:right w:val="single" w:sz="4" w:space="0" w:color="auto"/>
            </w:tcBorders>
            <w:vAlign w:val="center"/>
          </w:tcPr>
          <w:p w14:paraId="5A85A304" w14:textId="68C956F2" w:rsidR="00B045CA" w:rsidRPr="007B30AD" w:rsidRDefault="00B045CA" w:rsidP="00B045CA">
            <w:pPr>
              <w:suppressAutoHyphens w:val="0"/>
              <w:jc w:val="center"/>
              <w:rPr>
                <w:rFonts w:cstheme="minorHAnsi"/>
                <w:sz w:val="22"/>
                <w:szCs w:val="22"/>
              </w:rPr>
            </w:pPr>
            <w:r>
              <w:rPr>
                <w:rFonts w:cstheme="minorHAnsi"/>
                <w:sz w:val="22"/>
                <w:szCs w:val="22"/>
              </w:rPr>
              <w:t>Nav datu</w:t>
            </w:r>
          </w:p>
        </w:tc>
        <w:tc>
          <w:tcPr>
            <w:tcW w:w="874" w:type="pct"/>
            <w:tcBorders>
              <w:top w:val="single" w:sz="4" w:space="0" w:color="auto"/>
              <w:left w:val="nil"/>
              <w:bottom w:val="single" w:sz="4" w:space="0" w:color="auto"/>
              <w:right w:val="single" w:sz="4" w:space="0" w:color="auto"/>
            </w:tcBorders>
            <w:shd w:val="clear" w:color="auto" w:fill="auto"/>
            <w:vAlign w:val="center"/>
          </w:tcPr>
          <w:p w14:paraId="53CBBF32" w14:textId="0F197528" w:rsidR="00B045CA" w:rsidRPr="007B30AD" w:rsidRDefault="00B045CA" w:rsidP="00B045CA">
            <w:pPr>
              <w:suppressAutoHyphens w:val="0"/>
              <w:jc w:val="center"/>
              <w:rPr>
                <w:rFonts w:cstheme="minorHAnsi"/>
                <w:sz w:val="22"/>
                <w:szCs w:val="22"/>
              </w:rPr>
            </w:pPr>
            <w:r>
              <w:rPr>
                <w:rFonts w:cstheme="minorHAnsi"/>
                <w:sz w:val="22"/>
                <w:szCs w:val="22"/>
              </w:rPr>
              <w:t>Dzīvotnes platība – nogabali, kuros ir tikusi konstatēta suga</w:t>
            </w:r>
          </w:p>
        </w:tc>
      </w:tr>
      <w:tr w:rsidR="00B045CA" w:rsidRPr="007B30AD" w14:paraId="7E88B0B4" w14:textId="77777777" w:rsidTr="00B045CA">
        <w:trPr>
          <w:trHeight w:val="495"/>
        </w:trPr>
        <w:tc>
          <w:tcPr>
            <w:tcW w:w="920" w:type="pct"/>
            <w:tcBorders>
              <w:top w:val="single" w:sz="4" w:space="0" w:color="auto"/>
              <w:left w:val="single" w:sz="4" w:space="0" w:color="auto"/>
              <w:bottom w:val="single" w:sz="4" w:space="0" w:color="auto"/>
              <w:right w:val="single" w:sz="4" w:space="0" w:color="auto"/>
            </w:tcBorders>
            <w:vAlign w:val="center"/>
          </w:tcPr>
          <w:p w14:paraId="13EF40DA" w14:textId="77777777" w:rsidR="00B045CA" w:rsidRDefault="00B045CA" w:rsidP="00B045CA">
            <w:pPr>
              <w:suppressAutoHyphens w:val="0"/>
              <w:rPr>
                <w:rFonts w:cs="Times New Roman"/>
                <w:color w:val="000000"/>
                <w:szCs w:val="24"/>
              </w:rPr>
            </w:pPr>
            <w:r w:rsidRPr="00675182">
              <w:rPr>
                <w:rFonts w:cs="Times New Roman"/>
                <w:color w:val="000000"/>
                <w:szCs w:val="24"/>
              </w:rPr>
              <w:t>Lēzela lipare</w:t>
            </w:r>
          </w:p>
          <w:p w14:paraId="0E2E8FA4" w14:textId="5C97AAF5" w:rsidR="00B045CA" w:rsidRPr="007B30AD" w:rsidRDefault="00B045CA" w:rsidP="00B045CA">
            <w:pPr>
              <w:suppressAutoHyphens w:val="0"/>
              <w:rPr>
                <w:rFonts w:eastAsia="Times New Roman" w:cstheme="minorHAnsi"/>
                <w:i/>
                <w:iCs/>
                <w:sz w:val="22"/>
                <w:szCs w:val="22"/>
                <w:lang w:eastAsia="lv-LV"/>
              </w:rPr>
            </w:pPr>
            <w:r w:rsidRPr="00675182">
              <w:rPr>
                <w:rFonts w:cs="Times New Roman"/>
                <w:i/>
                <w:iCs/>
                <w:color w:val="000000"/>
                <w:szCs w:val="24"/>
              </w:rPr>
              <w:t>Liparis loeselii</w:t>
            </w:r>
          </w:p>
        </w:tc>
        <w:tc>
          <w:tcPr>
            <w:tcW w:w="589" w:type="pct"/>
            <w:tcBorders>
              <w:top w:val="single" w:sz="4" w:space="0" w:color="auto"/>
              <w:left w:val="nil"/>
              <w:bottom w:val="single" w:sz="4" w:space="0" w:color="auto"/>
              <w:right w:val="single" w:sz="4" w:space="0" w:color="auto"/>
            </w:tcBorders>
            <w:shd w:val="clear" w:color="auto" w:fill="auto"/>
            <w:noWrap/>
            <w:vAlign w:val="center"/>
          </w:tcPr>
          <w:p w14:paraId="2B493AE1" w14:textId="5EB040F1" w:rsidR="00B045CA" w:rsidRPr="007B30AD" w:rsidRDefault="00B045CA" w:rsidP="00B045CA">
            <w:pPr>
              <w:suppressAutoHyphens w:val="0"/>
              <w:jc w:val="center"/>
              <w:rPr>
                <w:rFonts w:cstheme="minorHAnsi"/>
                <w:sz w:val="22"/>
                <w:szCs w:val="22"/>
              </w:rPr>
            </w:pPr>
            <w:r>
              <w:rPr>
                <w:rFonts w:cstheme="minorHAnsi"/>
                <w:sz w:val="22"/>
                <w:szCs w:val="22"/>
              </w:rPr>
              <w:t>75</w:t>
            </w:r>
          </w:p>
        </w:tc>
        <w:tc>
          <w:tcPr>
            <w:tcW w:w="360" w:type="pct"/>
            <w:tcBorders>
              <w:top w:val="single" w:sz="4" w:space="0" w:color="auto"/>
              <w:left w:val="nil"/>
              <w:bottom w:val="single" w:sz="4" w:space="0" w:color="auto"/>
              <w:right w:val="single" w:sz="4" w:space="0" w:color="auto"/>
            </w:tcBorders>
            <w:shd w:val="clear" w:color="auto" w:fill="auto"/>
            <w:vAlign w:val="center"/>
          </w:tcPr>
          <w:p w14:paraId="33649B56" w14:textId="2AB84D58" w:rsidR="00B045CA" w:rsidRPr="007B30AD" w:rsidRDefault="00B045CA" w:rsidP="00B045CA">
            <w:pPr>
              <w:suppressAutoHyphens w:val="0"/>
              <w:jc w:val="center"/>
              <w:rPr>
                <w:rFonts w:cstheme="minorHAnsi"/>
                <w:sz w:val="22"/>
                <w:szCs w:val="22"/>
              </w:rPr>
            </w:pPr>
            <w:r>
              <w:rPr>
                <w:rFonts w:cstheme="minorHAnsi"/>
                <w:sz w:val="22"/>
                <w:szCs w:val="22"/>
              </w:rPr>
              <w:t>78</w:t>
            </w:r>
          </w:p>
        </w:tc>
        <w:tc>
          <w:tcPr>
            <w:tcW w:w="595" w:type="pct"/>
            <w:tcBorders>
              <w:top w:val="single" w:sz="4" w:space="0" w:color="auto"/>
              <w:left w:val="nil"/>
              <w:bottom w:val="single" w:sz="4" w:space="0" w:color="auto"/>
              <w:right w:val="single" w:sz="4" w:space="0" w:color="auto"/>
            </w:tcBorders>
            <w:shd w:val="clear" w:color="auto" w:fill="auto"/>
            <w:vAlign w:val="center"/>
          </w:tcPr>
          <w:p w14:paraId="35A804AA" w14:textId="7B7C031B" w:rsidR="00B045CA" w:rsidRPr="007B30AD" w:rsidRDefault="00B045CA" w:rsidP="00B045CA">
            <w:pPr>
              <w:suppressAutoHyphens w:val="0"/>
              <w:jc w:val="center"/>
              <w:rPr>
                <w:rFonts w:cstheme="minorHAnsi"/>
                <w:sz w:val="22"/>
                <w:szCs w:val="22"/>
              </w:rPr>
            </w:pPr>
            <w:r>
              <w:rPr>
                <w:rFonts w:cstheme="minorHAnsi"/>
                <w:sz w:val="22"/>
                <w:szCs w:val="22"/>
              </w:rPr>
              <w:t>1-6,9</w:t>
            </w:r>
          </w:p>
        </w:tc>
        <w:tc>
          <w:tcPr>
            <w:tcW w:w="448" w:type="pct"/>
            <w:tcBorders>
              <w:top w:val="single" w:sz="4" w:space="0" w:color="auto"/>
              <w:left w:val="nil"/>
              <w:bottom w:val="single" w:sz="4" w:space="0" w:color="auto"/>
              <w:right w:val="single" w:sz="4" w:space="0" w:color="auto"/>
            </w:tcBorders>
            <w:shd w:val="clear" w:color="auto" w:fill="auto"/>
            <w:vAlign w:val="center"/>
          </w:tcPr>
          <w:p w14:paraId="09C7C01C" w14:textId="5F90105A" w:rsidR="00B045CA" w:rsidRPr="007B30AD" w:rsidRDefault="00B045CA" w:rsidP="00B045CA">
            <w:pPr>
              <w:suppressAutoHyphens w:val="0"/>
              <w:jc w:val="center"/>
              <w:rPr>
                <w:rFonts w:cstheme="minorHAnsi"/>
                <w:sz w:val="22"/>
                <w:szCs w:val="22"/>
              </w:rPr>
            </w:pPr>
            <w:r>
              <w:rPr>
                <w:rFonts w:cstheme="minorHAnsi"/>
                <w:sz w:val="22"/>
                <w:szCs w:val="22"/>
              </w:rPr>
              <w:t>0,9-6,25</w:t>
            </w:r>
          </w:p>
        </w:tc>
        <w:tc>
          <w:tcPr>
            <w:tcW w:w="440" w:type="pct"/>
            <w:tcBorders>
              <w:top w:val="single" w:sz="4" w:space="0" w:color="auto"/>
              <w:left w:val="nil"/>
              <w:bottom w:val="single" w:sz="4" w:space="0" w:color="auto"/>
              <w:right w:val="single" w:sz="4" w:space="0" w:color="auto"/>
            </w:tcBorders>
            <w:vAlign w:val="center"/>
          </w:tcPr>
          <w:p w14:paraId="4F219730" w14:textId="34D03C1D" w:rsidR="00B045CA" w:rsidRPr="007B30AD" w:rsidRDefault="00B045CA" w:rsidP="00B045CA">
            <w:pPr>
              <w:suppressAutoHyphens w:val="0"/>
              <w:jc w:val="center"/>
              <w:rPr>
                <w:rFonts w:cstheme="minorHAnsi"/>
                <w:sz w:val="22"/>
                <w:szCs w:val="22"/>
              </w:rPr>
            </w:pPr>
            <w:r>
              <w:rPr>
                <w:rFonts w:cstheme="minorHAnsi"/>
                <w:sz w:val="22"/>
                <w:szCs w:val="22"/>
              </w:rPr>
              <w:t>56,8</w:t>
            </w:r>
          </w:p>
        </w:tc>
        <w:tc>
          <w:tcPr>
            <w:tcW w:w="773" w:type="pct"/>
            <w:tcBorders>
              <w:top w:val="single" w:sz="4" w:space="0" w:color="auto"/>
              <w:left w:val="nil"/>
              <w:bottom w:val="single" w:sz="4" w:space="0" w:color="auto"/>
              <w:right w:val="single" w:sz="4" w:space="0" w:color="auto"/>
            </w:tcBorders>
            <w:vAlign w:val="center"/>
          </w:tcPr>
          <w:p w14:paraId="56B1DBEF" w14:textId="339F0232" w:rsidR="00B045CA" w:rsidRPr="007B30AD" w:rsidRDefault="00B045CA" w:rsidP="00B045CA">
            <w:pPr>
              <w:suppressAutoHyphens w:val="0"/>
              <w:jc w:val="center"/>
              <w:rPr>
                <w:rFonts w:cstheme="minorHAnsi"/>
                <w:sz w:val="22"/>
                <w:szCs w:val="22"/>
              </w:rPr>
            </w:pPr>
            <w:r>
              <w:rPr>
                <w:rFonts w:cstheme="minorHAnsi"/>
                <w:sz w:val="22"/>
                <w:szCs w:val="22"/>
              </w:rPr>
              <w:t>Nav datu</w:t>
            </w:r>
          </w:p>
        </w:tc>
        <w:tc>
          <w:tcPr>
            <w:tcW w:w="874" w:type="pct"/>
            <w:tcBorders>
              <w:top w:val="single" w:sz="4" w:space="0" w:color="auto"/>
              <w:left w:val="nil"/>
              <w:bottom w:val="single" w:sz="4" w:space="0" w:color="auto"/>
              <w:right w:val="single" w:sz="4" w:space="0" w:color="auto"/>
            </w:tcBorders>
            <w:shd w:val="clear" w:color="auto" w:fill="auto"/>
            <w:vAlign w:val="center"/>
          </w:tcPr>
          <w:p w14:paraId="004F5551" w14:textId="762413F3" w:rsidR="00B045CA" w:rsidRPr="007B30AD" w:rsidRDefault="00B045CA" w:rsidP="00B045CA">
            <w:pPr>
              <w:suppressAutoHyphens w:val="0"/>
              <w:jc w:val="center"/>
              <w:rPr>
                <w:rFonts w:cstheme="minorHAnsi"/>
                <w:sz w:val="22"/>
                <w:szCs w:val="22"/>
              </w:rPr>
            </w:pPr>
            <w:r>
              <w:rPr>
                <w:rFonts w:cstheme="minorHAnsi"/>
                <w:sz w:val="22"/>
                <w:szCs w:val="22"/>
              </w:rPr>
              <w:t>Dzīvotnes platība – pārejas purvu platība Pūricu, Tavaiņu un Kalauzu atradnēs.</w:t>
            </w:r>
          </w:p>
        </w:tc>
      </w:tr>
      <w:tr w:rsidR="00B045CA" w:rsidRPr="007B30AD" w14:paraId="6DD9F653" w14:textId="77777777" w:rsidTr="00B045CA">
        <w:trPr>
          <w:trHeight w:val="495"/>
        </w:trPr>
        <w:tc>
          <w:tcPr>
            <w:tcW w:w="920" w:type="pct"/>
            <w:tcBorders>
              <w:top w:val="single" w:sz="4" w:space="0" w:color="auto"/>
              <w:left w:val="single" w:sz="4" w:space="0" w:color="auto"/>
              <w:bottom w:val="single" w:sz="4" w:space="0" w:color="auto"/>
              <w:right w:val="single" w:sz="4" w:space="0" w:color="auto"/>
            </w:tcBorders>
            <w:vAlign w:val="center"/>
          </w:tcPr>
          <w:p w14:paraId="437E05A3" w14:textId="77777777" w:rsidR="00B045CA" w:rsidRDefault="00B045CA" w:rsidP="00B045CA">
            <w:pPr>
              <w:suppressAutoHyphens w:val="0"/>
              <w:rPr>
                <w:rFonts w:cs="Times New Roman"/>
                <w:color w:val="000000"/>
                <w:szCs w:val="24"/>
              </w:rPr>
            </w:pPr>
            <w:r w:rsidRPr="00675182">
              <w:rPr>
                <w:rFonts w:cs="Times New Roman"/>
                <w:color w:val="000000"/>
                <w:szCs w:val="24"/>
              </w:rPr>
              <w:lastRenderedPageBreak/>
              <w:t>Dzeltenā akmeņlauzīte</w:t>
            </w:r>
          </w:p>
          <w:p w14:paraId="7CE3D520" w14:textId="54AB06E5" w:rsidR="00B045CA" w:rsidRPr="007B30AD" w:rsidRDefault="00B045CA" w:rsidP="00B045CA">
            <w:pPr>
              <w:suppressAutoHyphens w:val="0"/>
              <w:rPr>
                <w:rFonts w:cstheme="minorHAnsi"/>
                <w:sz w:val="22"/>
                <w:szCs w:val="22"/>
              </w:rPr>
            </w:pPr>
            <w:r w:rsidRPr="00675182">
              <w:rPr>
                <w:rFonts w:cs="Times New Roman"/>
                <w:i/>
                <w:iCs/>
                <w:color w:val="000000"/>
                <w:szCs w:val="24"/>
              </w:rPr>
              <w:t>Saxifraga hirculus</w:t>
            </w:r>
          </w:p>
        </w:tc>
        <w:tc>
          <w:tcPr>
            <w:tcW w:w="589" w:type="pct"/>
            <w:tcBorders>
              <w:top w:val="single" w:sz="4" w:space="0" w:color="auto"/>
              <w:left w:val="nil"/>
              <w:bottom w:val="single" w:sz="4" w:space="0" w:color="auto"/>
              <w:right w:val="single" w:sz="4" w:space="0" w:color="auto"/>
            </w:tcBorders>
            <w:shd w:val="clear" w:color="auto" w:fill="auto"/>
            <w:noWrap/>
            <w:vAlign w:val="center"/>
          </w:tcPr>
          <w:p w14:paraId="4B741ED1" w14:textId="611E3EAC" w:rsidR="00B045CA" w:rsidRPr="007B30AD" w:rsidRDefault="00B045CA" w:rsidP="00B045CA">
            <w:pPr>
              <w:suppressAutoHyphens w:val="0"/>
              <w:ind w:right="-109"/>
              <w:jc w:val="center"/>
              <w:rPr>
                <w:rFonts w:cstheme="minorHAnsi"/>
                <w:sz w:val="22"/>
                <w:szCs w:val="22"/>
              </w:rPr>
            </w:pPr>
            <w:r>
              <w:rPr>
                <w:rFonts w:cstheme="minorHAnsi"/>
                <w:sz w:val="22"/>
                <w:szCs w:val="22"/>
              </w:rPr>
              <w:t>0</w:t>
            </w:r>
          </w:p>
        </w:tc>
        <w:tc>
          <w:tcPr>
            <w:tcW w:w="360" w:type="pct"/>
            <w:tcBorders>
              <w:top w:val="single" w:sz="4" w:space="0" w:color="auto"/>
              <w:left w:val="nil"/>
              <w:bottom w:val="single" w:sz="4" w:space="0" w:color="auto"/>
              <w:right w:val="single" w:sz="4" w:space="0" w:color="auto"/>
            </w:tcBorders>
            <w:shd w:val="clear" w:color="auto" w:fill="auto"/>
            <w:vAlign w:val="center"/>
          </w:tcPr>
          <w:p w14:paraId="40CF0ADF" w14:textId="60572DD1" w:rsidR="00B045CA" w:rsidRPr="007B30AD" w:rsidRDefault="00B045CA" w:rsidP="00B045CA">
            <w:pPr>
              <w:suppressAutoHyphens w:val="0"/>
              <w:jc w:val="center"/>
              <w:rPr>
                <w:rFonts w:cstheme="minorHAnsi"/>
                <w:sz w:val="22"/>
                <w:szCs w:val="22"/>
              </w:rPr>
            </w:pPr>
            <w:r>
              <w:rPr>
                <w:rFonts w:cstheme="minorHAnsi"/>
                <w:sz w:val="22"/>
                <w:szCs w:val="22"/>
              </w:rPr>
              <w:t>5</w:t>
            </w:r>
          </w:p>
        </w:tc>
        <w:tc>
          <w:tcPr>
            <w:tcW w:w="595" w:type="pct"/>
            <w:tcBorders>
              <w:top w:val="single" w:sz="4" w:space="0" w:color="auto"/>
              <w:left w:val="nil"/>
              <w:bottom w:val="single" w:sz="4" w:space="0" w:color="auto"/>
              <w:right w:val="single" w:sz="4" w:space="0" w:color="auto"/>
            </w:tcBorders>
            <w:shd w:val="clear" w:color="auto" w:fill="auto"/>
            <w:vAlign w:val="center"/>
          </w:tcPr>
          <w:p w14:paraId="61E0E9C5" w14:textId="0B8582E5" w:rsidR="00B045CA" w:rsidRPr="007B30AD" w:rsidRDefault="00B045CA" w:rsidP="00B045CA">
            <w:pPr>
              <w:suppressAutoHyphens w:val="0"/>
              <w:jc w:val="center"/>
              <w:rPr>
                <w:rFonts w:cstheme="minorHAnsi"/>
                <w:sz w:val="22"/>
                <w:szCs w:val="22"/>
              </w:rPr>
            </w:pPr>
            <w:r>
              <w:rPr>
                <w:rFonts w:cstheme="minorHAnsi"/>
                <w:sz w:val="22"/>
                <w:szCs w:val="22"/>
              </w:rPr>
              <w:t>0-0,5</w:t>
            </w:r>
          </w:p>
        </w:tc>
        <w:tc>
          <w:tcPr>
            <w:tcW w:w="448" w:type="pct"/>
            <w:tcBorders>
              <w:top w:val="single" w:sz="4" w:space="0" w:color="auto"/>
              <w:left w:val="nil"/>
              <w:bottom w:val="single" w:sz="4" w:space="0" w:color="auto"/>
              <w:right w:val="single" w:sz="4" w:space="0" w:color="auto"/>
            </w:tcBorders>
            <w:shd w:val="clear" w:color="auto" w:fill="auto"/>
            <w:vAlign w:val="center"/>
          </w:tcPr>
          <w:p w14:paraId="0C7525D4" w14:textId="1BFB481C" w:rsidR="00B045CA" w:rsidRPr="007B30AD" w:rsidRDefault="00B045CA" w:rsidP="00B045CA">
            <w:pPr>
              <w:suppressAutoHyphens w:val="0"/>
              <w:jc w:val="center"/>
              <w:rPr>
                <w:rFonts w:cstheme="minorHAnsi"/>
                <w:sz w:val="22"/>
                <w:szCs w:val="22"/>
              </w:rPr>
            </w:pPr>
            <w:r>
              <w:rPr>
                <w:rFonts w:cstheme="minorHAnsi"/>
                <w:sz w:val="22"/>
                <w:szCs w:val="22"/>
              </w:rPr>
              <w:t>0-0,5</w:t>
            </w:r>
          </w:p>
        </w:tc>
        <w:tc>
          <w:tcPr>
            <w:tcW w:w="440" w:type="pct"/>
            <w:tcBorders>
              <w:top w:val="single" w:sz="4" w:space="0" w:color="auto"/>
              <w:left w:val="nil"/>
              <w:bottom w:val="single" w:sz="4" w:space="0" w:color="auto"/>
              <w:right w:val="single" w:sz="4" w:space="0" w:color="auto"/>
            </w:tcBorders>
            <w:vAlign w:val="center"/>
          </w:tcPr>
          <w:p w14:paraId="0538E1C7" w14:textId="120A2780" w:rsidR="00B045CA" w:rsidRPr="007B30AD" w:rsidRDefault="00B045CA" w:rsidP="00B045CA">
            <w:pPr>
              <w:suppressAutoHyphens w:val="0"/>
              <w:jc w:val="center"/>
              <w:rPr>
                <w:rFonts w:cstheme="minorHAnsi"/>
                <w:sz w:val="22"/>
                <w:szCs w:val="22"/>
              </w:rPr>
            </w:pPr>
            <w:r>
              <w:rPr>
                <w:rFonts w:cstheme="minorHAnsi"/>
                <w:sz w:val="22"/>
                <w:szCs w:val="22"/>
              </w:rPr>
              <w:t>2,3</w:t>
            </w:r>
          </w:p>
        </w:tc>
        <w:tc>
          <w:tcPr>
            <w:tcW w:w="773" w:type="pct"/>
            <w:tcBorders>
              <w:top w:val="single" w:sz="4" w:space="0" w:color="auto"/>
              <w:left w:val="nil"/>
              <w:bottom w:val="single" w:sz="4" w:space="0" w:color="auto"/>
              <w:right w:val="single" w:sz="4" w:space="0" w:color="auto"/>
            </w:tcBorders>
            <w:vAlign w:val="center"/>
          </w:tcPr>
          <w:p w14:paraId="723A45C3" w14:textId="2A9A1E5C" w:rsidR="00B045CA" w:rsidRPr="007B30AD" w:rsidRDefault="00B045CA" w:rsidP="00B045CA">
            <w:pPr>
              <w:suppressAutoHyphens w:val="0"/>
              <w:jc w:val="center"/>
              <w:rPr>
                <w:rFonts w:cstheme="minorHAnsi"/>
                <w:sz w:val="22"/>
                <w:szCs w:val="22"/>
              </w:rPr>
            </w:pPr>
            <w:r>
              <w:rPr>
                <w:rFonts w:cstheme="minorHAnsi"/>
                <w:sz w:val="22"/>
                <w:szCs w:val="22"/>
              </w:rPr>
              <w:t>Nav datu</w:t>
            </w:r>
          </w:p>
        </w:tc>
        <w:tc>
          <w:tcPr>
            <w:tcW w:w="874" w:type="pct"/>
            <w:tcBorders>
              <w:top w:val="single" w:sz="4" w:space="0" w:color="auto"/>
              <w:left w:val="nil"/>
              <w:bottom w:val="single" w:sz="4" w:space="0" w:color="auto"/>
              <w:right w:val="single" w:sz="4" w:space="0" w:color="auto"/>
            </w:tcBorders>
            <w:shd w:val="clear" w:color="auto" w:fill="auto"/>
            <w:vAlign w:val="center"/>
          </w:tcPr>
          <w:p w14:paraId="40934C11" w14:textId="758B867C" w:rsidR="00B045CA" w:rsidRPr="007B30AD" w:rsidRDefault="00B045CA" w:rsidP="00B045CA">
            <w:pPr>
              <w:suppressAutoHyphens w:val="0"/>
              <w:jc w:val="center"/>
              <w:rPr>
                <w:rFonts w:cstheme="minorHAnsi"/>
                <w:sz w:val="22"/>
                <w:szCs w:val="22"/>
              </w:rPr>
            </w:pPr>
            <w:r>
              <w:rPr>
                <w:rFonts w:cstheme="minorHAnsi"/>
                <w:sz w:val="22"/>
                <w:szCs w:val="22"/>
              </w:rPr>
              <w:t>Dzīvotnes platība – visa Rakšu purva teritorija.</w:t>
            </w:r>
          </w:p>
        </w:tc>
      </w:tr>
      <w:tr w:rsidR="00B045CA" w:rsidRPr="007B30AD" w14:paraId="3D7EF85D" w14:textId="77777777" w:rsidTr="00B045CA">
        <w:trPr>
          <w:trHeight w:val="294"/>
        </w:trPr>
        <w:tc>
          <w:tcPr>
            <w:tcW w:w="920" w:type="pct"/>
            <w:tcBorders>
              <w:top w:val="single" w:sz="4" w:space="0" w:color="auto"/>
              <w:left w:val="single" w:sz="4" w:space="0" w:color="auto"/>
              <w:bottom w:val="single" w:sz="4" w:space="0" w:color="auto"/>
              <w:right w:val="single" w:sz="4" w:space="0" w:color="auto"/>
            </w:tcBorders>
            <w:vAlign w:val="center"/>
          </w:tcPr>
          <w:p w14:paraId="018FECA2" w14:textId="77777777" w:rsidR="00B045CA" w:rsidRDefault="00B045CA" w:rsidP="00B045CA">
            <w:pPr>
              <w:suppressAutoHyphens w:val="0"/>
              <w:rPr>
                <w:rFonts w:cs="Times New Roman"/>
                <w:color w:val="000000"/>
                <w:szCs w:val="24"/>
              </w:rPr>
            </w:pPr>
            <w:r w:rsidRPr="00675182">
              <w:rPr>
                <w:rFonts w:cs="Times New Roman"/>
                <w:color w:val="000000"/>
                <w:szCs w:val="24"/>
              </w:rPr>
              <w:t>Spilvainais ancītis</w:t>
            </w:r>
          </w:p>
          <w:p w14:paraId="6B908F38" w14:textId="0975A865" w:rsidR="00B045CA" w:rsidRPr="007B30AD" w:rsidRDefault="00B045CA" w:rsidP="00B045CA">
            <w:pPr>
              <w:suppressAutoHyphens w:val="0"/>
              <w:rPr>
                <w:rFonts w:cstheme="minorHAnsi"/>
                <w:i/>
                <w:sz w:val="22"/>
                <w:szCs w:val="22"/>
              </w:rPr>
            </w:pPr>
            <w:r w:rsidRPr="00675182">
              <w:rPr>
                <w:rFonts w:cs="Times New Roman"/>
                <w:i/>
                <w:iCs/>
                <w:color w:val="000000"/>
                <w:szCs w:val="24"/>
              </w:rPr>
              <w:t>Agrimonia pilosa</w:t>
            </w:r>
          </w:p>
        </w:tc>
        <w:tc>
          <w:tcPr>
            <w:tcW w:w="589" w:type="pct"/>
            <w:tcBorders>
              <w:top w:val="single" w:sz="4" w:space="0" w:color="auto"/>
              <w:left w:val="nil"/>
              <w:bottom w:val="single" w:sz="4" w:space="0" w:color="auto"/>
              <w:right w:val="single" w:sz="4" w:space="0" w:color="auto"/>
            </w:tcBorders>
            <w:shd w:val="clear" w:color="auto" w:fill="auto"/>
            <w:noWrap/>
            <w:vAlign w:val="center"/>
          </w:tcPr>
          <w:p w14:paraId="23D345CA" w14:textId="04B345CD" w:rsidR="00B045CA" w:rsidRPr="007B30AD" w:rsidRDefault="00B045CA" w:rsidP="00B045CA">
            <w:pPr>
              <w:suppressAutoHyphens w:val="0"/>
              <w:jc w:val="center"/>
              <w:rPr>
                <w:rFonts w:cstheme="minorHAnsi"/>
                <w:sz w:val="22"/>
                <w:szCs w:val="22"/>
              </w:rPr>
            </w:pPr>
            <w:r>
              <w:rPr>
                <w:rFonts w:cstheme="minorHAnsi"/>
                <w:sz w:val="22"/>
                <w:szCs w:val="22"/>
              </w:rPr>
              <w:t>290</w:t>
            </w:r>
          </w:p>
        </w:tc>
        <w:tc>
          <w:tcPr>
            <w:tcW w:w="360" w:type="pct"/>
            <w:tcBorders>
              <w:top w:val="single" w:sz="4" w:space="0" w:color="auto"/>
              <w:left w:val="nil"/>
              <w:bottom w:val="single" w:sz="4" w:space="0" w:color="auto"/>
              <w:right w:val="single" w:sz="4" w:space="0" w:color="auto"/>
            </w:tcBorders>
            <w:shd w:val="clear" w:color="auto" w:fill="auto"/>
            <w:vAlign w:val="center"/>
          </w:tcPr>
          <w:p w14:paraId="7B292654" w14:textId="6C897B99" w:rsidR="00B045CA" w:rsidRPr="007B30AD" w:rsidRDefault="00B045CA" w:rsidP="00B045CA">
            <w:pPr>
              <w:suppressAutoHyphens w:val="0"/>
              <w:jc w:val="center"/>
              <w:rPr>
                <w:rFonts w:cstheme="minorHAnsi"/>
                <w:sz w:val="22"/>
                <w:szCs w:val="22"/>
              </w:rPr>
            </w:pPr>
            <w:r>
              <w:rPr>
                <w:rFonts w:cstheme="minorHAnsi"/>
                <w:sz w:val="22"/>
                <w:szCs w:val="22"/>
              </w:rPr>
              <w:t>350</w:t>
            </w:r>
          </w:p>
        </w:tc>
        <w:tc>
          <w:tcPr>
            <w:tcW w:w="595" w:type="pct"/>
            <w:tcBorders>
              <w:top w:val="single" w:sz="4" w:space="0" w:color="auto"/>
              <w:left w:val="nil"/>
              <w:bottom w:val="single" w:sz="4" w:space="0" w:color="auto"/>
              <w:right w:val="single" w:sz="4" w:space="0" w:color="auto"/>
            </w:tcBorders>
            <w:shd w:val="clear" w:color="auto" w:fill="auto"/>
            <w:vAlign w:val="center"/>
          </w:tcPr>
          <w:p w14:paraId="74B05D72" w14:textId="71578A46" w:rsidR="00B045CA" w:rsidRPr="007B30AD" w:rsidRDefault="00B045CA" w:rsidP="00B045CA">
            <w:pPr>
              <w:suppressAutoHyphens w:val="0"/>
              <w:jc w:val="center"/>
              <w:rPr>
                <w:rFonts w:cstheme="minorHAnsi"/>
                <w:sz w:val="22"/>
                <w:szCs w:val="22"/>
              </w:rPr>
            </w:pPr>
            <w:r>
              <w:rPr>
                <w:rFonts w:cstheme="minorHAnsi"/>
                <w:sz w:val="22"/>
                <w:szCs w:val="22"/>
              </w:rPr>
              <w:t>0,3</w:t>
            </w:r>
          </w:p>
        </w:tc>
        <w:tc>
          <w:tcPr>
            <w:tcW w:w="448" w:type="pct"/>
            <w:tcBorders>
              <w:top w:val="single" w:sz="4" w:space="0" w:color="auto"/>
              <w:left w:val="nil"/>
              <w:bottom w:val="single" w:sz="4" w:space="0" w:color="auto"/>
              <w:right w:val="single" w:sz="4" w:space="0" w:color="auto"/>
            </w:tcBorders>
            <w:shd w:val="clear" w:color="auto" w:fill="auto"/>
            <w:vAlign w:val="center"/>
          </w:tcPr>
          <w:p w14:paraId="2CFDE536" w14:textId="46609CA3" w:rsidR="00B045CA" w:rsidRPr="007B30AD" w:rsidRDefault="00B045CA" w:rsidP="00B045CA">
            <w:pPr>
              <w:suppressAutoHyphens w:val="0"/>
              <w:jc w:val="center"/>
              <w:rPr>
                <w:rFonts w:cstheme="minorHAnsi"/>
                <w:sz w:val="22"/>
                <w:szCs w:val="22"/>
              </w:rPr>
            </w:pPr>
            <w:r>
              <w:rPr>
                <w:rFonts w:cstheme="minorHAnsi"/>
                <w:sz w:val="22"/>
                <w:szCs w:val="22"/>
              </w:rPr>
              <w:t>0,2-0,3</w:t>
            </w:r>
          </w:p>
        </w:tc>
        <w:tc>
          <w:tcPr>
            <w:tcW w:w="440" w:type="pct"/>
            <w:tcBorders>
              <w:top w:val="single" w:sz="4" w:space="0" w:color="auto"/>
              <w:left w:val="nil"/>
              <w:bottom w:val="single" w:sz="4" w:space="0" w:color="auto"/>
              <w:right w:val="single" w:sz="4" w:space="0" w:color="auto"/>
            </w:tcBorders>
            <w:vAlign w:val="center"/>
          </w:tcPr>
          <w:p w14:paraId="234F19C4" w14:textId="0365E0C6" w:rsidR="00B045CA" w:rsidRPr="007B30AD" w:rsidRDefault="00B045CA" w:rsidP="00B045CA">
            <w:pPr>
              <w:suppressAutoHyphens w:val="0"/>
              <w:jc w:val="center"/>
              <w:rPr>
                <w:rFonts w:cstheme="minorHAnsi"/>
                <w:sz w:val="22"/>
                <w:szCs w:val="22"/>
              </w:rPr>
            </w:pPr>
            <w:r>
              <w:rPr>
                <w:rFonts w:cstheme="minorHAnsi"/>
                <w:sz w:val="22"/>
                <w:szCs w:val="22"/>
              </w:rPr>
              <w:t>4,3</w:t>
            </w:r>
          </w:p>
        </w:tc>
        <w:tc>
          <w:tcPr>
            <w:tcW w:w="773" w:type="pct"/>
            <w:tcBorders>
              <w:top w:val="single" w:sz="4" w:space="0" w:color="auto"/>
              <w:left w:val="nil"/>
              <w:bottom w:val="single" w:sz="4" w:space="0" w:color="auto"/>
              <w:right w:val="single" w:sz="4" w:space="0" w:color="auto"/>
            </w:tcBorders>
            <w:vAlign w:val="center"/>
          </w:tcPr>
          <w:p w14:paraId="2C9C432E" w14:textId="766CD14F" w:rsidR="00B045CA" w:rsidRPr="007B30AD" w:rsidRDefault="00B045CA" w:rsidP="00B045CA">
            <w:pPr>
              <w:suppressAutoHyphens w:val="0"/>
              <w:jc w:val="center"/>
              <w:rPr>
                <w:rFonts w:cstheme="minorHAnsi"/>
                <w:sz w:val="22"/>
                <w:szCs w:val="22"/>
              </w:rPr>
            </w:pPr>
            <w:r>
              <w:rPr>
                <w:rFonts w:cstheme="minorHAnsi"/>
                <w:sz w:val="22"/>
                <w:szCs w:val="22"/>
              </w:rPr>
              <w:t>Nav datu</w:t>
            </w:r>
          </w:p>
        </w:tc>
        <w:tc>
          <w:tcPr>
            <w:tcW w:w="874" w:type="pct"/>
            <w:tcBorders>
              <w:top w:val="single" w:sz="4" w:space="0" w:color="auto"/>
              <w:left w:val="nil"/>
              <w:bottom w:val="single" w:sz="4" w:space="0" w:color="auto"/>
              <w:right w:val="single" w:sz="4" w:space="0" w:color="auto"/>
            </w:tcBorders>
            <w:shd w:val="clear" w:color="auto" w:fill="auto"/>
            <w:vAlign w:val="center"/>
          </w:tcPr>
          <w:p w14:paraId="01CA006D" w14:textId="47A6CB8B" w:rsidR="00B045CA" w:rsidRPr="007B30AD" w:rsidRDefault="00B045CA" w:rsidP="00B045CA">
            <w:pPr>
              <w:suppressAutoHyphens w:val="0"/>
              <w:jc w:val="center"/>
              <w:rPr>
                <w:rFonts w:cstheme="minorHAnsi"/>
                <w:sz w:val="22"/>
                <w:szCs w:val="22"/>
              </w:rPr>
            </w:pPr>
            <w:r>
              <w:rPr>
                <w:rFonts w:cstheme="minorHAnsi"/>
                <w:sz w:val="22"/>
                <w:szCs w:val="22"/>
              </w:rPr>
              <w:t>Dzīvotnes platība - buferis 25m rādiusā ap zināmajām atradnēm</w:t>
            </w:r>
          </w:p>
        </w:tc>
      </w:tr>
      <w:tr w:rsidR="00B045CA" w:rsidRPr="007B30AD" w14:paraId="45389617" w14:textId="77777777" w:rsidTr="00B045CA">
        <w:trPr>
          <w:trHeight w:val="495"/>
        </w:trPr>
        <w:tc>
          <w:tcPr>
            <w:tcW w:w="920" w:type="pct"/>
            <w:tcBorders>
              <w:top w:val="single" w:sz="4" w:space="0" w:color="auto"/>
              <w:left w:val="single" w:sz="4" w:space="0" w:color="auto"/>
              <w:bottom w:val="single" w:sz="4" w:space="0" w:color="auto"/>
              <w:right w:val="single" w:sz="4" w:space="0" w:color="auto"/>
            </w:tcBorders>
            <w:vAlign w:val="center"/>
          </w:tcPr>
          <w:p w14:paraId="58A60FD3" w14:textId="77777777" w:rsidR="00B045CA" w:rsidRDefault="00B045CA" w:rsidP="00B045CA">
            <w:pPr>
              <w:suppressAutoHyphens w:val="0"/>
              <w:rPr>
                <w:rFonts w:cs="Times New Roman"/>
                <w:color w:val="000000"/>
                <w:szCs w:val="24"/>
              </w:rPr>
            </w:pPr>
            <w:r w:rsidRPr="00675182">
              <w:rPr>
                <w:rFonts w:cs="Times New Roman"/>
                <w:color w:val="000000"/>
                <w:szCs w:val="24"/>
              </w:rPr>
              <w:t>Staipekņi</w:t>
            </w:r>
          </w:p>
          <w:p w14:paraId="4B0AEC6A" w14:textId="75B9F3A8" w:rsidR="00B045CA" w:rsidRPr="007B30AD" w:rsidRDefault="00B045CA" w:rsidP="00B045CA">
            <w:pPr>
              <w:suppressAutoHyphens w:val="0"/>
              <w:rPr>
                <w:rFonts w:cstheme="minorHAnsi"/>
                <w:i/>
                <w:sz w:val="22"/>
                <w:szCs w:val="22"/>
              </w:rPr>
            </w:pPr>
            <w:r w:rsidRPr="00675182">
              <w:rPr>
                <w:rFonts w:cs="Times New Roman"/>
                <w:i/>
                <w:iCs/>
                <w:color w:val="000000"/>
                <w:szCs w:val="24"/>
              </w:rPr>
              <w:t xml:space="preserve">Lycopodium </w:t>
            </w:r>
            <w:r w:rsidRPr="00675182">
              <w:rPr>
                <w:rFonts w:cs="Times New Roman"/>
                <w:color w:val="000000"/>
                <w:szCs w:val="24"/>
              </w:rPr>
              <w:t>spp.</w:t>
            </w:r>
          </w:p>
        </w:tc>
        <w:tc>
          <w:tcPr>
            <w:tcW w:w="589" w:type="pct"/>
            <w:tcBorders>
              <w:top w:val="single" w:sz="4" w:space="0" w:color="auto"/>
              <w:left w:val="nil"/>
              <w:bottom w:val="single" w:sz="4" w:space="0" w:color="auto"/>
              <w:right w:val="single" w:sz="4" w:space="0" w:color="auto"/>
            </w:tcBorders>
            <w:shd w:val="clear" w:color="auto" w:fill="auto"/>
            <w:noWrap/>
            <w:vAlign w:val="center"/>
          </w:tcPr>
          <w:p w14:paraId="7D1C8D2C" w14:textId="64DB7979" w:rsidR="00B045CA" w:rsidRPr="007B30AD" w:rsidRDefault="00B045CA" w:rsidP="00B045CA">
            <w:pPr>
              <w:suppressAutoHyphens w:val="0"/>
              <w:jc w:val="center"/>
              <w:rPr>
                <w:rFonts w:cstheme="minorHAnsi"/>
                <w:sz w:val="22"/>
                <w:szCs w:val="22"/>
              </w:rPr>
            </w:pPr>
            <w:r>
              <w:rPr>
                <w:rFonts w:cstheme="minorHAnsi"/>
                <w:sz w:val="22"/>
                <w:szCs w:val="22"/>
              </w:rPr>
              <w:t>3530 atradnes</w:t>
            </w:r>
            <w:r>
              <w:rPr>
                <w:rStyle w:val="FootnoteReference"/>
                <w:rFonts w:cstheme="minorHAnsi"/>
                <w:sz w:val="22"/>
                <w:szCs w:val="22"/>
              </w:rPr>
              <w:footnoteReference w:id="19"/>
            </w:r>
          </w:p>
        </w:tc>
        <w:tc>
          <w:tcPr>
            <w:tcW w:w="360" w:type="pct"/>
            <w:tcBorders>
              <w:top w:val="single" w:sz="4" w:space="0" w:color="auto"/>
              <w:left w:val="nil"/>
              <w:bottom w:val="single" w:sz="4" w:space="0" w:color="auto"/>
              <w:right w:val="single" w:sz="4" w:space="0" w:color="auto"/>
            </w:tcBorders>
            <w:shd w:val="clear" w:color="auto" w:fill="auto"/>
            <w:vAlign w:val="center"/>
          </w:tcPr>
          <w:p w14:paraId="4B60DC0D" w14:textId="0F8EE5B0" w:rsidR="00B045CA" w:rsidRPr="007B30AD" w:rsidRDefault="00B045CA" w:rsidP="00B045CA">
            <w:pPr>
              <w:suppressAutoHyphens w:val="0"/>
              <w:jc w:val="center"/>
              <w:rPr>
                <w:rFonts w:cstheme="minorHAnsi"/>
                <w:sz w:val="22"/>
                <w:szCs w:val="22"/>
              </w:rPr>
            </w:pPr>
            <w:r>
              <w:rPr>
                <w:rFonts w:cstheme="minorHAnsi"/>
                <w:sz w:val="22"/>
                <w:szCs w:val="22"/>
              </w:rPr>
              <w:t>4710 atradnes</w:t>
            </w:r>
          </w:p>
        </w:tc>
        <w:tc>
          <w:tcPr>
            <w:tcW w:w="595" w:type="pct"/>
            <w:tcBorders>
              <w:top w:val="single" w:sz="4" w:space="0" w:color="auto"/>
              <w:left w:val="nil"/>
              <w:bottom w:val="single" w:sz="4" w:space="0" w:color="auto"/>
              <w:right w:val="single" w:sz="4" w:space="0" w:color="auto"/>
            </w:tcBorders>
            <w:shd w:val="clear" w:color="auto" w:fill="auto"/>
            <w:vAlign w:val="center"/>
          </w:tcPr>
          <w:p w14:paraId="5DE6BD5B" w14:textId="780E4F20" w:rsidR="00B045CA" w:rsidRPr="007B30AD" w:rsidRDefault="00B045CA" w:rsidP="00B045CA">
            <w:pPr>
              <w:suppressAutoHyphens w:val="0"/>
              <w:jc w:val="center"/>
              <w:rPr>
                <w:rFonts w:cstheme="minorHAnsi"/>
                <w:sz w:val="22"/>
                <w:szCs w:val="22"/>
              </w:rPr>
            </w:pPr>
            <w:r>
              <w:rPr>
                <w:rFonts w:cstheme="minorHAnsi"/>
                <w:sz w:val="22"/>
                <w:szCs w:val="22"/>
              </w:rPr>
              <w:t>&gt;100</w:t>
            </w:r>
          </w:p>
        </w:tc>
        <w:tc>
          <w:tcPr>
            <w:tcW w:w="448" w:type="pct"/>
            <w:tcBorders>
              <w:top w:val="single" w:sz="4" w:space="0" w:color="auto"/>
              <w:left w:val="nil"/>
              <w:bottom w:val="single" w:sz="4" w:space="0" w:color="auto"/>
              <w:right w:val="single" w:sz="4" w:space="0" w:color="auto"/>
            </w:tcBorders>
            <w:shd w:val="clear" w:color="auto" w:fill="auto"/>
            <w:vAlign w:val="center"/>
          </w:tcPr>
          <w:p w14:paraId="77FB35B4" w14:textId="57FE75AF" w:rsidR="00B045CA" w:rsidRPr="007B30AD" w:rsidRDefault="00B045CA" w:rsidP="00B045CA">
            <w:pPr>
              <w:suppressAutoHyphens w:val="0"/>
              <w:jc w:val="center"/>
              <w:rPr>
                <w:rFonts w:cstheme="minorHAnsi"/>
                <w:sz w:val="22"/>
                <w:szCs w:val="22"/>
              </w:rPr>
            </w:pPr>
            <w:r>
              <w:rPr>
                <w:rFonts w:cstheme="minorHAnsi"/>
                <w:sz w:val="22"/>
                <w:szCs w:val="22"/>
              </w:rPr>
              <w:t>49</w:t>
            </w:r>
          </w:p>
        </w:tc>
        <w:tc>
          <w:tcPr>
            <w:tcW w:w="440" w:type="pct"/>
            <w:tcBorders>
              <w:top w:val="single" w:sz="4" w:space="0" w:color="auto"/>
              <w:left w:val="nil"/>
              <w:bottom w:val="single" w:sz="4" w:space="0" w:color="auto"/>
              <w:right w:val="single" w:sz="4" w:space="0" w:color="auto"/>
            </w:tcBorders>
            <w:vAlign w:val="center"/>
          </w:tcPr>
          <w:p w14:paraId="7B483EEF" w14:textId="57F5AC8A" w:rsidR="00B045CA" w:rsidRPr="007B30AD" w:rsidRDefault="00B045CA" w:rsidP="00B045CA">
            <w:pPr>
              <w:suppressAutoHyphens w:val="0"/>
              <w:jc w:val="center"/>
              <w:rPr>
                <w:rFonts w:cstheme="minorHAnsi"/>
                <w:sz w:val="22"/>
                <w:szCs w:val="22"/>
              </w:rPr>
            </w:pPr>
            <w:r>
              <w:rPr>
                <w:rFonts w:cstheme="minorHAnsi"/>
                <w:sz w:val="22"/>
                <w:szCs w:val="22"/>
              </w:rPr>
              <w:t>4477</w:t>
            </w:r>
          </w:p>
        </w:tc>
        <w:tc>
          <w:tcPr>
            <w:tcW w:w="773" w:type="pct"/>
            <w:tcBorders>
              <w:top w:val="single" w:sz="4" w:space="0" w:color="auto"/>
              <w:left w:val="nil"/>
              <w:bottom w:val="single" w:sz="4" w:space="0" w:color="auto"/>
              <w:right w:val="single" w:sz="4" w:space="0" w:color="auto"/>
            </w:tcBorders>
            <w:vAlign w:val="center"/>
          </w:tcPr>
          <w:p w14:paraId="1DA36378" w14:textId="06E90E8A" w:rsidR="00B045CA" w:rsidRPr="007B30AD" w:rsidRDefault="00B045CA" w:rsidP="00B045CA">
            <w:pPr>
              <w:suppressAutoHyphens w:val="0"/>
              <w:jc w:val="center"/>
              <w:rPr>
                <w:rFonts w:cstheme="minorHAnsi"/>
                <w:sz w:val="22"/>
                <w:szCs w:val="22"/>
              </w:rPr>
            </w:pPr>
            <w:r>
              <w:rPr>
                <w:rFonts w:cstheme="minorHAnsi"/>
                <w:sz w:val="22"/>
                <w:szCs w:val="22"/>
              </w:rPr>
              <w:t>Nav datu</w:t>
            </w:r>
          </w:p>
        </w:tc>
        <w:tc>
          <w:tcPr>
            <w:tcW w:w="874" w:type="pct"/>
            <w:tcBorders>
              <w:top w:val="single" w:sz="4" w:space="0" w:color="auto"/>
              <w:left w:val="nil"/>
              <w:bottom w:val="single" w:sz="4" w:space="0" w:color="auto"/>
              <w:right w:val="single" w:sz="4" w:space="0" w:color="auto"/>
            </w:tcBorders>
            <w:shd w:val="clear" w:color="auto" w:fill="auto"/>
            <w:vAlign w:val="center"/>
          </w:tcPr>
          <w:p w14:paraId="202BA3D3" w14:textId="35DF86E5" w:rsidR="00B045CA" w:rsidRPr="007B30AD" w:rsidRDefault="00B045CA" w:rsidP="00B045CA">
            <w:pPr>
              <w:suppressAutoHyphens w:val="0"/>
              <w:jc w:val="center"/>
              <w:rPr>
                <w:rFonts w:cstheme="minorHAnsi"/>
                <w:sz w:val="22"/>
                <w:szCs w:val="22"/>
              </w:rPr>
            </w:pPr>
            <w:r>
              <w:rPr>
                <w:rFonts w:cstheme="minorHAnsi"/>
                <w:sz w:val="22"/>
                <w:szCs w:val="22"/>
              </w:rPr>
              <w:t>Populācijas procenti aprēķināti, izmantojot atradņu skaitu. Dzīvotnes platība – nogabali, kuros konstatētas sugu atradnes.</w:t>
            </w:r>
          </w:p>
        </w:tc>
      </w:tr>
    </w:tbl>
    <w:p w14:paraId="2143C4AE" w14:textId="26FEBFD5" w:rsidR="004F30FB" w:rsidRPr="00675182" w:rsidRDefault="004F30FB" w:rsidP="004F30FB">
      <w:pPr>
        <w:pStyle w:val="BodyText"/>
        <w:spacing w:after="0"/>
        <w:rPr>
          <w:rFonts w:cstheme="minorHAnsi"/>
          <w:b/>
          <w:i/>
          <w:lang w:val="lv-LV"/>
        </w:rPr>
      </w:pPr>
      <w:r w:rsidRPr="00675182">
        <w:rPr>
          <w:rFonts w:cstheme="minorHAnsi"/>
          <w:b/>
          <w:i/>
          <w:lang w:val="lv-LV"/>
        </w:rPr>
        <w:t xml:space="preserve"> </w:t>
      </w:r>
    </w:p>
    <w:p w14:paraId="42D44EE0" w14:textId="00D34A2B" w:rsidR="004F30FB" w:rsidRPr="00675182" w:rsidRDefault="004F30FB" w:rsidP="00732143">
      <w:pPr>
        <w:jc w:val="both"/>
        <w:rPr>
          <w:rFonts w:cstheme="minorHAnsi"/>
        </w:rPr>
        <w:sectPr w:rsidR="004F30FB" w:rsidRPr="00675182" w:rsidSect="00260FDA">
          <w:headerReference w:type="default" r:id="rId226"/>
          <w:pgSz w:w="16837" w:h="11905" w:orient="landscape"/>
          <w:pgMar w:top="1797" w:right="1440" w:bottom="1797" w:left="1440" w:header="720" w:footer="720" w:gutter="0"/>
          <w:cols w:space="720"/>
          <w:docGrid w:linePitch="360"/>
        </w:sectPr>
      </w:pPr>
    </w:p>
    <w:bookmarkEnd w:id="78"/>
    <w:p w14:paraId="097CF507" w14:textId="6620CB5E" w:rsidR="00385CDA" w:rsidRPr="00675182" w:rsidRDefault="00385CDA" w:rsidP="00CC0016">
      <w:pPr>
        <w:pStyle w:val="Heading4"/>
        <w:rPr>
          <w:rFonts w:asciiTheme="minorHAnsi" w:hAnsiTheme="minorHAnsi" w:cstheme="minorHAnsi"/>
        </w:rPr>
      </w:pPr>
      <w:r w:rsidRPr="00675182">
        <w:rPr>
          <w:rFonts w:asciiTheme="minorHAnsi" w:hAnsiTheme="minorHAnsi" w:cstheme="minorHAnsi"/>
        </w:rPr>
        <w:lastRenderedPageBreak/>
        <w:t>2.4.1.</w:t>
      </w:r>
      <w:r w:rsidR="00A25A76" w:rsidRPr="00675182">
        <w:rPr>
          <w:rFonts w:asciiTheme="minorHAnsi" w:hAnsiTheme="minorHAnsi" w:cstheme="minorHAnsi"/>
        </w:rPr>
        <w:t>2</w:t>
      </w:r>
      <w:r w:rsidRPr="00675182">
        <w:rPr>
          <w:rFonts w:asciiTheme="minorHAnsi" w:hAnsiTheme="minorHAnsi" w:cstheme="minorHAnsi"/>
        </w:rPr>
        <w:t>.</w:t>
      </w:r>
      <w:r w:rsidR="00362F31" w:rsidRPr="00675182">
        <w:rPr>
          <w:rFonts w:asciiTheme="minorHAnsi" w:hAnsiTheme="minorHAnsi" w:cstheme="minorHAnsi"/>
        </w:rPr>
        <w:t xml:space="preserve"> Ķ</w:t>
      </w:r>
      <w:r w:rsidR="00A25A76" w:rsidRPr="00675182">
        <w:rPr>
          <w:rFonts w:asciiTheme="minorHAnsi" w:hAnsiTheme="minorHAnsi" w:cstheme="minorHAnsi"/>
        </w:rPr>
        <w:t>ērpji</w:t>
      </w:r>
    </w:p>
    <w:p w14:paraId="3E7E3D63" w14:textId="77777777" w:rsidR="00615C04" w:rsidRPr="00675182" w:rsidRDefault="00615C04" w:rsidP="00615C04">
      <w:pPr>
        <w:jc w:val="both"/>
        <w:rPr>
          <w:rFonts w:cstheme="minorHAnsi"/>
        </w:rPr>
      </w:pPr>
    </w:p>
    <w:p w14:paraId="4D37C17E" w14:textId="13ED9372" w:rsidR="00615C04" w:rsidRPr="00675182" w:rsidRDefault="00615C04" w:rsidP="00615C04">
      <w:pPr>
        <w:jc w:val="both"/>
        <w:rPr>
          <w:rFonts w:cstheme="minorHAnsi"/>
        </w:rPr>
      </w:pPr>
      <w:r w:rsidRPr="00675182">
        <w:rPr>
          <w:rFonts w:cstheme="minorHAnsi"/>
        </w:rPr>
        <w:t>GNP var uzskatīt par vienu no nozīmīgākajām Latvijas ĪADT ķērpju aizsardzībai un to izpētei. GNP teritorijas ķērpju biota ir tikusi pētīta kopš 19. gs. vidus, kas padara šo teritoriju par unikālu no zinātniskā viedokļa. Par GNP ķērpju biotas izpētes pionieriem ir uzskatāmi Karls Heigels, Karls Millers un Karls Lukass, kas bija Rīgas dabas</w:t>
      </w:r>
      <w:r w:rsidR="00DD2095">
        <w:rPr>
          <w:rFonts w:cstheme="minorHAnsi"/>
        </w:rPr>
        <w:t xml:space="preserve"> </w:t>
      </w:r>
      <w:r w:rsidRPr="00675182">
        <w:rPr>
          <w:rFonts w:cstheme="minorHAnsi"/>
        </w:rPr>
        <w:t xml:space="preserve">pētnieku biedrības biedri. Ķērpju materiālu no pašreizējās GNP teritorijas ekspedīciju laikā vāca slavenie lihenologi </w:t>
      </w:r>
      <w:r w:rsidRPr="00675182">
        <w:rPr>
          <w:rFonts w:cstheme="minorHAnsi"/>
          <w:i/>
          <w:iCs/>
        </w:rPr>
        <w:t>Andreas Bruttan</w:t>
      </w:r>
      <w:r w:rsidRPr="00675182">
        <w:rPr>
          <w:rFonts w:cstheme="minorHAnsi"/>
        </w:rPr>
        <w:t xml:space="preserve"> un </w:t>
      </w:r>
      <w:r w:rsidRPr="00675182">
        <w:rPr>
          <w:rFonts w:cstheme="minorHAnsi"/>
          <w:i/>
          <w:iCs/>
        </w:rPr>
        <w:t>Konstantin Merežkovskij</w:t>
      </w:r>
      <w:r w:rsidRPr="00675182">
        <w:rPr>
          <w:rFonts w:cstheme="minorHAnsi"/>
        </w:rPr>
        <w:t xml:space="preserve"> (Bruttan, 1863; 1869; Мережковский, 1913). Viena no 19. gs. reģistrētajām ķērpju atradnēm ir saglabājusies līdz mūsdienām (</w:t>
      </w:r>
      <w:r w:rsidRPr="00675182">
        <w:rPr>
          <w:rFonts w:cstheme="minorHAnsi"/>
          <w:i/>
        </w:rPr>
        <w:t>Collema flaccidum</w:t>
      </w:r>
      <w:r w:rsidRPr="00675182">
        <w:rPr>
          <w:rFonts w:cstheme="minorHAnsi"/>
        </w:rPr>
        <w:t xml:space="preserve"> pie Āraišu pilsdrupām). 20. gs. divdesmitajos gados Gaujas ielejas sastopamo smilšakmens ķērpju biotas izpētē aktīvi iesaistījās briologs Nikolajs Malta. Savos darbos N. Malta ir pieminējis 36 ķērpju sugas, kas tikušas konstatētas uz smilšakmens atsegumiem. </w:t>
      </w:r>
    </w:p>
    <w:p w14:paraId="6F06E280" w14:textId="77777777" w:rsidR="00615C04" w:rsidRPr="00675182" w:rsidRDefault="00615C04" w:rsidP="00615C04">
      <w:pPr>
        <w:jc w:val="both"/>
        <w:rPr>
          <w:rFonts w:cstheme="minorHAnsi"/>
        </w:rPr>
      </w:pPr>
    </w:p>
    <w:p w14:paraId="762C3FA2" w14:textId="2CF45932" w:rsidR="00615C04" w:rsidRPr="00675182" w:rsidRDefault="00615C04" w:rsidP="00615C04">
      <w:pPr>
        <w:jc w:val="both"/>
        <w:rPr>
          <w:rFonts w:cstheme="minorHAnsi"/>
        </w:rPr>
      </w:pPr>
      <w:r w:rsidRPr="00675182">
        <w:rPr>
          <w:rFonts w:cstheme="minorHAnsi"/>
        </w:rPr>
        <w:t>Sākot ar 20. gs</w:t>
      </w:r>
      <w:r w:rsidR="00731C98">
        <w:rPr>
          <w:rFonts w:cstheme="minorHAnsi"/>
        </w:rPr>
        <w:t>.</w:t>
      </w:r>
      <w:r w:rsidRPr="00675182">
        <w:rPr>
          <w:rFonts w:cstheme="minorHAnsi"/>
        </w:rPr>
        <w:t xml:space="preserve"> otro pusi, GNP ķērpju izpētē aktīvi iesaistījās LU Botānikas un ekoloģijas katedras pētnieki A</w:t>
      </w:r>
      <w:r w:rsidR="00746FF7" w:rsidRPr="00675182">
        <w:rPr>
          <w:rFonts w:cstheme="minorHAnsi"/>
        </w:rPr>
        <w:t>lfons</w:t>
      </w:r>
      <w:r w:rsidRPr="00675182">
        <w:rPr>
          <w:rFonts w:cstheme="minorHAnsi"/>
        </w:rPr>
        <w:t xml:space="preserve"> Piterāns, Anna Žeiviniece, Irēna Berga u.c. Atsevišķas zinātniskās publikācijas LU pētnieki ir veltījuši tieši GNP ķērpju biotai, uzsvaru liekot uz retajām ķērpju sugām (Piterāns un Pokule, 1975; Piterāns un Leimane, 1987). Daiga Leimane savā diplomdarbā ir pieminējusi 191 ķērpju sugu, kuras ir konstatējusi GNP teritorijā (Leimane</w:t>
      </w:r>
      <w:r w:rsidR="000B57C3">
        <w:rPr>
          <w:rFonts w:cstheme="minorHAnsi"/>
        </w:rPr>
        <w:t>,</w:t>
      </w:r>
      <w:r w:rsidRPr="00675182">
        <w:rPr>
          <w:rFonts w:cstheme="minorHAnsi"/>
        </w:rPr>
        <w:t xml:space="preserve"> 1987). Vēlāk zviedru lihenologi </w:t>
      </w:r>
      <w:r w:rsidRPr="00675182">
        <w:rPr>
          <w:rFonts w:cstheme="minorHAnsi"/>
          <w:i/>
          <w:iCs/>
        </w:rPr>
        <w:t>Rickard Sundin</w:t>
      </w:r>
      <w:r w:rsidRPr="00675182">
        <w:rPr>
          <w:rFonts w:cstheme="minorHAnsi"/>
        </w:rPr>
        <w:t xml:space="preserve"> un </w:t>
      </w:r>
      <w:r w:rsidRPr="00675182">
        <w:rPr>
          <w:rFonts w:cstheme="minorHAnsi"/>
          <w:i/>
          <w:iCs/>
        </w:rPr>
        <w:t>Goran Tho</w:t>
      </w:r>
      <w:r w:rsidRPr="00675182">
        <w:rPr>
          <w:rFonts w:cstheme="minorHAnsi"/>
        </w:rPr>
        <w:t xml:space="preserve">r publicē zinātnisku publikāciju par jaunām un interesantām ķērpju sugām, ko ir ievākuši Latvijas teritorijā, tai skaitā GNP (Sundin &amp; Thor, 1990). </w:t>
      </w:r>
    </w:p>
    <w:p w14:paraId="1A9222DD" w14:textId="77777777" w:rsidR="00615C04" w:rsidRPr="00675182" w:rsidRDefault="00615C04" w:rsidP="00615C04">
      <w:pPr>
        <w:jc w:val="both"/>
        <w:rPr>
          <w:rFonts w:cstheme="minorHAnsi"/>
        </w:rPr>
      </w:pPr>
    </w:p>
    <w:p w14:paraId="7350393F" w14:textId="5959835B" w:rsidR="00615C04" w:rsidRPr="00675182" w:rsidRDefault="00615C04" w:rsidP="00615C04">
      <w:pPr>
        <w:jc w:val="both"/>
        <w:rPr>
          <w:rFonts w:cstheme="minorHAnsi"/>
        </w:rPr>
      </w:pPr>
      <w:r w:rsidRPr="00675182">
        <w:rPr>
          <w:rFonts w:cstheme="minorHAnsi"/>
        </w:rPr>
        <w:t xml:space="preserve">2005. gadā Cēsīs norisinājās tradicionālais Baltijas Mikologu un Lihenologu simpozijs, kura laikā pētnieki apsekoja vairākas vietas GNP teritorijā. Iegūtie dati par sugu atradnēm tika publicēti 2006. gadā (Motiejūnaitė et al., 2006). Publikācijā autori piemin 57 ķērpju un lihenofīlo sēņu sugas, no kurām 27 sugas ir jaunas Latvijai (21 ķērpju suga, 5 lihenofīlo sēņu sugas un viena saprofītiska sēņu suga), kā arī 9 ķērpju sugas, kuras ir iekļautas Latvijas </w:t>
      </w:r>
      <w:r w:rsidR="000B57C3">
        <w:rPr>
          <w:rFonts w:cstheme="minorHAnsi"/>
        </w:rPr>
        <w:t>ĪA</w:t>
      </w:r>
      <w:r w:rsidRPr="00675182">
        <w:rPr>
          <w:rFonts w:cstheme="minorHAnsi"/>
        </w:rPr>
        <w:t xml:space="preserve"> sugu sarakstos. </w:t>
      </w:r>
    </w:p>
    <w:p w14:paraId="67B1123B" w14:textId="77777777" w:rsidR="00615C04" w:rsidRPr="00675182" w:rsidRDefault="00615C04" w:rsidP="00615C04">
      <w:pPr>
        <w:jc w:val="both"/>
        <w:rPr>
          <w:rFonts w:cstheme="minorHAnsi"/>
        </w:rPr>
      </w:pPr>
    </w:p>
    <w:p w14:paraId="0F155474" w14:textId="5A112714" w:rsidR="00615C04" w:rsidRPr="00675182" w:rsidRDefault="00615C04" w:rsidP="00615C04">
      <w:pPr>
        <w:jc w:val="both"/>
        <w:rPr>
          <w:rFonts w:cstheme="minorHAnsi"/>
        </w:rPr>
      </w:pPr>
      <w:r w:rsidRPr="00675182">
        <w:rPr>
          <w:rFonts w:cstheme="minorHAnsi"/>
        </w:rPr>
        <w:t>2007. gadā tika izdots apkopojums par GNP teritorijas bioloģisko daudzveidību (Pilāts 2007). Veicot pieejamās zinātniskās literatūras un Latvijā lielāko ķērpju herbāriju kolekciju analīzi, A</w:t>
      </w:r>
      <w:r w:rsidR="00746FF7" w:rsidRPr="00675182">
        <w:rPr>
          <w:rFonts w:cstheme="minorHAnsi"/>
        </w:rPr>
        <w:t>.</w:t>
      </w:r>
      <w:r w:rsidRPr="00675182">
        <w:rPr>
          <w:rFonts w:cstheme="minorHAnsi"/>
        </w:rPr>
        <w:t xml:space="preserve"> Piterāns publicē apkopojumu par GNP ķērpju biotu, kur tiek pieminētas 240 ķērpju sugas (Pilāts (red.), 2007). No Latvijas 34 ķērpju sugām, kas iekļautas Latvijas Sarkanajā grāmatā, GNP konstatētas 19 sugas, kā arī 32 ķērpju sugas, kas iekļautas Latvijas </w:t>
      </w:r>
      <w:r w:rsidR="00D6685C">
        <w:rPr>
          <w:rFonts w:cstheme="minorHAnsi"/>
        </w:rPr>
        <w:t>ĪA</w:t>
      </w:r>
      <w:r w:rsidRPr="00675182">
        <w:rPr>
          <w:rFonts w:cstheme="minorHAnsi"/>
        </w:rPr>
        <w:t xml:space="preserve"> sugu sarakstā. </w:t>
      </w:r>
    </w:p>
    <w:p w14:paraId="405592A6" w14:textId="77777777" w:rsidR="00615C04" w:rsidRPr="00675182" w:rsidRDefault="00615C04" w:rsidP="00615C04">
      <w:pPr>
        <w:jc w:val="both"/>
        <w:rPr>
          <w:rFonts w:cstheme="minorHAnsi"/>
        </w:rPr>
      </w:pPr>
    </w:p>
    <w:p w14:paraId="2DE7C019" w14:textId="6FAE44FB" w:rsidR="00615C04" w:rsidRPr="00675182" w:rsidRDefault="00615C04" w:rsidP="00615C04">
      <w:pPr>
        <w:jc w:val="both"/>
        <w:rPr>
          <w:rFonts w:cstheme="minorHAnsi"/>
        </w:rPr>
      </w:pPr>
      <w:r w:rsidRPr="00675182">
        <w:rPr>
          <w:rFonts w:cstheme="minorHAnsi"/>
        </w:rPr>
        <w:t xml:space="preserve">Kopš 2010. gada DAP speciālisti, sugu un biotopu eksperti, dabas pētnieki un amatieri ir aktīvi apkopojuši digitālus datus par dažādām ķērpju sugām visā Latvijas teritorijā (tai skaitā GNP) un publicējuši šo informāciju datubāzēs – </w:t>
      </w:r>
      <w:r w:rsidR="00847FA5" w:rsidRPr="00675182">
        <w:rPr>
          <w:rFonts w:cstheme="minorHAnsi"/>
          <w:bCs/>
          <w:szCs w:val="24"/>
        </w:rPr>
        <w:t xml:space="preserve">DDPS “Ozols” </w:t>
      </w:r>
      <w:r w:rsidRPr="00675182">
        <w:rPr>
          <w:rFonts w:cstheme="minorHAnsi"/>
        </w:rPr>
        <w:t xml:space="preserve">un portālā Dabasdati.lv. </w:t>
      </w:r>
    </w:p>
    <w:p w14:paraId="2EC15819" w14:textId="77777777" w:rsidR="00615C04" w:rsidRPr="00675182" w:rsidRDefault="00615C04" w:rsidP="00615C04">
      <w:pPr>
        <w:jc w:val="both"/>
        <w:rPr>
          <w:rFonts w:cstheme="minorHAnsi"/>
        </w:rPr>
      </w:pPr>
    </w:p>
    <w:p w14:paraId="4A5D88D4" w14:textId="77777777" w:rsidR="00615C04" w:rsidRPr="00675182" w:rsidRDefault="00615C04" w:rsidP="00615C04">
      <w:pPr>
        <w:jc w:val="both"/>
        <w:rPr>
          <w:rFonts w:cstheme="minorHAnsi"/>
        </w:rPr>
      </w:pPr>
      <w:r w:rsidRPr="00675182">
        <w:rPr>
          <w:rFonts w:cstheme="minorHAnsi"/>
        </w:rPr>
        <w:t>Dati par GNP teritorijā sastopamajām reto un aizsargājamo ķērpju sugām apkopoti, balstoties uz šādiem informācijas avotiem:</w:t>
      </w:r>
    </w:p>
    <w:p w14:paraId="5BC5E37A" w14:textId="5F150F1E" w:rsidR="00847FA5" w:rsidRPr="00675182" w:rsidRDefault="00847FA5" w:rsidP="00A84218">
      <w:pPr>
        <w:pStyle w:val="ListParagraph"/>
        <w:numPr>
          <w:ilvl w:val="0"/>
          <w:numId w:val="19"/>
        </w:numPr>
        <w:ind w:left="567" w:hanging="567"/>
        <w:jc w:val="both"/>
        <w:rPr>
          <w:rFonts w:cstheme="minorHAnsi"/>
        </w:rPr>
      </w:pPr>
      <w:r w:rsidRPr="00675182">
        <w:rPr>
          <w:rFonts w:cstheme="minorHAnsi"/>
          <w:bCs/>
          <w:szCs w:val="24"/>
        </w:rPr>
        <w:t>DDPS “Ozols”</w:t>
      </w:r>
      <w:r w:rsidR="00F41014">
        <w:rPr>
          <w:rFonts w:cstheme="minorHAnsi"/>
          <w:bCs/>
          <w:szCs w:val="24"/>
        </w:rPr>
        <w:t>;</w:t>
      </w:r>
    </w:p>
    <w:p w14:paraId="03A8E5FC" w14:textId="148C0C70" w:rsidR="00615C04" w:rsidRPr="00675182" w:rsidRDefault="00615C04" w:rsidP="00A84218">
      <w:pPr>
        <w:pStyle w:val="ListParagraph"/>
        <w:numPr>
          <w:ilvl w:val="0"/>
          <w:numId w:val="19"/>
        </w:numPr>
        <w:ind w:left="567" w:hanging="567"/>
        <w:jc w:val="both"/>
        <w:rPr>
          <w:rFonts w:cstheme="minorHAnsi"/>
        </w:rPr>
      </w:pPr>
      <w:r w:rsidRPr="00675182">
        <w:rPr>
          <w:rFonts w:cstheme="minorHAnsi"/>
        </w:rPr>
        <w:t>2005. gadā izstrādātais GNP DA plāns;</w:t>
      </w:r>
    </w:p>
    <w:p w14:paraId="018B9A51" w14:textId="12FFA358" w:rsidR="00615C04" w:rsidRPr="00675182" w:rsidRDefault="00F41014" w:rsidP="00A84218">
      <w:pPr>
        <w:pStyle w:val="ListParagraph"/>
        <w:numPr>
          <w:ilvl w:val="0"/>
          <w:numId w:val="19"/>
        </w:numPr>
        <w:ind w:left="567" w:hanging="567"/>
        <w:jc w:val="both"/>
        <w:rPr>
          <w:rFonts w:cstheme="minorHAnsi"/>
        </w:rPr>
      </w:pPr>
      <w:r>
        <w:rPr>
          <w:rFonts w:cstheme="minorHAnsi"/>
        </w:rPr>
        <w:t>i</w:t>
      </w:r>
      <w:r w:rsidRPr="00675182">
        <w:rPr>
          <w:rFonts w:cstheme="minorHAnsi"/>
        </w:rPr>
        <w:t xml:space="preserve">nterneta </w:t>
      </w:r>
      <w:r w:rsidR="00991ABE">
        <w:rPr>
          <w:rFonts w:cstheme="minorHAnsi"/>
        </w:rPr>
        <w:t>vietnē</w:t>
      </w:r>
      <w:r w:rsidR="00615C04" w:rsidRPr="00675182">
        <w:rPr>
          <w:rFonts w:cstheme="minorHAnsi"/>
        </w:rPr>
        <w:t xml:space="preserve"> Dabasdati.lv pieejamo informāciju par ķērpju sugu atradnēm; </w:t>
      </w:r>
    </w:p>
    <w:p w14:paraId="63ABC303" w14:textId="77777777" w:rsidR="00615C04" w:rsidRPr="00675182" w:rsidRDefault="00615C04" w:rsidP="00A84218">
      <w:pPr>
        <w:pStyle w:val="ListParagraph"/>
        <w:numPr>
          <w:ilvl w:val="0"/>
          <w:numId w:val="19"/>
        </w:numPr>
        <w:ind w:left="567" w:hanging="567"/>
        <w:jc w:val="both"/>
        <w:rPr>
          <w:rFonts w:cstheme="minorHAnsi"/>
        </w:rPr>
      </w:pPr>
      <w:r w:rsidRPr="00675182">
        <w:rPr>
          <w:rFonts w:cstheme="minorHAnsi"/>
        </w:rPr>
        <w:lastRenderedPageBreak/>
        <w:t>Daugavpils Universitātes un Latvijas Universitātes ķērpju herbārija kolekciju datiem;</w:t>
      </w:r>
    </w:p>
    <w:p w14:paraId="4F6543C0" w14:textId="6AF08300" w:rsidR="00615C04" w:rsidRPr="00675182" w:rsidRDefault="00F41014" w:rsidP="00A84218">
      <w:pPr>
        <w:pStyle w:val="ListParagraph"/>
        <w:numPr>
          <w:ilvl w:val="0"/>
          <w:numId w:val="19"/>
        </w:numPr>
        <w:ind w:left="567" w:hanging="567"/>
        <w:jc w:val="both"/>
        <w:rPr>
          <w:rFonts w:cstheme="minorHAnsi"/>
        </w:rPr>
      </w:pPr>
      <w:r>
        <w:rPr>
          <w:rFonts w:cstheme="minorHAnsi"/>
        </w:rPr>
        <w:t>d</w:t>
      </w:r>
      <w:r w:rsidRPr="00675182">
        <w:rPr>
          <w:rFonts w:cstheme="minorHAnsi"/>
        </w:rPr>
        <w:t>atiem</w:t>
      </w:r>
      <w:r w:rsidR="00615C04" w:rsidRPr="00675182">
        <w:rPr>
          <w:rFonts w:cstheme="minorHAnsi"/>
        </w:rPr>
        <w:t>, kas tika iegūti, apsekojot GNP teritoriju, plāna izstrādes laikā.</w:t>
      </w:r>
    </w:p>
    <w:p w14:paraId="4FECAA93" w14:textId="77777777" w:rsidR="00A25A76" w:rsidRPr="00675182" w:rsidRDefault="00A25A76" w:rsidP="00A25A76">
      <w:pPr>
        <w:jc w:val="both"/>
        <w:rPr>
          <w:rFonts w:cstheme="minorHAnsi"/>
          <w:bCs/>
        </w:rPr>
      </w:pPr>
    </w:p>
    <w:p w14:paraId="156509A2" w14:textId="77777777" w:rsidR="00A25A76" w:rsidRPr="00675182" w:rsidRDefault="00A25A76" w:rsidP="00A25A76">
      <w:pPr>
        <w:jc w:val="both"/>
        <w:rPr>
          <w:rFonts w:cstheme="minorHAnsi"/>
          <w:b/>
        </w:rPr>
      </w:pPr>
      <w:r w:rsidRPr="00675182">
        <w:rPr>
          <w:rFonts w:cstheme="minorHAnsi"/>
          <w:b/>
        </w:rPr>
        <w:t>Dabas aizsardzības vērtība</w:t>
      </w:r>
    </w:p>
    <w:p w14:paraId="5BCBB911" w14:textId="77777777" w:rsidR="00142D51" w:rsidRPr="00675182" w:rsidRDefault="00142D51" w:rsidP="00142D51">
      <w:pPr>
        <w:jc w:val="both"/>
        <w:rPr>
          <w:rFonts w:cstheme="minorHAnsi"/>
        </w:rPr>
      </w:pPr>
    </w:p>
    <w:p w14:paraId="31879E76" w14:textId="77777777" w:rsidR="00142D51" w:rsidRPr="00675182" w:rsidRDefault="00142D51" w:rsidP="00142D51">
      <w:pPr>
        <w:jc w:val="both"/>
        <w:rPr>
          <w:rFonts w:cstheme="minorHAnsi"/>
        </w:rPr>
      </w:pPr>
      <w:r w:rsidRPr="00675182">
        <w:rPr>
          <w:rFonts w:cstheme="minorHAnsi"/>
        </w:rPr>
        <w:t>Apkopojot vēsturisko zinātnisko literatūru par GNP teritorijā zināmajām ķērpju sugām, tika atrasta informācija par 42 ķērpju sugām, kurām ir aizsardzības statuss.</w:t>
      </w:r>
    </w:p>
    <w:p w14:paraId="3AD6F42D" w14:textId="77777777" w:rsidR="00142D51" w:rsidRPr="00675182" w:rsidRDefault="00142D51" w:rsidP="00142D51">
      <w:pPr>
        <w:jc w:val="both"/>
        <w:rPr>
          <w:rFonts w:cstheme="minorHAnsi"/>
        </w:rPr>
      </w:pPr>
    </w:p>
    <w:p w14:paraId="63623DFC" w14:textId="1C5F3110" w:rsidR="00142D51" w:rsidRPr="00675182" w:rsidRDefault="00142D51" w:rsidP="00142D51">
      <w:pPr>
        <w:jc w:val="both"/>
        <w:rPr>
          <w:rFonts w:cstheme="minorHAnsi"/>
        </w:rPr>
      </w:pPr>
      <w:r w:rsidRPr="00675182">
        <w:rPr>
          <w:rFonts w:cstheme="minorHAnsi"/>
        </w:rPr>
        <w:t>2020. gada lauku apsekošanas sezonā (maijs - septembris) tika apmeklēti dažādi ķērpjiem piemēroti biotopu veidi: meža biotopi, alejas un parki, upju straujteces, alas un atsegumi, utt. Lauku darbi ietvēra arī iepriekš zināmo atradņu apsekošanu (aptuveni 90 ĪA sugu atradnes), kā arī GNP jaunu ĪA ķērpju populāciju meklēšanu. Teritorijas apsekošanas laikā tika konstatēta 31 ĪA ķērpju suga, no kurām 6 ĪA ķērpju sugas iepriekš netika pieminētas zinātniskajā literatūrā attiecībā uz GNP: (</w:t>
      </w:r>
      <w:r w:rsidR="00746FF7" w:rsidRPr="00675182">
        <w:rPr>
          <w:rFonts w:cstheme="minorHAnsi"/>
        </w:rPr>
        <w:t xml:space="preserve">kaķpēdiņu artonija </w:t>
      </w:r>
      <w:r w:rsidRPr="00675182">
        <w:rPr>
          <w:rFonts w:cstheme="minorHAnsi"/>
          <w:i/>
        </w:rPr>
        <w:t>Arthonia leucopellaea</w:t>
      </w:r>
      <w:r w:rsidRPr="00675182">
        <w:rPr>
          <w:rFonts w:cstheme="minorHAnsi"/>
        </w:rPr>
        <w:t xml:space="preserve"> (Ach.) Almq.), </w:t>
      </w:r>
      <w:r w:rsidR="00746FF7" w:rsidRPr="00675182">
        <w:rPr>
          <w:rFonts w:cstheme="minorHAnsi"/>
        </w:rPr>
        <w:t>a</w:t>
      </w:r>
      <w:r w:rsidRPr="00675182">
        <w:rPr>
          <w:rFonts w:cstheme="minorHAnsi"/>
        </w:rPr>
        <w:t xml:space="preserve">psarmotā kalīcija </w:t>
      </w:r>
      <w:r w:rsidRPr="00675182">
        <w:rPr>
          <w:rFonts w:cstheme="minorHAnsi"/>
          <w:i/>
        </w:rPr>
        <w:t>Calicium adspersum</w:t>
      </w:r>
      <w:r w:rsidRPr="00675182">
        <w:rPr>
          <w:rFonts w:cstheme="minorHAnsi"/>
        </w:rPr>
        <w:t xml:space="preserve"> Pers., </w:t>
      </w:r>
      <w:r w:rsidR="00746FF7" w:rsidRPr="00675182">
        <w:rPr>
          <w:rFonts w:cstheme="minorHAnsi"/>
        </w:rPr>
        <w:t>s</w:t>
      </w:r>
      <w:r w:rsidRPr="00675182">
        <w:rPr>
          <w:rFonts w:cstheme="minorHAnsi"/>
        </w:rPr>
        <w:t>kleroforas (</w:t>
      </w:r>
      <w:r w:rsidRPr="00675182">
        <w:rPr>
          <w:rFonts w:cstheme="minorHAnsi"/>
          <w:i/>
        </w:rPr>
        <w:t xml:space="preserve">Sclerophora coniophaea </w:t>
      </w:r>
      <w:r w:rsidRPr="00675182">
        <w:rPr>
          <w:rFonts w:cstheme="minorHAnsi"/>
        </w:rPr>
        <w:t>(Norman) J.Mattsson &amp; Middelb</w:t>
      </w:r>
      <w:r w:rsidRPr="00675182">
        <w:rPr>
          <w:rFonts w:cstheme="minorHAnsi"/>
          <w:i/>
        </w:rPr>
        <w:t>.</w:t>
      </w:r>
      <w:r w:rsidRPr="00675182">
        <w:rPr>
          <w:rFonts w:cstheme="minorHAnsi"/>
        </w:rPr>
        <w:t xml:space="preserve">, </w:t>
      </w:r>
      <w:r w:rsidRPr="00675182">
        <w:rPr>
          <w:rFonts w:cstheme="minorHAnsi"/>
          <w:i/>
        </w:rPr>
        <w:t xml:space="preserve">Sclerophora farinacea </w:t>
      </w:r>
      <w:r w:rsidRPr="00675182">
        <w:rPr>
          <w:rFonts w:cstheme="minorHAnsi"/>
        </w:rPr>
        <w:t>(Chevall.) Chevall</w:t>
      </w:r>
      <w:r w:rsidRPr="00675182">
        <w:rPr>
          <w:rFonts w:cstheme="minorHAnsi"/>
          <w:i/>
        </w:rPr>
        <w:t>.</w:t>
      </w:r>
      <w:r w:rsidRPr="00675182">
        <w:rPr>
          <w:rFonts w:cstheme="minorHAnsi"/>
        </w:rPr>
        <w:t xml:space="preserve">), </w:t>
      </w:r>
      <w:r w:rsidR="00746FF7" w:rsidRPr="00675182">
        <w:rPr>
          <w:rFonts w:cstheme="minorHAnsi"/>
        </w:rPr>
        <w:t>b</w:t>
      </w:r>
      <w:r w:rsidRPr="00675182">
        <w:rPr>
          <w:rFonts w:cstheme="minorHAnsi"/>
        </w:rPr>
        <w:t xml:space="preserve">līvais stereokaulons </w:t>
      </w:r>
      <w:r w:rsidRPr="00675182">
        <w:rPr>
          <w:rFonts w:cstheme="minorHAnsi"/>
          <w:i/>
        </w:rPr>
        <w:t>Stereocaulon condensatum</w:t>
      </w:r>
      <w:r w:rsidRPr="00675182">
        <w:rPr>
          <w:rFonts w:cstheme="minorHAnsi"/>
        </w:rPr>
        <w:t xml:space="preserve"> Hoffm., </w:t>
      </w:r>
      <w:r w:rsidR="00746FF7" w:rsidRPr="00675182">
        <w:rPr>
          <w:rFonts w:cstheme="minorHAnsi"/>
        </w:rPr>
        <w:t>d</w:t>
      </w:r>
      <w:r w:rsidRPr="00675182">
        <w:rPr>
          <w:rFonts w:cstheme="minorHAnsi"/>
        </w:rPr>
        <w:t xml:space="preserve">audzlapu umbilikārija </w:t>
      </w:r>
      <w:r w:rsidRPr="00675182">
        <w:rPr>
          <w:rFonts w:cstheme="minorHAnsi"/>
          <w:i/>
        </w:rPr>
        <w:t>Umbilicaria polyphylla</w:t>
      </w:r>
      <w:r w:rsidRPr="00675182">
        <w:rPr>
          <w:rFonts w:cstheme="minorHAnsi"/>
        </w:rPr>
        <w:t> (L.) Baumg.</w:t>
      </w:r>
    </w:p>
    <w:p w14:paraId="4AF0CC01" w14:textId="77777777" w:rsidR="00142D51" w:rsidRPr="00675182" w:rsidRDefault="00142D51" w:rsidP="00142D51">
      <w:pPr>
        <w:jc w:val="both"/>
        <w:rPr>
          <w:rFonts w:cstheme="minorHAnsi"/>
        </w:rPr>
      </w:pPr>
      <w:r w:rsidRPr="00675182">
        <w:rPr>
          <w:rFonts w:cstheme="minorHAnsi"/>
        </w:rPr>
        <w:t xml:space="preserve"> </w:t>
      </w:r>
    </w:p>
    <w:p w14:paraId="12CF2BF1" w14:textId="0AE9E11F" w:rsidR="00142D51" w:rsidRPr="00675182" w:rsidRDefault="00142D51" w:rsidP="00142D51">
      <w:pPr>
        <w:jc w:val="both"/>
        <w:rPr>
          <w:rFonts w:cstheme="minorHAnsi"/>
        </w:rPr>
      </w:pPr>
      <w:r w:rsidRPr="00675182">
        <w:rPr>
          <w:rFonts w:cstheme="minorHAnsi"/>
        </w:rPr>
        <w:t xml:space="preserve">Veicot datu apkopošanu no interneta portāla Dabasdati.lv, </w:t>
      </w:r>
      <w:r w:rsidR="00847FA5" w:rsidRPr="00675182">
        <w:rPr>
          <w:rFonts w:cstheme="minorHAnsi"/>
          <w:bCs/>
          <w:szCs w:val="24"/>
        </w:rPr>
        <w:t>DDPS “Ozols”</w:t>
      </w:r>
      <w:r w:rsidRPr="00675182">
        <w:rPr>
          <w:rFonts w:cstheme="minorHAnsi"/>
        </w:rPr>
        <w:t xml:space="preserve">, Daugavpils Universitātes un Latvijas Universitātes ķērpju herbārija kolekcijām, kā arī veicot lauka apsekojumus GNP teritorijā, tika secināts, ka kopējais zināmo </w:t>
      </w:r>
      <w:r w:rsidR="00B65F55">
        <w:rPr>
          <w:rFonts w:cstheme="minorHAnsi"/>
        </w:rPr>
        <w:t>ĪA</w:t>
      </w:r>
      <w:r w:rsidRPr="00675182">
        <w:rPr>
          <w:rFonts w:cstheme="minorHAnsi"/>
        </w:rPr>
        <w:t xml:space="preserve"> ķērpju sugu skaits GNP sasniedz 48 sugas, no kurām:</w:t>
      </w:r>
    </w:p>
    <w:p w14:paraId="30D56D68" w14:textId="20BA7486" w:rsidR="00142D51" w:rsidRPr="00675182" w:rsidRDefault="00142D51" w:rsidP="00A84218">
      <w:pPr>
        <w:pStyle w:val="ListParagraph"/>
        <w:numPr>
          <w:ilvl w:val="0"/>
          <w:numId w:val="20"/>
        </w:numPr>
        <w:suppressAutoHyphens w:val="0"/>
        <w:autoSpaceDE w:val="0"/>
        <w:autoSpaceDN w:val="0"/>
        <w:adjustRightInd w:val="0"/>
        <w:ind w:left="567" w:hanging="567"/>
        <w:contextualSpacing/>
        <w:jc w:val="both"/>
        <w:rPr>
          <w:rFonts w:cstheme="minorHAnsi"/>
          <w:szCs w:val="24"/>
        </w:rPr>
      </w:pPr>
      <w:r w:rsidRPr="00675182">
        <w:rPr>
          <w:rFonts w:cstheme="minorHAnsi"/>
          <w:szCs w:val="24"/>
        </w:rPr>
        <w:t>2</w:t>
      </w:r>
      <w:r w:rsidR="001D2550" w:rsidRPr="00675182">
        <w:rPr>
          <w:rFonts w:cstheme="minorHAnsi"/>
          <w:szCs w:val="24"/>
        </w:rPr>
        <w:t>9</w:t>
      </w:r>
      <w:r w:rsidRPr="00675182">
        <w:rPr>
          <w:rFonts w:cstheme="minorHAnsi"/>
          <w:szCs w:val="24"/>
        </w:rPr>
        <w:t xml:space="preserve"> sugu aizsardzībai var būt veidojami mikroliegumi; </w:t>
      </w:r>
    </w:p>
    <w:p w14:paraId="06D2F2BF" w14:textId="09C076F9" w:rsidR="00142D51" w:rsidRPr="00675182" w:rsidRDefault="00142D51" w:rsidP="00A84218">
      <w:pPr>
        <w:pStyle w:val="ListParagraph"/>
        <w:numPr>
          <w:ilvl w:val="0"/>
          <w:numId w:val="20"/>
        </w:numPr>
        <w:suppressAutoHyphens w:val="0"/>
        <w:autoSpaceDE w:val="0"/>
        <w:autoSpaceDN w:val="0"/>
        <w:adjustRightInd w:val="0"/>
        <w:ind w:left="567" w:hanging="567"/>
        <w:contextualSpacing/>
        <w:jc w:val="both"/>
        <w:rPr>
          <w:rFonts w:cstheme="minorHAnsi"/>
          <w:szCs w:val="24"/>
        </w:rPr>
      </w:pPr>
      <w:r w:rsidRPr="00675182">
        <w:rPr>
          <w:rFonts w:eastAsia="Times New Roman" w:cstheme="minorHAnsi"/>
          <w:szCs w:val="24"/>
        </w:rPr>
        <w:t xml:space="preserve">43 sugas iekļautas Latvijā </w:t>
      </w:r>
      <w:r w:rsidR="00B65F55">
        <w:rPr>
          <w:rFonts w:eastAsia="Times New Roman" w:cstheme="minorHAnsi"/>
          <w:szCs w:val="24"/>
        </w:rPr>
        <w:t>ĪA</w:t>
      </w:r>
      <w:r w:rsidRPr="00675182">
        <w:rPr>
          <w:rFonts w:eastAsia="Times New Roman" w:cstheme="minorHAnsi"/>
          <w:szCs w:val="24"/>
        </w:rPr>
        <w:t xml:space="preserve"> sugu sarakstā;</w:t>
      </w:r>
    </w:p>
    <w:p w14:paraId="65B73332" w14:textId="30F74BC9" w:rsidR="00142D51" w:rsidRPr="00675182" w:rsidRDefault="00142D51" w:rsidP="00A84218">
      <w:pPr>
        <w:pStyle w:val="ListParagraph"/>
        <w:numPr>
          <w:ilvl w:val="0"/>
          <w:numId w:val="20"/>
        </w:numPr>
        <w:suppressAutoHyphens w:val="0"/>
        <w:autoSpaceDE w:val="0"/>
        <w:autoSpaceDN w:val="0"/>
        <w:adjustRightInd w:val="0"/>
        <w:ind w:left="567" w:hanging="567"/>
        <w:contextualSpacing/>
        <w:jc w:val="both"/>
        <w:rPr>
          <w:rFonts w:cstheme="minorHAnsi"/>
          <w:szCs w:val="24"/>
        </w:rPr>
      </w:pPr>
      <w:r w:rsidRPr="00675182">
        <w:rPr>
          <w:rFonts w:cstheme="minorHAnsi"/>
          <w:szCs w:val="24"/>
        </w:rPr>
        <w:t xml:space="preserve">21 no GNP sastopamajām ķērpju sugām iekļautas Latvijas Sarkanajā Grāmatā; </w:t>
      </w:r>
    </w:p>
    <w:p w14:paraId="33EBEA64" w14:textId="6D43FFC3" w:rsidR="00362F31" w:rsidRPr="00675182" w:rsidRDefault="00142D51" w:rsidP="00F91227">
      <w:pPr>
        <w:pStyle w:val="ListParagraph"/>
        <w:numPr>
          <w:ilvl w:val="0"/>
          <w:numId w:val="7"/>
        </w:numPr>
        <w:suppressAutoHyphens w:val="0"/>
        <w:autoSpaceDE w:val="0"/>
        <w:autoSpaceDN w:val="0"/>
        <w:adjustRightInd w:val="0"/>
        <w:ind w:left="567" w:hanging="567"/>
        <w:contextualSpacing/>
        <w:jc w:val="both"/>
        <w:rPr>
          <w:rFonts w:cstheme="minorHAnsi"/>
          <w:szCs w:val="24"/>
        </w:rPr>
      </w:pPr>
      <w:r w:rsidRPr="00675182">
        <w:rPr>
          <w:rFonts w:cstheme="minorHAnsi"/>
          <w:szCs w:val="24"/>
        </w:rPr>
        <w:t xml:space="preserve">5 sugas ir iekļautas Biotopu direktīvas V pielikumā. </w:t>
      </w:r>
    </w:p>
    <w:p w14:paraId="2613A704" w14:textId="77777777" w:rsidR="00A20129" w:rsidRPr="00675182" w:rsidRDefault="00A20129" w:rsidP="00A20129">
      <w:pPr>
        <w:suppressAutoHyphens w:val="0"/>
        <w:autoSpaceDE w:val="0"/>
        <w:autoSpaceDN w:val="0"/>
        <w:adjustRightInd w:val="0"/>
        <w:contextualSpacing/>
        <w:jc w:val="both"/>
        <w:rPr>
          <w:rFonts w:cstheme="minorHAnsi"/>
          <w:bCs/>
          <w:szCs w:val="24"/>
        </w:rPr>
      </w:pPr>
    </w:p>
    <w:p w14:paraId="0B28237E" w14:textId="7A92F9FC" w:rsidR="00A20129" w:rsidRPr="00675182" w:rsidRDefault="00A20129" w:rsidP="00A20129">
      <w:pPr>
        <w:suppressAutoHyphens w:val="0"/>
        <w:autoSpaceDE w:val="0"/>
        <w:autoSpaceDN w:val="0"/>
        <w:adjustRightInd w:val="0"/>
        <w:contextualSpacing/>
        <w:jc w:val="both"/>
        <w:rPr>
          <w:rFonts w:cstheme="minorHAnsi"/>
          <w:szCs w:val="24"/>
        </w:rPr>
      </w:pPr>
      <w:r w:rsidRPr="00675182">
        <w:rPr>
          <w:rFonts w:cstheme="minorHAnsi"/>
          <w:bCs/>
          <w:szCs w:val="24"/>
        </w:rPr>
        <w:t xml:space="preserve">Informācija par ES nozīmes </w:t>
      </w:r>
      <w:r w:rsidR="000A305B">
        <w:rPr>
          <w:rFonts w:cstheme="minorHAnsi"/>
          <w:bCs/>
          <w:szCs w:val="24"/>
        </w:rPr>
        <w:t>ĪA</w:t>
      </w:r>
      <w:r w:rsidRPr="00675182">
        <w:rPr>
          <w:rFonts w:cstheme="minorHAnsi"/>
          <w:bCs/>
          <w:szCs w:val="24"/>
        </w:rPr>
        <w:t xml:space="preserve"> ķērpju sugām ir apkopota 2.4.2. tabulā. Detalizēta informācija par </w:t>
      </w:r>
      <w:r w:rsidR="000A305B">
        <w:rPr>
          <w:rFonts w:cstheme="minorHAnsi"/>
          <w:bCs/>
          <w:szCs w:val="24"/>
        </w:rPr>
        <w:t>ĪA</w:t>
      </w:r>
      <w:r w:rsidRPr="00675182">
        <w:rPr>
          <w:rFonts w:cstheme="minorHAnsi"/>
          <w:bCs/>
          <w:szCs w:val="24"/>
        </w:rPr>
        <w:t xml:space="preserve"> ķērpju sugām ir apkopota 10. pielikumā. </w:t>
      </w:r>
    </w:p>
    <w:p w14:paraId="27D6BCFA" w14:textId="77777777" w:rsidR="00A25A76" w:rsidRPr="00675182" w:rsidRDefault="00A25A76" w:rsidP="00A25A76">
      <w:pPr>
        <w:jc w:val="both"/>
        <w:rPr>
          <w:rFonts w:cstheme="minorHAnsi"/>
          <w:b/>
          <w:szCs w:val="24"/>
        </w:rPr>
      </w:pPr>
    </w:p>
    <w:p w14:paraId="741C929E" w14:textId="77777777" w:rsidR="00A25A76" w:rsidRPr="00675182" w:rsidRDefault="00A25A76" w:rsidP="00A25A76">
      <w:pPr>
        <w:jc w:val="both"/>
        <w:rPr>
          <w:rFonts w:cstheme="minorHAnsi"/>
          <w:b/>
          <w:szCs w:val="24"/>
        </w:rPr>
      </w:pPr>
      <w:r w:rsidRPr="00675182">
        <w:rPr>
          <w:rFonts w:cstheme="minorHAnsi"/>
          <w:b/>
          <w:szCs w:val="24"/>
        </w:rPr>
        <w:t xml:space="preserve">Sociālekonomiskā vērtība </w:t>
      </w:r>
    </w:p>
    <w:p w14:paraId="22B33DFE" w14:textId="1C55FE15" w:rsidR="00912E9F" w:rsidRPr="00675182" w:rsidRDefault="00912E9F" w:rsidP="00912E9F">
      <w:pPr>
        <w:jc w:val="both"/>
        <w:rPr>
          <w:rFonts w:cstheme="minorHAnsi"/>
          <w:b/>
          <w:szCs w:val="24"/>
        </w:rPr>
      </w:pPr>
      <w:r w:rsidRPr="00675182">
        <w:rPr>
          <w:rFonts w:cstheme="minorHAnsi"/>
          <w:szCs w:val="24"/>
        </w:rPr>
        <w:t xml:space="preserve">GNP konstatētajām ķērpju sugām ir augsta estētiskā un pētnieciskās izziņas vērtība – sastopamās retās un aizsargājamās sugas ir gan tautas medicīnā lietojamas sugas (piemēram, Islandes ķērpis </w:t>
      </w:r>
      <w:r w:rsidRPr="00675182">
        <w:rPr>
          <w:rFonts w:cstheme="minorHAnsi"/>
          <w:i/>
          <w:szCs w:val="24"/>
        </w:rPr>
        <w:t>Cetraria islandica</w:t>
      </w:r>
      <w:r w:rsidRPr="00675182">
        <w:rPr>
          <w:rFonts w:cstheme="minorHAnsi"/>
          <w:szCs w:val="24"/>
        </w:rPr>
        <w:t xml:space="preserve"> (L.) Ach., kuru izmanto tēju pagatavošanā), gan arī citādi interesi piesaistošas sugas. Ņemot vērā GNP tūrisma infrastruktūru un augstu apmeklētību, teritorijai ir augsta prioritāte informatīvo materiālu (informācijas stendi) ierīkošanai, kas kalpos kā sabiedrības izglītojoši informatīvie materiāli par retām ķērpju sugām. </w:t>
      </w:r>
    </w:p>
    <w:p w14:paraId="1FA5AE02" w14:textId="77777777" w:rsidR="00912E9F" w:rsidRPr="00675182" w:rsidRDefault="00912E9F" w:rsidP="00A25A76">
      <w:pPr>
        <w:jc w:val="both"/>
        <w:rPr>
          <w:rFonts w:cstheme="minorHAnsi"/>
          <w:b/>
          <w:szCs w:val="24"/>
        </w:rPr>
      </w:pPr>
    </w:p>
    <w:p w14:paraId="467957BB" w14:textId="14EB3D91" w:rsidR="00A25A76" w:rsidRPr="00675182" w:rsidRDefault="00A25A76" w:rsidP="00B71E77">
      <w:pPr>
        <w:keepNext/>
        <w:keepLines/>
        <w:jc w:val="both"/>
        <w:rPr>
          <w:rFonts w:cstheme="minorHAnsi"/>
          <w:b/>
          <w:szCs w:val="24"/>
        </w:rPr>
      </w:pPr>
      <w:r w:rsidRPr="00675182">
        <w:rPr>
          <w:rFonts w:cstheme="minorHAnsi"/>
          <w:b/>
          <w:szCs w:val="24"/>
        </w:rPr>
        <w:t>Ietekmējošie faktori</w:t>
      </w:r>
    </w:p>
    <w:p w14:paraId="7797ACFD" w14:textId="738D2B2F" w:rsidR="00362F31" w:rsidRPr="00675182" w:rsidRDefault="00362F31" w:rsidP="00B71E77">
      <w:pPr>
        <w:keepNext/>
        <w:keepLines/>
        <w:suppressAutoHyphens w:val="0"/>
        <w:jc w:val="both"/>
        <w:rPr>
          <w:rFonts w:cstheme="minorHAnsi"/>
          <w:szCs w:val="24"/>
        </w:rPr>
      </w:pPr>
      <w:r w:rsidRPr="00675182">
        <w:rPr>
          <w:rFonts w:cstheme="minorHAnsi"/>
          <w:szCs w:val="24"/>
        </w:rPr>
        <w:t xml:space="preserve">Pēc 2020. </w:t>
      </w:r>
      <w:r w:rsidR="00C14E9E" w:rsidRPr="00675182">
        <w:rPr>
          <w:rFonts w:cstheme="minorHAnsi"/>
          <w:szCs w:val="24"/>
        </w:rPr>
        <w:t xml:space="preserve">un 2021. </w:t>
      </w:r>
      <w:r w:rsidRPr="00675182">
        <w:rPr>
          <w:rFonts w:cstheme="minorHAnsi"/>
          <w:szCs w:val="24"/>
        </w:rPr>
        <w:t xml:space="preserve">gada teritorijas apsekošanas tika identificēti </w:t>
      </w:r>
      <w:r w:rsidR="00615C04" w:rsidRPr="00675182">
        <w:rPr>
          <w:rFonts w:cstheme="minorHAnsi"/>
          <w:szCs w:val="24"/>
        </w:rPr>
        <w:t>šādi</w:t>
      </w:r>
      <w:r w:rsidRPr="00675182">
        <w:rPr>
          <w:rFonts w:cstheme="minorHAnsi"/>
          <w:szCs w:val="24"/>
        </w:rPr>
        <w:t xml:space="preserve"> potenciālie </w:t>
      </w:r>
      <w:r w:rsidR="000A305B">
        <w:rPr>
          <w:rFonts w:cstheme="minorHAnsi"/>
          <w:szCs w:val="24"/>
        </w:rPr>
        <w:t>ĪA</w:t>
      </w:r>
      <w:r w:rsidRPr="00675182">
        <w:rPr>
          <w:rFonts w:cstheme="minorHAnsi"/>
          <w:szCs w:val="24"/>
        </w:rPr>
        <w:t xml:space="preserve"> ķērpju populācijas negatīvi ietekmējošie faktori: </w:t>
      </w:r>
    </w:p>
    <w:p w14:paraId="10D44E10" w14:textId="77777777" w:rsidR="00362F31" w:rsidRPr="00675182" w:rsidRDefault="00362F31" w:rsidP="00362F31">
      <w:pPr>
        <w:suppressAutoHyphens w:val="0"/>
        <w:jc w:val="both"/>
        <w:rPr>
          <w:rFonts w:cstheme="minorHAnsi"/>
          <w:szCs w:val="24"/>
        </w:rPr>
      </w:pPr>
    </w:p>
    <w:p w14:paraId="3EED8FB9" w14:textId="77777777" w:rsidR="00362F31" w:rsidRPr="00675182" w:rsidRDefault="00362F31" w:rsidP="00ED50D5">
      <w:pPr>
        <w:keepNext/>
        <w:keepLines/>
        <w:suppressAutoHyphens w:val="0"/>
        <w:jc w:val="both"/>
        <w:rPr>
          <w:rFonts w:cstheme="minorHAnsi"/>
          <w:szCs w:val="24"/>
          <w:u w:val="single"/>
        </w:rPr>
      </w:pPr>
      <w:bookmarkStart w:id="79" w:name="_Hlk97907670"/>
      <w:r w:rsidRPr="00675182">
        <w:rPr>
          <w:rFonts w:cstheme="minorHAnsi"/>
          <w:bCs/>
          <w:i/>
          <w:iCs/>
          <w:szCs w:val="24"/>
          <w:u w:val="single"/>
        </w:rPr>
        <w:lastRenderedPageBreak/>
        <w:t>Tūrisms</w:t>
      </w:r>
      <w:r w:rsidRPr="00675182">
        <w:rPr>
          <w:rFonts w:cstheme="minorHAnsi"/>
          <w:szCs w:val="24"/>
          <w:u w:val="single"/>
        </w:rPr>
        <w:t xml:space="preserve"> </w:t>
      </w:r>
    </w:p>
    <w:p w14:paraId="3BC381DF" w14:textId="3A20564D" w:rsidR="00362F31" w:rsidRPr="00675182" w:rsidRDefault="00362F31" w:rsidP="00ED50D5">
      <w:pPr>
        <w:keepNext/>
        <w:keepLines/>
        <w:suppressAutoHyphens w:val="0"/>
        <w:jc w:val="both"/>
        <w:rPr>
          <w:rFonts w:cstheme="minorHAnsi"/>
          <w:szCs w:val="24"/>
        </w:rPr>
      </w:pPr>
      <w:r w:rsidRPr="00675182">
        <w:rPr>
          <w:rFonts w:cstheme="minorHAnsi"/>
          <w:szCs w:val="24"/>
        </w:rPr>
        <w:t xml:space="preserve">Potenciāli, ilgtermiņā, negatīvi ietekmēs ķērpju sugu populācijas, kas aug uz smilšakmens atsegumiem (piemēram: </w:t>
      </w:r>
      <w:r w:rsidR="00912E9F" w:rsidRPr="00675182">
        <w:rPr>
          <w:rFonts w:cstheme="minorHAnsi"/>
          <w:szCs w:val="24"/>
        </w:rPr>
        <w:t xml:space="preserve">Melnā cistokoleja </w:t>
      </w:r>
      <w:r w:rsidR="00912E9F" w:rsidRPr="00675182">
        <w:rPr>
          <w:rFonts w:cstheme="minorHAnsi"/>
          <w:i/>
          <w:szCs w:val="24"/>
        </w:rPr>
        <w:t xml:space="preserve">Cystocoleus ebeneus, </w:t>
      </w:r>
      <w:r w:rsidR="00912E9F" w:rsidRPr="00675182">
        <w:rPr>
          <w:rFonts w:eastAsia="Times New Roman" w:cstheme="minorHAnsi"/>
          <w:color w:val="000000"/>
          <w:szCs w:val="24"/>
          <w:lang w:eastAsia="en-GB"/>
        </w:rPr>
        <w:t>Dzīslainā peltigera</w:t>
      </w:r>
      <w:r w:rsidR="00912E9F" w:rsidRPr="00675182">
        <w:rPr>
          <w:rFonts w:cstheme="minorHAnsi"/>
          <w:i/>
          <w:szCs w:val="24"/>
        </w:rPr>
        <w:t xml:space="preserve"> Peltigera venosa,</w:t>
      </w:r>
      <w:r w:rsidR="00912E9F" w:rsidRPr="00675182">
        <w:rPr>
          <w:rFonts w:cstheme="minorHAnsi"/>
          <w:szCs w:val="24"/>
        </w:rPr>
        <w:t xml:space="preserve"> Maisveida solorīna </w:t>
      </w:r>
      <w:r w:rsidR="00912E9F" w:rsidRPr="00675182">
        <w:rPr>
          <w:rFonts w:cstheme="minorHAnsi"/>
          <w:i/>
          <w:szCs w:val="24"/>
        </w:rPr>
        <w:t>Solorina sacata</w:t>
      </w:r>
      <w:r w:rsidRPr="00675182">
        <w:rPr>
          <w:rFonts w:cstheme="minorHAnsi"/>
          <w:szCs w:val="24"/>
        </w:rPr>
        <w:t xml:space="preserve"> u</w:t>
      </w:r>
      <w:r w:rsidR="000A305B">
        <w:rPr>
          <w:rFonts w:cstheme="minorHAnsi"/>
          <w:szCs w:val="24"/>
        </w:rPr>
        <w:t>.</w:t>
      </w:r>
      <w:r w:rsidRPr="00675182">
        <w:rPr>
          <w:rFonts w:cstheme="minorHAnsi"/>
          <w:szCs w:val="24"/>
        </w:rPr>
        <w:t xml:space="preserve">tt.). Teritorijas apsekošanas laikā tika konstatēts, ka daudzos gadījumos izbūvētā infrastruktūra gar smilšakmens atsegumiem veicina atsegumu virsmas bojāšanu no tūristu puses. </w:t>
      </w:r>
    </w:p>
    <w:p w14:paraId="07781DE4" w14:textId="261F6F40" w:rsidR="00292FD8" w:rsidRPr="00675182" w:rsidRDefault="00292FD8" w:rsidP="00ED50D5">
      <w:pPr>
        <w:keepNext/>
        <w:keepLines/>
        <w:suppressAutoHyphens w:val="0"/>
        <w:jc w:val="both"/>
        <w:rPr>
          <w:rFonts w:cstheme="minorHAnsi"/>
          <w:szCs w:val="24"/>
        </w:rPr>
      </w:pPr>
    </w:p>
    <w:p w14:paraId="5117BC97" w14:textId="77777777" w:rsidR="00292FD8" w:rsidRPr="00675182" w:rsidRDefault="00292FD8" w:rsidP="00292FD8">
      <w:pPr>
        <w:keepNext/>
        <w:keepLines/>
        <w:suppressAutoHyphens w:val="0"/>
        <w:jc w:val="both"/>
        <w:rPr>
          <w:rFonts w:cstheme="minorHAnsi"/>
          <w:i/>
          <w:szCs w:val="24"/>
          <w:u w:val="single"/>
        </w:rPr>
      </w:pPr>
      <w:r w:rsidRPr="00675182">
        <w:rPr>
          <w:rFonts w:cstheme="minorHAnsi"/>
          <w:i/>
          <w:szCs w:val="24"/>
          <w:u w:val="single"/>
        </w:rPr>
        <w:t>Dabiskā sukcesija</w:t>
      </w:r>
    </w:p>
    <w:p w14:paraId="16AABCBB" w14:textId="3F8CEF5F" w:rsidR="00292FD8" w:rsidRPr="00675182" w:rsidRDefault="00292FD8" w:rsidP="00292FD8">
      <w:pPr>
        <w:keepNext/>
        <w:keepLines/>
        <w:suppressAutoHyphens w:val="0"/>
        <w:jc w:val="both"/>
        <w:rPr>
          <w:rFonts w:cstheme="minorHAnsi"/>
          <w:szCs w:val="24"/>
        </w:rPr>
      </w:pPr>
      <w:r w:rsidRPr="00675182">
        <w:rPr>
          <w:rFonts w:cstheme="minorHAnsi"/>
          <w:szCs w:val="24"/>
        </w:rPr>
        <w:t xml:space="preserve">Atsegumu dabiskā sukcesija nākotnē var negatīvi ietekmēt vairāku ĪA ķērpju sugu populāciju stāvokli. Piemēram, Maisveida solorīna </w:t>
      </w:r>
      <w:r w:rsidRPr="00675182">
        <w:rPr>
          <w:rFonts w:cstheme="minorHAnsi"/>
          <w:i/>
          <w:szCs w:val="24"/>
        </w:rPr>
        <w:t>Solorina sacata</w:t>
      </w:r>
      <w:r w:rsidRPr="00675182">
        <w:rPr>
          <w:rFonts w:cstheme="minorHAnsi"/>
          <w:szCs w:val="24"/>
        </w:rPr>
        <w:t xml:space="preserve"> GNP teritorijā ir atrodama lokāli, uz vienas substrāta vienības (lodīšu smilšakmens atsegums Roču rezervātā). Pašlaik sugas populācijas stāvoklis tiek vērtēts kā labs, bet ir augsts risks</w:t>
      </w:r>
      <w:r w:rsidR="005E646D" w:rsidRPr="00675182">
        <w:rPr>
          <w:rFonts w:cstheme="minorHAnsi"/>
          <w:szCs w:val="24"/>
        </w:rPr>
        <w:t>,</w:t>
      </w:r>
      <w:r w:rsidRPr="00675182">
        <w:rPr>
          <w:rFonts w:cstheme="minorHAnsi"/>
          <w:szCs w:val="24"/>
        </w:rPr>
        <w:t xml:space="preserve"> ka dabiskās sukcesijas procesā substrāts kļūs nepiemērots šai sugai. </w:t>
      </w:r>
    </w:p>
    <w:p w14:paraId="565A1B7B" w14:textId="77777777" w:rsidR="00362F31" w:rsidRPr="00675182" w:rsidRDefault="00362F31" w:rsidP="00362F31">
      <w:pPr>
        <w:suppressAutoHyphens w:val="0"/>
        <w:jc w:val="both"/>
        <w:rPr>
          <w:rFonts w:cstheme="minorHAnsi"/>
          <w:szCs w:val="24"/>
        </w:rPr>
      </w:pPr>
    </w:p>
    <w:p w14:paraId="5E3D9378" w14:textId="77777777" w:rsidR="00B969E9" w:rsidRPr="00675182" w:rsidRDefault="00362F31" w:rsidP="00362F31">
      <w:pPr>
        <w:suppressAutoHyphens w:val="0"/>
        <w:jc w:val="both"/>
        <w:rPr>
          <w:rFonts w:cstheme="minorHAnsi"/>
          <w:szCs w:val="24"/>
          <w:u w:val="single"/>
        </w:rPr>
      </w:pPr>
      <w:r w:rsidRPr="00675182">
        <w:rPr>
          <w:rFonts w:cstheme="minorHAnsi"/>
          <w:bCs/>
          <w:i/>
          <w:iCs/>
          <w:szCs w:val="24"/>
          <w:u w:val="single"/>
        </w:rPr>
        <w:t>Gaisa piesārņojums</w:t>
      </w:r>
      <w:r w:rsidRPr="00675182">
        <w:rPr>
          <w:rFonts w:cstheme="minorHAnsi"/>
          <w:szCs w:val="24"/>
          <w:u w:val="single"/>
        </w:rPr>
        <w:t xml:space="preserve"> </w:t>
      </w:r>
    </w:p>
    <w:p w14:paraId="3A12FFF0" w14:textId="2FC86103" w:rsidR="00615C04" w:rsidRPr="00675182" w:rsidRDefault="00615C04" w:rsidP="00615C04">
      <w:pPr>
        <w:suppressAutoHyphens w:val="0"/>
        <w:jc w:val="both"/>
        <w:rPr>
          <w:rFonts w:cstheme="minorHAnsi"/>
          <w:szCs w:val="24"/>
        </w:rPr>
      </w:pPr>
      <w:r w:rsidRPr="00675182">
        <w:rPr>
          <w:rFonts w:cstheme="minorHAnsi"/>
          <w:szCs w:val="24"/>
        </w:rPr>
        <w:t xml:space="preserve">Gaisa piesārņojums pašlaik ietekmē, kā arī nākotnē negatīvi ietekmēs ķērpju sugas, kas ir saistītas ar alejām, kurās aug platlapju koki. Teritorijas apsekošanas laikā tika konstatēts, ka daudzi ceļi GNP teritorijā, gar kuriem izvietojas vecas alejas, ir bez cietā seguma. Ņemot vērā samērā intensīvu satiksmi uz grants ceļiem, automobiļu kustība izraisa putekļu nosēšanos uz kokiem, kas aug gar šiem ceļiem. Grants putekļi uz koku mizas izraisa koku mizas pH izmaiņas uz sārmainu, kas veicina daudzu </w:t>
      </w:r>
      <w:r w:rsidR="00C14E9E" w:rsidRPr="00675182">
        <w:rPr>
          <w:rFonts w:cstheme="minorHAnsi"/>
          <w:szCs w:val="24"/>
        </w:rPr>
        <w:t>ĪA</w:t>
      </w:r>
      <w:r w:rsidRPr="00675182">
        <w:rPr>
          <w:rFonts w:cstheme="minorHAnsi"/>
          <w:szCs w:val="24"/>
        </w:rPr>
        <w:t xml:space="preserve"> ķērpju (piemēram: Brūngalvainā henotēka </w:t>
      </w:r>
      <w:r w:rsidRPr="00675182">
        <w:rPr>
          <w:rFonts w:cstheme="minorHAnsi"/>
          <w:i/>
          <w:szCs w:val="24"/>
        </w:rPr>
        <w:t>Chaenotheca phaeocephala</w:t>
      </w:r>
      <w:r w:rsidRPr="00675182">
        <w:rPr>
          <w:rFonts w:cstheme="minorHAnsi"/>
          <w:szCs w:val="24"/>
        </w:rPr>
        <w:t xml:space="preserve">, Ādainā parmēlija </w:t>
      </w:r>
      <w:r w:rsidRPr="00675182">
        <w:rPr>
          <w:rFonts w:cstheme="minorHAnsi"/>
          <w:i/>
          <w:szCs w:val="24"/>
        </w:rPr>
        <w:t>Parmelina tiliacea</w:t>
      </w:r>
      <w:r w:rsidRPr="00675182">
        <w:rPr>
          <w:rFonts w:cstheme="minorHAnsi"/>
          <w:szCs w:val="24"/>
        </w:rPr>
        <w:t xml:space="preserve">, Skleroforas </w:t>
      </w:r>
      <w:r w:rsidRPr="00675182">
        <w:rPr>
          <w:rFonts w:cstheme="minorHAnsi"/>
          <w:i/>
          <w:szCs w:val="24"/>
        </w:rPr>
        <w:t>Sclerophora pallida</w:t>
      </w:r>
      <w:r w:rsidRPr="00675182">
        <w:rPr>
          <w:rFonts w:cstheme="minorHAnsi"/>
          <w:szCs w:val="24"/>
        </w:rPr>
        <w:t xml:space="preserve"> u</w:t>
      </w:r>
      <w:r w:rsidR="00631038">
        <w:rPr>
          <w:rFonts w:cstheme="minorHAnsi"/>
          <w:szCs w:val="24"/>
        </w:rPr>
        <w:t>.</w:t>
      </w:r>
      <w:r w:rsidRPr="00675182">
        <w:rPr>
          <w:rFonts w:cstheme="minorHAnsi"/>
          <w:szCs w:val="24"/>
        </w:rPr>
        <w:t xml:space="preserve">tt.) esošu un potenciālu dzīvotņu degradāciju. </w:t>
      </w:r>
    </w:p>
    <w:p w14:paraId="13DBEA56" w14:textId="77777777" w:rsidR="00362F31" w:rsidRPr="00675182" w:rsidRDefault="00362F31" w:rsidP="00362F31">
      <w:pPr>
        <w:suppressAutoHyphens w:val="0"/>
        <w:jc w:val="both"/>
        <w:rPr>
          <w:rFonts w:cstheme="minorHAnsi"/>
          <w:szCs w:val="24"/>
        </w:rPr>
      </w:pPr>
    </w:p>
    <w:p w14:paraId="5D149EB1" w14:textId="3E5A3B74" w:rsidR="00B969E9" w:rsidRPr="00675182" w:rsidRDefault="00362F31" w:rsidP="00362F31">
      <w:pPr>
        <w:suppressAutoHyphens w:val="0"/>
        <w:rPr>
          <w:rFonts w:cstheme="minorHAnsi"/>
          <w:bCs/>
          <w:i/>
          <w:iCs/>
          <w:szCs w:val="24"/>
          <w:u w:val="single"/>
        </w:rPr>
      </w:pPr>
      <w:r w:rsidRPr="00675182">
        <w:rPr>
          <w:rFonts w:cstheme="minorHAnsi"/>
          <w:bCs/>
          <w:i/>
          <w:iCs/>
          <w:szCs w:val="24"/>
          <w:u w:val="single"/>
        </w:rPr>
        <w:t xml:space="preserve">Mežsaimniecība </w:t>
      </w:r>
    </w:p>
    <w:p w14:paraId="76B9939F" w14:textId="7D32550F" w:rsidR="00362F31" w:rsidRPr="00675182" w:rsidRDefault="00B969E9" w:rsidP="00142D51">
      <w:pPr>
        <w:suppressAutoHyphens w:val="0"/>
        <w:jc w:val="both"/>
        <w:rPr>
          <w:rFonts w:eastAsia="Times New Roman" w:cstheme="minorHAnsi"/>
          <w:szCs w:val="24"/>
          <w:lang w:eastAsia="en-GB"/>
        </w:rPr>
      </w:pPr>
      <w:r w:rsidRPr="00675182">
        <w:rPr>
          <w:rFonts w:cstheme="minorHAnsi"/>
          <w:szCs w:val="24"/>
        </w:rPr>
        <w:t>P</w:t>
      </w:r>
      <w:r w:rsidR="00362F31" w:rsidRPr="00675182">
        <w:rPr>
          <w:rFonts w:cstheme="minorHAnsi"/>
          <w:szCs w:val="24"/>
        </w:rPr>
        <w:t xml:space="preserve">ašlaik </w:t>
      </w:r>
      <w:r w:rsidRPr="00675182">
        <w:rPr>
          <w:rFonts w:cstheme="minorHAnsi"/>
          <w:szCs w:val="24"/>
        </w:rPr>
        <w:t xml:space="preserve">spēkā </w:t>
      </w:r>
      <w:r w:rsidR="00362F31" w:rsidRPr="00675182">
        <w:rPr>
          <w:rFonts w:cstheme="minorHAnsi"/>
          <w:szCs w:val="24"/>
        </w:rPr>
        <w:t>esoši</w:t>
      </w:r>
      <w:r w:rsidRPr="00675182">
        <w:rPr>
          <w:rFonts w:cstheme="minorHAnsi"/>
          <w:szCs w:val="24"/>
        </w:rPr>
        <w:t>e</w:t>
      </w:r>
      <w:r w:rsidR="00362F31" w:rsidRPr="00675182">
        <w:rPr>
          <w:rFonts w:cstheme="minorHAnsi"/>
          <w:szCs w:val="24"/>
        </w:rPr>
        <w:t xml:space="preserve"> GNP IAIN nosaka, ka pirms mežistrādes darbiem ir jāizstrādā MAP, kas viennozīmīgi mazina nepārdomātas mežsaimniecības negatīvu ietekmi uz daudzām ĪA ķērpju sugu populācijām. Neskatoties uz to, apsekojot GNP teritoriju, tika konstatēts, ka daudzos gadījumos, mežaudzēs tiek </w:t>
      </w:r>
      <w:r w:rsidR="009874AD" w:rsidRPr="00675182">
        <w:rPr>
          <w:rFonts w:cstheme="minorHAnsi"/>
          <w:szCs w:val="24"/>
        </w:rPr>
        <w:t>iz</w:t>
      </w:r>
      <w:r w:rsidR="00362F31" w:rsidRPr="00675182">
        <w:rPr>
          <w:rFonts w:cstheme="minorHAnsi"/>
          <w:szCs w:val="24"/>
        </w:rPr>
        <w:t xml:space="preserve">vākta mirusī koksne, kas viennozīmīgi negatīvi ietekmē daudzu epiksīlo ķērpju populācijas </w:t>
      </w:r>
      <w:r w:rsidR="00912E9F" w:rsidRPr="00675182">
        <w:rPr>
          <w:rFonts w:cstheme="minorHAnsi"/>
          <w:szCs w:val="24"/>
        </w:rPr>
        <w:t xml:space="preserve">(piemēram: Parazītiskā kladonija </w:t>
      </w:r>
      <w:r w:rsidR="00912E9F" w:rsidRPr="00675182">
        <w:rPr>
          <w:rFonts w:cstheme="minorHAnsi"/>
          <w:i/>
          <w:szCs w:val="24"/>
        </w:rPr>
        <w:t>Cladonia parasitica</w:t>
      </w:r>
      <w:r w:rsidR="00912E9F" w:rsidRPr="00675182">
        <w:rPr>
          <w:rFonts w:cstheme="minorHAnsi"/>
          <w:szCs w:val="24"/>
        </w:rPr>
        <w:t xml:space="preserve">, Zaļganā henotēka </w:t>
      </w:r>
      <w:r w:rsidR="00912E9F" w:rsidRPr="00675182">
        <w:rPr>
          <w:rFonts w:cstheme="minorHAnsi"/>
          <w:i/>
          <w:szCs w:val="24"/>
        </w:rPr>
        <w:t>Chaenotheca chlorella</w:t>
      </w:r>
      <w:r w:rsidR="00912E9F" w:rsidRPr="00675182">
        <w:rPr>
          <w:rFonts w:cstheme="minorHAnsi"/>
          <w:szCs w:val="24"/>
        </w:rPr>
        <w:t xml:space="preserve">. </w:t>
      </w:r>
      <w:bookmarkEnd w:id="79"/>
    </w:p>
    <w:p w14:paraId="19D0B063" w14:textId="77777777" w:rsidR="00385CDA" w:rsidRPr="00675182" w:rsidRDefault="00385CDA" w:rsidP="00385CDA">
      <w:pPr>
        <w:suppressAutoHyphens w:val="0"/>
        <w:jc w:val="both"/>
        <w:rPr>
          <w:rFonts w:eastAsia="Times New Roman" w:cstheme="minorHAnsi"/>
          <w:szCs w:val="24"/>
          <w:lang w:eastAsia="en-US"/>
        </w:rPr>
      </w:pPr>
    </w:p>
    <w:p w14:paraId="760B8B32" w14:textId="77777777" w:rsidR="00385CDA" w:rsidRPr="00675182" w:rsidRDefault="00385CDA" w:rsidP="00385CDA">
      <w:pPr>
        <w:suppressAutoHyphens w:val="0"/>
        <w:jc w:val="both"/>
        <w:rPr>
          <w:rFonts w:eastAsia="Times New Roman" w:cstheme="minorHAnsi"/>
          <w:szCs w:val="24"/>
          <w:lang w:eastAsia="en-US"/>
        </w:rPr>
        <w:sectPr w:rsidR="00385CDA" w:rsidRPr="00675182" w:rsidSect="00CD74B1">
          <w:headerReference w:type="default" r:id="rId227"/>
          <w:pgSz w:w="11905" w:h="16837"/>
          <w:pgMar w:top="1440" w:right="1797" w:bottom="1440" w:left="1797" w:header="720" w:footer="720" w:gutter="0"/>
          <w:cols w:space="720"/>
          <w:docGrid w:linePitch="360"/>
        </w:sectPr>
      </w:pPr>
    </w:p>
    <w:p w14:paraId="33E7F713" w14:textId="43ECF362" w:rsidR="00385CDA" w:rsidRPr="00675182" w:rsidRDefault="00385CDA" w:rsidP="00385CDA">
      <w:pPr>
        <w:pStyle w:val="BodyText"/>
        <w:spacing w:after="0"/>
        <w:rPr>
          <w:rFonts w:cstheme="minorHAnsi"/>
          <w:b/>
          <w:i/>
          <w:lang w:val="lv-LV"/>
        </w:rPr>
      </w:pPr>
      <w:bookmarkStart w:id="80" w:name="_Hlk128994220"/>
      <w:r w:rsidRPr="00675182">
        <w:rPr>
          <w:rFonts w:cstheme="minorHAnsi"/>
          <w:b/>
          <w:i/>
          <w:lang w:val="lv-LV"/>
        </w:rPr>
        <w:lastRenderedPageBreak/>
        <w:t>2.4.</w:t>
      </w:r>
      <w:r w:rsidR="000440E8" w:rsidRPr="00675182">
        <w:rPr>
          <w:rFonts w:cstheme="minorHAnsi"/>
          <w:b/>
          <w:i/>
          <w:lang w:val="lv-LV"/>
        </w:rPr>
        <w:t>2.</w:t>
      </w:r>
      <w:r w:rsidR="00315BC7">
        <w:rPr>
          <w:rFonts w:cstheme="minorHAnsi"/>
          <w:b/>
          <w:i/>
          <w:lang w:val="lv-LV"/>
        </w:rPr>
        <w:t>A.</w:t>
      </w:r>
      <w:r w:rsidRPr="00675182">
        <w:rPr>
          <w:rFonts w:cstheme="minorHAnsi"/>
          <w:b/>
          <w:i/>
          <w:lang w:val="lv-LV"/>
        </w:rPr>
        <w:t xml:space="preserve"> tabula. </w:t>
      </w:r>
      <w:r w:rsidR="008F7998" w:rsidRPr="00675182">
        <w:rPr>
          <w:rFonts w:cstheme="minorHAnsi"/>
          <w:b/>
          <w:i/>
          <w:lang w:val="lv-LV"/>
        </w:rPr>
        <w:t xml:space="preserve">GNP konstatētās Eiropā aizsargājamās </w:t>
      </w:r>
      <w:r w:rsidR="00C333A9" w:rsidRPr="00675182">
        <w:rPr>
          <w:rFonts w:cstheme="minorHAnsi"/>
          <w:b/>
          <w:i/>
          <w:lang w:val="lv-LV"/>
        </w:rPr>
        <w:t>ķērpju</w:t>
      </w:r>
      <w:r w:rsidR="008F7998" w:rsidRPr="00675182">
        <w:rPr>
          <w:rFonts w:cstheme="minorHAnsi"/>
          <w:b/>
          <w:i/>
          <w:lang w:val="lv-LV"/>
        </w:rPr>
        <w:t xml:space="preserve"> sugas un to aizsardzības statuss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258"/>
        <w:gridCol w:w="1328"/>
        <w:gridCol w:w="1340"/>
        <w:gridCol w:w="859"/>
        <w:gridCol w:w="1374"/>
        <w:gridCol w:w="1381"/>
      </w:tblGrid>
      <w:tr w:rsidR="00D72C46" w:rsidRPr="00675182" w14:paraId="0AF9CFA5" w14:textId="77777777" w:rsidTr="00C70692">
        <w:trPr>
          <w:trHeight w:val="615"/>
          <w:tblHeader/>
        </w:trPr>
        <w:tc>
          <w:tcPr>
            <w:tcW w:w="426" w:type="pct"/>
            <w:tcBorders>
              <w:bottom w:val="single" w:sz="4" w:space="0" w:color="auto"/>
            </w:tcBorders>
            <w:shd w:val="clear" w:color="auto" w:fill="D6E3BC"/>
            <w:vAlign w:val="center"/>
            <w:hideMark/>
          </w:tcPr>
          <w:p w14:paraId="699731B3" w14:textId="5036A139" w:rsidR="00ED50D5" w:rsidRPr="00675182" w:rsidRDefault="00ED50D5" w:rsidP="00ED50D5">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N.p</w:t>
            </w:r>
            <w:r w:rsidR="00D72C46">
              <w:rPr>
                <w:rFonts w:eastAsia="Times New Roman" w:cstheme="minorHAnsi"/>
                <w:b/>
                <w:bCs/>
                <w:color w:val="000000"/>
                <w:sz w:val="22"/>
                <w:szCs w:val="22"/>
                <w:lang w:eastAsia="en-GB"/>
              </w:rPr>
              <w:t>.</w:t>
            </w:r>
            <w:r w:rsidRPr="00675182">
              <w:rPr>
                <w:rFonts w:eastAsia="Times New Roman" w:cstheme="minorHAnsi"/>
                <w:b/>
                <w:bCs/>
                <w:color w:val="000000"/>
                <w:sz w:val="22"/>
                <w:szCs w:val="22"/>
                <w:lang w:eastAsia="en-GB"/>
              </w:rPr>
              <w:t>k</w:t>
            </w:r>
            <w:r w:rsidR="00D72C46">
              <w:rPr>
                <w:rFonts w:eastAsia="Times New Roman" w:cstheme="minorHAnsi"/>
                <w:b/>
                <w:bCs/>
                <w:color w:val="000000"/>
                <w:sz w:val="22"/>
                <w:szCs w:val="22"/>
                <w:lang w:eastAsia="en-GB"/>
              </w:rPr>
              <w:t>.</w:t>
            </w:r>
          </w:p>
        </w:tc>
        <w:tc>
          <w:tcPr>
            <w:tcW w:w="753" w:type="pct"/>
            <w:tcBorders>
              <w:bottom w:val="single" w:sz="4" w:space="0" w:color="auto"/>
            </w:tcBorders>
            <w:shd w:val="clear" w:color="auto" w:fill="D6E3BC"/>
            <w:vAlign w:val="center"/>
            <w:hideMark/>
          </w:tcPr>
          <w:p w14:paraId="685A9942" w14:textId="77777777" w:rsidR="00ED50D5" w:rsidRPr="00675182" w:rsidRDefault="00ED50D5" w:rsidP="00ED50D5">
            <w:pPr>
              <w:suppressAutoHyphens w:val="0"/>
              <w:jc w:val="center"/>
              <w:rPr>
                <w:rFonts w:eastAsia="Times New Roman" w:cstheme="minorHAnsi"/>
                <w:b/>
                <w:bCs/>
                <w:color w:val="000000"/>
                <w:sz w:val="22"/>
                <w:szCs w:val="22"/>
                <w:lang w:eastAsia="en-GB"/>
              </w:rPr>
            </w:pPr>
            <w:r w:rsidRPr="00675182">
              <w:rPr>
                <w:rFonts w:eastAsia="Times New Roman" w:cstheme="minorHAnsi"/>
                <w:b/>
                <w:color w:val="000000"/>
                <w:sz w:val="22"/>
                <w:szCs w:val="22"/>
                <w:lang w:eastAsia="en-GB"/>
              </w:rPr>
              <w:t>Sugas nosaukums latviski</w:t>
            </w:r>
          </w:p>
        </w:tc>
        <w:tc>
          <w:tcPr>
            <w:tcW w:w="861" w:type="pct"/>
            <w:tcBorders>
              <w:bottom w:val="single" w:sz="4" w:space="0" w:color="auto"/>
            </w:tcBorders>
            <w:shd w:val="clear" w:color="auto" w:fill="D6E3BC"/>
            <w:vAlign w:val="center"/>
            <w:hideMark/>
          </w:tcPr>
          <w:p w14:paraId="76B67521" w14:textId="77777777" w:rsidR="00ED50D5" w:rsidRPr="00675182" w:rsidRDefault="00ED50D5" w:rsidP="00ED50D5">
            <w:pPr>
              <w:suppressAutoHyphens w:val="0"/>
              <w:jc w:val="center"/>
              <w:rPr>
                <w:rFonts w:eastAsia="Times New Roman" w:cstheme="minorHAnsi"/>
                <w:b/>
                <w:bCs/>
                <w:color w:val="000000"/>
                <w:sz w:val="22"/>
                <w:szCs w:val="22"/>
                <w:lang w:eastAsia="en-GB"/>
              </w:rPr>
            </w:pPr>
            <w:r w:rsidRPr="00675182">
              <w:rPr>
                <w:rFonts w:eastAsia="Times New Roman" w:cstheme="minorHAnsi"/>
                <w:b/>
                <w:color w:val="000000"/>
                <w:sz w:val="22"/>
                <w:szCs w:val="22"/>
                <w:lang w:eastAsia="en-GB"/>
              </w:rPr>
              <w:t>Sugas nosaukums latīniski</w:t>
            </w:r>
          </w:p>
        </w:tc>
        <w:tc>
          <w:tcPr>
            <w:tcW w:w="750" w:type="pct"/>
            <w:tcBorders>
              <w:bottom w:val="single" w:sz="4" w:space="0" w:color="auto"/>
            </w:tcBorders>
            <w:shd w:val="clear" w:color="auto" w:fill="D6E3BC"/>
            <w:vAlign w:val="center"/>
            <w:hideMark/>
          </w:tcPr>
          <w:p w14:paraId="50B8725E" w14:textId="77777777" w:rsidR="00ED50D5" w:rsidRPr="00675182" w:rsidRDefault="00ED50D5" w:rsidP="00ED50D5">
            <w:pPr>
              <w:suppressAutoHyphens w:val="0"/>
              <w:jc w:val="center"/>
              <w:rPr>
                <w:rFonts w:eastAsia="Times New Roman" w:cstheme="minorHAnsi"/>
                <w:b/>
                <w:bCs/>
                <w:color w:val="000000"/>
                <w:sz w:val="22"/>
                <w:szCs w:val="22"/>
                <w:lang w:eastAsia="en-GB"/>
              </w:rPr>
            </w:pPr>
            <w:r w:rsidRPr="00675182">
              <w:rPr>
                <w:rFonts w:eastAsia="Times New Roman" w:cstheme="minorHAnsi"/>
                <w:b/>
                <w:bCs/>
                <w:sz w:val="22"/>
                <w:szCs w:val="22"/>
              </w:rPr>
              <w:t>Aizsardzības statuss</w:t>
            </w:r>
          </w:p>
        </w:tc>
        <w:tc>
          <w:tcPr>
            <w:tcW w:w="544" w:type="pct"/>
            <w:tcBorders>
              <w:bottom w:val="single" w:sz="4" w:space="0" w:color="auto"/>
            </w:tcBorders>
            <w:shd w:val="clear" w:color="auto" w:fill="D6E3BC"/>
            <w:vAlign w:val="center"/>
          </w:tcPr>
          <w:p w14:paraId="4F0851E5" w14:textId="77777777" w:rsidR="00ED50D5" w:rsidRPr="00675182" w:rsidRDefault="00ED50D5" w:rsidP="00ED50D5">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rPr>
              <w:t>Cits statuss</w:t>
            </w:r>
          </w:p>
        </w:tc>
        <w:tc>
          <w:tcPr>
            <w:tcW w:w="794" w:type="pct"/>
            <w:tcBorders>
              <w:bottom w:val="single" w:sz="4" w:space="0" w:color="auto"/>
            </w:tcBorders>
            <w:shd w:val="clear" w:color="auto" w:fill="D6E3BC"/>
            <w:vAlign w:val="center"/>
            <w:hideMark/>
          </w:tcPr>
          <w:p w14:paraId="0D3A9E8D" w14:textId="77777777" w:rsidR="00ED50D5" w:rsidRPr="00675182" w:rsidRDefault="00ED50D5" w:rsidP="00ED50D5">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Sugas labvēlīga aizsardzības stāvokļa novērtējums Latvijā</w:t>
            </w:r>
          </w:p>
        </w:tc>
        <w:tc>
          <w:tcPr>
            <w:tcW w:w="872" w:type="pct"/>
            <w:tcBorders>
              <w:bottom w:val="single" w:sz="4" w:space="0" w:color="auto"/>
            </w:tcBorders>
            <w:shd w:val="clear" w:color="auto" w:fill="D6E3BC"/>
            <w:vAlign w:val="center"/>
          </w:tcPr>
          <w:p w14:paraId="1CE15154" w14:textId="77777777" w:rsidR="00ED50D5" w:rsidRPr="00675182" w:rsidRDefault="00ED50D5" w:rsidP="00ED50D5">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Sugas sastopamība GNP</w:t>
            </w:r>
          </w:p>
        </w:tc>
      </w:tr>
      <w:tr w:rsidR="00D72C46" w:rsidRPr="00675182" w14:paraId="53B7A8CD" w14:textId="77777777" w:rsidTr="00C70692">
        <w:trPr>
          <w:cantSplit/>
          <w:trHeight w:val="315"/>
        </w:trPr>
        <w:tc>
          <w:tcPr>
            <w:tcW w:w="426" w:type="pct"/>
            <w:tcBorders>
              <w:top w:val="single" w:sz="4" w:space="0" w:color="auto"/>
              <w:bottom w:val="single" w:sz="4" w:space="0" w:color="auto"/>
              <w:right w:val="single" w:sz="4" w:space="0" w:color="auto"/>
            </w:tcBorders>
            <w:shd w:val="clear" w:color="auto" w:fill="auto"/>
            <w:vAlign w:val="center"/>
          </w:tcPr>
          <w:p w14:paraId="4FEA99C7" w14:textId="77777777" w:rsidR="00912E9F" w:rsidRPr="00675182" w:rsidRDefault="00912E9F" w:rsidP="004F6DA4">
            <w:pPr>
              <w:numPr>
                <w:ilvl w:val="0"/>
                <w:numId w:val="3"/>
              </w:numPr>
              <w:suppressAutoHyphens w:val="0"/>
              <w:jc w:val="center"/>
              <w:rPr>
                <w:rFonts w:eastAsia="Times New Roman" w:cstheme="minorHAnsi"/>
                <w:color w:val="000000"/>
                <w:sz w:val="22"/>
                <w:szCs w:val="22"/>
                <w:lang w:eastAsia="en-GB"/>
              </w:rPr>
            </w:pP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20E1F0AE" w14:textId="77777777" w:rsidR="00D72C46" w:rsidRDefault="00912E9F" w:rsidP="00912E9F">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Kladonijas/</w:t>
            </w:r>
          </w:p>
          <w:p w14:paraId="761A3C09" w14:textId="0042E1ED" w:rsidR="00912E9F" w:rsidRPr="00675182" w:rsidRDefault="00912E9F" w:rsidP="00912E9F">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kladīnas</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677E0FD1" w14:textId="77777777" w:rsidR="00912E9F" w:rsidRPr="00675182" w:rsidRDefault="00912E9F" w:rsidP="00123A7B">
            <w:pPr>
              <w:suppressAutoHyphens w:val="0"/>
              <w:jc w:val="center"/>
              <w:rPr>
                <w:rFonts w:cstheme="minorHAnsi"/>
                <w:i/>
                <w:iCs/>
                <w:color w:val="000000"/>
                <w:sz w:val="22"/>
                <w:szCs w:val="22"/>
              </w:rPr>
            </w:pPr>
            <w:r w:rsidRPr="00675182">
              <w:rPr>
                <w:rFonts w:cstheme="minorHAnsi"/>
                <w:i/>
                <w:iCs/>
                <w:color w:val="414142"/>
                <w:sz w:val="22"/>
                <w:szCs w:val="22"/>
              </w:rPr>
              <w:t>Cladonia L. subgenus Cladina</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A31AA27" w14:textId="3C2F857A" w:rsidR="00912E9F" w:rsidRPr="00675182" w:rsidRDefault="00912E9F" w:rsidP="00123A7B">
            <w:pPr>
              <w:suppressAutoHyphens w:val="0"/>
              <w:jc w:val="center"/>
              <w:rPr>
                <w:rFonts w:cstheme="minorHAnsi"/>
                <w:color w:val="000000"/>
                <w:sz w:val="22"/>
                <w:szCs w:val="22"/>
              </w:rPr>
            </w:pPr>
            <w:r w:rsidRPr="00675182">
              <w:rPr>
                <w:rFonts w:cstheme="minorHAnsi"/>
                <w:color w:val="000000"/>
                <w:sz w:val="22"/>
                <w:szCs w:val="22"/>
              </w:rPr>
              <w:t>ES V</w:t>
            </w:r>
          </w:p>
        </w:tc>
        <w:tc>
          <w:tcPr>
            <w:tcW w:w="544" w:type="pct"/>
            <w:tcBorders>
              <w:top w:val="single" w:sz="4" w:space="0" w:color="auto"/>
              <w:left w:val="single" w:sz="4" w:space="0" w:color="auto"/>
              <w:bottom w:val="single" w:sz="4" w:space="0" w:color="auto"/>
              <w:right w:val="single" w:sz="4" w:space="0" w:color="auto"/>
            </w:tcBorders>
            <w:vAlign w:val="center"/>
          </w:tcPr>
          <w:p w14:paraId="0E598339" w14:textId="77777777" w:rsidR="00912E9F" w:rsidRPr="00675182" w:rsidRDefault="00912E9F" w:rsidP="00123A7B">
            <w:pPr>
              <w:suppressAutoHyphens w:val="0"/>
              <w:jc w:val="center"/>
              <w:rPr>
                <w:rFonts w:eastAsia="Times New Roman" w:cstheme="minorHAnsi"/>
                <w:color w:val="000000"/>
                <w:sz w:val="22"/>
                <w:szCs w:val="22"/>
                <w:lang w:eastAsia="en-GB"/>
              </w:rPr>
            </w:pPr>
          </w:p>
        </w:tc>
        <w:tc>
          <w:tcPr>
            <w:tcW w:w="794" w:type="pct"/>
            <w:tcBorders>
              <w:top w:val="single" w:sz="4" w:space="0" w:color="auto"/>
              <w:left w:val="single" w:sz="4" w:space="0" w:color="auto"/>
              <w:bottom w:val="single" w:sz="4" w:space="0" w:color="auto"/>
              <w:right w:val="single" w:sz="4" w:space="0" w:color="auto"/>
            </w:tcBorders>
            <w:shd w:val="clear" w:color="auto" w:fill="FFFF00"/>
            <w:vAlign w:val="center"/>
          </w:tcPr>
          <w:p w14:paraId="1B0BC826" w14:textId="77777777" w:rsidR="00912E9F" w:rsidRPr="00675182" w:rsidRDefault="00912E9F" w:rsidP="00123A7B">
            <w:pPr>
              <w:suppressAutoHyphens w:val="0"/>
              <w:jc w:val="center"/>
              <w:rPr>
                <w:rFonts w:cstheme="minorHAnsi"/>
                <w:color w:val="000000"/>
                <w:sz w:val="22"/>
                <w:szCs w:val="22"/>
              </w:rPr>
            </w:pPr>
            <w:r w:rsidRPr="00675182">
              <w:rPr>
                <w:rFonts w:cstheme="minorHAnsi"/>
                <w:color w:val="000000"/>
                <w:sz w:val="22"/>
                <w:szCs w:val="22"/>
              </w:rPr>
              <w:t>U1</w:t>
            </w:r>
          </w:p>
        </w:tc>
        <w:tc>
          <w:tcPr>
            <w:tcW w:w="872" w:type="pct"/>
            <w:tcBorders>
              <w:top w:val="single" w:sz="4" w:space="0" w:color="auto"/>
              <w:left w:val="single" w:sz="4" w:space="0" w:color="auto"/>
              <w:bottom w:val="single" w:sz="4" w:space="0" w:color="auto"/>
              <w:right w:val="single" w:sz="4" w:space="0" w:color="auto"/>
            </w:tcBorders>
            <w:vAlign w:val="center"/>
          </w:tcPr>
          <w:p w14:paraId="2E0A1440" w14:textId="42CAAA63" w:rsidR="00912E9F" w:rsidRPr="00675182" w:rsidRDefault="00912E9F" w:rsidP="00123A7B">
            <w:pPr>
              <w:suppressAutoHyphens w:val="0"/>
              <w:jc w:val="center"/>
              <w:rPr>
                <w:rFonts w:cstheme="minorHAnsi"/>
                <w:color w:val="000000"/>
                <w:sz w:val="22"/>
                <w:szCs w:val="22"/>
              </w:rPr>
            </w:pPr>
            <w:r w:rsidRPr="00675182">
              <w:rPr>
                <w:rFonts w:cstheme="minorHAnsi"/>
                <w:color w:val="000000"/>
                <w:sz w:val="22"/>
                <w:szCs w:val="22"/>
              </w:rPr>
              <w:t>Bieži. Pamatā sugu atradnes ir saistītas ar sausieņu tipa mežiem uz nelīdzena reljefa, kur kokaudzē dominē priede.</w:t>
            </w:r>
          </w:p>
        </w:tc>
      </w:tr>
    </w:tbl>
    <w:p w14:paraId="17298811" w14:textId="77777777" w:rsidR="00385CDA" w:rsidRPr="00675182" w:rsidRDefault="00385CDA" w:rsidP="00385CDA">
      <w:pPr>
        <w:rPr>
          <w:rFonts w:cstheme="minorHAnsi"/>
          <w:sz w:val="20"/>
        </w:rPr>
      </w:pPr>
      <w:r w:rsidRPr="00675182">
        <w:rPr>
          <w:rFonts w:cstheme="minorHAnsi"/>
          <w:sz w:val="20"/>
        </w:rPr>
        <w:t xml:space="preserve">Informācija par sugu aizsardzības stāvokli Latvijā no „Ziņojums Eiropas Komisijai par biotopu (dzīvotņu) un sugu aizsardzības stāvokli Latvijā. Novērtējums par 2013.-2018. gada periodu” </w:t>
      </w:r>
      <w:r w:rsidRPr="00675182">
        <w:rPr>
          <w:rFonts w:cstheme="minorHAnsi"/>
          <w:b/>
          <w:bCs/>
          <w:sz w:val="20"/>
        </w:rPr>
        <w:t>FV</w:t>
      </w:r>
      <w:r w:rsidRPr="00675182">
        <w:rPr>
          <w:rFonts w:cstheme="minorHAnsi"/>
          <w:sz w:val="20"/>
        </w:rPr>
        <w:t xml:space="preserve">: Aizsardzības stāvoklis labvēlīgs (Favourable); </w:t>
      </w:r>
      <w:r w:rsidRPr="00675182">
        <w:rPr>
          <w:rFonts w:cstheme="minorHAnsi"/>
          <w:b/>
          <w:bCs/>
          <w:sz w:val="20"/>
        </w:rPr>
        <w:t>U1</w:t>
      </w:r>
      <w:r w:rsidRPr="00675182">
        <w:rPr>
          <w:rFonts w:cstheme="minorHAnsi"/>
          <w:sz w:val="20"/>
        </w:rPr>
        <w:t xml:space="preserve">: Aizsardzības stāvoklis nelabvēlīgs-nepietiekams (Unfavourable-Inadequate); </w:t>
      </w:r>
      <w:r w:rsidRPr="00675182">
        <w:rPr>
          <w:rFonts w:cstheme="minorHAnsi"/>
          <w:b/>
          <w:bCs/>
          <w:sz w:val="20"/>
        </w:rPr>
        <w:t>U2</w:t>
      </w:r>
      <w:r w:rsidRPr="00675182">
        <w:rPr>
          <w:rFonts w:cstheme="minorHAnsi"/>
          <w:sz w:val="20"/>
        </w:rPr>
        <w:t xml:space="preserve">: Aizsardzības stāvoklis nelabvēlīgs-slikts (Unfavourable-Bad); </w:t>
      </w:r>
      <w:r w:rsidRPr="00675182">
        <w:rPr>
          <w:rFonts w:cstheme="minorHAnsi"/>
          <w:b/>
          <w:bCs/>
          <w:sz w:val="20"/>
        </w:rPr>
        <w:t>XX</w:t>
      </w:r>
      <w:r w:rsidRPr="00675182">
        <w:rPr>
          <w:rFonts w:cstheme="minorHAnsi"/>
          <w:sz w:val="20"/>
        </w:rPr>
        <w:t xml:space="preserve">: Aizsardzības stāvoklis nezināms (Unknown). </w:t>
      </w:r>
    </w:p>
    <w:p w14:paraId="2F55B956" w14:textId="77777777" w:rsidR="00385CDA" w:rsidRPr="00675182" w:rsidRDefault="00385CDA" w:rsidP="00385CDA">
      <w:pPr>
        <w:pStyle w:val="BodyText"/>
        <w:spacing w:after="0"/>
        <w:rPr>
          <w:rFonts w:cstheme="minorHAnsi"/>
          <w:b/>
          <w:bCs/>
          <w:sz w:val="20"/>
          <w:lang w:val="lv-LV"/>
        </w:rPr>
      </w:pPr>
    </w:p>
    <w:p w14:paraId="06B3E4D3" w14:textId="77777777" w:rsidR="00385CDA" w:rsidRPr="00675182" w:rsidRDefault="00385CDA" w:rsidP="00385CDA">
      <w:pPr>
        <w:pStyle w:val="BodyText"/>
        <w:spacing w:after="0"/>
        <w:rPr>
          <w:rFonts w:cstheme="minorHAnsi"/>
          <w:b/>
          <w:bCs/>
          <w:sz w:val="20"/>
          <w:lang w:val="lv-LV"/>
        </w:rPr>
      </w:pPr>
      <w:r w:rsidRPr="00675182">
        <w:rPr>
          <w:rFonts w:cstheme="minorHAnsi"/>
          <w:b/>
          <w:bCs/>
          <w:sz w:val="20"/>
          <w:lang w:val="lv-LV"/>
        </w:rPr>
        <w:t>Saīsinājumi:</w:t>
      </w:r>
    </w:p>
    <w:p w14:paraId="3AD2E9B7" w14:textId="55B36C4B" w:rsidR="00385CDA" w:rsidRPr="00675182" w:rsidRDefault="00385CDA" w:rsidP="00385CDA">
      <w:pPr>
        <w:rPr>
          <w:rFonts w:cstheme="minorHAnsi"/>
          <w:sz w:val="20"/>
          <w:szCs w:val="24"/>
        </w:rPr>
      </w:pPr>
      <w:r w:rsidRPr="00675182">
        <w:rPr>
          <w:rFonts w:cstheme="minorHAnsi"/>
          <w:b/>
          <w:bCs/>
          <w:sz w:val="20"/>
          <w:szCs w:val="24"/>
        </w:rPr>
        <w:t>ES</w:t>
      </w:r>
      <w:r w:rsidRPr="00675182">
        <w:rPr>
          <w:rFonts w:cstheme="minorHAnsi"/>
          <w:sz w:val="20"/>
          <w:szCs w:val="24"/>
        </w:rPr>
        <w:t xml:space="preserve"> – Eiropas Padomes direktīva 92/43/EEK (21.05.1992) Par dabisko dzīvotņu, savvaļas floras un faunas aizsardzību. </w:t>
      </w:r>
      <w:r w:rsidRPr="00675182">
        <w:rPr>
          <w:rFonts w:cstheme="minorHAnsi"/>
          <w:b/>
          <w:sz w:val="20"/>
          <w:szCs w:val="24"/>
        </w:rPr>
        <w:t>II</w:t>
      </w:r>
      <w:r w:rsidRPr="00675182">
        <w:rPr>
          <w:rFonts w:cstheme="minorHAnsi"/>
          <w:sz w:val="20"/>
          <w:szCs w:val="24"/>
        </w:rPr>
        <w:t xml:space="preserve"> pielikums. Dzīvnieku un augu sugas, kas ir Kopienas interešu sfērā un kuru aizsardzībai nepieciešama </w:t>
      </w:r>
      <w:r w:rsidR="00CD689F">
        <w:rPr>
          <w:rFonts w:cstheme="minorHAnsi"/>
          <w:sz w:val="20"/>
          <w:szCs w:val="24"/>
        </w:rPr>
        <w:t>ĪA</w:t>
      </w:r>
      <w:r w:rsidRPr="00675182">
        <w:rPr>
          <w:rFonts w:cstheme="minorHAnsi"/>
          <w:sz w:val="20"/>
          <w:szCs w:val="24"/>
        </w:rPr>
        <w:t xml:space="preserve"> teritoriju nodalīšana. </w:t>
      </w:r>
      <w:r w:rsidRPr="00675182">
        <w:rPr>
          <w:rFonts w:cstheme="minorHAnsi"/>
          <w:b/>
          <w:sz w:val="20"/>
          <w:szCs w:val="24"/>
        </w:rPr>
        <w:t>V</w:t>
      </w:r>
      <w:r w:rsidRPr="00675182">
        <w:rPr>
          <w:rFonts w:cstheme="minorHAnsi"/>
          <w:sz w:val="20"/>
          <w:szCs w:val="24"/>
        </w:rPr>
        <w:t xml:space="preserve"> pielikums. Dzīvnieku un augu sugas, kas ir Kopienas interešu sfērā un kuru iegūšana un ekspluatācija dabā var būt pieļaujama.</w:t>
      </w:r>
    </w:p>
    <w:p w14:paraId="7D8C8BB8" w14:textId="3178E260" w:rsidR="00D72C46" w:rsidRDefault="00D72C46" w:rsidP="00D72C46"/>
    <w:p w14:paraId="300C8671" w14:textId="26E85F0C" w:rsidR="00315BC7" w:rsidRPr="00315BC7" w:rsidRDefault="00315BC7" w:rsidP="00315BC7">
      <w:pPr>
        <w:pStyle w:val="BodyText"/>
        <w:spacing w:after="0"/>
        <w:rPr>
          <w:rFonts w:cstheme="minorBidi"/>
          <w:b/>
          <w:bCs/>
          <w:i/>
          <w:iCs/>
          <w:lang w:val="lv-LV"/>
        </w:rPr>
      </w:pPr>
      <w:r w:rsidRPr="00675182">
        <w:rPr>
          <w:rFonts w:cstheme="minorHAnsi"/>
          <w:b/>
          <w:i/>
          <w:lang w:val="lv-LV"/>
        </w:rPr>
        <w:t>2.4.</w:t>
      </w:r>
      <w:r>
        <w:rPr>
          <w:rFonts w:cstheme="minorHAnsi"/>
          <w:b/>
          <w:i/>
          <w:lang w:val="lv-LV"/>
        </w:rPr>
        <w:t>2</w:t>
      </w:r>
      <w:r w:rsidRPr="00675182">
        <w:rPr>
          <w:rFonts w:cstheme="minorHAnsi"/>
          <w:b/>
          <w:i/>
          <w:lang w:val="lv-LV"/>
        </w:rPr>
        <w:t>.</w:t>
      </w:r>
      <w:r>
        <w:rPr>
          <w:rFonts w:cstheme="minorHAnsi"/>
          <w:b/>
          <w:i/>
          <w:lang w:val="lv-LV"/>
        </w:rPr>
        <w:t>B.</w:t>
      </w:r>
      <w:r w:rsidRPr="00675182">
        <w:rPr>
          <w:rFonts w:cstheme="minorHAnsi"/>
          <w:b/>
          <w:i/>
          <w:lang w:val="lv-LV"/>
        </w:rPr>
        <w:t xml:space="preserve"> tabula. </w:t>
      </w:r>
      <w:r w:rsidRPr="00315BC7">
        <w:rPr>
          <w:rFonts w:cstheme="minorBidi"/>
          <w:b/>
          <w:bCs/>
          <w:i/>
          <w:iCs/>
          <w:lang w:val="lv-LV"/>
        </w:rPr>
        <w:t xml:space="preserve">Biotopu direktīvas pielikumos iekļauto </w:t>
      </w:r>
      <w:r w:rsidR="00337B09">
        <w:rPr>
          <w:rFonts w:cstheme="minorBidi"/>
          <w:b/>
          <w:bCs/>
          <w:i/>
          <w:iCs/>
          <w:lang w:val="lv-LV"/>
        </w:rPr>
        <w:t>ķērpju sugu</w:t>
      </w:r>
      <w:r w:rsidRPr="00315BC7">
        <w:rPr>
          <w:rFonts w:cstheme="minorBidi"/>
          <w:b/>
          <w:bCs/>
          <w:i/>
          <w:iCs/>
          <w:lang w:val="lv-LV"/>
        </w:rPr>
        <w:t xml:space="preserve"> populāciju lielums un sugu dzīvotņu platība </w:t>
      </w:r>
      <w:r>
        <w:rPr>
          <w:rFonts w:cstheme="minorBidi"/>
          <w:b/>
          <w:bCs/>
          <w:i/>
          <w:iCs/>
          <w:lang w:val="lv-LV"/>
        </w:rPr>
        <w:t>GNP</w:t>
      </w:r>
    </w:p>
    <w:tbl>
      <w:tblPr>
        <w:tblW w:w="5000" w:type="pct"/>
        <w:tblLook w:val="04A0" w:firstRow="1" w:lastRow="0" w:firstColumn="1" w:lastColumn="0" w:noHBand="0" w:noVBand="1"/>
      </w:tblPr>
      <w:tblGrid>
        <w:gridCol w:w="1443"/>
        <w:gridCol w:w="614"/>
        <w:gridCol w:w="735"/>
        <w:gridCol w:w="1187"/>
        <w:gridCol w:w="1187"/>
        <w:gridCol w:w="1038"/>
        <w:gridCol w:w="1059"/>
        <w:gridCol w:w="1038"/>
      </w:tblGrid>
      <w:tr w:rsidR="00315BC7" w:rsidRPr="007B30AD" w14:paraId="510FF8DE" w14:textId="77777777" w:rsidTr="00E30E72">
        <w:trPr>
          <w:trHeight w:val="1116"/>
          <w:tblHeader/>
        </w:trPr>
        <w:tc>
          <w:tcPr>
            <w:tcW w:w="869"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B8E7B4F" w14:textId="77777777" w:rsidR="00315BC7" w:rsidRPr="00315BC7" w:rsidRDefault="00315BC7" w:rsidP="00711C3A">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 xml:space="preserve">Sugas nosaukums </w:t>
            </w:r>
          </w:p>
          <w:p w14:paraId="541D72DE" w14:textId="77777777" w:rsidR="00315BC7" w:rsidRPr="00315BC7" w:rsidRDefault="00315BC7" w:rsidP="00711C3A">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(latviski un latīniski)</w:t>
            </w:r>
          </w:p>
          <w:p w14:paraId="08CCA184" w14:textId="77777777" w:rsidR="00315BC7" w:rsidRPr="00315BC7" w:rsidRDefault="00315BC7" w:rsidP="00711C3A">
            <w:pPr>
              <w:keepNext/>
              <w:keepLines/>
              <w:jc w:val="center"/>
              <w:rPr>
                <w:rFonts w:eastAsia="Times New Roman" w:cstheme="minorHAnsi"/>
                <w:b/>
                <w:sz w:val="18"/>
                <w:szCs w:val="18"/>
                <w:lang w:eastAsia="en-GB"/>
              </w:rPr>
            </w:pPr>
          </w:p>
        </w:tc>
        <w:tc>
          <w:tcPr>
            <w:tcW w:w="813" w:type="pct"/>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D5D09E3" w14:textId="77777777" w:rsidR="00315BC7" w:rsidRPr="00315BC7" w:rsidRDefault="00315BC7" w:rsidP="00711C3A">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Sugas populācijas novērtējums teritorijā</w:t>
            </w:r>
          </w:p>
        </w:tc>
        <w:tc>
          <w:tcPr>
            <w:tcW w:w="71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551277F" w14:textId="77777777" w:rsidR="00315BC7" w:rsidRPr="00315BC7" w:rsidRDefault="00315BC7" w:rsidP="00711C3A">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Teritorijā esošās sugas populācijas attiecība (%) pret sugas populāciju Natura 2000 teritorijās Latvijā kopumā</w:t>
            </w:r>
          </w:p>
        </w:tc>
        <w:tc>
          <w:tcPr>
            <w:tcW w:w="71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56531C3" w14:textId="77777777" w:rsidR="00315BC7" w:rsidRPr="00315BC7" w:rsidRDefault="00315BC7" w:rsidP="00711C3A">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Teritorijā esošās sugas populācijas attiecība (%) pret sugas populāciju valstī</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63304FE" w14:textId="77777777" w:rsidR="00315BC7" w:rsidRPr="00315BC7" w:rsidRDefault="00315BC7" w:rsidP="00711C3A">
            <w:pPr>
              <w:keepNext/>
              <w:keepLines/>
              <w:jc w:val="center"/>
              <w:rPr>
                <w:rFonts w:cstheme="minorHAnsi"/>
                <w:b/>
                <w:sz w:val="18"/>
                <w:szCs w:val="18"/>
              </w:rPr>
            </w:pPr>
            <w:r w:rsidRPr="00315BC7">
              <w:rPr>
                <w:rFonts w:cstheme="minorHAnsi"/>
                <w:b/>
                <w:sz w:val="18"/>
                <w:szCs w:val="18"/>
              </w:rPr>
              <w:t>Sugas dzīvotnes platība (ha)</w:t>
            </w:r>
          </w:p>
        </w:tc>
        <w:tc>
          <w:tcPr>
            <w:tcW w:w="638"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E53678E" w14:textId="77777777" w:rsidR="00315BC7" w:rsidRPr="00315BC7" w:rsidRDefault="00315BC7" w:rsidP="00711C3A">
            <w:pPr>
              <w:keepNext/>
              <w:keepLines/>
              <w:jc w:val="center"/>
              <w:rPr>
                <w:rFonts w:cstheme="minorHAnsi"/>
                <w:b/>
                <w:sz w:val="18"/>
                <w:szCs w:val="18"/>
              </w:rPr>
            </w:pPr>
            <w:r w:rsidRPr="00315BC7">
              <w:rPr>
                <w:rFonts w:cstheme="minorHAnsi"/>
                <w:b/>
                <w:sz w:val="18"/>
                <w:szCs w:val="18"/>
              </w:rPr>
              <w:t>Sugas dzīvotnes platības attiecība (%) pret sugas dzīvotnes platību Natura 2000 teritorijās Latvijā kopumā</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0B87FE9" w14:textId="77777777" w:rsidR="00315BC7" w:rsidRPr="00315BC7" w:rsidRDefault="00315BC7" w:rsidP="00711C3A">
            <w:pPr>
              <w:keepNext/>
              <w:keepLines/>
              <w:jc w:val="center"/>
              <w:rPr>
                <w:rFonts w:cstheme="minorHAnsi"/>
                <w:b/>
                <w:sz w:val="18"/>
                <w:szCs w:val="18"/>
              </w:rPr>
            </w:pPr>
            <w:r w:rsidRPr="00315BC7">
              <w:rPr>
                <w:rFonts w:cstheme="minorHAnsi"/>
                <w:b/>
                <w:sz w:val="18"/>
                <w:szCs w:val="18"/>
              </w:rPr>
              <w:t>Sugas dzīvotnes platības attiecība (%) pret sugas dzīvotnes platību valstī</w:t>
            </w:r>
          </w:p>
        </w:tc>
      </w:tr>
      <w:tr w:rsidR="00337B09" w:rsidRPr="007B30AD" w14:paraId="367ADE74" w14:textId="77777777" w:rsidTr="00E30E72">
        <w:trPr>
          <w:trHeight w:val="300"/>
        </w:trPr>
        <w:tc>
          <w:tcPr>
            <w:tcW w:w="869" w:type="pct"/>
            <w:vMerge/>
            <w:tcBorders>
              <w:top w:val="single" w:sz="4" w:space="0" w:color="auto"/>
              <w:left w:val="single" w:sz="4" w:space="0" w:color="auto"/>
              <w:bottom w:val="single" w:sz="4" w:space="0" w:color="auto"/>
              <w:right w:val="single" w:sz="4" w:space="0" w:color="auto"/>
            </w:tcBorders>
            <w:vAlign w:val="center"/>
            <w:hideMark/>
          </w:tcPr>
          <w:p w14:paraId="6CCB33B6" w14:textId="77777777" w:rsidR="00315BC7" w:rsidRPr="007B30AD" w:rsidRDefault="00315BC7" w:rsidP="00711C3A">
            <w:pPr>
              <w:suppressAutoHyphens w:val="0"/>
              <w:rPr>
                <w:rFonts w:eastAsia="Times New Roman" w:cstheme="minorHAnsi"/>
                <w:sz w:val="22"/>
                <w:szCs w:val="22"/>
                <w:lang w:eastAsia="en-GB"/>
              </w:rPr>
            </w:pPr>
          </w:p>
        </w:tc>
        <w:tc>
          <w:tcPr>
            <w:tcW w:w="37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A8BCFDE" w14:textId="77777777" w:rsidR="00315BC7" w:rsidRPr="00315BC7" w:rsidRDefault="00315BC7" w:rsidP="00711C3A">
            <w:pPr>
              <w:suppressAutoHyphens w:val="0"/>
              <w:rPr>
                <w:rFonts w:eastAsia="Times New Roman" w:cstheme="minorHAnsi"/>
                <w:b/>
                <w:sz w:val="18"/>
                <w:szCs w:val="18"/>
                <w:lang w:eastAsia="en-GB"/>
              </w:rPr>
            </w:pPr>
            <w:r w:rsidRPr="00315BC7">
              <w:rPr>
                <w:rFonts w:eastAsia="Times New Roman" w:cstheme="minorHAnsi"/>
                <w:b/>
                <w:sz w:val="18"/>
                <w:szCs w:val="18"/>
                <w:lang w:eastAsia="en-GB"/>
              </w:rPr>
              <w:t>Min.</w:t>
            </w:r>
          </w:p>
        </w:tc>
        <w:tc>
          <w:tcPr>
            <w:tcW w:w="44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0B25023" w14:textId="77777777" w:rsidR="00315BC7" w:rsidRPr="00315BC7" w:rsidRDefault="00315BC7" w:rsidP="00711C3A">
            <w:pPr>
              <w:suppressAutoHyphens w:val="0"/>
              <w:rPr>
                <w:rFonts w:eastAsia="Times New Roman" w:cstheme="minorHAnsi"/>
                <w:b/>
                <w:sz w:val="18"/>
                <w:szCs w:val="18"/>
                <w:lang w:eastAsia="en-GB"/>
              </w:rPr>
            </w:pPr>
            <w:r w:rsidRPr="00315BC7">
              <w:rPr>
                <w:rFonts w:eastAsia="Times New Roman" w:cstheme="minorHAnsi"/>
                <w:b/>
                <w:sz w:val="18"/>
                <w:szCs w:val="18"/>
                <w:lang w:eastAsia="en-GB"/>
              </w:rPr>
              <w:t>Maks.</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03B93C6A" w14:textId="77777777" w:rsidR="00315BC7" w:rsidRPr="007B30AD" w:rsidRDefault="00315BC7" w:rsidP="00711C3A">
            <w:pPr>
              <w:suppressAutoHyphens w:val="0"/>
              <w:rPr>
                <w:rFonts w:eastAsia="Times New Roman" w:cstheme="minorHAnsi"/>
                <w:sz w:val="22"/>
                <w:szCs w:val="22"/>
                <w:lang w:eastAsia="en-GB"/>
              </w:rPr>
            </w:pP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744F5EFC" w14:textId="77777777" w:rsidR="00315BC7" w:rsidRPr="007B30AD" w:rsidRDefault="00315BC7" w:rsidP="00711C3A">
            <w:pPr>
              <w:suppressAutoHyphens w:val="0"/>
              <w:rPr>
                <w:rFonts w:eastAsia="Times New Roman" w:cstheme="minorHAnsi"/>
                <w:sz w:val="22"/>
                <w:szCs w:val="22"/>
                <w:lang w:eastAsia="en-GB"/>
              </w:rPr>
            </w:pPr>
          </w:p>
        </w:tc>
        <w:tc>
          <w:tcPr>
            <w:tcW w:w="625" w:type="pct"/>
            <w:vMerge/>
            <w:tcBorders>
              <w:top w:val="single" w:sz="4" w:space="0" w:color="auto"/>
              <w:left w:val="single" w:sz="4" w:space="0" w:color="auto"/>
              <w:bottom w:val="single" w:sz="4" w:space="0" w:color="auto"/>
              <w:right w:val="single" w:sz="4" w:space="0" w:color="auto"/>
            </w:tcBorders>
          </w:tcPr>
          <w:p w14:paraId="23FBD765" w14:textId="77777777" w:rsidR="00315BC7" w:rsidRPr="007B30AD" w:rsidRDefault="00315BC7" w:rsidP="00711C3A">
            <w:pPr>
              <w:suppressAutoHyphens w:val="0"/>
              <w:rPr>
                <w:rFonts w:eastAsia="Times New Roman" w:cstheme="minorHAnsi"/>
                <w:sz w:val="22"/>
                <w:szCs w:val="22"/>
                <w:highlight w:val="yellow"/>
                <w:lang w:eastAsia="en-GB"/>
              </w:rPr>
            </w:pPr>
          </w:p>
        </w:tc>
        <w:tc>
          <w:tcPr>
            <w:tcW w:w="638" w:type="pct"/>
            <w:vMerge/>
            <w:tcBorders>
              <w:top w:val="single" w:sz="4" w:space="0" w:color="auto"/>
              <w:left w:val="single" w:sz="4" w:space="0" w:color="auto"/>
              <w:bottom w:val="single" w:sz="4" w:space="0" w:color="auto"/>
              <w:right w:val="single" w:sz="4" w:space="0" w:color="auto"/>
            </w:tcBorders>
          </w:tcPr>
          <w:p w14:paraId="0F82FC43" w14:textId="77777777" w:rsidR="00315BC7" w:rsidRPr="007B30AD" w:rsidRDefault="00315BC7" w:rsidP="00711C3A">
            <w:pPr>
              <w:suppressAutoHyphens w:val="0"/>
              <w:rPr>
                <w:rFonts w:eastAsia="Times New Roman" w:cstheme="minorHAnsi"/>
                <w:sz w:val="22"/>
                <w:szCs w:val="22"/>
                <w:highlight w:val="yellow"/>
                <w:lang w:eastAsia="en-GB"/>
              </w:rPr>
            </w:pPr>
          </w:p>
        </w:tc>
        <w:tc>
          <w:tcPr>
            <w:tcW w:w="625" w:type="pct"/>
            <w:vMerge/>
            <w:tcBorders>
              <w:top w:val="single" w:sz="4" w:space="0" w:color="auto"/>
              <w:left w:val="single" w:sz="4" w:space="0" w:color="auto"/>
              <w:bottom w:val="single" w:sz="4" w:space="0" w:color="auto"/>
              <w:right w:val="single" w:sz="4" w:space="0" w:color="auto"/>
            </w:tcBorders>
          </w:tcPr>
          <w:p w14:paraId="2F143D27" w14:textId="77777777" w:rsidR="00315BC7" w:rsidRPr="007B30AD" w:rsidRDefault="00315BC7" w:rsidP="00711C3A">
            <w:pPr>
              <w:suppressAutoHyphens w:val="0"/>
              <w:rPr>
                <w:rFonts w:eastAsia="Times New Roman" w:cstheme="minorHAnsi"/>
                <w:sz w:val="22"/>
                <w:szCs w:val="22"/>
                <w:highlight w:val="yellow"/>
                <w:lang w:eastAsia="en-GB"/>
              </w:rPr>
            </w:pPr>
          </w:p>
        </w:tc>
      </w:tr>
      <w:tr w:rsidR="00E30E72" w:rsidRPr="007B30AD" w14:paraId="48393285" w14:textId="77777777" w:rsidTr="00E30E72">
        <w:trPr>
          <w:trHeight w:val="495"/>
        </w:trPr>
        <w:tc>
          <w:tcPr>
            <w:tcW w:w="869" w:type="pct"/>
            <w:tcBorders>
              <w:top w:val="single" w:sz="4" w:space="0" w:color="auto"/>
              <w:left w:val="single" w:sz="4" w:space="0" w:color="auto"/>
              <w:bottom w:val="single" w:sz="4" w:space="0" w:color="auto"/>
              <w:right w:val="single" w:sz="4" w:space="0" w:color="auto"/>
            </w:tcBorders>
            <w:vAlign w:val="center"/>
            <w:hideMark/>
          </w:tcPr>
          <w:p w14:paraId="543C58CB" w14:textId="77777777" w:rsidR="00E30E72" w:rsidRDefault="00E30E72" w:rsidP="00E30E72">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Kladonijas/</w:t>
            </w:r>
          </w:p>
          <w:p w14:paraId="1A8109C5" w14:textId="07CD5DCD" w:rsidR="00E30E72" w:rsidRDefault="00E30E72" w:rsidP="00E30E72">
            <w:pPr>
              <w:suppressAutoHyphens w:val="0"/>
              <w:rPr>
                <w:rFonts w:eastAsia="Times New Roman" w:cstheme="minorHAnsi"/>
                <w:color w:val="000000"/>
                <w:sz w:val="22"/>
                <w:szCs w:val="22"/>
                <w:lang w:eastAsia="en-GB"/>
              </w:rPr>
            </w:pPr>
            <w:r w:rsidRPr="00675182">
              <w:rPr>
                <w:rFonts w:eastAsia="Times New Roman" w:cstheme="minorHAnsi"/>
                <w:color w:val="000000"/>
                <w:sz w:val="22"/>
                <w:szCs w:val="22"/>
                <w:lang w:eastAsia="en-GB"/>
              </w:rPr>
              <w:t>Kladīnas</w:t>
            </w:r>
          </w:p>
          <w:p w14:paraId="22B4E774" w14:textId="6C94389E" w:rsidR="00E30E72" w:rsidRPr="007B30AD" w:rsidRDefault="00E30E72" w:rsidP="00E30E72">
            <w:pPr>
              <w:suppressAutoHyphens w:val="0"/>
              <w:rPr>
                <w:rFonts w:eastAsia="Times New Roman" w:cstheme="minorHAnsi"/>
                <w:sz w:val="22"/>
                <w:szCs w:val="22"/>
                <w:lang w:eastAsia="en-GB"/>
              </w:rPr>
            </w:pPr>
            <w:r w:rsidRPr="00675182">
              <w:rPr>
                <w:rFonts w:cstheme="minorHAnsi"/>
                <w:i/>
                <w:iCs/>
                <w:color w:val="414142"/>
                <w:sz w:val="22"/>
                <w:szCs w:val="22"/>
              </w:rPr>
              <w:t>Cladonia L. subgenus Cladina</w:t>
            </w:r>
          </w:p>
        </w:tc>
        <w:tc>
          <w:tcPr>
            <w:tcW w:w="370" w:type="pct"/>
            <w:tcBorders>
              <w:top w:val="single" w:sz="4" w:space="0" w:color="auto"/>
              <w:left w:val="nil"/>
              <w:bottom w:val="single" w:sz="4" w:space="0" w:color="auto"/>
              <w:right w:val="single" w:sz="4" w:space="0" w:color="auto"/>
            </w:tcBorders>
            <w:shd w:val="clear" w:color="auto" w:fill="auto"/>
            <w:noWrap/>
            <w:vAlign w:val="center"/>
          </w:tcPr>
          <w:p w14:paraId="1120026B" w14:textId="046F96B1" w:rsidR="00E30E72" w:rsidRPr="007B30AD" w:rsidRDefault="00E30E72" w:rsidP="00E30E72">
            <w:pPr>
              <w:suppressAutoHyphens w:val="0"/>
              <w:jc w:val="center"/>
              <w:rPr>
                <w:rFonts w:eastAsia="Times New Roman" w:cstheme="minorHAnsi"/>
                <w:sz w:val="22"/>
                <w:szCs w:val="22"/>
                <w:lang w:eastAsia="en-GB"/>
              </w:rPr>
            </w:pPr>
            <w:r>
              <w:rPr>
                <w:rFonts w:eastAsia="Times New Roman" w:cstheme="minorHAnsi"/>
                <w:kern w:val="2"/>
                <w:sz w:val="22"/>
                <w:szCs w:val="22"/>
                <w:lang w:eastAsia="en-GB"/>
                <w14:ligatures w14:val="standardContextual"/>
              </w:rPr>
              <w:t>300</w:t>
            </w:r>
          </w:p>
        </w:tc>
        <w:tc>
          <w:tcPr>
            <w:tcW w:w="443" w:type="pct"/>
            <w:tcBorders>
              <w:top w:val="single" w:sz="4" w:space="0" w:color="auto"/>
              <w:left w:val="nil"/>
              <w:bottom w:val="single" w:sz="4" w:space="0" w:color="auto"/>
              <w:right w:val="single" w:sz="4" w:space="0" w:color="auto"/>
            </w:tcBorders>
            <w:shd w:val="clear" w:color="auto" w:fill="auto"/>
            <w:vAlign w:val="center"/>
          </w:tcPr>
          <w:p w14:paraId="14097BF8" w14:textId="47F4ACFD" w:rsidR="00E30E72" w:rsidRPr="007B30AD" w:rsidRDefault="00E30E72" w:rsidP="00E30E72">
            <w:pPr>
              <w:suppressAutoHyphens w:val="0"/>
              <w:jc w:val="center"/>
              <w:rPr>
                <w:rFonts w:eastAsia="Times New Roman" w:cstheme="minorHAnsi"/>
                <w:sz w:val="22"/>
                <w:szCs w:val="22"/>
                <w:lang w:eastAsia="en-GB"/>
              </w:rPr>
            </w:pPr>
            <w:r>
              <w:rPr>
                <w:rFonts w:eastAsia="Times New Roman" w:cstheme="minorHAnsi"/>
                <w:kern w:val="2"/>
                <w:sz w:val="22"/>
                <w:szCs w:val="22"/>
                <w:lang w:eastAsia="en-GB"/>
                <w14:ligatures w14:val="standardContextual"/>
              </w:rPr>
              <w:t>400</w:t>
            </w:r>
          </w:p>
        </w:tc>
        <w:tc>
          <w:tcPr>
            <w:tcW w:w="715" w:type="pct"/>
            <w:tcBorders>
              <w:top w:val="single" w:sz="4" w:space="0" w:color="auto"/>
              <w:left w:val="nil"/>
              <w:bottom w:val="single" w:sz="4" w:space="0" w:color="auto"/>
              <w:right w:val="single" w:sz="4" w:space="0" w:color="auto"/>
            </w:tcBorders>
            <w:shd w:val="clear" w:color="auto" w:fill="auto"/>
            <w:vAlign w:val="center"/>
          </w:tcPr>
          <w:p w14:paraId="4AE59C4E" w14:textId="109D3197" w:rsidR="00E30E72" w:rsidRPr="007B30AD" w:rsidRDefault="00E30E72" w:rsidP="00E30E72">
            <w:pPr>
              <w:suppressAutoHyphens w:val="0"/>
              <w:jc w:val="center"/>
              <w:rPr>
                <w:rFonts w:eastAsia="Times New Roman" w:cstheme="minorHAnsi"/>
                <w:sz w:val="22"/>
                <w:szCs w:val="22"/>
                <w:lang w:eastAsia="en-GB"/>
              </w:rPr>
            </w:pPr>
            <w:r>
              <w:rPr>
                <w:rFonts w:eastAsia="Times New Roman" w:cstheme="minorHAnsi"/>
                <w:kern w:val="2"/>
                <w:sz w:val="22"/>
                <w:szCs w:val="22"/>
                <w:lang w:eastAsia="en-GB"/>
                <w14:ligatures w14:val="standardContextual"/>
              </w:rPr>
              <w:t>3</w:t>
            </w:r>
          </w:p>
        </w:tc>
        <w:tc>
          <w:tcPr>
            <w:tcW w:w="715" w:type="pct"/>
            <w:tcBorders>
              <w:top w:val="single" w:sz="4" w:space="0" w:color="auto"/>
              <w:left w:val="nil"/>
              <w:bottom w:val="single" w:sz="4" w:space="0" w:color="auto"/>
              <w:right w:val="single" w:sz="4" w:space="0" w:color="auto"/>
            </w:tcBorders>
            <w:shd w:val="clear" w:color="auto" w:fill="auto"/>
            <w:vAlign w:val="center"/>
          </w:tcPr>
          <w:p w14:paraId="65AA338D" w14:textId="798432DC" w:rsidR="00E30E72" w:rsidRPr="007B30AD" w:rsidRDefault="00E30E72" w:rsidP="00E30E72">
            <w:pPr>
              <w:suppressAutoHyphens w:val="0"/>
              <w:jc w:val="center"/>
              <w:rPr>
                <w:rFonts w:eastAsia="Times New Roman" w:cstheme="minorHAnsi"/>
                <w:sz w:val="22"/>
                <w:szCs w:val="22"/>
                <w:lang w:eastAsia="en-GB"/>
              </w:rPr>
            </w:pPr>
            <w:r>
              <w:rPr>
                <w:rFonts w:eastAsia="Times New Roman" w:cstheme="minorHAnsi"/>
                <w:kern w:val="2"/>
                <w:sz w:val="22"/>
                <w:szCs w:val="22"/>
                <w:lang w:eastAsia="en-GB"/>
                <w14:ligatures w14:val="standardContextual"/>
              </w:rPr>
              <w:t>4</w:t>
            </w:r>
          </w:p>
        </w:tc>
        <w:tc>
          <w:tcPr>
            <w:tcW w:w="625" w:type="pct"/>
            <w:tcBorders>
              <w:top w:val="single" w:sz="4" w:space="0" w:color="auto"/>
              <w:left w:val="nil"/>
              <w:bottom w:val="single" w:sz="4" w:space="0" w:color="auto"/>
              <w:right w:val="single" w:sz="4" w:space="0" w:color="auto"/>
            </w:tcBorders>
            <w:vAlign w:val="center"/>
          </w:tcPr>
          <w:p w14:paraId="4D88928C" w14:textId="5FA02D49" w:rsidR="00E30E72" w:rsidRPr="007B30AD" w:rsidRDefault="00E30E72" w:rsidP="00E30E72">
            <w:pPr>
              <w:suppressAutoHyphens w:val="0"/>
              <w:jc w:val="center"/>
              <w:rPr>
                <w:rFonts w:cstheme="minorHAnsi"/>
                <w:sz w:val="22"/>
                <w:szCs w:val="22"/>
                <w:highlight w:val="yellow"/>
              </w:rPr>
            </w:pPr>
            <w:r>
              <w:rPr>
                <w:rFonts w:cstheme="minorHAnsi"/>
                <w:kern w:val="2"/>
                <w:sz w:val="22"/>
                <w:szCs w:val="22"/>
                <w14:ligatures w14:val="standardContextual"/>
              </w:rPr>
              <w:t>≈1800</w:t>
            </w:r>
          </w:p>
        </w:tc>
        <w:tc>
          <w:tcPr>
            <w:tcW w:w="638" w:type="pct"/>
            <w:tcBorders>
              <w:top w:val="single" w:sz="4" w:space="0" w:color="auto"/>
              <w:left w:val="nil"/>
              <w:bottom w:val="single" w:sz="4" w:space="0" w:color="auto"/>
              <w:right w:val="single" w:sz="4" w:space="0" w:color="auto"/>
            </w:tcBorders>
            <w:vAlign w:val="center"/>
          </w:tcPr>
          <w:p w14:paraId="0B6AD509" w14:textId="1EF64408" w:rsidR="00E30E72" w:rsidRPr="007B30AD" w:rsidRDefault="00E30E72" w:rsidP="00E30E72">
            <w:pPr>
              <w:suppressAutoHyphens w:val="0"/>
              <w:jc w:val="center"/>
              <w:rPr>
                <w:rFonts w:cstheme="minorHAnsi"/>
                <w:sz w:val="22"/>
                <w:szCs w:val="22"/>
                <w:highlight w:val="yellow"/>
              </w:rPr>
            </w:pPr>
            <w:r>
              <w:rPr>
                <w:rFonts w:cstheme="minorHAnsi"/>
                <w:kern w:val="2"/>
                <w:sz w:val="22"/>
                <w:szCs w:val="22"/>
                <w14:ligatures w14:val="standardContextual"/>
              </w:rPr>
              <w:t>3</w:t>
            </w:r>
          </w:p>
        </w:tc>
        <w:tc>
          <w:tcPr>
            <w:tcW w:w="625" w:type="pct"/>
            <w:tcBorders>
              <w:top w:val="single" w:sz="4" w:space="0" w:color="auto"/>
              <w:left w:val="nil"/>
              <w:bottom w:val="single" w:sz="4" w:space="0" w:color="auto"/>
              <w:right w:val="single" w:sz="4" w:space="0" w:color="auto"/>
            </w:tcBorders>
            <w:shd w:val="clear" w:color="auto" w:fill="auto"/>
            <w:vAlign w:val="center"/>
          </w:tcPr>
          <w:p w14:paraId="1C7B7B62" w14:textId="689C99B5" w:rsidR="00E30E72" w:rsidRPr="007B30AD" w:rsidRDefault="00E30E72" w:rsidP="00E30E72">
            <w:pPr>
              <w:suppressAutoHyphens w:val="0"/>
              <w:jc w:val="center"/>
              <w:rPr>
                <w:rFonts w:cstheme="minorHAnsi"/>
                <w:sz w:val="22"/>
                <w:szCs w:val="22"/>
              </w:rPr>
            </w:pPr>
            <w:r>
              <w:rPr>
                <w:rFonts w:cstheme="minorHAnsi"/>
                <w:kern w:val="2"/>
                <w:sz w:val="22"/>
                <w:szCs w:val="22"/>
                <w14:ligatures w14:val="standardContextual"/>
              </w:rPr>
              <w:t>4</w:t>
            </w:r>
          </w:p>
        </w:tc>
      </w:tr>
    </w:tbl>
    <w:bookmarkEnd w:id="80"/>
    <w:p w14:paraId="78E12116" w14:textId="77777777" w:rsidR="00315BC7" w:rsidRPr="00675182" w:rsidRDefault="00315BC7" w:rsidP="00315BC7">
      <w:pPr>
        <w:pStyle w:val="BodyText"/>
        <w:spacing w:after="0"/>
        <w:rPr>
          <w:rFonts w:cstheme="minorHAnsi"/>
          <w:b/>
          <w:i/>
          <w:lang w:val="lv-LV"/>
        </w:rPr>
      </w:pPr>
      <w:r w:rsidRPr="00675182">
        <w:rPr>
          <w:rFonts w:cstheme="minorHAnsi"/>
          <w:b/>
          <w:i/>
          <w:lang w:val="lv-LV"/>
        </w:rPr>
        <w:t xml:space="preserve"> </w:t>
      </w:r>
    </w:p>
    <w:p w14:paraId="05913E37" w14:textId="77777777" w:rsidR="00315BC7" w:rsidRPr="00BF7348" w:rsidRDefault="00315BC7" w:rsidP="00D72C46"/>
    <w:p w14:paraId="0B1B6922" w14:textId="208A6231" w:rsidR="00D9486D" w:rsidRPr="00675182" w:rsidRDefault="00D9486D" w:rsidP="00D9486D">
      <w:pPr>
        <w:pStyle w:val="Heading4"/>
        <w:rPr>
          <w:rFonts w:asciiTheme="minorHAnsi" w:hAnsiTheme="minorHAnsi" w:cstheme="minorHAnsi"/>
        </w:rPr>
      </w:pPr>
      <w:r w:rsidRPr="00675182">
        <w:rPr>
          <w:rFonts w:asciiTheme="minorHAnsi" w:hAnsiTheme="minorHAnsi" w:cstheme="minorHAnsi"/>
        </w:rPr>
        <w:lastRenderedPageBreak/>
        <w:t>2.4.1.3. Sūnas</w:t>
      </w:r>
    </w:p>
    <w:p w14:paraId="6048A9ED" w14:textId="202C4373" w:rsidR="00D9486D" w:rsidRPr="00675182" w:rsidRDefault="00D9486D" w:rsidP="00D9486D">
      <w:pPr>
        <w:jc w:val="both"/>
        <w:rPr>
          <w:rFonts w:cstheme="minorHAnsi"/>
          <w:bCs/>
        </w:rPr>
      </w:pPr>
      <w:r w:rsidRPr="00675182">
        <w:rPr>
          <w:rFonts w:cstheme="minorHAnsi"/>
          <w:bCs/>
        </w:rPr>
        <w:t>GNP sūnu flora pētīta epizodiski, pētniekiem apmeklējot atsevišķus biotopus. Nozīmīgākais darbs ir bijis N. Maltas vadītā atsegumu izpēte 20. g</w:t>
      </w:r>
      <w:r w:rsidR="003E09EE" w:rsidRPr="00675182">
        <w:rPr>
          <w:rFonts w:cstheme="minorHAnsi"/>
          <w:bCs/>
        </w:rPr>
        <w:t>s.</w:t>
      </w:r>
      <w:r w:rsidRPr="00675182">
        <w:rPr>
          <w:rFonts w:cstheme="minorHAnsi"/>
          <w:bCs/>
        </w:rPr>
        <w:t xml:space="preserve"> 20.-30. gados. Pēc tam dažādus citu ievākotos datus un savu pētījumu rezultātus apkopojusi un vienīgo sūnu sarakstu publicējusi A. Āboliņa (2007). Tajā publicētas 332 sugas no 57 dzimtām un 142 ģintīm. Salīdzinot ar pirmo (2007. gadā) sastādīto GNP sūnu sugu sarakstu, </w:t>
      </w:r>
      <w:r w:rsidR="00142D51" w:rsidRPr="00675182">
        <w:rPr>
          <w:rFonts w:cstheme="minorHAnsi"/>
        </w:rPr>
        <w:t xml:space="preserve">GNP </w:t>
      </w:r>
      <w:r w:rsidR="00B00ABB">
        <w:rPr>
          <w:rFonts w:cstheme="minorHAnsi"/>
        </w:rPr>
        <w:t>DA</w:t>
      </w:r>
      <w:r w:rsidR="00B302C1" w:rsidRPr="00675182">
        <w:rPr>
          <w:rFonts w:cstheme="minorHAnsi"/>
        </w:rPr>
        <w:t xml:space="preserve"> </w:t>
      </w:r>
      <w:r w:rsidR="00142D51" w:rsidRPr="00675182">
        <w:rPr>
          <w:rFonts w:cstheme="minorHAnsi"/>
        </w:rPr>
        <w:t>plāna izstrādes laikā sūnu saraksts papildināts ar 88 sugām</w:t>
      </w:r>
      <w:r w:rsidRPr="00675182">
        <w:rPr>
          <w:rFonts w:cstheme="minorHAnsi"/>
          <w:bCs/>
        </w:rPr>
        <w:t xml:space="preserve">. </w:t>
      </w:r>
    </w:p>
    <w:p w14:paraId="008A2A08" w14:textId="77777777" w:rsidR="00D9486D" w:rsidRPr="00675182" w:rsidRDefault="00D9486D" w:rsidP="00D9486D">
      <w:pPr>
        <w:jc w:val="both"/>
        <w:rPr>
          <w:rFonts w:cstheme="minorHAnsi"/>
          <w:bCs/>
        </w:rPr>
      </w:pPr>
    </w:p>
    <w:p w14:paraId="1C3F8568" w14:textId="265B04C8" w:rsidR="00D9486D" w:rsidRPr="00675182" w:rsidRDefault="00D9486D" w:rsidP="00D9486D">
      <w:pPr>
        <w:jc w:val="both"/>
        <w:rPr>
          <w:rFonts w:cstheme="minorHAnsi"/>
        </w:rPr>
      </w:pPr>
      <w:r w:rsidRPr="00675182">
        <w:rPr>
          <w:rFonts w:cstheme="minorHAnsi"/>
        </w:rPr>
        <w:t xml:space="preserve">Apkopojot informāciju no iepriekš publicētajiem pētījumiem un lauku apsekojumiem plāna izstrādes laikā, </w:t>
      </w:r>
      <w:r w:rsidRPr="00675182">
        <w:rPr>
          <w:rFonts w:cstheme="minorHAnsi"/>
          <w:bCs/>
        </w:rPr>
        <w:t xml:space="preserve">GNP teritorijā ir izdevies konstatēt 405 sugas jeb aptuveni 64% no Latvijā atrastajām sugām, no kurām: </w:t>
      </w:r>
    </w:p>
    <w:p w14:paraId="216D7485" w14:textId="5614E15A" w:rsidR="00E752AD" w:rsidRPr="00675182" w:rsidRDefault="00D9486D" w:rsidP="00A84218">
      <w:pPr>
        <w:pStyle w:val="ListParagraph"/>
        <w:numPr>
          <w:ilvl w:val="0"/>
          <w:numId w:val="11"/>
        </w:numPr>
        <w:jc w:val="both"/>
        <w:rPr>
          <w:rFonts w:cstheme="minorHAnsi"/>
          <w:bCs/>
        </w:rPr>
      </w:pPr>
      <w:r w:rsidRPr="00675182">
        <w:rPr>
          <w:rFonts w:cstheme="minorHAnsi"/>
          <w:bCs/>
        </w:rPr>
        <w:t>4 sugas ir iekļautas Biotopu direktīvas II pielikumā</w:t>
      </w:r>
      <w:r w:rsidR="00E752AD" w:rsidRPr="00675182">
        <w:rPr>
          <w:rFonts w:cstheme="minorHAnsi"/>
          <w:bCs/>
        </w:rPr>
        <w:t>;</w:t>
      </w:r>
    </w:p>
    <w:p w14:paraId="75EBB7E7" w14:textId="62B9D5F4" w:rsidR="00E752AD" w:rsidRPr="00675182" w:rsidRDefault="00E752AD" w:rsidP="00A84218">
      <w:pPr>
        <w:pStyle w:val="ListParagraph"/>
        <w:numPr>
          <w:ilvl w:val="0"/>
          <w:numId w:val="11"/>
        </w:numPr>
        <w:jc w:val="both"/>
        <w:rPr>
          <w:rFonts w:cstheme="minorHAnsi"/>
          <w:bCs/>
        </w:rPr>
      </w:pPr>
      <w:r w:rsidRPr="00675182">
        <w:rPr>
          <w:rFonts w:eastAsia="Times New Roman" w:cstheme="minorHAnsi"/>
          <w:szCs w:val="24"/>
        </w:rPr>
        <w:t xml:space="preserve">66 sugas iekļautas </w:t>
      </w:r>
      <w:r w:rsidR="00454A6E" w:rsidRPr="00675182">
        <w:rPr>
          <w:rFonts w:eastAsia="Times New Roman" w:cstheme="minorHAnsi"/>
          <w:szCs w:val="24"/>
        </w:rPr>
        <w:t>Latvij</w:t>
      </w:r>
      <w:r w:rsidR="00454A6E">
        <w:rPr>
          <w:rFonts w:eastAsia="Times New Roman" w:cstheme="minorHAnsi"/>
          <w:szCs w:val="24"/>
        </w:rPr>
        <w:t>as</w:t>
      </w:r>
      <w:r w:rsidR="00454A6E" w:rsidRPr="00675182">
        <w:rPr>
          <w:rFonts w:eastAsia="Times New Roman" w:cstheme="minorHAnsi"/>
          <w:szCs w:val="24"/>
        </w:rPr>
        <w:t xml:space="preserve"> </w:t>
      </w:r>
      <w:r w:rsidR="001F000C">
        <w:rPr>
          <w:rFonts w:eastAsia="Times New Roman" w:cstheme="minorHAnsi"/>
          <w:szCs w:val="24"/>
        </w:rPr>
        <w:t>ĪA</w:t>
      </w:r>
      <w:r w:rsidRPr="00675182">
        <w:rPr>
          <w:rFonts w:eastAsia="Times New Roman" w:cstheme="minorHAnsi"/>
          <w:szCs w:val="24"/>
        </w:rPr>
        <w:t xml:space="preserve"> sugu sarakstā</w:t>
      </w:r>
      <w:r w:rsidRPr="00675182">
        <w:rPr>
          <w:rFonts w:cstheme="minorHAnsi"/>
          <w:bCs/>
        </w:rPr>
        <w:t>;</w:t>
      </w:r>
    </w:p>
    <w:p w14:paraId="505BD6C1" w14:textId="771CAFA2" w:rsidR="00E752AD" w:rsidRPr="00675182" w:rsidRDefault="00D9486D" w:rsidP="00A84218">
      <w:pPr>
        <w:pStyle w:val="ListParagraph"/>
        <w:numPr>
          <w:ilvl w:val="0"/>
          <w:numId w:val="11"/>
        </w:numPr>
        <w:jc w:val="both"/>
        <w:rPr>
          <w:rFonts w:cstheme="minorHAnsi"/>
          <w:bCs/>
        </w:rPr>
      </w:pPr>
      <w:r w:rsidRPr="00675182">
        <w:rPr>
          <w:rFonts w:cstheme="minorHAnsi"/>
          <w:bCs/>
        </w:rPr>
        <w:t xml:space="preserve">100 sugas </w:t>
      </w:r>
      <w:r w:rsidR="00E752AD" w:rsidRPr="00675182">
        <w:rPr>
          <w:rFonts w:cstheme="minorHAnsi"/>
          <w:bCs/>
        </w:rPr>
        <w:t xml:space="preserve">iekļautas </w:t>
      </w:r>
      <w:r w:rsidRPr="00675182">
        <w:rPr>
          <w:rFonts w:cstheme="minorHAnsi"/>
          <w:bCs/>
        </w:rPr>
        <w:t xml:space="preserve">Latvijas Sarkanajā grāmatā. </w:t>
      </w:r>
    </w:p>
    <w:p w14:paraId="3EEB1453" w14:textId="77777777" w:rsidR="00E752AD" w:rsidRPr="00675182" w:rsidRDefault="00E752AD" w:rsidP="00E752AD">
      <w:pPr>
        <w:pStyle w:val="ListParagraph"/>
        <w:jc w:val="both"/>
        <w:rPr>
          <w:rFonts w:cstheme="minorHAnsi"/>
          <w:bCs/>
        </w:rPr>
      </w:pPr>
    </w:p>
    <w:p w14:paraId="4BEDA220" w14:textId="36414181" w:rsidR="00D9486D" w:rsidRPr="00675182" w:rsidRDefault="00D9486D" w:rsidP="00E752AD">
      <w:pPr>
        <w:jc w:val="both"/>
        <w:rPr>
          <w:rFonts w:cstheme="minorHAnsi"/>
          <w:bCs/>
        </w:rPr>
      </w:pPr>
      <w:r w:rsidRPr="00675182">
        <w:rPr>
          <w:rFonts w:cstheme="minorHAnsi"/>
          <w:bCs/>
        </w:rPr>
        <w:t xml:space="preserve">Jāatzīmē, ka 25 sūnu sugām GNP ir vienīgā vai viena no divām zināmajām atradnēm </w:t>
      </w:r>
      <w:r w:rsidR="00E752AD" w:rsidRPr="00675182">
        <w:rPr>
          <w:rFonts w:cstheme="minorHAnsi"/>
          <w:bCs/>
        </w:rPr>
        <w:t>Latvijas teritorijā</w:t>
      </w:r>
      <w:r w:rsidRPr="00675182">
        <w:rPr>
          <w:rFonts w:cstheme="minorHAnsi"/>
          <w:bCs/>
        </w:rPr>
        <w:t xml:space="preserve">. </w:t>
      </w:r>
    </w:p>
    <w:p w14:paraId="1D1F6C06" w14:textId="339C4F89" w:rsidR="00780B83" w:rsidRPr="00675182" w:rsidRDefault="00780B83" w:rsidP="00E752AD">
      <w:pPr>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0440E8" w:rsidRPr="00675182" w14:paraId="3B3D3013" w14:textId="77777777" w:rsidTr="00780B83">
        <w:tc>
          <w:tcPr>
            <w:tcW w:w="8301" w:type="dxa"/>
          </w:tcPr>
          <w:p w14:paraId="2FAA81AA" w14:textId="76F12F06" w:rsidR="000440E8" w:rsidRPr="00675182" w:rsidRDefault="00780B83" w:rsidP="00E752AD">
            <w:pPr>
              <w:jc w:val="both"/>
              <w:rPr>
                <w:rFonts w:cstheme="minorHAnsi"/>
                <w:bCs/>
              </w:rPr>
            </w:pPr>
            <w:r w:rsidRPr="00675182">
              <w:rPr>
                <w:rFonts w:cstheme="minorHAnsi"/>
                <w:bCs/>
                <w:noProof/>
              </w:rPr>
              <w:drawing>
                <wp:inline distT="0" distB="0" distL="0" distR="0" wp14:anchorId="00FD6264" wp14:editId="0535AB16">
                  <wp:extent cx="5277485" cy="37344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277485" cy="3734435"/>
                          </a:xfrm>
                          <a:prstGeom prst="rect">
                            <a:avLst/>
                          </a:prstGeom>
                          <a:noFill/>
                          <a:ln>
                            <a:noFill/>
                          </a:ln>
                        </pic:spPr>
                      </pic:pic>
                    </a:graphicData>
                  </a:graphic>
                </wp:inline>
              </w:drawing>
            </w:r>
          </w:p>
        </w:tc>
      </w:tr>
      <w:tr w:rsidR="000440E8" w:rsidRPr="00675182" w14:paraId="40FAC4C5" w14:textId="77777777" w:rsidTr="00780B83">
        <w:tc>
          <w:tcPr>
            <w:tcW w:w="8301" w:type="dxa"/>
          </w:tcPr>
          <w:p w14:paraId="356A1029" w14:textId="77B73610" w:rsidR="000440E8" w:rsidRPr="00675182" w:rsidRDefault="00780B83" w:rsidP="00E752AD">
            <w:pPr>
              <w:jc w:val="both"/>
              <w:rPr>
                <w:rFonts w:cstheme="minorHAnsi"/>
                <w:b/>
                <w:i/>
                <w:iCs/>
              </w:rPr>
            </w:pPr>
            <w:r w:rsidRPr="00675182">
              <w:rPr>
                <w:rFonts w:cstheme="minorHAnsi"/>
                <w:b/>
                <w:i/>
                <w:iCs/>
              </w:rPr>
              <w:t>2.4.</w:t>
            </w:r>
            <w:r w:rsidR="0042456B" w:rsidRPr="00675182">
              <w:rPr>
                <w:rFonts w:cstheme="minorHAnsi"/>
                <w:b/>
                <w:i/>
                <w:iCs/>
              </w:rPr>
              <w:t>6</w:t>
            </w:r>
            <w:r w:rsidRPr="00675182">
              <w:rPr>
                <w:rFonts w:cstheme="minorHAnsi"/>
                <w:b/>
                <w:i/>
                <w:iCs/>
              </w:rPr>
              <w:t>. attēls. Konstatēto sūnu sugu izplatība GNP teritorijā</w:t>
            </w:r>
          </w:p>
        </w:tc>
      </w:tr>
    </w:tbl>
    <w:p w14:paraId="61BC2954" w14:textId="77777777" w:rsidR="000440E8" w:rsidRPr="00675182" w:rsidRDefault="000440E8" w:rsidP="00E752AD">
      <w:pPr>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0440E8" w:rsidRPr="00675182" w14:paraId="5491DF4C" w14:textId="77777777" w:rsidTr="00780B83">
        <w:tc>
          <w:tcPr>
            <w:tcW w:w="8311" w:type="dxa"/>
          </w:tcPr>
          <w:p w14:paraId="4100BE50" w14:textId="4FB895EE" w:rsidR="000440E8" w:rsidRPr="00675182" w:rsidRDefault="00780B83" w:rsidP="00385CDA">
            <w:pPr>
              <w:rPr>
                <w:rFonts w:cstheme="minorHAnsi"/>
                <w:sz w:val="20"/>
                <w:szCs w:val="24"/>
              </w:rPr>
            </w:pPr>
            <w:r w:rsidRPr="00675182">
              <w:rPr>
                <w:rFonts w:cstheme="minorHAnsi"/>
                <w:noProof/>
              </w:rPr>
              <w:lastRenderedPageBreak/>
              <w:drawing>
                <wp:inline distT="0" distB="0" distL="0" distR="0" wp14:anchorId="775CA094" wp14:editId="378934CB">
                  <wp:extent cx="5277485" cy="37344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277485" cy="3734435"/>
                          </a:xfrm>
                          <a:prstGeom prst="rect">
                            <a:avLst/>
                          </a:prstGeom>
                          <a:noFill/>
                          <a:ln>
                            <a:noFill/>
                          </a:ln>
                        </pic:spPr>
                      </pic:pic>
                    </a:graphicData>
                  </a:graphic>
                </wp:inline>
              </w:drawing>
            </w:r>
          </w:p>
        </w:tc>
      </w:tr>
      <w:tr w:rsidR="000440E8" w:rsidRPr="00675182" w14:paraId="0897C5C0" w14:textId="77777777" w:rsidTr="00780B83">
        <w:tc>
          <w:tcPr>
            <w:tcW w:w="8311" w:type="dxa"/>
          </w:tcPr>
          <w:p w14:paraId="7B305773" w14:textId="401EE7F9" w:rsidR="000440E8" w:rsidRPr="00675182" w:rsidRDefault="00780B83" w:rsidP="00385CDA">
            <w:pPr>
              <w:rPr>
                <w:rFonts w:cstheme="minorHAnsi"/>
                <w:sz w:val="20"/>
                <w:szCs w:val="24"/>
              </w:rPr>
            </w:pPr>
            <w:r w:rsidRPr="00675182">
              <w:rPr>
                <w:rFonts w:cstheme="minorHAnsi"/>
                <w:b/>
                <w:i/>
                <w:iCs/>
              </w:rPr>
              <w:t>2.4.</w:t>
            </w:r>
            <w:r w:rsidR="0042456B" w:rsidRPr="00675182">
              <w:rPr>
                <w:rFonts w:cstheme="minorHAnsi"/>
                <w:b/>
                <w:i/>
                <w:iCs/>
              </w:rPr>
              <w:t>7</w:t>
            </w:r>
            <w:r w:rsidRPr="00675182">
              <w:rPr>
                <w:rFonts w:cstheme="minorHAnsi"/>
                <w:b/>
                <w:i/>
                <w:iCs/>
              </w:rPr>
              <w:t xml:space="preserve">. attēls. </w:t>
            </w:r>
            <w:r w:rsidR="00CD689F">
              <w:rPr>
                <w:rFonts w:cstheme="minorHAnsi"/>
                <w:b/>
                <w:i/>
                <w:iCs/>
              </w:rPr>
              <w:t>ĪA</w:t>
            </w:r>
            <w:r w:rsidRPr="00675182">
              <w:rPr>
                <w:rFonts w:cstheme="minorHAnsi"/>
                <w:b/>
                <w:i/>
                <w:iCs/>
              </w:rPr>
              <w:t xml:space="preserve"> sūnu sugu izplatība GNP teritorijā</w:t>
            </w:r>
          </w:p>
        </w:tc>
      </w:tr>
    </w:tbl>
    <w:p w14:paraId="583113FE" w14:textId="77777777" w:rsidR="000440E8" w:rsidRDefault="000440E8" w:rsidP="00385CDA">
      <w:pPr>
        <w:rPr>
          <w:rFonts w:cstheme="minorHAnsi"/>
          <w:sz w:val="20"/>
          <w:szCs w:val="24"/>
        </w:rPr>
      </w:pPr>
    </w:p>
    <w:p w14:paraId="1B1F38DE" w14:textId="77777777" w:rsidR="00E752AD" w:rsidRPr="00675182" w:rsidRDefault="00E752AD" w:rsidP="00E752AD">
      <w:pPr>
        <w:jc w:val="both"/>
        <w:rPr>
          <w:rFonts w:cstheme="minorHAnsi"/>
          <w:b/>
        </w:rPr>
      </w:pPr>
      <w:r w:rsidRPr="00675182">
        <w:rPr>
          <w:rFonts w:cstheme="minorHAnsi"/>
          <w:b/>
        </w:rPr>
        <w:t>Dabas aizsardzības vērtība</w:t>
      </w:r>
    </w:p>
    <w:p w14:paraId="7CF8C15B" w14:textId="08A09A11" w:rsidR="009B4BDC" w:rsidRPr="00675182" w:rsidRDefault="009874AD" w:rsidP="00E752AD">
      <w:pPr>
        <w:jc w:val="both"/>
        <w:rPr>
          <w:rFonts w:cstheme="minorHAnsi"/>
          <w:bCs/>
          <w:szCs w:val="24"/>
        </w:rPr>
      </w:pPr>
      <w:r w:rsidRPr="00675182">
        <w:rPr>
          <w:rFonts w:cstheme="minorHAnsi"/>
          <w:bCs/>
          <w:szCs w:val="24"/>
        </w:rPr>
        <w:t xml:space="preserve">2020. gada kartēšanas sezonā tika konstatētas Latvijā 2 jaunas sugas </w:t>
      </w:r>
      <w:r w:rsidR="00E752AD" w:rsidRPr="00675182">
        <w:rPr>
          <w:rFonts w:cstheme="minorHAnsi"/>
          <w:bCs/>
          <w:szCs w:val="24"/>
        </w:rPr>
        <w:t xml:space="preserve">– Krimas divzobe </w:t>
      </w:r>
      <w:r w:rsidR="00E752AD" w:rsidRPr="00675182">
        <w:rPr>
          <w:rFonts w:cstheme="minorHAnsi"/>
          <w:bCs/>
          <w:i/>
          <w:iCs/>
          <w:szCs w:val="24"/>
        </w:rPr>
        <w:t>Dicranum tauricum</w:t>
      </w:r>
      <w:r w:rsidR="00E752AD" w:rsidRPr="00675182">
        <w:rPr>
          <w:rFonts w:cstheme="minorHAnsi"/>
          <w:bCs/>
          <w:szCs w:val="24"/>
        </w:rPr>
        <w:t xml:space="preserve"> un neievērotā lāpstīte</w:t>
      </w:r>
      <w:r w:rsidR="00E752AD" w:rsidRPr="00675182">
        <w:rPr>
          <w:rFonts w:cstheme="minorHAnsi"/>
          <w:bCs/>
          <w:i/>
          <w:iCs/>
          <w:szCs w:val="24"/>
        </w:rPr>
        <w:t xml:space="preserve"> Scapania praetervisa</w:t>
      </w:r>
      <w:r w:rsidR="00E752AD" w:rsidRPr="00675182">
        <w:rPr>
          <w:rFonts w:cstheme="minorHAnsi"/>
          <w:bCs/>
          <w:szCs w:val="24"/>
        </w:rPr>
        <w:t xml:space="preserve"> (skat. 2.4.</w:t>
      </w:r>
      <w:r w:rsidR="0042456B" w:rsidRPr="00675182">
        <w:rPr>
          <w:rFonts w:cstheme="minorHAnsi"/>
          <w:bCs/>
          <w:szCs w:val="24"/>
        </w:rPr>
        <w:t>8</w:t>
      </w:r>
      <w:r w:rsidR="00E752AD" w:rsidRPr="00675182">
        <w:rPr>
          <w:rFonts w:cstheme="minorHAnsi"/>
          <w:bCs/>
          <w:szCs w:val="24"/>
        </w:rPr>
        <w:t>. un 2.4.</w:t>
      </w:r>
      <w:r w:rsidR="0042456B" w:rsidRPr="00675182">
        <w:rPr>
          <w:rFonts w:cstheme="minorHAnsi"/>
          <w:bCs/>
          <w:szCs w:val="24"/>
        </w:rPr>
        <w:t>9</w:t>
      </w:r>
      <w:r w:rsidR="00E752AD" w:rsidRPr="00675182">
        <w:rPr>
          <w:rFonts w:cstheme="minorHAnsi"/>
          <w:bCs/>
          <w:szCs w:val="24"/>
        </w:rPr>
        <w:t>. attēlu) (A.</w:t>
      </w:r>
      <w:r w:rsidRPr="00675182">
        <w:rPr>
          <w:rFonts w:cstheme="minorHAnsi"/>
          <w:bCs/>
          <w:szCs w:val="24"/>
        </w:rPr>
        <w:t xml:space="preserve"> </w:t>
      </w:r>
      <w:r w:rsidR="00E752AD" w:rsidRPr="00675182">
        <w:rPr>
          <w:rFonts w:cstheme="minorHAnsi"/>
          <w:bCs/>
          <w:szCs w:val="24"/>
        </w:rPr>
        <w:t xml:space="preserve">Opmaņa personīgs ziņojums). </w:t>
      </w:r>
    </w:p>
    <w:p w14:paraId="3960718D" w14:textId="77777777" w:rsidR="00780B83" w:rsidRPr="00675182" w:rsidRDefault="00780B83" w:rsidP="00E752AD">
      <w:pPr>
        <w:jc w:val="both"/>
        <w:rPr>
          <w:rFonts w:cstheme="minorHAnsi"/>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56"/>
      </w:tblGrid>
      <w:tr w:rsidR="009B4BDC" w:rsidRPr="00675182" w14:paraId="348B3398" w14:textId="77777777" w:rsidTr="00266EDF">
        <w:tc>
          <w:tcPr>
            <w:tcW w:w="4150" w:type="dxa"/>
          </w:tcPr>
          <w:p w14:paraId="648C3FC2" w14:textId="2181CDE8" w:rsidR="009B4BDC" w:rsidRPr="00675182" w:rsidRDefault="009B4BDC" w:rsidP="00E752AD">
            <w:pPr>
              <w:jc w:val="both"/>
              <w:rPr>
                <w:rFonts w:cstheme="minorHAnsi"/>
                <w:bCs/>
                <w:szCs w:val="24"/>
              </w:rPr>
            </w:pPr>
            <w:r w:rsidRPr="00675182">
              <w:rPr>
                <w:rFonts w:cstheme="minorHAnsi"/>
                <w:noProof/>
              </w:rPr>
              <w:drawing>
                <wp:inline distT="0" distB="0" distL="0" distR="0" wp14:anchorId="32F254A7" wp14:editId="2E7221A8">
                  <wp:extent cx="2520000" cy="189913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520000" cy="1899130"/>
                          </a:xfrm>
                          <a:prstGeom prst="rect">
                            <a:avLst/>
                          </a:prstGeom>
                          <a:noFill/>
                          <a:ln>
                            <a:noFill/>
                          </a:ln>
                        </pic:spPr>
                      </pic:pic>
                    </a:graphicData>
                  </a:graphic>
                </wp:inline>
              </w:drawing>
            </w:r>
          </w:p>
        </w:tc>
        <w:tc>
          <w:tcPr>
            <w:tcW w:w="4151" w:type="dxa"/>
          </w:tcPr>
          <w:p w14:paraId="7376EDBC" w14:textId="5ED01ACE" w:rsidR="009B4BDC" w:rsidRPr="00675182" w:rsidRDefault="009B4BDC" w:rsidP="00E752AD">
            <w:pPr>
              <w:jc w:val="both"/>
              <w:rPr>
                <w:rFonts w:cstheme="minorHAnsi"/>
                <w:bCs/>
                <w:szCs w:val="24"/>
              </w:rPr>
            </w:pPr>
            <w:r w:rsidRPr="00675182">
              <w:rPr>
                <w:rFonts w:cstheme="minorHAnsi"/>
                <w:noProof/>
              </w:rPr>
              <w:drawing>
                <wp:inline distT="0" distB="0" distL="0" distR="0" wp14:anchorId="291B7F41" wp14:editId="72453CA3">
                  <wp:extent cx="2520000" cy="188794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520000" cy="1887949"/>
                          </a:xfrm>
                          <a:prstGeom prst="rect">
                            <a:avLst/>
                          </a:prstGeom>
                          <a:noFill/>
                          <a:ln>
                            <a:noFill/>
                          </a:ln>
                        </pic:spPr>
                      </pic:pic>
                    </a:graphicData>
                  </a:graphic>
                </wp:inline>
              </w:drawing>
            </w:r>
          </w:p>
        </w:tc>
      </w:tr>
      <w:tr w:rsidR="009B4BDC" w:rsidRPr="00675182" w14:paraId="5F72B6A3" w14:textId="77777777" w:rsidTr="00266EDF">
        <w:tc>
          <w:tcPr>
            <w:tcW w:w="4150" w:type="dxa"/>
          </w:tcPr>
          <w:p w14:paraId="5B471014" w14:textId="0AD82CFD" w:rsidR="009B4BDC" w:rsidRPr="00675182" w:rsidRDefault="009B4BDC" w:rsidP="00E752AD">
            <w:pPr>
              <w:jc w:val="both"/>
              <w:rPr>
                <w:rFonts w:cstheme="minorHAnsi"/>
                <w:b/>
                <w:i/>
                <w:iCs/>
                <w:szCs w:val="24"/>
              </w:rPr>
            </w:pPr>
            <w:r w:rsidRPr="00675182">
              <w:rPr>
                <w:rFonts w:cstheme="minorHAnsi"/>
                <w:b/>
                <w:i/>
                <w:iCs/>
                <w:szCs w:val="24"/>
              </w:rPr>
              <w:t>2.4.</w:t>
            </w:r>
            <w:r w:rsidR="0042456B" w:rsidRPr="00675182">
              <w:rPr>
                <w:rFonts w:cstheme="minorHAnsi"/>
                <w:b/>
                <w:i/>
                <w:iCs/>
                <w:szCs w:val="24"/>
              </w:rPr>
              <w:t>8</w:t>
            </w:r>
            <w:r w:rsidRPr="00675182">
              <w:rPr>
                <w:rFonts w:cstheme="minorHAnsi"/>
                <w:b/>
                <w:i/>
                <w:iCs/>
                <w:szCs w:val="24"/>
              </w:rPr>
              <w:t>. attēls. GNP teritorijā 2020. gada pavasarī Siguldā konstatētā Krimas divzobe Dicranum tauricum (foto: A. Opmanis)</w:t>
            </w:r>
          </w:p>
        </w:tc>
        <w:tc>
          <w:tcPr>
            <w:tcW w:w="4151" w:type="dxa"/>
          </w:tcPr>
          <w:p w14:paraId="5040C281" w14:textId="6DE6D4F3" w:rsidR="009B4BDC" w:rsidRPr="00675182" w:rsidRDefault="009B4BDC" w:rsidP="00E752AD">
            <w:pPr>
              <w:jc w:val="both"/>
              <w:rPr>
                <w:rFonts w:cstheme="minorHAnsi"/>
                <w:b/>
                <w:i/>
                <w:iCs/>
                <w:szCs w:val="24"/>
              </w:rPr>
            </w:pPr>
            <w:r w:rsidRPr="00675182">
              <w:rPr>
                <w:rFonts w:cstheme="minorHAnsi"/>
                <w:b/>
                <w:i/>
                <w:iCs/>
                <w:szCs w:val="24"/>
              </w:rPr>
              <w:t>2.4.</w:t>
            </w:r>
            <w:r w:rsidR="0042456B" w:rsidRPr="00675182">
              <w:rPr>
                <w:rFonts w:cstheme="minorHAnsi"/>
                <w:b/>
                <w:i/>
                <w:iCs/>
                <w:szCs w:val="24"/>
              </w:rPr>
              <w:t>9</w:t>
            </w:r>
            <w:r w:rsidRPr="00675182">
              <w:rPr>
                <w:rFonts w:cstheme="minorHAnsi"/>
                <w:b/>
                <w:i/>
                <w:iCs/>
                <w:szCs w:val="24"/>
              </w:rPr>
              <w:t>. attēls. GNP teritorijā 2020. gadā konstatētā neievērotā lāpstīte Scapania praetervisa (foto: A. Opmanis)</w:t>
            </w:r>
          </w:p>
        </w:tc>
      </w:tr>
    </w:tbl>
    <w:p w14:paraId="2DDF2F5C" w14:textId="77777777" w:rsidR="009B4BDC" w:rsidRPr="00675182" w:rsidRDefault="009B4BDC" w:rsidP="00E752AD">
      <w:pPr>
        <w:jc w:val="both"/>
        <w:rPr>
          <w:rFonts w:cstheme="minorHAnsi"/>
          <w:bCs/>
          <w:szCs w:val="24"/>
        </w:rPr>
      </w:pPr>
    </w:p>
    <w:p w14:paraId="39366C42" w14:textId="7CB61A03" w:rsidR="00EB6749" w:rsidRPr="00675182" w:rsidRDefault="00EB6749" w:rsidP="00EB6749">
      <w:pPr>
        <w:jc w:val="both"/>
        <w:rPr>
          <w:rFonts w:cs="Times New Roman"/>
          <w:bCs/>
          <w:szCs w:val="24"/>
        </w:rPr>
      </w:pPr>
      <w:r w:rsidRPr="00675182">
        <w:rPr>
          <w:rFonts w:cs="Times New Roman"/>
          <w:bCs/>
          <w:szCs w:val="24"/>
        </w:rPr>
        <w:t xml:space="preserve">Nozīmīgākie un daudzskaitlīgākie sūnu atradumi GNP ir saistīti ar iežu atsegumu biotopiem, ko nosaka gan apsekoto biotopu daudzums, gan Gaujas un pieteku ielejas mikroklimats. Biotopu inventarizācijas ietvaros ir būtiski papildināts tādu retu sūnu kā mēlītes vijzobes </w:t>
      </w:r>
      <w:r w:rsidRPr="00675182">
        <w:rPr>
          <w:rFonts w:cs="Times New Roman"/>
          <w:bCs/>
          <w:i/>
          <w:iCs/>
          <w:szCs w:val="24"/>
        </w:rPr>
        <w:t>Tortula lingulata</w:t>
      </w:r>
      <w:r w:rsidRPr="00675182">
        <w:rPr>
          <w:rFonts w:cs="Times New Roman"/>
          <w:bCs/>
          <w:szCs w:val="24"/>
        </w:rPr>
        <w:t xml:space="preserve">, piecdaivu trejsmailītes </w:t>
      </w:r>
      <w:r w:rsidRPr="00675182">
        <w:rPr>
          <w:rFonts w:cs="Times New Roman"/>
          <w:bCs/>
          <w:i/>
          <w:iCs/>
          <w:szCs w:val="24"/>
        </w:rPr>
        <w:t>Tritomaria</w:t>
      </w:r>
      <w:r w:rsidRPr="00675182">
        <w:rPr>
          <w:rFonts w:cs="Times New Roman"/>
          <w:bCs/>
          <w:szCs w:val="24"/>
        </w:rPr>
        <w:t xml:space="preserve"> </w:t>
      </w:r>
      <w:r w:rsidRPr="00675182">
        <w:rPr>
          <w:rFonts w:cs="Times New Roman"/>
          <w:bCs/>
          <w:i/>
          <w:iCs/>
          <w:szCs w:val="24"/>
        </w:rPr>
        <w:t>quinquidentata</w:t>
      </w:r>
      <w:r w:rsidRPr="00675182">
        <w:rPr>
          <w:rFonts w:cs="Times New Roman"/>
          <w:bCs/>
          <w:szCs w:val="24"/>
        </w:rPr>
        <w:t xml:space="preserve">, mazās ķīļlapes </w:t>
      </w:r>
      <w:r w:rsidRPr="00675182">
        <w:rPr>
          <w:rFonts w:cs="Times New Roman"/>
          <w:bCs/>
          <w:i/>
          <w:iCs/>
          <w:szCs w:val="24"/>
        </w:rPr>
        <w:t>Anastrophyllum minutum</w:t>
      </w:r>
      <w:r w:rsidRPr="00675182">
        <w:rPr>
          <w:rFonts w:cs="Times New Roman"/>
          <w:bCs/>
          <w:szCs w:val="24"/>
        </w:rPr>
        <w:t xml:space="preserve"> atradņu skaits. Arī mežu teritorijās ir </w:t>
      </w:r>
      <w:r w:rsidRPr="00675182">
        <w:rPr>
          <w:rFonts w:cs="Times New Roman"/>
          <w:bCs/>
          <w:szCs w:val="24"/>
        </w:rPr>
        <w:lastRenderedPageBreak/>
        <w:t xml:space="preserve">konstatētas vairākas ļoti retu sugu atradnes. Zaļā buksbaumijas </w:t>
      </w:r>
      <w:r w:rsidRPr="00675182">
        <w:rPr>
          <w:rFonts w:cs="Times New Roman"/>
          <w:bCs/>
          <w:i/>
          <w:iCs/>
          <w:szCs w:val="24"/>
        </w:rPr>
        <w:t>Buxbaumia viridis</w:t>
      </w:r>
      <w:r w:rsidRPr="00675182">
        <w:rPr>
          <w:rFonts w:cs="Times New Roman"/>
          <w:bCs/>
          <w:szCs w:val="24"/>
        </w:rPr>
        <w:t xml:space="preserve"> atradnes ir konstatētas 4 vietās, bet alu spulgsūnas </w:t>
      </w:r>
      <w:r w:rsidRPr="00675182">
        <w:rPr>
          <w:rFonts w:cs="Times New Roman"/>
          <w:bCs/>
          <w:i/>
          <w:iCs/>
          <w:szCs w:val="24"/>
        </w:rPr>
        <w:t>Schisostega pennata</w:t>
      </w:r>
      <w:r w:rsidRPr="00675182">
        <w:rPr>
          <w:rFonts w:cs="Times New Roman"/>
          <w:bCs/>
          <w:szCs w:val="24"/>
        </w:rPr>
        <w:t xml:space="preserve"> atradnes biotopu anketās ir atzīmētas ne tikai atsevišķās alās, bet arī uz izgāztu egļu saknēm. Dati par dabisku meža biotopu sugu sugām, piemēram, parasto baltsamtīti </w:t>
      </w:r>
      <w:r w:rsidRPr="00675182">
        <w:rPr>
          <w:rFonts w:cs="Times New Roman"/>
          <w:bCs/>
          <w:i/>
          <w:iCs/>
          <w:szCs w:val="24"/>
        </w:rPr>
        <w:t>Leucobryum glaucum</w:t>
      </w:r>
      <w:r w:rsidRPr="00675182">
        <w:rPr>
          <w:rFonts w:cs="Times New Roman"/>
          <w:bCs/>
          <w:szCs w:val="24"/>
        </w:rPr>
        <w:t xml:space="preserve">, kailo apaļlapi </w:t>
      </w:r>
      <w:r w:rsidRPr="00675182">
        <w:rPr>
          <w:rFonts w:cs="Times New Roman"/>
          <w:bCs/>
          <w:i/>
          <w:iCs/>
          <w:szCs w:val="24"/>
        </w:rPr>
        <w:t xml:space="preserve">Odontoschisma denudatum, </w:t>
      </w:r>
      <w:r w:rsidRPr="00675182">
        <w:rPr>
          <w:rFonts w:cs="Times New Roman"/>
          <w:bCs/>
          <w:szCs w:val="24"/>
        </w:rPr>
        <w:t xml:space="preserve">Hellera ķīļlapi </w:t>
      </w:r>
      <w:r w:rsidRPr="00675182">
        <w:rPr>
          <w:rFonts w:cs="Times New Roman"/>
          <w:bCs/>
          <w:i/>
          <w:iCs/>
          <w:szCs w:val="24"/>
        </w:rPr>
        <w:t>Anastrophyllum hellerianum</w:t>
      </w:r>
      <w:r w:rsidRPr="00675182">
        <w:rPr>
          <w:rFonts w:cs="Times New Roman"/>
          <w:bCs/>
          <w:szCs w:val="24"/>
        </w:rPr>
        <w:t xml:space="preserve">, sašaurināto bārdlapi </w:t>
      </w:r>
      <w:r w:rsidRPr="00675182">
        <w:rPr>
          <w:rFonts w:cs="Times New Roman"/>
          <w:bCs/>
          <w:i/>
          <w:iCs/>
          <w:szCs w:val="24"/>
        </w:rPr>
        <w:t>Barbilophozia attenuata</w:t>
      </w:r>
      <w:r w:rsidRPr="00675182">
        <w:rPr>
          <w:rFonts w:cs="Times New Roman"/>
          <w:bCs/>
          <w:szCs w:val="24"/>
        </w:rPr>
        <w:t xml:space="preserve"> ir papildināti ar informāciju, kas iegūta </w:t>
      </w:r>
      <w:r w:rsidR="00FA766F">
        <w:rPr>
          <w:rFonts w:cs="Times New Roman"/>
          <w:bCs/>
          <w:szCs w:val="24"/>
        </w:rPr>
        <w:t>MAP</w:t>
      </w:r>
      <w:r w:rsidRPr="00675182">
        <w:rPr>
          <w:rFonts w:cs="Times New Roman"/>
          <w:bCs/>
          <w:szCs w:val="24"/>
        </w:rPr>
        <w:t xml:space="preserve"> izstrādes laikā un publicēta portālā Dabasdati.lv, tāpēc būtiski pieaugusi informācija par sugu sastopamību GNP teritorijā. </w:t>
      </w:r>
    </w:p>
    <w:p w14:paraId="4850275B" w14:textId="77777777" w:rsidR="00EB6749" w:rsidRPr="00675182" w:rsidRDefault="00EB6749" w:rsidP="00EB6749">
      <w:pPr>
        <w:jc w:val="both"/>
        <w:rPr>
          <w:rFonts w:cs="Times New Roman"/>
          <w:bCs/>
          <w:szCs w:val="24"/>
        </w:rPr>
      </w:pPr>
    </w:p>
    <w:p w14:paraId="77E3EFEC" w14:textId="771620E2" w:rsidR="00EB6749" w:rsidRPr="00675182" w:rsidRDefault="00EB6749" w:rsidP="00EB6749">
      <w:pPr>
        <w:jc w:val="both"/>
        <w:rPr>
          <w:rFonts w:eastAsia="Times New Roman" w:cs="Times New Roman"/>
          <w:bCs/>
          <w:szCs w:val="24"/>
          <w:lang w:eastAsia="lv-LV"/>
        </w:rPr>
      </w:pPr>
      <w:r w:rsidRPr="00675182">
        <w:rPr>
          <w:rFonts w:cs="Times New Roman"/>
          <w:szCs w:val="24"/>
        </w:rPr>
        <w:t xml:space="preserve">Pārbaudītas arī ziņas, kur bijušas šaubas par sugu noteikšanas pareizību un no saraksta izslēgtas sugas, kas izrādījušās kļūdaini noteiktas, piemēram,  ēnāja smalkstāvaine </w:t>
      </w:r>
      <w:r w:rsidRPr="00675182">
        <w:rPr>
          <w:rFonts w:cs="Times New Roman"/>
          <w:i/>
          <w:iCs/>
          <w:szCs w:val="24"/>
        </w:rPr>
        <w:t>Hylocomiastrum umbratum</w:t>
      </w:r>
      <w:r w:rsidRPr="00675182">
        <w:rPr>
          <w:rFonts w:cs="Times New Roman"/>
          <w:szCs w:val="24"/>
        </w:rPr>
        <w:t xml:space="preserve"> Līgatnes gravā pie Ķempjiem, avoksnājā. A.Opmanis pārbaudot dabā 2020.10.13. sugu nav konstatējis, bet norādītajā vietā aug netipiski slaida un daudz zarota </w:t>
      </w:r>
      <w:r w:rsidRPr="00675182">
        <w:rPr>
          <w:rFonts w:cs="Times New Roman"/>
          <w:i/>
          <w:iCs/>
          <w:szCs w:val="24"/>
        </w:rPr>
        <w:t>Brachythecium rivulare</w:t>
      </w:r>
      <w:r w:rsidRPr="00675182">
        <w:rPr>
          <w:rFonts w:cs="Times New Roman"/>
          <w:szCs w:val="24"/>
        </w:rPr>
        <w:t>. I. Kukāre 2020.gadā veikusi vairāku viļņainā</w:t>
      </w:r>
      <w:r w:rsidR="00454A6E">
        <w:rPr>
          <w:rFonts w:cs="Times New Roman"/>
          <w:szCs w:val="24"/>
        </w:rPr>
        <w:t>s</w:t>
      </w:r>
      <w:r w:rsidRPr="00675182">
        <w:rPr>
          <w:rFonts w:cs="Times New Roman"/>
          <w:szCs w:val="24"/>
        </w:rPr>
        <w:t xml:space="preserve"> nekera</w:t>
      </w:r>
      <w:r w:rsidR="00454A6E">
        <w:rPr>
          <w:rFonts w:cs="Times New Roman"/>
          <w:szCs w:val="24"/>
        </w:rPr>
        <w:t>s</w:t>
      </w:r>
      <w:r w:rsidRPr="00675182">
        <w:rPr>
          <w:rFonts w:cs="Times New Roman"/>
          <w:szCs w:val="24"/>
        </w:rPr>
        <w:t xml:space="preserve"> </w:t>
      </w:r>
      <w:r w:rsidRPr="00675182">
        <w:rPr>
          <w:rFonts w:eastAsia="Times New Roman" w:cs="Times New Roman"/>
          <w:bCs/>
          <w:i/>
          <w:iCs/>
          <w:szCs w:val="24"/>
          <w:lang w:eastAsia="lv-LV"/>
        </w:rPr>
        <w:t>Exsertotheca crispa</w:t>
      </w:r>
      <w:bookmarkStart w:id="81" w:name="_Hlt464986619"/>
      <w:bookmarkEnd w:id="81"/>
      <w:r w:rsidRPr="00675182">
        <w:rPr>
          <w:rFonts w:eastAsia="Times New Roman" w:cs="Times New Roman"/>
          <w:bCs/>
          <w:szCs w:val="24"/>
          <w:lang w:eastAsia="lv-LV"/>
        </w:rPr>
        <w:t xml:space="preserve"> (iepriekš </w:t>
      </w:r>
      <w:r w:rsidRPr="00675182">
        <w:rPr>
          <w:rFonts w:cs="Times New Roman"/>
          <w:bCs/>
          <w:i/>
          <w:iCs/>
          <w:szCs w:val="24"/>
        </w:rPr>
        <w:t>Neckera crispa</w:t>
      </w:r>
      <w:r w:rsidRPr="00675182">
        <w:rPr>
          <w:rFonts w:eastAsia="Times New Roman" w:cs="Times New Roman"/>
          <w:bCs/>
          <w:szCs w:val="24"/>
          <w:lang w:eastAsia="lv-LV"/>
        </w:rPr>
        <w:t>) pārbaudi dabā un konstatējusi, ka ne dabā, ne sarunās ar sugu konstatējušo eksperti nav gūti pierādījumi sugas klātbūtnei GNP, visos gadījumos ticams, ka bijusi domāta DMB suga īssetas nekera.  Viļņainā nekera, kā pārrakstīšanās kļūda</w:t>
      </w:r>
      <w:r w:rsidR="00454A6E">
        <w:rPr>
          <w:rFonts w:eastAsia="Times New Roman" w:cs="Times New Roman"/>
          <w:bCs/>
          <w:szCs w:val="24"/>
          <w:lang w:eastAsia="lv-LV"/>
        </w:rPr>
        <w:t>,</w:t>
      </w:r>
      <w:r w:rsidRPr="00675182">
        <w:rPr>
          <w:rFonts w:eastAsia="Times New Roman" w:cs="Times New Roman"/>
          <w:bCs/>
          <w:szCs w:val="24"/>
          <w:lang w:eastAsia="lv-LV"/>
        </w:rPr>
        <w:t xml:space="preserve"> pildot elekronisko anketu, parādās arī vienā 2020.g. apsekotā mežā. </w:t>
      </w:r>
    </w:p>
    <w:p w14:paraId="145EFDAD" w14:textId="77777777" w:rsidR="00EB6749" w:rsidRPr="00675182" w:rsidRDefault="00EB6749" w:rsidP="00EB6749">
      <w:pPr>
        <w:jc w:val="both"/>
        <w:rPr>
          <w:rFonts w:eastAsia="Times New Roman" w:cs="Times New Roman"/>
          <w:bCs/>
          <w:szCs w:val="24"/>
          <w:lang w:eastAsia="lv-LV"/>
        </w:rPr>
      </w:pPr>
    </w:p>
    <w:p w14:paraId="48BBC9BC" w14:textId="53EFBEAA" w:rsidR="00EB6749" w:rsidRPr="00675182" w:rsidRDefault="00EB6749" w:rsidP="00EB6749">
      <w:pPr>
        <w:jc w:val="both"/>
        <w:rPr>
          <w:rFonts w:eastAsia="Times New Roman" w:cs="Times New Roman"/>
          <w:szCs w:val="24"/>
          <w:lang w:eastAsia="lv-LV"/>
        </w:rPr>
      </w:pPr>
      <w:r w:rsidRPr="00675182">
        <w:rPr>
          <w:rFonts w:eastAsia="Times New Roman" w:cs="Times New Roman"/>
          <w:szCs w:val="24"/>
          <w:lang w:eastAsia="lv-LV"/>
        </w:rPr>
        <w:t xml:space="preserve">Plāna izstrādes būtiski pieaudzis zaļās buksbaumijas </w:t>
      </w:r>
      <w:r w:rsidRPr="00675182">
        <w:rPr>
          <w:rFonts w:eastAsia="Times New Roman" w:cs="Times New Roman"/>
          <w:i/>
          <w:iCs/>
          <w:szCs w:val="24"/>
          <w:lang w:eastAsia="lv-LV"/>
        </w:rPr>
        <w:t>Buxbaumia viridis</w:t>
      </w:r>
      <w:r w:rsidRPr="00675182">
        <w:rPr>
          <w:rFonts w:eastAsia="Times New Roman" w:cs="Times New Roman"/>
          <w:szCs w:val="24"/>
          <w:lang w:eastAsia="lv-LV"/>
        </w:rPr>
        <w:t xml:space="preserve"> reģistrējumu skaits. Zaļā buksbaumija ir slēpta dzīves veida zaļsūna. Tā neveido patstāvīgu lapotu stublāju, pēc kura būtu atpazīstama, bet eksistē kā fotosintezējoša protonēma uz stipri satrūdējušas skujkoku (galvenokārt egles) koksnes, kļūstot ieraugāma vienīgi izaugot sporu vācelītēm. Pēdējos gados Eiropā veikti pētījumi rāda, ka buksbaumijas klātbūtne konstatējama arī pēc protonēmas vairķermenīšu sakopojumiem uz piemērota substrāta. Šī sugas identificēšanas metode Latvijā tiek izmantota kopš 2020. gada, kā rezultātā valstī zināmo atradņu skaits audzis no 11 atradnēm 2019. gadā līdz aptuveni 160 atradnēm 2022. gada oktobrī. GNP pašreiz zināmas 49 atradnes, uzrādot to par nozīmīgāko Natura 2000 teritoriju valstī zaļās buksbaumijas saglabāšanai ar ļoti lielu piemērotu biotopu platību. Egļu mežu saskares josla ar pietiekami izteiktu Atlantiskā klimata ietekmi un daudzo avotu un strautu esamība nodrošina augšanai optimālu klimatu un substrātu. Varam pieņemt, ka turpmāk zaļā buksbaumija tiks atrasta vēl daudzās vietās GNP un pašreiz apzināta tik</w:t>
      </w:r>
      <w:r w:rsidR="00454A6E">
        <w:rPr>
          <w:rFonts w:eastAsia="Times New Roman" w:cs="Times New Roman"/>
          <w:szCs w:val="24"/>
          <w:lang w:eastAsia="lv-LV"/>
        </w:rPr>
        <w:t>a</w:t>
      </w:r>
      <w:r w:rsidRPr="00675182">
        <w:rPr>
          <w:rFonts w:eastAsia="Times New Roman" w:cs="Times New Roman"/>
          <w:szCs w:val="24"/>
          <w:lang w:eastAsia="lv-LV"/>
        </w:rPr>
        <w:t>i neliela atradņu daļa.</w:t>
      </w:r>
    </w:p>
    <w:p w14:paraId="0199C5E6" w14:textId="0349C16E" w:rsidR="00A20129" w:rsidRPr="00675182" w:rsidRDefault="00A20129" w:rsidP="00E752AD">
      <w:pPr>
        <w:jc w:val="both"/>
        <w:rPr>
          <w:rFonts w:cstheme="minorHAnsi"/>
          <w:bCs/>
          <w:szCs w:val="24"/>
        </w:rPr>
      </w:pPr>
    </w:p>
    <w:p w14:paraId="3F8E4745" w14:textId="73CDA2CD" w:rsidR="00A20129" w:rsidRPr="00675182" w:rsidRDefault="00A20129" w:rsidP="00A20129">
      <w:pPr>
        <w:suppressAutoHyphens w:val="0"/>
        <w:autoSpaceDE w:val="0"/>
        <w:autoSpaceDN w:val="0"/>
        <w:adjustRightInd w:val="0"/>
        <w:contextualSpacing/>
        <w:jc w:val="both"/>
        <w:rPr>
          <w:rFonts w:cstheme="minorHAnsi"/>
          <w:szCs w:val="24"/>
        </w:rPr>
      </w:pPr>
      <w:r w:rsidRPr="00675182">
        <w:rPr>
          <w:rFonts w:cstheme="minorHAnsi"/>
          <w:bCs/>
          <w:szCs w:val="24"/>
        </w:rPr>
        <w:t xml:space="preserve">Informācija par ES nozīmes </w:t>
      </w:r>
      <w:r w:rsidR="00D01C27">
        <w:rPr>
          <w:rFonts w:cstheme="minorHAnsi"/>
          <w:bCs/>
          <w:szCs w:val="24"/>
        </w:rPr>
        <w:t>ĪA</w:t>
      </w:r>
      <w:r w:rsidRPr="00675182">
        <w:rPr>
          <w:rFonts w:cstheme="minorHAnsi"/>
          <w:bCs/>
          <w:szCs w:val="24"/>
        </w:rPr>
        <w:t xml:space="preserve"> sūnu sugām ir apkopota 2.4.3. tabulā. Detalizēta informācija par </w:t>
      </w:r>
      <w:r w:rsidR="002143E3">
        <w:rPr>
          <w:rFonts w:cstheme="minorHAnsi"/>
          <w:bCs/>
          <w:szCs w:val="24"/>
        </w:rPr>
        <w:t>ĪA</w:t>
      </w:r>
      <w:r w:rsidRPr="00675182">
        <w:rPr>
          <w:rFonts w:cstheme="minorHAnsi"/>
          <w:bCs/>
          <w:szCs w:val="24"/>
        </w:rPr>
        <w:t xml:space="preserve"> </w:t>
      </w:r>
      <w:r w:rsidR="002143E3">
        <w:rPr>
          <w:rFonts w:cstheme="minorHAnsi"/>
          <w:bCs/>
          <w:szCs w:val="24"/>
        </w:rPr>
        <w:t>sūnu</w:t>
      </w:r>
      <w:r w:rsidR="002143E3" w:rsidRPr="00675182">
        <w:rPr>
          <w:rFonts w:cstheme="minorHAnsi"/>
          <w:bCs/>
          <w:szCs w:val="24"/>
        </w:rPr>
        <w:t xml:space="preserve"> </w:t>
      </w:r>
      <w:r w:rsidRPr="00675182">
        <w:rPr>
          <w:rFonts w:cstheme="minorHAnsi"/>
          <w:bCs/>
          <w:szCs w:val="24"/>
        </w:rPr>
        <w:t xml:space="preserve">sugām ir apkopota 11. pielikumā. </w:t>
      </w:r>
    </w:p>
    <w:p w14:paraId="42E60109" w14:textId="77777777" w:rsidR="00E752AD" w:rsidRPr="00675182" w:rsidRDefault="00E752AD" w:rsidP="00E752AD">
      <w:pPr>
        <w:jc w:val="both"/>
        <w:rPr>
          <w:rFonts w:cstheme="minorHAnsi"/>
          <w:b/>
          <w:szCs w:val="24"/>
        </w:rPr>
      </w:pPr>
    </w:p>
    <w:p w14:paraId="0CC27CEE" w14:textId="77777777" w:rsidR="00E752AD" w:rsidRPr="00675182" w:rsidRDefault="00E752AD" w:rsidP="00EB6749">
      <w:pPr>
        <w:keepNext/>
        <w:keepLines/>
        <w:jc w:val="both"/>
        <w:rPr>
          <w:rFonts w:cstheme="minorHAnsi"/>
          <w:b/>
          <w:szCs w:val="24"/>
        </w:rPr>
      </w:pPr>
      <w:r w:rsidRPr="00675182">
        <w:rPr>
          <w:rFonts w:cstheme="minorHAnsi"/>
          <w:b/>
          <w:szCs w:val="24"/>
        </w:rPr>
        <w:t xml:space="preserve">Sociālekonomiskā vērtība </w:t>
      </w:r>
    </w:p>
    <w:p w14:paraId="1C3F74F4" w14:textId="565105C2" w:rsidR="00E752AD" w:rsidRPr="00675182" w:rsidRDefault="00E752AD" w:rsidP="00EB6749">
      <w:pPr>
        <w:keepNext/>
        <w:keepLines/>
        <w:jc w:val="both"/>
        <w:rPr>
          <w:rFonts w:cstheme="minorHAnsi"/>
        </w:rPr>
      </w:pPr>
      <w:r w:rsidRPr="00675182">
        <w:rPr>
          <w:rFonts w:cstheme="minorHAnsi"/>
        </w:rPr>
        <w:t xml:space="preserve">Retajām un aizsargājamajām sūnu sugām </w:t>
      </w:r>
      <w:r w:rsidR="00391768" w:rsidRPr="00675182">
        <w:rPr>
          <w:rFonts w:cstheme="minorHAnsi"/>
        </w:rPr>
        <w:t>GNP</w:t>
      </w:r>
      <w:r w:rsidRPr="00675182">
        <w:rPr>
          <w:rFonts w:cstheme="minorHAnsi"/>
        </w:rPr>
        <w:t xml:space="preserve"> nav tiešas sociālekonomiskās vērtības. Teritorija visveiksmīgāk izmantojama zinātniskajā izpētē, jo salīdzinoši viegli pieejamā platībā koncentrētas daudzas retas sugas. </w:t>
      </w:r>
    </w:p>
    <w:p w14:paraId="7D56D4C4" w14:textId="77777777" w:rsidR="00391768" w:rsidRPr="00675182" w:rsidRDefault="00391768" w:rsidP="00E752AD">
      <w:pPr>
        <w:jc w:val="both"/>
        <w:rPr>
          <w:rFonts w:cstheme="minorHAnsi"/>
        </w:rPr>
      </w:pPr>
    </w:p>
    <w:p w14:paraId="49767AD9" w14:textId="072D559F" w:rsidR="00E752AD" w:rsidRPr="00675182" w:rsidRDefault="00E752AD" w:rsidP="00E752AD">
      <w:pPr>
        <w:jc w:val="both"/>
        <w:rPr>
          <w:rFonts w:cstheme="minorHAnsi"/>
        </w:rPr>
      </w:pPr>
      <w:r w:rsidRPr="00675182">
        <w:rPr>
          <w:rFonts w:cstheme="minorHAnsi"/>
        </w:rPr>
        <w:t>Atsegumi ir nozīmīga sūnu sugu augtenei, kur iespējama liela izpētes un izglītojošā vērtība. Vieglā teritorijas sasniedzamība un daudzveidīgo biotopu samērā labā pieejamība ļauj veidot izcilas sūnu izzinošas un izglītojošas nodarbības.</w:t>
      </w:r>
    </w:p>
    <w:p w14:paraId="713A7652" w14:textId="77777777" w:rsidR="00391768" w:rsidRPr="00675182" w:rsidRDefault="00391768" w:rsidP="00E752AD">
      <w:pPr>
        <w:jc w:val="both"/>
        <w:rPr>
          <w:rFonts w:cstheme="minorHAnsi"/>
        </w:rPr>
      </w:pPr>
    </w:p>
    <w:p w14:paraId="6153B83D" w14:textId="6ADA2584" w:rsidR="00E752AD" w:rsidRPr="00675182" w:rsidRDefault="00E752AD" w:rsidP="00E752AD">
      <w:pPr>
        <w:jc w:val="both"/>
        <w:rPr>
          <w:rFonts w:cstheme="minorHAnsi"/>
        </w:rPr>
      </w:pPr>
      <w:r w:rsidRPr="00675182">
        <w:rPr>
          <w:rFonts w:cstheme="minorHAnsi"/>
        </w:rPr>
        <w:lastRenderedPageBreak/>
        <w:t xml:space="preserve">Teritorijā ir purvi un meži ar sfagnu sūnām. Sfagnus kādreiz izmantoja būvniecībā, bet sfagnu kūdru dedzināšanai, pakaišiem, u.c. Lai gan sfagni teritorijā ir samērā bieži sastopami, tomēr jebkāda to izmantošana iznīcinātu daudzu konstatēto reto sugu dzīves vidi un tāpēc nav iespējama (negatīvā ietekme pārsniedz ieguvumu). </w:t>
      </w:r>
    </w:p>
    <w:p w14:paraId="4DDE315D" w14:textId="77777777" w:rsidR="00391768" w:rsidRPr="00675182" w:rsidRDefault="00391768" w:rsidP="00E752AD">
      <w:pPr>
        <w:jc w:val="both"/>
        <w:rPr>
          <w:rFonts w:cstheme="minorHAnsi"/>
        </w:rPr>
      </w:pPr>
    </w:p>
    <w:p w14:paraId="381506E1" w14:textId="77777777" w:rsidR="00E752AD" w:rsidRPr="00675182" w:rsidRDefault="00E752AD" w:rsidP="00E752AD">
      <w:pPr>
        <w:jc w:val="both"/>
        <w:rPr>
          <w:rFonts w:cstheme="minorHAnsi"/>
          <w:b/>
          <w:szCs w:val="24"/>
        </w:rPr>
      </w:pPr>
      <w:bookmarkStart w:id="82" w:name="_Hlk97908452"/>
      <w:r w:rsidRPr="00675182">
        <w:rPr>
          <w:rFonts w:cstheme="minorHAnsi"/>
          <w:b/>
          <w:szCs w:val="24"/>
        </w:rPr>
        <w:t>Ietekmējošie faktori</w:t>
      </w:r>
    </w:p>
    <w:p w14:paraId="6F37F098" w14:textId="77777777" w:rsidR="00391768" w:rsidRPr="00675182" w:rsidRDefault="00E752AD" w:rsidP="00E752AD">
      <w:pPr>
        <w:jc w:val="both"/>
        <w:rPr>
          <w:rFonts w:cstheme="minorHAnsi"/>
          <w:szCs w:val="24"/>
        </w:rPr>
      </w:pPr>
      <w:r w:rsidRPr="00675182">
        <w:rPr>
          <w:rFonts w:cstheme="minorHAnsi"/>
          <w:szCs w:val="24"/>
        </w:rPr>
        <w:t xml:space="preserve">Purvos un avotainās vietās </w:t>
      </w:r>
      <w:r w:rsidR="00391768" w:rsidRPr="00675182">
        <w:rPr>
          <w:rFonts w:cstheme="minorHAnsi"/>
          <w:szCs w:val="24"/>
        </w:rPr>
        <w:t xml:space="preserve">sūnu sugas </w:t>
      </w:r>
      <w:r w:rsidRPr="00675182">
        <w:rPr>
          <w:rFonts w:cstheme="minorHAnsi"/>
          <w:szCs w:val="24"/>
        </w:rPr>
        <w:t>nelabvēlīg</w:t>
      </w:r>
      <w:r w:rsidR="00391768" w:rsidRPr="00675182">
        <w:rPr>
          <w:rFonts w:cstheme="minorHAnsi"/>
          <w:szCs w:val="24"/>
        </w:rPr>
        <w:t>i ietekmē</w:t>
      </w:r>
      <w:r w:rsidRPr="00675182">
        <w:rPr>
          <w:rFonts w:cstheme="minorHAnsi"/>
          <w:szCs w:val="24"/>
        </w:rPr>
        <w:t xml:space="preserve"> pastiprināta izmīdīšana. </w:t>
      </w:r>
    </w:p>
    <w:p w14:paraId="71B12ACB" w14:textId="77777777" w:rsidR="00391768" w:rsidRPr="00675182" w:rsidRDefault="00391768" w:rsidP="00E752AD">
      <w:pPr>
        <w:jc w:val="both"/>
        <w:rPr>
          <w:rFonts w:cstheme="minorHAnsi"/>
          <w:szCs w:val="24"/>
        </w:rPr>
      </w:pPr>
    </w:p>
    <w:p w14:paraId="35DD0288" w14:textId="5015DC4C" w:rsidR="00391768" w:rsidRPr="00675182" w:rsidRDefault="00E752AD" w:rsidP="00E752AD">
      <w:pPr>
        <w:jc w:val="both"/>
        <w:rPr>
          <w:rFonts w:cstheme="minorHAnsi"/>
          <w:szCs w:val="24"/>
        </w:rPr>
      </w:pPr>
      <w:r w:rsidRPr="00675182">
        <w:rPr>
          <w:rFonts w:cstheme="minorHAnsi"/>
          <w:szCs w:val="24"/>
        </w:rPr>
        <w:t xml:space="preserve">Mežos, īpaši nogāžu un gravu mežos tūrisma objektu apkārtnē ir izteikta vēlme izvākt sasvērušos kokus un mirušo koksni, kas var apdraudēt potenciālos apmeklētājus un arī pārprastu estētisku iemeslu dēļ. Dažādu dimensiju un sugu mirusī koksne ir nozīmīgs substrāts epiksīlajām sūnām. Dzīvi augoši nolīkuši (slīpi) koki ir piemērotāki epifītajām sūnām nekā pilnīgi taisni stumbri. </w:t>
      </w:r>
    </w:p>
    <w:p w14:paraId="57334BD6" w14:textId="77777777" w:rsidR="00391768" w:rsidRPr="00675182" w:rsidRDefault="00391768" w:rsidP="00E752AD">
      <w:pPr>
        <w:jc w:val="both"/>
        <w:rPr>
          <w:rFonts w:cstheme="minorHAnsi"/>
          <w:szCs w:val="24"/>
        </w:rPr>
      </w:pPr>
    </w:p>
    <w:p w14:paraId="19B5B371" w14:textId="32EB8FC1" w:rsidR="00E752AD" w:rsidRPr="00675182" w:rsidRDefault="00E752AD" w:rsidP="00E752AD">
      <w:pPr>
        <w:jc w:val="both"/>
        <w:rPr>
          <w:rFonts w:cstheme="minorHAnsi"/>
        </w:rPr>
      </w:pPr>
      <w:r w:rsidRPr="00675182">
        <w:rPr>
          <w:rFonts w:cstheme="minorHAnsi"/>
          <w:szCs w:val="24"/>
        </w:rPr>
        <w:t xml:space="preserve">Sfagnu sastopamība samazinās nosusinātajos purvs un mežos. </w:t>
      </w:r>
      <w:r w:rsidRPr="00675182">
        <w:rPr>
          <w:rFonts w:cstheme="minorHAnsi"/>
        </w:rPr>
        <w:t xml:space="preserve">Daļa </w:t>
      </w:r>
      <w:r w:rsidR="00CD689F">
        <w:rPr>
          <w:rFonts w:cstheme="minorHAnsi"/>
        </w:rPr>
        <w:t>ĪA</w:t>
      </w:r>
      <w:r w:rsidRPr="00675182">
        <w:rPr>
          <w:rFonts w:cstheme="minorHAnsi"/>
        </w:rPr>
        <w:t xml:space="preserve"> sugu ir dabisku meža biotopu speciālisti un indikatorsugas, kas saistītas ar neskartiem vai maz ietekmētiem nogāžu un gravu, kā arī boreālajiem mežiem. Sūnu aizsardzība šādos m</w:t>
      </w:r>
      <w:r w:rsidRPr="00675182">
        <w:rPr>
          <w:rFonts w:cstheme="minorHAnsi"/>
          <w:szCs w:val="24"/>
        </w:rPr>
        <w:t xml:space="preserve">ežos, iežu atsegumu, purvu, ezeru biotopos </w:t>
      </w:r>
      <w:r w:rsidR="00391768" w:rsidRPr="00675182">
        <w:rPr>
          <w:rFonts w:cstheme="minorHAnsi"/>
          <w:szCs w:val="24"/>
        </w:rPr>
        <w:t>ir tieši saistīta</w:t>
      </w:r>
      <w:r w:rsidRPr="00675182">
        <w:rPr>
          <w:rFonts w:cstheme="minorHAnsi"/>
          <w:szCs w:val="24"/>
        </w:rPr>
        <w:t xml:space="preserve"> ar šos biotopu saglabāšanu labā aizsardzības stāvoklī. </w:t>
      </w:r>
    </w:p>
    <w:bookmarkEnd w:id="82"/>
    <w:p w14:paraId="3DE26BC2" w14:textId="77777777" w:rsidR="00391768" w:rsidRPr="00675182" w:rsidRDefault="00391768" w:rsidP="00385CDA">
      <w:pPr>
        <w:rPr>
          <w:rFonts w:cstheme="minorHAnsi"/>
          <w:sz w:val="20"/>
          <w:szCs w:val="24"/>
        </w:rPr>
        <w:sectPr w:rsidR="00391768" w:rsidRPr="00675182" w:rsidSect="00D9486D">
          <w:headerReference w:type="default" r:id="rId232"/>
          <w:pgSz w:w="11905" w:h="16837"/>
          <w:pgMar w:top="1440" w:right="1797" w:bottom="1440" w:left="1797" w:header="720" w:footer="720" w:gutter="0"/>
          <w:cols w:space="720"/>
          <w:docGrid w:linePitch="360"/>
        </w:sectPr>
      </w:pPr>
    </w:p>
    <w:p w14:paraId="0ADBA0FA" w14:textId="325D6EAB" w:rsidR="00AB4839" w:rsidRPr="00675182" w:rsidRDefault="00AB4839" w:rsidP="00AB4839">
      <w:pPr>
        <w:pStyle w:val="BodyText"/>
        <w:spacing w:after="0"/>
        <w:rPr>
          <w:rFonts w:cstheme="minorHAnsi"/>
          <w:b/>
          <w:i/>
          <w:lang w:val="lv-LV"/>
        </w:rPr>
      </w:pPr>
      <w:bookmarkStart w:id="83" w:name="_Hlk129003296"/>
      <w:r w:rsidRPr="00675182">
        <w:rPr>
          <w:rFonts w:cstheme="minorHAnsi"/>
          <w:b/>
          <w:i/>
          <w:lang w:val="lv-LV"/>
        </w:rPr>
        <w:lastRenderedPageBreak/>
        <w:t>2.</w:t>
      </w:r>
      <w:r w:rsidR="00780B83" w:rsidRPr="00675182">
        <w:rPr>
          <w:rFonts w:cstheme="minorHAnsi"/>
          <w:b/>
          <w:i/>
          <w:lang w:val="lv-LV"/>
        </w:rPr>
        <w:t>4.3</w:t>
      </w:r>
      <w:r w:rsidRPr="00675182">
        <w:rPr>
          <w:rFonts w:cstheme="minorHAnsi"/>
          <w:b/>
          <w:i/>
          <w:lang w:val="lv-LV"/>
        </w:rPr>
        <w:t>.</w:t>
      </w:r>
      <w:r w:rsidR="00337B09">
        <w:rPr>
          <w:rFonts w:cstheme="minorHAnsi"/>
          <w:b/>
          <w:i/>
          <w:lang w:val="lv-LV"/>
        </w:rPr>
        <w:t>A.</w:t>
      </w:r>
      <w:r w:rsidRPr="00675182">
        <w:rPr>
          <w:rFonts w:cstheme="minorHAnsi"/>
          <w:b/>
          <w:i/>
          <w:lang w:val="lv-LV"/>
        </w:rPr>
        <w:t xml:space="preserve"> tabula.</w:t>
      </w:r>
      <w:r w:rsidR="00A20129" w:rsidRPr="00675182">
        <w:rPr>
          <w:rFonts w:cstheme="minorHAnsi"/>
          <w:b/>
          <w:i/>
          <w:lang w:val="lv-LV"/>
        </w:rPr>
        <w:t xml:space="preserve"> </w:t>
      </w:r>
      <w:r w:rsidR="00C333A9" w:rsidRPr="00675182">
        <w:rPr>
          <w:rFonts w:cstheme="minorHAnsi"/>
          <w:b/>
          <w:i/>
          <w:lang w:val="lv-LV"/>
        </w:rPr>
        <w:t>GNP konstatētās Eiropā aizsargājamās sūnu sugas un to aizsardzības statuss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441"/>
        <w:gridCol w:w="2095"/>
        <w:gridCol w:w="1654"/>
        <w:gridCol w:w="1331"/>
        <w:gridCol w:w="2061"/>
        <w:gridCol w:w="3604"/>
      </w:tblGrid>
      <w:tr w:rsidR="00AB4839" w:rsidRPr="00675182" w14:paraId="453E6ADA" w14:textId="77777777" w:rsidTr="00AB4839">
        <w:trPr>
          <w:trHeight w:val="615"/>
          <w:tblHeader/>
        </w:trPr>
        <w:tc>
          <w:tcPr>
            <w:tcW w:w="273"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26BB3ADD" w14:textId="77777777" w:rsidR="00AB4839" w:rsidRPr="00675182" w:rsidRDefault="00AB4839">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N.p.k.</w:t>
            </w:r>
          </w:p>
        </w:tc>
        <w:tc>
          <w:tcPr>
            <w:tcW w:w="875"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77CDF1EB" w14:textId="77777777" w:rsidR="00AB4839" w:rsidRPr="00675182" w:rsidRDefault="00AB4839">
            <w:pPr>
              <w:suppressAutoHyphens w:val="0"/>
              <w:jc w:val="center"/>
              <w:rPr>
                <w:rFonts w:eastAsia="Times New Roman" w:cstheme="minorHAnsi"/>
                <w:b/>
                <w:bCs/>
                <w:color w:val="000000"/>
                <w:sz w:val="22"/>
                <w:szCs w:val="22"/>
                <w:lang w:eastAsia="en-GB"/>
              </w:rPr>
            </w:pPr>
            <w:r w:rsidRPr="00675182">
              <w:rPr>
                <w:rFonts w:eastAsia="Times New Roman" w:cstheme="minorHAnsi"/>
                <w:b/>
                <w:color w:val="000000"/>
                <w:sz w:val="22"/>
                <w:szCs w:val="22"/>
                <w:lang w:eastAsia="en-GB"/>
              </w:rPr>
              <w:t>Sugas nosaukums latviski</w:t>
            </w:r>
          </w:p>
        </w:tc>
        <w:tc>
          <w:tcPr>
            <w:tcW w:w="751"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32C6C912" w14:textId="77777777" w:rsidR="00AB4839" w:rsidRPr="00675182" w:rsidRDefault="00AB4839">
            <w:pPr>
              <w:suppressAutoHyphens w:val="0"/>
              <w:jc w:val="center"/>
              <w:rPr>
                <w:rFonts w:eastAsia="Times New Roman" w:cstheme="minorHAnsi"/>
                <w:b/>
                <w:bCs/>
                <w:color w:val="000000"/>
                <w:sz w:val="22"/>
                <w:szCs w:val="22"/>
                <w:lang w:eastAsia="en-GB"/>
              </w:rPr>
            </w:pPr>
            <w:r w:rsidRPr="00675182">
              <w:rPr>
                <w:rFonts w:eastAsia="Times New Roman" w:cstheme="minorHAnsi"/>
                <w:b/>
                <w:color w:val="000000"/>
                <w:sz w:val="22"/>
                <w:szCs w:val="22"/>
                <w:lang w:eastAsia="en-GB"/>
              </w:rPr>
              <w:t>Sugas nosaukums latīniski</w:t>
            </w:r>
          </w:p>
        </w:tc>
        <w:tc>
          <w:tcPr>
            <w:tcW w:w="593"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0F1C8565" w14:textId="77777777" w:rsidR="00AB4839" w:rsidRPr="00675182" w:rsidRDefault="00AB4839">
            <w:pPr>
              <w:suppressAutoHyphens w:val="0"/>
              <w:jc w:val="center"/>
              <w:rPr>
                <w:rFonts w:eastAsia="Times New Roman" w:cstheme="minorHAnsi"/>
                <w:b/>
                <w:bCs/>
                <w:color w:val="000000"/>
                <w:sz w:val="22"/>
                <w:szCs w:val="22"/>
                <w:lang w:eastAsia="en-GB"/>
              </w:rPr>
            </w:pPr>
            <w:r w:rsidRPr="00675182">
              <w:rPr>
                <w:rFonts w:eastAsia="Times New Roman" w:cstheme="minorHAnsi"/>
                <w:b/>
                <w:bCs/>
                <w:sz w:val="22"/>
                <w:szCs w:val="22"/>
              </w:rPr>
              <w:t>Aizsardzības statuss</w:t>
            </w:r>
          </w:p>
        </w:tc>
        <w:tc>
          <w:tcPr>
            <w:tcW w:w="477"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54361C9A" w14:textId="77777777" w:rsidR="00AB4839" w:rsidRPr="00675182" w:rsidRDefault="00AB4839">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rPr>
              <w:t>Cits statuss</w:t>
            </w:r>
          </w:p>
        </w:tc>
        <w:tc>
          <w:tcPr>
            <w:tcW w:w="739"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3AF42087" w14:textId="77777777" w:rsidR="00AB4839" w:rsidRPr="00675182" w:rsidRDefault="00AB4839">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Sugas labvēlīga aizsardzības stāvokļa novērtējums Latvijā</w:t>
            </w:r>
          </w:p>
        </w:tc>
        <w:tc>
          <w:tcPr>
            <w:tcW w:w="1292"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4290BA0D" w14:textId="77777777" w:rsidR="00AB4839" w:rsidRPr="00675182" w:rsidRDefault="00AB4839">
            <w:pPr>
              <w:suppressAutoHyphens w:val="0"/>
              <w:jc w:val="center"/>
              <w:rPr>
                <w:rFonts w:eastAsia="Times New Roman" w:cstheme="minorHAnsi"/>
                <w:b/>
                <w:bCs/>
                <w:color w:val="000000"/>
                <w:sz w:val="22"/>
                <w:szCs w:val="22"/>
                <w:lang w:eastAsia="en-GB"/>
              </w:rPr>
            </w:pPr>
            <w:r w:rsidRPr="00675182">
              <w:rPr>
                <w:rFonts w:eastAsia="Times New Roman" w:cstheme="minorHAnsi"/>
                <w:b/>
                <w:bCs/>
                <w:color w:val="000000"/>
                <w:sz w:val="22"/>
                <w:szCs w:val="22"/>
                <w:lang w:eastAsia="en-GB"/>
              </w:rPr>
              <w:t>Sugas sastopamība GNP</w:t>
            </w:r>
          </w:p>
        </w:tc>
      </w:tr>
      <w:tr w:rsidR="00DD03EC" w:rsidRPr="00675182" w14:paraId="2CAC191C" w14:textId="77777777" w:rsidTr="00AB4839">
        <w:trPr>
          <w:cantSplit/>
          <w:trHeight w:val="315"/>
        </w:trPr>
        <w:tc>
          <w:tcPr>
            <w:tcW w:w="273" w:type="pct"/>
            <w:tcBorders>
              <w:top w:val="single" w:sz="4" w:space="0" w:color="auto"/>
              <w:left w:val="single" w:sz="4" w:space="0" w:color="auto"/>
              <w:bottom w:val="single" w:sz="4" w:space="0" w:color="auto"/>
              <w:right w:val="single" w:sz="4" w:space="0" w:color="auto"/>
            </w:tcBorders>
            <w:vAlign w:val="center"/>
            <w:hideMark/>
          </w:tcPr>
          <w:p w14:paraId="37D8F5AB" w14:textId="77777777" w:rsidR="00DD03EC" w:rsidRPr="00675182" w:rsidRDefault="00DD03EC" w:rsidP="00DD03EC">
            <w:pPr>
              <w:suppressAutoHyphens w:val="0"/>
              <w:jc w:val="center"/>
              <w:rPr>
                <w:rFonts w:eastAsia="Times New Roman" w:cstheme="minorHAnsi"/>
                <w:color w:val="000000"/>
                <w:sz w:val="22"/>
                <w:szCs w:val="22"/>
                <w:lang w:eastAsia="en-GB"/>
              </w:rPr>
            </w:pPr>
            <w:r w:rsidRPr="00675182">
              <w:rPr>
                <w:rFonts w:cstheme="minorHAnsi"/>
                <w:bCs/>
                <w:color w:val="000000"/>
                <w:sz w:val="22"/>
                <w:szCs w:val="22"/>
              </w:rPr>
              <w:t>1.</w:t>
            </w:r>
          </w:p>
        </w:tc>
        <w:tc>
          <w:tcPr>
            <w:tcW w:w="875" w:type="pct"/>
            <w:tcBorders>
              <w:top w:val="single" w:sz="4" w:space="0" w:color="auto"/>
              <w:left w:val="single" w:sz="4" w:space="0" w:color="auto"/>
              <w:bottom w:val="single" w:sz="4" w:space="0" w:color="auto"/>
              <w:right w:val="single" w:sz="4" w:space="0" w:color="auto"/>
            </w:tcBorders>
            <w:vAlign w:val="center"/>
            <w:hideMark/>
          </w:tcPr>
          <w:p w14:paraId="19556AC7" w14:textId="77777777" w:rsidR="00DD03EC" w:rsidRPr="00675182" w:rsidRDefault="00DD03EC" w:rsidP="00DD03EC">
            <w:pPr>
              <w:suppressAutoHyphens w:val="0"/>
              <w:rPr>
                <w:rFonts w:eastAsia="Times New Roman" w:cstheme="minorHAnsi"/>
                <w:color w:val="000000"/>
                <w:sz w:val="22"/>
                <w:szCs w:val="22"/>
                <w:lang w:eastAsia="en-GB"/>
              </w:rPr>
            </w:pPr>
            <w:r w:rsidRPr="00675182">
              <w:rPr>
                <w:rFonts w:cstheme="minorHAnsi"/>
                <w:color w:val="000000"/>
                <w:sz w:val="22"/>
                <w:szCs w:val="22"/>
              </w:rPr>
              <w:t>Spīdīgā āķīte</w:t>
            </w:r>
          </w:p>
        </w:tc>
        <w:tc>
          <w:tcPr>
            <w:tcW w:w="751" w:type="pct"/>
            <w:tcBorders>
              <w:top w:val="single" w:sz="4" w:space="0" w:color="auto"/>
              <w:left w:val="single" w:sz="4" w:space="0" w:color="auto"/>
              <w:bottom w:val="single" w:sz="4" w:space="0" w:color="auto"/>
              <w:right w:val="single" w:sz="4" w:space="0" w:color="auto"/>
            </w:tcBorders>
            <w:vAlign w:val="center"/>
            <w:hideMark/>
          </w:tcPr>
          <w:p w14:paraId="7CEE1CF8" w14:textId="77777777" w:rsidR="00DD03EC" w:rsidRPr="00675182" w:rsidRDefault="00DD03EC" w:rsidP="00DD03EC">
            <w:pPr>
              <w:suppressAutoHyphens w:val="0"/>
              <w:rPr>
                <w:rFonts w:eastAsia="Times New Roman" w:cstheme="minorHAnsi"/>
                <w:i/>
                <w:iCs/>
                <w:color w:val="000000"/>
                <w:sz w:val="22"/>
                <w:szCs w:val="22"/>
                <w:lang w:eastAsia="en-GB"/>
              </w:rPr>
            </w:pPr>
            <w:r w:rsidRPr="00675182">
              <w:rPr>
                <w:rFonts w:cstheme="minorHAnsi"/>
                <w:i/>
                <w:iCs/>
                <w:color w:val="000000"/>
                <w:sz w:val="22"/>
                <w:szCs w:val="22"/>
              </w:rPr>
              <w:t>Hamatocaulis (Drepanocladus) vernicosus</w:t>
            </w:r>
          </w:p>
        </w:tc>
        <w:tc>
          <w:tcPr>
            <w:tcW w:w="593" w:type="pct"/>
            <w:tcBorders>
              <w:top w:val="single" w:sz="4" w:space="0" w:color="auto"/>
              <w:left w:val="single" w:sz="4" w:space="0" w:color="auto"/>
              <w:bottom w:val="single" w:sz="4" w:space="0" w:color="auto"/>
              <w:right w:val="single" w:sz="4" w:space="0" w:color="auto"/>
            </w:tcBorders>
            <w:vAlign w:val="center"/>
            <w:hideMark/>
          </w:tcPr>
          <w:p w14:paraId="55DA5DA3" w14:textId="77777777" w:rsidR="00DD03EC" w:rsidRPr="00675182" w:rsidRDefault="00DD03EC" w:rsidP="00DD03EC">
            <w:pPr>
              <w:suppressAutoHyphens w:val="0"/>
              <w:jc w:val="center"/>
              <w:rPr>
                <w:rFonts w:eastAsia="Times New Roman" w:cstheme="minorHAnsi"/>
                <w:color w:val="000000"/>
                <w:sz w:val="22"/>
                <w:szCs w:val="22"/>
                <w:lang w:eastAsia="en-GB"/>
              </w:rPr>
            </w:pPr>
            <w:r w:rsidRPr="00675182">
              <w:rPr>
                <w:rFonts w:cstheme="minorHAnsi"/>
                <w:color w:val="000000"/>
                <w:sz w:val="22"/>
                <w:szCs w:val="22"/>
              </w:rPr>
              <w:t>ES II, ĪAS 1, MIK</w:t>
            </w:r>
          </w:p>
        </w:tc>
        <w:tc>
          <w:tcPr>
            <w:tcW w:w="477" w:type="pct"/>
            <w:tcBorders>
              <w:top w:val="single" w:sz="4" w:space="0" w:color="auto"/>
              <w:left w:val="single" w:sz="4" w:space="0" w:color="auto"/>
              <w:bottom w:val="single" w:sz="4" w:space="0" w:color="auto"/>
              <w:right w:val="single" w:sz="4" w:space="0" w:color="auto"/>
            </w:tcBorders>
            <w:vAlign w:val="center"/>
            <w:hideMark/>
          </w:tcPr>
          <w:p w14:paraId="354726AF" w14:textId="77777777" w:rsidR="00DD03EC" w:rsidRPr="00675182" w:rsidRDefault="00DD03EC" w:rsidP="00DD03EC">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SG II</w:t>
            </w:r>
          </w:p>
        </w:tc>
        <w:tc>
          <w:tcPr>
            <w:tcW w:w="73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05A3D3B5" w14:textId="77777777" w:rsidR="00DD03EC" w:rsidRPr="00675182" w:rsidRDefault="00DD03EC" w:rsidP="00DD03EC">
            <w:pPr>
              <w:suppressAutoHyphens w:val="0"/>
              <w:jc w:val="center"/>
              <w:rPr>
                <w:rFonts w:eastAsia="Times New Roman" w:cstheme="minorHAnsi"/>
                <w:color w:val="000000"/>
                <w:sz w:val="22"/>
                <w:szCs w:val="22"/>
                <w:lang w:eastAsia="en-GB"/>
              </w:rPr>
            </w:pPr>
            <w:r w:rsidRPr="00675182">
              <w:rPr>
                <w:rFonts w:cstheme="minorHAnsi"/>
                <w:color w:val="000000"/>
                <w:sz w:val="22"/>
                <w:szCs w:val="22"/>
              </w:rPr>
              <w:t>U1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78FD68D8" w14:textId="4A2B4C24" w:rsidR="00DD03EC" w:rsidRPr="00675182" w:rsidRDefault="00DD03EC" w:rsidP="00DD03EC">
            <w:pPr>
              <w:suppressAutoHyphens w:val="0"/>
              <w:rPr>
                <w:rFonts w:eastAsia="Times New Roman" w:cstheme="minorHAnsi"/>
                <w:color w:val="000000"/>
                <w:sz w:val="22"/>
                <w:szCs w:val="22"/>
                <w:lang w:eastAsia="en-GB"/>
              </w:rPr>
            </w:pPr>
            <w:r>
              <w:rPr>
                <w:rFonts w:eastAsia="Times New Roman" w:cstheme="minorHAnsi"/>
                <w:color w:val="000000"/>
                <w:sz w:val="22"/>
                <w:szCs w:val="22"/>
                <w:lang w:eastAsia="en-GB"/>
              </w:rPr>
              <w:t>4 vietās (pie Pūricu ezera, Vilciņu purvā, Rakšu purvā, pie Vāļu attekām)</w:t>
            </w:r>
          </w:p>
        </w:tc>
      </w:tr>
      <w:tr w:rsidR="00DD03EC" w:rsidRPr="00675182" w14:paraId="577660CC" w14:textId="77777777" w:rsidTr="00AB4839">
        <w:trPr>
          <w:cantSplit/>
          <w:trHeight w:val="315"/>
        </w:trPr>
        <w:tc>
          <w:tcPr>
            <w:tcW w:w="273" w:type="pct"/>
            <w:tcBorders>
              <w:top w:val="single" w:sz="4" w:space="0" w:color="auto"/>
              <w:left w:val="single" w:sz="4" w:space="0" w:color="auto"/>
              <w:bottom w:val="single" w:sz="4" w:space="0" w:color="auto"/>
              <w:right w:val="single" w:sz="4" w:space="0" w:color="auto"/>
            </w:tcBorders>
            <w:vAlign w:val="center"/>
            <w:hideMark/>
          </w:tcPr>
          <w:p w14:paraId="614C1DB6" w14:textId="77777777" w:rsidR="00DD03EC" w:rsidRPr="00675182" w:rsidRDefault="00DD03EC" w:rsidP="00DD03EC">
            <w:pPr>
              <w:suppressAutoHyphens w:val="0"/>
              <w:jc w:val="center"/>
              <w:rPr>
                <w:rFonts w:cstheme="minorHAnsi"/>
                <w:bCs/>
                <w:color w:val="000000"/>
                <w:sz w:val="22"/>
                <w:szCs w:val="22"/>
              </w:rPr>
            </w:pPr>
            <w:r w:rsidRPr="00675182">
              <w:rPr>
                <w:rFonts w:cstheme="minorHAnsi"/>
                <w:bCs/>
                <w:color w:val="000000"/>
                <w:sz w:val="22"/>
                <w:szCs w:val="22"/>
              </w:rPr>
              <w:t>2.</w:t>
            </w:r>
          </w:p>
        </w:tc>
        <w:tc>
          <w:tcPr>
            <w:tcW w:w="875" w:type="pct"/>
            <w:tcBorders>
              <w:top w:val="single" w:sz="4" w:space="0" w:color="auto"/>
              <w:left w:val="single" w:sz="4" w:space="0" w:color="auto"/>
              <w:bottom w:val="single" w:sz="4" w:space="0" w:color="auto"/>
              <w:right w:val="single" w:sz="4" w:space="0" w:color="auto"/>
            </w:tcBorders>
            <w:vAlign w:val="center"/>
            <w:hideMark/>
          </w:tcPr>
          <w:p w14:paraId="401CC774" w14:textId="77777777" w:rsidR="00DD03EC" w:rsidRPr="00675182" w:rsidRDefault="00DD03EC" w:rsidP="00DD03EC">
            <w:pPr>
              <w:suppressAutoHyphens w:val="0"/>
              <w:rPr>
                <w:rFonts w:cstheme="minorHAnsi"/>
                <w:color w:val="000000"/>
                <w:sz w:val="22"/>
                <w:szCs w:val="22"/>
              </w:rPr>
            </w:pPr>
            <w:r w:rsidRPr="00675182">
              <w:rPr>
                <w:rFonts w:cstheme="minorHAnsi"/>
                <w:color w:val="000000"/>
                <w:sz w:val="22"/>
                <w:szCs w:val="22"/>
              </w:rPr>
              <w:t>Lapzemes āķīte</w:t>
            </w:r>
          </w:p>
        </w:tc>
        <w:tc>
          <w:tcPr>
            <w:tcW w:w="751" w:type="pct"/>
            <w:tcBorders>
              <w:top w:val="single" w:sz="4" w:space="0" w:color="auto"/>
              <w:left w:val="single" w:sz="4" w:space="0" w:color="auto"/>
              <w:bottom w:val="single" w:sz="4" w:space="0" w:color="auto"/>
              <w:right w:val="single" w:sz="4" w:space="0" w:color="auto"/>
            </w:tcBorders>
            <w:vAlign w:val="center"/>
            <w:hideMark/>
          </w:tcPr>
          <w:p w14:paraId="2B1C7C0B" w14:textId="77777777" w:rsidR="00DD03EC" w:rsidRPr="00675182" w:rsidRDefault="00DD03EC" w:rsidP="00DD03EC">
            <w:pPr>
              <w:suppressAutoHyphens w:val="0"/>
              <w:rPr>
                <w:rFonts w:cstheme="minorHAnsi"/>
                <w:i/>
                <w:iCs/>
                <w:color w:val="000000"/>
                <w:sz w:val="22"/>
                <w:szCs w:val="22"/>
              </w:rPr>
            </w:pPr>
            <w:r w:rsidRPr="00675182">
              <w:rPr>
                <w:rFonts w:cstheme="minorHAnsi"/>
                <w:i/>
                <w:iCs/>
                <w:color w:val="000000"/>
                <w:sz w:val="22"/>
                <w:szCs w:val="22"/>
              </w:rPr>
              <w:t>Hamatocaulis lapponicus</w:t>
            </w:r>
          </w:p>
        </w:tc>
        <w:tc>
          <w:tcPr>
            <w:tcW w:w="593" w:type="pct"/>
            <w:tcBorders>
              <w:top w:val="single" w:sz="4" w:space="0" w:color="auto"/>
              <w:left w:val="single" w:sz="4" w:space="0" w:color="auto"/>
              <w:bottom w:val="single" w:sz="4" w:space="0" w:color="auto"/>
              <w:right w:val="single" w:sz="4" w:space="0" w:color="auto"/>
            </w:tcBorders>
            <w:vAlign w:val="center"/>
            <w:hideMark/>
          </w:tcPr>
          <w:p w14:paraId="7ECF6FBC"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ES II, ĪAS 1, MIK</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FE72E9" w14:textId="77777777" w:rsidR="00DD03EC" w:rsidRPr="00675182" w:rsidRDefault="00DD03EC" w:rsidP="00DD03EC">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SG I</w:t>
            </w:r>
          </w:p>
        </w:tc>
        <w:tc>
          <w:tcPr>
            <w:tcW w:w="73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A8B38FA"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U1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6A158AB0" w14:textId="57D24FAC" w:rsidR="00DD03EC" w:rsidRPr="00675182" w:rsidRDefault="00DD03EC" w:rsidP="00DD03EC">
            <w:pPr>
              <w:suppressAutoHyphens w:val="0"/>
              <w:rPr>
                <w:rFonts w:eastAsia="Times New Roman" w:cstheme="minorHAnsi"/>
                <w:color w:val="000000"/>
                <w:sz w:val="22"/>
                <w:szCs w:val="22"/>
                <w:lang w:eastAsia="en-GB"/>
              </w:rPr>
            </w:pPr>
            <w:r>
              <w:rPr>
                <w:rFonts w:eastAsia="Times New Roman" w:cstheme="minorHAnsi"/>
                <w:color w:val="000000"/>
                <w:sz w:val="22"/>
                <w:szCs w:val="22"/>
                <w:lang w:eastAsia="en-GB"/>
              </w:rPr>
              <w:t>1 atradne pie Pūricas (Ikuldas) ezera</w:t>
            </w:r>
          </w:p>
        </w:tc>
      </w:tr>
      <w:tr w:rsidR="00DD03EC" w:rsidRPr="00675182" w14:paraId="2E698908" w14:textId="77777777" w:rsidTr="00AB4839">
        <w:trPr>
          <w:cantSplit/>
          <w:trHeight w:val="315"/>
        </w:trPr>
        <w:tc>
          <w:tcPr>
            <w:tcW w:w="273" w:type="pct"/>
            <w:tcBorders>
              <w:top w:val="single" w:sz="4" w:space="0" w:color="auto"/>
              <w:left w:val="single" w:sz="4" w:space="0" w:color="auto"/>
              <w:bottom w:val="single" w:sz="4" w:space="0" w:color="auto"/>
              <w:right w:val="single" w:sz="4" w:space="0" w:color="auto"/>
            </w:tcBorders>
            <w:vAlign w:val="center"/>
            <w:hideMark/>
          </w:tcPr>
          <w:p w14:paraId="736C4A4C" w14:textId="77777777" w:rsidR="00DD03EC" w:rsidRPr="00675182" w:rsidRDefault="00DD03EC" w:rsidP="00DD03EC">
            <w:pPr>
              <w:suppressAutoHyphens w:val="0"/>
              <w:jc w:val="center"/>
              <w:rPr>
                <w:rFonts w:cstheme="minorHAnsi"/>
                <w:bCs/>
                <w:color w:val="000000"/>
                <w:sz w:val="22"/>
                <w:szCs w:val="22"/>
              </w:rPr>
            </w:pPr>
            <w:r w:rsidRPr="00675182">
              <w:rPr>
                <w:rFonts w:cstheme="minorHAnsi"/>
                <w:bCs/>
                <w:color w:val="000000"/>
                <w:sz w:val="22"/>
                <w:szCs w:val="22"/>
              </w:rPr>
              <w:t>3.</w:t>
            </w:r>
          </w:p>
        </w:tc>
        <w:tc>
          <w:tcPr>
            <w:tcW w:w="875" w:type="pct"/>
            <w:tcBorders>
              <w:top w:val="single" w:sz="4" w:space="0" w:color="auto"/>
              <w:left w:val="single" w:sz="4" w:space="0" w:color="auto"/>
              <w:bottom w:val="single" w:sz="4" w:space="0" w:color="auto"/>
              <w:right w:val="single" w:sz="4" w:space="0" w:color="auto"/>
            </w:tcBorders>
            <w:vAlign w:val="center"/>
            <w:hideMark/>
          </w:tcPr>
          <w:p w14:paraId="1C6B3DCC" w14:textId="77777777" w:rsidR="00DD03EC" w:rsidRPr="00675182" w:rsidRDefault="00DD03EC" w:rsidP="00DD03EC">
            <w:pPr>
              <w:suppressAutoHyphens w:val="0"/>
              <w:rPr>
                <w:rFonts w:cstheme="minorHAnsi"/>
                <w:color w:val="000000"/>
                <w:sz w:val="22"/>
                <w:szCs w:val="22"/>
              </w:rPr>
            </w:pPr>
            <w:r w:rsidRPr="00675182">
              <w:rPr>
                <w:rFonts w:cstheme="minorHAnsi"/>
                <w:color w:val="000000"/>
                <w:sz w:val="22"/>
                <w:szCs w:val="22"/>
              </w:rPr>
              <w:t>Zaļā divzobe</w:t>
            </w:r>
          </w:p>
        </w:tc>
        <w:tc>
          <w:tcPr>
            <w:tcW w:w="751" w:type="pct"/>
            <w:tcBorders>
              <w:top w:val="single" w:sz="4" w:space="0" w:color="auto"/>
              <w:left w:val="single" w:sz="4" w:space="0" w:color="auto"/>
              <w:bottom w:val="single" w:sz="4" w:space="0" w:color="auto"/>
              <w:right w:val="single" w:sz="4" w:space="0" w:color="auto"/>
            </w:tcBorders>
            <w:vAlign w:val="center"/>
            <w:hideMark/>
          </w:tcPr>
          <w:p w14:paraId="592E7C12" w14:textId="77777777" w:rsidR="00DD03EC" w:rsidRPr="00675182" w:rsidRDefault="00DD03EC" w:rsidP="00DD03EC">
            <w:pPr>
              <w:suppressAutoHyphens w:val="0"/>
              <w:rPr>
                <w:rFonts w:cstheme="minorHAnsi"/>
                <w:i/>
                <w:iCs/>
                <w:color w:val="000000"/>
                <w:sz w:val="22"/>
                <w:szCs w:val="22"/>
              </w:rPr>
            </w:pPr>
            <w:r w:rsidRPr="00675182">
              <w:rPr>
                <w:rFonts w:cstheme="minorHAnsi"/>
                <w:i/>
                <w:iCs/>
                <w:color w:val="000000"/>
                <w:sz w:val="22"/>
                <w:szCs w:val="22"/>
              </w:rPr>
              <w:t>Dicranum viride</w:t>
            </w:r>
          </w:p>
        </w:tc>
        <w:tc>
          <w:tcPr>
            <w:tcW w:w="593" w:type="pct"/>
            <w:tcBorders>
              <w:top w:val="single" w:sz="4" w:space="0" w:color="auto"/>
              <w:left w:val="single" w:sz="4" w:space="0" w:color="auto"/>
              <w:bottom w:val="single" w:sz="4" w:space="0" w:color="auto"/>
              <w:right w:val="single" w:sz="4" w:space="0" w:color="auto"/>
            </w:tcBorders>
            <w:vAlign w:val="center"/>
            <w:hideMark/>
          </w:tcPr>
          <w:p w14:paraId="675AAAE2"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 xml:space="preserve">ES II, ĪAS 1 </w:t>
            </w:r>
          </w:p>
        </w:tc>
        <w:tc>
          <w:tcPr>
            <w:tcW w:w="477" w:type="pct"/>
            <w:tcBorders>
              <w:top w:val="single" w:sz="4" w:space="0" w:color="auto"/>
              <w:left w:val="single" w:sz="4" w:space="0" w:color="auto"/>
              <w:bottom w:val="single" w:sz="4" w:space="0" w:color="auto"/>
              <w:right w:val="single" w:sz="4" w:space="0" w:color="auto"/>
            </w:tcBorders>
            <w:vAlign w:val="center"/>
            <w:hideMark/>
          </w:tcPr>
          <w:p w14:paraId="1C5A92F8" w14:textId="77777777" w:rsidR="00DD03EC" w:rsidRPr="00675182" w:rsidRDefault="00DD03EC" w:rsidP="00DD03EC">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SG III</w:t>
            </w:r>
          </w:p>
        </w:tc>
        <w:tc>
          <w:tcPr>
            <w:tcW w:w="73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59C4F907"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U1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74925F93" w14:textId="61033E67" w:rsidR="00DD03EC" w:rsidRPr="00675182" w:rsidRDefault="00DD03EC" w:rsidP="00DD03EC">
            <w:pPr>
              <w:suppressAutoHyphens w:val="0"/>
              <w:rPr>
                <w:rFonts w:eastAsia="Times New Roman" w:cstheme="minorHAnsi"/>
                <w:color w:val="000000"/>
                <w:sz w:val="22"/>
                <w:szCs w:val="22"/>
                <w:lang w:eastAsia="en-GB"/>
              </w:rPr>
            </w:pPr>
            <w:r>
              <w:rPr>
                <w:rFonts w:eastAsia="Times New Roman" w:cstheme="minorHAnsi"/>
                <w:color w:val="000000"/>
                <w:sz w:val="22"/>
                <w:szCs w:val="22"/>
                <w:lang w:eastAsia="en-GB"/>
              </w:rPr>
              <w:t>&gt;60 vietās , lielākoties Siguldas-Līgatnes apkārtnē</w:t>
            </w:r>
          </w:p>
        </w:tc>
      </w:tr>
      <w:tr w:rsidR="00DD03EC" w:rsidRPr="00675182" w14:paraId="36C13813" w14:textId="77777777" w:rsidTr="00AB4839">
        <w:trPr>
          <w:cantSplit/>
          <w:trHeight w:val="315"/>
        </w:trPr>
        <w:tc>
          <w:tcPr>
            <w:tcW w:w="273" w:type="pct"/>
            <w:tcBorders>
              <w:top w:val="single" w:sz="4" w:space="0" w:color="auto"/>
              <w:left w:val="single" w:sz="4" w:space="0" w:color="auto"/>
              <w:bottom w:val="single" w:sz="4" w:space="0" w:color="auto"/>
              <w:right w:val="single" w:sz="4" w:space="0" w:color="auto"/>
            </w:tcBorders>
            <w:vAlign w:val="center"/>
            <w:hideMark/>
          </w:tcPr>
          <w:p w14:paraId="21BAD0D9" w14:textId="77777777" w:rsidR="00DD03EC" w:rsidRPr="00675182" w:rsidRDefault="00DD03EC" w:rsidP="00DD03EC">
            <w:pPr>
              <w:suppressAutoHyphens w:val="0"/>
              <w:jc w:val="center"/>
              <w:rPr>
                <w:rFonts w:cstheme="minorHAnsi"/>
                <w:bCs/>
                <w:color w:val="000000"/>
                <w:sz w:val="22"/>
                <w:szCs w:val="22"/>
              </w:rPr>
            </w:pPr>
            <w:r w:rsidRPr="00675182">
              <w:rPr>
                <w:rFonts w:cstheme="minorHAnsi"/>
                <w:bCs/>
                <w:color w:val="000000"/>
                <w:sz w:val="22"/>
                <w:szCs w:val="22"/>
              </w:rPr>
              <w:t>3.</w:t>
            </w:r>
          </w:p>
        </w:tc>
        <w:tc>
          <w:tcPr>
            <w:tcW w:w="875" w:type="pct"/>
            <w:tcBorders>
              <w:top w:val="single" w:sz="4" w:space="0" w:color="auto"/>
              <w:left w:val="single" w:sz="4" w:space="0" w:color="auto"/>
              <w:bottom w:val="single" w:sz="4" w:space="0" w:color="auto"/>
              <w:right w:val="single" w:sz="4" w:space="0" w:color="auto"/>
            </w:tcBorders>
            <w:vAlign w:val="center"/>
            <w:hideMark/>
          </w:tcPr>
          <w:p w14:paraId="16EADF9D" w14:textId="77777777" w:rsidR="00DD03EC" w:rsidRPr="00675182" w:rsidRDefault="00DD03EC" w:rsidP="00DD03EC">
            <w:pPr>
              <w:suppressAutoHyphens w:val="0"/>
              <w:rPr>
                <w:rFonts w:cstheme="minorHAnsi"/>
                <w:color w:val="000000"/>
                <w:sz w:val="22"/>
                <w:szCs w:val="22"/>
              </w:rPr>
            </w:pPr>
            <w:r w:rsidRPr="00675182">
              <w:rPr>
                <w:rFonts w:cstheme="minorHAnsi"/>
                <w:color w:val="000000"/>
                <w:sz w:val="22"/>
                <w:szCs w:val="22"/>
              </w:rPr>
              <w:t>Zaļā buksbaumija</w:t>
            </w:r>
          </w:p>
        </w:tc>
        <w:tc>
          <w:tcPr>
            <w:tcW w:w="751" w:type="pct"/>
            <w:tcBorders>
              <w:top w:val="single" w:sz="4" w:space="0" w:color="auto"/>
              <w:left w:val="single" w:sz="4" w:space="0" w:color="auto"/>
              <w:bottom w:val="single" w:sz="4" w:space="0" w:color="auto"/>
              <w:right w:val="single" w:sz="4" w:space="0" w:color="auto"/>
            </w:tcBorders>
            <w:vAlign w:val="center"/>
            <w:hideMark/>
          </w:tcPr>
          <w:p w14:paraId="4B914826" w14:textId="77777777" w:rsidR="00DD03EC" w:rsidRPr="00675182" w:rsidRDefault="00DD03EC" w:rsidP="00DD03EC">
            <w:pPr>
              <w:suppressAutoHyphens w:val="0"/>
              <w:rPr>
                <w:rFonts w:cstheme="minorHAnsi"/>
                <w:i/>
                <w:iCs/>
                <w:color w:val="000000"/>
                <w:sz w:val="22"/>
                <w:szCs w:val="22"/>
              </w:rPr>
            </w:pPr>
            <w:r w:rsidRPr="00675182">
              <w:rPr>
                <w:rFonts w:cstheme="minorHAnsi"/>
                <w:i/>
                <w:iCs/>
                <w:color w:val="000000"/>
                <w:sz w:val="22"/>
                <w:szCs w:val="22"/>
              </w:rPr>
              <w:t>Buxbaumia viridis</w:t>
            </w:r>
          </w:p>
        </w:tc>
        <w:tc>
          <w:tcPr>
            <w:tcW w:w="593" w:type="pct"/>
            <w:tcBorders>
              <w:top w:val="single" w:sz="4" w:space="0" w:color="auto"/>
              <w:left w:val="single" w:sz="4" w:space="0" w:color="auto"/>
              <w:bottom w:val="single" w:sz="4" w:space="0" w:color="auto"/>
              <w:right w:val="single" w:sz="4" w:space="0" w:color="auto"/>
            </w:tcBorders>
            <w:vAlign w:val="center"/>
            <w:hideMark/>
          </w:tcPr>
          <w:p w14:paraId="1F89C9E6"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ES II, ĪAS 1, MIK</w:t>
            </w:r>
          </w:p>
        </w:tc>
        <w:tc>
          <w:tcPr>
            <w:tcW w:w="477" w:type="pct"/>
            <w:tcBorders>
              <w:top w:val="single" w:sz="4" w:space="0" w:color="auto"/>
              <w:left w:val="single" w:sz="4" w:space="0" w:color="auto"/>
              <w:bottom w:val="single" w:sz="4" w:space="0" w:color="auto"/>
              <w:right w:val="single" w:sz="4" w:space="0" w:color="auto"/>
            </w:tcBorders>
            <w:vAlign w:val="center"/>
            <w:hideMark/>
          </w:tcPr>
          <w:p w14:paraId="04134C35" w14:textId="77777777" w:rsidR="00DD03EC" w:rsidRPr="00675182" w:rsidRDefault="00DD03EC" w:rsidP="00DD03EC">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SG I, BSS</w:t>
            </w:r>
          </w:p>
        </w:tc>
        <w:tc>
          <w:tcPr>
            <w:tcW w:w="73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735F43F3"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U1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28BEB20C" w14:textId="2B04C63C" w:rsidR="00DD03EC" w:rsidRPr="00675182" w:rsidRDefault="00DD03EC" w:rsidP="00DD03EC">
            <w:pPr>
              <w:suppressAutoHyphens w:val="0"/>
              <w:rPr>
                <w:rFonts w:eastAsia="Times New Roman" w:cstheme="minorHAnsi"/>
                <w:color w:val="000000"/>
                <w:sz w:val="22"/>
                <w:szCs w:val="22"/>
                <w:lang w:eastAsia="en-GB"/>
              </w:rPr>
            </w:pPr>
            <w:r>
              <w:rPr>
                <w:rFonts w:eastAsia="Times New Roman" w:cstheme="minorHAnsi"/>
                <w:color w:val="000000"/>
                <w:sz w:val="22"/>
                <w:szCs w:val="22"/>
                <w:lang w:eastAsia="en-GB"/>
              </w:rPr>
              <w:t>54 atradnes visā GNP teritorijā</w:t>
            </w:r>
          </w:p>
        </w:tc>
      </w:tr>
      <w:tr w:rsidR="00DD03EC" w:rsidRPr="00675182" w14:paraId="632B3199" w14:textId="77777777" w:rsidTr="00AB4839">
        <w:trPr>
          <w:cantSplit/>
          <w:trHeight w:val="315"/>
        </w:trPr>
        <w:tc>
          <w:tcPr>
            <w:tcW w:w="273" w:type="pct"/>
            <w:tcBorders>
              <w:top w:val="single" w:sz="4" w:space="0" w:color="auto"/>
              <w:left w:val="single" w:sz="4" w:space="0" w:color="auto"/>
              <w:bottom w:val="single" w:sz="4" w:space="0" w:color="auto"/>
              <w:right w:val="single" w:sz="4" w:space="0" w:color="auto"/>
            </w:tcBorders>
            <w:vAlign w:val="center"/>
            <w:hideMark/>
          </w:tcPr>
          <w:p w14:paraId="2D90EFD8" w14:textId="77777777" w:rsidR="00DD03EC" w:rsidRPr="00675182" w:rsidRDefault="00DD03EC" w:rsidP="00DD03EC">
            <w:pPr>
              <w:suppressAutoHyphens w:val="0"/>
              <w:jc w:val="center"/>
              <w:rPr>
                <w:rFonts w:cstheme="minorHAnsi"/>
                <w:bCs/>
                <w:color w:val="000000"/>
                <w:sz w:val="22"/>
                <w:szCs w:val="22"/>
              </w:rPr>
            </w:pPr>
            <w:r w:rsidRPr="00675182">
              <w:rPr>
                <w:rFonts w:cstheme="minorHAnsi"/>
                <w:bCs/>
                <w:color w:val="000000"/>
                <w:sz w:val="22"/>
                <w:szCs w:val="22"/>
              </w:rPr>
              <w:t>4.</w:t>
            </w:r>
          </w:p>
        </w:tc>
        <w:tc>
          <w:tcPr>
            <w:tcW w:w="875" w:type="pct"/>
            <w:tcBorders>
              <w:top w:val="single" w:sz="4" w:space="0" w:color="auto"/>
              <w:left w:val="single" w:sz="4" w:space="0" w:color="auto"/>
              <w:bottom w:val="single" w:sz="4" w:space="0" w:color="auto"/>
              <w:right w:val="single" w:sz="4" w:space="0" w:color="auto"/>
            </w:tcBorders>
            <w:vAlign w:val="center"/>
            <w:hideMark/>
          </w:tcPr>
          <w:p w14:paraId="2C4DFB20" w14:textId="77777777" w:rsidR="00DD03EC" w:rsidRPr="00675182" w:rsidRDefault="00DD03EC" w:rsidP="00DD03EC">
            <w:pPr>
              <w:suppressAutoHyphens w:val="0"/>
              <w:rPr>
                <w:rFonts w:cstheme="minorHAnsi"/>
                <w:color w:val="000000"/>
                <w:sz w:val="22"/>
                <w:szCs w:val="22"/>
              </w:rPr>
            </w:pPr>
            <w:r w:rsidRPr="00675182">
              <w:rPr>
                <w:rFonts w:cstheme="minorHAnsi"/>
                <w:color w:val="000000"/>
                <w:sz w:val="22"/>
                <w:szCs w:val="22"/>
              </w:rPr>
              <w:t>Parastā baltsamtīte</w:t>
            </w:r>
          </w:p>
        </w:tc>
        <w:tc>
          <w:tcPr>
            <w:tcW w:w="751" w:type="pct"/>
            <w:tcBorders>
              <w:top w:val="single" w:sz="4" w:space="0" w:color="auto"/>
              <w:left w:val="single" w:sz="4" w:space="0" w:color="auto"/>
              <w:bottom w:val="single" w:sz="4" w:space="0" w:color="auto"/>
              <w:right w:val="single" w:sz="4" w:space="0" w:color="auto"/>
            </w:tcBorders>
            <w:vAlign w:val="center"/>
            <w:hideMark/>
          </w:tcPr>
          <w:p w14:paraId="46A7C34E" w14:textId="77777777" w:rsidR="00DD03EC" w:rsidRPr="00675182" w:rsidRDefault="00DD03EC" w:rsidP="00DD03EC">
            <w:pPr>
              <w:suppressAutoHyphens w:val="0"/>
              <w:rPr>
                <w:rFonts w:cstheme="minorHAnsi"/>
                <w:i/>
                <w:iCs/>
                <w:color w:val="000000"/>
                <w:sz w:val="22"/>
                <w:szCs w:val="22"/>
              </w:rPr>
            </w:pPr>
            <w:r w:rsidRPr="00675182">
              <w:rPr>
                <w:rFonts w:cstheme="minorHAnsi"/>
                <w:i/>
                <w:iCs/>
                <w:color w:val="000000"/>
                <w:sz w:val="22"/>
                <w:szCs w:val="22"/>
              </w:rPr>
              <w:t>Leucobrym glaucum</w:t>
            </w:r>
          </w:p>
        </w:tc>
        <w:tc>
          <w:tcPr>
            <w:tcW w:w="593" w:type="pct"/>
            <w:tcBorders>
              <w:top w:val="single" w:sz="4" w:space="0" w:color="auto"/>
              <w:left w:val="single" w:sz="4" w:space="0" w:color="auto"/>
              <w:bottom w:val="single" w:sz="4" w:space="0" w:color="auto"/>
              <w:right w:val="single" w:sz="4" w:space="0" w:color="auto"/>
            </w:tcBorders>
            <w:vAlign w:val="center"/>
            <w:hideMark/>
          </w:tcPr>
          <w:p w14:paraId="2CFC6885"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ES V</w:t>
            </w:r>
          </w:p>
        </w:tc>
        <w:tc>
          <w:tcPr>
            <w:tcW w:w="477" w:type="pct"/>
            <w:tcBorders>
              <w:top w:val="single" w:sz="4" w:space="0" w:color="auto"/>
              <w:left w:val="single" w:sz="4" w:space="0" w:color="auto"/>
              <w:bottom w:val="single" w:sz="4" w:space="0" w:color="auto"/>
              <w:right w:val="single" w:sz="4" w:space="0" w:color="auto"/>
            </w:tcBorders>
            <w:vAlign w:val="center"/>
            <w:hideMark/>
          </w:tcPr>
          <w:p w14:paraId="6A428058" w14:textId="77777777" w:rsidR="00DD03EC" w:rsidRPr="00675182" w:rsidRDefault="00DD03EC" w:rsidP="00DD03EC">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SG II</w:t>
            </w:r>
          </w:p>
        </w:tc>
        <w:tc>
          <w:tcPr>
            <w:tcW w:w="73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4429B7E"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U1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5A53FD59" w14:textId="335C98E2" w:rsidR="00DD03EC" w:rsidRPr="00675182" w:rsidRDefault="00DD03EC" w:rsidP="00DD03EC">
            <w:pPr>
              <w:suppressAutoHyphens w:val="0"/>
              <w:rPr>
                <w:rFonts w:eastAsia="Times New Roman" w:cstheme="minorHAnsi"/>
                <w:color w:val="000000"/>
                <w:sz w:val="22"/>
                <w:szCs w:val="22"/>
                <w:lang w:eastAsia="en-GB"/>
              </w:rPr>
            </w:pPr>
            <w:r>
              <w:rPr>
                <w:rFonts w:eastAsia="Times New Roman" w:cstheme="minorHAnsi"/>
                <w:color w:val="000000"/>
                <w:sz w:val="22"/>
                <w:szCs w:val="22"/>
                <w:lang w:eastAsia="en-GB"/>
              </w:rPr>
              <w:t xml:space="preserve">12 atsevišķas atradnes, visā GNP teritorijā, izņemot dienvidaustrumu daļu </w:t>
            </w:r>
          </w:p>
        </w:tc>
      </w:tr>
      <w:tr w:rsidR="00DD03EC" w:rsidRPr="00675182" w14:paraId="4747AB64" w14:textId="77777777" w:rsidTr="00AB4839">
        <w:trPr>
          <w:cantSplit/>
          <w:trHeight w:val="315"/>
        </w:trPr>
        <w:tc>
          <w:tcPr>
            <w:tcW w:w="273" w:type="pct"/>
            <w:tcBorders>
              <w:top w:val="single" w:sz="4" w:space="0" w:color="auto"/>
              <w:left w:val="single" w:sz="4" w:space="0" w:color="auto"/>
              <w:bottom w:val="single" w:sz="4" w:space="0" w:color="auto"/>
              <w:right w:val="single" w:sz="4" w:space="0" w:color="auto"/>
            </w:tcBorders>
            <w:vAlign w:val="center"/>
            <w:hideMark/>
          </w:tcPr>
          <w:p w14:paraId="0B1A9480" w14:textId="77777777" w:rsidR="00DD03EC" w:rsidRPr="00675182" w:rsidRDefault="00DD03EC" w:rsidP="00DD03EC">
            <w:pPr>
              <w:suppressAutoHyphens w:val="0"/>
              <w:jc w:val="center"/>
              <w:rPr>
                <w:rFonts w:cstheme="minorHAnsi"/>
                <w:bCs/>
                <w:color w:val="000000"/>
                <w:sz w:val="22"/>
                <w:szCs w:val="22"/>
              </w:rPr>
            </w:pPr>
            <w:r w:rsidRPr="00675182">
              <w:rPr>
                <w:rFonts w:cstheme="minorHAnsi"/>
                <w:bCs/>
                <w:color w:val="000000"/>
                <w:sz w:val="22"/>
                <w:szCs w:val="22"/>
              </w:rPr>
              <w:t>5.</w:t>
            </w:r>
          </w:p>
        </w:tc>
        <w:tc>
          <w:tcPr>
            <w:tcW w:w="875" w:type="pct"/>
            <w:tcBorders>
              <w:top w:val="single" w:sz="4" w:space="0" w:color="auto"/>
              <w:left w:val="single" w:sz="4" w:space="0" w:color="auto"/>
              <w:bottom w:val="single" w:sz="4" w:space="0" w:color="auto"/>
              <w:right w:val="single" w:sz="4" w:space="0" w:color="auto"/>
            </w:tcBorders>
            <w:vAlign w:val="center"/>
            <w:hideMark/>
          </w:tcPr>
          <w:p w14:paraId="15BFA4C8" w14:textId="77777777" w:rsidR="00DD03EC" w:rsidRPr="00675182" w:rsidRDefault="00DD03EC" w:rsidP="00DD03EC">
            <w:pPr>
              <w:suppressAutoHyphens w:val="0"/>
              <w:rPr>
                <w:rFonts w:cstheme="minorHAnsi"/>
                <w:color w:val="000000"/>
                <w:sz w:val="22"/>
                <w:szCs w:val="22"/>
              </w:rPr>
            </w:pPr>
            <w:r w:rsidRPr="00675182">
              <w:rPr>
                <w:rFonts w:cstheme="minorHAnsi"/>
                <w:color w:val="000000"/>
                <w:sz w:val="22"/>
                <w:szCs w:val="22"/>
              </w:rPr>
              <w:t>Sfagni</w:t>
            </w:r>
          </w:p>
        </w:tc>
        <w:tc>
          <w:tcPr>
            <w:tcW w:w="751" w:type="pct"/>
            <w:tcBorders>
              <w:top w:val="single" w:sz="4" w:space="0" w:color="auto"/>
              <w:left w:val="single" w:sz="4" w:space="0" w:color="auto"/>
              <w:bottom w:val="single" w:sz="4" w:space="0" w:color="auto"/>
              <w:right w:val="single" w:sz="4" w:space="0" w:color="auto"/>
            </w:tcBorders>
            <w:vAlign w:val="center"/>
            <w:hideMark/>
          </w:tcPr>
          <w:p w14:paraId="74213B8F" w14:textId="77777777" w:rsidR="00DD03EC" w:rsidRPr="00675182" w:rsidRDefault="00DD03EC" w:rsidP="00DD03EC">
            <w:pPr>
              <w:suppressAutoHyphens w:val="0"/>
              <w:rPr>
                <w:rFonts w:cstheme="minorHAnsi"/>
                <w:i/>
                <w:iCs/>
                <w:color w:val="000000"/>
                <w:sz w:val="22"/>
                <w:szCs w:val="22"/>
              </w:rPr>
            </w:pPr>
            <w:r w:rsidRPr="00675182">
              <w:rPr>
                <w:rFonts w:cstheme="minorHAnsi"/>
                <w:i/>
                <w:iCs/>
                <w:color w:val="000000"/>
                <w:sz w:val="22"/>
                <w:szCs w:val="22"/>
              </w:rPr>
              <w:t>Sphagnum</w:t>
            </w:r>
            <w:r w:rsidRPr="00675182">
              <w:rPr>
                <w:rFonts w:cstheme="minorHAnsi"/>
                <w:color w:val="000000"/>
                <w:sz w:val="22"/>
                <w:szCs w:val="22"/>
              </w:rPr>
              <w:t xml:space="preserve"> spp.</w:t>
            </w:r>
          </w:p>
        </w:tc>
        <w:tc>
          <w:tcPr>
            <w:tcW w:w="593" w:type="pct"/>
            <w:tcBorders>
              <w:top w:val="single" w:sz="4" w:space="0" w:color="auto"/>
              <w:left w:val="single" w:sz="4" w:space="0" w:color="auto"/>
              <w:bottom w:val="single" w:sz="4" w:space="0" w:color="auto"/>
              <w:right w:val="single" w:sz="4" w:space="0" w:color="auto"/>
            </w:tcBorders>
            <w:vAlign w:val="center"/>
            <w:hideMark/>
          </w:tcPr>
          <w:p w14:paraId="39F6D1EA"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ES V</w:t>
            </w:r>
          </w:p>
        </w:tc>
        <w:tc>
          <w:tcPr>
            <w:tcW w:w="477" w:type="pct"/>
            <w:tcBorders>
              <w:top w:val="single" w:sz="4" w:space="0" w:color="auto"/>
              <w:left w:val="single" w:sz="4" w:space="0" w:color="auto"/>
              <w:bottom w:val="single" w:sz="4" w:space="0" w:color="auto"/>
              <w:right w:val="single" w:sz="4" w:space="0" w:color="auto"/>
            </w:tcBorders>
            <w:vAlign w:val="center"/>
            <w:hideMark/>
          </w:tcPr>
          <w:p w14:paraId="4CDFC650" w14:textId="77777777" w:rsidR="00DD03EC" w:rsidRPr="00675182" w:rsidRDefault="00DD03EC" w:rsidP="00DD03EC">
            <w:pPr>
              <w:suppressAutoHyphens w:val="0"/>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w:t>
            </w:r>
          </w:p>
        </w:tc>
        <w:tc>
          <w:tcPr>
            <w:tcW w:w="739"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FC7CFC4" w14:textId="77777777" w:rsidR="00DD03EC" w:rsidRPr="00675182" w:rsidRDefault="00DD03EC" w:rsidP="00DD03EC">
            <w:pPr>
              <w:suppressAutoHyphens w:val="0"/>
              <w:jc w:val="center"/>
              <w:rPr>
                <w:rFonts w:cstheme="minorHAnsi"/>
                <w:color w:val="000000"/>
                <w:sz w:val="22"/>
                <w:szCs w:val="22"/>
              </w:rPr>
            </w:pPr>
            <w:r w:rsidRPr="00675182">
              <w:rPr>
                <w:rFonts w:cstheme="minorHAnsi"/>
                <w:color w:val="000000"/>
                <w:sz w:val="22"/>
                <w:szCs w:val="22"/>
              </w:rPr>
              <w:t>FV</w:t>
            </w:r>
          </w:p>
        </w:tc>
        <w:tc>
          <w:tcPr>
            <w:tcW w:w="1292" w:type="pct"/>
            <w:tcBorders>
              <w:top w:val="single" w:sz="4" w:space="0" w:color="auto"/>
              <w:left w:val="single" w:sz="4" w:space="0" w:color="auto"/>
              <w:bottom w:val="single" w:sz="4" w:space="0" w:color="auto"/>
              <w:right w:val="single" w:sz="4" w:space="0" w:color="auto"/>
            </w:tcBorders>
            <w:vAlign w:val="center"/>
            <w:hideMark/>
          </w:tcPr>
          <w:p w14:paraId="6F7A70D6" w14:textId="3DBD2EC4" w:rsidR="00DD03EC" w:rsidRPr="00675182" w:rsidRDefault="00DD03EC" w:rsidP="00DD03EC">
            <w:pPr>
              <w:suppressAutoHyphens w:val="0"/>
              <w:rPr>
                <w:rFonts w:eastAsia="Times New Roman" w:cstheme="minorHAnsi"/>
                <w:color w:val="000000"/>
                <w:sz w:val="22"/>
                <w:szCs w:val="22"/>
                <w:lang w:eastAsia="en-GB"/>
              </w:rPr>
            </w:pPr>
            <w:r>
              <w:rPr>
                <w:rFonts w:eastAsia="Times New Roman" w:cstheme="minorHAnsi"/>
                <w:color w:val="000000"/>
                <w:sz w:val="22"/>
                <w:szCs w:val="22"/>
                <w:lang w:eastAsia="en-GB"/>
              </w:rPr>
              <w:t>Samērā bieži purvos, purvainos mežos (zināmas 23 sugas no bieži līdz iespējams izzudušas statusam)</w:t>
            </w:r>
          </w:p>
        </w:tc>
      </w:tr>
    </w:tbl>
    <w:p w14:paraId="71A389B0" w14:textId="77777777" w:rsidR="009874AD" w:rsidRPr="00675182" w:rsidRDefault="009874AD" w:rsidP="009874AD">
      <w:pPr>
        <w:rPr>
          <w:rFonts w:cstheme="minorHAnsi"/>
          <w:sz w:val="20"/>
        </w:rPr>
      </w:pPr>
      <w:r w:rsidRPr="00675182">
        <w:rPr>
          <w:rFonts w:cstheme="minorHAnsi"/>
          <w:sz w:val="20"/>
        </w:rPr>
        <w:t xml:space="preserve">Informācija par sugu aizsardzības stāvokli Latvijā no „Ziņojums Eiropas Komisijai par biotopu (dzīvotņu) un sugu aizsardzības stāvokli Latvijā. Novērtējums par 2013.-2018. gada periodu” </w:t>
      </w:r>
      <w:r w:rsidRPr="00675182">
        <w:rPr>
          <w:rFonts w:cstheme="minorHAnsi"/>
          <w:b/>
          <w:bCs/>
          <w:sz w:val="20"/>
        </w:rPr>
        <w:t>FV</w:t>
      </w:r>
      <w:r w:rsidRPr="00675182">
        <w:rPr>
          <w:rFonts w:cstheme="minorHAnsi"/>
          <w:sz w:val="20"/>
        </w:rPr>
        <w:t xml:space="preserve">: Aizsardzības stāvoklis labvēlīgs (Favourable); </w:t>
      </w:r>
      <w:r w:rsidRPr="00675182">
        <w:rPr>
          <w:rFonts w:cstheme="minorHAnsi"/>
          <w:b/>
          <w:bCs/>
          <w:sz w:val="20"/>
        </w:rPr>
        <w:t>U1</w:t>
      </w:r>
      <w:r w:rsidRPr="00675182">
        <w:rPr>
          <w:rFonts w:cstheme="minorHAnsi"/>
          <w:sz w:val="20"/>
        </w:rPr>
        <w:t xml:space="preserve">: Aizsardzības stāvoklis nelabvēlīgs-nepietiekams (Unfavourable-Inadequate); </w:t>
      </w:r>
      <w:r w:rsidRPr="00675182">
        <w:rPr>
          <w:rFonts w:cstheme="minorHAnsi"/>
          <w:b/>
          <w:bCs/>
          <w:sz w:val="20"/>
        </w:rPr>
        <w:t>U2</w:t>
      </w:r>
      <w:r w:rsidRPr="00675182">
        <w:rPr>
          <w:rFonts w:cstheme="minorHAnsi"/>
          <w:sz w:val="20"/>
        </w:rPr>
        <w:t xml:space="preserve">: Aizsardzības stāvoklis nelabvēlīgs-slikts (Unfavourable-Bad); </w:t>
      </w:r>
      <w:r w:rsidRPr="00675182">
        <w:rPr>
          <w:rFonts w:cstheme="minorHAnsi"/>
          <w:b/>
          <w:bCs/>
          <w:sz w:val="20"/>
        </w:rPr>
        <w:t>XX</w:t>
      </w:r>
      <w:r w:rsidRPr="00675182">
        <w:rPr>
          <w:rFonts w:cstheme="minorHAnsi"/>
          <w:sz w:val="20"/>
        </w:rPr>
        <w:t xml:space="preserve">: Aizsardzības stāvoklis nezināms (Unknown). </w:t>
      </w:r>
    </w:p>
    <w:p w14:paraId="29E62943" w14:textId="77777777" w:rsidR="009874AD" w:rsidRPr="00675182" w:rsidRDefault="009874AD" w:rsidP="009874AD">
      <w:pPr>
        <w:pStyle w:val="BodyText"/>
        <w:spacing w:after="0"/>
        <w:rPr>
          <w:rFonts w:cstheme="minorHAnsi"/>
          <w:b/>
          <w:bCs/>
          <w:sz w:val="20"/>
          <w:lang w:val="lv-LV"/>
        </w:rPr>
      </w:pPr>
    </w:p>
    <w:p w14:paraId="7DC9C0C9" w14:textId="77777777" w:rsidR="009874AD" w:rsidRPr="00675182" w:rsidRDefault="009874AD" w:rsidP="009874AD">
      <w:pPr>
        <w:pStyle w:val="BodyText"/>
        <w:spacing w:after="0"/>
        <w:rPr>
          <w:rFonts w:cstheme="minorHAnsi"/>
          <w:b/>
          <w:bCs/>
          <w:sz w:val="20"/>
          <w:lang w:val="lv-LV"/>
        </w:rPr>
      </w:pPr>
      <w:r w:rsidRPr="00675182">
        <w:rPr>
          <w:rFonts w:cstheme="minorHAnsi"/>
          <w:b/>
          <w:bCs/>
          <w:sz w:val="20"/>
          <w:lang w:val="lv-LV"/>
        </w:rPr>
        <w:t>Saīsinājumi:</w:t>
      </w:r>
    </w:p>
    <w:p w14:paraId="3FF5C9DE" w14:textId="77777777" w:rsidR="009874AD" w:rsidRPr="00675182" w:rsidRDefault="009874AD" w:rsidP="009874AD">
      <w:pPr>
        <w:rPr>
          <w:rFonts w:cstheme="minorHAnsi"/>
          <w:spacing w:val="-1"/>
          <w:sz w:val="20"/>
        </w:rPr>
      </w:pPr>
      <w:r w:rsidRPr="00675182">
        <w:rPr>
          <w:rFonts w:cstheme="minorHAnsi"/>
          <w:b/>
          <w:bCs/>
          <w:sz w:val="20"/>
        </w:rPr>
        <w:t>SG</w:t>
      </w:r>
      <w:r w:rsidRPr="00675182">
        <w:rPr>
          <w:rFonts w:cstheme="minorHAnsi"/>
          <w:sz w:val="20"/>
        </w:rPr>
        <w:t xml:space="preserve"> – </w:t>
      </w:r>
      <w:r w:rsidRPr="00675182">
        <w:rPr>
          <w:rFonts w:cstheme="minorHAnsi"/>
          <w:spacing w:val="-1"/>
          <w:sz w:val="20"/>
        </w:rPr>
        <w:t xml:space="preserve">Latvijas Sarkanā grāmata. LSG tiek lietotas šādas apdraudēto sugu kategorijas: </w:t>
      </w:r>
      <w:r w:rsidRPr="00675182">
        <w:rPr>
          <w:rFonts w:cstheme="minorHAnsi"/>
          <w:b/>
          <w:bCs/>
          <w:sz w:val="20"/>
        </w:rPr>
        <w:t>I</w:t>
      </w:r>
      <w:r w:rsidRPr="00675182">
        <w:rPr>
          <w:rFonts w:cstheme="minorHAnsi"/>
          <w:sz w:val="20"/>
        </w:rPr>
        <w:t xml:space="preserve"> - izzūdošās sugas; </w:t>
      </w:r>
      <w:r w:rsidRPr="00675182">
        <w:rPr>
          <w:rFonts w:cstheme="minorHAnsi"/>
          <w:b/>
          <w:bCs/>
          <w:sz w:val="20"/>
        </w:rPr>
        <w:t>II</w:t>
      </w:r>
      <w:r w:rsidRPr="00675182">
        <w:rPr>
          <w:rFonts w:cstheme="minorHAnsi"/>
          <w:sz w:val="20"/>
        </w:rPr>
        <w:t xml:space="preserve"> </w:t>
      </w:r>
      <w:r w:rsidRPr="00675182">
        <w:rPr>
          <w:rFonts w:cstheme="minorHAnsi"/>
          <w:spacing w:val="-1"/>
          <w:sz w:val="20"/>
        </w:rPr>
        <w:t xml:space="preserve">- sarūkošās sugas; </w:t>
      </w:r>
      <w:r w:rsidRPr="00675182">
        <w:rPr>
          <w:rFonts w:cstheme="minorHAnsi"/>
          <w:b/>
          <w:bCs/>
          <w:spacing w:val="-1"/>
          <w:sz w:val="20"/>
        </w:rPr>
        <w:t>III</w:t>
      </w:r>
      <w:r w:rsidRPr="00675182">
        <w:rPr>
          <w:rFonts w:cstheme="minorHAnsi"/>
          <w:spacing w:val="-1"/>
          <w:sz w:val="20"/>
        </w:rPr>
        <w:t xml:space="preserve"> - retās sugas; </w:t>
      </w:r>
      <w:r w:rsidRPr="00675182">
        <w:rPr>
          <w:rFonts w:cstheme="minorHAnsi"/>
          <w:b/>
          <w:bCs/>
          <w:spacing w:val="-1"/>
          <w:sz w:val="20"/>
        </w:rPr>
        <w:t>IV</w:t>
      </w:r>
      <w:r w:rsidRPr="00675182">
        <w:rPr>
          <w:rFonts w:cstheme="minorHAnsi"/>
          <w:spacing w:val="-1"/>
          <w:sz w:val="20"/>
        </w:rPr>
        <w:t xml:space="preserve"> - maz pazīstamās sugas.</w:t>
      </w:r>
    </w:p>
    <w:p w14:paraId="534E2463" w14:textId="0C5B57CC" w:rsidR="009874AD" w:rsidRPr="00675182" w:rsidRDefault="009874AD" w:rsidP="009874AD">
      <w:pPr>
        <w:rPr>
          <w:rFonts w:cstheme="minorHAnsi"/>
          <w:sz w:val="20"/>
          <w:szCs w:val="24"/>
        </w:rPr>
      </w:pPr>
      <w:r w:rsidRPr="00675182">
        <w:rPr>
          <w:rFonts w:cstheme="minorHAnsi"/>
          <w:b/>
          <w:bCs/>
          <w:sz w:val="20"/>
          <w:szCs w:val="24"/>
        </w:rPr>
        <w:t>ES</w:t>
      </w:r>
      <w:r w:rsidRPr="00675182">
        <w:rPr>
          <w:rFonts w:cstheme="minorHAnsi"/>
          <w:sz w:val="20"/>
          <w:szCs w:val="24"/>
        </w:rPr>
        <w:t xml:space="preserve"> – Eiropas Padomes direktīva 92/43/EEK (21.05.1992) Par dabisko dzīvotņu, savvaļas floras un faunas aizsardzību. </w:t>
      </w:r>
      <w:r w:rsidRPr="00675182">
        <w:rPr>
          <w:rFonts w:cstheme="minorHAnsi"/>
          <w:b/>
          <w:sz w:val="20"/>
          <w:szCs w:val="24"/>
        </w:rPr>
        <w:t>II</w:t>
      </w:r>
      <w:r w:rsidRPr="00675182">
        <w:rPr>
          <w:rFonts w:cstheme="minorHAnsi"/>
          <w:sz w:val="20"/>
          <w:szCs w:val="24"/>
        </w:rPr>
        <w:t xml:space="preserve"> pielikums. Dzīvnieku un augu sugas, kas ir Kopienas interešu sfērā un kuru aizsardzībai nepieciešama </w:t>
      </w:r>
      <w:r w:rsidR="00CD689F">
        <w:rPr>
          <w:rFonts w:cstheme="minorHAnsi"/>
          <w:sz w:val="20"/>
          <w:szCs w:val="24"/>
        </w:rPr>
        <w:t>ĪA</w:t>
      </w:r>
      <w:r w:rsidRPr="00675182">
        <w:rPr>
          <w:rFonts w:cstheme="minorHAnsi"/>
          <w:sz w:val="20"/>
          <w:szCs w:val="24"/>
        </w:rPr>
        <w:t xml:space="preserve"> teritoriju nodalīšana. </w:t>
      </w:r>
      <w:r w:rsidRPr="00675182">
        <w:rPr>
          <w:rFonts w:cstheme="minorHAnsi"/>
          <w:b/>
          <w:sz w:val="20"/>
          <w:szCs w:val="24"/>
        </w:rPr>
        <w:t>V</w:t>
      </w:r>
      <w:r w:rsidRPr="00675182">
        <w:rPr>
          <w:rFonts w:cstheme="minorHAnsi"/>
          <w:sz w:val="20"/>
          <w:szCs w:val="24"/>
        </w:rPr>
        <w:t xml:space="preserve"> pielikums. Dzīvnieku un augu sugas, kas ir Kopienas interešu sfērā un kuru iegūšana un ekspluatācija dabā var būt pieļaujama.</w:t>
      </w:r>
    </w:p>
    <w:p w14:paraId="77D6C287" w14:textId="77777777" w:rsidR="009874AD" w:rsidRPr="00675182" w:rsidRDefault="009874AD" w:rsidP="009874AD">
      <w:pPr>
        <w:rPr>
          <w:rFonts w:cstheme="minorHAnsi"/>
          <w:sz w:val="20"/>
          <w:szCs w:val="24"/>
        </w:rPr>
      </w:pPr>
      <w:r w:rsidRPr="00675182">
        <w:rPr>
          <w:rFonts w:cstheme="minorHAnsi"/>
          <w:b/>
          <w:bCs/>
          <w:sz w:val="20"/>
          <w:szCs w:val="24"/>
        </w:rPr>
        <w:t>ĪAS</w:t>
      </w:r>
      <w:r w:rsidRPr="00675182">
        <w:rPr>
          <w:rFonts w:cstheme="minorHAnsi"/>
          <w:sz w:val="20"/>
          <w:szCs w:val="24"/>
        </w:rPr>
        <w:t xml:space="preserve"> – īpaši aizsargājama suga (MK noteikumi Nr. 396. ”Noteikumi par īpaši aizsargājamo sugu un ierobežoti izmantojamo īpaši aizsargājamo sugu sarakstu”, 14.11.2000., grozījumi 27.07.2004.)</w:t>
      </w:r>
    </w:p>
    <w:p w14:paraId="696727BE" w14:textId="17232AF1" w:rsidR="00E752AD" w:rsidRDefault="009874AD" w:rsidP="00385CDA">
      <w:pPr>
        <w:rPr>
          <w:rFonts w:cstheme="minorHAnsi"/>
          <w:sz w:val="20"/>
          <w:szCs w:val="24"/>
        </w:rPr>
      </w:pPr>
      <w:r w:rsidRPr="00675182">
        <w:rPr>
          <w:rFonts w:cstheme="minorHAnsi"/>
          <w:b/>
          <w:sz w:val="20"/>
          <w:szCs w:val="24"/>
        </w:rPr>
        <w:lastRenderedPageBreak/>
        <w:t xml:space="preserve">MIK </w:t>
      </w:r>
      <w:r w:rsidRPr="00675182">
        <w:rPr>
          <w:rFonts w:cstheme="minorHAnsi"/>
          <w:sz w:val="20"/>
          <w:szCs w:val="24"/>
        </w:rPr>
        <w:t>– sugas aizsardzībai veidojams mikroliegums, 2. pielikums MK 2012. gada 18. decembra noteikumiem Nr. 940 „Noteikumi par mikroliegumu izveidošanas un apsaimniekošanas kārtību, to aizsardzību, kā arī mikroliegumu un to buferzonu noteikšanu”</w:t>
      </w:r>
    </w:p>
    <w:p w14:paraId="3B332BFA" w14:textId="352AFA26" w:rsidR="00337B09" w:rsidRDefault="00337B09" w:rsidP="00385CDA">
      <w:pPr>
        <w:rPr>
          <w:rFonts w:cstheme="minorHAnsi"/>
          <w:sz w:val="20"/>
          <w:szCs w:val="24"/>
        </w:rPr>
      </w:pPr>
    </w:p>
    <w:p w14:paraId="32136642" w14:textId="38037FCF" w:rsidR="00337B09" w:rsidRPr="00315BC7" w:rsidRDefault="00337B09" w:rsidP="006D6576">
      <w:pPr>
        <w:pStyle w:val="BodyText"/>
        <w:keepNext/>
        <w:keepLines/>
        <w:spacing w:after="0"/>
        <w:rPr>
          <w:rFonts w:cstheme="minorBidi"/>
          <w:b/>
          <w:bCs/>
          <w:i/>
          <w:iCs/>
          <w:lang w:val="lv-LV"/>
        </w:rPr>
      </w:pPr>
      <w:r w:rsidRPr="00675182">
        <w:rPr>
          <w:rFonts w:cstheme="minorHAnsi"/>
          <w:b/>
          <w:i/>
          <w:lang w:val="lv-LV"/>
        </w:rPr>
        <w:t>2.4.</w:t>
      </w:r>
      <w:r w:rsidR="00EC016A">
        <w:rPr>
          <w:rFonts w:cstheme="minorHAnsi"/>
          <w:b/>
          <w:i/>
          <w:lang w:val="lv-LV"/>
        </w:rPr>
        <w:t>3</w:t>
      </w:r>
      <w:r w:rsidRPr="00675182">
        <w:rPr>
          <w:rFonts w:cstheme="minorHAnsi"/>
          <w:b/>
          <w:i/>
          <w:lang w:val="lv-LV"/>
        </w:rPr>
        <w:t>.</w:t>
      </w:r>
      <w:r>
        <w:rPr>
          <w:rFonts w:cstheme="minorHAnsi"/>
          <w:b/>
          <w:i/>
          <w:lang w:val="lv-LV"/>
        </w:rPr>
        <w:t>B.</w:t>
      </w:r>
      <w:r w:rsidRPr="00675182">
        <w:rPr>
          <w:rFonts w:cstheme="minorHAnsi"/>
          <w:b/>
          <w:i/>
          <w:lang w:val="lv-LV"/>
        </w:rPr>
        <w:t xml:space="preserve"> tabula. </w:t>
      </w:r>
      <w:r w:rsidRPr="00315BC7">
        <w:rPr>
          <w:rFonts w:cstheme="minorBidi"/>
          <w:b/>
          <w:bCs/>
          <w:i/>
          <w:iCs/>
          <w:lang w:val="lv-LV"/>
        </w:rPr>
        <w:t xml:space="preserve">Biotopu direktīvas pielikumos iekļauto </w:t>
      </w:r>
      <w:r>
        <w:rPr>
          <w:rFonts w:cstheme="minorBidi"/>
          <w:b/>
          <w:bCs/>
          <w:i/>
          <w:iCs/>
          <w:lang w:val="lv-LV"/>
        </w:rPr>
        <w:t>sūnu sugu</w:t>
      </w:r>
      <w:r w:rsidRPr="00315BC7">
        <w:rPr>
          <w:rFonts w:cstheme="minorBidi"/>
          <w:b/>
          <w:bCs/>
          <w:i/>
          <w:iCs/>
          <w:lang w:val="lv-LV"/>
        </w:rPr>
        <w:t xml:space="preserve"> populāciju lielums un sugu dzīvotņu platība </w:t>
      </w:r>
      <w:r>
        <w:rPr>
          <w:rFonts w:cstheme="minorBidi"/>
          <w:b/>
          <w:bCs/>
          <w:i/>
          <w:iCs/>
          <w:lang w:val="lv-LV"/>
        </w:rPr>
        <w:t>GNP</w:t>
      </w:r>
    </w:p>
    <w:tbl>
      <w:tblPr>
        <w:tblW w:w="5000" w:type="pct"/>
        <w:tblLook w:val="04A0" w:firstRow="1" w:lastRow="0" w:firstColumn="1" w:lastColumn="0" w:noHBand="0" w:noVBand="1"/>
      </w:tblPr>
      <w:tblGrid>
        <w:gridCol w:w="1919"/>
        <w:gridCol w:w="1138"/>
        <w:gridCol w:w="1478"/>
        <w:gridCol w:w="2123"/>
        <w:gridCol w:w="1559"/>
        <w:gridCol w:w="1275"/>
        <w:gridCol w:w="1986"/>
        <w:gridCol w:w="2469"/>
      </w:tblGrid>
      <w:tr w:rsidR="00DD03EC" w:rsidRPr="007B30AD" w14:paraId="19C44D6B" w14:textId="77777777" w:rsidTr="00DD03EC">
        <w:trPr>
          <w:trHeight w:val="663"/>
          <w:tblHeader/>
        </w:trPr>
        <w:tc>
          <w:tcPr>
            <w:tcW w:w="688"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D46CE4A" w14:textId="77777777" w:rsidR="00337B09" w:rsidRPr="00315BC7" w:rsidRDefault="00337B09" w:rsidP="006D6576">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 xml:space="preserve">Sugas nosaukums </w:t>
            </w:r>
          </w:p>
          <w:p w14:paraId="1064BE55" w14:textId="77777777" w:rsidR="00337B09" w:rsidRPr="00315BC7" w:rsidRDefault="00337B09" w:rsidP="006D6576">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(latviski un latīniski)</w:t>
            </w:r>
          </w:p>
          <w:p w14:paraId="03E6875E" w14:textId="77777777" w:rsidR="00337B09" w:rsidRPr="00315BC7" w:rsidRDefault="00337B09" w:rsidP="006D6576">
            <w:pPr>
              <w:keepNext/>
              <w:keepLines/>
              <w:jc w:val="center"/>
              <w:rPr>
                <w:rFonts w:eastAsia="Times New Roman" w:cstheme="minorHAnsi"/>
                <w:b/>
                <w:sz w:val="18"/>
                <w:szCs w:val="18"/>
                <w:lang w:eastAsia="en-GB"/>
              </w:rPr>
            </w:pPr>
          </w:p>
        </w:tc>
        <w:tc>
          <w:tcPr>
            <w:tcW w:w="938" w:type="pct"/>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DE3D560" w14:textId="77777777" w:rsidR="00337B09" w:rsidRPr="00315BC7" w:rsidRDefault="00337B09" w:rsidP="006D6576">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Sugas populācijas novērtējums teritorijā</w:t>
            </w:r>
          </w:p>
        </w:tc>
        <w:tc>
          <w:tcPr>
            <w:tcW w:w="761"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87D8E80" w14:textId="77777777" w:rsidR="00337B09" w:rsidRPr="00315BC7" w:rsidRDefault="00337B09" w:rsidP="006D6576">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Teritorijā esošās sugas populācijas attiecība (%) pret sugas populāciju Natura 2000 teritorijās Latvijā kopumā</w:t>
            </w:r>
          </w:p>
        </w:tc>
        <w:tc>
          <w:tcPr>
            <w:tcW w:w="559"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3D0C168" w14:textId="77777777" w:rsidR="00337B09" w:rsidRPr="00315BC7" w:rsidRDefault="00337B09" w:rsidP="006D6576">
            <w:pPr>
              <w:keepNext/>
              <w:keepLines/>
              <w:suppressAutoHyphens w:val="0"/>
              <w:jc w:val="center"/>
              <w:rPr>
                <w:rFonts w:eastAsia="Times New Roman" w:cstheme="minorHAnsi"/>
                <w:b/>
                <w:sz w:val="18"/>
                <w:szCs w:val="18"/>
                <w:lang w:eastAsia="en-GB"/>
              </w:rPr>
            </w:pPr>
            <w:r w:rsidRPr="00315BC7">
              <w:rPr>
                <w:rFonts w:eastAsia="Times New Roman" w:cstheme="minorHAnsi"/>
                <w:b/>
                <w:sz w:val="18"/>
                <w:szCs w:val="18"/>
                <w:lang w:eastAsia="en-GB"/>
              </w:rPr>
              <w:t>Teritorijā esošās sugas populācijas attiecība (%) pret sugas populāciju valstī</w:t>
            </w:r>
          </w:p>
        </w:tc>
        <w:tc>
          <w:tcPr>
            <w:tcW w:w="457"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A9884C0" w14:textId="77777777" w:rsidR="00337B09" w:rsidRPr="00315BC7" w:rsidRDefault="00337B09" w:rsidP="006D6576">
            <w:pPr>
              <w:keepNext/>
              <w:keepLines/>
              <w:jc w:val="center"/>
              <w:rPr>
                <w:rFonts w:cstheme="minorHAnsi"/>
                <w:b/>
                <w:sz w:val="18"/>
                <w:szCs w:val="18"/>
              </w:rPr>
            </w:pPr>
            <w:r w:rsidRPr="00315BC7">
              <w:rPr>
                <w:rFonts w:cstheme="minorHAnsi"/>
                <w:b/>
                <w:sz w:val="18"/>
                <w:szCs w:val="18"/>
              </w:rPr>
              <w:t>Sugas dzīvotnes platība (ha)</w:t>
            </w:r>
          </w:p>
        </w:tc>
        <w:tc>
          <w:tcPr>
            <w:tcW w:w="712"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829AF02" w14:textId="77777777" w:rsidR="00337B09" w:rsidRPr="00315BC7" w:rsidRDefault="00337B09" w:rsidP="006D6576">
            <w:pPr>
              <w:keepNext/>
              <w:keepLines/>
              <w:jc w:val="center"/>
              <w:rPr>
                <w:rFonts w:cstheme="minorHAnsi"/>
                <w:b/>
                <w:sz w:val="18"/>
                <w:szCs w:val="18"/>
              </w:rPr>
            </w:pPr>
            <w:r w:rsidRPr="00315BC7">
              <w:rPr>
                <w:rFonts w:cstheme="minorHAnsi"/>
                <w:b/>
                <w:sz w:val="18"/>
                <w:szCs w:val="18"/>
              </w:rPr>
              <w:t>Sugas dzīvotnes platības attiecība (%) pret sugas dzīvotnes platību Natura 2000 teritorijās Latvijā kopumā</w:t>
            </w:r>
          </w:p>
        </w:tc>
        <w:tc>
          <w:tcPr>
            <w:tcW w:w="88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22BEA31" w14:textId="77777777" w:rsidR="00337B09" w:rsidRPr="00315BC7" w:rsidRDefault="00337B09" w:rsidP="006D6576">
            <w:pPr>
              <w:keepNext/>
              <w:keepLines/>
              <w:jc w:val="center"/>
              <w:rPr>
                <w:rFonts w:cstheme="minorHAnsi"/>
                <w:b/>
                <w:sz w:val="18"/>
                <w:szCs w:val="18"/>
              </w:rPr>
            </w:pPr>
            <w:r w:rsidRPr="00315BC7">
              <w:rPr>
                <w:rFonts w:cstheme="minorHAnsi"/>
                <w:b/>
                <w:sz w:val="18"/>
                <w:szCs w:val="18"/>
              </w:rPr>
              <w:t>Sugas dzīvotnes platības attiecība (%) pret sugas dzīvotnes platību valstī</w:t>
            </w:r>
          </w:p>
        </w:tc>
      </w:tr>
      <w:tr w:rsidR="00DD03EC" w:rsidRPr="007B30AD" w14:paraId="00589519" w14:textId="77777777" w:rsidTr="00DD03EC">
        <w:trPr>
          <w:trHeight w:val="300"/>
        </w:trPr>
        <w:tc>
          <w:tcPr>
            <w:tcW w:w="688" w:type="pct"/>
            <w:vMerge/>
            <w:tcBorders>
              <w:top w:val="single" w:sz="4" w:space="0" w:color="auto"/>
              <w:left w:val="single" w:sz="4" w:space="0" w:color="auto"/>
              <w:bottom w:val="single" w:sz="4" w:space="0" w:color="auto"/>
              <w:right w:val="single" w:sz="4" w:space="0" w:color="auto"/>
            </w:tcBorders>
            <w:vAlign w:val="center"/>
            <w:hideMark/>
          </w:tcPr>
          <w:p w14:paraId="1ADABFD7" w14:textId="77777777" w:rsidR="00337B09" w:rsidRPr="007B30AD" w:rsidRDefault="00337B09" w:rsidP="00711C3A">
            <w:pPr>
              <w:suppressAutoHyphens w:val="0"/>
              <w:rPr>
                <w:rFonts w:eastAsia="Times New Roman" w:cstheme="minorHAnsi"/>
                <w:sz w:val="22"/>
                <w:szCs w:val="22"/>
                <w:lang w:eastAsia="en-GB"/>
              </w:rPr>
            </w:pPr>
          </w:p>
        </w:tc>
        <w:tc>
          <w:tcPr>
            <w:tcW w:w="40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4FE56E6" w14:textId="77777777" w:rsidR="00337B09" w:rsidRPr="00315BC7" w:rsidRDefault="00337B09" w:rsidP="00711C3A">
            <w:pPr>
              <w:suppressAutoHyphens w:val="0"/>
              <w:rPr>
                <w:rFonts w:eastAsia="Times New Roman" w:cstheme="minorHAnsi"/>
                <w:b/>
                <w:sz w:val="18"/>
                <w:szCs w:val="18"/>
                <w:lang w:eastAsia="en-GB"/>
              </w:rPr>
            </w:pPr>
            <w:r w:rsidRPr="00315BC7">
              <w:rPr>
                <w:rFonts w:eastAsia="Times New Roman" w:cstheme="minorHAnsi"/>
                <w:b/>
                <w:sz w:val="18"/>
                <w:szCs w:val="18"/>
                <w:lang w:eastAsia="en-GB"/>
              </w:rPr>
              <w:t>Min.</w:t>
            </w:r>
          </w:p>
        </w:tc>
        <w:tc>
          <w:tcPr>
            <w:tcW w:w="53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C588D72" w14:textId="77777777" w:rsidR="00337B09" w:rsidRPr="00315BC7" w:rsidRDefault="00337B09" w:rsidP="00711C3A">
            <w:pPr>
              <w:suppressAutoHyphens w:val="0"/>
              <w:rPr>
                <w:rFonts w:eastAsia="Times New Roman" w:cstheme="minorHAnsi"/>
                <w:b/>
                <w:sz w:val="18"/>
                <w:szCs w:val="18"/>
                <w:lang w:eastAsia="en-GB"/>
              </w:rPr>
            </w:pPr>
            <w:r w:rsidRPr="00315BC7">
              <w:rPr>
                <w:rFonts w:eastAsia="Times New Roman" w:cstheme="minorHAnsi"/>
                <w:b/>
                <w:sz w:val="18"/>
                <w:szCs w:val="18"/>
                <w:lang w:eastAsia="en-GB"/>
              </w:rPr>
              <w:t>Maks.</w:t>
            </w:r>
          </w:p>
        </w:tc>
        <w:tc>
          <w:tcPr>
            <w:tcW w:w="761" w:type="pct"/>
            <w:vMerge/>
            <w:tcBorders>
              <w:top w:val="single" w:sz="4" w:space="0" w:color="auto"/>
              <w:left w:val="single" w:sz="4" w:space="0" w:color="auto"/>
              <w:bottom w:val="single" w:sz="4" w:space="0" w:color="auto"/>
              <w:right w:val="single" w:sz="4" w:space="0" w:color="auto"/>
            </w:tcBorders>
            <w:vAlign w:val="center"/>
            <w:hideMark/>
          </w:tcPr>
          <w:p w14:paraId="2C372ABA" w14:textId="77777777" w:rsidR="00337B09" w:rsidRPr="007B30AD" w:rsidRDefault="00337B09" w:rsidP="00711C3A">
            <w:pPr>
              <w:suppressAutoHyphens w:val="0"/>
              <w:rPr>
                <w:rFonts w:eastAsia="Times New Roman" w:cstheme="minorHAnsi"/>
                <w:sz w:val="22"/>
                <w:szCs w:val="22"/>
                <w:lang w:eastAsia="en-GB"/>
              </w:rPr>
            </w:pPr>
          </w:p>
        </w:tc>
        <w:tc>
          <w:tcPr>
            <w:tcW w:w="559" w:type="pct"/>
            <w:vMerge/>
            <w:tcBorders>
              <w:top w:val="single" w:sz="4" w:space="0" w:color="auto"/>
              <w:left w:val="single" w:sz="4" w:space="0" w:color="auto"/>
              <w:bottom w:val="single" w:sz="4" w:space="0" w:color="auto"/>
              <w:right w:val="single" w:sz="4" w:space="0" w:color="auto"/>
            </w:tcBorders>
            <w:vAlign w:val="center"/>
            <w:hideMark/>
          </w:tcPr>
          <w:p w14:paraId="5B6EF304" w14:textId="77777777" w:rsidR="00337B09" w:rsidRPr="007B30AD" w:rsidRDefault="00337B09" w:rsidP="00711C3A">
            <w:pPr>
              <w:suppressAutoHyphens w:val="0"/>
              <w:rPr>
                <w:rFonts w:eastAsia="Times New Roman" w:cstheme="minorHAnsi"/>
                <w:sz w:val="22"/>
                <w:szCs w:val="22"/>
                <w:lang w:eastAsia="en-GB"/>
              </w:rPr>
            </w:pPr>
          </w:p>
        </w:tc>
        <w:tc>
          <w:tcPr>
            <w:tcW w:w="457" w:type="pct"/>
            <w:vMerge/>
            <w:tcBorders>
              <w:top w:val="single" w:sz="4" w:space="0" w:color="auto"/>
              <w:left w:val="single" w:sz="4" w:space="0" w:color="auto"/>
              <w:bottom w:val="single" w:sz="4" w:space="0" w:color="auto"/>
              <w:right w:val="single" w:sz="4" w:space="0" w:color="auto"/>
            </w:tcBorders>
          </w:tcPr>
          <w:p w14:paraId="4A6DCB4D" w14:textId="77777777" w:rsidR="00337B09" w:rsidRPr="007B30AD" w:rsidRDefault="00337B09" w:rsidP="00711C3A">
            <w:pPr>
              <w:suppressAutoHyphens w:val="0"/>
              <w:rPr>
                <w:rFonts w:eastAsia="Times New Roman" w:cstheme="minorHAnsi"/>
                <w:sz w:val="22"/>
                <w:szCs w:val="22"/>
                <w:highlight w:val="yellow"/>
                <w:lang w:eastAsia="en-GB"/>
              </w:rPr>
            </w:pPr>
          </w:p>
        </w:tc>
        <w:tc>
          <w:tcPr>
            <w:tcW w:w="712" w:type="pct"/>
            <w:vMerge/>
            <w:tcBorders>
              <w:top w:val="single" w:sz="4" w:space="0" w:color="auto"/>
              <w:left w:val="single" w:sz="4" w:space="0" w:color="auto"/>
              <w:bottom w:val="single" w:sz="4" w:space="0" w:color="auto"/>
              <w:right w:val="single" w:sz="4" w:space="0" w:color="auto"/>
            </w:tcBorders>
          </w:tcPr>
          <w:p w14:paraId="711D238F" w14:textId="77777777" w:rsidR="00337B09" w:rsidRPr="007B30AD" w:rsidRDefault="00337B09" w:rsidP="00711C3A">
            <w:pPr>
              <w:suppressAutoHyphens w:val="0"/>
              <w:rPr>
                <w:rFonts w:eastAsia="Times New Roman" w:cstheme="minorHAnsi"/>
                <w:sz w:val="22"/>
                <w:szCs w:val="22"/>
                <w:highlight w:val="yellow"/>
                <w:lang w:eastAsia="en-GB"/>
              </w:rPr>
            </w:pPr>
          </w:p>
        </w:tc>
        <w:tc>
          <w:tcPr>
            <w:tcW w:w="885" w:type="pct"/>
            <w:vMerge/>
            <w:tcBorders>
              <w:top w:val="single" w:sz="4" w:space="0" w:color="auto"/>
              <w:left w:val="single" w:sz="4" w:space="0" w:color="auto"/>
              <w:bottom w:val="single" w:sz="4" w:space="0" w:color="auto"/>
              <w:right w:val="single" w:sz="4" w:space="0" w:color="auto"/>
            </w:tcBorders>
          </w:tcPr>
          <w:p w14:paraId="05EA15F2" w14:textId="77777777" w:rsidR="00337B09" w:rsidRPr="007B30AD" w:rsidRDefault="00337B09" w:rsidP="00711C3A">
            <w:pPr>
              <w:suppressAutoHyphens w:val="0"/>
              <w:rPr>
                <w:rFonts w:eastAsia="Times New Roman" w:cstheme="minorHAnsi"/>
                <w:sz w:val="22"/>
                <w:szCs w:val="22"/>
                <w:highlight w:val="yellow"/>
                <w:lang w:eastAsia="en-GB"/>
              </w:rPr>
            </w:pPr>
          </w:p>
        </w:tc>
      </w:tr>
      <w:tr w:rsidR="00DD03EC" w:rsidRPr="007B30AD" w14:paraId="233B7B64" w14:textId="77777777" w:rsidTr="00DD03EC">
        <w:trPr>
          <w:trHeight w:val="495"/>
        </w:trPr>
        <w:tc>
          <w:tcPr>
            <w:tcW w:w="688" w:type="pct"/>
            <w:tcBorders>
              <w:top w:val="single" w:sz="4" w:space="0" w:color="auto"/>
              <w:left w:val="single" w:sz="4" w:space="0" w:color="auto"/>
              <w:bottom w:val="single" w:sz="4" w:space="0" w:color="auto"/>
              <w:right w:val="single" w:sz="4" w:space="0" w:color="auto"/>
            </w:tcBorders>
            <w:vAlign w:val="center"/>
            <w:hideMark/>
          </w:tcPr>
          <w:p w14:paraId="3667D434" w14:textId="4484FFA3" w:rsidR="00DD03EC" w:rsidRPr="007B30AD" w:rsidRDefault="00DD03EC" w:rsidP="00DD03EC">
            <w:pPr>
              <w:suppressAutoHyphens w:val="0"/>
              <w:rPr>
                <w:rFonts w:eastAsia="Times New Roman" w:cstheme="minorHAnsi"/>
                <w:sz w:val="22"/>
                <w:szCs w:val="22"/>
                <w:lang w:eastAsia="en-GB"/>
              </w:rPr>
            </w:pPr>
            <w:r w:rsidRPr="00675182">
              <w:rPr>
                <w:rFonts w:cstheme="minorHAnsi"/>
                <w:color w:val="000000"/>
                <w:sz w:val="22"/>
                <w:szCs w:val="22"/>
              </w:rPr>
              <w:t>Spīdīgā āķīte</w:t>
            </w:r>
            <w:r w:rsidRPr="00675182">
              <w:rPr>
                <w:rFonts w:cstheme="minorHAnsi"/>
                <w:i/>
                <w:iCs/>
                <w:color w:val="000000"/>
                <w:sz w:val="22"/>
                <w:szCs w:val="22"/>
              </w:rPr>
              <w:t xml:space="preserve"> Hamatocaulis (Drepanocladus) vernicosus</w:t>
            </w:r>
          </w:p>
        </w:tc>
        <w:tc>
          <w:tcPr>
            <w:tcW w:w="408" w:type="pct"/>
            <w:tcBorders>
              <w:top w:val="single" w:sz="4" w:space="0" w:color="auto"/>
              <w:left w:val="nil"/>
              <w:bottom w:val="single" w:sz="4" w:space="0" w:color="auto"/>
              <w:right w:val="single" w:sz="4" w:space="0" w:color="auto"/>
            </w:tcBorders>
            <w:shd w:val="clear" w:color="auto" w:fill="auto"/>
            <w:noWrap/>
            <w:vAlign w:val="center"/>
          </w:tcPr>
          <w:p w14:paraId="48449B05" w14:textId="0062C17B"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44 m</w:t>
            </w:r>
            <w:r>
              <w:rPr>
                <w:rFonts w:eastAsia="Times New Roman" w:cstheme="minorHAnsi"/>
                <w:sz w:val="22"/>
                <w:szCs w:val="22"/>
                <w:vertAlign w:val="superscript"/>
                <w:lang w:eastAsia="en-GB"/>
              </w:rPr>
              <w:t>2</w:t>
            </w:r>
          </w:p>
        </w:tc>
        <w:tc>
          <w:tcPr>
            <w:tcW w:w="530" w:type="pct"/>
            <w:tcBorders>
              <w:top w:val="single" w:sz="4" w:space="0" w:color="auto"/>
              <w:left w:val="nil"/>
              <w:bottom w:val="single" w:sz="4" w:space="0" w:color="auto"/>
              <w:right w:val="single" w:sz="4" w:space="0" w:color="auto"/>
            </w:tcBorders>
            <w:shd w:val="clear" w:color="auto" w:fill="auto"/>
            <w:vAlign w:val="center"/>
          </w:tcPr>
          <w:p w14:paraId="0AFBD747" w14:textId="67A53B1C"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45 m</w:t>
            </w:r>
            <w:r>
              <w:rPr>
                <w:rFonts w:eastAsia="Times New Roman" w:cstheme="minorHAnsi"/>
                <w:sz w:val="22"/>
                <w:szCs w:val="22"/>
                <w:vertAlign w:val="superscript"/>
                <w:lang w:eastAsia="en-GB"/>
              </w:rPr>
              <w:t>2</w:t>
            </w:r>
          </w:p>
        </w:tc>
        <w:tc>
          <w:tcPr>
            <w:tcW w:w="761" w:type="pct"/>
            <w:tcBorders>
              <w:top w:val="single" w:sz="4" w:space="0" w:color="auto"/>
              <w:left w:val="nil"/>
              <w:bottom w:val="single" w:sz="4" w:space="0" w:color="auto"/>
              <w:right w:val="single" w:sz="4" w:space="0" w:color="auto"/>
            </w:tcBorders>
            <w:shd w:val="clear" w:color="auto" w:fill="auto"/>
            <w:vAlign w:val="center"/>
          </w:tcPr>
          <w:p w14:paraId="7A7E64B4" w14:textId="48D9A08D"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75</w:t>
            </w:r>
          </w:p>
        </w:tc>
        <w:tc>
          <w:tcPr>
            <w:tcW w:w="559" w:type="pct"/>
            <w:tcBorders>
              <w:top w:val="single" w:sz="4" w:space="0" w:color="auto"/>
              <w:left w:val="nil"/>
              <w:bottom w:val="single" w:sz="4" w:space="0" w:color="auto"/>
              <w:right w:val="single" w:sz="4" w:space="0" w:color="auto"/>
            </w:tcBorders>
            <w:shd w:val="clear" w:color="auto" w:fill="auto"/>
            <w:vAlign w:val="center"/>
          </w:tcPr>
          <w:p w14:paraId="5DEA4A25" w14:textId="5FF1215B"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3</w:t>
            </w:r>
          </w:p>
        </w:tc>
        <w:tc>
          <w:tcPr>
            <w:tcW w:w="457" w:type="pct"/>
            <w:tcBorders>
              <w:top w:val="single" w:sz="4" w:space="0" w:color="auto"/>
              <w:left w:val="nil"/>
              <w:bottom w:val="single" w:sz="4" w:space="0" w:color="auto"/>
              <w:right w:val="single" w:sz="4" w:space="0" w:color="auto"/>
            </w:tcBorders>
            <w:vAlign w:val="center"/>
          </w:tcPr>
          <w:p w14:paraId="002B57EB" w14:textId="40997B9F" w:rsidR="00DD03EC" w:rsidRPr="007B30AD" w:rsidRDefault="00DD03EC" w:rsidP="00DD03EC">
            <w:pPr>
              <w:suppressAutoHyphens w:val="0"/>
              <w:jc w:val="center"/>
              <w:rPr>
                <w:rFonts w:cstheme="minorHAnsi"/>
                <w:sz w:val="22"/>
                <w:szCs w:val="22"/>
                <w:highlight w:val="yellow"/>
              </w:rPr>
            </w:pPr>
            <w:r>
              <w:rPr>
                <w:rFonts w:cstheme="minorHAnsi"/>
                <w:sz w:val="22"/>
                <w:szCs w:val="22"/>
              </w:rPr>
              <w:t>45,6</w:t>
            </w:r>
          </w:p>
        </w:tc>
        <w:tc>
          <w:tcPr>
            <w:tcW w:w="712" w:type="pct"/>
            <w:tcBorders>
              <w:top w:val="single" w:sz="4" w:space="0" w:color="auto"/>
              <w:left w:val="nil"/>
              <w:bottom w:val="single" w:sz="4" w:space="0" w:color="auto"/>
              <w:right w:val="single" w:sz="4" w:space="0" w:color="auto"/>
            </w:tcBorders>
            <w:vAlign w:val="center"/>
          </w:tcPr>
          <w:p w14:paraId="19D88A1F" w14:textId="219A9F02" w:rsidR="00DD03EC" w:rsidRPr="007B30AD" w:rsidRDefault="00DD03EC" w:rsidP="00DD03EC">
            <w:pPr>
              <w:suppressAutoHyphens w:val="0"/>
              <w:jc w:val="center"/>
              <w:rPr>
                <w:rFonts w:cstheme="minorHAnsi"/>
                <w:sz w:val="22"/>
                <w:szCs w:val="22"/>
                <w:highlight w:val="yellow"/>
              </w:rPr>
            </w:pPr>
            <w:r>
              <w:rPr>
                <w:rFonts w:cstheme="minorHAnsi"/>
                <w:sz w:val="22"/>
                <w:szCs w:val="22"/>
              </w:rPr>
              <w:t>Nav datu</w:t>
            </w:r>
            <w:r>
              <w:rPr>
                <w:rStyle w:val="FootnoteReference"/>
                <w:rFonts w:cstheme="minorHAnsi"/>
                <w:sz w:val="22"/>
                <w:szCs w:val="22"/>
              </w:rPr>
              <w:footnoteReference w:id="20"/>
            </w:r>
          </w:p>
        </w:tc>
        <w:tc>
          <w:tcPr>
            <w:tcW w:w="885" w:type="pct"/>
            <w:tcBorders>
              <w:top w:val="single" w:sz="4" w:space="0" w:color="auto"/>
              <w:left w:val="nil"/>
              <w:bottom w:val="single" w:sz="4" w:space="0" w:color="auto"/>
              <w:right w:val="single" w:sz="4" w:space="0" w:color="auto"/>
            </w:tcBorders>
            <w:shd w:val="clear" w:color="auto" w:fill="auto"/>
            <w:vAlign w:val="center"/>
          </w:tcPr>
          <w:p w14:paraId="23378023" w14:textId="0B7A06D2" w:rsidR="00DD03EC" w:rsidRPr="007B30AD" w:rsidRDefault="00DD03EC" w:rsidP="00DD03EC">
            <w:pPr>
              <w:suppressAutoHyphens w:val="0"/>
              <w:jc w:val="center"/>
              <w:rPr>
                <w:rFonts w:cstheme="minorHAnsi"/>
                <w:sz w:val="22"/>
                <w:szCs w:val="22"/>
              </w:rPr>
            </w:pPr>
            <w:r>
              <w:rPr>
                <w:rFonts w:cstheme="minorHAnsi"/>
                <w:sz w:val="22"/>
                <w:szCs w:val="22"/>
              </w:rPr>
              <w:t>Dzīvotnes platība – pārejas purvu biotopu platība, kuros konstatēta suga</w:t>
            </w:r>
          </w:p>
        </w:tc>
      </w:tr>
      <w:tr w:rsidR="00DD03EC" w:rsidRPr="007B30AD" w14:paraId="3BDFDC6C" w14:textId="77777777" w:rsidTr="00DD03EC">
        <w:trPr>
          <w:trHeight w:val="495"/>
        </w:trPr>
        <w:tc>
          <w:tcPr>
            <w:tcW w:w="688" w:type="pct"/>
            <w:tcBorders>
              <w:top w:val="single" w:sz="4" w:space="0" w:color="auto"/>
              <w:left w:val="single" w:sz="4" w:space="0" w:color="auto"/>
              <w:bottom w:val="single" w:sz="4" w:space="0" w:color="auto"/>
              <w:right w:val="single" w:sz="4" w:space="0" w:color="auto"/>
            </w:tcBorders>
            <w:vAlign w:val="center"/>
          </w:tcPr>
          <w:p w14:paraId="0392E1C7" w14:textId="6CD663E0" w:rsidR="00DD03EC" w:rsidRPr="007B30AD" w:rsidRDefault="00DD03EC" w:rsidP="00DD03EC">
            <w:pPr>
              <w:suppressAutoHyphens w:val="0"/>
              <w:rPr>
                <w:rFonts w:eastAsia="Times New Roman" w:cstheme="minorHAnsi"/>
                <w:sz w:val="22"/>
                <w:szCs w:val="22"/>
                <w:lang w:eastAsia="en-GB"/>
              </w:rPr>
            </w:pPr>
            <w:r w:rsidRPr="00675182">
              <w:rPr>
                <w:rFonts w:cstheme="minorHAnsi"/>
                <w:color w:val="000000"/>
                <w:sz w:val="22"/>
                <w:szCs w:val="22"/>
              </w:rPr>
              <w:t>Lapzemes āķīte</w:t>
            </w:r>
            <w:r w:rsidRPr="00675182">
              <w:rPr>
                <w:rFonts w:cstheme="minorHAnsi"/>
                <w:i/>
                <w:iCs/>
                <w:color w:val="000000"/>
                <w:sz w:val="22"/>
                <w:szCs w:val="22"/>
              </w:rPr>
              <w:t xml:space="preserve"> Hamatocaulis lapponicus</w:t>
            </w:r>
          </w:p>
        </w:tc>
        <w:tc>
          <w:tcPr>
            <w:tcW w:w="408" w:type="pct"/>
            <w:tcBorders>
              <w:top w:val="single" w:sz="4" w:space="0" w:color="auto"/>
              <w:left w:val="nil"/>
              <w:bottom w:val="single" w:sz="4" w:space="0" w:color="auto"/>
              <w:right w:val="single" w:sz="4" w:space="0" w:color="auto"/>
            </w:tcBorders>
            <w:shd w:val="clear" w:color="auto" w:fill="auto"/>
            <w:noWrap/>
            <w:vAlign w:val="center"/>
          </w:tcPr>
          <w:p w14:paraId="34EC5474" w14:textId="636452DF"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5 m</w:t>
            </w:r>
            <w:r>
              <w:rPr>
                <w:rFonts w:eastAsia="Times New Roman" w:cstheme="minorHAnsi"/>
                <w:sz w:val="22"/>
                <w:szCs w:val="22"/>
                <w:vertAlign w:val="superscript"/>
                <w:lang w:eastAsia="en-GB"/>
              </w:rPr>
              <w:t>2</w:t>
            </w:r>
          </w:p>
        </w:tc>
        <w:tc>
          <w:tcPr>
            <w:tcW w:w="530" w:type="pct"/>
            <w:tcBorders>
              <w:top w:val="single" w:sz="4" w:space="0" w:color="auto"/>
              <w:left w:val="nil"/>
              <w:bottom w:val="single" w:sz="4" w:space="0" w:color="auto"/>
              <w:right w:val="single" w:sz="4" w:space="0" w:color="auto"/>
            </w:tcBorders>
            <w:shd w:val="clear" w:color="auto" w:fill="auto"/>
            <w:vAlign w:val="center"/>
          </w:tcPr>
          <w:p w14:paraId="6970B2B7" w14:textId="1ACC11C7"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5 m</w:t>
            </w:r>
            <w:r>
              <w:rPr>
                <w:rFonts w:eastAsia="Times New Roman" w:cstheme="minorHAnsi"/>
                <w:sz w:val="22"/>
                <w:szCs w:val="22"/>
                <w:vertAlign w:val="superscript"/>
                <w:lang w:eastAsia="en-GB"/>
              </w:rPr>
              <w:t>2</w:t>
            </w:r>
          </w:p>
        </w:tc>
        <w:tc>
          <w:tcPr>
            <w:tcW w:w="761" w:type="pct"/>
            <w:tcBorders>
              <w:top w:val="single" w:sz="4" w:space="0" w:color="auto"/>
              <w:left w:val="nil"/>
              <w:bottom w:val="single" w:sz="4" w:space="0" w:color="auto"/>
              <w:right w:val="single" w:sz="4" w:space="0" w:color="auto"/>
            </w:tcBorders>
            <w:shd w:val="clear" w:color="auto" w:fill="auto"/>
            <w:vAlign w:val="center"/>
          </w:tcPr>
          <w:p w14:paraId="238508C0" w14:textId="21D2ADD3"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13</w:t>
            </w:r>
          </w:p>
        </w:tc>
        <w:tc>
          <w:tcPr>
            <w:tcW w:w="559" w:type="pct"/>
            <w:tcBorders>
              <w:top w:val="single" w:sz="4" w:space="0" w:color="auto"/>
              <w:left w:val="nil"/>
              <w:bottom w:val="single" w:sz="4" w:space="0" w:color="auto"/>
              <w:right w:val="single" w:sz="4" w:space="0" w:color="auto"/>
            </w:tcBorders>
            <w:shd w:val="clear" w:color="auto" w:fill="auto"/>
            <w:vAlign w:val="center"/>
          </w:tcPr>
          <w:p w14:paraId="41AD614D" w14:textId="2A6349C7"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13</w:t>
            </w:r>
          </w:p>
        </w:tc>
        <w:tc>
          <w:tcPr>
            <w:tcW w:w="457" w:type="pct"/>
            <w:tcBorders>
              <w:top w:val="single" w:sz="4" w:space="0" w:color="auto"/>
              <w:left w:val="nil"/>
              <w:bottom w:val="single" w:sz="4" w:space="0" w:color="auto"/>
              <w:right w:val="single" w:sz="4" w:space="0" w:color="auto"/>
            </w:tcBorders>
            <w:vAlign w:val="center"/>
          </w:tcPr>
          <w:p w14:paraId="337A9F9D" w14:textId="3E120DC4" w:rsidR="00DD03EC" w:rsidRPr="007B30AD" w:rsidRDefault="00DD03EC" w:rsidP="00DD03EC">
            <w:pPr>
              <w:suppressAutoHyphens w:val="0"/>
              <w:jc w:val="center"/>
              <w:rPr>
                <w:rFonts w:cstheme="minorHAnsi"/>
                <w:sz w:val="22"/>
                <w:szCs w:val="22"/>
                <w:highlight w:val="yellow"/>
              </w:rPr>
            </w:pPr>
            <w:r>
              <w:rPr>
                <w:rFonts w:cstheme="minorHAnsi"/>
                <w:sz w:val="22"/>
                <w:szCs w:val="22"/>
              </w:rPr>
              <w:t>31,7</w:t>
            </w:r>
          </w:p>
        </w:tc>
        <w:tc>
          <w:tcPr>
            <w:tcW w:w="712" w:type="pct"/>
            <w:tcBorders>
              <w:top w:val="single" w:sz="4" w:space="0" w:color="auto"/>
              <w:left w:val="nil"/>
              <w:bottom w:val="single" w:sz="4" w:space="0" w:color="auto"/>
              <w:right w:val="single" w:sz="4" w:space="0" w:color="auto"/>
            </w:tcBorders>
            <w:vAlign w:val="center"/>
          </w:tcPr>
          <w:p w14:paraId="024A1F4F" w14:textId="55A6F410" w:rsidR="00DD03EC" w:rsidRPr="007B30AD" w:rsidRDefault="00DD03EC" w:rsidP="00DD03EC">
            <w:pPr>
              <w:suppressAutoHyphens w:val="0"/>
              <w:jc w:val="center"/>
              <w:rPr>
                <w:rFonts w:cstheme="minorHAnsi"/>
                <w:sz w:val="22"/>
                <w:szCs w:val="22"/>
                <w:highlight w:val="yellow"/>
              </w:rPr>
            </w:pPr>
            <w:r>
              <w:rPr>
                <w:rFonts w:cstheme="minorHAnsi"/>
                <w:sz w:val="22"/>
                <w:szCs w:val="22"/>
              </w:rPr>
              <w:t>Nav datu</w:t>
            </w:r>
          </w:p>
        </w:tc>
        <w:tc>
          <w:tcPr>
            <w:tcW w:w="885" w:type="pct"/>
            <w:tcBorders>
              <w:top w:val="single" w:sz="4" w:space="0" w:color="auto"/>
              <w:left w:val="nil"/>
              <w:bottom w:val="single" w:sz="4" w:space="0" w:color="auto"/>
              <w:right w:val="single" w:sz="4" w:space="0" w:color="auto"/>
            </w:tcBorders>
            <w:shd w:val="clear" w:color="auto" w:fill="auto"/>
            <w:vAlign w:val="center"/>
          </w:tcPr>
          <w:p w14:paraId="709FC1EF" w14:textId="00EDFE2E" w:rsidR="00DD03EC" w:rsidRPr="007B30AD" w:rsidRDefault="00DD03EC" w:rsidP="00DD03EC">
            <w:pPr>
              <w:suppressAutoHyphens w:val="0"/>
              <w:jc w:val="center"/>
              <w:rPr>
                <w:rFonts w:cstheme="minorHAnsi"/>
                <w:sz w:val="22"/>
                <w:szCs w:val="22"/>
              </w:rPr>
            </w:pPr>
            <w:r>
              <w:rPr>
                <w:rFonts w:cstheme="minorHAnsi"/>
                <w:sz w:val="22"/>
                <w:szCs w:val="22"/>
              </w:rPr>
              <w:t>Dzīvotnes platība – pārejas purvu biotopu platība, kuros konstatēta suga</w:t>
            </w:r>
          </w:p>
        </w:tc>
      </w:tr>
      <w:tr w:rsidR="00DD03EC" w:rsidRPr="007B30AD" w14:paraId="10BE6EC2" w14:textId="77777777" w:rsidTr="00DD03EC">
        <w:trPr>
          <w:trHeight w:val="495"/>
        </w:trPr>
        <w:tc>
          <w:tcPr>
            <w:tcW w:w="688" w:type="pct"/>
            <w:tcBorders>
              <w:top w:val="single" w:sz="4" w:space="0" w:color="auto"/>
              <w:left w:val="single" w:sz="4" w:space="0" w:color="auto"/>
              <w:bottom w:val="single" w:sz="4" w:space="0" w:color="auto"/>
              <w:right w:val="single" w:sz="4" w:space="0" w:color="auto"/>
            </w:tcBorders>
            <w:vAlign w:val="center"/>
          </w:tcPr>
          <w:p w14:paraId="03DF7AD8" w14:textId="77777777" w:rsidR="00DD03EC" w:rsidRDefault="00DD03EC" w:rsidP="00DD03EC">
            <w:pPr>
              <w:suppressAutoHyphens w:val="0"/>
              <w:rPr>
                <w:rFonts w:cstheme="minorHAnsi"/>
                <w:color w:val="000000"/>
                <w:sz w:val="22"/>
                <w:szCs w:val="22"/>
              </w:rPr>
            </w:pPr>
            <w:r w:rsidRPr="00675182">
              <w:rPr>
                <w:rFonts w:cstheme="minorHAnsi"/>
                <w:color w:val="000000"/>
                <w:sz w:val="22"/>
                <w:szCs w:val="22"/>
              </w:rPr>
              <w:t>Zaļā divzobe</w:t>
            </w:r>
          </w:p>
          <w:p w14:paraId="13567C1B" w14:textId="6C824236" w:rsidR="00DD03EC" w:rsidRPr="007B30AD" w:rsidRDefault="00DD03EC" w:rsidP="00DD03EC">
            <w:pPr>
              <w:suppressAutoHyphens w:val="0"/>
              <w:rPr>
                <w:rFonts w:eastAsia="Times New Roman" w:cstheme="minorHAnsi"/>
                <w:sz w:val="22"/>
                <w:szCs w:val="22"/>
                <w:lang w:eastAsia="en-GB"/>
              </w:rPr>
            </w:pPr>
            <w:r w:rsidRPr="00675182">
              <w:rPr>
                <w:rFonts w:cstheme="minorHAnsi"/>
                <w:i/>
                <w:iCs/>
                <w:color w:val="000000"/>
                <w:sz w:val="22"/>
                <w:szCs w:val="22"/>
              </w:rPr>
              <w:t>Dicranum viride</w:t>
            </w:r>
          </w:p>
        </w:tc>
        <w:tc>
          <w:tcPr>
            <w:tcW w:w="408" w:type="pct"/>
            <w:tcBorders>
              <w:top w:val="single" w:sz="4" w:space="0" w:color="auto"/>
              <w:left w:val="nil"/>
              <w:bottom w:val="single" w:sz="4" w:space="0" w:color="auto"/>
              <w:right w:val="single" w:sz="4" w:space="0" w:color="auto"/>
            </w:tcBorders>
            <w:shd w:val="clear" w:color="auto" w:fill="auto"/>
            <w:noWrap/>
            <w:vAlign w:val="center"/>
          </w:tcPr>
          <w:p w14:paraId="77E3DEB0" w14:textId="453CE18F"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70 koki</w:t>
            </w:r>
          </w:p>
        </w:tc>
        <w:tc>
          <w:tcPr>
            <w:tcW w:w="530" w:type="pct"/>
            <w:tcBorders>
              <w:top w:val="single" w:sz="4" w:space="0" w:color="auto"/>
              <w:left w:val="nil"/>
              <w:bottom w:val="single" w:sz="4" w:space="0" w:color="auto"/>
              <w:right w:val="single" w:sz="4" w:space="0" w:color="auto"/>
            </w:tcBorders>
            <w:shd w:val="clear" w:color="auto" w:fill="auto"/>
            <w:vAlign w:val="center"/>
          </w:tcPr>
          <w:p w14:paraId="7BE2FFB1" w14:textId="4BA6034A"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71 koki</w:t>
            </w:r>
          </w:p>
        </w:tc>
        <w:tc>
          <w:tcPr>
            <w:tcW w:w="761" w:type="pct"/>
            <w:tcBorders>
              <w:top w:val="single" w:sz="4" w:space="0" w:color="auto"/>
              <w:left w:val="nil"/>
              <w:bottom w:val="single" w:sz="4" w:space="0" w:color="auto"/>
              <w:right w:val="single" w:sz="4" w:space="0" w:color="auto"/>
            </w:tcBorders>
            <w:shd w:val="clear" w:color="auto" w:fill="auto"/>
            <w:vAlign w:val="center"/>
          </w:tcPr>
          <w:p w14:paraId="4E782FF2" w14:textId="3AD9191B"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43</w:t>
            </w:r>
            <w:r>
              <w:rPr>
                <w:rStyle w:val="FootnoteReference"/>
                <w:rFonts w:cstheme="minorHAnsi"/>
                <w:sz w:val="22"/>
                <w:szCs w:val="22"/>
                <w:lang w:eastAsia="en-GB"/>
              </w:rPr>
              <w:footnoteReference w:id="21"/>
            </w:r>
          </w:p>
        </w:tc>
        <w:tc>
          <w:tcPr>
            <w:tcW w:w="559" w:type="pct"/>
            <w:tcBorders>
              <w:top w:val="single" w:sz="4" w:space="0" w:color="auto"/>
              <w:left w:val="nil"/>
              <w:bottom w:val="single" w:sz="4" w:space="0" w:color="auto"/>
              <w:right w:val="single" w:sz="4" w:space="0" w:color="auto"/>
            </w:tcBorders>
            <w:shd w:val="clear" w:color="auto" w:fill="auto"/>
            <w:vAlign w:val="center"/>
          </w:tcPr>
          <w:p w14:paraId="73D4407C" w14:textId="14C628C4"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34</w:t>
            </w:r>
          </w:p>
        </w:tc>
        <w:tc>
          <w:tcPr>
            <w:tcW w:w="457" w:type="pct"/>
            <w:tcBorders>
              <w:top w:val="single" w:sz="4" w:space="0" w:color="auto"/>
              <w:left w:val="nil"/>
              <w:bottom w:val="single" w:sz="4" w:space="0" w:color="auto"/>
              <w:right w:val="single" w:sz="4" w:space="0" w:color="auto"/>
            </w:tcBorders>
            <w:vAlign w:val="center"/>
          </w:tcPr>
          <w:p w14:paraId="30BAD2A1" w14:textId="11169942" w:rsidR="00DD03EC" w:rsidRPr="007B30AD" w:rsidRDefault="00DD03EC" w:rsidP="00DD03EC">
            <w:pPr>
              <w:suppressAutoHyphens w:val="0"/>
              <w:jc w:val="center"/>
              <w:rPr>
                <w:rFonts w:cstheme="minorHAnsi"/>
                <w:sz w:val="22"/>
                <w:szCs w:val="22"/>
                <w:highlight w:val="yellow"/>
              </w:rPr>
            </w:pPr>
            <w:r>
              <w:rPr>
                <w:rFonts w:cstheme="minorHAnsi"/>
                <w:sz w:val="22"/>
                <w:szCs w:val="22"/>
              </w:rPr>
              <w:t>0,2</w:t>
            </w:r>
          </w:p>
        </w:tc>
        <w:tc>
          <w:tcPr>
            <w:tcW w:w="712" w:type="pct"/>
            <w:tcBorders>
              <w:top w:val="single" w:sz="4" w:space="0" w:color="auto"/>
              <w:left w:val="nil"/>
              <w:bottom w:val="single" w:sz="4" w:space="0" w:color="auto"/>
              <w:right w:val="single" w:sz="4" w:space="0" w:color="auto"/>
            </w:tcBorders>
            <w:vAlign w:val="center"/>
          </w:tcPr>
          <w:p w14:paraId="0A2F2E74" w14:textId="2B023957" w:rsidR="00DD03EC" w:rsidRPr="007B30AD" w:rsidRDefault="00DD03EC" w:rsidP="00DD03EC">
            <w:pPr>
              <w:suppressAutoHyphens w:val="0"/>
              <w:jc w:val="center"/>
              <w:rPr>
                <w:rFonts w:cstheme="minorHAnsi"/>
                <w:sz w:val="22"/>
                <w:szCs w:val="22"/>
                <w:highlight w:val="yellow"/>
              </w:rPr>
            </w:pPr>
            <w:r>
              <w:rPr>
                <w:rFonts w:cstheme="minorHAnsi"/>
                <w:sz w:val="22"/>
                <w:szCs w:val="22"/>
              </w:rPr>
              <w:t>Nav datu</w:t>
            </w:r>
          </w:p>
        </w:tc>
        <w:tc>
          <w:tcPr>
            <w:tcW w:w="885" w:type="pct"/>
            <w:tcBorders>
              <w:top w:val="single" w:sz="4" w:space="0" w:color="auto"/>
              <w:left w:val="nil"/>
              <w:bottom w:val="single" w:sz="4" w:space="0" w:color="auto"/>
              <w:right w:val="single" w:sz="4" w:space="0" w:color="auto"/>
            </w:tcBorders>
            <w:shd w:val="clear" w:color="auto" w:fill="auto"/>
            <w:vAlign w:val="center"/>
          </w:tcPr>
          <w:p w14:paraId="4F15C1F3" w14:textId="0F5E9992" w:rsidR="00DD03EC" w:rsidRPr="007B30AD" w:rsidRDefault="00DD03EC" w:rsidP="00DD03EC">
            <w:pPr>
              <w:suppressAutoHyphens w:val="0"/>
              <w:jc w:val="center"/>
              <w:rPr>
                <w:rFonts w:cstheme="minorHAnsi"/>
                <w:sz w:val="22"/>
                <w:szCs w:val="22"/>
              </w:rPr>
            </w:pPr>
            <w:r>
              <w:rPr>
                <w:rFonts w:cstheme="minorHAnsi"/>
                <w:sz w:val="22"/>
                <w:szCs w:val="22"/>
              </w:rPr>
              <w:t>Dzīvotnes platība – 5 m rādiusa buferis ap zināmajām atradnēm (nosacīti apdzīvotā koka vainaga projekcija)</w:t>
            </w:r>
          </w:p>
        </w:tc>
      </w:tr>
      <w:tr w:rsidR="00DD03EC" w:rsidRPr="007B30AD" w14:paraId="39862BB3" w14:textId="77777777" w:rsidTr="00DD03EC">
        <w:trPr>
          <w:trHeight w:val="495"/>
        </w:trPr>
        <w:tc>
          <w:tcPr>
            <w:tcW w:w="688" w:type="pct"/>
            <w:tcBorders>
              <w:top w:val="single" w:sz="4" w:space="0" w:color="auto"/>
              <w:left w:val="single" w:sz="4" w:space="0" w:color="auto"/>
              <w:bottom w:val="single" w:sz="4" w:space="0" w:color="auto"/>
              <w:right w:val="single" w:sz="4" w:space="0" w:color="auto"/>
            </w:tcBorders>
            <w:vAlign w:val="center"/>
          </w:tcPr>
          <w:p w14:paraId="5745F1E9" w14:textId="0E9E5C44" w:rsidR="00DD03EC" w:rsidRPr="007B30AD" w:rsidRDefault="00DD03EC" w:rsidP="00DD03EC">
            <w:pPr>
              <w:suppressAutoHyphens w:val="0"/>
              <w:rPr>
                <w:rFonts w:eastAsia="Times New Roman" w:cstheme="minorHAnsi"/>
                <w:sz w:val="22"/>
                <w:szCs w:val="22"/>
                <w:lang w:eastAsia="en-GB"/>
              </w:rPr>
            </w:pPr>
            <w:r w:rsidRPr="00675182">
              <w:rPr>
                <w:rFonts w:cstheme="minorHAnsi"/>
                <w:color w:val="000000"/>
                <w:sz w:val="22"/>
                <w:szCs w:val="22"/>
              </w:rPr>
              <w:t>Zaļā buksbaumija</w:t>
            </w:r>
            <w:r w:rsidRPr="00675182">
              <w:rPr>
                <w:rFonts w:cstheme="minorHAnsi"/>
                <w:i/>
                <w:iCs/>
                <w:color w:val="000000"/>
                <w:sz w:val="22"/>
                <w:szCs w:val="22"/>
              </w:rPr>
              <w:t xml:space="preserve"> Buxbaumia viridis</w:t>
            </w:r>
          </w:p>
        </w:tc>
        <w:tc>
          <w:tcPr>
            <w:tcW w:w="408" w:type="pct"/>
            <w:tcBorders>
              <w:top w:val="single" w:sz="4" w:space="0" w:color="auto"/>
              <w:left w:val="nil"/>
              <w:bottom w:val="single" w:sz="4" w:space="0" w:color="auto"/>
              <w:right w:val="single" w:sz="4" w:space="0" w:color="auto"/>
            </w:tcBorders>
            <w:shd w:val="clear" w:color="auto" w:fill="auto"/>
            <w:noWrap/>
            <w:vAlign w:val="center"/>
          </w:tcPr>
          <w:p w14:paraId="315E4E56" w14:textId="3B363D26"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54 kritalas</w:t>
            </w:r>
          </w:p>
        </w:tc>
        <w:tc>
          <w:tcPr>
            <w:tcW w:w="530" w:type="pct"/>
            <w:tcBorders>
              <w:top w:val="single" w:sz="4" w:space="0" w:color="auto"/>
              <w:left w:val="nil"/>
              <w:bottom w:val="single" w:sz="4" w:space="0" w:color="auto"/>
              <w:right w:val="single" w:sz="4" w:space="0" w:color="auto"/>
            </w:tcBorders>
            <w:shd w:val="clear" w:color="auto" w:fill="auto"/>
            <w:vAlign w:val="center"/>
          </w:tcPr>
          <w:p w14:paraId="09F01927" w14:textId="2AD49CBE"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54 kritalas</w:t>
            </w:r>
          </w:p>
        </w:tc>
        <w:tc>
          <w:tcPr>
            <w:tcW w:w="761" w:type="pct"/>
            <w:tcBorders>
              <w:top w:val="single" w:sz="4" w:space="0" w:color="auto"/>
              <w:left w:val="nil"/>
              <w:bottom w:val="single" w:sz="4" w:space="0" w:color="auto"/>
              <w:right w:val="single" w:sz="4" w:space="0" w:color="auto"/>
            </w:tcBorders>
            <w:shd w:val="clear" w:color="auto" w:fill="auto"/>
            <w:vAlign w:val="center"/>
          </w:tcPr>
          <w:p w14:paraId="5B01B3D3" w14:textId="398DF8DE"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60</w:t>
            </w:r>
            <w:r>
              <w:rPr>
                <w:rStyle w:val="FootnoteReference"/>
                <w:rFonts w:cstheme="minorHAnsi"/>
                <w:sz w:val="22"/>
                <w:szCs w:val="22"/>
                <w:lang w:eastAsia="en-GB"/>
              </w:rPr>
              <w:footnoteReference w:id="22"/>
            </w:r>
          </w:p>
        </w:tc>
        <w:tc>
          <w:tcPr>
            <w:tcW w:w="559" w:type="pct"/>
            <w:tcBorders>
              <w:top w:val="single" w:sz="4" w:space="0" w:color="auto"/>
              <w:left w:val="nil"/>
              <w:bottom w:val="single" w:sz="4" w:space="0" w:color="auto"/>
              <w:right w:val="single" w:sz="4" w:space="0" w:color="auto"/>
            </w:tcBorders>
            <w:shd w:val="clear" w:color="auto" w:fill="auto"/>
            <w:vAlign w:val="center"/>
          </w:tcPr>
          <w:p w14:paraId="6B5C8A81" w14:textId="5D5CBA24"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46</w:t>
            </w:r>
          </w:p>
        </w:tc>
        <w:tc>
          <w:tcPr>
            <w:tcW w:w="457" w:type="pct"/>
            <w:tcBorders>
              <w:top w:val="single" w:sz="4" w:space="0" w:color="auto"/>
              <w:left w:val="nil"/>
              <w:bottom w:val="single" w:sz="4" w:space="0" w:color="auto"/>
              <w:right w:val="single" w:sz="4" w:space="0" w:color="auto"/>
            </w:tcBorders>
            <w:vAlign w:val="center"/>
          </w:tcPr>
          <w:p w14:paraId="583A636F" w14:textId="495DCDB2" w:rsidR="00DD03EC" w:rsidRPr="007B30AD" w:rsidRDefault="00DD03EC" w:rsidP="00DD03EC">
            <w:pPr>
              <w:suppressAutoHyphens w:val="0"/>
              <w:jc w:val="center"/>
              <w:rPr>
                <w:rFonts w:cstheme="minorHAnsi"/>
                <w:sz w:val="22"/>
                <w:szCs w:val="22"/>
                <w:highlight w:val="yellow"/>
              </w:rPr>
            </w:pPr>
            <w:r>
              <w:rPr>
                <w:rFonts w:cstheme="minorHAnsi"/>
                <w:sz w:val="22"/>
                <w:szCs w:val="22"/>
              </w:rPr>
              <w:t>114,5</w:t>
            </w:r>
          </w:p>
        </w:tc>
        <w:tc>
          <w:tcPr>
            <w:tcW w:w="712" w:type="pct"/>
            <w:tcBorders>
              <w:top w:val="single" w:sz="4" w:space="0" w:color="auto"/>
              <w:left w:val="nil"/>
              <w:bottom w:val="single" w:sz="4" w:space="0" w:color="auto"/>
              <w:right w:val="single" w:sz="4" w:space="0" w:color="auto"/>
            </w:tcBorders>
            <w:vAlign w:val="center"/>
          </w:tcPr>
          <w:p w14:paraId="53057ACE" w14:textId="2EA8FE9B" w:rsidR="00DD03EC" w:rsidRPr="007B30AD" w:rsidRDefault="00DD03EC" w:rsidP="00DD03EC">
            <w:pPr>
              <w:suppressAutoHyphens w:val="0"/>
              <w:jc w:val="center"/>
              <w:rPr>
                <w:rFonts w:cstheme="minorHAnsi"/>
                <w:sz w:val="22"/>
                <w:szCs w:val="22"/>
                <w:highlight w:val="yellow"/>
              </w:rPr>
            </w:pPr>
            <w:r>
              <w:rPr>
                <w:rFonts w:cstheme="minorHAnsi"/>
                <w:sz w:val="22"/>
                <w:szCs w:val="22"/>
              </w:rPr>
              <w:t>Nav datu</w:t>
            </w:r>
          </w:p>
        </w:tc>
        <w:tc>
          <w:tcPr>
            <w:tcW w:w="885" w:type="pct"/>
            <w:tcBorders>
              <w:top w:val="single" w:sz="4" w:space="0" w:color="auto"/>
              <w:left w:val="nil"/>
              <w:bottom w:val="single" w:sz="4" w:space="0" w:color="auto"/>
              <w:right w:val="single" w:sz="4" w:space="0" w:color="auto"/>
            </w:tcBorders>
            <w:shd w:val="clear" w:color="auto" w:fill="auto"/>
            <w:vAlign w:val="center"/>
          </w:tcPr>
          <w:p w14:paraId="144516BE" w14:textId="243C4B17" w:rsidR="00DD03EC" w:rsidRPr="007B30AD" w:rsidRDefault="00DD03EC" w:rsidP="00DD03EC">
            <w:pPr>
              <w:suppressAutoHyphens w:val="0"/>
              <w:jc w:val="center"/>
              <w:rPr>
                <w:rFonts w:cstheme="minorHAnsi"/>
                <w:sz w:val="22"/>
                <w:szCs w:val="22"/>
              </w:rPr>
            </w:pPr>
            <w:r>
              <w:rPr>
                <w:rFonts w:cstheme="minorHAnsi"/>
                <w:sz w:val="22"/>
                <w:szCs w:val="22"/>
              </w:rPr>
              <w:t>Dzīvotnes platība – nogabalu platība, kuros konstatēta suga</w:t>
            </w:r>
          </w:p>
        </w:tc>
      </w:tr>
      <w:tr w:rsidR="00DD03EC" w:rsidRPr="007B30AD" w14:paraId="27B5D07D" w14:textId="77777777" w:rsidTr="00DD03EC">
        <w:trPr>
          <w:trHeight w:val="495"/>
        </w:trPr>
        <w:tc>
          <w:tcPr>
            <w:tcW w:w="688" w:type="pct"/>
            <w:tcBorders>
              <w:top w:val="single" w:sz="4" w:space="0" w:color="auto"/>
              <w:left w:val="single" w:sz="4" w:space="0" w:color="auto"/>
              <w:bottom w:val="single" w:sz="4" w:space="0" w:color="auto"/>
              <w:right w:val="single" w:sz="4" w:space="0" w:color="auto"/>
            </w:tcBorders>
            <w:vAlign w:val="center"/>
          </w:tcPr>
          <w:p w14:paraId="43354358" w14:textId="6C0C265D" w:rsidR="00DD03EC" w:rsidRPr="007B30AD" w:rsidRDefault="00DD03EC" w:rsidP="00DD03EC">
            <w:pPr>
              <w:suppressAutoHyphens w:val="0"/>
              <w:rPr>
                <w:rFonts w:eastAsia="Times New Roman" w:cstheme="minorHAnsi"/>
                <w:sz w:val="22"/>
                <w:szCs w:val="22"/>
                <w:lang w:eastAsia="en-GB"/>
              </w:rPr>
            </w:pPr>
            <w:r w:rsidRPr="00675182">
              <w:rPr>
                <w:rFonts w:cstheme="minorHAnsi"/>
                <w:color w:val="000000"/>
                <w:sz w:val="22"/>
                <w:szCs w:val="22"/>
              </w:rPr>
              <w:lastRenderedPageBreak/>
              <w:t>Parastā baltsamtīte</w:t>
            </w:r>
            <w:r w:rsidRPr="00675182">
              <w:rPr>
                <w:rFonts w:cstheme="minorHAnsi"/>
                <w:i/>
                <w:iCs/>
                <w:color w:val="000000"/>
                <w:sz w:val="22"/>
                <w:szCs w:val="22"/>
              </w:rPr>
              <w:t xml:space="preserve"> Leucobrym glaucum</w:t>
            </w:r>
          </w:p>
        </w:tc>
        <w:tc>
          <w:tcPr>
            <w:tcW w:w="408" w:type="pct"/>
            <w:tcBorders>
              <w:top w:val="single" w:sz="4" w:space="0" w:color="auto"/>
              <w:left w:val="nil"/>
              <w:bottom w:val="single" w:sz="4" w:space="0" w:color="auto"/>
              <w:right w:val="single" w:sz="4" w:space="0" w:color="auto"/>
            </w:tcBorders>
            <w:shd w:val="clear" w:color="auto" w:fill="auto"/>
            <w:noWrap/>
            <w:vAlign w:val="center"/>
          </w:tcPr>
          <w:p w14:paraId="6D6553D8" w14:textId="38196F79"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26 m</w:t>
            </w:r>
            <w:r>
              <w:rPr>
                <w:rFonts w:eastAsia="Times New Roman" w:cstheme="minorHAnsi"/>
                <w:sz w:val="22"/>
                <w:szCs w:val="22"/>
                <w:vertAlign w:val="superscript"/>
                <w:lang w:eastAsia="en-GB"/>
              </w:rPr>
              <w:t>2</w:t>
            </w:r>
          </w:p>
        </w:tc>
        <w:tc>
          <w:tcPr>
            <w:tcW w:w="530" w:type="pct"/>
            <w:tcBorders>
              <w:top w:val="single" w:sz="4" w:space="0" w:color="auto"/>
              <w:left w:val="nil"/>
              <w:bottom w:val="single" w:sz="4" w:space="0" w:color="auto"/>
              <w:right w:val="single" w:sz="4" w:space="0" w:color="auto"/>
            </w:tcBorders>
            <w:shd w:val="clear" w:color="auto" w:fill="auto"/>
            <w:vAlign w:val="center"/>
          </w:tcPr>
          <w:p w14:paraId="634E6D3E" w14:textId="42D63EB0"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26 m</w:t>
            </w:r>
            <w:r>
              <w:rPr>
                <w:rFonts w:eastAsia="Times New Roman" w:cstheme="minorHAnsi"/>
                <w:sz w:val="22"/>
                <w:szCs w:val="22"/>
                <w:vertAlign w:val="superscript"/>
                <w:lang w:eastAsia="en-GB"/>
              </w:rPr>
              <w:t>2</w:t>
            </w:r>
          </w:p>
        </w:tc>
        <w:tc>
          <w:tcPr>
            <w:tcW w:w="761" w:type="pct"/>
            <w:tcBorders>
              <w:top w:val="single" w:sz="4" w:space="0" w:color="auto"/>
              <w:left w:val="nil"/>
              <w:bottom w:val="single" w:sz="4" w:space="0" w:color="auto"/>
              <w:right w:val="single" w:sz="4" w:space="0" w:color="auto"/>
            </w:tcBorders>
            <w:shd w:val="clear" w:color="auto" w:fill="auto"/>
            <w:vAlign w:val="center"/>
          </w:tcPr>
          <w:p w14:paraId="52C1D364" w14:textId="302FB596"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6,7</w:t>
            </w:r>
          </w:p>
        </w:tc>
        <w:tc>
          <w:tcPr>
            <w:tcW w:w="559" w:type="pct"/>
            <w:tcBorders>
              <w:top w:val="single" w:sz="4" w:space="0" w:color="auto"/>
              <w:left w:val="nil"/>
              <w:bottom w:val="single" w:sz="4" w:space="0" w:color="auto"/>
              <w:right w:val="single" w:sz="4" w:space="0" w:color="auto"/>
            </w:tcBorders>
            <w:shd w:val="clear" w:color="auto" w:fill="auto"/>
            <w:vAlign w:val="center"/>
          </w:tcPr>
          <w:p w14:paraId="70D7846F" w14:textId="3156188E"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4</w:t>
            </w:r>
          </w:p>
        </w:tc>
        <w:tc>
          <w:tcPr>
            <w:tcW w:w="457" w:type="pct"/>
            <w:tcBorders>
              <w:top w:val="single" w:sz="4" w:space="0" w:color="auto"/>
              <w:left w:val="nil"/>
              <w:bottom w:val="single" w:sz="4" w:space="0" w:color="auto"/>
              <w:right w:val="single" w:sz="4" w:space="0" w:color="auto"/>
            </w:tcBorders>
            <w:vAlign w:val="center"/>
          </w:tcPr>
          <w:p w14:paraId="17007FC0" w14:textId="4EF8C9FD" w:rsidR="00DD03EC" w:rsidRPr="007B30AD" w:rsidRDefault="00DD03EC" w:rsidP="00DD03EC">
            <w:pPr>
              <w:suppressAutoHyphens w:val="0"/>
              <w:jc w:val="center"/>
              <w:rPr>
                <w:rFonts w:cstheme="minorHAnsi"/>
                <w:sz w:val="22"/>
                <w:szCs w:val="22"/>
                <w:highlight w:val="yellow"/>
              </w:rPr>
            </w:pPr>
            <w:r>
              <w:rPr>
                <w:rFonts w:cstheme="minorHAnsi"/>
                <w:sz w:val="22"/>
                <w:szCs w:val="22"/>
              </w:rPr>
              <w:t>39,7</w:t>
            </w:r>
          </w:p>
        </w:tc>
        <w:tc>
          <w:tcPr>
            <w:tcW w:w="712" w:type="pct"/>
            <w:tcBorders>
              <w:top w:val="single" w:sz="4" w:space="0" w:color="auto"/>
              <w:left w:val="nil"/>
              <w:bottom w:val="single" w:sz="4" w:space="0" w:color="auto"/>
              <w:right w:val="single" w:sz="4" w:space="0" w:color="auto"/>
            </w:tcBorders>
            <w:vAlign w:val="center"/>
          </w:tcPr>
          <w:p w14:paraId="0931B21C" w14:textId="3969D6E9" w:rsidR="00DD03EC" w:rsidRPr="007B30AD" w:rsidRDefault="00DD03EC" w:rsidP="00DD03EC">
            <w:pPr>
              <w:suppressAutoHyphens w:val="0"/>
              <w:jc w:val="center"/>
              <w:rPr>
                <w:rFonts w:cstheme="minorHAnsi"/>
                <w:sz w:val="22"/>
                <w:szCs w:val="22"/>
                <w:highlight w:val="yellow"/>
              </w:rPr>
            </w:pPr>
            <w:r>
              <w:rPr>
                <w:rFonts w:cstheme="minorHAnsi"/>
                <w:sz w:val="22"/>
                <w:szCs w:val="22"/>
              </w:rPr>
              <w:t>Nav datu</w:t>
            </w:r>
          </w:p>
        </w:tc>
        <w:tc>
          <w:tcPr>
            <w:tcW w:w="885" w:type="pct"/>
            <w:tcBorders>
              <w:top w:val="single" w:sz="4" w:space="0" w:color="auto"/>
              <w:left w:val="nil"/>
              <w:bottom w:val="single" w:sz="4" w:space="0" w:color="auto"/>
              <w:right w:val="single" w:sz="4" w:space="0" w:color="auto"/>
            </w:tcBorders>
            <w:shd w:val="clear" w:color="auto" w:fill="auto"/>
            <w:vAlign w:val="center"/>
          </w:tcPr>
          <w:p w14:paraId="528A88FA" w14:textId="2C6686FB" w:rsidR="00DD03EC" w:rsidRPr="007B30AD" w:rsidRDefault="00DD03EC" w:rsidP="00DD03EC">
            <w:pPr>
              <w:suppressAutoHyphens w:val="0"/>
              <w:jc w:val="center"/>
              <w:rPr>
                <w:rFonts w:cstheme="minorHAnsi"/>
                <w:sz w:val="22"/>
                <w:szCs w:val="22"/>
              </w:rPr>
            </w:pPr>
            <w:r>
              <w:rPr>
                <w:rFonts w:cstheme="minorHAnsi"/>
                <w:sz w:val="22"/>
                <w:szCs w:val="22"/>
              </w:rPr>
              <w:t>Dzīvotnes platība – nogabalu platība, kuros konstatēta suga</w:t>
            </w:r>
          </w:p>
        </w:tc>
      </w:tr>
      <w:tr w:rsidR="00DD03EC" w:rsidRPr="007B30AD" w14:paraId="1257E68D" w14:textId="77777777" w:rsidTr="00DD03EC">
        <w:trPr>
          <w:trHeight w:val="495"/>
        </w:trPr>
        <w:tc>
          <w:tcPr>
            <w:tcW w:w="688" w:type="pct"/>
            <w:tcBorders>
              <w:top w:val="single" w:sz="4" w:space="0" w:color="auto"/>
              <w:left w:val="single" w:sz="4" w:space="0" w:color="auto"/>
              <w:bottom w:val="single" w:sz="4" w:space="0" w:color="auto"/>
              <w:right w:val="single" w:sz="4" w:space="0" w:color="auto"/>
            </w:tcBorders>
            <w:vAlign w:val="center"/>
          </w:tcPr>
          <w:p w14:paraId="7FCF4043" w14:textId="2BE60A0E" w:rsidR="00DD03EC" w:rsidRPr="007B30AD" w:rsidRDefault="00DD03EC" w:rsidP="00DD03EC">
            <w:pPr>
              <w:suppressAutoHyphens w:val="0"/>
              <w:rPr>
                <w:rFonts w:eastAsia="Times New Roman" w:cstheme="minorHAnsi"/>
                <w:sz w:val="22"/>
                <w:szCs w:val="22"/>
                <w:lang w:eastAsia="en-GB"/>
              </w:rPr>
            </w:pPr>
            <w:r w:rsidRPr="00675182">
              <w:rPr>
                <w:rFonts w:cstheme="minorHAnsi"/>
                <w:color w:val="000000"/>
                <w:sz w:val="22"/>
                <w:szCs w:val="22"/>
              </w:rPr>
              <w:t>Sfagni</w:t>
            </w:r>
            <w:r w:rsidRPr="00675182">
              <w:rPr>
                <w:rFonts w:cstheme="minorHAnsi"/>
                <w:i/>
                <w:iCs/>
                <w:color w:val="000000"/>
                <w:sz w:val="22"/>
                <w:szCs w:val="22"/>
              </w:rPr>
              <w:t xml:space="preserve"> Sphagnum</w:t>
            </w:r>
            <w:r w:rsidRPr="00675182">
              <w:rPr>
                <w:rFonts w:cstheme="minorHAnsi"/>
                <w:color w:val="000000"/>
                <w:sz w:val="22"/>
                <w:szCs w:val="22"/>
              </w:rPr>
              <w:t xml:space="preserve"> spp.</w:t>
            </w:r>
          </w:p>
        </w:tc>
        <w:tc>
          <w:tcPr>
            <w:tcW w:w="408" w:type="pct"/>
            <w:tcBorders>
              <w:top w:val="single" w:sz="4" w:space="0" w:color="auto"/>
              <w:left w:val="nil"/>
              <w:bottom w:val="single" w:sz="4" w:space="0" w:color="auto"/>
              <w:right w:val="single" w:sz="4" w:space="0" w:color="auto"/>
            </w:tcBorders>
            <w:shd w:val="clear" w:color="auto" w:fill="auto"/>
            <w:noWrap/>
            <w:vAlign w:val="center"/>
          </w:tcPr>
          <w:p w14:paraId="4CE1534F" w14:textId="745518F5"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3645 ha</w:t>
            </w:r>
            <w:r>
              <w:rPr>
                <w:rStyle w:val="FootnoteReference"/>
                <w:rFonts w:cstheme="minorHAnsi"/>
                <w:sz w:val="22"/>
                <w:szCs w:val="22"/>
                <w:lang w:eastAsia="en-GB"/>
              </w:rPr>
              <w:footnoteReference w:id="23"/>
            </w:r>
          </w:p>
        </w:tc>
        <w:tc>
          <w:tcPr>
            <w:tcW w:w="530" w:type="pct"/>
            <w:tcBorders>
              <w:top w:val="single" w:sz="4" w:space="0" w:color="auto"/>
              <w:left w:val="nil"/>
              <w:bottom w:val="single" w:sz="4" w:space="0" w:color="auto"/>
              <w:right w:val="single" w:sz="4" w:space="0" w:color="auto"/>
            </w:tcBorders>
            <w:shd w:val="clear" w:color="auto" w:fill="auto"/>
            <w:vAlign w:val="center"/>
          </w:tcPr>
          <w:p w14:paraId="7B45D909" w14:textId="6C357443"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4692 ha</w:t>
            </w:r>
            <w:r>
              <w:rPr>
                <w:rStyle w:val="FootnoteReference"/>
                <w:rFonts w:cstheme="minorHAnsi"/>
                <w:sz w:val="22"/>
                <w:szCs w:val="22"/>
                <w:lang w:eastAsia="en-GB"/>
              </w:rPr>
              <w:footnoteReference w:id="24"/>
            </w:r>
          </w:p>
        </w:tc>
        <w:tc>
          <w:tcPr>
            <w:tcW w:w="761" w:type="pct"/>
            <w:tcBorders>
              <w:top w:val="single" w:sz="4" w:space="0" w:color="auto"/>
              <w:left w:val="nil"/>
              <w:bottom w:val="single" w:sz="4" w:space="0" w:color="auto"/>
              <w:right w:val="single" w:sz="4" w:space="0" w:color="auto"/>
            </w:tcBorders>
            <w:shd w:val="clear" w:color="auto" w:fill="auto"/>
            <w:vAlign w:val="center"/>
          </w:tcPr>
          <w:p w14:paraId="41A41838" w14:textId="529ECA06"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3</w:t>
            </w:r>
            <w:r>
              <w:rPr>
                <w:rStyle w:val="FootnoteReference"/>
                <w:rFonts w:cstheme="minorHAnsi"/>
                <w:sz w:val="22"/>
                <w:szCs w:val="22"/>
                <w:lang w:eastAsia="en-GB"/>
              </w:rPr>
              <w:footnoteReference w:id="25"/>
            </w:r>
          </w:p>
        </w:tc>
        <w:tc>
          <w:tcPr>
            <w:tcW w:w="559" w:type="pct"/>
            <w:tcBorders>
              <w:top w:val="single" w:sz="4" w:space="0" w:color="auto"/>
              <w:left w:val="nil"/>
              <w:bottom w:val="single" w:sz="4" w:space="0" w:color="auto"/>
              <w:right w:val="single" w:sz="4" w:space="0" w:color="auto"/>
            </w:tcBorders>
            <w:shd w:val="clear" w:color="auto" w:fill="auto"/>
            <w:vAlign w:val="center"/>
          </w:tcPr>
          <w:p w14:paraId="4F41F030" w14:textId="4A7D3E6D" w:rsidR="00DD03EC" w:rsidRPr="007B30AD" w:rsidRDefault="00DD03EC" w:rsidP="00DD03EC">
            <w:pPr>
              <w:suppressAutoHyphens w:val="0"/>
              <w:jc w:val="center"/>
              <w:rPr>
                <w:rFonts w:eastAsia="Times New Roman" w:cstheme="minorHAnsi"/>
                <w:sz w:val="22"/>
                <w:szCs w:val="22"/>
                <w:lang w:eastAsia="en-GB"/>
              </w:rPr>
            </w:pPr>
            <w:r>
              <w:rPr>
                <w:rFonts w:eastAsia="Times New Roman" w:cstheme="minorHAnsi"/>
                <w:sz w:val="22"/>
                <w:szCs w:val="22"/>
                <w:lang w:eastAsia="en-GB"/>
              </w:rPr>
              <w:t>1</w:t>
            </w:r>
          </w:p>
        </w:tc>
        <w:tc>
          <w:tcPr>
            <w:tcW w:w="457" w:type="pct"/>
            <w:tcBorders>
              <w:top w:val="single" w:sz="4" w:space="0" w:color="auto"/>
              <w:left w:val="nil"/>
              <w:bottom w:val="single" w:sz="4" w:space="0" w:color="auto"/>
              <w:right w:val="single" w:sz="4" w:space="0" w:color="auto"/>
            </w:tcBorders>
            <w:vAlign w:val="center"/>
          </w:tcPr>
          <w:p w14:paraId="2FA84518" w14:textId="41D0BAC2" w:rsidR="00DD03EC" w:rsidRPr="007B30AD" w:rsidRDefault="00DD03EC" w:rsidP="00DD03EC">
            <w:pPr>
              <w:suppressAutoHyphens w:val="0"/>
              <w:jc w:val="center"/>
              <w:rPr>
                <w:rFonts w:cstheme="minorHAnsi"/>
                <w:sz w:val="22"/>
                <w:szCs w:val="22"/>
                <w:highlight w:val="yellow"/>
              </w:rPr>
            </w:pPr>
            <w:r>
              <w:rPr>
                <w:rFonts w:cstheme="minorHAnsi"/>
                <w:sz w:val="22"/>
                <w:szCs w:val="22"/>
              </w:rPr>
              <w:t>6257</w:t>
            </w:r>
          </w:p>
        </w:tc>
        <w:tc>
          <w:tcPr>
            <w:tcW w:w="712" w:type="pct"/>
            <w:tcBorders>
              <w:top w:val="single" w:sz="4" w:space="0" w:color="auto"/>
              <w:left w:val="nil"/>
              <w:bottom w:val="single" w:sz="4" w:space="0" w:color="auto"/>
              <w:right w:val="single" w:sz="4" w:space="0" w:color="auto"/>
            </w:tcBorders>
            <w:vAlign w:val="center"/>
          </w:tcPr>
          <w:p w14:paraId="656F7385" w14:textId="7F99722C" w:rsidR="00DD03EC" w:rsidRPr="007B30AD" w:rsidRDefault="00DD03EC" w:rsidP="00DD03EC">
            <w:pPr>
              <w:suppressAutoHyphens w:val="0"/>
              <w:jc w:val="center"/>
              <w:rPr>
                <w:rFonts w:cstheme="minorHAnsi"/>
                <w:sz w:val="22"/>
                <w:szCs w:val="22"/>
                <w:highlight w:val="yellow"/>
              </w:rPr>
            </w:pPr>
            <w:r>
              <w:rPr>
                <w:rFonts w:cstheme="minorHAnsi"/>
                <w:sz w:val="22"/>
                <w:szCs w:val="22"/>
              </w:rPr>
              <w:t>Nav datu</w:t>
            </w:r>
          </w:p>
        </w:tc>
        <w:tc>
          <w:tcPr>
            <w:tcW w:w="885" w:type="pct"/>
            <w:tcBorders>
              <w:top w:val="single" w:sz="4" w:space="0" w:color="auto"/>
              <w:left w:val="nil"/>
              <w:bottom w:val="single" w:sz="4" w:space="0" w:color="auto"/>
              <w:right w:val="single" w:sz="4" w:space="0" w:color="auto"/>
            </w:tcBorders>
            <w:shd w:val="clear" w:color="auto" w:fill="auto"/>
            <w:vAlign w:val="center"/>
          </w:tcPr>
          <w:p w14:paraId="7FAFB24B" w14:textId="3CBE100D" w:rsidR="00DD03EC" w:rsidRPr="007B30AD" w:rsidRDefault="00DD03EC" w:rsidP="00DD03EC">
            <w:pPr>
              <w:suppressAutoHyphens w:val="0"/>
              <w:jc w:val="center"/>
              <w:rPr>
                <w:rFonts w:cstheme="minorHAnsi"/>
                <w:sz w:val="22"/>
                <w:szCs w:val="22"/>
              </w:rPr>
            </w:pPr>
            <w:r>
              <w:rPr>
                <w:rFonts w:cstheme="minorHAnsi"/>
                <w:sz w:val="22"/>
                <w:szCs w:val="22"/>
              </w:rPr>
              <w:t>Dzīvotnes platība – nogabalu platība no Valsts meža reģistra DB, kuru zemes kategorija ir purvs vai AAT ir  Pv, Nd, Mrs, Kv, Km, Am</w:t>
            </w:r>
          </w:p>
        </w:tc>
      </w:tr>
    </w:tbl>
    <w:p w14:paraId="4CCB65F6" w14:textId="77777777" w:rsidR="00337B09" w:rsidRPr="00675182" w:rsidRDefault="00337B09" w:rsidP="00385CDA">
      <w:pPr>
        <w:rPr>
          <w:rFonts w:cstheme="minorHAnsi"/>
          <w:sz w:val="20"/>
          <w:szCs w:val="24"/>
        </w:rPr>
      </w:pPr>
    </w:p>
    <w:p w14:paraId="47D429F8" w14:textId="324CBA02" w:rsidR="00E752AD" w:rsidRPr="00675182" w:rsidRDefault="00E752AD" w:rsidP="00385CDA">
      <w:pPr>
        <w:rPr>
          <w:rFonts w:cstheme="minorHAnsi"/>
          <w:sz w:val="20"/>
          <w:szCs w:val="24"/>
        </w:rPr>
      </w:pPr>
    </w:p>
    <w:p w14:paraId="366B1D58" w14:textId="77777777" w:rsidR="00391768" w:rsidRPr="00675182" w:rsidRDefault="00391768" w:rsidP="00385CDA">
      <w:pPr>
        <w:rPr>
          <w:rFonts w:cstheme="minorHAnsi"/>
          <w:sz w:val="20"/>
          <w:szCs w:val="24"/>
        </w:rPr>
        <w:sectPr w:rsidR="00391768" w:rsidRPr="00675182" w:rsidSect="00391768">
          <w:headerReference w:type="default" r:id="rId233"/>
          <w:pgSz w:w="16837" w:h="11905" w:orient="landscape"/>
          <w:pgMar w:top="1797" w:right="1440" w:bottom="1797" w:left="1440" w:header="720" w:footer="720" w:gutter="0"/>
          <w:cols w:space="720"/>
          <w:docGrid w:linePitch="360"/>
        </w:sectPr>
      </w:pPr>
    </w:p>
    <w:bookmarkEnd w:id="83"/>
    <w:p w14:paraId="4488B1F9" w14:textId="4B206FBA" w:rsidR="00391768" w:rsidRPr="00675182" w:rsidRDefault="00391768" w:rsidP="00385CDA">
      <w:pPr>
        <w:rPr>
          <w:rFonts w:cstheme="minorHAnsi"/>
          <w:sz w:val="20"/>
          <w:szCs w:val="24"/>
        </w:rPr>
      </w:pPr>
    </w:p>
    <w:p w14:paraId="47B0001C" w14:textId="14CE5B86" w:rsidR="00011E51" w:rsidRPr="00675182" w:rsidRDefault="00011E51" w:rsidP="002B3341">
      <w:pPr>
        <w:pStyle w:val="Heading3"/>
        <w:keepNext w:val="0"/>
        <w:numPr>
          <w:ilvl w:val="0"/>
          <w:numId w:val="0"/>
        </w:numPr>
        <w:rPr>
          <w:rFonts w:cstheme="minorHAnsi"/>
          <w:b/>
          <w:lang w:val="lv-LV"/>
        </w:rPr>
      </w:pPr>
      <w:bookmarkStart w:id="84" w:name="_Toc116938410"/>
      <w:r w:rsidRPr="00675182">
        <w:rPr>
          <w:rFonts w:cstheme="minorHAnsi"/>
          <w:b/>
          <w:lang w:val="lv-LV"/>
        </w:rPr>
        <w:t>2.4.2. Fauna</w:t>
      </w:r>
      <w:bookmarkEnd w:id="84"/>
      <w:r w:rsidRPr="00675182">
        <w:rPr>
          <w:rFonts w:cstheme="minorHAnsi"/>
          <w:b/>
          <w:lang w:val="lv-LV"/>
        </w:rPr>
        <w:t xml:space="preserve"> </w:t>
      </w:r>
    </w:p>
    <w:p w14:paraId="46010EDC" w14:textId="77777777" w:rsidR="00807E60" w:rsidRPr="00675182" w:rsidRDefault="00807E60" w:rsidP="002B3341">
      <w:pPr>
        <w:rPr>
          <w:rFonts w:cstheme="minorHAnsi"/>
        </w:rPr>
      </w:pPr>
    </w:p>
    <w:p w14:paraId="31A3DBD9" w14:textId="77777777" w:rsidR="00011E51" w:rsidRPr="00675182" w:rsidRDefault="00011E51" w:rsidP="00CC0016">
      <w:pPr>
        <w:pStyle w:val="Heading4"/>
        <w:rPr>
          <w:rFonts w:asciiTheme="minorHAnsi" w:hAnsiTheme="minorHAnsi" w:cstheme="minorHAnsi"/>
        </w:rPr>
      </w:pPr>
      <w:r w:rsidRPr="00675182">
        <w:rPr>
          <w:rFonts w:asciiTheme="minorHAnsi" w:hAnsiTheme="minorHAnsi" w:cstheme="minorHAnsi"/>
        </w:rPr>
        <w:t>2.4.2.1. Putni</w:t>
      </w:r>
    </w:p>
    <w:p w14:paraId="7635EA12" w14:textId="76789BCF" w:rsidR="00FD2C16" w:rsidRPr="00675182" w:rsidRDefault="00FD2C16" w:rsidP="002B3341">
      <w:pPr>
        <w:jc w:val="both"/>
        <w:rPr>
          <w:rFonts w:cstheme="minorHAnsi"/>
          <w:b/>
          <w:szCs w:val="24"/>
        </w:rPr>
      </w:pPr>
    </w:p>
    <w:p w14:paraId="1818EBFE" w14:textId="761B9B48" w:rsidR="001B49F7" w:rsidRPr="00675182" w:rsidRDefault="001B49F7" w:rsidP="001B49F7">
      <w:pPr>
        <w:jc w:val="both"/>
        <w:rPr>
          <w:rFonts w:cstheme="minorHAnsi"/>
          <w:bCs/>
          <w:szCs w:val="24"/>
        </w:rPr>
      </w:pPr>
      <w:r w:rsidRPr="00675182">
        <w:rPr>
          <w:rFonts w:cstheme="minorHAnsi"/>
          <w:bCs/>
          <w:szCs w:val="24"/>
        </w:rPr>
        <w:t xml:space="preserve">2002. gada oktobrī ar LVAF atbalstu tika uzsākta un līdz 2004. gada beigām turpinājās datu vākšana GNP ligzdojošo un ziemojošo putnu atlantam. Darba mērķis bija noskaidrot ligzdojošo un ziemojošo putnu izplatību GNP. Lai novērtētu </w:t>
      </w:r>
      <w:r w:rsidR="00C14E9E" w:rsidRPr="00675182">
        <w:rPr>
          <w:rFonts w:cstheme="minorHAnsi"/>
          <w:bCs/>
          <w:szCs w:val="24"/>
        </w:rPr>
        <w:t>G</w:t>
      </w:r>
      <w:r w:rsidRPr="00675182">
        <w:rPr>
          <w:rFonts w:cstheme="minorHAnsi"/>
          <w:bCs/>
          <w:szCs w:val="24"/>
        </w:rPr>
        <w:t>NP ligzdojošo putnu izplatību, izmantoti arī pirms projekta uzsākšanas (2000.–2002. gadā) ievāktie otrā Latvijas ligzdojošo putnu atlanta dati. Iegūtie rezultāti apkopoti izdevumā “Bioloģiskā daudzveidība Gaujas Nacionālajā parkā” (Pilāts (red.), 2007).</w:t>
      </w:r>
    </w:p>
    <w:p w14:paraId="0F221B56" w14:textId="77777777" w:rsidR="001B49F7" w:rsidRPr="00675182" w:rsidRDefault="001B49F7" w:rsidP="001B49F7">
      <w:pPr>
        <w:jc w:val="both"/>
        <w:rPr>
          <w:rFonts w:cstheme="minorHAnsi"/>
          <w:bCs/>
          <w:szCs w:val="24"/>
        </w:rPr>
      </w:pPr>
    </w:p>
    <w:p w14:paraId="2A7F5E3A" w14:textId="2743D473" w:rsidR="001B49F7" w:rsidRPr="00675182" w:rsidRDefault="001B49F7" w:rsidP="001B49F7">
      <w:pPr>
        <w:jc w:val="both"/>
        <w:rPr>
          <w:rFonts w:cstheme="minorHAnsi"/>
          <w:bCs/>
          <w:szCs w:val="24"/>
        </w:rPr>
      </w:pPr>
      <w:r w:rsidRPr="00675182">
        <w:rPr>
          <w:rFonts w:cstheme="minorHAnsi"/>
          <w:bCs/>
          <w:szCs w:val="24"/>
        </w:rPr>
        <w:t xml:space="preserve">EMERALD projekta laikā (2001. – 2004.) teritoriju 2001. gadā apsekoja Latvijas Ornitoloģijas biedrības (LOB) eksperti. Šī projekta uzskaišu rezultāti ļāva teritoriju iekļaut starptautiskas nozīmes </w:t>
      </w:r>
      <w:r w:rsidR="00E1151E">
        <w:rPr>
          <w:rFonts w:cstheme="minorHAnsi"/>
          <w:bCs/>
          <w:szCs w:val="24"/>
        </w:rPr>
        <w:t>PNV</w:t>
      </w:r>
      <w:r w:rsidRPr="00675182">
        <w:rPr>
          <w:rFonts w:cstheme="minorHAnsi"/>
          <w:bCs/>
          <w:szCs w:val="24"/>
        </w:rPr>
        <w:t xml:space="preserve"> sarakstā (</w:t>
      </w:r>
      <w:r w:rsidRPr="00675182">
        <w:rPr>
          <w:rFonts w:cstheme="minorHAnsi"/>
          <w:bCs/>
          <w:i/>
          <w:iCs/>
          <w:szCs w:val="24"/>
        </w:rPr>
        <w:t>Important Birds and Biodiversity areas</w:t>
      </w:r>
      <w:r w:rsidRPr="00675182">
        <w:rPr>
          <w:rFonts w:cstheme="minorHAnsi"/>
          <w:bCs/>
          <w:szCs w:val="24"/>
        </w:rPr>
        <w:t xml:space="preserve">; Račinskis 2004). Kā teritoriju kvalificējošās sugas </w:t>
      </w:r>
      <w:r w:rsidR="009874AD" w:rsidRPr="00675182">
        <w:rPr>
          <w:rFonts w:cstheme="minorHAnsi"/>
          <w:bCs/>
          <w:szCs w:val="24"/>
        </w:rPr>
        <w:t xml:space="preserve">ir </w:t>
      </w:r>
      <w:r w:rsidRPr="00675182">
        <w:rPr>
          <w:rFonts w:cstheme="minorHAnsi"/>
          <w:bCs/>
          <w:szCs w:val="24"/>
        </w:rPr>
        <w:t>izdalītas melnais stārķis, baltais stārķis, sējas zoss, grieze, dzērve, ūpis, apodziņš, zivju dzenītis, melnā dzilna, vidējais dzenis, baltmugurdzenis, trīspirkstu dzenis, mazais mušķērājs.</w:t>
      </w:r>
    </w:p>
    <w:p w14:paraId="734EA272" w14:textId="77777777" w:rsidR="001B49F7" w:rsidRPr="00675182" w:rsidRDefault="001B49F7" w:rsidP="001B49F7">
      <w:pPr>
        <w:jc w:val="both"/>
        <w:rPr>
          <w:rFonts w:cstheme="minorHAnsi"/>
          <w:bCs/>
          <w:szCs w:val="24"/>
        </w:rPr>
      </w:pPr>
    </w:p>
    <w:p w14:paraId="2ABAE547" w14:textId="7C499E5B" w:rsidR="001B49F7" w:rsidRPr="00675182" w:rsidRDefault="001B49F7" w:rsidP="001B49F7">
      <w:pPr>
        <w:jc w:val="both"/>
        <w:rPr>
          <w:rFonts w:cstheme="minorHAnsi"/>
          <w:bCs/>
          <w:szCs w:val="24"/>
        </w:rPr>
      </w:pPr>
      <w:r w:rsidRPr="00675182">
        <w:rPr>
          <w:rFonts w:cstheme="minorHAnsi"/>
          <w:bCs/>
          <w:szCs w:val="24"/>
        </w:rPr>
        <w:t xml:space="preserve">Vērtīgi dati par teritorijas ornitofaunu iegūti Natura 2000 vietu putnu monitoringa laikā (2009, 2010, 2012, 2015, 2017), kad veiktas teritoriju kvalificējošo sugu, kā arī dažu pārējo Putnu direktīvas I pielikumā iekļauto sugu uzskaites. Nevienā no uzskaišu periodiem nav veiktas atkārtotas uzskaites vienas sezonas ietvaros, kā arī uzskaites veiktas ar atšķirīgām metodēm un nav standartizētas. Šajā programmā realizētās putnu uzskaites ļauj spriest par aptuveniem </w:t>
      </w:r>
      <w:r w:rsidR="00B15605">
        <w:rPr>
          <w:rFonts w:cstheme="minorHAnsi"/>
          <w:bCs/>
          <w:szCs w:val="24"/>
        </w:rPr>
        <w:t>ĪA</w:t>
      </w:r>
      <w:r w:rsidRPr="00675182">
        <w:rPr>
          <w:rFonts w:cstheme="minorHAnsi"/>
          <w:bCs/>
          <w:szCs w:val="24"/>
        </w:rPr>
        <w:t xml:space="preserve"> putnu sugu populāciju vērtējumiem, bet dati nav izmantojami populāciju skaita izmaiņu tendenču noteikšanai. </w:t>
      </w:r>
    </w:p>
    <w:p w14:paraId="5EFAA3FE" w14:textId="77777777" w:rsidR="001B49F7" w:rsidRPr="00675182" w:rsidRDefault="001B49F7" w:rsidP="001B49F7">
      <w:pPr>
        <w:jc w:val="both"/>
        <w:rPr>
          <w:rFonts w:cstheme="minorHAnsi"/>
          <w:bCs/>
          <w:szCs w:val="24"/>
        </w:rPr>
      </w:pPr>
    </w:p>
    <w:p w14:paraId="507220E3" w14:textId="2F4D0DC2" w:rsidR="001B49F7" w:rsidRPr="00675182" w:rsidRDefault="001B49F7" w:rsidP="001B49F7">
      <w:pPr>
        <w:jc w:val="both"/>
        <w:rPr>
          <w:rFonts w:cstheme="minorHAnsi"/>
          <w:bCs/>
          <w:szCs w:val="24"/>
        </w:rPr>
      </w:pPr>
      <w:r w:rsidRPr="00675182">
        <w:rPr>
          <w:rFonts w:cstheme="minorHAnsi"/>
          <w:bCs/>
          <w:szCs w:val="24"/>
        </w:rPr>
        <w:t xml:space="preserve">LOB </w:t>
      </w:r>
      <w:r w:rsidR="00C35853" w:rsidRPr="00675182">
        <w:rPr>
          <w:rFonts w:cstheme="minorHAnsi"/>
          <w:bCs/>
          <w:szCs w:val="24"/>
        </w:rPr>
        <w:t>izstrādātajā</w:t>
      </w:r>
      <w:r w:rsidRPr="00675182">
        <w:rPr>
          <w:rFonts w:cstheme="minorHAnsi"/>
          <w:bCs/>
          <w:szCs w:val="24"/>
        </w:rPr>
        <w:t xml:space="preserve"> Eiropas ligzdojošo putnu atlantā (2013 – 2017) gadījuma ziņas par teritorijas ornitofaunu ievākuši dažādi putnu vērotāji - amatieri. Šajā projektā brīvi izvēlētos maršrutos uzskaites veiktas 5</w:t>
      </w:r>
      <w:r w:rsidR="009874AD" w:rsidRPr="00675182">
        <w:rPr>
          <w:rFonts w:cstheme="minorHAnsi"/>
          <w:bCs/>
          <w:szCs w:val="24"/>
        </w:rPr>
        <w:t>X</w:t>
      </w:r>
      <w:r w:rsidRPr="00675182">
        <w:rPr>
          <w:rFonts w:cstheme="minorHAnsi"/>
          <w:bCs/>
          <w:szCs w:val="24"/>
        </w:rPr>
        <w:t xml:space="preserve">5 km kvadrātu tīklā, reģistrējot visas potenciāli ligzdojošās putnu sugas. Daļai </w:t>
      </w:r>
      <w:r w:rsidR="00B15605">
        <w:rPr>
          <w:rFonts w:cstheme="minorHAnsi"/>
          <w:bCs/>
          <w:szCs w:val="24"/>
        </w:rPr>
        <w:t>ĪA</w:t>
      </w:r>
      <w:r w:rsidRPr="00675182">
        <w:rPr>
          <w:rFonts w:cstheme="minorHAnsi"/>
          <w:bCs/>
          <w:szCs w:val="24"/>
        </w:rPr>
        <w:t xml:space="preserve"> sugu atradņu fiksētas arī precīzas vai aptuvenas koordinātes. Dati publicēti portālā</w:t>
      </w:r>
      <w:r w:rsidR="00B71E77" w:rsidRPr="00675182">
        <w:rPr>
          <w:rFonts w:cstheme="minorHAnsi"/>
          <w:bCs/>
          <w:szCs w:val="24"/>
        </w:rPr>
        <w:t xml:space="preserve"> D</w:t>
      </w:r>
      <w:r w:rsidRPr="00675182">
        <w:rPr>
          <w:rFonts w:cstheme="minorHAnsi"/>
          <w:bCs/>
          <w:szCs w:val="24"/>
        </w:rPr>
        <w:t>abasdati.lv; daļa ĪA putnu sugu atradnes iekļautas arī DDPS “Ozols”.</w:t>
      </w:r>
    </w:p>
    <w:p w14:paraId="45648798" w14:textId="77777777" w:rsidR="001B49F7" w:rsidRPr="00675182" w:rsidRDefault="001B49F7" w:rsidP="001B49F7">
      <w:pPr>
        <w:jc w:val="both"/>
        <w:rPr>
          <w:rFonts w:cstheme="minorHAnsi"/>
          <w:bCs/>
          <w:szCs w:val="24"/>
        </w:rPr>
      </w:pPr>
    </w:p>
    <w:p w14:paraId="3CB2B7F9" w14:textId="075C270C" w:rsidR="001B49F7" w:rsidRPr="00675182" w:rsidRDefault="001B49F7" w:rsidP="001B49F7">
      <w:pPr>
        <w:jc w:val="both"/>
        <w:rPr>
          <w:rFonts w:cstheme="minorHAnsi"/>
          <w:bCs/>
          <w:szCs w:val="24"/>
        </w:rPr>
      </w:pPr>
      <w:r w:rsidRPr="00675182">
        <w:rPr>
          <w:rFonts w:cstheme="minorHAnsi"/>
          <w:bCs/>
          <w:szCs w:val="24"/>
        </w:rPr>
        <w:t xml:space="preserve">GNP teritorijā kopš 2015. gada tiek apsekoti divi Latvijas ligzdojošo putnu monitoringa maršruti Līgatnes novada Ķempju apkārtnē un Priekuļu novada Garkalnes apkārtnē. </w:t>
      </w:r>
    </w:p>
    <w:p w14:paraId="2F48988F" w14:textId="77777777" w:rsidR="001B49F7" w:rsidRPr="00675182" w:rsidRDefault="001B49F7" w:rsidP="001B49F7">
      <w:pPr>
        <w:jc w:val="both"/>
        <w:rPr>
          <w:rFonts w:cstheme="minorHAnsi"/>
          <w:bCs/>
          <w:szCs w:val="24"/>
        </w:rPr>
      </w:pPr>
    </w:p>
    <w:p w14:paraId="0F117C45" w14:textId="77777777" w:rsidR="001B49F7" w:rsidRPr="00675182" w:rsidRDefault="001B49F7" w:rsidP="001B49F7">
      <w:pPr>
        <w:jc w:val="both"/>
        <w:rPr>
          <w:rFonts w:cstheme="minorHAnsi"/>
          <w:bCs/>
          <w:szCs w:val="24"/>
        </w:rPr>
      </w:pPr>
      <w:r w:rsidRPr="00675182">
        <w:rPr>
          <w:rFonts w:cstheme="minorHAnsi"/>
          <w:bCs/>
          <w:szCs w:val="24"/>
        </w:rPr>
        <w:t>7. Starptautiskās balto stārķu uzskaites laikā 2014. gadā uzskaites koordinatori Latvijā – LOB – saņēma informāciju par apdzīvotām balto stārķu GNP teritorijā gan no AS “Latvenergo” darbiniekiem, gan brīvprātīgajiem. Šie dati izmantoti veicot balto stārķu uzskaites DA plāna izstrādes ietvaros.</w:t>
      </w:r>
    </w:p>
    <w:p w14:paraId="2CD92022" w14:textId="77777777" w:rsidR="001B49F7" w:rsidRPr="00675182" w:rsidRDefault="001B49F7" w:rsidP="001B49F7">
      <w:pPr>
        <w:jc w:val="both"/>
        <w:rPr>
          <w:rFonts w:cstheme="minorHAnsi"/>
          <w:bCs/>
          <w:szCs w:val="24"/>
        </w:rPr>
      </w:pPr>
    </w:p>
    <w:p w14:paraId="20B2939E" w14:textId="77777777" w:rsidR="001B49F7" w:rsidRPr="00675182" w:rsidRDefault="001B49F7" w:rsidP="001B49F7">
      <w:pPr>
        <w:jc w:val="both"/>
        <w:rPr>
          <w:rFonts w:cstheme="minorHAnsi"/>
          <w:bCs/>
          <w:szCs w:val="24"/>
        </w:rPr>
      </w:pPr>
      <w:r w:rsidRPr="00675182">
        <w:rPr>
          <w:rFonts w:cstheme="minorHAnsi"/>
          <w:bCs/>
          <w:szCs w:val="24"/>
        </w:rPr>
        <w:t>GNP teritorijā esošās ūdenstilpes regulāri tiek apsekotas starptautiskās ziemojošo ūdensputnu uzskaites ietvaros, kuras centrālie ziņošanas datumi ir janvāra otrā sestdiena – svētdiena.</w:t>
      </w:r>
    </w:p>
    <w:p w14:paraId="7DD5D103" w14:textId="77777777" w:rsidR="001B49F7" w:rsidRPr="00675182" w:rsidRDefault="001B49F7" w:rsidP="001B49F7">
      <w:pPr>
        <w:jc w:val="both"/>
        <w:rPr>
          <w:rFonts w:cstheme="minorHAnsi"/>
          <w:bCs/>
          <w:szCs w:val="24"/>
        </w:rPr>
      </w:pPr>
    </w:p>
    <w:p w14:paraId="0EC05E46" w14:textId="0831B036" w:rsidR="001B49F7" w:rsidRPr="00675182" w:rsidRDefault="001B49F7" w:rsidP="001B49F7">
      <w:pPr>
        <w:jc w:val="both"/>
        <w:rPr>
          <w:rFonts w:cstheme="minorHAnsi"/>
          <w:bCs/>
          <w:szCs w:val="24"/>
        </w:rPr>
      </w:pPr>
      <w:r w:rsidRPr="00675182">
        <w:rPr>
          <w:rFonts w:cstheme="minorHAnsi"/>
          <w:bCs/>
          <w:szCs w:val="24"/>
        </w:rPr>
        <w:lastRenderedPageBreak/>
        <w:t>Aktuālākie dati tika ievākti DA plāna izstrādes ietvaros, veicot GNP teritoriju apsekojumus 2020. gada lauka pētījumu sezonā, no marta sākuma līdz oktobra beigām.</w:t>
      </w:r>
    </w:p>
    <w:p w14:paraId="04ED526A" w14:textId="77777777" w:rsidR="001B49F7" w:rsidRPr="00675182" w:rsidRDefault="001B49F7" w:rsidP="001B49F7">
      <w:pPr>
        <w:jc w:val="both"/>
        <w:rPr>
          <w:rFonts w:cstheme="minorHAnsi"/>
          <w:b/>
          <w:szCs w:val="24"/>
        </w:rPr>
      </w:pPr>
    </w:p>
    <w:p w14:paraId="1F7F5BB7" w14:textId="77777777" w:rsidR="001B49F7" w:rsidRPr="00675182" w:rsidRDefault="001B49F7" w:rsidP="001B49F7">
      <w:pPr>
        <w:jc w:val="both"/>
        <w:rPr>
          <w:rFonts w:cstheme="minorHAnsi"/>
          <w:b/>
        </w:rPr>
      </w:pPr>
      <w:r w:rsidRPr="00675182">
        <w:rPr>
          <w:rFonts w:cstheme="minorHAnsi"/>
          <w:b/>
        </w:rPr>
        <w:t>Dabas aizsardzības vērtība</w:t>
      </w:r>
    </w:p>
    <w:p w14:paraId="7E797088" w14:textId="36F1ABF7" w:rsidR="00C35853" w:rsidRPr="00675182" w:rsidRDefault="001B49F7" w:rsidP="001B49F7">
      <w:pPr>
        <w:jc w:val="both"/>
        <w:rPr>
          <w:rFonts w:cstheme="minorHAnsi"/>
          <w:bCs/>
        </w:rPr>
      </w:pPr>
      <w:r w:rsidRPr="00675182">
        <w:rPr>
          <w:rFonts w:cstheme="minorHAnsi"/>
          <w:bCs/>
        </w:rPr>
        <w:t>DA plāna izstrādes laikā 2020. gadā GNP teritorijā kā potenciāli ligzdojošas</w:t>
      </w:r>
      <w:r w:rsidR="009874AD" w:rsidRPr="00675182">
        <w:rPr>
          <w:rFonts w:cstheme="minorHAnsi"/>
          <w:bCs/>
        </w:rPr>
        <w:t xml:space="preserve"> ir</w:t>
      </w:r>
      <w:r w:rsidRPr="00675182">
        <w:rPr>
          <w:rFonts w:cstheme="minorHAnsi"/>
          <w:bCs/>
        </w:rPr>
        <w:t xml:space="preserve"> konstatētas 36 putnu sugas, kas iekļautas </w:t>
      </w:r>
      <w:r w:rsidR="00133666">
        <w:rPr>
          <w:rFonts w:cstheme="minorHAnsi"/>
          <w:bCs/>
        </w:rPr>
        <w:t>Putnu direktīvas</w:t>
      </w:r>
      <w:r w:rsidRPr="00675182">
        <w:rPr>
          <w:rFonts w:cstheme="minorHAnsi"/>
          <w:bCs/>
        </w:rPr>
        <w:t xml:space="preserve"> 1. pielikumā, kā arī 14 Latvij</w:t>
      </w:r>
      <w:r w:rsidR="00133666">
        <w:rPr>
          <w:rFonts w:cstheme="minorHAnsi"/>
          <w:bCs/>
        </w:rPr>
        <w:t>as</w:t>
      </w:r>
      <w:r w:rsidRPr="00675182">
        <w:rPr>
          <w:rFonts w:cstheme="minorHAnsi"/>
          <w:bCs/>
        </w:rPr>
        <w:t xml:space="preserve"> </w:t>
      </w:r>
      <w:r w:rsidR="00D1607A">
        <w:rPr>
          <w:rFonts w:cstheme="minorHAnsi"/>
          <w:bCs/>
        </w:rPr>
        <w:t>ĪA</w:t>
      </w:r>
      <w:r w:rsidRPr="00675182">
        <w:rPr>
          <w:rFonts w:cstheme="minorHAnsi"/>
          <w:bCs/>
        </w:rPr>
        <w:t xml:space="preserve"> putnu sugas (atbilstoši MK 2000. gada 14. novembra noteikumiem Nr. 396 ”Noteikumi par īpaši aizsargājamo sugu un ierobežoti izmantojamo īpaši aizsargājamo sugu sarakstu”). 18 teritorijā konstatēto sugu aizsardzībai to ligzdošanās vietās var tikt veidojami mikroliegumi (atbilstoši</w:t>
      </w:r>
      <w:r w:rsidRPr="00675182">
        <w:rPr>
          <w:rFonts w:cstheme="minorHAnsi"/>
        </w:rPr>
        <w:t xml:space="preserve"> </w:t>
      </w:r>
      <w:r w:rsidRPr="00675182">
        <w:rPr>
          <w:rFonts w:cstheme="minorHAnsi"/>
          <w:bCs/>
        </w:rPr>
        <w:t xml:space="preserve">MK 2012. gada 18. decembra noteikumiem Nr. 940 „Noteikumi par mikroliegumu izveidošanas un apsaimniekošanas kārtību, to aizsardzību, kā arī mikroliegumu un to buferzonu noteikšanu). </w:t>
      </w:r>
    </w:p>
    <w:p w14:paraId="7100D06A" w14:textId="77777777" w:rsidR="00C35853" w:rsidRPr="00675182" w:rsidRDefault="00C35853" w:rsidP="001B49F7">
      <w:pPr>
        <w:jc w:val="both"/>
        <w:rPr>
          <w:rFonts w:cstheme="minorHAnsi"/>
          <w:bCs/>
        </w:rPr>
      </w:pPr>
    </w:p>
    <w:p w14:paraId="59EB0B88" w14:textId="29D7C8A7" w:rsidR="00A20129" w:rsidRPr="00675182" w:rsidRDefault="00A20129" w:rsidP="00A20129">
      <w:pPr>
        <w:suppressAutoHyphens w:val="0"/>
        <w:autoSpaceDE w:val="0"/>
        <w:autoSpaceDN w:val="0"/>
        <w:adjustRightInd w:val="0"/>
        <w:contextualSpacing/>
        <w:jc w:val="both"/>
        <w:rPr>
          <w:rFonts w:cstheme="minorHAnsi"/>
          <w:szCs w:val="24"/>
        </w:rPr>
      </w:pPr>
      <w:r w:rsidRPr="00675182">
        <w:rPr>
          <w:rFonts w:cstheme="minorHAnsi"/>
          <w:bCs/>
          <w:szCs w:val="24"/>
        </w:rPr>
        <w:t xml:space="preserve">Informācija par </w:t>
      </w:r>
      <w:r w:rsidR="00D1607A">
        <w:rPr>
          <w:rFonts w:cstheme="minorHAnsi"/>
          <w:bCs/>
          <w:szCs w:val="24"/>
        </w:rPr>
        <w:t>ĪA</w:t>
      </w:r>
      <w:r w:rsidRPr="00675182">
        <w:rPr>
          <w:rFonts w:cstheme="minorHAnsi"/>
          <w:bCs/>
          <w:szCs w:val="24"/>
        </w:rPr>
        <w:t xml:space="preserve"> putnu sugām ir apkopota 2.4.4. </w:t>
      </w:r>
      <w:r w:rsidR="009023BC">
        <w:rPr>
          <w:rFonts w:cstheme="minorHAnsi"/>
          <w:bCs/>
          <w:szCs w:val="24"/>
        </w:rPr>
        <w:t xml:space="preserve">A un B </w:t>
      </w:r>
      <w:r w:rsidRPr="00675182">
        <w:rPr>
          <w:rFonts w:cstheme="minorHAnsi"/>
          <w:bCs/>
          <w:szCs w:val="24"/>
        </w:rPr>
        <w:t xml:space="preserve">tabulā. </w:t>
      </w:r>
    </w:p>
    <w:p w14:paraId="275D1FF7" w14:textId="77777777" w:rsidR="001B49F7" w:rsidRPr="00675182" w:rsidRDefault="001B49F7" w:rsidP="001B49F7">
      <w:pPr>
        <w:jc w:val="both"/>
        <w:rPr>
          <w:rFonts w:cstheme="minorHAnsi"/>
          <w:i/>
          <w:iCs/>
          <w:szCs w:val="24"/>
        </w:rPr>
      </w:pPr>
    </w:p>
    <w:p w14:paraId="3AA01B66" w14:textId="77777777" w:rsidR="001B49F7" w:rsidRPr="00675182" w:rsidRDefault="001B49F7" w:rsidP="001B49F7">
      <w:pPr>
        <w:jc w:val="both"/>
        <w:rPr>
          <w:rFonts w:cstheme="minorHAnsi"/>
          <w:szCs w:val="24"/>
        </w:rPr>
      </w:pPr>
      <w:r w:rsidRPr="00675182">
        <w:rPr>
          <w:rFonts w:cstheme="minorHAnsi"/>
          <w:szCs w:val="24"/>
        </w:rPr>
        <w:t xml:space="preserve">GNP ir nozīmīga migrējošo ūdensputnu un dzērvju pulcēšanās vieta. Pavasara migrācijas maksimuma laikā teritorijā vienlaicīgi uzturas 5000 – 7000 zosu </w:t>
      </w:r>
      <w:r w:rsidRPr="00675182">
        <w:rPr>
          <w:rFonts w:cstheme="minorHAnsi"/>
          <w:i/>
          <w:iCs/>
          <w:szCs w:val="24"/>
        </w:rPr>
        <w:t xml:space="preserve">Anser sp. </w:t>
      </w:r>
      <w:r w:rsidRPr="00675182">
        <w:rPr>
          <w:rFonts w:cstheme="minorHAnsi"/>
          <w:szCs w:val="24"/>
        </w:rPr>
        <w:t xml:space="preserve">Rudens migrācijas laikā nozīmīga dzērvju </w:t>
      </w:r>
      <w:r w:rsidRPr="00675182">
        <w:rPr>
          <w:rFonts w:cstheme="minorHAnsi"/>
          <w:i/>
          <w:iCs/>
          <w:szCs w:val="24"/>
        </w:rPr>
        <w:t xml:space="preserve">Grus grus </w:t>
      </w:r>
      <w:r w:rsidRPr="00675182">
        <w:rPr>
          <w:rFonts w:cstheme="minorHAnsi"/>
          <w:szCs w:val="24"/>
        </w:rPr>
        <w:t>pulcēšanās vieta ir Sudas purva apkārtne, kur vienlaicīgi konstatēti līdz 500 īpatņi.</w:t>
      </w:r>
    </w:p>
    <w:p w14:paraId="2B47FBA3" w14:textId="77777777" w:rsidR="001B49F7" w:rsidRPr="00675182" w:rsidRDefault="001B49F7" w:rsidP="001B49F7">
      <w:pPr>
        <w:jc w:val="both"/>
        <w:rPr>
          <w:rFonts w:cstheme="minorHAnsi"/>
          <w:szCs w:val="24"/>
        </w:rPr>
      </w:pPr>
    </w:p>
    <w:p w14:paraId="038D5F0E" w14:textId="77777777" w:rsidR="001B49F7" w:rsidRPr="00675182" w:rsidRDefault="001B49F7" w:rsidP="001B49F7">
      <w:pPr>
        <w:jc w:val="both"/>
        <w:rPr>
          <w:rFonts w:cstheme="minorHAnsi"/>
          <w:szCs w:val="24"/>
        </w:rPr>
      </w:pPr>
      <w:r w:rsidRPr="00675182">
        <w:rPr>
          <w:rFonts w:cstheme="minorHAnsi"/>
          <w:szCs w:val="24"/>
        </w:rPr>
        <w:t xml:space="preserve">GNP ir nozīmīga zivju dzenīša </w:t>
      </w:r>
      <w:r w:rsidRPr="00675182">
        <w:rPr>
          <w:rFonts w:cstheme="minorHAnsi"/>
          <w:i/>
          <w:iCs/>
          <w:szCs w:val="24"/>
        </w:rPr>
        <w:t xml:space="preserve">Alcedo atthis </w:t>
      </w:r>
      <w:r w:rsidRPr="00675182">
        <w:rPr>
          <w:rFonts w:cstheme="minorHAnsi"/>
          <w:szCs w:val="24"/>
        </w:rPr>
        <w:t xml:space="preserve">ligzdošanas vieta; teritorijā ligzdo aptuveni 8% no visas Latvijas sugas populācijas. </w:t>
      </w:r>
    </w:p>
    <w:p w14:paraId="61845076" w14:textId="77777777" w:rsidR="001B49F7" w:rsidRPr="00675182" w:rsidRDefault="001B49F7" w:rsidP="001B49F7">
      <w:pPr>
        <w:jc w:val="both"/>
        <w:rPr>
          <w:rFonts w:cstheme="minorHAnsi"/>
          <w:szCs w:val="24"/>
        </w:rPr>
      </w:pPr>
    </w:p>
    <w:p w14:paraId="2C0F976F" w14:textId="77777777" w:rsidR="001B49F7" w:rsidRPr="00675182" w:rsidRDefault="001B49F7" w:rsidP="001B49F7">
      <w:pPr>
        <w:jc w:val="both"/>
        <w:rPr>
          <w:rFonts w:cstheme="minorHAnsi"/>
          <w:szCs w:val="24"/>
        </w:rPr>
      </w:pPr>
      <w:r w:rsidRPr="00675182">
        <w:rPr>
          <w:rFonts w:cstheme="minorHAnsi"/>
          <w:szCs w:val="24"/>
        </w:rPr>
        <w:t xml:space="preserve">GNP teritorijā esošie upju straujteču posmi ir arī viena no dažām vietām Latvijā, kur nelielā skaitā regulāri ligzdo ūdensstrazds </w:t>
      </w:r>
      <w:r w:rsidRPr="00675182">
        <w:rPr>
          <w:rFonts w:cstheme="minorHAnsi"/>
          <w:i/>
          <w:iCs/>
          <w:szCs w:val="24"/>
        </w:rPr>
        <w:t>Cinclus cinclus</w:t>
      </w:r>
      <w:r w:rsidRPr="00675182">
        <w:rPr>
          <w:rFonts w:cstheme="minorHAnsi"/>
          <w:szCs w:val="24"/>
        </w:rPr>
        <w:t xml:space="preserve">. GNP teritorijā ziemo Skandināvijā ligzdojošās populācijas putni, atkarībā no konkrētās ziemas klimata, 10 – 20 īpatņi. </w:t>
      </w:r>
    </w:p>
    <w:p w14:paraId="6D314B9F" w14:textId="77777777" w:rsidR="001B49F7" w:rsidRPr="00675182" w:rsidRDefault="001B49F7" w:rsidP="001B49F7">
      <w:pPr>
        <w:jc w:val="both"/>
        <w:rPr>
          <w:rFonts w:cstheme="minorHAnsi"/>
          <w:szCs w:val="24"/>
        </w:rPr>
      </w:pPr>
    </w:p>
    <w:p w14:paraId="172F0BD9" w14:textId="77777777" w:rsidR="001B49F7" w:rsidRPr="00675182" w:rsidRDefault="001B49F7" w:rsidP="001B49F7">
      <w:pPr>
        <w:jc w:val="both"/>
        <w:rPr>
          <w:rFonts w:cstheme="minorHAnsi"/>
          <w:szCs w:val="24"/>
        </w:rPr>
      </w:pPr>
      <w:r w:rsidRPr="00675182">
        <w:rPr>
          <w:rFonts w:cstheme="minorHAnsi"/>
          <w:szCs w:val="24"/>
        </w:rPr>
        <w:t xml:space="preserve">Ar upju straujtecēm un atsegumiem tieši saistīta ir arī Latvijā reta putnu suga pelēkā cielava </w:t>
      </w:r>
      <w:r w:rsidRPr="00675182">
        <w:rPr>
          <w:rFonts w:cstheme="minorHAnsi"/>
          <w:i/>
          <w:iCs/>
          <w:szCs w:val="24"/>
        </w:rPr>
        <w:t>Motacilla cinerea</w:t>
      </w:r>
      <w:r w:rsidRPr="00675182">
        <w:rPr>
          <w:rFonts w:cstheme="minorHAnsi"/>
          <w:szCs w:val="24"/>
        </w:rPr>
        <w:t>. Pirmais pierādītais ligzdošanas gadījums Latvijā reģistrēts 1991. gadā Siguldā pie Gūtmaņalas (Celmiņš, 2020), kur suga sekmīgi ligzdoja arī 2020. gadā. Skaita vērtējums teritorijā 25 – 30 pāri, kas ir vismaz puse no Latvijā ligzdojošās populācijas.</w:t>
      </w:r>
    </w:p>
    <w:p w14:paraId="02E64BB1" w14:textId="77777777" w:rsidR="001B49F7" w:rsidRPr="00675182" w:rsidRDefault="001B49F7" w:rsidP="001B49F7">
      <w:pPr>
        <w:jc w:val="both"/>
        <w:rPr>
          <w:rFonts w:cstheme="minorHAnsi"/>
          <w:szCs w:val="24"/>
        </w:rPr>
      </w:pPr>
    </w:p>
    <w:p w14:paraId="57F28031" w14:textId="036EA85C" w:rsidR="001B49F7" w:rsidRPr="00675182" w:rsidRDefault="001B49F7" w:rsidP="001B49F7">
      <w:pPr>
        <w:jc w:val="both"/>
        <w:rPr>
          <w:rFonts w:cstheme="minorHAnsi"/>
          <w:szCs w:val="24"/>
          <w:shd w:val="clear" w:color="auto" w:fill="FFFFFF"/>
        </w:rPr>
      </w:pPr>
      <w:r w:rsidRPr="00675182">
        <w:rPr>
          <w:rFonts w:cstheme="minorHAnsi"/>
          <w:szCs w:val="24"/>
        </w:rPr>
        <w:t xml:space="preserve">Nozīmīgākā dažādu ar purva biotopiem saistītu </w:t>
      </w:r>
      <w:r w:rsidR="00126723">
        <w:rPr>
          <w:rFonts w:cstheme="minorHAnsi"/>
          <w:szCs w:val="24"/>
        </w:rPr>
        <w:t>ĪA</w:t>
      </w:r>
      <w:r w:rsidRPr="00675182">
        <w:rPr>
          <w:rFonts w:cstheme="minorHAnsi"/>
          <w:szCs w:val="24"/>
        </w:rPr>
        <w:t xml:space="preserve"> putnu sugu ligzdošanas vieta GNP teritorijā ir Sudas purvs. </w:t>
      </w:r>
      <w:r w:rsidRPr="00675182">
        <w:rPr>
          <w:rFonts w:cstheme="minorHAnsi"/>
          <w:szCs w:val="24"/>
          <w:shd w:val="clear" w:color="auto" w:fill="FFFFFF"/>
        </w:rPr>
        <w:t xml:space="preserve">Augstā purva ciņu un lāmu kompleksus apdzīvo tipiskus neskartu augsto purvu biotopus apdzīvojošie bridējputni: dzeltenais tārtiņš </w:t>
      </w:r>
      <w:r w:rsidRPr="00675182">
        <w:rPr>
          <w:rFonts w:cstheme="minorHAnsi"/>
          <w:i/>
          <w:szCs w:val="24"/>
          <w:shd w:val="clear" w:color="auto" w:fill="FFFFFF"/>
        </w:rPr>
        <w:t xml:space="preserve">Pluvialis apricaria </w:t>
      </w:r>
      <w:r w:rsidRPr="00675182">
        <w:rPr>
          <w:rFonts w:cstheme="minorHAnsi"/>
          <w:szCs w:val="24"/>
          <w:shd w:val="clear" w:color="auto" w:fill="FFFFFF"/>
        </w:rPr>
        <w:t xml:space="preserve">un purva tilbīte </w:t>
      </w:r>
      <w:r w:rsidRPr="00675182">
        <w:rPr>
          <w:rFonts w:cstheme="minorHAnsi"/>
          <w:i/>
          <w:szCs w:val="24"/>
          <w:shd w:val="clear" w:color="auto" w:fill="FFFFFF"/>
        </w:rPr>
        <w:t>Tringa glareola</w:t>
      </w:r>
      <w:r w:rsidRPr="00675182">
        <w:rPr>
          <w:rFonts w:cstheme="minorHAnsi"/>
          <w:szCs w:val="24"/>
          <w:shd w:val="clear" w:color="auto" w:fill="FFFFFF"/>
        </w:rPr>
        <w:t>.</w:t>
      </w:r>
    </w:p>
    <w:p w14:paraId="0D2CCF2B" w14:textId="77777777" w:rsidR="001B49F7" w:rsidRPr="00675182" w:rsidRDefault="001B49F7" w:rsidP="001B49F7">
      <w:pPr>
        <w:jc w:val="both"/>
        <w:rPr>
          <w:rFonts w:cstheme="minorHAnsi"/>
          <w:szCs w:val="24"/>
          <w:shd w:val="clear" w:color="auto" w:fill="FFFFFF"/>
        </w:rPr>
      </w:pPr>
    </w:p>
    <w:p w14:paraId="0B14564D" w14:textId="0F1D1593" w:rsidR="001B49F7" w:rsidRPr="00675182" w:rsidRDefault="001B49F7" w:rsidP="001B49F7">
      <w:pPr>
        <w:jc w:val="both"/>
        <w:rPr>
          <w:rFonts w:cstheme="minorHAnsi"/>
          <w:szCs w:val="24"/>
        </w:rPr>
      </w:pPr>
      <w:r w:rsidRPr="00675182">
        <w:rPr>
          <w:rFonts w:cstheme="minorHAnsi"/>
          <w:szCs w:val="24"/>
        </w:rPr>
        <w:t>Vienīgā</w:t>
      </w:r>
      <w:r w:rsidR="004443FC" w:rsidRPr="00675182">
        <w:rPr>
          <w:rFonts w:cstheme="minorHAnsi"/>
          <w:szCs w:val="24"/>
        </w:rPr>
        <w:t xml:space="preserve"> GNP</w:t>
      </w:r>
      <w:r w:rsidRPr="00675182">
        <w:rPr>
          <w:rFonts w:cstheme="minorHAnsi"/>
          <w:szCs w:val="24"/>
        </w:rPr>
        <w:t xml:space="preserve"> zināmā medņu </w:t>
      </w:r>
      <w:r w:rsidRPr="00675182">
        <w:rPr>
          <w:rFonts w:cstheme="minorHAnsi"/>
          <w:i/>
          <w:iCs/>
          <w:szCs w:val="24"/>
        </w:rPr>
        <w:t xml:space="preserve">Tetrao urogallus </w:t>
      </w:r>
      <w:r w:rsidRPr="00675182">
        <w:rPr>
          <w:rFonts w:cstheme="minorHAnsi"/>
          <w:szCs w:val="24"/>
        </w:rPr>
        <w:t>riesta vieta atrodas Sudas purva dienvidu daļā esošajos purvainajos mežos. Veicot riestojošo gaiļu uzskaiti, 2020. gadā jau iepriekš zināmajā vietā riesta vietā konstatēti 2 – 3 riestojoši medņu gaiļi.</w:t>
      </w:r>
    </w:p>
    <w:p w14:paraId="3F3B19CE" w14:textId="77777777" w:rsidR="00C35853" w:rsidRPr="00675182" w:rsidRDefault="00C35853" w:rsidP="001B49F7">
      <w:pPr>
        <w:jc w:val="both"/>
        <w:rPr>
          <w:rFonts w:cstheme="minorHAnsi"/>
          <w:szCs w:val="24"/>
        </w:rPr>
      </w:pPr>
    </w:p>
    <w:p w14:paraId="263F8BDC" w14:textId="77777777" w:rsidR="001B49F7" w:rsidRPr="00675182" w:rsidRDefault="001B49F7" w:rsidP="001B49F7">
      <w:pPr>
        <w:jc w:val="both"/>
        <w:rPr>
          <w:rFonts w:cstheme="minorHAnsi"/>
          <w:szCs w:val="24"/>
          <w:shd w:val="clear" w:color="auto" w:fill="FFFFFF"/>
        </w:rPr>
      </w:pPr>
      <w:r w:rsidRPr="00675182">
        <w:rPr>
          <w:rFonts w:cstheme="minorHAnsi"/>
          <w:szCs w:val="24"/>
          <w:shd w:val="clear" w:color="auto" w:fill="FFFFFF"/>
        </w:rPr>
        <w:t xml:space="preserve">GNP teritorijā esošie vecie skujkoku meži ir piemērota ligzdošanas vieta trīspirkstu dzenim </w:t>
      </w:r>
      <w:r w:rsidRPr="00675182">
        <w:rPr>
          <w:rFonts w:cstheme="minorHAnsi"/>
          <w:i/>
          <w:iCs/>
          <w:szCs w:val="24"/>
          <w:shd w:val="clear" w:color="auto" w:fill="FFFFFF"/>
        </w:rPr>
        <w:t>Picoides tridactylus</w:t>
      </w:r>
      <w:r w:rsidRPr="00675182">
        <w:rPr>
          <w:rFonts w:cstheme="minorHAnsi"/>
          <w:szCs w:val="24"/>
          <w:shd w:val="clear" w:color="auto" w:fill="FFFFFF"/>
        </w:rPr>
        <w:t xml:space="preserve">. Sagatavošanā esošajā dzeņu aizsardzības plānā </w:t>
      </w:r>
      <w:r w:rsidRPr="00675182">
        <w:rPr>
          <w:rFonts w:cstheme="minorHAnsi"/>
          <w:szCs w:val="24"/>
          <w:shd w:val="clear" w:color="auto" w:fill="FFFFFF"/>
        </w:rPr>
        <w:lastRenderedPageBreak/>
        <w:t>(Bergmanis u.c. 2020) v</w:t>
      </w:r>
      <w:r w:rsidRPr="00675182">
        <w:rPr>
          <w:rFonts w:cstheme="minorHAnsi"/>
          <w:szCs w:val="24"/>
        </w:rPr>
        <w:t>eiktajā analīzē aprēķināts, ka GNP ietver 3,36 % sugas Latvijas populācijas.</w:t>
      </w:r>
    </w:p>
    <w:p w14:paraId="6EE54020" w14:textId="77777777" w:rsidR="001B49F7" w:rsidRPr="00675182" w:rsidRDefault="001B49F7" w:rsidP="001B49F7">
      <w:pPr>
        <w:jc w:val="both"/>
        <w:rPr>
          <w:rFonts w:cstheme="minorHAnsi"/>
          <w:szCs w:val="24"/>
        </w:rPr>
      </w:pPr>
    </w:p>
    <w:p w14:paraId="6BD9F738" w14:textId="6759430E" w:rsidR="001B49F7" w:rsidRPr="00675182" w:rsidRDefault="001B49F7" w:rsidP="00133666">
      <w:pPr>
        <w:jc w:val="both"/>
        <w:rPr>
          <w:rFonts w:cstheme="minorHAnsi"/>
          <w:szCs w:val="24"/>
        </w:rPr>
      </w:pPr>
      <w:r w:rsidRPr="00675182">
        <w:rPr>
          <w:rFonts w:cstheme="minorHAnsi"/>
          <w:szCs w:val="24"/>
        </w:rPr>
        <w:t xml:space="preserve">Ūpis </w:t>
      </w:r>
      <w:r w:rsidRPr="00675182">
        <w:rPr>
          <w:rFonts w:cstheme="minorHAnsi"/>
          <w:i/>
          <w:iCs/>
          <w:szCs w:val="24"/>
        </w:rPr>
        <w:t>Bubo bubo</w:t>
      </w:r>
      <w:r w:rsidRPr="00675182">
        <w:rPr>
          <w:rFonts w:cstheme="minorHAnsi"/>
          <w:szCs w:val="24"/>
        </w:rPr>
        <w:t xml:space="preserve"> ir Latvijā ļoti reti ligzdojoša pūču suga. Sugas apdraudētība Latvijā novērtēta kā kritiski apdraudēta (</w:t>
      </w:r>
      <w:r w:rsidRPr="00675182">
        <w:rPr>
          <w:rFonts w:cstheme="minorHAnsi"/>
          <w:i/>
          <w:iCs/>
          <w:szCs w:val="24"/>
        </w:rPr>
        <w:t>CR, Critically Endangered</w:t>
      </w:r>
      <w:r w:rsidRPr="00675182">
        <w:rPr>
          <w:rFonts w:cstheme="minorHAnsi"/>
          <w:szCs w:val="24"/>
        </w:rPr>
        <w:t xml:space="preserve">), jo tā populāciju veido mazāk nekā 50 pieauguši indivīdi (Avotiņš, 2019). Gaujas un tās pieteku smilšakmens klintīs ligzdojošā populācija pēdējās desmitgadēs ir būtiski samazinājusies (Lipsbergs, 2011; Petriņš u.c., 2000). Kā viens no GNP teritorijā ligzdojošo ūpju skaita samazināšanās faktoriem tiek norādīts tūrisma un ar tūrismu saistītās infrastruktūras radītais traucējums (Lipsbergs, 2011). GNP izvietoti 5,69% no ūpja populācijas. Pēdējais zināmais ūpja ligzdošanas gadījums GNP teritorijā ir konstatēts 2015. gadā smilšakmens atsegumā Ramātu klintīs. </w:t>
      </w:r>
      <w:r w:rsidR="00133666">
        <w:rPr>
          <w:rFonts w:cstheme="minorHAnsi"/>
          <w:szCs w:val="24"/>
        </w:rPr>
        <w:t>Lai uzlabotu ūpja ligzdošanas sekmes, LVAF atbalstīta projekta ietvaros 2021.-2022.gadā GNP teritorijā izlikti vairāki desmiti mākslīgo ūpju ligzdvietu (LOB ).</w:t>
      </w:r>
    </w:p>
    <w:p w14:paraId="23EE1941" w14:textId="4EA266EC" w:rsidR="001B49F7" w:rsidRPr="00675182" w:rsidRDefault="001B49F7" w:rsidP="001B49F7">
      <w:pPr>
        <w:jc w:val="both"/>
        <w:rPr>
          <w:rFonts w:cstheme="minorHAnsi"/>
          <w:b/>
          <w:szCs w:val="24"/>
        </w:rPr>
      </w:pPr>
    </w:p>
    <w:p w14:paraId="004B9A79" w14:textId="47534ECA" w:rsidR="001B49F7" w:rsidRPr="00675182" w:rsidRDefault="001B49F7" w:rsidP="001B49F7">
      <w:pPr>
        <w:jc w:val="both"/>
        <w:rPr>
          <w:rFonts w:cstheme="minorHAnsi"/>
          <w:b/>
          <w:szCs w:val="24"/>
        </w:rPr>
      </w:pPr>
      <w:r w:rsidRPr="00675182">
        <w:rPr>
          <w:rFonts w:cstheme="minorHAnsi"/>
          <w:b/>
          <w:szCs w:val="24"/>
        </w:rPr>
        <w:t xml:space="preserve">Sociālekonomiskā vērtība </w:t>
      </w:r>
    </w:p>
    <w:p w14:paraId="7C195231" w14:textId="77777777" w:rsidR="001B49F7" w:rsidRPr="00675182" w:rsidRDefault="001B49F7" w:rsidP="001B49F7">
      <w:pPr>
        <w:jc w:val="both"/>
        <w:rPr>
          <w:rFonts w:cstheme="minorHAnsi"/>
        </w:rPr>
      </w:pPr>
      <w:r w:rsidRPr="00675182">
        <w:rPr>
          <w:rFonts w:cstheme="minorHAnsi"/>
        </w:rPr>
        <w:t>Putnu vērošanas tūrisma potenciāls teritorijā vērtējams kā ļoti augsts. Putnu vērošanai īpaši labvēlīgs ir blīvais ceļu tīkls un esošā tūrisma infrastruktūra, kas nodrošina relatīvi vieglus apstākļus, lai novērotu ārvalstu putnu vērotājiem un fotogrāfiem interesējošās sugas: dzeņveidīgos putnus, apodziņu, urālpūci, mežirbi u.c. Šobrīd GNP teritorijā nav zināms neviens vietējais pakalpojumu sniedzējs, kas nodrošinātu specifiskus putnu vērošanas tūrisma pakalpojumus. Labākā putnu vērošanas tūrisma sezona GNP teritorijā ir no marta līdz oktobrim. Attīstot augsta līmeņa putnu vērošanas ekskursiju piedāvājumu, vietējiem tūrisma pakalpojumu sniedzējiem būtu iespēja palielināt tūristu plūsmu agrā pavasara (marts – aprīlis) sezonā.</w:t>
      </w:r>
    </w:p>
    <w:p w14:paraId="727317A9" w14:textId="77777777" w:rsidR="001B49F7" w:rsidRPr="00675182" w:rsidRDefault="001B49F7" w:rsidP="001B49F7">
      <w:pPr>
        <w:jc w:val="both"/>
        <w:rPr>
          <w:rFonts w:cstheme="minorHAnsi"/>
        </w:rPr>
      </w:pPr>
    </w:p>
    <w:p w14:paraId="445FA3F5" w14:textId="01B28681" w:rsidR="001B49F7" w:rsidRPr="00675182" w:rsidRDefault="001B49F7" w:rsidP="001B49F7">
      <w:pPr>
        <w:jc w:val="both"/>
        <w:rPr>
          <w:rFonts w:cstheme="minorHAnsi"/>
          <w:b/>
          <w:szCs w:val="24"/>
        </w:rPr>
      </w:pPr>
      <w:r w:rsidRPr="00675182">
        <w:rPr>
          <w:rFonts w:cstheme="minorHAnsi"/>
        </w:rPr>
        <w:t>Nav ziņu par ūdensputnu, vistveidīgo un citu putnu medībām teritorijā.</w:t>
      </w:r>
      <w:r w:rsidRPr="00675182">
        <w:rPr>
          <w:rFonts w:cstheme="minorHAnsi"/>
          <w:b/>
          <w:szCs w:val="24"/>
        </w:rPr>
        <w:t xml:space="preserve"> </w:t>
      </w:r>
    </w:p>
    <w:p w14:paraId="2421C7B2" w14:textId="77777777" w:rsidR="001B49F7" w:rsidRPr="00675182" w:rsidRDefault="001B49F7" w:rsidP="001B49F7">
      <w:pPr>
        <w:jc w:val="both"/>
        <w:rPr>
          <w:rFonts w:cstheme="minorHAnsi"/>
          <w:b/>
          <w:szCs w:val="24"/>
        </w:rPr>
      </w:pPr>
    </w:p>
    <w:p w14:paraId="3EF6BB66" w14:textId="77777777" w:rsidR="001B49F7" w:rsidRPr="00675182" w:rsidRDefault="001B49F7" w:rsidP="001B49F7">
      <w:pPr>
        <w:jc w:val="both"/>
        <w:rPr>
          <w:rFonts w:cstheme="minorHAnsi"/>
          <w:b/>
          <w:szCs w:val="24"/>
        </w:rPr>
      </w:pPr>
      <w:r w:rsidRPr="00675182">
        <w:rPr>
          <w:rFonts w:cstheme="minorHAnsi"/>
          <w:b/>
          <w:szCs w:val="24"/>
        </w:rPr>
        <w:t>Ietekmējošie faktori</w:t>
      </w:r>
    </w:p>
    <w:p w14:paraId="1A8019B0" w14:textId="77777777" w:rsidR="001B49F7" w:rsidRPr="00675182" w:rsidRDefault="001B49F7" w:rsidP="001B49F7">
      <w:pPr>
        <w:jc w:val="both"/>
        <w:rPr>
          <w:rFonts w:cstheme="minorHAnsi"/>
          <w:szCs w:val="24"/>
        </w:rPr>
      </w:pPr>
    </w:p>
    <w:p w14:paraId="3F66426A" w14:textId="77777777" w:rsidR="001B49F7" w:rsidRPr="00675182" w:rsidRDefault="001B49F7" w:rsidP="001B49F7">
      <w:pPr>
        <w:jc w:val="both"/>
        <w:rPr>
          <w:rFonts w:cstheme="minorHAnsi"/>
          <w:szCs w:val="24"/>
        </w:rPr>
      </w:pPr>
      <w:bookmarkStart w:id="85" w:name="_Hlk97908716"/>
      <w:r w:rsidRPr="00675182">
        <w:rPr>
          <w:rFonts w:cstheme="minorHAnsi"/>
          <w:szCs w:val="24"/>
        </w:rPr>
        <w:t xml:space="preserve">Ar meža biotopiem saistīto putnu sugu aizsardzības stāvoklis teritorijā vērtējams kā apmierinošs. </w:t>
      </w:r>
    </w:p>
    <w:p w14:paraId="510EAF4E" w14:textId="77777777" w:rsidR="001B49F7" w:rsidRPr="00675182" w:rsidRDefault="001B49F7" w:rsidP="001B49F7">
      <w:pPr>
        <w:jc w:val="both"/>
        <w:rPr>
          <w:rFonts w:cstheme="minorHAnsi"/>
          <w:szCs w:val="24"/>
        </w:rPr>
      </w:pPr>
    </w:p>
    <w:p w14:paraId="3B681229" w14:textId="77777777" w:rsidR="001B49F7" w:rsidRPr="00675182" w:rsidRDefault="001B49F7" w:rsidP="001B49F7">
      <w:pPr>
        <w:jc w:val="both"/>
        <w:rPr>
          <w:rFonts w:cstheme="minorHAnsi"/>
          <w:szCs w:val="24"/>
        </w:rPr>
      </w:pPr>
      <w:r w:rsidRPr="00675182">
        <w:rPr>
          <w:rFonts w:cstheme="minorHAnsi"/>
          <w:szCs w:val="24"/>
        </w:rPr>
        <w:t xml:space="preserve">Ar zālāju biotopiem saistīto putnu sugu dzīvotņu kvalitātes stāvoklis teritorijā vērtējams kā apmierinošs. Zālāju biotopos ligzdojošas putnu sugas apdraud lauksaimniecības intensifikācija, pesticīdu lietošana, agra platību pļauja. </w:t>
      </w:r>
    </w:p>
    <w:p w14:paraId="228D8C08" w14:textId="77777777" w:rsidR="001B49F7" w:rsidRPr="00675182" w:rsidRDefault="001B49F7" w:rsidP="001B49F7">
      <w:pPr>
        <w:jc w:val="both"/>
        <w:rPr>
          <w:rFonts w:cstheme="minorHAnsi"/>
          <w:szCs w:val="24"/>
        </w:rPr>
      </w:pPr>
    </w:p>
    <w:p w14:paraId="2B41E048" w14:textId="77777777" w:rsidR="001B49F7" w:rsidRPr="00675182" w:rsidRDefault="001B49F7" w:rsidP="001B49F7">
      <w:pPr>
        <w:jc w:val="both"/>
        <w:rPr>
          <w:rFonts w:cstheme="minorHAnsi"/>
          <w:szCs w:val="24"/>
        </w:rPr>
      </w:pPr>
      <w:r w:rsidRPr="00675182">
        <w:rPr>
          <w:rFonts w:cstheme="minorHAnsi"/>
          <w:szCs w:val="24"/>
        </w:rPr>
        <w:t>Visā GNP teritorijā ir salīdzinoši augsts antropogēnā traucējuma līmenis. Tieši tūrisms un ar to saistītā tūrisma infrastruktūra, iespējams, ir bijis par iemeslu, kādēļ GNP teritorijā ir būtiski samazinājusies (teju izzudusi) atsegumos ligzdojošā ūpju populācija.</w:t>
      </w:r>
    </w:p>
    <w:p w14:paraId="1945E7AD" w14:textId="77777777" w:rsidR="001B49F7" w:rsidRPr="00675182" w:rsidRDefault="001B49F7" w:rsidP="001B49F7">
      <w:pPr>
        <w:jc w:val="both"/>
        <w:rPr>
          <w:rFonts w:cstheme="minorHAnsi"/>
          <w:szCs w:val="24"/>
        </w:rPr>
      </w:pPr>
    </w:p>
    <w:p w14:paraId="29D59032" w14:textId="1BB3592A" w:rsidR="001B49F7" w:rsidRPr="00675182" w:rsidRDefault="004F2721" w:rsidP="001B49F7">
      <w:pPr>
        <w:jc w:val="both"/>
        <w:rPr>
          <w:rFonts w:cstheme="minorHAnsi"/>
          <w:szCs w:val="24"/>
        </w:rPr>
      </w:pPr>
      <w:r>
        <w:rPr>
          <w:rFonts w:cstheme="minorHAnsi"/>
          <w:szCs w:val="24"/>
        </w:rPr>
        <w:t>ĪA</w:t>
      </w:r>
      <w:r w:rsidR="001B49F7" w:rsidRPr="00675182">
        <w:rPr>
          <w:rFonts w:cstheme="minorHAnsi"/>
          <w:szCs w:val="24"/>
        </w:rPr>
        <w:t xml:space="preserve"> putnu sugu dzīvotņu stāvoklis Sudas purvā uzskatāms kā labs, taču pārējos teritorijā esošajos augstā purva biotopos kā nelabvēlīgs. Citi teritorijā esošie augstie purvi ir degradēti kūdras ieguves vajadzībām (Lielais Ungura purvs) vai arī degradēti ar meliorācijas sistēmu ierīkošanu un šobrīd strauji aizaug, kā rezultātā ir nepiemēroti </w:t>
      </w:r>
      <w:r w:rsidR="00CB350B">
        <w:rPr>
          <w:rFonts w:cstheme="minorHAnsi"/>
          <w:szCs w:val="24"/>
        </w:rPr>
        <w:t>ĪA</w:t>
      </w:r>
      <w:r w:rsidR="001B49F7" w:rsidRPr="00675182">
        <w:rPr>
          <w:rFonts w:cstheme="minorHAnsi"/>
          <w:szCs w:val="24"/>
        </w:rPr>
        <w:t xml:space="preserve"> putnu sugu ligzdošanai.</w:t>
      </w:r>
    </w:p>
    <w:bookmarkEnd w:id="85"/>
    <w:p w14:paraId="0109986C" w14:textId="77777777" w:rsidR="001B49F7" w:rsidRPr="00675182" w:rsidRDefault="001B49F7" w:rsidP="001B49F7">
      <w:pPr>
        <w:jc w:val="both"/>
        <w:rPr>
          <w:rFonts w:cstheme="minorHAnsi"/>
          <w:szCs w:val="24"/>
        </w:rPr>
      </w:pPr>
    </w:p>
    <w:p w14:paraId="5DEA41E7" w14:textId="1EF17F8E" w:rsidR="00865EEE" w:rsidRPr="00675182" w:rsidRDefault="001B49F7" w:rsidP="001B49F7">
      <w:pPr>
        <w:jc w:val="both"/>
        <w:rPr>
          <w:rFonts w:eastAsia="Times New Roman" w:cstheme="minorHAnsi"/>
          <w:szCs w:val="24"/>
        </w:rPr>
      </w:pPr>
      <w:r w:rsidRPr="00675182">
        <w:rPr>
          <w:rFonts w:cstheme="minorHAnsi"/>
          <w:szCs w:val="24"/>
        </w:rPr>
        <w:lastRenderedPageBreak/>
        <w:t xml:space="preserve">Prioritāti nepieciešams uzsākt regulāru  Putnu direktīvas 1. pielikumā iekļauto putnu sugu monitoringu pēc LOB izstrādātās metodikas (Lebuss, 2013). Sekundāri veicams pārējo teritorijā konstatēto </w:t>
      </w:r>
      <w:r w:rsidR="00CB350B">
        <w:rPr>
          <w:rFonts w:cstheme="minorHAnsi"/>
          <w:szCs w:val="24"/>
        </w:rPr>
        <w:t>ĪA</w:t>
      </w:r>
      <w:r w:rsidRPr="00675182">
        <w:rPr>
          <w:rFonts w:cstheme="minorHAnsi"/>
          <w:szCs w:val="24"/>
        </w:rPr>
        <w:t xml:space="preserve"> putnu sugu monitorings</w:t>
      </w:r>
      <w:r w:rsidR="00FA3761" w:rsidRPr="00675182">
        <w:rPr>
          <w:rFonts w:cstheme="minorHAnsi"/>
          <w:szCs w:val="24"/>
        </w:rPr>
        <w:t>.</w:t>
      </w:r>
    </w:p>
    <w:p w14:paraId="7EEF31FA" w14:textId="77777777" w:rsidR="007A5508" w:rsidRPr="00675182" w:rsidRDefault="007A5508" w:rsidP="002B3341">
      <w:pPr>
        <w:shd w:val="clear" w:color="auto" w:fill="FFFFFF"/>
        <w:rPr>
          <w:rFonts w:cstheme="minorHAnsi"/>
          <w:shd w:val="clear" w:color="auto" w:fill="FFFF00"/>
        </w:rPr>
        <w:sectPr w:rsidR="007A5508" w:rsidRPr="00675182" w:rsidSect="00D9486D">
          <w:headerReference w:type="default" r:id="rId234"/>
          <w:pgSz w:w="11905" w:h="16837"/>
          <w:pgMar w:top="1440" w:right="1797" w:bottom="1440" w:left="1797" w:header="720" w:footer="720" w:gutter="0"/>
          <w:cols w:space="720"/>
          <w:docGrid w:linePitch="360"/>
        </w:sectPr>
      </w:pPr>
    </w:p>
    <w:p w14:paraId="1F170F72" w14:textId="5A56BB55" w:rsidR="00275013" w:rsidRPr="00675182" w:rsidRDefault="00030027" w:rsidP="002B3341">
      <w:pPr>
        <w:rPr>
          <w:rFonts w:cstheme="minorHAnsi"/>
          <w:b/>
          <w:bCs/>
          <w:i/>
          <w:iCs/>
        </w:rPr>
      </w:pPr>
      <w:bookmarkStart w:id="86" w:name="_Hlk99311205"/>
      <w:r w:rsidRPr="00675182">
        <w:rPr>
          <w:rFonts w:cstheme="minorHAnsi"/>
          <w:b/>
          <w:bCs/>
          <w:i/>
          <w:iCs/>
        </w:rPr>
        <w:lastRenderedPageBreak/>
        <w:t>2.</w:t>
      </w:r>
      <w:r w:rsidR="00DA3A37" w:rsidRPr="00675182">
        <w:rPr>
          <w:rFonts w:cstheme="minorHAnsi"/>
          <w:b/>
          <w:bCs/>
          <w:i/>
          <w:iCs/>
        </w:rPr>
        <w:t>4.4</w:t>
      </w:r>
      <w:r w:rsidRPr="00675182">
        <w:rPr>
          <w:rFonts w:cstheme="minorHAnsi"/>
          <w:b/>
          <w:bCs/>
          <w:i/>
          <w:iCs/>
        </w:rPr>
        <w:t>.</w:t>
      </w:r>
      <w:r w:rsidR="006D6576">
        <w:rPr>
          <w:rFonts w:cstheme="minorHAnsi"/>
          <w:b/>
          <w:bCs/>
          <w:i/>
          <w:iCs/>
        </w:rPr>
        <w:t>A</w:t>
      </w:r>
      <w:r w:rsidRPr="00675182">
        <w:rPr>
          <w:rFonts w:cstheme="minorHAnsi"/>
          <w:b/>
          <w:bCs/>
          <w:i/>
          <w:iCs/>
        </w:rPr>
        <w:t xml:space="preserve"> tabula. </w:t>
      </w:r>
      <w:r w:rsidR="00362F31" w:rsidRPr="00675182">
        <w:rPr>
          <w:rFonts w:cstheme="minorHAnsi"/>
          <w:b/>
          <w:bCs/>
          <w:i/>
          <w:iCs/>
        </w:rPr>
        <w:t>G</w:t>
      </w:r>
      <w:r w:rsidR="00DA3A37" w:rsidRPr="00675182">
        <w:rPr>
          <w:rFonts w:cstheme="minorHAnsi"/>
          <w:b/>
          <w:bCs/>
          <w:i/>
          <w:iCs/>
        </w:rPr>
        <w:t>NP konstatētās Eiropā aizsargājamās putnu sugas un to aizsardzības statuss</w:t>
      </w:r>
      <w:r w:rsidR="00E333DE">
        <w:rPr>
          <w:rStyle w:val="FootnoteReference"/>
          <w:rFonts w:cstheme="minorHAnsi"/>
          <w:b/>
          <w:bCs/>
          <w:i/>
          <w:iCs/>
        </w:rPr>
        <w:footnoteReference w:id="2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2089"/>
        <w:gridCol w:w="3107"/>
        <w:gridCol w:w="1649"/>
        <w:gridCol w:w="1127"/>
        <w:gridCol w:w="2647"/>
        <w:gridCol w:w="2198"/>
      </w:tblGrid>
      <w:tr w:rsidR="00275013" w:rsidRPr="00675182" w14:paraId="6C4F6EF4" w14:textId="77777777" w:rsidTr="005B0A56">
        <w:trPr>
          <w:trHeight w:val="20"/>
          <w:tblHeader/>
        </w:trPr>
        <w:tc>
          <w:tcPr>
            <w:tcW w:w="405" w:type="pct"/>
            <w:shd w:val="clear" w:color="auto" w:fill="D6E3BC"/>
            <w:vAlign w:val="center"/>
          </w:tcPr>
          <w:p w14:paraId="52B84CBF" w14:textId="77777777" w:rsidR="00275013" w:rsidRPr="00675182" w:rsidRDefault="00275013" w:rsidP="005B0A56">
            <w:pPr>
              <w:jc w:val="center"/>
              <w:rPr>
                <w:rFonts w:eastAsia="Times New Roman" w:cstheme="minorHAnsi"/>
                <w:b/>
                <w:color w:val="000000"/>
                <w:sz w:val="22"/>
                <w:szCs w:val="22"/>
                <w:lang w:eastAsia="en-GB"/>
              </w:rPr>
            </w:pPr>
            <w:r w:rsidRPr="00675182">
              <w:rPr>
                <w:rFonts w:eastAsia="Times New Roman" w:cstheme="minorHAnsi"/>
                <w:b/>
                <w:color w:val="000000"/>
                <w:szCs w:val="24"/>
                <w:lang w:eastAsia="en-GB"/>
              </w:rPr>
              <w:t>Nr.p.k.</w:t>
            </w:r>
          </w:p>
        </w:tc>
        <w:tc>
          <w:tcPr>
            <w:tcW w:w="749" w:type="pct"/>
            <w:shd w:val="clear" w:color="auto" w:fill="D6E3BC"/>
            <w:vAlign w:val="center"/>
            <w:hideMark/>
          </w:tcPr>
          <w:p w14:paraId="03652E68" w14:textId="77777777" w:rsidR="00275013" w:rsidRPr="00675182" w:rsidRDefault="00275013" w:rsidP="005B0A56">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latviski</w:t>
            </w:r>
          </w:p>
        </w:tc>
        <w:tc>
          <w:tcPr>
            <w:tcW w:w="1114" w:type="pct"/>
            <w:shd w:val="clear" w:color="auto" w:fill="D6E3BC"/>
            <w:vAlign w:val="center"/>
            <w:hideMark/>
          </w:tcPr>
          <w:p w14:paraId="5BB1F84A" w14:textId="77777777" w:rsidR="00275013" w:rsidRPr="00675182" w:rsidRDefault="00275013" w:rsidP="005B0A56">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latīniski</w:t>
            </w:r>
          </w:p>
        </w:tc>
        <w:tc>
          <w:tcPr>
            <w:tcW w:w="591" w:type="pct"/>
            <w:shd w:val="clear" w:color="auto" w:fill="D6E3BC"/>
            <w:vAlign w:val="center"/>
          </w:tcPr>
          <w:p w14:paraId="558F04AD" w14:textId="77777777" w:rsidR="00275013" w:rsidRPr="00675182" w:rsidRDefault="00275013" w:rsidP="005B0A56">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 xml:space="preserve">Aizsardzības statuss </w:t>
            </w:r>
          </w:p>
        </w:tc>
        <w:tc>
          <w:tcPr>
            <w:tcW w:w="404" w:type="pct"/>
            <w:shd w:val="clear" w:color="auto" w:fill="D6E3BC"/>
            <w:vAlign w:val="center"/>
            <w:hideMark/>
          </w:tcPr>
          <w:p w14:paraId="6AB339DC" w14:textId="77777777" w:rsidR="00275013" w:rsidRPr="00675182" w:rsidRDefault="00275013" w:rsidP="005B0A56">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Cits statuss</w:t>
            </w:r>
          </w:p>
        </w:tc>
        <w:tc>
          <w:tcPr>
            <w:tcW w:w="949" w:type="pct"/>
            <w:tcBorders>
              <w:bottom w:val="single" w:sz="4" w:space="0" w:color="auto"/>
            </w:tcBorders>
            <w:shd w:val="clear" w:color="auto" w:fill="D6E3BC"/>
            <w:vAlign w:val="center"/>
            <w:hideMark/>
          </w:tcPr>
          <w:p w14:paraId="78BFA507" w14:textId="77777777" w:rsidR="00275013" w:rsidRPr="00675182" w:rsidRDefault="00275013" w:rsidP="005B0A56">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labvēlīga aizsardzības stāvokļa novērtējums Latvijā</w:t>
            </w:r>
          </w:p>
        </w:tc>
        <w:tc>
          <w:tcPr>
            <w:tcW w:w="788" w:type="pct"/>
            <w:tcBorders>
              <w:bottom w:val="single" w:sz="4" w:space="0" w:color="auto"/>
            </w:tcBorders>
            <w:shd w:val="clear" w:color="auto" w:fill="D6E3BC"/>
            <w:vAlign w:val="center"/>
          </w:tcPr>
          <w:p w14:paraId="6B2B0443" w14:textId="77777777" w:rsidR="00275013" w:rsidRPr="00675182" w:rsidRDefault="00275013" w:rsidP="005B0A56">
            <w:pPr>
              <w:jc w:val="center"/>
              <w:rPr>
                <w:rFonts w:eastAsia="Times New Roman" w:cstheme="minorHAnsi"/>
                <w:b/>
                <w:color w:val="000000"/>
                <w:sz w:val="22"/>
                <w:szCs w:val="22"/>
                <w:lang w:eastAsia="en-GB"/>
              </w:rPr>
            </w:pPr>
            <w:r w:rsidRPr="00675182">
              <w:rPr>
                <w:rFonts w:cstheme="minorHAnsi"/>
                <w:b/>
                <w:color w:val="000000"/>
                <w:sz w:val="22"/>
                <w:szCs w:val="22"/>
              </w:rPr>
              <w:t>Sugas sastopamība GNP</w:t>
            </w:r>
          </w:p>
        </w:tc>
      </w:tr>
      <w:tr w:rsidR="00275013" w:rsidRPr="00675182" w14:paraId="6CCB58F8" w14:textId="77777777" w:rsidTr="005B0A56">
        <w:trPr>
          <w:trHeight w:val="20"/>
        </w:trPr>
        <w:tc>
          <w:tcPr>
            <w:tcW w:w="405" w:type="pct"/>
            <w:vAlign w:val="center"/>
          </w:tcPr>
          <w:p w14:paraId="3E608725" w14:textId="77777777" w:rsidR="00275013" w:rsidRPr="00675182" w:rsidRDefault="00275013" w:rsidP="00A84218">
            <w:pPr>
              <w:pStyle w:val="ListParagraph"/>
              <w:numPr>
                <w:ilvl w:val="0"/>
                <w:numId w:val="12"/>
              </w:numPr>
              <w:contextualSpacing/>
              <w:jc w:val="center"/>
              <w:rPr>
                <w:rFonts w:eastAsia="Times New Roman" w:cstheme="minorHAnsi"/>
                <w:color w:val="000000"/>
                <w:szCs w:val="24"/>
                <w:lang w:eastAsia="en-GB"/>
              </w:rPr>
            </w:pPr>
            <w:bookmarkStart w:id="87" w:name="_Hlk129614922"/>
          </w:p>
        </w:tc>
        <w:tc>
          <w:tcPr>
            <w:tcW w:w="749" w:type="pct"/>
            <w:shd w:val="clear" w:color="auto" w:fill="auto"/>
            <w:noWrap/>
            <w:vAlign w:val="center"/>
          </w:tcPr>
          <w:p w14:paraId="182D5DB3" w14:textId="77777777" w:rsidR="00275013" w:rsidRPr="00675182" w:rsidRDefault="00275013" w:rsidP="005B0A56">
            <w:pPr>
              <w:rPr>
                <w:rFonts w:eastAsia="Times New Roman" w:cstheme="minorHAnsi"/>
                <w:color w:val="000000"/>
                <w:szCs w:val="24"/>
              </w:rPr>
            </w:pPr>
            <w:r w:rsidRPr="00675182">
              <w:rPr>
                <w:rFonts w:cstheme="minorHAnsi"/>
                <w:szCs w:val="24"/>
              </w:rPr>
              <w:t>Ziemeļu gulbis</w:t>
            </w:r>
          </w:p>
        </w:tc>
        <w:tc>
          <w:tcPr>
            <w:tcW w:w="1114" w:type="pct"/>
            <w:shd w:val="clear" w:color="auto" w:fill="auto"/>
            <w:noWrap/>
            <w:vAlign w:val="center"/>
          </w:tcPr>
          <w:p w14:paraId="1F706BE7" w14:textId="77777777" w:rsidR="00275013" w:rsidRPr="00675182" w:rsidRDefault="00275013" w:rsidP="005B0A56">
            <w:pPr>
              <w:rPr>
                <w:rFonts w:eastAsia="Times New Roman" w:cstheme="minorHAnsi"/>
                <w:i/>
                <w:iCs/>
                <w:szCs w:val="24"/>
              </w:rPr>
            </w:pPr>
            <w:r w:rsidRPr="00675182">
              <w:rPr>
                <w:rFonts w:cstheme="minorHAnsi"/>
                <w:i/>
                <w:szCs w:val="24"/>
              </w:rPr>
              <w:t>Cygnus cygnus</w:t>
            </w:r>
          </w:p>
        </w:tc>
        <w:tc>
          <w:tcPr>
            <w:tcW w:w="591" w:type="pct"/>
            <w:vAlign w:val="center"/>
          </w:tcPr>
          <w:p w14:paraId="36E84886" w14:textId="77777777" w:rsidR="00275013" w:rsidRPr="00675182" w:rsidRDefault="00275013" w:rsidP="005B0A56">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0832FAB9" w14:textId="77777777" w:rsidR="00275013" w:rsidRPr="00675182" w:rsidRDefault="00275013" w:rsidP="005B0A56">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26C94DF8" w14:textId="77777777" w:rsidR="00275013" w:rsidRPr="00675182" w:rsidRDefault="00275013" w:rsidP="005B0A56">
            <w:pPr>
              <w:jc w:val="center"/>
              <w:rPr>
                <w:rFonts w:eastAsia="Times New Roman" w:cstheme="minorHAnsi"/>
                <w:szCs w:val="24"/>
              </w:rPr>
            </w:pPr>
            <w:r w:rsidRPr="00675182">
              <w:rPr>
                <w:rFonts w:cstheme="minorHAnsi"/>
                <w:szCs w:val="24"/>
              </w:rPr>
              <w:t>Pieaug/Pieaug</w:t>
            </w:r>
          </w:p>
        </w:tc>
        <w:tc>
          <w:tcPr>
            <w:tcW w:w="788" w:type="pct"/>
            <w:shd w:val="clear" w:color="auto" w:fill="auto"/>
            <w:vAlign w:val="center"/>
          </w:tcPr>
          <w:p w14:paraId="13C0F6DE" w14:textId="47417EE0" w:rsidR="00275013" w:rsidRPr="00675182" w:rsidRDefault="00F2263F" w:rsidP="005B0A56">
            <w:pPr>
              <w:rPr>
                <w:rFonts w:eastAsia="Times New Roman" w:cstheme="minorHAnsi"/>
                <w:color w:val="000000"/>
                <w:szCs w:val="24"/>
                <w:vertAlign w:val="superscript"/>
                <w:lang w:eastAsia="en-GB"/>
              </w:rPr>
            </w:pPr>
            <w:r>
              <w:rPr>
                <w:rFonts w:eastAsia="Times New Roman" w:cstheme="minorHAnsi"/>
                <w:color w:val="000000"/>
                <w:szCs w:val="24"/>
                <w:lang w:eastAsia="en-GB"/>
              </w:rPr>
              <w:t>Ligzdo</w:t>
            </w:r>
            <w:r w:rsidR="00A63334" w:rsidRPr="00A27B98">
              <w:rPr>
                <w:rFonts w:eastAsia="Times New Roman" w:cstheme="minorHAnsi"/>
                <w:color w:val="000000"/>
                <w:szCs w:val="24"/>
                <w:lang w:eastAsia="en-GB"/>
              </w:rPr>
              <w:t xml:space="preserve"> 15 – 20 pāri</w:t>
            </w:r>
          </w:p>
        </w:tc>
      </w:tr>
      <w:bookmarkEnd w:id="87"/>
      <w:tr w:rsidR="00A63334" w:rsidRPr="00675182" w14:paraId="145D4395" w14:textId="77777777" w:rsidTr="005B0A56">
        <w:trPr>
          <w:trHeight w:val="20"/>
        </w:trPr>
        <w:tc>
          <w:tcPr>
            <w:tcW w:w="405" w:type="pct"/>
            <w:vAlign w:val="center"/>
          </w:tcPr>
          <w:p w14:paraId="70BAF9EB"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5012B32B" w14:textId="744FCF87" w:rsidR="00A63334" w:rsidRPr="00675182" w:rsidRDefault="00A63334" w:rsidP="00A63334">
            <w:pPr>
              <w:rPr>
                <w:rFonts w:cstheme="minorHAnsi"/>
                <w:szCs w:val="24"/>
              </w:rPr>
            </w:pPr>
            <w:r w:rsidRPr="00675182">
              <w:rPr>
                <w:rFonts w:cstheme="minorHAnsi"/>
                <w:szCs w:val="24"/>
              </w:rPr>
              <w:t>Laukirbe</w:t>
            </w:r>
          </w:p>
        </w:tc>
        <w:tc>
          <w:tcPr>
            <w:tcW w:w="1114" w:type="pct"/>
            <w:shd w:val="clear" w:color="auto" w:fill="auto"/>
            <w:noWrap/>
            <w:vAlign w:val="center"/>
          </w:tcPr>
          <w:p w14:paraId="787049C4" w14:textId="34D9736B" w:rsidR="00A63334" w:rsidRPr="00675182" w:rsidRDefault="00A63334" w:rsidP="00A63334">
            <w:pPr>
              <w:rPr>
                <w:rFonts w:cstheme="minorHAnsi"/>
                <w:i/>
                <w:szCs w:val="24"/>
              </w:rPr>
            </w:pPr>
            <w:r w:rsidRPr="00675182">
              <w:rPr>
                <w:rFonts w:cstheme="minorHAnsi"/>
                <w:i/>
                <w:szCs w:val="24"/>
              </w:rPr>
              <w:t>Perdix perdix</w:t>
            </w:r>
          </w:p>
        </w:tc>
        <w:tc>
          <w:tcPr>
            <w:tcW w:w="591" w:type="pct"/>
            <w:vAlign w:val="center"/>
          </w:tcPr>
          <w:p w14:paraId="06CAD98B" w14:textId="152DA6B7" w:rsidR="00A63334" w:rsidRPr="00675182" w:rsidRDefault="00A63334" w:rsidP="00A63334">
            <w:pPr>
              <w:rPr>
                <w:rFonts w:eastAsia="Times New Roman" w:cstheme="minorHAnsi"/>
                <w:szCs w:val="24"/>
              </w:rPr>
            </w:pPr>
            <w:r w:rsidRPr="00675182">
              <w:rPr>
                <w:rFonts w:eastAsia="Times New Roman" w:cstheme="minorHAnsi"/>
                <w:szCs w:val="24"/>
              </w:rPr>
              <w:t>ĪAS, ES II</w:t>
            </w:r>
          </w:p>
        </w:tc>
        <w:tc>
          <w:tcPr>
            <w:tcW w:w="404" w:type="pct"/>
            <w:shd w:val="clear" w:color="auto" w:fill="auto"/>
            <w:vAlign w:val="center"/>
          </w:tcPr>
          <w:p w14:paraId="2F086E5B" w14:textId="136181F7" w:rsidR="00A63334" w:rsidRPr="00675182" w:rsidRDefault="00A63334" w:rsidP="00A63334">
            <w:pPr>
              <w:rPr>
                <w:rFonts w:eastAsia="Times New Roman" w:cstheme="minorHAnsi"/>
                <w:szCs w:val="24"/>
              </w:rPr>
            </w:pPr>
            <w:r w:rsidRPr="00675182">
              <w:rPr>
                <w:rFonts w:eastAsia="Times New Roman" w:cstheme="minorHAnsi"/>
                <w:szCs w:val="24"/>
              </w:rPr>
              <w:t>SG II</w:t>
            </w:r>
          </w:p>
        </w:tc>
        <w:tc>
          <w:tcPr>
            <w:tcW w:w="949" w:type="pct"/>
            <w:shd w:val="clear" w:color="auto" w:fill="auto"/>
            <w:noWrap/>
            <w:vAlign w:val="center"/>
          </w:tcPr>
          <w:p w14:paraId="717E701F" w14:textId="1EC39F26" w:rsidR="00A63334" w:rsidRPr="00675182" w:rsidRDefault="00A63334" w:rsidP="00A63334">
            <w:pPr>
              <w:jc w:val="center"/>
              <w:rPr>
                <w:rFonts w:cstheme="minorHAnsi"/>
                <w:bCs/>
                <w:szCs w:val="24"/>
              </w:rPr>
            </w:pPr>
            <w:r w:rsidRPr="00675182">
              <w:rPr>
                <w:rFonts w:cstheme="minorHAnsi"/>
                <w:bCs/>
                <w:szCs w:val="24"/>
              </w:rPr>
              <w:t>Stabils/Samazinās</w:t>
            </w:r>
          </w:p>
        </w:tc>
        <w:tc>
          <w:tcPr>
            <w:tcW w:w="788" w:type="pct"/>
            <w:shd w:val="clear" w:color="auto" w:fill="auto"/>
            <w:vAlign w:val="center"/>
          </w:tcPr>
          <w:p w14:paraId="1AA05804" w14:textId="15FAB829" w:rsidR="00A63334" w:rsidRPr="00675182" w:rsidRDefault="00A63334" w:rsidP="00A63334">
            <w:pPr>
              <w:rPr>
                <w:rFonts w:eastAsia="Times New Roman" w:cstheme="minorHAnsi"/>
                <w:color w:val="000000"/>
                <w:szCs w:val="24"/>
                <w:lang w:eastAsia="en-GB"/>
              </w:rPr>
            </w:pPr>
            <w:r w:rsidRPr="00A27B98">
              <w:rPr>
                <w:rFonts w:eastAsia="Times New Roman" w:cstheme="minorHAnsi"/>
                <w:color w:val="000000"/>
                <w:szCs w:val="24"/>
                <w:lang w:eastAsia="en-GB"/>
              </w:rPr>
              <w:t>Ligzdo 5 – 15 pāri</w:t>
            </w:r>
          </w:p>
        </w:tc>
      </w:tr>
      <w:tr w:rsidR="00A63334" w:rsidRPr="00675182" w14:paraId="17FF7147" w14:textId="77777777" w:rsidTr="005B0A56">
        <w:trPr>
          <w:trHeight w:val="20"/>
        </w:trPr>
        <w:tc>
          <w:tcPr>
            <w:tcW w:w="405" w:type="pct"/>
            <w:vAlign w:val="center"/>
          </w:tcPr>
          <w:p w14:paraId="3036EC3C"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46117B6F" w14:textId="77777777" w:rsidR="00A63334" w:rsidRPr="00675182" w:rsidRDefault="00A63334" w:rsidP="00A63334">
            <w:pPr>
              <w:rPr>
                <w:rFonts w:eastAsia="Times New Roman" w:cstheme="minorHAnsi"/>
                <w:color w:val="000000"/>
                <w:szCs w:val="24"/>
              </w:rPr>
            </w:pPr>
            <w:r w:rsidRPr="00675182">
              <w:rPr>
                <w:rFonts w:cstheme="minorHAnsi"/>
                <w:szCs w:val="24"/>
              </w:rPr>
              <w:t>Paipala</w:t>
            </w:r>
          </w:p>
        </w:tc>
        <w:tc>
          <w:tcPr>
            <w:tcW w:w="1114" w:type="pct"/>
            <w:shd w:val="clear" w:color="auto" w:fill="auto"/>
            <w:noWrap/>
            <w:vAlign w:val="center"/>
          </w:tcPr>
          <w:p w14:paraId="27B92FA9" w14:textId="77777777" w:rsidR="00A63334" w:rsidRPr="00675182" w:rsidRDefault="00A63334" w:rsidP="00A63334">
            <w:pPr>
              <w:rPr>
                <w:rFonts w:eastAsia="Times New Roman" w:cstheme="minorHAnsi"/>
                <w:i/>
                <w:iCs/>
                <w:szCs w:val="24"/>
              </w:rPr>
            </w:pPr>
            <w:r w:rsidRPr="00675182">
              <w:rPr>
                <w:rFonts w:cstheme="minorHAnsi"/>
                <w:i/>
                <w:szCs w:val="24"/>
              </w:rPr>
              <w:t>Coturnix coturnix</w:t>
            </w:r>
          </w:p>
        </w:tc>
        <w:tc>
          <w:tcPr>
            <w:tcW w:w="591" w:type="pct"/>
            <w:vAlign w:val="center"/>
          </w:tcPr>
          <w:p w14:paraId="0666342D" w14:textId="77777777" w:rsidR="00A63334" w:rsidRPr="00675182" w:rsidRDefault="00A63334" w:rsidP="00A63334">
            <w:pPr>
              <w:rPr>
                <w:rFonts w:eastAsia="Times New Roman" w:cstheme="minorHAnsi"/>
                <w:szCs w:val="24"/>
              </w:rPr>
            </w:pPr>
            <w:r w:rsidRPr="00675182">
              <w:rPr>
                <w:rFonts w:eastAsia="Times New Roman" w:cstheme="minorHAnsi"/>
                <w:szCs w:val="24"/>
              </w:rPr>
              <w:t>ĪAS, ES II</w:t>
            </w:r>
          </w:p>
        </w:tc>
        <w:tc>
          <w:tcPr>
            <w:tcW w:w="404" w:type="pct"/>
            <w:shd w:val="clear" w:color="auto" w:fill="auto"/>
            <w:vAlign w:val="center"/>
          </w:tcPr>
          <w:p w14:paraId="19EC444B" w14:textId="77777777" w:rsidR="00A63334" w:rsidRPr="00675182" w:rsidRDefault="00A63334" w:rsidP="00A63334">
            <w:pPr>
              <w:rPr>
                <w:rFonts w:eastAsia="Times New Roman" w:cstheme="minorHAnsi"/>
                <w:szCs w:val="24"/>
              </w:rPr>
            </w:pPr>
            <w:r w:rsidRPr="00675182">
              <w:rPr>
                <w:rFonts w:eastAsia="Times New Roman" w:cstheme="minorHAnsi"/>
                <w:szCs w:val="24"/>
              </w:rPr>
              <w:t>SG II</w:t>
            </w:r>
          </w:p>
        </w:tc>
        <w:tc>
          <w:tcPr>
            <w:tcW w:w="949" w:type="pct"/>
            <w:shd w:val="clear" w:color="auto" w:fill="auto"/>
            <w:noWrap/>
            <w:vAlign w:val="center"/>
          </w:tcPr>
          <w:p w14:paraId="1804AF97" w14:textId="77777777" w:rsidR="00A63334" w:rsidRPr="00675182" w:rsidRDefault="00A63334" w:rsidP="00A63334">
            <w:pPr>
              <w:jc w:val="center"/>
              <w:rPr>
                <w:rFonts w:eastAsia="Times New Roman" w:cstheme="minorHAnsi"/>
                <w:szCs w:val="24"/>
              </w:rPr>
            </w:pPr>
            <w:r w:rsidRPr="00675182">
              <w:rPr>
                <w:rFonts w:cstheme="minorHAnsi"/>
                <w:bCs/>
                <w:szCs w:val="24"/>
              </w:rPr>
              <w:t>Samazinās/Svārstās</w:t>
            </w:r>
          </w:p>
        </w:tc>
        <w:tc>
          <w:tcPr>
            <w:tcW w:w="788" w:type="pct"/>
            <w:shd w:val="clear" w:color="auto" w:fill="auto"/>
            <w:vAlign w:val="center"/>
          </w:tcPr>
          <w:p w14:paraId="06D0EC21"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0 – 10 vokalizējoši tēviņi</w:t>
            </w:r>
          </w:p>
        </w:tc>
      </w:tr>
      <w:tr w:rsidR="00A63334" w:rsidRPr="00675182" w14:paraId="68244C5F" w14:textId="77777777" w:rsidTr="005B0A56">
        <w:trPr>
          <w:trHeight w:val="20"/>
        </w:trPr>
        <w:tc>
          <w:tcPr>
            <w:tcW w:w="405" w:type="pct"/>
            <w:vAlign w:val="center"/>
          </w:tcPr>
          <w:p w14:paraId="3DA9689D"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271F353D" w14:textId="77777777" w:rsidR="00A63334" w:rsidRPr="00675182" w:rsidRDefault="00A63334" w:rsidP="00A63334">
            <w:pPr>
              <w:rPr>
                <w:rFonts w:cstheme="minorHAnsi"/>
                <w:szCs w:val="24"/>
              </w:rPr>
            </w:pPr>
            <w:r w:rsidRPr="00675182">
              <w:rPr>
                <w:rFonts w:eastAsia="Times New Roman" w:cstheme="minorHAnsi"/>
                <w:color w:val="000000"/>
                <w:szCs w:val="24"/>
              </w:rPr>
              <w:t>Mednis</w:t>
            </w:r>
          </w:p>
        </w:tc>
        <w:tc>
          <w:tcPr>
            <w:tcW w:w="1114" w:type="pct"/>
            <w:shd w:val="clear" w:color="auto" w:fill="auto"/>
            <w:noWrap/>
            <w:vAlign w:val="center"/>
          </w:tcPr>
          <w:p w14:paraId="734A35B5" w14:textId="77777777" w:rsidR="00A63334" w:rsidRPr="00675182" w:rsidRDefault="00A63334" w:rsidP="00A63334">
            <w:pPr>
              <w:rPr>
                <w:rFonts w:cstheme="minorHAnsi"/>
                <w:i/>
                <w:szCs w:val="24"/>
              </w:rPr>
            </w:pPr>
            <w:r w:rsidRPr="00675182">
              <w:rPr>
                <w:rFonts w:eastAsia="Times New Roman" w:cstheme="minorHAnsi"/>
                <w:i/>
                <w:iCs/>
                <w:szCs w:val="24"/>
              </w:rPr>
              <w:t>Tetrao urogallus</w:t>
            </w:r>
          </w:p>
        </w:tc>
        <w:tc>
          <w:tcPr>
            <w:tcW w:w="591" w:type="pct"/>
            <w:vAlign w:val="center"/>
          </w:tcPr>
          <w:p w14:paraId="00FB44B6"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II, MIK</w:t>
            </w:r>
          </w:p>
        </w:tc>
        <w:tc>
          <w:tcPr>
            <w:tcW w:w="404" w:type="pct"/>
            <w:shd w:val="clear" w:color="auto" w:fill="auto"/>
            <w:vAlign w:val="center"/>
          </w:tcPr>
          <w:p w14:paraId="4287B995"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6BE75D32" w14:textId="77777777" w:rsidR="00A63334" w:rsidRPr="00675182" w:rsidRDefault="00A63334" w:rsidP="00A63334">
            <w:pPr>
              <w:jc w:val="center"/>
              <w:rPr>
                <w:rFonts w:eastAsia="Times New Roman" w:cstheme="minorHAnsi"/>
                <w:szCs w:val="24"/>
              </w:rPr>
            </w:pPr>
            <w:r w:rsidRPr="00675182">
              <w:rPr>
                <w:rFonts w:eastAsia="Times New Roman" w:cstheme="minorHAnsi"/>
                <w:szCs w:val="24"/>
              </w:rPr>
              <w:t>Pieaug/Nezināms</w:t>
            </w:r>
          </w:p>
        </w:tc>
        <w:tc>
          <w:tcPr>
            <w:tcW w:w="788" w:type="pct"/>
            <w:shd w:val="clear" w:color="auto" w:fill="auto"/>
            <w:vAlign w:val="center"/>
          </w:tcPr>
          <w:p w14:paraId="25EF4B31"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3 riestojoši tēviņi</w:t>
            </w:r>
          </w:p>
        </w:tc>
      </w:tr>
      <w:tr w:rsidR="00A63334" w:rsidRPr="00675182" w14:paraId="2161856B" w14:textId="77777777" w:rsidTr="005B0A56">
        <w:trPr>
          <w:trHeight w:val="20"/>
        </w:trPr>
        <w:tc>
          <w:tcPr>
            <w:tcW w:w="405" w:type="pct"/>
            <w:vAlign w:val="center"/>
          </w:tcPr>
          <w:p w14:paraId="5392D3D8"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42D5DE8F" w14:textId="77777777" w:rsidR="00A63334" w:rsidRPr="00675182" w:rsidRDefault="00A63334" w:rsidP="00A63334">
            <w:pPr>
              <w:rPr>
                <w:rFonts w:eastAsia="Times New Roman" w:cstheme="minorHAnsi"/>
                <w:color w:val="000000"/>
                <w:szCs w:val="24"/>
              </w:rPr>
            </w:pPr>
            <w:r w:rsidRPr="00675182">
              <w:rPr>
                <w:rFonts w:cstheme="minorHAnsi"/>
                <w:szCs w:val="24"/>
              </w:rPr>
              <w:t>Rubenis</w:t>
            </w:r>
          </w:p>
        </w:tc>
        <w:tc>
          <w:tcPr>
            <w:tcW w:w="1114" w:type="pct"/>
            <w:shd w:val="clear" w:color="auto" w:fill="auto"/>
            <w:noWrap/>
            <w:vAlign w:val="center"/>
          </w:tcPr>
          <w:p w14:paraId="21C7ECAB" w14:textId="77777777" w:rsidR="00A63334" w:rsidRPr="00675182" w:rsidRDefault="00A63334" w:rsidP="00A63334">
            <w:pPr>
              <w:rPr>
                <w:rFonts w:eastAsia="Times New Roman" w:cstheme="minorHAnsi"/>
                <w:i/>
                <w:iCs/>
                <w:szCs w:val="24"/>
              </w:rPr>
            </w:pPr>
            <w:r w:rsidRPr="00675182">
              <w:rPr>
                <w:rFonts w:cstheme="minorHAnsi"/>
                <w:i/>
                <w:szCs w:val="24"/>
              </w:rPr>
              <w:t>Lyrurus tetrix</w:t>
            </w:r>
          </w:p>
        </w:tc>
        <w:tc>
          <w:tcPr>
            <w:tcW w:w="591" w:type="pct"/>
            <w:vAlign w:val="center"/>
          </w:tcPr>
          <w:p w14:paraId="0DCF11FF"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II</w:t>
            </w:r>
          </w:p>
        </w:tc>
        <w:tc>
          <w:tcPr>
            <w:tcW w:w="404" w:type="pct"/>
            <w:shd w:val="clear" w:color="auto" w:fill="auto"/>
            <w:vAlign w:val="center"/>
          </w:tcPr>
          <w:p w14:paraId="5BF22E1D"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74DFFD80" w14:textId="77777777" w:rsidR="00A63334" w:rsidRPr="00675182" w:rsidRDefault="00A63334" w:rsidP="00A63334">
            <w:pPr>
              <w:jc w:val="center"/>
              <w:rPr>
                <w:rFonts w:eastAsia="Times New Roman" w:cstheme="minorHAnsi"/>
                <w:szCs w:val="24"/>
              </w:rPr>
            </w:pPr>
            <w:r w:rsidRPr="00675182">
              <w:rPr>
                <w:rFonts w:cstheme="minorHAnsi"/>
                <w:szCs w:val="24"/>
              </w:rPr>
              <w:t>Nezināms/Pieaug</w:t>
            </w:r>
          </w:p>
        </w:tc>
        <w:tc>
          <w:tcPr>
            <w:tcW w:w="788" w:type="pct"/>
            <w:shd w:val="clear" w:color="auto" w:fill="auto"/>
            <w:vAlign w:val="center"/>
          </w:tcPr>
          <w:p w14:paraId="500D1814"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35 – 40 riestojoši tēviņi</w:t>
            </w:r>
          </w:p>
        </w:tc>
      </w:tr>
      <w:tr w:rsidR="00A63334" w:rsidRPr="00675182" w14:paraId="1D9CC5F2" w14:textId="77777777" w:rsidTr="005B0A56">
        <w:trPr>
          <w:trHeight w:val="20"/>
        </w:trPr>
        <w:tc>
          <w:tcPr>
            <w:tcW w:w="405" w:type="pct"/>
            <w:vAlign w:val="center"/>
          </w:tcPr>
          <w:p w14:paraId="35481EA8"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2ACCE322" w14:textId="77777777" w:rsidR="00A63334" w:rsidRPr="00675182" w:rsidRDefault="00A63334" w:rsidP="00A63334">
            <w:pPr>
              <w:rPr>
                <w:rFonts w:eastAsia="Times New Roman" w:cstheme="minorHAnsi"/>
                <w:color w:val="000000"/>
                <w:szCs w:val="24"/>
              </w:rPr>
            </w:pPr>
            <w:r w:rsidRPr="00675182">
              <w:rPr>
                <w:rFonts w:cstheme="minorHAnsi"/>
                <w:szCs w:val="24"/>
              </w:rPr>
              <w:t>Mežirbe</w:t>
            </w:r>
          </w:p>
        </w:tc>
        <w:tc>
          <w:tcPr>
            <w:tcW w:w="1114" w:type="pct"/>
            <w:shd w:val="clear" w:color="auto" w:fill="auto"/>
            <w:noWrap/>
            <w:vAlign w:val="center"/>
          </w:tcPr>
          <w:p w14:paraId="11324980" w14:textId="77777777" w:rsidR="00A63334" w:rsidRPr="00675182" w:rsidRDefault="00A63334" w:rsidP="00A63334">
            <w:pPr>
              <w:rPr>
                <w:rFonts w:eastAsia="Times New Roman" w:cstheme="minorHAnsi"/>
                <w:i/>
                <w:iCs/>
                <w:szCs w:val="24"/>
              </w:rPr>
            </w:pPr>
            <w:r w:rsidRPr="00675182">
              <w:rPr>
                <w:rFonts w:cstheme="minorHAnsi"/>
                <w:i/>
                <w:szCs w:val="24"/>
              </w:rPr>
              <w:t>Tetrastes bonasia</w:t>
            </w:r>
          </w:p>
        </w:tc>
        <w:tc>
          <w:tcPr>
            <w:tcW w:w="591" w:type="pct"/>
            <w:vAlign w:val="center"/>
          </w:tcPr>
          <w:p w14:paraId="513A652D"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II</w:t>
            </w:r>
          </w:p>
        </w:tc>
        <w:tc>
          <w:tcPr>
            <w:tcW w:w="404" w:type="pct"/>
            <w:shd w:val="clear" w:color="auto" w:fill="auto"/>
            <w:vAlign w:val="center"/>
          </w:tcPr>
          <w:p w14:paraId="48485999"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1AA20BCA" w14:textId="77777777" w:rsidR="00A63334" w:rsidRPr="00675182" w:rsidRDefault="00A63334" w:rsidP="00A63334">
            <w:pPr>
              <w:jc w:val="center"/>
              <w:rPr>
                <w:rFonts w:eastAsia="Times New Roman" w:cstheme="minorHAnsi"/>
                <w:szCs w:val="24"/>
              </w:rPr>
            </w:pPr>
            <w:r w:rsidRPr="00675182">
              <w:rPr>
                <w:rFonts w:cstheme="minorHAnsi"/>
                <w:szCs w:val="24"/>
              </w:rPr>
              <w:t>Samazinās/Nezināms</w:t>
            </w:r>
          </w:p>
        </w:tc>
        <w:tc>
          <w:tcPr>
            <w:tcW w:w="788" w:type="pct"/>
            <w:shd w:val="clear" w:color="auto" w:fill="auto"/>
            <w:vAlign w:val="center"/>
          </w:tcPr>
          <w:p w14:paraId="55AB099E" w14:textId="43CC197E"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 xml:space="preserve">Ligzdo </w:t>
            </w:r>
            <w:r w:rsidR="00962970">
              <w:rPr>
                <w:rFonts w:eastAsia="Times New Roman" w:cstheme="minorHAnsi"/>
                <w:color w:val="000000"/>
                <w:szCs w:val="24"/>
                <w:lang w:eastAsia="en-GB"/>
              </w:rPr>
              <w:t>100</w:t>
            </w:r>
            <w:r w:rsidRPr="00675182">
              <w:rPr>
                <w:rFonts w:eastAsia="Times New Roman" w:cstheme="minorHAnsi"/>
                <w:color w:val="000000"/>
                <w:szCs w:val="24"/>
                <w:lang w:eastAsia="en-GB"/>
              </w:rPr>
              <w:t xml:space="preserve"> – </w:t>
            </w:r>
            <w:r w:rsidR="00962970">
              <w:rPr>
                <w:rFonts w:eastAsia="Times New Roman" w:cstheme="minorHAnsi"/>
                <w:color w:val="000000"/>
                <w:szCs w:val="24"/>
                <w:lang w:eastAsia="en-GB"/>
              </w:rPr>
              <w:t>30</w:t>
            </w:r>
            <w:r w:rsidRPr="00675182">
              <w:rPr>
                <w:rFonts w:eastAsia="Times New Roman" w:cstheme="minorHAnsi"/>
                <w:color w:val="000000"/>
                <w:szCs w:val="24"/>
                <w:lang w:eastAsia="en-GB"/>
              </w:rPr>
              <w:t>0 pāri</w:t>
            </w:r>
          </w:p>
        </w:tc>
      </w:tr>
      <w:tr w:rsidR="00A63334" w:rsidRPr="00675182" w14:paraId="3AC2D967" w14:textId="77777777" w:rsidTr="005B0A56">
        <w:trPr>
          <w:trHeight w:val="20"/>
        </w:trPr>
        <w:tc>
          <w:tcPr>
            <w:tcW w:w="405" w:type="pct"/>
            <w:vAlign w:val="center"/>
          </w:tcPr>
          <w:p w14:paraId="7078986A"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5D7C128B" w14:textId="77777777" w:rsidR="00A63334" w:rsidRPr="00675182" w:rsidRDefault="00A63334" w:rsidP="00A63334">
            <w:pPr>
              <w:rPr>
                <w:rFonts w:eastAsia="Times New Roman" w:cstheme="minorHAnsi"/>
                <w:color w:val="000000"/>
                <w:szCs w:val="24"/>
              </w:rPr>
            </w:pPr>
            <w:r w:rsidRPr="00675182">
              <w:rPr>
                <w:rFonts w:eastAsia="Times New Roman" w:cstheme="minorHAnsi"/>
                <w:color w:val="000000"/>
                <w:szCs w:val="24"/>
              </w:rPr>
              <w:t>Melnais stārķis</w:t>
            </w:r>
          </w:p>
        </w:tc>
        <w:tc>
          <w:tcPr>
            <w:tcW w:w="1114" w:type="pct"/>
            <w:shd w:val="clear" w:color="auto" w:fill="auto"/>
            <w:noWrap/>
            <w:vAlign w:val="center"/>
          </w:tcPr>
          <w:p w14:paraId="7BE03808" w14:textId="77777777" w:rsidR="00A63334" w:rsidRPr="00675182" w:rsidRDefault="00A63334" w:rsidP="00A63334">
            <w:pPr>
              <w:rPr>
                <w:rFonts w:eastAsia="Times New Roman" w:cstheme="minorHAnsi"/>
                <w:i/>
                <w:iCs/>
                <w:szCs w:val="24"/>
              </w:rPr>
            </w:pPr>
            <w:r w:rsidRPr="00675182">
              <w:rPr>
                <w:rFonts w:eastAsia="Times New Roman" w:cstheme="minorHAnsi"/>
                <w:i/>
                <w:iCs/>
                <w:szCs w:val="24"/>
              </w:rPr>
              <w:t>Ciconia nigra</w:t>
            </w:r>
          </w:p>
        </w:tc>
        <w:tc>
          <w:tcPr>
            <w:tcW w:w="591" w:type="pct"/>
            <w:vAlign w:val="center"/>
          </w:tcPr>
          <w:p w14:paraId="63D28D6E"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1F889EFD"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57480436" w14:textId="77777777" w:rsidR="00A63334" w:rsidRPr="00675182" w:rsidRDefault="00A63334" w:rsidP="00A63334">
            <w:pPr>
              <w:jc w:val="center"/>
              <w:rPr>
                <w:rFonts w:eastAsia="Times New Roman" w:cstheme="minorHAnsi"/>
                <w:szCs w:val="24"/>
              </w:rPr>
            </w:pPr>
            <w:r w:rsidRPr="00675182">
              <w:rPr>
                <w:rFonts w:cstheme="minorHAnsi"/>
                <w:szCs w:val="24"/>
              </w:rPr>
              <w:t>Samazinās/Samazinās</w:t>
            </w:r>
          </w:p>
        </w:tc>
        <w:tc>
          <w:tcPr>
            <w:tcW w:w="788" w:type="pct"/>
            <w:shd w:val="clear" w:color="auto" w:fill="auto"/>
            <w:vAlign w:val="center"/>
          </w:tcPr>
          <w:p w14:paraId="00D65D38"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1 – 2 pāri</w:t>
            </w:r>
          </w:p>
        </w:tc>
      </w:tr>
      <w:tr w:rsidR="00A63334" w:rsidRPr="00675182" w14:paraId="0ACA3204" w14:textId="77777777" w:rsidTr="005B0A56">
        <w:trPr>
          <w:trHeight w:val="20"/>
        </w:trPr>
        <w:tc>
          <w:tcPr>
            <w:tcW w:w="405" w:type="pct"/>
            <w:vAlign w:val="center"/>
          </w:tcPr>
          <w:p w14:paraId="601B16C4"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0A45340C" w14:textId="77777777" w:rsidR="00A63334" w:rsidRPr="00675182" w:rsidRDefault="00A63334" w:rsidP="00A63334">
            <w:pPr>
              <w:rPr>
                <w:rFonts w:eastAsia="Times New Roman" w:cstheme="minorHAnsi"/>
                <w:color w:val="000000"/>
                <w:szCs w:val="24"/>
              </w:rPr>
            </w:pPr>
            <w:r w:rsidRPr="00675182">
              <w:rPr>
                <w:rFonts w:eastAsia="Times New Roman" w:cstheme="minorHAnsi"/>
                <w:color w:val="000000"/>
                <w:szCs w:val="24"/>
              </w:rPr>
              <w:t>Baltais stārķis</w:t>
            </w:r>
          </w:p>
        </w:tc>
        <w:tc>
          <w:tcPr>
            <w:tcW w:w="1114" w:type="pct"/>
            <w:shd w:val="clear" w:color="auto" w:fill="auto"/>
            <w:noWrap/>
            <w:vAlign w:val="center"/>
          </w:tcPr>
          <w:p w14:paraId="1BEA77D8" w14:textId="77777777" w:rsidR="00A63334" w:rsidRPr="00675182" w:rsidRDefault="00A63334" w:rsidP="00A63334">
            <w:pPr>
              <w:rPr>
                <w:rFonts w:eastAsia="Times New Roman" w:cstheme="minorHAnsi"/>
                <w:i/>
                <w:iCs/>
                <w:szCs w:val="24"/>
              </w:rPr>
            </w:pPr>
            <w:r w:rsidRPr="00675182">
              <w:rPr>
                <w:rFonts w:eastAsia="Times New Roman" w:cstheme="minorHAnsi"/>
                <w:i/>
                <w:iCs/>
                <w:szCs w:val="24"/>
              </w:rPr>
              <w:t>Ciconia ciconia</w:t>
            </w:r>
          </w:p>
        </w:tc>
        <w:tc>
          <w:tcPr>
            <w:tcW w:w="591" w:type="pct"/>
            <w:vAlign w:val="center"/>
          </w:tcPr>
          <w:p w14:paraId="0D0457E3"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7AAC5EB3"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41BA04EB" w14:textId="77777777" w:rsidR="00A63334" w:rsidRPr="00675182" w:rsidRDefault="00A63334" w:rsidP="00A63334">
            <w:pPr>
              <w:jc w:val="center"/>
              <w:rPr>
                <w:rFonts w:eastAsia="Times New Roman" w:cstheme="minorHAnsi"/>
                <w:szCs w:val="24"/>
              </w:rPr>
            </w:pPr>
            <w:r w:rsidRPr="00675182">
              <w:rPr>
                <w:rFonts w:cstheme="minorHAnsi"/>
                <w:szCs w:val="24"/>
              </w:rPr>
              <w:t>Pieaug/Pieaug</w:t>
            </w:r>
          </w:p>
        </w:tc>
        <w:tc>
          <w:tcPr>
            <w:tcW w:w="788" w:type="pct"/>
            <w:shd w:val="clear" w:color="auto" w:fill="auto"/>
            <w:vAlign w:val="center"/>
          </w:tcPr>
          <w:p w14:paraId="185B8A02"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200 – 220 pāri</w:t>
            </w:r>
          </w:p>
        </w:tc>
      </w:tr>
      <w:tr w:rsidR="00A63334" w:rsidRPr="00675182" w14:paraId="6BDC197D" w14:textId="77777777" w:rsidTr="005B0A56">
        <w:trPr>
          <w:trHeight w:val="20"/>
        </w:trPr>
        <w:tc>
          <w:tcPr>
            <w:tcW w:w="405" w:type="pct"/>
            <w:vAlign w:val="center"/>
          </w:tcPr>
          <w:p w14:paraId="09ED7B47"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769F12A1" w14:textId="77777777" w:rsidR="00A63334" w:rsidRPr="00675182" w:rsidRDefault="00A63334" w:rsidP="00A63334">
            <w:pPr>
              <w:rPr>
                <w:rFonts w:eastAsia="Times New Roman" w:cstheme="minorHAnsi"/>
                <w:color w:val="000000"/>
                <w:szCs w:val="24"/>
              </w:rPr>
            </w:pPr>
            <w:r w:rsidRPr="00675182">
              <w:rPr>
                <w:rFonts w:eastAsia="Times New Roman" w:cstheme="minorHAnsi"/>
                <w:color w:val="000000"/>
                <w:szCs w:val="24"/>
              </w:rPr>
              <w:t>Lielais dumpis</w:t>
            </w:r>
          </w:p>
        </w:tc>
        <w:tc>
          <w:tcPr>
            <w:tcW w:w="1114" w:type="pct"/>
            <w:shd w:val="clear" w:color="auto" w:fill="auto"/>
            <w:noWrap/>
            <w:vAlign w:val="center"/>
          </w:tcPr>
          <w:p w14:paraId="4F9AA166" w14:textId="77777777" w:rsidR="00A63334" w:rsidRPr="00675182" w:rsidRDefault="00A63334" w:rsidP="00A63334">
            <w:pPr>
              <w:rPr>
                <w:rFonts w:eastAsia="Times New Roman" w:cstheme="minorHAnsi"/>
                <w:i/>
                <w:iCs/>
                <w:szCs w:val="24"/>
              </w:rPr>
            </w:pPr>
            <w:r w:rsidRPr="00675182">
              <w:rPr>
                <w:rFonts w:eastAsia="Times New Roman" w:cstheme="minorHAnsi"/>
                <w:i/>
                <w:iCs/>
                <w:szCs w:val="24"/>
              </w:rPr>
              <w:t>Botaurus stellaris</w:t>
            </w:r>
          </w:p>
        </w:tc>
        <w:tc>
          <w:tcPr>
            <w:tcW w:w="591" w:type="pct"/>
            <w:vAlign w:val="center"/>
          </w:tcPr>
          <w:p w14:paraId="7A2EAA15"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6B3FD446"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0ABF69F5" w14:textId="77777777" w:rsidR="00A63334" w:rsidRPr="00675182" w:rsidRDefault="00A63334" w:rsidP="00A63334">
            <w:pPr>
              <w:jc w:val="center"/>
              <w:rPr>
                <w:rFonts w:eastAsia="Times New Roman" w:cstheme="minorHAnsi"/>
                <w:szCs w:val="24"/>
              </w:rPr>
            </w:pPr>
            <w:r w:rsidRPr="00675182">
              <w:rPr>
                <w:rFonts w:cstheme="minorHAnsi"/>
                <w:szCs w:val="24"/>
              </w:rPr>
              <w:t>Stabils/Pieaug</w:t>
            </w:r>
          </w:p>
        </w:tc>
        <w:tc>
          <w:tcPr>
            <w:tcW w:w="788" w:type="pct"/>
            <w:shd w:val="clear" w:color="auto" w:fill="auto"/>
            <w:vAlign w:val="center"/>
          </w:tcPr>
          <w:p w14:paraId="6C509E77"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3 – 5 vokalizējoši tēviņi</w:t>
            </w:r>
          </w:p>
        </w:tc>
      </w:tr>
      <w:tr w:rsidR="00A63334" w:rsidRPr="00675182" w14:paraId="74215F17" w14:textId="77777777" w:rsidTr="005B0A56">
        <w:trPr>
          <w:trHeight w:val="20"/>
        </w:trPr>
        <w:tc>
          <w:tcPr>
            <w:tcW w:w="405" w:type="pct"/>
            <w:vAlign w:val="center"/>
          </w:tcPr>
          <w:p w14:paraId="75CABDBA"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7DDD895E" w14:textId="77777777" w:rsidR="00A63334" w:rsidRPr="00675182" w:rsidRDefault="00A63334" w:rsidP="00A63334">
            <w:pPr>
              <w:rPr>
                <w:rFonts w:eastAsia="Times New Roman" w:cstheme="minorHAnsi"/>
                <w:color w:val="000000"/>
                <w:szCs w:val="24"/>
              </w:rPr>
            </w:pPr>
            <w:r w:rsidRPr="00675182">
              <w:rPr>
                <w:rFonts w:eastAsia="Times New Roman" w:cstheme="minorHAnsi"/>
                <w:color w:val="000000"/>
                <w:szCs w:val="24"/>
              </w:rPr>
              <w:t>Zivjērglis</w:t>
            </w:r>
          </w:p>
        </w:tc>
        <w:tc>
          <w:tcPr>
            <w:tcW w:w="1114" w:type="pct"/>
            <w:shd w:val="clear" w:color="auto" w:fill="auto"/>
            <w:noWrap/>
            <w:vAlign w:val="center"/>
          </w:tcPr>
          <w:p w14:paraId="36EBE4A5" w14:textId="77777777" w:rsidR="00A63334" w:rsidRPr="00675182" w:rsidRDefault="00A63334" w:rsidP="00A63334">
            <w:pPr>
              <w:rPr>
                <w:rFonts w:eastAsia="Times New Roman" w:cstheme="minorHAnsi"/>
                <w:i/>
                <w:iCs/>
                <w:szCs w:val="24"/>
              </w:rPr>
            </w:pPr>
            <w:r w:rsidRPr="00675182">
              <w:rPr>
                <w:rFonts w:eastAsia="Times New Roman" w:cstheme="minorHAnsi"/>
                <w:i/>
                <w:iCs/>
                <w:szCs w:val="24"/>
              </w:rPr>
              <w:t>Pandion haliaetus</w:t>
            </w:r>
          </w:p>
        </w:tc>
        <w:tc>
          <w:tcPr>
            <w:tcW w:w="591" w:type="pct"/>
            <w:vAlign w:val="center"/>
          </w:tcPr>
          <w:p w14:paraId="12AF4D69"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6A3962D9"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36921764" w14:textId="77777777" w:rsidR="00A63334" w:rsidRPr="00675182" w:rsidRDefault="00A63334" w:rsidP="00A63334">
            <w:pPr>
              <w:jc w:val="center"/>
              <w:rPr>
                <w:rFonts w:eastAsia="Times New Roman" w:cstheme="minorHAnsi"/>
                <w:szCs w:val="24"/>
              </w:rPr>
            </w:pPr>
            <w:r w:rsidRPr="00675182">
              <w:rPr>
                <w:rFonts w:cstheme="minorHAnsi"/>
                <w:szCs w:val="24"/>
              </w:rPr>
              <w:t>Neskaidrs/Pieaug</w:t>
            </w:r>
          </w:p>
        </w:tc>
        <w:tc>
          <w:tcPr>
            <w:tcW w:w="788" w:type="pct"/>
            <w:shd w:val="clear" w:color="auto" w:fill="auto"/>
            <w:vAlign w:val="center"/>
          </w:tcPr>
          <w:p w14:paraId="1D983B23"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1 – 2 pāri</w:t>
            </w:r>
          </w:p>
        </w:tc>
      </w:tr>
      <w:tr w:rsidR="00A63334" w:rsidRPr="00675182" w14:paraId="26167A15" w14:textId="77777777" w:rsidTr="005B0A56">
        <w:trPr>
          <w:trHeight w:val="20"/>
        </w:trPr>
        <w:tc>
          <w:tcPr>
            <w:tcW w:w="405" w:type="pct"/>
            <w:vAlign w:val="center"/>
          </w:tcPr>
          <w:p w14:paraId="3F49EA18"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11A67490" w14:textId="77777777" w:rsidR="00A63334" w:rsidRPr="00675182" w:rsidRDefault="00A63334" w:rsidP="00A63334">
            <w:pPr>
              <w:rPr>
                <w:rFonts w:eastAsia="Times New Roman" w:cstheme="minorHAnsi"/>
                <w:color w:val="000000"/>
                <w:szCs w:val="24"/>
              </w:rPr>
            </w:pPr>
            <w:r w:rsidRPr="00675182">
              <w:rPr>
                <w:rFonts w:cstheme="minorHAnsi"/>
                <w:szCs w:val="24"/>
              </w:rPr>
              <w:t>Ķīķis</w:t>
            </w:r>
          </w:p>
        </w:tc>
        <w:tc>
          <w:tcPr>
            <w:tcW w:w="1114" w:type="pct"/>
            <w:shd w:val="clear" w:color="auto" w:fill="auto"/>
            <w:noWrap/>
            <w:vAlign w:val="center"/>
          </w:tcPr>
          <w:p w14:paraId="39D2639F" w14:textId="77777777" w:rsidR="00A63334" w:rsidRPr="00675182" w:rsidRDefault="00A63334" w:rsidP="00A63334">
            <w:pPr>
              <w:rPr>
                <w:rFonts w:eastAsia="Times New Roman" w:cstheme="minorHAnsi"/>
                <w:i/>
                <w:iCs/>
                <w:szCs w:val="24"/>
              </w:rPr>
            </w:pPr>
            <w:r w:rsidRPr="00675182">
              <w:rPr>
                <w:rFonts w:cstheme="minorHAnsi"/>
                <w:i/>
                <w:iCs/>
                <w:szCs w:val="24"/>
              </w:rPr>
              <w:t>Pernis apivorus</w:t>
            </w:r>
          </w:p>
        </w:tc>
        <w:tc>
          <w:tcPr>
            <w:tcW w:w="591" w:type="pct"/>
            <w:vAlign w:val="center"/>
          </w:tcPr>
          <w:p w14:paraId="5744A426"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7F5A3A64"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437F0072" w14:textId="77777777" w:rsidR="00A63334" w:rsidRPr="00675182" w:rsidRDefault="00A63334" w:rsidP="00A63334">
            <w:pPr>
              <w:jc w:val="center"/>
              <w:rPr>
                <w:rFonts w:eastAsia="Times New Roman" w:cstheme="minorHAnsi"/>
                <w:szCs w:val="24"/>
              </w:rPr>
            </w:pPr>
            <w:r w:rsidRPr="00675182">
              <w:rPr>
                <w:rFonts w:cstheme="minorHAnsi"/>
                <w:szCs w:val="24"/>
              </w:rPr>
              <w:t>Pieaug/Pieaug</w:t>
            </w:r>
          </w:p>
        </w:tc>
        <w:tc>
          <w:tcPr>
            <w:tcW w:w="788" w:type="pct"/>
            <w:shd w:val="clear" w:color="auto" w:fill="auto"/>
            <w:vAlign w:val="center"/>
          </w:tcPr>
          <w:p w14:paraId="7A40E177" w14:textId="53A1B20D"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 xml:space="preserve">Ligzdo </w:t>
            </w:r>
            <w:r w:rsidR="00962970">
              <w:rPr>
                <w:rFonts w:eastAsia="Times New Roman" w:cstheme="minorHAnsi"/>
                <w:color w:val="000000"/>
                <w:szCs w:val="24"/>
                <w:lang w:eastAsia="en-GB"/>
              </w:rPr>
              <w:t>50</w:t>
            </w:r>
            <w:r w:rsidRPr="00675182">
              <w:rPr>
                <w:rFonts w:eastAsia="Times New Roman" w:cstheme="minorHAnsi"/>
                <w:color w:val="000000"/>
                <w:szCs w:val="24"/>
                <w:lang w:eastAsia="en-GB"/>
              </w:rPr>
              <w:t xml:space="preserve"> – </w:t>
            </w:r>
            <w:r w:rsidR="00962970">
              <w:rPr>
                <w:rFonts w:eastAsia="Times New Roman" w:cstheme="minorHAnsi"/>
                <w:color w:val="000000"/>
                <w:szCs w:val="24"/>
                <w:lang w:eastAsia="en-GB"/>
              </w:rPr>
              <w:t>75</w:t>
            </w:r>
            <w:r w:rsidRPr="00675182">
              <w:rPr>
                <w:rFonts w:eastAsia="Times New Roman" w:cstheme="minorHAnsi"/>
                <w:color w:val="000000"/>
                <w:szCs w:val="24"/>
                <w:lang w:eastAsia="en-GB"/>
              </w:rPr>
              <w:t xml:space="preserve"> pāri</w:t>
            </w:r>
          </w:p>
        </w:tc>
      </w:tr>
      <w:tr w:rsidR="00A63334" w:rsidRPr="00675182" w14:paraId="6F9121C8" w14:textId="77777777" w:rsidTr="005B0A56">
        <w:trPr>
          <w:trHeight w:val="20"/>
        </w:trPr>
        <w:tc>
          <w:tcPr>
            <w:tcW w:w="405" w:type="pct"/>
            <w:vAlign w:val="center"/>
          </w:tcPr>
          <w:p w14:paraId="4756482D"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541BCA4D" w14:textId="77777777" w:rsidR="00A63334" w:rsidRPr="00675182" w:rsidRDefault="00A63334" w:rsidP="00A63334">
            <w:pPr>
              <w:rPr>
                <w:rFonts w:eastAsia="Times New Roman" w:cstheme="minorHAnsi"/>
                <w:color w:val="000000"/>
                <w:szCs w:val="24"/>
              </w:rPr>
            </w:pPr>
            <w:r w:rsidRPr="00675182">
              <w:rPr>
                <w:rFonts w:cstheme="minorHAnsi"/>
                <w:szCs w:val="24"/>
              </w:rPr>
              <w:t>Melnā klija</w:t>
            </w:r>
          </w:p>
        </w:tc>
        <w:tc>
          <w:tcPr>
            <w:tcW w:w="1114" w:type="pct"/>
            <w:shd w:val="clear" w:color="auto" w:fill="auto"/>
            <w:noWrap/>
            <w:vAlign w:val="center"/>
          </w:tcPr>
          <w:p w14:paraId="492CD1A6" w14:textId="77777777" w:rsidR="00A63334" w:rsidRPr="00675182" w:rsidRDefault="00A63334" w:rsidP="00A63334">
            <w:pPr>
              <w:rPr>
                <w:rFonts w:eastAsia="Times New Roman" w:cstheme="minorHAnsi"/>
                <w:i/>
                <w:iCs/>
                <w:szCs w:val="24"/>
              </w:rPr>
            </w:pPr>
            <w:r w:rsidRPr="00675182">
              <w:rPr>
                <w:rFonts w:cstheme="minorHAnsi"/>
                <w:i/>
                <w:iCs/>
                <w:szCs w:val="24"/>
              </w:rPr>
              <w:t>Milvus migrans</w:t>
            </w:r>
          </w:p>
        </w:tc>
        <w:tc>
          <w:tcPr>
            <w:tcW w:w="591" w:type="pct"/>
            <w:vAlign w:val="center"/>
          </w:tcPr>
          <w:p w14:paraId="5773B9CD"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0DABC7EA" w14:textId="77777777" w:rsidR="00A63334" w:rsidRPr="00675182" w:rsidRDefault="00A63334" w:rsidP="00A63334">
            <w:pPr>
              <w:rPr>
                <w:rFonts w:eastAsia="Times New Roman" w:cstheme="minorHAnsi"/>
                <w:szCs w:val="24"/>
              </w:rPr>
            </w:pPr>
            <w:r w:rsidRPr="00675182">
              <w:rPr>
                <w:rFonts w:eastAsia="Times New Roman" w:cstheme="minorHAnsi"/>
                <w:szCs w:val="24"/>
              </w:rPr>
              <w:t>SG II</w:t>
            </w:r>
          </w:p>
        </w:tc>
        <w:tc>
          <w:tcPr>
            <w:tcW w:w="949" w:type="pct"/>
            <w:shd w:val="clear" w:color="auto" w:fill="auto"/>
            <w:noWrap/>
          </w:tcPr>
          <w:p w14:paraId="122118B4" w14:textId="77777777" w:rsidR="00A63334" w:rsidRPr="00675182" w:rsidRDefault="00A63334" w:rsidP="00A63334">
            <w:pPr>
              <w:jc w:val="center"/>
              <w:rPr>
                <w:rFonts w:eastAsia="Times New Roman" w:cstheme="minorHAnsi"/>
                <w:szCs w:val="24"/>
              </w:rPr>
            </w:pPr>
            <w:r w:rsidRPr="00675182">
              <w:rPr>
                <w:rFonts w:cstheme="minorHAnsi"/>
                <w:szCs w:val="24"/>
              </w:rPr>
              <w:t>Pieaug/Pieaug</w:t>
            </w:r>
          </w:p>
        </w:tc>
        <w:tc>
          <w:tcPr>
            <w:tcW w:w="788" w:type="pct"/>
            <w:shd w:val="clear" w:color="auto" w:fill="auto"/>
            <w:vAlign w:val="center"/>
          </w:tcPr>
          <w:p w14:paraId="1ABD69D0"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1 pāris</w:t>
            </w:r>
          </w:p>
        </w:tc>
      </w:tr>
      <w:tr w:rsidR="00A63334" w:rsidRPr="00675182" w14:paraId="5445DC9B" w14:textId="77777777" w:rsidTr="005B0A56">
        <w:trPr>
          <w:trHeight w:val="20"/>
        </w:trPr>
        <w:tc>
          <w:tcPr>
            <w:tcW w:w="405" w:type="pct"/>
            <w:vAlign w:val="center"/>
          </w:tcPr>
          <w:p w14:paraId="2DC9F1F7"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37545165" w14:textId="77777777" w:rsidR="00A63334" w:rsidRPr="00675182" w:rsidRDefault="00A63334" w:rsidP="00A63334">
            <w:pPr>
              <w:rPr>
                <w:rFonts w:cstheme="minorHAnsi"/>
                <w:szCs w:val="24"/>
              </w:rPr>
            </w:pPr>
            <w:r w:rsidRPr="00675182">
              <w:rPr>
                <w:rFonts w:eastAsia="Times New Roman" w:cstheme="minorHAnsi"/>
                <w:color w:val="000000"/>
                <w:szCs w:val="24"/>
              </w:rPr>
              <w:t>Jūras ērglis</w:t>
            </w:r>
          </w:p>
        </w:tc>
        <w:tc>
          <w:tcPr>
            <w:tcW w:w="1114" w:type="pct"/>
            <w:shd w:val="clear" w:color="auto" w:fill="auto"/>
            <w:noWrap/>
            <w:vAlign w:val="center"/>
          </w:tcPr>
          <w:p w14:paraId="38C3602A" w14:textId="77777777" w:rsidR="00A63334" w:rsidRPr="00675182" w:rsidRDefault="00A63334" w:rsidP="00A63334">
            <w:pPr>
              <w:rPr>
                <w:rFonts w:eastAsia="Times New Roman" w:cstheme="minorHAnsi"/>
                <w:i/>
                <w:iCs/>
                <w:szCs w:val="24"/>
              </w:rPr>
            </w:pPr>
            <w:r w:rsidRPr="00675182">
              <w:rPr>
                <w:rFonts w:eastAsia="Times New Roman" w:cstheme="minorHAnsi"/>
                <w:i/>
                <w:iCs/>
                <w:szCs w:val="24"/>
              </w:rPr>
              <w:t>Haliaeetus albicilla</w:t>
            </w:r>
          </w:p>
        </w:tc>
        <w:tc>
          <w:tcPr>
            <w:tcW w:w="591" w:type="pct"/>
            <w:vAlign w:val="center"/>
          </w:tcPr>
          <w:p w14:paraId="3A4D083F"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38421C53" w14:textId="77777777" w:rsidR="00A63334" w:rsidRPr="00675182" w:rsidRDefault="00A63334" w:rsidP="00A63334">
            <w:pPr>
              <w:rPr>
                <w:rFonts w:eastAsia="Times New Roman" w:cstheme="minorHAnsi"/>
                <w:szCs w:val="24"/>
              </w:rPr>
            </w:pPr>
            <w:r w:rsidRPr="00675182">
              <w:rPr>
                <w:rFonts w:eastAsia="Times New Roman" w:cstheme="minorHAnsi"/>
                <w:szCs w:val="24"/>
              </w:rPr>
              <w:t>SG I</w:t>
            </w:r>
          </w:p>
        </w:tc>
        <w:tc>
          <w:tcPr>
            <w:tcW w:w="949" w:type="pct"/>
            <w:shd w:val="clear" w:color="auto" w:fill="auto"/>
            <w:noWrap/>
            <w:vAlign w:val="center"/>
          </w:tcPr>
          <w:p w14:paraId="5B4561E9" w14:textId="77777777" w:rsidR="00A63334" w:rsidRPr="00675182" w:rsidRDefault="00A63334" w:rsidP="00A63334">
            <w:pPr>
              <w:jc w:val="center"/>
              <w:rPr>
                <w:rFonts w:eastAsia="Times New Roman" w:cstheme="minorHAnsi"/>
                <w:szCs w:val="24"/>
              </w:rPr>
            </w:pPr>
            <w:r w:rsidRPr="00675182">
              <w:rPr>
                <w:rFonts w:cstheme="minorHAnsi"/>
                <w:szCs w:val="24"/>
              </w:rPr>
              <w:t>Neskaidrs/Pieaug</w:t>
            </w:r>
          </w:p>
        </w:tc>
        <w:tc>
          <w:tcPr>
            <w:tcW w:w="788" w:type="pct"/>
            <w:shd w:val="clear" w:color="auto" w:fill="auto"/>
            <w:vAlign w:val="center"/>
          </w:tcPr>
          <w:p w14:paraId="0FCA059C"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0 – 1 pāris</w:t>
            </w:r>
          </w:p>
        </w:tc>
      </w:tr>
      <w:tr w:rsidR="00A63334" w:rsidRPr="00675182" w14:paraId="522F9C5F" w14:textId="77777777" w:rsidTr="005B0A56">
        <w:trPr>
          <w:trHeight w:val="20"/>
        </w:trPr>
        <w:tc>
          <w:tcPr>
            <w:tcW w:w="405" w:type="pct"/>
            <w:vAlign w:val="center"/>
          </w:tcPr>
          <w:p w14:paraId="172D0339"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34E15E2D" w14:textId="77777777" w:rsidR="00A63334" w:rsidRPr="00675182" w:rsidRDefault="00A63334" w:rsidP="00A63334">
            <w:pPr>
              <w:rPr>
                <w:rFonts w:eastAsia="Times New Roman" w:cstheme="minorHAnsi"/>
                <w:color w:val="000000"/>
                <w:szCs w:val="24"/>
              </w:rPr>
            </w:pPr>
            <w:r w:rsidRPr="00675182">
              <w:rPr>
                <w:rFonts w:cstheme="minorHAnsi"/>
                <w:szCs w:val="24"/>
              </w:rPr>
              <w:t>Niedru lija</w:t>
            </w:r>
          </w:p>
        </w:tc>
        <w:tc>
          <w:tcPr>
            <w:tcW w:w="1114" w:type="pct"/>
            <w:shd w:val="clear" w:color="auto" w:fill="auto"/>
            <w:noWrap/>
            <w:vAlign w:val="center"/>
          </w:tcPr>
          <w:p w14:paraId="44E6AE3A" w14:textId="77777777" w:rsidR="00A63334" w:rsidRPr="00675182" w:rsidRDefault="00A63334" w:rsidP="00A63334">
            <w:pPr>
              <w:rPr>
                <w:rFonts w:eastAsia="Times New Roman" w:cstheme="minorHAnsi"/>
                <w:i/>
                <w:iCs/>
                <w:szCs w:val="24"/>
              </w:rPr>
            </w:pPr>
            <w:r w:rsidRPr="00675182">
              <w:rPr>
                <w:rFonts w:cstheme="minorHAnsi"/>
                <w:i/>
                <w:iCs/>
                <w:szCs w:val="24"/>
              </w:rPr>
              <w:t>Circus aeruginosus</w:t>
            </w:r>
          </w:p>
        </w:tc>
        <w:tc>
          <w:tcPr>
            <w:tcW w:w="591" w:type="pct"/>
            <w:vAlign w:val="center"/>
          </w:tcPr>
          <w:p w14:paraId="60B6C4A7"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5EA335D9"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3655B759" w14:textId="77777777" w:rsidR="00A63334" w:rsidRPr="00675182" w:rsidRDefault="00A63334" w:rsidP="00A63334">
            <w:pPr>
              <w:jc w:val="center"/>
              <w:rPr>
                <w:rFonts w:eastAsia="Times New Roman" w:cstheme="minorHAnsi"/>
                <w:szCs w:val="24"/>
              </w:rPr>
            </w:pPr>
            <w:r w:rsidRPr="00675182">
              <w:rPr>
                <w:rFonts w:cstheme="minorHAnsi"/>
                <w:szCs w:val="24"/>
              </w:rPr>
              <w:t>Neskaidrs/Nezināms</w:t>
            </w:r>
          </w:p>
        </w:tc>
        <w:tc>
          <w:tcPr>
            <w:tcW w:w="788" w:type="pct"/>
            <w:shd w:val="clear" w:color="auto" w:fill="auto"/>
            <w:vAlign w:val="center"/>
          </w:tcPr>
          <w:p w14:paraId="1167B24B"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20 – 30 pāri</w:t>
            </w:r>
          </w:p>
        </w:tc>
      </w:tr>
      <w:tr w:rsidR="00A63334" w:rsidRPr="00675182" w14:paraId="11D3EA54" w14:textId="77777777" w:rsidTr="005B0A56">
        <w:trPr>
          <w:trHeight w:val="20"/>
        </w:trPr>
        <w:tc>
          <w:tcPr>
            <w:tcW w:w="405" w:type="pct"/>
            <w:vAlign w:val="center"/>
          </w:tcPr>
          <w:p w14:paraId="078EBA0A"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0983B6BA" w14:textId="77777777" w:rsidR="00A63334" w:rsidRPr="00675182" w:rsidRDefault="00A63334" w:rsidP="00A63334">
            <w:pPr>
              <w:rPr>
                <w:rFonts w:cstheme="minorHAnsi"/>
                <w:szCs w:val="24"/>
              </w:rPr>
            </w:pPr>
            <w:r w:rsidRPr="00675182">
              <w:rPr>
                <w:rFonts w:cstheme="minorHAnsi"/>
                <w:szCs w:val="24"/>
              </w:rPr>
              <w:t>Pļavu lija</w:t>
            </w:r>
          </w:p>
        </w:tc>
        <w:tc>
          <w:tcPr>
            <w:tcW w:w="1114" w:type="pct"/>
            <w:shd w:val="clear" w:color="auto" w:fill="auto"/>
            <w:noWrap/>
            <w:vAlign w:val="center"/>
          </w:tcPr>
          <w:p w14:paraId="1D05ADAD" w14:textId="77777777" w:rsidR="00A63334" w:rsidRPr="00675182" w:rsidRDefault="00A63334" w:rsidP="00A63334">
            <w:pPr>
              <w:rPr>
                <w:rFonts w:cstheme="minorHAnsi"/>
                <w:i/>
                <w:iCs/>
                <w:szCs w:val="24"/>
              </w:rPr>
            </w:pPr>
            <w:r w:rsidRPr="00675182">
              <w:rPr>
                <w:rFonts w:cstheme="minorHAnsi"/>
                <w:i/>
                <w:iCs/>
                <w:szCs w:val="24"/>
              </w:rPr>
              <w:t>Circus pygargus</w:t>
            </w:r>
          </w:p>
        </w:tc>
        <w:tc>
          <w:tcPr>
            <w:tcW w:w="591" w:type="pct"/>
            <w:vAlign w:val="center"/>
          </w:tcPr>
          <w:p w14:paraId="7DE490D9"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4495CE37" w14:textId="77777777" w:rsidR="00A63334" w:rsidRPr="00675182" w:rsidRDefault="00A63334" w:rsidP="00A63334">
            <w:pPr>
              <w:rPr>
                <w:rFonts w:eastAsia="Times New Roman" w:cstheme="minorHAnsi"/>
                <w:szCs w:val="24"/>
              </w:rPr>
            </w:pPr>
            <w:r w:rsidRPr="00675182">
              <w:rPr>
                <w:rFonts w:eastAsia="Times New Roman" w:cstheme="minorHAnsi"/>
                <w:szCs w:val="24"/>
              </w:rPr>
              <w:t>SG II</w:t>
            </w:r>
          </w:p>
        </w:tc>
        <w:tc>
          <w:tcPr>
            <w:tcW w:w="949" w:type="pct"/>
            <w:shd w:val="clear" w:color="auto" w:fill="auto"/>
            <w:noWrap/>
            <w:vAlign w:val="center"/>
          </w:tcPr>
          <w:p w14:paraId="4214F7B6" w14:textId="77777777" w:rsidR="00A63334" w:rsidRPr="00675182" w:rsidRDefault="00A63334" w:rsidP="00A63334">
            <w:pPr>
              <w:jc w:val="center"/>
              <w:rPr>
                <w:rFonts w:eastAsia="Times New Roman" w:cstheme="minorHAnsi"/>
                <w:szCs w:val="24"/>
              </w:rPr>
            </w:pPr>
            <w:r w:rsidRPr="00675182">
              <w:rPr>
                <w:rFonts w:cstheme="minorHAnsi"/>
                <w:szCs w:val="24"/>
              </w:rPr>
              <w:t>Neskaidrs/Nezināms</w:t>
            </w:r>
          </w:p>
        </w:tc>
        <w:tc>
          <w:tcPr>
            <w:tcW w:w="788" w:type="pct"/>
            <w:shd w:val="clear" w:color="auto" w:fill="auto"/>
            <w:vAlign w:val="center"/>
          </w:tcPr>
          <w:p w14:paraId="396FD1E4"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0 – 1 pāris</w:t>
            </w:r>
          </w:p>
        </w:tc>
      </w:tr>
      <w:tr w:rsidR="00A63334" w:rsidRPr="00675182" w14:paraId="0F53189B" w14:textId="77777777" w:rsidTr="005B0A56">
        <w:trPr>
          <w:trHeight w:val="20"/>
        </w:trPr>
        <w:tc>
          <w:tcPr>
            <w:tcW w:w="405" w:type="pct"/>
            <w:vAlign w:val="center"/>
          </w:tcPr>
          <w:p w14:paraId="23D40079"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1722F894" w14:textId="77777777" w:rsidR="00A63334" w:rsidRPr="00675182" w:rsidRDefault="00A63334" w:rsidP="00A63334">
            <w:pPr>
              <w:rPr>
                <w:rFonts w:cstheme="minorHAnsi"/>
                <w:szCs w:val="24"/>
              </w:rPr>
            </w:pPr>
            <w:r w:rsidRPr="00675182">
              <w:rPr>
                <w:rFonts w:cstheme="minorHAnsi"/>
                <w:szCs w:val="24"/>
              </w:rPr>
              <w:t>Mazais ērglis</w:t>
            </w:r>
          </w:p>
        </w:tc>
        <w:tc>
          <w:tcPr>
            <w:tcW w:w="1114" w:type="pct"/>
            <w:shd w:val="clear" w:color="auto" w:fill="auto"/>
            <w:noWrap/>
            <w:vAlign w:val="center"/>
          </w:tcPr>
          <w:p w14:paraId="33A6F858" w14:textId="77777777" w:rsidR="00A63334" w:rsidRPr="00675182" w:rsidRDefault="00A63334" w:rsidP="00A63334">
            <w:pPr>
              <w:rPr>
                <w:rFonts w:cstheme="minorHAnsi"/>
                <w:i/>
                <w:iCs/>
                <w:szCs w:val="24"/>
              </w:rPr>
            </w:pPr>
            <w:r w:rsidRPr="00675182">
              <w:rPr>
                <w:rFonts w:cstheme="minorHAnsi"/>
                <w:i/>
                <w:iCs/>
                <w:szCs w:val="24"/>
              </w:rPr>
              <w:t>Clanga pomarina</w:t>
            </w:r>
          </w:p>
        </w:tc>
        <w:tc>
          <w:tcPr>
            <w:tcW w:w="591" w:type="pct"/>
            <w:vAlign w:val="center"/>
          </w:tcPr>
          <w:p w14:paraId="279212C0"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29E60DDE"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tcPr>
          <w:p w14:paraId="79AEC760" w14:textId="77777777" w:rsidR="00A63334" w:rsidRPr="00675182" w:rsidRDefault="00A63334" w:rsidP="00A63334">
            <w:pPr>
              <w:jc w:val="center"/>
              <w:rPr>
                <w:rFonts w:eastAsia="Times New Roman" w:cstheme="minorHAnsi"/>
                <w:szCs w:val="24"/>
              </w:rPr>
            </w:pPr>
            <w:r w:rsidRPr="00675182">
              <w:rPr>
                <w:rFonts w:cstheme="minorHAnsi"/>
                <w:szCs w:val="24"/>
              </w:rPr>
              <w:t>Pieaug/Stabils</w:t>
            </w:r>
          </w:p>
        </w:tc>
        <w:tc>
          <w:tcPr>
            <w:tcW w:w="788" w:type="pct"/>
            <w:shd w:val="clear" w:color="auto" w:fill="auto"/>
            <w:vAlign w:val="center"/>
          </w:tcPr>
          <w:p w14:paraId="4123A3E3"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12 – 15 pāri</w:t>
            </w:r>
          </w:p>
        </w:tc>
      </w:tr>
      <w:tr w:rsidR="00A63334" w:rsidRPr="00675182" w14:paraId="33364ABB" w14:textId="77777777" w:rsidTr="005B0A56">
        <w:trPr>
          <w:trHeight w:val="20"/>
        </w:trPr>
        <w:tc>
          <w:tcPr>
            <w:tcW w:w="405" w:type="pct"/>
            <w:vAlign w:val="center"/>
          </w:tcPr>
          <w:p w14:paraId="3D996CF5"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41F5CD84" w14:textId="77777777" w:rsidR="00A63334" w:rsidRPr="00675182" w:rsidRDefault="00A63334" w:rsidP="00A63334">
            <w:pPr>
              <w:rPr>
                <w:rFonts w:cstheme="minorHAnsi"/>
                <w:szCs w:val="24"/>
              </w:rPr>
            </w:pPr>
            <w:r w:rsidRPr="00675182">
              <w:rPr>
                <w:rFonts w:cstheme="minorHAnsi"/>
                <w:szCs w:val="24"/>
              </w:rPr>
              <w:t>Grieze</w:t>
            </w:r>
          </w:p>
        </w:tc>
        <w:tc>
          <w:tcPr>
            <w:tcW w:w="1114" w:type="pct"/>
            <w:shd w:val="clear" w:color="auto" w:fill="auto"/>
            <w:noWrap/>
            <w:vAlign w:val="center"/>
          </w:tcPr>
          <w:p w14:paraId="0DDA2AFB" w14:textId="77777777" w:rsidR="00A63334" w:rsidRPr="00675182" w:rsidRDefault="00A63334" w:rsidP="00A63334">
            <w:pPr>
              <w:rPr>
                <w:rFonts w:cstheme="minorHAnsi"/>
                <w:i/>
                <w:iCs/>
                <w:szCs w:val="24"/>
              </w:rPr>
            </w:pPr>
            <w:r w:rsidRPr="00675182">
              <w:rPr>
                <w:rFonts w:cstheme="minorHAnsi"/>
                <w:i/>
                <w:iCs/>
                <w:szCs w:val="24"/>
              </w:rPr>
              <w:t>Crex crex</w:t>
            </w:r>
          </w:p>
        </w:tc>
        <w:tc>
          <w:tcPr>
            <w:tcW w:w="591" w:type="pct"/>
            <w:vAlign w:val="center"/>
          </w:tcPr>
          <w:p w14:paraId="05AF937D"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3BB9CDA5" w14:textId="77777777" w:rsidR="00A63334" w:rsidRPr="00675182" w:rsidRDefault="00A63334" w:rsidP="00A63334">
            <w:pPr>
              <w:rPr>
                <w:rFonts w:eastAsia="Times New Roman" w:cstheme="minorHAnsi"/>
                <w:szCs w:val="24"/>
              </w:rPr>
            </w:pPr>
            <w:r w:rsidRPr="00675182">
              <w:rPr>
                <w:rFonts w:eastAsia="Times New Roman" w:cstheme="minorHAnsi"/>
                <w:szCs w:val="24"/>
              </w:rPr>
              <w:t>SG II</w:t>
            </w:r>
          </w:p>
        </w:tc>
        <w:tc>
          <w:tcPr>
            <w:tcW w:w="949" w:type="pct"/>
            <w:shd w:val="clear" w:color="auto" w:fill="auto"/>
            <w:noWrap/>
            <w:vAlign w:val="center"/>
          </w:tcPr>
          <w:p w14:paraId="6213055C" w14:textId="77777777" w:rsidR="00A63334" w:rsidRPr="00675182" w:rsidRDefault="00A63334" w:rsidP="00A63334">
            <w:pPr>
              <w:jc w:val="center"/>
              <w:rPr>
                <w:rFonts w:eastAsia="Times New Roman" w:cstheme="minorHAnsi"/>
                <w:szCs w:val="24"/>
              </w:rPr>
            </w:pPr>
            <w:r w:rsidRPr="00675182">
              <w:rPr>
                <w:rFonts w:cstheme="minorHAnsi"/>
                <w:szCs w:val="24"/>
              </w:rPr>
              <w:t>Samazinās/Pieaug</w:t>
            </w:r>
          </w:p>
        </w:tc>
        <w:tc>
          <w:tcPr>
            <w:tcW w:w="788" w:type="pct"/>
            <w:shd w:val="clear" w:color="auto" w:fill="auto"/>
            <w:vAlign w:val="center"/>
          </w:tcPr>
          <w:p w14:paraId="0EC19322"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400 – 500 vokalizējoši tēviņi</w:t>
            </w:r>
          </w:p>
        </w:tc>
      </w:tr>
      <w:tr w:rsidR="00A63334" w:rsidRPr="00675182" w14:paraId="1179F556" w14:textId="77777777" w:rsidTr="005B0A56">
        <w:trPr>
          <w:trHeight w:val="20"/>
        </w:trPr>
        <w:tc>
          <w:tcPr>
            <w:tcW w:w="405" w:type="pct"/>
            <w:vAlign w:val="center"/>
          </w:tcPr>
          <w:p w14:paraId="44DDB76F"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08D2EC74" w14:textId="77777777" w:rsidR="00A63334" w:rsidRPr="00675182" w:rsidRDefault="00A63334" w:rsidP="00A63334">
            <w:pPr>
              <w:rPr>
                <w:rFonts w:cstheme="minorHAnsi"/>
                <w:szCs w:val="24"/>
              </w:rPr>
            </w:pPr>
            <w:r w:rsidRPr="00675182">
              <w:rPr>
                <w:rFonts w:cstheme="minorHAnsi"/>
                <w:szCs w:val="24"/>
              </w:rPr>
              <w:t>Mazais ormanītis</w:t>
            </w:r>
          </w:p>
        </w:tc>
        <w:tc>
          <w:tcPr>
            <w:tcW w:w="1114" w:type="pct"/>
            <w:shd w:val="clear" w:color="auto" w:fill="auto"/>
            <w:noWrap/>
            <w:vAlign w:val="center"/>
          </w:tcPr>
          <w:p w14:paraId="1EC5CA6D" w14:textId="77777777" w:rsidR="00A63334" w:rsidRPr="00675182" w:rsidRDefault="00A63334" w:rsidP="00A63334">
            <w:pPr>
              <w:rPr>
                <w:rFonts w:cstheme="minorHAnsi"/>
                <w:i/>
                <w:iCs/>
                <w:szCs w:val="24"/>
              </w:rPr>
            </w:pPr>
            <w:r w:rsidRPr="00675182">
              <w:rPr>
                <w:rFonts w:cstheme="minorHAnsi"/>
                <w:i/>
                <w:iCs/>
                <w:szCs w:val="24"/>
              </w:rPr>
              <w:t>Zapornia parva</w:t>
            </w:r>
          </w:p>
        </w:tc>
        <w:tc>
          <w:tcPr>
            <w:tcW w:w="591" w:type="pct"/>
            <w:vAlign w:val="center"/>
          </w:tcPr>
          <w:p w14:paraId="24F3787D"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2B62126D"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6C69B038" w14:textId="77777777" w:rsidR="00A63334" w:rsidRPr="00675182" w:rsidRDefault="00A63334" w:rsidP="00A63334">
            <w:pPr>
              <w:jc w:val="center"/>
              <w:rPr>
                <w:rFonts w:eastAsia="Times New Roman" w:cstheme="minorHAnsi"/>
                <w:szCs w:val="24"/>
              </w:rPr>
            </w:pPr>
            <w:r w:rsidRPr="00675182">
              <w:rPr>
                <w:rFonts w:cstheme="minorHAnsi"/>
                <w:szCs w:val="24"/>
              </w:rPr>
              <w:t>Stabils/Pieaug</w:t>
            </w:r>
          </w:p>
        </w:tc>
        <w:tc>
          <w:tcPr>
            <w:tcW w:w="788" w:type="pct"/>
            <w:shd w:val="clear" w:color="auto" w:fill="auto"/>
            <w:vAlign w:val="center"/>
          </w:tcPr>
          <w:p w14:paraId="2D9A3F45"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0 – 1 vokalizējošs tēviņš</w:t>
            </w:r>
          </w:p>
        </w:tc>
      </w:tr>
      <w:tr w:rsidR="00A63334" w:rsidRPr="00675182" w14:paraId="1C36CBD2" w14:textId="77777777" w:rsidTr="005B0A56">
        <w:trPr>
          <w:trHeight w:val="20"/>
        </w:trPr>
        <w:tc>
          <w:tcPr>
            <w:tcW w:w="405" w:type="pct"/>
            <w:vAlign w:val="center"/>
          </w:tcPr>
          <w:p w14:paraId="0EC5B1B9"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513FB2A4" w14:textId="77777777" w:rsidR="00A63334" w:rsidRPr="00675182" w:rsidRDefault="00A63334" w:rsidP="00A63334">
            <w:pPr>
              <w:rPr>
                <w:rFonts w:cstheme="minorHAnsi"/>
                <w:szCs w:val="24"/>
              </w:rPr>
            </w:pPr>
            <w:r w:rsidRPr="00675182">
              <w:rPr>
                <w:rFonts w:cstheme="minorHAnsi"/>
                <w:szCs w:val="24"/>
              </w:rPr>
              <w:t>Ormanītis</w:t>
            </w:r>
          </w:p>
        </w:tc>
        <w:tc>
          <w:tcPr>
            <w:tcW w:w="1114" w:type="pct"/>
            <w:shd w:val="clear" w:color="auto" w:fill="auto"/>
            <w:noWrap/>
            <w:vAlign w:val="center"/>
          </w:tcPr>
          <w:p w14:paraId="13B50C68" w14:textId="77777777" w:rsidR="00A63334" w:rsidRPr="00675182" w:rsidRDefault="00A63334" w:rsidP="00A63334">
            <w:pPr>
              <w:rPr>
                <w:rFonts w:cstheme="minorHAnsi"/>
                <w:i/>
                <w:iCs/>
                <w:szCs w:val="24"/>
              </w:rPr>
            </w:pPr>
            <w:r w:rsidRPr="00675182">
              <w:rPr>
                <w:rFonts w:cstheme="minorHAnsi"/>
                <w:i/>
                <w:iCs/>
                <w:szCs w:val="24"/>
              </w:rPr>
              <w:t>Porzana porzana</w:t>
            </w:r>
          </w:p>
        </w:tc>
        <w:tc>
          <w:tcPr>
            <w:tcW w:w="591" w:type="pct"/>
            <w:vAlign w:val="center"/>
          </w:tcPr>
          <w:p w14:paraId="23A9A88E"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3EB420F5" w14:textId="77777777" w:rsidR="00A63334" w:rsidRPr="00675182" w:rsidRDefault="00A63334" w:rsidP="00A63334">
            <w:pPr>
              <w:rPr>
                <w:rFonts w:eastAsia="Times New Roman" w:cstheme="minorHAnsi"/>
                <w:szCs w:val="24"/>
              </w:rPr>
            </w:pPr>
            <w:r w:rsidRPr="00675182">
              <w:rPr>
                <w:rFonts w:eastAsia="Times New Roman" w:cstheme="minorHAnsi"/>
                <w:szCs w:val="24"/>
              </w:rPr>
              <w:t>SG II</w:t>
            </w:r>
          </w:p>
        </w:tc>
        <w:tc>
          <w:tcPr>
            <w:tcW w:w="949" w:type="pct"/>
            <w:shd w:val="clear" w:color="auto" w:fill="auto"/>
            <w:noWrap/>
          </w:tcPr>
          <w:p w14:paraId="1F613AE3" w14:textId="77777777" w:rsidR="00A63334" w:rsidRPr="00675182" w:rsidRDefault="00A63334" w:rsidP="00A63334">
            <w:pPr>
              <w:jc w:val="center"/>
              <w:rPr>
                <w:rFonts w:eastAsia="Times New Roman" w:cstheme="minorHAnsi"/>
                <w:szCs w:val="24"/>
              </w:rPr>
            </w:pPr>
            <w:r w:rsidRPr="00675182">
              <w:rPr>
                <w:rFonts w:cstheme="minorHAnsi"/>
                <w:szCs w:val="24"/>
              </w:rPr>
              <w:t>Neskaidrs/Pieaug</w:t>
            </w:r>
          </w:p>
        </w:tc>
        <w:tc>
          <w:tcPr>
            <w:tcW w:w="788" w:type="pct"/>
            <w:shd w:val="clear" w:color="auto" w:fill="auto"/>
            <w:vAlign w:val="center"/>
          </w:tcPr>
          <w:p w14:paraId="701CCECF"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1 – 5 vokalizējoši tēviņi</w:t>
            </w:r>
          </w:p>
        </w:tc>
      </w:tr>
      <w:tr w:rsidR="00A63334" w:rsidRPr="00675182" w14:paraId="45DA24FD" w14:textId="77777777" w:rsidTr="005B0A56">
        <w:trPr>
          <w:trHeight w:val="20"/>
        </w:trPr>
        <w:tc>
          <w:tcPr>
            <w:tcW w:w="405" w:type="pct"/>
            <w:vAlign w:val="center"/>
          </w:tcPr>
          <w:p w14:paraId="7D35EB10"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1887B25C" w14:textId="77777777" w:rsidR="00A63334" w:rsidRPr="00675182" w:rsidRDefault="00A63334" w:rsidP="00A63334">
            <w:pPr>
              <w:rPr>
                <w:rFonts w:cstheme="minorHAnsi"/>
                <w:szCs w:val="24"/>
              </w:rPr>
            </w:pPr>
            <w:r w:rsidRPr="00675182">
              <w:rPr>
                <w:rFonts w:cstheme="minorHAnsi"/>
                <w:szCs w:val="24"/>
              </w:rPr>
              <w:t>Dzērve</w:t>
            </w:r>
          </w:p>
        </w:tc>
        <w:tc>
          <w:tcPr>
            <w:tcW w:w="1114" w:type="pct"/>
            <w:shd w:val="clear" w:color="auto" w:fill="auto"/>
            <w:noWrap/>
            <w:vAlign w:val="center"/>
          </w:tcPr>
          <w:p w14:paraId="28D23C7B" w14:textId="77777777" w:rsidR="00A63334" w:rsidRPr="00675182" w:rsidRDefault="00A63334" w:rsidP="00A63334">
            <w:pPr>
              <w:rPr>
                <w:rFonts w:cstheme="minorHAnsi"/>
                <w:i/>
                <w:iCs/>
                <w:szCs w:val="24"/>
              </w:rPr>
            </w:pPr>
            <w:r w:rsidRPr="00675182">
              <w:rPr>
                <w:rFonts w:cstheme="minorHAnsi"/>
                <w:i/>
                <w:iCs/>
                <w:szCs w:val="24"/>
              </w:rPr>
              <w:t>Grus grus</w:t>
            </w:r>
          </w:p>
        </w:tc>
        <w:tc>
          <w:tcPr>
            <w:tcW w:w="591" w:type="pct"/>
            <w:vAlign w:val="center"/>
          </w:tcPr>
          <w:p w14:paraId="2466F1FC"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1C5E05F9"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5E17E87D" w14:textId="77777777" w:rsidR="00A63334" w:rsidRPr="00675182" w:rsidRDefault="00A63334" w:rsidP="00A63334">
            <w:pPr>
              <w:jc w:val="center"/>
              <w:rPr>
                <w:rFonts w:eastAsia="Times New Roman" w:cstheme="minorHAnsi"/>
                <w:szCs w:val="24"/>
              </w:rPr>
            </w:pPr>
            <w:r w:rsidRPr="00675182">
              <w:rPr>
                <w:rFonts w:cstheme="minorHAnsi"/>
                <w:szCs w:val="24"/>
              </w:rPr>
              <w:t>Pieaug/Pieaug</w:t>
            </w:r>
          </w:p>
        </w:tc>
        <w:tc>
          <w:tcPr>
            <w:tcW w:w="788" w:type="pct"/>
            <w:shd w:val="clear" w:color="auto" w:fill="auto"/>
            <w:vAlign w:val="center"/>
          </w:tcPr>
          <w:p w14:paraId="563EE4BE"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Pavasara un rudens migrāciju laikā 300 – 500 īpatņi.</w:t>
            </w:r>
            <w:r w:rsidRPr="00675182">
              <w:rPr>
                <w:rFonts w:eastAsia="Times New Roman" w:cstheme="minorHAnsi"/>
                <w:color w:val="000000"/>
                <w:szCs w:val="24"/>
                <w:vertAlign w:val="superscript"/>
                <w:lang w:eastAsia="en-GB"/>
              </w:rPr>
              <w:t>.</w:t>
            </w:r>
            <w:r w:rsidRPr="00675182">
              <w:rPr>
                <w:rFonts w:eastAsia="Times New Roman" w:cstheme="minorHAnsi"/>
                <w:color w:val="000000"/>
                <w:szCs w:val="24"/>
                <w:lang w:eastAsia="en-GB"/>
              </w:rPr>
              <w:t xml:space="preserve"> Ligzdo 30 – 50 pāri</w:t>
            </w:r>
          </w:p>
        </w:tc>
      </w:tr>
      <w:tr w:rsidR="00A63334" w:rsidRPr="00675182" w14:paraId="259C37A1" w14:textId="77777777" w:rsidTr="005B0A56">
        <w:trPr>
          <w:trHeight w:val="20"/>
        </w:trPr>
        <w:tc>
          <w:tcPr>
            <w:tcW w:w="405" w:type="pct"/>
            <w:vAlign w:val="center"/>
          </w:tcPr>
          <w:p w14:paraId="567E8EB3"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50355154" w14:textId="77777777" w:rsidR="00A63334" w:rsidRPr="00675182" w:rsidRDefault="00A63334" w:rsidP="00A63334">
            <w:pPr>
              <w:rPr>
                <w:rFonts w:cstheme="minorHAnsi"/>
                <w:szCs w:val="24"/>
              </w:rPr>
            </w:pPr>
            <w:r w:rsidRPr="00675182">
              <w:rPr>
                <w:rFonts w:cstheme="minorHAnsi"/>
                <w:szCs w:val="24"/>
              </w:rPr>
              <w:t>Purva tilbīte</w:t>
            </w:r>
          </w:p>
        </w:tc>
        <w:tc>
          <w:tcPr>
            <w:tcW w:w="1114" w:type="pct"/>
            <w:shd w:val="clear" w:color="auto" w:fill="auto"/>
            <w:noWrap/>
            <w:vAlign w:val="center"/>
          </w:tcPr>
          <w:p w14:paraId="287DD75D" w14:textId="77777777" w:rsidR="00A63334" w:rsidRPr="00675182" w:rsidRDefault="00A63334" w:rsidP="00A63334">
            <w:pPr>
              <w:rPr>
                <w:rFonts w:cstheme="minorHAnsi"/>
                <w:i/>
                <w:iCs/>
                <w:szCs w:val="24"/>
              </w:rPr>
            </w:pPr>
            <w:r w:rsidRPr="00675182">
              <w:rPr>
                <w:rFonts w:cstheme="minorHAnsi"/>
                <w:i/>
                <w:iCs/>
                <w:szCs w:val="24"/>
              </w:rPr>
              <w:t>Tringa glareola</w:t>
            </w:r>
          </w:p>
        </w:tc>
        <w:tc>
          <w:tcPr>
            <w:tcW w:w="591" w:type="pct"/>
            <w:vAlign w:val="center"/>
          </w:tcPr>
          <w:p w14:paraId="7EBBC813"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04F77113"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23B9963C" w14:textId="77777777" w:rsidR="00A63334" w:rsidRPr="00675182" w:rsidRDefault="00A63334" w:rsidP="00A63334">
            <w:pPr>
              <w:jc w:val="center"/>
              <w:rPr>
                <w:rFonts w:eastAsia="Times New Roman" w:cstheme="minorHAnsi"/>
                <w:szCs w:val="24"/>
              </w:rPr>
            </w:pPr>
            <w:r w:rsidRPr="00675182">
              <w:rPr>
                <w:rFonts w:eastAsia="Times New Roman" w:cstheme="minorHAnsi"/>
                <w:szCs w:val="24"/>
              </w:rPr>
              <w:t>Samazinās/Stabils</w:t>
            </w:r>
          </w:p>
        </w:tc>
        <w:tc>
          <w:tcPr>
            <w:tcW w:w="788" w:type="pct"/>
            <w:shd w:val="clear" w:color="auto" w:fill="auto"/>
            <w:vAlign w:val="center"/>
          </w:tcPr>
          <w:p w14:paraId="21C53558"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5 – 7 pāri</w:t>
            </w:r>
          </w:p>
        </w:tc>
      </w:tr>
      <w:tr w:rsidR="00A63334" w:rsidRPr="00675182" w14:paraId="72EBEF44" w14:textId="77777777" w:rsidTr="005B0A56">
        <w:trPr>
          <w:trHeight w:val="20"/>
        </w:trPr>
        <w:tc>
          <w:tcPr>
            <w:tcW w:w="405" w:type="pct"/>
            <w:vAlign w:val="center"/>
          </w:tcPr>
          <w:p w14:paraId="750ED9FA"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55CD3864" w14:textId="77777777" w:rsidR="00A63334" w:rsidRPr="00675182" w:rsidRDefault="00A63334" w:rsidP="00A63334">
            <w:pPr>
              <w:rPr>
                <w:rFonts w:cstheme="minorHAnsi"/>
                <w:szCs w:val="24"/>
              </w:rPr>
            </w:pPr>
            <w:r w:rsidRPr="00675182">
              <w:rPr>
                <w:rFonts w:cstheme="minorHAnsi"/>
                <w:szCs w:val="24"/>
              </w:rPr>
              <w:t>Dzeltenais tārtiņš</w:t>
            </w:r>
          </w:p>
        </w:tc>
        <w:tc>
          <w:tcPr>
            <w:tcW w:w="1114" w:type="pct"/>
            <w:shd w:val="clear" w:color="auto" w:fill="auto"/>
            <w:noWrap/>
            <w:vAlign w:val="center"/>
          </w:tcPr>
          <w:p w14:paraId="3CF935CF" w14:textId="77777777" w:rsidR="00A63334" w:rsidRPr="00675182" w:rsidRDefault="00A63334" w:rsidP="00A63334">
            <w:pPr>
              <w:rPr>
                <w:rFonts w:cstheme="minorHAnsi"/>
                <w:i/>
                <w:iCs/>
                <w:szCs w:val="24"/>
              </w:rPr>
            </w:pPr>
            <w:r w:rsidRPr="00675182">
              <w:rPr>
                <w:rFonts w:cstheme="minorHAnsi"/>
                <w:i/>
                <w:iCs/>
                <w:szCs w:val="24"/>
              </w:rPr>
              <w:t>Pluvialis apricaria</w:t>
            </w:r>
          </w:p>
        </w:tc>
        <w:tc>
          <w:tcPr>
            <w:tcW w:w="591" w:type="pct"/>
            <w:vAlign w:val="center"/>
          </w:tcPr>
          <w:p w14:paraId="3F922C1A" w14:textId="77777777" w:rsidR="00A63334" w:rsidRPr="00675182" w:rsidRDefault="00A63334" w:rsidP="00A63334">
            <w:pPr>
              <w:rPr>
                <w:rFonts w:eastAsia="Times New Roman" w:cstheme="minorHAnsi"/>
                <w:szCs w:val="24"/>
              </w:rPr>
            </w:pPr>
            <w:r w:rsidRPr="00675182">
              <w:rPr>
                <w:rFonts w:eastAsia="Times New Roman" w:cstheme="minorHAnsi"/>
                <w:szCs w:val="24"/>
              </w:rPr>
              <w:t>ĪAS, ES</w:t>
            </w:r>
          </w:p>
        </w:tc>
        <w:tc>
          <w:tcPr>
            <w:tcW w:w="404" w:type="pct"/>
            <w:shd w:val="clear" w:color="auto" w:fill="auto"/>
            <w:vAlign w:val="center"/>
          </w:tcPr>
          <w:p w14:paraId="65B2BC7B"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14F5AF20" w14:textId="77777777" w:rsidR="00A63334" w:rsidRPr="00675182" w:rsidRDefault="00A63334" w:rsidP="00A63334">
            <w:pPr>
              <w:jc w:val="center"/>
              <w:rPr>
                <w:rFonts w:eastAsia="Times New Roman" w:cstheme="minorHAnsi"/>
                <w:szCs w:val="24"/>
              </w:rPr>
            </w:pPr>
            <w:r w:rsidRPr="00675182">
              <w:rPr>
                <w:rFonts w:eastAsia="Times New Roman" w:cstheme="minorHAnsi"/>
                <w:szCs w:val="24"/>
              </w:rPr>
              <w:t>Stabils/Stabils</w:t>
            </w:r>
          </w:p>
        </w:tc>
        <w:tc>
          <w:tcPr>
            <w:tcW w:w="788" w:type="pct"/>
            <w:shd w:val="clear" w:color="auto" w:fill="auto"/>
            <w:vAlign w:val="center"/>
          </w:tcPr>
          <w:p w14:paraId="304C1C71"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1 – 2 pāri</w:t>
            </w:r>
          </w:p>
        </w:tc>
      </w:tr>
      <w:tr w:rsidR="00A63334" w:rsidRPr="00675182" w14:paraId="3B822266" w14:textId="77777777" w:rsidTr="005B0A56">
        <w:trPr>
          <w:trHeight w:val="20"/>
        </w:trPr>
        <w:tc>
          <w:tcPr>
            <w:tcW w:w="405" w:type="pct"/>
            <w:vAlign w:val="center"/>
          </w:tcPr>
          <w:p w14:paraId="4C1707CD"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2A932B7A" w14:textId="77777777" w:rsidR="00A63334" w:rsidRPr="00675182" w:rsidRDefault="00A63334" w:rsidP="00A63334">
            <w:pPr>
              <w:rPr>
                <w:rFonts w:cstheme="minorHAnsi"/>
                <w:szCs w:val="24"/>
              </w:rPr>
            </w:pPr>
            <w:r w:rsidRPr="00675182">
              <w:rPr>
                <w:rFonts w:cstheme="minorHAnsi"/>
                <w:szCs w:val="24"/>
              </w:rPr>
              <w:t>Upes zīriņš</w:t>
            </w:r>
          </w:p>
        </w:tc>
        <w:tc>
          <w:tcPr>
            <w:tcW w:w="1114" w:type="pct"/>
            <w:shd w:val="clear" w:color="auto" w:fill="auto"/>
            <w:noWrap/>
            <w:vAlign w:val="center"/>
          </w:tcPr>
          <w:p w14:paraId="6AF79F4A" w14:textId="77777777" w:rsidR="00A63334" w:rsidRPr="00675182" w:rsidRDefault="00A63334" w:rsidP="00A63334">
            <w:pPr>
              <w:rPr>
                <w:rFonts w:cstheme="minorHAnsi"/>
                <w:i/>
                <w:iCs/>
                <w:szCs w:val="24"/>
              </w:rPr>
            </w:pPr>
            <w:r w:rsidRPr="00675182">
              <w:rPr>
                <w:rFonts w:cstheme="minorHAnsi"/>
                <w:i/>
                <w:iCs/>
                <w:szCs w:val="24"/>
              </w:rPr>
              <w:t>Sterna hirundo</w:t>
            </w:r>
          </w:p>
        </w:tc>
        <w:tc>
          <w:tcPr>
            <w:tcW w:w="591" w:type="pct"/>
            <w:vAlign w:val="center"/>
          </w:tcPr>
          <w:p w14:paraId="38A6CE06"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723A84A2"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49FF2D7E" w14:textId="77777777" w:rsidR="00A63334" w:rsidRPr="00675182" w:rsidRDefault="00A63334" w:rsidP="00A63334">
            <w:pPr>
              <w:jc w:val="center"/>
              <w:rPr>
                <w:rFonts w:eastAsia="Times New Roman" w:cstheme="minorHAnsi"/>
                <w:szCs w:val="24"/>
              </w:rPr>
            </w:pPr>
            <w:r w:rsidRPr="00675182">
              <w:rPr>
                <w:rFonts w:cstheme="minorHAnsi"/>
                <w:szCs w:val="24"/>
              </w:rPr>
              <w:t>Samazinās/Stabils</w:t>
            </w:r>
          </w:p>
        </w:tc>
        <w:tc>
          <w:tcPr>
            <w:tcW w:w="788" w:type="pct"/>
            <w:shd w:val="clear" w:color="auto" w:fill="auto"/>
            <w:vAlign w:val="center"/>
          </w:tcPr>
          <w:p w14:paraId="5D811150"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7 – 10 pāri</w:t>
            </w:r>
          </w:p>
        </w:tc>
      </w:tr>
      <w:tr w:rsidR="00A63334" w:rsidRPr="00675182" w14:paraId="6EBB5241" w14:textId="77777777" w:rsidTr="005B0A56">
        <w:trPr>
          <w:trHeight w:val="20"/>
        </w:trPr>
        <w:tc>
          <w:tcPr>
            <w:tcW w:w="405" w:type="pct"/>
            <w:vAlign w:val="center"/>
          </w:tcPr>
          <w:p w14:paraId="788A79F5"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7375AB14" w14:textId="77777777" w:rsidR="00A63334" w:rsidRPr="00675182" w:rsidRDefault="00A63334" w:rsidP="00A63334">
            <w:pPr>
              <w:rPr>
                <w:rFonts w:cstheme="minorHAnsi"/>
                <w:szCs w:val="24"/>
              </w:rPr>
            </w:pPr>
            <w:r w:rsidRPr="00675182">
              <w:rPr>
                <w:rFonts w:cstheme="minorHAnsi"/>
                <w:szCs w:val="24"/>
              </w:rPr>
              <w:t>Apodziņš</w:t>
            </w:r>
          </w:p>
        </w:tc>
        <w:tc>
          <w:tcPr>
            <w:tcW w:w="1114" w:type="pct"/>
            <w:shd w:val="clear" w:color="auto" w:fill="auto"/>
            <w:noWrap/>
            <w:vAlign w:val="center"/>
          </w:tcPr>
          <w:p w14:paraId="043120DF" w14:textId="77777777" w:rsidR="00A63334" w:rsidRPr="00675182" w:rsidRDefault="00A63334" w:rsidP="00A63334">
            <w:pPr>
              <w:rPr>
                <w:rFonts w:cstheme="minorHAnsi"/>
                <w:i/>
                <w:iCs/>
                <w:szCs w:val="24"/>
              </w:rPr>
            </w:pPr>
            <w:r w:rsidRPr="00675182">
              <w:rPr>
                <w:rFonts w:cstheme="minorHAnsi"/>
                <w:i/>
                <w:iCs/>
                <w:szCs w:val="24"/>
              </w:rPr>
              <w:t>Glaucidium passerinum</w:t>
            </w:r>
          </w:p>
        </w:tc>
        <w:tc>
          <w:tcPr>
            <w:tcW w:w="591" w:type="pct"/>
            <w:vAlign w:val="center"/>
          </w:tcPr>
          <w:p w14:paraId="6BC6AF33"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403C2D77" w14:textId="77777777" w:rsidR="00A63334" w:rsidRPr="00675182" w:rsidRDefault="00A63334" w:rsidP="00A63334">
            <w:pPr>
              <w:rPr>
                <w:rFonts w:eastAsia="Times New Roman" w:cstheme="minorHAnsi"/>
                <w:szCs w:val="24"/>
              </w:rPr>
            </w:pPr>
            <w:r w:rsidRPr="00675182">
              <w:rPr>
                <w:rFonts w:eastAsia="Times New Roman" w:cstheme="minorHAnsi"/>
                <w:szCs w:val="24"/>
              </w:rPr>
              <w:t>SG IV</w:t>
            </w:r>
          </w:p>
        </w:tc>
        <w:tc>
          <w:tcPr>
            <w:tcW w:w="949" w:type="pct"/>
            <w:shd w:val="clear" w:color="auto" w:fill="auto"/>
            <w:noWrap/>
            <w:vAlign w:val="center"/>
          </w:tcPr>
          <w:p w14:paraId="5FA90479" w14:textId="77777777" w:rsidR="00A63334" w:rsidRPr="00675182" w:rsidRDefault="00A63334" w:rsidP="00A63334">
            <w:pPr>
              <w:jc w:val="center"/>
              <w:rPr>
                <w:rFonts w:eastAsia="Times New Roman" w:cstheme="minorHAnsi"/>
                <w:szCs w:val="24"/>
              </w:rPr>
            </w:pPr>
            <w:r w:rsidRPr="00675182">
              <w:rPr>
                <w:rFonts w:cstheme="minorHAnsi"/>
                <w:szCs w:val="24"/>
              </w:rPr>
              <w:t>Samazinās/Samazinās</w:t>
            </w:r>
          </w:p>
        </w:tc>
        <w:tc>
          <w:tcPr>
            <w:tcW w:w="788" w:type="pct"/>
            <w:shd w:val="clear" w:color="auto" w:fill="auto"/>
            <w:vAlign w:val="center"/>
          </w:tcPr>
          <w:p w14:paraId="721D726A" w14:textId="1676A773"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 xml:space="preserve">Ligzdo </w:t>
            </w:r>
            <w:r w:rsidR="004F6292">
              <w:rPr>
                <w:rFonts w:eastAsia="Times New Roman" w:cstheme="minorHAnsi"/>
                <w:color w:val="000000"/>
                <w:szCs w:val="24"/>
                <w:lang w:eastAsia="en-GB"/>
              </w:rPr>
              <w:t>75</w:t>
            </w:r>
            <w:r w:rsidRPr="00675182">
              <w:rPr>
                <w:rFonts w:eastAsia="Times New Roman" w:cstheme="minorHAnsi"/>
                <w:color w:val="000000"/>
                <w:szCs w:val="24"/>
                <w:lang w:eastAsia="en-GB"/>
              </w:rPr>
              <w:t xml:space="preserve"> – </w:t>
            </w:r>
            <w:r w:rsidR="004F6292">
              <w:rPr>
                <w:rFonts w:eastAsia="Times New Roman" w:cstheme="minorHAnsi"/>
                <w:color w:val="000000"/>
                <w:szCs w:val="24"/>
                <w:lang w:eastAsia="en-GB"/>
              </w:rPr>
              <w:t>100</w:t>
            </w:r>
            <w:r w:rsidRPr="00675182">
              <w:rPr>
                <w:rFonts w:eastAsia="Times New Roman" w:cstheme="minorHAnsi"/>
                <w:color w:val="000000"/>
                <w:szCs w:val="24"/>
                <w:lang w:eastAsia="en-GB"/>
              </w:rPr>
              <w:t xml:space="preserve"> pāri</w:t>
            </w:r>
          </w:p>
        </w:tc>
      </w:tr>
      <w:tr w:rsidR="00A63334" w:rsidRPr="00675182" w14:paraId="2420BD48" w14:textId="77777777" w:rsidTr="005B0A56">
        <w:trPr>
          <w:trHeight w:val="20"/>
        </w:trPr>
        <w:tc>
          <w:tcPr>
            <w:tcW w:w="405" w:type="pct"/>
            <w:vAlign w:val="center"/>
          </w:tcPr>
          <w:p w14:paraId="234F6A4C"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38ADA1A1" w14:textId="77777777" w:rsidR="00A63334" w:rsidRPr="00675182" w:rsidRDefault="00A63334" w:rsidP="00A63334">
            <w:pPr>
              <w:rPr>
                <w:rFonts w:cstheme="minorHAnsi"/>
                <w:szCs w:val="24"/>
              </w:rPr>
            </w:pPr>
            <w:r w:rsidRPr="00675182">
              <w:rPr>
                <w:rFonts w:cstheme="minorHAnsi"/>
                <w:szCs w:val="24"/>
              </w:rPr>
              <w:t>Urālpūce</w:t>
            </w:r>
          </w:p>
        </w:tc>
        <w:tc>
          <w:tcPr>
            <w:tcW w:w="1114" w:type="pct"/>
            <w:shd w:val="clear" w:color="auto" w:fill="auto"/>
            <w:noWrap/>
            <w:vAlign w:val="center"/>
          </w:tcPr>
          <w:p w14:paraId="781E63EB" w14:textId="77777777" w:rsidR="00A63334" w:rsidRPr="00675182" w:rsidRDefault="00A63334" w:rsidP="00A63334">
            <w:pPr>
              <w:rPr>
                <w:rFonts w:cstheme="minorHAnsi"/>
                <w:i/>
                <w:iCs/>
                <w:szCs w:val="24"/>
              </w:rPr>
            </w:pPr>
            <w:r w:rsidRPr="00675182">
              <w:rPr>
                <w:rFonts w:cstheme="minorHAnsi"/>
                <w:i/>
                <w:iCs/>
                <w:szCs w:val="24"/>
              </w:rPr>
              <w:t>Strix uralensis</w:t>
            </w:r>
          </w:p>
        </w:tc>
        <w:tc>
          <w:tcPr>
            <w:tcW w:w="591" w:type="pct"/>
            <w:vAlign w:val="center"/>
          </w:tcPr>
          <w:p w14:paraId="40EC24AF"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3E482038"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7008EB98" w14:textId="77777777" w:rsidR="00A63334" w:rsidRPr="00675182" w:rsidRDefault="00A63334" w:rsidP="00A63334">
            <w:pPr>
              <w:jc w:val="center"/>
              <w:rPr>
                <w:rFonts w:eastAsia="Times New Roman" w:cstheme="minorHAnsi"/>
                <w:szCs w:val="24"/>
              </w:rPr>
            </w:pPr>
            <w:r w:rsidRPr="00675182">
              <w:rPr>
                <w:rFonts w:cstheme="minorHAnsi"/>
                <w:szCs w:val="24"/>
              </w:rPr>
              <w:t>Samazinās/Pieaug</w:t>
            </w:r>
          </w:p>
        </w:tc>
        <w:tc>
          <w:tcPr>
            <w:tcW w:w="788" w:type="pct"/>
            <w:shd w:val="clear" w:color="auto" w:fill="auto"/>
            <w:vAlign w:val="center"/>
          </w:tcPr>
          <w:p w14:paraId="21430B99" w14:textId="00C6621C"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5 – 10 pāri</w:t>
            </w:r>
          </w:p>
        </w:tc>
      </w:tr>
      <w:tr w:rsidR="00A63334" w:rsidRPr="00675182" w14:paraId="4E9AD9C0" w14:textId="77777777" w:rsidTr="005B0A56">
        <w:trPr>
          <w:trHeight w:val="20"/>
        </w:trPr>
        <w:tc>
          <w:tcPr>
            <w:tcW w:w="405" w:type="pct"/>
            <w:vAlign w:val="center"/>
          </w:tcPr>
          <w:p w14:paraId="170A3EB0"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7F139D02" w14:textId="77777777" w:rsidR="00A63334" w:rsidRPr="00675182" w:rsidRDefault="00A63334" w:rsidP="00A63334">
            <w:pPr>
              <w:rPr>
                <w:rFonts w:cstheme="minorHAnsi"/>
                <w:szCs w:val="24"/>
              </w:rPr>
            </w:pPr>
            <w:r w:rsidRPr="00675182">
              <w:rPr>
                <w:rFonts w:cstheme="minorHAnsi"/>
                <w:szCs w:val="24"/>
              </w:rPr>
              <w:t>Bikšainais apogs</w:t>
            </w:r>
          </w:p>
        </w:tc>
        <w:tc>
          <w:tcPr>
            <w:tcW w:w="1114" w:type="pct"/>
            <w:shd w:val="clear" w:color="auto" w:fill="auto"/>
            <w:noWrap/>
            <w:vAlign w:val="center"/>
          </w:tcPr>
          <w:p w14:paraId="2E7B42F9" w14:textId="77777777" w:rsidR="00A63334" w:rsidRPr="00675182" w:rsidRDefault="00A63334" w:rsidP="00A63334">
            <w:pPr>
              <w:rPr>
                <w:rFonts w:cstheme="minorHAnsi"/>
                <w:i/>
                <w:iCs/>
                <w:szCs w:val="24"/>
              </w:rPr>
            </w:pPr>
            <w:r w:rsidRPr="00675182">
              <w:rPr>
                <w:rFonts w:cstheme="minorHAnsi"/>
                <w:i/>
                <w:iCs/>
                <w:szCs w:val="24"/>
              </w:rPr>
              <w:t>Aegolius funereus</w:t>
            </w:r>
          </w:p>
        </w:tc>
        <w:tc>
          <w:tcPr>
            <w:tcW w:w="591" w:type="pct"/>
            <w:vAlign w:val="center"/>
          </w:tcPr>
          <w:p w14:paraId="49C51E00"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2A1CD425"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2F0369BB" w14:textId="77777777" w:rsidR="00A63334" w:rsidRPr="00675182" w:rsidRDefault="00A63334" w:rsidP="00A63334">
            <w:pPr>
              <w:jc w:val="center"/>
              <w:rPr>
                <w:rFonts w:eastAsia="Times New Roman" w:cstheme="minorHAnsi"/>
                <w:szCs w:val="24"/>
              </w:rPr>
            </w:pPr>
            <w:r w:rsidRPr="00675182">
              <w:rPr>
                <w:rFonts w:cstheme="minorHAnsi"/>
                <w:szCs w:val="24"/>
              </w:rPr>
              <w:t>Neskaidrs/Samazinās</w:t>
            </w:r>
          </w:p>
        </w:tc>
        <w:tc>
          <w:tcPr>
            <w:tcW w:w="788" w:type="pct"/>
            <w:shd w:val="clear" w:color="auto" w:fill="auto"/>
            <w:vAlign w:val="center"/>
          </w:tcPr>
          <w:p w14:paraId="30FC000E" w14:textId="55AE84F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0 – 1 pāris</w:t>
            </w:r>
          </w:p>
        </w:tc>
      </w:tr>
      <w:tr w:rsidR="00A63334" w:rsidRPr="00675182" w14:paraId="397FA180" w14:textId="77777777" w:rsidTr="005B0A56">
        <w:trPr>
          <w:trHeight w:val="20"/>
        </w:trPr>
        <w:tc>
          <w:tcPr>
            <w:tcW w:w="405" w:type="pct"/>
            <w:vAlign w:val="center"/>
          </w:tcPr>
          <w:p w14:paraId="25A06B3A"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163E46B2" w14:textId="77777777" w:rsidR="00A63334" w:rsidRPr="00675182" w:rsidRDefault="00A63334" w:rsidP="00A63334">
            <w:pPr>
              <w:rPr>
                <w:rFonts w:cstheme="minorHAnsi"/>
                <w:szCs w:val="24"/>
              </w:rPr>
            </w:pPr>
            <w:r w:rsidRPr="00675182">
              <w:rPr>
                <w:rFonts w:cstheme="minorHAnsi"/>
                <w:szCs w:val="24"/>
              </w:rPr>
              <w:t>Ūpis</w:t>
            </w:r>
          </w:p>
        </w:tc>
        <w:tc>
          <w:tcPr>
            <w:tcW w:w="1114" w:type="pct"/>
            <w:shd w:val="clear" w:color="auto" w:fill="auto"/>
            <w:noWrap/>
            <w:vAlign w:val="center"/>
          </w:tcPr>
          <w:p w14:paraId="6E2ADE19" w14:textId="77777777" w:rsidR="00A63334" w:rsidRPr="00675182" w:rsidRDefault="00A63334" w:rsidP="00A63334">
            <w:pPr>
              <w:rPr>
                <w:rFonts w:cstheme="minorHAnsi"/>
                <w:i/>
                <w:iCs/>
                <w:szCs w:val="24"/>
              </w:rPr>
            </w:pPr>
            <w:r w:rsidRPr="00675182">
              <w:rPr>
                <w:rFonts w:cstheme="minorHAnsi"/>
                <w:i/>
                <w:iCs/>
                <w:szCs w:val="24"/>
              </w:rPr>
              <w:t>Bubo bubo</w:t>
            </w:r>
          </w:p>
        </w:tc>
        <w:tc>
          <w:tcPr>
            <w:tcW w:w="591" w:type="pct"/>
            <w:vAlign w:val="center"/>
          </w:tcPr>
          <w:p w14:paraId="7D975133"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311315ED" w14:textId="77777777" w:rsidR="00A63334" w:rsidRPr="00675182" w:rsidRDefault="00A63334" w:rsidP="00A63334">
            <w:pPr>
              <w:rPr>
                <w:rFonts w:eastAsia="Times New Roman" w:cstheme="minorHAnsi"/>
                <w:szCs w:val="24"/>
              </w:rPr>
            </w:pPr>
            <w:r w:rsidRPr="00675182">
              <w:rPr>
                <w:rFonts w:eastAsia="Times New Roman" w:cstheme="minorHAnsi"/>
                <w:szCs w:val="24"/>
              </w:rPr>
              <w:t>SG I</w:t>
            </w:r>
          </w:p>
        </w:tc>
        <w:tc>
          <w:tcPr>
            <w:tcW w:w="949" w:type="pct"/>
            <w:shd w:val="clear" w:color="auto" w:fill="auto"/>
            <w:noWrap/>
            <w:vAlign w:val="center"/>
          </w:tcPr>
          <w:p w14:paraId="443CFD70" w14:textId="77777777" w:rsidR="00A63334" w:rsidRPr="00675182" w:rsidRDefault="00A63334" w:rsidP="00A63334">
            <w:pPr>
              <w:jc w:val="center"/>
              <w:rPr>
                <w:rFonts w:eastAsia="Times New Roman" w:cstheme="minorHAnsi"/>
                <w:szCs w:val="24"/>
              </w:rPr>
            </w:pPr>
            <w:r w:rsidRPr="00675182">
              <w:rPr>
                <w:rFonts w:cstheme="minorHAnsi"/>
                <w:szCs w:val="24"/>
              </w:rPr>
              <w:t>Nezināms/Pieaug</w:t>
            </w:r>
          </w:p>
        </w:tc>
        <w:tc>
          <w:tcPr>
            <w:tcW w:w="788" w:type="pct"/>
            <w:shd w:val="clear" w:color="auto" w:fill="auto"/>
            <w:vAlign w:val="center"/>
          </w:tcPr>
          <w:p w14:paraId="72D39171"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0 – 1 pāris</w:t>
            </w:r>
          </w:p>
        </w:tc>
      </w:tr>
      <w:tr w:rsidR="00A63334" w:rsidRPr="00675182" w14:paraId="5778CDF7" w14:textId="77777777" w:rsidTr="005B0A56">
        <w:trPr>
          <w:trHeight w:val="20"/>
        </w:trPr>
        <w:tc>
          <w:tcPr>
            <w:tcW w:w="405" w:type="pct"/>
            <w:vAlign w:val="center"/>
          </w:tcPr>
          <w:p w14:paraId="7063724E"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32250D21" w14:textId="77777777" w:rsidR="00A63334" w:rsidRPr="00675182" w:rsidRDefault="00A63334" w:rsidP="00A63334">
            <w:pPr>
              <w:rPr>
                <w:rFonts w:cstheme="minorHAnsi"/>
                <w:szCs w:val="24"/>
              </w:rPr>
            </w:pPr>
            <w:r w:rsidRPr="00675182">
              <w:rPr>
                <w:rFonts w:cstheme="minorHAnsi"/>
                <w:szCs w:val="24"/>
              </w:rPr>
              <w:t>Vakarlēpis</w:t>
            </w:r>
          </w:p>
        </w:tc>
        <w:tc>
          <w:tcPr>
            <w:tcW w:w="1114" w:type="pct"/>
            <w:shd w:val="clear" w:color="auto" w:fill="auto"/>
            <w:noWrap/>
            <w:vAlign w:val="center"/>
          </w:tcPr>
          <w:p w14:paraId="527568F4" w14:textId="77777777" w:rsidR="00A63334" w:rsidRPr="00675182" w:rsidRDefault="00A63334" w:rsidP="00A63334">
            <w:pPr>
              <w:rPr>
                <w:rFonts w:cstheme="minorHAnsi"/>
                <w:i/>
                <w:iCs/>
                <w:szCs w:val="24"/>
              </w:rPr>
            </w:pPr>
            <w:r w:rsidRPr="00675182">
              <w:rPr>
                <w:rFonts w:cstheme="minorHAnsi"/>
                <w:i/>
                <w:iCs/>
                <w:szCs w:val="24"/>
              </w:rPr>
              <w:t>Caprimulgus europaeus</w:t>
            </w:r>
          </w:p>
        </w:tc>
        <w:tc>
          <w:tcPr>
            <w:tcW w:w="591" w:type="pct"/>
            <w:vAlign w:val="center"/>
          </w:tcPr>
          <w:p w14:paraId="7D483ACB"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57047C00" w14:textId="77777777" w:rsidR="00A63334" w:rsidRPr="00675182" w:rsidRDefault="00A63334" w:rsidP="00A63334">
            <w:pPr>
              <w:rPr>
                <w:rFonts w:eastAsia="Times New Roman" w:cstheme="minorHAnsi"/>
                <w:szCs w:val="24"/>
              </w:rPr>
            </w:pPr>
            <w:r w:rsidRPr="00675182">
              <w:rPr>
                <w:rFonts w:eastAsia="Times New Roman" w:cstheme="minorHAnsi"/>
                <w:szCs w:val="24"/>
              </w:rPr>
              <w:t>SG IV</w:t>
            </w:r>
          </w:p>
        </w:tc>
        <w:tc>
          <w:tcPr>
            <w:tcW w:w="949" w:type="pct"/>
            <w:shd w:val="clear" w:color="auto" w:fill="auto"/>
            <w:noWrap/>
            <w:vAlign w:val="center"/>
          </w:tcPr>
          <w:p w14:paraId="6215E863" w14:textId="77777777" w:rsidR="00A63334" w:rsidRPr="00675182" w:rsidRDefault="00A63334" w:rsidP="00A63334">
            <w:pPr>
              <w:jc w:val="center"/>
              <w:rPr>
                <w:rFonts w:eastAsia="Times New Roman" w:cstheme="minorHAnsi"/>
                <w:szCs w:val="24"/>
              </w:rPr>
            </w:pPr>
            <w:r w:rsidRPr="00675182">
              <w:rPr>
                <w:rFonts w:cstheme="minorHAnsi"/>
                <w:szCs w:val="24"/>
              </w:rPr>
              <w:t>Stabils/Pieaug</w:t>
            </w:r>
          </w:p>
        </w:tc>
        <w:tc>
          <w:tcPr>
            <w:tcW w:w="788" w:type="pct"/>
            <w:shd w:val="clear" w:color="auto" w:fill="auto"/>
            <w:vAlign w:val="center"/>
          </w:tcPr>
          <w:p w14:paraId="7D80F660"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50 – 100 pāri</w:t>
            </w:r>
          </w:p>
        </w:tc>
      </w:tr>
      <w:tr w:rsidR="00A63334" w:rsidRPr="00675182" w14:paraId="09532FA8" w14:textId="77777777" w:rsidTr="005B0A56">
        <w:trPr>
          <w:trHeight w:val="20"/>
        </w:trPr>
        <w:tc>
          <w:tcPr>
            <w:tcW w:w="405" w:type="pct"/>
            <w:vAlign w:val="center"/>
          </w:tcPr>
          <w:p w14:paraId="508257C5"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336DEEA5" w14:textId="77777777" w:rsidR="00A63334" w:rsidRPr="00675182" w:rsidRDefault="00A63334" w:rsidP="00A63334">
            <w:pPr>
              <w:rPr>
                <w:rFonts w:cstheme="minorHAnsi"/>
                <w:szCs w:val="24"/>
              </w:rPr>
            </w:pPr>
            <w:r w:rsidRPr="00675182">
              <w:rPr>
                <w:rFonts w:cstheme="minorHAnsi"/>
                <w:szCs w:val="24"/>
              </w:rPr>
              <w:t>Zivju dzenītis</w:t>
            </w:r>
          </w:p>
        </w:tc>
        <w:tc>
          <w:tcPr>
            <w:tcW w:w="1114" w:type="pct"/>
            <w:shd w:val="clear" w:color="auto" w:fill="auto"/>
            <w:noWrap/>
            <w:vAlign w:val="center"/>
          </w:tcPr>
          <w:p w14:paraId="1B68EDC3" w14:textId="77777777" w:rsidR="00A63334" w:rsidRPr="00675182" w:rsidRDefault="00A63334" w:rsidP="00A63334">
            <w:pPr>
              <w:rPr>
                <w:rFonts w:cstheme="minorHAnsi"/>
                <w:i/>
                <w:iCs/>
                <w:szCs w:val="24"/>
              </w:rPr>
            </w:pPr>
            <w:r w:rsidRPr="00675182">
              <w:rPr>
                <w:rFonts w:cstheme="minorHAnsi"/>
                <w:i/>
                <w:iCs/>
                <w:szCs w:val="24"/>
              </w:rPr>
              <w:t>Alcedo atthis</w:t>
            </w:r>
          </w:p>
        </w:tc>
        <w:tc>
          <w:tcPr>
            <w:tcW w:w="591" w:type="pct"/>
            <w:vAlign w:val="center"/>
          </w:tcPr>
          <w:p w14:paraId="2375FFB3"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00DF2FCD"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0D3980AD" w14:textId="77777777" w:rsidR="00A63334" w:rsidRPr="00675182" w:rsidRDefault="00A63334" w:rsidP="00A63334">
            <w:pPr>
              <w:jc w:val="center"/>
              <w:rPr>
                <w:rFonts w:eastAsia="Times New Roman" w:cstheme="minorHAnsi"/>
                <w:szCs w:val="24"/>
              </w:rPr>
            </w:pPr>
            <w:r w:rsidRPr="00675182">
              <w:rPr>
                <w:rFonts w:cstheme="minorHAnsi"/>
                <w:szCs w:val="24"/>
              </w:rPr>
              <w:t>Pieaug/Pieaug</w:t>
            </w:r>
          </w:p>
        </w:tc>
        <w:tc>
          <w:tcPr>
            <w:tcW w:w="788" w:type="pct"/>
            <w:shd w:val="clear" w:color="auto" w:fill="auto"/>
            <w:vAlign w:val="center"/>
          </w:tcPr>
          <w:p w14:paraId="720A1EF9"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60 – 90 pāri</w:t>
            </w:r>
          </w:p>
        </w:tc>
      </w:tr>
      <w:tr w:rsidR="00A63334" w:rsidRPr="00675182" w14:paraId="1B2419D1" w14:textId="77777777" w:rsidTr="005B0A56">
        <w:trPr>
          <w:trHeight w:val="20"/>
        </w:trPr>
        <w:tc>
          <w:tcPr>
            <w:tcW w:w="405" w:type="pct"/>
            <w:vAlign w:val="center"/>
          </w:tcPr>
          <w:p w14:paraId="50A18183"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5EF26F35" w14:textId="77777777" w:rsidR="00A63334" w:rsidRPr="00675182" w:rsidRDefault="00A63334" w:rsidP="00A63334">
            <w:pPr>
              <w:rPr>
                <w:rFonts w:cstheme="minorHAnsi"/>
                <w:szCs w:val="24"/>
              </w:rPr>
            </w:pPr>
            <w:r w:rsidRPr="00675182">
              <w:rPr>
                <w:rFonts w:cstheme="minorHAnsi"/>
                <w:szCs w:val="24"/>
              </w:rPr>
              <w:t>Vidējais dzenis</w:t>
            </w:r>
          </w:p>
        </w:tc>
        <w:tc>
          <w:tcPr>
            <w:tcW w:w="1114" w:type="pct"/>
            <w:shd w:val="clear" w:color="auto" w:fill="auto"/>
            <w:noWrap/>
            <w:vAlign w:val="center"/>
          </w:tcPr>
          <w:p w14:paraId="15A11E52" w14:textId="77777777" w:rsidR="00A63334" w:rsidRPr="00675182" w:rsidRDefault="00A63334" w:rsidP="00A63334">
            <w:pPr>
              <w:rPr>
                <w:rFonts w:cstheme="minorHAnsi"/>
                <w:i/>
                <w:iCs/>
                <w:szCs w:val="24"/>
              </w:rPr>
            </w:pPr>
            <w:r w:rsidRPr="00675182">
              <w:rPr>
                <w:rFonts w:cstheme="minorHAnsi"/>
                <w:i/>
                <w:iCs/>
                <w:szCs w:val="24"/>
              </w:rPr>
              <w:t>Leiopicus medius</w:t>
            </w:r>
          </w:p>
        </w:tc>
        <w:tc>
          <w:tcPr>
            <w:tcW w:w="591" w:type="pct"/>
            <w:vAlign w:val="center"/>
          </w:tcPr>
          <w:p w14:paraId="6114F000"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7B482363"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198282AE" w14:textId="77777777" w:rsidR="00A63334" w:rsidRPr="00675182" w:rsidRDefault="00A63334" w:rsidP="00A63334">
            <w:pPr>
              <w:jc w:val="center"/>
              <w:rPr>
                <w:rFonts w:eastAsia="Times New Roman" w:cstheme="minorHAnsi"/>
                <w:szCs w:val="24"/>
              </w:rPr>
            </w:pPr>
            <w:r w:rsidRPr="00675182">
              <w:rPr>
                <w:rFonts w:cstheme="minorHAnsi"/>
                <w:szCs w:val="24"/>
              </w:rPr>
              <w:t>Pieaug/Pieaug</w:t>
            </w:r>
          </w:p>
        </w:tc>
        <w:tc>
          <w:tcPr>
            <w:tcW w:w="788" w:type="pct"/>
            <w:shd w:val="clear" w:color="auto" w:fill="auto"/>
            <w:vAlign w:val="center"/>
          </w:tcPr>
          <w:p w14:paraId="3EDC0E79" w14:textId="0EDA84E2"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 xml:space="preserve">Ligzdo </w:t>
            </w:r>
            <w:r w:rsidR="004F6292">
              <w:rPr>
                <w:rFonts w:eastAsia="Times New Roman" w:cstheme="minorHAnsi"/>
                <w:color w:val="000000"/>
                <w:szCs w:val="24"/>
                <w:lang w:eastAsia="en-GB"/>
              </w:rPr>
              <w:t>150</w:t>
            </w:r>
            <w:r w:rsidRPr="00675182">
              <w:rPr>
                <w:rFonts w:eastAsia="Times New Roman" w:cstheme="minorHAnsi"/>
                <w:color w:val="000000"/>
                <w:szCs w:val="24"/>
                <w:lang w:eastAsia="en-GB"/>
              </w:rPr>
              <w:t xml:space="preserve"> – </w:t>
            </w:r>
            <w:r w:rsidR="004F6292">
              <w:rPr>
                <w:rFonts w:eastAsia="Times New Roman" w:cstheme="minorHAnsi"/>
                <w:color w:val="000000"/>
                <w:szCs w:val="24"/>
                <w:lang w:eastAsia="en-GB"/>
              </w:rPr>
              <w:t xml:space="preserve">200 </w:t>
            </w:r>
            <w:r w:rsidRPr="00675182">
              <w:rPr>
                <w:rFonts w:eastAsia="Times New Roman" w:cstheme="minorHAnsi"/>
                <w:color w:val="000000"/>
                <w:szCs w:val="24"/>
                <w:lang w:eastAsia="en-GB"/>
              </w:rPr>
              <w:t>pāri</w:t>
            </w:r>
          </w:p>
        </w:tc>
      </w:tr>
      <w:tr w:rsidR="00A63334" w:rsidRPr="00675182" w14:paraId="017E2218" w14:textId="77777777" w:rsidTr="005B0A56">
        <w:trPr>
          <w:trHeight w:val="20"/>
        </w:trPr>
        <w:tc>
          <w:tcPr>
            <w:tcW w:w="405" w:type="pct"/>
            <w:vAlign w:val="center"/>
          </w:tcPr>
          <w:p w14:paraId="52FF22F1"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20EC6459" w14:textId="77777777" w:rsidR="00A63334" w:rsidRPr="00675182" w:rsidRDefault="00A63334" w:rsidP="00A63334">
            <w:pPr>
              <w:rPr>
                <w:rFonts w:cstheme="minorHAnsi"/>
                <w:szCs w:val="24"/>
              </w:rPr>
            </w:pPr>
            <w:r w:rsidRPr="00675182">
              <w:rPr>
                <w:rFonts w:cstheme="minorHAnsi"/>
                <w:szCs w:val="24"/>
              </w:rPr>
              <w:t>Baltmugurdzenis</w:t>
            </w:r>
          </w:p>
        </w:tc>
        <w:tc>
          <w:tcPr>
            <w:tcW w:w="1114" w:type="pct"/>
            <w:shd w:val="clear" w:color="auto" w:fill="auto"/>
            <w:noWrap/>
            <w:vAlign w:val="center"/>
          </w:tcPr>
          <w:p w14:paraId="27D27A48" w14:textId="77777777" w:rsidR="00A63334" w:rsidRPr="00675182" w:rsidRDefault="00A63334" w:rsidP="00A63334">
            <w:pPr>
              <w:rPr>
                <w:rFonts w:cstheme="minorHAnsi"/>
                <w:i/>
                <w:iCs/>
                <w:szCs w:val="24"/>
              </w:rPr>
            </w:pPr>
            <w:r w:rsidRPr="00675182">
              <w:rPr>
                <w:rFonts w:cstheme="minorHAnsi"/>
                <w:i/>
                <w:iCs/>
                <w:szCs w:val="24"/>
              </w:rPr>
              <w:t>Dendrocopos leucotos</w:t>
            </w:r>
          </w:p>
        </w:tc>
        <w:tc>
          <w:tcPr>
            <w:tcW w:w="591" w:type="pct"/>
            <w:vAlign w:val="center"/>
          </w:tcPr>
          <w:p w14:paraId="50A9EEBA"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223835DB"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6176D5B1" w14:textId="77777777" w:rsidR="00A63334" w:rsidRPr="00675182" w:rsidRDefault="00A63334" w:rsidP="00A63334">
            <w:pPr>
              <w:jc w:val="center"/>
              <w:rPr>
                <w:rFonts w:eastAsia="Times New Roman" w:cstheme="minorHAnsi"/>
                <w:szCs w:val="24"/>
              </w:rPr>
            </w:pPr>
            <w:r w:rsidRPr="00675182">
              <w:rPr>
                <w:rFonts w:cstheme="minorHAnsi"/>
                <w:szCs w:val="24"/>
              </w:rPr>
              <w:t>Samazinās/Stabils</w:t>
            </w:r>
          </w:p>
        </w:tc>
        <w:tc>
          <w:tcPr>
            <w:tcW w:w="788" w:type="pct"/>
            <w:shd w:val="clear" w:color="auto" w:fill="auto"/>
            <w:vAlign w:val="center"/>
          </w:tcPr>
          <w:p w14:paraId="26F0DDEA"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40 – 60 pāri</w:t>
            </w:r>
          </w:p>
        </w:tc>
      </w:tr>
      <w:tr w:rsidR="00A63334" w:rsidRPr="00675182" w14:paraId="533AE4BF" w14:textId="77777777" w:rsidTr="005B0A56">
        <w:trPr>
          <w:trHeight w:val="20"/>
        </w:trPr>
        <w:tc>
          <w:tcPr>
            <w:tcW w:w="405" w:type="pct"/>
            <w:vAlign w:val="center"/>
          </w:tcPr>
          <w:p w14:paraId="5EEE9C27"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02E96F2C" w14:textId="77777777" w:rsidR="00A63334" w:rsidRPr="00675182" w:rsidRDefault="00A63334" w:rsidP="00A63334">
            <w:pPr>
              <w:rPr>
                <w:rFonts w:cstheme="minorHAnsi"/>
                <w:szCs w:val="24"/>
              </w:rPr>
            </w:pPr>
            <w:r w:rsidRPr="00675182">
              <w:rPr>
                <w:rFonts w:cstheme="minorHAnsi"/>
                <w:szCs w:val="24"/>
              </w:rPr>
              <w:t>Trīspirkstu dzenis</w:t>
            </w:r>
          </w:p>
        </w:tc>
        <w:tc>
          <w:tcPr>
            <w:tcW w:w="1114" w:type="pct"/>
            <w:shd w:val="clear" w:color="auto" w:fill="auto"/>
            <w:noWrap/>
            <w:vAlign w:val="center"/>
          </w:tcPr>
          <w:p w14:paraId="505A923F" w14:textId="77777777" w:rsidR="00A63334" w:rsidRPr="00675182" w:rsidRDefault="00A63334" w:rsidP="00A63334">
            <w:pPr>
              <w:rPr>
                <w:rFonts w:cstheme="minorHAnsi"/>
                <w:i/>
                <w:iCs/>
                <w:szCs w:val="24"/>
              </w:rPr>
            </w:pPr>
            <w:r w:rsidRPr="00675182">
              <w:rPr>
                <w:rFonts w:cstheme="minorHAnsi"/>
                <w:i/>
                <w:iCs/>
                <w:szCs w:val="24"/>
              </w:rPr>
              <w:t>Picoides tridactylus</w:t>
            </w:r>
          </w:p>
        </w:tc>
        <w:tc>
          <w:tcPr>
            <w:tcW w:w="591" w:type="pct"/>
            <w:vAlign w:val="center"/>
          </w:tcPr>
          <w:p w14:paraId="3DA95B9F" w14:textId="77777777" w:rsidR="00A63334" w:rsidRPr="00675182" w:rsidRDefault="00A63334" w:rsidP="00A63334">
            <w:pPr>
              <w:rPr>
                <w:rFonts w:eastAsia="Times New Roman" w:cstheme="minorHAnsi"/>
                <w:szCs w:val="24"/>
              </w:rPr>
            </w:pPr>
            <w:r w:rsidRPr="00675182">
              <w:rPr>
                <w:rFonts w:eastAsia="Times New Roman" w:cstheme="minorHAnsi"/>
                <w:szCs w:val="24"/>
              </w:rPr>
              <w:t>ĪAS, ES I, MIK</w:t>
            </w:r>
          </w:p>
        </w:tc>
        <w:tc>
          <w:tcPr>
            <w:tcW w:w="404" w:type="pct"/>
            <w:shd w:val="clear" w:color="auto" w:fill="auto"/>
            <w:vAlign w:val="center"/>
          </w:tcPr>
          <w:p w14:paraId="252CC059" w14:textId="77777777" w:rsidR="00A63334" w:rsidRPr="00675182" w:rsidRDefault="00A63334" w:rsidP="00A63334">
            <w:pPr>
              <w:rPr>
                <w:rFonts w:eastAsia="Times New Roman" w:cstheme="minorHAnsi"/>
                <w:szCs w:val="24"/>
              </w:rPr>
            </w:pPr>
            <w:r w:rsidRPr="00675182">
              <w:rPr>
                <w:rFonts w:eastAsia="Times New Roman" w:cstheme="minorHAnsi"/>
                <w:szCs w:val="24"/>
              </w:rPr>
              <w:t>SG III</w:t>
            </w:r>
          </w:p>
        </w:tc>
        <w:tc>
          <w:tcPr>
            <w:tcW w:w="949" w:type="pct"/>
            <w:shd w:val="clear" w:color="auto" w:fill="auto"/>
            <w:noWrap/>
            <w:vAlign w:val="center"/>
          </w:tcPr>
          <w:p w14:paraId="40DBEB27" w14:textId="77777777" w:rsidR="00A63334" w:rsidRPr="00675182" w:rsidRDefault="00A63334" w:rsidP="00A63334">
            <w:pPr>
              <w:jc w:val="center"/>
              <w:rPr>
                <w:rFonts w:eastAsia="Times New Roman" w:cstheme="minorHAnsi"/>
                <w:szCs w:val="24"/>
              </w:rPr>
            </w:pPr>
            <w:r w:rsidRPr="00675182">
              <w:rPr>
                <w:rFonts w:cstheme="minorHAnsi"/>
                <w:szCs w:val="24"/>
              </w:rPr>
              <w:t>Stabils/Samazinās</w:t>
            </w:r>
          </w:p>
        </w:tc>
        <w:tc>
          <w:tcPr>
            <w:tcW w:w="788" w:type="pct"/>
            <w:shd w:val="clear" w:color="auto" w:fill="auto"/>
            <w:vAlign w:val="center"/>
          </w:tcPr>
          <w:p w14:paraId="4FD90252" w14:textId="520E0761"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 xml:space="preserve">Ligzdo </w:t>
            </w:r>
            <w:r w:rsidR="004F6292">
              <w:rPr>
                <w:rFonts w:eastAsia="Times New Roman" w:cstheme="minorHAnsi"/>
                <w:color w:val="000000"/>
                <w:szCs w:val="24"/>
                <w:lang w:eastAsia="en-GB"/>
              </w:rPr>
              <w:t>75</w:t>
            </w:r>
            <w:r w:rsidRPr="00675182">
              <w:rPr>
                <w:rFonts w:eastAsia="Times New Roman" w:cstheme="minorHAnsi"/>
                <w:color w:val="000000"/>
                <w:szCs w:val="24"/>
                <w:lang w:eastAsia="en-GB"/>
              </w:rPr>
              <w:t xml:space="preserve"> – </w:t>
            </w:r>
            <w:r w:rsidR="004F6292">
              <w:rPr>
                <w:rFonts w:eastAsia="Times New Roman" w:cstheme="minorHAnsi"/>
                <w:color w:val="000000"/>
                <w:szCs w:val="24"/>
                <w:lang w:eastAsia="en-GB"/>
              </w:rPr>
              <w:t>100</w:t>
            </w:r>
            <w:r w:rsidRPr="00675182">
              <w:rPr>
                <w:rFonts w:eastAsia="Times New Roman" w:cstheme="minorHAnsi"/>
                <w:color w:val="000000"/>
                <w:szCs w:val="24"/>
                <w:lang w:eastAsia="en-GB"/>
              </w:rPr>
              <w:t xml:space="preserve"> pāri</w:t>
            </w:r>
          </w:p>
        </w:tc>
      </w:tr>
      <w:tr w:rsidR="00A63334" w:rsidRPr="00675182" w14:paraId="0782457A" w14:textId="77777777" w:rsidTr="005B0A56">
        <w:trPr>
          <w:trHeight w:val="20"/>
        </w:trPr>
        <w:tc>
          <w:tcPr>
            <w:tcW w:w="405" w:type="pct"/>
            <w:vAlign w:val="center"/>
          </w:tcPr>
          <w:p w14:paraId="15664EE1"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10ECB8E6" w14:textId="77777777" w:rsidR="00A63334" w:rsidRPr="00675182" w:rsidRDefault="00A63334" w:rsidP="00A63334">
            <w:pPr>
              <w:rPr>
                <w:rFonts w:cstheme="minorHAnsi"/>
                <w:szCs w:val="24"/>
              </w:rPr>
            </w:pPr>
            <w:r w:rsidRPr="00675182">
              <w:rPr>
                <w:rFonts w:cstheme="minorHAnsi"/>
                <w:szCs w:val="24"/>
              </w:rPr>
              <w:t>Melnā dzilna</w:t>
            </w:r>
          </w:p>
        </w:tc>
        <w:tc>
          <w:tcPr>
            <w:tcW w:w="1114" w:type="pct"/>
            <w:shd w:val="clear" w:color="auto" w:fill="auto"/>
            <w:noWrap/>
            <w:vAlign w:val="center"/>
          </w:tcPr>
          <w:p w14:paraId="647E1B01" w14:textId="77777777" w:rsidR="00A63334" w:rsidRPr="00675182" w:rsidRDefault="00A63334" w:rsidP="00A63334">
            <w:pPr>
              <w:rPr>
                <w:rFonts w:cstheme="minorHAnsi"/>
                <w:i/>
                <w:iCs/>
                <w:szCs w:val="24"/>
              </w:rPr>
            </w:pPr>
            <w:r w:rsidRPr="00675182">
              <w:rPr>
                <w:rFonts w:cstheme="minorHAnsi"/>
                <w:i/>
                <w:iCs/>
                <w:szCs w:val="24"/>
              </w:rPr>
              <w:t>Dryocopus martius</w:t>
            </w:r>
          </w:p>
        </w:tc>
        <w:tc>
          <w:tcPr>
            <w:tcW w:w="591" w:type="pct"/>
            <w:vAlign w:val="center"/>
          </w:tcPr>
          <w:p w14:paraId="54DEF231"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07FE332C"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3DFDCBA4" w14:textId="77777777" w:rsidR="00A63334" w:rsidRPr="00675182" w:rsidRDefault="00A63334" w:rsidP="00A63334">
            <w:pPr>
              <w:jc w:val="center"/>
              <w:rPr>
                <w:rFonts w:eastAsia="Times New Roman" w:cstheme="minorHAnsi"/>
                <w:szCs w:val="24"/>
              </w:rPr>
            </w:pPr>
            <w:r w:rsidRPr="00675182">
              <w:rPr>
                <w:rFonts w:cstheme="minorHAnsi"/>
                <w:szCs w:val="24"/>
              </w:rPr>
              <w:t>Pieaug/Pieaug</w:t>
            </w:r>
          </w:p>
        </w:tc>
        <w:tc>
          <w:tcPr>
            <w:tcW w:w="788" w:type="pct"/>
            <w:shd w:val="clear" w:color="auto" w:fill="auto"/>
            <w:vAlign w:val="center"/>
          </w:tcPr>
          <w:p w14:paraId="4C7A364F"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75 – 100 pāri</w:t>
            </w:r>
          </w:p>
        </w:tc>
      </w:tr>
      <w:tr w:rsidR="00A63334" w:rsidRPr="00675182" w14:paraId="1FEC9C15" w14:textId="77777777" w:rsidTr="005B0A56">
        <w:trPr>
          <w:trHeight w:val="20"/>
        </w:trPr>
        <w:tc>
          <w:tcPr>
            <w:tcW w:w="405" w:type="pct"/>
            <w:vAlign w:val="center"/>
          </w:tcPr>
          <w:p w14:paraId="2BB00574"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1ACE0C75" w14:textId="77777777" w:rsidR="00A63334" w:rsidRPr="00675182" w:rsidRDefault="00A63334" w:rsidP="00A63334">
            <w:pPr>
              <w:rPr>
                <w:rFonts w:cstheme="minorHAnsi"/>
                <w:szCs w:val="24"/>
              </w:rPr>
            </w:pPr>
            <w:r w:rsidRPr="00675182">
              <w:rPr>
                <w:rFonts w:cstheme="minorHAnsi"/>
                <w:szCs w:val="24"/>
              </w:rPr>
              <w:t>Pelēkā dzilna</w:t>
            </w:r>
          </w:p>
        </w:tc>
        <w:tc>
          <w:tcPr>
            <w:tcW w:w="1114" w:type="pct"/>
            <w:shd w:val="clear" w:color="auto" w:fill="auto"/>
            <w:noWrap/>
            <w:vAlign w:val="center"/>
          </w:tcPr>
          <w:p w14:paraId="6DC0ABC2" w14:textId="77777777" w:rsidR="00A63334" w:rsidRPr="00675182" w:rsidRDefault="00A63334" w:rsidP="00A63334">
            <w:pPr>
              <w:rPr>
                <w:rFonts w:cstheme="minorHAnsi"/>
                <w:i/>
                <w:iCs/>
                <w:szCs w:val="24"/>
              </w:rPr>
            </w:pPr>
            <w:r w:rsidRPr="00675182">
              <w:rPr>
                <w:rFonts w:cstheme="minorHAnsi"/>
                <w:i/>
                <w:iCs/>
                <w:szCs w:val="24"/>
              </w:rPr>
              <w:t>Picus canus</w:t>
            </w:r>
          </w:p>
        </w:tc>
        <w:tc>
          <w:tcPr>
            <w:tcW w:w="591" w:type="pct"/>
            <w:vAlign w:val="center"/>
          </w:tcPr>
          <w:p w14:paraId="138A27B7"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3622633C"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6045C0C6" w14:textId="77777777" w:rsidR="00A63334" w:rsidRPr="00675182" w:rsidRDefault="00A63334" w:rsidP="00A63334">
            <w:pPr>
              <w:jc w:val="center"/>
              <w:rPr>
                <w:rFonts w:eastAsia="Times New Roman" w:cstheme="minorHAnsi"/>
                <w:szCs w:val="24"/>
              </w:rPr>
            </w:pPr>
            <w:r w:rsidRPr="00675182">
              <w:rPr>
                <w:rFonts w:cstheme="minorHAnsi"/>
                <w:szCs w:val="24"/>
              </w:rPr>
              <w:t>Nezināms/Pieaug</w:t>
            </w:r>
          </w:p>
        </w:tc>
        <w:tc>
          <w:tcPr>
            <w:tcW w:w="788" w:type="pct"/>
            <w:shd w:val="clear" w:color="auto" w:fill="auto"/>
            <w:vAlign w:val="center"/>
          </w:tcPr>
          <w:p w14:paraId="6F014CCF" w14:textId="1333FF2E"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 xml:space="preserve">Ligzdo </w:t>
            </w:r>
            <w:r w:rsidR="00C00E73">
              <w:rPr>
                <w:rFonts w:eastAsia="Times New Roman" w:cstheme="minorHAnsi"/>
                <w:color w:val="000000"/>
                <w:szCs w:val="24"/>
                <w:lang w:eastAsia="en-GB"/>
              </w:rPr>
              <w:t>75</w:t>
            </w:r>
            <w:r w:rsidRPr="00675182">
              <w:rPr>
                <w:rFonts w:eastAsia="Times New Roman" w:cstheme="minorHAnsi"/>
                <w:color w:val="000000"/>
                <w:szCs w:val="24"/>
                <w:lang w:eastAsia="en-GB"/>
              </w:rPr>
              <w:t xml:space="preserve"> – </w:t>
            </w:r>
            <w:r w:rsidR="00C00E73">
              <w:rPr>
                <w:rFonts w:eastAsia="Times New Roman" w:cstheme="minorHAnsi"/>
                <w:color w:val="000000"/>
                <w:szCs w:val="24"/>
                <w:lang w:eastAsia="en-GB"/>
              </w:rPr>
              <w:t>100</w:t>
            </w:r>
            <w:r w:rsidRPr="00675182">
              <w:rPr>
                <w:rFonts w:eastAsia="Times New Roman" w:cstheme="minorHAnsi"/>
                <w:color w:val="000000"/>
                <w:szCs w:val="24"/>
                <w:lang w:eastAsia="en-GB"/>
              </w:rPr>
              <w:t xml:space="preserve"> pāri</w:t>
            </w:r>
          </w:p>
        </w:tc>
      </w:tr>
      <w:tr w:rsidR="00A63334" w:rsidRPr="00675182" w14:paraId="22982AA5" w14:textId="77777777" w:rsidTr="005B0A56">
        <w:trPr>
          <w:trHeight w:val="20"/>
        </w:trPr>
        <w:tc>
          <w:tcPr>
            <w:tcW w:w="405" w:type="pct"/>
            <w:vAlign w:val="center"/>
          </w:tcPr>
          <w:p w14:paraId="74E24302"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2731A401" w14:textId="77777777" w:rsidR="00A63334" w:rsidRPr="00675182" w:rsidRDefault="00A63334" w:rsidP="00A63334">
            <w:pPr>
              <w:rPr>
                <w:rFonts w:cstheme="minorHAnsi"/>
                <w:szCs w:val="24"/>
              </w:rPr>
            </w:pPr>
            <w:r w:rsidRPr="00675182">
              <w:rPr>
                <w:rFonts w:cstheme="minorHAnsi"/>
                <w:szCs w:val="24"/>
              </w:rPr>
              <w:t>Brūnā čakste</w:t>
            </w:r>
          </w:p>
        </w:tc>
        <w:tc>
          <w:tcPr>
            <w:tcW w:w="1114" w:type="pct"/>
            <w:shd w:val="clear" w:color="auto" w:fill="auto"/>
            <w:noWrap/>
            <w:vAlign w:val="center"/>
          </w:tcPr>
          <w:p w14:paraId="366D9301" w14:textId="77777777" w:rsidR="00A63334" w:rsidRPr="00675182" w:rsidRDefault="00A63334" w:rsidP="00A63334">
            <w:pPr>
              <w:rPr>
                <w:rFonts w:cstheme="minorHAnsi"/>
                <w:i/>
                <w:iCs/>
                <w:szCs w:val="24"/>
              </w:rPr>
            </w:pPr>
            <w:r w:rsidRPr="00675182">
              <w:rPr>
                <w:rFonts w:cstheme="minorHAnsi"/>
                <w:i/>
                <w:iCs/>
                <w:szCs w:val="24"/>
              </w:rPr>
              <w:t>Lanius collurio</w:t>
            </w:r>
          </w:p>
        </w:tc>
        <w:tc>
          <w:tcPr>
            <w:tcW w:w="591" w:type="pct"/>
            <w:vAlign w:val="center"/>
          </w:tcPr>
          <w:p w14:paraId="24AD62A2"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2AADAF74"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6430BD5F" w14:textId="77777777" w:rsidR="00A63334" w:rsidRPr="00675182" w:rsidRDefault="00A63334" w:rsidP="00A63334">
            <w:pPr>
              <w:jc w:val="center"/>
              <w:rPr>
                <w:rFonts w:eastAsia="Times New Roman" w:cstheme="minorHAnsi"/>
                <w:szCs w:val="24"/>
              </w:rPr>
            </w:pPr>
            <w:r w:rsidRPr="00675182">
              <w:rPr>
                <w:rFonts w:cstheme="minorHAnsi"/>
                <w:szCs w:val="24"/>
              </w:rPr>
              <w:t>Samazinās/Samazinās</w:t>
            </w:r>
          </w:p>
        </w:tc>
        <w:tc>
          <w:tcPr>
            <w:tcW w:w="788" w:type="pct"/>
            <w:shd w:val="clear" w:color="auto" w:fill="auto"/>
            <w:vAlign w:val="center"/>
          </w:tcPr>
          <w:p w14:paraId="3CDDC33F"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150 – 300 pāri</w:t>
            </w:r>
          </w:p>
        </w:tc>
      </w:tr>
      <w:tr w:rsidR="00A63334" w:rsidRPr="00675182" w14:paraId="45DD3FE4" w14:textId="77777777" w:rsidTr="005B0A56">
        <w:trPr>
          <w:trHeight w:val="20"/>
        </w:trPr>
        <w:tc>
          <w:tcPr>
            <w:tcW w:w="405" w:type="pct"/>
            <w:vAlign w:val="center"/>
          </w:tcPr>
          <w:p w14:paraId="3A174912"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2A5B0DDC" w14:textId="77777777" w:rsidR="00A63334" w:rsidRPr="00675182" w:rsidRDefault="00A63334" w:rsidP="00A63334">
            <w:pPr>
              <w:rPr>
                <w:rFonts w:cstheme="minorHAnsi"/>
                <w:szCs w:val="24"/>
              </w:rPr>
            </w:pPr>
            <w:r w:rsidRPr="00675182">
              <w:rPr>
                <w:rFonts w:cstheme="minorHAnsi"/>
                <w:szCs w:val="24"/>
              </w:rPr>
              <w:t>Sila cīrulis</w:t>
            </w:r>
          </w:p>
        </w:tc>
        <w:tc>
          <w:tcPr>
            <w:tcW w:w="1114" w:type="pct"/>
            <w:shd w:val="clear" w:color="auto" w:fill="auto"/>
            <w:noWrap/>
            <w:vAlign w:val="center"/>
          </w:tcPr>
          <w:p w14:paraId="022F6DFE" w14:textId="77777777" w:rsidR="00A63334" w:rsidRPr="00675182" w:rsidRDefault="00A63334" w:rsidP="00A63334">
            <w:pPr>
              <w:rPr>
                <w:rFonts w:cstheme="minorHAnsi"/>
                <w:i/>
                <w:iCs/>
                <w:szCs w:val="24"/>
              </w:rPr>
            </w:pPr>
            <w:r w:rsidRPr="00675182">
              <w:rPr>
                <w:rFonts w:cstheme="minorHAnsi"/>
                <w:i/>
                <w:iCs/>
                <w:szCs w:val="24"/>
              </w:rPr>
              <w:t>Lullula arborea</w:t>
            </w:r>
          </w:p>
        </w:tc>
        <w:tc>
          <w:tcPr>
            <w:tcW w:w="591" w:type="pct"/>
            <w:vAlign w:val="center"/>
          </w:tcPr>
          <w:p w14:paraId="709B5E2C"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1378A0F8"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15C4128D" w14:textId="77777777" w:rsidR="00A63334" w:rsidRPr="00675182" w:rsidRDefault="00A63334" w:rsidP="00A63334">
            <w:pPr>
              <w:jc w:val="center"/>
              <w:rPr>
                <w:rFonts w:eastAsia="Times New Roman" w:cstheme="minorHAnsi"/>
                <w:szCs w:val="24"/>
              </w:rPr>
            </w:pPr>
            <w:r w:rsidRPr="00675182">
              <w:rPr>
                <w:rFonts w:cstheme="minorHAnsi"/>
                <w:szCs w:val="24"/>
              </w:rPr>
              <w:t>Stabils/Pieaug</w:t>
            </w:r>
          </w:p>
        </w:tc>
        <w:tc>
          <w:tcPr>
            <w:tcW w:w="788" w:type="pct"/>
            <w:shd w:val="clear" w:color="auto" w:fill="auto"/>
            <w:vAlign w:val="center"/>
          </w:tcPr>
          <w:p w14:paraId="1E087781" w14:textId="35510B4B"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 xml:space="preserve">Ligzdo </w:t>
            </w:r>
            <w:r w:rsidR="00C00E73">
              <w:rPr>
                <w:rFonts w:eastAsia="Times New Roman" w:cstheme="minorHAnsi"/>
                <w:color w:val="000000"/>
                <w:szCs w:val="24"/>
                <w:lang w:eastAsia="en-GB"/>
              </w:rPr>
              <w:t>100</w:t>
            </w:r>
            <w:r w:rsidRPr="00675182">
              <w:rPr>
                <w:rFonts w:eastAsia="Times New Roman" w:cstheme="minorHAnsi"/>
                <w:color w:val="000000"/>
                <w:szCs w:val="24"/>
                <w:lang w:eastAsia="en-GB"/>
              </w:rPr>
              <w:t xml:space="preserve"> – </w:t>
            </w:r>
            <w:r w:rsidR="00C00E73">
              <w:rPr>
                <w:rFonts w:eastAsia="Times New Roman" w:cstheme="minorHAnsi"/>
                <w:color w:val="000000"/>
                <w:szCs w:val="24"/>
                <w:lang w:eastAsia="en-GB"/>
              </w:rPr>
              <w:t>200</w:t>
            </w:r>
            <w:r w:rsidRPr="00675182">
              <w:rPr>
                <w:rFonts w:eastAsia="Times New Roman" w:cstheme="minorHAnsi"/>
                <w:color w:val="000000"/>
                <w:szCs w:val="24"/>
                <w:lang w:eastAsia="en-GB"/>
              </w:rPr>
              <w:t xml:space="preserve"> pāri</w:t>
            </w:r>
          </w:p>
        </w:tc>
      </w:tr>
      <w:tr w:rsidR="00A63334" w:rsidRPr="00675182" w14:paraId="6FCCB50D" w14:textId="77777777" w:rsidTr="005B0A56">
        <w:trPr>
          <w:trHeight w:val="20"/>
        </w:trPr>
        <w:tc>
          <w:tcPr>
            <w:tcW w:w="405" w:type="pct"/>
            <w:vAlign w:val="center"/>
          </w:tcPr>
          <w:p w14:paraId="64AD364B"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6408C378" w14:textId="77777777" w:rsidR="00A63334" w:rsidRPr="00675182" w:rsidRDefault="00A63334" w:rsidP="00A63334">
            <w:pPr>
              <w:rPr>
                <w:rFonts w:cstheme="minorHAnsi"/>
                <w:szCs w:val="24"/>
              </w:rPr>
            </w:pPr>
            <w:r w:rsidRPr="00675182">
              <w:rPr>
                <w:rFonts w:cstheme="minorHAnsi"/>
                <w:szCs w:val="24"/>
              </w:rPr>
              <w:t>Svītrainais ķauķis</w:t>
            </w:r>
          </w:p>
        </w:tc>
        <w:tc>
          <w:tcPr>
            <w:tcW w:w="1114" w:type="pct"/>
            <w:shd w:val="clear" w:color="auto" w:fill="auto"/>
            <w:noWrap/>
            <w:vAlign w:val="center"/>
          </w:tcPr>
          <w:p w14:paraId="3F3FC5D5" w14:textId="77777777" w:rsidR="00A63334" w:rsidRPr="00675182" w:rsidRDefault="00A63334" w:rsidP="00A63334">
            <w:pPr>
              <w:rPr>
                <w:rFonts w:cstheme="minorHAnsi"/>
                <w:i/>
                <w:iCs/>
                <w:szCs w:val="24"/>
              </w:rPr>
            </w:pPr>
            <w:r w:rsidRPr="00675182">
              <w:rPr>
                <w:rFonts w:cstheme="minorHAnsi"/>
                <w:i/>
                <w:iCs/>
                <w:szCs w:val="24"/>
              </w:rPr>
              <w:t>Sylvia nisoria</w:t>
            </w:r>
          </w:p>
        </w:tc>
        <w:tc>
          <w:tcPr>
            <w:tcW w:w="591" w:type="pct"/>
            <w:vAlign w:val="center"/>
          </w:tcPr>
          <w:p w14:paraId="0C956428"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5A301BF6"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02AD8683" w14:textId="77777777" w:rsidR="00A63334" w:rsidRPr="00675182" w:rsidRDefault="00A63334" w:rsidP="00A63334">
            <w:pPr>
              <w:jc w:val="center"/>
              <w:rPr>
                <w:rFonts w:eastAsia="Times New Roman" w:cstheme="minorHAnsi"/>
                <w:szCs w:val="24"/>
              </w:rPr>
            </w:pPr>
            <w:r w:rsidRPr="00675182">
              <w:rPr>
                <w:rFonts w:cstheme="minorHAnsi"/>
                <w:szCs w:val="24"/>
              </w:rPr>
              <w:t>Pieaug/Pieaug</w:t>
            </w:r>
          </w:p>
        </w:tc>
        <w:tc>
          <w:tcPr>
            <w:tcW w:w="788" w:type="pct"/>
            <w:shd w:val="clear" w:color="auto" w:fill="auto"/>
            <w:vAlign w:val="center"/>
          </w:tcPr>
          <w:p w14:paraId="560DF068"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50 -75 pāri</w:t>
            </w:r>
          </w:p>
        </w:tc>
      </w:tr>
      <w:tr w:rsidR="00A63334" w:rsidRPr="00675182" w14:paraId="5A5A2925" w14:textId="77777777" w:rsidTr="005B0A56">
        <w:trPr>
          <w:trHeight w:val="20"/>
        </w:trPr>
        <w:tc>
          <w:tcPr>
            <w:tcW w:w="405" w:type="pct"/>
            <w:vAlign w:val="center"/>
          </w:tcPr>
          <w:p w14:paraId="1B4A9A74"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181408D1" w14:textId="77777777" w:rsidR="00A63334" w:rsidRPr="00675182" w:rsidRDefault="00A63334" w:rsidP="00A63334">
            <w:pPr>
              <w:rPr>
                <w:rFonts w:cstheme="minorHAnsi"/>
                <w:szCs w:val="24"/>
              </w:rPr>
            </w:pPr>
            <w:r w:rsidRPr="00675182">
              <w:rPr>
                <w:rFonts w:cstheme="minorHAnsi"/>
                <w:szCs w:val="24"/>
              </w:rPr>
              <w:t>Mazais mušķērājs</w:t>
            </w:r>
          </w:p>
        </w:tc>
        <w:tc>
          <w:tcPr>
            <w:tcW w:w="1114" w:type="pct"/>
            <w:shd w:val="clear" w:color="auto" w:fill="auto"/>
            <w:noWrap/>
            <w:vAlign w:val="center"/>
          </w:tcPr>
          <w:p w14:paraId="53A30800" w14:textId="77777777" w:rsidR="00A63334" w:rsidRPr="00675182" w:rsidRDefault="00A63334" w:rsidP="00A63334">
            <w:pPr>
              <w:rPr>
                <w:rFonts w:cstheme="minorHAnsi"/>
                <w:i/>
                <w:iCs/>
                <w:szCs w:val="24"/>
              </w:rPr>
            </w:pPr>
            <w:r w:rsidRPr="00675182">
              <w:rPr>
                <w:rFonts w:cstheme="minorHAnsi"/>
                <w:i/>
                <w:iCs/>
                <w:szCs w:val="24"/>
              </w:rPr>
              <w:t>Ficedula parva</w:t>
            </w:r>
          </w:p>
        </w:tc>
        <w:tc>
          <w:tcPr>
            <w:tcW w:w="591" w:type="pct"/>
            <w:vAlign w:val="center"/>
          </w:tcPr>
          <w:p w14:paraId="3076CC2E"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5883D4EE"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548C8E98" w14:textId="77777777" w:rsidR="00A63334" w:rsidRPr="00675182" w:rsidRDefault="00A63334" w:rsidP="00A63334">
            <w:pPr>
              <w:jc w:val="center"/>
              <w:rPr>
                <w:rFonts w:eastAsia="Times New Roman" w:cstheme="minorHAnsi"/>
                <w:szCs w:val="24"/>
              </w:rPr>
            </w:pPr>
            <w:r w:rsidRPr="00675182">
              <w:rPr>
                <w:rFonts w:cstheme="minorHAnsi"/>
                <w:szCs w:val="24"/>
              </w:rPr>
              <w:t>Pieaug/Stabils</w:t>
            </w:r>
          </w:p>
        </w:tc>
        <w:tc>
          <w:tcPr>
            <w:tcW w:w="788" w:type="pct"/>
            <w:shd w:val="clear" w:color="auto" w:fill="auto"/>
            <w:vAlign w:val="center"/>
          </w:tcPr>
          <w:p w14:paraId="2F4738C8" w14:textId="2AD9C218"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 xml:space="preserve">Ligzdo </w:t>
            </w:r>
            <w:r w:rsidR="00C00E73">
              <w:rPr>
                <w:rFonts w:eastAsia="Times New Roman" w:cstheme="minorHAnsi"/>
                <w:color w:val="000000"/>
                <w:szCs w:val="24"/>
                <w:lang w:eastAsia="en-GB"/>
              </w:rPr>
              <w:t>250</w:t>
            </w:r>
            <w:r w:rsidRPr="00675182">
              <w:rPr>
                <w:rFonts w:eastAsia="Times New Roman" w:cstheme="minorHAnsi"/>
                <w:color w:val="000000"/>
                <w:szCs w:val="24"/>
                <w:lang w:eastAsia="en-GB"/>
              </w:rPr>
              <w:t xml:space="preserve"> – </w:t>
            </w:r>
            <w:r w:rsidR="00C00E73">
              <w:rPr>
                <w:rFonts w:eastAsia="Times New Roman" w:cstheme="minorHAnsi"/>
                <w:color w:val="000000"/>
                <w:szCs w:val="24"/>
                <w:lang w:eastAsia="en-GB"/>
              </w:rPr>
              <w:t>5</w:t>
            </w:r>
            <w:r w:rsidRPr="00675182">
              <w:rPr>
                <w:rFonts w:eastAsia="Times New Roman" w:cstheme="minorHAnsi"/>
                <w:color w:val="000000"/>
                <w:szCs w:val="24"/>
                <w:lang w:eastAsia="en-GB"/>
              </w:rPr>
              <w:t>00 pāri</w:t>
            </w:r>
          </w:p>
        </w:tc>
      </w:tr>
      <w:tr w:rsidR="00A63334" w:rsidRPr="00675182" w14:paraId="4123C9BC" w14:textId="77777777" w:rsidTr="005B0A56">
        <w:trPr>
          <w:trHeight w:val="20"/>
        </w:trPr>
        <w:tc>
          <w:tcPr>
            <w:tcW w:w="405" w:type="pct"/>
            <w:vAlign w:val="center"/>
          </w:tcPr>
          <w:p w14:paraId="520B017E" w14:textId="77777777" w:rsidR="00A63334" w:rsidRPr="00675182" w:rsidRDefault="00A63334" w:rsidP="00A84218">
            <w:pPr>
              <w:pStyle w:val="ListParagraph"/>
              <w:numPr>
                <w:ilvl w:val="0"/>
                <w:numId w:val="12"/>
              </w:numPr>
              <w:contextualSpacing/>
              <w:jc w:val="center"/>
              <w:rPr>
                <w:rFonts w:eastAsia="Times New Roman" w:cstheme="minorHAnsi"/>
                <w:color w:val="000000"/>
                <w:szCs w:val="24"/>
                <w:lang w:eastAsia="en-GB"/>
              </w:rPr>
            </w:pPr>
          </w:p>
        </w:tc>
        <w:tc>
          <w:tcPr>
            <w:tcW w:w="749" w:type="pct"/>
            <w:shd w:val="clear" w:color="auto" w:fill="auto"/>
            <w:noWrap/>
            <w:vAlign w:val="center"/>
          </w:tcPr>
          <w:p w14:paraId="0B452069" w14:textId="77777777" w:rsidR="00A63334" w:rsidRPr="00675182" w:rsidRDefault="00A63334" w:rsidP="00A63334">
            <w:pPr>
              <w:rPr>
                <w:rFonts w:cstheme="minorHAnsi"/>
                <w:szCs w:val="24"/>
              </w:rPr>
            </w:pPr>
            <w:r w:rsidRPr="00675182">
              <w:rPr>
                <w:rFonts w:cstheme="minorHAnsi"/>
                <w:szCs w:val="24"/>
              </w:rPr>
              <w:t>Dārza stērste</w:t>
            </w:r>
          </w:p>
        </w:tc>
        <w:tc>
          <w:tcPr>
            <w:tcW w:w="1114" w:type="pct"/>
            <w:shd w:val="clear" w:color="auto" w:fill="auto"/>
            <w:noWrap/>
            <w:vAlign w:val="center"/>
          </w:tcPr>
          <w:p w14:paraId="75F90341" w14:textId="77777777" w:rsidR="00A63334" w:rsidRPr="00675182" w:rsidRDefault="00A63334" w:rsidP="00A63334">
            <w:pPr>
              <w:rPr>
                <w:rFonts w:cstheme="minorHAnsi"/>
                <w:i/>
                <w:iCs/>
                <w:szCs w:val="24"/>
              </w:rPr>
            </w:pPr>
            <w:r w:rsidRPr="00675182">
              <w:rPr>
                <w:rFonts w:cstheme="minorHAnsi"/>
                <w:i/>
                <w:iCs/>
                <w:szCs w:val="24"/>
              </w:rPr>
              <w:t>Emberiza hortulana</w:t>
            </w:r>
          </w:p>
        </w:tc>
        <w:tc>
          <w:tcPr>
            <w:tcW w:w="591" w:type="pct"/>
            <w:vAlign w:val="center"/>
          </w:tcPr>
          <w:p w14:paraId="6CFECDC5" w14:textId="77777777" w:rsidR="00A63334" w:rsidRPr="00675182" w:rsidRDefault="00A63334" w:rsidP="00A63334">
            <w:pPr>
              <w:rPr>
                <w:rFonts w:eastAsia="Times New Roman" w:cstheme="minorHAnsi"/>
                <w:szCs w:val="24"/>
              </w:rPr>
            </w:pPr>
            <w:r w:rsidRPr="00675182">
              <w:rPr>
                <w:rFonts w:eastAsia="Times New Roman" w:cstheme="minorHAnsi"/>
                <w:szCs w:val="24"/>
              </w:rPr>
              <w:t>ĪAS, ES I</w:t>
            </w:r>
          </w:p>
        </w:tc>
        <w:tc>
          <w:tcPr>
            <w:tcW w:w="404" w:type="pct"/>
            <w:shd w:val="clear" w:color="auto" w:fill="auto"/>
            <w:vAlign w:val="center"/>
          </w:tcPr>
          <w:p w14:paraId="0628F3D5" w14:textId="77777777" w:rsidR="00A63334" w:rsidRPr="00675182" w:rsidRDefault="00A63334" w:rsidP="00A63334">
            <w:pPr>
              <w:rPr>
                <w:rFonts w:eastAsia="Times New Roman" w:cstheme="minorHAnsi"/>
                <w:szCs w:val="24"/>
              </w:rPr>
            </w:pPr>
          </w:p>
        </w:tc>
        <w:tc>
          <w:tcPr>
            <w:tcW w:w="949" w:type="pct"/>
            <w:shd w:val="clear" w:color="auto" w:fill="auto"/>
            <w:noWrap/>
            <w:vAlign w:val="center"/>
          </w:tcPr>
          <w:p w14:paraId="6C1EF031" w14:textId="77777777" w:rsidR="00A63334" w:rsidRPr="00675182" w:rsidRDefault="00A63334" w:rsidP="00A63334">
            <w:pPr>
              <w:jc w:val="center"/>
              <w:rPr>
                <w:rFonts w:eastAsia="Times New Roman" w:cstheme="minorHAnsi"/>
                <w:szCs w:val="24"/>
              </w:rPr>
            </w:pPr>
            <w:r w:rsidRPr="00675182">
              <w:rPr>
                <w:rFonts w:cstheme="minorHAnsi"/>
                <w:szCs w:val="24"/>
              </w:rPr>
              <w:t>Samazinās/Neskaidrs</w:t>
            </w:r>
          </w:p>
        </w:tc>
        <w:tc>
          <w:tcPr>
            <w:tcW w:w="788" w:type="pct"/>
            <w:shd w:val="clear" w:color="auto" w:fill="auto"/>
            <w:vAlign w:val="center"/>
          </w:tcPr>
          <w:p w14:paraId="79F18261" w14:textId="77777777" w:rsidR="00A63334" w:rsidRPr="00675182" w:rsidRDefault="00A63334" w:rsidP="00A63334">
            <w:pPr>
              <w:rPr>
                <w:rFonts w:eastAsia="Times New Roman" w:cstheme="minorHAnsi"/>
                <w:color w:val="000000"/>
                <w:szCs w:val="24"/>
                <w:lang w:eastAsia="en-GB"/>
              </w:rPr>
            </w:pPr>
            <w:r w:rsidRPr="00675182">
              <w:rPr>
                <w:rFonts w:eastAsia="Times New Roman" w:cstheme="minorHAnsi"/>
                <w:color w:val="000000"/>
                <w:szCs w:val="24"/>
                <w:lang w:eastAsia="en-GB"/>
              </w:rPr>
              <w:t>Ligzdo 0 – 1 pāris</w:t>
            </w:r>
          </w:p>
        </w:tc>
      </w:tr>
    </w:tbl>
    <w:p w14:paraId="395D35B6" w14:textId="3B78DCAE" w:rsidR="00C34D65" w:rsidRPr="00675182" w:rsidRDefault="00C34D65" w:rsidP="002B3341">
      <w:pPr>
        <w:rPr>
          <w:rFonts w:cstheme="minorHAnsi"/>
          <w:b/>
          <w:bCs/>
          <w:i/>
          <w:iCs/>
        </w:rPr>
      </w:pPr>
    </w:p>
    <w:p w14:paraId="1740B891" w14:textId="251022B2" w:rsidR="000137FF" w:rsidRPr="00675182" w:rsidRDefault="000137FF" w:rsidP="000137FF">
      <w:pPr>
        <w:rPr>
          <w:rFonts w:cstheme="minorHAnsi"/>
          <w:sz w:val="20"/>
        </w:rPr>
      </w:pPr>
      <w:r w:rsidRPr="00675182">
        <w:rPr>
          <w:rFonts w:cstheme="minorHAnsi"/>
          <w:sz w:val="20"/>
        </w:rPr>
        <w:t xml:space="preserve">Informācija par sugu aizsardzības stāvokli Latvijā no „Ziņojums Eiropas Komisijai par </w:t>
      </w:r>
      <w:r w:rsidR="00DA3A37" w:rsidRPr="00675182">
        <w:rPr>
          <w:rFonts w:cstheme="minorHAnsi"/>
          <w:sz w:val="20"/>
        </w:rPr>
        <w:t>putnu</w:t>
      </w:r>
      <w:r w:rsidRPr="00675182">
        <w:rPr>
          <w:rFonts w:cstheme="minorHAnsi"/>
          <w:sz w:val="20"/>
        </w:rPr>
        <w:t xml:space="preserve"> sugu aizsardzības stāvokli Latvijā. Novērtējums par 2013.-2018. gada periodu” </w:t>
      </w:r>
    </w:p>
    <w:p w14:paraId="7DBA8482" w14:textId="77777777" w:rsidR="00C34D65" w:rsidRPr="00675182" w:rsidRDefault="00C34D65" w:rsidP="002B3341">
      <w:pPr>
        <w:pStyle w:val="FootnoteText"/>
        <w:rPr>
          <w:rFonts w:cstheme="minorHAnsi"/>
        </w:rPr>
      </w:pPr>
    </w:p>
    <w:p w14:paraId="777A57AC" w14:textId="77777777" w:rsidR="00030027" w:rsidRPr="00675182" w:rsidRDefault="00677AA8" w:rsidP="002B3341">
      <w:pPr>
        <w:pStyle w:val="FootnoteText"/>
        <w:rPr>
          <w:rFonts w:cstheme="minorHAnsi"/>
          <w:b/>
          <w:bCs/>
        </w:rPr>
      </w:pPr>
      <w:r w:rsidRPr="00675182">
        <w:rPr>
          <w:rFonts w:cstheme="minorHAnsi"/>
          <w:b/>
          <w:bCs/>
        </w:rPr>
        <w:t>Saīsinājumi:</w:t>
      </w:r>
    </w:p>
    <w:p w14:paraId="2B8269C8" w14:textId="77777777" w:rsidR="00030027" w:rsidRPr="00675182" w:rsidRDefault="00030027" w:rsidP="002B3341">
      <w:pPr>
        <w:pStyle w:val="FootnoteText"/>
        <w:rPr>
          <w:rFonts w:cstheme="minorHAnsi"/>
        </w:rPr>
      </w:pPr>
      <w:r w:rsidRPr="00675182">
        <w:rPr>
          <w:rFonts w:cstheme="minorHAnsi"/>
          <w:b/>
          <w:bCs/>
        </w:rPr>
        <w:t>SG</w:t>
      </w:r>
      <w:r w:rsidRPr="00675182">
        <w:rPr>
          <w:rFonts w:cstheme="minorHAnsi"/>
        </w:rPr>
        <w:t xml:space="preserve"> – </w:t>
      </w:r>
      <w:r w:rsidRPr="00675182">
        <w:rPr>
          <w:rFonts w:cstheme="minorHAnsi"/>
          <w:spacing w:val="-1"/>
        </w:rPr>
        <w:t xml:space="preserve">Latvijas Sarkanā grāmata. LSG tiek lietotas šādas apdraudēto sugu kategorijas: </w:t>
      </w:r>
      <w:r w:rsidRPr="00675182">
        <w:rPr>
          <w:rFonts w:cstheme="minorHAnsi"/>
          <w:b/>
          <w:bCs/>
        </w:rPr>
        <w:t>I</w:t>
      </w:r>
      <w:r w:rsidRPr="00675182">
        <w:rPr>
          <w:rFonts w:cstheme="minorHAnsi"/>
        </w:rPr>
        <w:t xml:space="preserve"> - izzūdošās sugas; </w:t>
      </w:r>
      <w:r w:rsidRPr="00675182">
        <w:rPr>
          <w:rFonts w:cstheme="minorHAnsi"/>
          <w:b/>
          <w:bCs/>
        </w:rPr>
        <w:t>II</w:t>
      </w:r>
      <w:r w:rsidRPr="00675182">
        <w:rPr>
          <w:rFonts w:cstheme="minorHAnsi"/>
        </w:rPr>
        <w:t xml:space="preserve"> </w:t>
      </w:r>
      <w:r w:rsidRPr="00675182">
        <w:rPr>
          <w:rFonts w:cstheme="minorHAnsi"/>
          <w:spacing w:val="-1"/>
        </w:rPr>
        <w:t xml:space="preserve">- sarūkošās sugas; </w:t>
      </w:r>
      <w:r w:rsidRPr="00675182">
        <w:rPr>
          <w:rFonts w:cstheme="minorHAnsi"/>
          <w:b/>
          <w:bCs/>
          <w:spacing w:val="-1"/>
        </w:rPr>
        <w:t>III</w:t>
      </w:r>
      <w:r w:rsidRPr="00675182">
        <w:rPr>
          <w:rFonts w:cstheme="minorHAnsi"/>
          <w:spacing w:val="-1"/>
        </w:rPr>
        <w:t xml:space="preserve"> - retās sugas; </w:t>
      </w:r>
      <w:r w:rsidRPr="00675182">
        <w:rPr>
          <w:rFonts w:cstheme="minorHAnsi"/>
          <w:b/>
          <w:bCs/>
          <w:spacing w:val="-1"/>
        </w:rPr>
        <w:t>IV</w:t>
      </w:r>
      <w:r w:rsidRPr="00675182">
        <w:rPr>
          <w:rFonts w:cstheme="minorHAnsi"/>
          <w:spacing w:val="-1"/>
        </w:rPr>
        <w:t xml:space="preserve"> - maz pazīstamās sugas.</w:t>
      </w:r>
    </w:p>
    <w:p w14:paraId="4520E0B8" w14:textId="084E0DA5" w:rsidR="00030027" w:rsidRPr="00675182" w:rsidRDefault="00030027" w:rsidP="002B3341">
      <w:pPr>
        <w:shd w:val="clear" w:color="auto" w:fill="FFFFFF"/>
        <w:rPr>
          <w:rFonts w:cstheme="minorHAnsi"/>
          <w:sz w:val="20"/>
        </w:rPr>
      </w:pPr>
      <w:r w:rsidRPr="00675182">
        <w:rPr>
          <w:rFonts w:cstheme="minorHAnsi"/>
          <w:b/>
          <w:bCs/>
          <w:sz w:val="20"/>
        </w:rPr>
        <w:t>ES</w:t>
      </w:r>
      <w:r w:rsidRPr="00675182">
        <w:rPr>
          <w:rFonts w:cstheme="minorHAnsi"/>
          <w:sz w:val="20"/>
        </w:rPr>
        <w:t xml:space="preserve">–Eiropas Padomes Direktīva </w:t>
      </w:r>
      <w:r w:rsidR="00934D04" w:rsidRPr="00675182">
        <w:rPr>
          <w:rFonts w:cstheme="minorHAnsi"/>
          <w:sz w:val="20"/>
        </w:rPr>
        <w:t xml:space="preserve">2009/147/EK </w:t>
      </w:r>
      <w:r w:rsidRPr="00675182">
        <w:rPr>
          <w:rFonts w:cstheme="minorHAnsi"/>
          <w:sz w:val="20"/>
        </w:rPr>
        <w:t xml:space="preserve">Par savvaļas putnu aizsardzību. </w:t>
      </w:r>
      <w:r w:rsidRPr="00675182">
        <w:rPr>
          <w:rFonts w:cstheme="minorHAnsi"/>
          <w:b/>
          <w:bCs/>
          <w:sz w:val="20"/>
        </w:rPr>
        <w:t xml:space="preserve">I </w:t>
      </w:r>
      <w:r w:rsidRPr="00675182">
        <w:rPr>
          <w:rFonts w:cstheme="minorHAnsi"/>
          <w:sz w:val="20"/>
        </w:rPr>
        <w:t xml:space="preserve">pielikums. Sugas, kurām jāpiemēro īpaši dzīvotņu aizsardzības pasākumi, lai nodrošinātu to izdzīvošanu un vairošanos savā izplatības areālā. </w:t>
      </w:r>
      <w:r w:rsidRPr="00675182">
        <w:rPr>
          <w:rFonts w:cstheme="minorHAnsi"/>
          <w:b/>
          <w:bCs/>
          <w:sz w:val="20"/>
        </w:rPr>
        <w:t>II</w:t>
      </w:r>
      <w:r w:rsidRPr="00675182">
        <w:rPr>
          <w:rFonts w:cstheme="minorHAnsi"/>
          <w:sz w:val="20"/>
        </w:rPr>
        <w:t xml:space="preserve"> pielikumā minētās sugas drīkst medīt saskaņā ar dalībvalstu tiesību aktiem.</w:t>
      </w:r>
    </w:p>
    <w:p w14:paraId="1959BC20" w14:textId="77777777" w:rsidR="00030027" w:rsidRPr="00675182" w:rsidRDefault="00030027" w:rsidP="002B3341">
      <w:pPr>
        <w:shd w:val="clear" w:color="auto" w:fill="FFFFFF"/>
        <w:rPr>
          <w:rFonts w:cstheme="minorHAnsi"/>
          <w:sz w:val="20"/>
        </w:rPr>
      </w:pPr>
      <w:r w:rsidRPr="00675182">
        <w:rPr>
          <w:rFonts w:cstheme="minorHAnsi"/>
          <w:b/>
          <w:bCs/>
          <w:sz w:val="20"/>
        </w:rPr>
        <w:t xml:space="preserve">ĪAS </w:t>
      </w:r>
      <w:r w:rsidRPr="00675182">
        <w:rPr>
          <w:rFonts w:cstheme="minorHAnsi"/>
          <w:sz w:val="20"/>
        </w:rPr>
        <w:t xml:space="preserve">– īpaši aizsargājama suga, 1. un 2. pielikums MK 2000. gada 14. novembra noteikumiem Nr. 396 ”Noteikumi par īpaši aizsargājamo sugu un ierobežoti izmantojamo īpaši aizsargājamo sugu sarakstu” </w:t>
      </w:r>
    </w:p>
    <w:p w14:paraId="2292E3D4" w14:textId="2E2E37D0" w:rsidR="00030027" w:rsidRDefault="00030027" w:rsidP="002B3341">
      <w:pPr>
        <w:rPr>
          <w:rFonts w:cstheme="minorHAnsi"/>
          <w:sz w:val="20"/>
          <w:szCs w:val="24"/>
        </w:rPr>
      </w:pPr>
      <w:r w:rsidRPr="00675182">
        <w:rPr>
          <w:rFonts w:cstheme="minorHAnsi"/>
          <w:b/>
          <w:bCs/>
          <w:sz w:val="20"/>
        </w:rPr>
        <w:t xml:space="preserve">MIK </w:t>
      </w:r>
      <w:r w:rsidRPr="00675182">
        <w:rPr>
          <w:rFonts w:cstheme="minorHAnsi"/>
          <w:sz w:val="20"/>
        </w:rPr>
        <w:t xml:space="preserve">– </w:t>
      </w:r>
      <w:r w:rsidRPr="00675182">
        <w:rPr>
          <w:rFonts w:cstheme="minorHAnsi"/>
          <w:sz w:val="20"/>
          <w:szCs w:val="24"/>
        </w:rPr>
        <w:t xml:space="preserve">sugas aizsardzībai veidojams mikroliegums, 2. pielikums </w:t>
      </w:r>
      <w:r w:rsidR="00F2142E" w:rsidRPr="00675182">
        <w:rPr>
          <w:rFonts w:cstheme="minorHAnsi"/>
          <w:sz w:val="20"/>
          <w:szCs w:val="24"/>
        </w:rPr>
        <w:t xml:space="preserve">MK </w:t>
      </w:r>
      <w:r w:rsidRPr="00675182">
        <w:rPr>
          <w:rFonts w:cstheme="minorHAnsi"/>
          <w:sz w:val="20"/>
          <w:szCs w:val="24"/>
        </w:rPr>
        <w:t>2012. gada 18. decembra noteikumiem Nr. 940 „Noteikumi par mikroliegumu izveidošanas un apsaimniekošanas kārtību, to aizsardzību, kā arī mikroliegumu un to buferzonu noteikšanu”</w:t>
      </w:r>
    </w:p>
    <w:p w14:paraId="256554AA" w14:textId="77777777" w:rsidR="006D6576" w:rsidRDefault="006D6576" w:rsidP="002B3341">
      <w:pPr>
        <w:rPr>
          <w:rFonts w:cstheme="minorHAnsi"/>
          <w:sz w:val="20"/>
          <w:szCs w:val="24"/>
        </w:rPr>
      </w:pPr>
    </w:p>
    <w:p w14:paraId="7CB0F27F" w14:textId="572C1319" w:rsidR="006D6576" w:rsidRPr="00315BC7" w:rsidRDefault="006D6576" w:rsidP="006D6576">
      <w:pPr>
        <w:pStyle w:val="BodyText"/>
        <w:keepNext/>
        <w:keepLines/>
        <w:spacing w:after="0"/>
        <w:rPr>
          <w:rFonts w:cstheme="minorBidi"/>
          <w:b/>
          <w:bCs/>
          <w:i/>
          <w:iCs/>
          <w:lang w:val="lv-LV"/>
        </w:rPr>
      </w:pPr>
      <w:r w:rsidRPr="00675182">
        <w:rPr>
          <w:rFonts w:cstheme="minorHAnsi"/>
          <w:b/>
          <w:i/>
          <w:lang w:val="lv-LV"/>
        </w:rPr>
        <w:lastRenderedPageBreak/>
        <w:t>2.4.</w:t>
      </w:r>
      <w:r>
        <w:rPr>
          <w:rFonts w:cstheme="minorHAnsi"/>
          <w:b/>
          <w:i/>
          <w:lang w:val="lv-LV"/>
        </w:rPr>
        <w:t>4</w:t>
      </w:r>
      <w:r w:rsidRPr="00675182">
        <w:rPr>
          <w:rFonts w:cstheme="minorHAnsi"/>
          <w:b/>
          <w:i/>
          <w:lang w:val="lv-LV"/>
        </w:rPr>
        <w:t>.</w:t>
      </w:r>
      <w:r>
        <w:rPr>
          <w:rFonts w:cstheme="minorHAnsi"/>
          <w:b/>
          <w:i/>
          <w:lang w:val="lv-LV"/>
        </w:rPr>
        <w:t>B.</w:t>
      </w:r>
      <w:r w:rsidRPr="00675182">
        <w:rPr>
          <w:rFonts w:cstheme="minorHAnsi"/>
          <w:b/>
          <w:i/>
          <w:lang w:val="lv-LV"/>
        </w:rPr>
        <w:t xml:space="preserve"> tabula. </w:t>
      </w:r>
      <w:r w:rsidRPr="00315BC7">
        <w:rPr>
          <w:rFonts w:cstheme="minorBidi"/>
          <w:b/>
          <w:bCs/>
          <w:i/>
          <w:iCs/>
          <w:lang w:val="lv-LV"/>
        </w:rPr>
        <w:t xml:space="preserve">Biotopu direktīvas pielikumos iekļauto </w:t>
      </w:r>
      <w:r>
        <w:rPr>
          <w:rFonts w:cstheme="minorBidi"/>
          <w:b/>
          <w:bCs/>
          <w:i/>
          <w:iCs/>
          <w:lang w:val="lv-LV"/>
        </w:rPr>
        <w:t>putnu sugu</w:t>
      </w:r>
      <w:r w:rsidRPr="00315BC7">
        <w:rPr>
          <w:rFonts w:cstheme="minorBidi"/>
          <w:b/>
          <w:bCs/>
          <w:i/>
          <w:iCs/>
          <w:lang w:val="lv-LV"/>
        </w:rPr>
        <w:t xml:space="preserve"> populāciju lielums </w:t>
      </w:r>
      <w:r>
        <w:rPr>
          <w:rFonts w:cstheme="minorBidi"/>
          <w:b/>
          <w:bCs/>
          <w:i/>
          <w:iCs/>
          <w:lang w:val="lv-LV"/>
        </w:rPr>
        <w:t>GNP</w:t>
      </w:r>
      <w:r w:rsidR="00E333DE">
        <w:rPr>
          <w:rStyle w:val="FootnoteReference"/>
          <w:rFonts w:cstheme="minorBidi"/>
          <w:b/>
          <w:bCs/>
          <w:i/>
          <w:iCs/>
          <w:lang w:val="lv-LV"/>
        </w:rPr>
        <w:footnoteReference w:id="27"/>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3521"/>
        <w:gridCol w:w="963"/>
        <w:gridCol w:w="848"/>
        <w:gridCol w:w="3579"/>
        <w:gridCol w:w="3710"/>
      </w:tblGrid>
      <w:tr w:rsidR="00C2745B" w:rsidRPr="00C2745B" w14:paraId="5587823E" w14:textId="77777777" w:rsidTr="00C00E73">
        <w:trPr>
          <w:tblHeader/>
        </w:trPr>
        <w:tc>
          <w:tcPr>
            <w:tcW w:w="475" w:type="pct"/>
            <w:vMerge w:val="restart"/>
            <w:shd w:val="clear" w:color="auto" w:fill="D6E3BC" w:themeFill="accent3" w:themeFillTint="66"/>
            <w:vAlign w:val="center"/>
          </w:tcPr>
          <w:bookmarkEnd w:id="86"/>
          <w:p w14:paraId="3A1DF34E" w14:textId="77777777" w:rsidR="00C2745B" w:rsidRPr="00C2745B" w:rsidRDefault="00C2745B" w:rsidP="00C2745B">
            <w:pPr>
              <w:jc w:val="center"/>
              <w:rPr>
                <w:rFonts w:cstheme="minorHAnsi"/>
                <w:b/>
                <w:bCs/>
                <w:sz w:val="22"/>
                <w:szCs w:val="22"/>
              </w:rPr>
            </w:pPr>
            <w:r w:rsidRPr="00C2745B">
              <w:rPr>
                <w:rFonts w:cstheme="minorHAnsi"/>
                <w:b/>
                <w:bCs/>
                <w:sz w:val="22"/>
                <w:szCs w:val="22"/>
              </w:rPr>
              <w:t>Nr.p.k.</w:t>
            </w:r>
          </w:p>
        </w:tc>
        <w:tc>
          <w:tcPr>
            <w:tcW w:w="1262" w:type="pct"/>
            <w:vMerge w:val="restart"/>
            <w:shd w:val="clear" w:color="auto" w:fill="D6E3BC" w:themeFill="accent3" w:themeFillTint="66"/>
            <w:vAlign w:val="center"/>
          </w:tcPr>
          <w:p w14:paraId="2A0BCF87" w14:textId="77777777" w:rsidR="00C2745B" w:rsidRPr="00C2745B" w:rsidRDefault="00C2745B" w:rsidP="00C2745B">
            <w:pPr>
              <w:jc w:val="center"/>
              <w:rPr>
                <w:rFonts w:cstheme="minorHAnsi"/>
                <w:b/>
                <w:bCs/>
                <w:sz w:val="22"/>
                <w:szCs w:val="22"/>
              </w:rPr>
            </w:pPr>
            <w:r w:rsidRPr="00C2745B">
              <w:rPr>
                <w:rFonts w:cstheme="minorHAnsi"/>
                <w:b/>
                <w:bCs/>
                <w:sz w:val="22"/>
                <w:szCs w:val="22"/>
              </w:rPr>
              <w:t>Sugas nosaukums (latviski un latīniski)</w:t>
            </w:r>
          </w:p>
        </w:tc>
        <w:tc>
          <w:tcPr>
            <w:tcW w:w="649" w:type="pct"/>
            <w:gridSpan w:val="2"/>
            <w:shd w:val="clear" w:color="auto" w:fill="D6E3BC" w:themeFill="accent3" w:themeFillTint="66"/>
            <w:vAlign w:val="center"/>
          </w:tcPr>
          <w:p w14:paraId="22253FDE" w14:textId="77777777" w:rsidR="00C2745B" w:rsidRPr="00C2745B" w:rsidRDefault="00C2745B" w:rsidP="00C2745B">
            <w:pPr>
              <w:jc w:val="center"/>
              <w:rPr>
                <w:rFonts w:cstheme="minorHAnsi"/>
                <w:b/>
                <w:bCs/>
                <w:sz w:val="22"/>
                <w:szCs w:val="22"/>
              </w:rPr>
            </w:pPr>
            <w:r w:rsidRPr="00C2745B">
              <w:rPr>
                <w:rFonts w:cstheme="minorHAnsi"/>
                <w:b/>
                <w:bCs/>
                <w:sz w:val="22"/>
                <w:szCs w:val="22"/>
              </w:rPr>
              <w:t>Sugas populācijas lielums teritorijā</w:t>
            </w:r>
          </w:p>
        </w:tc>
        <w:tc>
          <w:tcPr>
            <w:tcW w:w="1283" w:type="pct"/>
            <w:vMerge w:val="restart"/>
            <w:shd w:val="clear" w:color="auto" w:fill="D6E3BC" w:themeFill="accent3" w:themeFillTint="66"/>
            <w:vAlign w:val="center"/>
          </w:tcPr>
          <w:p w14:paraId="0A0FE89D" w14:textId="77777777" w:rsidR="00C2745B" w:rsidRPr="00C2745B" w:rsidRDefault="00C2745B" w:rsidP="00C2745B">
            <w:pPr>
              <w:jc w:val="center"/>
              <w:rPr>
                <w:rFonts w:cstheme="minorHAnsi"/>
                <w:b/>
                <w:bCs/>
                <w:sz w:val="22"/>
                <w:szCs w:val="22"/>
              </w:rPr>
            </w:pPr>
            <w:r w:rsidRPr="00C2745B">
              <w:rPr>
                <w:rFonts w:cstheme="minorHAnsi"/>
                <w:b/>
                <w:bCs/>
                <w:sz w:val="22"/>
                <w:szCs w:val="22"/>
              </w:rPr>
              <w:t>Teritorijā esošās sugas populācijas attiecība (%) pret sugas populāciju Natura 2000 teritorijās Latvijā kopumā</w:t>
            </w:r>
          </w:p>
        </w:tc>
        <w:tc>
          <w:tcPr>
            <w:tcW w:w="1330" w:type="pct"/>
            <w:vMerge w:val="restart"/>
            <w:shd w:val="clear" w:color="auto" w:fill="D6E3BC" w:themeFill="accent3" w:themeFillTint="66"/>
            <w:vAlign w:val="center"/>
          </w:tcPr>
          <w:p w14:paraId="1F5B9505" w14:textId="77777777" w:rsidR="00C2745B" w:rsidRPr="00C2745B" w:rsidRDefault="00C2745B" w:rsidP="00C2745B">
            <w:pPr>
              <w:jc w:val="center"/>
              <w:rPr>
                <w:rFonts w:cstheme="minorHAnsi"/>
                <w:b/>
                <w:bCs/>
                <w:sz w:val="22"/>
                <w:szCs w:val="22"/>
              </w:rPr>
            </w:pPr>
            <w:r w:rsidRPr="00C2745B">
              <w:rPr>
                <w:rFonts w:cstheme="minorHAnsi"/>
                <w:b/>
                <w:bCs/>
                <w:sz w:val="22"/>
                <w:szCs w:val="22"/>
              </w:rPr>
              <w:t>Teritorijā esošās sugas populācijas attiecība (%) pret sugas populāciju valstī</w:t>
            </w:r>
          </w:p>
        </w:tc>
      </w:tr>
      <w:tr w:rsidR="00C2745B" w:rsidRPr="00C2745B" w14:paraId="5BB6BB28" w14:textId="77777777" w:rsidTr="00C00E73">
        <w:trPr>
          <w:trHeight w:val="760"/>
        </w:trPr>
        <w:tc>
          <w:tcPr>
            <w:tcW w:w="475" w:type="pct"/>
            <w:vMerge/>
            <w:vAlign w:val="center"/>
          </w:tcPr>
          <w:p w14:paraId="4A9C5CCA" w14:textId="77777777" w:rsidR="00C2745B" w:rsidRPr="00C2745B" w:rsidRDefault="00C2745B" w:rsidP="00C2745B">
            <w:pPr>
              <w:jc w:val="center"/>
              <w:rPr>
                <w:rFonts w:cstheme="minorHAnsi"/>
                <w:sz w:val="22"/>
                <w:szCs w:val="22"/>
              </w:rPr>
            </w:pPr>
          </w:p>
        </w:tc>
        <w:tc>
          <w:tcPr>
            <w:tcW w:w="1262" w:type="pct"/>
            <w:vMerge/>
            <w:vAlign w:val="center"/>
          </w:tcPr>
          <w:p w14:paraId="6BA08A2C" w14:textId="77777777" w:rsidR="00C2745B" w:rsidRPr="00C2745B" w:rsidRDefault="00C2745B" w:rsidP="00C2745B">
            <w:pPr>
              <w:jc w:val="center"/>
              <w:rPr>
                <w:rFonts w:cstheme="minorHAnsi"/>
                <w:sz w:val="22"/>
                <w:szCs w:val="22"/>
              </w:rPr>
            </w:pPr>
          </w:p>
        </w:tc>
        <w:tc>
          <w:tcPr>
            <w:tcW w:w="345" w:type="pct"/>
            <w:shd w:val="clear" w:color="auto" w:fill="D6E3BC" w:themeFill="accent3" w:themeFillTint="66"/>
            <w:vAlign w:val="center"/>
          </w:tcPr>
          <w:p w14:paraId="08E19D31" w14:textId="77777777" w:rsidR="00C2745B" w:rsidRPr="00C2745B" w:rsidRDefault="00C2745B" w:rsidP="00C2745B">
            <w:pPr>
              <w:jc w:val="center"/>
              <w:rPr>
                <w:rFonts w:cstheme="minorHAnsi"/>
                <w:b/>
                <w:bCs/>
                <w:sz w:val="22"/>
                <w:szCs w:val="22"/>
              </w:rPr>
            </w:pPr>
            <w:r w:rsidRPr="00C2745B">
              <w:rPr>
                <w:rFonts w:cstheme="minorHAnsi"/>
                <w:b/>
                <w:bCs/>
                <w:sz w:val="22"/>
                <w:szCs w:val="22"/>
              </w:rPr>
              <w:t>Min.</w:t>
            </w:r>
          </w:p>
        </w:tc>
        <w:tc>
          <w:tcPr>
            <w:tcW w:w="304" w:type="pct"/>
            <w:shd w:val="clear" w:color="auto" w:fill="D6E3BC" w:themeFill="accent3" w:themeFillTint="66"/>
            <w:vAlign w:val="center"/>
          </w:tcPr>
          <w:p w14:paraId="52582728" w14:textId="77777777" w:rsidR="00C2745B" w:rsidRPr="00C2745B" w:rsidRDefault="00C2745B" w:rsidP="00C2745B">
            <w:pPr>
              <w:jc w:val="center"/>
              <w:rPr>
                <w:rFonts w:cstheme="minorHAnsi"/>
                <w:b/>
                <w:bCs/>
                <w:sz w:val="22"/>
                <w:szCs w:val="22"/>
              </w:rPr>
            </w:pPr>
            <w:r w:rsidRPr="00C2745B">
              <w:rPr>
                <w:rFonts w:cstheme="minorHAnsi"/>
                <w:b/>
                <w:bCs/>
                <w:sz w:val="22"/>
                <w:szCs w:val="22"/>
              </w:rPr>
              <w:t>Maks.</w:t>
            </w:r>
          </w:p>
        </w:tc>
        <w:tc>
          <w:tcPr>
            <w:tcW w:w="1283" w:type="pct"/>
            <w:vMerge/>
            <w:vAlign w:val="center"/>
          </w:tcPr>
          <w:p w14:paraId="1AE318E1" w14:textId="77777777" w:rsidR="00C2745B" w:rsidRPr="00C2745B" w:rsidRDefault="00C2745B" w:rsidP="00C2745B">
            <w:pPr>
              <w:jc w:val="center"/>
              <w:rPr>
                <w:rFonts w:cstheme="minorHAnsi"/>
                <w:sz w:val="22"/>
                <w:szCs w:val="22"/>
              </w:rPr>
            </w:pPr>
          </w:p>
        </w:tc>
        <w:tc>
          <w:tcPr>
            <w:tcW w:w="1330" w:type="pct"/>
            <w:vMerge/>
            <w:vAlign w:val="center"/>
          </w:tcPr>
          <w:p w14:paraId="153E2012" w14:textId="77777777" w:rsidR="00C2745B" w:rsidRPr="00C2745B" w:rsidRDefault="00C2745B" w:rsidP="00C2745B">
            <w:pPr>
              <w:jc w:val="center"/>
              <w:rPr>
                <w:rFonts w:cstheme="minorHAnsi"/>
                <w:sz w:val="22"/>
                <w:szCs w:val="22"/>
              </w:rPr>
            </w:pPr>
          </w:p>
        </w:tc>
      </w:tr>
      <w:tr w:rsidR="00C2745B" w:rsidRPr="00C2745B" w14:paraId="7075B8A0" w14:textId="77777777" w:rsidTr="00C2745B">
        <w:tc>
          <w:tcPr>
            <w:tcW w:w="475" w:type="pct"/>
            <w:vAlign w:val="center"/>
          </w:tcPr>
          <w:p w14:paraId="0C36DA1B"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2F59F8DA" w14:textId="77777777" w:rsidR="00C2745B" w:rsidRPr="00C2745B" w:rsidRDefault="00C2745B" w:rsidP="00C2745B">
            <w:pPr>
              <w:jc w:val="center"/>
              <w:rPr>
                <w:rFonts w:cstheme="minorHAnsi"/>
                <w:i/>
                <w:sz w:val="22"/>
                <w:szCs w:val="22"/>
              </w:rPr>
            </w:pPr>
            <w:r w:rsidRPr="00C2745B">
              <w:rPr>
                <w:rFonts w:cstheme="minorHAnsi"/>
                <w:sz w:val="22"/>
                <w:szCs w:val="22"/>
              </w:rPr>
              <w:t xml:space="preserve">Ziemeļu gulbis </w:t>
            </w:r>
            <w:r w:rsidRPr="00C2745B">
              <w:rPr>
                <w:rFonts w:cstheme="minorHAnsi"/>
                <w:i/>
                <w:iCs/>
                <w:sz w:val="22"/>
                <w:szCs w:val="22"/>
              </w:rPr>
              <w:t>Cygnus cygnus</w:t>
            </w:r>
          </w:p>
        </w:tc>
        <w:tc>
          <w:tcPr>
            <w:tcW w:w="345" w:type="pct"/>
            <w:vAlign w:val="center"/>
          </w:tcPr>
          <w:p w14:paraId="29ACA222" w14:textId="77777777" w:rsidR="00C2745B" w:rsidRPr="00C2745B" w:rsidRDefault="00C2745B" w:rsidP="00C2745B">
            <w:pPr>
              <w:jc w:val="center"/>
              <w:rPr>
                <w:rFonts w:cstheme="minorHAnsi"/>
                <w:sz w:val="22"/>
                <w:szCs w:val="22"/>
              </w:rPr>
            </w:pPr>
            <w:r w:rsidRPr="00C2745B">
              <w:rPr>
                <w:rFonts w:cstheme="minorHAnsi"/>
                <w:sz w:val="22"/>
                <w:szCs w:val="22"/>
              </w:rPr>
              <w:t>15</w:t>
            </w:r>
          </w:p>
        </w:tc>
        <w:tc>
          <w:tcPr>
            <w:tcW w:w="304" w:type="pct"/>
            <w:vAlign w:val="center"/>
          </w:tcPr>
          <w:p w14:paraId="5ED4AB25" w14:textId="77777777" w:rsidR="00C2745B" w:rsidRPr="00C2745B" w:rsidRDefault="00C2745B" w:rsidP="00C2745B">
            <w:pPr>
              <w:jc w:val="center"/>
              <w:rPr>
                <w:rFonts w:cstheme="minorHAnsi"/>
                <w:sz w:val="22"/>
                <w:szCs w:val="22"/>
              </w:rPr>
            </w:pPr>
            <w:r w:rsidRPr="00C2745B">
              <w:rPr>
                <w:rFonts w:cstheme="minorHAnsi"/>
                <w:sz w:val="22"/>
                <w:szCs w:val="22"/>
              </w:rPr>
              <w:t>20</w:t>
            </w:r>
          </w:p>
        </w:tc>
        <w:tc>
          <w:tcPr>
            <w:tcW w:w="1283" w:type="pct"/>
            <w:vAlign w:val="center"/>
          </w:tcPr>
          <w:p w14:paraId="1FB69E82" w14:textId="77777777" w:rsidR="00C2745B" w:rsidRPr="00C2745B" w:rsidRDefault="00C2745B" w:rsidP="00C2745B">
            <w:pPr>
              <w:jc w:val="center"/>
              <w:rPr>
                <w:rFonts w:cstheme="minorHAnsi"/>
                <w:sz w:val="22"/>
                <w:szCs w:val="22"/>
              </w:rPr>
            </w:pPr>
            <w:r w:rsidRPr="00C2745B">
              <w:rPr>
                <w:rFonts w:cstheme="minorHAnsi"/>
                <w:sz w:val="22"/>
                <w:szCs w:val="22"/>
              </w:rPr>
              <w:t>3,3 - 3,5%</w:t>
            </w:r>
          </w:p>
        </w:tc>
        <w:tc>
          <w:tcPr>
            <w:tcW w:w="1330" w:type="pct"/>
            <w:vAlign w:val="center"/>
          </w:tcPr>
          <w:p w14:paraId="3BEBA291" w14:textId="77777777" w:rsidR="00C2745B" w:rsidRPr="00C2745B" w:rsidRDefault="00C2745B" w:rsidP="00C2745B">
            <w:pPr>
              <w:jc w:val="center"/>
              <w:rPr>
                <w:rFonts w:cstheme="minorHAnsi"/>
                <w:sz w:val="22"/>
                <w:szCs w:val="22"/>
              </w:rPr>
            </w:pPr>
            <w:r w:rsidRPr="00C2745B">
              <w:rPr>
                <w:rFonts w:cstheme="minorHAnsi"/>
                <w:sz w:val="22"/>
                <w:szCs w:val="22"/>
              </w:rPr>
              <w:t>15,2 – 31,3%</w:t>
            </w:r>
          </w:p>
        </w:tc>
      </w:tr>
      <w:tr w:rsidR="00C2745B" w:rsidRPr="00C2745B" w14:paraId="3403A21E" w14:textId="77777777" w:rsidTr="00C2745B">
        <w:tc>
          <w:tcPr>
            <w:tcW w:w="475" w:type="pct"/>
            <w:vAlign w:val="center"/>
          </w:tcPr>
          <w:p w14:paraId="6F38C4FD"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6FEA0948" w14:textId="77777777" w:rsidR="00C2745B" w:rsidRPr="00C2745B" w:rsidRDefault="00C2745B" w:rsidP="00C2745B">
            <w:pPr>
              <w:jc w:val="center"/>
              <w:rPr>
                <w:rFonts w:cstheme="minorHAnsi"/>
                <w:i/>
                <w:iCs/>
                <w:sz w:val="22"/>
                <w:szCs w:val="22"/>
              </w:rPr>
            </w:pPr>
            <w:r w:rsidRPr="00C2745B">
              <w:rPr>
                <w:rFonts w:cstheme="minorHAnsi"/>
                <w:sz w:val="22"/>
                <w:szCs w:val="22"/>
              </w:rPr>
              <w:t xml:space="preserve">Mednis </w:t>
            </w:r>
            <w:r w:rsidRPr="00C2745B">
              <w:rPr>
                <w:rFonts w:cstheme="minorHAnsi"/>
                <w:i/>
                <w:iCs/>
                <w:sz w:val="22"/>
                <w:szCs w:val="22"/>
              </w:rPr>
              <w:t>Tetrao urogallus</w:t>
            </w:r>
          </w:p>
        </w:tc>
        <w:tc>
          <w:tcPr>
            <w:tcW w:w="345" w:type="pct"/>
            <w:vAlign w:val="center"/>
          </w:tcPr>
          <w:p w14:paraId="0072F43D" w14:textId="77777777" w:rsidR="00C2745B" w:rsidRPr="00C2745B" w:rsidRDefault="00C2745B" w:rsidP="00C2745B">
            <w:pPr>
              <w:jc w:val="center"/>
              <w:rPr>
                <w:rFonts w:cstheme="minorHAnsi"/>
                <w:sz w:val="22"/>
                <w:szCs w:val="22"/>
              </w:rPr>
            </w:pPr>
            <w:r w:rsidRPr="00C2745B">
              <w:rPr>
                <w:rFonts w:cstheme="minorHAnsi"/>
                <w:sz w:val="22"/>
                <w:szCs w:val="22"/>
              </w:rPr>
              <w:t>3</w:t>
            </w:r>
          </w:p>
        </w:tc>
        <w:tc>
          <w:tcPr>
            <w:tcW w:w="304" w:type="pct"/>
            <w:vAlign w:val="center"/>
          </w:tcPr>
          <w:p w14:paraId="55107CFC" w14:textId="77777777" w:rsidR="00C2745B" w:rsidRPr="00C2745B" w:rsidRDefault="00C2745B" w:rsidP="00C2745B">
            <w:pPr>
              <w:jc w:val="center"/>
              <w:rPr>
                <w:rFonts w:cstheme="minorHAnsi"/>
                <w:sz w:val="22"/>
                <w:szCs w:val="22"/>
              </w:rPr>
            </w:pPr>
            <w:r w:rsidRPr="00C2745B">
              <w:rPr>
                <w:rFonts w:cstheme="minorHAnsi"/>
                <w:sz w:val="22"/>
                <w:szCs w:val="22"/>
              </w:rPr>
              <w:t>3</w:t>
            </w:r>
          </w:p>
        </w:tc>
        <w:tc>
          <w:tcPr>
            <w:tcW w:w="1283" w:type="pct"/>
            <w:vAlign w:val="center"/>
          </w:tcPr>
          <w:p w14:paraId="7497AB8F"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799D7459" w14:textId="77777777" w:rsidR="00C2745B" w:rsidRPr="00C2745B" w:rsidRDefault="00C2745B" w:rsidP="00C2745B">
            <w:pPr>
              <w:jc w:val="center"/>
              <w:rPr>
                <w:rFonts w:cstheme="minorHAnsi"/>
                <w:sz w:val="22"/>
                <w:szCs w:val="22"/>
              </w:rPr>
            </w:pPr>
            <w:r w:rsidRPr="00C2745B">
              <w:rPr>
                <w:rFonts w:cstheme="minorHAnsi"/>
                <w:sz w:val="22"/>
                <w:szCs w:val="22"/>
              </w:rPr>
              <w:t>13 – 42,9%</w:t>
            </w:r>
          </w:p>
        </w:tc>
      </w:tr>
      <w:tr w:rsidR="00C2745B" w:rsidRPr="00C2745B" w14:paraId="5CDC22B0" w14:textId="77777777" w:rsidTr="00C2745B">
        <w:tc>
          <w:tcPr>
            <w:tcW w:w="475" w:type="pct"/>
            <w:vAlign w:val="center"/>
          </w:tcPr>
          <w:p w14:paraId="0A6F2F4B"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66761447" w14:textId="77777777" w:rsidR="00C2745B" w:rsidRPr="00C2745B" w:rsidRDefault="00C2745B" w:rsidP="00C2745B">
            <w:pPr>
              <w:jc w:val="center"/>
              <w:rPr>
                <w:rFonts w:eastAsia="Times New Roman" w:cstheme="minorHAnsi"/>
                <w:color w:val="000000"/>
                <w:sz w:val="22"/>
                <w:szCs w:val="22"/>
              </w:rPr>
            </w:pPr>
            <w:r w:rsidRPr="00C2745B">
              <w:rPr>
                <w:rFonts w:eastAsia="Times New Roman" w:cstheme="minorHAnsi"/>
                <w:color w:val="000000"/>
                <w:sz w:val="22"/>
                <w:szCs w:val="22"/>
              </w:rPr>
              <w:t xml:space="preserve">Rubenis </w:t>
            </w:r>
            <w:r w:rsidRPr="00C2745B">
              <w:rPr>
                <w:rFonts w:eastAsia="Times New Roman" w:cstheme="minorHAnsi"/>
                <w:i/>
                <w:color w:val="000000"/>
                <w:sz w:val="22"/>
                <w:szCs w:val="22"/>
              </w:rPr>
              <w:t>Lyrurus tetrix</w:t>
            </w:r>
          </w:p>
        </w:tc>
        <w:tc>
          <w:tcPr>
            <w:tcW w:w="345" w:type="pct"/>
            <w:vAlign w:val="center"/>
          </w:tcPr>
          <w:p w14:paraId="5AF4E54C" w14:textId="77777777" w:rsidR="00C2745B" w:rsidRPr="00C2745B" w:rsidRDefault="00C2745B" w:rsidP="00C2745B">
            <w:pPr>
              <w:jc w:val="center"/>
              <w:rPr>
                <w:rFonts w:cstheme="minorHAnsi"/>
                <w:sz w:val="22"/>
                <w:szCs w:val="22"/>
              </w:rPr>
            </w:pPr>
            <w:r w:rsidRPr="00C2745B">
              <w:rPr>
                <w:rFonts w:cstheme="minorHAnsi"/>
                <w:sz w:val="22"/>
                <w:szCs w:val="22"/>
              </w:rPr>
              <w:t>35</w:t>
            </w:r>
          </w:p>
        </w:tc>
        <w:tc>
          <w:tcPr>
            <w:tcW w:w="304" w:type="pct"/>
            <w:vAlign w:val="center"/>
          </w:tcPr>
          <w:p w14:paraId="000D77F8" w14:textId="77777777" w:rsidR="00C2745B" w:rsidRPr="00C2745B" w:rsidRDefault="00C2745B" w:rsidP="00C2745B">
            <w:pPr>
              <w:jc w:val="center"/>
              <w:rPr>
                <w:rFonts w:cstheme="minorHAnsi"/>
                <w:sz w:val="22"/>
                <w:szCs w:val="22"/>
              </w:rPr>
            </w:pPr>
            <w:r w:rsidRPr="00C2745B">
              <w:rPr>
                <w:rFonts w:cstheme="minorHAnsi"/>
                <w:sz w:val="22"/>
                <w:szCs w:val="22"/>
              </w:rPr>
              <w:t>40</w:t>
            </w:r>
          </w:p>
        </w:tc>
        <w:tc>
          <w:tcPr>
            <w:tcW w:w="1283" w:type="pct"/>
            <w:vAlign w:val="center"/>
          </w:tcPr>
          <w:p w14:paraId="1FC01307"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26A6B449" w14:textId="77777777" w:rsidR="00C2745B" w:rsidRPr="00C2745B" w:rsidRDefault="00C2745B" w:rsidP="00C2745B">
            <w:pPr>
              <w:jc w:val="center"/>
              <w:rPr>
                <w:rFonts w:cstheme="minorHAnsi"/>
                <w:sz w:val="22"/>
                <w:szCs w:val="22"/>
              </w:rPr>
            </w:pPr>
            <w:r w:rsidRPr="00C2745B">
              <w:rPr>
                <w:rFonts w:cstheme="minorHAnsi"/>
                <w:sz w:val="22"/>
                <w:szCs w:val="22"/>
              </w:rPr>
              <w:t>2,8 – 4,6%</w:t>
            </w:r>
          </w:p>
        </w:tc>
      </w:tr>
      <w:tr w:rsidR="00C2745B" w:rsidRPr="00C2745B" w14:paraId="31701DCC" w14:textId="77777777" w:rsidTr="00C2745B">
        <w:tc>
          <w:tcPr>
            <w:tcW w:w="475" w:type="pct"/>
            <w:vAlign w:val="center"/>
          </w:tcPr>
          <w:p w14:paraId="042B9A00"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17BFA03C" w14:textId="77777777" w:rsidR="00C2745B" w:rsidRPr="00C2745B" w:rsidRDefault="00C2745B" w:rsidP="00C2745B">
            <w:pPr>
              <w:jc w:val="center"/>
              <w:rPr>
                <w:rFonts w:cstheme="minorHAnsi"/>
                <w:sz w:val="22"/>
                <w:szCs w:val="22"/>
              </w:rPr>
            </w:pPr>
            <w:r w:rsidRPr="00C2745B">
              <w:rPr>
                <w:rFonts w:cstheme="minorHAnsi"/>
                <w:sz w:val="22"/>
                <w:szCs w:val="22"/>
              </w:rPr>
              <w:t xml:space="preserve">Mežirbe </w:t>
            </w:r>
            <w:r w:rsidRPr="00C2745B">
              <w:rPr>
                <w:rFonts w:cstheme="minorHAnsi"/>
                <w:i/>
                <w:sz w:val="22"/>
                <w:szCs w:val="22"/>
              </w:rPr>
              <w:t>Tetrastes bonasia</w:t>
            </w:r>
          </w:p>
        </w:tc>
        <w:tc>
          <w:tcPr>
            <w:tcW w:w="345" w:type="pct"/>
            <w:vAlign w:val="center"/>
          </w:tcPr>
          <w:p w14:paraId="2D72D40C" w14:textId="77777777" w:rsidR="00C2745B" w:rsidRPr="00C2745B" w:rsidRDefault="00C2745B" w:rsidP="00C2745B">
            <w:pPr>
              <w:jc w:val="center"/>
              <w:rPr>
                <w:rFonts w:cstheme="minorHAnsi"/>
                <w:sz w:val="22"/>
                <w:szCs w:val="22"/>
              </w:rPr>
            </w:pPr>
            <w:r w:rsidRPr="00C2745B">
              <w:rPr>
                <w:rFonts w:cstheme="minorHAnsi"/>
                <w:sz w:val="22"/>
                <w:szCs w:val="22"/>
              </w:rPr>
              <w:t>100</w:t>
            </w:r>
          </w:p>
        </w:tc>
        <w:tc>
          <w:tcPr>
            <w:tcW w:w="304" w:type="pct"/>
            <w:vAlign w:val="center"/>
          </w:tcPr>
          <w:p w14:paraId="293D9751" w14:textId="77777777" w:rsidR="00C2745B" w:rsidRPr="00C2745B" w:rsidRDefault="00C2745B" w:rsidP="00C2745B">
            <w:pPr>
              <w:jc w:val="center"/>
              <w:rPr>
                <w:rFonts w:cstheme="minorHAnsi"/>
                <w:sz w:val="22"/>
                <w:szCs w:val="22"/>
              </w:rPr>
            </w:pPr>
            <w:r w:rsidRPr="00C2745B">
              <w:rPr>
                <w:rFonts w:cstheme="minorHAnsi"/>
                <w:sz w:val="22"/>
                <w:szCs w:val="22"/>
              </w:rPr>
              <w:t>300</w:t>
            </w:r>
          </w:p>
        </w:tc>
        <w:tc>
          <w:tcPr>
            <w:tcW w:w="1283" w:type="pct"/>
            <w:vAlign w:val="center"/>
          </w:tcPr>
          <w:p w14:paraId="3AE2D8CA" w14:textId="77777777" w:rsidR="00C2745B" w:rsidRPr="00C2745B" w:rsidRDefault="00C2745B" w:rsidP="00C2745B">
            <w:pPr>
              <w:jc w:val="center"/>
              <w:rPr>
                <w:rFonts w:cstheme="minorHAnsi"/>
                <w:sz w:val="22"/>
                <w:szCs w:val="22"/>
              </w:rPr>
            </w:pPr>
            <w:r w:rsidRPr="00C2745B">
              <w:rPr>
                <w:rFonts w:cstheme="minorHAnsi"/>
                <w:sz w:val="22"/>
                <w:szCs w:val="22"/>
              </w:rPr>
              <w:t>1,2 – 2,1%</w:t>
            </w:r>
          </w:p>
        </w:tc>
        <w:tc>
          <w:tcPr>
            <w:tcW w:w="1330" w:type="pct"/>
            <w:vAlign w:val="center"/>
          </w:tcPr>
          <w:p w14:paraId="2BA39979" w14:textId="77777777" w:rsidR="00C2745B" w:rsidRPr="00C2745B" w:rsidRDefault="00C2745B" w:rsidP="00C2745B">
            <w:pPr>
              <w:jc w:val="center"/>
              <w:rPr>
                <w:rFonts w:cstheme="minorHAnsi"/>
                <w:sz w:val="22"/>
                <w:szCs w:val="22"/>
              </w:rPr>
            </w:pPr>
            <w:r w:rsidRPr="00C2745B">
              <w:rPr>
                <w:rFonts w:cstheme="minorHAnsi"/>
                <w:sz w:val="22"/>
                <w:szCs w:val="22"/>
              </w:rPr>
              <w:t>7,3 – 9,7%</w:t>
            </w:r>
          </w:p>
        </w:tc>
      </w:tr>
      <w:tr w:rsidR="00C2745B" w:rsidRPr="00C2745B" w14:paraId="6CAC81FC" w14:textId="77777777" w:rsidTr="00C2745B">
        <w:tc>
          <w:tcPr>
            <w:tcW w:w="475" w:type="pct"/>
            <w:vAlign w:val="center"/>
          </w:tcPr>
          <w:p w14:paraId="3533F04E"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2496A7F8" w14:textId="77777777" w:rsidR="00C2745B" w:rsidRPr="00C2745B" w:rsidRDefault="00C2745B" w:rsidP="00C2745B">
            <w:pPr>
              <w:jc w:val="center"/>
              <w:rPr>
                <w:rFonts w:cstheme="minorHAnsi"/>
                <w:i/>
                <w:iCs/>
                <w:sz w:val="22"/>
                <w:szCs w:val="22"/>
              </w:rPr>
            </w:pPr>
            <w:r w:rsidRPr="00C2745B">
              <w:rPr>
                <w:rFonts w:eastAsia="Times New Roman" w:cstheme="minorHAnsi"/>
                <w:color w:val="000000"/>
                <w:sz w:val="22"/>
                <w:szCs w:val="22"/>
              </w:rPr>
              <w:t xml:space="preserve">Melnais stārķis </w:t>
            </w:r>
            <w:r w:rsidRPr="00C2745B">
              <w:rPr>
                <w:rFonts w:eastAsia="Times New Roman" w:cstheme="minorHAnsi"/>
                <w:i/>
                <w:color w:val="000000"/>
                <w:sz w:val="22"/>
                <w:szCs w:val="22"/>
              </w:rPr>
              <w:t>Ciconia nigra</w:t>
            </w:r>
          </w:p>
        </w:tc>
        <w:tc>
          <w:tcPr>
            <w:tcW w:w="345" w:type="pct"/>
            <w:vAlign w:val="center"/>
          </w:tcPr>
          <w:p w14:paraId="42B6A172"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304" w:type="pct"/>
            <w:vAlign w:val="center"/>
          </w:tcPr>
          <w:p w14:paraId="735C6FC6" w14:textId="77777777" w:rsidR="00C2745B" w:rsidRPr="00C2745B" w:rsidRDefault="00C2745B" w:rsidP="00C2745B">
            <w:pPr>
              <w:jc w:val="center"/>
              <w:rPr>
                <w:rFonts w:cstheme="minorHAnsi"/>
                <w:sz w:val="22"/>
                <w:szCs w:val="22"/>
              </w:rPr>
            </w:pPr>
            <w:r w:rsidRPr="00C2745B">
              <w:rPr>
                <w:rFonts w:cstheme="minorHAnsi"/>
                <w:sz w:val="22"/>
                <w:szCs w:val="22"/>
              </w:rPr>
              <w:t>2</w:t>
            </w:r>
          </w:p>
        </w:tc>
        <w:tc>
          <w:tcPr>
            <w:tcW w:w="1283" w:type="pct"/>
            <w:vAlign w:val="center"/>
          </w:tcPr>
          <w:p w14:paraId="3C38E535" w14:textId="77777777" w:rsidR="00C2745B" w:rsidRPr="00C2745B" w:rsidRDefault="00C2745B" w:rsidP="00C2745B">
            <w:pPr>
              <w:jc w:val="center"/>
              <w:rPr>
                <w:rFonts w:cstheme="minorHAnsi"/>
                <w:sz w:val="22"/>
                <w:szCs w:val="22"/>
              </w:rPr>
            </w:pPr>
            <w:r w:rsidRPr="00C2745B">
              <w:rPr>
                <w:rFonts w:cstheme="minorHAnsi"/>
                <w:sz w:val="22"/>
                <w:szCs w:val="22"/>
              </w:rPr>
              <w:t>1,2 – 1,4%</w:t>
            </w:r>
          </w:p>
        </w:tc>
        <w:tc>
          <w:tcPr>
            <w:tcW w:w="1330" w:type="pct"/>
            <w:vAlign w:val="center"/>
          </w:tcPr>
          <w:p w14:paraId="6DBDF9D8" w14:textId="77777777" w:rsidR="00C2745B" w:rsidRPr="00C2745B" w:rsidRDefault="00C2745B" w:rsidP="00C2745B">
            <w:pPr>
              <w:jc w:val="center"/>
              <w:rPr>
                <w:rFonts w:cstheme="minorHAnsi"/>
                <w:sz w:val="22"/>
                <w:szCs w:val="22"/>
              </w:rPr>
            </w:pPr>
            <w:r w:rsidRPr="00C2745B">
              <w:rPr>
                <w:rFonts w:cstheme="minorHAnsi"/>
                <w:sz w:val="22"/>
                <w:szCs w:val="22"/>
              </w:rPr>
              <w:t>12,5 – 25%</w:t>
            </w:r>
          </w:p>
        </w:tc>
      </w:tr>
      <w:tr w:rsidR="00C2745B" w:rsidRPr="00C2745B" w14:paraId="102AEB47" w14:textId="77777777" w:rsidTr="00C2745B">
        <w:tc>
          <w:tcPr>
            <w:tcW w:w="475" w:type="pct"/>
            <w:vAlign w:val="center"/>
          </w:tcPr>
          <w:p w14:paraId="31038939"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6FB4201A" w14:textId="77777777" w:rsidR="00C2745B" w:rsidRPr="00C2745B" w:rsidRDefault="00C2745B" w:rsidP="00C2745B">
            <w:pPr>
              <w:jc w:val="center"/>
              <w:rPr>
                <w:rFonts w:eastAsia="Times New Roman" w:cstheme="minorHAnsi"/>
                <w:i/>
                <w:color w:val="000000"/>
                <w:sz w:val="22"/>
                <w:szCs w:val="22"/>
              </w:rPr>
            </w:pPr>
            <w:r w:rsidRPr="00C2745B">
              <w:rPr>
                <w:rFonts w:eastAsia="Times New Roman" w:cstheme="minorHAnsi"/>
                <w:color w:val="000000"/>
                <w:sz w:val="22"/>
                <w:szCs w:val="22"/>
              </w:rPr>
              <w:t xml:space="preserve">Baltais stārķis </w:t>
            </w:r>
            <w:r w:rsidRPr="00C2745B">
              <w:rPr>
                <w:rFonts w:eastAsia="Times New Roman" w:cstheme="minorHAnsi"/>
                <w:i/>
                <w:color w:val="000000"/>
                <w:sz w:val="22"/>
                <w:szCs w:val="22"/>
              </w:rPr>
              <w:t>Ciconia ciconia</w:t>
            </w:r>
          </w:p>
        </w:tc>
        <w:tc>
          <w:tcPr>
            <w:tcW w:w="345" w:type="pct"/>
            <w:vAlign w:val="center"/>
          </w:tcPr>
          <w:p w14:paraId="6C4081D3" w14:textId="77777777" w:rsidR="00C2745B" w:rsidRPr="00C2745B" w:rsidRDefault="00C2745B" w:rsidP="00C2745B">
            <w:pPr>
              <w:jc w:val="center"/>
              <w:rPr>
                <w:rFonts w:cstheme="minorHAnsi"/>
                <w:sz w:val="22"/>
                <w:szCs w:val="22"/>
              </w:rPr>
            </w:pPr>
            <w:r w:rsidRPr="00C2745B">
              <w:rPr>
                <w:rFonts w:cstheme="minorHAnsi"/>
                <w:sz w:val="22"/>
                <w:szCs w:val="22"/>
              </w:rPr>
              <w:t>200</w:t>
            </w:r>
          </w:p>
        </w:tc>
        <w:tc>
          <w:tcPr>
            <w:tcW w:w="304" w:type="pct"/>
            <w:vAlign w:val="center"/>
          </w:tcPr>
          <w:p w14:paraId="01C16994" w14:textId="77777777" w:rsidR="00C2745B" w:rsidRPr="00C2745B" w:rsidRDefault="00C2745B" w:rsidP="00C2745B">
            <w:pPr>
              <w:jc w:val="center"/>
              <w:rPr>
                <w:rFonts w:cstheme="minorHAnsi"/>
                <w:sz w:val="22"/>
                <w:szCs w:val="22"/>
              </w:rPr>
            </w:pPr>
            <w:r w:rsidRPr="00C2745B">
              <w:rPr>
                <w:rFonts w:cstheme="minorHAnsi"/>
                <w:sz w:val="22"/>
                <w:szCs w:val="22"/>
              </w:rPr>
              <w:t>220</w:t>
            </w:r>
          </w:p>
        </w:tc>
        <w:tc>
          <w:tcPr>
            <w:tcW w:w="1283" w:type="pct"/>
            <w:vAlign w:val="center"/>
          </w:tcPr>
          <w:p w14:paraId="73FBF1DC" w14:textId="77777777" w:rsidR="00C2745B" w:rsidRPr="00C2745B" w:rsidRDefault="00C2745B" w:rsidP="00C2745B">
            <w:pPr>
              <w:jc w:val="center"/>
              <w:rPr>
                <w:rFonts w:cstheme="minorHAnsi"/>
                <w:sz w:val="22"/>
                <w:szCs w:val="22"/>
              </w:rPr>
            </w:pPr>
            <w:r w:rsidRPr="00C2745B">
              <w:rPr>
                <w:rFonts w:cstheme="minorHAnsi"/>
                <w:sz w:val="22"/>
                <w:szCs w:val="22"/>
              </w:rPr>
              <w:t>1,5%</w:t>
            </w:r>
          </w:p>
        </w:tc>
        <w:tc>
          <w:tcPr>
            <w:tcW w:w="1330" w:type="pct"/>
            <w:vAlign w:val="center"/>
          </w:tcPr>
          <w:p w14:paraId="237A6D60" w14:textId="77777777" w:rsidR="00C2745B" w:rsidRPr="00C2745B" w:rsidRDefault="00C2745B" w:rsidP="00C2745B">
            <w:pPr>
              <w:jc w:val="center"/>
              <w:rPr>
                <w:rFonts w:cstheme="minorHAnsi"/>
                <w:sz w:val="22"/>
                <w:szCs w:val="22"/>
              </w:rPr>
            </w:pPr>
            <w:r w:rsidRPr="00C2745B">
              <w:rPr>
                <w:rFonts w:cstheme="minorHAnsi"/>
                <w:sz w:val="22"/>
                <w:szCs w:val="22"/>
              </w:rPr>
              <w:t>20,7 – 27,9%</w:t>
            </w:r>
          </w:p>
        </w:tc>
      </w:tr>
      <w:tr w:rsidR="00C2745B" w:rsidRPr="00C2745B" w14:paraId="6C913AB5" w14:textId="77777777" w:rsidTr="00C2745B">
        <w:tc>
          <w:tcPr>
            <w:tcW w:w="475" w:type="pct"/>
            <w:vAlign w:val="center"/>
          </w:tcPr>
          <w:p w14:paraId="5990AC4D"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1E2EF7F1" w14:textId="77777777" w:rsidR="00C2745B" w:rsidRPr="00C2745B" w:rsidRDefault="00C2745B" w:rsidP="00C2745B">
            <w:pPr>
              <w:jc w:val="center"/>
              <w:rPr>
                <w:rFonts w:cstheme="minorHAnsi"/>
                <w:i/>
                <w:sz w:val="22"/>
                <w:szCs w:val="22"/>
              </w:rPr>
            </w:pPr>
            <w:r w:rsidRPr="00C2745B">
              <w:rPr>
                <w:rFonts w:eastAsia="Times New Roman" w:cstheme="minorHAnsi"/>
                <w:color w:val="000000"/>
                <w:sz w:val="22"/>
                <w:szCs w:val="22"/>
              </w:rPr>
              <w:t xml:space="preserve">Lielais dumpis </w:t>
            </w:r>
            <w:r w:rsidRPr="00C2745B">
              <w:rPr>
                <w:rFonts w:eastAsia="Times New Roman" w:cstheme="minorHAnsi"/>
                <w:i/>
                <w:color w:val="000000"/>
                <w:sz w:val="22"/>
                <w:szCs w:val="22"/>
              </w:rPr>
              <w:t>Botaurus stellaris</w:t>
            </w:r>
          </w:p>
        </w:tc>
        <w:tc>
          <w:tcPr>
            <w:tcW w:w="345" w:type="pct"/>
            <w:vAlign w:val="center"/>
          </w:tcPr>
          <w:p w14:paraId="0AEA9698" w14:textId="77777777" w:rsidR="00C2745B" w:rsidRPr="00C2745B" w:rsidRDefault="00C2745B" w:rsidP="00C2745B">
            <w:pPr>
              <w:jc w:val="center"/>
              <w:rPr>
                <w:rFonts w:cstheme="minorHAnsi"/>
                <w:sz w:val="22"/>
                <w:szCs w:val="22"/>
              </w:rPr>
            </w:pPr>
            <w:r w:rsidRPr="00C2745B">
              <w:rPr>
                <w:rFonts w:cstheme="minorHAnsi"/>
                <w:sz w:val="22"/>
                <w:szCs w:val="22"/>
              </w:rPr>
              <w:t>3</w:t>
            </w:r>
          </w:p>
        </w:tc>
        <w:tc>
          <w:tcPr>
            <w:tcW w:w="304" w:type="pct"/>
            <w:vAlign w:val="center"/>
          </w:tcPr>
          <w:p w14:paraId="64A007FA" w14:textId="77777777" w:rsidR="00C2745B" w:rsidRPr="00C2745B" w:rsidRDefault="00C2745B" w:rsidP="00C2745B">
            <w:pPr>
              <w:jc w:val="center"/>
              <w:rPr>
                <w:rFonts w:cstheme="minorHAnsi"/>
                <w:sz w:val="22"/>
                <w:szCs w:val="22"/>
              </w:rPr>
            </w:pPr>
            <w:r w:rsidRPr="00C2745B">
              <w:rPr>
                <w:rFonts w:cstheme="minorHAnsi"/>
                <w:sz w:val="22"/>
                <w:szCs w:val="22"/>
              </w:rPr>
              <w:t>5</w:t>
            </w:r>
          </w:p>
        </w:tc>
        <w:tc>
          <w:tcPr>
            <w:tcW w:w="1283" w:type="pct"/>
            <w:vAlign w:val="center"/>
          </w:tcPr>
          <w:p w14:paraId="6A5EFBF3" w14:textId="77777777" w:rsidR="00C2745B" w:rsidRPr="00C2745B" w:rsidRDefault="00C2745B" w:rsidP="00C2745B">
            <w:pPr>
              <w:jc w:val="center"/>
              <w:rPr>
                <w:rFonts w:cstheme="minorHAnsi"/>
                <w:sz w:val="22"/>
                <w:szCs w:val="22"/>
              </w:rPr>
            </w:pPr>
            <w:r w:rsidRPr="00C2745B">
              <w:rPr>
                <w:rFonts w:cstheme="minorHAnsi"/>
                <w:sz w:val="22"/>
                <w:szCs w:val="22"/>
              </w:rPr>
              <w:t>0,7 – 1,2%</w:t>
            </w:r>
          </w:p>
        </w:tc>
        <w:tc>
          <w:tcPr>
            <w:tcW w:w="1330" w:type="pct"/>
            <w:vAlign w:val="center"/>
          </w:tcPr>
          <w:p w14:paraId="58F49C53" w14:textId="77777777" w:rsidR="00C2745B" w:rsidRPr="00C2745B" w:rsidRDefault="00C2745B" w:rsidP="00C2745B">
            <w:pPr>
              <w:jc w:val="center"/>
              <w:rPr>
                <w:rFonts w:cstheme="minorHAnsi"/>
                <w:sz w:val="22"/>
                <w:szCs w:val="22"/>
              </w:rPr>
            </w:pPr>
            <w:r w:rsidRPr="00C2745B">
              <w:rPr>
                <w:rFonts w:cstheme="minorHAnsi"/>
                <w:sz w:val="22"/>
                <w:szCs w:val="22"/>
              </w:rPr>
              <w:t>1,8%</w:t>
            </w:r>
          </w:p>
        </w:tc>
      </w:tr>
      <w:tr w:rsidR="00C2745B" w:rsidRPr="00C2745B" w14:paraId="7BE268FA" w14:textId="77777777" w:rsidTr="00C2745B">
        <w:tc>
          <w:tcPr>
            <w:tcW w:w="475" w:type="pct"/>
            <w:vAlign w:val="center"/>
          </w:tcPr>
          <w:p w14:paraId="1A861124"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244C4E66" w14:textId="77777777" w:rsidR="00C2745B" w:rsidRPr="00C2745B" w:rsidRDefault="00C2745B" w:rsidP="00C2745B">
            <w:pPr>
              <w:jc w:val="center"/>
              <w:rPr>
                <w:rFonts w:eastAsia="Times New Roman" w:cstheme="minorHAnsi"/>
                <w:i/>
                <w:color w:val="000000"/>
                <w:sz w:val="22"/>
                <w:szCs w:val="22"/>
              </w:rPr>
            </w:pPr>
            <w:r w:rsidRPr="00C2745B">
              <w:rPr>
                <w:rFonts w:eastAsia="Times New Roman" w:cstheme="minorHAnsi"/>
                <w:color w:val="000000"/>
                <w:sz w:val="22"/>
                <w:szCs w:val="22"/>
              </w:rPr>
              <w:t xml:space="preserve">Zivjērglis </w:t>
            </w:r>
            <w:r w:rsidRPr="00C2745B">
              <w:rPr>
                <w:rFonts w:eastAsia="Times New Roman" w:cstheme="minorHAnsi"/>
                <w:i/>
                <w:color w:val="000000"/>
                <w:sz w:val="22"/>
                <w:szCs w:val="22"/>
              </w:rPr>
              <w:t>Pandion haliaetus</w:t>
            </w:r>
          </w:p>
        </w:tc>
        <w:tc>
          <w:tcPr>
            <w:tcW w:w="345" w:type="pct"/>
            <w:vAlign w:val="center"/>
          </w:tcPr>
          <w:p w14:paraId="1E685B00"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304" w:type="pct"/>
            <w:vAlign w:val="center"/>
          </w:tcPr>
          <w:p w14:paraId="2477CE77" w14:textId="77777777" w:rsidR="00C2745B" w:rsidRPr="00C2745B" w:rsidRDefault="00C2745B" w:rsidP="00C2745B">
            <w:pPr>
              <w:jc w:val="center"/>
              <w:rPr>
                <w:rFonts w:cstheme="minorHAnsi"/>
                <w:sz w:val="22"/>
                <w:szCs w:val="22"/>
              </w:rPr>
            </w:pPr>
            <w:r w:rsidRPr="00C2745B">
              <w:rPr>
                <w:rFonts w:cstheme="minorHAnsi"/>
                <w:sz w:val="22"/>
                <w:szCs w:val="22"/>
              </w:rPr>
              <w:t>2</w:t>
            </w:r>
          </w:p>
        </w:tc>
        <w:tc>
          <w:tcPr>
            <w:tcW w:w="1283" w:type="pct"/>
            <w:vAlign w:val="center"/>
          </w:tcPr>
          <w:p w14:paraId="23387F4D"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49787F2B" w14:textId="77777777" w:rsidR="00C2745B" w:rsidRPr="00C2745B" w:rsidRDefault="00C2745B" w:rsidP="00C2745B">
            <w:pPr>
              <w:jc w:val="center"/>
              <w:rPr>
                <w:rFonts w:cstheme="minorHAnsi"/>
                <w:sz w:val="22"/>
                <w:szCs w:val="22"/>
              </w:rPr>
            </w:pPr>
            <w:r w:rsidRPr="00C2745B">
              <w:rPr>
                <w:rFonts w:cstheme="minorHAnsi"/>
                <w:sz w:val="22"/>
                <w:szCs w:val="22"/>
              </w:rPr>
              <w:t>1,3 – 2,1%</w:t>
            </w:r>
          </w:p>
        </w:tc>
      </w:tr>
      <w:tr w:rsidR="00C2745B" w:rsidRPr="00C2745B" w14:paraId="35ED5887" w14:textId="77777777" w:rsidTr="00C2745B">
        <w:tc>
          <w:tcPr>
            <w:tcW w:w="475" w:type="pct"/>
            <w:vAlign w:val="center"/>
          </w:tcPr>
          <w:p w14:paraId="37E23EE0"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7D92DB2F" w14:textId="77777777" w:rsidR="00C2745B" w:rsidRPr="00C2745B" w:rsidRDefault="00C2745B" w:rsidP="00C2745B">
            <w:pPr>
              <w:jc w:val="center"/>
              <w:rPr>
                <w:rFonts w:eastAsia="Times New Roman" w:cstheme="minorHAnsi"/>
                <w:color w:val="000000"/>
                <w:sz w:val="22"/>
                <w:szCs w:val="22"/>
              </w:rPr>
            </w:pPr>
            <w:r w:rsidRPr="00C2745B">
              <w:rPr>
                <w:rFonts w:cstheme="minorHAnsi"/>
                <w:sz w:val="22"/>
                <w:szCs w:val="22"/>
              </w:rPr>
              <w:t xml:space="preserve">Ķīķis </w:t>
            </w:r>
            <w:r w:rsidRPr="00C2745B">
              <w:rPr>
                <w:rFonts w:cstheme="minorHAnsi"/>
                <w:i/>
                <w:sz w:val="22"/>
                <w:szCs w:val="22"/>
              </w:rPr>
              <w:t>Pernis apivorus</w:t>
            </w:r>
          </w:p>
        </w:tc>
        <w:tc>
          <w:tcPr>
            <w:tcW w:w="345" w:type="pct"/>
            <w:vAlign w:val="center"/>
          </w:tcPr>
          <w:p w14:paraId="05EF82AE" w14:textId="77777777" w:rsidR="00C2745B" w:rsidRPr="00C2745B" w:rsidRDefault="00C2745B" w:rsidP="00C2745B">
            <w:pPr>
              <w:jc w:val="center"/>
              <w:rPr>
                <w:rFonts w:cstheme="minorHAnsi"/>
                <w:sz w:val="22"/>
                <w:szCs w:val="22"/>
              </w:rPr>
            </w:pPr>
            <w:r w:rsidRPr="00C2745B">
              <w:rPr>
                <w:rFonts w:cstheme="minorHAnsi"/>
                <w:sz w:val="22"/>
                <w:szCs w:val="22"/>
              </w:rPr>
              <w:t>50</w:t>
            </w:r>
          </w:p>
        </w:tc>
        <w:tc>
          <w:tcPr>
            <w:tcW w:w="304" w:type="pct"/>
            <w:vAlign w:val="center"/>
          </w:tcPr>
          <w:p w14:paraId="5074F034" w14:textId="77777777" w:rsidR="00C2745B" w:rsidRPr="00C2745B" w:rsidRDefault="00C2745B" w:rsidP="00C2745B">
            <w:pPr>
              <w:jc w:val="center"/>
              <w:rPr>
                <w:rFonts w:cstheme="minorHAnsi"/>
                <w:sz w:val="22"/>
                <w:szCs w:val="22"/>
              </w:rPr>
            </w:pPr>
            <w:r w:rsidRPr="00C2745B">
              <w:rPr>
                <w:rFonts w:cstheme="minorHAnsi"/>
                <w:sz w:val="22"/>
                <w:szCs w:val="22"/>
              </w:rPr>
              <w:t>75</w:t>
            </w:r>
          </w:p>
        </w:tc>
        <w:tc>
          <w:tcPr>
            <w:tcW w:w="1283" w:type="pct"/>
            <w:vAlign w:val="center"/>
          </w:tcPr>
          <w:p w14:paraId="312FCE10" w14:textId="77777777" w:rsidR="00C2745B" w:rsidRPr="00C2745B" w:rsidRDefault="00C2745B" w:rsidP="00C2745B">
            <w:pPr>
              <w:jc w:val="center"/>
              <w:rPr>
                <w:rFonts w:cstheme="minorHAnsi"/>
                <w:sz w:val="22"/>
                <w:szCs w:val="22"/>
              </w:rPr>
            </w:pPr>
            <w:r w:rsidRPr="00C2745B">
              <w:rPr>
                <w:rFonts w:cstheme="minorHAnsi"/>
                <w:sz w:val="22"/>
                <w:szCs w:val="22"/>
              </w:rPr>
              <w:t>1 – 4,7%</w:t>
            </w:r>
          </w:p>
        </w:tc>
        <w:tc>
          <w:tcPr>
            <w:tcW w:w="1330" w:type="pct"/>
            <w:vAlign w:val="center"/>
          </w:tcPr>
          <w:p w14:paraId="1201071E" w14:textId="77777777" w:rsidR="00C2745B" w:rsidRPr="00C2745B" w:rsidRDefault="00C2745B" w:rsidP="00C2745B">
            <w:pPr>
              <w:jc w:val="center"/>
              <w:rPr>
                <w:rFonts w:cstheme="minorHAnsi"/>
                <w:sz w:val="22"/>
                <w:szCs w:val="22"/>
              </w:rPr>
            </w:pPr>
            <w:r w:rsidRPr="00C2745B">
              <w:rPr>
                <w:rFonts w:cstheme="minorHAnsi"/>
                <w:sz w:val="22"/>
                <w:szCs w:val="22"/>
              </w:rPr>
              <w:t>25,3 – 34,7%</w:t>
            </w:r>
          </w:p>
        </w:tc>
      </w:tr>
      <w:tr w:rsidR="00C2745B" w:rsidRPr="00C2745B" w14:paraId="502FA9C6" w14:textId="77777777" w:rsidTr="00C2745B">
        <w:tc>
          <w:tcPr>
            <w:tcW w:w="475" w:type="pct"/>
            <w:vAlign w:val="center"/>
          </w:tcPr>
          <w:p w14:paraId="6D69F773"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1546F0C3" w14:textId="77777777" w:rsidR="00C2745B" w:rsidRPr="00C2745B" w:rsidRDefault="00C2745B" w:rsidP="00C2745B">
            <w:pPr>
              <w:jc w:val="center"/>
              <w:rPr>
                <w:rFonts w:cstheme="minorHAnsi"/>
                <w:sz w:val="22"/>
                <w:szCs w:val="22"/>
              </w:rPr>
            </w:pPr>
            <w:r w:rsidRPr="00C2745B">
              <w:rPr>
                <w:rFonts w:cstheme="minorHAnsi"/>
                <w:sz w:val="22"/>
                <w:szCs w:val="22"/>
              </w:rPr>
              <w:t xml:space="preserve">Melnā klija </w:t>
            </w:r>
            <w:r w:rsidRPr="00C2745B">
              <w:rPr>
                <w:rFonts w:cstheme="minorHAnsi"/>
                <w:i/>
                <w:sz w:val="22"/>
                <w:szCs w:val="22"/>
              </w:rPr>
              <w:t>Milvus migrans</w:t>
            </w:r>
          </w:p>
        </w:tc>
        <w:tc>
          <w:tcPr>
            <w:tcW w:w="345" w:type="pct"/>
            <w:vAlign w:val="center"/>
          </w:tcPr>
          <w:p w14:paraId="5D8F3797"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304" w:type="pct"/>
            <w:vAlign w:val="center"/>
          </w:tcPr>
          <w:p w14:paraId="5A547206"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1283" w:type="pct"/>
            <w:vAlign w:val="center"/>
          </w:tcPr>
          <w:p w14:paraId="74A725AC" w14:textId="77777777" w:rsidR="00C2745B" w:rsidRPr="00C2745B" w:rsidRDefault="00C2745B" w:rsidP="00C2745B">
            <w:pPr>
              <w:jc w:val="center"/>
              <w:rPr>
                <w:rFonts w:cstheme="minorHAnsi"/>
                <w:sz w:val="22"/>
                <w:szCs w:val="22"/>
              </w:rPr>
            </w:pPr>
            <w:r w:rsidRPr="00C2745B">
              <w:rPr>
                <w:rFonts w:cstheme="minorHAnsi"/>
                <w:sz w:val="22"/>
                <w:szCs w:val="22"/>
              </w:rPr>
              <w:t>1,4 – 2%</w:t>
            </w:r>
          </w:p>
        </w:tc>
        <w:tc>
          <w:tcPr>
            <w:tcW w:w="1330" w:type="pct"/>
            <w:vAlign w:val="center"/>
          </w:tcPr>
          <w:p w14:paraId="5519C9F0" w14:textId="0F2E59D0" w:rsidR="00C2745B" w:rsidRPr="00C2745B" w:rsidRDefault="00C2745B" w:rsidP="00C2745B">
            <w:pPr>
              <w:jc w:val="center"/>
              <w:rPr>
                <w:rFonts w:cstheme="minorHAnsi"/>
                <w:sz w:val="22"/>
                <w:szCs w:val="22"/>
              </w:rPr>
            </w:pPr>
            <w:r w:rsidRPr="00C2745B">
              <w:rPr>
                <w:rFonts w:cstheme="minorHAnsi"/>
                <w:sz w:val="22"/>
                <w:szCs w:val="22"/>
              </w:rPr>
              <w:t>3,4 – 7,1%</w:t>
            </w:r>
          </w:p>
        </w:tc>
      </w:tr>
      <w:tr w:rsidR="00C2745B" w:rsidRPr="00C2745B" w14:paraId="36DB8892" w14:textId="77777777" w:rsidTr="00C2745B">
        <w:tc>
          <w:tcPr>
            <w:tcW w:w="475" w:type="pct"/>
            <w:vAlign w:val="center"/>
          </w:tcPr>
          <w:p w14:paraId="4F90FD46"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0851594C" w14:textId="77777777" w:rsidR="00C2745B" w:rsidRPr="00C2745B" w:rsidRDefault="00C2745B" w:rsidP="00C2745B">
            <w:pPr>
              <w:jc w:val="center"/>
              <w:rPr>
                <w:rFonts w:eastAsia="Times New Roman" w:cstheme="minorHAnsi"/>
                <w:color w:val="000000"/>
                <w:sz w:val="22"/>
                <w:szCs w:val="22"/>
              </w:rPr>
            </w:pPr>
            <w:r w:rsidRPr="00C2745B">
              <w:rPr>
                <w:rFonts w:eastAsia="Times New Roman" w:cstheme="minorHAnsi"/>
                <w:color w:val="000000"/>
                <w:sz w:val="22"/>
                <w:szCs w:val="22"/>
              </w:rPr>
              <w:t>Jūras ērglis</w:t>
            </w:r>
          </w:p>
          <w:p w14:paraId="33DB7D8B" w14:textId="77777777" w:rsidR="00C2745B" w:rsidRPr="00C2745B" w:rsidRDefault="00C2745B" w:rsidP="00C2745B">
            <w:pPr>
              <w:jc w:val="center"/>
              <w:rPr>
                <w:rFonts w:eastAsia="Times New Roman" w:cstheme="minorHAnsi"/>
                <w:i/>
                <w:iCs/>
                <w:color w:val="000000"/>
                <w:sz w:val="22"/>
                <w:szCs w:val="22"/>
              </w:rPr>
            </w:pPr>
            <w:r w:rsidRPr="00C2745B">
              <w:rPr>
                <w:rFonts w:eastAsia="Times New Roman" w:cstheme="minorHAnsi"/>
                <w:i/>
                <w:iCs/>
                <w:color w:val="000000"/>
                <w:sz w:val="22"/>
                <w:szCs w:val="22"/>
              </w:rPr>
              <w:t>Haliaeetus albicilla</w:t>
            </w:r>
          </w:p>
        </w:tc>
        <w:tc>
          <w:tcPr>
            <w:tcW w:w="345" w:type="pct"/>
            <w:vAlign w:val="center"/>
          </w:tcPr>
          <w:p w14:paraId="066C1B89" w14:textId="77777777" w:rsidR="00C2745B" w:rsidRPr="00C2745B" w:rsidRDefault="00C2745B" w:rsidP="00C2745B">
            <w:pPr>
              <w:jc w:val="center"/>
              <w:rPr>
                <w:rFonts w:cstheme="minorHAnsi"/>
                <w:sz w:val="22"/>
                <w:szCs w:val="22"/>
              </w:rPr>
            </w:pPr>
            <w:r w:rsidRPr="00C2745B">
              <w:rPr>
                <w:rFonts w:cstheme="minorHAnsi"/>
                <w:sz w:val="22"/>
                <w:szCs w:val="22"/>
              </w:rPr>
              <w:t>0</w:t>
            </w:r>
          </w:p>
        </w:tc>
        <w:tc>
          <w:tcPr>
            <w:tcW w:w="304" w:type="pct"/>
            <w:vAlign w:val="center"/>
          </w:tcPr>
          <w:p w14:paraId="7C6908AB"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1283" w:type="pct"/>
            <w:vAlign w:val="center"/>
          </w:tcPr>
          <w:p w14:paraId="647E8746"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65186BB5" w14:textId="77777777" w:rsidR="00C2745B" w:rsidRPr="00C2745B" w:rsidRDefault="00C2745B" w:rsidP="00C2745B">
            <w:pPr>
              <w:jc w:val="center"/>
              <w:rPr>
                <w:rFonts w:cstheme="minorHAnsi"/>
                <w:sz w:val="22"/>
                <w:szCs w:val="22"/>
              </w:rPr>
            </w:pPr>
            <w:r w:rsidRPr="00C2745B">
              <w:rPr>
                <w:rFonts w:cstheme="minorHAnsi"/>
                <w:sz w:val="22"/>
                <w:szCs w:val="22"/>
              </w:rPr>
              <w:t>&lt;1%</w:t>
            </w:r>
          </w:p>
        </w:tc>
      </w:tr>
      <w:tr w:rsidR="00C2745B" w:rsidRPr="00C2745B" w14:paraId="1A74437F" w14:textId="77777777" w:rsidTr="00C2745B">
        <w:tc>
          <w:tcPr>
            <w:tcW w:w="475" w:type="pct"/>
            <w:vAlign w:val="center"/>
          </w:tcPr>
          <w:p w14:paraId="1F132C65"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3D9AF2FC" w14:textId="77777777" w:rsidR="00C2745B" w:rsidRPr="00C2745B" w:rsidRDefault="00C2745B" w:rsidP="00C2745B">
            <w:pPr>
              <w:jc w:val="center"/>
              <w:rPr>
                <w:rFonts w:cstheme="minorHAnsi"/>
                <w:i/>
                <w:sz w:val="22"/>
                <w:szCs w:val="22"/>
              </w:rPr>
            </w:pPr>
            <w:r w:rsidRPr="00C2745B">
              <w:rPr>
                <w:rFonts w:cstheme="minorHAnsi"/>
                <w:sz w:val="22"/>
                <w:szCs w:val="22"/>
              </w:rPr>
              <w:t xml:space="preserve">Niedru lija </w:t>
            </w:r>
            <w:r w:rsidRPr="00C2745B">
              <w:rPr>
                <w:rFonts w:cstheme="minorHAnsi"/>
                <w:i/>
                <w:sz w:val="22"/>
                <w:szCs w:val="22"/>
              </w:rPr>
              <w:t>Circus aeroginosus</w:t>
            </w:r>
          </w:p>
        </w:tc>
        <w:tc>
          <w:tcPr>
            <w:tcW w:w="345" w:type="pct"/>
            <w:vAlign w:val="center"/>
          </w:tcPr>
          <w:p w14:paraId="7C6894A5" w14:textId="77777777" w:rsidR="00C2745B" w:rsidRPr="00C2745B" w:rsidRDefault="00C2745B" w:rsidP="00C2745B">
            <w:pPr>
              <w:jc w:val="center"/>
              <w:rPr>
                <w:rFonts w:cstheme="minorHAnsi"/>
                <w:sz w:val="22"/>
                <w:szCs w:val="22"/>
              </w:rPr>
            </w:pPr>
            <w:r w:rsidRPr="00C2745B">
              <w:rPr>
                <w:rFonts w:cstheme="minorHAnsi"/>
                <w:sz w:val="22"/>
                <w:szCs w:val="22"/>
              </w:rPr>
              <w:t>20</w:t>
            </w:r>
          </w:p>
        </w:tc>
        <w:tc>
          <w:tcPr>
            <w:tcW w:w="304" w:type="pct"/>
            <w:vAlign w:val="center"/>
          </w:tcPr>
          <w:p w14:paraId="531B7BBF" w14:textId="77777777" w:rsidR="00C2745B" w:rsidRPr="00C2745B" w:rsidRDefault="00C2745B" w:rsidP="00C2745B">
            <w:pPr>
              <w:jc w:val="center"/>
              <w:rPr>
                <w:rFonts w:cstheme="minorHAnsi"/>
                <w:sz w:val="22"/>
                <w:szCs w:val="22"/>
              </w:rPr>
            </w:pPr>
            <w:r w:rsidRPr="00C2745B">
              <w:rPr>
                <w:rFonts w:cstheme="minorHAnsi"/>
                <w:sz w:val="22"/>
                <w:szCs w:val="22"/>
              </w:rPr>
              <w:t>30</w:t>
            </w:r>
          </w:p>
        </w:tc>
        <w:tc>
          <w:tcPr>
            <w:tcW w:w="1283" w:type="pct"/>
            <w:vAlign w:val="center"/>
          </w:tcPr>
          <w:p w14:paraId="60672753"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705C8C4B" w14:textId="77777777" w:rsidR="00C2745B" w:rsidRPr="00C2745B" w:rsidRDefault="00C2745B" w:rsidP="00C2745B">
            <w:pPr>
              <w:jc w:val="center"/>
              <w:rPr>
                <w:rFonts w:cstheme="minorHAnsi"/>
                <w:sz w:val="22"/>
                <w:szCs w:val="22"/>
              </w:rPr>
            </w:pPr>
            <w:r w:rsidRPr="00C2745B">
              <w:rPr>
                <w:rFonts w:cstheme="minorHAnsi"/>
                <w:sz w:val="22"/>
                <w:szCs w:val="22"/>
              </w:rPr>
              <w:t>7 – 8,9%</w:t>
            </w:r>
          </w:p>
        </w:tc>
      </w:tr>
      <w:tr w:rsidR="00C2745B" w:rsidRPr="00C2745B" w14:paraId="4C1F04D0" w14:textId="77777777" w:rsidTr="00C2745B">
        <w:tc>
          <w:tcPr>
            <w:tcW w:w="475" w:type="pct"/>
            <w:vAlign w:val="center"/>
          </w:tcPr>
          <w:p w14:paraId="794E11B6"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430A6442" w14:textId="77777777" w:rsidR="00C2745B" w:rsidRPr="00C2745B" w:rsidRDefault="00C2745B" w:rsidP="00C2745B">
            <w:pPr>
              <w:jc w:val="center"/>
              <w:rPr>
                <w:rFonts w:cstheme="minorHAnsi"/>
                <w:i/>
                <w:sz w:val="22"/>
                <w:szCs w:val="22"/>
              </w:rPr>
            </w:pPr>
            <w:r w:rsidRPr="00C2745B">
              <w:rPr>
                <w:rFonts w:cstheme="minorHAnsi"/>
                <w:sz w:val="22"/>
                <w:szCs w:val="22"/>
              </w:rPr>
              <w:t xml:space="preserve">Pļavu lija </w:t>
            </w:r>
            <w:r w:rsidRPr="00C2745B">
              <w:rPr>
                <w:rFonts w:cstheme="minorHAnsi"/>
                <w:i/>
                <w:sz w:val="22"/>
                <w:szCs w:val="22"/>
              </w:rPr>
              <w:t>Circus pygargus</w:t>
            </w:r>
          </w:p>
        </w:tc>
        <w:tc>
          <w:tcPr>
            <w:tcW w:w="345" w:type="pct"/>
            <w:vAlign w:val="center"/>
          </w:tcPr>
          <w:p w14:paraId="00B51C9C" w14:textId="77777777" w:rsidR="00C2745B" w:rsidRPr="00C2745B" w:rsidRDefault="00C2745B" w:rsidP="00C2745B">
            <w:pPr>
              <w:jc w:val="center"/>
              <w:rPr>
                <w:rFonts w:cstheme="minorHAnsi"/>
                <w:sz w:val="22"/>
                <w:szCs w:val="22"/>
              </w:rPr>
            </w:pPr>
            <w:r w:rsidRPr="00C2745B">
              <w:rPr>
                <w:rFonts w:cstheme="minorHAnsi"/>
                <w:sz w:val="22"/>
                <w:szCs w:val="22"/>
              </w:rPr>
              <w:t>0</w:t>
            </w:r>
          </w:p>
        </w:tc>
        <w:tc>
          <w:tcPr>
            <w:tcW w:w="304" w:type="pct"/>
            <w:vAlign w:val="center"/>
          </w:tcPr>
          <w:p w14:paraId="3F173DFA"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1283" w:type="pct"/>
            <w:vAlign w:val="center"/>
          </w:tcPr>
          <w:p w14:paraId="79B1673A"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25D20559" w14:textId="77777777" w:rsidR="00C2745B" w:rsidRPr="00C2745B" w:rsidRDefault="00C2745B" w:rsidP="00C2745B">
            <w:pPr>
              <w:jc w:val="center"/>
              <w:rPr>
                <w:rFonts w:cstheme="minorHAnsi"/>
                <w:sz w:val="22"/>
                <w:szCs w:val="22"/>
              </w:rPr>
            </w:pPr>
            <w:r w:rsidRPr="00C2745B">
              <w:rPr>
                <w:rFonts w:cstheme="minorHAnsi"/>
                <w:sz w:val="22"/>
                <w:szCs w:val="22"/>
              </w:rPr>
              <w:t>&lt;1%</w:t>
            </w:r>
          </w:p>
        </w:tc>
      </w:tr>
      <w:tr w:rsidR="00C2745B" w:rsidRPr="00C2745B" w14:paraId="292C75CB" w14:textId="77777777" w:rsidTr="00C2745B">
        <w:tc>
          <w:tcPr>
            <w:tcW w:w="475" w:type="pct"/>
            <w:vAlign w:val="center"/>
          </w:tcPr>
          <w:p w14:paraId="5D086F23"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279C67CF" w14:textId="77777777" w:rsidR="00C2745B" w:rsidRPr="00C2745B" w:rsidRDefault="00C2745B" w:rsidP="00C2745B">
            <w:pPr>
              <w:jc w:val="center"/>
              <w:rPr>
                <w:rFonts w:cstheme="minorHAnsi"/>
                <w:i/>
                <w:sz w:val="22"/>
                <w:szCs w:val="22"/>
              </w:rPr>
            </w:pPr>
            <w:r w:rsidRPr="00C2745B">
              <w:rPr>
                <w:rFonts w:cstheme="minorHAnsi"/>
                <w:sz w:val="22"/>
                <w:szCs w:val="22"/>
              </w:rPr>
              <w:t xml:space="preserve">Mazais ērglis </w:t>
            </w:r>
            <w:r w:rsidRPr="00C2745B">
              <w:rPr>
                <w:rFonts w:cstheme="minorHAnsi"/>
                <w:i/>
                <w:sz w:val="22"/>
                <w:szCs w:val="22"/>
              </w:rPr>
              <w:t>Clanga pomarina</w:t>
            </w:r>
          </w:p>
        </w:tc>
        <w:tc>
          <w:tcPr>
            <w:tcW w:w="345" w:type="pct"/>
            <w:vAlign w:val="center"/>
          </w:tcPr>
          <w:p w14:paraId="36473EBA" w14:textId="77777777" w:rsidR="00C2745B" w:rsidRPr="00C2745B" w:rsidRDefault="00C2745B" w:rsidP="00C2745B">
            <w:pPr>
              <w:jc w:val="center"/>
              <w:rPr>
                <w:rFonts w:cstheme="minorHAnsi"/>
                <w:sz w:val="22"/>
                <w:szCs w:val="22"/>
              </w:rPr>
            </w:pPr>
            <w:r w:rsidRPr="00C2745B">
              <w:rPr>
                <w:rFonts w:cstheme="minorHAnsi"/>
                <w:sz w:val="22"/>
                <w:szCs w:val="22"/>
              </w:rPr>
              <w:t>12</w:t>
            </w:r>
          </w:p>
        </w:tc>
        <w:tc>
          <w:tcPr>
            <w:tcW w:w="304" w:type="pct"/>
            <w:vAlign w:val="center"/>
          </w:tcPr>
          <w:p w14:paraId="663E26D5" w14:textId="77777777" w:rsidR="00C2745B" w:rsidRPr="00C2745B" w:rsidRDefault="00C2745B" w:rsidP="00C2745B">
            <w:pPr>
              <w:jc w:val="center"/>
              <w:rPr>
                <w:rFonts w:cstheme="minorHAnsi"/>
                <w:sz w:val="22"/>
                <w:szCs w:val="22"/>
              </w:rPr>
            </w:pPr>
            <w:r w:rsidRPr="00C2745B">
              <w:rPr>
                <w:rFonts w:cstheme="minorHAnsi"/>
                <w:sz w:val="22"/>
                <w:szCs w:val="22"/>
              </w:rPr>
              <w:t>15</w:t>
            </w:r>
          </w:p>
        </w:tc>
        <w:tc>
          <w:tcPr>
            <w:tcW w:w="1283" w:type="pct"/>
            <w:vAlign w:val="center"/>
          </w:tcPr>
          <w:p w14:paraId="79649B3B"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23A42F2E" w14:textId="77777777" w:rsidR="00C2745B" w:rsidRPr="00C2745B" w:rsidRDefault="00C2745B" w:rsidP="00C2745B">
            <w:pPr>
              <w:jc w:val="center"/>
              <w:rPr>
                <w:rFonts w:cstheme="minorHAnsi"/>
                <w:sz w:val="22"/>
                <w:szCs w:val="22"/>
              </w:rPr>
            </w:pPr>
            <w:r w:rsidRPr="00C2745B">
              <w:rPr>
                <w:rFonts w:cstheme="minorHAnsi"/>
                <w:sz w:val="22"/>
                <w:szCs w:val="22"/>
              </w:rPr>
              <w:t>4,8 – 6,7%</w:t>
            </w:r>
          </w:p>
        </w:tc>
      </w:tr>
      <w:tr w:rsidR="00C2745B" w:rsidRPr="00C2745B" w14:paraId="18854FE1" w14:textId="77777777" w:rsidTr="00C2745B">
        <w:tc>
          <w:tcPr>
            <w:tcW w:w="475" w:type="pct"/>
            <w:vAlign w:val="center"/>
          </w:tcPr>
          <w:p w14:paraId="29AFA70B"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52A8109C" w14:textId="77777777" w:rsidR="00C2745B" w:rsidRPr="00C2745B" w:rsidRDefault="00C2745B" w:rsidP="00C2745B">
            <w:pPr>
              <w:jc w:val="center"/>
              <w:rPr>
                <w:rFonts w:cstheme="minorHAnsi"/>
                <w:sz w:val="22"/>
                <w:szCs w:val="22"/>
              </w:rPr>
            </w:pPr>
            <w:r w:rsidRPr="00C2745B">
              <w:rPr>
                <w:rFonts w:cstheme="minorHAnsi"/>
                <w:sz w:val="22"/>
                <w:szCs w:val="22"/>
              </w:rPr>
              <w:t xml:space="preserve">Grieze </w:t>
            </w:r>
            <w:r w:rsidRPr="00C2745B">
              <w:rPr>
                <w:rFonts w:cstheme="minorHAnsi"/>
                <w:i/>
                <w:sz w:val="22"/>
                <w:szCs w:val="22"/>
              </w:rPr>
              <w:t>Crex crex</w:t>
            </w:r>
          </w:p>
        </w:tc>
        <w:tc>
          <w:tcPr>
            <w:tcW w:w="345" w:type="pct"/>
            <w:vAlign w:val="center"/>
          </w:tcPr>
          <w:p w14:paraId="149212AE" w14:textId="77777777" w:rsidR="00C2745B" w:rsidRPr="00C2745B" w:rsidRDefault="00C2745B" w:rsidP="00C2745B">
            <w:pPr>
              <w:jc w:val="center"/>
              <w:rPr>
                <w:rFonts w:cstheme="minorHAnsi"/>
                <w:sz w:val="22"/>
                <w:szCs w:val="22"/>
              </w:rPr>
            </w:pPr>
            <w:r w:rsidRPr="00C2745B">
              <w:rPr>
                <w:rFonts w:cstheme="minorHAnsi"/>
                <w:sz w:val="22"/>
                <w:szCs w:val="22"/>
              </w:rPr>
              <w:t>400</w:t>
            </w:r>
          </w:p>
        </w:tc>
        <w:tc>
          <w:tcPr>
            <w:tcW w:w="304" w:type="pct"/>
            <w:vAlign w:val="center"/>
          </w:tcPr>
          <w:p w14:paraId="42E3672A" w14:textId="77777777" w:rsidR="00C2745B" w:rsidRPr="00C2745B" w:rsidRDefault="00C2745B" w:rsidP="00C2745B">
            <w:pPr>
              <w:jc w:val="center"/>
              <w:rPr>
                <w:rFonts w:cstheme="minorHAnsi"/>
                <w:sz w:val="22"/>
                <w:szCs w:val="22"/>
              </w:rPr>
            </w:pPr>
            <w:r w:rsidRPr="00C2745B">
              <w:rPr>
                <w:rFonts w:cstheme="minorHAnsi"/>
                <w:sz w:val="22"/>
                <w:szCs w:val="22"/>
              </w:rPr>
              <w:t>500</w:t>
            </w:r>
          </w:p>
        </w:tc>
        <w:tc>
          <w:tcPr>
            <w:tcW w:w="1283" w:type="pct"/>
            <w:vAlign w:val="center"/>
          </w:tcPr>
          <w:p w14:paraId="28F99AD0" w14:textId="77777777" w:rsidR="00C2745B" w:rsidRPr="00C2745B" w:rsidRDefault="00C2745B" w:rsidP="00C2745B">
            <w:pPr>
              <w:jc w:val="center"/>
              <w:rPr>
                <w:rFonts w:cstheme="minorHAnsi"/>
                <w:sz w:val="22"/>
                <w:szCs w:val="22"/>
              </w:rPr>
            </w:pPr>
            <w:r w:rsidRPr="00C2745B">
              <w:rPr>
                <w:rFonts w:cstheme="minorHAnsi"/>
                <w:sz w:val="22"/>
                <w:szCs w:val="22"/>
              </w:rPr>
              <w:t>0,4 – 1.3%</w:t>
            </w:r>
          </w:p>
        </w:tc>
        <w:tc>
          <w:tcPr>
            <w:tcW w:w="1330" w:type="pct"/>
            <w:vAlign w:val="center"/>
          </w:tcPr>
          <w:p w14:paraId="0AB4EE44" w14:textId="77777777" w:rsidR="00C2745B" w:rsidRPr="00C2745B" w:rsidRDefault="00C2745B" w:rsidP="00C2745B">
            <w:pPr>
              <w:jc w:val="center"/>
              <w:rPr>
                <w:rFonts w:cstheme="minorHAnsi"/>
                <w:sz w:val="22"/>
                <w:szCs w:val="22"/>
              </w:rPr>
            </w:pPr>
            <w:r w:rsidRPr="00C2745B">
              <w:rPr>
                <w:rFonts w:cstheme="minorHAnsi"/>
                <w:sz w:val="22"/>
                <w:szCs w:val="22"/>
              </w:rPr>
              <w:t>9,7 – 14,1%</w:t>
            </w:r>
          </w:p>
        </w:tc>
      </w:tr>
      <w:tr w:rsidR="00C2745B" w:rsidRPr="00C2745B" w14:paraId="32D1A851" w14:textId="77777777" w:rsidTr="00C2745B">
        <w:tc>
          <w:tcPr>
            <w:tcW w:w="475" w:type="pct"/>
            <w:vAlign w:val="center"/>
          </w:tcPr>
          <w:p w14:paraId="4D5617C5"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7ADAC0C5" w14:textId="77777777" w:rsidR="00C2745B" w:rsidRPr="00C2745B" w:rsidRDefault="00C2745B" w:rsidP="00C2745B">
            <w:pPr>
              <w:jc w:val="center"/>
              <w:rPr>
                <w:rFonts w:cstheme="minorHAnsi"/>
                <w:i/>
                <w:iCs/>
                <w:sz w:val="22"/>
                <w:szCs w:val="22"/>
              </w:rPr>
            </w:pPr>
            <w:r w:rsidRPr="00C2745B">
              <w:rPr>
                <w:rFonts w:cstheme="minorHAnsi"/>
                <w:sz w:val="22"/>
                <w:szCs w:val="22"/>
              </w:rPr>
              <w:t xml:space="preserve">Mazais ormanītis </w:t>
            </w:r>
            <w:r w:rsidRPr="00C2745B">
              <w:rPr>
                <w:rFonts w:cstheme="minorHAnsi"/>
                <w:i/>
                <w:iCs/>
                <w:sz w:val="22"/>
                <w:szCs w:val="22"/>
              </w:rPr>
              <w:t>Zapornia parva</w:t>
            </w:r>
          </w:p>
        </w:tc>
        <w:tc>
          <w:tcPr>
            <w:tcW w:w="345" w:type="pct"/>
            <w:vAlign w:val="center"/>
          </w:tcPr>
          <w:p w14:paraId="35224E76" w14:textId="77777777" w:rsidR="00C2745B" w:rsidRPr="00C2745B" w:rsidRDefault="00C2745B" w:rsidP="00C2745B">
            <w:pPr>
              <w:jc w:val="center"/>
              <w:rPr>
                <w:rFonts w:cstheme="minorHAnsi"/>
                <w:sz w:val="22"/>
                <w:szCs w:val="22"/>
              </w:rPr>
            </w:pPr>
            <w:r w:rsidRPr="00C2745B">
              <w:rPr>
                <w:rFonts w:cstheme="minorHAnsi"/>
                <w:sz w:val="22"/>
                <w:szCs w:val="22"/>
              </w:rPr>
              <w:t>0</w:t>
            </w:r>
          </w:p>
        </w:tc>
        <w:tc>
          <w:tcPr>
            <w:tcW w:w="304" w:type="pct"/>
            <w:vAlign w:val="center"/>
          </w:tcPr>
          <w:p w14:paraId="0028D951"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1283" w:type="pct"/>
            <w:vAlign w:val="center"/>
          </w:tcPr>
          <w:p w14:paraId="3A25A0BD"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509441DC" w14:textId="77777777" w:rsidR="00C2745B" w:rsidRPr="00C2745B" w:rsidRDefault="00C2745B" w:rsidP="00C2745B">
            <w:pPr>
              <w:jc w:val="center"/>
              <w:rPr>
                <w:rFonts w:cstheme="minorHAnsi"/>
                <w:sz w:val="22"/>
                <w:szCs w:val="22"/>
              </w:rPr>
            </w:pPr>
            <w:r w:rsidRPr="00C2745B">
              <w:rPr>
                <w:rFonts w:cstheme="minorHAnsi"/>
                <w:sz w:val="22"/>
                <w:szCs w:val="22"/>
              </w:rPr>
              <w:t>&lt;1%</w:t>
            </w:r>
          </w:p>
        </w:tc>
      </w:tr>
      <w:tr w:rsidR="00C2745B" w:rsidRPr="00C2745B" w14:paraId="54E22B95" w14:textId="77777777" w:rsidTr="00C2745B">
        <w:tc>
          <w:tcPr>
            <w:tcW w:w="475" w:type="pct"/>
            <w:vAlign w:val="center"/>
          </w:tcPr>
          <w:p w14:paraId="3032F3BC"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2DBD3D24" w14:textId="77777777" w:rsidR="00C2745B" w:rsidRPr="00C2745B" w:rsidRDefault="00C2745B" w:rsidP="00C2745B">
            <w:pPr>
              <w:jc w:val="center"/>
              <w:rPr>
                <w:rFonts w:cstheme="minorHAnsi"/>
                <w:i/>
                <w:sz w:val="22"/>
                <w:szCs w:val="22"/>
              </w:rPr>
            </w:pPr>
            <w:r w:rsidRPr="00C2745B">
              <w:rPr>
                <w:rFonts w:cstheme="minorHAnsi"/>
                <w:sz w:val="22"/>
                <w:szCs w:val="22"/>
              </w:rPr>
              <w:t xml:space="preserve">Ormanītis </w:t>
            </w:r>
            <w:r w:rsidRPr="00C2745B">
              <w:rPr>
                <w:rFonts w:cstheme="minorHAnsi"/>
                <w:i/>
                <w:sz w:val="22"/>
                <w:szCs w:val="22"/>
              </w:rPr>
              <w:t>Porzana porzana</w:t>
            </w:r>
          </w:p>
        </w:tc>
        <w:tc>
          <w:tcPr>
            <w:tcW w:w="345" w:type="pct"/>
            <w:vAlign w:val="center"/>
          </w:tcPr>
          <w:p w14:paraId="4FDF54FF"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304" w:type="pct"/>
            <w:vAlign w:val="center"/>
          </w:tcPr>
          <w:p w14:paraId="45CCA4B3" w14:textId="77777777" w:rsidR="00C2745B" w:rsidRPr="00C2745B" w:rsidRDefault="00C2745B" w:rsidP="00C2745B">
            <w:pPr>
              <w:jc w:val="center"/>
              <w:rPr>
                <w:rFonts w:cstheme="minorHAnsi"/>
                <w:sz w:val="22"/>
                <w:szCs w:val="22"/>
              </w:rPr>
            </w:pPr>
            <w:r w:rsidRPr="00C2745B">
              <w:rPr>
                <w:rFonts w:cstheme="minorHAnsi"/>
                <w:sz w:val="22"/>
                <w:szCs w:val="22"/>
              </w:rPr>
              <w:t>5</w:t>
            </w:r>
          </w:p>
        </w:tc>
        <w:tc>
          <w:tcPr>
            <w:tcW w:w="1283" w:type="pct"/>
            <w:vAlign w:val="center"/>
          </w:tcPr>
          <w:p w14:paraId="56D731F4"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18A4500F" w14:textId="77777777" w:rsidR="00C2745B" w:rsidRPr="00C2745B" w:rsidRDefault="00C2745B" w:rsidP="00C2745B">
            <w:pPr>
              <w:jc w:val="center"/>
              <w:rPr>
                <w:rFonts w:cstheme="minorHAnsi"/>
                <w:sz w:val="22"/>
                <w:szCs w:val="22"/>
              </w:rPr>
            </w:pPr>
            <w:r w:rsidRPr="00C2745B">
              <w:rPr>
                <w:rFonts w:cstheme="minorHAnsi"/>
                <w:sz w:val="22"/>
                <w:szCs w:val="22"/>
              </w:rPr>
              <w:t>&lt;1%</w:t>
            </w:r>
          </w:p>
        </w:tc>
      </w:tr>
      <w:tr w:rsidR="00C2745B" w:rsidRPr="00C2745B" w14:paraId="684168BE" w14:textId="77777777" w:rsidTr="00C2745B">
        <w:tc>
          <w:tcPr>
            <w:tcW w:w="475" w:type="pct"/>
            <w:vAlign w:val="center"/>
          </w:tcPr>
          <w:p w14:paraId="03AEE806"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6807E014" w14:textId="77777777" w:rsidR="00C2745B" w:rsidRPr="00C2745B" w:rsidRDefault="00C2745B" w:rsidP="00C2745B">
            <w:pPr>
              <w:jc w:val="center"/>
              <w:rPr>
                <w:rFonts w:cstheme="minorHAnsi"/>
                <w:sz w:val="22"/>
                <w:szCs w:val="22"/>
              </w:rPr>
            </w:pPr>
            <w:r w:rsidRPr="00C2745B">
              <w:rPr>
                <w:rFonts w:cstheme="minorHAnsi"/>
                <w:sz w:val="22"/>
                <w:szCs w:val="22"/>
              </w:rPr>
              <w:t xml:space="preserve">Dzērve </w:t>
            </w:r>
            <w:r w:rsidRPr="00C2745B">
              <w:rPr>
                <w:rFonts w:cstheme="minorHAnsi"/>
                <w:i/>
                <w:sz w:val="22"/>
                <w:szCs w:val="22"/>
              </w:rPr>
              <w:t>Grus grus</w:t>
            </w:r>
          </w:p>
        </w:tc>
        <w:tc>
          <w:tcPr>
            <w:tcW w:w="345" w:type="pct"/>
            <w:vAlign w:val="center"/>
          </w:tcPr>
          <w:p w14:paraId="112C5E6C" w14:textId="77777777" w:rsidR="00C2745B" w:rsidRPr="00C2745B" w:rsidRDefault="00C2745B" w:rsidP="00C2745B">
            <w:pPr>
              <w:jc w:val="center"/>
              <w:rPr>
                <w:rFonts w:cstheme="minorHAnsi"/>
                <w:sz w:val="22"/>
                <w:szCs w:val="22"/>
              </w:rPr>
            </w:pPr>
            <w:r w:rsidRPr="00C2745B">
              <w:rPr>
                <w:rFonts w:cstheme="minorHAnsi"/>
                <w:sz w:val="22"/>
                <w:szCs w:val="22"/>
              </w:rPr>
              <w:t>30</w:t>
            </w:r>
          </w:p>
        </w:tc>
        <w:tc>
          <w:tcPr>
            <w:tcW w:w="304" w:type="pct"/>
            <w:vAlign w:val="center"/>
          </w:tcPr>
          <w:p w14:paraId="6E2F1213" w14:textId="77777777" w:rsidR="00C2745B" w:rsidRPr="00C2745B" w:rsidRDefault="00C2745B" w:rsidP="00C2745B">
            <w:pPr>
              <w:jc w:val="center"/>
              <w:rPr>
                <w:rFonts w:cstheme="minorHAnsi"/>
                <w:sz w:val="22"/>
                <w:szCs w:val="22"/>
              </w:rPr>
            </w:pPr>
            <w:r w:rsidRPr="00C2745B">
              <w:rPr>
                <w:rFonts w:cstheme="minorHAnsi"/>
                <w:sz w:val="22"/>
                <w:szCs w:val="22"/>
              </w:rPr>
              <w:t>50</w:t>
            </w:r>
          </w:p>
        </w:tc>
        <w:tc>
          <w:tcPr>
            <w:tcW w:w="1283" w:type="pct"/>
            <w:vAlign w:val="center"/>
          </w:tcPr>
          <w:p w14:paraId="1ED54FA0" w14:textId="77777777" w:rsidR="00C2745B" w:rsidRPr="00C2745B" w:rsidRDefault="00C2745B" w:rsidP="00C2745B">
            <w:pPr>
              <w:jc w:val="center"/>
              <w:rPr>
                <w:rFonts w:cstheme="minorHAnsi"/>
                <w:sz w:val="22"/>
                <w:szCs w:val="22"/>
              </w:rPr>
            </w:pPr>
            <w:r w:rsidRPr="00C2745B">
              <w:rPr>
                <w:rFonts w:cstheme="minorHAnsi"/>
                <w:sz w:val="22"/>
                <w:szCs w:val="22"/>
              </w:rPr>
              <w:t>0,5 – 1,1%</w:t>
            </w:r>
          </w:p>
        </w:tc>
        <w:tc>
          <w:tcPr>
            <w:tcW w:w="1330" w:type="pct"/>
            <w:vAlign w:val="center"/>
          </w:tcPr>
          <w:p w14:paraId="785C762D" w14:textId="77777777" w:rsidR="00C2745B" w:rsidRPr="00C2745B" w:rsidRDefault="00C2745B" w:rsidP="00C2745B">
            <w:pPr>
              <w:jc w:val="center"/>
              <w:rPr>
                <w:rFonts w:cstheme="minorHAnsi"/>
                <w:sz w:val="22"/>
                <w:szCs w:val="22"/>
              </w:rPr>
            </w:pPr>
            <w:r w:rsidRPr="00C2745B">
              <w:rPr>
                <w:rFonts w:cstheme="minorHAnsi"/>
                <w:sz w:val="22"/>
                <w:szCs w:val="22"/>
              </w:rPr>
              <w:t>5,2 – 6%</w:t>
            </w:r>
          </w:p>
        </w:tc>
      </w:tr>
      <w:tr w:rsidR="00C2745B" w:rsidRPr="00C2745B" w14:paraId="6EA1BFEC" w14:textId="77777777" w:rsidTr="00C2745B">
        <w:tc>
          <w:tcPr>
            <w:tcW w:w="475" w:type="pct"/>
            <w:vAlign w:val="center"/>
          </w:tcPr>
          <w:p w14:paraId="305C407A"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5E226109" w14:textId="77777777" w:rsidR="00C2745B" w:rsidRPr="00C2745B" w:rsidRDefault="00C2745B" w:rsidP="00C2745B">
            <w:pPr>
              <w:jc w:val="center"/>
              <w:rPr>
                <w:rFonts w:cstheme="minorHAnsi"/>
                <w:i/>
                <w:iCs/>
                <w:sz w:val="22"/>
                <w:szCs w:val="22"/>
              </w:rPr>
            </w:pPr>
            <w:r w:rsidRPr="00C2745B">
              <w:rPr>
                <w:rFonts w:cstheme="minorHAnsi"/>
                <w:sz w:val="22"/>
                <w:szCs w:val="22"/>
              </w:rPr>
              <w:t xml:space="preserve">Purva tilbīte </w:t>
            </w:r>
            <w:r w:rsidRPr="00C2745B">
              <w:rPr>
                <w:rFonts w:cstheme="minorHAnsi"/>
                <w:i/>
                <w:iCs/>
                <w:sz w:val="22"/>
                <w:szCs w:val="22"/>
              </w:rPr>
              <w:t>Tringa glareola</w:t>
            </w:r>
          </w:p>
        </w:tc>
        <w:tc>
          <w:tcPr>
            <w:tcW w:w="345" w:type="pct"/>
            <w:vAlign w:val="center"/>
          </w:tcPr>
          <w:p w14:paraId="67F17281" w14:textId="77777777" w:rsidR="00C2745B" w:rsidRPr="00C2745B" w:rsidRDefault="00C2745B" w:rsidP="00C2745B">
            <w:pPr>
              <w:jc w:val="center"/>
              <w:rPr>
                <w:rFonts w:cstheme="minorHAnsi"/>
                <w:sz w:val="22"/>
                <w:szCs w:val="22"/>
              </w:rPr>
            </w:pPr>
            <w:r w:rsidRPr="00C2745B">
              <w:rPr>
                <w:rFonts w:cstheme="minorHAnsi"/>
                <w:sz w:val="22"/>
                <w:szCs w:val="22"/>
              </w:rPr>
              <w:t>5</w:t>
            </w:r>
          </w:p>
        </w:tc>
        <w:tc>
          <w:tcPr>
            <w:tcW w:w="304" w:type="pct"/>
            <w:vAlign w:val="center"/>
          </w:tcPr>
          <w:p w14:paraId="34C2AFB5" w14:textId="77777777" w:rsidR="00C2745B" w:rsidRPr="00C2745B" w:rsidRDefault="00C2745B" w:rsidP="00C2745B">
            <w:pPr>
              <w:jc w:val="center"/>
              <w:rPr>
                <w:rFonts w:cstheme="minorHAnsi"/>
                <w:sz w:val="22"/>
                <w:szCs w:val="22"/>
              </w:rPr>
            </w:pPr>
            <w:r w:rsidRPr="00C2745B">
              <w:rPr>
                <w:rFonts w:cstheme="minorHAnsi"/>
                <w:sz w:val="22"/>
                <w:szCs w:val="22"/>
              </w:rPr>
              <w:t>7</w:t>
            </w:r>
          </w:p>
        </w:tc>
        <w:tc>
          <w:tcPr>
            <w:tcW w:w="1283" w:type="pct"/>
            <w:vAlign w:val="center"/>
          </w:tcPr>
          <w:p w14:paraId="2BDB7B5C" w14:textId="77777777" w:rsidR="00C2745B" w:rsidRPr="00C2745B" w:rsidRDefault="00C2745B" w:rsidP="00C2745B">
            <w:pPr>
              <w:jc w:val="center"/>
              <w:rPr>
                <w:rFonts w:cstheme="minorHAnsi"/>
                <w:sz w:val="22"/>
                <w:szCs w:val="22"/>
              </w:rPr>
            </w:pPr>
            <w:r w:rsidRPr="00C2745B">
              <w:rPr>
                <w:rFonts w:cstheme="minorHAnsi"/>
                <w:sz w:val="22"/>
                <w:szCs w:val="22"/>
              </w:rPr>
              <w:t>0,8 – 2,9%</w:t>
            </w:r>
          </w:p>
        </w:tc>
        <w:tc>
          <w:tcPr>
            <w:tcW w:w="1330" w:type="pct"/>
            <w:vAlign w:val="center"/>
          </w:tcPr>
          <w:p w14:paraId="1E1852A3" w14:textId="77777777" w:rsidR="00C2745B" w:rsidRPr="00C2745B" w:rsidRDefault="00C2745B" w:rsidP="00C2745B">
            <w:pPr>
              <w:jc w:val="center"/>
              <w:rPr>
                <w:rFonts w:cstheme="minorHAnsi"/>
                <w:sz w:val="22"/>
                <w:szCs w:val="22"/>
              </w:rPr>
            </w:pPr>
            <w:r w:rsidRPr="00C2745B">
              <w:rPr>
                <w:rFonts w:cstheme="minorHAnsi"/>
                <w:sz w:val="22"/>
                <w:szCs w:val="22"/>
              </w:rPr>
              <w:t>1,3 – 2%</w:t>
            </w:r>
          </w:p>
        </w:tc>
      </w:tr>
      <w:tr w:rsidR="00C2745B" w:rsidRPr="00C2745B" w14:paraId="61D76CB1" w14:textId="77777777" w:rsidTr="00C2745B">
        <w:tc>
          <w:tcPr>
            <w:tcW w:w="475" w:type="pct"/>
            <w:vAlign w:val="center"/>
          </w:tcPr>
          <w:p w14:paraId="4E4CA13E"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6CD29F90" w14:textId="77777777" w:rsidR="00C2745B" w:rsidRPr="00C2745B" w:rsidRDefault="00C2745B" w:rsidP="00C2745B">
            <w:pPr>
              <w:jc w:val="center"/>
              <w:rPr>
                <w:rFonts w:cstheme="minorHAnsi"/>
                <w:i/>
                <w:iCs/>
                <w:sz w:val="22"/>
                <w:szCs w:val="22"/>
              </w:rPr>
            </w:pPr>
            <w:r w:rsidRPr="00C2745B">
              <w:rPr>
                <w:rFonts w:cstheme="minorHAnsi"/>
                <w:sz w:val="22"/>
                <w:szCs w:val="22"/>
              </w:rPr>
              <w:t xml:space="preserve">Dzeltenais tārtiņš </w:t>
            </w:r>
            <w:r w:rsidRPr="00C2745B">
              <w:rPr>
                <w:rFonts w:cstheme="minorHAnsi"/>
                <w:i/>
                <w:iCs/>
                <w:sz w:val="22"/>
                <w:szCs w:val="22"/>
              </w:rPr>
              <w:t>Pluvialis apricaria</w:t>
            </w:r>
          </w:p>
        </w:tc>
        <w:tc>
          <w:tcPr>
            <w:tcW w:w="345" w:type="pct"/>
            <w:vAlign w:val="center"/>
          </w:tcPr>
          <w:p w14:paraId="6740418F"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304" w:type="pct"/>
            <w:vAlign w:val="center"/>
          </w:tcPr>
          <w:p w14:paraId="271FFAAB" w14:textId="77777777" w:rsidR="00C2745B" w:rsidRPr="00C2745B" w:rsidRDefault="00C2745B" w:rsidP="00C2745B">
            <w:pPr>
              <w:jc w:val="center"/>
              <w:rPr>
                <w:rFonts w:cstheme="minorHAnsi"/>
                <w:sz w:val="22"/>
                <w:szCs w:val="22"/>
              </w:rPr>
            </w:pPr>
            <w:r w:rsidRPr="00C2745B">
              <w:rPr>
                <w:rFonts w:cstheme="minorHAnsi"/>
                <w:sz w:val="22"/>
                <w:szCs w:val="22"/>
              </w:rPr>
              <w:t>2</w:t>
            </w:r>
          </w:p>
        </w:tc>
        <w:tc>
          <w:tcPr>
            <w:tcW w:w="1283" w:type="pct"/>
            <w:vAlign w:val="center"/>
          </w:tcPr>
          <w:p w14:paraId="10E0454B"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06CF198E" w14:textId="77777777" w:rsidR="00C2745B" w:rsidRPr="00C2745B" w:rsidRDefault="00C2745B" w:rsidP="00C2745B">
            <w:pPr>
              <w:jc w:val="center"/>
              <w:rPr>
                <w:rFonts w:cstheme="minorHAnsi"/>
                <w:sz w:val="22"/>
                <w:szCs w:val="22"/>
              </w:rPr>
            </w:pPr>
            <w:r w:rsidRPr="00C2745B">
              <w:rPr>
                <w:rFonts w:cstheme="minorHAnsi"/>
                <w:sz w:val="22"/>
                <w:szCs w:val="22"/>
              </w:rPr>
              <w:t>1,8 – 2,9%</w:t>
            </w:r>
          </w:p>
        </w:tc>
      </w:tr>
      <w:tr w:rsidR="00C2745B" w:rsidRPr="00C2745B" w14:paraId="57C33560" w14:textId="77777777" w:rsidTr="00C2745B">
        <w:tc>
          <w:tcPr>
            <w:tcW w:w="475" w:type="pct"/>
            <w:vAlign w:val="center"/>
          </w:tcPr>
          <w:p w14:paraId="2071AD13"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44098586" w14:textId="77777777" w:rsidR="00C2745B" w:rsidRPr="00C2745B" w:rsidRDefault="00C2745B" w:rsidP="00C2745B">
            <w:pPr>
              <w:jc w:val="center"/>
              <w:rPr>
                <w:rFonts w:cstheme="minorHAnsi"/>
                <w:i/>
                <w:sz w:val="22"/>
                <w:szCs w:val="22"/>
              </w:rPr>
            </w:pPr>
            <w:r w:rsidRPr="00C2745B">
              <w:rPr>
                <w:rFonts w:cstheme="minorHAnsi"/>
                <w:sz w:val="22"/>
                <w:szCs w:val="22"/>
              </w:rPr>
              <w:t xml:space="preserve">Upes zīriņš </w:t>
            </w:r>
            <w:r w:rsidRPr="00C2745B">
              <w:rPr>
                <w:rFonts w:cstheme="minorHAnsi"/>
                <w:i/>
                <w:sz w:val="22"/>
                <w:szCs w:val="22"/>
              </w:rPr>
              <w:t>Sterna hirundo</w:t>
            </w:r>
          </w:p>
        </w:tc>
        <w:tc>
          <w:tcPr>
            <w:tcW w:w="345" w:type="pct"/>
            <w:vAlign w:val="center"/>
          </w:tcPr>
          <w:p w14:paraId="3C54346E" w14:textId="77777777" w:rsidR="00C2745B" w:rsidRPr="00C2745B" w:rsidRDefault="00C2745B" w:rsidP="00C2745B">
            <w:pPr>
              <w:jc w:val="center"/>
              <w:rPr>
                <w:rFonts w:cstheme="minorHAnsi"/>
                <w:sz w:val="22"/>
                <w:szCs w:val="22"/>
              </w:rPr>
            </w:pPr>
            <w:r w:rsidRPr="00C2745B">
              <w:rPr>
                <w:rFonts w:cstheme="minorHAnsi"/>
                <w:sz w:val="22"/>
                <w:szCs w:val="22"/>
              </w:rPr>
              <w:t>7</w:t>
            </w:r>
          </w:p>
        </w:tc>
        <w:tc>
          <w:tcPr>
            <w:tcW w:w="304" w:type="pct"/>
            <w:vAlign w:val="center"/>
          </w:tcPr>
          <w:p w14:paraId="056C3622" w14:textId="77777777" w:rsidR="00C2745B" w:rsidRPr="00C2745B" w:rsidRDefault="00C2745B" w:rsidP="00C2745B">
            <w:pPr>
              <w:jc w:val="center"/>
              <w:rPr>
                <w:rFonts w:cstheme="minorHAnsi"/>
                <w:sz w:val="22"/>
                <w:szCs w:val="22"/>
              </w:rPr>
            </w:pPr>
            <w:r w:rsidRPr="00C2745B">
              <w:rPr>
                <w:rFonts w:cstheme="minorHAnsi"/>
                <w:sz w:val="22"/>
                <w:szCs w:val="22"/>
              </w:rPr>
              <w:t>10</w:t>
            </w:r>
          </w:p>
        </w:tc>
        <w:tc>
          <w:tcPr>
            <w:tcW w:w="1283" w:type="pct"/>
            <w:vAlign w:val="center"/>
          </w:tcPr>
          <w:p w14:paraId="2365657C"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03F30331" w14:textId="77777777" w:rsidR="00C2745B" w:rsidRPr="00C2745B" w:rsidRDefault="00C2745B" w:rsidP="00C2745B">
            <w:pPr>
              <w:jc w:val="center"/>
              <w:rPr>
                <w:rFonts w:cstheme="minorHAnsi"/>
                <w:sz w:val="22"/>
                <w:szCs w:val="22"/>
              </w:rPr>
            </w:pPr>
            <w:r w:rsidRPr="00C2745B">
              <w:rPr>
                <w:rFonts w:cstheme="minorHAnsi"/>
                <w:sz w:val="22"/>
                <w:szCs w:val="22"/>
              </w:rPr>
              <w:t>2,5 – 3,5%</w:t>
            </w:r>
          </w:p>
        </w:tc>
      </w:tr>
      <w:tr w:rsidR="00C2745B" w:rsidRPr="00C2745B" w14:paraId="4F0EF04D" w14:textId="77777777" w:rsidTr="00C2745B">
        <w:tc>
          <w:tcPr>
            <w:tcW w:w="475" w:type="pct"/>
            <w:vAlign w:val="center"/>
          </w:tcPr>
          <w:p w14:paraId="76E375B2"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0F2714FE" w14:textId="77777777" w:rsidR="00C2745B" w:rsidRPr="00C2745B" w:rsidRDefault="00C2745B" w:rsidP="00C2745B">
            <w:pPr>
              <w:jc w:val="center"/>
              <w:rPr>
                <w:rFonts w:cstheme="minorHAnsi"/>
                <w:i/>
                <w:sz w:val="22"/>
                <w:szCs w:val="22"/>
              </w:rPr>
            </w:pPr>
            <w:r w:rsidRPr="00C2745B">
              <w:rPr>
                <w:rFonts w:cstheme="minorHAnsi"/>
                <w:sz w:val="22"/>
                <w:szCs w:val="22"/>
              </w:rPr>
              <w:t xml:space="preserve">Apodziņš </w:t>
            </w:r>
            <w:r w:rsidRPr="00C2745B">
              <w:rPr>
                <w:rFonts w:cstheme="minorHAnsi"/>
                <w:i/>
                <w:sz w:val="22"/>
                <w:szCs w:val="22"/>
              </w:rPr>
              <w:t>Glaucidium passerinum</w:t>
            </w:r>
          </w:p>
        </w:tc>
        <w:tc>
          <w:tcPr>
            <w:tcW w:w="345" w:type="pct"/>
            <w:vAlign w:val="center"/>
          </w:tcPr>
          <w:p w14:paraId="695D1A54" w14:textId="77777777" w:rsidR="00C2745B" w:rsidRPr="00C2745B" w:rsidRDefault="00C2745B" w:rsidP="00C2745B">
            <w:pPr>
              <w:jc w:val="center"/>
              <w:rPr>
                <w:rFonts w:cstheme="minorHAnsi"/>
                <w:sz w:val="22"/>
                <w:szCs w:val="22"/>
              </w:rPr>
            </w:pPr>
            <w:r w:rsidRPr="00C2745B">
              <w:rPr>
                <w:rFonts w:cstheme="minorHAnsi"/>
                <w:sz w:val="22"/>
                <w:szCs w:val="22"/>
              </w:rPr>
              <w:t>75</w:t>
            </w:r>
          </w:p>
        </w:tc>
        <w:tc>
          <w:tcPr>
            <w:tcW w:w="304" w:type="pct"/>
            <w:vAlign w:val="center"/>
          </w:tcPr>
          <w:p w14:paraId="33C8025A" w14:textId="77777777" w:rsidR="00C2745B" w:rsidRPr="00C2745B" w:rsidRDefault="00C2745B" w:rsidP="00C2745B">
            <w:pPr>
              <w:jc w:val="center"/>
              <w:rPr>
                <w:rFonts w:cstheme="minorHAnsi"/>
                <w:sz w:val="22"/>
                <w:szCs w:val="22"/>
              </w:rPr>
            </w:pPr>
            <w:r w:rsidRPr="00C2745B">
              <w:rPr>
                <w:rFonts w:cstheme="minorHAnsi"/>
                <w:sz w:val="22"/>
                <w:szCs w:val="22"/>
              </w:rPr>
              <w:t>100</w:t>
            </w:r>
          </w:p>
        </w:tc>
        <w:tc>
          <w:tcPr>
            <w:tcW w:w="1283" w:type="pct"/>
            <w:vAlign w:val="center"/>
          </w:tcPr>
          <w:p w14:paraId="1B0EF783" w14:textId="77777777" w:rsidR="00C2745B" w:rsidRPr="00C2745B" w:rsidRDefault="00C2745B" w:rsidP="00C2745B">
            <w:pPr>
              <w:jc w:val="center"/>
              <w:rPr>
                <w:rFonts w:cstheme="minorHAnsi"/>
                <w:sz w:val="22"/>
                <w:szCs w:val="22"/>
              </w:rPr>
            </w:pPr>
            <w:r w:rsidRPr="00C2745B">
              <w:rPr>
                <w:rFonts w:cstheme="minorHAnsi"/>
                <w:sz w:val="22"/>
                <w:szCs w:val="22"/>
              </w:rPr>
              <w:t>1,1 – 2%</w:t>
            </w:r>
          </w:p>
        </w:tc>
        <w:tc>
          <w:tcPr>
            <w:tcW w:w="1330" w:type="pct"/>
            <w:vAlign w:val="center"/>
          </w:tcPr>
          <w:p w14:paraId="283A14A3" w14:textId="77777777" w:rsidR="00C2745B" w:rsidRPr="00C2745B" w:rsidRDefault="00C2745B" w:rsidP="00C2745B">
            <w:pPr>
              <w:jc w:val="center"/>
              <w:rPr>
                <w:rFonts w:cstheme="minorHAnsi"/>
                <w:sz w:val="22"/>
                <w:szCs w:val="22"/>
              </w:rPr>
            </w:pPr>
            <w:r w:rsidRPr="00C2745B">
              <w:rPr>
                <w:rFonts w:cstheme="minorHAnsi"/>
                <w:sz w:val="22"/>
                <w:szCs w:val="22"/>
              </w:rPr>
              <w:t>4,3 – 8,3%</w:t>
            </w:r>
          </w:p>
        </w:tc>
      </w:tr>
      <w:tr w:rsidR="00C2745B" w:rsidRPr="00C2745B" w14:paraId="5D805451" w14:textId="77777777" w:rsidTr="00C2745B">
        <w:tc>
          <w:tcPr>
            <w:tcW w:w="475" w:type="pct"/>
            <w:vAlign w:val="center"/>
          </w:tcPr>
          <w:p w14:paraId="0B259517"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3BD54209" w14:textId="77777777" w:rsidR="00C2745B" w:rsidRPr="00C2745B" w:rsidRDefault="00C2745B" w:rsidP="00C2745B">
            <w:pPr>
              <w:jc w:val="center"/>
              <w:rPr>
                <w:rFonts w:cstheme="minorHAnsi"/>
                <w:i/>
                <w:sz w:val="22"/>
                <w:szCs w:val="22"/>
              </w:rPr>
            </w:pPr>
            <w:r w:rsidRPr="00C2745B">
              <w:rPr>
                <w:rFonts w:cstheme="minorHAnsi"/>
                <w:sz w:val="22"/>
                <w:szCs w:val="22"/>
              </w:rPr>
              <w:t xml:space="preserve">Urālpūce </w:t>
            </w:r>
            <w:r w:rsidRPr="00C2745B">
              <w:rPr>
                <w:rFonts w:cstheme="minorHAnsi"/>
                <w:i/>
                <w:sz w:val="22"/>
                <w:szCs w:val="22"/>
              </w:rPr>
              <w:t>Strix uralensis</w:t>
            </w:r>
          </w:p>
        </w:tc>
        <w:tc>
          <w:tcPr>
            <w:tcW w:w="345" w:type="pct"/>
            <w:vAlign w:val="center"/>
          </w:tcPr>
          <w:p w14:paraId="7F533353" w14:textId="77777777" w:rsidR="00C2745B" w:rsidRPr="00C2745B" w:rsidRDefault="00C2745B" w:rsidP="00C2745B">
            <w:pPr>
              <w:jc w:val="center"/>
              <w:rPr>
                <w:rFonts w:cstheme="minorHAnsi"/>
                <w:sz w:val="22"/>
                <w:szCs w:val="22"/>
              </w:rPr>
            </w:pPr>
            <w:r w:rsidRPr="00C2745B">
              <w:rPr>
                <w:rFonts w:cstheme="minorHAnsi"/>
                <w:sz w:val="22"/>
                <w:szCs w:val="22"/>
              </w:rPr>
              <w:t>5</w:t>
            </w:r>
          </w:p>
        </w:tc>
        <w:tc>
          <w:tcPr>
            <w:tcW w:w="304" w:type="pct"/>
            <w:vAlign w:val="center"/>
          </w:tcPr>
          <w:p w14:paraId="35E4F21C" w14:textId="77777777" w:rsidR="00C2745B" w:rsidRPr="00C2745B" w:rsidRDefault="00C2745B" w:rsidP="00C2745B">
            <w:pPr>
              <w:jc w:val="center"/>
              <w:rPr>
                <w:rFonts w:cstheme="minorHAnsi"/>
                <w:sz w:val="22"/>
                <w:szCs w:val="22"/>
              </w:rPr>
            </w:pPr>
            <w:r w:rsidRPr="00C2745B">
              <w:rPr>
                <w:rFonts w:cstheme="minorHAnsi"/>
                <w:sz w:val="22"/>
                <w:szCs w:val="22"/>
              </w:rPr>
              <w:t>10</w:t>
            </w:r>
          </w:p>
        </w:tc>
        <w:tc>
          <w:tcPr>
            <w:tcW w:w="1283" w:type="pct"/>
            <w:vAlign w:val="center"/>
          </w:tcPr>
          <w:p w14:paraId="2B28F8DC"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5DDFDDD9" w14:textId="77777777" w:rsidR="00C2745B" w:rsidRPr="00C2745B" w:rsidRDefault="00C2745B" w:rsidP="00C2745B">
            <w:pPr>
              <w:jc w:val="center"/>
              <w:rPr>
                <w:rFonts w:cstheme="minorHAnsi"/>
                <w:sz w:val="22"/>
                <w:szCs w:val="22"/>
              </w:rPr>
            </w:pPr>
            <w:r w:rsidRPr="00C2745B">
              <w:rPr>
                <w:rFonts w:cstheme="minorHAnsi"/>
                <w:sz w:val="22"/>
                <w:szCs w:val="22"/>
              </w:rPr>
              <w:t>1,3 – 1,9%</w:t>
            </w:r>
          </w:p>
        </w:tc>
      </w:tr>
      <w:tr w:rsidR="00C2745B" w:rsidRPr="00C2745B" w14:paraId="22946CEF" w14:textId="77777777" w:rsidTr="00C2745B">
        <w:tc>
          <w:tcPr>
            <w:tcW w:w="475" w:type="pct"/>
            <w:vAlign w:val="center"/>
          </w:tcPr>
          <w:p w14:paraId="1F2F97F8"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7FE5D830" w14:textId="77777777" w:rsidR="00C2745B" w:rsidRPr="00C2745B" w:rsidRDefault="00C2745B" w:rsidP="00C2745B">
            <w:pPr>
              <w:jc w:val="center"/>
              <w:rPr>
                <w:rFonts w:cstheme="minorHAnsi"/>
                <w:i/>
                <w:sz w:val="22"/>
                <w:szCs w:val="22"/>
              </w:rPr>
            </w:pPr>
            <w:r w:rsidRPr="00C2745B">
              <w:rPr>
                <w:rFonts w:cstheme="minorHAnsi"/>
                <w:sz w:val="22"/>
                <w:szCs w:val="22"/>
              </w:rPr>
              <w:t xml:space="preserve">Bikšainais apogs </w:t>
            </w:r>
            <w:r w:rsidRPr="00C2745B">
              <w:rPr>
                <w:rFonts w:cstheme="minorHAnsi"/>
                <w:i/>
                <w:sz w:val="22"/>
                <w:szCs w:val="22"/>
              </w:rPr>
              <w:t>Aegolius funereus</w:t>
            </w:r>
          </w:p>
        </w:tc>
        <w:tc>
          <w:tcPr>
            <w:tcW w:w="345" w:type="pct"/>
            <w:vAlign w:val="center"/>
          </w:tcPr>
          <w:p w14:paraId="2FA39423" w14:textId="77777777" w:rsidR="00C2745B" w:rsidRPr="00C2745B" w:rsidRDefault="00C2745B" w:rsidP="00C2745B">
            <w:pPr>
              <w:jc w:val="center"/>
              <w:rPr>
                <w:rFonts w:cstheme="minorHAnsi"/>
                <w:sz w:val="22"/>
                <w:szCs w:val="22"/>
              </w:rPr>
            </w:pPr>
            <w:r w:rsidRPr="00C2745B">
              <w:rPr>
                <w:rFonts w:cstheme="minorHAnsi"/>
                <w:sz w:val="22"/>
                <w:szCs w:val="22"/>
              </w:rPr>
              <w:t>0</w:t>
            </w:r>
          </w:p>
        </w:tc>
        <w:tc>
          <w:tcPr>
            <w:tcW w:w="304" w:type="pct"/>
            <w:vAlign w:val="center"/>
          </w:tcPr>
          <w:p w14:paraId="3176CF5E"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1283" w:type="pct"/>
            <w:vAlign w:val="center"/>
          </w:tcPr>
          <w:p w14:paraId="35FE1C05"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7085C19B" w14:textId="77777777" w:rsidR="00C2745B" w:rsidRPr="00C2745B" w:rsidRDefault="00C2745B" w:rsidP="00C2745B">
            <w:pPr>
              <w:jc w:val="center"/>
              <w:rPr>
                <w:rFonts w:cstheme="minorHAnsi"/>
                <w:sz w:val="22"/>
                <w:szCs w:val="22"/>
              </w:rPr>
            </w:pPr>
            <w:r w:rsidRPr="00C2745B">
              <w:rPr>
                <w:rFonts w:cstheme="minorHAnsi"/>
                <w:sz w:val="22"/>
                <w:szCs w:val="22"/>
              </w:rPr>
              <w:t>&lt;1%</w:t>
            </w:r>
          </w:p>
        </w:tc>
      </w:tr>
      <w:tr w:rsidR="00C2745B" w:rsidRPr="00C2745B" w14:paraId="53FE46D8" w14:textId="77777777" w:rsidTr="00C2745B">
        <w:tc>
          <w:tcPr>
            <w:tcW w:w="475" w:type="pct"/>
            <w:vAlign w:val="center"/>
          </w:tcPr>
          <w:p w14:paraId="3323D714"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00FEF455" w14:textId="77777777" w:rsidR="00C2745B" w:rsidRPr="00C2745B" w:rsidRDefault="00C2745B" w:rsidP="00C2745B">
            <w:pPr>
              <w:jc w:val="center"/>
              <w:rPr>
                <w:rFonts w:cstheme="minorHAnsi"/>
                <w:i/>
                <w:iCs/>
                <w:sz w:val="22"/>
                <w:szCs w:val="22"/>
              </w:rPr>
            </w:pPr>
            <w:r w:rsidRPr="00C2745B">
              <w:rPr>
                <w:rFonts w:cstheme="minorHAnsi"/>
                <w:sz w:val="22"/>
                <w:szCs w:val="22"/>
              </w:rPr>
              <w:t xml:space="preserve">Ūpis </w:t>
            </w:r>
            <w:r w:rsidRPr="00C2745B">
              <w:rPr>
                <w:rFonts w:cstheme="minorHAnsi"/>
                <w:i/>
                <w:iCs/>
                <w:sz w:val="22"/>
                <w:szCs w:val="22"/>
              </w:rPr>
              <w:t>Bubo bubo</w:t>
            </w:r>
          </w:p>
        </w:tc>
        <w:tc>
          <w:tcPr>
            <w:tcW w:w="345" w:type="pct"/>
            <w:vAlign w:val="center"/>
          </w:tcPr>
          <w:p w14:paraId="4FF02118" w14:textId="77777777" w:rsidR="00C2745B" w:rsidRPr="00C2745B" w:rsidRDefault="00C2745B" w:rsidP="00C2745B">
            <w:pPr>
              <w:jc w:val="center"/>
              <w:rPr>
                <w:rFonts w:cstheme="minorHAnsi"/>
                <w:sz w:val="22"/>
                <w:szCs w:val="22"/>
              </w:rPr>
            </w:pPr>
            <w:r w:rsidRPr="00C2745B">
              <w:rPr>
                <w:rFonts w:cstheme="minorHAnsi"/>
                <w:sz w:val="22"/>
                <w:szCs w:val="22"/>
              </w:rPr>
              <w:t>0</w:t>
            </w:r>
          </w:p>
        </w:tc>
        <w:tc>
          <w:tcPr>
            <w:tcW w:w="304" w:type="pct"/>
            <w:vAlign w:val="center"/>
          </w:tcPr>
          <w:p w14:paraId="4A3262BF"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1283" w:type="pct"/>
            <w:vAlign w:val="center"/>
          </w:tcPr>
          <w:p w14:paraId="0A031434"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332AC810" w14:textId="77777777" w:rsidR="00C2745B" w:rsidRPr="00C2745B" w:rsidRDefault="00C2745B" w:rsidP="00C2745B">
            <w:pPr>
              <w:jc w:val="center"/>
              <w:rPr>
                <w:rFonts w:cstheme="minorHAnsi"/>
                <w:sz w:val="22"/>
                <w:szCs w:val="22"/>
              </w:rPr>
            </w:pPr>
            <w:r w:rsidRPr="00C2745B">
              <w:rPr>
                <w:rFonts w:cstheme="minorHAnsi"/>
                <w:sz w:val="22"/>
                <w:szCs w:val="22"/>
              </w:rPr>
              <w:t>&lt;1%</w:t>
            </w:r>
          </w:p>
        </w:tc>
      </w:tr>
      <w:tr w:rsidR="00C2745B" w:rsidRPr="00C2745B" w14:paraId="4A1AA02E" w14:textId="77777777" w:rsidTr="00C2745B">
        <w:tc>
          <w:tcPr>
            <w:tcW w:w="475" w:type="pct"/>
            <w:vAlign w:val="center"/>
          </w:tcPr>
          <w:p w14:paraId="5CF0BF7B"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1AEECAEC" w14:textId="77777777" w:rsidR="00C2745B" w:rsidRPr="00C2745B" w:rsidRDefault="00C2745B" w:rsidP="00C2745B">
            <w:pPr>
              <w:jc w:val="center"/>
              <w:rPr>
                <w:rFonts w:cstheme="minorHAnsi"/>
                <w:i/>
                <w:sz w:val="22"/>
                <w:szCs w:val="22"/>
              </w:rPr>
            </w:pPr>
            <w:r w:rsidRPr="00C2745B">
              <w:rPr>
                <w:rFonts w:cstheme="minorHAnsi"/>
                <w:sz w:val="22"/>
                <w:szCs w:val="22"/>
              </w:rPr>
              <w:t xml:space="preserve">Vakarlēpis </w:t>
            </w:r>
            <w:r w:rsidRPr="00C2745B">
              <w:rPr>
                <w:rFonts w:cstheme="minorHAnsi"/>
                <w:i/>
                <w:sz w:val="22"/>
                <w:szCs w:val="22"/>
              </w:rPr>
              <w:t>Caprimulgus europaeus</w:t>
            </w:r>
          </w:p>
        </w:tc>
        <w:tc>
          <w:tcPr>
            <w:tcW w:w="345" w:type="pct"/>
            <w:vAlign w:val="center"/>
          </w:tcPr>
          <w:p w14:paraId="55EB6F2A" w14:textId="77777777" w:rsidR="00C2745B" w:rsidRPr="00C2745B" w:rsidRDefault="00C2745B" w:rsidP="00C2745B">
            <w:pPr>
              <w:jc w:val="center"/>
              <w:rPr>
                <w:rFonts w:cstheme="minorHAnsi"/>
                <w:sz w:val="22"/>
                <w:szCs w:val="22"/>
              </w:rPr>
            </w:pPr>
            <w:r w:rsidRPr="00C2745B">
              <w:rPr>
                <w:rFonts w:cstheme="minorHAnsi"/>
                <w:sz w:val="22"/>
                <w:szCs w:val="22"/>
              </w:rPr>
              <w:t>50</w:t>
            </w:r>
          </w:p>
        </w:tc>
        <w:tc>
          <w:tcPr>
            <w:tcW w:w="304" w:type="pct"/>
            <w:vAlign w:val="center"/>
          </w:tcPr>
          <w:p w14:paraId="44147746" w14:textId="77777777" w:rsidR="00C2745B" w:rsidRPr="00C2745B" w:rsidRDefault="00C2745B" w:rsidP="00C2745B">
            <w:pPr>
              <w:jc w:val="center"/>
              <w:rPr>
                <w:rFonts w:cstheme="minorHAnsi"/>
                <w:sz w:val="22"/>
                <w:szCs w:val="22"/>
              </w:rPr>
            </w:pPr>
            <w:r w:rsidRPr="00C2745B">
              <w:rPr>
                <w:rFonts w:cstheme="minorHAnsi"/>
                <w:sz w:val="22"/>
                <w:szCs w:val="22"/>
              </w:rPr>
              <w:t>100</w:t>
            </w:r>
          </w:p>
        </w:tc>
        <w:tc>
          <w:tcPr>
            <w:tcW w:w="1283" w:type="pct"/>
            <w:vAlign w:val="center"/>
          </w:tcPr>
          <w:p w14:paraId="60308A2D"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4131C0B5" w14:textId="77777777" w:rsidR="00C2745B" w:rsidRPr="00C2745B" w:rsidRDefault="00C2745B" w:rsidP="00C2745B">
            <w:pPr>
              <w:jc w:val="center"/>
              <w:rPr>
                <w:rFonts w:cstheme="minorHAnsi"/>
                <w:sz w:val="22"/>
                <w:szCs w:val="22"/>
              </w:rPr>
            </w:pPr>
            <w:r w:rsidRPr="00C2745B">
              <w:rPr>
                <w:rFonts w:cstheme="minorHAnsi"/>
                <w:sz w:val="22"/>
                <w:szCs w:val="22"/>
              </w:rPr>
              <w:t>3,7 – 5,0%</w:t>
            </w:r>
          </w:p>
        </w:tc>
      </w:tr>
      <w:tr w:rsidR="00C2745B" w:rsidRPr="00C2745B" w14:paraId="0FA7F9DA" w14:textId="77777777" w:rsidTr="00C2745B">
        <w:tc>
          <w:tcPr>
            <w:tcW w:w="475" w:type="pct"/>
            <w:vAlign w:val="center"/>
          </w:tcPr>
          <w:p w14:paraId="7A7FD0FC"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1481504E" w14:textId="77777777" w:rsidR="00C2745B" w:rsidRPr="00C2745B" w:rsidRDefault="00C2745B" w:rsidP="00C2745B">
            <w:pPr>
              <w:jc w:val="center"/>
              <w:rPr>
                <w:rFonts w:cstheme="minorHAnsi"/>
                <w:i/>
                <w:sz w:val="22"/>
                <w:szCs w:val="22"/>
              </w:rPr>
            </w:pPr>
            <w:r w:rsidRPr="00C2745B">
              <w:rPr>
                <w:rFonts w:cstheme="minorHAnsi"/>
                <w:sz w:val="22"/>
                <w:szCs w:val="22"/>
              </w:rPr>
              <w:t xml:space="preserve">Zivju dzenītis </w:t>
            </w:r>
            <w:r w:rsidRPr="00C2745B">
              <w:rPr>
                <w:rFonts w:cstheme="minorHAnsi"/>
                <w:i/>
                <w:sz w:val="22"/>
                <w:szCs w:val="22"/>
              </w:rPr>
              <w:t>Alcedo atthis</w:t>
            </w:r>
          </w:p>
        </w:tc>
        <w:tc>
          <w:tcPr>
            <w:tcW w:w="345" w:type="pct"/>
            <w:vAlign w:val="center"/>
          </w:tcPr>
          <w:p w14:paraId="3FF28472" w14:textId="77777777" w:rsidR="00C2745B" w:rsidRPr="00C2745B" w:rsidRDefault="00C2745B" w:rsidP="00C2745B">
            <w:pPr>
              <w:jc w:val="center"/>
              <w:rPr>
                <w:rFonts w:cstheme="minorHAnsi"/>
                <w:sz w:val="22"/>
                <w:szCs w:val="22"/>
              </w:rPr>
            </w:pPr>
            <w:r w:rsidRPr="00C2745B">
              <w:rPr>
                <w:rFonts w:cstheme="minorHAnsi"/>
                <w:sz w:val="22"/>
                <w:szCs w:val="22"/>
              </w:rPr>
              <w:t>60</w:t>
            </w:r>
          </w:p>
        </w:tc>
        <w:tc>
          <w:tcPr>
            <w:tcW w:w="304" w:type="pct"/>
            <w:vAlign w:val="center"/>
          </w:tcPr>
          <w:p w14:paraId="55CFE786" w14:textId="77777777" w:rsidR="00C2745B" w:rsidRPr="00C2745B" w:rsidRDefault="00C2745B" w:rsidP="00C2745B">
            <w:pPr>
              <w:jc w:val="center"/>
              <w:rPr>
                <w:rFonts w:cstheme="minorHAnsi"/>
                <w:sz w:val="22"/>
                <w:szCs w:val="22"/>
              </w:rPr>
            </w:pPr>
            <w:r w:rsidRPr="00C2745B">
              <w:rPr>
                <w:rFonts w:cstheme="minorHAnsi"/>
                <w:sz w:val="22"/>
                <w:szCs w:val="22"/>
              </w:rPr>
              <w:t>90</w:t>
            </w:r>
          </w:p>
        </w:tc>
        <w:tc>
          <w:tcPr>
            <w:tcW w:w="1283" w:type="pct"/>
            <w:vAlign w:val="center"/>
          </w:tcPr>
          <w:p w14:paraId="23F1DEEA" w14:textId="77777777" w:rsidR="00C2745B" w:rsidRPr="00C2745B" w:rsidRDefault="00C2745B" w:rsidP="00C2745B">
            <w:pPr>
              <w:jc w:val="center"/>
              <w:rPr>
                <w:rFonts w:cstheme="minorHAnsi"/>
                <w:sz w:val="22"/>
                <w:szCs w:val="22"/>
              </w:rPr>
            </w:pPr>
            <w:r w:rsidRPr="00C2745B">
              <w:rPr>
                <w:rFonts w:cstheme="minorHAnsi"/>
                <w:sz w:val="22"/>
                <w:szCs w:val="22"/>
              </w:rPr>
              <w:t>7,5 – 8%</w:t>
            </w:r>
          </w:p>
        </w:tc>
        <w:tc>
          <w:tcPr>
            <w:tcW w:w="1330" w:type="pct"/>
            <w:vAlign w:val="center"/>
          </w:tcPr>
          <w:p w14:paraId="11018BAE" w14:textId="77777777" w:rsidR="00C2745B" w:rsidRPr="00C2745B" w:rsidRDefault="00C2745B" w:rsidP="00C2745B">
            <w:pPr>
              <w:jc w:val="center"/>
              <w:rPr>
                <w:rFonts w:cstheme="minorHAnsi"/>
                <w:sz w:val="22"/>
                <w:szCs w:val="22"/>
              </w:rPr>
            </w:pPr>
            <w:r w:rsidRPr="00C2745B">
              <w:rPr>
                <w:rFonts w:cstheme="minorHAnsi"/>
                <w:sz w:val="22"/>
                <w:szCs w:val="22"/>
              </w:rPr>
              <w:t>28,9 – 30,9%</w:t>
            </w:r>
          </w:p>
        </w:tc>
      </w:tr>
      <w:tr w:rsidR="00C2745B" w:rsidRPr="00C2745B" w14:paraId="594EA6D4" w14:textId="77777777" w:rsidTr="00C2745B">
        <w:tc>
          <w:tcPr>
            <w:tcW w:w="475" w:type="pct"/>
            <w:vAlign w:val="center"/>
          </w:tcPr>
          <w:p w14:paraId="3A28D279"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4B1F413A" w14:textId="77777777" w:rsidR="00C2745B" w:rsidRPr="00C2745B" w:rsidRDefault="00C2745B" w:rsidP="00C2745B">
            <w:pPr>
              <w:jc w:val="center"/>
              <w:rPr>
                <w:rFonts w:cstheme="minorHAnsi"/>
                <w:sz w:val="22"/>
                <w:szCs w:val="22"/>
              </w:rPr>
            </w:pPr>
            <w:r w:rsidRPr="00C2745B">
              <w:rPr>
                <w:rFonts w:cstheme="minorHAnsi"/>
                <w:sz w:val="22"/>
                <w:szCs w:val="22"/>
              </w:rPr>
              <w:t xml:space="preserve">Vidējais dzenis </w:t>
            </w:r>
            <w:r w:rsidRPr="00C2745B">
              <w:rPr>
                <w:rFonts w:cstheme="minorHAnsi"/>
                <w:i/>
                <w:sz w:val="22"/>
                <w:szCs w:val="22"/>
              </w:rPr>
              <w:t>Leiopicus medius</w:t>
            </w:r>
          </w:p>
        </w:tc>
        <w:tc>
          <w:tcPr>
            <w:tcW w:w="345" w:type="pct"/>
            <w:vAlign w:val="center"/>
          </w:tcPr>
          <w:p w14:paraId="09161CAC" w14:textId="77777777" w:rsidR="00C2745B" w:rsidRPr="00C2745B" w:rsidRDefault="00C2745B" w:rsidP="00C2745B">
            <w:pPr>
              <w:jc w:val="center"/>
              <w:rPr>
                <w:rFonts w:cstheme="minorHAnsi"/>
                <w:sz w:val="22"/>
                <w:szCs w:val="22"/>
              </w:rPr>
            </w:pPr>
            <w:r w:rsidRPr="00C2745B">
              <w:rPr>
                <w:rFonts w:cstheme="minorHAnsi"/>
                <w:sz w:val="22"/>
                <w:szCs w:val="22"/>
              </w:rPr>
              <w:t>150</w:t>
            </w:r>
          </w:p>
        </w:tc>
        <w:tc>
          <w:tcPr>
            <w:tcW w:w="304" w:type="pct"/>
            <w:vAlign w:val="center"/>
          </w:tcPr>
          <w:p w14:paraId="3056BAB7" w14:textId="77777777" w:rsidR="00C2745B" w:rsidRPr="00C2745B" w:rsidRDefault="00C2745B" w:rsidP="00C2745B">
            <w:pPr>
              <w:jc w:val="center"/>
              <w:rPr>
                <w:rFonts w:cstheme="minorHAnsi"/>
                <w:sz w:val="22"/>
                <w:szCs w:val="22"/>
              </w:rPr>
            </w:pPr>
            <w:r w:rsidRPr="00C2745B">
              <w:rPr>
                <w:rFonts w:cstheme="minorHAnsi"/>
                <w:sz w:val="22"/>
                <w:szCs w:val="22"/>
              </w:rPr>
              <w:t>200</w:t>
            </w:r>
          </w:p>
        </w:tc>
        <w:tc>
          <w:tcPr>
            <w:tcW w:w="1283" w:type="pct"/>
            <w:vAlign w:val="center"/>
          </w:tcPr>
          <w:p w14:paraId="0A45DC38" w14:textId="77777777" w:rsidR="00C2745B" w:rsidRPr="00C2745B" w:rsidRDefault="00C2745B" w:rsidP="00C2745B">
            <w:pPr>
              <w:jc w:val="center"/>
              <w:rPr>
                <w:rFonts w:cstheme="minorHAnsi"/>
                <w:sz w:val="22"/>
                <w:szCs w:val="22"/>
              </w:rPr>
            </w:pPr>
            <w:r w:rsidRPr="00C2745B">
              <w:rPr>
                <w:rFonts w:cstheme="minorHAnsi"/>
                <w:sz w:val="22"/>
                <w:szCs w:val="22"/>
              </w:rPr>
              <w:t>2 – 3%</w:t>
            </w:r>
          </w:p>
        </w:tc>
        <w:tc>
          <w:tcPr>
            <w:tcW w:w="1330" w:type="pct"/>
            <w:vAlign w:val="center"/>
          </w:tcPr>
          <w:p w14:paraId="351E0CBD" w14:textId="77777777" w:rsidR="00C2745B" w:rsidRPr="00C2745B" w:rsidRDefault="00C2745B" w:rsidP="00C2745B">
            <w:pPr>
              <w:jc w:val="center"/>
              <w:rPr>
                <w:rFonts w:cstheme="minorHAnsi"/>
                <w:sz w:val="22"/>
                <w:szCs w:val="22"/>
              </w:rPr>
            </w:pPr>
            <w:r w:rsidRPr="00C2745B">
              <w:rPr>
                <w:rFonts w:cstheme="minorHAnsi"/>
                <w:sz w:val="22"/>
                <w:szCs w:val="22"/>
              </w:rPr>
              <w:t>28,5 – 38%</w:t>
            </w:r>
          </w:p>
        </w:tc>
      </w:tr>
      <w:tr w:rsidR="00C2745B" w:rsidRPr="00C2745B" w14:paraId="65F75AC4" w14:textId="77777777" w:rsidTr="00C2745B">
        <w:tc>
          <w:tcPr>
            <w:tcW w:w="475" w:type="pct"/>
            <w:vAlign w:val="center"/>
          </w:tcPr>
          <w:p w14:paraId="3963080E"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2738D049" w14:textId="77777777" w:rsidR="00C2745B" w:rsidRPr="00C2745B" w:rsidRDefault="00C2745B" w:rsidP="00C2745B">
            <w:pPr>
              <w:jc w:val="center"/>
              <w:rPr>
                <w:rFonts w:cstheme="minorHAnsi"/>
                <w:i/>
                <w:sz w:val="22"/>
                <w:szCs w:val="22"/>
              </w:rPr>
            </w:pPr>
            <w:r w:rsidRPr="00C2745B">
              <w:rPr>
                <w:rFonts w:cstheme="minorHAnsi"/>
                <w:sz w:val="22"/>
                <w:szCs w:val="22"/>
              </w:rPr>
              <w:t xml:space="preserve">Baltmugurdzenis </w:t>
            </w:r>
            <w:r w:rsidRPr="00C2745B">
              <w:rPr>
                <w:rFonts w:cstheme="minorHAnsi"/>
                <w:i/>
                <w:sz w:val="22"/>
                <w:szCs w:val="22"/>
              </w:rPr>
              <w:t>Dendrocopos leucotos</w:t>
            </w:r>
          </w:p>
        </w:tc>
        <w:tc>
          <w:tcPr>
            <w:tcW w:w="345" w:type="pct"/>
            <w:vAlign w:val="center"/>
          </w:tcPr>
          <w:p w14:paraId="499B5A22" w14:textId="77777777" w:rsidR="00C2745B" w:rsidRPr="00C2745B" w:rsidRDefault="00C2745B" w:rsidP="00C2745B">
            <w:pPr>
              <w:jc w:val="center"/>
              <w:rPr>
                <w:rFonts w:cstheme="minorHAnsi"/>
                <w:sz w:val="22"/>
                <w:szCs w:val="22"/>
              </w:rPr>
            </w:pPr>
            <w:r w:rsidRPr="00C2745B">
              <w:rPr>
                <w:rFonts w:cstheme="minorHAnsi"/>
                <w:sz w:val="22"/>
                <w:szCs w:val="22"/>
              </w:rPr>
              <w:t>40</w:t>
            </w:r>
          </w:p>
        </w:tc>
        <w:tc>
          <w:tcPr>
            <w:tcW w:w="304" w:type="pct"/>
            <w:vAlign w:val="center"/>
          </w:tcPr>
          <w:p w14:paraId="67DDAD7B" w14:textId="77777777" w:rsidR="00C2745B" w:rsidRPr="00C2745B" w:rsidRDefault="00C2745B" w:rsidP="00C2745B">
            <w:pPr>
              <w:jc w:val="center"/>
              <w:rPr>
                <w:rFonts w:cstheme="minorHAnsi"/>
                <w:sz w:val="22"/>
                <w:szCs w:val="22"/>
              </w:rPr>
            </w:pPr>
            <w:r w:rsidRPr="00C2745B">
              <w:rPr>
                <w:rFonts w:cstheme="minorHAnsi"/>
                <w:sz w:val="22"/>
                <w:szCs w:val="22"/>
              </w:rPr>
              <w:t>60</w:t>
            </w:r>
          </w:p>
        </w:tc>
        <w:tc>
          <w:tcPr>
            <w:tcW w:w="1283" w:type="pct"/>
            <w:vAlign w:val="center"/>
          </w:tcPr>
          <w:p w14:paraId="3E552D70" w14:textId="77777777" w:rsidR="00C2745B" w:rsidRPr="00C2745B" w:rsidRDefault="00C2745B" w:rsidP="00C2745B">
            <w:pPr>
              <w:jc w:val="center"/>
              <w:rPr>
                <w:rFonts w:cstheme="minorHAnsi"/>
                <w:sz w:val="22"/>
                <w:szCs w:val="22"/>
              </w:rPr>
            </w:pPr>
            <w:r w:rsidRPr="00C2745B">
              <w:rPr>
                <w:rFonts w:cstheme="minorHAnsi"/>
                <w:sz w:val="22"/>
                <w:szCs w:val="22"/>
              </w:rPr>
              <w:t>0,9 – 1%</w:t>
            </w:r>
          </w:p>
        </w:tc>
        <w:tc>
          <w:tcPr>
            <w:tcW w:w="1330" w:type="pct"/>
            <w:vAlign w:val="center"/>
          </w:tcPr>
          <w:p w14:paraId="64BCEEC9" w14:textId="77777777" w:rsidR="00C2745B" w:rsidRPr="00C2745B" w:rsidRDefault="00C2745B" w:rsidP="00C2745B">
            <w:pPr>
              <w:jc w:val="center"/>
              <w:rPr>
                <w:rFonts w:cstheme="minorHAnsi"/>
                <w:sz w:val="22"/>
                <w:szCs w:val="22"/>
              </w:rPr>
            </w:pPr>
            <w:r w:rsidRPr="00C2745B">
              <w:rPr>
                <w:rFonts w:cstheme="minorHAnsi"/>
                <w:sz w:val="22"/>
                <w:szCs w:val="22"/>
              </w:rPr>
              <w:t>7,9 – 9,5%</w:t>
            </w:r>
          </w:p>
        </w:tc>
      </w:tr>
      <w:tr w:rsidR="00C2745B" w:rsidRPr="00C2745B" w14:paraId="7255B1E1" w14:textId="77777777" w:rsidTr="00C2745B">
        <w:tc>
          <w:tcPr>
            <w:tcW w:w="475" w:type="pct"/>
            <w:vAlign w:val="center"/>
          </w:tcPr>
          <w:p w14:paraId="5D61F42F"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11E186E5" w14:textId="77777777" w:rsidR="00C2745B" w:rsidRPr="00C2745B" w:rsidRDefault="00C2745B" w:rsidP="00C2745B">
            <w:pPr>
              <w:jc w:val="center"/>
              <w:rPr>
                <w:rFonts w:cstheme="minorHAnsi"/>
                <w:i/>
                <w:sz w:val="22"/>
                <w:szCs w:val="22"/>
              </w:rPr>
            </w:pPr>
            <w:r w:rsidRPr="00C2745B">
              <w:rPr>
                <w:rFonts w:cstheme="minorHAnsi"/>
                <w:sz w:val="22"/>
                <w:szCs w:val="22"/>
              </w:rPr>
              <w:t xml:space="preserve">Trīspirkstu dzenis </w:t>
            </w:r>
            <w:r w:rsidRPr="00C2745B">
              <w:rPr>
                <w:rFonts w:cstheme="minorHAnsi"/>
                <w:i/>
                <w:sz w:val="22"/>
                <w:szCs w:val="22"/>
              </w:rPr>
              <w:t>Picoides tridactylus</w:t>
            </w:r>
          </w:p>
        </w:tc>
        <w:tc>
          <w:tcPr>
            <w:tcW w:w="345" w:type="pct"/>
            <w:vAlign w:val="center"/>
          </w:tcPr>
          <w:p w14:paraId="1400AE2D" w14:textId="77777777" w:rsidR="00C2745B" w:rsidRPr="00C2745B" w:rsidRDefault="00C2745B" w:rsidP="00C2745B">
            <w:pPr>
              <w:jc w:val="center"/>
              <w:rPr>
                <w:rFonts w:cstheme="minorHAnsi"/>
                <w:sz w:val="22"/>
                <w:szCs w:val="22"/>
              </w:rPr>
            </w:pPr>
            <w:r w:rsidRPr="00C2745B">
              <w:rPr>
                <w:rFonts w:cstheme="minorHAnsi"/>
                <w:sz w:val="22"/>
                <w:szCs w:val="22"/>
              </w:rPr>
              <w:t>75</w:t>
            </w:r>
          </w:p>
        </w:tc>
        <w:tc>
          <w:tcPr>
            <w:tcW w:w="304" w:type="pct"/>
            <w:vAlign w:val="center"/>
          </w:tcPr>
          <w:p w14:paraId="7926A38D" w14:textId="77777777" w:rsidR="00C2745B" w:rsidRPr="00C2745B" w:rsidRDefault="00C2745B" w:rsidP="00C2745B">
            <w:pPr>
              <w:jc w:val="center"/>
              <w:rPr>
                <w:rFonts w:cstheme="minorHAnsi"/>
                <w:sz w:val="22"/>
                <w:szCs w:val="22"/>
              </w:rPr>
            </w:pPr>
            <w:r w:rsidRPr="00C2745B">
              <w:rPr>
                <w:rFonts w:cstheme="minorHAnsi"/>
                <w:sz w:val="22"/>
                <w:szCs w:val="22"/>
              </w:rPr>
              <w:t>100</w:t>
            </w:r>
          </w:p>
        </w:tc>
        <w:tc>
          <w:tcPr>
            <w:tcW w:w="1283" w:type="pct"/>
            <w:vAlign w:val="center"/>
          </w:tcPr>
          <w:p w14:paraId="5A5D42B2" w14:textId="77777777" w:rsidR="00C2745B" w:rsidRPr="00C2745B" w:rsidRDefault="00C2745B" w:rsidP="00C2745B">
            <w:pPr>
              <w:jc w:val="center"/>
              <w:rPr>
                <w:rFonts w:cstheme="minorHAnsi"/>
                <w:sz w:val="22"/>
                <w:szCs w:val="22"/>
              </w:rPr>
            </w:pPr>
            <w:r w:rsidRPr="00C2745B">
              <w:rPr>
                <w:rFonts w:cstheme="minorHAnsi"/>
                <w:sz w:val="22"/>
                <w:szCs w:val="22"/>
              </w:rPr>
              <w:t>5 – 7,5%</w:t>
            </w:r>
          </w:p>
        </w:tc>
        <w:tc>
          <w:tcPr>
            <w:tcW w:w="1330" w:type="pct"/>
            <w:vAlign w:val="center"/>
          </w:tcPr>
          <w:p w14:paraId="46D484D9" w14:textId="77777777" w:rsidR="00C2745B" w:rsidRPr="00C2745B" w:rsidRDefault="00C2745B" w:rsidP="00C2745B">
            <w:pPr>
              <w:jc w:val="center"/>
              <w:rPr>
                <w:rFonts w:cstheme="minorHAnsi"/>
                <w:sz w:val="22"/>
                <w:szCs w:val="22"/>
              </w:rPr>
            </w:pPr>
            <w:r w:rsidRPr="00C2745B">
              <w:rPr>
                <w:rFonts w:cstheme="minorHAnsi"/>
                <w:sz w:val="22"/>
                <w:szCs w:val="22"/>
              </w:rPr>
              <w:t>20,6 – 25,4%</w:t>
            </w:r>
          </w:p>
        </w:tc>
      </w:tr>
      <w:tr w:rsidR="00C2745B" w:rsidRPr="00C2745B" w14:paraId="3DF2207C" w14:textId="77777777" w:rsidTr="00C2745B">
        <w:tc>
          <w:tcPr>
            <w:tcW w:w="475" w:type="pct"/>
            <w:vAlign w:val="center"/>
          </w:tcPr>
          <w:p w14:paraId="5C95EA6A"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7E4ED113" w14:textId="77777777" w:rsidR="00C2745B" w:rsidRPr="00C2745B" w:rsidRDefault="00C2745B" w:rsidP="00C2745B">
            <w:pPr>
              <w:jc w:val="center"/>
              <w:rPr>
                <w:rFonts w:cstheme="minorHAnsi"/>
                <w:i/>
                <w:sz w:val="22"/>
                <w:szCs w:val="22"/>
              </w:rPr>
            </w:pPr>
            <w:r w:rsidRPr="00C2745B">
              <w:rPr>
                <w:rFonts w:cstheme="minorHAnsi"/>
                <w:sz w:val="22"/>
                <w:szCs w:val="22"/>
              </w:rPr>
              <w:t xml:space="preserve">Melnā dzilna </w:t>
            </w:r>
            <w:r w:rsidRPr="00C2745B">
              <w:rPr>
                <w:rFonts w:cstheme="minorHAnsi"/>
                <w:i/>
                <w:sz w:val="22"/>
                <w:szCs w:val="22"/>
              </w:rPr>
              <w:t>Drycopus martius</w:t>
            </w:r>
          </w:p>
        </w:tc>
        <w:tc>
          <w:tcPr>
            <w:tcW w:w="345" w:type="pct"/>
            <w:vAlign w:val="center"/>
          </w:tcPr>
          <w:p w14:paraId="30B7CDAC" w14:textId="77777777" w:rsidR="00C2745B" w:rsidRPr="00C2745B" w:rsidRDefault="00C2745B" w:rsidP="00C2745B">
            <w:pPr>
              <w:jc w:val="center"/>
              <w:rPr>
                <w:rFonts w:cstheme="minorHAnsi"/>
                <w:sz w:val="22"/>
                <w:szCs w:val="22"/>
              </w:rPr>
            </w:pPr>
            <w:r w:rsidRPr="00C2745B">
              <w:rPr>
                <w:rFonts w:cstheme="minorHAnsi"/>
                <w:sz w:val="22"/>
                <w:szCs w:val="22"/>
              </w:rPr>
              <w:t>75</w:t>
            </w:r>
          </w:p>
        </w:tc>
        <w:tc>
          <w:tcPr>
            <w:tcW w:w="304" w:type="pct"/>
            <w:vAlign w:val="center"/>
          </w:tcPr>
          <w:p w14:paraId="165A1E6C" w14:textId="77777777" w:rsidR="00C2745B" w:rsidRPr="00C2745B" w:rsidRDefault="00C2745B" w:rsidP="00C2745B">
            <w:pPr>
              <w:jc w:val="center"/>
              <w:rPr>
                <w:rFonts w:cstheme="minorHAnsi"/>
                <w:sz w:val="22"/>
                <w:szCs w:val="22"/>
              </w:rPr>
            </w:pPr>
            <w:r w:rsidRPr="00C2745B">
              <w:rPr>
                <w:rFonts w:cstheme="minorHAnsi"/>
                <w:sz w:val="22"/>
                <w:szCs w:val="22"/>
              </w:rPr>
              <w:t>100</w:t>
            </w:r>
          </w:p>
        </w:tc>
        <w:tc>
          <w:tcPr>
            <w:tcW w:w="1283" w:type="pct"/>
            <w:vAlign w:val="center"/>
          </w:tcPr>
          <w:p w14:paraId="1A4DCE08" w14:textId="77777777" w:rsidR="00C2745B" w:rsidRPr="00C2745B" w:rsidRDefault="00C2745B" w:rsidP="00C2745B">
            <w:pPr>
              <w:jc w:val="center"/>
              <w:rPr>
                <w:rFonts w:cstheme="minorHAnsi"/>
                <w:sz w:val="22"/>
                <w:szCs w:val="22"/>
              </w:rPr>
            </w:pPr>
            <w:r w:rsidRPr="00C2745B">
              <w:rPr>
                <w:rFonts w:cstheme="minorHAnsi"/>
                <w:sz w:val="22"/>
                <w:szCs w:val="22"/>
              </w:rPr>
              <w:t>1 – 1,3%</w:t>
            </w:r>
          </w:p>
        </w:tc>
        <w:tc>
          <w:tcPr>
            <w:tcW w:w="1330" w:type="pct"/>
            <w:vAlign w:val="center"/>
          </w:tcPr>
          <w:p w14:paraId="35E5D69C" w14:textId="77777777" w:rsidR="00C2745B" w:rsidRPr="00C2745B" w:rsidRDefault="00C2745B" w:rsidP="00C2745B">
            <w:pPr>
              <w:jc w:val="center"/>
              <w:rPr>
                <w:rFonts w:cstheme="minorHAnsi"/>
                <w:sz w:val="22"/>
                <w:szCs w:val="22"/>
              </w:rPr>
            </w:pPr>
            <w:r w:rsidRPr="00C2745B">
              <w:rPr>
                <w:rFonts w:cstheme="minorHAnsi"/>
                <w:sz w:val="22"/>
                <w:szCs w:val="22"/>
              </w:rPr>
              <w:t>7,3 – 9,6%</w:t>
            </w:r>
          </w:p>
        </w:tc>
      </w:tr>
      <w:tr w:rsidR="00C2745B" w:rsidRPr="00C2745B" w14:paraId="73117422" w14:textId="77777777" w:rsidTr="00C2745B">
        <w:tc>
          <w:tcPr>
            <w:tcW w:w="475" w:type="pct"/>
            <w:vAlign w:val="center"/>
          </w:tcPr>
          <w:p w14:paraId="0CD4FC02"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61D48CBA" w14:textId="77777777" w:rsidR="00C2745B" w:rsidRPr="00C2745B" w:rsidRDefault="00C2745B" w:rsidP="00C2745B">
            <w:pPr>
              <w:jc w:val="center"/>
              <w:rPr>
                <w:rFonts w:cstheme="minorHAnsi"/>
                <w:i/>
                <w:sz w:val="22"/>
                <w:szCs w:val="22"/>
              </w:rPr>
            </w:pPr>
            <w:r w:rsidRPr="00C2745B">
              <w:rPr>
                <w:rFonts w:cstheme="minorHAnsi"/>
                <w:sz w:val="22"/>
                <w:szCs w:val="22"/>
              </w:rPr>
              <w:t xml:space="preserve">Pelēkā dzilna </w:t>
            </w:r>
            <w:r w:rsidRPr="00C2745B">
              <w:rPr>
                <w:rFonts w:cstheme="minorHAnsi"/>
                <w:i/>
                <w:sz w:val="22"/>
                <w:szCs w:val="22"/>
              </w:rPr>
              <w:t>Picus canus</w:t>
            </w:r>
          </w:p>
        </w:tc>
        <w:tc>
          <w:tcPr>
            <w:tcW w:w="345" w:type="pct"/>
            <w:vAlign w:val="center"/>
          </w:tcPr>
          <w:p w14:paraId="322797A9" w14:textId="77777777" w:rsidR="00C2745B" w:rsidRPr="00C2745B" w:rsidRDefault="00C2745B" w:rsidP="00C2745B">
            <w:pPr>
              <w:jc w:val="center"/>
              <w:rPr>
                <w:rFonts w:cstheme="minorHAnsi"/>
                <w:sz w:val="22"/>
                <w:szCs w:val="22"/>
              </w:rPr>
            </w:pPr>
            <w:r w:rsidRPr="00C2745B">
              <w:rPr>
                <w:rFonts w:cstheme="minorHAnsi"/>
                <w:sz w:val="22"/>
                <w:szCs w:val="22"/>
              </w:rPr>
              <w:t>75</w:t>
            </w:r>
          </w:p>
        </w:tc>
        <w:tc>
          <w:tcPr>
            <w:tcW w:w="304" w:type="pct"/>
            <w:vAlign w:val="center"/>
          </w:tcPr>
          <w:p w14:paraId="33F1EAF0" w14:textId="77777777" w:rsidR="00C2745B" w:rsidRPr="00C2745B" w:rsidRDefault="00C2745B" w:rsidP="00C2745B">
            <w:pPr>
              <w:jc w:val="center"/>
              <w:rPr>
                <w:rFonts w:cstheme="minorHAnsi"/>
                <w:sz w:val="22"/>
                <w:szCs w:val="22"/>
              </w:rPr>
            </w:pPr>
            <w:r w:rsidRPr="00C2745B">
              <w:rPr>
                <w:rFonts w:cstheme="minorHAnsi"/>
                <w:sz w:val="22"/>
                <w:szCs w:val="22"/>
              </w:rPr>
              <w:t>100</w:t>
            </w:r>
          </w:p>
        </w:tc>
        <w:tc>
          <w:tcPr>
            <w:tcW w:w="1283" w:type="pct"/>
            <w:vAlign w:val="center"/>
          </w:tcPr>
          <w:p w14:paraId="62CECA09" w14:textId="77777777" w:rsidR="00C2745B" w:rsidRPr="00C2745B" w:rsidRDefault="00C2745B" w:rsidP="00C2745B">
            <w:pPr>
              <w:jc w:val="center"/>
              <w:rPr>
                <w:rFonts w:cstheme="minorHAnsi"/>
                <w:sz w:val="22"/>
                <w:szCs w:val="22"/>
              </w:rPr>
            </w:pPr>
            <w:r w:rsidRPr="00C2745B">
              <w:rPr>
                <w:rFonts w:cstheme="minorHAnsi"/>
                <w:sz w:val="22"/>
                <w:szCs w:val="22"/>
              </w:rPr>
              <w:t>2 – 2,5%</w:t>
            </w:r>
          </w:p>
        </w:tc>
        <w:tc>
          <w:tcPr>
            <w:tcW w:w="1330" w:type="pct"/>
            <w:vAlign w:val="center"/>
          </w:tcPr>
          <w:p w14:paraId="322994BC" w14:textId="77777777" w:rsidR="00C2745B" w:rsidRPr="00C2745B" w:rsidRDefault="00C2745B" w:rsidP="00C2745B">
            <w:pPr>
              <w:jc w:val="center"/>
              <w:rPr>
                <w:rFonts w:cstheme="minorHAnsi"/>
                <w:sz w:val="22"/>
                <w:szCs w:val="22"/>
              </w:rPr>
            </w:pPr>
            <w:r w:rsidRPr="00C2745B">
              <w:rPr>
                <w:rFonts w:cstheme="minorHAnsi"/>
                <w:sz w:val="22"/>
                <w:szCs w:val="22"/>
              </w:rPr>
              <w:t>14,4 – 19,6%</w:t>
            </w:r>
          </w:p>
        </w:tc>
      </w:tr>
      <w:tr w:rsidR="00C2745B" w:rsidRPr="00C2745B" w14:paraId="74A7B9C8" w14:textId="77777777" w:rsidTr="00C2745B">
        <w:tc>
          <w:tcPr>
            <w:tcW w:w="475" w:type="pct"/>
            <w:vAlign w:val="center"/>
          </w:tcPr>
          <w:p w14:paraId="7FA12813"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648B70B0" w14:textId="77777777" w:rsidR="00C2745B" w:rsidRPr="00C2745B" w:rsidRDefault="00C2745B" w:rsidP="00C2745B">
            <w:pPr>
              <w:jc w:val="center"/>
              <w:rPr>
                <w:rFonts w:cstheme="minorHAnsi"/>
                <w:i/>
                <w:sz w:val="22"/>
                <w:szCs w:val="22"/>
              </w:rPr>
            </w:pPr>
            <w:r w:rsidRPr="00C2745B">
              <w:rPr>
                <w:rFonts w:cstheme="minorHAnsi"/>
                <w:sz w:val="22"/>
                <w:szCs w:val="22"/>
              </w:rPr>
              <w:t xml:space="preserve">Brūnā čakste </w:t>
            </w:r>
            <w:r w:rsidRPr="00C2745B">
              <w:rPr>
                <w:rFonts w:cstheme="minorHAnsi"/>
                <w:i/>
                <w:sz w:val="22"/>
                <w:szCs w:val="22"/>
              </w:rPr>
              <w:t>Lanius collurio</w:t>
            </w:r>
          </w:p>
        </w:tc>
        <w:tc>
          <w:tcPr>
            <w:tcW w:w="345" w:type="pct"/>
            <w:vAlign w:val="center"/>
          </w:tcPr>
          <w:p w14:paraId="546EFFA8" w14:textId="77777777" w:rsidR="00C2745B" w:rsidRPr="00C2745B" w:rsidRDefault="00C2745B" w:rsidP="00C2745B">
            <w:pPr>
              <w:jc w:val="center"/>
              <w:rPr>
                <w:rFonts w:cstheme="minorHAnsi"/>
                <w:sz w:val="22"/>
                <w:szCs w:val="22"/>
              </w:rPr>
            </w:pPr>
            <w:r w:rsidRPr="00C2745B">
              <w:rPr>
                <w:rFonts w:cstheme="minorHAnsi"/>
                <w:sz w:val="22"/>
                <w:szCs w:val="22"/>
              </w:rPr>
              <w:t>150</w:t>
            </w:r>
          </w:p>
        </w:tc>
        <w:tc>
          <w:tcPr>
            <w:tcW w:w="304" w:type="pct"/>
            <w:vAlign w:val="center"/>
          </w:tcPr>
          <w:p w14:paraId="4152A334" w14:textId="77777777" w:rsidR="00C2745B" w:rsidRPr="00C2745B" w:rsidRDefault="00C2745B" w:rsidP="00C2745B">
            <w:pPr>
              <w:jc w:val="center"/>
              <w:rPr>
                <w:rFonts w:cstheme="minorHAnsi"/>
                <w:sz w:val="22"/>
                <w:szCs w:val="22"/>
              </w:rPr>
            </w:pPr>
            <w:r w:rsidRPr="00C2745B">
              <w:rPr>
                <w:rFonts w:cstheme="minorHAnsi"/>
                <w:sz w:val="22"/>
                <w:szCs w:val="22"/>
              </w:rPr>
              <w:t>300</w:t>
            </w:r>
          </w:p>
        </w:tc>
        <w:tc>
          <w:tcPr>
            <w:tcW w:w="1283" w:type="pct"/>
            <w:vAlign w:val="center"/>
          </w:tcPr>
          <w:p w14:paraId="1A4BCD32"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690BBFB1" w14:textId="77777777" w:rsidR="00C2745B" w:rsidRPr="00C2745B" w:rsidRDefault="00C2745B" w:rsidP="00C2745B">
            <w:pPr>
              <w:jc w:val="center"/>
              <w:rPr>
                <w:rFonts w:cstheme="minorHAnsi"/>
                <w:sz w:val="22"/>
                <w:szCs w:val="22"/>
              </w:rPr>
            </w:pPr>
            <w:r w:rsidRPr="00C2745B">
              <w:rPr>
                <w:rFonts w:cstheme="minorHAnsi"/>
                <w:sz w:val="22"/>
                <w:szCs w:val="22"/>
              </w:rPr>
              <w:t>6,4%</w:t>
            </w:r>
          </w:p>
        </w:tc>
      </w:tr>
      <w:tr w:rsidR="00C2745B" w:rsidRPr="00C2745B" w14:paraId="4B5CE9A1" w14:textId="77777777" w:rsidTr="00C2745B">
        <w:tc>
          <w:tcPr>
            <w:tcW w:w="475" w:type="pct"/>
            <w:vAlign w:val="center"/>
          </w:tcPr>
          <w:p w14:paraId="618F1847"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49A347EA" w14:textId="77777777" w:rsidR="00C2745B" w:rsidRPr="00C2745B" w:rsidRDefault="00C2745B" w:rsidP="00C2745B">
            <w:pPr>
              <w:jc w:val="center"/>
              <w:rPr>
                <w:rFonts w:cstheme="minorHAnsi"/>
                <w:sz w:val="22"/>
                <w:szCs w:val="22"/>
              </w:rPr>
            </w:pPr>
            <w:r w:rsidRPr="00C2745B">
              <w:rPr>
                <w:rFonts w:cstheme="minorHAnsi"/>
                <w:sz w:val="22"/>
                <w:szCs w:val="22"/>
              </w:rPr>
              <w:t>Sila cīrulis</w:t>
            </w:r>
          </w:p>
          <w:p w14:paraId="180AB9F8" w14:textId="77777777" w:rsidR="00C2745B" w:rsidRPr="00C2745B" w:rsidRDefault="00C2745B" w:rsidP="00C2745B">
            <w:pPr>
              <w:jc w:val="center"/>
              <w:rPr>
                <w:rFonts w:cstheme="minorHAnsi"/>
                <w:i/>
                <w:sz w:val="22"/>
                <w:szCs w:val="22"/>
              </w:rPr>
            </w:pPr>
            <w:r w:rsidRPr="00C2745B">
              <w:rPr>
                <w:rFonts w:cstheme="minorHAnsi"/>
                <w:i/>
                <w:sz w:val="22"/>
                <w:szCs w:val="22"/>
              </w:rPr>
              <w:t>Lullula arborea</w:t>
            </w:r>
          </w:p>
        </w:tc>
        <w:tc>
          <w:tcPr>
            <w:tcW w:w="345" w:type="pct"/>
            <w:vAlign w:val="center"/>
          </w:tcPr>
          <w:p w14:paraId="6E8D3063" w14:textId="77777777" w:rsidR="00C2745B" w:rsidRPr="00C2745B" w:rsidRDefault="00C2745B" w:rsidP="00C2745B">
            <w:pPr>
              <w:jc w:val="center"/>
              <w:rPr>
                <w:rFonts w:cstheme="minorHAnsi"/>
                <w:sz w:val="22"/>
                <w:szCs w:val="22"/>
              </w:rPr>
            </w:pPr>
            <w:r w:rsidRPr="00C2745B">
              <w:rPr>
                <w:rFonts w:cstheme="minorHAnsi"/>
                <w:sz w:val="22"/>
                <w:szCs w:val="22"/>
              </w:rPr>
              <w:t>100</w:t>
            </w:r>
          </w:p>
        </w:tc>
        <w:tc>
          <w:tcPr>
            <w:tcW w:w="304" w:type="pct"/>
            <w:vAlign w:val="center"/>
          </w:tcPr>
          <w:p w14:paraId="3986493D" w14:textId="77777777" w:rsidR="00C2745B" w:rsidRPr="00C2745B" w:rsidRDefault="00C2745B" w:rsidP="00C2745B">
            <w:pPr>
              <w:jc w:val="center"/>
              <w:rPr>
                <w:rFonts w:cstheme="minorHAnsi"/>
                <w:sz w:val="22"/>
                <w:szCs w:val="22"/>
              </w:rPr>
            </w:pPr>
            <w:r w:rsidRPr="00C2745B">
              <w:rPr>
                <w:rFonts w:cstheme="minorHAnsi"/>
                <w:sz w:val="22"/>
                <w:szCs w:val="22"/>
              </w:rPr>
              <w:t>200</w:t>
            </w:r>
          </w:p>
        </w:tc>
        <w:tc>
          <w:tcPr>
            <w:tcW w:w="1283" w:type="pct"/>
            <w:vAlign w:val="center"/>
          </w:tcPr>
          <w:p w14:paraId="6FB48BFD" w14:textId="77777777" w:rsidR="00C2745B" w:rsidRPr="00C2745B" w:rsidRDefault="00C2745B" w:rsidP="00C2745B">
            <w:pPr>
              <w:jc w:val="center"/>
              <w:rPr>
                <w:rFonts w:cstheme="minorHAnsi"/>
                <w:sz w:val="22"/>
                <w:szCs w:val="22"/>
              </w:rPr>
            </w:pPr>
            <w:r w:rsidRPr="00C2745B">
              <w:rPr>
                <w:rFonts w:cstheme="minorHAnsi"/>
                <w:sz w:val="22"/>
                <w:szCs w:val="22"/>
              </w:rPr>
              <w:t>0,6 – 1,5%</w:t>
            </w:r>
          </w:p>
        </w:tc>
        <w:tc>
          <w:tcPr>
            <w:tcW w:w="1330" w:type="pct"/>
            <w:vAlign w:val="center"/>
          </w:tcPr>
          <w:p w14:paraId="7C6B5926" w14:textId="77777777" w:rsidR="00C2745B" w:rsidRPr="00C2745B" w:rsidRDefault="00C2745B" w:rsidP="00C2745B">
            <w:pPr>
              <w:jc w:val="center"/>
              <w:rPr>
                <w:rFonts w:cstheme="minorHAnsi"/>
                <w:sz w:val="22"/>
                <w:szCs w:val="22"/>
              </w:rPr>
            </w:pPr>
            <w:r w:rsidRPr="00C2745B">
              <w:rPr>
                <w:rFonts w:cstheme="minorHAnsi"/>
                <w:sz w:val="22"/>
                <w:szCs w:val="22"/>
              </w:rPr>
              <w:t>14,1 – 14,6%</w:t>
            </w:r>
          </w:p>
        </w:tc>
      </w:tr>
      <w:tr w:rsidR="00C2745B" w:rsidRPr="00C2745B" w14:paraId="6FD368E1" w14:textId="77777777" w:rsidTr="00C2745B">
        <w:tc>
          <w:tcPr>
            <w:tcW w:w="475" w:type="pct"/>
            <w:vAlign w:val="center"/>
          </w:tcPr>
          <w:p w14:paraId="467BA313"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102BE4B9" w14:textId="77777777" w:rsidR="00C2745B" w:rsidRPr="00C2745B" w:rsidRDefault="00C2745B" w:rsidP="00C2745B">
            <w:pPr>
              <w:jc w:val="center"/>
              <w:rPr>
                <w:rFonts w:cstheme="minorHAnsi"/>
                <w:sz w:val="22"/>
                <w:szCs w:val="22"/>
              </w:rPr>
            </w:pPr>
            <w:r w:rsidRPr="00C2745B">
              <w:rPr>
                <w:rFonts w:cstheme="minorHAnsi"/>
                <w:sz w:val="22"/>
                <w:szCs w:val="22"/>
              </w:rPr>
              <w:t xml:space="preserve">Svītrainais ķauķis </w:t>
            </w:r>
            <w:r w:rsidRPr="00C2745B">
              <w:rPr>
                <w:rFonts w:cstheme="minorHAnsi"/>
                <w:i/>
                <w:sz w:val="22"/>
                <w:szCs w:val="22"/>
              </w:rPr>
              <w:t>Sylvia nisoria</w:t>
            </w:r>
          </w:p>
        </w:tc>
        <w:tc>
          <w:tcPr>
            <w:tcW w:w="345" w:type="pct"/>
            <w:vAlign w:val="center"/>
          </w:tcPr>
          <w:p w14:paraId="7EF2585B" w14:textId="77777777" w:rsidR="00C2745B" w:rsidRPr="00C2745B" w:rsidRDefault="00C2745B" w:rsidP="00C2745B">
            <w:pPr>
              <w:jc w:val="center"/>
              <w:rPr>
                <w:rFonts w:cstheme="minorHAnsi"/>
                <w:sz w:val="22"/>
                <w:szCs w:val="22"/>
              </w:rPr>
            </w:pPr>
            <w:r w:rsidRPr="00C2745B">
              <w:rPr>
                <w:rFonts w:cstheme="minorHAnsi"/>
                <w:sz w:val="22"/>
                <w:szCs w:val="22"/>
              </w:rPr>
              <w:t>50</w:t>
            </w:r>
          </w:p>
        </w:tc>
        <w:tc>
          <w:tcPr>
            <w:tcW w:w="304" w:type="pct"/>
            <w:vAlign w:val="center"/>
          </w:tcPr>
          <w:p w14:paraId="3234A261" w14:textId="77777777" w:rsidR="00C2745B" w:rsidRPr="00C2745B" w:rsidRDefault="00C2745B" w:rsidP="00C2745B">
            <w:pPr>
              <w:jc w:val="center"/>
              <w:rPr>
                <w:rFonts w:cstheme="minorHAnsi"/>
                <w:sz w:val="22"/>
                <w:szCs w:val="22"/>
              </w:rPr>
            </w:pPr>
            <w:r w:rsidRPr="00C2745B">
              <w:rPr>
                <w:rFonts w:cstheme="minorHAnsi"/>
                <w:sz w:val="22"/>
                <w:szCs w:val="22"/>
              </w:rPr>
              <w:t>75</w:t>
            </w:r>
          </w:p>
        </w:tc>
        <w:tc>
          <w:tcPr>
            <w:tcW w:w="1283" w:type="pct"/>
            <w:vAlign w:val="center"/>
          </w:tcPr>
          <w:p w14:paraId="28463EE1" w14:textId="77777777" w:rsidR="00C2745B" w:rsidRPr="00C2745B" w:rsidRDefault="00C2745B" w:rsidP="00C2745B">
            <w:pPr>
              <w:jc w:val="center"/>
              <w:rPr>
                <w:rFonts w:cstheme="minorHAnsi"/>
                <w:sz w:val="22"/>
                <w:szCs w:val="22"/>
              </w:rPr>
            </w:pPr>
            <w:r w:rsidRPr="00C2745B">
              <w:rPr>
                <w:rFonts w:cstheme="minorHAnsi"/>
                <w:sz w:val="22"/>
                <w:szCs w:val="22"/>
              </w:rPr>
              <w:t>1,6 – 2,4%</w:t>
            </w:r>
          </w:p>
        </w:tc>
        <w:tc>
          <w:tcPr>
            <w:tcW w:w="1330" w:type="pct"/>
            <w:vAlign w:val="center"/>
          </w:tcPr>
          <w:p w14:paraId="29E6F6D6" w14:textId="77777777" w:rsidR="00C2745B" w:rsidRPr="00C2745B" w:rsidRDefault="00C2745B" w:rsidP="00C2745B">
            <w:pPr>
              <w:jc w:val="center"/>
              <w:rPr>
                <w:rFonts w:cstheme="minorHAnsi"/>
                <w:sz w:val="22"/>
                <w:szCs w:val="22"/>
              </w:rPr>
            </w:pPr>
            <w:r w:rsidRPr="00C2745B">
              <w:rPr>
                <w:rFonts w:cstheme="minorHAnsi"/>
                <w:sz w:val="22"/>
                <w:szCs w:val="22"/>
              </w:rPr>
              <w:t>36,8 – 90,9%</w:t>
            </w:r>
          </w:p>
        </w:tc>
      </w:tr>
      <w:tr w:rsidR="00C2745B" w:rsidRPr="00C2745B" w14:paraId="7AB220EA" w14:textId="77777777" w:rsidTr="00C2745B">
        <w:tc>
          <w:tcPr>
            <w:tcW w:w="475" w:type="pct"/>
            <w:vAlign w:val="center"/>
          </w:tcPr>
          <w:p w14:paraId="1C6B7647"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61A5430E" w14:textId="77777777" w:rsidR="00C2745B" w:rsidRPr="00C2745B" w:rsidRDefault="00C2745B" w:rsidP="00C2745B">
            <w:pPr>
              <w:jc w:val="center"/>
              <w:rPr>
                <w:rFonts w:cstheme="minorHAnsi"/>
                <w:i/>
                <w:sz w:val="22"/>
                <w:szCs w:val="22"/>
              </w:rPr>
            </w:pPr>
            <w:r w:rsidRPr="00C2745B">
              <w:rPr>
                <w:rFonts w:cstheme="minorHAnsi"/>
                <w:sz w:val="22"/>
                <w:szCs w:val="22"/>
              </w:rPr>
              <w:t xml:space="preserve">Mazais mušķērājs </w:t>
            </w:r>
            <w:r w:rsidRPr="00C2745B">
              <w:rPr>
                <w:rFonts w:cstheme="minorHAnsi"/>
                <w:i/>
                <w:sz w:val="22"/>
                <w:szCs w:val="22"/>
              </w:rPr>
              <w:t>Ficedula parva</w:t>
            </w:r>
          </w:p>
        </w:tc>
        <w:tc>
          <w:tcPr>
            <w:tcW w:w="345" w:type="pct"/>
            <w:vAlign w:val="center"/>
          </w:tcPr>
          <w:p w14:paraId="1C0A51F2" w14:textId="77777777" w:rsidR="00C2745B" w:rsidRPr="00C2745B" w:rsidRDefault="00C2745B" w:rsidP="00C2745B">
            <w:pPr>
              <w:jc w:val="center"/>
              <w:rPr>
                <w:rFonts w:cstheme="minorHAnsi"/>
                <w:sz w:val="22"/>
                <w:szCs w:val="22"/>
              </w:rPr>
            </w:pPr>
            <w:r w:rsidRPr="00C2745B">
              <w:rPr>
                <w:rFonts w:cstheme="minorHAnsi"/>
                <w:sz w:val="22"/>
                <w:szCs w:val="22"/>
              </w:rPr>
              <w:t>250</w:t>
            </w:r>
          </w:p>
        </w:tc>
        <w:tc>
          <w:tcPr>
            <w:tcW w:w="304" w:type="pct"/>
            <w:vAlign w:val="center"/>
          </w:tcPr>
          <w:p w14:paraId="52F66CEE" w14:textId="77777777" w:rsidR="00C2745B" w:rsidRPr="00C2745B" w:rsidRDefault="00C2745B" w:rsidP="00C2745B">
            <w:pPr>
              <w:jc w:val="center"/>
              <w:rPr>
                <w:rFonts w:cstheme="minorHAnsi"/>
                <w:sz w:val="22"/>
                <w:szCs w:val="22"/>
              </w:rPr>
            </w:pPr>
            <w:r w:rsidRPr="00C2745B">
              <w:rPr>
                <w:rFonts w:cstheme="minorHAnsi"/>
                <w:sz w:val="22"/>
                <w:szCs w:val="22"/>
              </w:rPr>
              <w:t>500</w:t>
            </w:r>
          </w:p>
        </w:tc>
        <w:tc>
          <w:tcPr>
            <w:tcW w:w="1283" w:type="pct"/>
            <w:vAlign w:val="center"/>
          </w:tcPr>
          <w:p w14:paraId="52BDD342"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575E5AED" w14:textId="77777777" w:rsidR="00C2745B" w:rsidRPr="00C2745B" w:rsidRDefault="00C2745B" w:rsidP="00C2745B">
            <w:pPr>
              <w:jc w:val="center"/>
              <w:rPr>
                <w:rFonts w:cstheme="minorHAnsi"/>
                <w:sz w:val="22"/>
                <w:szCs w:val="22"/>
              </w:rPr>
            </w:pPr>
            <w:r w:rsidRPr="00C2745B">
              <w:rPr>
                <w:rFonts w:cstheme="minorHAnsi"/>
                <w:sz w:val="22"/>
                <w:szCs w:val="22"/>
              </w:rPr>
              <w:t>12,3 – 16,8%</w:t>
            </w:r>
          </w:p>
        </w:tc>
      </w:tr>
      <w:tr w:rsidR="00C2745B" w:rsidRPr="00C2745B" w14:paraId="44278E30" w14:textId="77777777" w:rsidTr="00C2745B">
        <w:tc>
          <w:tcPr>
            <w:tcW w:w="475" w:type="pct"/>
            <w:vAlign w:val="center"/>
          </w:tcPr>
          <w:p w14:paraId="1EA5A79F" w14:textId="77777777" w:rsidR="00C2745B" w:rsidRPr="00C2745B" w:rsidRDefault="00C2745B" w:rsidP="00A84218">
            <w:pPr>
              <w:pStyle w:val="ListParagraph"/>
              <w:numPr>
                <w:ilvl w:val="0"/>
                <w:numId w:val="80"/>
              </w:numPr>
              <w:suppressAutoHyphens w:val="0"/>
              <w:spacing w:after="200"/>
              <w:contextualSpacing/>
              <w:jc w:val="center"/>
              <w:rPr>
                <w:rFonts w:cstheme="minorHAnsi"/>
                <w:sz w:val="22"/>
                <w:szCs w:val="22"/>
              </w:rPr>
            </w:pPr>
          </w:p>
        </w:tc>
        <w:tc>
          <w:tcPr>
            <w:tcW w:w="1262" w:type="pct"/>
            <w:vAlign w:val="center"/>
          </w:tcPr>
          <w:p w14:paraId="541C46EB" w14:textId="77777777" w:rsidR="00C2745B" w:rsidRPr="00C2745B" w:rsidRDefault="00C2745B" w:rsidP="00C2745B">
            <w:pPr>
              <w:jc w:val="center"/>
              <w:rPr>
                <w:rFonts w:cstheme="minorHAnsi"/>
                <w:i/>
                <w:sz w:val="22"/>
                <w:szCs w:val="22"/>
              </w:rPr>
            </w:pPr>
            <w:r w:rsidRPr="00C2745B">
              <w:rPr>
                <w:rFonts w:cstheme="minorHAnsi"/>
                <w:sz w:val="22"/>
                <w:szCs w:val="22"/>
              </w:rPr>
              <w:t xml:space="preserve">Dārza stērste </w:t>
            </w:r>
            <w:r w:rsidRPr="00C2745B">
              <w:rPr>
                <w:rFonts w:cstheme="minorHAnsi"/>
                <w:i/>
                <w:sz w:val="22"/>
                <w:szCs w:val="22"/>
              </w:rPr>
              <w:t>Emberiza hortulana</w:t>
            </w:r>
          </w:p>
        </w:tc>
        <w:tc>
          <w:tcPr>
            <w:tcW w:w="345" w:type="pct"/>
            <w:vAlign w:val="center"/>
          </w:tcPr>
          <w:p w14:paraId="5BD97C23" w14:textId="77777777" w:rsidR="00C2745B" w:rsidRPr="00C2745B" w:rsidRDefault="00C2745B" w:rsidP="00C2745B">
            <w:pPr>
              <w:jc w:val="center"/>
              <w:rPr>
                <w:rFonts w:cstheme="minorHAnsi"/>
                <w:sz w:val="22"/>
                <w:szCs w:val="22"/>
              </w:rPr>
            </w:pPr>
            <w:r w:rsidRPr="00C2745B">
              <w:rPr>
                <w:rFonts w:cstheme="minorHAnsi"/>
                <w:sz w:val="22"/>
                <w:szCs w:val="22"/>
              </w:rPr>
              <w:t>0</w:t>
            </w:r>
          </w:p>
        </w:tc>
        <w:tc>
          <w:tcPr>
            <w:tcW w:w="304" w:type="pct"/>
            <w:vAlign w:val="center"/>
          </w:tcPr>
          <w:p w14:paraId="417C3197" w14:textId="77777777" w:rsidR="00C2745B" w:rsidRPr="00C2745B" w:rsidRDefault="00C2745B" w:rsidP="00C2745B">
            <w:pPr>
              <w:jc w:val="center"/>
              <w:rPr>
                <w:rFonts w:cstheme="minorHAnsi"/>
                <w:sz w:val="22"/>
                <w:szCs w:val="22"/>
              </w:rPr>
            </w:pPr>
            <w:r w:rsidRPr="00C2745B">
              <w:rPr>
                <w:rFonts w:cstheme="minorHAnsi"/>
                <w:sz w:val="22"/>
                <w:szCs w:val="22"/>
              </w:rPr>
              <w:t>1</w:t>
            </w:r>
          </w:p>
        </w:tc>
        <w:tc>
          <w:tcPr>
            <w:tcW w:w="1283" w:type="pct"/>
            <w:vAlign w:val="center"/>
          </w:tcPr>
          <w:p w14:paraId="548756C1" w14:textId="77777777" w:rsidR="00C2745B" w:rsidRPr="00C2745B" w:rsidRDefault="00C2745B" w:rsidP="00C2745B">
            <w:pPr>
              <w:jc w:val="center"/>
              <w:rPr>
                <w:rFonts w:cstheme="minorHAnsi"/>
                <w:sz w:val="22"/>
                <w:szCs w:val="22"/>
              </w:rPr>
            </w:pPr>
            <w:r w:rsidRPr="00C2745B">
              <w:rPr>
                <w:rFonts w:cstheme="minorHAnsi"/>
                <w:sz w:val="22"/>
                <w:szCs w:val="22"/>
              </w:rPr>
              <w:t>&lt;1%</w:t>
            </w:r>
          </w:p>
        </w:tc>
        <w:tc>
          <w:tcPr>
            <w:tcW w:w="1330" w:type="pct"/>
            <w:vAlign w:val="center"/>
          </w:tcPr>
          <w:p w14:paraId="67180F57" w14:textId="77777777" w:rsidR="00C2745B" w:rsidRPr="00C2745B" w:rsidRDefault="00C2745B" w:rsidP="00C2745B">
            <w:pPr>
              <w:jc w:val="center"/>
              <w:rPr>
                <w:rFonts w:cstheme="minorHAnsi"/>
                <w:sz w:val="22"/>
                <w:szCs w:val="22"/>
              </w:rPr>
            </w:pPr>
            <w:r w:rsidRPr="00C2745B">
              <w:rPr>
                <w:rFonts w:cstheme="minorHAnsi"/>
                <w:sz w:val="22"/>
                <w:szCs w:val="22"/>
              </w:rPr>
              <w:t>&lt;1%</w:t>
            </w:r>
          </w:p>
        </w:tc>
      </w:tr>
    </w:tbl>
    <w:p w14:paraId="43DCEC4F" w14:textId="2603506C" w:rsidR="006D6576" w:rsidRPr="00675182" w:rsidRDefault="006D6576" w:rsidP="002B3341">
      <w:pPr>
        <w:shd w:val="clear" w:color="auto" w:fill="FFFFFF"/>
        <w:rPr>
          <w:rFonts w:cstheme="minorHAnsi"/>
        </w:rPr>
        <w:sectPr w:rsidR="006D6576" w:rsidRPr="00675182" w:rsidSect="00CD74B1">
          <w:headerReference w:type="default" r:id="rId235"/>
          <w:pgSz w:w="16837" w:h="11905" w:orient="landscape"/>
          <w:pgMar w:top="1797" w:right="1440" w:bottom="1797" w:left="1440" w:header="720" w:footer="720" w:gutter="0"/>
          <w:cols w:space="720"/>
          <w:docGrid w:linePitch="360"/>
        </w:sectPr>
      </w:pPr>
    </w:p>
    <w:p w14:paraId="0D625966" w14:textId="77777777" w:rsidR="00011E51" w:rsidRPr="00675182" w:rsidRDefault="00011E51" w:rsidP="00CC0016">
      <w:pPr>
        <w:pStyle w:val="Heading4"/>
        <w:rPr>
          <w:rFonts w:asciiTheme="minorHAnsi" w:hAnsiTheme="minorHAnsi" w:cstheme="minorHAnsi"/>
        </w:rPr>
      </w:pPr>
      <w:r w:rsidRPr="00675182">
        <w:rPr>
          <w:rFonts w:asciiTheme="minorHAnsi" w:hAnsiTheme="minorHAnsi" w:cstheme="minorHAnsi"/>
        </w:rPr>
        <w:lastRenderedPageBreak/>
        <w:t>2.4.2.2. Zīdītāji</w:t>
      </w:r>
    </w:p>
    <w:p w14:paraId="110C4CD0" w14:textId="77777777" w:rsidR="00B558F0" w:rsidRPr="00675182" w:rsidRDefault="00B558F0" w:rsidP="002B3341">
      <w:pPr>
        <w:rPr>
          <w:rFonts w:cstheme="minorHAnsi"/>
          <w:szCs w:val="24"/>
        </w:rPr>
      </w:pPr>
    </w:p>
    <w:p w14:paraId="1735D221" w14:textId="77777777" w:rsidR="003060C4" w:rsidRPr="00675182" w:rsidRDefault="003060C4" w:rsidP="003060C4">
      <w:pPr>
        <w:jc w:val="both"/>
        <w:rPr>
          <w:rFonts w:cstheme="minorHAnsi"/>
          <w:b/>
        </w:rPr>
      </w:pPr>
      <w:r w:rsidRPr="00675182">
        <w:rPr>
          <w:rFonts w:cstheme="minorHAnsi"/>
          <w:b/>
        </w:rPr>
        <w:t>Dabas aizsardzības vērtība</w:t>
      </w:r>
    </w:p>
    <w:p w14:paraId="06CAFE61" w14:textId="77777777" w:rsidR="003060C4" w:rsidRPr="00675182" w:rsidRDefault="003060C4" w:rsidP="003060C4">
      <w:pPr>
        <w:jc w:val="both"/>
        <w:rPr>
          <w:rFonts w:cstheme="minorHAnsi"/>
          <w:b/>
          <w:szCs w:val="24"/>
        </w:rPr>
      </w:pPr>
    </w:p>
    <w:p w14:paraId="5B2581D8" w14:textId="05B67ACF" w:rsidR="003A1EF5" w:rsidRPr="00675182" w:rsidRDefault="003A1EF5" w:rsidP="003A1EF5">
      <w:pPr>
        <w:autoSpaceDE w:val="0"/>
        <w:autoSpaceDN w:val="0"/>
        <w:adjustRightInd w:val="0"/>
        <w:jc w:val="both"/>
        <w:rPr>
          <w:rFonts w:cstheme="minorHAnsi"/>
          <w:szCs w:val="24"/>
        </w:rPr>
      </w:pPr>
      <w:r w:rsidRPr="00675182">
        <w:rPr>
          <w:rFonts w:cstheme="minorHAnsi"/>
          <w:noProof/>
          <w:szCs w:val="24"/>
        </w:rPr>
        <w:t>GNP teritorijā nav tikuši veikti sistemātiski zīdītāju pētījumi, vairums datu par zīdītāju sugām vai to grupām grupām ievākti atsevišķu pētījumu vai monitoringa programmu ietvaros</w:t>
      </w:r>
      <w:r w:rsidR="00B03A8A">
        <w:rPr>
          <w:rFonts w:cstheme="minorHAnsi"/>
          <w:noProof/>
          <w:szCs w:val="24"/>
        </w:rPr>
        <w:t>, piemēram, 2022. gadā tika veikts pētījums par sikspārņiem GNP</w:t>
      </w:r>
      <w:r w:rsidRPr="00675182">
        <w:rPr>
          <w:rFonts w:cstheme="minorHAnsi"/>
          <w:noProof/>
          <w:szCs w:val="24"/>
        </w:rPr>
        <w:t>. GNP iepriekš ir bijis izstrādāts DA plāns, kurā ir veltīta nodaļa parka faunai, tai skaitā zīdītājiem, kas gan vairāk balstīta uz informāciju par salīdzinoši nedaudzu zinātnisko pētījumu rezultātiem. Saskaņā ar iepriekš izstrādāto plānu, parka teritorijā sastopamas 49 no 69 šobrīd Latvijā sastopamajām zīdītāju sugām (ieskaitot sikspārņu sugas), ko nodrošina salīdzinoši lielā dzīvotņu daudzveidība.</w:t>
      </w:r>
      <w:r w:rsidRPr="00675182">
        <w:rPr>
          <w:rFonts w:cstheme="minorHAnsi"/>
          <w:szCs w:val="24"/>
        </w:rPr>
        <w:t xml:space="preserve"> </w:t>
      </w:r>
    </w:p>
    <w:p w14:paraId="48F331EE" w14:textId="77777777" w:rsidR="003A1EF5" w:rsidRPr="00675182" w:rsidRDefault="003A1EF5" w:rsidP="003A1EF5">
      <w:pPr>
        <w:autoSpaceDE w:val="0"/>
        <w:autoSpaceDN w:val="0"/>
        <w:adjustRightInd w:val="0"/>
        <w:jc w:val="both"/>
        <w:rPr>
          <w:rFonts w:cstheme="minorHAnsi"/>
          <w:szCs w:val="24"/>
        </w:rPr>
      </w:pPr>
    </w:p>
    <w:p w14:paraId="34CF57F8" w14:textId="36EC66DA" w:rsidR="003A1EF5" w:rsidRPr="00675182" w:rsidRDefault="003A1EF5" w:rsidP="003A1EF5">
      <w:pPr>
        <w:autoSpaceDE w:val="0"/>
        <w:autoSpaceDN w:val="0"/>
        <w:adjustRightInd w:val="0"/>
        <w:jc w:val="both"/>
        <w:rPr>
          <w:rFonts w:cstheme="minorHAnsi"/>
          <w:szCs w:val="24"/>
        </w:rPr>
      </w:pPr>
      <w:r w:rsidRPr="00675182">
        <w:rPr>
          <w:rFonts w:cstheme="minorHAnsi"/>
          <w:szCs w:val="24"/>
        </w:rPr>
        <w:t>Vispilnīgākā informācija par dzīvnieku skaita izmaiņām un izplatību ir attiecībā uz medījamām sugām, kamēr par citām sugām ir pieejami atsevišķi pētījumi un gadījuma novērojumi, kā arī nereti datu iztrūkums.</w:t>
      </w:r>
    </w:p>
    <w:p w14:paraId="263298E1" w14:textId="05E21816" w:rsidR="003A1EF5" w:rsidRPr="00675182" w:rsidRDefault="003A1EF5" w:rsidP="003A1EF5">
      <w:pPr>
        <w:autoSpaceDE w:val="0"/>
        <w:autoSpaceDN w:val="0"/>
        <w:adjustRightInd w:val="0"/>
        <w:jc w:val="both"/>
        <w:rPr>
          <w:rFonts w:cstheme="minorHAnsi"/>
          <w:szCs w:val="24"/>
        </w:rPr>
      </w:pPr>
    </w:p>
    <w:p w14:paraId="7353237B" w14:textId="1CDC0D44" w:rsidR="00802051" w:rsidRPr="00675182" w:rsidRDefault="00802051" w:rsidP="00802051">
      <w:pPr>
        <w:autoSpaceDE w:val="0"/>
        <w:autoSpaceDN w:val="0"/>
        <w:adjustRightInd w:val="0"/>
        <w:jc w:val="both"/>
        <w:rPr>
          <w:rFonts w:eastAsiaTheme="minorHAnsi" w:cstheme="minorHAnsi"/>
          <w:color w:val="000000" w:themeColor="text1"/>
          <w:szCs w:val="24"/>
          <w:lang w:eastAsia="en-US"/>
        </w:rPr>
      </w:pPr>
      <w:r w:rsidRPr="00675182">
        <w:rPr>
          <w:rFonts w:cstheme="minorHAnsi"/>
          <w:color w:val="000000" w:themeColor="text1"/>
          <w:szCs w:val="24"/>
        </w:rPr>
        <w:t>DA</w:t>
      </w:r>
      <w:r w:rsidR="00A64684" w:rsidRPr="00675182">
        <w:rPr>
          <w:rFonts w:cstheme="minorHAnsi"/>
          <w:color w:val="000000" w:themeColor="text1"/>
          <w:szCs w:val="24"/>
        </w:rPr>
        <w:t xml:space="preserve"> plāna</w:t>
      </w:r>
      <w:r w:rsidRPr="00675182">
        <w:rPr>
          <w:rFonts w:cstheme="minorHAnsi"/>
          <w:color w:val="000000" w:themeColor="text1"/>
          <w:szCs w:val="24"/>
        </w:rPr>
        <w:t xml:space="preserve"> izstrādes ietv</w:t>
      </w:r>
      <w:r w:rsidR="009874AD" w:rsidRPr="00675182">
        <w:rPr>
          <w:rFonts w:cstheme="minorHAnsi"/>
          <w:color w:val="000000" w:themeColor="text1"/>
          <w:szCs w:val="24"/>
        </w:rPr>
        <w:t>a</w:t>
      </w:r>
      <w:r w:rsidRPr="00675182">
        <w:rPr>
          <w:rFonts w:cstheme="minorHAnsi"/>
          <w:color w:val="000000" w:themeColor="text1"/>
          <w:szCs w:val="24"/>
        </w:rPr>
        <w:t>ros veikti apsekojumi dabā, lai novērtētu teritorij</w:t>
      </w:r>
      <w:r w:rsidR="00A64684" w:rsidRPr="00675182">
        <w:rPr>
          <w:rFonts w:cstheme="minorHAnsi"/>
          <w:color w:val="000000" w:themeColor="text1"/>
          <w:szCs w:val="24"/>
        </w:rPr>
        <w:t xml:space="preserve">as </w:t>
      </w:r>
      <w:r w:rsidRPr="00675182">
        <w:rPr>
          <w:rFonts w:cstheme="minorHAnsi"/>
          <w:color w:val="000000" w:themeColor="text1"/>
          <w:szCs w:val="24"/>
        </w:rPr>
        <w:t>zīdītāju sugu sastopamības biežumu, tām piemēroto dzīvotņu sastopamību, kā arī sugu sastapšanas potenciālu.</w:t>
      </w:r>
    </w:p>
    <w:p w14:paraId="4DC2BC1D" w14:textId="77777777" w:rsidR="00802051" w:rsidRPr="00675182" w:rsidRDefault="00802051" w:rsidP="003A1EF5">
      <w:pPr>
        <w:autoSpaceDE w:val="0"/>
        <w:autoSpaceDN w:val="0"/>
        <w:adjustRightInd w:val="0"/>
        <w:jc w:val="both"/>
        <w:rPr>
          <w:rFonts w:cstheme="minorHAnsi"/>
          <w:szCs w:val="24"/>
        </w:rPr>
      </w:pPr>
    </w:p>
    <w:p w14:paraId="7E30219C" w14:textId="77777777" w:rsidR="003A1EF5" w:rsidRPr="00675182" w:rsidRDefault="003A1EF5" w:rsidP="003A1EF5">
      <w:pPr>
        <w:jc w:val="both"/>
        <w:rPr>
          <w:rFonts w:eastAsiaTheme="minorHAnsi" w:cstheme="minorHAnsi"/>
          <w:noProof/>
          <w:szCs w:val="24"/>
          <w:u w:val="single"/>
          <w:lang w:eastAsia="en-US"/>
        </w:rPr>
      </w:pPr>
      <w:r w:rsidRPr="00675182">
        <w:rPr>
          <w:rFonts w:cstheme="minorHAnsi"/>
          <w:noProof/>
          <w:szCs w:val="24"/>
          <w:u w:val="single"/>
        </w:rPr>
        <w:t>Kukaiņēdāju kārta</w:t>
      </w:r>
    </w:p>
    <w:p w14:paraId="178666DE" w14:textId="40F5BE13" w:rsidR="003A1EF5" w:rsidRPr="00675182" w:rsidRDefault="003A1EF5" w:rsidP="003A1EF5">
      <w:pPr>
        <w:jc w:val="both"/>
        <w:rPr>
          <w:rFonts w:cstheme="minorHAnsi"/>
          <w:noProof/>
          <w:szCs w:val="24"/>
        </w:rPr>
      </w:pPr>
      <w:r w:rsidRPr="00675182">
        <w:rPr>
          <w:rFonts w:cstheme="minorHAnsi"/>
          <w:noProof/>
          <w:szCs w:val="24"/>
        </w:rPr>
        <w:t xml:space="preserve">Par kukaiņēdāju kārtas pārstāvjiem parka teritorijā ir pieejama galvenokārt gadījuma novērojumu informācija, ko pamatā nodrošina portāls Dabasdati.lv. Saskaņā ar portāla datiem teritorijā satopamas visas kukaiņēdāju kārtas sugas: meža cirslis </w:t>
      </w:r>
      <w:r w:rsidRPr="00675182">
        <w:rPr>
          <w:rFonts w:cstheme="minorHAnsi"/>
          <w:i/>
          <w:iCs/>
          <w:noProof/>
          <w:szCs w:val="24"/>
        </w:rPr>
        <w:t>Sorex araneus</w:t>
      </w:r>
      <w:r w:rsidRPr="00675182">
        <w:rPr>
          <w:rFonts w:cstheme="minorHAnsi"/>
          <w:noProof/>
          <w:szCs w:val="24"/>
        </w:rPr>
        <w:t xml:space="preserve">, mazais cirslis </w:t>
      </w:r>
      <w:r w:rsidRPr="00675182">
        <w:rPr>
          <w:rFonts w:cstheme="minorHAnsi"/>
          <w:i/>
          <w:iCs/>
          <w:noProof/>
          <w:szCs w:val="24"/>
        </w:rPr>
        <w:t>Sorex minutus</w:t>
      </w:r>
      <w:r w:rsidRPr="00675182">
        <w:rPr>
          <w:rFonts w:cstheme="minorHAnsi"/>
          <w:noProof/>
          <w:szCs w:val="24"/>
        </w:rPr>
        <w:t xml:space="preserve"> un lielais ūdenscirslis </w:t>
      </w:r>
      <w:r w:rsidRPr="00675182">
        <w:rPr>
          <w:rFonts w:cstheme="minorHAnsi"/>
          <w:i/>
          <w:iCs/>
          <w:noProof/>
          <w:szCs w:val="24"/>
        </w:rPr>
        <w:t>Neomys fodiens</w:t>
      </w:r>
      <w:r w:rsidRPr="00675182">
        <w:rPr>
          <w:rFonts w:cstheme="minorHAnsi"/>
          <w:noProof/>
          <w:szCs w:val="24"/>
        </w:rPr>
        <w:t xml:space="preserve"> (novēroti salīdzinoši reti sugu dzīvesveida dēļ), baltkrūtainais un brūnkrūtainais ezis </w:t>
      </w:r>
      <w:r w:rsidRPr="00675182">
        <w:rPr>
          <w:rFonts w:cstheme="minorHAnsi"/>
          <w:i/>
          <w:iCs/>
          <w:noProof/>
          <w:szCs w:val="24"/>
        </w:rPr>
        <w:t>Erinaceus roumanicus, E. europaeus</w:t>
      </w:r>
      <w:r w:rsidRPr="00675182">
        <w:rPr>
          <w:rFonts w:cstheme="minorHAnsi"/>
          <w:noProof/>
          <w:szCs w:val="24"/>
        </w:rPr>
        <w:t xml:space="preserve">, kurmis </w:t>
      </w:r>
      <w:r w:rsidRPr="00675182">
        <w:rPr>
          <w:rFonts w:cstheme="minorHAnsi"/>
          <w:i/>
          <w:iCs/>
          <w:noProof/>
          <w:szCs w:val="24"/>
        </w:rPr>
        <w:t>Talpa europaea</w:t>
      </w:r>
      <w:r w:rsidRPr="00675182">
        <w:rPr>
          <w:rFonts w:cstheme="minorHAnsi"/>
          <w:noProof/>
          <w:szCs w:val="24"/>
        </w:rPr>
        <w:t xml:space="preserve"> (novērot</w:t>
      </w:r>
      <w:r w:rsidR="00A64684" w:rsidRPr="00675182">
        <w:rPr>
          <w:rFonts w:cstheme="minorHAnsi"/>
          <w:noProof/>
          <w:szCs w:val="24"/>
        </w:rPr>
        <w:t>s</w:t>
      </w:r>
      <w:r w:rsidRPr="00675182">
        <w:rPr>
          <w:rFonts w:cstheme="minorHAnsi"/>
          <w:noProof/>
          <w:szCs w:val="24"/>
        </w:rPr>
        <w:t xml:space="preserve"> visbiežāk un vienmērīgi pa visu parka teritoriju, galvenokārt tā viegli atpazīstamo darbības pēdu, rakumu dēļ).</w:t>
      </w:r>
    </w:p>
    <w:p w14:paraId="1A251C9B" w14:textId="77777777" w:rsidR="003A1EF5" w:rsidRPr="00675182" w:rsidRDefault="003A1EF5" w:rsidP="003A1EF5">
      <w:pPr>
        <w:jc w:val="both"/>
        <w:rPr>
          <w:rFonts w:cstheme="minorHAnsi"/>
          <w:noProof/>
          <w:szCs w:val="24"/>
        </w:rPr>
      </w:pPr>
    </w:p>
    <w:p w14:paraId="1CC72480" w14:textId="77777777" w:rsidR="003A1EF5" w:rsidRPr="00675182" w:rsidRDefault="003A1EF5" w:rsidP="003A1EF5">
      <w:pPr>
        <w:jc w:val="both"/>
        <w:rPr>
          <w:rFonts w:cstheme="minorHAnsi"/>
          <w:noProof/>
          <w:szCs w:val="24"/>
          <w:u w:val="single"/>
        </w:rPr>
      </w:pPr>
      <w:r w:rsidRPr="00675182">
        <w:rPr>
          <w:rFonts w:cstheme="minorHAnsi"/>
          <w:noProof/>
          <w:szCs w:val="24"/>
          <w:u w:val="single"/>
        </w:rPr>
        <w:t>Zaķveidīgo kārta</w:t>
      </w:r>
    </w:p>
    <w:p w14:paraId="1ED01333" w14:textId="47F71240" w:rsidR="003A1EF5" w:rsidRPr="00675182" w:rsidRDefault="003A1EF5" w:rsidP="003A1EF5">
      <w:pPr>
        <w:jc w:val="both"/>
        <w:rPr>
          <w:rFonts w:cstheme="minorHAnsi"/>
          <w:noProof/>
          <w:szCs w:val="24"/>
        </w:rPr>
      </w:pPr>
      <w:r w:rsidRPr="00675182">
        <w:rPr>
          <w:rFonts w:cstheme="minorHAnsi"/>
          <w:noProof/>
          <w:szCs w:val="24"/>
        </w:rPr>
        <w:t>GNP teritorijā satopams gan baltais</w:t>
      </w:r>
      <w:r w:rsidR="00A64684" w:rsidRPr="00675182">
        <w:rPr>
          <w:rFonts w:cstheme="minorHAnsi"/>
          <w:noProof/>
          <w:szCs w:val="24"/>
        </w:rPr>
        <w:t xml:space="preserve"> zaķis</w:t>
      </w:r>
      <w:r w:rsidRPr="00675182">
        <w:rPr>
          <w:rFonts w:cstheme="minorHAnsi"/>
          <w:noProof/>
          <w:szCs w:val="24"/>
        </w:rPr>
        <w:t xml:space="preserve"> </w:t>
      </w:r>
      <w:r w:rsidRPr="00675182">
        <w:rPr>
          <w:rFonts w:cstheme="minorHAnsi"/>
          <w:i/>
          <w:iCs/>
          <w:noProof/>
          <w:szCs w:val="24"/>
        </w:rPr>
        <w:t>Lepus timidus</w:t>
      </w:r>
      <w:r w:rsidRPr="00675182">
        <w:rPr>
          <w:rFonts w:cstheme="minorHAnsi"/>
          <w:noProof/>
          <w:szCs w:val="24"/>
        </w:rPr>
        <w:t xml:space="preserve">, gan pelēkais zaķis </w:t>
      </w:r>
      <w:r w:rsidRPr="00675182">
        <w:rPr>
          <w:rFonts w:cstheme="minorHAnsi"/>
          <w:i/>
          <w:iCs/>
          <w:noProof/>
          <w:szCs w:val="24"/>
        </w:rPr>
        <w:t>Lepus europaeus</w:t>
      </w:r>
      <w:r w:rsidRPr="00675182">
        <w:rPr>
          <w:rFonts w:cstheme="minorHAnsi"/>
          <w:noProof/>
          <w:szCs w:val="24"/>
        </w:rPr>
        <w:t>, no kuriem visb</w:t>
      </w:r>
      <w:r w:rsidR="003C7421" w:rsidRPr="00675182">
        <w:rPr>
          <w:rFonts w:cstheme="minorHAnsi"/>
          <w:noProof/>
          <w:szCs w:val="24"/>
        </w:rPr>
        <w:t>ie</w:t>
      </w:r>
      <w:r w:rsidRPr="00675182">
        <w:rPr>
          <w:rFonts w:cstheme="minorHAnsi"/>
          <w:noProof/>
          <w:szCs w:val="24"/>
        </w:rPr>
        <w:t>žāk novērots pelēkais zaķis, kas labprāt uzturas atklātu ainavu teritorijās (</w:t>
      </w:r>
      <w:r w:rsidR="00B71E77" w:rsidRPr="00675182">
        <w:rPr>
          <w:rFonts w:cstheme="minorHAnsi"/>
          <w:noProof/>
          <w:szCs w:val="24"/>
        </w:rPr>
        <w:t xml:space="preserve">portāls </w:t>
      </w:r>
      <w:r w:rsidRPr="00675182">
        <w:rPr>
          <w:rFonts w:cstheme="minorHAnsi"/>
          <w:noProof/>
          <w:szCs w:val="24"/>
        </w:rPr>
        <w:t>Dabasdati.lv)</w:t>
      </w:r>
      <w:r w:rsidR="00802051" w:rsidRPr="00675182">
        <w:rPr>
          <w:rFonts w:cstheme="minorHAnsi"/>
          <w:noProof/>
          <w:szCs w:val="24"/>
        </w:rPr>
        <w:t xml:space="preserve">. </w:t>
      </w:r>
      <w:r w:rsidR="00802051" w:rsidRPr="00675182">
        <w:rPr>
          <w:rFonts w:cstheme="minorHAnsi"/>
          <w:noProof/>
          <w:color w:val="000000" w:themeColor="text1"/>
          <w:szCs w:val="24"/>
        </w:rPr>
        <w:t>Lauka apsekojumos 2021. gada ziem</w:t>
      </w:r>
      <w:r w:rsidR="009874AD" w:rsidRPr="00675182">
        <w:rPr>
          <w:rFonts w:cstheme="minorHAnsi"/>
          <w:noProof/>
          <w:color w:val="000000" w:themeColor="text1"/>
          <w:szCs w:val="24"/>
        </w:rPr>
        <w:t>a</w:t>
      </w:r>
      <w:r w:rsidR="00802051" w:rsidRPr="00675182">
        <w:rPr>
          <w:rFonts w:cstheme="minorHAnsi"/>
          <w:noProof/>
          <w:color w:val="000000" w:themeColor="text1"/>
          <w:szCs w:val="24"/>
        </w:rPr>
        <w:t>s sezonā sniega apstākļos konstatētas abu sugu pēdas. Pelēkais zaķis sastopams parka teritorijā bieži un vienmērīgi, galvenokārt atklātās ainavās, kā arī mežmalās, bet lielākos meža masīvos novērotas baltā zaķa pēdas, salīdzinoši vienmērīgi visā parka teritorijā.</w:t>
      </w:r>
    </w:p>
    <w:p w14:paraId="2F7D570E" w14:textId="77777777" w:rsidR="003A1EF5" w:rsidRPr="00675182" w:rsidRDefault="003A1EF5" w:rsidP="003A1EF5">
      <w:pPr>
        <w:jc w:val="both"/>
        <w:rPr>
          <w:rFonts w:cstheme="minorHAnsi"/>
          <w:noProof/>
          <w:szCs w:val="24"/>
        </w:rPr>
      </w:pPr>
    </w:p>
    <w:p w14:paraId="76819185" w14:textId="77777777" w:rsidR="003A1EF5" w:rsidRPr="00675182" w:rsidRDefault="003A1EF5" w:rsidP="003A1EF5">
      <w:pPr>
        <w:jc w:val="both"/>
        <w:rPr>
          <w:rFonts w:cstheme="minorHAnsi"/>
          <w:noProof/>
          <w:szCs w:val="24"/>
        </w:rPr>
      </w:pPr>
      <w:r w:rsidRPr="00675182">
        <w:rPr>
          <w:rFonts w:cstheme="minorHAnsi"/>
          <w:noProof/>
          <w:szCs w:val="24"/>
          <w:u w:val="single"/>
        </w:rPr>
        <w:t>Grauzēju kārta</w:t>
      </w:r>
    </w:p>
    <w:p w14:paraId="63B8888F" w14:textId="31B73D15" w:rsidR="003A1EF5" w:rsidRPr="00675182" w:rsidRDefault="003A1EF5" w:rsidP="003A1EF5">
      <w:pPr>
        <w:jc w:val="both"/>
        <w:rPr>
          <w:rFonts w:cstheme="minorHAnsi"/>
          <w:noProof/>
          <w:szCs w:val="24"/>
        </w:rPr>
      </w:pPr>
      <w:r w:rsidRPr="00675182">
        <w:rPr>
          <w:rFonts w:cstheme="minorHAnsi"/>
          <w:noProof/>
          <w:szCs w:val="24"/>
        </w:rPr>
        <w:t xml:space="preserve">Lai atjaunotu kādreiz parkā dzīvojošu, vēlāk izzudušo bebru </w:t>
      </w:r>
      <w:r w:rsidRPr="00675182">
        <w:rPr>
          <w:rFonts w:cstheme="minorHAnsi"/>
          <w:i/>
          <w:iCs/>
          <w:noProof/>
          <w:szCs w:val="24"/>
        </w:rPr>
        <w:t>Castor fiber</w:t>
      </w:r>
      <w:r w:rsidRPr="00675182">
        <w:rPr>
          <w:rFonts w:cstheme="minorHAnsi"/>
          <w:noProof/>
          <w:szCs w:val="24"/>
        </w:rPr>
        <w:t xml:space="preserve"> populāciju, veikta šīs sugas reintrodukcija, kuras pasākumi aizsākti 1975. gadā. Dzīvnieki ievesti no citām valstīm un šobrīd tie sastopami bieži un vienmērīgi visā valsts teritorijā, tai skaitā </w:t>
      </w:r>
      <w:r w:rsidR="003162C5">
        <w:rPr>
          <w:rFonts w:cstheme="minorHAnsi"/>
          <w:noProof/>
          <w:szCs w:val="24"/>
        </w:rPr>
        <w:t>GNP</w:t>
      </w:r>
      <w:r w:rsidRPr="00675182">
        <w:rPr>
          <w:rFonts w:cstheme="minorHAnsi"/>
          <w:noProof/>
          <w:szCs w:val="24"/>
        </w:rPr>
        <w:t xml:space="preserve"> (Balodis</w:t>
      </w:r>
      <w:r w:rsidR="00D02DAF" w:rsidRPr="00675182">
        <w:rPr>
          <w:rFonts w:cstheme="minorHAnsi"/>
          <w:noProof/>
          <w:szCs w:val="24"/>
        </w:rPr>
        <w:t>,</w:t>
      </w:r>
      <w:r w:rsidRPr="00675182">
        <w:rPr>
          <w:rFonts w:cstheme="minorHAnsi"/>
          <w:noProof/>
          <w:szCs w:val="24"/>
        </w:rPr>
        <w:t xml:space="preserve"> 1998).</w:t>
      </w:r>
    </w:p>
    <w:p w14:paraId="395BCFDC" w14:textId="77777777" w:rsidR="003A1EF5" w:rsidRPr="00675182" w:rsidRDefault="003A1EF5" w:rsidP="003A1EF5">
      <w:pPr>
        <w:jc w:val="both"/>
        <w:rPr>
          <w:rFonts w:cstheme="minorHAnsi"/>
          <w:noProof/>
          <w:szCs w:val="24"/>
        </w:rPr>
      </w:pPr>
    </w:p>
    <w:p w14:paraId="1241F2B5" w14:textId="038FA099" w:rsidR="003A1EF5" w:rsidRPr="00675182" w:rsidRDefault="003A1EF5" w:rsidP="003A1EF5">
      <w:pPr>
        <w:autoSpaceDE w:val="0"/>
        <w:autoSpaceDN w:val="0"/>
        <w:adjustRightInd w:val="0"/>
        <w:jc w:val="both"/>
        <w:rPr>
          <w:rFonts w:cstheme="minorHAnsi"/>
          <w:szCs w:val="24"/>
        </w:rPr>
      </w:pPr>
      <w:r w:rsidRPr="00675182">
        <w:rPr>
          <w:rFonts w:cstheme="minorHAnsi"/>
          <w:szCs w:val="24"/>
        </w:rPr>
        <w:t xml:space="preserve">Gaujas senieleja ir viena no nedaudzajām vietām Latvijā, kurā sastopams lielais susuris </w:t>
      </w:r>
      <w:r w:rsidRPr="00675182">
        <w:rPr>
          <w:rFonts w:cstheme="minorHAnsi"/>
          <w:i/>
          <w:iCs/>
          <w:szCs w:val="24"/>
        </w:rPr>
        <w:t>Glis glis</w:t>
      </w:r>
      <w:r w:rsidRPr="00675182">
        <w:rPr>
          <w:rFonts w:cstheme="minorHAnsi"/>
          <w:szCs w:val="24"/>
        </w:rPr>
        <w:t>. Sugas dzīvotne ir veci platlapju meži, līdz ar to, iespējams, ka tā ir mūsdienās vistālāk ziemeļos esošā sugas atradne tās izplatības areāla robežās (Pilāts</w:t>
      </w:r>
      <w:r w:rsidR="00D02DAF" w:rsidRPr="00675182">
        <w:rPr>
          <w:rFonts w:cstheme="minorHAnsi"/>
          <w:szCs w:val="24"/>
        </w:rPr>
        <w:t>,</w:t>
      </w:r>
      <w:r w:rsidRPr="00675182">
        <w:rPr>
          <w:rFonts w:cstheme="minorHAnsi"/>
          <w:szCs w:val="24"/>
        </w:rPr>
        <w:t xml:space="preserve"> 2003). Lielā </w:t>
      </w:r>
      <w:r w:rsidRPr="00675182">
        <w:rPr>
          <w:rFonts w:cstheme="minorHAnsi"/>
          <w:szCs w:val="24"/>
        </w:rPr>
        <w:lastRenderedPageBreak/>
        <w:t xml:space="preserve">susura </w:t>
      </w:r>
      <w:r w:rsidR="00DA3A37" w:rsidRPr="00675182">
        <w:rPr>
          <w:rFonts w:cstheme="minorHAnsi"/>
          <w:szCs w:val="24"/>
        </w:rPr>
        <w:t>sastopamību</w:t>
      </w:r>
      <w:r w:rsidRPr="00675182">
        <w:rPr>
          <w:rFonts w:cstheme="minorHAnsi"/>
          <w:szCs w:val="24"/>
        </w:rPr>
        <w:t xml:space="preserve"> teritorijā apstiprina arī regulāri nejauši novērojumi, kas ziņoti dabas novērojumu portālā </w:t>
      </w:r>
      <w:r w:rsidR="00B71E77" w:rsidRPr="00675182">
        <w:rPr>
          <w:rFonts w:cstheme="minorHAnsi"/>
          <w:szCs w:val="24"/>
        </w:rPr>
        <w:t>D</w:t>
      </w:r>
      <w:r w:rsidRPr="00675182">
        <w:rPr>
          <w:rFonts w:cstheme="minorHAnsi"/>
          <w:szCs w:val="24"/>
        </w:rPr>
        <w:t xml:space="preserve">abasdati.lv, kā arī atradnes, kas fiksētas </w:t>
      </w:r>
      <w:r w:rsidR="00D02DAF" w:rsidRPr="00675182">
        <w:rPr>
          <w:rFonts w:cstheme="minorHAnsi"/>
          <w:szCs w:val="24"/>
        </w:rPr>
        <w:t>DDPS</w:t>
      </w:r>
      <w:r w:rsidRPr="00675182">
        <w:rPr>
          <w:rFonts w:cstheme="minorHAnsi"/>
          <w:szCs w:val="24"/>
        </w:rPr>
        <w:t xml:space="preserve"> “Ozols”.</w:t>
      </w:r>
    </w:p>
    <w:p w14:paraId="0708BDAF" w14:textId="77777777" w:rsidR="003A1EF5" w:rsidRPr="00675182" w:rsidRDefault="003A1EF5" w:rsidP="003A1EF5">
      <w:pPr>
        <w:autoSpaceDE w:val="0"/>
        <w:autoSpaceDN w:val="0"/>
        <w:adjustRightInd w:val="0"/>
        <w:jc w:val="both"/>
        <w:rPr>
          <w:rFonts w:cstheme="minorHAnsi"/>
          <w:szCs w:val="24"/>
        </w:rPr>
      </w:pPr>
    </w:p>
    <w:p w14:paraId="75619154" w14:textId="130F1642" w:rsidR="003A1EF5" w:rsidRPr="00675182" w:rsidRDefault="003A1EF5" w:rsidP="003A1EF5">
      <w:pPr>
        <w:autoSpaceDE w:val="0"/>
        <w:autoSpaceDN w:val="0"/>
        <w:adjustRightInd w:val="0"/>
        <w:jc w:val="both"/>
        <w:rPr>
          <w:rFonts w:cstheme="minorHAnsi"/>
          <w:szCs w:val="24"/>
        </w:rPr>
      </w:pPr>
      <w:r w:rsidRPr="00675182">
        <w:rPr>
          <w:rFonts w:cstheme="minorHAnsi"/>
          <w:szCs w:val="24"/>
        </w:rPr>
        <w:t xml:space="preserve">Par citām grauzēju sugām pieejami gadījuma novērojumu informācija. Parka teritorijā ļoti bieži un vienmērīgi sastopama vāvere </w:t>
      </w:r>
      <w:r w:rsidRPr="00675182">
        <w:rPr>
          <w:rFonts w:cstheme="minorHAnsi"/>
          <w:i/>
          <w:iCs/>
          <w:szCs w:val="24"/>
        </w:rPr>
        <w:t>Sciurus vulgaris</w:t>
      </w:r>
      <w:r w:rsidRPr="00675182">
        <w:rPr>
          <w:rFonts w:cstheme="minorHAnsi"/>
          <w:szCs w:val="24"/>
        </w:rPr>
        <w:t xml:space="preserve">, salīdzinoši retāk novērotas vairākas peļveidīgo grauzēju sugas tādas kā lauka strupaste </w:t>
      </w:r>
      <w:r w:rsidRPr="00675182">
        <w:rPr>
          <w:rFonts w:cstheme="minorHAnsi"/>
          <w:i/>
          <w:iCs/>
          <w:szCs w:val="24"/>
        </w:rPr>
        <w:t>Microtus arvalis</w:t>
      </w:r>
      <w:r w:rsidRPr="00675182">
        <w:rPr>
          <w:rFonts w:cstheme="minorHAnsi"/>
          <w:szCs w:val="24"/>
        </w:rPr>
        <w:t xml:space="preserve">, rūsganā mežstrupaste </w:t>
      </w:r>
      <w:r w:rsidRPr="00675182">
        <w:rPr>
          <w:rFonts w:cstheme="minorHAnsi"/>
          <w:i/>
          <w:iCs/>
          <w:szCs w:val="24"/>
        </w:rPr>
        <w:t>Clethrionomys glareolus</w:t>
      </w:r>
      <w:r w:rsidRPr="00675182">
        <w:rPr>
          <w:rFonts w:cstheme="minorHAnsi"/>
          <w:szCs w:val="24"/>
        </w:rPr>
        <w:t xml:space="preserve">, ūdeņu strupaste </w:t>
      </w:r>
      <w:r w:rsidRPr="00675182">
        <w:rPr>
          <w:rFonts w:cstheme="minorHAnsi"/>
          <w:i/>
          <w:iCs/>
          <w:szCs w:val="24"/>
        </w:rPr>
        <w:t>Arvicola terrestris</w:t>
      </w:r>
      <w:r w:rsidRPr="00675182">
        <w:rPr>
          <w:rFonts w:cstheme="minorHAnsi"/>
          <w:szCs w:val="24"/>
        </w:rPr>
        <w:t xml:space="preserve">, svītrainā klaidoņpele </w:t>
      </w:r>
      <w:r w:rsidRPr="00675182">
        <w:rPr>
          <w:rFonts w:cstheme="minorHAnsi"/>
          <w:i/>
          <w:iCs/>
          <w:szCs w:val="24"/>
        </w:rPr>
        <w:t>Apodemus agrarius</w:t>
      </w:r>
      <w:r w:rsidRPr="00675182">
        <w:rPr>
          <w:rFonts w:cstheme="minorHAnsi"/>
          <w:szCs w:val="24"/>
        </w:rPr>
        <w:t xml:space="preserve">, dzeltenkakla klaidoņpele </w:t>
      </w:r>
      <w:r w:rsidRPr="00675182">
        <w:rPr>
          <w:rFonts w:cstheme="minorHAnsi"/>
          <w:i/>
          <w:iCs/>
          <w:szCs w:val="24"/>
        </w:rPr>
        <w:t>Apodemus flavicollis</w:t>
      </w:r>
      <w:r w:rsidRPr="00675182">
        <w:rPr>
          <w:rFonts w:cstheme="minorHAnsi"/>
          <w:szCs w:val="24"/>
        </w:rPr>
        <w:t xml:space="preserve">, kā arī mājas pele </w:t>
      </w:r>
      <w:r w:rsidRPr="00675182">
        <w:rPr>
          <w:rFonts w:cstheme="minorHAnsi"/>
          <w:i/>
          <w:iCs/>
          <w:szCs w:val="24"/>
        </w:rPr>
        <w:t>Mus musculus</w:t>
      </w:r>
      <w:r w:rsidRPr="00675182">
        <w:rPr>
          <w:rFonts w:cstheme="minorHAnsi"/>
          <w:szCs w:val="24"/>
        </w:rPr>
        <w:t xml:space="preserve"> (</w:t>
      </w:r>
      <w:r w:rsidR="00B71E77" w:rsidRPr="00675182">
        <w:rPr>
          <w:rFonts w:cstheme="minorHAnsi"/>
          <w:szCs w:val="24"/>
        </w:rPr>
        <w:t xml:space="preserve">portāls </w:t>
      </w:r>
      <w:r w:rsidRPr="00675182">
        <w:rPr>
          <w:rFonts w:cstheme="minorHAnsi"/>
          <w:szCs w:val="24"/>
        </w:rPr>
        <w:t>Dabasdati.lv).</w:t>
      </w:r>
    </w:p>
    <w:p w14:paraId="44D5A3EA" w14:textId="52FE1BDA" w:rsidR="007D3AEF" w:rsidRPr="00675182" w:rsidRDefault="007D3AEF" w:rsidP="003A1EF5">
      <w:pPr>
        <w:autoSpaceDE w:val="0"/>
        <w:autoSpaceDN w:val="0"/>
        <w:adjustRightInd w:val="0"/>
        <w:jc w:val="both"/>
        <w:rPr>
          <w:rFonts w:cstheme="minorHAnsi"/>
          <w:szCs w:val="24"/>
        </w:rPr>
      </w:pPr>
    </w:p>
    <w:p w14:paraId="433C98FA" w14:textId="77777777" w:rsidR="007D3AEF" w:rsidRPr="00675182" w:rsidRDefault="007D3AEF" w:rsidP="007D3AEF">
      <w:pPr>
        <w:autoSpaceDE w:val="0"/>
        <w:autoSpaceDN w:val="0"/>
        <w:adjustRightInd w:val="0"/>
        <w:jc w:val="both"/>
        <w:rPr>
          <w:rFonts w:eastAsiaTheme="minorHAnsi" w:cstheme="minorHAnsi"/>
          <w:color w:val="000000" w:themeColor="text1"/>
          <w:szCs w:val="24"/>
          <w:lang w:eastAsia="en-US"/>
        </w:rPr>
      </w:pPr>
      <w:r w:rsidRPr="00675182">
        <w:rPr>
          <w:rFonts w:cstheme="minorHAnsi"/>
          <w:color w:val="000000" w:themeColor="text1"/>
          <w:szCs w:val="24"/>
        </w:rPr>
        <w:t xml:space="preserve">Potenciāli GNP teritorijā sastopama meža sicista </w:t>
      </w:r>
      <w:r w:rsidRPr="00675182">
        <w:rPr>
          <w:rFonts w:cstheme="minorHAnsi"/>
          <w:i/>
          <w:iCs/>
          <w:color w:val="000000" w:themeColor="text1"/>
          <w:szCs w:val="24"/>
        </w:rPr>
        <w:t>Sicista betulina</w:t>
      </w:r>
      <w:r w:rsidRPr="00675182">
        <w:rPr>
          <w:rFonts w:cstheme="minorHAnsi"/>
          <w:color w:val="000000" w:themeColor="text1"/>
          <w:szCs w:val="24"/>
        </w:rPr>
        <w:t>, kurai parka teritorijā ir pietiekami daudz piemērotu dzīvotņu.</w:t>
      </w:r>
    </w:p>
    <w:p w14:paraId="3B112A8B" w14:textId="77777777" w:rsidR="003A1EF5" w:rsidRPr="00675182" w:rsidRDefault="003A1EF5" w:rsidP="003A1EF5">
      <w:pPr>
        <w:autoSpaceDE w:val="0"/>
        <w:autoSpaceDN w:val="0"/>
        <w:adjustRightInd w:val="0"/>
        <w:jc w:val="both"/>
        <w:rPr>
          <w:rFonts w:cstheme="minorHAnsi"/>
          <w:szCs w:val="24"/>
        </w:rPr>
      </w:pPr>
    </w:p>
    <w:p w14:paraId="1C99E70C" w14:textId="77777777" w:rsidR="003A1EF5" w:rsidRPr="00675182" w:rsidRDefault="003A1EF5" w:rsidP="003A1EF5">
      <w:pPr>
        <w:jc w:val="both"/>
        <w:rPr>
          <w:rFonts w:cstheme="minorHAnsi"/>
          <w:noProof/>
          <w:szCs w:val="24"/>
        </w:rPr>
      </w:pPr>
      <w:r w:rsidRPr="00675182">
        <w:rPr>
          <w:rFonts w:cstheme="minorHAnsi"/>
          <w:noProof/>
          <w:szCs w:val="24"/>
          <w:u w:val="single"/>
        </w:rPr>
        <w:t>Plēsēju kārta</w:t>
      </w:r>
    </w:p>
    <w:p w14:paraId="32FA790B" w14:textId="5EB59F6A" w:rsidR="007D3AEF" w:rsidRPr="00675182" w:rsidRDefault="003A1EF5" w:rsidP="007D3AEF">
      <w:pPr>
        <w:jc w:val="both"/>
        <w:rPr>
          <w:rFonts w:eastAsiaTheme="minorHAnsi" w:cstheme="minorHAnsi"/>
          <w:szCs w:val="24"/>
          <w:lang w:eastAsia="en-US"/>
        </w:rPr>
      </w:pPr>
      <w:r w:rsidRPr="00675182">
        <w:rPr>
          <w:rFonts w:cstheme="minorHAnsi"/>
          <w:noProof/>
          <w:szCs w:val="24"/>
        </w:rPr>
        <w:t xml:space="preserve">GNP teritorijā sastopamas visas trīs lielo plēsēju sugas – vilks </w:t>
      </w:r>
      <w:r w:rsidRPr="00675182">
        <w:rPr>
          <w:rFonts w:cstheme="minorHAnsi"/>
          <w:i/>
          <w:iCs/>
          <w:noProof/>
          <w:szCs w:val="24"/>
        </w:rPr>
        <w:t>Canis lupus</w:t>
      </w:r>
      <w:r w:rsidRPr="00675182">
        <w:rPr>
          <w:rFonts w:cstheme="minorHAnsi"/>
          <w:noProof/>
          <w:szCs w:val="24"/>
        </w:rPr>
        <w:t xml:space="preserve">, lūsis </w:t>
      </w:r>
      <w:r w:rsidRPr="00675182">
        <w:rPr>
          <w:rFonts w:cstheme="minorHAnsi"/>
          <w:i/>
          <w:iCs/>
          <w:noProof/>
          <w:szCs w:val="24"/>
        </w:rPr>
        <w:t>Lynx lynx</w:t>
      </w:r>
      <w:r w:rsidRPr="00675182">
        <w:rPr>
          <w:rFonts w:cstheme="minorHAnsi"/>
          <w:noProof/>
          <w:szCs w:val="24"/>
        </w:rPr>
        <w:t xml:space="preserve"> un lācis </w:t>
      </w:r>
      <w:r w:rsidRPr="00675182">
        <w:rPr>
          <w:rFonts w:cstheme="minorHAnsi"/>
          <w:i/>
          <w:iCs/>
          <w:noProof/>
          <w:szCs w:val="24"/>
        </w:rPr>
        <w:t>Ursus arctos</w:t>
      </w:r>
      <w:r w:rsidRPr="00675182">
        <w:rPr>
          <w:rFonts w:cstheme="minorHAnsi"/>
          <w:noProof/>
          <w:szCs w:val="24"/>
        </w:rPr>
        <w:t xml:space="preserve">. Vilks un lūsis ir </w:t>
      </w:r>
      <w:r w:rsidRPr="00675182">
        <w:rPr>
          <w:rFonts w:cstheme="minorHAnsi"/>
          <w:szCs w:val="24"/>
        </w:rPr>
        <w:t>iekļautas Biotopu direktīvas II un V pielikumā, kas pieļauj dzīvnieku medības ar nosacījumu, ka sugām tiek nodrošināts monitorings. Monitoringa ietvaros tiek noteiks sezonā atļauto nomedījamo dzīvnieku limits, kā arī katra nomedītā dzīvnieka uzskaitīšana. Lai gan 2018./2019. gada medību sezonā GNP teritorijā netika nomedīts neviens lielais plēsējs, tomēr parka perifērijā ir nomedīti vairāki indivīdi (</w:t>
      </w:r>
      <w:r w:rsidR="00D02DAF" w:rsidRPr="00675182">
        <w:rPr>
          <w:rFonts w:cstheme="minorHAnsi"/>
          <w:szCs w:val="24"/>
        </w:rPr>
        <w:t>VMD</w:t>
      </w:r>
      <w:r w:rsidRPr="00675182">
        <w:rPr>
          <w:rFonts w:cstheme="minorHAnsi"/>
          <w:szCs w:val="24"/>
        </w:rPr>
        <w:t xml:space="preserve"> dati), kas liecina par sugu klātbūtni parkā, jo dzīvnieku apdzīvotā teritorija un pārvietošanās attālumi parasti ir pietiekami lieli. Tāpat par sugu klātbūtni liecina arī daži gadījuma rakstura novērojumi (</w:t>
      </w:r>
      <w:r w:rsidR="00B71E77" w:rsidRPr="00675182">
        <w:rPr>
          <w:rFonts w:cstheme="minorHAnsi"/>
          <w:szCs w:val="24"/>
        </w:rPr>
        <w:t xml:space="preserve">portāls </w:t>
      </w:r>
      <w:r w:rsidRPr="00675182">
        <w:rPr>
          <w:rFonts w:cstheme="minorHAnsi"/>
          <w:szCs w:val="24"/>
        </w:rPr>
        <w:t xml:space="preserve">Dabasdati.lv). </w:t>
      </w:r>
      <w:r w:rsidR="007D3AEF" w:rsidRPr="00675182">
        <w:rPr>
          <w:rFonts w:cstheme="minorHAnsi"/>
          <w:color w:val="000000" w:themeColor="text1"/>
          <w:szCs w:val="24"/>
        </w:rPr>
        <w:t xml:space="preserve">Lielo plēsēju klātbūtni parka teritorijā apstiprina arī lauka apsekojumi 2021. gadā, īpaši tādās piemērotās vietās kā GNP rezervāta zonās, kur pietiekami lielās </w:t>
      </w:r>
      <w:r w:rsidR="007F2A34" w:rsidRPr="00675182">
        <w:rPr>
          <w:rFonts w:cstheme="minorHAnsi"/>
          <w:color w:val="000000" w:themeColor="text1"/>
          <w:szCs w:val="24"/>
        </w:rPr>
        <w:t>platībās</w:t>
      </w:r>
      <w:r w:rsidR="007D3AEF" w:rsidRPr="00675182">
        <w:rPr>
          <w:rFonts w:cstheme="minorHAnsi"/>
          <w:color w:val="000000" w:themeColor="text1"/>
          <w:szCs w:val="24"/>
        </w:rPr>
        <w:t xml:space="preserve"> tiek nodrošinātas sugām piemērotas dzīvotnes, kā arī maksimāli samazināts antropogēnais traucējums. Lūša pēdu nospiedumi tika konstatēti Nurmižu rezervāta zonā, savukārt Sudas purvs nodrošina izcilus apstākļus vilkiem (nomaļa cilvēkiem grūti pieejama teritorija).</w:t>
      </w:r>
    </w:p>
    <w:p w14:paraId="00FF4D59" w14:textId="77777777" w:rsidR="00D02DAF" w:rsidRPr="00675182" w:rsidRDefault="00D02DAF" w:rsidP="003A1EF5">
      <w:pPr>
        <w:jc w:val="both"/>
        <w:rPr>
          <w:rFonts w:cstheme="minorHAnsi"/>
          <w:szCs w:val="24"/>
        </w:rPr>
      </w:pPr>
    </w:p>
    <w:p w14:paraId="574174F3" w14:textId="55EA3FBA" w:rsidR="003A1EF5" w:rsidRPr="00675182" w:rsidRDefault="003A1EF5" w:rsidP="003A1EF5">
      <w:pPr>
        <w:jc w:val="both"/>
        <w:rPr>
          <w:rFonts w:cstheme="minorHAnsi"/>
          <w:szCs w:val="24"/>
        </w:rPr>
      </w:pPr>
      <w:r w:rsidRPr="00675182">
        <w:rPr>
          <w:rFonts w:cstheme="minorHAnsi"/>
          <w:szCs w:val="24"/>
        </w:rPr>
        <w:t>Lācis Latvijā ir aizsargājama suga, kas nav arī medījamo sugu sarakstā. Periodā no 2015. līdz 20</w:t>
      </w:r>
      <w:r w:rsidR="004333DD">
        <w:rPr>
          <w:rFonts w:cstheme="minorHAnsi"/>
          <w:szCs w:val="24"/>
        </w:rPr>
        <w:t>22</w:t>
      </w:r>
      <w:r w:rsidRPr="00675182">
        <w:rPr>
          <w:rFonts w:cstheme="minorHAnsi"/>
          <w:szCs w:val="24"/>
        </w:rPr>
        <w:t xml:space="preserve">. gadam Latvijā tika īstenots lāču monitorings, kas paredzēja Natura 2000 vietu, tai skaitā GNP, apsekojumus dzīvnieku un to darbības pēdu konstatēšanai. Katrā monitoringa veikšanas gadā parka teritorijā fiksēti pa vienam lāča novērojumam. </w:t>
      </w:r>
      <w:r w:rsidR="00DE519D">
        <w:t xml:space="preserve">Lāču monitorings tika īstenots arī periodos 2018. – 2019. gadā, kā arī 2020. – 2022. gadā (Bagrade et al. 2021). Saskaņā ar monitoringa rezultātiem 2018. gadā GNP teritorijā ne monitoringa uzskaitēs, ne kā gadījuma novērojumi lācis netika konstatēts, tomēr turpmākajos gados (2020. un 2021.) parkā tika konstatēts pa vienam lāča novērojumam attiecīgajā gadā. Novērojums, kas fiksēts 2020. gadā, veikts paplašinot un uzlabojot sugas monitoringa metodes, iekļaujot matu lamatas un DNS analīzes, kas ļāva iegūt papildus informāciju par indivīdu, tai skaitā tā dzimumu (konstatētais paraugs atbilda lāča tēviņam). </w:t>
      </w:r>
      <w:r w:rsidRPr="00675182">
        <w:rPr>
          <w:rFonts w:cstheme="minorHAnsi"/>
          <w:szCs w:val="24"/>
        </w:rPr>
        <w:t xml:space="preserve">Lācis Latvijā, kā arī </w:t>
      </w:r>
      <w:r w:rsidR="00C35853" w:rsidRPr="00675182">
        <w:rPr>
          <w:rFonts w:cstheme="minorHAnsi"/>
          <w:szCs w:val="24"/>
        </w:rPr>
        <w:t>GNP</w:t>
      </w:r>
      <w:r w:rsidRPr="00675182">
        <w:rPr>
          <w:rFonts w:cstheme="minorHAnsi"/>
          <w:szCs w:val="24"/>
        </w:rPr>
        <w:t xml:space="preserve"> teritorijā sastopams reti un neregulāri, galvenokārt kā ieceļotājs no kaimiņvalstīm (Igaunija, Krievija), kur tā populācija ir ievērojami lielāka un stabila (Ozoliņš </w:t>
      </w:r>
      <w:r w:rsidRPr="00675182">
        <w:rPr>
          <w:rFonts w:cstheme="minorHAnsi"/>
          <w:i/>
          <w:iCs/>
          <w:szCs w:val="24"/>
        </w:rPr>
        <w:t>et al.</w:t>
      </w:r>
      <w:r w:rsidRPr="00675182">
        <w:rPr>
          <w:rFonts w:cstheme="minorHAnsi"/>
          <w:szCs w:val="24"/>
        </w:rPr>
        <w:t xml:space="preserve"> 20</w:t>
      </w:r>
      <w:r w:rsidR="004333DD">
        <w:rPr>
          <w:rFonts w:cstheme="minorHAnsi"/>
          <w:szCs w:val="24"/>
        </w:rPr>
        <w:t>22</w:t>
      </w:r>
      <w:r w:rsidRPr="00675182">
        <w:rPr>
          <w:rFonts w:cstheme="minorHAnsi"/>
          <w:szCs w:val="24"/>
        </w:rPr>
        <w:t>).</w:t>
      </w:r>
    </w:p>
    <w:p w14:paraId="053073F5" w14:textId="77777777" w:rsidR="003A1EF5" w:rsidRPr="00675182" w:rsidRDefault="003A1EF5" w:rsidP="003A1EF5">
      <w:pPr>
        <w:jc w:val="both"/>
        <w:rPr>
          <w:rFonts w:cstheme="minorHAnsi"/>
          <w:szCs w:val="24"/>
        </w:rPr>
      </w:pPr>
    </w:p>
    <w:p w14:paraId="2EDD4423" w14:textId="5DAF27F1" w:rsidR="003A1EF5" w:rsidRPr="00675182" w:rsidRDefault="003A1EF5" w:rsidP="003A1EF5">
      <w:pPr>
        <w:jc w:val="both"/>
        <w:rPr>
          <w:rFonts w:cstheme="minorHAnsi"/>
          <w:szCs w:val="24"/>
        </w:rPr>
      </w:pPr>
      <w:r w:rsidRPr="00675182">
        <w:rPr>
          <w:rFonts w:cstheme="minorHAnsi"/>
          <w:szCs w:val="24"/>
        </w:rPr>
        <w:t xml:space="preserve">Ūdrs </w:t>
      </w:r>
      <w:r w:rsidRPr="00675182">
        <w:rPr>
          <w:rFonts w:cstheme="minorHAnsi"/>
          <w:i/>
          <w:iCs/>
          <w:szCs w:val="24"/>
        </w:rPr>
        <w:t>Lutra lutra</w:t>
      </w:r>
      <w:r w:rsidRPr="00675182">
        <w:rPr>
          <w:rFonts w:cstheme="minorHAnsi"/>
          <w:szCs w:val="24"/>
        </w:rPr>
        <w:t xml:space="preserve"> ir iekļauts Latvijas </w:t>
      </w:r>
      <w:r w:rsidR="0087066A">
        <w:rPr>
          <w:rFonts w:cstheme="minorHAnsi"/>
          <w:szCs w:val="24"/>
        </w:rPr>
        <w:t>ĪA</w:t>
      </w:r>
      <w:r w:rsidRPr="00675182">
        <w:rPr>
          <w:rFonts w:cstheme="minorHAnsi"/>
          <w:szCs w:val="24"/>
        </w:rPr>
        <w:t xml:space="preserve"> sugu sarakstā, un atbilstoši </w:t>
      </w:r>
      <w:r w:rsidR="00D02DAF" w:rsidRPr="00675182">
        <w:rPr>
          <w:rFonts w:cstheme="minorHAnsi"/>
          <w:szCs w:val="24"/>
        </w:rPr>
        <w:t>ziņojumam Eiropas Komisijai par biotopu (dzīvotņu) un sugu aizsardzības stāvokli Latvijā</w:t>
      </w:r>
      <w:r w:rsidRPr="00675182">
        <w:rPr>
          <w:rFonts w:cstheme="minorHAnsi"/>
          <w:szCs w:val="24"/>
        </w:rPr>
        <w:t xml:space="preserve">, sugas stāvoklis </w:t>
      </w:r>
      <w:r w:rsidRPr="00675182">
        <w:rPr>
          <w:rFonts w:cstheme="minorHAnsi"/>
          <w:szCs w:val="24"/>
        </w:rPr>
        <w:lastRenderedPageBreak/>
        <w:t>(populācijas lielums, izplatība, sugai piemērotu dzīvotņu daudzums un nākotnes izredzes) valstī novērtēts kā labvēlīgs. Eiropas mērogā ūdrs ir apdraudēta suga, kuras aizsardzību ES dalībvalstīs, arī Latvijā paredz Biotopu direktīva, kur ūdrs iekļauts II un IV pielikumā. Latvijā periodā no 2014. līdz 2017. gadam veikts ūdru monitorings, kas paredzēja arī GNP apsekojumus sugas klātbūtnes konstatācijai, kā rezultātā suga tika konstatēta pietiekami bieži un vienmērīgi (1-4 indivīdi uz 10x10km), ko sekmē pietiekami daudz piemērotu dzīvotņu (Ornicāns et al. 2017).</w:t>
      </w:r>
      <w:r w:rsidR="007F2A34" w:rsidRPr="00675182">
        <w:rPr>
          <w:rFonts w:cstheme="minorHAnsi"/>
          <w:color w:val="FF0000"/>
          <w:szCs w:val="24"/>
        </w:rPr>
        <w:t xml:space="preserve"> </w:t>
      </w:r>
      <w:r w:rsidR="007F2A34" w:rsidRPr="00675182">
        <w:rPr>
          <w:rFonts w:cstheme="minorHAnsi"/>
          <w:color w:val="000000" w:themeColor="text1"/>
          <w:szCs w:val="24"/>
        </w:rPr>
        <w:t xml:space="preserve">Saskaņā ar ūdru monitoringu Natura 2000 teritorijās 2021. gadā GNP, izmantojot metodikā norādīto algoritmu, ūdru populācijas lielums novērtēts kā 200-300 indivīdu. Vairumā uzskaites punktu ūdriem piemēroto biotopu stāvoklis novērtēts kā izcils vai labs un tikai dažos kā vidējs (Ozoliņš </w:t>
      </w:r>
      <w:r w:rsidR="007F2A34" w:rsidRPr="00675182">
        <w:rPr>
          <w:rFonts w:cstheme="minorHAnsi"/>
          <w:i/>
          <w:iCs/>
          <w:color w:val="000000" w:themeColor="text1"/>
          <w:szCs w:val="24"/>
        </w:rPr>
        <w:t>et al</w:t>
      </w:r>
      <w:r w:rsidR="007F2A34" w:rsidRPr="00675182">
        <w:rPr>
          <w:rFonts w:cstheme="minorHAnsi"/>
          <w:color w:val="000000" w:themeColor="text1"/>
          <w:szCs w:val="24"/>
        </w:rPr>
        <w:t>. 2021).</w:t>
      </w:r>
    </w:p>
    <w:p w14:paraId="798BCD26" w14:textId="77777777" w:rsidR="003A1EF5" w:rsidRPr="00675182" w:rsidRDefault="003A1EF5" w:rsidP="003A1EF5">
      <w:pPr>
        <w:jc w:val="both"/>
        <w:rPr>
          <w:rFonts w:cstheme="minorHAnsi"/>
          <w:szCs w:val="24"/>
        </w:rPr>
      </w:pPr>
    </w:p>
    <w:p w14:paraId="09F9F30F" w14:textId="505BA5FE" w:rsidR="007F2A34" w:rsidRPr="00675182" w:rsidRDefault="003A1EF5" w:rsidP="007F2A34">
      <w:pPr>
        <w:jc w:val="both"/>
        <w:rPr>
          <w:rFonts w:eastAsiaTheme="minorHAnsi" w:cstheme="minorHAnsi"/>
          <w:szCs w:val="24"/>
          <w:lang w:eastAsia="en-US"/>
        </w:rPr>
      </w:pPr>
      <w:r w:rsidRPr="00675182">
        <w:rPr>
          <w:rFonts w:cstheme="minorHAnsi"/>
          <w:szCs w:val="24"/>
        </w:rPr>
        <w:t xml:space="preserve">Par citām plēsēju sugām pieejami galvenokārt gadījuma novērojumu informācija. Visbiežāk sastopamās sugas ir lapsa </w:t>
      </w:r>
      <w:r w:rsidRPr="00675182">
        <w:rPr>
          <w:rFonts w:cstheme="minorHAnsi"/>
          <w:i/>
          <w:iCs/>
          <w:szCs w:val="24"/>
        </w:rPr>
        <w:t>Vulpes vulpes</w:t>
      </w:r>
      <w:r w:rsidRPr="00675182">
        <w:rPr>
          <w:rFonts w:cstheme="minorHAnsi"/>
          <w:szCs w:val="24"/>
        </w:rPr>
        <w:t xml:space="preserve">, āpsis </w:t>
      </w:r>
      <w:r w:rsidRPr="00675182">
        <w:rPr>
          <w:rFonts w:cstheme="minorHAnsi"/>
          <w:i/>
          <w:iCs/>
          <w:szCs w:val="24"/>
        </w:rPr>
        <w:t>Meles meles</w:t>
      </w:r>
      <w:r w:rsidRPr="00675182">
        <w:rPr>
          <w:rFonts w:cstheme="minorHAnsi"/>
          <w:szCs w:val="24"/>
        </w:rPr>
        <w:t xml:space="preserve"> un jenotsuns </w:t>
      </w:r>
      <w:r w:rsidRPr="00675182">
        <w:rPr>
          <w:rFonts w:cstheme="minorHAnsi"/>
          <w:i/>
          <w:iCs/>
          <w:szCs w:val="24"/>
        </w:rPr>
        <w:t>Nyctereutes procyonoides</w:t>
      </w:r>
      <w:r w:rsidRPr="00675182">
        <w:rPr>
          <w:rFonts w:cstheme="minorHAnsi"/>
          <w:szCs w:val="24"/>
        </w:rPr>
        <w:t xml:space="preserve">. Retāk novērotas, bet satopamas sugas vēl ir meža un akmeņu caunas </w:t>
      </w:r>
      <w:r w:rsidRPr="00675182">
        <w:rPr>
          <w:rFonts w:cstheme="minorHAnsi"/>
          <w:i/>
          <w:iCs/>
          <w:szCs w:val="24"/>
        </w:rPr>
        <w:t>Martes martes, M. foina</w:t>
      </w:r>
      <w:r w:rsidRPr="00675182">
        <w:rPr>
          <w:rFonts w:cstheme="minorHAnsi"/>
          <w:szCs w:val="24"/>
        </w:rPr>
        <w:t xml:space="preserve">, sesks </w:t>
      </w:r>
      <w:r w:rsidRPr="00675182">
        <w:rPr>
          <w:rFonts w:cstheme="minorHAnsi"/>
          <w:i/>
          <w:iCs/>
          <w:szCs w:val="24"/>
        </w:rPr>
        <w:t>Mustela putorius</w:t>
      </w:r>
      <w:r w:rsidRPr="00675182">
        <w:rPr>
          <w:rFonts w:cstheme="minorHAnsi"/>
          <w:szCs w:val="24"/>
        </w:rPr>
        <w:t xml:space="preserve">, zebiekste </w:t>
      </w:r>
      <w:r w:rsidRPr="00675182">
        <w:rPr>
          <w:rFonts w:cstheme="minorHAnsi"/>
          <w:i/>
          <w:iCs/>
          <w:szCs w:val="24"/>
        </w:rPr>
        <w:t>Mustela nivalis</w:t>
      </w:r>
      <w:r w:rsidRPr="00675182">
        <w:rPr>
          <w:rFonts w:cstheme="minorHAnsi"/>
          <w:szCs w:val="24"/>
        </w:rPr>
        <w:t xml:space="preserve">, sermulis </w:t>
      </w:r>
      <w:r w:rsidRPr="00675182">
        <w:rPr>
          <w:rFonts w:cstheme="minorHAnsi"/>
          <w:i/>
          <w:iCs/>
          <w:szCs w:val="24"/>
        </w:rPr>
        <w:t>Mustela erminea</w:t>
      </w:r>
      <w:r w:rsidRPr="00675182">
        <w:rPr>
          <w:rFonts w:cstheme="minorHAnsi"/>
          <w:szCs w:val="24"/>
        </w:rPr>
        <w:t xml:space="preserve"> un Amerikas ūdele </w:t>
      </w:r>
      <w:r w:rsidRPr="00675182">
        <w:rPr>
          <w:rFonts w:cstheme="minorHAnsi"/>
          <w:i/>
          <w:iCs/>
          <w:szCs w:val="24"/>
        </w:rPr>
        <w:t>Neovison vison</w:t>
      </w:r>
      <w:r w:rsidRPr="00675182">
        <w:rPr>
          <w:rFonts w:cstheme="minorHAnsi"/>
          <w:szCs w:val="24"/>
        </w:rPr>
        <w:t xml:space="preserve"> (</w:t>
      </w:r>
      <w:r w:rsidR="00B71E77" w:rsidRPr="00675182">
        <w:rPr>
          <w:rFonts w:cstheme="minorHAnsi"/>
          <w:szCs w:val="24"/>
        </w:rPr>
        <w:t xml:space="preserve">portāls </w:t>
      </w:r>
      <w:r w:rsidRPr="00675182">
        <w:rPr>
          <w:rFonts w:cstheme="minorHAnsi"/>
          <w:szCs w:val="24"/>
        </w:rPr>
        <w:t xml:space="preserve">Dabasdati.lv). Eiropas ūdele </w:t>
      </w:r>
      <w:r w:rsidRPr="00675182">
        <w:rPr>
          <w:rFonts w:cstheme="minorHAnsi"/>
          <w:i/>
          <w:iCs/>
          <w:szCs w:val="24"/>
        </w:rPr>
        <w:t>Mustela lutreola</w:t>
      </w:r>
      <w:r w:rsidRPr="00675182">
        <w:rPr>
          <w:rFonts w:cstheme="minorHAnsi"/>
          <w:szCs w:val="24"/>
        </w:rPr>
        <w:t xml:space="preserve"> izzudusi no parka teritorijas pēc Amerikas ūdeles ieviešanās 1994. gadā (Tauriņš</w:t>
      </w:r>
      <w:r w:rsidR="00D02DAF" w:rsidRPr="00675182">
        <w:rPr>
          <w:rFonts w:cstheme="minorHAnsi"/>
          <w:szCs w:val="24"/>
        </w:rPr>
        <w:t>,</w:t>
      </w:r>
      <w:r w:rsidRPr="00675182">
        <w:rPr>
          <w:rFonts w:cstheme="minorHAnsi"/>
          <w:szCs w:val="24"/>
        </w:rPr>
        <w:t xml:space="preserve"> 1982).</w:t>
      </w:r>
      <w:r w:rsidR="007F2A34" w:rsidRPr="00675182">
        <w:rPr>
          <w:rFonts w:cstheme="minorHAnsi"/>
          <w:szCs w:val="24"/>
        </w:rPr>
        <w:t xml:space="preserve"> 2021. gada lauka apsekojumos lapsas pēdas novērotas visbiežāk, salīdzinoši vienmērīgi visā parka teritorijā – gan atklātās ainavās, apdzīvotu vietu tuvumā, gan meža teritorijās. Citu sugu pēdas novērotas retāk, vairāk mežu apvidos, tomēr dzīvotnes parka teritorijā ir pietiekami piemērotas arī pārējām sugām.</w:t>
      </w:r>
    </w:p>
    <w:p w14:paraId="50C24DA4" w14:textId="77777777" w:rsidR="003A1EF5" w:rsidRPr="00675182" w:rsidRDefault="003A1EF5" w:rsidP="003A1EF5">
      <w:pPr>
        <w:jc w:val="both"/>
        <w:rPr>
          <w:rFonts w:cstheme="minorHAnsi"/>
          <w:noProof/>
          <w:szCs w:val="24"/>
        </w:rPr>
      </w:pPr>
    </w:p>
    <w:p w14:paraId="49296BBD" w14:textId="77777777" w:rsidR="003A1EF5" w:rsidRPr="00675182" w:rsidRDefault="003A1EF5" w:rsidP="003A1EF5">
      <w:pPr>
        <w:jc w:val="both"/>
        <w:rPr>
          <w:rFonts w:cstheme="minorHAnsi"/>
          <w:noProof/>
          <w:szCs w:val="24"/>
        </w:rPr>
      </w:pPr>
      <w:r w:rsidRPr="00675182">
        <w:rPr>
          <w:rFonts w:cstheme="minorHAnsi"/>
          <w:noProof/>
          <w:szCs w:val="24"/>
          <w:u w:val="single"/>
        </w:rPr>
        <w:t>Pārnadžu kārta</w:t>
      </w:r>
    </w:p>
    <w:p w14:paraId="5517165D" w14:textId="239C362C" w:rsidR="003A1EF5" w:rsidRPr="00675182" w:rsidRDefault="003A1EF5" w:rsidP="003A1EF5">
      <w:pPr>
        <w:jc w:val="both"/>
        <w:rPr>
          <w:rFonts w:cstheme="minorHAnsi"/>
          <w:noProof/>
          <w:szCs w:val="24"/>
        </w:rPr>
      </w:pPr>
      <w:r w:rsidRPr="00675182">
        <w:rPr>
          <w:rFonts w:cstheme="minorHAnsi"/>
          <w:noProof/>
          <w:szCs w:val="24"/>
        </w:rPr>
        <w:t xml:space="preserve">Viena no visbiežāk un blīvāk pārstāvētajām grupām ir pārnadži, kas ir saistīts to salīdzinoši vieglo konstatāciju dabā un darbības pēdu atpazīstamību, kā arī par šīm sugām ir pietiekami daudz uzskaišu datu medību saimniecību uzturēšanas nolūkos. Visbiežāk sastopamā suga ir stirna </w:t>
      </w:r>
      <w:r w:rsidRPr="00675182">
        <w:rPr>
          <w:rFonts w:cstheme="minorHAnsi"/>
          <w:i/>
          <w:iCs/>
          <w:noProof/>
          <w:szCs w:val="24"/>
        </w:rPr>
        <w:t>Capreolus capreolus</w:t>
      </w:r>
      <w:r w:rsidRPr="00675182">
        <w:rPr>
          <w:rFonts w:cstheme="minorHAnsi"/>
          <w:noProof/>
          <w:szCs w:val="24"/>
        </w:rPr>
        <w:t xml:space="preserve">, un nedaudz retāk, bet pietiekami bieži sastopamas pārējās pārnadžu sugas: staltbriedis </w:t>
      </w:r>
      <w:r w:rsidRPr="00675182">
        <w:rPr>
          <w:rFonts w:cstheme="minorHAnsi"/>
          <w:i/>
          <w:iCs/>
          <w:noProof/>
          <w:szCs w:val="24"/>
        </w:rPr>
        <w:t>Cervus elaphus</w:t>
      </w:r>
      <w:r w:rsidRPr="00675182">
        <w:rPr>
          <w:rFonts w:cstheme="minorHAnsi"/>
          <w:noProof/>
          <w:szCs w:val="24"/>
        </w:rPr>
        <w:t xml:space="preserve">, alnis </w:t>
      </w:r>
      <w:r w:rsidRPr="00675182">
        <w:rPr>
          <w:rFonts w:cstheme="minorHAnsi"/>
          <w:i/>
          <w:iCs/>
          <w:noProof/>
          <w:szCs w:val="24"/>
        </w:rPr>
        <w:t>Alces alces</w:t>
      </w:r>
      <w:r w:rsidRPr="00675182">
        <w:rPr>
          <w:rFonts w:cstheme="minorHAnsi"/>
          <w:noProof/>
          <w:szCs w:val="24"/>
        </w:rPr>
        <w:t xml:space="preserve"> un meža cūka </w:t>
      </w:r>
      <w:r w:rsidRPr="00675182">
        <w:rPr>
          <w:rFonts w:cstheme="minorHAnsi"/>
          <w:i/>
          <w:iCs/>
          <w:noProof/>
          <w:szCs w:val="24"/>
        </w:rPr>
        <w:t>Sus scrofa</w:t>
      </w:r>
      <w:r w:rsidRPr="00675182">
        <w:rPr>
          <w:rFonts w:cstheme="minorHAnsi"/>
          <w:noProof/>
          <w:szCs w:val="24"/>
        </w:rPr>
        <w:t xml:space="preserve"> (</w:t>
      </w:r>
      <w:r w:rsidR="005846FE">
        <w:rPr>
          <w:rFonts w:cstheme="minorHAnsi"/>
          <w:noProof/>
          <w:szCs w:val="24"/>
        </w:rPr>
        <w:t>VMD</w:t>
      </w:r>
      <w:r w:rsidRPr="00675182">
        <w:rPr>
          <w:rFonts w:cstheme="minorHAnsi"/>
          <w:noProof/>
          <w:szCs w:val="24"/>
        </w:rPr>
        <w:t>, 2020).</w:t>
      </w:r>
    </w:p>
    <w:p w14:paraId="2442E76A" w14:textId="77777777" w:rsidR="003A1EF5" w:rsidRPr="00675182" w:rsidRDefault="003A1EF5" w:rsidP="003A1EF5">
      <w:pPr>
        <w:autoSpaceDE w:val="0"/>
        <w:autoSpaceDN w:val="0"/>
        <w:adjustRightInd w:val="0"/>
        <w:jc w:val="both"/>
        <w:rPr>
          <w:rFonts w:cstheme="minorHAnsi"/>
          <w:szCs w:val="24"/>
        </w:rPr>
      </w:pPr>
    </w:p>
    <w:p w14:paraId="337ABC8D" w14:textId="699A7E90" w:rsidR="003060C4" w:rsidRPr="00675182" w:rsidRDefault="00D02DAF" w:rsidP="003060C4">
      <w:pPr>
        <w:jc w:val="both"/>
        <w:rPr>
          <w:rFonts w:cstheme="minorHAnsi"/>
          <w:bCs/>
          <w:szCs w:val="24"/>
          <w:u w:val="single"/>
        </w:rPr>
      </w:pPr>
      <w:r w:rsidRPr="00675182">
        <w:rPr>
          <w:rFonts w:cstheme="minorHAnsi"/>
          <w:bCs/>
          <w:szCs w:val="24"/>
          <w:u w:val="single"/>
        </w:rPr>
        <w:t>Sikspārņu kārta</w:t>
      </w:r>
    </w:p>
    <w:p w14:paraId="34AA935D" w14:textId="15A06389" w:rsidR="00F95773" w:rsidRPr="00675182" w:rsidRDefault="00F95773" w:rsidP="00F95773">
      <w:pPr>
        <w:spacing w:line="240" w:lineRule="atLeast"/>
        <w:jc w:val="both"/>
        <w:rPr>
          <w:rFonts w:cstheme="minorHAnsi"/>
        </w:rPr>
      </w:pPr>
      <w:r w:rsidRPr="00675182">
        <w:rPr>
          <w:rFonts w:cstheme="minorHAnsi"/>
        </w:rPr>
        <w:t xml:space="preserve">GNP sikspārņu sugu ziņā ir viena no bagātākajām </w:t>
      </w:r>
      <w:r w:rsidRPr="00BF7348">
        <w:rPr>
          <w:rFonts w:cstheme="minorHAnsi"/>
        </w:rPr>
        <w:t>Natura 2000</w:t>
      </w:r>
      <w:r w:rsidRPr="00675182">
        <w:rPr>
          <w:rFonts w:cstheme="minorHAnsi"/>
        </w:rPr>
        <w:t xml:space="preserve"> teritorijām Latvijā. Pēc pašreizējiem datiem GNP ir reģistrētas 13 sikspārņu sugas (sk. 2.</w:t>
      </w:r>
      <w:r w:rsidR="00DC78E1" w:rsidRPr="00675182">
        <w:rPr>
          <w:rFonts w:cstheme="minorHAnsi"/>
        </w:rPr>
        <w:t>4.5</w:t>
      </w:r>
      <w:r w:rsidRPr="00675182">
        <w:rPr>
          <w:rFonts w:cstheme="minorHAnsi"/>
        </w:rPr>
        <w:t xml:space="preserve">. tabulu), no kurām vienai sugai, Eiropas platausim </w:t>
      </w:r>
      <w:r w:rsidRPr="00675182">
        <w:rPr>
          <w:rFonts w:cstheme="minorHAnsi"/>
          <w:i/>
          <w:iCs/>
        </w:rPr>
        <w:t>Barbastella barbastellus</w:t>
      </w:r>
      <w:r w:rsidRPr="00675182">
        <w:rPr>
          <w:rFonts w:cstheme="minorHAnsi"/>
        </w:rPr>
        <w:t xml:space="preserve">, ir zināmi tikai 3 vēsturiski atradumi, tomēr iespējams, ka šī Latvijā ļoti retā suga (Pētersons </w:t>
      </w:r>
      <w:r w:rsidRPr="00675182">
        <w:rPr>
          <w:rFonts w:cstheme="minorHAnsi"/>
          <w:i/>
          <w:iCs/>
        </w:rPr>
        <w:t>et al.</w:t>
      </w:r>
      <w:r w:rsidRPr="00675182">
        <w:rPr>
          <w:rFonts w:cstheme="minorHAnsi"/>
        </w:rPr>
        <w:t>, 2010) joprojām teritorijā ir sastopama.</w:t>
      </w:r>
    </w:p>
    <w:p w14:paraId="7DFD166C" w14:textId="77777777" w:rsidR="00F95773" w:rsidRPr="00675182" w:rsidRDefault="00F95773" w:rsidP="00F95773">
      <w:pPr>
        <w:spacing w:line="240" w:lineRule="atLeast"/>
        <w:jc w:val="both"/>
        <w:rPr>
          <w:rFonts w:eastAsia="Times New Roman" w:cstheme="minorHAnsi"/>
          <w:lang w:eastAsia="en-GB"/>
        </w:rPr>
      </w:pPr>
    </w:p>
    <w:p w14:paraId="0EE43127" w14:textId="313414B4" w:rsidR="00F95773" w:rsidRPr="00675182" w:rsidRDefault="00F95773" w:rsidP="00F95773">
      <w:pPr>
        <w:spacing w:line="240" w:lineRule="atLeast"/>
        <w:jc w:val="both"/>
        <w:rPr>
          <w:rFonts w:cstheme="minorHAnsi"/>
        </w:rPr>
      </w:pPr>
      <w:r w:rsidRPr="00675182">
        <w:rPr>
          <w:rFonts w:cstheme="minorHAnsi"/>
        </w:rPr>
        <w:t>Pirmie ticamie dati par GNP sastopamajām sugām ir no 1956. gada, kad ornitologs Georgs Lejiņš ievācis savai kolekcijai sikspārņu galvaskausus un ādiņas smilšakmens alās pie Līgatnes papīrfabrikas. Šajā reizē ievākts arī Eiropas platauša galvaskauss (Buša, 1980; Буша, 1980). Pēc ilgāka pārtraukuma Līgatnes un citas GNP alas tika atkal apsekotas 1970. gadu vidū, kad savu darbību uzsāka pirmā Latvijas profesionālā sikspārņu pētniece Ināra Buša. Šie I.Bušas dati daļēji ir publicēti (Буша, 1980, Буша, 1984), daļēji – izmantoti plašākos pētījumos par sikspārņu ziemošanu Latvijā (Vintulis, 2013). 1985. g. alu pētnieks Guntis Eniņš Kazugravā atklāj</w:t>
      </w:r>
      <w:r w:rsidR="001F1DFA" w:rsidRPr="00675182">
        <w:rPr>
          <w:rFonts w:cstheme="minorHAnsi"/>
        </w:rPr>
        <w:t>a</w:t>
      </w:r>
      <w:r w:rsidRPr="00675182">
        <w:rPr>
          <w:rFonts w:cstheme="minorHAnsi"/>
        </w:rPr>
        <w:t xml:space="preserve"> vienu no ievērojamākajām </w:t>
      </w:r>
      <w:r w:rsidRPr="00675182">
        <w:rPr>
          <w:rFonts w:cstheme="minorHAnsi"/>
        </w:rPr>
        <w:lastRenderedPageBreak/>
        <w:t xml:space="preserve">sikspārņu ziemošanas vietām Latvijā – Sikspārņu alas, kas ir tolaik lielākā zināmā dīķu naktssikspārņa </w:t>
      </w:r>
      <w:r w:rsidRPr="00675182">
        <w:rPr>
          <w:rFonts w:cstheme="minorHAnsi"/>
          <w:i/>
          <w:iCs/>
        </w:rPr>
        <w:t>Myotis dasycneme</w:t>
      </w:r>
      <w:r w:rsidRPr="00675182">
        <w:rPr>
          <w:rFonts w:cstheme="minorHAnsi"/>
        </w:rPr>
        <w:t xml:space="preserve"> un arī lielākā pēc sikspārņu kopējā skaita ziemošanas vieta Latvijā (Буша, 1986). Sikspārņu alas ir viena no divām lielākajām dīķu naktssikspārņu ziemošanas vietām Latvijā arī šobrīd, kā arī lielākā zināmā Branta un bārdaino naktssikspārņu </w:t>
      </w:r>
      <w:r w:rsidRPr="00675182">
        <w:rPr>
          <w:rFonts w:cstheme="minorHAnsi"/>
          <w:i/>
          <w:iCs/>
        </w:rPr>
        <w:t>Myotis brandtii/M. mystacinus</w:t>
      </w:r>
      <w:r w:rsidRPr="00675182">
        <w:rPr>
          <w:rFonts w:cstheme="minorHAnsi"/>
        </w:rPr>
        <w:t xml:space="preserve"> ziemošanas vieta (ziemojošo sikspārņu monitoringa dati). 1984. gada 19. oktobrī I.Buša Līgatnē atkārtoti konstatē Eiropas platausi (beigta dzīvnieka atliekas; Buša, 1986); pēdējo reizi šī suga GNP tiek konstatēta 1988. gada 8. janvārī, kad vienu īpatni Kazugravas Sikspārņu alās noķ</w:t>
      </w:r>
      <w:r w:rsidR="001F1DFA" w:rsidRPr="00675182">
        <w:rPr>
          <w:rFonts w:cstheme="minorHAnsi"/>
        </w:rPr>
        <w:t>ēra</w:t>
      </w:r>
      <w:r w:rsidRPr="00675182">
        <w:rPr>
          <w:rFonts w:cstheme="minorHAnsi"/>
        </w:rPr>
        <w:t xml:space="preserve"> LU studente Līga Pētersone, izstrādājot diplomdarbu par ziemojošajiem sikspārņiem (Pētersone, 1988, Pētersons and Vintulis, 1998).</w:t>
      </w:r>
    </w:p>
    <w:p w14:paraId="0ACCCF11" w14:textId="77777777" w:rsidR="00F95773" w:rsidRPr="00675182" w:rsidRDefault="00F95773" w:rsidP="00F95773">
      <w:pPr>
        <w:spacing w:line="240" w:lineRule="atLeast"/>
        <w:jc w:val="both"/>
        <w:rPr>
          <w:rFonts w:cstheme="minorHAnsi"/>
        </w:rPr>
      </w:pPr>
    </w:p>
    <w:p w14:paraId="633E5AE4" w14:textId="00267841" w:rsidR="00F95773" w:rsidRPr="00675182" w:rsidRDefault="00F95773" w:rsidP="00F95773">
      <w:pPr>
        <w:spacing w:line="240" w:lineRule="atLeast"/>
        <w:jc w:val="both"/>
        <w:rPr>
          <w:rFonts w:cstheme="minorHAnsi"/>
        </w:rPr>
      </w:pPr>
      <w:r w:rsidRPr="00675182">
        <w:rPr>
          <w:rFonts w:cstheme="minorHAnsi"/>
        </w:rPr>
        <w:t>1990. gadu sākumā GNP un cit</w:t>
      </w:r>
      <w:r w:rsidR="00C35853" w:rsidRPr="00675182">
        <w:rPr>
          <w:rFonts w:cstheme="minorHAnsi"/>
        </w:rPr>
        <w:t>ās</w:t>
      </w:r>
      <w:r w:rsidRPr="00675182">
        <w:rPr>
          <w:rFonts w:cstheme="minorHAnsi"/>
        </w:rPr>
        <w:t xml:space="preserve"> Latvijas al</w:t>
      </w:r>
      <w:r w:rsidR="00C35853" w:rsidRPr="00675182">
        <w:rPr>
          <w:rFonts w:cstheme="minorHAnsi"/>
        </w:rPr>
        <w:t>ās tika veikta</w:t>
      </w:r>
      <w:r w:rsidRPr="00675182">
        <w:rPr>
          <w:rFonts w:cstheme="minorHAnsi"/>
        </w:rPr>
        <w:t xml:space="preserve"> inventarizācij</w:t>
      </w:r>
      <w:r w:rsidR="00C35853" w:rsidRPr="00675182">
        <w:rPr>
          <w:rFonts w:cstheme="minorHAnsi"/>
        </w:rPr>
        <w:t>a</w:t>
      </w:r>
      <w:r w:rsidRPr="00675182">
        <w:rPr>
          <w:rFonts w:cstheme="minorHAnsi"/>
        </w:rPr>
        <w:t xml:space="preserve">, izvērtējot to piemērotību sikspārņu ziemošanai (Vintulis, 1996). Kopš 1992./93. g. ziemas alās uzsākts arī ziemojošo sikspārņu monitorings, kurš kopš šī laika pēc vienotas metodikas tiek veikts katru ziemu brīvprātīgi vai valsts apmaksātu monitoringa programmu ietvaros. GNP atrodas 75% no monitoringā iekļautajām 87 alām, kurās regulāri ziemo septiņas no astoņām Latvijā pazemes mītnēs ziemojošām sikspārņu sugām. GNP smilšakmens alās dominējošā ziemojošā suga ir ziemeļu sikspārnis </w:t>
      </w:r>
      <w:r w:rsidRPr="00675182">
        <w:rPr>
          <w:rFonts w:cstheme="minorHAnsi"/>
          <w:i/>
          <w:iCs/>
        </w:rPr>
        <w:t>Eptesicus nilssonii</w:t>
      </w:r>
      <w:r w:rsidRPr="00675182">
        <w:rPr>
          <w:rFonts w:cstheme="minorHAnsi"/>
        </w:rPr>
        <w:t xml:space="preserve">, mazākā skaitā ūdeņu naktssikspārnis </w:t>
      </w:r>
      <w:r w:rsidRPr="00675182">
        <w:rPr>
          <w:rFonts w:cstheme="minorHAnsi"/>
          <w:i/>
          <w:iCs/>
        </w:rPr>
        <w:t>Myotis daubentonii</w:t>
      </w:r>
      <w:r w:rsidRPr="00675182">
        <w:rPr>
          <w:rFonts w:cstheme="minorHAnsi"/>
        </w:rPr>
        <w:t xml:space="preserve"> un citas sugas, savukārt dolomīta alās lielākoties pārziemo tikai naktssikspārņu </w:t>
      </w:r>
      <w:r w:rsidRPr="00675182">
        <w:rPr>
          <w:rFonts w:cstheme="minorHAnsi"/>
          <w:i/>
          <w:iCs/>
        </w:rPr>
        <w:t>Myotis</w:t>
      </w:r>
      <w:r w:rsidRPr="00675182">
        <w:rPr>
          <w:rFonts w:cstheme="minorHAnsi"/>
        </w:rPr>
        <w:t xml:space="preserve"> sugas (Vintulis, 1996, 1999). Pēdējo 10 gadu laikā ziemojošo sikspārņu skaits GNP alās ir svārstījies vidēji ap 460 +/- 100 indivīdiem (ziemojošo sikspārņu monitoringa uzskaišu dati). Samērā lielās skaita svārstības lielā mērā nosaka katras ziemas laika apstākļi, jo daudzas no alām ir nelielas un pakļautas sala ietekmei. Jāņem arī vērā, ka monitoringā nav iekļautas pilnīgi visas alas, tādējādi kopējais alās ziemojošo sikspārņu skaits noteikti ir lielāks. Bez Kazugravas Sikspārņu alām nozīmīgākās ziemošanas vietas ir Līgatnes smilšakmens pagrabalu komplekss, Kalējala, Patkula ala un Krimuldas Velnalas. Pārējās alās ziemojošo sikspārņu skaits ir mazāks, tomēr dzīvnieki tajās ziemo regulāri. Alas, salīdzinot ar citiem mītņu tipiem (pagrabiem, militārām būvēm), ir mītnes ar vislielāko sikspārņu sugu daudzveidību (Vintulis, 2013), tādējādi par vērtīgām atzīstamas arī nelielas alas, kurās lielākoties pārziemo tikai daži indivīdi. </w:t>
      </w:r>
    </w:p>
    <w:p w14:paraId="1C7BAEA7" w14:textId="77777777" w:rsidR="00B56AAB" w:rsidRPr="00675182" w:rsidRDefault="00B56AAB" w:rsidP="00F95773">
      <w:pPr>
        <w:spacing w:line="240" w:lineRule="atLeast"/>
        <w:jc w:val="both"/>
        <w:rPr>
          <w:rFonts w:cstheme="minorHAnsi"/>
        </w:rPr>
      </w:pPr>
    </w:p>
    <w:p w14:paraId="6A31BFBB" w14:textId="360B0BEB" w:rsidR="00F95773" w:rsidRPr="00675182" w:rsidRDefault="00F95773" w:rsidP="00F95773">
      <w:pPr>
        <w:spacing w:line="240" w:lineRule="atLeast"/>
        <w:jc w:val="both"/>
        <w:rPr>
          <w:rFonts w:cstheme="minorHAnsi"/>
        </w:rPr>
      </w:pPr>
      <w:r w:rsidRPr="00675182">
        <w:rPr>
          <w:rFonts w:cstheme="minorHAnsi"/>
        </w:rPr>
        <w:t>Kopš 1970. gadu beigām un jo īpaši 1990. gados sāk</w:t>
      </w:r>
      <w:r w:rsidR="001F1DFA" w:rsidRPr="00675182">
        <w:rPr>
          <w:rFonts w:cstheme="minorHAnsi"/>
        </w:rPr>
        <w:t>a</w:t>
      </w:r>
      <w:r w:rsidRPr="00675182">
        <w:rPr>
          <w:rFonts w:cstheme="minorHAnsi"/>
        </w:rPr>
        <w:t xml:space="preserve"> uzkrāties arī ziņas par sikspārņu ziemošanas vietām pagrabos un cita veida mītnēs (tuneļos zem dzelzceļa, Cēsu pilsdrupu pagrabi, vairāki piemāju sakņu pagrabi u.c.). </w:t>
      </w:r>
    </w:p>
    <w:p w14:paraId="135B85EE" w14:textId="77777777" w:rsidR="00B56AAB" w:rsidRPr="00675182" w:rsidRDefault="00B56AAB" w:rsidP="00F95773">
      <w:pPr>
        <w:spacing w:line="240" w:lineRule="atLeast"/>
        <w:jc w:val="both"/>
        <w:rPr>
          <w:rFonts w:cstheme="minorHAnsi"/>
        </w:rPr>
      </w:pPr>
    </w:p>
    <w:p w14:paraId="11956026" w14:textId="5EDFF2FC" w:rsidR="00F95773" w:rsidRPr="00675182" w:rsidRDefault="00F95773" w:rsidP="00F95773">
      <w:pPr>
        <w:spacing w:line="240" w:lineRule="atLeast"/>
        <w:jc w:val="both"/>
        <w:rPr>
          <w:rFonts w:cstheme="minorHAnsi"/>
        </w:rPr>
      </w:pPr>
      <w:r w:rsidRPr="00675182">
        <w:rPr>
          <w:rFonts w:cstheme="minorHAnsi"/>
        </w:rPr>
        <w:t xml:space="preserve">Sākot no 1990. gadu vidus, Latvijā sikspārņu pētniecībā arvien vairāk tiek pielietota ultraskaņas detektoru metode, kas ļauj konstatēt un noteikt sikspārņu sugas pēc to izdotajām skaņām. </w:t>
      </w:r>
    </w:p>
    <w:p w14:paraId="2B23C1C3" w14:textId="77777777" w:rsidR="00B56AAB" w:rsidRPr="00675182" w:rsidRDefault="00B56AAB" w:rsidP="00F95773">
      <w:pPr>
        <w:spacing w:line="240" w:lineRule="atLeast"/>
        <w:jc w:val="both"/>
        <w:rPr>
          <w:rFonts w:cstheme="minorHAnsi"/>
        </w:rPr>
      </w:pPr>
    </w:p>
    <w:p w14:paraId="2A9644E8" w14:textId="4442E310" w:rsidR="00F95773" w:rsidRPr="00675182" w:rsidRDefault="00F95773" w:rsidP="00F95773">
      <w:pPr>
        <w:spacing w:line="240" w:lineRule="atLeast"/>
        <w:jc w:val="both"/>
        <w:rPr>
          <w:rFonts w:cstheme="minorHAnsi"/>
        </w:rPr>
      </w:pPr>
      <w:r w:rsidRPr="00675182">
        <w:rPr>
          <w:rFonts w:cstheme="minorHAnsi"/>
        </w:rPr>
        <w:t xml:space="preserve">2005.-2007. gados pie trijām GNP alām tiek veikti pētījumi par sikspārņu rudens spietošanu – līdz galam neizskaidrotu parādību, kad sikspārņi lielā skaitā parādās ziemošanas vietās vasaras otrā pusē un rudenī. Pētījumu rezultāti publicēti vairākos rakstos (Šuba </w:t>
      </w:r>
      <w:r w:rsidRPr="00675182">
        <w:rPr>
          <w:rFonts w:cstheme="minorHAnsi"/>
          <w:i/>
          <w:iCs/>
        </w:rPr>
        <w:t>et al</w:t>
      </w:r>
      <w:r w:rsidRPr="00675182">
        <w:rPr>
          <w:rFonts w:cstheme="minorHAnsi"/>
        </w:rPr>
        <w:t xml:space="preserve">., 2008, 2010; Vintulis and Šuba, 2010), kā arī izmantoti Jurģa Šubas bakalaura un maģistra darbu izstrādē (Šuba, 2007, 2009). Šie pētījumi pierādīja, ka alas ir sikspārņiem nozīmīgas ne tikai kā ziemošanas vietas, bet tiek vēl intensīvāk izmantotas arī citās sezonās, īpaši pavasarī, vasaras beigās un rudenī (Šuba </w:t>
      </w:r>
      <w:r w:rsidRPr="00675182">
        <w:rPr>
          <w:rFonts w:cstheme="minorHAnsi"/>
          <w:i/>
          <w:iCs/>
        </w:rPr>
        <w:t>et al</w:t>
      </w:r>
      <w:r w:rsidRPr="00675182">
        <w:rPr>
          <w:rFonts w:cstheme="minorHAnsi"/>
        </w:rPr>
        <w:t xml:space="preserve">., 2008, </w:t>
      </w:r>
      <w:r w:rsidRPr="00675182">
        <w:rPr>
          <w:rFonts w:cstheme="minorHAnsi"/>
        </w:rPr>
        <w:lastRenderedPageBreak/>
        <w:t xml:space="preserve">2010; Vintulis and Šuba, 2010, Vintulis, 2013). Pētījumi parādīja arī, ka Kazugravas Sikspārņu alas ir nozīmīga spietošanas vieta ne tikai Latvijas, bet Eiropas mērogā – kopējais spietojošo sikspārņu skaits pie šīm alām rudens sezonas laikā, iespējams, </w:t>
      </w:r>
      <w:r w:rsidR="001F1DFA" w:rsidRPr="00675182">
        <w:rPr>
          <w:rFonts w:cstheme="minorHAnsi"/>
        </w:rPr>
        <w:t>pārsniedz</w:t>
      </w:r>
      <w:r w:rsidRPr="00675182">
        <w:rPr>
          <w:rFonts w:cstheme="minorHAnsi"/>
        </w:rPr>
        <w:t xml:space="preserve"> 40 000 īpatņu (Šuba, 2009). Tā ir šobrīd lielākā zināmā sikspārņu spietošanas vieta Latvijā.</w:t>
      </w:r>
    </w:p>
    <w:p w14:paraId="7A9FA3E8" w14:textId="77777777" w:rsidR="00B56AAB" w:rsidRPr="00675182" w:rsidRDefault="00B56AAB" w:rsidP="00F95773">
      <w:pPr>
        <w:spacing w:line="240" w:lineRule="atLeast"/>
        <w:jc w:val="both"/>
        <w:rPr>
          <w:rFonts w:cstheme="minorHAnsi"/>
        </w:rPr>
      </w:pPr>
    </w:p>
    <w:p w14:paraId="61DE4D79" w14:textId="50798F2E" w:rsidR="00F95773" w:rsidRPr="00675182" w:rsidRDefault="00F95773" w:rsidP="00F95773">
      <w:pPr>
        <w:spacing w:line="240" w:lineRule="atLeast"/>
        <w:jc w:val="both"/>
        <w:rPr>
          <w:rFonts w:cstheme="minorHAnsi"/>
        </w:rPr>
      </w:pPr>
      <w:r w:rsidRPr="00675182">
        <w:rPr>
          <w:rFonts w:cstheme="minorHAnsi"/>
        </w:rPr>
        <w:t>Pēc 2007. gada mērķtiecīgi jauni GNP sikspārņu faunas pētījumi nav veikti – ir turpināts monitorings ziemošanas vietās un vienīgajā teritorijā atrastajā dīķu naktssikspārņu vairošanās kolonijā Skaļupē, kā arī pārbaudītas dažādas gadījuma ziņas par iedzīvotāju atrastiem sikspārņiem. Atkārtoti veikti arī spietojošo sikspārņu pētījumi sadarbībā ar Līdsas Universitāti (2010.</w:t>
      </w:r>
      <w:r w:rsidR="00B56AAB" w:rsidRPr="00675182">
        <w:rPr>
          <w:rFonts w:cstheme="minorHAnsi"/>
        </w:rPr>
        <w:t xml:space="preserve"> </w:t>
      </w:r>
      <w:r w:rsidRPr="00675182">
        <w:rPr>
          <w:rFonts w:cstheme="minorHAnsi"/>
        </w:rPr>
        <w:t>g.) un LLU Veterinārmedicīnas fakultāti (2013.-2014.</w:t>
      </w:r>
      <w:r w:rsidR="00B56AAB" w:rsidRPr="00675182">
        <w:rPr>
          <w:rFonts w:cstheme="minorHAnsi"/>
        </w:rPr>
        <w:t xml:space="preserve"> </w:t>
      </w:r>
      <w:r w:rsidRPr="00675182">
        <w:rPr>
          <w:rFonts w:cstheme="minorHAnsi"/>
        </w:rPr>
        <w:t xml:space="preserve">g). </w:t>
      </w:r>
    </w:p>
    <w:p w14:paraId="521FF724" w14:textId="77777777" w:rsidR="00B56AAB" w:rsidRPr="00675182" w:rsidRDefault="00B56AAB" w:rsidP="00F95773">
      <w:pPr>
        <w:spacing w:line="240" w:lineRule="atLeast"/>
        <w:jc w:val="both"/>
        <w:rPr>
          <w:rFonts w:cstheme="minorHAnsi"/>
        </w:rPr>
      </w:pPr>
    </w:p>
    <w:p w14:paraId="284F08F4" w14:textId="3AD705DC" w:rsidR="00F95773" w:rsidRPr="00675182" w:rsidRDefault="00F95773" w:rsidP="00F95773">
      <w:pPr>
        <w:spacing w:line="240" w:lineRule="atLeast"/>
        <w:jc w:val="both"/>
        <w:rPr>
          <w:rFonts w:cstheme="minorHAnsi"/>
        </w:rPr>
      </w:pPr>
      <w:r w:rsidRPr="00675182">
        <w:rPr>
          <w:rFonts w:cstheme="minorHAnsi"/>
        </w:rPr>
        <w:t xml:space="preserve">2018.-2019. gadā DAP pasūtīta un LVAF finansēta projekta “Sikspārņu sugu datu apkopošana </w:t>
      </w:r>
      <w:r w:rsidR="00B56AAB" w:rsidRPr="00675182">
        <w:rPr>
          <w:rFonts w:cstheme="minorHAnsi"/>
        </w:rPr>
        <w:t>DDPS</w:t>
      </w:r>
      <w:r w:rsidRPr="00675182">
        <w:rPr>
          <w:rFonts w:cstheme="minorHAnsi"/>
        </w:rPr>
        <w:t xml:space="preserve"> “Ozols”” ietvaros </w:t>
      </w:r>
      <w:r w:rsidR="005329CB">
        <w:rPr>
          <w:rFonts w:cstheme="minorHAnsi"/>
        </w:rPr>
        <w:t>Latvijas Sikspārņu pētniecības biedrība</w:t>
      </w:r>
      <w:r w:rsidRPr="00675182">
        <w:rPr>
          <w:rFonts w:cstheme="minorHAnsi"/>
        </w:rPr>
        <w:t xml:space="preserve"> veica visu sikspārņu ekspertu rīcībā esošo datu inventarizāciju un apkopošanu. Starp </w:t>
      </w:r>
      <w:r w:rsidR="00847FA5" w:rsidRPr="00675182">
        <w:rPr>
          <w:rFonts w:cstheme="minorHAnsi"/>
          <w:bCs/>
          <w:szCs w:val="24"/>
        </w:rPr>
        <w:t xml:space="preserve">DDPS “Ozols” </w:t>
      </w:r>
      <w:r w:rsidRPr="00675182">
        <w:rPr>
          <w:rFonts w:cstheme="minorHAnsi"/>
        </w:rPr>
        <w:t>ievadītajiem datiem ir arī visi līdz 2019. g. zināmie dati par sikspārņiem GNP teritorijā, t.sk. arī monitoringa uzskaišu un augstāk aprakstītajos pētījumos ievāktie materiāli.</w:t>
      </w:r>
    </w:p>
    <w:p w14:paraId="24AA9B2D" w14:textId="400FC5B2" w:rsidR="00DC78E1" w:rsidRPr="00675182" w:rsidRDefault="00DC78E1" w:rsidP="00F95773">
      <w:pPr>
        <w:spacing w:line="240" w:lineRule="atLeast"/>
        <w:jc w:val="both"/>
        <w:rPr>
          <w:rFonts w:cstheme="minorHAnsi"/>
        </w:rPr>
      </w:pPr>
    </w:p>
    <w:p w14:paraId="6ECAF511" w14:textId="69FFC560" w:rsidR="00CF5379" w:rsidRPr="00675182" w:rsidRDefault="00DC78E1" w:rsidP="00DC78E1">
      <w:pPr>
        <w:spacing w:line="240" w:lineRule="atLeast"/>
        <w:jc w:val="both"/>
        <w:rPr>
          <w:rFonts w:cstheme="minorHAnsi"/>
        </w:rPr>
      </w:pPr>
      <w:r w:rsidRPr="00675182">
        <w:rPr>
          <w:rFonts w:cstheme="minorHAnsi"/>
        </w:rPr>
        <w:t xml:space="preserve">DA plāna ietvaros 2020. </w:t>
      </w:r>
      <w:r w:rsidR="001F1DFA" w:rsidRPr="00675182">
        <w:rPr>
          <w:rFonts w:cstheme="minorHAnsi"/>
        </w:rPr>
        <w:t xml:space="preserve">un 2021. </w:t>
      </w:r>
      <w:r w:rsidRPr="00675182">
        <w:rPr>
          <w:rFonts w:cstheme="minorHAnsi"/>
        </w:rPr>
        <w:t xml:space="preserve">gadā tika veikta </w:t>
      </w:r>
      <w:r w:rsidR="00CF5379" w:rsidRPr="00675182">
        <w:rPr>
          <w:rFonts w:cstheme="minorHAnsi"/>
        </w:rPr>
        <w:t>iepriekšējos gados atrasto sikspārņu vairošanās koloniju kontroles, pārbaudot mītņu apdzīvotību un mēģinot iegūt skaitlisko informāciju par koloniju izmēriem. Pārbaudītas piecas kolonijas ēkās “Kārļukaln</w:t>
      </w:r>
      <w:r w:rsidRPr="00675182">
        <w:rPr>
          <w:rFonts w:cstheme="minorHAnsi"/>
        </w:rPr>
        <w:t>s</w:t>
      </w:r>
      <w:r w:rsidR="00CF5379" w:rsidRPr="00675182">
        <w:rPr>
          <w:rFonts w:cstheme="minorHAnsi"/>
        </w:rPr>
        <w:t>”, Drabešu pag</w:t>
      </w:r>
      <w:r w:rsidRPr="00675182">
        <w:rPr>
          <w:rFonts w:cstheme="minorHAnsi"/>
        </w:rPr>
        <w:t>astā</w:t>
      </w:r>
      <w:r w:rsidR="00CF5379" w:rsidRPr="00675182">
        <w:rPr>
          <w:rFonts w:cstheme="minorHAnsi"/>
        </w:rPr>
        <w:t xml:space="preserve">, </w:t>
      </w:r>
      <w:r w:rsidR="00547BA5" w:rsidRPr="00675182">
        <w:rPr>
          <w:rFonts w:cstheme="minorHAnsi"/>
        </w:rPr>
        <w:t>Cēsu</w:t>
      </w:r>
      <w:r w:rsidR="00CF5379" w:rsidRPr="00675182">
        <w:rPr>
          <w:rFonts w:cstheme="minorHAnsi"/>
        </w:rPr>
        <w:t xml:space="preserve"> nov</w:t>
      </w:r>
      <w:r w:rsidRPr="00675182">
        <w:rPr>
          <w:rFonts w:cstheme="minorHAnsi"/>
        </w:rPr>
        <w:t>adā</w:t>
      </w:r>
      <w:r w:rsidR="00CF5379" w:rsidRPr="00675182">
        <w:rPr>
          <w:rFonts w:cstheme="minorHAnsi"/>
        </w:rPr>
        <w:t xml:space="preserve"> (kolonija apdzīvota, ziemeļu sikspārnis, veikta uzskaite), “Tavaiņ</w:t>
      </w:r>
      <w:r w:rsidRPr="00675182">
        <w:rPr>
          <w:rFonts w:cstheme="minorHAnsi"/>
        </w:rPr>
        <w:t>i</w:t>
      </w:r>
      <w:r w:rsidR="00CF5379" w:rsidRPr="00675182">
        <w:rPr>
          <w:rFonts w:cstheme="minorHAnsi"/>
        </w:rPr>
        <w:t>”, Straupes pag</w:t>
      </w:r>
      <w:r w:rsidRPr="00675182">
        <w:rPr>
          <w:rFonts w:cstheme="minorHAnsi"/>
        </w:rPr>
        <w:t xml:space="preserve">astā </w:t>
      </w:r>
      <w:r w:rsidR="00547BA5" w:rsidRPr="00675182">
        <w:rPr>
          <w:rFonts w:cstheme="minorHAnsi"/>
        </w:rPr>
        <w:t>Cēsu</w:t>
      </w:r>
      <w:r w:rsidRPr="00675182">
        <w:rPr>
          <w:rFonts w:cstheme="minorHAnsi"/>
        </w:rPr>
        <w:t xml:space="preserve"> novadā </w:t>
      </w:r>
      <w:r w:rsidR="00CF5379" w:rsidRPr="00675182">
        <w:rPr>
          <w:rFonts w:cstheme="minorHAnsi"/>
        </w:rPr>
        <w:t xml:space="preserve">(apdzīvota, Natūza sikspārnis </w:t>
      </w:r>
      <w:r w:rsidR="00CF5379" w:rsidRPr="00675182">
        <w:rPr>
          <w:rFonts w:cstheme="minorHAnsi"/>
          <w:i/>
          <w:iCs/>
        </w:rPr>
        <w:t xml:space="preserve">Pipistrellus nathusii, </w:t>
      </w:r>
      <w:r w:rsidR="00CF5379" w:rsidRPr="00675182">
        <w:rPr>
          <w:rFonts w:cstheme="minorHAnsi"/>
        </w:rPr>
        <w:t>veikta uzskaite), “Spar</w:t>
      </w:r>
      <w:r w:rsidRPr="00675182">
        <w:rPr>
          <w:rFonts w:cstheme="minorHAnsi"/>
        </w:rPr>
        <w:t>a</w:t>
      </w:r>
      <w:r w:rsidR="00CF5379" w:rsidRPr="00675182">
        <w:rPr>
          <w:rFonts w:cstheme="minorHAnsi"/>
        </w:rPr>
        <w:t>”, Krimuldas nov</w:t>
      </w:r>
      <w:r w:rsidRPr="00675182">
        <w:rPr>
          <w:rFonts w:cstheme="minorHAnsi"/>
        </w:rPr>
        <w:t>adā</w:t>
      </w:r>
      <w:r w:rsidR="003C7421" w:rsidRPr="00675182">
        <w:rPr>
          <w:rFonts w:cstheme="minorHAnsi"/>
        </w:rPr>
        <w:t xml:space="preserve"> </w:t>
      </w:r>
      <w:r w:rsidR="00CF5379" w:rsidRPr="00675182">
        <w:rPr>
          <w:rFonts w:cstheme="minorHAnsi"/>
        </w:rPr>
        <w:t xml:space="preserve">(apdzīvota, Natūza sikspārnis – kopš iepriekšējās apsekošanas </w:t>
      </w:r>
      <w:r w:rsidR="001F1DFA" w:rsidRPr="00675182">
        <w:rPr>
          <w:rFonts w:cstheme="minorHAnsi"/>
        </w:rPr>
        <w:t xml:space="preserve">21. </w:t>
      </w:r>
      <w:r w:rsidR="00CF5379" w:rsidRPr="00675182">
        <w:rPr>
          <w:rFonts w:cstheme="minorHAnsi"/>
        </w:rPr>
        <w:t>g</w:t>
      </w:r>
      <w:r w:rsidR="003E09EE" w:rsidRPr="00675182">
        <w:rPr>
          <w:rFonts w:cstheme="minorHAnsi"/>
        </w:rPr>
        <w:t xml:space="preserve">s. </w:t>
      </w:r>
      <w:r w:rsidR="00CF5379" w:rsidRPr="00675182">
        <w:rPr>
          <w:rFonts w:cstheme="minorHAnsi"/>
        </w:rPr>
        <w:t>sākumā mainījusies sikspārņu suga; veikta uzskaite), Baznīcas ielā 5, Siguldā (apdzīvota, Natūza sikspārnis, uzskaiti neizdodas veikt, bet kolonijā noteikti vairāki desmiti īpatņu) un Mazajā ielā 5, Līvos, Drabešu pag.</w:t>
      </w:r>
      <w:r w:rsidR="00547BA5" w:rsidRPr="00675182">
        <w:rPr>
          <w:rFonts w:cstheme="minorHAnsi"/>
        </w:rPr>
        <w:t>, Cēsu novadā</w:t>
      </w:r>
      <w:r w:rsidR="00CF5379" w:rsidRPr="00675182">
        <w:rPr>
          <w:rFonts w:cstheme="minorHAnsi"/>
        </w:rPr>
        <w:t xml:space="preserve"> (apdzīvota, divkrāsainais sikspārnis </w:t>
      </w:r>
      <w:r w:rsidR="00CF5379" w:rsidRPr="00675182">
        <w:rPr>
          <w:rFonts w:cstheme="minorHAnsi"/>
          <w:i/>
          <w:iCs/>
        </w:rPr>
        <w:t>Vespertilio murinus</w:t>
      </w:r>
      <w:r w:rsidR="00CF5379" w:rsidRPr="00675182">
        <w:rPr>
          <w:rFonts w:cstheme="minorHAnsi"/>
        </w:rPr>
        <w:t xml:space="preserve">, veikta uzskaite). </w:t>
      </w:r>
    </w:p>
    <w:p w14:paraId="5CA93FAE" w14:textId="63FCD91D" w:rsidR="00EF659E" w:rsidRPr="00675182" w:rsidRDefault="00EF659E" w:rsidP="00DC78E1">
      <w:pPr>
        <w:spacing w:line="240" w:lineRule="atLeast"/>
        <w:jc w:val="both"/>
        <w:rPr>
          <w:rFonts w:cstheme="minorHAnsi"/>
        </w:rPr>
      </w:pPr>
    </w:p>
    <w:p w14:paraId="7B2892C5" w14:textId="66089486" w:rsidR="00CF5379" w:rsidRPr="00675182" w:rsidRDefault="00EF659E" w:rsidP="00EF659E">
      <w:pPr>
        <w:spacing w:line="240" w:lineRule="atLeast"/>
        <w:jc w:val="both"/>
        <w:rPr>
          <w:rFonts w:cstheme="minorHAnsi"/>
        </w:rPr>
      </w:pPr>
      <w:r w:rsidRPr="00675182">
        <w:rPr>
          <w:rFonts w:cstheme="minorHAnsi"/>
        </w:rPr>
        <w:t>Tika veikta arī jaunas kolonijas pārbaude Cēsīs, par kuru ziņojuši iedzīvotāji. K</w:t>
      </w:r>
      <w:r w:rsidR="00CF5379" w:rsidRPr="00675182">
        <w:rPr>
          <w:rFonts w:cstheme="minorHAnsi"/>
        </w:rPr>
        <w:t xml:space="preserve">olonija apdzīvota, uzskaitīti 53 indivīdi, bet neizdevās noskaidrot, kāda suga – viena no dvīņu sugām: Branta, vai bārdainais naktssikspārnis </w:t>
      </w:r>
      <w:r w:rsidR="00CF5379" w:rsidRPr="00675182">
        <w:rPr>
          <w:rFonts w:cstheme="minorHAnsi"/>
          <w:i/>
          <w:iCs/>
        </w:rPr>
        <w:t>Myotis brandtii/mystacinus</w:t>
      </w:r>
      <w:r w:rsidRPr="00675182">
        <w:rPr>
          <w:rFonts w:cstheme="minorHAnsi"/>
        </w:rPr>
        <w:t>.</w:t>
      </w:r>
    </w:p>
    <w:p w14:paraId="7A7B0657" w14:textId="77777777" w:rsidR="00EF659E" w:rsidRPr="00675182" w:rsidRDefault="00EF659E" w:rsidP="00EF659E">
      <w:pPr>
        <w:spacing w:line="240" w:lineRule="atLeast"/>
        <w:jc w:val="both"/>
        <w:rPr>
          <w:rFonts w:eastAsia="Times New Roman" w:cstheme="minorHAnsi"/>
          <w:lang w:eastAsia="en-GB"/>
        </w:rPr>
      </w:pPr>
    </w:p>
    <w:p w14:paraId="5E938AAC" w14:textId="062AE829" w:rsidR="00CF5379" w:rsidRPr="00675182" w:rsidRDefault="00EF659E" w:rsidP="00EF659E">
      <w:pPr>
        <w:spacing w:line="240" w:lineRule="atLeast"/>
        <w:jc w:val="both"/>
        <w:rPr>
          <w:rFonts w:cstheme="minorHAnsi"/>
        </w:rPr>
      </w:pPr>
      <w:r w:rsidRPr="00675182">
        <w:rPr>
          <w:rFonts w:cstheme="minorHAnsi"/>
        </w:rPr>
        <w:t>DA</w:t>
      </w:r>
      <w:r w:rsidR="003C7421" w:rsidRPr="00675182">
        <w:rPr>
          <w:rFonts w:cstheme="minorHAnsi"/>
        </w:rPr>
        <w:t xml:space="preserve"> plāna</w:t>
      </w:r>
      <w:r w:rsidRPr="00675182">
        <w:rPr>
          <w:rFonts w:cstheme="minorHAnsi"/>
        </w:rPr>
        <w:t xml:space="preserve"> izstrādes laikā</w:t>
      </w:r>
      <w:r w:rsidR="00CF5379" w:rsidRPr="00675182">
        <w:rPr>
          <w:rFonts w:cstheme="minorHAnsi"/>
        </w:rPr>
        <w:t xml:space="preserve"> veikta sikspārņu uzskaite ar ultraskaņas detektoru sauszemes maršrutos no braucoša auto; kopā maršrutos veikti apmēram 90 km, reģistrētas kopā sešas sikspārņu sugas (ziemeļu sikspārnis, divkrāsainais sikspārnis, rūsganais vakarsikspārnis </w:t>
      </w:r>
      <w:r w:rsidR="00CF5379" w:rsidRPr="00675182">
        <w:rPr>
          <w:rFonts w:cstheme="minorHAnsi"/>
          <w:i/>
          <w:iCs/>
        </w:rPr>
        <w:t>Nyctalus noctula</w:t>
      </w:r>
      <w:r w:rsidR="00CF5379" w:rsidRPr="00675182">
        <w:rPr>
          <w:rFonts w:cstheme="minorHAnsi"/>
        </w:rPr>
        <w:t xml:space="preserve">, Natūza sikspārnis, pigmejsikspārnis </w:t>
      </w:r>
      <w:r w:rsidR="00CF5379" w:rsidRPr="00675182">
        <w:rPr>
          <w:rFonts w:cstheme="minorHAnsi"/>
          <w:i/>
          <w:iCs/>
        </w:rPr>
        <w:t>Pipistrellus pygmaeus</w:t>
      </w:r>
      <w:r w:rsidR="00CF5379" w:rsidRPr="00675182">
        <w:rPr>
          <w:rFonts w:cstheme="minorHAnsi"/>
        </w:rPr>
        <w:t xml:space="preserve"> un ūdeņu naktssikspārnis). </w:t>
      </w:r>
      <w:r w:rsidR="004D5E29" w:rsidRPr="00675182">
        <w:rPr>
          <w:rFonts w:cstheme="minorHAnsi"/>
        </w:rPr>
        <w:t xml:space="preserve">Uzskaites laikā konstatēts, ka </w:t>
      </w:r>
      <w:r w:rsidR="00CF5379" w:rsidRPr="00675182">
        <w:rPr>
          <w:rFonts w:cstheme="minorHAnsi"/>
        </w:rPr>
        <w:t>kopumā sauszemes biotopos novērotā sikspārņu aktivitāte ir zema; no sugām izteikti dominē viena, Latvijā parastākā suga - ziemeļu sikspārnis.</w:t>
      </w:r>
    </w:p>
    <w:p w14:paraId="684135CB" w14:textId="77777777" w:rsidR="004D5E29" w:rsidRPr="00675182" w:rsidRDefault="004D5E29" w:rsidP="00EF659E">
      <w:pPr>
        <w:spacing w:line="240" w:lineRule="atLeast"/>
        <w:jc w:val="both"/>
        <w:rPr>
          <w:rFonts w:cstheme="minorHAnsi"/>
        </w:rPr>
      </w:pPr>
    </w:p>
    <w:p w14:paraId="5D3BD31B" w14:textId="37481EB6" w:rsidR="00CF5379" w:rsidRPr="00675182" w:rsidRDefault="004D5E29" w:rsidP="004D5E29">
      <w:pPr>
        <w:spacing w:line="240" w:lineRule="atLeast"/>
        <w:jc w:val="both"/>
        <w:rPr>
          <w:rFonts w:cstheme="minorHAnsi"/>
        </w:rPr>
      </w:pPr>
      <w:r w:rsidRPr="00BF7348">
        <w:rPr>
          <w:rFonts w:cstheme="minorHAnsi"/>
        </w:rPr>
        <w:t>Natura 2000</w:t>
      </w:r>
      <w:r w:rsidRPr="00675182">
        <w:rPr>
          <w:rFonts w:cstheme="minorHAnsi"/>
        </w:rPr>
        <w:t xml:space="preserve"> monitoringa programmas ietvaros tik</w:t>
      </w:r>
      <w:r w:rsidR="00227E90">
        <w:rPr>
          <w:rFonts w:cstheme="minorHAnsi"/>
        </w:rPr>
        <w:t>a</w:t>
      </w:r>
      <w:r w:rsidRPr="00675182">
        <w:rPr>
          <w:rFonts w:cstheme="minorHAnsi"/>
        </w:rPr>
        <w:t xml:space="preserve"> veikta m</w:t>
      </w:r>
      <w:r w:rsidR="00CF5379" w:rsidRPr="00675182">
        <w:rPr>
          <w:rFonts w:cstheme="minorHAnsi"/>
        </w:rPr>
        <w:t xml:space="preserve">onitoringa uzskaite pie dīķu naktssikspārņu vairošanās kolonijas Skaļupēs 3, Līgatnes nov. (uzskaiti veica Ilze un Normunds Kukāri), kurā uzskaitīti tikai 12 indivīdi. Skaļupes kolonijā novērojamas lielas sikspārņu skaita svārstības dažādos gados (no 0 līdz 154 indivīdi), kas liecina, ka </w:t>
      </w:r>
      <w:r w:rsidR="00CF5379" w:rsidRPr="00675182">
        <w:rPr>
          <w:rFonts w:cstheme="minorHAnsi"/>
        </w:rPr>
        <w:lastRenderedPageBreak/>
        <w:t>šī kolonija dažādos gados acīmredzot izmanto vēl citas mītnes, kuras līdz šim nav izdevies atrast. Jaunu sikspārņu koloniju mērķtiecīga meklēšana ir ļoti darba un laikietilpīgs process, kuram nepieciešams atsevišķs pētījumu projekts un finansējums; tas nav paveicams šī DA plāna ietvaros.</w:t>
      </w:r>
    </w:p>
    <w:p w14:paraId="08506574" w14:textId="0F50D4C8" w:rsidR="00A20129" w:rsidRPr="00675182" w:rsidRDefault="00A20129" w:rsidP="004D5E29">
      <w:pPr>
        <w:spacing w:line="240" w:lineRule="atLeast"/>
        <w:jc w:val="both"/>
        <w:rPr>
          <w:rFonts w:cstheme="minorHAnsi"/>
        </w:rPr>
      </w:pPr>
    </w:p>
    <w:p w14:paraId="2AFFB4A1" w14:textId="26442096" w:rsidR="00A20129" w:rsidRPr="00675182" w:rsidRDefault="00A20129" w:rsidP="00A20129">
      <w:pPr>
        <w:suppressAutoHyphens w:val="0"/>
        <w:autoSpaceDE w:val="0"/>
        <w:autoSpaceDN w:val="0"/>
        <w:adjustRightInd w:val="0"/>
        <w:contextualSpacing/>
        <w:jc w:val="both"/>
        <w:rPr>
          <w:rFonts w:cstheme="minorHAnsi"/>
          <w:szCs w:val="24"/>
        </w:rPr>
      </w:pPr>
      <w:r w:rsidRPr="00675182">
        <w:rPr>
          <w:rFonts w:cstheme="minorHAnsi"/>
          <w:bCs/>
          <w:szCs w:val="24"/>
        </w:rPr>
        <w:t xml:space="preserve">Informācija par </w:t>
      </w:r>
      <w:r w:rsidR="005332BC">
        <w:rPr>
          <w:rFonts w:cstheme="minorHAnsi"/>
          <w:bCs/>
          <w:szCs w:val="24"/>
        </w:rPr>
        <w:t>ĪA</w:t>
      </w:r>
      <w:r w:rsidRPr="00675182">
        <w:rPr>
          <w:rFonts w:cstheme="minorHAnsi"/>
          <w:bCs/>
          <w:szCs w:val="24"/>
        </w:rPr>
        <w:t xml:space="preserve"> zīdītāju sugām ir apkopota 2.4.5. </w:t>
      </w:r>
      <w:r w:rsidR="003737D8">
        <w:rPr>
          <w:rFonts w:cstheme="minorHAnsi"/>
          <w:bCs/>
          <w:szCs w:val="24"/>
        </w:rPr>
        <w:t xml:space="preserve">A un B </w:t>
      </w:r>
      <w:r w:rsidRPr="00675182">
        <w:rPr>
          <w:rFonts w:cstheme="minorHAnsi"/>
          <w:bCs/>
          <w:szCs w:val="24"/>
        </w:rPr>
        <w:t xml:space="preserve">tabulā. </w:t>
      </w:r>
    </w:p>
    <w:p w14:paraId="66F640F6" w14:textId="77777777" w:rsidR="00D02DAF" w:rsidRPr="00675182" w:rsidRDefault="00D02DAF" w:rsidP="003060C4">
      <w:pPr>
        <w:jc w:val="both"/>
        <w:rPr>
          <w:rFonts w:cstheme="minorHAnsi"/>
          <w:b/>
          <w:szCs w:val="24"/>
        </w:rPr>
      </w:pPr>
    </w:p>
    <w:p w14:paraId="06A03947" w14:textId="77777777" w:rsidR="003060C4" w:rsidRPr="00675182" w:rsidRDefault="003060C4" w:rsidP="003060C4">
      <w:pPr>
        <w:jc w:val="both"/>
        <w:rPr>
          <w:rFonts w:cstheme="minorHAnsi"/>
          <w:b/>
          <w:szCs w:val="24"/>
        </w:rPr>
      </w:pPr>
      <w:r w:rsidRPr="00675182">
        <w:rPr>
          <w:rFonts w:cstheme="minorHAnsi"/>
          <w:b/>
          <w:szCs w:val="24"/>
        </w:rPr>
        <w:t xml:space="preserve">Sociālekonomiskā vērtība </w:t>
      </w:r>
    </w:p>
    <w:p w14:paraId="2457D938" w14:textId="6DA6770A" w:rsidR="00D02DAF" w:rsidRPr="00675182" w:rsidRDefault="00D02DAF" w:rsidP="00D02DAF">
      <w:pPr>
        <w:jc w:val="both"/>
        <w:rPr>
          <w:rFonts w:cstheme="minorHAnsi"/>
          <w:szCs w:val="24"/>
        </w:rPr>
      </w:pPr>
      <w:r w:rsidRPr="00675182">
        <w:rPr>
          <w:rFonts w:cstheme="minorHAnsi"/>
          <w:szCs w:val="24"/>
        </w:rPr>
        <w:t>Praktiski visām GNP teritorijā sastopamajām zīdītāju sugām ir estētiskā un rekreācijas vērtība, gadījumos, kad dzīvnieki var tikt novēroti, piemēram</w:t>
      </w:r>
      <w:r w:rsidR="003C72C6" w:rsidRPr="00675182">
        <w:rPr>
          <w:rFonts w:cstheme="minorHAnsi"/>
          <w:szCs w:val="24"/>
        </w:rPr>
        <w:t>,</w:t>
      </w:r>
      <w:r w:rsidRPr="00675182">
        <w:rPr>
          <w:rFonts w:cstheme="minorHAnsi"/>
          <w:szCs w:val="24"/>
        </w:rPr>
        <w:t xml:space="preserve"> dabas taku un tūrisma objektu tuvumā. Tāpat katrai sugai ir zinātniskā un izglītojošā vērtība.</w:t>
      </w:r>
    </w:p>
    <w:p w14:paraId="7F9CEF0E" w14:textId="77777777" w:rsidR="00D02DAF" w:rsidRPr="00675182" w:rsidRDefault="00D02DAF" w:rsidP="00D02DAF">
      <w:pPr>
        <w:jc w:val="both"/>
        <w:rPr>
          <w:rFonts w:eastAsiaTheme="minorHAnsi" w:cstheme="minorHAnsi"/>
          <w:szCs w:val="24"/>
          <w:lang w:eastAsia="en-US"/>
        </w:rPr>
      </w:pPr>
    </w:p>
    <w:p w14:paraId="5934FF67" w14:textId="61916E3F" w:rsidR="00D02DAF" w:rsidRPr="00675182" w:rsidRDefault="00D02DAF" w:rsidP="00D02DAF">
      <w:pPr>
        <w:jc w:val="both"/>
        <w:rPr>
          <w:rFonts w:eastAsia="Times New Roman" w:cstheme="minorHAnsi"/>
          <w:szCs w:val="24"/>
        </w:rPr>
      </w:pPr>
      <w:r w:rsidRPr="00675182">
        <w:rPr>
          <w:rFonts w:cstheme="minorHAnsi"/>
          <w:szCs w:val="24"/>
        </w:rPr>
        <w:t>Vairākas sugas, galvenokārt pārnadži, kā arī daļa plēsēju sugu ir nozīmīgi medību objekti, kas kalpo kā pārtikas un trofeju resurss, kā arī nodrošina medības kā kultūras tra</w:t>
      </w:r>
      <w:r w:rsidR="003C7421" w:rsidRPr="00675182">
        <w:rPr>
          <w:rFonts w:cstheme="minorHAnsi"/>
          <w:szCs w:val="24"/>
        </w:rPr>
        <w:t>d</w:t>
      </w:r>
      <w:r w:rsidRPr="00675182">
        <w:rPr>
          <w:rFonts w:cstheme="minorHAnsi"/>
          <w:szCs w:val="24"/>
        </w:rPr>
        <w:t xml:space="preserve">īciju. Parka teritorijā medības ir atļautas saskaņā ar GNP IAIN, </w:t>
      </w:r>
      <w:r w:rsidRPr="00675182">
        <w:rPr>
          <w:rFonts w:eastAsia="Times New Roman" w:cstheme="minorHAnsi"/>
          <w:szCs w:val="24"/>
        </w:rPr>
        <w:t xml:space="preserve">Medību likumu un </w:t>
      </w:r>
      <w:r w:rsidRPr="00675182">
        <w:rPr>
          <w:rFonts w:cstheme="minorHAnsi"/>
        </w:rPr>
        <w:t>M</w:t>
      </w:r>
      <w:r w:rsidR="00072BC0">
        <w:rPr>
          <w:rFonts w:cstheme="minorHAnsi"/>
        </w:rPr>
        <w:t xml:space="preserve">inistru kabineta </w:t>
      </w:r>
      <w:r w:rsidRPr="00675182">
        <w:rPr>
          <w:rFonts w:cstheme="minorHAnsi"/>
        </w:rPr>
        <w:t>2014. gada 22. jūlija noteikumiem Nr. 421 „Medību noteikumi”</w:t>
      </w:r>
      <w:r w:rsidRPr="00675182">
        <w:rPr>
          <w:rFonts w:eastAsia="Times New Roman" w:cstheme="minorHAnsi"/>
          <w:szCs w:val="24"/>
        </w:rPr>
        <w:t>.</w:t>
      </w:r>
    </w:p>
    <w:p w14:paraId="0D25825C" w14:textId="77777777" w:rsidR="00D02DAF" w:rsidRPr="00675182" w:rsidRDefault="00D02DAF" w:rsidP="00D02DAF">
      <w:pPr>
        <w:jc w:val="both"/>
        <w:rPr>
          <w:rFonts w:eastAsia="Times New Roman" w:cstheme="minorHAnsi"/>
          <w:szCs w:val="24"/>
        </w:rPr>
      </w:pPr>
    </w:p>
    <w:p w14:paraId="6136E5E3" w14:textId="085176A3" w:rsidR="00D02DAF" w:rsidRPr="00675182" w:rsidRDefault="00D02DAF" w:rsidP="00D02DAF">
      <w:pPr>
        <w:jc w:val="both"/>
        <w:rPr>
          <w:rFonts w:eastAsia="Times New Roman" w:cstheme="minorHAnsi"/>
          <w:szCs w:val="24"/>
        </w:rPr>
      </w:pPr>
      <w:r w:rsidRPr="00675182">
        <w:rPr>
          <w:rFonts w:eastAsia="Times New Roman" w:cstheme="minorHAnsi"/>
          <w:szCs w:val="24"/>
        </w:rPr>
        <w:t xml:space="preserve">Tajā pašā laikā jāņem vērā, ka dažu sugu klātbūtne var radīt apgrūtinājumu gan tuvumā esošajām </w:t>
      </w:r>
      <w:r w:rsidR="003C7421" w:rsidRPr="00675182">
        <w:rPr>
          <w:rFonts w:eastAsia="Times New Roman" w:cstheme="minorHAnsi"/>
          <w:szCs w:val="24"/>
        </w:rPr>
        <w:t>mājsaimniecībām</w:t>
      </w:r>
      <w:r w:rsidRPr="00675182">
        <w:rPr>
          <w:rFonts w:eastAsia="Times New Roman" w:cstheme="minorHAnsi"/>
          <w:szCs w:val="24"/>
        </w:rPr>
        <w:t xml:space="preserve">, gan mežsaimniecībām. Daudzviet </w:t>
      </w:r>
      <w:r w:rsidR="00C35853" w:rsidRPr="00675182">
        <w:rPr>
          <w:rFonts w:eastAsia="Times New Roman" w:cstheme="minorHAnsi"/>
          <w:szCs w:val="24"/>
        </w:rPr>
        <w:t>GNP</w:t>
      </w:r>
      <w:r w:rsidRPr="00675182">
        <w:rPr>
          <w:rFonts w:eastAsia="Times New Roman" w:cstheme="minorHAnsi"/>
          <w:szCs w:val="24"/>
        </w:rPr>
        <w:t xml:space="preserve"> teritoriju veido mozaīkveida ainava, kur dažāda mēroga apdzīvotas vietas, lauku teritorijas mijas ar meža teritorijām, tādā veidā to sadrumstalojot un radot iespēju vairākām zīdītāju sugām biežāk tikt novērotām saimniecību tuvumā. Piemēram, lai gan reti novērots, brūnais lācis var radīt bišu dravu vai kā cita postījumu risku. </w:t>
      </w:r>
    </w:p>
    <w:p w14:paraId="6491FC7E" w14:textId="77777777" w:rsidR="00D02DAF" w:rsidRPr="00675182" w:rsidRDefault="00D02DAF" w:rsidP="00D02DAF">
      <w:pPr>
        <w:jc w:val="both"/>
        <w:rPr>
          <w:rFonts w:eastAsia="Times New Roman" w:cstheme="minorHAnsi"/>
          <w:szCs w:val="24"/>
        </w:rPr>
      </w:pPr>
    </w:p>
    <w:p w14:paraId="121E1CA5" w14:textId="0901D240" w:rsidR="00D02DAF" w:rsidRPr="00675182" w:rsidRDefault="00D02DAF" w:rsidP="00D02DAF">
      <w:pPr>
        <w:jc w:val="both"/>
        <w:rPr>
          <w:rFonts w:eastAsia="Times New Roman" w:cstheme="minorHAnsi"/>
          <w:szCs w:val="24"/>
        </w:rPr>
      </w:pPr>
      <w:r w:rsidRPr="00675182">
        <w:rPr>
          <w:rFonts w:eastAsia="Times New Roman" w:cstheme="minorHAnsi"/>
          <w:szCs w:val="24"/>
        </w:rPr>
        <w:t>Pēc Eirāzijas bebra reintrodukcijas bebru skaits Latvijā, tai skaitā GNP ir strauji palielinājies, dzīvnieki ir pietiekami bieži sastopami dažādās ūdenstilpnēs, līdz ar to spēj būtiski (vairumā gadījumu negatīvi) ietekmēt gan lauku un mežu ainavu, gan citu sugu dzīvotņu kvalitāti.</w:t>
      </w:r>
    </w:p>
    <w:p w14:paraId="485C83FF" w14:textId="20409A37" w:rsidR="00CA4B5F" w:rsidRPr="00675182" w:rsidRDefault="00CA4B5F" w:rsidP="00D02DAF">
      <w:pPr>
        <w:jc w:val="both"/>
        <w:rPr>
          <w:rFonts w:eastAsia="Times New Roman" w:cstheme="minorHAnsi"/>
          <w:szCs w:val="24"/>
        </w:rPr>
      </w:pPr>
    </w:p>
    <w:p w14:paraId="5F50A2A4" w14:textId="3AB4CB47" w:rsidR="00C35853" w:rsidRPr="00675182" w:rsidRDefault="00CA4B5F" w:rsidP="00CA4B5F">
      <w:pPr>
        <w:overflowPunct w:val="0"/>
        <w:autoSpaceDE w:val="0"/>
        <w:autoSpaceDN w:val="0"/>
        <w:adjustRightInd w:val="0"/>
        <w:spacing w:line="240" w:lineRule="atLeast"/>
        <w:jc w:val="both"/>
        <w:rPr>
          <w:rFonts w:cstheme="minorHAnsi"/>
          <w:lang w:eastAsia="en-GB"/>
        </w:rPr>
      </w:pPr>
      <w:r w:rsidRPr="00675182">
        <w:rPr>
          <w:rFonts w:cstheme="minorHAnsi"/>
          <w:lang w:eastAsia="en-GB"/>
        </w:rPr>
        <w:t>Visas Latvijā sastopamās sikspārņu sugas ir kukaiņēdāji. Tie ir neatņemama un obligāta daudzu dabisko un cilvēka pārveidoto ekosistēmu sastāvdaļa, plēsēji, kuri barības ziņā specializējas tieši uz naktī aktīvajiem lidojošiem kukaiņiem. No saimnieciskā viedokļa, lietojot novecojušu utilitāru apzīmējumu, tās tādējādi ir t.s. “derīgās” sugas, kuras ierobežo dažādu kukaiņu skaitu, t.sk. arī lauksaimniecības un mežsaimniecības kaitēkļus un vienkārši cilvēkam nepatīkamas sugas (odus, knišļus). Sikspārņu darbības efektivitāti raksturo apēsto kukaiņu daudzums – barojoties vienas nakts laikā</w:t>
      </w:r>
      <w:r w:rsidR="008D5E93" w:rsidRPr="00675182">
        <w:rPr>
          <w:rFonts w:cstheme="minorHAnsi"/>
          <w:lang w:eastAsia="en-GB"/>
        </w:rPr>
        <w:t>,</w:t>
      </w:r>
      <w:r w:rsidRPr="00675182">
        <w:rPr>
          <w:rFonts w:cstheme="minorHAnsi"/>
          <w:lang w:eastAsia="en-GB"/>
        </w:rPr>
        <w:t xml:space="preserve"> sikspārņi uzņem kukaiņu masu, kura līdzinās apmēram 1/3 paša sikspārņa masai. Tā kā Latvijas sikspārņu svars svārstās no 5 līdz 20 gramiem, var secināt, ka katrs dzīvnieks naktī noķer no 1</w:t>
      </w:r>
      <w:r w:rsidR="008D5E93" w:rsidRPr="00675182">
        <w:rPr>
          <w:rFonts w:cstheme="minorHAnsi"/>
          <w:lang w:eastAsia="en-GB"/>
        </w:rPr>
        <w:t>,</w:t>
      </w:r>
      <w:r w:rsidRPr="00675182">
        <w:rPr>
          <w:rFonts w:cstheme="minorHAnsi"/>
          <w:lang w:eastAsia="en-GB"/>
        </w:rPr>
        <w:t xml:space="preserve">5 – 7 gramiem kukaiņu (vidēji vairumam sugu barības objekti ir apmēram oda lielumā, un vienā naktī katrs sikspārnis noķer ≥400 šādu kukaiņu). Vienā sikspārņu kolonijā atkarībā no sugas ir no desmit līdz vairākiem simtiem dzīvnieku, un šis skaitlis dubultojas, vai, migrējošo sugu gadījumā, kurām dzimst divi mazuļi gadā, trīskāršojas, kad mazuļi iegūst lidotspēju. Tādējādi sikspārņu iznīcināto kukaiņu daudzums ir ievērojams un ar ekonomisku nozīmību. </w:t>
      </w:r>
    </w:p>
    <w:p w14:paraId="42FD57D6" w14:textId="77777777" w:rsidR="00C35853" w:rsidRPr="00675182" w:rsidRDefault="00C35853" w:rsidP="00CA4B5F">
      <w:pPr>
        <w:overflowPunct w:val="0"/>
        <w:autoSpaceDE w:val="0"/>
        <w:autoSpaceDN w:val="0"/>
        <w:adjustRightInd w:val="0"/>
        <w:spacing w:line="240" w:lineRule="atLeast"/>
        <w:jc w:val="both"/>
        <w:rPr>
          <w:rFonts w:cstheme="minorHAnsi"/>
          <w:lang w:eastAsia="en-GB"/>
        </w:rPr>
      </w:pPr>
    </w:p>
    <w:p w14:paraId="7B93E703" w14:textId="6B963AF5" w:rsidR="00CA4B5F" w:rsidRPr="00675182" w:rsidRDefault="00CA4B5F" w:rsidP="00CA4B5F">
      <w:pPr>
        <w:overflowPunct w:val="0"/>
        <w:autoSpaceDE w:val="0"/>
        <w:autoSpaceDN w:val="0"/>
        <w:adjustRightInd w:val="0"/>
        <w:spacing w:line="240" w:lineRule="atLeast"/>
        <w:jc w:val="both"/>
        <w:rPr>
          <w:rFonts w:cstheme="minorHAnsi"/>
          <w:lang w:eastAsia="en-GB"/>
        </w:rPr>
      </w:pPr>
      <w:r w:rsidRPr="00675182">
        <w:rPr>
          <w:rFonts w:cstheme="minorHAnsi"/>
          <w:lang w:eastAsia="en-GB"/>
        </w:rPr>
        <w:t xml:space="preserve">Latvijā nav līdz šim veikti konkrēti aprēķini, kādu ekonomisku labumu cilvēkam dod sikspārņu klātbūtne, taču to varētu izteikt, piemēram, kā ietaupītos līdzekļus, kurus </w:t>
      </w:r>
      <w:r w:rsidRPr="00675182">
        <w:rPr>
          <w:rFonts w:cstheme="minorHAnsi"/>
          <w:lang w:eastAsia="en-GB"/>
        </w:rPr>
        <w:lastRenderedPageBreak/>
        <w:t>citādi būtu jāpielieto insekticīdu pielietošanai. Kaut gan sikspārņu populāciju lielumu ir neiespējami novērtēt bez masveidīgas to vasaras koloniju apzināšanas un uzskaites, ir pamats uzskatīt, ka GNP teritorijā, atkarībā no sezonas, uzturas/barojas no daudziem simtiem līdz, iespējams, vairākiem desmitiem tūkstošu sikspārņu. Sikspārņu skaits īpaši pieaug rudens spietošanas laikā augustā-septembrī, kad pie GNP alām uz spietošanu atlido sikspārņi no plašākas apkārtnes (spriežot pēc gredzenošanas datiem Latvijā un pieejamās literatūras par spietošanu citās valstīs (piem., Parsons &amp; Jones, 2003) – no vismaz 30-40 km rādiusa, kas ietver plašas teritorijas arī ārpus GNP. Tādējādi šo dzīvnieku patērētā kukaiņu biomasa ir ievērojama.</w:t>
      </w:r>
    </w:p>
    <w:p w14:paraId="2E8CBA91" w14:textId="77777777" w:rsidR="00CA4B5F" w:rsidRPr="00675182" w:rsidRDefault="00CA4B5F" w:rsidP="00CA4B5F">
      <w:pPr>
        <w:overflowPunct w:val="0"/>
        <w:autoSpaceDE w:val="0"/>
        <w:autoSpaceDN w:val="0"/>
        <w:adjustRightInd w:val="0"/>
        <w:spacing w:line="240" w:lineRule="atLeast"/>
        <w:jc w:val="both"/>
        <w:rPr>
          <w:rFonts w:cstheme="minorHAnsi"/>
          <w:bCs/>
          <w:lang w:eastAsia="en-GB"/>
        </w:rPr>
      </w:pPr>
    </w:p>
    <w:p w14:paraId="74125D17" w14:textId="7D60ACA8" w:rsidR="00CA4B5F" w:rsidRPr="00675182" w:rsidRDefault="00CA4B5F" w:rsidP="00CA4B5F">
      <w:pPr>
        <w:overflowPunct w:val="0"/>
        <w:autoSpaceDE w:val="0"/>
        <w:autoSpaceDN w:val="0"/>
        <w:adjustRightInd w:val="0"/>
        <w:spacing w:line="240" w:lineRule="atLeast"/>
        <w:jc w:val="both"/>
        <w:rPr>
          <w:rFonts w:cstheme="minorHAnsi"/>
          <w:lang w:eastAsia="en-GB"/>
        </w:rPr>
      </w:pPr>
      <w:r w:rsidRPr="00675182">
        <w:rPr>
          <w:rFonts w:cstheme="minorHAnsi"/>
          <w:lang w:eastAsia="en-GB"/>
        </w:rPr>
        <w:t>Daļa sikspārņu sugu apmetas cilvēku dzīvojamās u.c. ēkās un atsevišķos gadījumos rada zināmas neērtības iedzīvotājiem (troksnis, ar ekskrementiem iezīmētas ēkas sienas un logi u.tml.). Katrs šāds gadījums jāizvērtē individuāli, ņemot vērā konkrētās sikspārņu sugas retumu un aizsardzības statusu, reāli nodarīto neērtību apjomu, iespējām šīs neērtības novērst sikspārņiem draudzīgā veidā, un sikspārņu klātbūtnes labvēlīgo efektu (</w:t>
      </w:r>
      <w:r w:rsidR="006A5BE3">
        <w:rPr>
          <w:rFonts w:cstheme="minorHAnsi"/>
          <w:lang w:eastAsia="en-GB"/>
        </w:rPr>
        <w:t>EP</w:t>
      </w:r>
      <w:r w:rsidRPr="00675182">
        <w:rPr>
          <w:rFonts w:cstheme="minorHAnsi"/>
          <w:lang w:eastAsia="en-GB"/>
        </w:rPr>
        <w:t>) uz iedzīvotājiem, kuru cilvēki parasti šādos gadījumos neapzinās.</w:t>
      </w:r>
    </w:p>
    <w:p w14:paraId="4DEBE4FB" w14:textId="77777777" w:rsidR="00CA4B5F" w:rsidRPr="00675182" w:rsidRDefault="00CA4B5F" w:rsidP="00CA4B5F">
      <w:pPr>
        <w:overflowPunct w:val="0"/>
        <w:autoSpaceDE w:val="0"/>
        <w:autoSpaceDN w:val="0"/>
        <w:adjustRightInd w:val="0"/>
        <w:spacing w:line="240" w:lineRule="atLeast"/>
        <w:jc w:val="both"/>
        <w:rPr>
          <w:rFonts w:cstheme="minorHAnsi"/>
          <w:bCs/>
          <w:lang w:eastAsia="en-GB"/>
        </w:rPr>
      </w:pPr>
    </w:p>
    <w:p w14:paraId="7F8A370F" w14:textId="1730C929" w:rsidR="00CA4B5F" w:rsidRPr="00675182" w:rsidRDefault="00CA4B5F" w:rsidP="00CA4B5F">
      <w:pPr>
        <w:overflowPunct w:val="0"/>
        <w:autoSpaceDE w:val="0"/>
        <w:autoSpaceDN w:val="0"/>
        <w:adjustRightInd w:val="0"/>
        <w:spacing w:line="240" w:lineRule="atLeast"/>
        <w:jc w:val="both"/>
        <w:rPr>
          <w:rFonts w:cstheme="minorHAnsi"/>
          <w:bCs/>
          <w:lang w:eastAsia="en-GB"/>
        </w:rPr>
      </w:pPr>
      <w:r w:rsidRPr="00675182">
        <w:rPr>
          <w:rFonts w:cstheme="minorHAnsi"/>
          <w:lang w:eastAsia="en-GB"/>
        </w:rPr>
        <w:t>Sikspārņu vērošana var tikt izmantota kā ienākumu avots ekotūrisma nozarē, organizējot sikspārņu vērošanas ekskursijas un pasākumus vietās, kur tas netraucē pašus dzīvniekus, piemēram, vasarā novērojot sikspārņus ar ultraskaņas detektoriem barošanās vietās mežos un pie ūdeņiem, kā arī vērojot sikspārņu izlidošanu no kolonijām ēkās vasaras vakaros. Līdz šim Latvijā organizētie sikspārņu vērošanas pasākumi (Sikspārņu naktis Ķemeru Nacionālajā parkā un citi) vienmēr ir piesaistījuši cilvēku interesi un tiem ir bijis augsts apmeklējums. Šādu pasākumu un ekskursiju rīkošana, kurus vadītu apmācīti gidi, būtu vēlami arī no vides izglītības un sikspārņu aizsardzības popularizēšanas viedokļa.</w:t>
      </w:r>
    </w:p>
    <w:p w14:paraId="6D855ECA" w14:textId="77777777" w:rsidR="00D02DAF" w:rsidRPr="00675182" w:rsidRDefault="00D02DAF" w:rsidP="00D02DAF">
      <w:pPr>
        <w:jc w:val="both"/>
        <w:rPr>
          <w:rFonts w:eastAsia="Times New Roman" w:cstheme="minorHAnsi"/>
          <w:szCs w:val="24"/>
        </w:rPr>
      </w:pPr>
    </w:p>
    <w:p w14:paraId="2229799B" w14:textId="77777777" w:rsidR="003060C4" w:rsidRPr="00675182" w:rsidRDefault="003060C4" w:rsidP="003060C4">
      <w:pPr>
        <w:jc w:val="both"/>
        <w:rPr>
          <w:rFonts w:cstheme="minorHAnsi"/>
          <w:b/>
          <w:szCs w:val="24"/>
        </w:rPr>
      </w:pPr>
      <w:r w:rsidRPr="00675182">
        <w:rPr>
          <w:rFonts w:cstheme="minorHAnsi"/>
          <w:b/>
          <w:szCs w:val="24"/>
        </w:rPr>
        <w:t>Ietekmējošie faktori</w:t>
      </w:r>
    </w:p>
    <w:p w14:paraId="1C0BE5D2" w14:textId="362748F5" w:rsidR="00E52F50" w:rsidRPr="00675182" w:rsidRDefault="00E52F50" w:rsidP="00E52F50">
      <w:pPr>
        <w:jc w:val="both"/>
        <w:rPr>
          <w:rFonts w:eastAsia="Times New Roman" w:cstheme="minorHAnsi"/>
          <w:szCs w:val="24"/>
        </w:rPr>
      </w:pPr>
      <w:r w:rsidRPr="00675182">
        <w:rPr>
          <w:rFonts w:eastAsia="Times New Roman" w:cstheme="minorHAnsi"/>
          <w:szCs w:val="24"/>
        </w:rPr>
        <w:t xml:space="preserve">GNP teritorijā sastopamajām zīdītāju sugām daudz būtisku apdraudošo faktoru nav. </w:t>
      </w:r>
      <w:bookmarkStart w:id="88" w:name="_Hlk98431653"/>
      <w:r w:rsidRPr="00675182">
        <w:rPr>
          <w:rFonts w:eastAsia="Times New Roman" w:cstheme="minorHAnsi"/>
          <w:szCs w:val="24"/>
        </w:rPr>
        <w:t xml:space="preserve">Kā vienu no iespējamajiem apdraudējumiem var minēt ceļu tīklu, kur iespējama tieša dzīvnieku bojāeja sadursmēs ar transportlīdzekļiem. Daļā parka teritorijas šis tīkls ir pietiekami blīvs, kā arī jāmin, ka parks robežojas ar valsts un Eiropas mēroga šosejām. </w:t>
      </w:r>
      <w:bookmarkEnd w:id="88"/>
      <w:r w:rsidRPr="00675182">
        <w:rPr>
          <w:rFonts w:eastAsia="Times New Roman" w:cstheme="minorHAnsi"/>
          <w:szCs w:val="24"/>
        </w:rPr>
        <w:t>Tāpat ir vietas, kur ceļu tīkls nav pārāk blīvs, un satiksme uz esošajiem ceļiem nav tik intensīva, lai veicinātu dzīvnieku bojāeju.</w:t>
      </w:r>
    </w:p>
    <w:p w14:paraId="1C26BF37" w14:textId="77777777" w:rsidR="00CA4B5F" w:rsidRPr="00675182" w:rsidRDefault="00CA4B5F" w:rsidP="00E52F50">
      <w:pPr>
        <w:jc w:val="both"/>
        <w:rPr>
          <w:rFonts w:eastAsia="Times New Roman" w:cstheme="minorHAnsi"/>
          <w:szCs w:val="24"/>
          <w:lang w:eastAsia="en-US"/>
        </w:rPr>
      </w:pPr>
    </w:p>
    <w:p w14:paraId="0F7C5FD7" w14:textId="03010AA4" w:rsidR="00E52F50" w:rsidRPr="00675182" w:rsidRDefault="00E52F50" w:rsidP="00E52F50">
      <w:pPr>
        <w:jc w:val="both"/>
        <w:rPr>
          <w:rFonts w:cstheme="minorHAnsi"/>
          <w:szCs w:val="24"/>
        </w:rPr>
      </w:pPr>
      <w:r w:rsidRPr="00675182">
        <w:rPr>
          <w:rFonts w:eastAsia="Times New Roman" w:cstheme="minorHAnsi"/>
          <w:szCs w:val="24"/>
        </w:rPr>
        <w:t>Kā tiešu ietekmējošu faktoru var minēt medības, tomēr būtisku negatīvu ietekmi tās nerada. Ja medības tiek rīkotas atbilstoši medību noteikumiem, tās galvenokārt veic dzīvnieku skaita regulējošu funkciju. Piesardzību ieteicams ievērot gadījumos, ja notiek bebru medības izmantojot slazdus, kuros var iet bojā arī ūdri. Līdz šim</w:t>
      </w:r>
      <w:r w:rsidRPr="00675182">
        <w:rPr>
          <w:rFonts w:cstheme="minorHAnsi"/>
          <w:szCs w:val="24"/>
        </w:rPr>
        <w:t xml:space="preserve"> galvenais zināmais ūdru mirstības faktors ir nejauša nogalināšana bebru medībās (Ozoliņš et al., 2018).</w:t>
      </w:r>
      <w:r w:rsidR="007F2A34" w:rsidRPr="00675182">
        <w:rPr>
          <w:rFonts w:cstheme="minorHAnsi"/>
          <w:szCs w:val="24"/>
        </w:rPr>
        <w:t xml:space="preserve"> </w:t>
      </w:r>
      <w:r w:rsidR="007F2A34" w:rsidRPr="00675182">
        <w:rPr>
          <w:rFonts w:cstheme="minorHAnsi"/>
          <w:color w:val="000000" w:themeColor="text1"/>
          <w:szCs w:val="24"/>
        </w:rPr>
        <w:t xml:space="preserve">Netiešā veidā ūdru populāciju nelabvēlīgi var ietekmēt to dzīvotnes kvalitātes pasliktināšanās, ko parasti sekmē invazīvo sugu klātbūtne (Amerikas ūdele) un vizuāli redzams </w:t>
      </w:r>
      <w:r w:rsidR="009874AD" w:rsidRPr="00675182">
        <w:rPr>
          <w:rFonts w:cstheme="minorHAnsi"/>
          <w:color w:val="000000" w:themeColor="text1"/>
          <w:szCs w:val="24"/>
        </w:rPr>
        <w:t>antropogēnais</w:t>
      </w:r>
      <w:r w:rsidR="007F2A34" w:rsidRPr="00675182">
        <w:rPr>
          <w:rFonts w:cstheme="minorHAnsi"/>
          <w:color w:val="000000" w:themeColor="text1"/>
          <w:szCs w:val="24"/>
        </w:rPr>
        <w:t xml:space="preserve"> piesārņojums (Ozoliņš </w:t>
      </w:r>
      <w:r w:rsidR="007F2A34" w:rsidRPr="00675182">
        <w:rPr>
          <w:rFonts w:cstheme="minorHAnsi"/>
          <w:i/>
          <w:iCs/>
          <w:color w:val="000000" w:themeColor="text1"/>
          <w:szCs w:val="24"/>
        </w:rPr>
        <w:t>et al</w:t>
      </w:r>
      <w:r w:rsidR="007F2A34" w:rsidRPr="00675182">
        <w:rPr>
          <w:rFonts w:cstheme="minorHAnsi"/>
          <w:color w:val="000000" w:themeColor="text1"/>
          <w:szCs w:val="24"/>
        </w:rPr>
        <w:t>. 2021).</w:t>
      </w:r>
    </w:p>
    <w:p w14:paraId="6BD99C32" w14:textId="77777777" w:rsidR="00C35853" w:rsidRPr="00675182" w:rsidRDefault="00C35853" w:rsidP="00E52F50">
      <w:pPr>
        <w:jc w:val="both"/>
        <w:rPr>
          <w:rFonts w:cstheme="minorHAnsi"/>
          <w:szCs w:val="24"/>
        </w:rPr>
      </w:pPr>
    </w:p>
    <w:p w14:paraId="4C44F4C1" w14:textId="75BD9AB8" w:rsidR="002A54C2" w:rsidRPr="00675182" w:rsidRDefault="002A54C2" w:rsidP="00C35853">
      <w:pPr>
        <w:overflowPunct w:val="0"/>
        <w:autoSpaceDE w:val="0"/>
        <w:autoSpaceDN w:val="0"/>
        <w:adjustRightInd w:val="0"/>
        <w:spacing w:line="240" w:lineRule="atLeast"/>
        <w:jc w:val="both"/>
        <w:rPr>
          <w:rFonts w:cstheme="minorHAnsi"/>
          <w:bCs/>
          <w:lang w:eastAsia="en-GB"/>
        </w:rPr>
      </w:pPr>
      <w:r w:rsidRPr="00675182">
        <w:rPr>
          <w:rFonts w:cstheme="minorHAnsi"/>
          <w:lang w:eastAsia="en-GB"/>
        </w:rPr>
        <w:t xml:space="preserve">Galvenās faktoru grupas, kuras ir potenciāli aktuālas sikspārņiem, ir 1) faktori, kuri ietekmē sikspārņu mītnes (ziemas un vasaras) un 2) faktori, kuri ietekmē barošanās biotopus. Trešā lielā faktoru grupa, kura parasti tiek pieminēta saistībā ar sikspārņiem, </w:t>
      </w:r>
      <w:r w:rsidRPr="00675182">
        <w:rPr>
          <w:rFonts w:cstheme="minorHAnsi"/>
          <w:lang w:eastAsia="en-GB"/>
        </w:rPr>
        <w:lastRenderedPageBreak/>
        <w:t xml:space="preserve">ir faktori, kas ietekmē to migrāciju ceļus, kas </w:t>
      </w:r>
      <w:r w:rsidR="009C04BC" w:rsidRPr="00675182">
        <w:rPr>
          <w:rFonts w:cstheme="minorHAnsi"/>
          <w:lang w:eastAsia="en-GB"/>
        </w:rPr>
        <w:t>GNP</w:t>
      </w:r>
      <w:r w:rsidRPr="00675182">
        <w:rPr>
          <w:rFonts w:cstheme="minorHAnsi"/>
          <w:lang w:eastAsia="en-GB"/>
        </w:rPr>
        <w:t xml:space="preserve"> gadījumā, iespējams, ir mazāk nozīmīga, jo šajā teritorijā pagaidām nav zināmas nozīmīgas sezonālo sikspārņu migrāciju trases. Tomēr jāņem vērā, ka sikspārņi kā migrāciju ceļus var izmantot arī lielās upes, un jebkurā gadījumā var izmantot kukaiņiem bagātus ūdeņu biotopus kā barošanās vietas migrācijas laikā.</w:t>
      </w:r>
    </w:p>
    <w:p w14:paraId="0C6E5D38" w14:textId="77777777" w:rsidR="002A54C2" w:rsidRPr="00675182" w:rsidRDefault="002A54C2" w:rsidP="002A54C2">
      <w:pPr>
        <w:overflowPunct w:val="0"/>
        <w:autoSpaceDE w:val="0"/>
        <w:autoSpaceDN w:val="0"/>
        <w:adjustRightInd w:val="0"/>
        <w:spacing w:line="240" w:lineRule="atLeast"/>
        <w:ind w:firstLine="720"/>
        <w:jc w:val="both"/>
        <w:rPr>
          <w:rFonts w:cstheme="minorHAnsi"/>
          <w:bCs/>
          <w:lang w:eastAsia="en-GB"/>
        </w:rPr>
      </w:pPr>
    </w:p>
    <w:p w14:paraId="00FADD4D" w14:textId="77777777" w:rsidR="002A54C2" w:rsidRPr="00675182" w:rsidRDefault="002A54C2" w:rsidP="002A54C2">
      <w:pPr>
        <w:keepNext/>
        <w:keepLines/>
        <w:suppressAutoHyphens w:val="0"/>
        <w:jc w:val="both"/>
        <w:rPr>
          <w:rFonts w:cstheme="minorHAnsi"/>
        </w:rPr>
      </w:pPr>
      <w:bookmarkStart w:id="89" w:name="_Hlk98431603"/>
      <w:r w:rsidRPr="00675182">
        <w:rPr>
          <w:rFonts w:cstheme="minorHAnsi"/>
          <w:i/>
          <w:iCs/>
          <w:u w:val="single"/>
        </w:rPr>
        <w:t>Faktori, kuri ietekmē sikspārņu mītnes</w:t>
      </w:r>
      <w:r w:rsidRPr="00675182">
        <w:rPr>
          <w:rFonts w:cstheme="minorHAnsi"/>
        </w:rPr>
        <w:t>:</w:t>
      </w:r>
    </w:p>
    <w:p w14:paraId="3308900A" w14:textId="245565C5" w:rsidR="002A54C2" w:rsidRPr="00675182" w:rsidRDefault="002A54C2" w:rsidP="00A84218">
      <w:pPr>
        <w:pStyle w:val="ListParagraph"/>
        <w:keepNext/>
        <w:keepLines/>
        <w:numPr>
          <w:ilvl w:val="1"/>
          <w:numId w:val="13"/>
        </w:numPr>
        <w:tabs>
          <w:tab w:val="clear" w:pos="1440"/>
          <w:tab w:val="num" w:pos="1134"/>
        </w:tabs>
        <w:suppressAutoHyphens w:val="0"/>
        <w:ind w:left="851" w:hanging="357"/>
        <w:contextualSpacing/>
        <w:jc w:val="both"/>
        <w:rPr>
          <w:rFonts w:cstheme="minorHAnsi"/>
        </w:rPr>
      </w:pPr>
      <w:r w:rsidRPr="00675182">
        <w:rPr>
          <w:rFonts w:cstheme="minorHAnsi"/>
        </w:rPr>
        <w:t>mežsaimnieciskā darbība, vai koku ciršana nemeža zemēs, kuras rezultātā var iet bojā sikspārņiem piemēroti koki ar dobumiem, plaisām vai atlupušu mizu;</w:t>
      </w:r>
    </w:p>
    <w:p w14:paraId="6A8AAAE5" w14:textId="337202BD" w:rsidR="002A54C2" w:rsidRPr="00675182" w:rsidRDefault="002A54C2" w:rsidP="00A84218">
      <w:pPr>
        <w:numPr>
          <w:ilvl w:val="1"/>
          <w:numId w:val="13"/>
        </w:numPr>
        <w:tabs>
          <w:tab w:val="clear" w:pos="1440"/>
          <w:tab w:val="num" w:pos="1134"/>
        </w:tabs>
        <w:suppressAutoHyphens w:val="0"/>
        <w:ind w:left="851"/>
        <w:jc w:val="both"/>
        <w:rPr>
          <w:rFonts w:cstheme="minorHAnsi"/>
        </w:rPr>
      </w:pPr>
      <w:r w:rsidRPr="00675182">
        <w:rPr>
          <w:rFonts w:cstheme="minorHAnsi"/>
        </w:rPr>
        <w:t>parku un stādījumu pārmērīga izkopšana, izzāģējot kalstošos kokus vai to daļas arī vietās, kur tas neapdraud parka apmeklētājus;</w:t>
      </w:r>
    </w:p>
    <w:p w14:paraId="64CB01AC" w14:textId="7DEA1221" w:rsidR="002A54C2" w:rsidRPr="00675182" w:rsidRDefault="002A54C2" w:rsidP="00A84218">
      <w:pPr>
        <w:numPr>
          <w:ilvl w:val="1"/>
          <w:numId w:val="13"/>
        </w:numPr>
        <w:tabs>
          <w:tab w:val="clear" w:pos="1440"/>
          <w:tab w:val="num" w:pos="1134"/>
        </w:tabs>
        <w:suppressAutoHyphens w:val="0"/>
        <w:ind w:left="851"/>
        <w:jc w:val="both"/>
        <w:rPr>
          <w:rFonts w:cstheme="minorHAnsi"/>
        </w:rPr>
      </w:pPr>
      <w:r w:rsidRPr="00675182">
        <w:rPr>
          <w:rFonts w:cstheme="minorHAnsi"/>
        </w:rPr>
        <w:t>sikspārņiem nedraudzīgā veidā un laikā (maijā - jūlijā, izmantojot dzīvniekiem kaitīgu ķīmisko apstrādi un materiālus) veikts ēku remonts ēkās, kuras kā mītnes izmanto sikspārņi;</w:t>
      </w:r>
    </w:p>
    <w:p w14:paraId="5B0C09FC" w14:textId="4DBE56AE" w:rsidR="002A54C2" w:rsidRPr="00675182" w:rsidRDefault="002A54C2" w:rsidP="00A84218">
      <w:pPr>
        <w:numPr>
          <w:ilvl w:val="1"/>
          <w:numId w:val="13"/>
        </w:numPr>
        <w:tabs>
          <w:tab w:val="clear" w:pos="1440"/>
          <w:tab w:val="num" w:pos="1134"/>
        </w:tabs>
        <w:suppressAutoHyphens w:val="0"/>
        <w:ind w:left="851"/>
        <w:jc w:val="both"/>
        <w:rPr>
          <w:rFonts w:cstheme="minorHAnsi"/>
        </w:rPr>
      </w:pPr>
      <w:r w:rsidRPr="00675182">
        <w:rPr>
          <w:rFonts w:cstheme="minorHAnsi"/>
        </w:rPr>
        <w:t xml:space="preserve">sikspārņu apdzīvoto ēku apgaismošana. Vairums sikspārņu sugu pret apgaismojumu ir ļoti jutīgas (un neviena suga nav pilnīgi toleranta pret ēku apgaismošanu) un šādas ēkas pamet, vai arī ievērojami sarūk koloniju izmēri (Rydell et al. 2017, Voigt et al., 2018). </w:t>
      </w:r>
      <w:r w:rsidR="009C04BC" w:rsidRPr="00675182">
        <w:rPr>
          <w:rFonts w:cstheme="minorHAnsi"/>
        </w:rPr>
        <w:t>GNP</w:t>
      </w:r>
      <w:r w:rsidRPr="00675182">
        <w:rPr>
          <w:rFonts w:cstheme="minorHAnsi"/>
        </w:rPr>
        <w:t xml:space="preserve"> gan pagaidām nav izteiktu negatīvo piemēru zināmo sikspārņu koloniju gadījumā, tomēr tendence apgaismot ēkas un to pagalmus pieaug visā Latvijā;</w:t>
      </w:r>
    </w:p>
    <w:p w14:paraId="77E7F4F7" w14:textId="337790E9" w:rsidR="002A54C2" w:rsidRPr="00675182" w:rsidRDefault="002A54C2" w:rsidP="00A84218">
      <w:pPr>
        <w:numPr>
          <w:ilvl w:val="1"/>
          <w:numId w:val="13"/>
        </w:numPr>
        <w:tabs>
          <w:tab w:val="clear" w:pos="1440"/>
          <w:tab w:val="num" w:pos="1134"/>
        </w:tabs>
        <w:suppressAutoHyphens w:val="0"/>
        <w:ind w:left="851"/>
        <w:jc w:val="both"/>
        <w:rPr>
          <w:rFonts w:cstheme="minorHAnsi"/>
        </w:rPr>
      </w:pPr>
      <w:r w:rsidRPr="00675182">
        <w:rPr>
          <w:rFonts w:cstheme="minorHAnsi"/>
        </w:rPr>
        <w:t>traucējumi un/vai apzināta sikspārņu iznīdēšana vasaras un ziemas mītnēs. Vasaras mītnēs GNP pagaidām nav šādu problēmu, bet GNP specifika ir alas, kurās pārziemo ievērojams skaits sikspārņu. Alu apmeklējums ziemas laikā pieaug katru sezonu, īpaši pēdējās bez-sniega ziemās, kas atvieglo iespēju tūristiem pie alām nokļūt. Vairākās alās novērojama būtiska cilvēku apmeklējuma traucējuma radītā ietekme un sikspārņu skaita samazināšanās vai retāko un pret traucējumiem jutīgāko sugu izzušana. Apmeklējuma un apsaimniekošanas veida negatīva ietekme novērojama arī ziemošanas vietā Cēsu pilsdrupu pagrabos (Ziemojošo sikspārņu monitoringa 1992. – 2020. dati);</w:t>
      </w:r>
    </w:p>
    <w:p w14:paraId="18ADA191" w14:textId="00DB09BF" w:rsidR="002A54C2" w:rsidRPr="00675182" w:rsidRDefault="002A54C2" w:rsidP="00A84218">
      <w:pPr>
        <w:numPr>
          <w:ilvl w:val="1"/>
          <w:numId w:val="13"/>
        </w:numPr>
        <w:tabs>
          <w:tab w:val="clear" w:pos="1440"/>
          <w:tab w:val="num" w:pos="1134"/>
        </w:tabs>
        <w:suppressAutoHyphens w:val="0"/>
        <w:ind w:left="851"/>
        <w:jc w:val="both"/>
        <w:rPr>
          <w:rFonts w:cstheme="minorHAnsi"/>
        </w:rPr>
      </w:pPr>
      <w:r w:rsidRPr="00675182">
        <w:rPr>
          <w:rFonts w:cstheme="minorHAnsi"/>
        </w:rPr>
        <w:t>pagrabu pamešana vai pārbūve, tiem kļūstot nepiemērotiem sikspārņu ziemošanai. Īpaši būtiski mazo piemājas pagrabu gadījumā, kur pārziemo lielākā daļa Latvijas brūnā garausaiņa un ziemeļu sikspārņa populācijas.</w:t>
      </w:r>
    </w:p>
    <w:p w14:paraId="6D27118E" w14:textId="77777777" w:rsidR="002A54C2" w:rsidRPr="00675182" w:rsidRDefault="002A54C2" w:rsidP="002A54C2">
      <w:pPr>
        <w:suppressAutoHyphens w:val="0"/>
        <w:jc w:val="both"/>
        <w:rPr>
          <w:rFonts w:cstheme="minorHAnsi"/>
        </w:rPr>
      </w:pPr>
    </w:p>
    <w:p w14:paraId="581BF8A3" w14:textId="6FEEAAA1" w:rsidR="002A54C2" w:rsidRPr="00675182" w:rsidRDefault="002A54C2" w:rsidP="002A54C2">
      <w:pPr>
        <w:suppressAutoHyphens w:val="0"/>
        <w:jc w:val="both"/>
        <w:rPr>
          <w:rFonts w:cstheme="minorHAnsi"/>
        </w:rPr>
      </w:pPr>
      <w:r w:rsidRPr="00675182">
        <w:rPr>
          <w:rFonts w:cstheme="minorHAnsi"/>
          <w:i/>
          <w:iCs/>
          <w:u w:val="single"/>
        </w:rPr>
        <w:t xml:space="preserve">Faktori, kuri ietekmē </w:t>
      </w:r>
      <w:r w:rsidR="00AF2543" w:rsidRPr="00675182">
        <w:rPr>
          <w:rFonts w:cstheme="minorHAnsi"/>
          <w:i/>
          <w:iCs/>
          <w:u w:val="single"/>
        </w:rPr>
        <w:t xml:space="preserve">sikspārņu </w:t>
      </w:r>
      <w:r w:rsidRPr="00675182">
        <w:rPr>
          <w:rFonts w:cstheme="minorHAnsi"/>
          <w:i/>
          <w:iCs/>
          <w:u w:val="single"/>
        </w:rPr>
        <w:t>barošanās biotopus</w:t>
      </w:r>
      <w:r w:rsidRPr="00675182">
        <w:rPr>
          <w:rFonts w:cstheme="minorHAnsi"/>
        </w:rPr>
        <w:t>:</w:t>
      </w:r>
    </w:p>
    <w:p w14:paraId="441E7190" w14:textId="5BB95ACF" w:rsidR="002A54C2" w:rsidRPr="00675182" w:rsidRDefault="002A54C2" w:rsidP="00A84218">
      <w:pPr>
        <w:numPr>
          <w:ilvl w:val="0"/>
          <w:numId w:val="14"/>
        </w:numPr>
        <w:tabs>
          <w:tab w:val="clear" w:pos="1440"/>
        </w:tabs>
        <w:suppressAutoHyphens w:val="0"/>
        <w:ind w:left="851"/>
        <w:jc w:val="both"/>
        <w:rPr>
          <w:rFonts w:cstheme="minorHAnsi"/>
        </w:rPr>
      </w:pPr>
      <w:r w:rsidRPr="00675182">
        <w:rPr>
          <w:rFonts w:cstheme="minorHAnsi"/>
        </w:rPr>
        <w:t>mežsaimnieciskā darbība, kura var būt ar dažādu efektu dažādām sugām, atkarībā no to ekoloģiskajām prasībām pret meža vidi. Sugas, kuras galvenokārt barojas atklātā telpā no meža ciršanas reizēm necieš, ja netiek iznīcinātas arī to mītnes. Savukārt izmēros mazākajām vai biezokņos dzīvojošām sugām pārrāvumi mežaudzēs var izrādīties barošanās vietu kvalitāti samazinoši;</w:t>
      </w:r>
    </w:p>
    <w:p w14:paraId="5EF76DD0" w14:textId="18EC1D05" w:rsidR="002A54C2" w:rsidRPr="00675182" w:rsidRDefault="002A54C2" w:rsidP="00A84218">
      <w:pPr>
        <w:numPr>
          <w:ilvl w:val="0"/>
          <w:numId w:val="14"/>
        </w:numPr>
        <w:tabs>
          <w:tab w:val="clear" w:pos="1440"/>
          <w:tab w:val="num" w:pos="1276"/>
        </w:tabs>
        <w:suppressAutoHyphens w:val="0"/>
        <w:ind w:left="851"/>
        <w:jc w:val="both"/>
        <w:rPr>
          <w:rFonts w:cstheme="minorHAnsi"/>
        </w:rPr>
      </w:pPr>
      <w:r w:rsidRPr="00675182">
        <w:rPr>
          <w:rFonts w:cstheme="minorHAnsi"/>
        </w:rPr>
        <w:t>bebraiņu nosusināšana</w:t>
      </w:r>
      <w:r w:rsidR="003C72C6" w:rsidRPr="00675182">
        <w:rPr>
          <w:rFonts w:cstheme="minorHAnsi"/>
        </w:rPr>
        <w:t>, jo b</w:t>
      </w:r>
      <w:r w:rsidRPr="00675182">
        <w:rPr>
          <w:rFonts w:cstheme="minorHAnsi"/>
        </w:rPr>
        <w:t>ebru radītās mitraines (īpaši lielās un ilggadīgās) ir labi sikspārņu barošanās biotopi. To nosusināšana samazina sikspārņiem barības bāzi un potenciālo barošanās vietu skaitu;</w:t>
      </w:r>
    </w:p>
    <w:p w14:paraId="553CAFDC" w14:textId="59B6CE1C" w:rsidR="002A54C2" w:rsidRPr="00675182" w:rsidRDefault="002A54C2" w:rsidP="00A84218">
      <w:pPr>
        <w:numPr>
          <w:ilvl w:val="0"/>
          <w:numId w:val="14"/>
        </w:numPr>
        <w:tabs>
          <w:tab w:val="clear" w:pos="1440"/>
          <w:tab w:val="num" w:pos="1276"/>
        </w:tabs>
        <w:suppressAutoHyphens w:val="0"/>
        <w:ind w:left="851"/>
        <w:jc w:val="both"/>
        <w:rPr>
          <w:rFonts w:cstheme="minorHAnsi"/>
        </w:rPr>
      </w:pPr>
      <w:r w:rsidRPr="00675182">
        <w:rPr>
          <w:rFonts w:cstheme="minorHAnsi"/>
        </w:rPr>
        <w:t>parku un stādījumu pārāk rūpīga pļaušana līdz “mauriņa” līmenim visā parkā, neatstājot nepļautas zāles joslas vai zonas, kur var vairoties sikspārņiem nepieciešamie kukaiņi;</w:t>
      </w:r>
    </w:p>
    <w:p w14:paraId="143368F6" w14:textId="3A90FD10" w:rsidR="002A54C2" w:rsidRPr="00675182" w:rsidRDefault="002A54C2" w:rsidP="00A84218">
      <w:pPr>
        <w:numPr>
          <w:ilvl w:val="0"/>
          <w:numId w:val="14"/>
        </w:numPr>
        <w:tabs>
          <w:tab w:val="clear" w:pos="1440"/>
          <w:tab w:val="num" w:pos="1276"/>
        </w:tabs>
        <w:suppressAutoHyphens w:val="0"/>
        <w:ind w:left="851"/>
        <w:jc w:val="both"/>
        <w:rPr>
          <w:rFonts w:cstheme="minorHAnsi"/>
        </w:rPr>
      </w:pPr>
      <w:r w:rsidRPr="00675182">
        <w:rPr>
          <w:rFonts w:cstheme="minorHAnsi"/>
        </w:rPr>
        <w:lastRenderedPageBreak/>
        <w:t>ūdeņu eitrofikācija un aizaugšana, kuru galvenokārt rada lauksaimniecības u.tml. piesārņojums. Tā rezultātā, sasniedzot noteiktu piesārņojuma līmeni, atsevišķām sugām ūdenstilpe vairs var nebūt izmantojama, gan fizisku iemeslu, kā aizaugšana dēļ, gan izmainoties barības bāzei. Šis faktors vairāk attiecināms uz GNP ezeriem, mazāk uz centrālo barošanās vietu – Gauju;</w:t>
      </w:r>
    </w:p>
    <w:p w14:paraId="134E5746" w14:textId="33A50B40" w:rsidR="002A54C2" w:rsidRPr="00675182" w:rsidRDefault="002A54C2" w:rsidP="00A84218">
      <w:pPr>
        <w:numPr>
          <w:ilvl w:val="0"/>
          <w:numId w:val="14"/>
        </w:numPr>
        <w:tabs>
          <w:tab w:val="clear" w:pos="1440"/>
          <w:tab w:val="num" w:pos="1276"/>
        </w:tabs>
        <w:suppressAutoHyphens w:val="0"/>
        <w:ind w:left="851"/>
        <w:jc w:val="both"/>
        <w:rPr>
          <w:rFonts w:cstheme="minorHAnsi"/>
        </w:rPr>
      </w:pPr>
      <w:r w:rsidRPr="00675182">
        <w:rPr>
          <w:rFonts w:cstheme="minorHAnsi"/>
        </w:rPr>
        <w:t xml:space="preserve"> </w:t>
      </w:r>
      <w:r w:rsidR="002E39A0" w:rsidRPr="00675182">
        <w:rPr>
          <w:rFonts w:cstheme="minorHAnsi"/>
        </w:rPr>
        <w:t>g</w:t>
      </w:r>
      <w:r w:rsidRPr="00675182">
        <w:rPr>
          <w:rFonts w:cstheme="minorHAnsi"/>
        </w:rPr>
        <w:t xml:space="preserve">aismas piesārņojuma ietekme. Gaismas piesārņojums barošanās vietās atstāj dažāda veida ietekmi uz sikspārņiem – pirmkārt, kā tiešs traucējums, kas rada biotopu fragmentāciju (apgaismotā daļa kļūst nepiemērota sikspārņiem vai rada šķēršļus pārvietošanās trasēs/barošanās biotopos – izteikts piemērs ir upju tiltu apgaismošana no apakšas), otrkārt, kā riska faktors, kas padara sikspārņus redzamus plēsējiem (pūcēm), un treškārt un, iespējams, galvenokārt - apgaismojuma uzstādīšana ietekmē kukaiņus, sikspārņu barības bāzi. Mākslīgais apgaismojums pievilina daudzas naktī aktīvās kukaiņu sugas no plašākas apkārtnes, kas lido uz lampām un lielākoties pie tām iet bojā. Ilgtermiņā tas var ievērojami izmainīt kukaiņu sugu sastāvu apgaismoto vietu apkārtnē (Eisenbeis, 2006). Kaut gan dažas sikspārņu sugas īslaicīgi var izmantot apgaismojuma radīto kukaiņus pievilinošo efektu, barojoties apgaismotās zonas perifērijā, vairumam sikspārņu sugu apgaismojuma ietekme ir izteikti negatīva. Dažāda veida un intensitātes apgaismojums rada atšķirīgu ietekmi; vislielākā ietekme ir augstas intensitātes zili-baltā spektra apgaismojumam, mazāk izteikta ietekme ir dzelteni-oranžā spektra apgaismojumam (Voigt et al., 2018). Liela nozīme ir arī apgaismojuma uzstādīšanas vietai, lampu veidam un vērsumam: uz zemi vērstas un vairākus metrus zem koku vainagiem uzstādītas lampas rada mazāku ietekmi, nekā uz visām pusēm starojošas un/vai uz augstiem stabiem uzstādītas lampas. </w:t>
      </w:r>
    </w:p>
    <w:bookmarkEnd w:id="89"/>
    <w:p w14:paraId="2E995B01" w14:textId="77777777" w:rsidR="002A54C2" w:rsidRPr="00675182" w:rsidRDefault="002A54C2" w:rsidP="002A54C2">
      <w:pPr>
        <w:tabs>
          <w:tab w:val="num" w:pos="1276"/>
        </w:tabs>
        <w:ind w:left="851"/>
        <w:jc w:val="both"/>
        <w:rPr>
          <w:rFonts w:eastAsiaTheme="minorHAnsi" w:cstheme="minorHAnsi"/>
          <w:noProof/>
          <w:szCs w:val="24"/>
        </w:rPr>
      </w:pPr>
    </w:p>
    <w:p w14:paraId="6DD65675" w14:textId="4A19139D" w:rsidR="00BD34EE" w:rsidRPr="00675182" w:rsidRDefault="00BD34EE" w:rsidP="002B3341">
      <w:pPr>
        <w:jc w:val="both"/>
        <w:rPr>
          <w:rFonts w:cstheme="minorHAnsi"/>
        </w:rPr>
        <w:sectPr w:rsidR="00BD34EE" w:rsidRPr="00675182" w:rsidSect="00434AD0">
          <w:headerReference w:type="default" r:id="rId236"/>
          <w:pgSz w:w="11905" w:h="16837"/>
          <w:pgMar w:top="1440" w:right="1797" w:bottom="1440" w:left="1797" w:header="720" w:footer="720" w:gutter="0"/>
          <w:cols w:space="720"/>
          <w:docGrid w:linePitch="360"/>
        </w:sectPr>
      </w:pPr>
    </w:p>
    <w:p w14:paraId="52BFABCE" w14:textId="7B48FA9A" w:rsidR="00BD34EE" w:rsidRPr="00675182" w:rsidRDefault="00140EE7" w:rsidP="002B3341">
      <w:pPr>
        <w:rPr>
          <w:rFonts w:cstheme="minorHAnsi"/>
          <w:b/>
          <w:i/>
          <w:szCs w:val="24"/>
        </w:rPr>
      </w:pPr>
      <w:r w:rsidRPr="00675182">
        <w:rPr>
          <w:rFonts w:cstheme="minorHAnsi"/>
          <w:b/>
          <w:i/>
          <w:szCs w:val="24"/>
        </w:rPr>
        <w:lastRenderedPageBreak/>
        <w:t>2.</w:t>
      </w:r>
      <w:r w:rsidR="00DC78E1" w:rsidRPr="00675182">
        <w:rPr>
          <w:rFonts w:cstheme="minorHAnsi"/>
          <w:b/>
          <w:i/>
          <w:szCs w:val="24"/>
        </w:rPr>
        <w:t>4.5</w:t>
      </w:r>
      <w:r w:rsidR="00BD34EE" w:rsidRPr="00675182">
        <w:rPr>
          <w:rFonts w:cstheme="minorHAnsi"/>
          <w:b/>
          <w:i/>
          <w:szCs w:val="24"/>
        </w:rPr>
        <w:t>.</w:t>
      </w:r>
      <w:r w:rsidR="006D6576">
        <w:rPr>
          <w:rFonts w:cstheme="minorHAnsi"/>
          <w:b/>
          <w:i/>
          <w:szCs w:val="24"/>
        </w:rPr>
        <w:t>A.</w:t>
      </w:r>
      <w:r w:rsidR="00BD34EE" w:rsidRPr="00675182">
        <w:rPr>
          <w:rFonts w:cstheme="minorHAnsi"/>
          <w:b/>
          <w:i/>
          <w:szCs w:val="24"/>
        </w:rPr>
        <w:t xml:space="preserve"> tabula. </w:t>
      </w:r>
      <w:r w:rsidR="00362F31" w:rsidRPr="00675182">
        <w:rPr>
          <w:rFonts w:cstheme="minorHAnsi"/>
          <w:b/>
          <w:i/>
        </w:rPr>
        <w:t>GNP</w:t>
      </w:r>
      <w:r w:rsidR="00BB03AC" w:rsidRPr="00675182">
        <w:rPr>
          <w:rFonts w:cstheme="minorHAnsi"/>
          <w:b/>
          <w:i/>
        </w:rPr>
        <w:t xml:space="preserve"> konstatētās Latvijā un Eiropā aizsargājamās un citādi vērtīgās zīdītāju sugas un to aizsardzības statuss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1986"/>
        <w:gridCol w:w="2011"/>
        <w:gridCol w:w="1409"/>
        <w:gridCol w:w="2745"/>
        <w:gridCol w:w="1905"/>
        <w:gridCol w:w="1905"/>
      </w:tblGrid>
      <w:tr w:rsidR="00AD71D7" w:rsidRPr="00675182" w14:paraId="6681D5DB" w14:textId="77777777" w:rsidTr="00AD71D7">
        <w:trPr>
          <w:trHeight w:val="20"/>
          <w:tblHeader/>
        </w:trPr>
        <w:tc>
          <w:tcPr>
            <w:tcW w:w="712" w:type="pct"/>
            <w:shd w:val="clear" w:color="auto" w:fill="D6E3BC"/>
            <w:vAlign w:val="center"/>
          </w:tcPr>
          <w:p w14:paraId="52C46E2C" w14:textId="091516BF" w:rsidR="00AD71D7" w:rsidRPr="00675182" w:rsidRDefault="00AD71D7" w:rsidP="00AD71D7">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Nr.p.k.</w:t>
            </w:r>
          </w:p>
        </w:tc>
        <w:tc>
          <w:tcPr>
            <w:tcW w:w="712" w:type="pct"/>
            <w:shd w:val="clear" w:color="auto" w:fill="D6E3BC"/>
            <w:vAlign w:val="center"/>
            <w:hideMark/>
          </w:tcPr>
          <w:p w14:paraId="1E2EEDDB" w14:textId="761D07E2" w:rsidR="00AD71D7" w:rsidRPr="00675182" w:rsidRDefault="00AD71D7" w:rsidP="00AD71D7">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latviski</w:t>
            </w:r>
          </w:p>
        </w:tc>
        <w:tc>
          <w:tcPr>
            <w:tcW w:w="721" w:type="pct"/>
            <w:shd w:val="clear" w:color="auto" w:fill="D6E3BC"/>
            <w:vAlign w:val="center"/>
            <w:hideMark/>
          </w:tcPr>
          <w:p w14:paraId="0967B33E" w14:textId="77777777" w:rsidR="00AD71D7" w:rsidRPr="00675182" w:rsidRDefault="00AD71D7" w:rsidP="00AD71D7">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latīniski</w:t>
            </w:r>
          </w:p>
        </w:tc>
        <w:tc>
          <w:tcPr>
            <w:tcW w:w="505" w:type="pct"/>
            <w:shd w:val="clear" w:color="auto" w:fill="D6E3BC"/>
            <w:vAlign w:val="center"/>
          </w:tcPr>
          <w:p w14:paraId="6A540C57" w14:textId="342CD589" w:rsidR="00AD71D7" w:rsidRPr="00675182" w:rsidRDefault="00AD71D7" w:rsidP="00AD71D7">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 xml:space="preserve">Aizsardzības statuss </w:t>
            </w:r>
          </w:p>
        </w:tc>
        <w:tc>
          <w:tcPr>
            <w:tcW w:w="984" w:type="pct"/>
            <w:shd w:val="clear" w:color="auto" w:fill="D6E3BC"/>
            <w:vAlign w:val="center"/>
            <w:hideMark/>
          </w:tcPr>
          <w:p w14:paraId="356A5600" w14:textId="77777777" w:rsidR="00AD71D7" w:rsidRPr="00675182" w:rsidRDefault="00AD71D7" w:rsidP="00AD71D7">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Cits statuss</w:t>
            </w:r>
          </w:p>
        </w:tc>
        <w:tc>
          <w:tcPr>
            <w:tcW w:w="683" w:type="pct"/>
            <w:tcBorders>
              <w:bottom w:val="single" w:sz="4" w:space="0" w:color="auto"/>
            </w:tcBorders>
            <w:shd w:val="clear" w:color="auto" w:fill="D6E3BC"/>
            <w:vAlign w:val="center"/>
            <w:hideMark/>
          </w:tcPr>
          <w:p w14:paraId="4B720329" w14:textId="77777777" w:rsidR="00AD71D7" w:rsidRPr="00675182" w:rsidRDefault="00AD71D7" w:rsidP="00AD71D7">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labvēlīga aizsardzības stāvokļa novērtējums Latvijā</w:t>
            </w:r>
          </w:p>
        </w:tc>
        <w:tc>
          <w:tcPr>
            <w:tcW w:w="683" w:type="pct"/>
            <w:tcBorders>
              <w:bottom w:val="single" w:sz="4" w:space="0" w:color="auto"/>
            </w:tcBorders>
            <w:shd w:val="clear" w:color="auto" w:fill="D6E3BC"/>
            <w:vAlign w:val="center"/>
          </w:tcPr>
          <w:p w14:paraId="6FF00878" w14:textId="282EA690" w:rsidR="00AD71D7" w:rsidRPr="00675182" w:rsidRDefault="00AD71D7" w:rsidP="00AD71D7">
            <w:pPr>
              <w:jc w:val="center"/>
              <w:rPr>
                <w:rFonts w:eastAsia="Times New Roman" w:cstheme="minorHAnsi"/>
                <w:b/>
                <w:color w:val="000000"/>
                <w:sz w:val="22"/>
                <w:szCs w:val="22"/>
                <w:lang w:eastAsia="en-GB"/>
              </w:rPr>
            </w:pPr>
            <w:r w:rsidRPr="00675182">
              <w:rPr>
                <w:rFonts w:cstheme="minorHAnsi"/>
                <w:b/>
                <w:color w:val="000000"/>
                <w:sz w:val="22"/>
                <w:szCs w:val="22"/>
              </w:rPr>
              <w:t>Sugas sastopamība GNP</w:t>
            </w:r>
          </w:p>
        </w:tc>
      </w:tr>
      <w:tr w:rsidR="00E52F50" w:rsidRPr="00675182" w14:paraId="5B94ED99"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6ADCB402" w14:textId="6EC951E9" w:rsidR="00E52F50" w:rsidRPr="00675182" w:rsidRDefault="00E52F50" w:rsidP="00E52F5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w:t>
            </w:r>
          </w:p>
        </w:tc>
        <w:tc>
          <w:tcPr>
            <w:tcW w:w="712" w:type="pct"/>
            <w:tcBorders>
              <w:top w:val="single" w:sz="4" w:space="0" w:color="auto"/>
              <w:left w:val="single" w:sz="4" w:space="0" w:color="auto"/>
              <w:bottom w:val="single" w:sz="4" w:space="0" w:color="auto"/>
              <w:right w:val="single" w:sz="4" w:space="0" w:color="auto"/>
            </w:tcBorders>
            <w:noWrap/>
            <w:vAlign w:val="center"/>
          </w:tcPr>
          <w:p w14:paraId="1DF632EA" w14:textId="3C583980" w:rsidR="00E52F50" w:rsidRPr="00675182" w:rsidRDefault="00E52F50" w:rsidP="00E52F50">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Brūnais lācis</w:t>
            </w:r>
          </w:p>
        </w:tc>
        <w:tc>
          <w:tcPr>
            <w:tcW w:w="721" w:type="pct"/>
            <w:tcBorders>
              <w:top w:val="single" w:sz="4" w:space="0" w:color="auto"/>
              <w:left w:val="single" w:sz="4" w:space="0" w:color="auto"/>
              <w:bottom w:val="single" w:sz="4" w:space="0" w:color="auto"/>
              <w:right w:val="single" w:sz="4" w:space="0" w:color="auto"/>
            </w:tcBorders>
            <w:noWrap/>
            <w:vAlign w:val="center"/>
          </w:tcPr>
          <w:p w14:paraId="090BF442" w14:textId="1FA2C608" w:rsidR="00E52F50" w:rsidRPr="00675182" w:rsidRDefault="00E52F50" w:rsidP="00CF5379">
            <w:pPr>
              <w:rPr>
                <w:rFonts w:eastAsia="Times New Roman" w:cstheme="minorHAnsi"/>
                <w:i/>
                <w:color w:val="000000"/>
                <w:sz w:val="22"/>
                <w:szCs w:val="22"/>
                <w:lang w:eastAsia="en-GB"/>
              </w:rPr>
            </w:pPr>
            <w:r w:rsidRPr="00675182">
              <w:rPr>
                <w:rFonts w:cstheme="minorHAnsi"/>
                <w:i/>
                <w:iCs/>
                <w:color w:val="000000"/>
                <w:sz w:val="22"/>
                <w:szCs w:val="22"/>
              </w:rPr>
              <w:t>Ursus arctos</w:t>
            </w:r>
          </w:p>
        </w:tc>
        <w:tc>
          <w:tcPr>
            <w:tcW w:w="505" w:type="pct"/>
            <w:tcBorders>
              <w:top w:val="single" w:sz="4" w:space="0" w:color="auto"/>
              <w:left w:val="single" w:sz="4" w:space="0" w:color="auto"/>
              <w:bottom w:val="single" w:sz="4" w:space="0" w:color="auto"/>
              <w:right w:val="single" w:sz="4" w:space="0" w:color="auto"/>
            </w:tcBorders>
            <w:vAlign w:val="center"/>
          </w:tcPr>
          <w:p w14:paraId="2AA632C3" w14:textId="4293F547" w:rsidR="00E52F50" w:rsidRPr="00675182" w:rsidRDefault="00E52F50" w:rsidP="00CF5379">
            <w:pPr>
              <w:rPr>
                <w:rFonts w:eastAsia="Times New Roman" w:cstheme="minorHAnsi"/>
                <w:sz w:val="22"/>
                <w:szCs w:val="22"/>
                <w:lang w:eastAsia="en-GB"/>
              </w:rPr>
            </w:pPr>
            <w:r w:rsidRPr="00675182">
              <w:rPr>
                <w:rFonts w:eastAsia="Times New Roman" w:cstheme="minorHAnsi"/>
                <w:sz w:val="22"/>
                <w:szCs w:val="22"/>
                <w:lang w:eastAsia="en-GB"/>
              </w:rPr>
              <w:t>ĪAS 1, ES II, IV</w:t>
            </w:r>
          </w:p>
        </w:tc>
        <w:tc>
          <w:tcPr>
            <w:tcW w:w="984" w:type="pct"/>
            <w:tcBorders>
              <w:top w:val="single" w:sz="4" w:space="0" w:color="auto"/>
              <w:left w:val="single" w:sz="4" w:space="0" w:color="auto"/>
              <w:bottom w:val="single" w:sz="4" w:space="0" w:color="auto"/>
              <w:right w:val="single" w:sz="4" w:space="0" w:color="auto"/>
            </w:tcBorders>
            <w:vAlign w:val="center"/>
          </w:tcPr>
          <w:p w14:paraId="44F631D0" w14:textId="19B07C64" w:rsidR="00E52F50" w:rsidRPr="00675182" w:rsidRDefault="00E52F50" w:rsidP="00CF5379">
            <w:pPr>
              <w:rPr>
                <w:rFonts w:cstheme="minorHAnsi"/>
                <w:color w:val="000000"/>
                <w:sz w:val="22"/>
                <w:szCs w:val="22"/>
              </w:rPr>
            </w:pPr>
            <w:r w:rsidRPr="00675182">
              <w:rPr>
                <w:rFonts w:cstheme="minorHAnsi"/>
                <w:color w:val="000000"/>
                <w:sz w:val="22"/>
                <w:szCs w:val="22"/>
              </w:rPr>
              <w:t>SG III, Bernes konv., CITES</w:t>
            </w:r>
          </w:p>
        </w:tc>
        <w:tc>
          <w:tcPr>
            <w:tcW w:w="683"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33E1E3A3" w14:textId="39903DD2" w:rsidR="00E52F50" w:rsidRPr="00675182" w:rsidRDefault="00E52F50" w:rsidP="006D6576">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U1</w:t>
            </w:r>
          </w:p>
        </w:tc>
        <w:tc>
          <w:tcPr>
            <w:tcW w:w="683" w:type="pct"/>
            <w:tcBorders>
              <w:top w:val="single" w:sz="4" w:space="0" w:color="auto"/>
              <w:left w:val="single" w:sz="4" w:space="0" w:color="auto"/>
              <w:bottom w:val="single" w:sz="4" w:space="0" w:color="auto"/>
              <w:right w:val="single" w:sz="4" w:space="0" w:color="auto"/>
            </w:tcBorders>
            <w:vAlign w:val="center"/>
          </w:tcPr>
          <w:p w14:paraId="7BE6AD57" w14:textId="6DA07A87" w:rsidR="00E52F50" w:rsidRPr="00675182" w:rsidRDefault="00E52F50" w:rsidP="00CF5379">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Reti, atsevišķi novērojumi</w:t>
            </w:r>
          </w:p>
        </w:tc>
      </w:tr>
      <w:tr w:rsidR="00E52F50" w:rsidRPr="00675182" w14:paraId="174A6FCE"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23BD4863" w14:textId="408973B2" w:rsidR="00E52F50" w:rsidRPr="00675182" w:rsidRDefault="00E52F50" w:rsidP="00E52F5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w:t>
            </w:r>
          </w:p>
        </w:tc>
        <w:tc>
          <w:tcPr>
            <w:tcW w:w="712" w:type="pct"/>
            <w:tcBorders>
              <w:top w:val="single" w:sz="4" w:space="0" w:color="auto"/>
              <w:left w:val="single" w:sz="4" w:space="0" w:color="auto"/>
              <w:bottom w:val="single" w:sz="4" w:space="0" w:color="auto"/>
              <w:right w:val="single" w:sz="4" w:space="0" w:color="auto"/>
            </w:tcBorders>
            <w:noWrap/>
            <w:vAlign w:val="center"/>
          </w:tcPr>
          <w:p w14:paraId="2F8EB2B7" w14:textId="742847CE" w:rsidR="00E52F50" w:rsidRPr="00675182" w:rsidRDefault="00E52F50" w:rsidP="00E52F50">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Eirāzijas ūdrs</w:t>
            </w:r>
          </w:p>
        </w:tc>
        <w:tc>
          <w:tcPr>
            <w:tcW w:w="721" w:type="pct"/>
            <w:tcBorders>
              <w:top w:val="single" w:sz="4" w:space="0" w:color="auto"/>
              <w:left w:val="single" w:sz="4" w:space="0" w:color="auto"/>
              <w:bottom w:val="single" w:sz="4" w:space="0" w:color="auto"/>
              <w:right w:val="single" w:sz="4" w:space="0" w:color="auto"/>
            </w:tcBorders>
            <w:noWrap/>
            <w:vAlign w:val="center"/>
          </w:tcPr>
          <w:p w14:paraId="106AEB87" w14:textId="4857A95D" w:rsidR="00E52F50" w:rsidRPr="00675182" w:rsidRDefault="00E52F50" w:rsidP="00CF5379">
            <w:pPr>
              <w:rPr>
                <w:rFonts w:eastAsia="Times New Roman" w:cstheme="minorHAnsi"/>
                <w:i/>
                <w:color w:val="000000"/>
                <w:sz w:val="22"/>
                <w:szCs w:val="22"/>
                <w:lang w:eastAsia="en-GB"/>
              </w:rPr>
            </w:pPr>
            <w:r w:rsidRPr="00675182">
              <w:rPr>
                <w:rFonts w:cstheme="minorHAnsi"/>
                <w:i/>
                <w:iCs/>
                <w:color w:val="000000"/>
                <w:sz w:val="22"/>
                <w:szCs w:val="22"/>
              </w:rPr>
              <w:t>Lutra lutra</w:t>
            </w:r>
          </w:p>
        </w:tc>
        <w:tc>
          <w:tcPr>
            <w:tcW w:w="505" w:type="pct"/>
            <w:tcBorders>
              <w:top w:val="single" w:sz="4" w:space="0" w:color="auto"/>
              <w:left w:val="single" w:sz="4" w:space="0" w:color="auto"/>
              <w:bottom w:val="single" w:sz="4" w:space="0" w:color="auto"/>
              <w:right w:val="single" w:sz="4" w:space="0" w:color="auto"/>
            </w:tcBorders>
            <w:vAlign w:val="center"/>
          </w:tcPr>
          <w:p w14:paraId="70DA53BC" w14:textId="6609349E" w:rsidR="00E52F50" w:rsidRPr="00675182" w:rsidRDefault="00E52F50" w:rsidP="00CF5379">
            <w:pPr>
              <w:rPr>
                <w:rFonts w:eastAsia="Times New Roman" w:cstheme="minorHAnsi"/>
                <w:sz w:val="22"/>
                <w:szCs w:val="22"/>
                <w:lang w:eastAsia="en-GB"/>
              </w:rPr>
            </w:pPr>
            <w:r w:rsidRPr="00675182">
              <w:rPr>
                <w:rFonts w:eastAsia="Times New Roman" w:cstheme="minorHAnsi"/>
                <w:sz w:val="22"/>
                <w:szCs w:val="22"/>
                <w:lang w:eastAsia="en-GB"/>
              </w:rPr>
              <w:t>ĪAS 1, ES II, IV</w:t>
            </w:r>
          </w:p>
        </w:tc>
        <w:tc>
          <w:tcPr>
            <w:tcW w:w="984" w:type="pct"/>
            <w:tcBorders>
              <w:top w:val="single" w:sz="4" w:space="0" w:color="auto"/>
              <w:left w:val="single" w:sz="4" w:space="0" w:color="auto"/>
              <w:bottom w:val="single" w:sz="4" w:space="0" w:color="auto"/>
              <w:right w:val="single" w:sz="4" w:space="0" w:color="auto"/>
            </w:tcBorders>
            <w:vAlign w:val="center"/>
          </w:tcPr>
          <w:p w14:paraId="02CB4E42" w14:textId="22A0C4CC" w:rsidR="00E52F50" w:rsidRPr="00675182" w:rsidRDefault="00E52F50" w:rsidP="00CF5379">
            <w:pPr>
              <w:rPr>
                <w:rFonts w:cstheme="minorHAnsi"/>
                <w:color w:val="000000"/>
                <w:sz w:val="22"/>
                <w:szCs w:val="22"/>
              </w:rPr>
            </w:pPr>
            <w:r w:rsidRPr="00675182">
              <w:rPr>
                <w:rFonts w:cstheme="minorHAnsi"/>
                <w:color w:val="000000"/>
                <w:sz w:val="22"/>
                <w:szCs w:val="22"/>
              </w:rPr>
              <w:t>SG IV, Bernes konv., CITES</w:t>
            </w:r>
          </w:p>
        </w:tc>
        <w:tc>
          <w:tcPr>
            <w:tcW w:w="683"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4C85F04D" w14:textId="19D75FC1" w:rsidR="00E52F50" w:rsidRPr="00675182" w:rsidRDefault="00E52F50" w:rsidP="006D6576">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FV</w:t>
            </w:r>
          </w:p>
        </w:tc>
        <w:tc>
          <w:tcPr>
            <w:tcW w:w="683" w:type="pct"/>
            <w:tcBorders>
              <w:top w:val="single" w:sz="4" w:space="0" w:color="auto"/>
              <w:left w:val="single" w:sz="4" w:space="0" w:color="auto"/>
              <w:bottom w:val="single" w:sz="4" w:space="0" w:color="auto"/>
              <w:right w:val="single" w:sz="4" w:space="0" w:color="auto"/>
            </w:tcBorders>
            <w:vAlign w:val="center"/>
          </w:tcPr>
          <w:p w14:paraId="496087E6" w14:textId="768134F2" w:rsidR="00E52F50" w:rsidRPr="00675182" w:rsidRDefault="00E52F50" w:rsidP="00CF5379">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Bieži piemērotās ūdenstilpēs</w:t>
            </w:r>
          </w:p>
        </w:tc>
      </w:tr>
      <w:tr w:rsidR="00E52F50" w:rsidRPr="00675182" w14:paraId="25DEDCB0"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350B40BC" w14:textId="55D90CD7" w:rsidR="00E52F50" w:rsidRPr="00675182" w:rsidRDefault="00E52F50" w:rsidP="00E52F5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w:t>
            </w:r>
          </w:p>
        </w:tc>
        <w:tc>
          <w:tcPr>
            <w:tcW w:w="712" w:type="pct"/>
            <w:tcBorders>
              <w:top w:val="single" w:sz="4" w:space="0" w:color="auto"/>
              <w:left w:val="single" w:sz="4" w:space="0" w:color="auto"/>
              <w:bottom w:val="single" w:sz="4" w:space="0" w:color="auto"/>
              <w:right w:val="single" w:sz="4" w:space="0" w:color="auto"/>
            </w:tcBorders>
            <w:noWrap/>
            <w:vAlign w:val="center"/>
          </w:tcPr>
          <w:p w14:paraId="0BBF2C70" w14:textId="02CE87B9" w:rsidR="00E52F50" w:rsidRPr="00675182" w:rsidRDefault="00E52F50" w:rsidP="00E52F50">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Eirāzijas bebrs</w:t>
            </w:r>
          </w:p>
        </w:tc>
        <w:tc>
          <w:tcPr>
            <w:tcW w:w="721" w:type="pct"/>
            <w:tcBorders>
              <w:top w:val="single" w:sz="4" w:space="0" w:color="auto"/>
              <w:left w:val="single" w:sz="4" w:space="0" w:color="auto"/>
              <w:bottom w:val="single" w:sz="4" w:space="0" w:color="auto"/>
              <w:right w:val="single" w:sz="4" w:space="0" w:color="auto"/>
            </w:tcBorders>
            <w:noWrap/>
            <w:vAlign w:val="center"/>
          </w:tcPr>
          <w:p w14:paraId="40188ABF" w14:textId="48398219" w:rsidR="00E52F50" w:rsidRPr="00675182" w:rsidRDefault="00E52F50" w:rsidP="00CF5379">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Castor fiber</w:t>
            </w:r>
          </w:p>
        </w:tc>
        <w:tc>
          <w:tcPr>
            <w:tcW w:w="505" w:type="pct"/>
            <w:tcBorders>
              <w:top w:val="single" w:sz="4" w:space="0" w:color="auto"/>
              <w:left w:val="single" w:sz="4" w:space="0" w:color="auto"/>
              <w:bottom w:val="single" w:sz="4" w:space="0" w:color="auto"/>
              <w:right w:val="single" w:sz="4" w:space="0" w:color="auto"/>
            </w:tcBorders>
            <w:vAlign w:val="center"/>
          </w:tcPr>
          <w:p w14:paraId="088F94DC" w14:textId="6140D445" w:rsidR="00E52F50" w:rsidRPr="00675182" w:rsidRDefault="00E52F50" w:rsidP="00CF5379">
            <w:pPr>
              <w:rPr>
                <w:rFonts w:eastAsia="Times New Roman" w:cstheme="minorHAnsi"/>
                <w:sz w:val="22"/>
                <w:szCs w:val="22"/>
                <w:lang w:eastAsia="en-GB"/>
              </w:rPr>
            </w:pPr>
            <w:r w:rsidRPr="00675182">
              <w:rPr>
                <w:rFonts w:eastAsia="Times New Roman" w:cstheme="minorHAnsi"/>
                <w:sz w:val="22"/>
                <w:szCs w:val="22"/>
                <w:lang w:eastAsia="en-GB"/>
              </w:rPr>
              <w:t>ES II, IV, V</w:t>
            </w:r>
          </w:p>
        </w:tc>
        <w:tc>
          <w:tcPr>
            <w:tcW w:w="984" w:type="pct"/>
            <w:tcBorders>
              <w:top w:val="single" w:sz="4" w:space="0" w:color="auto"/>
              <w:left w:val="single" w:sz="4" w:space="0" w:color="auto"/>
              <w:bottom w:val="single" w:sz="4" w:space="0" w:color="auto"/>
              <w:right w:val="single" w:sz="4" w:space="0" w:color="auto"/>
            </w:tcBorders>
            <w:vAlign w:val="center"/>
          </w:tcPr>
          <w:p w14:paraId="074E7CBD" w14:textId="0F1C4E16" w:rsidR="00E52F50" w:rsidRPr="00675182" w:rsidRDefault="00E52F50" w:rsidP="00CF5379">
            <w:pPr>
              <w:rPr>
                <w:rFonts w:cstheme="minorHAnsi"/>
                <w:color w:val="000000"/>
                <w:sz w:val="22"/>
                <w:szCs w:val="22"/>
              </w:rPr>
            </w:pPr>
            <w:r w:rsidRPr="00675182">
              <w:rPr>
                <w:rFonts w:cstheme="minorHAnsi"/>
                <w:color w:val="000000"/>
                <w:sz w:val="22"/>
                <w:szCs w:val="22"/>
              </w:rPr>
              <w:t>Bernes konv.</w:t>
            </w:r>
          </w:p>
        </w:tc>
        <w:tc>
          <w:tcPr>
            <w:tcW w:w="683"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691416B4" w14:textId="4BEC4E80" w:rsidR="00E52F50" w:rsidRPr="00675182" w:rsidRDefault="00E52F50" w:rsidP="006D6576">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FV</w:t>
            </w:r>
          </w:p>
        </w:tc>
        <w:tc>
          <w:tcPr>
            <w:tcW w:w="683" w:type="pct"/>
            <w:tcBorders>
              <w:top w:val="single" w:sz="4" w:space="0" w:color="auto"/>
              <w:left w:val="single" w:sz="4" w:space="0" w:color="auto"/>
              <w:bottom w:val="single" w:sz="4" w:space="0" w:color="auto"/>
              <w:right w:val="single" w:sz="4" w:space="0" w:color="auto"/>
            </w:tcBorders>
            <w:vAlign w:val="center"/>
          </w:tcPr>
          <w:p w14:paraId="42B7F27F" w14:textId="438C5A4B" w:rsidR="00E52F50" w:rsidRPr="00675182" w:rsidRDefault="00E52F50" w:rsidP="00CF5379">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 xml:space="preserve">Bieži </w:t>
            </w:r>
          </w:p>
        </w:tc>
      </w:tr>
      <w:tr w:rsidR="00E52F50" w:rsidRPr="00675182" w14:paraId="38B08AA4"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241A2992" w14:textId="7A70C842" w:rsidR="00E52F50" w:rsidRPr="00675182" w:rsidRDefault="00E52F50" w:rsidP="00E52F5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4.</w:t>
            </w:r>
          </w:p>
        </w:tc>
        <w:tc>
          <w:tcPr>
            <w:tcW w:w="712" w:type="pct"/>
            <w:tcBorders>
              <w:top w:val="single" w:sz="4" w:space="0" w:color="auto"/>
              <w:left w:val="single" w:sz="4" w:space="0" w:color="auto"/>
              <w:bottom w:val="single" w:sz="4" w:space="0" w:color="auto"/>
              <w:right w:val="single" w:sz="4" w:space="0" w:color="auto"/>
            </w:tcBorders>
            <w:noWrap/>
            <w:vAlign w:val="center"/>
          </w:tcPr>
          <w:p w14:paraId="1AB97BC4" w14:textId="53BF8416" w:rsidR="00E52F50" w:rsidRPr="00675182" w:rsidRDefault="00E52F50" w:rsidP="00E52F50">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Pelēkais vilks</w:t>
            </w:r>
          </w:p>
        </w:tc>
        <w:tc>
          <w:tcPr>
            <w:tcW w:w="721" w:type="pct"/>
            <w:tcBorders>
              <w:top w:val="single" w:sz="4" w:space="0" w:color="auto"/>
              <w:left w:val="single" w:sz="4" w:space="0" w:color="auto"/>
              <w:bottom w:val="single" w:sz="4" w:space="0" w:color="auto"/>
              <w:right w:val="single" w:sz="4" w:space="0" w:color="auto"/>
            </w:tcBorders>
            <w:noWrap/>
            <w:vAlign w:val="center"/>
          </w:tcPr>
          <w:p w14:paraId="58CDCABE" w14:textId="753B206C" w:rsidR="00E52F50" w:rsidRPr="00675182" w:rsidRDefault="00E52F50" w:rsidP="00CF5379">
            <w:pPr>
              <w:rPr>
                <w:rFonts w:eastAsia="Times New Roman" w:cstheme="minorHAnsi"/>
                <w:i/>
                <w:color w:val="000000"/>
                <w:sz w:val="22"/>
                <w:szCs w:val="22"/>
                <w:lang w:eastAsia="en-GB"/>
              </w:rPr>
            </w:pPr>
            <w:r w:rsidRPr="00675182">
              <w:rPr>
                <w:rFonts w:cstheme="minorHAnsi"/>
                <w:i/>
                <w:iCs/>
                <w:sz w:val="22"/>
                <w:szCs w:val="22"/>
              </w:rPr>
              <w:t>Canis lupus</w:t>
            </w:r>
          </w:p>
        </w:tc>
        <w:tc>
          <w:tcPr>
            <w:tcW w:w="505" w:type="pct"/>
            <w:tcBorders>
              <w:top w:val="single" w:sz="4" w:space="0" w:color="auto"/>
              <w:left w:val="single" w:sz="4" w:space="0" w:color="auto"/>
              <w:bottom w:val="single" w:sz="4" w:space="0" w:color="auto"/>
              <w:right w:val="single" w:sz="4" w:space="0" w:color="auto"/>
            </w:tcBorders>
            <w:vAlign w:val="center"/>
          </w:tcPr>
          <w:p w14:paraId="69E7D23B" w14:textId="7857C6AB" w:rsidR="00E52F50" w:rsidRPr="00675182" w:rsidRDefault="00E52F50" w:rsidP="00CF5379">
            <w:pPr>
              <w:rPr>
                <w:rFonts w:eastAsia="Times New Roman" w:cstheme="minorHAnsi"/>
                <w:sz w:val="22"/>
                <w:szCs w:val="22"/>
                <w:lang w:eastAsia="en-GB"/>
              </w:rPr>
            </w:pPr>
            <w:r w:rsidRPr="00675182">
              <w:rPr>
                <w:rFonts w:eastAsia="Times New Roman" w:cstheme="minorHAnsi"/>
                <w:sz w:val="22"/>
                <w:szCs w:val="22"/>
                <w:lang w:eastAsia="en-GB"/>
              </w:rPr>
              <w:t>ĪAS 2, ES II, IV, V</w:t>
            </w:r>
          </w:p>
        </w:tc>
        <w:tc>
          <w:tcPr>
            <w:tcW w:w="984" w:type="pct"/>
            <w:tcBorders>
              <w:top w:val="single" w:sz="4" w:space="0" w:color="auto"/>
              <w:left w:val="single" w:sz="4" w:space="0" w:color="auto"/>
              <w:bottom w:val="single" w:sz="4" w:space="0" w:color="auto"/>
              <w:right w:val="single" w:sz="4" w:space="0" w:color="auto"/>
            </w:tcBorders>
            <w:vAlign w:val="center"/>
          </w:tcPr>
          <w:p w14:paraId="7D792142" w14:textId="5A6D7CA4" w:rsidR="00E52F50" w:rsidRPr="00675182" w:rsidRDefault="00E52F50" w:rsidP="00CF5379">
            <w:pPr>
              <w:rPr>
                <w:rFonts w:cstheme="minorHAnsi"/>
                <w:color w:val="000000"/>
                <w:sz w:val="22"/>
                <w:szCs w:val="22"/>
              </w:rPr>
            </w:pPr>
            <w:r w:rsidRPr="00675182">
              <w:rPr>
                <w:rFonts w:cstheme="minorHAnsi"/>
                <w:color w:val="000000"/>
                <w:sz w:val="22"/>
                <w:szCs w:val="22"/>
              </w:rPr>
              <w:t>Bernes konv., CITES</w:t>
            </w:r>
          </w:p>
        </w:tc>
        <w:tc>
          <w:tcPr>
            <w:tcW w:w="683"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AFDDC89" w14:textId="3553766C" w:rsidR="00E52F50" w:rsidRPr="00675182" w:rsidRDefault="00E52F50" w:rsidP="006D6576">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FV</w:t>
            </w:r>
          </w:p>
        </w:tc>
        <w:tc>
          <w:tcPr>
            <w:tcW w:w="683" w:type="pct"/>
            <w:tcBorders>
              <w:top w:val="single" w:sz="4" w:space="0" w:color="auto"/>
              <w:left w:val="single" w:sz="4" w:space="0" w:color="auto"/>
              <w:bottom w:val="single" w:sz="4" w:space="0" w:color="auto"/>
              <w:right w:val="single" w:sz="4" w:space="0" w:color="auto"/>
            </w:tcBorders>
            <w:vAlign w:val="center"/>
          </w:tcPr>
          <w:p w14:paraId="68023B79" w14:textId="5DF2D4B7" w:rsidR="00E52F50" w:rsidRPr="00675182" w:rsidRDefault="00E52F50" w:rsidP="00CF5379">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Vidēji bieži</w:t>
            </w:r>
          </w:p>
        </w:tc>
      </w:tr>
      <w:tr w:rsidR="00E52F50" w:rsidRPr="00675182" w14:paraId="2F673F27"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36454E9E" w14:textId="47D75542" w:rsidR="00E52F50" w:rsidRPr="00675182" w:rsidRDefault="00E52F50" w:rsidP="00E52F5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5.</w:t>
            </w:r>
          </w:p>
        </w:tc>
        <w:tc>
          <w:tcPr>
            <w:tcW w:w="712" w:type="pct"/>
            <w:tcBorders>
              <w:top w:val="single" w:sz="4" w:space="0" w:color="auto"/>
              <w:left w:val="single" w:sz="4" w:space="0" w:color="auto"/>
              <w:bottom w:val="single" w:sz="4" w:space="0" w:color="auto"/>
              <w:right w:val="single" w:sz="4" w:space="0" w:color="auto"/>
            </w:tcBorders>
            <w:noWrap/>
            <w:vAlign w:val="center"/>
          </w:tcPr>
          <w:p w14:paraId="1BE5C3FD" w14:textId="2AEEAA95" w:rsidR="00E52F50" w:rsidRPr="00675182" w:rsidRDefault="00E52F50" w:rsidP="00E52F50">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Eirāzijas lūsis</w:t>
            </w:r>
          </w:p>
        </w:tc>
        <w:tc>
          <w:tcPr>
            <w:tcW w:w="721" w:type="pct"/>
            <w:tcBorders>
              <w:top w:val="single" w:sz="4" w:space="0" w:color="auto"/>
              <w:left w:val="single" w:sz="4" w:space="0" w:color="auto"/>
              <w:bottom w:val="single" w:sz="4" w:space="0" w:color="auto"/>
              <w:right w:val="single" w:sz="4" w:space="0" w:color="auto"/>
            </w:tcBorders>
            <w:noWrap/>
            <w:vAlign w:val="center"/>
          </w:tcPr>
          <w:p w14:paraId="589C8A6A" w14:textId="2112D54C" w:rsidR="00E52F50" w:rsidRPr="00675182" w:rsidRDefault="00E52F50" w:rsidP="00CF5379">
            <w:pPr>
              <w:rPr>
                <w:rFonts w:eastAsia="Times New Roman" w:cstheme="minorHAnsi"/>
                <w:i/>
                <w:color w:val="000000"/>
                <w:sz w:val="22"/>
                <w:szCs w:val="22"/>
                <w:lang w:eastAsia="en-GB"/>
              </w:rPr>
            </w:pPr>
            <w:r w:rsidRPr="00675182">
              <w:rPr>
                <w:rFonts w:cstheme="minorHAnsi"/>
                <w:i/>
                <w:iCs/>
                <w:sz w:val="22"/>
                <w:szCs w:val="22"/>
              </w:rPr>
              <w:t>Lynx lynx</w:t>
            </w:r>
          </w:p>
        </w:tc>
        <w:tc>
          <w:tcPr>
            <w:tcW w:w="505" w:type="pct"/>
            <w:tcBorders>
              <w:top w:val="single" w:sz="4" w:space="0" w:color="auto"/>
              <w:left w:val="single" w:sz="4" w:space="0" w:color="auto"/>
              <w:bottom w:val="single" w:sz="4" w:space="0" w:color="auto"/>
              <w:right w:val="single" w:sz="4" w:space="0" w:color="auto"/>
            </w:tcBorders>
            <w:vAlign w:val="center"/>
          </w:tcPr>
          <w:p w14:paraId="0876E59E" w14:textId="6A8D7CCE" w:rsidR="00E52F50" w:rsidRPr="00675182" w:rsidRDefault="00E52F50" w:rsidP="00CF5379">
            <w:pPr>
              <w:rPr>
                <w:rFonts w:eastAsia="Times New Roman" w:cstheme="minorHAnsi"/>
                <w:sz w:val="22"/>
                <w:szCs w:val="22"/>
                <w:lang w:eastAsia="en-GB"/>
              </w:rPr>
            </w:pPr>
            <w:r w:rsidRPr="00675182">
              <w:rPr>
                <w:rFonts w:eastAsia="Times New Roman" w:cstheme="minorHAnsi"/>
                <w:sz w:val="22"/>
                <w:szCs w:val="22"/>
                <w:lang w:eastAsia="en-GB"/>
              </w:rPr>
              <w:t>ĪAS 2, ES II, IV</w:t>
            </w:r>
          </w:p>
        </w:tc>
        <w:tc>
          <w:tcPr>
            <w:tcW w:w="984" w:type="pct"/>
            <w:tcBorders>
              <w:top w:val="single" w:sz="4" w:space="0" w:color="auto"/>
              <w:left w:val="single" w:sz="4" w:space="0" w:color="auto"/>
              <w:bottom w:val="single" w:sz="4" w:space="0" w:color="auto"/>
              <w:right w:val="single" w:sz="4" w:space="0" w:color="auto"/>
            </w:tcBorders>
            <w:vAlign w:val="center"/>
          </w:tcPr>
          <w:p w14:paraId="5453A175" w14:textId="50F9CD84" w:rsidR="00E52F50" w:rsidRPr="00675182" w:rsidRDefault="00E52F50" w:rsidP="00CF5379">
            <w:pPr>
              <w:rPr>
                <w:rFonts w:cstheme="minorHAnsi"/>
                <w:color w:val="000000"/>
                <w:sz w:val="22"/>
                <w:szCs w:val="22"/>
              </w:rPr>
            </w:pPr>
            <w:r w:rsidRPr="00675182">
              <w:rPr>
                <w:rFonts w:cstheme="minorHAnsi"/>
                <w:color w:val="000000"/>
                <w:sz w:val="22"/>
                <w:szCs w:val="22"/>
              </w:rPr>
              <w:t>Bernes konv., CITES</w:t>
            </w:r>
          </w:p>
        </w:tc>
        <w:tc>
          <w:tcPr>
            <w:tcW w:w="683"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765F526" w14:textId="1A4E2343" w:rsidR="00E52F50" w:rsidRPr="00675182" w:rsidRDefault="00E52F50" w:rsidP="006D6576">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FV</w:t>
            </w:r>
          </w:p>
        </w:tc>
        <w:tc>
          <w:tcPr>
            <w:tcW w:w="683" w:type="pct"/>
            <w:tcBorders>
              <w:top w:val="single" w:sz="4" w:space="0" w:color="auto"/>
              <w:left w:val="single" w:sz="4" w:space="0" w:color="auto"/>
              <w:bottom w:val="single" w:sz="4" w:space="0" w:color="auto"/>
              <w:right w:val="single" w:sz="4" w:space="0" w:color="auto"/>
            </w:tcBorders>
            <w:vAlign w:val="center"/>
          </w:tcPr>
          <w:p w14:paraId="0D7A7F03" w14:textId="42AB80CE" w:rsidR="00E52F50" w:rsidRPr="00675182" w:rsidRDefault="00E52F50" w:rsidP="00CF5379">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Vidēji bieži</w:t>
            </w:r>
          </w:p>
        </w:tc>
      </w:tr>
      <w:tr w:rsidR="00E52F50" w:rsidRPr="00675182" w14:paraId="3F185E02"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4C0A9AB8" w14:textId="487932E8" w:rsidR="00E52F50" w:rsidRPr="00675182" w:rsidRDefault="00E52F50" w:rsidP="00E52F5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6.</w:t>
            </w:r>
          </w:p>
        </w:tc>
        <w:tc>
          <w:tcPr>
            <w:tcW w:w="712" w:type="pct"/>
            <w:tcBorders>
              <w:top w:val="single" w:sz="4" w:space="0" w:color="auto"/>
              <w:left w:val="single" w:sz="4" w:space="0" w:color="auto"/>
              <w:bottom w:val="single" w:sz="4" w:space="0" w:color="auto"/>
              <w:right w:val="single" w:sz="4" w:space="0" w:color="auto"/>
            </w:tcBorders>
            <w:noWrap/>
            <w:vAlign w:val="center"/>
          </w:tcPr>
          <w:p w14:paraId="4DDE5265" w14:textId="6CA2C07A" w:rsidR="00E52F50" w:rsidRPr="00675182" w:rsidRDefault="00E52F50" w:rsidP="00E52F50">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Meža cauna</w:t>
            </w:r>
          </w:p>
        </w:tc>
        <w:tc>
          <w:tcPr>
            <w:tcW w:w="721" w:type="pct"/>
            <w:tcBorders>
              <w:top w:val="single" w:sz="4" w:space="0" w:color="auto"/>
              <w:left w:val="single" w:sz="4" w:space="0" w:color="auto"/>
              <w:bottom w:val="single" w:sz="4" w:space="0" w:color="auto"/>
              <w:right w:val="single" w:sz="4" w:space="0" w:color="auto"/>
            </w:tcBorders>
            <w:noWrap/>
            <w:vAlign w:val="center"/>
          </w:tcPr>
          <w:p w14:paraId="650BC674" w14:textId="3ABEEC20" w:rsidR="00E52F50" w:rsidRPr="00675182" w:rsidRDefault="00E52F50" w:rsidP="00CF5379">
            <w:pPr>
              <w:rPr>
                <w:rFonts w:eastAsia="Times New Roman" w:cstheme="minorHAnsi"/>
                <w:i/>
                <w:color w:val="000000"/>
                <w:sz w:val="22"/>
                <w:szCs w:val="22"/>
                <w:lang w:eastAsia="en-GB"/>
              </w:rPr>
            </w:pPr>
            <w:r w:rsidRPr="00675182">
              <w:rPr>
                <w:rFonts w:cstheme="minorHAnsi"/>
                <w:i/>
                <w:iCs/>
                <w:sz w:val="22"/>
                <w:szCs w:val="22"/>
              </w:rPr>
              <w:t>Martes martes</w:t>
            </w:r>
          </w:p>
        </w:tc>
        <w:tc>
          <w:tcPr>
            <w:tcW w:w="505" w:type="pct"/>
            <w:tcBorders>
              <w:top w:val="single" w:sz="4" w:space="0" w:color="auto"/>
              <w:left w:val="single" w:sz="4" w:space="0" w:color="auto"/>
              <w:bottom w:val="single" w:sz="4" w:space="0" w:color="auto"/>
              <w:right w:val="single" w:sz="4" w:space="0" w:color="auto"/>
            </w:tcBorders>
            <w:vAlign w:val="center"/>
          </w:tcPr>
          <w:p w14:paraId="0FC94136" w14:textId="49755F5E" w:rsidR="00E52F50" w:rsidRPr="00675182" w:rsidRDefault="00E52F50" w:rsidP="00CF5379">
            <w:pPr>
              <w:rPr>
                <w:rFonts w:eastAsia="Times New Roman" w:cstheme="minorHAnsi"/>
                <w:sz w:val="22"/>
                <w:szCs w:val="22"/>
                <w:lang w:eastAsia="en-GB"/>
              </w:rPr>
            </w:pPr>
            <w:r w:rsidRPr="00675182">
              <w:rPr>
                <w:rFonts w:eastAsia="Times New Roman" w:cstheme="minorHAnsi"/>
                <w:sz w:val="22"/>
                <w:szCs w:val="22"/>
                <w:lang w:eastAsia="en-GB"/>
              </w:rPr>
              <w:t>ĪAS 2</w:t>
            </w:r>
          </w:p>
        </w:tc>
        <w:tc>
          <w:tcPr>
            <w:tcW w:w="984" w:type="pct"/>
            <w:tcBorders>
              <w:top w:val="single" w:sz="4" w:space="0" w:color="auto"/>
              <w:left w:val="single" w:sz="4" w:space="0" w:color="auto"/>
              <w:bottom w:val="single" w:sz="4" w:space="0" w:color="auto"/>
              <w:right w:val="single" w:sz="4" w:space="0" w:color="auto"/>
            </w:tcBorders>
            <w:vAlign w:val="center"/>
          </w:tcPr>
          <w:p w14:paraId="36D76BC4" w14:textId="36D86786" w:rsidR="00E52F50" w:rsidRPr="00675182" w:rsidRDefault="00E52F50" w:rsidP="00CF5379">
            <w:pPr>
              <w:rPr>
                <w:rFonts w:cstheme="minorHAnsi"/>
                <w:color w:val="000000"/>
                <w:sz w:val="22"/>
                <w:szCs w:val="22"/>
              </w:rPr>
            </w:pPr>
            <w:r w:rsidRPr="00675182">
              <w:rPr>
                <w:rFonts w:cstheme="minorHAnsi"/>
                <w:color w:val="000000"/>
                <w:sz w:val="22"/>
                <w:szCs w:val="22"/>
              </w:rPr>
              <w:t>Bernes konv.</w:t>
            </w:r>
          </w:p>
        </w:tc>
        <w:tc>
          <w:tcPr>
            <w:tcW w:w="683"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14E0C0F" w14:textId="2708595F" w:rsidR="00E52F50" w:rsidRPr="00675182" w:rsidRDefault="00E52F50" w:rsidP="006D6576">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FV</w:t>
            </w:r>
          </w:p>
        </w:tc>
        <w:tc>
          <w:tcPr>
            <w:tcW w:w="683" w:type="pct"/>
            <w:tcBorders>
              <w:top w:val="single" w:sz="4" w:space="0" w:color="auto"/>
              <w:left w:val="single" w:sz="4" w:space="0" w:color="auto"/>
              <w:bottom w:val="single" w:sz="4" w:space="0" w:color="auto"/>
              <w:right w:val="single" w:sz="4" w:space="0" w:color="auto"/>
            </w:tcBorders>
            <w:vAlign w:val="center"/>
          </w:tcPr>
          <w:p w14:paraId="2A31445D" w14:textId="06595540" w:rsidR="00E52F50" w:rsidRPr="00675182" w:rsidRDefault="00E52F50" w:rsidP="00CF5379">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Atsevišķi novērojumi</w:t>
            </w:r>
          </w:p>
        </w:tc>
      </w:tr>
      <w:tr w:rsidR="00E52F50" w:rsidRPr="00675182" w14:paraId="3AD48747"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2E49C6FD" w14:textId="2C283385" w:rsidR="00E52F50" w:rsidRPr="00675182" w:rsidRDefault="00E52F50" w:rsidP="00E52F5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7.</w:t>
            </w:r>
          </w:p>
        </w:tc>
        <w:tc>
          <w:tcPr>
            <w:tcW w:w="712" w:type="pct"/>
            <w:tcBorders>
              <w:top w:val="single" w:sz="4" w:space="0" w:color="auto"/>
              <w:left w:val="single" w:sz="4" w:space="0" w:color="auto"/>
              <w:bottom w:val="single" w:sz="4" w:space="0" w:color="auto"/>
              <w:right w:val="single" w:sz="4" w:space="0" w:color="auto"/>
            </w:tcBorders>
            <w:noWrap/>
            <w:vAlign w:val="center"/>
          </w:tcPr>
          <w:p w14:paraId="5F639A38" w14:textId="1D4D42CB" w:rsidR="00E52F50" w:rsidRPr="00675182" w:rsidRDefault="00E52F50" w:rsidP="00E52F50">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Meža sesks</w:t>
            </w:r>
          </w:p>
        </w:tc>
        <w:tc>
          <w:tcPr>
            <w:tcW w:w="721" w:type="pct"/>
            <w:tcBorders>
              <w:top w:val="single" w:sz="4" w:space="0" w:color="auto"/>
              <w:left w:val="single" w:sz="4" w:space="0" w:color="auto"/>
              <w:bottom w:val="single" w:sz="4" w:space="0" w:color="auto"/>
              <w:right w:val="single" w:sz="4" w:space="0" w:color="auto"/>
            </w:tcBorders>
            <w:noWrap/>
            <w:vAlign w:val="center"/>
          </w:tcPr>
          <w:p w14:paraId="0B204D09" w14:textId="3808388B" w:rsidR="00E52F50" w:rsidRPr="00675182" w:rsidRDefault="00E52F50" w:rsidP="00CF5379">
            <w:pPr>
              <w:rPr>
                <w:rFonts w:eastAsia="Times New Roman" w:cstheme="minorHAnsi"/>
                <w:i/>
                <w:color w:val="000000"/>
                <w:sz w:val="22"/>
                <w:szCs w:val="22"/>
                <w:lang w:eastAsia="en-GB"/>
              </w:rPr>
            </w:pPr>
            <w:r w:rsidRPr="00675182">
              <w:rPr>
                <w:rFonts w:cstheme="minorHAnsi"/>
                <w:i/>
                <w:iCs/>
                <w:sz w:val="22"/>
                <w:szCs w:val="22"/>
              </w:rPr>
              <w:t>Mustela putorius</w:t>
            </w:r>
          </w:p>
        </w:tc>
        <w:tc>
          <w:tcPr>
            <w:tcW w:w="505" w:type="pct"/>
            <w:tcBorders>
              <w:top w:val="single" w:sz="4" w:space="0" w:color="auto"/>
              <w:left w:val="single" w:sz="4" w:space="0" w:color="auto"/>
              <w:bottom w:val="single" w:sz="4" w:space="0" w:color="auto"/>
              <w:right w:val="single" w:sz="4" w:space="0" w:color="auto"/>
            </w:tcBorders>
            <w:vAlign w:val="center"/>
          </w:tcPr>
          <w:p w14:paraId="7137FAF4" w14:textId="2E6DFB52" w:rsidR="00E52F50" w:rsidRPr="00675182" w:rsidRDefault="00E52F50" w:rsidP="00CF5379">
            <w:pPr>
              <w:rPr>
                <w:rFonts w:eastAsia="Times New Roman" w:cstheme="minorHAnsi"/>
                <w:sz w:val="22"/>
                <w:szCs w:val="22"/>
                <w:lang w:eastAsia="en-GB"/>
              </w:rPr>
            </w:pPr>
            <w:r w:rsidRPr="00675182">
              <w:rPr>
                <w:rFonts w:eastAsia="Times New Roman" w:cstheme="minorHAnsi"/>
                <w:sz w:val="22"/>
                <w:szCs w:val="22"/>
                <w:lang w:eastAsia="en-GB"/>
              </w:rPr>
              <w:t>ĪAS 2</w:t>
            </w:r>
          </w:p>
        </w:tc>
        <w:tc>
          <w:tcPr>
            <w:tcW w:w="984" w:type="pct"/>
            <w:tcBorders>
              <w:top w:val="single" w:sz="4" w:space="0" w:color="auto"/>
              <w:left w:val="single" w:sz="4" w:space="0" w:color="auto"/>
              <w:bottom w:val="single" w:sz="4" w:space="0" w:color="auto"/>
              <w:right w:val="single" w:sz="4" w:space="0" w:color="auto"/>
            </w:tcBorders>
            <w:vAlign w:val="center"/>
          </w:tcPr>
          <w:p w14:paraId="0BA354AF" w14:textId="4C4F55ED" w:rsidR="00E52F50" w:rsidRPr="00675182" w:rsidRDefault="00E52F50" w:rsidP="00CF5379">
            <w:pPr>
              <w:rPr>
                <w:rFonts w:cstheme="minorHAnsi"/>
                <w:color w:val="000000"/>
                <w:sz w:val="22"/>
                <w:szCs w:val="22"/>
              </w:rPr>
            </w:pPr>
            <w:r w:rsidRPr="00675182">
              <w:rPr>
                <w:rFonts w:cstheme="minorHAnsi"/>
                <w:color w:val="000000"/>
                <w:sz w:val="22"/>
                <w:szCs w:val="22"/>
              </w:rPr>
              <w:t>Bernes konv.</w:t>
            </w:r>
          </w:p>
        </w:tc>
        <w:tc>
          <w:tcPr>
            <w:tcW w:w="683"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13F482BC" w14:textId="1AA03679" w:rsidR="00E52F50" w:rsidRPr="00675182" w:rsidRDefault="00E52F50" w:rsidP="006D6576">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FV</w:t>
            </w:r>
          </w:p>
        </w:tc>
        <w:tc>
          <w:tcPr>
            <w:tcW w:w="683" w:type="pct"/>
            <w:tcBorders>
              <w:top w:val="single" w:sz="4" w:space="0" w:color="auto"/>
              <w:left w:val="single" w:sz="4" w:space="0" w:color="auto"/>
              <w:bottom w:val="single" w:sz="4" w:space="0" w:color="auto"/>
              <w:right w:val="single" w:sz="4" w:space="0" w:color="auto"/>
            </w:tcBorders>
            <w:vAlign w:val="center"/>
          </w:tcPr>
          <w:p w14:paraId="264832E0" w14:textId="0F567D7A" w:rsidR="00E52F50" w:rsidRPr="00675182" w:rsidRDefault="00E52F50" w:rsidP="00CF5379">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Atsevišķi novērojumi</w:t>
            </w:r>
          </w:p>
        </w:tc>
      </w:tr>
      <w:tr w:rsidR="00E52F50" w:rsidRPr="00675182" w14:paraId="45FCAE6C"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21430D9F" w14:textId="041869AC" w:rsidR="00E52F50" w:rsidRPr="00675182" w:rsidRDefault="00E52F50" w:rsidP="00E52F5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w:t>
            </w:r>
          </w:p>
        </w:tc>
        <w:tc>
          <w:tcPr>
            <w:tcW w:w="712" w:type="pct"/>
            <w:tcBorders>
              <w:top w:val="single" w:sz="4" w:space="0" w:color="auto"/>
              <w:left w:val="single" w:sz="4" w:space="0" w:color="auto"/>
              <w:bottom w:val="single" w:sz="4" w:space="0" w:color="auto"/>
              <w:right w:val="single" w:sz="4" w:space="0" w:color="auto"/>
            </w:tcBorders>
            <w:noWrap/>
            <w:vAlign w:val="center"/>
          </w:tcPr>
          <w:p w14:paraId="246E481B" w14:textId="379A8F60" w:rsidR="00E52F50" w:rsidRPr="00675182" w:rsidRDefault="00E52F50" w:rsidP="00E52F50">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Lielais susuris</w:t>
            </w:r>
          </w:p>
        </w:tc>
        <w:tc>
          <w:tcPr>
            <w:tcW w:w="721" w:type="pct"/>
            <w:tcBorders>
              <w:top w:val="single" w:sz="4" w:space="0" w:color="auto"/>
              <w:left w:val="single" w:sz="4" w:space="0" w:color="auto"/>
              <w:bottom w:val="single" w:sz="4" w:space="0" w:color="auto"/>
              <w:right w:val="single" w:sz="4" w:space="0" w:color="auto"/>
            </w:tcBorders>
            <w:noWrap/>
            <w:vAlign w:val="center"/>
          </w:tcPr>
          <w:p w14:paraId="35D10841" w14:textId="3F7B2FF0" w:rsidR="00E52F50" w:rsidRPr="00675182" w:rsidRDefault="00E52F50" w:rsidP="00CF5379">
            <w:pPr>
              <w:rPr>
                <w:rFonts w:eastAsia="Times New Roman" w:cstheme="minorHAnsi"/>
                <w:i/>
                <w:color w:val="000000"/>
                <w:sz w:val="22"/>
                <w:szCs w:val="22"/>
                <w:lang w:eastAsia="en-GB"/>
              </w:rPr>
            </w:pPr>
            <w:r w:rsidRPr="00675182">
              <w:rPr>
                <w:rFonts w:cstheme="minorHAnsi"/>
                <w:i/>
                <w:iCs/>
                <w:sz w:val="22"/>
                <w:szCs w:val="22"/>
              </w:rPr>
              <w:t>Glis glis</w:t>
            </w:r>
          </w:p>
        </w:tc>
        <w:tc>
          <w:tcPr>
            <w:tcW w:w="505" w:type="pct"/>
            <w:tcBorders>
              <w:top w:val="single" w:sz="4" w:space="0" w:color="auto"/>
              <w:left w:val="single" w:sz="4" w:space="0" w:color="auto"/>
              <w:bottom w:val="single" w:sz="4" w:space="0" w:color="auto"/>
              <w:right w:val="single" w:sz="4" w:space="0" w:color="auto"/>
            </w:tcBorders>
            <w:vAlign w:val="center"/>
          </w:tcPr>
          <w:p w14:paraId="2F36744A" w14:textId="73EAF0C3" w:rsidR="00E52F50" w:rsidRPr="00675182" w:rsidRDefault="00E52F50" w:rsidP="00CF5379">
            <w:pPr>
              <w:rPr>
                <w:rFonts w:eastAsia="Times New Roman" w:cstheme="minorHAnsi"/>
                <w:sz w:val="22"/>
                <w:szCs w:val="22"/>
                <w:lang w:eastAsia="en-GB"/>
              </w:rPr>
            </w:pPr>
            <w:r w:rsidRPr="00675182">
              <w:rPr>
                <w:rFonts w:eastAsia="Times New Roman" w:cstheme="minorHAnsi"/>
                <w:sz w:val="22"/>
                <w:szCs w:val="22"/>
                <w:lang w:eastAsia="en-GB"/>
              </w:rPr>
              <w:t>ĪAS 1</w:t>
            </w:r>
          </w:p>
        </w:tc>
        <w:tc>
          <w:tcPr>
            <w:tcW w:w="984" w:type="pct"/>
            <w:tcBorders>
              <w:top w:val="single" w:sz="4" w:space="0" w:color="auto"/>
              <w:left w:val="single" w:sz="4" w:space="0" w:color="auto"/>
              <w:bottom w:val="single" w:sz="4" w:space="0" w:color="auto"/>
              <w:right w:val="single" w:sz="4" w:space="0" w:color="auto"/>
            </w:tcBorders>
            <w:vAlign w:val="center"/>
          </w:tcPr>
          <w:p w14:paraId="57180A15" w14:textId="0CAA8FFE" w:rsidR="00E52F50" w:rsidRPr="00675182" w:rsidRDefault="00E52F50" w:rsidP="00CF5379">
            <w:pPr>
              <w:rPr>
                <w:rFonts w:cstheme="minorHAnsi"/>
                <w:color w:val="000000"/>
                <w:sz w:val="22"/>
                <w:szCs w:val="22"/>
              </w:rPr>
            </w:pPr>
            <w:r w:rsidRPr="00675182">
              <w:rPr>
                <w:rFonts w:cstheme="minorHAnsi"/>
                <w:color w:val="000000"/>
                <w:sz w:val="22"/>
                <w:szCs w:val="22"/>
              </w:rPr>
              <w:t>SG II, Bernes konv.</w:t>
            </w:r>
          </w:p>
        </w:tc>
        <w:tc>
          <w:tcPr>
            <w:tcW w:w="6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47A13E" w14:textId="77777777" w:rsidR="00E52F50" w:rsidRPr="00675182" w:rsidRDefault="00E52F50" w:rsidP="006D6576">
            <w:pPr>
              <w:jc w:val="center"/>
              <w:rPr>
                <w:rFonts w:eastAsia="Times New Roman" w:cstheme="minorHAnsi"/>
                <w:color w:val="000000"/>
                <w:sz w:val="22"/>
                <w:szCs w:val="22"/>
                <w:lang w:eastAsia="en-GB"/>
              </w:rPr>
            </w:pPr>
          </w:p>
        </w:tc>
        <w:tc>
          <w:tcPr>
            <w:tcW w:w="683" w:type="pct"/>
            <w:tcBorders>
              <w:top w:val="single" w:sz="4" w:space="0" w:color="auto"/>
              <w:left w:val="single" w:sz="4" w:space="0" w:color="auto"/>
              <w:bottom w:val="single" w:sz="4" w:space="0" w:color="auto"/>
              <w:right w:val="single" w:sz="4" w:space="0" w:color="auto"/>
            </w:tcBorders>
            <w:vAlign w:val="center"/>
          </w:tcPr>
          <w:p w14:paraId="6701AAA7" w14:textId="429612C8" w:rsidR="00E52F50" w:rsidRPr="00675182" w:rsidRDefault="00E52F50" w:rsidP="00CF5379">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Atsevišķās vietās</w:t>
            </w:r>
          </w:p>
        </w:tc>
      </w:tr>
      <w:tr w:rsidR="00E52F50" w:rsidRPr="00675182" w14:paraId="222F8CB2"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79EF6209" w14:textId="125B6A36" w:rsidR="00E52F50" w:rsidRPr="00675182" w:rsidRDefault="00E52F50" w:rsidP="00E52F5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9.</w:t>
            </w:r>
          </w:p>
        </w:tc>
        <w:tc>
          <w:tcPr>
            <w:tcW w:w="712" w:type="pct"/>
            <w:tcBorders>
              <w:top w:val="single" w:sz="4" w:space="0" w:color="auto"/>
              <w:left w:val="single" w:sz="4" w:space="0" w:color="auto"/>
              <w:bottom w:val="single" w:sz="4" w:space="0" w:color="auto"/>
              <w:right w:val="single" w:sz="4" w:space="0" w:color="auto"/>
            </w:tcBorders>
            <w:noWrap/>
            <w:vAlign w:val="center"/>
          </w:tcPr>
          <w:p w14:paraId="6F90DDBD" w14:textId="58064E24" w:rsidR="00E52F50" w:rsidRPr="00675182" w:rsidRDefault="00E52F50" w:rsidP="00E52F50">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Baltais zaķis</w:t>
            </w:r>
          </w:p>
        </w:tc>
        <w:tc>
          <w:tcPr>
            <w:tcW w:w="721" w:type="pct"/>
            <w:tcBorders>
              <w:top w:val="single" w:sz="4" w:space="0" w:color="auto"/>
              <w:left w:val="single" w:sz="4" w:space="0" w:color="auto"/>
              <w:bottom w:val="single" w:sz="4" w:space="0" w:color="auto"/>
              <w:right w:val="single" w:sz="4" w:space="0" w:color="auto"/>
            </w:tcBorders>
            <w:noWrap/>
            <w:vAlign w:val="center"/>
          </w:tcPr>
          <w:p w14:paraId="2397A036" w14:textId="04F0A195" w:rsidR="00E52F50" w:rsidRPr="00675182" w:rsidRDefault="00E52F50" w:rsidP="00CF5379">
            <w:pPr>
              <w:rPr>
                <w:rFonts w:eastAsia="Times New Roman" w:cstheme="minorHAnsi"/>
                <w:i/>
                <w:color w:val="000000"/>
                <w:sz w:val="22"/>
                <w:szCs w:val="22"/>
                <w:lang w:eastAsia="en-GB"/>
              </w:rPr>
            </w:pPr>
            <w:r w:rsidRPr="00675182">
              <w:rPr>
                <w:rFonts w:cstheme="minorHAnsi"/>
                <w:i/>
                <w:iCs/>
                <w:sz w:val="22"/>
                <w:szCs w:val="22"/>
              </w:rPr>
              <w:t>Lepus timidus</w:t>
            </w:r>
          </w:p>
        </w:tc>
        <w:tc>
          <w:tcPr>
            <w:tcW w:w="505" w:type="pct"/>
            <w:tcBorders>
              <w:top w:val="single" w:sz="4" w:space="0" w:color="auto"/>
              <w:left w:val="single" w:sz="4" w:space="0" w:color="auto"/>
              <w:bottom w:val="single" w:sz="4" w:space="0" w:color="auto"/>
              <w:right w:val="single" w:sz="4" w:space="0" w:color="auto"/>
            </w:tcBorders>
            <w:vAlign w:val="center"/>
          </w:tcPr>
          <w:p w14:paraId="0AE9F789" w14:textId="1E739730" w:rsidR="00E52F50" w:rsidRPr="00675182" w:rsidRDefault="00E52F50" w:rsidP="00CF5379">
            <w:pPr>
              <w:rPr>
                <w:rFonts w:eastAsia="Times New Roman" w:cstheme="minorHAnsi"/>
                <w:sz w:val="22"/>
                <w:szCs w:val="22"/>
                <w:lang w:eastAsia="en-GB"/>
              </w:rPr>
            </w:pPr>
            <w:r w:rsidRPr="00675182">
              <w:rPr>
                <w:rFonts w:eastAsia="Times New Roman" w:cstheme="minorHAnsi"/>
                <w:sz w:val="22"/>
                <w:szCs w:val="22"/>
                <w:lang w:eastAsia="en-GB"/>
              </w:rPr>
              <w:t>ĪAS 2, ES V</w:t>
            </w:r>
          </w:p>
        </w:tc>
        <w:tc>
          <w:tcPr>
            <w:tcW w:w="984" w:type="pct"/>
            <w:tcBorders>
              <w:top w:val="single" w:sz="4" w:space="0" w:color="auto"/>
              <w:left w:val="single" w:sz="4" w:space="0" w:color="auto"/>
              <w:bottom w:val="single" w:sz="4" w:space="0" w:color="auto"/>
              <w:right w:val="single" w:sz="4" w:space="0" w:color="auto"/>
            </w:tcBorders>
            <w:vAlign w:val="center"/>
          </w:tcPr>
          <w:p w14:paraId="4CC9F3EC" w14:textId="537BDFE8" w:rsidR="00E52F50" w:rsidRPr="00675182" w:rsidRDefault="00E52F50" w:rsidP="00CF5379">
            <w:pPr>
              <w:rPr>
                <w:rFonts w:cstheme="minorHAnsi"/>
                <w:color w:val="000000"/>
                <w:sz w:val="22"/>
                <w:szCs w:val="22"/>
              </w:rPr>
            </w:pPr>
            <w:r w:rsidRPr="00675182">
              <w:rPr>
                <w:rFonts w:cstheme="minorHAnsi"/>
                <w:color w:val="000000"/>
                <w:sz w:val="22"/>
                <w:szCs w:val="22"/>
              </w:rPr>
              <w:t>Bernes konv.</w:t>
            </w:r>
          </w:p>
        </w:tc>
        <w:tc>
          <w:tcPr>
            <w:tcW w:w="683"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A9F8490" w14:textId="5249AE75" w:rsidR="00E52F50" w:rsidRPr="00675182" w:rsidRDefault="00E52F50" w:rsidP="006D6576">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U1</w:t>
            </w:r>
          </w:p>
        </w:tc>
        <w:tc>
          <w:tcPr>
            <w:tcW w:w="683" w:type="pct"/>
            <w:tcBorders>
              <w:top w:val="single" w:sz="4" w:space="0" w:color="auto"/>
              <w:left w:val="single" w:sz="4" w:space="0" w:color="auto"/>
              <w:bottom w:val="single" w:sz="4" w:space="0" w:color="auto"/>
              <w:right w:val="single" w:sz="4" w:space="0" w:color="auto"/>
            </w:tcBorders>
            <w:vAlign w:val="center"/>
          </w:tcPr>
          <w:p w14:paraId="54AD94BA" w14:textId="6FB69CE9" w:rsidR="00E52F50" w:rsidRPr="00675182" w:rsidRDefault="00E52F50" w:rsidP="00CF5379">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Atsevišķi novērojumi</w:t>
            </w:r>
          </w:p>
        </w:tc>
      </w:tr>
      <w:tr w:rsidR="00B56AAB" w:rsidRPr="00675182" w14:paraId="066ADDCC"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3A443A17" w14:textId="5E208982" w:rsidR="00B56AAB" w:rsidRPr="00675182" w:rsidRDefault="00B56AAB"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10.</w:t>
            </w:r>
          </w:p>
        </w:tc>
        <w:tc>
          <w:tcPr>
            <w:tcW w:w="712" w:type="pct"/>
            <w:tcBorders>
              <w:top w:val="single" w:sz="4" w:space="0" w:color="auto"/>
              <w:left w:val="single" w:sz="4" w:space="0" w:color="auto"/>
              <w:bottom w:val="single" w:sz="4" w:space="0" w:color="auto"/>
              <w:right w:val="single" w:sz="4" w:space="0" w:color="auto"/>
            </w:tcBorders>
            <w:noWrap/>
            <w:vAlign w:val="center"/>
          </w:tcPr>
          <w:p w14:paraId="66754F52" w14:textId="7E5BEE94"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Ūdeņu naktssikspārnis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3D70DF8C" w14:textId="27DCAA73"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Myotis daubentonii</w:t>
            </w:r>
          </w:p>
        </w:tc>
        <w:tc>
          <w:tcPr>
            <w:tcW w:w="505" w:type="pct"/>
            <w:tcBorders>
              <w:top w:val="single" w:sz="4" w:space="0" w:color="auto"/>
              <w:left w:val="single" w:sz="4" w:space="0" w:color="auto"/>
              <w:bottom w:val="single" w:sz="4" w:space="0" w:color="auto"/>
              <w:right w:val="single" w:sz="4" w:space="0" w:color="auto"/>
            </w:tcBorders>
            <w:vAlign w:val="center"/>
          </w:tcPr>
          <w:p w14:paraId="2E3CC0C6" w14:textId="5783D79E"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6BBC2745" w14:textId="77F39A11"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2C3B7CE0" w14:textId="576A7DED" w:rsidR="00B56AAB" w:rsidRPr="00675182" w:rsidRDefault="00B56AAB" w:rsidP="006D6576">
            <w:pPr>
              <w:jc w:val="center"/>
              <w:rPr>
                <w:rFonts w:eastAsia="Times New Roman" w:cstheme="minorHAnsi"/>
                <w:color w:val="000000"/>
                <w:sz w:val="22"/>
                <w:szCs w:val="22"/>
                <w:lang w:eastAsia="en-GB"/>
              </w:rPr>
            </w:pPr>
            <w:r w:rsidRPr="00675182">
              <w:rPr>
                <w:rFonts w:cstheme="minorHAnsi"/>
                <w:color w:val="000000"/>
                <w:sz w:val="22"/>
                <w:szCs w:val="22"/>
                <w:lang w:eastAsia="en-US"/>
              </w:rPr>
              <w:t>FV</w:t>
            </w:r>
          </w:p>
        </w:tc>
        <w:tc>
          <w:tcPr>
            <w:tcW w:w="683" w:type="pct"/>
            <w:tcBorders>
              <w:top w:val="single" w:sz="4" w:space="0" w:color="auto"/>
              <w:left w:val="single" w:sz="4" w:space="0" w:color="auto"/>
              <w:bottom w:val="single" w:sz="4" w:space="0" w:color="auto"/>
              <w:right w:val="single" w:sz="4" w:space="0" w:color="auto"/>
            </w:tcBorders>
            <w:vAlign w:val="center"/>
          </w:tcPr>
          <w:p w14:paraId="01326C21" w14:textId="2B6DE1C3"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Ziemo, vasarā; bieži</w:t>
            </w:r>
          </w:p>
        </w:tc>
      </w:tr>
      <w:tr w:rsidR="00B56AAB" w:rsidRPr="00675182" w14:paraId="796E1962" w14:textId="77777777" w:rsidTr="00CF5379">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12F5DCC8" w14:textId="01BCB41F"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11.</w:t>
            </w:r>
          </w:p>
        </w:tc>
        <w:tc>
          <w:tcPr>
            <w:tcW w:w="712" w:type="pct"/>
            <w:tcBorders>
              <w:top w:val="single" w:sz="4" w:space="0" w:color="auto"/>
              <w:left w:val="single" w:sz="4" w:space="0" w:color="auto"/>
              <w:bottom w:val="single" w:sz="4" w:space="0" w:color="auto"/>
              <w:right w:val="single" w:sz="4" w:space="0" w:color="auto"/>
            </w:tcBorders>
            <w:noWrap/>
            <w:vAlign w:val="center"/>
          </w:tcPr>
          <w:p w14:paraId="7D23A16B" w14:textId="317AC890"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Branta naktssikspārnis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5AF491FC" w14:textId="4E6D042B"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Myotis brandtii</w:t>
            </w:r>
          </w:p>
        </w:tc>
        <w:tc>
          <w:tcPr>
            <w:tcW w:w="505" w:type="pct"/>
            <w:tcBorders>
              <w:top w:val="single" w:sz="4" w:space="0" w:color="auto"/>
              <w:left w:val="single" w:sz="4" w:space="0" w:color="auto"/>
              <w:bottom w:val="single" w:sz="4" w:space="0" w:color="auto"/>
              <w:right w:val="single" w:sz="4" w:space="0" w:color="auto"/>
            </w:tcBorders>
            <w:vAlign w:val="center"/>
          </w:tcPr>
          <w:p w14:paraId="73916429" w14:textId="4745C6E1"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2BBC5D26" w14:textId="5AEB76BC"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44E5624" w14:textId="1636F1B3" w:rsidR="00B56AAB" w:rsidRPr="00675182" w:rsidRDefault="00B56AAB" w:rsidP="006D6576">
            <w:pPr>
              <w:jc w:val="center"/>
              <w:rPr>
                <w:rFonts w:eastAsia="Times New Roman" w:cstheme="minorHAnsi"/>
                <w:color w:val="000000"/>
                <w:sz w:val="22"/>
                <w:szCs w:val="22"/>
                <w:lang w:eastAsia="en-GB"/>
              </w:rPr>
            </w:pPr>
            <w:r w:rsidRPr="00675182">
              <w:rPr>
                <w:rFonts w:cstheme="minorHAnsi"/>
                <w:color w:val="000000"/>
                <w:sz w:val="22"/>
                <w:szCs w:val="22"/>
                <w:lang w:eastAsia="en-US"/>
              </w:rPr>
              <w:t>XX</w:t>
            </w:r>
          </w:p>
        </w:tc>
        <w:tc>
          <w:tcPr>
            <w:tcW w:w="683" w:type="pct"/>
            <w:tcBorders>
              <w:top w:val="single" w:sz="4" w:space="0" w:color="auto"/>
              <w:left w:val="single" w:sz="4" w:space="0" w:color="auto"/>
              <w:bottom w:val="single" w:sz="4" w:space="0" w:color="auto"/>
              <w:right w:val="single" w:sz="4" w:space="0" w:color="auto"/>
            </w:tcBorders>
            <w:vAlign w:val="center"/>
          </w:tcPr>
          <w:p w14:paraId="7C4B8D06" w14:textId="54E32CFA"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Ziemo, vasarā, statuss nav precīzi zināms</w:t>
            </w:r>
          </w:p>
        </w:tc>
      </w:tr>
      <w:tr w:rsidR="00B56AAB" w:rsidRPr="00675182" w14:paraId="30ABC717" w14:textId="77777777" w:rsidTr="00CF5379">
        <w:trPr>
          <w:trHeight w:val="20"/>
        </w:trPr>
        <w:tc>
          <w:tcPr>
            <w:tcW w:w="712" w:type="pct"/>
            <w:vAlign w:val="center"/>
          </w:tcPr>
          <w:p w14:paraId="26F5CE4F" w14:textId="06E11C25"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12.</w:t>
            </w:r>
          </w:p>
        </w:tc>
        <w:tc>
          <w:tcPr>
            <w:tcW w:w="712" w:type="pct"/>
            <w:tcBorders>
              <w:top w:val="single" w:sz="4" w:space="0" w:color="auto"/>
              <w:left w:val="single" w:sz="4" w:space="0" w:color="auto"/>
              <w:bottom w:val="single" w:sz="4" w:space="0" w:color="auto"/>
              <w:right w:val="single" w:sz="4" w:space="0" w:color="auto"/>
            </w:tcBorders>
            <w:noWrap/>
            <w:vAlign w:val="center"/>
          </w:tcPr>
          <w:p w14:paraId="3EF8844A" w14:textId="2A416191"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Bārdainais naktssikspārnis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5EF7F1AF" w14:textId="2948BCFC"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Myotis mystacinus</w:t>
            </w:r>
          </w:p>
        </w:tc>
        <w:tc>
          <w:tcPr>
            <w:tcW w:w="505" w:type="pct"/>
            <w:tcBorders>
              <w:top w:val="single" w:sz="4" w:space="0" w:color="auto"/>
              <w:left w:val="single" w:sz="4" w:space="0" w:color="auto"/>
              <w:bottom w:val="single" w:sz="4" w:space="0" w:color="auto"/>
              <w:right w:val="single" w:sz="4" w:space="0" w:color="auto"/>
            </w:tcBorders>
            <w:vAlign w:val="center"/>
          </w:tcPr>
          <w:p w14:paraId="68FFA881" w14:textId="6686EA0F"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32F04637" w14:textId="60CE2B79"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6C26E4B" w14:textId="60669B9E" w:rsidR="00B56AAB" w:rsidRPr="00675182" w:rsidRDefault="00B56AAB" w:rsidP="006D6576">
            <w:pPr>
              <w:jc w:val="center"/>
              <w:rPr>
                <w:rFonts w:eastAsia="Times New Roman" w:cstheme="minorHAnsi"/>
                <w:color w:val="000000"/>
                <w:sz w:val="22"/>
                <w:szCs w:val="22"/>
                <w:lang w:eastAsia="en-GB"/>
              </w:rPr>
            </w:pPr>
            <w:r w:rsidRPr="00675182">
              <w:rPr>
                <w:rFonts w:cstheme="minorHAnsi"/>
                <w:color w:val="000000"/>
                <w:sz w:val="22"/>
                <w:szCs w:val="22"/>
                <w:lang w:eastAsia="en-US"/>
              </w:rPr>
              <w:t>XX</w:t>
            </w:r>
          </w:p>
        </w:tc>
        <w:tc>
          <w:tcPr>
            <w:tcW w:w="683" w:type="pct"/>
            <w:tcBorders>
              <w:top w:val="single" w:sz="4" w:space="0" w:color="auto"/>
              <w:left w:val="single" w:sz="4" w:space="0" w:color="auto"/>
              <w:bottom w:val="single" w:sz="4" w:space="0" w:color="auto"/>
              <w:right w:val="single" w:sz="4" w:space="0" w:color="auto"/>
            </w:tcBorders>
            <w:vAlign w:val="center"/>
          </w:tcPr>
          <w:p w14:paraId="2C0E0392" w14:textId="5B6CF45B"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Ziemo, vasarā, reti</w:t>
            </w:r>
          </w:p>
        </w:tc>
      </w:tr>
      <w:tr w:rsidR="00B56AAB" w:rsidRPr="00675182" w14:paraId="6FFD7D92" w14:textId="77777777" w:rsidTr="00CF5379">
        <w:trPr>
          <w:trHeight w:val="20"/>
        </w:trPr>
        <w:tc>
          <w:tcPr>
            <w:tcW w:w="712" w:type="pct"/>
            <w:vAlign w:val="center"/>
          </w:tcPr>
          <w:p w14:paraId="087F836E" w14:textId="76EA1EF3"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lastRenderedPageBreak/>
              <w:t>13.</w:t>
            </w:r>
          </w:p>
        </w:tc>
        <w:tc>
          <w:tcPr>
            <w:tcW w:w="712" w:type="pct"/>
            <w:tcBorders>
              <w:top w:val="single" w:sz="4" w:space="0" w:color="auto"/>
              <w:left w:val="single" w:sz="4" w:space="0" w:color="auto"/>
              <w:bottom w:val="single" w:sz="4" w:space="0" w:color="auto"/>
              <w:right w:val="single" w:sz="4" w:space="0" w:color="auto"/>
            </w:tcBorders>
            <w:noWrap/>
            <w:vAlign w:val="center"/>
          </w:tcPr>
          <w:p w14:paraId="1EE1D054" w14:textId="7DE73FD7"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Naterera naktssikspārnis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5801F74A" w14:textId="2B8913D1"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Myotis nattereri</w:t>
            </w:r>
          </w:p>
        </w:tc>
        <w:tc>
          <w:tcPr>
            <w:tcW w:w="505" w:type="pct"/>
            <w:tcBorders>
              <w:top w:val="single" w:sz="4" w:space="0" w:color="auto"/>
              <w:left w:val="single" w:sz="4" w:space="0" w:color="auto"/>
              <w:bottom w:val="single" w:sz="4" w:space="0" w:color="auto"/>
              <w:right w:val="single" w:sz="4" w:space="0" w:color="auto"/>
            </w:tcBorders>
            <w:vAlign w:val="center"/>
          </w:tcPr>
          <w:p w14:paraId="5E78A461" w14:textId="44CA0461"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5546F68D" w14:textId="1516D3B5"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E6D6CD8" w14:textId="27C491C2"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XX</w:t>
            </w:r>
          </w:p>
        </w:tc>
        <w:tc>
          <w:tcPr>
            <w:tcW w:w="683" w:type="pct"/>
            <w:tcBorders>
              <w:top w:val="single" w:sz="4" w:space="0" w:color="auto"/>
              <w:left w:val="single" w:sz="4" w:space="0" w:color="auto"/>
              <w:bottom w:val="single" w:sz="4" w:space="0" w:color="auto"/>
              <w:right w:val="single" w:sz="4" w:space="0" w:color="auto"/>
            </w:tcBorders>
            <w:vAlign w:val="center"/>
          </w:tcPr>
          <w:p w14:paraId="66F56A57" w14:textId="3B18927F"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Ziemo, vasarā, iesp., reti</w:t>
            </w:r>
          </w:p>
        </w:tc>
      </w:tr>
      <w:tr w:rsidR="00B56AAB" w:rsidRPr="00675182" w14:paraId="7A6F1AF5" w14:textId="77777777" w:rsidTr="00CF5379">
        <w:trPr>
          <w:trHeight w:val="20"/>
        </w:trPr>
        <w:tc>
          <w:tcPr>
            <w:tcW w:w="712" w:type="pct"/>
            <w:vAlign w:val="center"/>
          </w:tcPr>
          <w:p w14:paraId="0D0EBA15" w14:textId="1C144A34"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14.</w:t>
            </w:r>
          </w:p>
        </w:tc>
        <w:tc>
          <w:tcPr>
            <w:tcW w:w="712" w:type="pct"/>
            <w:tcBorders>
              <w:top w:val="single" w:sz="4" w:space="0" w:color="auto"/>
              <w:left w:val="single" w:sz="4" w:space="0" w:color="auto"/>
              <w:bottom w:val="single" w:sz="4" w:space="0" w:color="auto"/>
              <w:right w:val="single" w:sz="4" w:space="0" w:color="auto"/>
            </w:tcBorders>
            <w:noWrap/>
            <w:vAlign w:val="center"/>
          </w:tcPr>
          <w:p w14:paraId="090561E4" w14:textId="38B8F5DE"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Dīķu naktssikspārnis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2E892C64" w14:textId="2ABD166C"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Myotis dasycneme</w:t>
            </w:r>
          </w:p>
        </w:tc>
        <w:tc>
          <w:tcPr>
            <w:tcW w:w="505" w:type="pct"/>
            <w:tcBorders>
              <w:top w:val="single" w:sz="4" w:space="0" w:color="auto"/>
              <w:left w:val="single" w:sz="4" w:space="0" w:color="auto"/>
              <w:bottom w:val="single" w:sz="4" w:space="0" w:color="auto"/>
              <w:right w:val="single" w:sz="4" w:space="0" w:color="auto"/>
            </w:tcBorders>
            <w:vAlign w:val="center"/>
          </w:tcPr>
          <w:p w14:paraId="5F78B385" w14:textId="3311FFBB"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II, IV</w:t>
            </w:r>
          </w:p>
        </w:tc>
        <w:tc>
          <w:tcPr>
            <w:tcW w:w="984" w:type="pct"/>
            <w:tcBorders>
              <w:top w:val="single" w:sz="4" w:space="0" w:color="auto"/>
              <w:left w:val="single" w:sz="4" w:space="0" w:color="auto"/>
              <w:bottom w:val="single" w:sz="4" w:space="0" w:color="auto"/>
              <w:right w:val="single" w:sz="4" w:space="0" w:color="auto"/>
            </w:tcBorders>
            <w:vAlign w:val="center"/>
          </w:tcPr>
          <w:p w14:paraId="348BE230" w14:textId="548C823F"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571225A" w14:textId="2D6D9882"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U1</w:t>
            </w:r>
          </w:p>
        </w:tc>
        <w:tc>
          <w:tcPr>
            <w:tcW w:w="683" w:type="pct"/>
            <w:tcBorders>
              <w:top w:val="single" w:sz="4" w:space="0" w:color="auto"/>
              <w:left w:val="single" w:sz="4" w:space="0" w:color="auto"/>
              <w:bottom w:val="single" w:sz="4" w:space="0" w:color="auto"/>
              <w:right w:val="single" w:sz="4" w:space="0" w:color="auto"/>
            </w:tcBorders>
            <w:vAlign w:val="center"/>
          </w:tcPr>
          <w:p w14:paraId="103FCB83" w14:textId="60808319"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Ziemo, vasarā, samērā bieži</w:t>
            </w:r>
          </w:p>
        </w:tc>
      </w:tr>
      <w:tr w:rsidR="00B56AAB" w:rsidRPr="00675182" w14:paraId="236AC938" w14:textId="77777777" w:rsidTr="00CF5379">
        <w:trPr>
          <w:trHeight w:val="20"/>
        </w:trPr>
        <w:tc>
          <w:tcPr>
            <w:tcW w:w="712" w:type="pct"/>
            <w:vAlign w:val="center"/>
          </w:tcPr>
          <w:p w14:paraId="6749D0D3" w14:textId="5F855478"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15.</w:t>
            </w:r>
          </w:p>
        </w:tc>
        <w:tc>
          <w:tcPr>
            <w:tcW w:w="712" w:type="pct"/>
            <w:tcBorders>
              <w:top w:val="single" w:sz="4" w:space="0" w:color="auto"/>
              <w:left w:val="single" w:sz="4" w:space="0" w:color="auto"/>
              <w:bottom w:val="single" w:sz="4" w:space="0" w:color="auto"/>
              <w:right w:val="single" w:sz="4" w:space="0" w:color="auto"/>
            </w:tcBorders>
            <w:noWrap/>
            <w:vAlign w:val="center"/>
          </w:tcPr>
          <w:p w14:paraId="15DD0EA3" w14:textId="3D32480C"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Eiropas platausis</w:t>
            </w:r>
          </w:p>
        </w:tc>
        <w:tc>
          <w:tcPr>
            <w:tcW w:w="721" w:type="pct"/>
            <w:tcBorders>
              <w:top w:val="single" w:sz="4" w:space="0" w:color="auto"/>
              <w:left w:val="single" w:sz="4" w:space="0" w:color="auto"/>
              <w:bottom w:val="single" w:sz="4" w:space="0" w:color="auto"/>
              <w:right w:val="single" w:sz="4" w:space="0" w:color="auto"/>
            </w:tcBorders>
            <w:noWrap/>
            <w:vAlign w:val="center"/>
          </w:tcPr>
          <w:p w14:paraId="5C8750D7" w14:textId="4D02D8C3"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Barbastella barbastellus</w:t>
            </w:r>
          </w:p>
        </w:tc>
        <w:tc>
          <w:tcPr>
            <w:tcW w:w="505" w:type="pct"/>
            <w:tcBorders>
              <w:top w:val="single" w:sz="4" w:space="0" w:color="auto"/>
              <w:left w:val="single" w:sz="4" w:space="0" w:color="auto"/>
              <w:bottom w:val="single" w:sz="4" w:space="0" w:color="auto"/>
              <w:right w:val="single" w:sz="4" w:space="0" w:color="auto"/>
            </w:tcBorders>
            <w:vAlign w:val="center"/>
          </w:tcPr>
          <w:p w14:paraId="4E3528D6" w14:textId="014299F8"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II, IV</w:t>
            </w:r>
          </w:p>
        </w:tc>
        <w:tc>
          <w:tcPr>
            <w:tcW w:w="984" w:type="pct"/>
            <w:tcBorders>
              <w:top w:val="single" w:sz="4" w:space="0" w:color="auto"/>
              <w:left w:val="single" w:sz="4" w:space="0" w:color="auto"/>
              <w:bottom w:val="single" w:sz="4" w:space="0" w:color="auto"/>
              <w:right w:val="single" w:sz="4" w:space="0" w:color="auto"/>
            </w:tcBorders>
            <w:vAlign w:val="center"/>
          </w:tcPr>
          <w:p w14:paraId="686C86B0" w14:textId="73196C7F"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77EBD3" w14:textId="31644730"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XX</w:t>
            </w:r>
          </w:p>
        </w:tc>
        <w:tc>
          <w:tcPr>
            <w:tcW w:w="683" w:type="pct"/>
            <w:tcBorders>
              <w:top w:val="single" w:sz="4" w:space="0" w:color="auto"/>
              <w:left w:val="single" w:sz="4" w:space="0" w:color="auto"/>
              <w:bottom w:val="single" w:sz="4" w:space="0" w:color="auto"/>
              <w:right w:val="single" w:sz="4" w:space="0" w:color="auto"/>
            </w:tcBorders>
            <w:vAlign w:val="center"/>
          </w:tcPr>
          <w:p w14:paraId="619EC7FB" w14:textId="6F0BD5F9"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Trīs vēsturiski ziemotāju nov. 1956.-1988. g.</w:t>
            </w:r>
          </w:p>
        </w:tc>
      </w:tr>
      <w:tr w:rsidR="00B56AAB" w:rsidRPr="00675182" w14:paraId="3DBFFE80" w14:textId="77777777" w:rsidTr="00CF5379">
        <w:trPr>
          <w:trHeight w:val="20"/>
        </w:trPr>
        <w:tc>
          <w:tcPr>
            <w:tcW w:w="712" w:type="pct"/>
            <w:vAlign w:val="center"/>
          </w:tcPr>
          <w:p w14:paraId="18D006CB" w14:textId="6130A1E3"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16.</w:t>
            </w:r>
          </w:p>
        </w:tc>
        <w:tc>
          <w:tcPr>
            <w:tcW w:w="712" w:type="pct"/>
            <w:tcBorders>
              <w:top w:val="single" w:sz="4" w:space="0" w:color="auto"/>
              <w:left w:val="single" w:sz="4" w:space="0" w:color="auto"/>
              <w:bottom w:val="single" w:sz="4" w:space="0" w:color="auto"/>
              <w:right w:val="single" w:sz="4" w:space="0" w:color="auto"/>
            </w:tcBorders>
            <w:noWrap/>
            <w:vAlign w:val="center"/>
          </w:tcPr>
          <w:p w14:paraId="7FA14F3E" w14:textId="341CB3FC"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Brūnais garausainis</w:t>
            </w:r>
          </w:p>
        </w:tc>
        <w:tc>
          <w:tcPr>
            <w:tcW w:w="721" w:type="pct"/>
            <w:tcBorders>
              <w:top w:val="single" w:sz="4" w:space="0" w:color="auto"/>
              <w:left w:val="single" w:sz="4" w:space="0" w:color="auto"/>
              <w:bottom w:val="single" w:sz="4" w:space="0" w:color="auto"/>
              <w:right w:val="single" w:sz="4" w:space="0" w:color="auto"/>
            </w:tcBorders>
            <w:noWrap/>
            <w:vAlign w:val="center"/>
          </w:tcPr>
          <w:p w14:paraId="6A69F1E3" w14:textId="4C318E35"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Plecotus auritus</w:t>
            </w:r>
          </w:p>
        </w:tc>
        <w:tc>
          <w:tcPr>
            <w:tcW w:w="505" w:type="pct"/>
            <w:tcBorders>
              <w:top w:val="single" w:sz="4" w:space="0" w:color="auto"/>
              <w:left w:val="single" w:sz="4" w:space="0" w:color="auto"/>
              <w:bottom w:val="single" w:sz="4" w:space="0" w:color="auto"/>
              <w:right w:val="single" w:sz="4" w:space="0" w:color="auto"/>
            </w:tcBorders>
            <w:vAlign w:val="center"/>
          </w:tcPr>
          <w:p w14:paraId="7D716EBF" w14:textId="242961EB"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03B29B10" w14:textId="629E45F7"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5F36A15" w14:textId="6CEF0D83"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U1</w:t>
            </w:r>
          </w:p>
        </w:tc>
        <w:tc>
          <w:tcPr>
            <w:tcW w:w="683" w:type="pct"/>
            <w:tcBorders>
              <w:top w:val="single" w:sz="4" w:space="0" w:color="auto"/>
              <w:left w:val="single" w:sz="4" w:space="0" w:color="auto"/>
              <w:bottom w:val="single" w:sz="4" w:space="0" w:color="auto"/>
              <w:right w:val="single" w:sz="4" w:space="0" w:color="auto"/>
            </w:tcBorders>
            <w:vAlign w:val="center"/>
          </w:tcPr>
          <w:p w14:paraId="1639AD74" w14:textId="29E6534D"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Ziemo, vasarā, bieži?</w:t>
            </w:r>
          </w:p>
        </w:tc>
      </w:tr>
      <w:tr w:rsidR="00B56AAB" w:rsidRPr="00675182" w14:paraId="63A09E8C" w14:textId="77777777" w:rsidTr="00CF5379">
        <w:trPr>
          <w:trHeight w:val="20"/>
        </w:trPr>
        <w:tc>
          <w:tcPr>
            <w:tcW w:w="712" w:type="pct"/>
            <w:vAlign w:val="center"/>
          </w:tcPr>
          <w:p w14:paraId="78F172EE" w14:textId="0EB34762"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17.</w:t>
            </w:r>
          </w:p>
        </w:tc>
        <w:tc>
          <w:tcPr>
            <w:tcW w:w="712" w:type="pct"/>
            <w:tcBorders>
              <w:top w:val="single" w:sz="4" w:space="0" w:color="auto"/>
              <w:left w:val="single" w:sz="4" w:space="0" w:color="auto"/>
              <w:bottom w:val="single" w:sz="4" w:space="0" w:color="auto"/>
              <w:right w:val="single" w:sz="4" w:space="0" w:color="auto"/>
            </w:tcBorders>
            <w:noWrap/>
            <w:vAlign w:val="center"/>
          </w:tcPr>
          <w:p w14:paraId="61D2FCAF" w14:textId="04167C6E"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Ziemeļu 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7634B8E3" w14:textId="6DB03810"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Eptesicus nilssonii</w:t>
            </w:r>
          </w:p>
        </w:tc>
        <w:tc>
          <w:tcPr>
            <w:tcW w:w="505" w:type="pct"/>
            <w:tcBorders>
              <w:top w:val="single" w:sz="4" w:space="0" w:color="auto"/>
              <w:left w:val="single" w:sz="4" w:space="0" w:color="auto"/>
              <w:bottom w:val="single" w:sz="4" w:space="0" w:color="auto"/>
              <w:right w:val="single" w:sz="4" w:space="0" w:color="auto"/>
            </w:tcBorders>
            <w:vAlign w:val="center"/>
          </w:tcPr>
          <w:p w14:paraId="5FA5CB35" w14:textId="1C63AF2E"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76719C13" w14:textId="37444ACF"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7F7D6D59" w14:textId="51F6AB88"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FV</w:t>
            </w:r>
          </w:p>
        </w:tc>
        <w:tc>
          <w:tcPr>
            <w:tcW w:w="683" w:type="pct"/>
            <w:tcBorders>
              <w:top w:val="single" w:sz="4" w:space="0" w:color="auto"/>
              <w:left w:val="single" w:sz="4" w:space="0" w:color="auto"/>
              <w:bottom w:val="single" w:sz="4" w:space="0" w:color="auto"/>
              <w:right w:val="single" w:sz="4" w:space="0" w:color="auto"/>
            </w:tcBorders>
            <w:vAlign w:val="center"/>
          </w:tcPr>
          <w:p w14:paraId="09D8F7A1" w14:textId="7F1F736B"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Ziemo, vasarā, bieži</w:t>
            </w:r>
          </w:p>
        </w:tc>
      </w:tr>
      <w:tr w:rsidR="00B56AAB" w:rsidRPr="00675182" w14:paraId="1DD53053" w14:textId="77777777" w:rsidTr="00CF5379">
        <w:trPr>
          <w:trHeight w:val="20"/>
        </w:trPr>
        <w:tc>
          <w:tcPr>
            <w:tcW w:w="712" w:type="pct"/>
            <w:vAlign w:val="center"/>
          </w:tcPr>
          <w:p w14:paraId="538B9FA5" w14:textId="1F5D4ECB"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18.</w:t>
            </w:r>
          </w:p>
        </w:tc>
        <w:tc>
          <w:tcPr>
            <w:tcW w:w="712" w:type="pct"/>
            <w:tcBorders>
              <w:top w:val="single" w:sz="4" w:space="0" w:color="auto"/>
              <w:left w:val="single" w:sz="4" w:space="0" w:color="auto"/>
              <w:bottom w:val="single" w:sz="4" w:space="0" w:color="auto"/>
              <w:right w:val="single" w:sz="4" w:space="0" w:color="auto"/>
            </w:tcBorders>
            <w:noWrap/>
            <w:vAlign w:val="center"/>
          </w:tcPr>
          <w:p w14:paraId="2E784E51" w14:textId="749BC91A"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Divkrāsainais 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586136F1" w14:textId="177EE6C1"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Vespertilio murinus</w:t>
            </w:r>
          </w:p>
        </w:tc>
        <w:tc>
          <w:tcPr>
            <w:tcW w:w="505" w:type="pct"/>
            <w:tcBorders>
              <w:top w:val="single" w:sz="4" w:space="0" w:color="auto"/>
              <w:left w:val="single" w:sz="4" w:space="0" w:color="auto"/>
              <w:bottom w:val="single" w:sz="4" w:space="0" w:color="auto"/>
              <w:right w:val="single" w:sz="4" w:space="0" w:color="auto"/>
            </w:tcBorders>
            <w:vAlign w:val="center"/>
          </w:tcPr>
          <w:p w14:paraId="24859A43" w14:textId="7A673AC6"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347BC698" w14:textId="6546B4C4"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92D050"/>
            <w:noWrap/>
            <w:vAlign w:val="center"/>
          </w:tcPr>
          <w:p w14:paraId="0B7E8F49" w14:textId="6491A056"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FV</w:t>
            </w:r>
          </w:p>
        </w:tc>
        <w:tc>
          <w:tcPr>
            <w:tcW w:w="683" w:type="pct"/>
            <w:tcBorders>
              <w:top w:val="single" w:sz="4" w:space="0" w:color="auto"/>
              <w:left w:val="single" w:sz="4" w:space="0" w:color="auto"/>
              <w:bottom w:val="single" w:sz="4" w:space="0" w:color="auto"/>
              <w:right w:val="single" w:sz="4" w:space="0" w:color="auto"/>
            </w:tcBorders>
            <w:vAlign w:val="center"/>
          </w:tcPr>
          <w:p w14:paraId="114BA3BC" w14:textId="41C0FAFA"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Vasarā (ziemā?), samērā reti</w:t>
            </w:r>
          </w:p>
        </w:tc>
      </w:tr>
      <w:tr w:rsidR="00B56AAB" w:rsidRPr="00675182" w14:paraId="2C57FA24" w14:textId="77777777" w:rsidTr="00CF5379">
        <w:trPr>
          <w:trHeight w:val="20"/>
        </w:trPr>
        <w:tc>
          <w:tcPr>
            <w:tcW w:w="712" w:type="pct"/>
            <w:vAlign w:val="center"/>
          </w:tcPr>
          <w:p w14:paraId="21554DAB" w14:textId="5DB20F9C"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19.</w:t>
            </w:r>
          </w:p>
        </w:tc>
        <w:tc>
          <w:tcPr>
            <w:tcW w:w="712" w:type="pct"/>
            <w:tcBorders>
              <w:top w:val="single" w:sz="4" w:space="0" w:color="auto"/>
              <w:left w:val="single" w:sz="4" w:space="0" w:color="auto"/>
              <w:bottom w:val="single" w:sz="4" w:space="0" w:color="auto"/>
              <w:right w:val="single" w:sz="4" w:space="0" w:color="auto"/>
            </w:tcBorders>
            <w:noWrap/>
            <w:vAlign w:val="center"/>
          </w:tcPr>
          <w:p w14:paraId="60915AC2" w14:textId="23692CB4"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Rūsganais vakarsikspārnis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4353A2D0" w14:textId="14E4ADBD"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Nyctalus noctula</w:t>
            </w:r>
          </w:p>
        </w:tc>
        <w:tc>
          <w:tcPr>
            <w:tcW w:w="505" w:type="pct"/>
            <w:tcBorders>
              <w:top w:val="single" w:sz="4" w:space="0" w:color="auto"/>
              <w:left w:val="single" w:sz="4" w:space="0" w:color="auto"/>
              <w:bottom w:val="single" w:sz="4" w:space="0" w:color="auto"/>
              <w:right w:val="single" w:sz="4" w:space="0" w:color="auto"/>
            </w:tcBorders>
            <w:vAlign w:val="center"/>
          </w:tcPr>
          <w:p w14:paraId="7A99D356" w14:textId="23E9F5EB"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7A4D78E8" w14:textId="618BEC12"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0924676D" w14:textId="4FEC551E"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U1</w:t>
            </w:r>
          </w:p>
        </w:tc>
        <w:tc>
          <w:tcPr>
            <w:tcW w:w="683" w:type="pct"/>
            <w:tcBorders>
              <w:top w:val="single" w:sz="4" w:space="0" w:color="auto"/>
              <w:left w:val="single" w:sz="4" w:space="0" w:color="auto"/>
              <w:bottom w:val="single" w:sz="4" w:space="0" w:color="auto"/>
              <w:right w:val="single" w:sz="4" w:space="0" w:color="auto"/>
            </w:tcBorders>
            <w:vAlign w:val="center"/>
          </w:tcPr>
          <w:p w14:paraId="54A07FE9" w14:textId="388A2CED"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Vasarā, samērā bieži</w:t>
            </w:r>
          </w:p>
        </w:tc>
      </w:tr>
      <w:tr w:rsidR="00B56AAB" w:rsidRPr="00675182" w14:paraId="0FD93129" w14:textId="77777777" w:rsidTr="00CF5379">
        <w:trPr>
          <w:trHeight w:val="20"/>
        </w:trPr>
        <w:tc>
          <w:tcPr>
            <w:tcW w:w="712" w:type="pct"/>
            <w:vAlign w:val="center"/>
          </w:tcPr>
          <w:p w14:paraId="33BC5470" w14:textId="48A3FE88"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20.</w:t>
            </w:r>
          </w:p>
        </w:tc>
        <w:tc>
          <w:tcPr>
            <w:tcW w:w="712" w:type="pct"/>
            <w:tcBorders>
              <w:top w:val="single" w:sz="4" w:space="0" w:color="auto"/>
              <w:left w:val="single" w:sz="4" w:space="0" w:color="auto"/>
              <w:bottom w:val="single" w:sz="4" w:space="0" w:color="auto"/>
              <w:right w:val="single" w:sz="4" w:space="0" w:color="auto"/>
            </w:tcBorders>
            <w:noWrap/>
            <w:vAlign w:val="center"/>
          </w:tcPr>
          <w:p w14:paraId="5B002181" w14:textId="27EA4F73"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Natūza 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2F124362" w14:textId="62F6AFF7"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Pipistrellus nathusii</w:t>
            </w:r>
          </w:p>
        </w:tc>
        <w:tc>
          <w:tcPr>
            <w:tcW w:w="505" w:type="pct"/>
            <w:tcBorders>
              <w:top w:val="single" w:sz="4" w:space="0" w:color="auto"/>
              <w:left w:val="single" w:sz="4" w:space="0" w:color="auto"/>
              <w:bottom w:val="single" w:sz="4" w:space="0" w:color="auto"/>
              <w:right w:val="single" w:sz="4" w:space="0" w:color="auto"/>
            </w:tcBorders>
            <w:vAlign w:val="center"/>
          </w:tcPr>
          <w:p w14:paraId="6AAFC131" w14:textId="2CC9719F"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739376A6" w14:textId="4718A0E6"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B3BB630" w14:textId="16E183FB"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U1</w:t>
            </w:r>
          </w:p>
        </w:tc>
        <w:tc>
          <w:tcPr>
            <w:tcW w:w="683" w:type="pct"/>
            <w:tcBorders>
              <w:top w:val="single" w:sz="4" w:space="0" w:color="auto"/>
              <w:left w:val="single" w:sz="4" w:space="0" w:color="auto"/>
              <w:bottom w:val="single" w:sz="4" w:space="0" w:color="auto"/>
              <w:right w:val="single" w:sz="4" w:space="0" w:color="auto"/>
            </w:tcBorders>
            <w:vAlign w:val="center"/>
          </w:tcPr>
          <w:p w14:paraId="3CC94141" w14:textId="6490E14A"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Vasarā, bieži</w:t>
            </w:r>
          </w:p>
        </w:tc>
      </w:tr>
      <w:tr w:rsidR="00B56AAB" w:rsidRPr="00675182" w14:paraId="4CA5C36D" w14:textId="77777777" w:rsidTr="00CF5379">
        <w:trPr>
          <w:trHeight w:val="20"/>
        </w:trPr>
        <w:tc>
          <w:tcPr>
            <w:tcW w:w="712" w:type="pct"/>
            <w:vAlign w:val="center"/>
          </w:tcPr>
          <w:p w14:paraId="33D5DC5E" w14:textId="0E021F48"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21.</w:t>
            </w:r>
          </w:p>
        </w:tc>
        <w:tc>
          <w:tcPr>
            <w:tcW w:w="712" w:type="pct"/>
            <w:tcBorders>
              <w:top w:val="single" w:sz="4" w:space="0" w:color="auto"/>
              <w:left w:val="single" w:sz="4" w:space="0" w:color="auto"/>
              <w:bottom w:val="single" w:sz="4" w:space="0" w:color="auto"/>
              <w:right w:val="single" w:sz="4" w:space="0" w:color="auto"/>
            </w:tcBorders>
            <w:noWrap/>
            <w:vAlign w:val="center"/>
          </w:tcPr>
          <w:p w14:paraId="2E73D3F9" w14:textId="251FBB10"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Pundursikspārnis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2C97B86C" w14:textId="4D580CDC"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Pipistrellus pipistrellus</w:t>
            </w:r>
          </w:p>
        </w:tc>
        <w:tc>
          <w:tcPr>
            <w:tcW w:w="505" w:type="pct"/>
            <w:tcBorders>
              <w:top w:val="single" w:sz="4" w:space="0" w:color="auto"/>
              <w:left w:val="single" w:sz="4" w:space="0" w:color="auto"/>
              <w:bottom w:val="single" w:sz="4" w:space="0" w:color="auto"/>
              <w:right w:val="single" w:sz="4" w:space="0" w:color="auto"/>
            </w:tcBorders>
            <w:vAlign w:val="center"/>
          </w:tcPr>
          <w:p w14:paraId="538ACD37" w14:textId="45F228AA"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0EEFA9D9" w14:textId="760EEC4E"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B53AEC5" w14:textId="358C516A"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XX</w:t>
            </w:r>
          </w:p>
        </w:tc>
        <w:tc>
          <w:tcPr>
            <w:tcW w:w="683" w:type="pct"/>
            <w:tcBorders>
              <w:top w:val="single" w:sz="4" w:space="0" w:color="auto"/>
              <w:left w:val="single" w:sz="4" w:space="0" w:color="auto"/>
              <w:bottom w:val="single" w:sz="4" w:space="0" w:color="auto"/>
              <w:right w:val="single" w:sz="4" w:space="0" w:color="auto"/>
            </w:tcBorders>
            <w:vAlign w:val="center"/>
          </w:tcPr>
          <w:p w14:paraId="7464733C" w14:textId="631C2AB2"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Vasarā, reti</w:t>
            </w:r>
          </w:p>
        </w:tc>
      </w:tr>
      <w:tr w:rsidR="00B56AAB" w:rsidRPr="00675182" w14:paraId="4B241D68" w14:textId="77777777" w:rsidTr="00CF5379">
        <w:trPr>
          <w:trHeight w:val="20"/>
        </w:trPr>
        <w:tc>
          <w:tcPr>
            <w:tcW w:w="712" w:type="pct"/>
            <w:vAlign w:val="center"/>
          </w:tcPr>
          <w:p w14:paraId="15BD65AB" w14:textId="6179AA02"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22.</w:t>
            </w:r>
          </w:p>
        </w:tc>
        <w:tc>
          <w:tcPr>
            <w:tcW w:w="712" w:type="pct"/>
            <w:tcBorders>
              <w:top w:val="single" w:sz="4" w:space="0" w:color="auto"/>
              <w:left w:val="single" w:sz="4" w:space="0" w:color="auto"/>
              <w:bottom w:val="single" w:sz="4" w:space="0" w:color="auto"/>
              <w:right w:val="single" w:sz="4" w:space="0" w:color="auto"/>
            </w:tcBorders>
            <w:noWrap/>
            <w:vAlign w:val="center"/>
          </w:tcPr>
          <w:p w14:paraId="1DF20982" w14:textId="4A9ECAAD"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Pigmejsikspārnis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69637AC8" w14:textId="48D22AC9"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Pipistrellus pygmaeus</w:t>
            </w:r>
          </w:p>
        </w:tc>
        <w:tc>
          <w:tcPr>
            <w:tcW w:w="505" w:type="pct"/>
            <w:tcBorders>
              <w:top w:val="single" w:sz="4" w:space="0" w:color="auto"/>
              <w:left w:val="single" w:sz="4" w:space="0" w:color="auto"/>
              <w:bottom w:val="single" w:sz="4" w:space="0" w:color="auto"/>
              <w:right w:val="single" w:sz="4" w:space="0" w:color="auto"/>
            </w:tcBorders>
            <w:vAlign w:val="center"/>
          </w:tcPr>
          <w:p w14:paraId="286A35D8" w14:textId="41C035FD"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0DA05FE9" w14:textId="05E40401"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C8C2936" w14:textId="177A4CB8"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XX</w:t>
            </w:r>
          </w:p>
        </w:tc>
        <w:tc>
          <w:tcPr>
            <w:tcW w:w="683" w:type="pct"/>
            <w:tcBorders>
              <w:top w:val="single" w:sz="4" w:space="0" w:color="auto"/>
              <w:left w:val="single" w:sz="4" w:space="0" w:color="auto"/>
              <w:bottom w:val="single" w:sz="4" w:space="0" w:color="auto"/>
              <w:right w:val="single" w:sz="4" w:space="0" w:color="auto"/>
            </w:tcBorders>
            <w:vAlign w:val="center"/>
          </w:tcPr>
          <w:p w14:paraId="0815E5F8" w14:textId="49DDE4B8"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Vasarā, reti</w:t>
            </w:r>
          </w:p>
        </w:tc>
      </w:tr>
      <w:tr w:rsidR="00B56AAB" w:rsidRPr="00675182" w14:paraId="05EF0A02" w14:textId="77777777" w:rsidTr="00CF5379">
        <w:trPr>
          <w:trHeight w:val="20"/>
        </w:trPr>
        <w:tc>
          <w:tcPr>
            <w:tcW w:w="712" w:type="pct"/>
            <w:vAlign w:val="center"/>
          </w:tcPr>
          <w:p w14:paraId="475AD4CB" w14:textId="1CF98C8D"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23.</w:t>
            </w:r>
          </w:p>
        </w:tc>
        <w:tc>
          <w:tcPr>
            <w:tcW w:w="712" w:type="pct"/>
            <w:tcBorders>
              <w:top w:val="single" w:sz="4" w:space="0" w:color="auto"/>
              <w:left w:val="single" w:sz="4" w:space="0" w:color="auto"/>
              <w:bottom w:val="single" w:sz="4" w:space="0" w:color="auto"/>
              <w:right w:val="single" w:sz="4" w:space="0" w:color="auto"/>
            </w:tcBorders>
            <w:noWrap/>
            <w:vAlign w:val="center"/>
          </w:tcPr>
          <w:p w14:paraId="02A24B76" w14:textId="52E3912A"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Bārdainais naktssikspārnis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2735ADEF" w14:textId="7F44C940"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Myotis mystacinus</w:t>
            </w:r>
          </w:p>
        </w:tc>
        <w:tc>
          <w:tcPr>
            <w:tcW w:w="505" w:type="pct"/>
            <w:tcBorders>
              <w:top w:val="single" w:sz="4" w:space="0" w:color="auto"/>
              <w:left w:val="single" w:sz="4" w:space="0" w:color="auto"/>
              <w:bottom w:val="single" w:sz="4" w:space="0" w:color="auto"/>
              <w:right w:val="single" w:sz="4" w:space="0" w:color="auto"/>
            </w:tcBorders>
            <w:vAlign w:val="center"/>
          </w:tcPr>
          <w:p w14:paraId="515E68EA" w14:textId="0CE9AA05"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2DEBC79A" w14:textId="7B2C2867"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9553CAE" w14:textId="6816E629"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XX</w:t>
            </w:r>
          </w:p>
        </w:tc>
        <w:tc>
          <w:tcPr>
            <w:tcW w:w="683" w:type="pct"/>
            <w:tcBorders>
              <w:top w:val="single" w:sz="4" w:space="0" w:color="auto"/>
              <w:left w:val="single" w:sz="4" w:space="0" w:color="auto"/>
              <w:bottom w:val="single" w:sz="4" w:space="0" w:color="auto"/>
              <w:right w:val="single" w:sz="4" w:space="0" w:color="auto"/>
            </w:tcBorders>
            <w:vAlign w:val="center"/>
          </w:tcPr>
          <w:p w14:paraId="6605C1F7" w14:textId="51889EB7"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Ziemo, vasarā, reti</w:t>
            </w:r>
          </w:p>
        </w:tc>
      </w:tr>
      <w:tr w:rsidR="00B56AAB" w:rsidRPr="00675182" w14:paraId="082786F8" w14:textId="77777777" w:rsidTr="00CF5379">
        <w:trPr>
          <w:trHeight w:val="20"/>
        </w:trPr>
        <w:tc>
          <w:tcPr>
            <w:tcW w:w="712" w:type="pct"/>
            <w:vAlign w:val="center"/>
          </w:tcPr>
          <w:p w14:paraId="3F890335" w14:textId="7EC27188" w:rsidR="00B56AAB" w:rsidRPr="00675182" w:rsidRDefault="00CF5379" w:rsidP="00B56AAB">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24.</w:t>
            </w:r>
          </w:p>
        </w:tc>
        <w:tc>
          <w:tcPr>
            <w:tcW w:w="712" w:type="pct"/>
            <w:tcBorders>
              <w:top w:val="single" w:sz="4" w:space="0" w:color="auto"/>
              <w:left w:val="single" w:sz="4" w:space="0" w:color="auto"/>
              <w:bottom w:val="single" w:sz="4" w:space="0" w:color="auto"/>
              <w:right w:val="single" w:sz="4" w:space="0" w:color="auto"/>
            </w:tcBorders>
            <w:noWrap/>
            <w:vAlign w:val="center"/>
          </w:tcPr>
          <w:p w14:paraId="064CD79B" w14:textId="013DBAEF" w:rsidR="00B56AAB" w:rsidRPr="00675182" w:rsidRDefault="00B56AAB" w:rsidP="00B56AAB">
            <w:pPr>
              <w:rPr>
                <w:rFonts w:eastAsia="Times New Roman" w:cstheme="minorHAnsi"/>
                <w:color w:val="000000"/>
                <w:sz w:val="22"/>
                <w:szCs w:val="22"/>
                <w:lang w:eastAsia="en-GB"/>
              </w:rPr>
            </w:pPr>
            <w:r w:rsidRPr="00675182">
              <w:rPr>
                <w:rFonts w:cstheme="minorHAnsi"/>
                <w:color w:val="000000"/>
                <w:sz w:val="22"/>
                <w:szCs w:val="22"/>
                <w:lang w:eastAsia="en-US"/>
              </w:rPr>
              <w:t>Naterera naktssikspārnis</w:t>
            </w:r>
          </w:p>
        </w:tc>
        <w:tc>
          <w:tcPr>
            <w:tcW w:w="721" w:type="pct"/>
            <w:tcBorders>
              <w:top w:val="single" w:sz="4" w:space="0" w:color="auto"/>
              <w:left w:val="single" w:sz="4" w:space="0" w:color="auto"/>
              <w:bottom w:val="single" w:sz="4" w:space="0" w:color="auto"/>
              <w:right w:val="single" w:sz="4" w:space="0" w:color="auto"/>
            </w:tcBorders>
            <w:noWrap/>
            <w:vAlign w:val="center"/>
          </w:tcPr>
          <w:p w14:paraId="4CF8167F" w14:textId="38391E3E" w:rsidR="00B56AAB" w:rsidRPr="00675182" w:rsidRDefault="00B56AAB" w:rsidP="00CF5379">
            <w:pPr>
              <w:rPr>
                <w:rFonts w:eastAsia="Times New Roman" w:cstheme="minorHAnsi"/>
                <w:i/>
                <w:color w:val="000000"/>
                <w:sz w:val="22"/>
                <w:szCs w:val="22"/>
                <w:lang w:eastAsia="en-GB"/>
              </w:rPr>
            </w:pPr>
            <w:r w:rsidRPr="00675182">
              <w:rPr>
                <w:rFonts w:cstheme="minorHAnsi"/>
                <w:i/>
                <w:color w:val="000000"/>
                <w:sz w:val="22"/>
                <w:szCs w:val="22"/>
                <w:lang w:eastAsia="en-US"/>
              </w:rPr>
              <w:t>Myotis nattereri</w:t>
            </w:r>
          </w:p>
        </w:tc>
        <w:tc>
          <w:tcPr>
            <w:tcW w:w="505" w:type="pct"/>
            <w:tcBorders>
              <w:top w:val="single" w:sz="4" w:space="0" w:color="auto"/>
              <w:left w:val="single" w:sz="4" w:space="0" w:color="auto"/>
              <w:bottom w:val="single" w:sz="4" w:space="0" w:color="auto"/>
              <w:right w:val="single" w:sz="4" w:space="0" w:color="auto"/>
            </w:tcBorders>
            <w:vAlign w:val="center"/>
          </w:tcPr>
          <w:p w14:paraId="6483E106" w14:textId="024A0BF1" w:rsidR="00B56AAB" w:rsidRPr="00675182" w:rsidRDefault="00B56AAB" w:rsidP="00CF5379">
            <w:pPr>
              <w:rPr>
                <w:rFonts w:eastAsia="Times New Roman" w:cstheme="minorHAnsi"/>
                <w:sz w:val="22"/>
                <w:szCs w:val="22"/>
                <w:lang w:eastAsia="en-GB"/>
              </w:rPr>
            </w:pPr>
            <w:r w:rsidRPr="00675182">
              <w:rPr>
                <w:rFonts w:cstheme="minorHAnsi"/>
                <w:sz w:val="22"/>
                <w:szCs w:val="22"/>
                <w:lang w:eastAsia="en-US"/>
              </w:rPr>
              <w:t>ĪAS 1, ES IV</w:t>
            </w:r>
          </w:p>
        </w:tc>
        <w:tc>
          <w:tcPr>
            <w:tcW w:w="984" w:type="pct"/>
            <w:tcBorders>
              <w:top w:val="single" w:sz="4" w:space="0" w:color="auto"/>
              <w:left w:val="single" w:sz="4" w:space="0" w:color="auto"/>
              <w:bottom w:val="single" w:sz="4" w:space="0" w:color="auto"/>
              <w:right w:val="single" w:sz="4" w:space="0" w:color="auto"/>
            </w:tcBorders>
            <w:vAlign w:val="center"/>
          </w:tcPr>
          <w:p w14:paraId="325C89AF" w14:textId="6DB8CC34" w:rsidR="00B56AAB" w:rsidRPr="00675182" w:rsidRDefault="00B56AAB" w:rsidP="00CF5379">
            <w:pPr>
              <w:rPr>
                <w:rFonts w:cstheme="minorHAnsi"/>
                <w:color w:val="000000"/>
                <w:sz w:val="22"/>
                <w:szCs w:val="22"/>
              </w:rPr>
            </w:pPr>
            <w:r w:rsidRPr="00675182">
              <w:rPr>
                <w:rFonts w:cstheme="minorHAnsi"/>
                <w:color w:val="000000"/>
                <w:sz w:val="22"/>
                <w:szCs w:val="22"/>
                <w:lang w:eastAsia="en-US"/>
              </w:rPr>
              <w:t>Bernes konv., Bonnas konv., EUROBATS</w:t>
            </w:r>
          </w:p>
        </w:tc>
        <w:tc>
          <w:tcPr>
            <w:tcW w:w="68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31AC4A2" w14:textId="657ED4D0" w:rsidR="00B56AAB" w:rsidRPr="00675182" w:rsidRDefault="00B56AAB" w:rsidP="000137FF">
            <w:pPr>
              <w:jc w:val="center"/>
              <w:rPr>
                <w:rFonts w:eastAsia="Times New Roman" w:cstheme="minorHAnsi"/>
                <w:color w:val="000000"/>
                <w:sz w:val="22"/>
                <w:szCs w:val="22"/>
                <w:lang w:eastAsia="en-GB"/>
              </w:rPr>
            </w:pPr>
            <w:r w:rsidRPr="00675182">
              <w:rPr>
                <w:rFonts w:cstheme="minorHAnsi"/>
                <w:color w:val="000000"/>
                <w:sz w:val="22"/>
                <w:szCs w:val="22"/>
                <w:lang w:eastAsia="en-US"/>
              </w:rPr>
              <w:t>XX</w:t>
            </w:r>
          </w:p>
        </w:tc>
        <w:tc>
          <w:tcPr>
            <w:tcW w:w="683" w:type="pct"/>
            <w:tcBorders>
              <w:top w:val="single" w:sz="4" w:space="0" w:color="auto"/>
              <w:left w:val="single" w:sz="4" w:space="0" w:color="auto"/>
              <w:bottom w:val="single" w:sz="4" w:space="0" w:color="auto"/>
              <w:right w:val="single" w:sz="4" w:space="0" w:color="auto"/>
            </w:tcBorders>
            <w:vAlign w:val="center"/>
          </w:tcPr>
          <w:p w14:paraId="54F64E52" w14:textId="4DB70BF3" w:rsidR="00B56AAB" w:rsidRPr="00675182" w:rsidRDefault="00B56AAB" w:rsidP="00CF5379">
            <w:pPr>
              <w:rPr>
                <w:rFonts w:eastAsia="Times New Roman" w:cstheme="minorHAnsi"/>
                <w:color w:val="000000"/>
                <w:sz w:val="22"/>
                <w:szCs w:val="22"/>
                <w:lang w:eastAsia="en-GB"/>
              </w:rPr>
            </w:pPr>
            <w:r w:rsidRPr="00675182">
              <w:rPr>
                <w:rFonts w:cstheme="minorHAnsi"/>
                <w:color w:val="000000"/>
                <w:sz w:val="22"/>
                <w:szCs w:val="22"/>
                <w:lang w:eastAsia="en-US"/>
              </w:rPr>
              <w:t>Ziemo, vasarā, iesp., reti</w:t>
            </w:r>
          </w:p>
        </w:tc>
      </w:tr>
    </w:tbl>
    <w:p w14:paraId="27C15D9A" w14:textId="77777777" w:rsidR="00677AA8" w:rsidRPr="00675182" w:rsidRDefault="00677AA8" w:rsidP="002B3341">
      <w:pPr>
        <w:rPr>
          <w:rFonts w:cstheme="minorHAnsi"/>
          <w:sz w:val="20"/>
        </w:rPr>
      </w:pPr>
    </w:p>
    <w:p w14:paraId="4030A939" w14:textId="26946FC3" w:rsidR="00677AA8" w:rsidRPr="00675182" w:rsidRDefault="00677AA8" w:rsidP="002B3341">
      <w:pPr>
        <w:rPr>
          <w:rFonts w:cstheme="minorHAnsi"/>
          <w:sz w:val="20"/>
        </w:rPr>
      </w:pPr>
      <w:r w:rsidRPr="00675182">
        <w:rPr>
          <w:rFonts w:cstheme="minorHAnsi"/>
          <w:sz w:val="20"/>
        </w:rPr>
        <w:t>Informācija par sugu aizsardzības stāvokli Latvijā no „Ziņojums Eiropas Komisijai par biotopu (dzīvotņu) un sugu aizsardzības stāvokli Latvijā. Novērtējums par 20</w:t>
      </w:r>
      <w:r w:rsidR="00C83FB5" w:rsidRPr="00675182">
        <w:rPr>
          <w:rFonts w:cstheme="minorHAnsi"/>
          <w:sz w:val="20"/>
        </w:rPr>
        <w:t>1</w:t>
      </w:r>
      <w:r w:rsidRPr="00675182">
        <w:rPr>
          <w:rFonts w:cstheme="minorHAnsi"/>
          <w:sz w:val="20"/>
        </w:rPr>
        <w:t xml:space="preserve">3.-2018. gada periodu” </w:t>
      </w:r>
      <w:r w:rsidRPr="00675182">
        <w:rPr>
          <w:rFonts w:cstheme="minorHAnsi"/>
          <w:b/>
          <w:bCs/>
          <w:sz w:val="20"/>
        </w:rPr>
        <w:t>FV</w:t>
      </w:r>
      <w:r w:rsidRPr="00675182">
        <w:rPr>
          <w:rFonts w:cstheme="minorHAnsi"/>
          <w:sz w:val="20"/>
        </w:rPr>
        <w:t xml:space="preserve">: Aizsardzības stāvoklis labvēlīgs (Favourable); </w:t>
      </w:r>
      <w:r w:rsidRPr="00675182">
        <w:rPr>
          <w:rFonts w:cstheme="minorHAnsi"/>
          <w:b/>
          <w:bCs/>
          <w:sz w:val="20"/>
        </w:rPr>
        <w:t>U1</w:t>
      </w:r>
      <w:r w:rsidRPr="00675182">
        <w:rPr>
          <w:rFonts w:cstheme="minorHAnsi"/>
          <w:sz w:val="20"/>
        </w:rPr>
        <w:t xml:space="preserve">: Aizsardzības stāvoklis nelabvēlīgs-nepietiekams (Unfavourable-Inadequate); </w:t>
      </w:r>
      <w:r w:rsidRPr="00675182">
        <w:rPr>
          <w:rFonts w:cstheme="minorHAnsi"/>
          <w:b/>
          <w:bCs/>
          <w:sz w:val="20"/>
        </w:rPr>
        <w:t>U2</w:t>
      </w:r>
      <w:r w:rsidRPr="00675182">
        <w:rPr>
          <w:rFonts w:cstheme="minorHAnsi"/>
          <w:sz w:val="20"/>
        </w:rPr>
        <w:t xml:space="preserve">: Aizsardzības stāvoklis nelabvēlīgs-slikts (Unfavourable-Bad); </w:t>
      </w:r>
      <w:r w:rsidRPr="00675182">
        <w:rPr>
          <w:rFonts w:cstheme="minorHAnsi"/>
          <w:b/>
          <w:bCs/>
          <w:sz w:val="20"/>
        </w:rPr>
        <w:t>XX</w:t>
      </w:r>
      <w:r w:rsidRPr="00675182">
        <w:rPr>
          <w:rFonts w:cstheme="minorHAnsi"/>
          <w:sz w:val="20"/>
        </w:rPr>
        <w:t xml:space="preserve">: Aizsardzības stāvoklis nezināms (Unknown). </w:t>
      </w:r>
    </w:p>
    <w:p w14:paraId="25D8C61A" w14:textId="77777777" w:rsidR="00BD34EE" w:rsidRPr="00675182" w:rsidRDefault="00BD34EE" w:rsidP="002B3341">
      <w:pPr>
        <w:rPr>
          <w:rFonts w:cstheme="minorHAnsi"/>
          <w:b/>
          <w:i/>
          <w:szCs w:val="24"/>
        </w:rPr>
      </w:pPr>
    </w:p>
    <w:p w14:paraId="0834977C" w14:textId="77777777" w:rsidR="00677AA8" w:rsidRPr="00675182" w:rsidRDefault="00677AA8" w:rsidP="002B3341">
      <w:pPr>
        <w:rPr>
          <w:rFonts w:cstheme="minorHAnsi"/>
          <w:b/>
          <w:iCs/>
          <w:sz w:val="20"/>
        </w:rPr>
      </w:pPr>
      <w:r w:rsidRPr="00675182">
        <w:rPr>
          <w:rFonts w:cstheme="minorHAnsi"/>
          <w:b/>
          <w:iCs/>
          <w:sz w:val="20"/>
        </w:rPr>
        <w:t>Saīsinājumi:</w:t>
      </w:r>
    </w:p>
    <w:p w14:paraId="64A420D3" w14:textId="77777777" w:rsidR="00BD34EE" w:rsidRPr="00675182" w:rsidRDefault="00BD34EE" w:rsidP="002B3341">
      <w:pPr>
        <w:rPr>
          <w:rFonts w:cstheme="minorHAnsi"/>
          <w:sz w:val="20"/>
        </w:rPr>
      </w:pPr>
      <w:r w:rsidRPr="00675182">
        <w:rPr>
          <w:rFonts w:cstheme="minorHAnsi"/>
          <w:b/>
          <w:bCs/>
          <w:sz w:val="20"/>
        </w:rPr>
        <w:t>SG</w:t>
      </w:r>
      <w:r w:rsidRPr="00675182">
        <w:rPr>
          <w:rFonts w:cstheme="minorHAnsi"/>
          <w:sz w:val="20"/>
        </w:rPr>
        <w:t xml:space="preserve"> – </w:t>
      </w:r>
      <w:r w:rsidRPr="00675182">
        <w:rPr>
          <w:rFonts w:cstheme="minorHAnsi"/>
          <w:spacing w:val="-1"/>
          <w:sz w:val="20"/>
        </w:rPr>
        <w:t xml:space="preserve">Latvijas Sarkanā grāmata. LSG tiek lietotas šādas apdraudēto sugu kategorijas: </w:t>
      </w:r>
      <w:r w:rsidRPr="00675182">
        <w:rPr>
          <w:rFonts w:cstheme="minorHAnsi"/>
          <w:b/>
          <w:bCs/>
          <w:sz w:val="20"/>
        </w:rPr>
        <w:t>I</w:t>
      </w:r>
      <w:r w:rsidRPr="00675182">
        <w:rPr>
          <w:rFonts w:cstheme="minorHAnsi"/>
          <w:sz w:val="20"/>
        </w:rPr>
        <w:t xml:space="preserve"> - izzūdošās sugas; </w:t>
      </w:r>
      <w:r w:rsidRPr="00675182">
        <w:rPr>
          <w:rFonts w:cstheme="minorHAnsi"/>
          <w:b/>
          <w:bCs/>
          <w:sz w:val="20"/>
        </w:rPr>
        <w:t>II</w:t>
      </w:r>
      <w:r w:rsidRPr="00675182">
        <w:rPr>
          <w:rFonts w:cstheme="minorHAnsi"/>
          <w:sz w:val="20"/>
        </w:rPr>
        <w:t xml:space="preserve"> </w:t>
      </w:r>
      <w:r w:rsidRPr="00675182">
        <w:rPr>
          <w:rFonts w:cstheme="minorHAnsi"/>
          <w:spacing w:val="-1"/>
          <w:sz w:val="20"/>
        </w:rPr>
        <w:t xml:space="preserve">- sarūkošās sugas; </w:t>
      </w:r>
      <w:r w:rsidRPr="00675182">
        <w:rPr>
          <w:rFonts w:cstheme="minorHAnsi"/>
          <w:b/>
          <w:bCs/>
          <w:spacing w:val="-1"/>
          <w:sz w:val="20"/>
        </w:rPr>
        <w:t>III</w:t>
      </w:r>
      <w:r w:rsidRPr="00675182">
        <w:rPr>
          <w:rFonts w:cstheme="minorHAnsi"/>
          <w:spacing w:val="-1"/>
          <w:sz w:val="20"/>
        </w:rPr>
        <w:t xml:space="preserve"> - retās sugas; </w:t>
      </w:r>
      <w:r w:rsidRPr="00675182">
        <w:rPr>
          <w:rFonts w:cstheme="minorHAnsi"/>
          <w:b/>
          <w:bCs/>
          <w:spacing w:val="-1"/>
          <w:sz w:val="20"/>
        </w:rPr>
        <w:t>IV</w:t>
      </w:r>
      <w:r w:rsidRPr="00675182">
        <w:rPr>
          <w:rFonts w:cstheme="minorHAnsi"/>
          <w:spacing w:val="-1"/>
          <w:sz w:val="20"/>
        </w:rPr>
        <w:t xml:space="preserve"> - maz pazīstamās sugas.</w:t>
      </w:r>
    </w:p>
    <w:p w14:paraId="078C2203" w14:textId="77777777" w:rsidR="00BD34EE" w:rsidRPr="00675182" w:rsidRDefault="00BD34EE" w:rsidP="002B3341">
      <w:pPr>
        <w:rPr>
          <w:rFonts w:cstheme="minorHAnsi"/>
          <w:sz w:val="20"/>
          <w:szCs w:val="24"/>
        </w:rPr>
      </w:pPr>
      <w:r w:rsidRPr="00675182">
        <w:rPr>
          <w:rFonts w:cstheme="minorHAnsi"/>
          <w:b/>
          <w:bCs/>
          <w:sz w:val="20"/>
          <w:szCs w:val="24"/>
        </w:rPr>
        <w:t>ĪAS</w:t>
      </w:r>
      <w:r w:rsidRPr="00675182">
        <w:rPr>
          <w:rFonts w:cstheme="minorHAnsi"/>
          <w:sz w:val="20"/>
          <w:szCs w:val="24"/>
        </w:rPr>
        <w:t xml:space="preserve"> – īpaši aizsargājama suga (MK noteikumi Nr. 396. ”Noteikumi par īpaši aizsargājamo sugu un ierobežoti izmantojamo īpaši aizsargājamo sugu sarakstu”, 14.11.2000., grozījumi 27.07.2004. Cipari 1 un 2 apzīmē 1. vai 2. pielikumu)</w:t>
      </w:r>
    </w:p>
    <w:p w14:paraId="26017B06" w14:textId="00CC995A" w:rsidR="00BD34EE" w:rsidRPr="00675182" w:rsidRDefault="00BD34EE" w:rsidP="002B3341">
      <w:pPr>
        <w:autoSpaceDE w:val="0"/>
        <w:rPr>
          <w:rFonts w:cstheme="minorHAnsi"/>
          <w:sz w:val="20"/>
          <w:szCs w:val="24"/>
        </w:rPr>
      </w:pPr>
      <w:r w:rsidRPr="00675182">
        <w:rPr>
          <w:rFonts w:cstheme="minorHAnsi"/>
          <w:b/>
          <w:bCs/>
          <w:sz w:val="20"/>
          <w:szCs w:val="24"/>
        </w:rPr>
        <w:t xml:space="preserve">ES </w:t>
      </w:r>
      <w:r w:rsidRPr="00675182">
        <w:rPr>
          <w:rFonts w:cstheme="minorHAnsi"/>
          <w:sz w:val="20"/>
          <w:szCs w:val="24"/>
        </w:rPr>
        <w:t xml:space="preserve">– </w:t>
      </w:r>
      <w:r w:rsidRPr="00675182">
        <w:rPr>
          <w:rFonts w:eastAsia="Times New Roman" w:cstheme="minorHAnsi"/>
          <w:sz w:val="20"/>
          <w:szCs w:val="24"/>
        </w:rPr>
        <w:t xml:space="preserve">Eiropas Padomes direktīva 92/43/EEK (21.05.1992) Par dabisko dzīvotņu, savvaļas floras un faunas aizsardzību. </w:t>
      </w:r>
      <w:r w:rsidRPr="00675182">
        <w:rPr>
          <w:rFonts w:cstheme="minorHAnsi"/>
          <w:b/>
          <w:bCs/>
          <w:sz w:val="20"/>
          <w:szCs w:val="24"/>
        </w:rPr>
        <w:t xml:space="preserve">II </w:t>
      </w:r>
      <w:r w:rsidRPr="00675182">
        <w:rPr>
          <w:rFonts w:cstheme="minorHAnsi"/>
          <w:sz w:val="20"/>
          <w:szCs w:val="24"/>
        </w:rPr>
        <w:t xml:space="preserve">pielikums. Dzīvnieku un augu sugas, kas ir Kopienas interešu sfērā un kuru aizsardzībai nepieciešama </w:t>
      </w:r>
      <w:r w:rsidR="005D63E3">
        <w:rPr>
          <w:rFonts w:cstheme="minorHAnsi"/>
          <w:sz w:val="20"/>
          <w:szCs w:val="24"/>
        </w:rPr>
        <w:t>ĪA</w:t>
      </w:r>
      <w:r w:rsidRPr="00675182">
        <w:rPr>
          <w:rFonts w:cstheme="minorHAnsi"/>
          <w:sz w:val="20"/>
          <w:szCs w:val="24"/>
        </w:rPr>
        <w:t xml:space="preserve"> teritoriju nodalīšana. </w:t>
      </w:r>
      <w:r w:rsidRPr="00675182">
        <w:rPr>
          <w:rFonts w:cstheme="minorHAnsi"/>
          <w:b/>
          <w:bCs/>
          <w:sz w:val="20"/>
          <w:szCs w:val="24"/>
        </w:rPr>
        <w:t xml:space="preserve">* </w:t>
      </w:r>
      <w:r w:rsidRPr="00675182">
        <w:rPr>
          <w:rFonts w:cstheme="minorHAnsi"/>
          <w:sz w:val="20"/>
          <w:szCs w:val="24"/>
        </w:rPr>
        <w:t xml:space="preserve">- prioritāra suga; </w:t>
      </w:r>
      <w:r w:rsidRPr="00675182">
        <w:rPr>
          <w:rFonts w:cstheme="minorHAnsi"/>
          <w:b/>
          <w:bCs/>
          <w:sz w:val="20"/>
          <w:szCs w:val="24"/>
        </w:rPr>
        <w:t xml:space="preserve">IV </w:t>
      </w:r>
      <w:r w:rsidRPr="00675182">
        <w:rPr>
          <w:rFonts w:cstheme="minorHAnsi"/>
          <w:sz w:val="20"/>
          <w:szCs w:val="24"/>
        </w:rPr>
        <w:t xml:space="preserve">pielikums. Dzīvnieku un augu sugas, kas ir Kopienas interešu sfērā un kuru aizsardzībai nepieciešams stingrs aizsardzības režīms; </w:t>
      </w:r>
    </w:p>
    <w:p w14:paraId="21D955EB" w14:textId="1C2101D5" w:rsidR="00BD34EE" w:rsidRPr="00675182" w:rsidRDefault="00BD34EE" w:rsidP="002B3341">
      <w:pPr>
        <w:rPr>
          <w:rFonts w:cstheme="minorHAnsi"/>
          <w:sz w:val="20"/>
          <w:szCs w:val="24"/>
        </w:rPr>
      </w:pPr>
      <w:r w:rsidRPr="00675182">
        <w:rPr>
          <w:rFonts w:cstheme="minorHAnsi"/>
          <w:b/>
          <w:sz w:val="20"/>
          <w:szCs w:val="24"/>
        </w:rPr>
        <w:t>Bernes konvencija</w:t>
      </w:r>
      <w:r w:rsidR="000C5B10" w:rsidRPr="00675182">
        <w:rPr>
          <w:rFonts w:cstheme="minorHAnsi"/>
          <w:sz w:val="20"/>
          <w:szCs w:val="24"/>
        </w:rPr>
        <w:t xml:space="preserve"> -</w:t>
      </w:r>
      <w:r w:rsidRPr="00675182">
        <w:rPr>
          <w:rFonts w:cstheme="minorHAnsi"/>
          <w:sz w:val="20"/>
          <w:szCs w:val="24"/>
        </w:rPr>
        <w:t xml:space="preserve"> 16.09.1979</w:t>
      </w:r>
      <w:r w:rsidR="000C5B10" w:rsidRPr="00675182">
        <w:rPr>
          <w:rFonts w:cstheme="minorHAnsi"/>
          <w:sz w:val="20"/>
          <w:szCs w:val="24"/>
        </w:rPr>
        <w:t>.g.</w:t>
      </w:r>
      <w:r w:rsidRPr="00675182">
        <w:rPr>
          <w:rFonts w:cstheme="minorHAnsi"/>
          <w:sz w:val="20"/>
          <w:szCs w:val="24"/>
        </w:rPr>
        <w:t xml:space="preserve"> „Par Eiropas dzīvās dabas un dabisko dzīvotņu aizsardzību </w:t>
      </w:r>
    </w:p>
    <w:p w14:paraId="3CEFF1F5" w14:textId="08337F67" w:rsidR="000C5B10" w:rsidRPr="00675182" w:rsidRDefault="000C5B10" w:rsidP="002B3341">
      <w:pPr>
        <w:shd w:val="clear" w:color="auto" w:fill="FFFFFF"/>
        <w:rPr>
          <w:rFonts w:eastAsia="Times New Roman" w:cstheme="minorHAnsi"/>
          <w:color w:val="000000"/>
          <w:sz w:val="20"/>
          <w:szCs w:val="24"/>
          <w:lang w:eastAsia="en-GB"/>
        </w:rPr>
      </w:pPr>
      <w:r w:rsidRPr="00675182">
        <w:rPr>
          <w:rFonts w:eastAsia="Times New Roman" w:cstheme="minorHAnsi"/>
          <w:b/>
          <w:bCs/>
          <w:color w:val="000000"/>
          <w:sz w:val="20"/>
          <w:szCs w:val="24"/>
          <w:lang w:eastAsia="en-GB"/>
        </w:rPr>
        <w:t>CITES</w:t>
      </w:r>
      <w:r w:rsidRPr="00675182">
        <w:rPr>
          <w:rFonts w:eastAsia="Times New Roman" w:cstheme="minorHAnsi"/>
          <w:color w:val="000000"/>
          <w:sz w:val="20"/>
          <w:szCs w:val="24"/>
          <w:lang w:eastAsia="en-GB"/>
        </w:rPr>
        <w:t xml:space="preserve"> – 03.03.1979.g. Vašingtonas konvencija “Par starptautisko tirdzniecību ar apdraudēto savvaļas dzīvnieku un augu sugām”</w:t>
      </w:r>
    </w:p>
    <w:p w14:paraId="77D5A050" w14:textId="77777777" w:rsidR="00CF5379" w:rsidRPr="00675182" w:rsidRDefault="00CF5379" w:rsidP="00CF5379">
      <w:pPr>
        <w:shd w:val="clear" w:color="auto" w:fill="FFFFFF"/>
        <w:rPr>
          <w:rFonts w:eastAsia="Times New Roman" w:cstheme="minorHAnsi"/>
          <w:color w:val="000000"/>
          <w:sz w:val="20"/>
          <w:szCs w:val="24"/>
          <w:lang w:eastAsia="en-GB"/>
        </w:rPr>
      </w:pPr>
      <w:r w:rsidRPr="00675182">
        <w:rPr>
          <w:rFonts w:cstheme="minorHAnsi"/>
          <w:color w:val="000000"/>
          <w:sz w:val="20"/>
          <w:szCs w:val="24"/>
        </w:rPr>
        <w:t>Bonnas konvencija 23.06.1979. „Par migrējošo savvaļas dzīvnieku sugu aizsardzību”. Iekļautas visas Latvijā sastopamās sikspārņu sugas.</w:t>
      </w:r>
    </w:p>
    <w:p w14:paraId="59740DFA" w14:textId="77777777" w:rsidR="00CF5379" w:rsidRPr="00675182" w:rsidRDefault="00CF5379" w:rsidP="00CF5379">
      <w:pPr>
        <w:shd w:val="clear" w:color="auto" w:fill="FFFFFF"/>
        <w:rPr>
          <w:rFonts w:cstheme="minorHAnsi"/>
          <w:color w:val="000000"/>
          <w:sz w:val="20"/>
          <w:szCs w:val="24"/>
        </w:rPr>
      </w:pPr>
      <w:r w:rsidRPr="00675182">
        <w:rPr>
          <w:rFonts w:cstheme="minorHAnsi"/>
          <w:b/>
          <w:bCs/>
          <w:color w:val="000000"/>
          <w:sz w:val="20"/>
          <w:szCs w:val="24"/>
        </w:rPr>
        <w:t xml:space="preserve">EUROBATS </w:t>
      </w:r>
      <w:r w:rsidRPr="00675182">
        <w:rPr>
          <w:rFonts w:cstheme="minorHAnsi"/>
          <w:color w:val="000000"/>
          <w:sz w:val="20"/>
          <w:szCs w:val="24"/>
        </w:rPr>
        <w:t>– Vienošanās par sikspārņu aizsardzību Eiropā (saistībā ar Bonnas konvenciju). Latvija ir dalībvalsts kopš 2003. g.</w:t>
      </w:r>
    </w:p>
    <w:p w14:paraId="3AAB4598" w14:textId="4DAFDBF7" w:rsidR="00CF5379" w:rsidRDefault="00CF5379" w:rsidP="002B3341">
      <w:pPr>
        <w:shd w:val="clear" w:color="auto" w:fill="FFFFFF"/>
        <w:rPr>
          <w:rFonts w:eastAsia="Times New Roman" w:cstheme="minorHAnsi"/>
          <w:color w:val="000000"/>
          <w:sz w:val="20"/>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7"/>
        <w:gridCol w:w="1747"/>
        <w:gridCol w:w="1769"/>
        <w:gridCol w:w="1239"/>
        <w:gridCol w:w="2417"/>
        <w:gridCol w:w="1676"/>
        <w:gridCol w:w="1676"/>
        <w:gridCol w:w="1676"/>
      </w:tblGrid>
      <w:tr w:rsidR="00B71266" w:rsidRPr="00675182" w14:paraId="4868E548" w14:textId="77777777" w:rsidTr="009F1AC0">
        <w:trPr>
          <w:trHeight w:val="20"/>
          <w:tblHeader/>
        </w:trPr>
        <w:tc>
          <w:tcPr>
            <w:tcW w:w="626" w:type="pct"/>
            <w:vMerge w:val="restart"/>
            <w:shd w:val="clear" w:color="auto" w:fill="D6E3BC"/>
            <w:vAlign w:val="center"/>
          </w:tcPr>
          <w:p w14:paraId="6CA905BD" w14:textId="21B3B22A" w:rsidR="00B71266" w:rsidRPr="00675182" w:rsidRDefault="00B71266" w:rsidP="00B71266">
            <w:pPr>
              <w:jc w:val="center"/>
              <w:rPr>
                <w:rFonts w:eastAsia="Times New Roman" w:cstheme="minorHAnsi"/>
                <w:b/>
                <w:color w:val="000000"/>
                <w:sz w:val="22"/>
                <w:szCs w:val="22"/>
                <w:lang w:eastAsia="en-GB"/>
              </w:rPr>
            </w:pPr>
            <w:r w:rsidRPr="006D6576">
              <w:rPr>
                <w:rFonts w:cstheme="minorHAnsi"/>
                <w:b/>
                <w:bCs/>
                <w:sz w:val="20"/>
              </w:rPr>
              <w:t>Nr.p.k.</w:t>
            </w:r>
          </w:p>
        </w:tc>
        <w:tc>
          <w:tcPr>
            <w:tcW w:w="626" w:type="pct"/>
            <w:vMerge w:val="restart"/>
            <w:shd w:val="clear" w:color="auto" w:fill="D6E3BC"/>
            <w:vAlign w:val="center"/>
          </w:tcPr>
          <w:p w14:paraId="2B4E18C6" w14:textId="05C6C31D" w:rsidR="00B71266" w:rsidRPr="00675182" w:rsidRDefault="00B71266" w:rsidP="00B71266">
            <w:pPr>
              <w:jc w:val="center"/>
              <w:rPr>
                <w:rFonts w:eastAsia="Times New Roman" w:cstheme="minorHAnsi"/>
                <w:b/>
                <w:color w:val="000000"/>
                <w:sz w:val="22"/>
                <w:szCs w:val="22"/>
                <w:lang w:eastAsia="en-GB"/>
              </w:rPr>
            </w:pPr>
            <w:r w:rsidRPr="006D6576">
              <w:rPr>
                <w:rFonts w:cstheme="minorHAnsi"/>
                <w:b/>
                <w:bCs/>
                <w:sz w:val="20"/>
              </w:rPr>
              <w:t>Sugas nosaukums (latviski un latīniski)</w:t>
            </w:r>
          </w:p>
        </w:tc>
        <w:tc>
          <w:tcPr>
            <w:tcW w:w="1078" w:type="pct"/>
            <w:gridSpan w:val="2"/>
            <w:shd w:val="clear" w:color="auto" w:fill="D6E3BC"/>
            <w:vAlign w:val="center"/>
          </w:tcPr>
          <w:p w14:paraId="58D98672" w14:textId="6B298B63" w:rsidR="00B71266" w:rsidRPr="00675182" w:rsidRDefault="00B71266" w:rsidP="00B71266">
            <w:pPr>
              <w:jc w:val="center"/>
              <w:rPr>
                <w:rFonts w:eastAsia="Times New Roman" w:cstheme="minorHAnsi"/>
                <w:b/>
                <w:color w:val="000000"/>
                <w:sz w:val="22"/>
                <w:szCs w:val="22"/>
                <w:lang w:eastAsia="en-GB"/>
              </w:rPr>
            </w:pPr>
            <w:r w:rsidRPr="006D6576">
              <w:rPr>
                <w:rFonts w:cstheme="minorHAnsi"/>
                <w:b/>
                <w:bCs/>
                <w:sz w:val="20"/>
              </w:rPr>
              <w:t>Sugas populācijas lielums teritorijā</w:t>
            </w:r>
            <w:r w:rsidR="00C25168">
              <w:rPr>
                <w:rFonts w:cstheme="minorHAnsi"/>
                <w:b/>
                <w:bCs/>
                <w:sz w:val="20"/>
              </w:rPr>
              <w:t>*</w:t>
            </w:r>
          </w:p>
        </w:tc>
        <w:tc>
          <w:tcPr>
            <w:tcW w:w="866" w:type="pct"/>
            <w:vMerge w:val="restart"/>
            <w:shd w:val="clear" w:color="auto" w:fill="D6E3BC"/>
            <w:vAlign w:val="center"/>
          </w:tcPr>
          <w:p w14:paraId="2C07A2F3" w14:textId="644FECCC" w:rsidR="00B71266" w:rsidRPr="00675182" w:rsidRDefault="00B71266" w:rsidP="00B71266">
            <w:pPr>
              <w:jc w:val="center"/>
              <w:rPr>
                <w:rFonts w:eastAsia="Times New Roman" w:cstheme="minorHAnsi"/>
                <w:b/>
                <w:color w:val="000000"/>
                <w:sz w:val="22"/>
                <w:szCs w:val="22"/>
                <w:lang w:eastAsia="en-GB"/>
              </w:rPr>
            </w:pPr>
            <w:r w:rsidRPr="006D6576">
              <w:rPr>
                <w:rFonts w:cstheme="minorHAnsi"/>
                <w:b/>
                <w:bCs/>
                <w:sz w:val="20"/>
              </w:rPr>
              <w:t>Teritorijā esošās sugas populācijas attiecība (%) pret sugas populāciju Natura 2000 teritorijās Latvijā kopumā</w:t>
            </w:r>
          </w:p>
        </w:tc>
        <w:tc>
          <w:tcPr>
            <w:tcW w:w="601" w:type="pct"/>
            <w:vMerge w:val="restart"/>
            <w:shd w:val="clear" w:color="auto" w:fill="D6E3BC"/>
            <w:vAlign w:val="center"/>
          </w:tcPr>
          <w:p w14:paraId="7AE4596F" w14:textId="693C30B6" w:rsidR="00B71266" w:rsidRPr="00675182" w:rsidRDefault="00B71266" w:rsidP="00B71266">
            <w:pPr>
              <w:jc w:val="center"/>
              <w:rPr>
                <w:rFonts w:eastAsia="Times New Roman" w:cstheme="minorHAnsi"/>
                <w:b/>
                <w:color w:val="000000"/>
                <w:sz w:val="22"/>
                <w:szCs w:val="22"/>
                <w:lang w:eastAsia="en-GB"/>
              </w:rPr>
            </w:pPr>
            <w:r w:rsidRPr="006D6576">
              <w:rPr>
                <w:rFonts w:cstheme="minorHAnsi"/>
                <w:b/>
                <w:bCs/>
                <w:sz w:val="20"/>
              </w:rPr>
              <w:t>Teritorijā esošās sugas populācijas attiecība (%) pret sugas populāciju valstī</w:t>
            </w:r>
          </w:p>
        </w:tc>
        <w:tc>
          <w:tcPr>
            <w:tcW w:w="601" w:type="pct"/>
            <w:vMerge w:val="restart"/>
            <w:shd w:val="clear" w:color="auto" w:fill="D6E3BC"/>
            <w:vAlign w:val="center"/>
          </w:tcPr>
          <w:p w14:paraId="3C030E75" w14:textId="4525B7D1" w:rsidR="00B71266" w:rsidRPr="00675182" w:rsidRDefault="00B71266" w:rsidP="00B71266">
            <w:pPr>
              <w:jc w:val="center"/>
              <w:rPr>
                <w:rFonts w:eastAsia="Times New Roman" w:cstheme="minorHAnsi"/>
                <w:b/>
                <w:color w:val="000000"/>
                <w:sz w:val="22"/>
                <w:szCs w:val="22"/>
                <w:lang w:eastAsia="en-GB"/>
              </w:rPr>
            </w:pPr>
            <w:r w:rsidRPr="006D6576">
              <w:rPr>
                <w:rFonts w:cstheme="minorHAnsi"/>
                <w:b/>
                <w:bCs/>
                <w:sz w:val="20"/>
              </w:rPr>
              <w:t>Sugas dzīvotnes platība (ha)</w:t>
            </w:r>
          </w:p>
        </w:tc>
        <w:tc>
          <w:tcPr>
            <w:tcW w:w="601" w:type="pct"/>
            <w:vMerge w:val="restart"/>
            <w:shd w:val="clear" w:color="auto" w:fill="D6E3BC"/>
            <w:vAlign w:val="center"/>
          </w:tcPr>
          <w:p w14:paraId="5C4E7199" w14:textId="5309B6E0" w:rsidR="00B71266" w:rsidRPr="00675182" w:rsidRDefault="00B71266" w:rsidP="00B71266">
            <w:pPr>
              <w:jc w:val="center"/>
              <w:rPr>
                <w:rFonts w:cstheme="minorHAnsi"/>
                <w:b/>
                <w:color w:val="000000"/>
                <w:sz w:val="22"/>
                <w:szCs w:val="22"/>
              </w:rPr>
            </w:pPr>
            <w:r w:rsidRPr="006D6576">
              <w:rPr>
                <w:rFonts w:cstheme="minorHAnsi"/>
                <w:b/>
                <w:bCs/>
                <w:sz w:val="20"/>
              </w:rPr>
              <w:t>Sugas dzīvotnes platības attiecība (%) pret sugas dzīvotnes platību Natura 2000 teritorijās Latvijā kopumā</w:t>
            </w:r>
          </w:p>
        </w:tc>
      </w:tr>
      <w:tr w:rsidR="00B71266" w:rsidRPr="00675182" w14:paraId="6FC9B640" w14:textId="77777777" w:rsidTr="00B71266">
        <w:trPr>
          <w:trHeight w:val="20"/>
          <w:tblHeader/>
        </w:trPr>
        <w:tc>
          <w:tcPr>
            <w:tcW w:w="626" w:type="pct"/>
            <w:vMerge/>
            <w:shd w:val="clear" w:color="auto" w:fill="D6E3BC"/>
            <w:vAlign w:val="center"/>
          </w:tcPr>
          <w:p w14:paraId="1D98FA27" w14:textId="5B86791F" w:rsidR="00B71266" w:rsidRPr="00675182" w:rsidRDefault="00B71266" w:rsidP="00B71266">
            <w:pPr>
              <w:jc w:val="center"/>
              <w:rPr>
                <w:rFonts w:eastAsia="Times New Roman" w:cstheme="minorHAnsi"/>
                <w:b/>
                <w:color w:val="000000"/>
                <w:sz w:val="22"/>
                <w:szCs w:val="22"/>
                <w:lang w:eastAsia="en-GB"/>
              </w:rPr>
            </w:pPr>
          </w:p>
        </w:tc>
        <w:tc>
          <w:tcPr>
            <w:tcW w:w="626" w:type="pct"/>
            <w:vMerge/>
            <w:shd w:val="clear" w:color="auto" w:fill="D6E3BC"/>
            <w:vAlign w:val="center"/>
          </w:tcPr>
          <w:p w14:paraId="10C15A33" w14:textId="0A9909F4" w:rsidR="00B71266" w:rsidRPr="00675182" w:rsidRDefault="00B71266" w:rsidP="00B71266">
            <w:pPr>
              <w:jc w:val="center"/>
              <w:rPr>
                <w:rFonts w:eastAsia="Times New Roman" w:cstheme="minorHAnsi"/>
                <w:b/>
                <w:color w:val="000000"/>
                <w:sz w:val="22"/>
                <w:szCs w:val="22"/>
                <w:lang w:eastAsia="en-GB"/>
              </w:rPr>
            </w:pPr>
          </w:p>
        </w:tc>
        <w:tc>
          <w:tcPr>
            <w:tcW w:w="634" w:type="pct"/>
            <w:shd w:val="clear" w:color="auto" w:fill="D6E3BC"/>
            <w:vAlign w:val="center"/>
          </w:tcPr>
          <w:p w14:paraId="64AE1A8F" w14:textId="6849F905" w:rsidR="00B71266" w:rsidRPr="00675182" w:rsidRDefault="00B71266" w:rsidP="00B71266">
            <w:pPr>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Min</w:t>
            </w:r>
          </w:p>
        </w:tc>
        <w:tc>
          <w:tcPr>
            <w:tcW w:w="444" w:type="pct"/>
            <w:shd w:val="clear" w:color="auto" w:fill="D6E3BC"/>
            <w:vAlign w:val="center"/>
          </w:tcPr>
          <w:p w14:paraId="063DDD75" w14:textId="5184F2AB" w:rsidR="00B71266" w:rsidRPr="00675182" w:rsidRDefault="00B71266" w:rsidP="00B71266">
            <w:pPr>
              <w:jc w:val="center"/>
              <w:rPr>
                <w:rFonts w:eastAsia="Times New Roman" w:cstheme="minorHAnsi"/>
                <w:b/>
                <w:color w:val="000000"/>
                <w:sz w:val="22"/>
                <w:szCs w:val="22"/>
                <w:lang w:eastAsia="en-GB"/>
              </w:rPr>
            </w:pPr>
            <w:r>
              <w:rPr>
                <w:rFonts w:eastAsia="Times New Roman" w:cstheme="minorHAnsi"/>
                <w:b/>
                <w:color w:val="000000"/>
                <w:sz w:val="22"/>
                <w:szCs w:val="22"/>
                <w:lang w:eastAsia="en-GB"/>
              </w:rPr>
              <w:t>Max</w:t>
            </w:r>
          </w:p>
        </w:tc>
        <w:tc>
          <w:tcPr>
            <w:tcW w:w="866" w:type="pct"/>
            <w:vMerge/>
            <w:shd w:val="clear" w:color="auto" w:fill="D6E3BC"/>
            <w:vAlign w:val="center"/>
          </w:tcPr>
          <w:p w14:paraId="0E658E80" w14:textId="31443F7C" w:rsidR="00B71266" w:rsidRPr="00675182" w:rsidRDefault="00B71266" w:rsidP="00B71266">
            <w:pPr>
              <w:jc w:val="center"/>
              <w:rPr>
                <w:rFonts w:eastAsia="Times New Roman" w:cstheme="minorHAnsi"/>
                <w:b/>
                <w:color w:val="000000"/>
                <w:sz w:val="22"/>
                <w:szCs w:val="22"/>
                <w:lang w:eastAsia="en-GB"/>
              </w:rPr>
            </w:pPr>
          </w:p>
        </w:tc>
        <w:tc>
          <w:tcPr>
            <w:tcW w:w="601" w:type="pct"/>
            <w:vMerge/>
            <w:shd w:val="clear" w:color="auto" w:fill="D6E3BC"/>
          </w:tcPr>
          <w:p w14:paraId="55AA9F4F" w14:textId="77777777" w:rsidR="00B71266" w:rsidRPr="00675182" w:rsidRDefault="00B71266" w:rsidP="00B71266">
            <w:pPr>
              <w:jc w:val="center"/>
              <w:rPr>
                <w:rFonts w:eastAsia="Times New Roman" w:cstheme="minorHAnsi"/>
                <w:b/>
                <w:color w:val="000000"/>
                <w:sz w:val="22"/>
                <w:szCs w:val="22"/>
                <w:lang w:eastAsia="en-GB"/>
              </w:rPr>
            </w:pPr>
          </w:p>
        </w:tc>
        <w:tc>
          <w:tcPr>
            <w:tcW w:w="601" w:type="pct"/>
            <w:vMerge/>
            <w:tcBorders>
              <w:bottom w:val="single" w:sz="4" w:space="0" w:color="auto"/>
            </w:tcBorders>
            <w:shd w:val="clear" w:color="auto" w:fill="D6E3BC"/>
            <w:vAlign w:val="center"/>
          </w:tcPr>
          <w:p w14:paraId="6918726E" w14:textId="2547FC66" w:rsidR="00B71266" w:rsidRPr="00675182" w:rsidRDefault="00B71266" w:rsidP="00B71266">
            <w:pPr>
              <w:jc w:val="center"/>
              <w:rPr>
                <w:rFonts w:eastAsia="Times New Roman" w:cstheme="minorHAnsi"/>
                <w:b/>
                <w:color w:val="000000"/>
                <w:sz w:val="22"/>
                <w:szCs w:val="22"/>
                <w:lang w:eastAsia="en-GB"/>
              </w:rPr>
            </w:pPr>
          </w:p>
        </w:tc>
        <w:tc>
          <w:tcPr>
            <w:tcW w:w="601" w:type="pct"/>
            <w:vMerge/>
            <w:tcBorders>
              <w:bottom w:val="single" w:sz="4" w:space="0" w:color="auto"/>
            </w:tcBorders>
            <w:shd w:val="clear" w:color="auto" w:fill="D6E3BC"/>
            <w:vAlign w:val="center"/>
          </w:tcPr>
          <w:p w14:paraId="69EACD0F" w14:textId="7B30C7CE" w:rsidR="00B71266" w:rsidRPr="00675182" w:rsidRDefault="00B71266" w:rsidP="00B71266">
            <w:pPr>
              <w:jc w:val="center"/>
              <w:rPr>
                <w:rFonts w:eastAsia="Times New Roman" w:cstheme="minorHAnsi"/>
                <w:b/>
                <w:color w:val="000000"/>
                <w:sz w:val="22"/>
                <w:szCs w:val="22"/>
                <w:lang w:eastAsia="en-GB"/>
              </w:rPr>
            </w:pPr>
          </w:p>
        </w:tc>
      </w:tr>
      <w:tr w:rsidR="00F2263F" w:rsidRPr="00675182" w14:paraId="4550943B" w14:textId="77777777" w:rsidTr="00F2263F">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2861B47B" w14:textId="616BE1D1" w:rsidR="00F2263F" w:rsidRPr="00962970" w:rsidRDefault="00F2263F" w:rsidP="00F2263F">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vAlign w:val="center"/>
          </w:tcPr>
          <w:p w14:paraId="1AC2A80D" w14:textId="77777777" w:rsidR="00F2263F" w:rsidRDefault="00F2263F" w:rsidP="00F2263F">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Brūnais lācis</w:t>
            </w:r>
          </w:p>
          <w:p w14:paraId="475596A5" w14:textId="61E49F5D" w:rsidR="00F2263F" w:rsidRPr="00675182" w:rsidRDefault="00F2263F" w:rsidP="00F2263F">
            <w:pPr>
              <w:rPr>
                <w:rFonts w:eastAsia="Times New Roman" w:cstheme="minorHAnsi"/>
                <w:color w:val="000000"/>
                <w:sz w:val="22"/>
                <w:szCs w:val="22"/>
                <w:lang w:eastAsia="en-GB"/>
              </w:rPr>
            </w:pPr>
            <w:r w:rsidRPr="00675182">
              <w:rPr>
                <w:rFonts w:cstheme="minorHAnsi"/>
                <w:i/>
                <w:iCs/>
                <w:color w:val="000000"/>
                <w:sz w:val="22"/>
                <w:szCs w:val="22"/>
              </w:rPr>
              <w:t xml:space="preserve"> Ursus arctos</w:t>
            </w:r>
          </w:p>
        </w:tc>
        <w:tc>
          <w:tcPr>
            <w:tcW w:w="634" w:type="pct"/>
            <w:tcBorders>
              <w:top w:val="single" w:sz="4" w:space="0" w:color="auto"/>
              <w:left w:val="single" w:sz="4" w:space="0" w:color="auto"/>
              <w:bottom w:val="single" w:sz="4" w:space="0" w:color="auto"/>
              <w:right w:val="single" w:sz="4" w:space="0" w:color="auto"/>
            </w:tcBorders>
            <w:noWrap/>
            <w:vAlign w:val="center"/>
          </w:tcPr>
          <w:p w14:paraId="3981081E" w14:textId="38472155" w:rsidR="00F2263F" w:rsidRPr="00675182" w:rsidRDefault="00F2263F" w:rsidP="00F2263F">
            <w:pPr>
              <w:jc w:val="center"/>
              <w:rPr>
                <w:rFonts w:eastAsia="Times New Roman" w:cstheme="minorHAnsi"/>
                <w:i/>
                <w:color w:val="000000"/>
                <w:sz w:val="22"/>
                <w:szCs w:val="22"/>
                <w:lang w:eastAsia="en-GB"/>
              </w:rPr>
            </w:pPr>
            <w:r>
              <w:rPr>
                <w:rFonts w:eastAsia="Times New Roman" w:cstheme="minorHAnsi"/>
                <w:iCs/>
                <w:color w:val="000000"/>
                <w:kern w:val="2"/>
                <w:sz w:val="22"/>
                <w:szCs w:val="22"/>
                <w:lang w:eastAsia="en-GB"/>
                <w14:ligatures w14:val="standardContextual"/>
              </w:rPr>
              <w:t>1</w:t>
            </w:r>
          </w:p>
        </w:tc>
        <w:tc>
          <w:tcPr>
            <w:tcW w:w="444" w:type="pct"/>
            <w:tcBorders>
              <w:top w:val="single" w:sz="4" w:space="0" w:color="auto"/>
              <w:left w:val="single" w:sz="4" w:space="0" w:color="auto"/>
              <w:bottom w:val="single" w:sz="4" w:space="0" w:color="auto"/>
              <w:right w:val="single" w:sz="4" w:space="0" w:color="auto"/>
            </w:tcBorders>
            <w:vAlign w:val="center"/>
          </w:tcPr>
          <w:p w14:paraId="26212803" w14:textId="1BD686FC" w:rsidR="00F2263F" w:rsidRPr="00675182" w:rsidRDefault="00F2263F" w:rsidP="00F2263F">
            <w:pPr>
              <w:jc w:val="center"/>
              <w:rPr>
                <w:rFonts w:eastAsia="Times New Roman" w:cstheme="minorHAnsi"/>
                <w:sz w:val="22"/>
                <w:szCs w:val="22"/>
                <w:lang w:eastAsia="en-GB"/>
              </w:rPr>
            </w:pPr>
            <w:r>
              <w:rPr>
                <w:rFonts w:eastAsia="Times New Roman" w:cstheme="minorHAnsi"/>
                <w:iCs/>
                <w:kern w:val="2"/>
                <w:sz w:val="22"/>
                <w:szCs w:val="22"/>
                <w:lang w:eastAsia="en-GB"/>
                <w14:ligatures w14:val="standardContextual"/>
              </w:rPr>
              <w:t>3</w:t>
            </w:r>
          </w:p>
        </w:tc>
        <w:tc>
          <w:tcPr>
            <w:tcW w:w="866" w:type="pct"/>
            <w:tcBorders>
              <w:top w:val="single" w:sz="4" w:space="0" w:color="auto"/>
              <w:left w:val="single" w:sz="4" w:space="0" w:color="auto"/>
              <w:bottom w:val="single" w:sz="4" w:space="0" w:color="auto"/>
              <w:right w:val="single" w:sz="4" w:space="0" w:color="auto"/>
            </w:tcBorders>
            <w:vAlign w:val="center"/>
          </w:tcPr>
          <w:p w14:paraId="6108CF02" w14:textId="10052181" w:rsidR="00F2263F" w:rsidRPr="00675182" w:rsidRDefault="00F2263F" w:rsidP="00F2263F">
            <w:pPr>
              <w:jc w:val="center"/>
              <w:rPr>
                <w:rFonts w:cstheme="minorHAnsi"/>
                <w:color w:val="000000"/>
                <w:sz w:val="22"/>
                <w:szCs w:val="22"/>
              </w:rPr>
            </w:pPr>
            <w:r>
              <w:rPr>
                <w:rFonts w:cstheme="minorHAnsi"/>
                <w:iCs/>
                <w:color w:val="000000"/>
                <w:kern w:val="2"/>
                <w:sz w:val="22"/>
                <w:szCs w:val="22"/>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789BE66A" w14:textId="2FE30EEE"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noWrap/>
            <w:vAlign w:val="center"/>
          </w:tcPr>
          <w:p w14:paraId="29FA6A5A" w14:textId="34C09BB9"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06CEC462" w14:textId="5C22EB30" w:rsidR="00F2263F" w:rsidRPr="00675182"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r>
      <w:tr w:rsidR="00F2263F" w:rsidRPr="00675182" w14:paraId="432B0E5B" w14:textId="77777777" w:rsidTr="00F2263F">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3F5370DA" w14:textId="02C30757" w:rsidR="00F2263F" w:rsidRPr="00962970" w:rsidRDefault="00F2263F" w:rsidP="00F2263F">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vAlign w:val="center"/>
          </w:tcPr>
          <w:p w14:paraId="727FE6DC" w14:textId="77777777" w:rsidR="00F2263F" w:rsidRDefault="00F2263F" w:rsidP="00F2263F">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Eirāzijas ūdrs</w:t>
            </w:r>
          </w:p>
          <w:p w14:paraId="7F1D37BA" w14:textId="4FF12E09" w:rsidR="00F2263F" w:rsidRPr="00675182" w:rsidRDefault="00F2263F" w:rsidP="00F2263F">
            <w:pPr>
              <w:rPr>
                <w:rFonts w:eastAsia="Times New Roman" w:cstheme="minorHAnsi"/>
                <w:color w:val="000000"/>
                <w:sz w:val="22"/>
                <w:szCs w:val="22"/>
                <w:lang w:eastAsia="en-GB"/>
              </w:rPr>
            </w:pPr>
            <w:r w:rsidRPr="00675182">
              <w:rPr>
                <w:rFonts w:cstheme="minorHAnsi"/>
                <w:i/>
                <w:iCs/>
                <w:color w:val="000000"/>
                <w:sz w:val="22"/>
                <w:szCs w:val="22"/>
              </w:rPr>
              <w:t xml:space="preserve"> Lutra lutra</w:t>
            </w:r>
          </w:p>
        </w:tc>
        <w:tc>
          <w:tcPr>
            <w:tcW w:w="634" w:type="pct"/>
            <w:tcBorders>
              <w:top w:val="single" w:sz="4" w:space="0" w:color="auto"/>
              <w:left w:val="single" w:sz="4" w:space="0" w:color="auto"/>
              <w:bottom w:val="single" w:sz="4" w:space="0" w:color="auto"/>
              <w:right w:val="single" w:sz="4" w:space="0" w:color="auto"/>
            </w:tcBorders>
            <w:noWrap/>
            <w:vAlign w:val="center"/>
          </w:tcPr>
          <w:p w14:paraId="1EEFE74A" w14:textId="42A56841" w:rsidR="00F2263F" w:rsidRPr="00675182" w:rsidRDefault="00F2263F" w:rsidP="00F2263F">
            <w:pPr>
              <w:jc w:val="center"/>
              <w:rPr>
                <w:rFonts w:eastAsia="Times New Roman" w:cstheme="minorHAnsi"/>
                <w:i/>
                <w:color w:val="000000"/>
                <w:sz w:val="22"/>
                <w:szCs w:val="22"/>
                <w:lang w:eastAsia="en-GB"/>
              </w:rPr>
            </w:pPr>
            <w:r>
              <w:rPr>
                <w:rFonts w:eastAsia="Times New Roman" w:cstheme="minorHAnsi"/>
                <w:iCs/>
                <w:color w:val="000000"/>
                <w:kern w:val="2"/>
                <w:sz w:val="22"/>
                <w:szCs w:val="22"/>
                <w:lang w:eastAsia="en-GB"/>
                <w14:ligatures w14:val="standardContextual"/>
              </w:rPr>
              <w:t>200</w:t>
            </w:r>
          </w:p>
        </w:tc>
        <w:tc>
          <w:tcPr>
            <w:tcW w:w="444" w:type="pct"/>
            <w:tcBorders>
              <w:top w:val="single" w:sz="4" w:space="0" w:color="auto"/>
              <w:left w:val="single" w:sz="4" w:space="0" w:color="auto"/>
              <w:bottom w:val="single" w:sz="4" w:space="0" w:color="auto"/>
              <w:right w:val="single" w:sz="4" w:space="0" w:color="auto"/>
            </w:tcBorders>
            <w:vAlign w:val="center"/>
          </w:tcPr>
          <w:p w14:paraId="7488BA27" w14:textId="5E9D5AF4" w:rsidR="00F2263F" w:rsidRPr="00675182" w:rsidRDefault="00F2263F" w:rsidP="00F2263F">
            <w:pPr>
              <w:jc w:val="center"/>
              <w:rPr>
                <w:rFonts w:eastAsia="Times New Roman" w:cstheme="minorHAnsi"/>
                <w:sz w:val="22"/>
                <w:szCs w:val="22"/>
                <w:lang w:eastAsia="en-GB"/>
              </w:rPr>
            </w:pPr>
            <w:r>
              <w:rPr>
                <w:rFonts w:eastAsia="Times New Roman" w:cstheme="minorHAnsi"/>
                <w:iCs/>
                <w:kern w:val="2"/>
                <w:sz w:val="22"/>
                <w:szCs w:val="22"/>
                <w:lang w:eastAsia="en-GB"/>
                <w14:ligatures w14:val="standardContextual"/>
              </w:rPr>
              <w:t>300</w:t>
            </w:r>
          </w:p>
        </w:tc>
        <w:tc>
          <w:tcPr>
            <w:tcW w:w="866" w:type="pct"/>
            <w:tcBorders>
              <w:top w:val="single" w:sz="4" w:space="0" w:color="auto"/>
              <w:left w:val="single" w:sz="4" w:space="0" w:color="auto"/>
              <w:bottom w:val="single" w:sz="4" w:space="0" w:color="auto"/>
              <w:right w:val="single" w:sz="4" w:space="0" w:color="auto"/>
            </w:tcBorders>
            <w:vAlign w:val="center"/>
          </w:tcPr>
          <w:p w14:paraId="3C5A53D1" w14:textId="55B73E92" w:rsidR="00F2263F" w:rsidRPr="00675182" w:rsidRDefault="00F2263F" w:rsidP="00F2263F">
            <w:pPr>
              <w:jc w:val="center"/>
              <w:rPr>
                <w:rFonts w:cstheme="minorHAnsi"/>
                <w:color w:val="000000"/>
                <w:sz w:val="22"/>
                <w:szCs w:val="22"/>
              </w:rPr>
            </w:pPr>
            <w:r>
              <w:rPr>
                <w:rFonts w:cstheme="minorHAnsi"/>
                <w:iCs/>
                <w:color w:val="000000"/>
                <w:kern w:val="2"/>
                <w:sz w:val="22"/>
                <w:szCs w:val="22"/>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217C3DE8" w14:textId="71E85182"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noWrap/>
            <w:vAlign w:val="center"/>
          </w:tcPr>
          <w:p w14:paraId="704E5742" w14:textId="788BECB2"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0876731F" w14:textId="2B046E43" w:rsidR="00F2263F" w:rsidRPr="00675182"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r>
      <w:tr w:rsidR="00F2263F" w:rsidRPr="00675182" w14:paraId="6675F130" w14:textId="77777777" w:rsidTr="00F2263F">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65D28555" w14:textId="77777777" w:rsidR="00F2263F" w:rsidRPr="00962970" w:rsidRDefault="00F2263F" w:rsidP="00F2263F">
            <w:pPr>
              <w:pStyle w:val="ListParagraph"/>
              <w:numPr>
                <w:ilvl w:val="0"/>
                <w:numId w:val="83"/>
              </w:numPr>
              <w:jc w:val="center"/>
              <w:rPr>
                <w:rFonts w:eastAsia="Times New Roman" w:cstheme="minorHAnsi"/>
                <w:color w:val="000000"/>
                <w:sz w:val="22"/>
                <w:szCs w:val="22"/>
                <w:lang w:eastAsia="en-GB"/>
              </w:rPr>
            </w:pPr>
            <w:r w:rsidRPr="00962970">
              <w:rPr>
                <w:rFonts w:eastAsia="Times New Roman" w:cstheme="minorHAnsi"/>
                <w:color w:val="000000"/>
                <w:sz w:val="22"/>
                <w:szCs w:val="22"/>
                <w:lang w:eastAsia="en-GB"/>
              </w:rPr>
              <w:t>3.</w:t>
            </w:r>
          </w:p>
        </w:tc>
        <w:tc>
          <w:tcPr>
            <w:tcW w:w="626" w:type="pct"/>
            <w:tcBorders>
              <w:top w:val="single" w:sz="4" w:space="0" w:color="auto"/>
              <w:left w:val="single" w:sz="4" w:space="0" w:color="auto"/>
              <w:bottom w:val="single" w:sz="4" w:space="0" w:color="auto"/>
              <w:right w:val="single" w:sz="4" w:space="0" w:color="auto"/>
            </w:tcBorders>
            <w:noWrap/>
            <w:vAlign w:val="center"/>
          </w:tcPr>
          <w:p w14:paraId="58520AA2" w14:textId="679F59EB" w:rsidR="00F2263F" w:rsidRPr="00675182" w:rsidRDefault="00F2263F" w:rsidP="00F2263F">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Eirāzijas bebrs</w:t>
            </w:r>
            <w:r w:rsidRPr="00675182">
              <w:rPr>
                <w:rFonts w:eastAsia="Times New Roman" w:cstheme="minorHAnsi"/>
                <w:i/>
                <w:color w:val="000000"/>
                <w:sz w:val="22"/>
                <w:szCs w:val="22"/>
                <w:lang w:eastAsia="en-GB"/>
              </w:rPr>
              <w:t xml:space="preserve"> Castor fiber</w:t>
            </w:r>
          </w:p>
        </w:tc>
        <w:tc>
          <w:tcPr>
            <w:tcW w:w="634" w:type="pct"/>
            <w:tcBorders>
              <w:top w:val="single" w:sz="4" w:space="0" w:color="auto"/>
              <w:left w:val="single" w:sz="4" w:space="0" w:color="auto"/>
              <w:bottom w:val="single" w:sz="4" w:space="0" w:color="auto"/>
              <w:right w:val="single" w:sz="4" w:space="0" w:color="auto"/>
            </w:tcBorders>
            <w:noWrap/>
            <w:vAlign w:val="center"/>
          </w:tcPr>
          <w:p w14:paraId="5E6ED340" w14:textId="6406D515" w:rsidR="00F2263F" w:rsidRPr="00675182" w:rsidRDefault="00F2263F" w:rsidP="00F2263F">
            <w:pPr>
              <w:jc w:val="center"/>
              <w:rPr>
                <w:rFonts w:eastAsia="Times New Roman" w:cstheme="minorHAnsi"/>
                <w: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444" w:type="pct"/>
            <w:tcBorders>
              <w:top w:val="single" w:sz="4" w:space="0" w:color="auto"/>
              <w:left w:val="single" w:sz="4" w:space="0" w:color="auto"/>
              <w:bottom w:val="single" w:sz="4" w:space="0" w:color="auto"/>
              <w:right w:val="single" w:sz="4" w:space="0" w:color="auto"/>
            </w:tcBorders>
            <w:vAlign w:val="center"/>
          </w:tcPr>
          <w:p w14:paraId="5CAB1564" w14:textId="7529712D" w:rsidR="00F2263F" w:rsidRPr="00675182" w:rsidRDefault="00F2263F" w:rsidP="00F2263F">
            <w:pPr>
              <w:jc w:val="center"/>
              <w:rPr>
                <w:rFonts w:eastAsia="Times New Roman" w:cstheme="minorHAnsi"/>
                <w:sz w:val="22"/>
                <w:szCs w:val="22"/>
                <w:lang w:eastAsia="en-GB"/>
              </w:rPr>
            </w:pPr>
            <w:r>
              <w:rPr>
                <w:rFonts w:eastAsia="Times New Roman" w:cstheme="minorHAnsi"/>
                <w:iCs/>
                <w:kern w:val="2"/>
                <w:sz w:val="22"/>
                <w:szCs w:val="22"/>
                <w:lang w:eastAsia="en-GB"/>
                <w14:ligatures w14:val="standardContextual"/>
              </w:rPr>
              <w:t>Trūkst datu</w:t>
            </w:r>
          </w:p>
        </w:tc>
        <w:tc>
          <w:tcPr>
            <w:tcW w:w="866" w:type="pct"/>
            <w:tcBorders>
              <w:top w:val="single" w:sz="4" w:space="0" w:color="auto"/>
              <w:left w:val="single" w:sz="4" w:space="0" w:color="auto"/>
              <w:bottom w:val="single" w:sz="4" w:space="0" w:color="auto"/>
              <w:right w:val="single" w:sz="4" w:space="0" w:color="auto"/>
            </w:tcBorders>
            <w:vAlign w:val="center"/>
          </w:tcPr>
          <w:p w14:paraId="2A6080AF" w14:textId="51E7B06D" w:rsidR="00F2263F" w:rsidRPr="00675182" w:rsidRDefault="00F2263F" w:rsidP="00F2263F">
            <w:pPr>
              <w:jc w:val="center"/>
              <w:rPr>
                <w:rFonts w:cstheme="minorHAnsi"/>
                <w:color w:val="000000"/>
                <w:sz w:val="22"/>
                <w:szCs w:val="22"/>
              </w:rPr>
            </w:pPr>
            <w:r>
              <w:rPr>
                <w:rFonts w:cstheme="minorHAnsi"/>
                <w:iCs/>
                <w:color w:val="000000"/>
                <w:kern w:val="2"/>
                <w:sz w:val="22"/>
                <w:szCs w:val="22"/>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0FB50C7C" w14:textId="406820C9"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noWrap/>
            <w:vAlign w:val="center"/>
          </w:tcPr>
          <w:p w14:paraId="53358DDE" w14:textId="75BE9B07"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489064C0" w14:textId="2C4E5DD8" w:rsidR="00F2263F" w:rsidRPr="00675182"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r>
      <w:tr w:rsidR="00F2263F" w:rsidRPr="00675182" w14:paraId="53EEF510" w14:textId="77777777" w:rsidTr="00F2263F">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55B2BDAA" w14:textId="77777777" w:rsidR="00F2263F" w:rsidRPr="00962970" w:rsidRDefault="00F2263F" w:rsidP="00F2263F">
            <w:pPr>
              <w:pStyle w:val="ListParagraph"/>
              <w:numPr>
                <w:ilvl w:val="0"/>
                <w:numId w:val="83"/>
              </w:numPr>
              <w:jc w:val="center"/>
              <w:rPr>
                <w:rFonts w:eastAsia="Times New Roman" w:cstheme="minorHAnsi"/>
                <w:color w:val="000000"/>
                <w:sz w:val="22"/>
                <w:szCs w:val="22"/>
                <w:lang w:eastAsia="en-GB"/>
              </w:rPr>
            </w:pPr>
            <w:r w:rsidRPr="00962970">
              <w:rPr>
                <w:rFonts w:eastAsia="Times New Roman" w:cstheme="minorHAnsi"/>
                <w:color w:val="000000"/>
                <w:sz w:val="22"/>
                <w:szCs w:val="22"/>
                <w:lang w:eastAsia="en-GB"/>
              </w:rPr>
              <w:t>4.</w:t>
            </w:r>
          </w:p>
        </w:tc>
        <w:tc>
          <w:tcPr>
            <w:tcW w:w="626" w:type="pct"/>
            <w:tcBorders>
              <w:top w:val="single" w:sz="4" w:space="0" w:color="auto"/>
              <w:left w:val="single" w:sz="4" w:space="0" w:color="auto"/>
              <w:bottom w:val="single" w:sz="4" w:space="0" w:color="auto"/>
              <w:right w:val="single" w:sz="4" w:space="0" w:color="auto"/>
            </w:tcBorders>
            <w:noWrap/>
            <w:vAlign w:val="center"/>
          </w:tcPr>
          <w:p w14:paraId="6F8E4A5B" w14:textId="77777777" w:rsidR="00F2263F" w:rsidRDefault="00F2263F" w:rsidP="00F2263F">
            <w:pPr>
              <w:rPr>
                <w:rFonts w:cstheme="minorHAnsi"/>
                <w:i/>
                <w:iCs/>
                <w:sz w:val="22"/>
                <w:szCs w:val="22"/>
              </w:rPr>
            </w:pPr>
            <w:r w:rsidRPr="00675182">
              <w:rPr>
                <w:rFonts w:eastAsia="Times New Roman" w:cstheme="minorHAnsi"/>
                <w:color w:val="000000"/>
                <w:sz w:val="22"/>
                <w:szCs w:val="22"/>
                <w:lang w:eastAsia="en-GB"/>
              </w:rPr>
              <w:t>Pelēkais vilks</w:t>
            </w:r>
            <w:r w:rsidRPr="00675182">
              <w:rPr>
                <w:rFonts w:cstheme="minorHAnsi"/>
                <w:i/>
                <w:iCs/>
                <w:sz w:val="22"/>
                <w:szCs w:val="22"/>
              </w:rPr>
              <w:t xml:space="preserve"> </w:t>
            </w:r>
          </w:p>
          <w:p w14:paraId="45230CEE" w14:textId="6E05CCCA" w:rsidR="00F2263F" w:rsidRPr="00675182" w:rsidRDefault="00F2263F" w:rsidP="00F2263F">
            <w:pPr>
              <w:rPr>
                <w:rFonts w:eastAsia="Times New Roman" w:cstheme="minorHAnsi"/>
                <w:color w:val="000000"/>
                <w:sz w:val="22"/>
                <w:szCs w:val="22"/>
                <w:lang w:eastAsia="en-GB"/>
              </w:rPr>
            </w:pPr>
            <w:r w:rsidRPr="00675182">
              <w:rPr>
                <w:rFonts w:cstheme="minorHAnsi"/>
                <w:i/>
                <w:iCs/>
                <w:sz w:val="22"/>
                <w:szCs w:val="22"/>
              </w:rPr>
              <w:t>Canis lupus</w:t>
            </w:r>
          </w:p>
        </w:tc>
        <w:tc>
          <w:tcPr>
            <w:tcW w:w="634" w:type="pct"/>
            <w:tcBorders>
              <w:top w:val="single" w:sz="4" w:space="0" w:color="auto"/>
              <w:left w:val="single" w:sz="4" w:space="0" w:color="auto"/>
              <w:bottom w:val="single" w:sz="4" w:space="0" w:color="auto"/>
              <w:right w:val="single" w:sz="4" w:space="0" w:color="auto"/>
            </w:tcBorders>
            <w:noWrap/>
            <w:vAlign w:val="center"/>
          </w:tcPr>
          <w:p w14:paraId="6CB3EF0F" w14:textId="5572FC83" w:rsidR="00F2263F" w:rsidRPr="00675182" w:rsidRDefault="00F2263F" w:rsidP="00F2263F">
            <w:pPr>
              <w:jc w:val="center"/>
              <w:rPr>
                <w:rFonts w:eastAsia="Times New Roman" w:cstheme="minorHAnsi"/>
                <w:i/>
                <w:color w:val="000000"/>
                <w:sz w:val="22"/>
                <w:szCs w:val="22"/>
                <w:lang w:eastAsia="en-GB"/>
              </w:rPr>
            </w:pPr>
            <w:r>
              <w:rPr>
                <w:rFonts w:eastAsia="Times New Roman" w:cstheme="minorHAnsi"/>
                <w:iCs/>
                <w:color w:val="000000"/>
                <w:kern w:val="2"/>
                <w:sz w:val="22"/>
                <w:szCs w:val="22"/>
                <w:lang w:eastAsia="en-GB"/>
                <w14:ligatures w14:val="standardContextual"/>
              </w:rPr>
              <w:t>5</w:t>
            </w:r>
          </w:p>
        </w:tc>
        <w:tc>
          <w:tcPr>
            <w:tcW w:w="444" w:type="pct"/>
            <w:tcBorders>
              <w:top w:val="single" w:sz="4" w:space="0" w:color="auto"/>
              <w:left w:val="single" w:sz="4" w:space="0" w:color="auto"/>
              <w:bottom w:val="single" w:sz="4" w:space="0" w:color="auto"/>
              <w:right w:val="single" w:sz="4" w:space="0" w:color="auto"/>
            </w:tcBorders>
            <w:vAlign w:val="center"/>
          </w:tcPr>
          <w:p w14:paraId="4DE7022B" w14:textId="374E0DA6" w:rsidR="00F2263F" w:rsidRPr="00675182" w:rsidRDefault="00F2263F" w:rsidP="00F2263F">
            <w:pPr>
              <w:jc w:val="center"/>
              <w:rPr>
                <w:rFonts w:eastAsia="Times New Roman" w:cstheme="minorHAnsi"/>
                <w:sz w:val="22"/>
                <w:szCs w:val="22"/>
                <w:lang w:eastAsia="en-GB"/>
              </w:rPr>
            </w:pPr>
            <w:r>
              <w:rPr>
                <w:rFonts w:eastAsia="Times New Roman" w:cstheme="minorHAnsi"/>
                <w:iCs/>
                <w:kern w:val="2"/>
                <w:sz w:val="22"/>
                <w:szCs w:val="22"/>
                <w:lang w:eastAsia="en-GB"/>
                <w14:ligatures w14:val="standardContextual"/>
              </w:rPr>
              <w:t>Trūkst datu</w:t>
            </w:r>
          </w:p>
        </w:tc>
        <w:tc>
          <w:tcPr>
            <w:tcW w:w="866" w:type="pct"/>
            <w:tcBorders>
              <w:top w:val="single" w:sz="4" w:space="0" w:color="auto"/>
              <w:left w:val="single" w:sz="4" w:space="0" w:color="auto"/>
              <w:bottom w:val="single" w:sz="4" w:space="0" w:color="auto"/>
              <w:right w:val="single" w:sz="4" w:space="0" w:color="auto"/>
            </w:tcBorders>
            <w:vAlign w:val="center"/>
          </w:tcPr>
          <w:p w14:paraId="324AFEDE" w14:textId="486E6DE6" w:rsidR="00F2263F" w:rsidRPr="00675182" w:rsidRDefault="00F2263F" w:rsidP="00F2263F">
            <w:pPr>
              <w:jc w:val="center"/>
              <w:rPr>
                <w:rFonts w:cstheme="minorHAnsi"/>
                <w:color w:val="000000"/>
                <w:sz w:val="22"/>
                <w:szCs w:val="22"/>
              </w:rPr>
            </w:pPr>
            <w:r>
              <w:rPr>
                <w:rFonts w:cstheme="minorHAnsi"/>
                <w:iCs/>
                <w:color w:val="000000"/>
                <w:kern w:val="2"/>
                <w:sz w:val="22"/>
                <w:szCs w:val="22"/>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0F164480" w14:textId="4F7AED2A"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noWrap/>
            <w:vAlign w:val="center"/>
          </w:tcPr>
          <w:p w14:paraId="02205CEC" w14:textId="39E95194"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2E998E25" w14:textId="46EB7521" w:rsidR="00F2263F" w:rsidRPr="00675182"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r>
      <w:tr w:rsidR="00F2263F" w:rsidRPr="00675182" w14:paraId="0D116AE2" w14:textId="77777777" w:rsidTr="00F2263F">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113C4C91" w14:textId="77777777" w:rsidR="00F2263F" w:rsidRPr="00962970" w:rsidRDefault="00F2263F" w:rsidP="00F2263F">
            <w:pPr>
              <w:pStyle w:val="ListParagraph"/>
              <w:numPr>
                <w:ilvl w:val="0"/>
                <w:numId w:val="83"/>
              </w:numPr>
              <w:jc w:val="center"/>
              <w:rPr>
                <w:rFonts w:eastAsia="Times New Roman" w:cstheme="minorHAnsi"/>
                <w:color w:val="000000"/>
                <w:sz w:val="22"/>
                <w:szCs w:val="22"/>
                <w:lang w:eastAsia="en-GB"/>
              </w:rPr>
            </w:pPr>
            <w:r w:rsidRPr="00962970">
              <w:rPr>
                <w:rFonts w:eastAsia="Times New Roman" w:cstheme="minorHAnsi"/>
                <w:color w:val="000000"/>
                <w:sz w:val="22"/>
                <w:szCs w:val="22"/>
                <w:lang w:eastAsia="en-GB"/>
              </w:rPr>
              <w:lastRenderedPageBreak/>
              <w:t>5.</w:t>
            </w:r>
          </w:p>
        </w:tc>
        <w:tc>
          <w:tcPr>
            <w:tcW w:w="626" w:type="pct"/>
            <w:tcBorders>
              <w:top w:val="single" w:sz="4" w:space="0" w:color="auto"/>
              <w:left w:val="single" w:sz="4" w:space="0" w:color="auto"/>
              <w:bottom w:val="single" w:sz="4" w:space="0" w:color="auto"/>
              <w:right w:val="single" w:sz="4" w:space="0" w:color="auto"/>
            </w:tcBorders>
            <w:noWrap/>
            <w:vAlign w:val="center"/>
          </w:tcPr>
          <w:p w14:paraId="12D25DCF" w14:textId="77777777" w:rsidR="00F2263F" w:rsidRDefault="00F2263F" w:rsidP="00F2263F">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Eirāzijas lūsis</w:t>
            </w:r>
          </w:p>
          <w:p w14:paraId="515223C7" w14:textId="6EB437EC" w:rsidR="00F2263F" w:rsidRPr="00675182" w:rsidRDefault="00F2263F" w:rsidP="00F2263F">
            <w:pPr>
              <w:rPr>
                <w:rFonts w:eastAsia="Times New Roman" w:cstheme="minorHAnsi"/>
                <w:color w:val="000000"/>
                <w:sz w:val="22"/>
                <w:szCs w:val="22"/>
                <w:lang w:eastAsia="en-GB"/>
              </w:rPr>
            </w:pPr>
            <w:r w:rsidRPr="00675182">
              <w:rPr>
                <w:rFonts w:cstheme="minorHAnsi"/>
                <w:i/>
                <w:iCs/>
                <w:sz w:val="22"/>
                <w:szCs w:val="22"/>
              </w:rPr>
              <w:t xml:space="preserve"> Lynx lynx</w:t>
            </w:r>
          </w:p>
        </w:tc>
        <w:tc>
          <w:tcPr>
            <w:tcW w:w="634" w:type="pct"/>
            <w:tcBorders>
              <w:top w:val="single" w:sz="4" w:space="0" w:color="auto"/>
              <w:left w:val="single" w:sz="4" w:space="0" w:color="auto"/>
              <w:bottom w:val="single" w:sz="4" w:space="0" w:color="auto"/>
              <w:right w:val="single" w:sz="4" w:space="0" w:color="auto"/>
            </w:tcBorders>
            <w:noWrap/>
            <w:vAlign w:val="center"/>
          </w:tcPr>
          <w:p w14:paraId="57335F9C" w14:textId="51F94F13" w:rsidR="00F2263F" w:rsidRPr="00675182" w:rsidRDefault="00F2263F" w:rsidP="00F2263F">
            <w:pPr>
              <w:jc w:val="center"/>
              <w:rPr>
                <w:rFonts w:eastAsia="Times New Roman" w:cstheme="minorHAnsi"/>
                <w:i/>
                <w:color w:val="000000"/>
                <w:sz w:val="22"/>
                <w:szCs w:val="22"/>
                <w:lang w:eastAsia="en-GB"/>
              </w:rPr>
            </w:pPr>
            <w:r>
              <w:rPr>
                <w:rFonts w:eastAsia="Times New Roman" w:cstheme="minorHAnsi"/>
                <w:iCs/>
                <w:color w:val="000000"/>
                <w:kern w:val="2"/>
                <w:sz w:val="22"/>
                <w:szCs w:val="22"/>
                <w:lang w:eastAsia="en-GB"/>
                <w14:ligatures w14:val="standardContextual"/>
              </w:rPr>
              <w:t>3</w:t>
            </w:r>
          </w:p>
        </w:tc>
        <w:tc>
          <w:tcPr>
            <w:tcW w:w="444" w:type="pct"/>
            <w:tcBorders>
              <w:top w:val="single" w:sz="4" w:space="0" w:color="auto"/>
              <w:left w:val="single" w:sz="4" w:space="0" w:color="auto"/>
              <w:bottom w:val="single" w:sz="4" w:space="0" w:color="auto"/>
              <w:right w:val="single" w:sz="4" w:space="0" w:color="auto"/>
            </w:tcBorders>
            <w:vAlign w:val="center"/>
          </w:tcPr>
          <w:p w14:paraId="68E7C719" w14:textId="645B6ECE" w:rsidR="00F2263F" w:rsidRPr="00675182" w:rsidRDefault="00F2263F" w:rsidP="00F2263F">
            <w:pPr>
              <w:jc w:val="center"/>
              <w:rPr>
                <w:rFonts w:eastAsia="Times New Roman" w:cstheme="minorHAnsi"/>
                <w:sz w:val="22"/>
                <w:szCs w:val="22"/>
                <w:lang w:eastAsia="en-GB"/>
              </w:rPr>
            </w:pPr>
            <w:r>
              <w:rPr>
                <w:rFonts w:eastAsia="Times New Roman" w:cstheme="minorHAnsi"/>
                <w:iCs/>
                <w:kern w:val="2"/>
                <w:sz w:val="22"/>
                <w:szCs w:val="22"/>
                <w:lang w:eastAsia="en-GB"/>
                <w14:ligatures w14:val="standardContextual"/>
              </w:rPr>
              <w:t>Trūkst datu</w:t>
            </w:r>
          </w:p>
        </w:tc>
        <w:tc>
          <w:tcPr>
            <w:tcW w:w="866" w:type="pct"/>
            <w:tcBorders>
              <w:top w:val="single" w:sz="4" w:space="0" w:color="auto"/>
              <w:left w:val="single" w:sz="4" w:space="0" w:color="auto"/>
              <w:bottom w:val="single" w:sz="4" w:space="0" w:color="auto"/>
              <w:right w:val="single" w:sz="4" w:space="0" w:color="auto"/>
            </w:tcBorders>
            <w:vAlign w:val="center"/>
          </w:tcPr>
          <w:p w14:paraId="1ECE0BB6" w14:textId="22B6CC0D" w:rsidR="00F2263F" w:rsidRPr="00675182" w:rsidRDefault="00F2263F" w:rsidP="00F2263F">
            <w:pPr>
              <w:jc w:val="center"/>
              <w:rPr>
                <w:rFonts w:cstheme="minorHAnsi"/>
                <w:color w:val="000000"/>
                <w:sz w:val="22"/>
                <w:szCs w:val="22"/>
              </w:rPr>
            </w:pPr>
            <w:r>
              <w:rPr>
                <w:rFonts w:cstheme="minorHAnsi"/>
                <w:iCs/>
                <w:color w:val="000000"/>
                <w:kern w:val="2"/>
                <w:sz w:val="22"/>
                <w:szCs w:val="22"/>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34E8147C" w14:textId="59BEC1D3"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noWrap/>
            <w:vAlign w:val="center"/>
          </w:tcPr>
          <w:p w14:paraId="61A401BC" w14:textId="061E90DA"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6BE3611C" w14:textId="5DA79C76" w:rsidR="00F2263F" w:rsidRPr="00675182"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r>
      <w:tr w:rsidR="00F2263F" w:rsidRPr="00675182" w14:paraId="5A7126BD" w14:textId="77777777" w:rsidTr="00F2263F">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703E0F61" w14:textId="77777777" w:rsidR="00F2263F" w:rsidRPr="00962970" w:rsidRDefault="00F2263F" w:rsidP="00F2263F">
            <w:pPr>
              <w:pStyle w:val="ListParagraph"/>
              <w:numPr>
                <w:ilvl w:val="0"/>
                <w:numId w:val="83"/>
              </w:numPr>
              <w:jc w:val="center"/>
              <w:rPr>
                <w:rFonts w:eastAsia="Times New Roman" w:cstheme="minorHAnsi"/>
                <w:color w:val="000000"/>
                <w:sz w:val="22"/>
                <w:szCs w:val="22"/>
                <w:lang w:eastAsia="en-GB"/>
              </w:rPr>
            </w:pPr>
            <w:r w:rsidRPr="00962970">
              <w:rPr>
                <w:rFonts w:eastAsia="Times New Roman" w:cstheme="minorHAnsi"/>
                <w:color w:val="000000"/>
                <w:sz w:val="22"/>
                <w:szCs w:val="22"/>
                <w:lang w:eastAsia="en-GB"/>
              </w:rPr>
              <w:t>6.</w:t>
            </w:r>
          </w:p>
        </w:tc>
        <w:tc>
          <w:tcPr>
            <w:tcW w:w="626" w:type="pct"/>
            <w:tcBorders>
              <w:top w:val="single" w:sz="4" w:space="0" w:color="auto"/>
              <w:left w:val="single" w:sz="4" w:space="0" w:color="auto"/>
              <w:bottom w:val="single" w:sz="4" w:space="0" w:color="auto"/>
              <w:right w:val="single" w:sz="4" w:space="0" w:color="auto"/>
            </w:tcBorders>
            <w:noWrap/>
            <w:vAlign w:val="center"/>
          </w:tcPr>
          <w:p w14:paraId="675FCE6E" w14:textId="77777777" w:rsidR="00F2263F" w:rsidRDefault="00F2263F" w:rsidP="00F2263F">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Meža cauna</w:t>
            </w:r>
          </w:p>
          <w:p w14:paraId="17E0EDAF" w14:textId="7119019D" w:rsidR="00F2263F" w:rsidRPr="00675182" w:rsidRDefault="00F2263F" w:rsidP="00F2263F">
            <w:pPr>
              <w:rPr>
                <w:rFonts w:eastAsia="Times New Roman" w:cstheme="minorHAnsi"/>
                <w:color w:val="000000"/>
                <w:sz w:val="22"/>
                <w:szCs w:val="22"/>
                <w:lang w:eastAsia="en-GB"/>
              </w:rPr>
            </w:pPr>
            <w:r w:rsidRPr="00675182">
              <w:rPr>
                <w:rFonts w:cstheme="minorHAnsi"/>
                <w:i/>
                <w:iCs/>
                <w:sz w:val="22"/>
                <w:szCs w:val="22"/>
              </w:rPr>
              <w:t>Martes martes</w:t>
            </w:r>
          </w:p>
        </w:tc>
        <w:tc>
          <w:tcPr>
            <w:tcW w:w="634" w:type="pct"/>
            <w:tcBorders>
              <w:top w:val="single" w:sz="4" w:space="0" w:color="auto"/>
              <w:left w:val="single" w:sz="4" w:space="0" w:color="auto"/>
              <w:bottom w:val="single" w:sz="4" w:space="0" w:color="auto"/>
              <w:right w:val="single" w:sz="4" w:space="0" w:color="auto"/>
            </w:tcBorders>
            <w:noWrap/>
            <w:vAlign w:val="center"/>
          </w:tcPr>
          <w:p w14:paraId="2B0B065A" w14:textId="022A4D96" w:rsidR="00F2263F" w:rsidRPr="00675182" w:rsidRDefault="00F2263F" w:rsidP="00F2263F">
            <w:pPr>
              <w:jc w:val="center"/>
              <w:rPr>
                <w:rFonts w:eastAsia="Times New Roman" w:cstheme="minorHAnsi"/>
                <w: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444" w:type="pct"/>
            <w:tcBorders>
              <w:top w:val="single" w:sz="4" w:space="0" w:color="auto"/>
              <w:left w:val="single" w:sz="4" w:space="0" w:color="auto"/>
              <w:bottom w:val="single" w:sz="4" w:space="0" w:color="auto"/>
              <w:right w:val="single" w:sz="4" w:space="0" w:color="auto"/>
            </w:tcBorders>
            <w:vAlign w:val="center"/>
          </w:tcPr>
          <w:p w14:paraId="60FF71E0" w14:textId="2BEF2A7E" w:rsidR="00F2263F" w:rsidRPr="00675182" w:rsidRDefault="00F2263F" w:rsidP="00F2263F">
            <w:pPr>
              <w:jc w:val="center"/>
              <w:rPr>
                <w:rFonts w:eastAsia="Times New Roman" w:cstheme="minorHAnsi"/>
                <w:sz w:val="22"/>
                <w:szCs w:val="22"/>
                <w:lang w:eastAsia="en-GB"/>
              </w:rPr>
            </w:pPr>
            <w:r>
              <w:rPr>
                <w:rFonts w:eastAsia="Times New Roman" w:cstheme="minorHAnsi"/>
                <w:iCs/>
                <w:kern w:val="2"/>
                <w:sz w:val="22"/>
                <w:szCs w:val="22"/>
                <w:lang w:eastAsia="en-GB"/>
                <w14:ligatures w14:val="standardContextual"/>
              </w:rPr>
              <w:t>Trūkst datu</w:t>
            </w:r>
          </w:p>
        </w:tc>
        <w:tc>
          <w:tcPr>
            <w:tcW w:w="866" w:type="pct"/>
            <w:tcBorders>
              <w:top w:val="single" w:sz="4" w:space="0" w:color="auto"/>
              <w:left w:val="single" w:sz="4" w:space="0" w:color="auto"/>
              <w:bottom w:val="single" w:sz="4" w:space="0" w:color="auto"/>
              <w:right w:val="single" w:sz="4" w:space="0" w:color="auto"/>
            </w:tcBorders>
            <w:vAlign w:val="center"/>
          </w:tcPr>
          <w:p w14:paraId="42C08DA5" w14:textId="113DE3B1" w:rsidR="00F2263F" w:rsidRPr="00675182" w:rsidRDefault="00F2263F" w:rsidP="00F2263F">
            <w:pPr>
              <w:jc w:val="center"/>
              <w:rPr>
                <w:rFonts w:cstheme="minorHAnsi"/>
                <w:color w:val="000000"/>
                <w:sz w:val="22"/>
                <w:szCs w:val="22"/>
              </w:rPr>
            </w:pPr>
            <w:r>
              <w:rPr>
                <w:rFonts w:cstheme="minorHAnsi"/>
                <w:iCs/>
                <w:color w:val="000000"/>
                <w:kern w:val="2"/>
                <w:sz w:val="22"/>
                <w:szCs w:val="22"/>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6D98D83F" w14:textId="0E54C576"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noWrap/>
            <w:vAlign w:val="center"/>
          </w:tcPr>
          <w:p w14:paraId="7006C2AA" w14:textId="6527F045"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4E66D7C9" w14:textId="48396DF1" w:rsidR="00F2263F" w:rsidRPr="00675182"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r>
      <w:tr w:rsidR="00F2263F" w:rsidRPr="00675182" w14:paraId="3ED816D6" w14:textId="77777777" w:rsidTr="00F2263F">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41E81001" w14:textId="77777777" w:rsidR="00F2263F" w:rsidRPr="00962970" w:rsidRDefault="00F2263F" w:rsidP="00F2263F">
            <w:pPr>
              <w:pStyle w:val="ListParagraph"/>
              <w:numPr>
                <w:ilvl w:val="0"/>
                <w:numId w:val="83"/>
              </w:numPr>
              <w:jc w:val="center"/>
              <w:rPr>
                <w:rFonts w:eastAsia="Times New Roman" w:cstheme="minorHAnsi"/>
                <w:color w:val="000000"/>
                <w:sz w:val="22"/>
                <w:szCs w:val="22"/>
                <w:lang w:eastAsia="en-GB"/>
              </w:rPr>
            </w:pPr>
            <w:r w:rsidRPr="00962970">
              <w:rPr>
                <w:rFonts w:eastAsia="Times New Roman" w:cstheme="minorHAnsi"/>
                <w:color w:val="000000"/>
                <w:sz w:val="22"/>
                <w:szCs w:val="22"/>
                <w:lang w:eastAsia="en-GB"/>
              </w:rPr>
              <w:t>7.</w:t>
            </w:r>
          </w:p>
        </w:tc>
        <w:tc>
          <w:tcPr>
            <w:tcW w:w="626" w:type="pct"/>
            <w:tcBorders>
              <w:top w:val="single" w:sz="4" w:space="0" w:color="auto"/>
              <w:left w:val="single" w:sz="4" w:space="0" w:color="auto"/>
              <w:bottom w:val="single" w:sz="4" w:space="0" w:color="auto"/>
              <w:right w:val="single" w:sz="4" w:space="0" w:color="auto"/>
            </w:tcBorders>
            <w:noWrap/>
            <w:vAlign w:val="center"/>
          </w:tcPr>
          <w:p w14:paraId="7EBACD0D" w14:textId="647F83CF" w:rsidR="00F2263F" w:rsidRPr="00675182" w:rsidRDefault="00F2263F" w:rsidP="00F2263F">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Meža sesks</w:t>
            </w:r>
            <w:r w:rsidRPr="00675182">
              <w:rPr>
                <w:rFonts w:cstheme="minorHAnsi"/>
                <w:i/>
                <w:iCs/>
                <w:sz w:val="22"/>
                <w:szCs w:val="22"/>
              </w:rPr>
              <w:t xml:space="preserve"> Mustela putorius</w:t>
            </w:r>
          </w:p>
        </w:tc>
        <w:tc>
          <w:tcPr>
            <w:tcW w:w="634" w:type="pct"/>
            <w:tcBorders>
              <w:top w:val="single" w:sz="4" w:space="0" w:color="auto"/>
              <w:left w:val="single" w:sz="4" w:space="0" w:color="auto"/>
              <w:bottom w:val="single" w:sz="4" w:space="0" w:color="auto"/>
              <w:right w:val="single" w:sz="4" w:space="0" w:color="auto"/>
            </w:tcBorders>
            <w:noWrap/>
            <w:vAlign w:val="center"/>
          </w:tcPr>
          <w:p w14:paraId="5F5971FE" w14:textId="5E3B9F73" w:rsidR="00F2263F" w:rsidRPr="00675182" w:rsidRDefault="00F2263F" w:rsidP="00F2263F">
            <w:pPr>
              <w:jc w:val="center"/>
              <w:rPr>
                <w:rFonts w:eastAsia="Times New Roman" w:cstheme="minorHAnsi"/>
                <w: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444" w:type="pct"/>
            <w:tcBorders>
              <w:top w:val="single" w:sz="4" w:space="0" w:color="auto"/>
              <w:left w:val="single" w:sz="4" w:space="0" w:color="auto"/>
              <w:bottom w:val="single" w:sz="4" w:space="0" w:color="auto"/>
              <w:right w:val="single" w:sz="4" w:space="0" w:color="auto"/>
            </w:tcBorders>
            <w:vAlign w:val="center"/>
          </w:tcPr>
          <w:p w14:paraId="05770A4C" w14:textId="3060E402" w:rsidR="00F2263F" w:rsidRPr="00675182" w:rsidRDefault="00F2263F" w:rsidP="00F2263F">
            <w:pPr>
              <w:jc w:val="center"/>
              <w:rPr>
                <w:rFonts w:eastAsia="Times New Roman" w:cstheme="minorHAnsi"/>
                <w:sz w:val="22"/>
                <w:szCs w:val="22"/>
                <w:lang w:eastAsia="en-GB"/>
              </w:rPr>
            </w:pPr>
            <w:r>
              <w:rPr>
                <w:rFonts w:eastAsia="Times New Roman" w:cstheme="minorHAnsi"/>
                <w:iCs/>
                <w:kern w:val="2"/>
                <w:sz w:val="22"/>
                <w:szCs w:val="22"/>
                <w:lang w:eastAsia="en-GB"/>
                <w14:ligatures w14:val="standardContextual"/>
              </w:rPr>
              <w:t>Trūkst datu</w:t>
            </w:r>
          </w:p>
        </w:tc>
        <w:tc>
          <w:tcPr>
            <w:tcW w:w="866" w:type="pct"/>
            <w:tcBorders>
              <w:top w:val="single" w:sz="4" w:space="0" w:color="auto"/>
              <w:left w:val="single" w:sz="4" w:space="0" w:color="auto"/>
              <w:bottom w:val="single" w:sz="4" w:space="0" w:color="auto"/>
              <w:right w:val="single" w:sz="4" w:space="0" w:color="auto"/>
            </w:tcBorders>
            <w:vAlign w:val="center"/>
          </w:tcPr>
          <w:p w14:paraId="42D2C41A" w14:textId="1017E36A" w:rsidR="00F2263F" w:rsidRPr="00675182" w:rsidRDefault="00F2263F" w:rsidP="00F2263F">
            <w:pPr>
              <w:jc w:val="center"/>
              <w:rPr>
                <w:rFonts w:cstheme="minorHAnsi"/>
                <w:color w:val="000000"/>
                <w:sz w:val="22"/>
                <w:szCs w:val="22"/>
              </w:rPr>
            </w:pPr>
            <w:r>
              <w:rPr>
                <w:rFonts w:cstheme="minorHAnsi"/>
                <w:iCs/>
                <w:color w:val="000000"/>
                <w:kern w:val="2"/>
                <w:sz w:val="22"/>
                <w:szCs w:val="22"/>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50382E8D" w14:textId="7F7C264E"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noWrap/>
            <w:vAlign w:val="center"/>
          </w:tcPr>
          <w:p w14:paraId="2AB9DFA8" w14:textId="58D68581"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37C5EB13" w14:textId="38CC99C7" w:rsidR="00F2263F" w:rsidRPr="00675182"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r>
      <w:tr w:rsidR="00F2263F" w:rsidRPr="00675182" w14:paraId="57015C7E" w14:textId="77777777" w:rsidTr="00F2263F">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293C9DF6" w14:textId="0EFD441D" w:rsidR="00F2263F" w:rsidRPr="00962970" w:rsidRDefault="00F2263F" w:rsidP="00F2263F">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vAlign w:val="center"/>
          </w:tcPr>
          <w:p w14:paraId="1584BFC2" w14:textId="543C7131" w:rsidR="00F2263F" w:rsidRPr="00675182" w:rsidRDefault="00F2263F" w:rsidP="00F2263F">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Baltais zaķis</w:t>
            </w:r>
            <w:r w:rsidRPr="00675182">
              <w:rPr>
                <w:rFonts w:cstheme="minorHAnsi"/>
                <w:i/>
                <w:iCs/>
                <w:sz w:val="22"/>
                <w:szCs w:val="22"/>
              </w:rPr>
              <w:t xml:space="preserve"> Lepus timidus</w:t>
            </w:r>
          </w:p>
        </w:tc>
        <w:tc>
          <w:tcPr>
            <w:tcW w:w="634" w:type="pct"/>
            <w:tcBorders>
              <w:top w:val="single" w:sz="4" w:space="0" w:color="auto"/>
              <w:left w:val="single" w:sz="4" w:space="0" w:color="auto"/>
              <w:bottom w:val="single" w:sz="4" w:space="0" w:color="auto"/>
              <w:right w:val="single" w:sz="4" w:space="0" w:color="auto"/>
            </w:tcBorders>
            <w:noWrap/>
            <w:vAlign w:val="center"/>
          </w:tcPr>
          <w:p w14:paraId="20BD43B4" w14:textId="1C34410F" w:rsidR="00F2263F" w:rsidRPr="00675182" w:rsidRDefault="00F2263F" w:rsidP="00F2263F">
            <w:pPr>
              <w:jc w:val="center"/>
              <w:rPr>
                <w:rFonts w:eastAsia="Times New Roman" w:cstheme="minorHAnsi"/>
                <w: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444" w:type="pct"/>
            <w:tcBorders>
              <w:top w:val="single" w:sz="4" w:space="0" w:color="auto"/>
              <w:left w:val="single" w:sz="4" w:space="0" w:color="auto"/>
              <w:bottom w:val="single" w:sz="4" w:space="0" w:color="auto"/>
              <w:right w:val="single" w:sz="4" w:space="0" w:color="auto"/>
            </w:tcBorders>
            <w:vAlign w:val="center"/>
          </w:tcPr>
          <w:p w14:paraId="17DB1C25" w14:textId="1BB0A728" w:rsidR="00F2263F" w:rsidRPr="00675182" w:rsidRDefault="00F2263F" w:rsidP="00F2263F">
            <w:pPr>
              <w:jc w:val="center"/>
              <w:rPr>
                <w:rFonts w:eastAsia="Times New Roman" w:cstheme="minorHAnsi"/>
                <w:sz w:val="22"/>
                <w:szCs w:val="22"/>
                <w:lang w:eastAsia="en-GB"/>
              </w:rPr>
            </w:pPr>
            <w:r>
              <w:rPr>
                <w:rFonts w:eastAsia="Times New Roman" w:cstheme="minorHAnsi"/>
                <w:iCs/>
                <w:kern w:val="2"/>
                <w:sz w:val="22"/>
                <w:szCs w:val="22"/>
                <w:lang w:eastAsia="en-GB"/>
                <w14:ligatures w14:val="standardContextual"/>
              </w:rPr>
              <w:t>Trūkst datu</w:t>
            </w:r>
          </w:p>
        </w:tc>
        <w:tc>
          <w:tcPr>
            <w:tcW w:w="866" w:type="pct"/>
            <w:tcBorders>
              <w:top w:val="single" w:sz="4" w:space="0" w:color="auto"/>
              <w:left w:val="single" w:sz="4" w:space="0" w:color="auto"/>
              <w:bottom w:val="single" w:sz="4" w:space="0" w:color="auto"/>
              <w:right w:val="single" w:sz="4" w:space="0" w:color="auto"/>
            </w:tcBorders>
            <w:vAlign w:val="center"/>
          </w:tcPr>
          <w:p w14:paraId="4BD3836B" w14:textId="630960AD" w:rsidR="00F2263F" w:rsidRPr="00675182" w:rsidRDefault="00F2263F" w:rsidP="00F2263F">
            <w:pPr>
              <w:jc w:val="center"/>
              <w:rPr>
                <w:rFonts w:cstheme="minorHAnsi"/>
                <w:color w:val="000000"/>
                <w:sz w:val="22"/>
                <w:szCs w:val="22"/>
              </w:rPr>
            </w:pPr>
            <w:r>
              <w:rPr>
                <w:rFonts w:cstheme="minorHAnsi"/>
                <w:iCs/>
                <w:color w:val="000000"/>
                <w:kern w:val="2"/>
                <w:sz w:val="22"/>
                <w:szCs w:val="22"/>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4C030A3B" w14:textId="79CEC10F"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noWrap/>
            <w:vAlign w:val="center"/>
          </w:tcPr>
          <w:p w14:paraId="0C6580C2" w14:textId="0BD15217" w:rsidR="00F2263F" w:rsidRPr="00B71266"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2D0940A2" w14:textId="7846F6B9" w:rsidR="00F2263F" w:rsidRPr="00675182" w:rsidRDefault="00F2263F" w:rsidP="00F2263F">
            <w:pPr>
              <w:jc w:val="center"/>
              <w:rPr>
                <w:rFonts w:eastAsia="Times New Roman" w:cstheme="minorHAnsi"/>
                <w:color w:val="000000"/>
                <w:sz w:val="22"/>
                <w:szCs w:val="22"/>
                <w:lang w:eastAsia="en-GB"/>
              </w:rPr>
            </w:pPr>
            <w:r>
              <w:rPr>
                <w:rFonts w:eastAsia="Times New Roman" w:cstheme="minorHAnsi"/>
                <w:iCs/>
                <w:color w:val="000000"/>
                <w:kern w:val="2"/>
                <w:sz w:val="22"/>
                <w:szCs w:val="22"/>
                <w:lang w:eastAsia="en-GB"/>
                <w14:ligatures w14:val="standardContextual"/>
              </w:rPr>
              <w:t>Trūkst datu</w:t>
            </w:r>
          </w:p>
        </w:tc>
      </w:tr>
      <w:tr w:rsidR="00C25168" w:rsidRPr="00675182" w14:paraId="5CD3F2EB" w14:textId="77777777" w:rsidTr="005E1D35">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0DFA9F09" w14:textId="77777777" w:rsidR="00C25168" w:rsidRPr="00962970" w:rsidRDefault="00C25168" w:rsidP="00962970">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62B3CDF2" w14:textId="1E527460" w:rsidR="00C25168" w:rsidRPr="00675182" w:rsidRDefault="00C25168" w:rsidP="00C25168">
            <w:pPr>
              <w:rPr>
                <w:rFonts w:eastAsia="Times New Roman" w:cstheme="minorHAnsi"/>
                <w:color w:val="000000"/>
                <w:sz w:val="22"/>
                <w:szCs w:val="22"/>
                <w:lang w:eastAsia="en-GB"/>
              </w:rPr>
            </w:pPr>
            <w:r w:rsidRPr="00E77185">
              <w:rPr>
                <w:sz w:val="20"/>
              </w:rPr>
              <w:t xml:space="preserve">Ziemeļu sikspārnis </w:t>
            </w:r>
            <w:r w:rsidRPr="00E77185">
              <w:rPr>
                <w:i/>
                <w:iCs/>
                <w:sz w:val="20"/>
              </w:rPr>
              <w:t>Eptesicus nilssonii</w:t>
            </w:r>
          </w:p>
        </w:tc>
        <w:tc>
          <w:tcPr>
            <w:tcW w:w="634" w:type="pct"/>
            <w:tcBorders>
              <w:top w:val="single" w:sz="4" w:space="0" w:color="auto"/>
              <w:left w:val="single" w:sz="4" w:space="0" w:color="auto"/>
              <w:bottom w:val="single" w:sz="4" w:space="0" w:color="auto"/>
              <w:right w:val="single" w:sz="4" w:space="0" w:color="auto"/>
            </w:tcBorders>
            <w:noWrap/>
          </w:tcPr>
          <w:p w14:paraId="26F0A72A" w14:textId="5C473B2C" w:rsidR="00C25168" w:rsidRPr="00675182" w:rsidRDefault="00C25168" w:rsidP="00C25168">
            <w:pPr>
              <w:rPr>
                <w:rFonts w:eastAsia="Times New Roman" w:cstheme="minorHAnsi"/>
                <w:i/>
                <w:color w:val="000000"/>
                <w:sz w:val="22"/>
                <w:szCs w:val="22"/>
                <w:lang w:eastAsia="en-GB"/>
              </w:rPr>
            </w:pPr>
            <w:r>
              <w:rPr>
                <w:sz w:val="20"/>
              </w:rPr>
              <w:t>918</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949BF76" w14:textId="5D9C903B" w:rsidR="00C25168" w:rsidRPr="00675182" w:rsidRDefault="003C61E8" w:rsidP="00C2516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1D42FD77" w14:textId="0E8D35ED" w:rsidR="00C25168" w:rsidRPr="00675182" w:rsidRDefault="003C61E8" w:rsidP="00C2516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2E0291C7" w14:textId="0C3E4226" w:rsidR="00C25168" w:rsidRPr="00B71266"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noWrap/>
          </w:tcPr>
          <w:p w14:paraId="339F4713" w14:textId="61C8283A" w:rsidR="00C25168" w:rsidRPr="00B71266" w:rsidRDefault="008A38DE" w:rsidP="00C25168">
            <w:pPr>
              <w:rPr>
                <w:rFonts w:eastAsia="Times New Roman" w:cstheme="minorHAnsi"/>
                <w:color w:val="000000"/>
                <w:sz w:val="22"/>
                <w:szCs w:val="22"/>
                <w:lang w:eastAsia="en-GB"/>
              </w:rPr>
            </w:pPr>
            <w:r>
              <w:rPr>
                <w:sz w:val="20"/>
              </w:rPr>
              <w:t>91786</w:t>
            </w:r>
          </w:p>
        </w:tc>
        <w:tc>
          <w:tcPr>
            <w:tcW w:w="601" w:type="pct"/>
            <w:tcBorders>
              <w:top w:val="single" w:sz="4" w:space="0" w:color="auto"/>
              <w:left w:val="single" w:sz="4" w:space="0" w:color="auto"/>
              <w:bottom w:val="single" w:sz="4" w:space="0" w:color="auto"/>
              <w:right w:val="single" w:sz="4" w:space="0" w:color="auto"/>
            </w:tcBorders>
            <w:vAlign w:val="center"/>
          </w:tcPr>
          <w:p w14:paraId="00767E32" w14:textId="2FC3EEC5" w:rsidR="00C25168" w:rsidRPr="00675182" w:rsidRDefault="008A38DE" w:rsidP="00C25168">
            <w:pPr>
              <w:rPr>
                <w:rFonts w:eastAsia="Times New Roman" w:cstheme="minorHAnsi"/>
                <w:color w:val="000000"/>
                <w:sz w:val="22"/>
                <w:szCs w:val="22"/>
                <w:lang w:eastAsia="en-GB"/>
              </w:rPr>
            </w:pPr>
            <w:r>
              <w:rPr>
                <w:sz w:val="20"/>
              </w:rPr>
              <w:t>11,6</w:t>
            </w:r>
          </w:p>
        </w:tc>
      </w:tr>
      <w:tr w:rsidR="00C25168" w:rsidRPr="00675182" w14:paraId="18EF1B5B" w14:textId="77777777" w:rsidTr="005E1D35">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490066C7" w14:textId="77777777" w:rsidR="00C25168" w:rsidRPr="00962970" w:rsidRDefault="00C25168" w:rsidP="00962970">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2F73CC91" w14:textId="3D9D2197" w:rsidR="00C25168" w:rsidRPr="00675182" w:rsidRDefault="00C25168" w:rsidP="00C25168">
            <w:pPr>
              <w:rPr>
                <w:rFonts w:eastAsia="Times New Roman" w:cstheme="minorHAnsi"/>
                <w:color w:val="000000"/>
                <w:sz w:val="22"/>
                <w:szCs w:val="22"/>
                <w:lang w:eastAsia="en-GB"/>
              </w:rPr>
            </w:pPr>
            <w:r w:rsidRPr="00E77185">
              <w:rPr>
                <w:sz w:val="20"/>
              </w:rPr>
              <w:t xml:space="preserve">Divkrāsainais sikspārnis </w:t>
            </w:r>
            <w:r w:rsidRPr="00E77185">
              <w:rPr>
                <w:i/>
                <w:iCs/>
                <w:sz w:val="20"/>
              </w:rPr>
              <w:t>Vespertilio murinus</w:t>
            </w:r>
          </w:p>
        </w:tc>
        <w:tc>
          <w:tcPr>
            <w:tcW w:w="634" w:type="pct"/>
            <w:tcBorders>
              <w:top w:val="single" w:sz="4" w:space="0" w:color="auto"/>
              <w:left w:val="single" w:sz="4" w:space="0" w:color="auto"/>
              <w:bottom w:val="single" w:sz="4" w:space="0" w:color="auto"/>
              <w:right w:val="single" w:sz="4" w:space="0" w:color="auto"/>
            </w:tcBorders>
            <w:noWrap/>
          </w:tcPr>
          <w:p w14:paraId="087B9C37" w14:textId="2D4FE4EC" w:rsidR="00C25168" w:rsidRPr="00675182" w:rsidRDefault="003C61E8" w:rsidP="00C25168">
            <w:pPr>
              <w:rPr>
                <w:rFonts w:eastAsia="Times New Roman" w:cstheme="minorHAnsi"/>
                <w:i/>
                <w:color w:val="000000"/>
                <w:sz w:val="22"/>
                <w:szCs w:val="22"/>
                <w:lang w:eastAsia="en-GB"/>
              </w:rPr>
            </w:pPr>
            <w:r w:rsidRPr="003C61E8">
              <w:rPr>
                <w:rFonts w:eastAsia="Times New Roman" w:cstheme="minorHAnsi"/>
                <w:i/>
                <w:color w:val="000000"/>
                <w:sz w:val="22"/>
                <w:szCs w:val="22"/>
                <w:lang w:eastAsia="en-GB"/>
              </w:rPr>
              <w:t>Trūkst datu</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09248CAD" w14:textId="0B54EFCA" w:rsidR="00C25168" w:rsidRPr="00675182" w:rsidRDefault="003C61E8" w:rsidP="00C2516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5A358025" w14:textId="1CD350B8" w:rsidR="00C25168" w:rsidRPr="00675182" w:rsidRDefault="003C61E8" w:rsidP="00C2516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5181E73A" w14:textId="32C57756" w:rsidR="00C25168" w:rsidRPr="00B71266"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noWrap/>
          </w:tcPr>
          <w:p w14:paraId="7F908976" w14:textId="5DB24E1B" w:rsidR="00C25168" w:rsidRPr="00B71266" w:rsidRDefault="003C61E8" w:rsidP="00C25168">
            <w:pPr>
              <w:rPr>
                <w:rFonts w:eastAsia="Times New Roman" w:cstheme="minorHAnsi"/>
                <w:color w:val="000000"/>
                <w:sz w:val="22"/>
                <w:szCs w:val="22"/>
                <w:lang w:eastAsia="en-GB"/>
              </w:rPr>
            </w:pPr>
            <w:r w:rsidRPr="003C61E8">
              <w:rPr>
                <w:sz w:val="20"/>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66F67B8F" w14:textId="6A18E888" w:rsidR="00C25168" w:rsidRPr="00675182"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r w:rsidR="00C25168" w:rsidRPr="00675182" w14:paraId="037C91BD" w14:textId="77777777" w:rsidTr="005E1D35">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395F97C1" w14:textId="77777777" w:rsidR="00C25168" w:rsidRPr="00962970" w:rsidRDefault="00C25168" w:rsidP="00962970">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234DAB5F" w14:textId="39B7F24C" w:rsidR="00C25168" w:rsidRPr="00675182" w:rsidRDefault="00C25168" w:rsidP="00C25168">
            <w:pPr>
              <w:rPr>
                <w:rFonts w:eastAsia="Times New Roman" w:cstheme="minorHAnsi"/>
                <w:color w:val="000000"/>
                <w:sz w:val="22"/>
                <w:szCs w:val="22"/>
                <w:lang w:eastAsia="en-GB"/>
              </w:rPr>
            </w:pPr>
            <w:r w:rsidRPr="00E77185">
              <w:rPr>
                <w:sz w:val="20"/>
              </w:rPr>
              <w:t xml:space="preserve">Rūsganais vakarsikspārnis </w:t>
            </w:r>
            <w:r w:rsidRPr="00E77185">
              <w:rPr>
                <w:i/>
                <w:iCs/>
                <w:sz w:val="20"/>
              </w:rPr>
              <w:t>Nyctalus noctula</w:t>
            </w:r>
          </w:p>
        </w:tc>
        <w:tc>
          <w:tcPr>
            <w:tcW w:w="634" w:type="pct"/>
            <w:tcBorders>
              <w:top w:val="single" w:sz="4" w:space="0" w:color="auto"/>
              <w:left w:val="single" w:sz="4" w:space="0" w:color="auto"/>
              <w:bottom w:val="single" w:sz="4" w:space="0" w:color="auto"/>
              <w:right w:val="single" w:sz="4" w:space="0" w:color="auto"/>
            </w:tcBorders>
            <w:noWrap/>
          </w:tcPr>
          <w:p w14:paraId="75B41055" w14:textId="60D71CBB" w:rsidR="00C25168" w:rsidRPr="00675182" w:rsidRDefault="00C25168" w:rsidP="00C25168">
            <w:pPr>
              <w:rPr>
                <w:rFonts w:eastAsia="Times New Roman" w:cstheme="minorHAnsi"/>
                <w:i/>
                <w:color w:val="000000"/>
                <w:sz w:val="22"/>
                <w:szCs w:val="22"/>
                <w:lang w:eastAsia="en-GB"/>
              </w:rPr>
            </w:pPr>
            <w:r>
              <w:rPr>
                <w:sz w:val="20"/>
              </w:rPr>
              <w:t>918</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17E38F42" w14:textId="22CCC06B" w:rsidR="00C25168" w:rsidRPr="00675182" w:rsidRDefault="003C61E8" w:rsidP="00C2516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0FFB8C8E" w14:textId="2902CCC6" w:rsidR="00C25168" w:rsidRPr="00675182" w:rsidRDefault="003C61E8" w:rsidP="00C2516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404BD231" w14:textId="39F4D38A" w:rsidR="00C25168" w:rsidRPr="00B71266"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shd w:val="clear" w:color="auto" w:fill="auto"/>
            <w:noWrap/>
          </w:tcPr>
          <w:p w14:paraId="37CB7AE4" w14:textId="6D10EAD6" w:rsidR="00C25168" w:rsidRPr="00B71266" w:rsidRDefault="008A38DE" w:rsidP="00C25168">
            <w:pPr>
              <w:rPr>
                <w:rFonts w:eastAsia="Times New Roman" w:cstheme="minorHAnsi"/>
                <w:color w:val="000000"/>
                <w:sz w:val="22"/>
                <w:szCs w:val="22"/>
                <w:lang w:eastAsia="en-GB"/>
              </w:rPr>
            </w:pPr>
            <w:r>
              <w:rPr>
                <w:sz w:val="20"/>
              </w:rPr>
              <w:t>91786</w:t>
            </w:r>
          </w:p>
        </w:tc>
        <w:tc>
          <w:tcPr>
            <w:tcW w:w="601" w:type="pct"/>
            <w:tcBorders>
              <w:top w:val="single" w:sz="4" w:space="0" w:color="auto"/>
              <w:left w:val="single" w:sz="4" w:space="0" w:color="auto"/>
              <w:bottom w:val="single" w:sz="4" w:space="0" w:color="auto"/>
              <w:right w:val="single" w:sz="4" w:space="0" w:color="auto"/>
            </w:tcBorders>
            <w:vAlign w:val="center"/>
          </w:tcPr>
          <w:p w14:paraId="1436558C" w14:textId="580CDBF4" w:rsidR="00C25168" w:rsidRPr="00675182" w:rsidRDefault="008A38DE" w:rsidP="00C25168">
            <w:pPr>
              <w:rPr>
                <w:rFonts w:eastAsia="Times New Roman" w:cstheme="minorHAnsi"/>
                <w:color w:val="000000"/>
                <w:sz w:val="22"/>
                <w:szCs w:val="22"/>
                <w:lang w:eastAsia="en-GB"/>
              </w:rPr>
            </w:pPr>
            <w:r>
              <w:rPr>
                <w:sz w:val="20"/>
              </w:rPr>
              <w:t>11,6</w:t>
            </w:r>
          </w:p>
        </w:tc>
      </w:tr>
      <w:tr w:rsidR="00C25168" w:rsidRPr="00675182" w14:paraId="0B632B52" w14:textId="77777777" w:rsidTr="005E1D35">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21B6F0E2" w14:textId="77777777" w:rsidR="00C25168" w:rsidRPr="00962970" w:rsidRDefault="00C25168" w:rsidP="00962970">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0243D750" w14:textId="615B0BD9" w:rsidR="00C25168" w:rsidRPr="00675182" w:rsidRDefault="00C25168" w:rsidP="00C25168">
            <w:pPr>
              <w:rPr>
                <w:rFonts w:eastAsia="Times New Roman" w:cstheme="minorHAnsi"/>
                <w:color w:val="000000"/>
                <w:sz w:val="22"/>
                <w:szCs w:val="22"/>
                <w:lang w:eastAsia="en-GB"/>
              </w:rPr>
            </w:pPr>
            <w:r w:rsidRPr="00E77185">
              <w:rPr>
                <w:sz w:val="20"/>
              </w:rPr>
              <w:t xml:space="preserve">Natūza sikspārnis </w:t>
            </w:r>
            <w:r w:rsidRPr="00E77185">
              <w:rPr>
                <w:i/>
                <w:iCs/>
                <w:sz w:val="20"/>
              </w:rPr>
              <w:t>Pipistrellus nathusii</w:t>
            </w:r>
          </w:p>
        </w:tc>
        <w:tc>
          <w:tcPr>
            <w:tcW w:w="634" w:type="pct"/>
            <w:tcBorders>
              <w:top w:val="single" w:sz="4" w:space="0" w:color="auto"/>
              <w:left w:val="single" w:sz="4" w:space="0" w:color="auto"/>
              <w:bottom w:val="single" w:sz="4" w:space="0" w:color="auto"/>
              <w:right w:val="single" w:sz="4" w:space="0" w:color="auto"/>
            </w:tcBorders>
            <w:noWrap/>
          </w:tcPr>
          <w:p w14:paraId="7FA7CDEF" w14:textId="7CE27AD1" w:rsidR="00C25168" w:rsidRPr="00675182" w:rsidRDefault="00C25168" w:rsidP="00C25168">
            <w:pPr>
              <w:rPr>
                <w:rFonts w:eastAsia="Times New Roman" w:cstheme="minorHAnsi"/>
                <w:i/>
                <w:color w:val="000000"/>
                <w:sz w:val="22"/>
                <w:szCs w:val="22"/>
                <w:lang w:eastAsia="en-GB"/>
              </w:rPr>
            </w:pPr>
            <w:r>
              <w:rPr>
                <w:sz w:val="20"/>
              </w:rPr>
              <w:t>582 (918)</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63943AAB" w14:textId="7CED4CCD" w:rsidR="00C25168" w:rsidRPr="00675182" w:rsidRDefault="003C61E8" w:rsidP="00C2516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489B91CE" w14:textId="79C0A9BA" w:rsidR="00C25168" w:rsidRPr="00675182" w:rsidRDefault="003C61E8" w:rsidP="00C2516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133563F4" w14:textId="124E7E1F" w:rsidR="00C25168" w:rsidRPr="00B71266"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shd w:val="clear" w:color="auto" w:fill="auto"/>
            <w:noWrap/>
          </w:tcPr>
          <w:p w14:paraId="02485280" w14:textId="1366A31E" w:rsidR="00C25168" w:rsidRPr="00B71266" w:rsidRDefault="00C54BFD" w:rsidP="00C25168">
            <w:pPr>
              <w:rPr>
                <w:rFonts w:eastAsia="Times New Roman" w:cstheme="minorHAnsi"/>
                <w:color w:val="000000"/>
                <w:sz w:val="22"/>
                <w:szCs w:val="22"/>
                <w:lang w:eastAsia="en-GB"/>
              </w:rPr>
            </w:pPr>
            <w:r w:rsidRPr="00CC242C">
              <w:rPr>
                <w:sz w:val="20"/>
              </w:rPr>
              <w:t>58167 (91786)</w:t>
            </w:r>
          </w:p>
        </w:tc>
        <w:tc>
          <w:tcPr>
            <w:tcW w:w="601" w:type="pct"/>
            <w:tcBorders>
              <w:top w:val="single" w:sz="4" w:space="0" w:color="auto"/>
              <w:left w:val="single" w:sz="4" w:space="0" w:color="auto"/>
              <w:bottom w:val="single" w:sz="4" w:space="0" w:color="auto"/>
              <w:right w:val="single" w:sz="4" w:space="0" w:color="auto"/>
            </w:tcBorders>
            <w:vAlign w:val="center"/>
          </w:tcPr>
          <w:p w14:paraId="2B919739" w14:textId="24F11D38" w:rsidR="00C25168" w:rsidRPr="00675182" w:rsidRDefault="00C54BFD" w:rsidP="00C25168">
            <w:pPr>
              <w:rPr>
                <w:rFonts w:eastAsia="Times New Roman" w:cstheme="minorHAnsi"/>
                <w:color w:val="000000"/>
                <w:sz w:val="22"/>
                <w:szCs w:val="22"/>
                <w:lang w:eastAsia="en-GB"/>
              </w:rPr>
            </w:pPr>
            <w:r w:rsidRPr="00CC242C">
              <w:rPr>
                <w:sz w:val="20"/>
              </w:rPr>
              <w:t>?</w:t>
            </w:r>
            <w:r>
              <w:rPr>
                <w:sz w:val="20"/>
              </w:rPr>
              <w:t xml:space="preserve"> </w:t>
            </w:r>
            <w:r w:rsidRPr="00CC242C">
              <w:rPr>
                <w:sz w:val="20"/>
              </w:rPr>
              <w:t>(11,6)</w:t>
            </w:r>
          </w:p>
        </w:tc>
      </w:tr>
      <w:tr w:rsidR="00C25168" w:rsidRPr="00675182" w14:paraId="4C8405FC" w14:textId="77777777" w:rsidTr="005E1D35">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1712E7EB" w14:textId="77777777" w:rsidR="00C25168" w:rsidRPr="00962970" w:rsidRDefault="00C25168" w:rsidP="00962970">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4B57EF66" w14:textId="67842EB4" w:rsidR="00C25168" w:rsidRPr="00675182" w:rsidRDefault="00C25168" w:rsidP="00C25168">
            <w:pPr>
              <w:rPr>
                <w:rFonts w:eastAsia="Times New Roman" w:cstheme="minorHAnsi"/>
                <w:color w:val="000000"/>
                <w:sz w:val="22"/>
                <w:szCs w:val="22"/>
                <w:lang w:eastAsia="en-GB"/>
              </w:rPr>
            </w:pPr>
            <w:r w:rsidRPr="00E77185">
              <w:rPr>
                <w:sz w:val="20"/>
              </w:rPr>
              <w:t xml:space="preserve">Pundursikspārnis </w:t>
            </w:r>
            <w:r w:rsidRPr="00E77185">
              <w:rPr>
                <w:i/>
                <w:iCs/>
                <w:sz w:val="20"/>
              </w:rPr>
              <w:t>Pipistrellus pipistrellus</w:t>
            </w:r>
          </w:p>
        </w:tc>
        <w:tc>
          <w:tcPr>
            <w:tcW w:w="634" w:type="pct"/>
            <w:tcBorders>
              <w:top w:val="single" w:sz="4" w:space="0" w:color="auto"/>
              <w:left w:val="single" w:sz="4" w:space="0" w:color="auto"/>
              <w:bottom w:val="single" w:sz="4" w:space="0" w:color="auto"/>
              <w:right w:val="single" w:sz="4" w:space="0" w:color="auto"/>
            </w:tcBorders>
            <w:noWrap/>
          </w:tcPr>
          <w:p w14:paraId="0787EB68" w14:textId="3647FE94" w:rsidR="00C25168" w:rsidRPr="00675182" w:rsidRDefault="003C61E8" w:rsidP="00C25168">
            <w:pPr>
              <w:rPr>
                <w:rFonts w:eastAsia="Times New Roman" w:cstheme="minorHAnsi"/>
                <w:i/>
                <w:color w:val="000000"/>
                <w:sz w:val="22"/>
                <w:szCs w:val="22"/>
                <w:lang w:eastAsia="en-GB"/>
              </w:rPr>
            </w:pPr>
            <w:r w:rsidRPr="003C61E8">
              <w:rPr>
                <w:rFonts w:eastAsia="Times New Roman" w:cstheme="minorHAnsi"/>
                <w:i/>
                <w:color w:val="000000"/>
                <w:sz w:val="22"/>
                <w:szCs w:val="22"/>
                <w:lang w:eastAsia="en-GB"/>
              </w:rPr>
              <w:t>Trūkst datu</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045EB5F9" w14:textId="550E8D07" w:rsidR="00C25168" w:rsidRPr="00675182" w:rsidRDefault="003C61E8" w:rsidP="00C2516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4077C5FB" w14:textId="2C117BFC" w:rsidR="00C25168" w:rsidRPr="00675182" w:rsidRDefault="003C61E8" w:rsidP="00C2516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4DF314AF" w14:textId="09DEAF2C" w:rsidR="00C25168" w:rsidRPr="00B71266" w:rsidRDefault="003C61E8" w:rsidP="00C25168">
            <w:pPr>
              <w:rPr>
                <w:rFonts w:eastAsia="Times New Roman" w:cstheme="minorHAnsi"/>
                <w:color w:val="000000"/>
                <w:sz w:val="22"/>
                <w:szCs w:val="22"/>
                <w:lang w:eastAsia="en-GB"/>
              </w:rPr>
            </w:pPr>
            <w:r w:rsidRPr="003C61E8">
              <w:rPr>
                <w:sz w:val="20"/>
              </w:rPr>
              <w:t>Trūkst datu</w:t>
            </w:r>
          </w:p>
        </w:tc>
        <w:tc>
          <w:tcPr>
            <w:tcW w:w="601" w:type="pct"/>
            <w:tcBorders>
              <w:top w:val="single" w:sz="4" w:space="0" w:color="auto"/>
              <w:left w:val="single" w:sz="4" w:space="0" w:color="auto"/>
              <w:bottom w:val="single" w:sz="4" w:space="0" w:color="auto"/>
              <w:right w:val="single" w:sz="4" w:space="0" w:color="auto"/>
            </w:tcBorders>
            <w:shd w:val="clear" w:color="auto" w:fill="auto"/>
            <w:noWrap/>
          </w:tcPr>
          <w:p w14:paraId="016D6A00" w14:textId="29713237" w:rsidR="00C25168" w:rsidRPr="00B71266"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5D882F1B" w14:textId="77BD94F6" w:rsidR="00C25168" w:rsidRPr="00675182"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r w:rsidR="003C61E8" w:rsidRPr="00675182" w14:paraId="5FADF410" w14:textId="77777777" w:rsidTr="002A637B">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062CD16D" w14:textId="77777777" w:rsidR="003C61E8" w:rsidRPr="00962970" w:rsidRDefault="003C61E8" w:rsidP="003C61E8">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006AF0C2" w14:textId="154EF80D" w:rsidR="003C61E8" w:rsidRPr="00675182" w:rsidRDefault="003C61E8" w:rsidP="003C61E8">
            <w:pPr>
              <w:rPr>
                <w:rFonts w:eastAsia="Times New Roman" w:cstheme="minorHAnsi"/>
                <w:color w:val="000000"/>
                <w:sz w:val="22"/>
                <w:szCs w:val="22"/>
                <w:lang w:eastAsia="en-GB"/>
              </w:rPr>
            </w:pPr>
            <w:r w:rsidRPr="00E77185">
              <w:rPr>
                <w:sz w:val="20"/>
              </w:rPr>
              <w:t xml:space="preserve">Pigmejsikspārnis </w:t>
            </w:r>
            <w:r w:rsidRPr="00E77185">
              <w:rPr>
                <w:i/>
                <w:iCs/>
                <w:sz w:val="20"/>
              </w:rPr>
              <w:t>Pipistrellus pygmaeus</w:t>
            </w:r>
          </w:p>
        </w:tc>
        <w:tc>
          <w:tcPr>
            <w:tcW w:w="634" w:type="pct"/>
            <w:tcBorders>
              <w:top w:val="single" w:sz="4" w:space="0" w:color="auto"/>
              <w:left w:val="single" w:sz="4" w:space="0" w:color="auto"/>
              <w:bottom w:val="single" w:sz="4" w:space="0" w:color="auto"/>
              <w:right w:val="single" w:sz="4" w:space="0" w:color="auto"/>
            </w:tcBorders>
            <w:noWrap/>
          </w:tcPr>
          <w:p w14:paraId="21A2F1C2" w14:textId="3C53F0A0" w:rsidR="003C61E8" w:rsidRPr="00675182" w:rsidRDefault="003C61E8" w:rsidP="003C61E8">
            <w:pPr>
              <w:rPr>
                <w:rFonts w:eastAsia="Times New Roman" w:cstheme="minorHAnsi"/>
                <w:i/>
                <w:color w:val="000000"/>
                <w:sz w:val="22"/>
                <w:szCs w:val="22"/>
                <w:lang w:eastAsia="en-GB"/>
              </w:rPr>
            </w:pPr>
            <w:r w:rsidRPr="003C61E8">
              <w:rPr>
                <w:rFonts w:eastAsia="Times New Roman" w:cstheme="minorHAnsi"/>
                <w:i/>
                <w:color w:val="000000"/>
                <w:sz w:val="22"/>
                <w:szCs w:val="22"/>
                <w:lang w:eastAsia="en-GB"/>
              </w:rPr>
              <w:t>Trūkst datu</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03216A8F" w14:textId="7B430E9A" w:rsidR="003C61E8" w:rsidRPr="00675182" w:rsidRDefault="003C61E8" w:rsidP="003C61E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3401AF14" w14:textId="56941A09" w:rsidR="003C61E8" w:rsidRPr="00675182" w:rsidRDefault="003C61E8" w:rsidP="003C61E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3FA65A29" w14:textId="467EC438" w:rsidR="003C61E8" w:rsidRPr="00B71266"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noWrap/>
          </w:tcPr>
          <w:p w14:paraId="6BDDBF74" w14:textId="083A62C0" w:rsidR="003C61E8" w:rsidRPr="00B71266" w:rsidRDefault="003C61E8" w:rsidP="003C61E8">
            <w:pPr>
              <w:rPr>
                <w:rFonts w:eastAsia="Times New Roman" w:cstheme="minorHAnsi"/>
                <w:color w:val="000000"/>
                <w:sz w:val="22"/>
                <w:szCs w:val="22"/>
                <w:lang w:eastAsia="en-GB"/>
              </w:rPr>
            </w:pPr>
            <w:r w:rsidRPr="003C61E8">
              <w:rPr>
                <w:sz w:val="20"/>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3506C485" w14:textId="42EB2163" w:rsidR="003C61E8" w:rsidRPr="00675182"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r w:rsidR="00C25168" w:rsidRPr="00675182" w14:paraId="36C4B3DD" w14:textId="77777777" w:rsidTr="005E1D35">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7568C83B" w14:textId="77777777" w:rsidR="00C25168" w:rsidRPr="00962970" w:rsidRDefault="00C25168" w:rsidP="00962970">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4FD6657C" w14:textId="2CA1F683" w:rsidR="00C25168" w:rsidRPr="00675182" w:rsidRDefault="00C25168" w:rsidP="00C25168">
            <w:pPr>
              <w:rPr>
                <w:rFonts w:eastAsia="Times New Roman" w:cstheme="minorHAnsi"/>
                <w:color w:val="000000"/>
                <w:sz w:val="22"/>
                <w:szCs w:val="22"/>
                <w:lang w:eastAsia="en-GB"/>
              </w:rPr>
            </w:pPr>
            <w:r w:rsidRPr="00E77185">
              <w:rPr>
                <w:sz w:val="20"/>
              </w:rPr>
              <w:t xml:space="preserve">Garausainais sikspārnis </w:t>
            </w:r>
            <w:r w:rsidRPr="00E77185">
              <w:rPr>
                <w:i/>
                <w:iCs/>
                <w:sz w:val="20"/>
              </w:rPr>
              <w:t>Plecotus auritus</w:t>
            </w:r>
          </w:p>
        </w:tc>
        <w:tc>
          <w:tcPr>
            <w:tcW w:w="634" w:type="pct"/>
            <w:tcBorders>
              <w:top w:val="single" w:sz="4" w:space="0" w:color="auto"/>
              <w:left w:val="single" w:sz="4" w:space="0" w:color="auto"/>
              <w:bottom w:val="single" w:sz="4" w:space="0" w:color="auto"/>
              <w:right w:val="single" w:sz="4" w:space="0" w:color="auto"/>
            </w:tcBorders>
            <w:noWrap/>
          </w:tcPr>
          <w:p w14:paraId="6F002F2B" w14:textId="5C7ABD1B" w:rsidR="00C25168" w:rsidRPr="00675182" w:rsidRDefault="00C25168" w:rsidP="00C25168">
            <w:pPr>
              <w:rPr>
                <w:rFonts w:eastAsia="Times New Roman" w:cstheme="minorHAnsi"/>
                <w:i/>
                <w:color w:val="000000"/>
                <w:sz w:val="22"/>
                <w:szCs w:val="22"/>
                <w:lang w:eastAsia="en-GB"/>
              </w:rPr>
            </w:pPr>
            <w:r>
              <w:rPr>
                <w:sz w:val="20"/>
              </w:rPr>
              <w:t>518</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51E7EC0" w14:textId="2F02BF12" w:rsidR="00C25168" w:rsidRPr="00675182" w:rsidRDefault="003C61E8" w:rsidP="00C2516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2DF18EF3" w14:textId="5B680D84" w:rsidR="00C25168" w:rsidRPr="00675182" w:rsidRDefault="003C61E8" w:rsidP="00C2516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2705DC37" w14:textId="0F639823" w:rsidR="00C25168" w:rsidRPr="00B71266"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shd w:val="clear" w:color="auto" w:fill="auto"/>
            <w:noWrap/>
          </w:tcPr>
          <w:p w14:paraId="26DDFEF3" w14:textId="58859B0D" w:rsidR="00C25168" w:rsidRPr="00B71266" w:rsidRDefault="00C54BFD" w:rsidP="00C25168">
            <w:pPr>
              <w:rPr>
                <w:rFonts w:eastAsia="Times New Roman" w:cstheme="minorHAnsi"/>
                <w:color w:val="000000"/>
                <w:sz w:val="22"/>
                <w:szCs w:val="22"/>
                <w:lang w:eastAsia="en-GB"/>
              </w:rPr>
            </w:pPr>
            <w:r>
              <w:rPr>
                <w:sz w:val="20"/>
              </w:rPr>
              <w:t>51828</w:t>
            </w:r>
          </w:p>
        </w:tc>
        <w:tc>
          <w:tcPr>
            <w:tcW w:w="601" w:type="pct"/>
            <w:tcBorders>
              <w:top w:val="single" w:sz="4" w:space="0" w:color="auto"/>
              <w:left w:val="single" w:sz="4" w:space="0" w:color="auto"/>
              <w:bottom w:val="single" w:sz="4" w:space="0" w:color="auto"/>
              <w:right w:val="single" w:sz="4" w:space="0" w:color="auto"/>
            </w:tcBorders>
            <w:vAlign w:val="center"/>
          </w:tcPr>
          <w:p w14:paraId="2D8A895E" w14:textId="62FF49B8" w:rsidR="00C25168" w:rsidRPr="00675182"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r w:rsidR="003C61E8" w:rsidRPr="00675182" w14:paraId="5C252240" w14:textId="77777777" w:rsidTr="002C4A26">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7AAB4148" w14:textId="77777777" w:rsidR="003C61E8" w:rsidRPr="00962970" w:rsidRDefault="003C61E8" w:rsidP="003C61E8">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16F44DE3" w14:textId="2FE91F92" w:rsidR="003C61E8" w:rsidRPr="00675182" w:rsidRDefault="003C61E8" w:rsidP="003C61E8">
            <w:pPr>
              <w:rPr>
                <w:rFonts w:eastAsia="Times New Roman" w:cstheme="minorHAnsi"/>
                <w:color w:val="000000"/>
                <w:sz w:val="22"/>
                <w:szCs w:val="22"/>
                <w:lang w:eastAsia="en-GB"/>
              </w:rPr>
            </w:pPr>
            <w:r w:rsidRPr="00E77185">
              <w:rPr>
                <w:sz w:val="20"/>
              </w:rPr>
              <w:t xml:space="preserve">Eiropas platausis </w:t>
            </w:r>
            <w:r w:rsidRPr="00E77185">
              <w:rPr>
                <w:i/>
                <w:iCs/>
                <w:sz w:val="20"/>
              </w:rPr>
              <w:t>Barbastella barbastellus</w:t>
            </w:r>
          </w:p>
        </w:tc>
        <w:tc>
          <w:tcPr>
            <w:tcW w:w="634" w:type="pct"/>
            <w:tcBorders>
              <w:top w:val="single" w:sz="4" w:space="0" w:color="auto"/>
              <w:left w:val="single" w:sz="4" w:space="0" w:color="auto"/>
              <w:bottom w:val="single" w:sz="4" w:space="0" w:color="auto"/>
              <w:right w:val="single" w:sz="4" w:space="0" w:color="auto"/>
            </w:tcBorders>
            <w:noWrap/>
          </w:tcPr>
          <w:p w14:paraId="355CB224" w14:textId="55D96D53" w:rsidR="003C61E8" w:rsidRPr="00675182" w:rsidRDefault="003C61E8" w:rsidP="003C61E8">
            <w:pPr>
              <w:rPr>
                <w:rFonts w:eastAsia="Times New Roman" w:cstheme="minorHAnsi"/>
                <w:i/>
                <w:color w:val="000000"/>
                <w:sz w:val="22"/>
                <w:szCs w:val="22"/>
                <w:lang w:eastAsia="en-GB"/>
              </w:rPr>
            </w:pPr>
            <w:r w:rsidRPr="003C61E8">
              <w:rPr>
                <w:rFonts w:eastAsia="Times New Roman" w:cstheme="minorHAnsi"/>
                <w:i/>
                <w:color w:val="000000"/>
                <w:sz w:val="22"/>
                <w:szCs w:val="22"/>
                <w:lang w:eastAsia="en-GB"/>
              </w:rPr>
              <w:t>Trūkst datu</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402ADD27" w14:textId="1143DD9A" w:rsidR="003C61E8" w:rsidRPr="00675182" w:rsidRDefault="003C61E8" w:rsidP="003C61E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47730559" w14:textId="73990541" w:rsidR="003C61E8" w:rsidRPr="00675182" w:rsidRDefault="003C61E8" w:rsidP="003C61E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22A0FB8E" w14:textId="47BA8C09" w:rsidR="003C61E8" w:rsidRPr="00B71266"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noWrap/>
          </w:tcPr>
          <w:p w14:paraId="14DF305C" w14:textId="5A9B1F5E" w:rsidR="003C61E8" w:rsidRPr="00B71266" w:rsidRDefault="003C61E8" w:rsidP="003C61E8">
            <w:pPr>
              <w:rPr>
                <w:rFonts w:eastAsia="Times New Roman" w:cstheme="minorHAnsi"/>
                <w:color w:val="000000"/>
                <w:sz w:val="22"/>
                <w:szCs w:val="22"/>
                <w:lang w:eastAsia="en-GB"/>
              </w:rPr>
            </w:pPr>
            <w:r w:rsidRPr="003C61E8">
              <w:rPr>
                <w:sz w:val="20"/>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514EEE9F" w14:textId="0C0F3AC9" w:rsidR="003C61E8" w:rsidRPr="00675182"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r w:rsidR="00C25168" w:rsidRPr="00675182" w14:paraId="1047F7EA" w14:textId="77777777" w:rsidTr="005E1D35">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507B237F" w14:textId="77777777" w:rsidR="00C25168" w:rsidRPr="00962970" w:rsidRDefault="00C25168" w:rsidP="00962970">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1F0D941C" w14:textId="795FF1E4" w:rsidR="00C25168" w:rsidRPr="00675182" w:rsidRDefault="00C25168" w:rsidP="00C25168">
            <w:pPr>
              <w:rPr>
                <w:rFonts w:eastAsia="Times New Roman" w:cstheme="minorHAnsi"/>
                <w:color w:val="000000"/>
                <w:sz w:val="22"/>
                <w:szCs w:val="22"/>
                <w:lang w:eastAsia="en-GB"/>
              </w:rPr>
            </w:pPr>
            <w:r w:rsidRPr="00E77185">
              <w:rPr>
                <w:sz w:val="20"/>
              </w:rPr>
              <w:t xml:space="preserve">Ūdeņu naktssikspārnis </w:t>
            </w:r>
            <w:r w:rsidRPr="00E77185">
              <w:rPr>
                <w:i/>
                <w:iCs/>
                <w:sz w:val="20"/>
              </w:rPr>
              <w:t>Myotis daubentonii</w:t>
            </w:r>
          </w:p>
        </w:tc>
        <w:tc>
          <w:tcPr>
            <w:tcW w:w="634" w:type="pct"/>
            <w:tcBorders>
              <w:top w:val="single" w:sz="4" w:space="0" w:color="auto"/>
              <w:left w:val="single" w:sz="4" w:space="0" w:color="auto"/>
              <w:bottom w:val="single" w:sz="4" w:space="0" w:color="auto"/>
              <w:right w:val="single" w:sz="4" w:space="0" w:color="auto"/>
            </w:tcBorders>
            <w:noWrap/>
          </w:tcPr>
          <w:p w14:paraId="66F7A8E5" w14:textId="70CFA718" w:rsidR="00C25168" w:rsidRPr="00675182" w:rsidRDefault="00C25168" w:rsidP="00C25168">
            <w:pPr>
              <w:rPr>
                <w:rFonts w:eastAsia="Times New Roman" w:cstheme="minorHAnsi"/>
                <w:i/>
                <w:color w:val="000000"/>
                <w:sz w:val="22"/>
                <w:szCs w:val="22"/>
                <w:lang w:eastAsia="en-GB"/>
              </w:rPr>
            </w:pPr>
            <w:r>
              <w:rPr>
                <w:sz w:val="20"/>
              </w:rPr>
              <w:t>512</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46175845" w14:textId="374A9EF9" w:rsidR="00C25168" w:rsidRPr="00675182" w:rsidRDefault="003C61E8" w:rsidP="00C2516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08A22B4F" w14:textId="55A18DCB" w:rsidR="00C25168" w:rsidRPr="00675182" w:rsidRDefault="003C61E8" w:rsidP="00C2516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506419D0" w14:textId="55399267" w:rsidR="00C25168" w:rsidRPr="00B71266"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shd w:val="clear" w:color="auto" w:fill="auto"/>
            <w:noWrap/>
          </w:tcPr>
          <w:p w14:paraId="2B3F2F88" w14:textId="31471CC2" w:rsidR="00C25168" w:rsidRPr="00B71266" w:rsidRDefault="00C54BFD" w:rsidP="00C25168">
            <w:pPr>
              <w:rPr>
                <w:rFonts w:eastAsia="Times New Roman" w:cstheme="minorHAnsi"/>
                <w:color w:val="000000"/>
                <w:sz w:val="22"/>
                <w:szCs w:val="22"/>
                <w:lang w:eastAsia="en-GB"/>
              </w:rPr>
            </w:pPr>
            <w:r>
              <w:rPr>
                <w:sz w:val="20"/>
              </w:rPr>
              <w:t>51155</w:t>
            </w:r>
          </w:p>
        </w:tc>
        <w:tc>
          <w:tcPr>
            <w:tcW w:w="601" w:type="pct"/>
            <w:tcBorders>
              <w:top w:val="single" w:sz="4" w:space="0" w:color="auto"/>
              <w:left w:val="single" w:sz="4" w:space="0" w:color="auto"/>
              <w:bottom w:val="single" w:sz="4" w:space="0" w:color="auto"/>
              <w:right w:val="single" w:sz="4" w:space="0" w:color="auto"/>
            </w:tcBorders>
            <w:vAlign w:val="center"/>
          </w:tcPr>
          <w:p w14:paraId="320F4E9F" w14:textId="6911040F" w:rsidR="00C25168" w:rsidRPr="00675182" w:rsidRDefault="003C61E8" w:rsidP="00C2516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r w:rsidR="003C61E8" w:rsidRPr="00675182" w14:paraId="4EA839A1" w14:textId="77777777" w:rsidTr="002C6E09">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2E98ECB5" w14:textId="77777777" w:rsidR="003C61E8" w:rsidRPr="00962970" w:rsidRDefault="003C61E8" w:rsidP="003C61E8">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3BBDB631" w14:textId="5F9B57CF" w:rsidR="003C61E8" w:rsidRPr="00675182" w:rsidRDefault="003C61E8" w:rsidP="003C61E8">
            <w:pPr>
              <w:rPr>
                <w:rFonts w:eastAsia="Times New Roman" w:cstheme="minorHAnsi"/>
                <w:color w:val="000000"/>
                <w:sz w:val="22"/>
                <w:szCs w:val="22"/>
                <w:lang w:eastAsia="en-GB"/>
              </w:rPr>
            </w:pPr>
            <w:r w:rsidRPr="00E77185">
              <w:rPr>
                <w:sz w:val="20"/>
              </w:rPr>
              <w:t xml:space="preserve">Dīķu naktssikspārnis </w:t>
            </w:r>
            <w:r w:rsidRPr="00E77185">
              <w:rPr>
                <w:i/>
                <w:iCs/>
                <w:sz w:val="20"/>
              </w:rPr>
              <w:t>Myotis dasycneme</w:t>
            </w:r>
          </w:p>
        </w:tc>
        <w:tc>
          <w:tcPr>
            <w:tcW w:w="634" w:type="pct"/>
            <w:tcBorders>
              <w:top w:val="single" w:sz="4" w:space="0" w:color="auto"/>
              <w:left w:val="single" w:sz="4" w:space="0" w:color="auto"/>
              <w:bottom w:val="single" w:sz="4" w:space="0" w:color="auto"/>
              <w:right w:val="single" w:sz="4" w:space="0" w:color="auto"/>
            </w:tcBorders>
            <w:noWrap/>
          </w:tcPr>
          <w:p w14:paraId="780358DA" w14:textId="18991F21" w:rsidR="003C61E8" w:rsidRPr="00675182" w:rsidRDefault="003C61E8" w:rsidP="003C61E8">
            <w:pPr>
              <w:rPr>
                <w:rFonts w:eastAsia="Times New Roman" w:cstheme="minorHAnsi"/>
                <w:i/>
                <w:color w:val="000000"/>
                <w:sz w:val="22"/>
                <w:szCs w:val="22"/>
                <w:lang w:eastAsia="en-GB"/>
              </w:rPr>
            </w:pPr>
            <w:r w:rsidRPr="003C61E8">
              <w:rPr>
                <w:rFonts w:eastAsia="Times New Roman" w:cstheme="minorHAnsi"/>
                <w:i/>
                <w:color w:val="000000"/>
                <w:sz w:val="22"/>
                <w:szCs w:val="22"/>
                <w:lang w:eastAsia="en-GB"/>
              </w:rPr>
              <w:t>Trūkst datu</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3374A858" w14:textId="454BE95D" w:rsidR="003C61E8" w:rsidRPr="00675182" w:rsidRDefault="003C61E8" w:rsidP="003C61E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1D6B0945" w14:textId="0C446D5B" w:rsidR="003C61E8" w:rsidRPr="00675182" w:rsidRDefault="003C61E8" w:rsidP="003C61E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2E4F529E" w14:textId="3823E3FF" w:rsidR="003C61E8" w:rsidRPr="00B71266"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noWrap/>
          </w:tcPr>
          <w:p w14:paraId="342133DE" w14:textId="53EE805B" w:rsidR="003C61E8" w:rsidRPr="00B71266" w:rsidRDefault="003C61E8" w:rsidP="003C61E8">
            <w:pPr>
              <w:rPr>
                <w:rFonts w:eastAsia="Times New Roman" w:cstheme="minorHAnsi"/>
                <w:color w:val="000000"/>
                <w:sz w:val="22"/>
                <w:szCs w:val="22"/>
                <w:lang w:eastAsia="en-GB"/>
              </w:rPr>
            </w:pPr>
            <w:r w:rsidRPr="003C61E8">
              <w:rPr>
                <w:sz w:val="20"/>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78CF9586" w14:textId="7FBF1146" w:rsidR="003C61E8" w:rsidRPr="00675182"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r w:rsidR="003C61E8" w:rsidRPr="00675182" w14:paraId="2C6FBE37" w14:textId="77777777" w:rsidTr="002C6E09">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6425EC80" w14:textId="77777777" w:rsidR="003C61E8" w:rsidRPr="00962970" w:rsidRDefault="003C61E8" w:rsidP="003C61E8">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1DEEE4F8" w14:textId="65848FB1" w:rsidR="003C61E8" w:rsidRPr="00675182" w:rsidRDefault="003C61E8" w:rsidP="003C61E8">
            <w:pPr>
              <w:rPr>
                <w:rFonts w:eastAsia="Times New Roman" w:cstheme="minorHAnsi"/>
                <w:color w:val="000000"/>
                <w:sz w:val="22"/>
                <w:szCs w:val="22"/>
                <w:lang w:eastAsia="en-GB"/>
              </w:rPr>
            </w:pPr>
            <w:r w:rsidRPr="00E77185">
              <w:rPr>
                <w:sz w:val="20"/>
              </w:rPr>
              <w:t xml:space="preserve">Naterera naktssikspārnis </w:t>
            </w:r>
            <w:r w:rsidRPr="00E77185">
              <w:rPr>
                <w:i/>
                <w:iCs/>
                <w:sz w:val="20"/>
              </w:rPr>
              <w:t>Myotis nattereri</w:t>
            </w:r>
          </w:p>
        </w:tc>
        <w:tc>
          <w:tcPr>
            <w:tcW w:w="634" w:type="pct"/>
            <w:tcBorders>
              <w:top w:val="single" w:sz="4" w:space="0" w:color="auto"/>
              <w:left w:val="single" w:sz="4" w:space="0" w:color="auto"/>
              <w:bottom w:val="single" w:sz="4" w:space="0" w:color="auto"/>
              <w:right w:val="single" w:sz="4" w:space="0" w:color="auto"/>
            </w:tcBorders>
            <w:noWrap/>
          </w:tcPr>
          <w:p w14:paraId="70D2CFFD" w14:textId="6006B20C" w:rsidR="003C61E8" w:rsidRPr="00675182" w:rsidRDefault="003C61E8" w:rsidP="003C61E8">
            <w:pPr>
              <w:rPr>
                <w:rFonts w:eastAsia="Times New Roman" w:cstheme="minorHAnsi"/>
                <w:i/>
                <w:color w:val="000000"/>
                <w:sz w:val="22"/>
                <w:szCs w:val="22"/>
                <w:lang w:eastAsia="en-GB"/>
              </w:rPr>
            </w:pPr>
            <w:r w:rsidRPr="003C61E8">
              <w:rPr>
                <w:rFonts w:eastAsia="Times New Roman" w:cstheme="minorHAnsi"/>
                <w:i/>
                <w:color w:val="000000"/>
                <w:sz w:val="22"/>
                <w:szCs w:val="22"/>
                <w:lang w:eastAsia="en-GB"/>
              </w:rPr>
              <w:t>Trūkst datu</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62820B34" w14:textId="7BE96DDE" w:rsidR="003C61E8" w:rsidRPr="00675182" w:rsidRDefault="003C61E8" w:rsidP="003C61E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31F4B21E" w14:textId="4528D2FC" w:rsidR="003C61E8" w:rsidRPr="00675182" w:rsidRDefault="003C61E8" w:rsidP="003C61E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1361F5C7" w14:textId="207E74A3" w:rsidR="003C61E8" w:rsidRPr="00B71266"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noWrap/>
          </w:tcPr>
          <w:p w14:paraId="301E94B5" w14:textId="2E4D473D" w:rsidR="003C61E8" w:rsidRPr="00B71266" w:rsidRDefault="003C61E8" w:rsidP="003C61E8">
            <w:pPr>
              <w:rPr>
                <w:rFonts w:eastAsia="Times New Roman" w:cstheme="minorHAnsi"/>
                <w:color w:val="000000"/>
                <w:sz w:val="22"/>
                <w:szCs w:val="22"/>
                <w:lang w:eastAsia="en-GB"/>
              </w:rPr>
            </w:pPr>
            <w:r w:rsidRPr="003C61E8">
              <w:rPr>
                <w:sz w:val="20"/>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203BAD30" w14:textId="65B2C793" w:rsidR="003C61E8" w:rsidRPr="00675182"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r w:rsidR="003C61E8" w:rsidRPr="00675182" w14:paraId="530941B4" w14:textId="77777777" w:rsidTr="002C6E09">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7B6E31D5" w14:textId="77777777" w:rsidR="003C61E8" w:rsidRPr="00962970" w:rsidRDefault="003C61E8" w:rsidP="003C61E8">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4D7AB1D6" w14:textId="15E54B21" w:rsidR="003C61E8" w:rsidRPr="00675182" w:rsidRDefault="003C61E8" w:rsidP="003C61E8">
            <w:pPr>
              <w:rPr>
                <w:rFonts w:eastAsia="Times New Roman" w:cstheme="minorHAnsi"/>
                <w:color w:val="000000"/>
                <w:sz w:val="22"/>
                <w:szCs w:val="22"/>
                <w:lang w:eastAsia="en-GB"/>
              </w:rPr>
            </w:pPr>
            <w:r w:rsidRPr="00E77185">
              <w:rPr>
                <w:sz w:val="20"/>
              </w:rPr>
              <w:t xml:space="preserve">Branta naktssikspārnis </w:t>
            </w:r>
            <w:r w:rsidRPr="00E77185">
              <w:rPr>
                <w:i/>
                <w:iCs/>
                <w:sz w:val="20"/>
              </w:rPr>
              <w:t>Myotis brandtii</w:t>
            </w:r>
          </w:p>
        </w:tc>
        <w:tc>
          <w:tcPr>
            <w:tcW w:w="634" w:type="pct"/>
            <w:tcBorders>
              <w:top w:val="single" w:sz="4" w:space="0" w:color="auto"/>
              <w:left w:val="single" w:sz="4" w:space="0" w:color="auto"/>
              <w:bottom w:val="single" w:sz="4" w:space="0" w:color="auto"/>
              <w:right w:val="single" w:sz="4" w:space="0" w:color="auto"/>
            </w:tcBorders>
            <w:noWrap/>
          </w:tcPr>
          <w:p w14:paraId="77054983" w14:textId="169F3922" w:rsidR="003C61E8" w:rsidRPr="00675182" w:rsidRDefault="003C61E8" w:rsidP="003C61E8">
            <w:pPr>
              <w:rPr>
                <w:rFonts w:eastAsia="Times New Roman" w:cstheme="minorHAnsi"/>
                <w:i/>
                <w:color w:val="000000"/>
                <w:sz w:val="22"/>
                <w:szCs w:val="22"/>
                <w:lang w:eastAsia="en-GB"/>
              </w:rPr>
            </w:pPr>
            <w:r w:rsidRPr="003C61E8">
              <w:rPr>
                <w:rFonts w:eastAsia="Times New Roman" w:cstheme="minorHAnsi"/>
                <w:i/>
                <w:color w:val="000000"/>
                <w:sz w:val="22"/>
                <w:szCs w:val="22"/>
                <w:lang w:eastAsia="en-GB"/>
              </w:rPr>
              <w:t>Trūkst datu</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0E22093" w14:textId="755F81F3" w:rsidR="003C61E8" w:rsidRPr="00675182" w:rsidRDefault="003C61E8" w:rsidP="003C61E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1E087628" w14:textId="6C0934BF" w:rsidR="003C61E8" w:rsidRPr="00675182" w:rsidRDefault="003C61E8" w:rsidP="003C61E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45A98C56" w14:textId="0DE7F2BB" w:rsidR="003C61E8" w:rsidRPr="00B71266"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noWrap/>
          </w:tcPr>
          <w:p w14:paraId="147994BD" w14:textId="1657B013" w:rsidR="003C61E8" w:rsidRPr="00B71266" w:rsidRDefault="003C61E8" w:rsidP="003C61E8">
            <w:pPr>
              <w:rPr>
                <w:rFonts w:eastAsia="Times New Roman" w:cstheme="minorHAnsi"/>
                <w:color w:val="000000"/>
                <w:sz w:val="22"/>
                <w:szCs w:val="22"/>
                <w:lang w:eastAsia="en-GB"/>
              </w:rPr>
            </w:pPr>
            <w:r w:rsidRPr="003C61E8">
              <w:rPr>
                <w:sz w:val="20"/>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174BD3CE" w14:textId="3D0A8EF6" w:rsidR="003C61E8" w:rsidRPr="00675182"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r w:rsidR="003C61E8" w:rsidRPr="00675182" w14:paraId="15703CD1" w14:textId="77777777" w:rsidTr="002C6E09">
        <w:trPr>
          <w:trHeight w:val="20"/>
        </w:trPr>
        <w:tc>
          <w:tcPr>
            <w:tcW w:w="626" w:type="pct"/>
            <w:tcBorders>
              <w:top w:val="single" w:sz="4" w:space="0" w:color="auto"/>
              <w:left w:val="single" w:sz="4" w:space="0" w:color="auto"/>
              <w:bottom w:val="single" w:sz="4" w:space="0" w:color="auto"/>
              <w:right w:val="single" w:sz="4" w:space="0" w:color="auto"/>
            </w:tcBorders>
            <w:vAlign w:val="center"/>
          </w:tcPr>
          <w:p w14:paraId="1486AFE1" w14:textId="77777777" w:rsidR="003C61E8" w:rsidRPr="00962970" w:rsidRDefault="003C61E8" w:rsidP="003C61E8">
            <w:pPr>
              <w:pStyle w:val="ListParagraph"/>
              <w:numPr>
                <w:ilvl w:val="0"/>
                <w:numId w:val="83"/>
              </w:numPr>
              <w:jc w:val="center"/>
              <w:rPr>
                <w:rFonts w:eastAsia="Times New Roman" w:cstheme="minorHAnsi"/>
                <w:color w:val="000000"/>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noWrap/>
          </w:tcPr>
          <w:p w14:paraId="0E15FD8B" w14:textId="00691881" w:rsidR="003C61E8" w:rsidRPr="00675182" w:rsidRDefault="003C61E8" w:rsidP="003C61E8">
            <w:pPr>
              <w:rPr>
                <w:rFonts w:eastAsia="Times New Roman" w:cstheme="minorHAnsi"/>
                <w:color w:val="000000"/>
                <w:sz w:val="22"/>
                <w:szCs w:val="22"/>
                <w:lang w:eastAsia="en-GB"/>
              </w:rPr>
            </w:pPr>
            <w:r w:rsidRPr="00E77185">
              <w:rPr>
                <w:sz w:val="20"/>
              </w:rPr>
              <w:t xml:space="preserve">Bārdainais naktssikspārnis </w:t>
            </w:r>
            <w:r w:rsidRPr="00E77185">
              <w:rPr>
                <w:i/>
                <w:iCs/>
                <w:sz w:val="20"/>
              </w:rPr>
              <w:t>Myotis mystacinus</w:t>
            </w:r>
          </w:p>
        </w:tc>
        <w:tc>
          <w:tcPr>
            <w:tcW w:w="634" w:type="pct"/>
            <w:tcBorders>
              <w:top w:val="single" w:sz="4" w:space="0" w:color="auto"/>
              <w:left w:val="single" w:sz="4" w:space="0" w:color="auto"/>
              <w:bottom w:val="single" w:sz="4" w:space="0" w:color="auto"/>
              <w:right w:val="single" w:sz="4" w:space="0" w:color="auto"/>
            </w:tcBorders>
            <w:noWrap/>
          </w:tcPr>
          <w:p w14:paraId="7CAC76D0" w14:textId="591B46D6" w:rsidR="003C61E8" w:rsidRPr="00675182" w:rsidRDefault="003C61E8" w:rsidP="003C61E8">
            <w:pPr>
              <w:rPr>
                <w:rFonts w:eastAsia="Times New Roman" w:cstheme="minorHAnsi"/>
                <w:i/>
                <w:color w:val="000000"/>
                <w:sz w:val="22"/>
                <w:szCs w:val="22"/>
                <w:lang w:eastAsia="en-GB"/>
              </w:rPr>
            </w:pPr>
            <w:r w:rsidRPr="003C61E8">
              <w:rPr>
                <w:rFonts w:eastAsia="Times New Roman" w:cstheme="minorHAnsi"/>
                <w:i/>
                <w:color w:val="000000"/>
                <w:sz w:val="22"/>
                <w:szCs w:val="22"/>
                <w:lang w:eastAsia="en-GB"/>
              </w:rPr>
              <w:t>Trūkst datu</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F57080A" w14:textId="067966EC" w:rsidR="003C61E8" w:rsidRPr="00675182" w:rsidRDefault="003C61E8" w:rsidP="003C61E8">
            <w:pPr>
              <w:rPr>
                <w:rFonts w:eastAsia="Times New Roman" w:cstheme="minorHAnsi"/>
                <w:sz w:val="22"/>
                <w:szCs w:val="22"/>
                <w:lang w:eastAsia="en-GB"/>
              </w:rPr>
            </w:pPr>
            <w:r w:rsidRPr="003C61E8">
              <w:rPr>
                <w:rFonts w:eastAsia="Times New Roman" w:cstheme="minorHAnsi"/>
                <w:sz w:val="22"/>
                <w:szCs w:val="22"/>
                <w:lang w:eastAsia="en-GB"/>
              </w:rPr>
              <w:t>Trūkst datu</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48DC58D9" w14:textId="7A6E23C7" w:rsidR="003C61E8" w:rsidRPr="00675182" w:rsidRDefault="003C61E8" w:rsidP="003C61E8">
            <w:pPr>
              <w:rPr>
                <w:rFonts w:cstheme="minorHAnsi"/>
                <w:color w:val="000000"/>
                <w:sz w:val="22"/>
                <w:szCs w:val="22"/>
              </w:rPr>
            </w:pPr>
            <w:r w:rsidRPr="003C61E8">
              <w:rPr>
                <w:rFonts w:cstheme="minorHAnsi"/>
                <w:color w:val="000000"/>
                <w:sz w:val="22"/>
                <w:szCs w:val="22"/>
              </w:rPr>
              <w:t>Trūkst datu</w:t>
            </w:r>
          </w:p>
        </w:tc>
        <w:tc>
          <w:tcPr>
            <w:tcW w:w="601" w:type="pct"/>
            <w:tcBorders>
              <w:top w:val="single" w:sz="4" w:space="0" w:color="auto"/>
              <w:left w:val="single" w:sz="4" w:space="0" w:color="auto"/>
              <w:bottom w:val="single" w:sz="4" w:space="0" w:color="auto"/>
              <w:right w:val="single" w:sz="4" w:space="0" w:color="auto"/>
            </w:tcBorders>
          </w:tcPr>
          <w:p w14:paraId="4849685B" w14:textId="616727AD" w:rsidR="003C61E8" w:rsidRPr="00B71266"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c>
          <w:tcPr>
            <w:tcW w:w="601" w:type="pct"/>
            <w:tcBorders>
              <w:top w:val="single" w:sz="4" w:space="0" w:color="auto"/>
              <w:left w:val="single" w:sz="4" w:space="0" w:color="auto"/>
              <w:bottom w:val="single" w:sz="4" w:space="0" w:color="auto"/>
              <w:right w:val="single" w:sz="4" w:space="0" w:color="auto"/>
            </w:tcBorders>
            <w:noWrap/>
          </w:tcPr>
          <w:p w14:paraId="433537A3" w14:textId="4D6A03F8" w:rsidR="003C61E8" w:rsidRPr="00B71266" w:rsidRDefault="003C61E8" w:rsidP="003C61E8">
            <w:pPr>
              <w:rPr>
                <w:rFonts w:eastAsia="Times New Roman" w:cstheme="minorHAnsi"/>
                <w:color w:val="000000"/>
                <w:sz w:val="22"/>
                <w:szCs w:val="22"/>
                <w:lang w:eastAsia="en-GB"/>
              </w:rPr>
            </w:pPr>
            <w:r w:rsidRPr="003C61E8">
              <w:rPr>
                <w:sz w:val="20"/>
              </w:rPr>
              <w:t>Trūkst datu</w:t>
            </w:r>
          </w:p>
        </w:tc>
        <w:tc>
          <w:tcPr>
            <w:tcW w:w="601" w:type="pct"/>
            <w:tcBorders>
              <w:top w:val="single" w:sz="4" w:space="0" w:color="auto"/>
              <w:left w:val="single" w:sz="4" w:space="0" w:color="auto"/>
              <w:bottom w:val="single" w:sz="4" w:space="0" w:color="auto"/>
              <w:right w:val="single" w:sz="4" w:space="0" w:color="auto"/>
            </w:tcBorders>
            <w:vAlign w:val="center"/>
          </w:tcPr>
          <w:p w14:paraId="6BA4341D" w14:textId="77271F0D" w:rsidR="003C61E8" w:rsidRPr="00675182" w:rsidRDefault="003C61E8" w:rsidP="003C61E8">
            <w:pPr>
              <w:rPr>
                <w:rFonts w:eastAsia="Times New Roman" w:cstheme="minorHAnsi"/>
                <w:color w:val="000000"/>
                <w:sz w:val="22"/>
                <w:szCs w:val="22"/>
                <w:lang w:eastAsia="en-GB"/>
              </w:rPr>
            </w:pPr>
            <w:r w:rsidRPr="003C61E8">
              <w:rPr>
                <w:rFonts w:eastAsia="Times New Roman" w:cstheme="minorHAnsi"/>
                <w:color w:val="000000"/>
                <w:sz w:val="22"/>
                <w:szCs w:val="22"/>
                <w:lang w:eastAsia="en-GB"/>
              </w:rPr>
              <w:t>Trūkst datu</w:t>
            </w:r>
          </w:p>
        </w:tc>
      </w:tr>
    </w:tbl>
    <w:p w14:paraId="6E96787B" w14:textId="33D54775" w:rsidR="006D6576" w:rsidRPr="00675182" w:rsidRDefault="00C25168" w:rsidP="002B3341">
      <w:pPr>
        <w:shd w:val="clear" w:color="auto" w:fill="FFFFFF"/>
        <w:rPr>
          <w:rFonts w:eastAsia="Times New Roman" w:cstheme="minorHAnsi"/>
          <w:color w:val="000000"/>
          <w:sz w:val="20"/>
          <w:szCs w:val="24"/>
          <w:lang w:eastAsia="en-GB"/>
        </w:rPr>
      </w:pPr>
      <w:r w:rsidRPr="00D506BF">
        <w:rPr>
          <w:sz w:val="20"/>
        </w:rPr>
        <w:lastRenderedPageBreak/>
        <w:t>*- Sikspārņu sugām populāciju lieluma noteikšana indivīdu skaita izteiksmē ir praktiski neiespējama, tāpēc attiecībā uz populāciju lieluma aprēķināšanu Latvijas faunas sikspārņu sugām kā populācijas lieluma mērvienību jālieto 1x1 km kvadrātu skaitu, kuros suga novērota vai tās sastopamība ir prognozējama. „Explanatory Notes and Guidelines for the period 2013–2018”</w:t>
      </w:r>
    </w:p>
    <w:p w14:paraId="1019D76E" w14:textId="77777777" w:rsidR="00BD34EE" w:rsidRPr="00675182" w:rsidRDefault="00BD34EE" w:rsidP="002B3341">
      <w:pPr>
        <w:shd w:val="clear" w:color="auto" w:fill="FFFFFF"/>
        <w:rPr>
          <w:rFonts w:eastAsia="Times New Roman" w:cstheme="minorHAnsi"/>
          <w:color w:val="000000"/>
          <w:sz w:val="20"/>
          <w:szCs w:val="24"/>
          <w:lang w:eastAsia="en-GB"/>
        </w:rPr>
      </w:pPr>
    </w:p>
    <w:p w14:paraId="5A3BC79F" w14:textId="77777777" w:rsidR="00BD34EE" w:rsidRPr="00675182" w:rsidRDefault="00BD34EE" w:rsidP="002B3341">
      <w:pPr>
        <w:rPr>
          <w:rFonts w:cstheme="minorHAnsi"/>
        </w:rPr>
        <w:sectPr w:rsidR="00BD34EE" w:rsidRPr="00675182" w:rsidSect="00BD34EE">
          <w:headerReference w:type="default" r:id="rId237"/>
          <w:pgSz w:w="16837" w:h="11905" w:orient="landscape"/>
          <w:pgMar w:top="1797" w:right="1440" w:bottom="1797" w:left="1440" w:header="720" w:footer="720" w:gutter="0"/>
          <w:cols w:space="720"/>
          <w:docGrid w:linePitch="360"/>
        </w:sectPr>
      </w:pPr>
    </w:p>
    <w:p w14:paraId="371A785B" w14:textId="77777777" w:rsidR="00A25A76" w:rsidRPr="00675182" w:rsidRDefault="00A25A76" w:rsidP="007E3974">
      <w:pPr>
        <w:rPr>
          <w:rFonts w:cstheme="minorHAnsi"/>
        </w:rPr>
      </w:pPr>
    </w:p>
    <w:p w14:paraId="42660317" w14:textId="0DA0540E" w:rsidR="00011E51" w:rsidRPr="00675182" w:rsidRDefault="00011E51" w:rsidP="00CC0016">
      <w:pPr>
        <w:pStyle w:val="Heading4"/>
        <w:rPr>
          <w:rFonts w:asciiTheme="minorHAnsi" w:hAnsiTheme="minorHAnsi" w:cstheme="minorHAnsi"/>
        </w:rPr>
      </w:pPr>
      <w:r w:rsidRPr="00675182">
        <w:rPr>
          <w:rFonts w:asciiTheme="minorHAnsi" w:hAnsiTheme="minorHAnsi" w:cstheme="minorHAnsi"/>
        </w:rPr>
        <w:t>2.4.2.</w:t>
      </w:r>
      <w:r w:rsidR="00030027" w:rsidRPr="00675182">
        <w:rPr>
          <w:rFonts w:asciiTheme="minorHAnsi" w:hAnsiTheme="minorHAnsi" w:cstheme="minorHAnsi"/>
        </w:rPr>
        <w:t>3</w:t>
      </w:r>
      <w:r w:rsidRPr="00675182">
        <w:rPr>
          <w:rFonts w:asciiTheme="minorHAnsi" w:hAnsiTheme="minorHAnsi" w:cstheme="minorHAnsi"/>
        </w:rPr>
        <w:t xml:space="preserve">. </w:t>
      </w:r>
      <w:r w:rsidR="00A25A76" w:rsidRPr="00675182">
        <w:rPr>
          <w:rFonts w:asciiTheme="minorHAnsi" w:hAnsiTheme="minorHAnsi" w:cstheme="minorHAnsi"/>
        </w:rPr>
        <w:t>Abinieki un rāpuļi</w:t>
      </w:r>
    </w:p>
    <w:p w14:paraId="5E916B83" w14:textId="77777777" w:rsidR="0077302E" w:rsidRPr="00675182" w:rsidRDefault="0077302E" w:rsidP="002B3341">
      <w:pPr>
        <w:rPr>
          <w:rFonts w:cstheme="minorHAnsi"/>
          <w:b/>
        </w:rPr>
      </w:pPr>
    </w:p>
    <w:p w14:paraId="24F10BC7" w14:textId="18AC8767" w:rsidR="00A37BF0" w:rsidRPr="00675182" w:rsidRDefault="00A37BF0" w:rsidP="00A37BF0">
      <w:pPr>
        <w:jc w:val="both"/>
        <w:rPr>
          <w:rFonts w:cstheme="minorHAnsi"/>
          <w:bCs/>
          <w:szCs w:val="24"/>
        </w:rPr>
      </w:pPr>
      <w:r w:rsidRPr="00675182">
        <w:rPr>
          <w:rFonts w:cstheme="minorHAnsi"/>
          <w:bCs/>
          <w:szCs w:val="24"/>
        </w:rPr>
        <w:t xml:space="preserve">Abinieku un rāpuļu faunas izpēte GNP notiek </w:t>
      </w:r>
      <w:r w:rsidR="000711C2" w:rsidRPr="00675182">
        <w:rPr>
          <w:rFonts w:cstheme="minorHAnsi"/>
          <w:bCs/>
          <w:szCs w:val="24"/>
        </w:rPr>
        <w:t xml:space="preserve">DA plāna izstrādes laikā realizētā </w:t>
      </w:r>
      <w:r w:rsidRPr="00675182">
        <w:rPr>
          <w:rFonts w:cstheme="minorHAnsi"/>
          <w:bCs/>
          <w:szCs w:val="24"/>
        </w:rPr>
        <w:t>projekta “Bezmugurkaulnieku, abinieku un rāpuļu monitorings un izpēte dabas liegumā “Lubāna mitrājs”, Gaujas nacionālajā parkā un Ķemeru nacionālajā parkā” sadaļas “Abinieku un rāpuļu monitorings dabas liegumā “Lubāna mitrājs”, Gaujas nacionālajā parkā un Ķemeru nacionālajā parkā un abinieku un rāpuļu fona un Natura 2000 metodiku aktualizācija”” ietvaros</w:t>
      </w:r>
      <w:r w:rsidR="00D25C53" w:rsidRPr="00675182">
        <w:rPr>
          <w:rFonts w:cstheme="minorHAnsi"/>
          <w:bCs/>
          <w:szCs w:val="24"/>
        </w:rPr>
        <w:t>, kuru</w:t>
      </w:r>
      <w:r w:rsidRPr="00675182">
        <w:rPr>
          <w:rFonts w:cstheme="minorHAnsi"/>
          <w:bCs/>
          <w:szCs w:val="24"/>
        </w:rPr>
        <w:t xml:space="preserve"> realizē</w:t>
      </w:r>
      <w:r w:rsidR="005253E9">
        <w:rPr>
          <w:rFonts w:cstheme="minorHAnsi"/>
          <w:bCs/>
          <w:szCs w:val="24"/>
        </w:rPr>
        <w:t>ja</w:t>
      </w:r>
      <w:r w:rsidRPr="00675182">
        <w:rPr>
          <w:rFonts w:cstheme="minorHAnsi"/>
          <w:bCs/>
          <w:szCs w:val="24"/>
        </w:rPr>
        <w:t xml:space="preserve"> Latgales ekoloģiskā biedrība.</w:t>
      </w:r>
      <w:r w:rsidR="00FC738A" w:rsidRPr="00675182">
        <w:rPr>
          <w:rFonts w:cstheme="minorHAnsi"/>
          <w:bCs/>
          <w:szCs w:val="24"/>
        </w:rPr>
        <w:t xml:space="preserve"> Projekta ietvaros veikta vēsturiskās informācijas apkopošana, monitorings, faunas izpēte, fona un Natura 2000 monitoringa metodiku aktualizācija.</w:t>
      </w:r>
      <w:r w:rsidR="002A54C2" w:rsidRPr="00675182">
        <w:rPr>
          <w:rFonts w:cstheme="minorHAnsi"/>
          <w:bCs/>
          <w:szCs w:val="24"/>
        </w:rPr>
        <w:t xml:space="preserve"> </w:t>
      </w:r>
    </w:p>
    <w:p w14:paraId="4E5D9CAC" w14:textId="77777777" w:rsidR="00A37BF0" w:rsidRPr="00675182" w:rsidRDefault="00A37BF0" w:rsidP="00A37BF0">
      <w:pPr>
        <w:jc w:val="both"/>
        <w:rPr>
          <w:rFonts w:cstheme="minorHAnsi"/>
          <w:bCs/>
          <w:szCs w:val="24"/>
        </w:rPr>
      </w:pPr>
    </w:p>
    <w:p w14:paraId="4139FBFB" w14:textId="6EA32767" w:rsidR="00FC738A" w:rsidRPr="00675182" w:rsidRDefault="00FC738A" w:rsidP="00FC738A">
      <w:pPr>
        <w:jc w:val="both"/>
        <w:rPr>
          <w:rFonts w:cstheme="minorHAnsi"/>
          <w:bCs/>
          <w:szCs w:val="24"/>
        </w:rPr>
      </w:pPr>
      <w:r w:rsidRPr="00675182">
        <w:rPr>
          <w:rFonts w:cstheme="minorHAnsi"/>
          <w:bCs/>
          <w:szCs w:val="24"/>
        </w:rPr>
        <w:t>GNP abinieku un rāpuļu faun</w:t>
      </w:r>
      <w:r w:rsidR="00A47EB3" w:rsidRPr="00675182">
        <w:rPr>
          <w:rFonts w:cstheme="minorHAnsi"/>
          <w:bCs/>
          <w:szCs w:val="24"/>
        </w:rPr>
        <w:t>a</w:t>
      </w:r>
      <w:r w:rsidRPr="00675182">
        <w:rPr>
          <w:rFonts w:cstheme="minorHAnsi"/>
          <w:bCs/>
          <w:szCs w:val="24"/>
        </w:rPr>
        <w:t xml:space="preserve">s izpēte veikta vairākkārt. Senākā pieejamā informācija par GNP ir ziņa par purva bruņurupuča </w:t>
      </w:r>
      <w:r w:rsidRPr="00675182">
        <w:rPr>
          <w:rFonts w:cstheme="minorHAnsi"/>
          <w:bCs/>
          <w:i/>
          <w:iCs/>
          <w:szCs w:val="24"/>
        </w:rPr>
        <w:t>Emys orbicularis</w:t>
      </w:r>
      <w:r w:rsidRPr="00675182">
        <w:rPr>
          <w:rFonts w:cstheme="minorHAnsi"/>
          <w:bCs/>
          <w:szCs w:val="24"/>
        </w:rPr>
        <w:t xml:space="preserve"> noķeršanu 1925. gadā Priekuļos (Siliņš, Lamsters, 1934). Šajā pašā </w:t>
      </w:r>
      <w:r w:rsidR="00AF2543" w:rsidRPr="00675182">
        <w:rPr>
          <w:rFonts w:cstheme="minorHAnsi"/>
          <w:bCs/>
          <w:szCs w:val="24"/>
        </w:rPr>
        <w:t xml:space="preserve">informācijas </w:t>
      </w:r>
      <w:r w:rsidRPr="00675182">
        <w:rPr>
          <w:rFonts w:cstheme="minorHAnsi"/>
          <w:bCs/>
          <w:szCs w:val="24"/>
        </w:rPr>
        <w:t xml:space="preserve">avotā atzīmēts, ka Siguldā pie Gaujas „atrodama prāvāka zalkšu kolonija” (Siliņš, Lamsters, 1934). Plašāks pētījums par GNP rāpuļu atradnēm veikts 1980-to gadu vidū Latvijas Universitātes diplomdarba izstrādes ietvaros (Bruņeniece 1987), tomēr tajā sniegtā informācija ir jāvērtē kritiski, jo, piemēram, daudzas sila ķirzakas atradnes sniegtas lokalitātēm un biotopiem, kuros sugas klātbūtne vēlāk nav apstiprinājusies un sugai piemērota biotopa nav (A. Čeirāns pers. nov.). Uz ceļiem bojā gājušu trīs abinieku sugu (parastā varde </w:t>
      </w:r>
      <w:r w:rsidRPr="00675182">
        <w:rPr>
          <w:rFonts w:cstheme="minorHAnsi"/>
          <w:bCs/>
          <w:i/>
          <w:iCs/>
          <w:szCs w:val="24"/>
        </w:rPr>
        <w:t>Rana temporaria</w:t>
      </w:r>
      <w:r w:rsidRPr="00675182">
        <w:rPr>
          <w:rFonts w:cstheme="minorHAnsi"/>
          <w:bCs/>
          <w:szCs w:val="24"/>
        </w:rPr>
        <w:t xml:space="preserve">, purva varde </w:t>
      </w:r>
      <w:r w:rsidRPr="00675182">
        <w:rPr>
          <w:rFonts w:cstheme="minorHAnsi"/>
          <w:bCs/>
          <w:i/>
          <w:iCs/>
          <w:szCs w:val="24"/>
        </w:rPr>
        <w:t>R. arvalis</w:t>
      </w:r>
      <w:r w:rsidRPr="00675182">
        <w:rPr>
          <w:rFonts w:cstheme="minorHAnsi"/>
          <w:bCs/>
          <w:szCs w:val="24"/>
        </w:rPr>
        <w:t xml:space="preserve">, parastais krupis </w:t>
      </w:r>
      <w:r w:rsidRPr="00675182">
        <w:rPr>
          <w:rFonts w:cstheme="minorHAnsi"/>
          <w:bCs/>
          <w:i/>
          <w:iCs/>
          <w:szCs w:val="24"/>
        </w:rPr>
        <w:t>Bufo bufo</w:t>
      </w:r>
      <w:r w:rsidRPr="00675182">
        <w:rPr>
          <w:rFonts w:cstheme="minorHAnsi"/>
          <w:bCs/>
          <w:szCs w:val="24"/>
        </w:rPr>
        <w:t xml:space="preserve">) uzskaites ir veiktas Augšlīgatnē, 1999.-2000. gados, bakalaura darba izstrādes ietvaros (Trofimova, 2000). Liela mēroga rāpuļu faunas izpēte GNP veikta 1999.-2000. gados, pielietojot maršrutu metodi (iziets 166 km), uzskaišu laikā konstatētas 5 rāpuļu sugas (sila ķirzaka </w:t>
      </w:r>
      <w:r w:rsidRPr="00675182">
        <w:rPr>
          <w:rFonts w:cstheme="minorHAnsi"/>
          <w:bCs/>
          <w:i/>
          <w:iCs/>
          <w:szCs w:val="24"/>
        </w:rPr>
        <w:t>Lacerta agilis</w:t>
      </w:r>
      <w:r w:rsidRPr="00675182">
        <w:rPr>
          <w:rFonts w:cstheme="minorHAnsi"/>
          <w:bCs/>
          <w:szCs w:val="24"/>
        </w:rPr>
        <w:t xml:space="preserve">, pļavas ķirzaka </w:t>
      </w:r>
      <w:r w:rsidRPr="00675182">
        <w:rPr>
          <w:rFonts w:cstheme="minorHAnsi"/>
          <w:bCs/>
          <w:i/>
          <w:iCs/>
          <w:szCs w:val="24"/>
        </w:rPr>
        <w:t>Zootoca vivipara</w:t>
      </w:r>
      <w:r w:rsidRPr="00675182">
        <w:rPr>
          <w:rFonts w:cstheme="minorHAnsi"/>
          <w:bCs/>
          <w:szCs w:val="24"/>
        </w:rPr>
        <w:t xml:space="preserve">, glodene </w:t>
      </w:r>
      <w:r w:rsidRPr="00675182">
        <w:rPr>
          <w:rFonts w:cstheme="minorHAnsi"/>
          <w:bCs/>
          <w:i/>
          <w:iCs/>
          <w:szCs w:val="24"/>
        </w:rPr>
        <w:t>Anguis fragilis</w:t>
      </w:r>
      <w:r w:rsidRPr="00675182">
        <w:rPr>
          <w:rFonts w:cstheme="minorHAnsi"/>
          <w:bCs/>
          <w:szCs w:val="24"/>
        </w:rPr>
        <w:t xml:space="preserve"> sugu komplekss, zalktis </w:t>
      </w:r>
      <w:r w:rsidRPr="00675182">
        <w:rPr>
          <w:rFonts w:cstheme="minorHAnsi"/>
          <w:bCs/>
          <w:i/>
          <w:iCs/>
          <w:szCs w:val="24"/>
        </w:rPr>
        <w:t>Natrix natrix</w:t>
      </w:r>
      <w:r w:rsidRPr="00675182">
        <w:rPr>
          <w:rFonts w:cstheme="minorHAnsi"/>
          <w:bCs/>
          <w:szCs w:val="24"/>
        </w:rPr>
        <w:t xml:space="preserve">, odze </w:t>
      </w:r>
      <w:r w:rsidRPr="00675182">
        <w:rPr>
          <w:rFonts w:cstheme="minorHAnsi"/>
          <w:bCs/>
          <w:i/>
          <w:iCs/>
          <w:szCs w:val="24"/>
        </w:rPr>
        <w:t>Vipera berus</w:t>
      </w:r>
      <w:r w:rsidRPr="00675182">
        <w:rPr>
          <w:rFonts w:cstheme="minorHAnsi"/>
          <w:bCs/>
          <w:szCs w:val="24"/>
        </w:rPr>
        <w:t xml:space="preserve">), reģistrētas arī 6 abinieku taksonu (lielais un mazais tritoni </w:t>
      </w:r>
      <w:r w:rsidRPr="00675182">
        <w:rPr>
          <w:rFonts w:cstheme="minorHAnsi"/>
          <w:bCs/>
          <w:i/>
          <w:iCs/>
          <w:szCs w:val="24"/>
        </w:rPr>
        <w:t>Triturus cristatus, Lissotriton vulgaris</w:t>
      </w:r>
      <w:r w:rsidRPr="00675182">
        <w:rPr>
          <w:rFonts w:cstheme="minorHAnsi"/>
          <w:bCs/>
          <w:szCs w:val="24"/>
        </w:rPr>
        <w:t xml:space="preserve">, parastais krupis, parastā un purva vardes, zaļās vardes </w:t>
      </w:r>
      <w:r w:rsidRPr="00675182">
        <w:rPr>
          <w:rFonts w:cstheme="minorHAnsi"/>
          <w:bCs/>
          <w:i/>
          <w:iCs/>
          <w:szCs w:val="24"/>
        </w:rPr>
        <w:t>Pelophylax sp</w:t>
      </w:r>
      <w:r w:rsidRPr="00675182">
        <w:rPr>
          <w:rFonts w:cstheme="minorHAnsi"/>
          <w:bCs/>
          <w:szCs w:val="24"/>
        </w:rPr>
        <w:t xml:space="preserve">.,) novērojumu vietas; veikti to biotopu raksturojumi un relatīvā populācijas lieluma novērtējumi (Čeirāns, 2002), noteiktas rāpuļu preferences meža augšanas apstākļu tipiem (Čeirāns, 2004). Iepriekšējā GNP </w:t>
      </w:r>
      <w:r w:rsidR="00AF2543" w:rsidRPr="00675182">
        <w:rPr>
          <w:rFonts w:cstheme="minorHAnsi"/>
          <w:bCs/>
          <w:szCs w:val="24"/>
        </w:rPr>
        <w:t>DA</w:t>
      </w:r>
      <w:r w:rsidRPr="00675182">
        <w:rPr>
          <w:rFonts w:cstheme="minorHAnsi"/>
          <w:bCs/>
          <w:szCs w:val="24"/>
        </w:rPr>
        <w:t xml:space="preserve"> plāna redakcij</w:t>
      </w:r>
      <w:r w:rsidR="00AF2543" w:rsidRPr="00675182">
        <w:rPr>
          <w:rFonts w:cstheme="minorHAnsi"/>
          <w:bCs/>
          <w:szCs w:val="24"/>
        </w:rPr>
        <w:t>as</w:t>
      </w:r>
      <w:r w:rsidRPr="00675182">
        <w:rPr>
          <w:rFonts w:cstheme="minorHAnsi"/>
          <w:bCs/>
          <w:szCs w:val="24"/>
        </w:rPr>
        <w:t xml:space="preserve"> pielikumos sniegts šo pašu sugu saraksts (plāns izstrādāts 2004. gadā), konkrētas atradnes vai to aizsardzības pasākumu nav. Līdz šim jaunākajā publicētajā GNP sugu sarakstā, kas iekļauts izdevumā “Bioloģiskā daudzveidība Gaujas Nacionālajā parkā” (Pilāts V. (red.), 2007) minētas arī šīs pašas iepriekšminētās 5 rāpuļu un 8 abinieku sugas (Čeirāns, 2007).</w:t>
      </w:r>
    </w:p>
    <w:p w14:paraId="6884A07A" w14:textId="77777777" w:rsidR="00FC738A" w:rsidRPr="00675182" w:rsidRDefault="00FC738A" w:rsidP="00FC738A">
      <w:pPr>
        <w:jc w:val="both"/>
        <w:rPr>
          <w:rFonts w:cstheme="minorHAnsi"/>
          <w:bCs/>
          <w:szCs w:val="24"/>
        </w:rPr>
      </w:pPr>
    </w:p>
    <w:p w14:paraId="6CB89A95" w14:textId="430D4F6C" w:rsidR="00FC738A" w:rsidRPr="00675182" w:rsidRDefault="00FC738A" w:rsidP="00FC738A">
      <w:pPr>
        <w:jc w:val="both"/>
        <w:rPr>
          <w:rFonts w:cstheme="minorHAnsi"/>
          <w:bCs/>
          <w:szCs w:val="24"/>
        </w:rPr>
      </w:pPr>
      <w:r w:rsidRPr="00675182">
        <w:rPr>
          <w:rFonts w:cstheme="minorHAnsi"/>
          <w:bCs/>
          <w:szCs w:val="24"/>
        </w:rPr>
        <w:t xml:space="preserve">Abinieku un invazīvas zivs sugas – rotana </w:t>
      </w:r>
      <w:r w:rsidRPr="00675182">
        <w:rPr>
          <w:rFonts w:cstheme="minorHAnsi"/>
          <w:bCs/>
          <w:i/>
          <w:iCs/>
          <w:szCs w:val="24"/>
        </w:rPr>
        <w:t>Perccottus glenii</w:t>
      </w:r>
      <w:r w:rsidRPr="00675182">
        <w:rPr>
          <w:rFonts w:cstheme="minorHAnsi"/>
          <w:bCs/>
          <w:szCs w:val="24"/>
        </w:rPr>
        <w:t xml:space="preserve"> izpēte veikta LVAF projekta Nr. 1-08/189/2018 („Invazīvo sugu – rotana </w:t>
      </w:r>
      <w:r w:rsidRPr="00675182">
        <w:rPr>
          <w:rFonts w:cstheme="minorHAnsi"/>
          <w:bCs/>
          <w:i/>
          <w:iCs/>
          <w:szCs w:val="24"/>
        </w:rPr>
        <w:t>Perccottus glenii</w:t>
      </w:r>
      <w:r w:rsidRPr="00675182">
        <w:rPr>
          <w:rFonts w:cstheme="minorHAnsi"/>
          <w:bCs/>
          <w:szCs w:val="24"/>
        </w:rPr>
        <w:t xml:space="preserve"> un sarkanausu bruņurupuča </w:t>
      </w:r>
      <w:r w:rsidRPr="00675182">
        <w:rPr>
          <w:rFonts w:cstheme="minorHAnsi"/>
          <w:bCs/>
          <w:i/>
          <w:iCs/>
          <w:szCs w:val="24"/>
        </w:rPr>
        <w:t>Trachemys scripta elegans</w:t>
      </w:r>
      <w:r w:rsidRPr="00675182">
        <w:rPr>
          <w:rFonts w:cstheme="minorHAnsi"/>
          <w:bCs/>
          <w:szCs w:val="24"/>
        </w:rPr>
        <w:t xml:space="preserve"> ietekmes novērtēšana un mazināšana uz reto abinieku un rāpuļu sugu populācijām”) ietvaros 2019. gadā. GNP vidusdaļā, teritorijā starp Cēsīm, Kārļiem un Āraišiem apsekotas 70 potenciālās rotana ūdenstilpes, no tām 69 ūdenstilpēs veikta vokalizējošu abinieku uzskaites, bet 34 – rotanu un tritonu uzskaites ar ķeramtīkliņu. Konstatēti 6 abinieku taksoni (mazais un lielais tritoni, parastais krupis, parastā un purva vardes, zaļās vardes), tai skaitā viena jauna lielā tritona atradne, un 4 rotana apdzīvotas ūdenstilpes (Čeirāns u.c. 2019).</w:t>
      </w:r>
    </w:p>
    <w:p w14:paraId="42351AC3" w14:textId="77777777" w:rsidR="00FC738A" w:rsidRPr="00675182" w:rsidRDefault="00FC738A" w:rsidP="00A37BF0">
      <w:pPr>
        <w:jc w:val="both"/>
        <w:rPr>
          <w:rFonts w:cstheme="minorHAnsi"/>
          <w:bCs/>
          <w:szCs w:val="24"/>
        </w:rPr>
      </w:pPr>
    </w:p>
    <w:p w14:paraId="785041FB" w14:textId="010F4776" w:rsidR="00A37BF0" w:rsidRPr="00675182" w:rsidRDefault="00A37BF0" w:rsidP="00A37BF0">
      <w:pPr>
        <w:jc w:val="both"/>
        <w:rPr>
          <w:rFonts w:cstheme="minorHAnsi"/>
          <w:bCs/>
          <w:szCs w:val="24"/>
        </w:rPr>
      </w:pPr>
      <w:r w:rsidRPr="00675182">
        <w:rPr>
          <w:rFonts w:cstheme="minorHAnsi"/>
          <w:bCs/>
          <w:szCs w:val="24"/>
        </w:rPr>
        <w:lastRenderedPageBreak/>
        <w:t xml:space="preserve">Saskaņā ar DDPS “Ozols” </w:t>
      </w:r>
      <w:r w:rsidR="00D25C53" w:rsidRPr="00675182">
        <w:rPr>
          <w:rFonts w:cstheme="minorHAnsi"/>
          <w:bCs/>
          <w:szCs w:val="24"/>
        </w:rPr>
        <w:t>pieejamo</w:t>
      </w:r>
      <w:r w:rsidRPr="00675182">
        <w:rPr>
          <w:rFonts w:cstheme="minorHAnsi"/>
          <w:bCs/>
          <w:szCs w:val="24"/>
        </w:rPr>
        <w:t xml:space="preserve"> informāciju, GNP teritorijā sastopamas septiņas abinieku sugas:</w:t>
      </w:r>
    </w:p>
    <w:p w14:paraId="3A002FAC" w14:textId="624536E0" w:rsidR="00A37BF0" w:rsidRPr="004F7A3E" w:rsidRDefault="00A37BF0" w:rsidP="00A84218">
      <w:pPr>
        <w:pStyle w:val="ListParagraph"/>
        <w:numPr>
          <w:ilvl w:val="0"/>
          <w:numId w:val="79"/>
        </w:numPr>
        <w:jc w:val="both"/>
        <w:rPr>
          <w:rFonts w:cstheme="minorHAnsi"/>
          <w:bCs/>
          <w:szCs w:val="24"/>
        </w:rPr>
      </w:pPr>
      <w:r w:rsidRPr="004F7A3E">
        <w:rPr>
          <w:rFonts w:cstheme="minorHAnsi"/>
          <w:bCs/>
          <w:szCs w:val="24"/>
        </w:rPr>
        <w:t xml:space="preserve">brūnais varžkrupis </w:t>
      </w:r>
      <w:r w:rsidRPr="004F7A3E">
        <w:rPr>
          <w:rFonts w:cstheme="minorHAnsi"/>
          <w:bCs/>
          <w:i/>
          <w:szCs w:val="24"/>
        </w:rPr>
        <w:t>Pelobates fuscus</w:t>
      </w:r>
      <w:r w:rsidRPr="004F7A3E">
        <w:rPr>
          <w:rFonts w:cstheme="minorHAnsi"/>
          <w:bCs/>
          <w:szCs w:val="24"/>
        </w:rPr>
        <w:t>;</w:t>
      </w:r>
    </w:p>
    <w:p w14:paraId="3431AC22" w14:textId="77777777" w:rsidR="00A37BF0" w:rsidRPr="00675182" w:rsidRDefault="00A37BF0" w:rsidP="00F91227">
      <w:pPr>
        <w:pStyle w:val="ListParagraph"/>
        <w:numPr>
          <w:ilvl w:val="0"/>
          <w:numId w:val="8"/>
        </w:numPr>
        <w:jc w:val="both"/>
        <w:rPr>
          <w:rFonts w:cstheme="minorHAnsi"/>
          <w:bCs/>
          <w:szCs w:val="24"/>
        </w:rPr>
      </w:pPr>
      <w:r w:rsidRPr="00675182">
        <w:rPr>
          <w:rFonts w:cstheme="minorHAnsi"/>
          <w:bCs/>
          <w:szCs w:val="24"/>
        </w:rPr>
        <w:t xml:space="preserve">lielais tritons </w:t>
      </w:r>
      <w:r w:rsidRPr="00675182">
        <w:rPr>
          <w:rFonts w:cstheme="minorHAnsi"/>
          <w:bCs/>
          <w:i/>
          <w:szCs w:val="24"/>
        </w:rPr>
        <w:t>Triturus cristatus</w:t>
      </w:r>
      <w:r w:rsidRPr="00675182">
        <w:rPr>
          <w:rFonts w:cstheme="minorHAnsi"/>
          <w:bCs/>
          <w:szCs w:val="24"/>
        </w:rPr>
        <w:t>;</w:t>
      </w:r>
    </w:p>
    <w:p w14:paraId="70A5553D" w14:textId="77777777" w:rsidR="00A37BF0" w:rsidRPr="00675182" w:rsidRDefault="00A37BF0" w:rsidP="00F91227">
      <w:pPr>
        <w:pStyle w:val="ListParagraph"/>
        <w:numPr>
          <w:ilvl w:val="0"/>
          <w:numId w:val="8"/>
        </w:numPr>
        <w:jc w:val="both"/>
        <w:rPr>
          <w:rFonts w:cstheme="minorHAnsi"/>
          <w:bCs/>
          <w:szCs w:val="24"/>
        </w:rPr>
      </w:pPr>
      <w:r w:rsidRPr="00675182">
        <w:rPr>
          <w:rFonts w:cstheme="minorHAnsi"/>
          <w:bCs/>
          <w:szCs w:val="24"/>
        </w:rPr>
        <w:t xml:space="preserve">mazais tritons </w:t>
      </w:r>
      <w:r w:rsidRPr="00675182">
        <w:rPr>
          <w:rFonts w:cstheme="minorHAnsi"/>
          <w:bCs/>
          <w:i/>
          <w:szCs w:val="24"/>
        </w:rPr>
        <w:t>Lissotriton vulgaris</w:t>
      </w:r>
      <w:r w:rsidRPr="00675182">
        <w:rPr>
          <w:rFonts w:cstheme="minorHAnsi"/>
          <w:bCs/>
          <w:szCs w:val="24"/>
        </w:rPr>
        <w:t>;</w:t>
      </w:r>
    </w:p>
    <w:p w14:paraId="11C3EA8B" w14:textId="77777777" w:rsidR="00A37BF0" w:rsidRPr="00675182" w:rsidRDefault="00A37BF0" w:rsidP="00F91227">
      <w:pPr>
        <w:pStyle w:val="ListParagraph"/>
        <w:numPr>
          <w:ilvl w:val="0"/>
          <w:numId w:val="8"/>
        </w:numPr>
        <w:jc w:val="both"/>
        <w:rPr>
          <w:rFonts w:cstheme="minorHAnsi"/>
          <w:bCs/>
          <w:szCs w:val="24"/>
        </w:rPr>
      </w:pPr>
      <w:r w:rsidRPr="00675182">
        <w:rPr>
          <w:rFonts w:cstheme="minorHAnsi"/>
          <w:bCs/>
          <w:szCs w:val="24"/>
        </w:rPr>
        <w:t xml:space="preserve">parastā varde </w:t>
      </w:r>
      <w:r w:rsidRPr="00675182">
        <w:rPr>
          <w:rFonts w:cstheme="minorHAnsi"/>
          <w:bCs/>
          <w:i/>
          <w:szCs w:val="24"/>
        </w:rPr>
        <w:t>Rana temporaria</w:t>
      </w:r>
      <w:r w:rsidRPr="00675182">
        <w:rPr>
          <w:rFonts w:cstheme="minorHAnsi"/>
          <w:bCs/>
          <w:szCs w:val="24"/>
        </w:rPr>
        <w:t>;</w:t>
      </w:r>
    </w:p>
    <w:p w14:paraId="240980D5" w14:textId="77777777" w:rsidR="00A37BF0" w:rsidRPr="00675182" w:rsidRDefault="00A37BF0" w:rsidP="00F91227">
      <w:pPr>
        <w:pStyle w:val="ListParagraph"/>
        <w:numPr>
          <w:ilvl w:val="0"/>
          <w:numId w:val="8"/>
        </w:numPr>
        <w:jc w:val="both"/>
        <w:rPr>
          <w:rFonts w:cstheme="minorHAnsi"/>
          <w:bCs/>
          <w:szCs w:val="24"/>
        </w:rPr>
      </w:pPr>
      <w:r w:rsidRPr="00675182">
        <w:rPr>
          <w:rFonts w:cstheme="minorHAnsi"/>
          <w:bCs/>
          <w:szCs w:val="24"/>
        </w:rPr>
        <w:t xml:space="preserve">parastais krupis </w:t>
      </w:r>
      <w:r w:rsidRPr="00675182">
        <w:rPr>
          <w:rFonts w:cstheme="minorHAnsi"/>
          <w:bCs/>
          <w:i/>
          <w:szCs w:val="24"/>
        </w:rPr>
        <w:t>Bufo bufo</w:t>
      </w:r>
      <w:r w:rsidRPr="00675182">
        <w:rPr>
          <w:rFonts w:cstheme="minorHAnsi"/>
          <w:bCs/>
          <w:szCs w:val="24"/>
        </w:rPr>
        <w:t>;</w:t>
      </w:r>
    </w:p>
    <w:p w14:paraId="1BA036E9" w14:textId="77777777" w:rsidR="00A37BF0" w:rsidRPr="00675182" w:rsidRDefault="00A37BF0" w:rsidP="00F91227">
      <w:pPr>
        <w:pStyle w:val="ListParagraph"/>
        <w:numPr>
          <w:ilvl w:val="0"/>
          <w:numId w:val="8"/>
        </w:numPr>
        <w:jc w:val="both"/>
        <w:rPr>
          <w:rFonts w:cstheme="minorHAnsi"/>
          <w:bCs/>
          <w:szCs w:val="24"/>
        </w:rPr>
      </w:pPr>
      <w:r w:rsidRPr="00675182">
        <w:rPr>
          <w:rFonts w:cstheme="minorHAnsi"/>
          <w:bCs/>
          <w:szCs w:val="24"/>
        </w:rPr>
        <w:t xml:space="preserve">purva varde </w:t>
      </w:r>
      <w:r w:rsidRPr="00675182">
        <w:rPr>
          <w:rFonts w:cstheme="minorHAnsi"/>
          <w:bCs/>
          <w:i/>
          <w:szCs w:val="24"/>
        </w:rPr>
        <w:t>Rana arvalis</w:t>
      </w:r>
      <w:r w:rsidRPr="00675182">
        <w:rPr>
          <w:rFonts w:cstheme="minorHAnsi"/>
          <w:bCs/>
          <w:szCs w:val="24"/>
        </w:rPr>
        <w:t>;</w:t>
      </w:r>
    </w:p>
    <w:p w14:paraId="6C673FB7" w14:textId="77777777" w:rsidR="00A37BF0" w:rsidRPr="00675182" w:rsidRDefault="00A37BF0" w:rsidP="00F91227">
      <w:pPr>
        <w:pStyle w:val="ListParagraph"/>
        <w:numPr>
          <w:ilvl w:val="0"/>
          <w:numId w:val="8"/>
        </w:numPr>
        <w:jc w:val="both"/>
        <w:rPr>
          <w:rFonts w:cstheme="minorHAnsi"/>
          <w:bCs/>
          <w:szCs w:val="24"/>
        </w:rPr>
      </w:pPr>
      <w:r w:rsidRPr="00675182">
        <w:rPr>
          <w:rFonts w:cstheme="minorHAnsi"/>
          <w:bCs/>
          <w:szCs w:val="24"/>
        </w:rPr>
        <w:t xml:space="preserve">zaļais krupis </w:t>
      </w:r>
      <w:r w:rsidRPr="00675182">
        <w:rPr>
          <w:rFonts w:cstheme="minorHAnsi"/>
          <w:bCs/>
          <w:i/>
          <w:szCs w:val="24"/>
        </w:rPr>
        <w:t>Pseudepidalea viridis</w:t>
      </w:r>
    </w:p>
    <w:p w14:paraId="50043CBA" w14:textId="77777777" w:rsidR="00A37BF0" w:rsidRPr="00675182" w:rsidRDefault="00A37BF0" w:rsidP="00A37BF0">
      <w:pPr>
        <w:jc w:val="both"/>
        <w:rPr>
          <w:rFonts w:cstheme="minorHAnsi"/>
          <w:bCs/>
          <w:szCs w:val="24"/>
        </w:rPr>
      </w:pPr>
      <w:r w:rsidRPr="00675182">
        <w:rPr>
          <w:rFonts w:cstheme="minorHAnsi"/>
          <w:bCs/>
          <w:szCs w:val="24"/>
        </w:rPr>
        <w:t>un piecas rāpuļu sugas:</w:t>
      </w:r>
    </w:p>
    <w:p w14:paraId="4D9A7F1D" w14:textId="77777777" w:rsidR="00A37BF0" w:rsidRPr="00675182" w:rsidRDefault="00A37BF0" w:rsidP="00F91227">
      <w:pPr>
        <w:pStyle w:val="ListParagraph"/>
        <w:numPr>
          <w:ilvl w:val="0"/>
          <w:numId w:val="9"/>
        </w:numPr>
        <w:jc w:val="both"/>
        <w:rPr>
          <w:rFonts w:cstheme="minorHAnsi"/>
          <w:bCs/>
          <w:szCs w:val="24"/>
        </w:rPr>
      </w:pPr>
      <w:r w:rsidRPr="00675182">
        <w:rPr>
          <w:rFonts w:cstheme="minorHAnsi"/>
          <w:bCs/>
          <w:szCs w:val="24"/>
        </w:rPr>
        <w:t xml:space="preserve">odze </w:t>
      </w:r>
      <w:r w:rsidRPr="00675182">
        <w:rPr>
          <w:rFonts w:cstheme="minorHAnsi"/>
          <w:bCs/>
          <w:i/>
          <w:szCs w:val="24"/>
        </w:rPr>
        <w:t>Vipera berus</w:t>
      </w:r>
      <w:r w:rsidRPr="00675182">
        <w:rPr>
          <w:rFonts w:cstheme="minorHAnsi"/>
          <w:bCs/>
          <w:szCs w:val="24"/>
        </w:rPr>
        <w:t>;</w:t>
      </w:r>
    </w:p>
    <w:p w14:paraId="3B0B69AE" w14:textId="77777777" w:rsidR="00A37BF0" w:rsidRPr="00675182" w:rsidRDefault="00A37BF0" w:rsidP="00F91227">
      <w:pPr>
        <w:pStyle w:val="ListParagraph"/>
        <w:numPr>
          <w:ilvl w:val="0"/>
          <w:numId w:val="9"/>
        </w:numPr>
        <w:jc w:val="both"/>
        <w:rPr>
          <w:rFonts w:cstheme="minorHAnsi"/>
          <w:bCs/>
          <w:szCs w:val="24"/>
        </w:rPr>
      </w:pPr>
      <w:r w:rsidRPr="00675182">
        <w:rPr>
          <w:rFonts w:cstheme="minorHAnsi"/>
          <w:bCs/>
          <w:szCs w:val="24"/>
        </w:rPr>
        <w:t xml:space="preserve">parastais zalktis </w:t>
      </w:r>
      <w:r w:rsidRPr="00675182">
        <w:rPr>
          <w:rFonts w:cstheme="minorHAnsi"/>
          <w:bCs/>
          <w:i/>
          <w:szCs w:val="24"/>
        </w:rPr>
        <w:t>Natrix natrix</w:t>
      </w:r>
      <w:r w:rsidRPr="00675182">
        <w:rPr>
          <w:rFonts w:cstheme="minorHAnsi"/>
          <w:bCs/>
          <w:szCs w:val="24"/>
        </w:rPr>
        <w:t>;</w:t>
      </w:r>
    </w:p>
    <w:p w14:paraId="3FE21280" w14:textId="77777777" w:rsidR="00A37BF0" w:rsidRPr="00675182" w:rsidRDefault="00A37BF0" w:rsidP="00F91227">
      <w:pPr>
        <w:pStyle w:val="ListParagraph"/>
        <w:numPr>
          <w:ilvl w:val="0"/>
          <w:numId w:val="9"/>
        </w:numPr>
        <w:jc w:val="both"/>
        <w:rPr>
          <w:rFonts w:cstheme="minorHAnsi"/>
          <w:bCs/>
          <w:szCs w:val="24"/>
        </w:rPr>
      </w:pPr>
      <w:r w:rsidRPr="00675182">
        <w:rPr>
          <w:rFonts w:cstheme="minorHAnsi"/>
          <w:bCs/>
          <w:szCs w:val="24"/>
        </w:rPr>
        <w:t xml:space="preserve">pļavas ķirzaka </w:t>
      </w:r>
      <w:r w:rsidRPr="00675182">
        <w:rPr>
          <w:rFonts w:cstheme="minorHAnsi"/>
          <w:bCs/>
          <w:i/>
          <w:szCs w:val="24"/>
        </w:rPr>
        <w:t>Zootoca vivipara</w:t>
      </w:r>
      <w:r w:rsidRPr="00675182">
        <w:rPr>
          <w:rFonts w:cstheme="minorHAnsi"/>
          <w:bCs/>
          <w:szCs w:val="24"/>
        </w:rPr>
        <w:t>;</w:t>
      </w:r>
    </w:p>
    <w:p w14:paraId="5EEC8D9E" w14:textId="77777777" w:rsidR="00A37BF0" w:rsidRPr="00675182" w:rsidRDefault="00A37BF0" w:rsidP="00F91227">
      <w:pPr>
        <w:pStyle w:val="ListParagraph"/>
        <w:numPr>
          <w:ilvl w:val="0"/>
          <w:numId w:val="9"/>
        </w:numPr>
        <w:jc w:val="both"/>
        <w:rPr>
          <w:rFonts w:cstheme="minorHAnsi"/>
          <w:bCs/>
          <w:szCs w:val="24"/>
        </w:rPr>
      </w:pPr>
      <w:r w:rsidRPr="00675182">
        <w:rPr>
          <w:rFonts w:cstheme="minorHAnsi"/>
          <w:bCs/>
          <w:szCs w:val="24"/>
        </w:rPr>
        <w:t xml:space="preserve">sila ķirzaka </w:t>
      </w:r>
      <w:r w:rsidRPr="00675182">
        <w:rPr>
          <w:rFonts w:cstheme="minorHAnsi"/>
          <w:bCs/>
          <w:i/>
          <w:szCs w:val="24"/>
        </w:rPr>
        <w:t>Lacerta agilis</w:t>
      </w:r>
      <w:r w:rsidRPr="00675182">
        <w:rPr>
          <w:rFonts w:cstheme="minorHAnsi"/>
          <w:bCs/>
          <w:szCs w:val="24"/>
        </w:rPr>
        <w:t>;</w:t>
      </w:r>
    </w:p>
    <w:p w14:paraId="3401CD6D" w14:textId="77777777" w:rsidR="00A37BF0" w:rsidRPr="00675182" w:rsidRDefault="00A37BF0" w:rsidP="00F91227">
      <w:pPr>
        <w:pStyle w:val="ListParagraph"/>
        <w:numPr>
          <w:ilvl w:val="0"/>
          <w:numId w:val="9"/>
        </w:numPr>
        <w:jc w:val="both"/>
        <w:rPr>
          <w:rFonts w:cstheme="minorHAnsi"/>
          <w:bCs/>
          <w:szCs w:val="24"/>
        </w:rPr>
      </w:pPr>
      <w:r w:rsidRPr="00675182">
        <w:rPr>
          <w:rFonts w:cstheme="minorHAnsi"/>
          <w:bCs/>
          <w:szCs w:val="24"/>
        </w:rPr>
        <w:t xml:space="preserve">glodene </w:t>
      </w:r>
      <w:r w:rsidRPr="00675182">
        <w:rPr>
          <w:rFonts w:cstheme="minorHAnsi"/>
          <w:bCs/>
          <w:i/>
          <w:szCs w:val="24"/>
        </w:rPr>
        <w:t>Anguis fragilis</w:t>
      </w:r>
      <w:r w:rsidRPr="00675182">
        <w:rPr>
          <w:rFonts w:cstheme="minorHAnsi"/>
          <w:bCs/>
          <w:szCs w:val="24"/>
        </w:rPr>
        <w:t>.</w:t>
      </w:r>
    </w:p>
    <w:p w14:paraId="44329F12" w14:textId="77777777" w:rsidR="00A37BF0" w:rsidRPr="00675182" w:rsidRDefault="00A37BF0" w:rsidP="00A37BF0">
      <w:pPr>
        <w:jc w:val="both"/>
        <w:rPr>
          <w:rFonts w:cstheme="minorHAnsi"/>
          <w:bCs/>
          <w:szCs w:val="24"/>
        </w:rPr>
      </w:pPr>
    </w:p>
    <w:p w14:paraId="650D5286" w14:textId="6CD8EE58" w:rsidR="00A37BF0" w:rsidRPr="00675182" w:rsidRDefault="005A720D" w:rsidP="00A37BF0">
      <w:pPr>
        <w:jc w:val="both"/>
        <w:rPr>
          <w:rFonts w:cstheme="minorHAnsi"/>
          <w:bCs/>
          <w:szCs w:val="24"/>
        </w:rPr>
      </w:pPr>
      <w:r>
        <w:rPr>
          <w:rFonts w:cstheme="minorHAnsi"/>
          <w:bCs/>
          <w:szCs w:val="24"/>
        </w:rPr>
        <w:t>Interneta vietnē</w:t>
      </w:r>
      <w:r w:rsidR="00D25C53" w:rsidRPr="00675182">
        <w:rPr>
          <w:rFonts w:cstheme="minorHAnsi"/>
          <w:bCs/>
          <w:szCs w:val="24"/>
        </w:rPr>
        <w:t xml:space="preserve"> </w:t>
      </w:r>
      <w:r w:rsidR="00A37BF0" w:rsidRPr="00675182">
        <w:rPr>
          <w:rFonts w:cstheme="minorHAnsi"/>
          <w:bCs/>
          <w:szCs w:val="24"/>
        </w:rPr>
        <w:t xml:space="preserve">Dabasdati.lv atrodami ieraksti par iepriekšminētajām sugām, bet papildus atrodami vairāki dīķa vardes </w:t>
      </w:r>
      <w:r w:rsidR="00A37BF0" w:rsidRPr="00675182">
        <w:rPr>
          <w:rFonts w:cstheme="minorHAnsi"/>
          <w:bCs/>
          <w:i/>
          <w:szCs w:val="24"/>
        </w:rPr>
        <w:t>Pelophylax lessonae</w:t>
      </w:r>
      <w:r w:rsidR="00A37BF0" w:rsidRPr="00675182">
        <w:rPr>
          <w:rFonts w:cstheme="minorHAnsi"/>
          <w:bCs/>
          <w:szCs w:val="24"/>
        </w:rPr>
        <w:t xml:space="preserve"> un zaļās vai dīķa vardes </w:t>
      </w:r>
      <w:r w:rsidR="00A37BF0" w:rsidRPr="00675182">
        <w:rPr>
          <w:rFonts w:cstheme="minorHAnsi"/>
          <w:bCs/>
          <w:i/>
          <w:szCs w:val="24"/>
        </w:rPr>
        <w:t>Pelophylax sp</w:t>
      </w:r>
      <w:r w:rsidR="00A37BF0" w:rsidRPr="00675182">
        <w:rPr>
          <w:rFonts w:cstheme="minorHAnsi"/>
          <w:bCs/>
          <w:szCs w:val="24"/>
        </w:rPr>
        <w:t xml:space="preserve"> konstatēšanas gadījumi.</w:t>
      </w:r>
    </w:p>
    <w:p w14:paraId="4B23C87A" w14:textId="77777777" w:rsidR="00A37BF0" w:rsidRPr="00675182" w:rsidRDefault="00A37BF0" w:rsidP="00A37BF0">
      <w:pPr>
        <w:jc w:val="both"/>
        <w:rPr>
          <w:rFonts w:cstheme="minorHAnsi"/>
          <w:bCs/>
          <w:szCs w:val="24"/>
        </w:rPr>
      </w:pPr>
    </w:p>
    <w:p w14:paraId="36CEDC71" w14:textId="4A1BBA17" w:rsidR="00A37BF0" w:rsidRPr="00675182" w:rsidRDefault="00A37BF0" w:rsidP="00A37BF0">
      <w:pPr>
        <w:jc w:val="both"/>
        <w:rPr>
          <w:rFonts w:cstheme="minorHAnsi"/>
          <w:bCs/>
          <w:szCs w:val="24"/>
        </w:rPr>
      </w:pPr>
      <w:r w:rsidRPr="00675182">
        <w:rPr>
          <w:rFonts w:cstheme="minorHAnsi"/>
          <w:bCs/>
          <w:szCs w:val="24"/>
        </w:rPr>
        <w:t>GNP administrācijas izdotajā grāmatā (Pilāts V. (red.)</w:t>
      </w:r>
      <w:r w:rsidR="00B7518D" w:rsidRPr="00675182">
        <w:rPr>
          <w:rFonts w:cstheme="minorHAnsi"/>
          <w:bCs/>
          <w:szCs w:val="24"/>
        </w:rPr>
        <w:t>,</w:t>
      </w:r>
      <w:r w:rsidRPr="00675182">
        <w:rPr>
          <w:rFonts w:cstheme="minorHAnsi"/>
          <w:bCs/>
          <w:szCs w:val="24"/>
        </w:rPr>
        <w:t xml:space="preserve"> 2007) </w:t>
      </w:r>
      <w:r w:rsidR="00AB4839" w:rsidRPr="00675182">
        <w:rPr>
          <w:rFonts w:cstheme="minorHAnsi"/>
          <w:bCs/>
          <w:szCs w:val="24"/>
        </w:rPr>
        <w:t xml:space="preserve">par bioloģisko daudzveidību GNP </w:t>
      </w:r>
      <w:r w:rsidRPr="00675182">
        <w:rPr>
          <w:rFonts w:cstheme="minorHAnsi"/>
          <w:bCs/>
          <w:szCs w:val="24"/>
        </w:rPr>
        <w:t xml:space="preserve">uzskatītas visas iepriekšminētās sugas, izņemot brūno varžkrupi. Minēts, ka “sakarā ar līdzšinējo pētījumu nepilnīgumu rāpuļu un abinieku skaita izmaiņas tendences </w:t>
      </w:r>
      <w:r w:rsidR="00AB4839" w:rsidRPr="00675182">
        <w:rPr>
          <w:rFonts w:cstheme="minorHAnsi"/>
          <w:bCs/>
          <w:szCs w:val="24"/>
        </w:rPr>
        <w:t>GNP</w:t>
      </w:r>
      <w:r w:rsidRPr="00675182">
        <w:rPr>
          <w:rFonts w:cstheme="minorHAnsi"/>
          <w:bCs/>
          <w:szCs w:val="24"/>
        </w:rPr>
        <w:t xml:space="preserve"> nav zināmas”.</w:t>
      </w:r>
    </w:p>
    <w:p w14:paraId="39550CBB" w14:textId="77777777" w:rsidR="00E96A98" w:rsidRPr="00675182" w:rsidRDefault="00E96A98" w:rsidP="00A37BF0">
      <w:pPr>
        <w:jc w:val="both"/>
        <w:rPr>
          <w:rFonts w:cstheme="minorHAnsi"/>
          <w:bCs/>
          <w:szCs w:val="24"/>
        </w:rPr>
      </w:pPr>
    </w:p>
    <w:p w14:paraId="50446AB7" w14:textId="4423CFF6" w:rsidR="00E96A98" w:rsidRPr="00675182" w:rsidRDefault="00E96A98" w:rsidP="00E96A98">
      <w:pPr>
        <w:jc w:val="both"/>
        <w:rPr>
          <w:rFonts w:cstheme="minorHAnsi"/>
          <w:bCs/>
          <w:szCs w:val="24"/>
        </w:rPr>
      </w:pPr>
      <w:r w:rsidRPr="00675182">
        <w:rPr>
          <w:rFonts w:cstheme="minorHAnsi"/>
          <w:bCs/>
          <w:szCs w:val="24"/>
        </w:rPr>
        <w:t xml:space="preserve">Projekta “Bezmugurkaulnieku, abinieku un rāpuļu monitorings un izpēte </w:t>
      </w:r>
      <w:r w:rsidR="00DD2095">
        <w:rPr>
          <w:rFonts w:cstheme="minorHAnsi"/>
          <w:bCs/>
          <w:szCs w:val="24"/>
        </w:rPr>
        <w:t>DL</w:t>
      </w:r>
      <w:r w:rsidRPr="00675182">
        <w:rPr>
          <w:rFonts w:cstheme="minorHAnsi"/>
          <w:bCs/>
          <w:szCs w:val="24"/>
        </w:rPr>
        <w:t xml:space="preserve"> “Lubāna mitrājs”, Gaujas nacionālajā parkā un Ķemeru nacionālajā parkā” vēsturiskās informācijas apkopojumā minētas vēl citas sugas, taču šo sugu atradumi vai nu ir minēti </w:t>
      </w:r>
      <w:r w:rsidR="00B7518D" w:rsidRPr="00675182">
        <w:rPr>
          <w:rFonts w:cstheme="minorHAnsi"/>
          <w:bCs/>
          <w:szCs w:val="24"/>
        </w:rPr>
        <w:t xml:space="preserve">kā </w:t>
      </w:r>
      <w:r w:rsidRPr="00675182">
        <w:rPr>
          <w:rFonts w:cstheme="minorHAnsi"/>
          <w:bCs/>
          <w:szCs w:val="24"/>
        </w:rPr>
        <w:t>kļūdaini vai ir apšaubāmi.</w:t>
      </w:r>
    </w:p>
    <w:p w14:paraId="6BBECD1D" w14:textId="77777777" w:rsidR="00E96A98" w:rsidRPr="00675182" w:rsidRDefault="00E96A98" w:rsidP="00E96A98">
      <w:pPr>
        <w:jc w:val="both"/>
        <w:rPr>
          <w:rFonts w:cstheme="minorHAnsi"/>
          <w:bCs/>
          <w:szCs w:val="24"/>
        </w:rPr>
      </w:pPr>
    </w:p>
    <w:p w14:paraId="11CFBB30" w14:textId="24E715D2" w:rsidR="00E96A98" w:rsidRPr="00675182" w:rsidRDefault="00E96A98" w:rsidP="00E96A98">
      <w:pPr>
        <w:jc w:val="both"/>
        <w:rPr>
          <w:rFonts w:cstheme="minorHAnsi"/>
          <w:bCs/>
          <w:szCs w:val="24"/>
        </w:rPr>
      </w:pPr>
      <w:r w:rsidRPr="00675182">
        <w:rPr>
          <w:rFonts w:cstheme="minorHAnsi"/>
          <w:bCs/>
          <w:szCs w:val="24"/>
        </w:rPr>
        <w:t xml:space="preserve">Piemēram, atskaitē minēts, ka senākā pieejamā informācija par GNP ir ziņa par purva bruņurupuča </w:t>
      </w:r>
      <w:r w:rsidRPr="00675182">
        <w:rPr>
          <w:rFonts w:cstheme="minorHAnsi"/>
          <w:bCs/>
          <w:i/>
          <w:iCs/>
          <w:szCs w:val="24"/>
        </w:rPr>
        <w:t>Emys orbicularis</w:t>
      </w:r>
      <w:r w:rsidRPr="00675182">
        <w:rPr>
          <w:rFonts w:cstheme="minorHAnsi"/>
          <w:bCs/>
          <w:szCs w:val="24"/>
        </w:rPr>
        <w:t xml:space="preserve"> noķeršanu 1925.</w:t>
      </w:r>
      <w:r w:rsidR="00B7518D" w:rsidRPr="00675182">
        <w:rPr>
          <w:rFonts w:cstheme="minorHAnsi"/>
          <w:bCs/>
          <w:szCs w:val="24"/>
        </w:rPr>
        <w:t xml:space="preserve"> </w:t>
      </w:r>
      <w:r w:rsidRPr="00675182">
        <w:rPr>
          <w:rFonts w:cstheme="minorHAnsi"/>
          <w:bCs/>
          <w:szCs w:val="24"/>
        </w:rPr>
        <w:t>gadā Priekuļos (Siliņš, Lamsters</w:t>
      </w:r>
      <w:r w:rsidR="00B7518D" w:rsidRPr="00675182">
        <w:rPr>
          <w:rFonts w:cstheme="minorHAnsi"/>
          <w:bCs/>
          <w:szCs w:val="24"/>
        </w:rPr>
        <w:t>,</w:t>
      </w:r>
      <w:r w:rsidRPr="00675182">
        <w:rPr>
          <w:rFonts w:cstheme="minorHAnsi"/>
          <w:bCs/>
          <w:szCs w:val="24"/>
        </w:rPr>
        <w:t xml:space="preserve"> 1934) un iepriekš nebrīvē turēta un dabā izlaista purva bruņurupuča mātīte 2010. gadā noķerta Cēsu pilsētas vidū esošā dīķī (Pupins, Pupina 2012; Pupins, Pupina</w:t>
      </w:r>
      <w:r w:rsidR="00B7518D" w:rsidRPr="00675182">
        <w:rPr>
          <w:rFonts w:cstheme="minorHAnsi"/>
          <w:bCs/>
          <w:szCs w:val="24"/>
        </w:rPr>
        <w:t>,</w:t>
      </w:r>
      <w:r w:rsidRPr="00675182">
        <w:rPr>
          <w:rFonts w:cstheme="minorHAnsi"/>
          <w:bCs/>
          <w:szCs w:val="24"/>
        </w:rPr>
        <w:t xml:space="preserve"> 2013). Iespējams, taču ne drošs purva bruņurupuča novērojums 2004.</w:t>
      </w:r>
      <w:r w:rsidR="00EC5184" w:rsidRPr="00675182">
        <w:rPr>
          <w:rFonts w:cstheme="minorHAnsi"/>
          <w:bCs/>
          <w:szCs w:val="24"/>
        </w:rPr>
        <w:t xml:space="preserve"> </w:t>
      </w:r>
      <w:r w:rsidRPr="00675182">
        <w:rPr>
          <w:rFonts w:cstheme="minorHAnsi"/>
          <w:bCs/>
          <w:szCs w:val="24"/>
        </w:rPr>
        <w:t>gadā veikts Sudas purva Zviedru ezerā, kas atrodas sugai neraksturīgā augstā purva biotopā (Pupins, Pupina</w:t>
      </w:r>
      <w:r w:rsidR="00B7518D" w:rsidRPr="00675182">
        <w:rPr>
          <w:rFonts w:cstheme="minorHAnsi"/>
          <w:bCs/>
          <w:szCs w:val="24"/>
        </w:rPr>
        <w:t>,</w:t>
      </w:r>
      <w:r w:rsidRPr="00675182">
        <w:rPr>
          <w:rFonts w:cstheme="minorHAnsi"/>
          <w:bCs/>
          <w:szCs w:val="24"/>
        </w:rPr>
        <w:t xml:space="preserve"> 2008a; Pupins, Pupina</w:t>
      </w:r>
      <w:r w:rsidR="00B7518D" w:rsidRPr="00675182">
        <w:rPr>
          <w:rFonts w:cstheme="minorHAnsi"/>
          <w:bCs/>
          <w:szCs w:val="24"/>
        </w:rPr>
        <w:t>,</w:t>
      </w:r>
      <w:r w:rsidRPr="00675182">
        <w:rPr>
          <w:rFonts w:cstheme="minorHAnsi"/>
          <w:bCs/>
          <w:szCs w:val="24"/>
        </w:rPr>
        <w:t xml:space="preserve"> 2008b).</w:t>
      </w:r>
    </w:p>
    <w:p w14:paraId="694CD868" w14:textId="77777777" w:rsidR="00E96A98" w:rsidRPr="00675182" w:rsidRDefault="00E96A98" w:rsidP="00E96A98">
      <w:pPr>
        <w:jc w:val="both"/>
        <w:rPr>
          <w:rFonts w:cstheme="minorHAnsi"/>
          <w:bCs/>
          <w:szCs w:val="24"/>
        </w:rPr>
      </w:pPr>
    </w:p>
    <w:p w14:paraId="441701EC" w14:textId="2CEDE809" w:rsidR="00E96A98" w:rsidRPr="00675182" w:rsidRDefault="00E96A98" w:rsidP="00E96A98">
      <w:pPr>
        <w:jc w:val="both"/>
        <w:rPr>
          <w:rFonts w:cstheme="minorHAnsi"/>
          <w:bCs/>
          <w:szCs w:val="24"/>
        </w:rPr>
      </w:pPr>
      <w:r w:rsidRPr="00675182">
        <w:rPr>
          <w:rFonts w:cstheme="minorHAnsi"/>
          <w:bCs/>
          <w:szCs w:val="24"/>
        </w:rPr>
        <w:t xml:space="preserve">Atskaitē apgalvots, ka ziņas par it kā drošu gludenās čūskas </w:t>
      </w:r>
      <w:r w:rsidRPr="00675182">
        <w:rPr>
          <w:rFonts w:cstheme="minorHAnsi"/>
          <w:bCs/>
          <w:i/>
          <w:iCs/>
          <w:szCs w:val="24"/>
        </w:rPr>
        <w:t>Coronella austriaca</w:t>
      </w:r>
      <w:r w:rsidRPr="00675182">
        <w:rPr>
          <w:rFonts w:cstheme="minorHAnsi"/>
          <w:bCs/>
          <w:szCs w:val="24"/>
        </w:rPr>
        <w:t xml:space="preserve"> novērojumu 1980. gadā (Zirnis 1980) ir kļūdainas (Čeirāns 2000). Arī </w:t>
      </w:r>
      <w:r w:rsidR="00227E90" w:rsidRPr="00675182">
        <w:rPr>
          <w:rFonts w:cstheme="minorHAnsi"/>
          <w:bCs/>
          <w:szCs w:val="24"/>
        </w:rPr>
        <w:t>zaļ</w:t>
      </w:r>
      <w:r w:rsidR="00227E90">
        <w:rPr>
          <w:rFonts w:cstheme="minorHAnsi"/>
          <w:bCs/>
          <w:szCs w:val="24"/>
        </w:rPr>
        <w:t>ā</w:t>
      </w:r>
      <w:r w:rsidR="00227E90" w:rsidRPr="00675182">
        <w:rPr>
          <w:rFonts w:cstheme="minorHAnsi"/>
          <w:bCs/>
          <w:szCs w:val="24"/>
        </w:rPr>
        <w:t xml:space="preserve"> </w:t>
      </w:r>
      <w:r w:rsidRPr="00675182">
        <w:rPr>
          <w:rFonts w:cstheme="minorHAnsi"/>
          <w:bCs/>
          <w:szCs w:val="24"/>
        </w:rPr>
        <w:t xml:space="preserve">krupja </w:t>
      </w:r>
      <w:r w:rsidRPr="00675182">
        <w:rPr>
          <w:rFonts w:cstheme="minorHAnsi"/>
          <w:bCs/>
          <w:i/>
          <w:iCs/>
          <w:szCs w:val="24"/>
        </w:rPr>
        <w:t>Bufotes viridis</w:t>
      </w:r>
      <w:r w:rsidRPr="00675182">
        <w:rPr>
          <w:rFonts w:cstheme="minorHAnsi"/>
          <w:bCs/>
          <w:szCs w:val="24"/>
        </w:rPr>
        <w:t xml:space="preserve"> novērojums 1995. gadā Līgatnes Strauta alā ir apšaubāms (Smaļinskis</w:t>
      </w:r>
      <w:r w:rsidR="00B7518D" w:rsidRPr="00675182">
        <w:rPr>
          <w:rFonts w:cstheme="minorHAnsi"/>
          <w:bCs/>
          <w:szCs w:val="24"/>
        </w:rPr>
        <w:t>,</w:t>
      </w:r>
      <w:r w:rsidRPr="00675182">
        <w:rPr>
          <w:rFonts w:cstheme="minorHAnsi"/>
          <w:bCs/>
          <w:szCs w:val="24"/>
        </w:rPr>
        <w:t xml:space="preserve"> 1995). Tas sajaukts ar citu abinieku, domājams, – varžkrupi </w:t>
      </w:r>
      <w:r w:rsidRPr="00675182">
        <w:rPr>
          <w:rFonts w:cstheme="minorHAnsi"/>
          <w:bCs/>
          <w:i/>
          <w:iCs/>
          <w:szCs w:val="24"/>
        </w:rPr>
        <w:t>Pelobates fuscus</w:t>
      </w:r>
      <w:r w:rsidRPr="00675182">
        <w:rPr>
          <w:rFonts w:cstheme="minorHAnsi"/>
          <w:bCs/>
          <w:szCs w:val="24"/>
        </w:rPr>
        <w:t xml:space="preserve"> vai parasto krupi </w:t>
      </w:r>
      <w:r w:rsidRPr="00675182">
        <w:rPr>
          <w:rFonts w:cstheme="minorHAnsi"/>
          <w:bCs/>
          <w:i/>
          <w:iCs/>
          <w:szCs w:val="24"/>
        </w:rPr>
        <w:t>Bufo bufo</w:t>
      </w:r>
      <w:r w:rsidRPr="00675182">
        <w:rPr>
          <w:rFonts w:cstheme="minorHAnsi"/>
          <w:bCs/>
          <w:szCs w:val="24"/>
        </w:rPr>
        <w:t xml:space="preserve">. </w:t>
      </w:r>
    </w:p>
    <w:p w14:paraId="41B1830A" w14:textId="77777777" w:rsidR="00E96A98" w:rsidRPr="00675182" w:rsidRDefault="00E96A98" w:rsidP="00E96A98">
      <w:pPr>
        <w:jc w:val="both"/>
        <w:rPr>
          <w:rFonts w:cstheme="minorHAnsi"/>
          <w:bCs/>
          <w:szCs w:val="24"/>
        </w:rPr>
      </w:pPr>
    </w:p>
    <w:p w14:paraId="51FCFB56" w14:textId="18D9D2E1" w:rsidR="00E96A98" w:rsidRPr="00675182" w:rsidRDefault="00E96A98" w:rsidP="00E96A98">
      <w:pPr>
        <w:jc w:val="both"/>
        <w:rPr>
          <w:rFonts w:cstheme="minorHAnsi"/>
          <w:bCs/>
          <w:szCs w:val="24"/>
        </w:rPr>
      </w:pPr>
      <w:r w:rsidRPr="00675182">
        <w:rPr>
          <w:rFonts w:cstheme="minorHAnsi"/>
          <w:bCs/>
          <w:szCs w:val="24"/>
        </w:rPr>
        <w:t xml:space="preserve">Minēti arī divi neveiksmīgi sugu ieviešanas mēģinājumi. Tītmaņu ieža vecupes bija pirmā kokvardes </w:t>
      </w:r>
      <w:r w:rsidRPr="00675182">
        <w:rPr>
          <w:rFonts w:cstheme="minorHAnsi"/>
          <w:bCs/>
          <w:i/>
          <w:iCs/>
          <w:szCs w:val="24"/>
        </w:rPr>
        <w:t>Hyla arborea</w:t>
      </w:r>
      <w:r w:rsidRPr="00675182">
        <w:rPr>
          <w:rFonts w:cstheme="minorHAnsi"/>
          <w:bCs/>
          <w:szCs w:val="24"/>
        </w:rPr>
        <w:t xml:space="preserve"> Latvijas reintrodukcijas mēģinājuma vieta. 1987.-1988. gados Rīgas Zoodārza Ekoloģijas laboratorija šeit izlaida ~150 šīgadeņus, kas </w:t>
      </w:r>
      <w:r w:rsidRPr="00675182">
        <w:rPr>
          <w:rFonts w:cstheme="minorHAnsi"/>
          <w:bCs/>
          <w:szCs w:val="24"/>
        </w:rPr>
        <w:lastRenderedPageBreak/>
        <w:t xml:space="preserve">neiedzīvojās (G. Jansones un V. Vilnīša ziņojumi). Pie Gūtmaņa alas 1988. gadā veiktais ugunskrupja </w:t>
      </w:r>
      <w:r w:rsidRPr="00675182">
        <w:rPr>
          <w:rFonts w:cstheme="minorHAnsi"/>
          <w:bCs/>
          <w:i/>
          <w:iCs/>
          <w:szCs w:val="24"/>
        </w:rPr>
        <w:t>Bombina bombina</w:t>
      </w:r>
      <w:r w:rsidRPr="00675182">
        <w:rPr>
          <w:rFonts w:cstheme="minorHAnsi"/>
          <w:bCs/>
          <w:szCs w:val="24"/>
        </w:rPr>
        <w:t xml:space="preserve"> novērojums arī attiecas uz izlaistiem īpatņiem, kas šeit neiedzīvojās (Čeirāns 2007).</w:t>
      </w:r>
    </w:p>
    <w:p w14:paraId="777BC28C" w14:textId="61E379A1" w:rsidR="00206CEA" w:rsidRPr="00675182" w:rsidRDefault="00206CEA" w:rsidP="00E96A98">
      <w:pPr>
        <w:jc w:val="both"/>
        <w:rPr>
          <w:rFonts w:cstheme="minorHAnsi"/>
          <w:bCs/>
          <w:szCs w:val="24"/>
        </w:rPr>
      </w:pPr>
    </w:p>
    <w:p w14:paraId="0C9C2250" w14:textId="3DEB7424" w:rsidR="00206CEA" w:rsidRPr="00675182" w:rsidRDefault="00206CEA" w:rsidP="00206CEA">
      <w:pPr>
        <w:jc w:val="both"/>
        <w:rPr>
          <w:rFonts w:cstheme="minorHAnsi"/>
          <w:bCs/>
          <w:szCs w:val="24"/>
        </w:rPr>
      </w:pPr>
      <w:r w:rsidRPr="00675182">
        <w:rPr>
          <w:rFonts w:cstheme="minorHAnsi"/>
          <w:bCs/>
          <w:szCs w:val="24"/>
        </w:rPr>
        <w:t>2020. gadā GNP abinieku un rāpuļu izpēte veikta, pielietojot abinieku un rāpuļu monitoringa metodik</w:t>
      </w:r>
      <w:r w:rsidR="00A47EB3" w:rsidRPr="00675182">
        <w:rPr>
          <w:rFonts w:cstheme="minorHAnsi"/>
          <w:bCs/>
          <w:szCs w:val="24"/>
        </w:rPr>
        <w:t>u</w:t>
      </w:r>
      <w:r w:rsidRPr="00675182">
        <w:rPr>
          <w:rFonts w:cstheme="minorHAnsi"/>
          <w:bCs/>
          <w:szCs w:val="24"/>
        </w:rPr>
        <w:t xml:space="preserve"> </w:t>
      </w:r>
      <w:r w:rsidR="005D63E3">
        <w:rPr>
          <w:rFonts w:cstheme="minorHAnsi"/>
          <w:bCs/>
          <w:szCs w:val="24"/>
        </w:rPr>
        <w:t>ĪA</w:t>
      </w:r>
      <w:r w:rsidRPr="00675182">
        <w:rPr>
          <w:rFonts w:cstheme="minorHAnsi"/>
          <w:bCs/>
          <w:szCs w:val="24"/>
        </w:rPr>
        <w:t xml:space="preserve"> sugu izpētei (Čeirāns, Pupiņš 2020a, 2020b). </w:t>
      </w:r>
      <w:r w:rsidR="00A47EB3" w:rsidRPr="00675182">
        <w:rPr>
          <w:rFonts w:cstheme="minorHAnsi"/>
          <w:bCs/>
          <w:szCs w:val="24"/>
        </w:rPr>
        <w:t>Tika v</w:t>
      </w:r>
      <w:r w:rsidRPr="00675182">
        <w:rPr>
          <w:rFonts w:cstheme="minorHAnsi"/>
          <w:bCs/>
          <w:szCs w:val="24"/>
        </w:rPr>
        <w:t xml:space="preserve">eikti 3 atsevišķi pētījumi, katrs savai sugu grupai. Vokalizējošu abinieku uzskaites </w:t>
      </w:r>
      <w:r w:rsidR="00A47EB3" w:rsidRPr="00675182">
        <w:rPr>
          <w:rFonts w:cstheme="minorHAnsi"/>
          <w:bCs/>
          <w:szCs w:val="24"/>
        </w:rPr>
        <w:t xml:space="preserve">ir </w:t>
      </w:r>
      <w:r w:rsidRPr="00675182">
        <w:rPr>
          <w:rFonts w:cstheme="minorHAnsi"/>
          <w:bCs/>
          <w:szCs w:val="24"/>
        </w:rPr>
        <w:t>veiktas aprīlī-jūnijā, trijos atkārtojumos apmeklēti 252 punkti pie potenciālajām vairošanās ūdenstilpēm; augsto purvu centrālo daļu ūdenstilpes netika apsekotas, jo šādos biotopos abinieki nevairojas. Papildus izmantoti 58 ūdenstilpju vokalizējošu abinieku izpētes dati, kas veikti 2019. gadā, LVAF projekta Nr. 1-08/189/2018 ietvaros. Populāciju novērtējumam izmantots vokalizējošo īpatņu skaits un tam atbilstošs pieaugušo īpatņu populācijas lielums (Čeirāns, Pupiņš</w:t>
      </w:r>
      <w:r w:rsidR="00465016" w:rsidRPr="00675182">
        <w:rPr>
          <w:rFonts w:cstheme="minorHAnsi"/>
          <w:bCs/>
          <w:szCs w:val="24"/>
        </w:rPr>
        <w:t>,</w:t>
      </w:r>
      <w:r w:rsidRPr="00675182">
        <w:rPr>
          <w:rFonts w:cstheme="minorHAnsi"/>
          <w:bCs/>
          <w:szCs w:val="24"/>
        </w:rPr>
        <w:t xml:space="preserve"> 2020a), rezultāti ekstrapolēti visam GNP, izmantojot uzskaitēs konstatētos populāciju lielumus individuālās ūdenstilpēs un apdzīvoto ūdenstilpju īpatsvaru.</w:t>
      </w:r>
    </w:p>
    <w:p w14:paraId="5CDD0A50" w14:textId="77777777" w:rsidR="00206CEA" w:rsidRPr="00675182" w:rsidRDefault="00206CEA" w:rsidP="00206CEA">
      <w:pPr>
        <w:jc w:val="both"/>
        <w:rPr>
          <w:rFonts w:cstheme="minorHAnsi"/>
          <w:bCs/>
          <w:szCs w:val="24"/>
          <w:highlight w:val="yellow"/>
        </w:rPr>
      </w:pPr>
    </w:p>
    <w:p w14:paraId="26E18232" w14:textId="335ECBCD" w:rsidR="00206CEA" w:rsidRPr="00675182" w:rsidRDefault="00206CEA" w:rsidP="00206CEA">
      <w:pPr>
        <w:jc w:val="both"/>
        <w:rPr>
          <w:rFonts w:cstheme="minorHAnsi"/>
          <w:bCs/>
          <w:szCs w:val="24"/>
        </w:rPr>
      </w:pPr>
      <w:r w:rsidRPr="00675182">
        <w:rPr>
          <w:rFonts w:cstheme="minorHAnsi"/>
          <w:bCs/>
          <w:szCs w:val="24"/>
        </w:rPr>
        <w:t xml:space="preserve">Tritonu kāpuru uzskaites ar ķeramtīkliņu veiktas </w:t>
      </w:r>
      <w:r w:rsidR="00465016" w:rsidRPr="00675182">
        <w:rPr>
          <w:rFonts w:cstheme="minorHAnsi"/>
          <w:bCs/>
          <w:szCs w:val="24"/>
        </w:rPr>
        <w:t xml:space="preserve">2020. </w:t>
      </w:r>
      <w:r w:rsidRPr="00675182">
        <w:rPr>
          <w:rFonts w:cstheme="minorHAnsi"/>
          <w:bCs/>
          <w:szCs w:val="24"/>
        </w:rPr>
        <w:t>augusta otrajā dekādē, pētījums veikts 110 ūdenstilpēs; papildus izmantoti 2019. gada dati no 34 ūdenstilpēm, kurās līdzīgs pētījums veikts LVAF projekta Nr. 1-08/189/2018 rotana izpētes ietvaros. Iegūti tritona kāpuru blīvuma dati</w:t>
      </w:r>
      <w:r w:rsidR="00465016" w:rsidRPr="00675182">
        <w:rPr>
          <w:rFonts w:cstheme="minorHAnsi"/>
          <w:bCs/>
          <w:szCs w:val="24"/>
        </w:rPr>
        <w:t>,</w:t>
      </w:r>
      <w:r w:rsidRPr="00675182">
        <w:rPr>
          <w:rFonts w:cstheme="minorHAnsi"/>
          <w:bCs/>
          <w:szCs w:val="24"/>
        </w:rPr>
        <w:t xml:space="preserve"> no kuriem ekstrapolēts tiem atbilstošs pieaugušo īpatņu skaits, rezultāti savukārt ekstrapolēti lielā tritona apdzīvotajai platībai GNP (Čeirāns, Pupiņš 2020a, 2020b).</w:t>
      </w:r>
    </w:p>
    <w:p w14:paraId="344C778E" w14:textId="77777777" w:rsidR="00206CEA" w:rsidRPr="00675182" w:rsidRDefault="00206CEA" w:rsidP="00206CEA">
      <w:pPr>
        <w:jc w:val="both"/>
        <w:rPr>
          <w:rFonts w:cstheme="minorHAnsi"/>
          <w:bCs/>
          <w:szCs w:val="24"/>
        </w:rPr>
      </w:pPr>
    </w:p>
    <w:p w14:paraId="74934FAF" w14:textId="52F27C0A" w:rsidR="00206CEA" w:rsidRPr="00675182" w:rsidRDefault="00206CEA" w:rsidP="00206CEA">
      <w:pPr>
        <w:jc w:val="both"/>
        <w:rPr>
          <w:rFonts w:cstheme="minorHAnsi"/>
          <w:bCs/>
          <w:szCs w:val="24"/>
        </w:rPr>
      </w:pPr>
      <w:r w:rsidRPr="00675182">
        <w:rPr>
          <w:rFonts w:cstheme="minorHAnsi"/>
          <w:bCs/>
          <w:szCs w:val="24"/>
        </w:rPr>
        <w:t>Sila ķirzakas izpēte veikta 2020. gada maijā-augustā, sugai potenciāli piemērotos biotopos, transektu kopgarums 25</w:t>
      </w:r>
      <w:r w:rsidR="00F65FFF" w:rsidRPr="00675182">
        <w:rPr>
          <w:rFonts w:cstheme="minorHAnsi"/>
          <w:bCs/>
          <w:szCs w:val="24"/>
        </w:rPr>
        <w:t>,</w:t>
      </w:r>
      <w:r w:rsidRPr="00675182">
        <w:rPr>
          <w:rFonts w:cstheme="minorHAnsi"/>
          <w:bCs/>
          <w:szCs w:val="24"/>
        </w:rPr>
        <w:t>51 km. Datu analīzē noteikts sila ķirzakas relatīvais blīvums sugas biotopos, tam atbilstošs minimālais-maksimālai absolūtais blīvums (Čeirāns, Pupiņš 2020a), bet kopējā populācija GNP novērtēta ekstrapolējot iegūtos rezultātus sugai piemērotajām biotopu platībām sugas lokalitātēs.</w:t>
      </w:r>
    </w:p>
    <w:p w14:paraId="5264E941" w14:textId="77777777" w:rsidR="00206CEA" w:rsidRPr="00675182" w:rsidRDefault="00206CEA" w:rsidP="00206CEA">
      <w:pPr>
        <w:jc w:val="both"/>
        <w:rPr>
          <w:rFonts w:cstheme="minorHAnsi"/>
          <w:bCs/>
          <w:szCs w:val="24"/>
          <w:highlight w:val="yellow"/>
        </w:rPr>
      </w:pPr>
    </w:p>
    <w:p w14:paraId="0455460C" w14:textId="624AE904" w:rsidR="00206CEA" w:rsidRPr="00675182" w:rsidRDefault="00206CEA" w:rsidP="00206CEA">
      <w:pPr>
        <w:jc w:val="both"/>
        <w:rPr>
          <w:rFonts w:cstheme="minorHAnsi"/>
          <w:bCs/>
          <w:szCs w:val="24"/>
        </w:rPr>
      </w:pPr>
      <w:r w:rsidRPr="00675182">
        <w:rPr>
          <w:rFonts w:cstheme="minorHAnsi"/>
          <w:bCs/>
          <w:szCs w:val="24"/>
        </w:rPr>
        <w:t xml:space="preserve">Lielajam tritonam </w:t>
      </w:r>
      <w:r w:rsidRPr="00675182">
        <w:rPr>
          <w:rFonts w:cstheme="minorHAnsi"/>
          <w:bCs/>
          <w:i/>
          <w:szCs w:val="24"/>
        </w:rPr>
        <w:t>Triturus cristatus</w:t>
      </w:r>
      <w:r w:rsidRPr="00675182">
        <w:rPr>
          <w:rFonts w:cstheme="minorHAnsi"/>
          <w:bCs/>
          <w:szCs w:val="24"/>
        </w:rPr>
        <w:t xml:space="preserve"> GNP konstatēta ļoti nozīmīga populācija. Lai gan šī suga bieži izmato mākslīgas izcelsmes dīķus, atradnes ir pārsvarā antropogēni daļēji ietekmētos biotopos </w:t>
      </w:r>
      <w:r w:rsidR="00A47EB3" w:rsidRPr="00675182">
        <w:rPr>
          <w:rFonts w:cstheme="minorHAnsi"/>
          <w:bCs/>
          <w:szCs w:val="24"/>
        </w:rPr>
        <w:t>N</w:t>
      </w:r>
      <w:r w:rsidRPr="00675182">
        <w:rPr>
          <w:rFonts w:cstheme="minorHAnsi"/>
          <w:bCs/>
          <w:szCs w:val="24"/>
        </w:rPr>
        <w:t xml:space="preserve">acionālā parka vidusdaļā, mežaino platību perifērijā, plašā teritorijā starp Grašupītes apkārtni un Cēsu Jāņmuižu. Kopējais lielā tritona populācijas lielums GNP vērtējams kā 2400-34400 pieaugušie īpatņi. Papildus dotajai populācijai, lielais tritons iespējams konstatējams arī GNP dienvidu daļā Eglaines apkārtnē, kur viens īpatnis atrasts dažus simtus metru attālumā no GNP robežas. </w:t>
      </w:r>
    </w:p>
    <w:p w14:paraId="566CEF42" w14:textId="77777777" w:rsidR="00206CEA" w:rsidRPr="00675182" w:rsidRDefault="00206CEA" w:rsidP="00206CEA">
      <w:pPr>
        <w:jc w:val="both"/>
        <w:rPr>
          <w:rFonts w:cstheme="minorHAnsi"/>
          <w:bCs/>
          <w:szCs w:val="24"/>
          <w:highlight w:val="yellow"/>
        </w:rPr>
      </w:pPr>
    </w:p>
    <w:p w14:paraId="2C2399F5" w14:textId="77777777" w:rsidR="00206CEA" w:rsidRPr="00675182" w:rsidRDefault="00206CEA" w:rsidP="00206CEA">
      <w:pPr>
        <w:jc w:val="both"/>
        <w:rPr>
          <w:rFonts w:cstheme="minorHAnsi"/>
          <w:bCs/>
          <w:szCs w:val="24"/>
        </w:rPr>
      </w:pPr>
      <w:r w:rsidRPr="00675182">
        <w:rPr>
          <w:rFonts w:cstheme="minorHAnsi"/>
          <w:bCs/>
          <w:szCs w:val="24"/>
        </w:rPr>
        <w:t xml:space="preserve">Mazais tritons </w:t>
      </w:r>
      <w:r w:rsidRPr="00675182">
        <w:rPr>
          <w:rFonts w:cstheme="minorHAnsi"/>
          <w:bCs/>
          <w:i/>
          <w:iCs/>
          <w:szCs w:val="24"/>
        </w:rPr>
        <w:t>Lissotriton vulgaris</w:t>
      </w:r>
      <w:r w:rsidRPr="00675182">
        <w:rPr>
          <w:rFonts w:cstheme="minorHAnsi"/>
          <w:bCs/>
          <w:szCs w:val="24"/>
        </w:rPr>
        <w:t xml:space="preserve"> GNP ir parasta suga, tās kāpuri konstatēti 38% visu apsekoto ūdenstilpju.</w:t>
      </w:r>
    </w:p>
    <w:p w14:paraId="6CD623D1" w14:textId="77777777" w:rsidR="00206CEA" w:rsidRPr="00675182" w:rsidRDefault="00206CEA" w:rsidP="00206CEA">
      <w:pPr>
        <w:jc w:val="both"/>
        <w:rPr>
          <w:rFonts w:cstheme="minorHAnsi"/>
          <w:bCs/>
          <w:szCs w:val="24"/>
        </w:rPr>
      </w:pPr>
    </w:p>
    <w:p w14:paraId="6E2904A1" w14:textId="77777777" w:rsidR="00206CEA" w:rsidRPr="00675182" w:rsidRDefault="00206CEA" w:rsidP="00206CEA">
      <w:pPr>
        <w:jc w:val="both"/>
        <w:rPr>
          <w:rFonts w:cstheme="minorHAnsi"/>
          <w:bCs/>
          <w:szCs w:val="24"/>
        </w:rPr>
      </w:pPr>
      <w:r w:rsidRPr="00675182">
        <w:rPr>
          <w:rFonts w:cstheme="minorHAnsi"/>
          <w:bCs/>
          <w:szCs w:val="24"/>
        </w:rPr>
        <w:t xml:space="preserve">Brūnais varžkrupis </w:t>
      </w:r>
      <w:r w:rsidRPr="00675182">
        <w:rPr>
          <w:rFonts w:cstheme="minorHAnsi"/>
          <w:bCs/>
          <w:i/>
          <w:iCs/>
          <w:szCs w:val="24"/>
        </w:rPr>
        <w:t>Pelobates fuscus</w:t>
      </w:r>
      <w:r w:rsidRPr="00675182">
        <w:rPr>
          <w:rFonts w:cstheme="minorHAnsi"/>
          <w:bCs/>
          <w:szCs w:val="24"/>
        </w:rPr>
        <w:t xml:space="preserve"> izklaidus sastopams ļoti plašā teritorijā starp Eglaini, Straupi un Valmieru. Tas vairojas pārsvarā nelielās antropogēnas izcelsmes ūdenstilpēs. Kopējā varžkrupja populācija šāda izmēra teritorijai ir neliela, minimālais īpatņu skaita novērtējums – 670 pieaugušie īpatņi.</w:t>
      </w:r>
    </w:p>
    <w:p w14:paraId="36A3907F" w14:textId="77777777" w:rsidR="00206CEA" w:rsidRPr="00675182" w:rsidRDefault="00206CEA" w:rsidP="00206CEA">
      <w:pPr>
        <w:jc w:val="both"/>
        <w:rPr>
          <w:rFonts w:cstheme="minorHAnsi"/>
          <w:bCs/>
          <w:szCs w:val="24"/>
          <w:highlight w:val="yellow"/>
        </w:rPr>
      </w:pPr>
    </w:p>
    <w:p w14:paraId="3BEB234A" w14:textId="77777777" w:rsidR="00206CEA" w:rsidRPr="00675182" w:rsidRDefault="00206CEA" w:rsidP="00206CEA">
      <w:pPr>
        <w:jc w:val="both"/>
        <w:rPr>
          <w:rFonts w:cstheme="minorHAnsi"/>
          <w:bCs/>
          <w:szCs w:val="24"/>
        </w:rPr>
      </w:pPr>
      <w:r w:rsidRPr="00675182">
        <w:rPr>
          <w:rFonts w:cstheme="minorHAnsi"/>
          <w:bCs/>
          <w:szCs w:val="24"/>
        </w:rPr>
        <w:lastRenderedPageBreak/>
        <w:t xml:space="preserve">Pārējām abinieku sugām GNP populācijas vērtējamas kā labas. It īpaši parastajai vardei </w:t>
      </w:r>
      <w:r w:rsidRPr="00675182">
        <w:rPr>
          <w:rFonts w:cstheme="minorHAnsi"/>
          <w:bCs/>
          <w:i/>
          <w:iCs/>
          <w:szCs w:val="24"/>
        </w:rPr>
        <w:t>Rana temporaria</w:t>
      </w:r>
      <w:r w:rsidRPr="00675182">
        <w:rPr>
          <w:rFonts w:cstheme="minorHAnsi"/>
          <w:bCs/>
          <w:szCs w:val="24"/>
        </w:rPr>
        <w:t xml:space="preserve">, kuras populācijas blīvums ir 1,6 reizes augstāks par vidējo populācijas blīvumu Latvijā. </w:t>
      </w:r>
    </w:p>
    <w:p w14:paraId="46B5AED7" w14:textId="77777777" w:rsidR="00206CEA" w:rsidRPr="00675182" w:rsidRDefault="00206CEA" w:rsidP="00206CEA">
      <w:pPr>
        <w:jc w:val="both"/>
        <w:rPr>
          <w:rFonts w:cstheme="minorHAnsi"/>
          <w:bCs/>
          <w:szCs w:val="24"/>
        </w:rPr>
      </w:pPr>
    </w:p>
    <w:p w14:paraId="43014998" w14:textId="77777777" w:rsidR="00206CEA" w:rsidRPr="00675182" w:rsidRDefault="00206CEA" w:rsidP="00206CEA">
      <w:pPr>
        <w:jc w:val="both"/>
        <w:rPr>
          <w:rFonts w:cstheme="minorHAnsi"/>
          <w:bCs/>
          <w:szCs w:val="24"/>
        </w:rPr>
      </w:pPr>
      <w:r w:rsidRPr="00675182">
        <w:rPr>
          <w:rFonts w:cstheme="minorHAnsi"/>
          <w:bCs/>
          <w:szCs w:val="24"/>
        </w:rPr>
        <w:t xml:space="preserve">Minimālie populācijas lielumu novērtējumi GNP ir: </w:t>
      </w:r>
    </w:p>
    <w:p w14:paraId="23711DBE" w14:textId="77777777" w:rsidR="00206CEA" w:rsidRPr="00675182" w:rsidRDefault="00206CEA" w:rsidP="00A84218">
      <w:pPr>
        <w:pStyle w:val="ListParagraph"/>
        <w:numPr>
          <w:ilvl w:val="0"/>
          <w:numId w:val="50"/>
        </w:numPr>
        <w:jc w:val="both"/>
        <w:rPr>
          <w:rFonts w:cstheme="minorHAnsi"/>
          <w:bCs/>
          <w:szCs w:val="24"/>
        </w:rPr>
      </w:pPr>
      <w:r w:rsidRPr="00675182">
        <w:rPr>
          <w:rFonts w:cstheme="minorHAnsi"/>
          <w:bCs/>
          <w:szCs w:val="24"/>
        </w:rPr>
        <w:t xml:space="preserve">parastā varde </w:t>
      </w:r>
      <w:r w:rsidRPr="00675182">
        <w:rPr>
          <w:rFonts w:cstheme="minorHAnsi"/>
          <w:bCs/>
          <w:i/>
          <w:iCs/>
          <w:szCs w:val="24"/>
        </w:rPr>
        <w:t>Rana temporaria</w:t>
      </w:r>
      <w:r w:rsidRPr="00675182">
        <w:rPr>
          <w:rFonts w:cstheme="minorHAnsi"/>
          <w:bCs/>
          <w:szCs w:val="24"/>
        </w:rPr>
        <w:t xml:space="preserve"> 23600, </w:t>
      </w:r>
    </w:p>
    <w:p w14:paraId="458ECD7A" w14:textId="77777777" w:rsidR="00206CEA" w:rsidRPr="00675182" w:rsidRDefault="00206CEA" w:rsidP="00A84218">
      <w:pPr>
        <w:pStyle w:val="ListParagraph"/>
        <w:numPr>
          <w:ilvl w:val="0"/>
          <w:numId w:val="50"/>
        </w:numPr>
        <w:jc w:val="both"/>
        <w:rPr>
          <w:rFonts w:cstheme="minorHAnsi"/>
          <w:bCs/>
          <w:szCs w:val="24"/>
        </w:rPr>
      </w:pPr>
      <w:r w:rsidRPr="00675182">
        <w:rPr>
          <w:rFonts w:cstheme="minorHAnsi"/>
          <w:bCs/>
          <w:szCs w:val="24"/>
        </w:rPr>
        <w:t xml:space="preserve">purva varde </w:t>
      </w:r>
      <w:r w:rsidRPr="00675182">
        <w:rPr>
          <w:rFonts w:cstheme="minorHAnsi"/>
          <w:bCs/>
          <w:i/>
          <w:iCs/>
          <w:szCs w:val="24"/>
        </w:rPr>
        <w:t>Rana arvalis</w:t>
      </w:r>
      <w:r w:rsidRPr="00675182">
        <w:rPr>
          <w:rFonts w:cstheme="minorHAnsi"/>
          <w:bCs/>
          <w:szCs w:val="24"/>
        </w:rPr>
        <w:t xml:space="preserve"> 14000, </w:t>
      </w:r>
    </w:p>
    <w:p w14:paraId="126D97CA" w14:textId="77777777" w:rsidR="00206CEA" w:rsidRPr="00675182" w:rsidRDefault="00206CEA" w:rsidP="00A84218">
      <w:pPr>
        <w:pStyle w:val="ListParagraph"/>
        <w:numPr>
          <w:ilvl w:val="0"/>
          <w:numId w:val="50"/>
        </w:numPr>
        <w:jc w:val="both"/>
        <w:rPr>
          <w:rFonts w:cstheme="minorHAnsi"/>
          <w:bCs/>
          <w:szCs w:val="24"/>
        </w:rPr>
      </w:pPr>
      <w:r w:rsidRPr="00675182">
        <w:rPr>
          <w:rFonts w:cstheme="minorHAnsi"/>
          <w:bCs/>
          <w:szCs w:val="24"/>
        </w:rPr>
        <w:t xml:space="preserve">parastais krupis </w:t>
      </w:r>
      <w:r w:rsidRPr="00675182">
        <w:rPr>
          <w:rFonts w:cstheme="minorHAnsi"/>
          <w:bCs/>
          <w:i/>
          <w:iCs/>
          <w:szCs w:val="24"/>
        </w:rPr>
        <w:t>Bufo bufo</w:t>
      </w:r>
      <w:r w:rsidRPr="00675182">
        <w:rPr>
          <w:rFonts w:cstheme="minorHAnsi"/>
          <w:bCs/>
          <w:szCs w:val="24"/>
        </w:rPr>
        <w:t xml:space="preserve"> 18300, </w:t>
      </w:r>
    </w:p>
    <w:p w14:paraId="1164EB64" w14:textId="77777777" w:rsidR="00206CEA" w:rsidRPr="00675182" w:rsidRDefault="00206CEA" w:rsidP="00A84218">
      <w:pPr>
        <w:pStyle w:val="ListParagraph"/>
        <w:numPr>
          <w:ilvl w:val="0"/>
          <w:numId w:val="50"/>
        </w:numPr>
        <w:jc w:val="both"/>
        <w:rPr>
          <w:rFonts w:cstheme="minorHAnsi"/>
          <w:bCs/>
          <w:szCs w:val="24"/>
        </w:rPr>
      </w:pPr>
      <w:r w:rsidRPr="00675182">
        <w:rPr>
          <w:rFonts w:cstheme="minorHAnsi"/>
          <w:bCs/>
          <w:szCs w:val="24"/>
        </w:rPr>
        <w:t xml:space="preserve">dīķa varde </w:t>
      </w:r>
      <w:r w:rsidRPr="00675182">
        <w:rPr>
          <w:rFonts w:cstheme="minorHAnsi"/>
          <w:bCs/>
          <w:i/>
          <w:iCs/>
          <w:szCs w:val="24"/>
        </w:rPr>
        <w:t>Pelophylax lessonae</w:t>
      </w:r>
      <w:r w:rsidRPr="00675182">
        <w:rPr>
          <w:rFonts w:cstheme="minorHAnsi"/>
          <w:bCs/>
          <w:szCs w:val="24"/>
        </w:rPr>
        <w:t xml:space="preserve"> 18200 pieaugušie īpatņi. </w:t>
      </w:r>
    </w:p>
    <w:p w14:paraId="67A707FC" w14:textId="77777777" w:rsidR="00206CEA" w:rsidRPr="00675182" w:rsidRDefault="00206CEA" w:rsidP="00206CEA">
      <w:pPr>
        <w:jc w:val="both"/>
        <w:rPr>
          <w:rFonts w:cstheme="minorHAnsi"/>
          <w:bCs/>
          <w:szCs w:val="24"/>
          <w:highlight w:val="yellow"/>
        </w:rPr>
      </w:pPr>
    </w:p>
    <w:p w14:paraId="0DEA3248" w14:textId="521B0A3F" w:rsidR="00206CEA" w:rsidRPr="00675182" w:rsidRDefault="00206CEA" w:rsidP="00206CEA">
      <w:pPr>
        <w:jc w:val="both"/>
        <w:rPr>
          <w:rFonts w:cstheme="minorHAnsi"/>
          <w:bCs/>
          <w:szCs w:val="24"/>
        </w:rPr>
      </w:pPr>
      <w:r w:rsidRPr="00675182">
        <w:rPr>
          <w:rFonts w:cstheme="minorHAnsi"/>
          <w:bCs/>
          <w:szCs w:val="24"/>
        </w:rPr>
        <w:t>Pastāv reģionālas atšķirības abinieku populāciju lielumā un sabiedrību struktūrā (</w:t>
      </w:r>
      <w:r w:rsidR="00091969" w:rsidRPr="00675182">
        <w:rPr>
          <w:rFonts w:cstheme="minorHAnsi"/>
          <w:bCs/>
          <w:szCs w:val="24"/>
        </w:rPr>
        <w:t xml:space="preserve">skat. </w:t>
      </w:r>
      <w:r w:rsidRPr="00675182">
        <w:rPr>
          <w:rFonts w:cstheme="minorHAnsi"/>
          <w:bCs/>
        </w:rPr>
        <w:t>2.4.</w:t>
      </w:r>
      <w:r w:rsidR="00091969" w:rsidRPr="00675182">
        <w:rPr>
          <w:rFonts w:cstheme="minorHAnsi"/>
          <w:bCs/>
        </w:rPr>
        <w:t>10</w:t>
      </w:r>
      <w:r w:rsidRPr="00675182">
        <w:rPr>
          <w:rFonts w:cstheme="minorHAnsi"/>
          <w:bCs/>
          <w:szCs w:val="24"/>
        </w:rPr>
        <w:t>.</w:t>
      </w:r>
      <w:r w:rsidRPr="00675182">
        <w:rPr>
          <w:rFonts w:cstheme="minorHAnsi"/>
          <w:bCs/>
        </w:rPr>
        <w:t> </w:t>
      </w:r>
      <w:r w:rsidRPr="00675182">
        <w:rPr>
          <w:rFonts w:cstheme="minorHAnsi"/>
          <w:bCs/>
          <w:szCs w:val="24"/>
        </w:rPr>
        <w:t>attēl</w:t>
      </w:r>
      <w:r w:rsidR="00091969" w:rsidRPr="00675182">
        <w:rPr>
          <w:rFonts w:cstheme="minorHAnsi"/>
          <w:bCs/>
          <w:szCs w:val="24"/>
        </w:rPr>
        <w:t>u</w:t>
      </w:r>
      <w:r w:rsidRPr="00675182">
        <w:rPr>
          <w:rFonts w:cstheme="minorHAnsi"/>
          <w:bCs/>
          <w:szCs w:val="24"/>
        </w:rPr>
        <w:t xml:space="preserve">). </w:t>
      </w:r>
      <w:r w:rsidRPr="00675182">
        <w:rPr>
          <w:rFonts w:cstheme="minorHAnsi"/>
          <w:bCs/>
        </w:rPr>
        <w:t>N</w:t>
      </w:r>
      <w:r w:rsidRPr="00675182">
        <w:rPr>
          <w:rFonts w:cstheme="minorHAnsi"/>
          <w:bCs/>
          <w:szCs w:val="24"/>
        </w:rPr>
        <w:t xml:space="preserve">eskatoties uz kopumā labu sugas stāvokli, parastajai vardei samērā neliela populācija ir GNP </w:t>
      </w:r>
      <w:r w:rsidRPr="00675182">
        <w:rPr>
          <w:rFonts w:cstheme="minorHAnsi"/>
          <w:bCs/>
        </w:rPr>
        <w:t>dienvidrietumu</w:t>
      </w:r>
      <w:r w:rsidRPr="00675182">
        <w:rPr>
          <w:rFonts w:cstheme="minorHAnsi"/>
          <w:bCs/>
          <w:szCs w:val="24"/>
        </w:rPr>
        <w:t xml:space="preserve"> galā. Izteikti variē populāciju lielums purva vardei</w:t>
      </w:r>
      <w:r w:rsidRPr="00675182">
        <w:rPr>
          <w:rFonts w:cstheme="minorHAnsi"/>
          <w:bCs/>
        </w:rPr>
        <w:t xml:space="preserve"> – </w:t>
      </w:r>
      <w:r w:rsidRPr="00675182">
        <w:rPr>
          <w:rFonts w:cstheme="minorHAnsi"/>
          <w:bCs/>
          <w:szCs w:val="24"/>
        </w:rPr>
        <w:t>šai sugai lielākā populācija ir Sudas purva apkārtnē. Savukārt, dīķa vardei populāciju stāvoklis ir samērā labs visā GNP teritorijā, novērotās populāciju blīvuma atšķirības nosaka galvenokārt nelielu ūdenstilpņu blīvums.</w:t>
      </w:r>
    </w:p>
    <w:p w14:paraId="72650466" w14:textId="2866C461" w:rsidR="00091969" w:rsidRPr="00675182" w:rsidRDefault="00091969" w:rsidP="00206CEA">
      <w:pPr>
        <w:jc w:val="both"/>
        <w:rPr>
          <w:rFonts w:cstheme="minorHAnsi"/>
          <w:bCs/>
          <w:szCs w:val="24"/>
        </w:rPr>
      </w:pPr>
    </w:p>
    <w:p w14:paraId="55623184" w14:textId="77777777" w:rsidR="00091969" w:rsidRPr="00675182" w:rsidRDefault="00091969" w:rsidP="00091969">
      <w:pPr>
        <w:jc w:val="both"/>
        <w:rPr>
          <w:rFonts w:cstheme="minorHAnsi"/>
          <w:bCs/>
        </w:rPr>
      </w:pPr>
      <w:r w:rsidRPr="00675182">
        <w:rPr>
          <w:rFonts w:cstheme="minorHAnsi"/>
          <w:bCs/>
        </w:rPr>
        <w:t>S</w:t>
      </w:r>
      <w:r w:rsidRPr="00675182">
        <w:rPr>
          <w:rFonts w:cstheme="minorHAnsi"/>
          <w:bCs/>
          <w:szCs w:val="24"/>
        </w:rPr>
        <w:t>ila ķirzaka</w:t>
      </w:r>
      <w:r w:rsidRPr="00675182">
        <w:rPr>
          <w:rFonts w:cstheme="minorHAnsi"/>
          <w:bCs/>
        </w:rPr>
        <w:t>s</w:t>
      </w:r>
      <w:r w:rsidRPr="00675182">
        <w:rPr>
          <w:rFonts w:cstheme="minorHAnsi"/>
          <w:bCs/>
          <w:szCs w:val="24"/>
        </w:rPr>
        <w:t xml:space="preserve"> </w:t>
      </w:r>
      <w:r w:rsidRPr="00675182">
        <w:rPr>
          <w:rFonts w:cstheme="minorHAnsi"/>
          <w:bCs/>
          <w:i/>
          <w:iCs/>
          <w:szCs w:val="24"/>
        </w:rPr>
        <w:t>Lacerta agilis</w:t>
      </w:r>
      <w:r w:rsidRPr="00675182">
        <w:rPr>
          <w:rFonts w:cstheme="minorHAnsi"/>
          <w:bCs/>
          <w:szCs w:val="24"/>
        </w:rPr>
        <w:t xml:space="preserve"> populācijas lieluma novērtējums ir 814-1424 īpatņi. GNP </w:t>
      </w:r>
      <w:r w:rsidRPr="00675182">
        <w:rPr>
          <w:rFonts w:cstheme="minorHAnsi"/>
          <w:bCs/>
        </w:rPr>
        <w:t>dienvidrietumu</w:t>
      </w:r>
      <w:r w:rsidRPr="00675182">
        <w:rPr>
          <w:rFonts w:cstheme="minorHAnsi"/>
          <w:bCs/>
          <w:szCs w:val="24"/>
        </w:rPr>
        <w:t xml:space="preserve"> galā starp Lorupi un Krustiņiem sila ķirzaka apdzīvo antropogēni izveidotus biotopus sausu priežu mežu vietā – šosejas malas zālainās joslas, mežmalas, izcirtumus</w:t>
      </w:r>
      <w:r w:rsidRPr="00675182">
        <w:rPr>
          <w:rFonts w:cstheme="minorHAnsi"/>
          <w:bCs/>
        </w:rPr>
        <w:t>. Š</w:t>
      </w:r>
      <w:r w:rsidRPr="00675182">
        <w:rPr>
          <w:rFonts w:cstheme="minorHAnsi"/>
          <w:bCs/>
          <w:szCs w:val="24"/>
        </w:rPr>
        <w:t xml:space="preserve">ajā teritorijā sila ķirzakas atradnes veido perifēru populāciju grupu ļoti nozīmīgai Pierīgas smiltāju līdzenumu populāciju grupai, kuras pamatdaļa atrodas uz rietumiem no GNP. Citur GNP ir atsevišķas nelielas sila ķirzakas populācijas, kuras vieno izplatīšanās koridora – Gaujas upes krastu tuvums. Šeit sila ķirzaka apdzīvo sausus, stāvus Gaujas krastus ar </w:t>
      </w:r>
      <w:r w:rsidRPr="00675182">
        <w:rPr>
          <w:rFonts w:cstheme="minorHAnsi"/>
          <w:bCs/>
        </w:rPr>
        <w:t>dienvidu</w:t>
      </w:r>
      <w:r w:rsidRPr="00675182">
        <w:rPr>
          <w:rFonts w:cstheme="minorHAnsi"/>
          <w:bCs/>
          <w:szCs w:val="24"/>
        </w:rPr>
        <w:t xml:space="preserve"> ekspozīciju, tuvumā esošus sausus izcirtumus, karjerus, mežmalas, dzelzceļa uzbērumus. Kā izplatīšanās ceļus var izmantot arī atsevišķu Gaujas pieteku krastus, tomēr šeit sugai piemērotu biotopu platība ir mazāka</w:t>
      </w:r>
      <w:r w:rsidRPr="00675182">
        <w:rPr>
          <w:rFonts w:cstheme="minorHAnsi"/>
          <w:bCs/>
        </w:rPr>
        <w:t>,</w:t>
      </w:r>
      <w:r w:rsidRPr="00675182">
        <w:rPr>
          <w:rFonts w:cstheme="minorHAnsi"/>
          <w:bCs/>
          <w:szCs w:val="24"/>
        </w:rPr>
        <w:t xml:space="preserve"> un populācijas vairāk pakļautas dažādiem negatīviem faktoriem. 1999. gadā sila ķirzaka konstatēta Strīķupes apkārtnē vairākus km no Gaujas, kur pašlaik ir izzudusi biotopa dabiskas sukcesijas rezultātā.</w:t>
      </w:r>
    </w:p>
    <w:p w14:paraId="331272EA" w14:textId="77777777" w:rsidR="00091969" w:rsidRPr="00675182" w:rsidRDefault="00091969" w:rsidP="00091969">
      <w:pPr>
        <w:jc w:val="both"/>
        <w:rPr>
          <w:rFonts w:cstheme="minorHAnsi"/>
          <w:bCs/>
          <w:szCs w:val="24"/>
          <w:highlight w:val="yellow"/>
        </w:rPr>
      </w:pPr>
    </w:p>
    <w:p w14:paraId="65CF4C4E" w14:textId="77777777" w:rsidR="00091969" w:rsidRPr="00675182" w:rsidRDefault="00091969" w:rsidP="00091969">
      <w:pPr>
        <w:jc w:val="both"/>
        <w:rPr>
          <w:rFonts w:cstheme="minorHAnsi"/>
          <w:bCs/>
          <w:szCs w:val="24"/>
        </w:rPr>
      </w:pPr>
      <w:r w:rsidRPr="00675182">
        <w:rPr>
          <w:rFonts w:cstheme="minorHAnsi"/>
          <w:bCs/>
        </w:rPr>
        <w:t xml:space="preserve">Tādām bieži GNP bieži sastopamām </w:t>
      </w:r>
      <w:r w:rsidRPr="00675182">
        <w:rPr>
          <w:rFonts w:cstheme="minorHAnsi"/>
          <w:bCs/>
          <w:szCs w:val="24"/>
        </w:rPr>
        <w:t xml:space="preserve">rāpuļu sugām </w:t>
      </w:r>
      <w:r w:rsidRPr="00675182">
        <w:rPr>
          <w:rFonts w:cstheme="minorHAnsi"/>
          <w:bCs/>
        </w:rPr>
        <w:t>kā</w:t>
      </w:r>
      <w:r w:rsidRPr="00675182">
        <w:rPr>
          <w:rFonts w:cstheme="minorHAnsi"/>
          <w:bCs/>
          <w:szCs w:val="24"/>
        </w:rPr>
        <w:t xml:space="preserve"> pļavas ķirzaka</w:t>
      </w:r>
      <w:r w:rsidRPr="00675182">
        <w:rPr>
          <w:rFonts w:cstheme="minorHAnsi"/>
          <w:bCs/>
        </w:rPr>
        <w:t xml:space="preserve">, </w:t>
      </w:r>
      <w:r w:rsidRPr="00675182">
        <w:rPr>
          <w:rFonts w:cstheme="minorHAnsi"/>
          <w:bCs/>
          <w:szCs w:val="24"/>
        </w:rPr>
        <w:t>zalk</w:t>
      </w:r>
      <w:r w:rsidRPr="00675182">
        <w:rPr>
          <w:rFonts w:cstheme="minorHAnsi"/>
          <w:bCs/>
        </w:rPr>
        <w:t>tis, odzes, glodenes</w:t>
      </w:r>
      <w:r w:rsidRPr="00675182">
        <w:rPr>
          <w:rFonts w:cstheme="minorHAnsi"/>
          <w:bCs/>
          <w:szCs w:val="24"/>
        </w:rPr>
        <w:t xml:space="preserve"> </w:t>
      </w:r>
      <w:r w:rsidRPr="00675182">
        <w:rPr>
          <w:rFonts w:cstheme="minorHAnsi"/>
          <w:bCs/>
        </w:rPr>
        <w:t>2020. gada</w:t>
      </w:r>
      <w:r w:rsidRPr="00675182">
        <w:rPr>
          <w:rFonts w:cstheme="minorHAnsi"/>
          <w:bCs/>
          <w:szCs w:val="24"/>
        </w:rPr>
        <w:t xml:space="preserve"> pētījuma ietvaros mērķtiecīgas uzskaites nav veiktas.</w:t>
      </w:r>
    </w:p>
    <w:p w14:paraId="09887284" w14:textId="77777777" w:rsidR="00091969" w:rsidRPr="00675182" w:rsidRDefault="00091969" w:rsidP="00206CEA">
      <w:pPr>
        <w:jc w:val="both"/>
        <w:rPr>
          <w:rFonts w:cstheme="minorHAnsi"/>
          <w:bCs/>
          <w:szCs w:val="24"/>
        </w:rPr>
      </w:pPr>
    </w:p>
    <w:p w14:paraId="4D73FAD7" w14:textId="756ADFAC" w:rsidR="00091969" w:rsidRPr="00675182" w:rsidRDefault="00091969" w:rsidP="00206CEA">
      <w:pPr>
        <w:jc w:val="both"/>
        <w:rPr>
          <w:rFonts w:cstheme="minorHAnsi"/>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091969" w:rsidRPr="00675182" w14:paraId="626A7831" w14:textId="77777777" w:rsidTr="00091969">
        <w:tc>
          <w:tcPr>
            <w:tcW w:w="8301" w:type="dxa"/>
          </w:tcPr>
          <w:p w14:paraId="1F001D23" w14:textId="4385E86E" w:rsidR="00091969" w:rsidRPr="00675182" w:rsidRDefault="00091969" w:rsidP="00206CEA">
            <w:pPr>
              <w:jc w:val="both"/>
              <w:rPr>
                <w:rFonts w:cstheme="minorHAnsi"/>
                <w:bCs/>
                <w:szCs w:val="24"/>
              </w:rPr>
            </w:pPr>
            <w:r w:rsidRPr="00675182">
              <w:rPr>
                <w:rFonts w:cstheme="minorHAnsi"/>
                <w:noProof/>
              </w:rPr>
              <w:lastRenderedPageBreak/>
              <w:drawing>
                <wp:inline distT="0" distB="0" distL="0" distR="0" wp14:anchorId="0332A06D" wp14:editId="48412E9E">
                  <wp:extent cx="4992370" cy="4632325"/>
                  <wp:effectExtent l="0" t="0" r="0" b="0"/>
                  <wp:docPr id="232" name="Рисунок 25" descr="A picture containing text, tree,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A picture containing text, tree, orange&#10;&#10;Description automatically generated"/>
                          <pic:cNvPicPr>
                            <a:picLocks noChangeAspect="1"/>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4992370" cy="4632325"/>
                          </a:xfrm>
                          <a:prstGeom prst="rect">
                            <a:avLst/>
                          </a:prstGeom>
                        </pic:spPr>
                      </pic:pic>
                    </a:graphicData>
                  </a:graphic>
                </wp:inline>
              </w:drawing>
            </w:r>
          </w:p>
        </w:tc>
      </w:tr>
      <w:tr w:rsidR="00091969" w:rsidRPr="00675182" w14:paraId="5BF0E7B8" w14:textId="77777777" w:rsidTr="00091969">
        <w:tc>
          <w:tcPr>
            <w:tcW w:w="8301" w:type="dxa"/>
          </w:tcPr>
          <w:p w14:paraId="2991DDA6" w14:textId="3B3B9093" w:rsidR="00091969" w:rsidRPr="00675182" w:rsidRDefault="00091969" w:rsidP="00091969">
            <w:pPr>
              <w:jc w:val="both"/>
              <w:rPr>
                <w:rFonts w:cstheme="minorHAnsi"/>
                <w:bCs/>
                <w:szCs w:val="24"/>
              </w:rPr>
            </w:pPr>
            <w:r w:rsidRPr="00675182">
              <w:rPr>
                <w:rFonts w:cstheme="minorHAnsi"/>
                <w:b/>
                <w:i/>
                <w:iCs/>
                <w:szCs w:val="24"/>
              </w:rPr>
              <w:t xml:space="preserve">2.4.10. attēls. </w:t>
            </w:r>
            <w:r w:rsidRPr="00675182">
              <w:rPr>
                <w:rFonts w:cstheme="minorHAnsi"/>
                <w:b/>
                <w:bCs/>
                <w:i/>
                <w:iCs/>
              </w:rPr>
              <w:t>GNP bezastaino abinieku sugu īpatsvars vokalizējošo abinieku uzskaitēs dažādās GNP daļās 2019.-2020. g.; grafika izmērs proporcionāls abinieku populāciju blīvumam dotajā GNP daļā</w:t>
            </w:r>
          </w:p>
        </w:tc>
      </w:tr>
    </w:tbl>
    <w:p w14:paraId="2013B3F6" w14:textId="77777777" w:rsidR="00091969" w:rsidRPr="00675182" w:rsidRDefault="00091969" w:rsidP="00206CEA">
      <w:pPr>
        <w:jc w:val="both"/>
        <w:rPr>
          <w:rFonts w:cstheme="minorHAnsi"/>
          <w:bCs/>
          <w:szCs w:val="24"/>
        </w:rPr>
      </w:pPr>
    </w:p>
    <w:p w14:paraId="3D7D01F8" w14:textId="77777777" w:rsidR="00F65FFF" w:rsidRPr="00675182" w:rsidRDefault="00F65FFF" w:rsidP="00A37BF0">
      <w:pPr>
        <w:jc w:val="both"/>
        <w:rPr>
          <w:rFonts w:cstheme="minorHAnsi"/>
          <w:bCs/>
          <w:szCs w:val="24"/>
        </w:rPr>
      </w:pPr>
    </w:p>
    <w:p w14:paraId="46257963" w14:textId="77777777" w:rsidR="00A37BF0" w:rsidRPr="00675182" w:rsidRDefault="00A37BF0" w:rsidP="00A37BF0">
      <w:pPr>
        <w:keepNext/>
        <w:jc w:val="both"/>
        <w:rPr>
          <w:rFonts w:cstheme="minorHAnsi"/>
          <w:b/>
        </w:rPr>
      </w:pPr>
      <w:r w:rsidRPr="00675182">
        <w:rPr>
          <w:rFonts w:cstheme="minorHAnsi"/>
          <w:b/>
        </w:rPr>
        <w:t>Dabas aizsardzības vērtība</w:t>
      </w:r>
    </w:p>
    <w:p w14:paraId="156B1F35" w14:textId="025B7EE4" w:rsidR="00A37BF0" w:rsidRPr="00675182" w:rsidRDefault="00A37BF0" w:rsidP="00B7518D">
      <w:pPr>
        <w:jc w:val="both"/>
        <w:rPr>
          <w:rFonts w:cstheme="minorHAnsi"/>
        </w:rPr>
      </w:pPr>
      <w:r w:rsidRPr="00675182">
        <w:rPr>
          <w:rFonts w:cstheme="minorHAnsi"/>
        </w:rPr>
        <w:t>GNP teritorijā mītošiem abiniekiem un rāpuļiem ir Latvijas un Eiropas mēroga dabas aizsardzības vērtība. Lielais tritons, brūnais varžkrupis, sila ķirzaka iekļauti retu un aizsargājamu Eiropas un Latvijas nozīmes sugu sarakstā (skat. 2.</w:t>
      </w:r>
      <w:r w:rsidR="002A54C2" w:rsidRPr="00675182">
        <w:rPr>
          <w:rFonts w:cstheme="minorHAnsi"/>
        </w:rPr>
        <w:t>4.6</w:t>
      </w:r>
      <w:r w:rsidRPr="00675182">
        <w:rPr>
          <w:rFonts w:cstheme="minorHAnsi"/>
        </w:rPr>
        <w:t>. tabulu). Lielais tritons ierakstīts Latvijas Sarkanās grāmatas 1. kategorijā, sila ķirzaka un zaļais krupis – 3. kategorijā, bet brūnais varžkrupis 4. kategorijā.</w:t>
      </w:r>
    </w:p>
    <w:p w14:paraId="0B1F91BA" w14:textId="55263615" w:rsidR="00CD2781" w:rsidRPr="00675182" w:rsidRDefault="00CD2781" w:rsidP="00A37BF0">
      <w:pPr>
        <w:rPr>
          <w:rFonts w:cstheme="minorHAnsi"/>
        </w:rPr>
      </w:pPr>
    </w:p>
    <w:p w14:paraId="7FDF659C" w14:textId="0CD35EE0" w:rsidR="00E96A98" w:rsidRPr="00675182" w:rsidRDefault="00CD2781" w:rsidP="00E96A98">
      <w:pPr>
        <w:suppressAutoHyphens w:val="0"/>
        <w:autoSpaceDE w:val="0"/>
        <w:autoSpaceDN w:val="0"/>
        <w:adjustRightInd w:val="0"/>
        <w:contextualSpacing/>
        <w:jc w:val="both"/>
        <w:rPr>
          <w:rFonts w:cstheme="minorHAnsi"/>
          <w:bCs/>
          <w:szCs w:val="24"/>
        </w:rPr>
      </w:pPr>
      <w:r w:rsidRPr="00675182">
        <w:rPr>
          <w:rFonts w:cstheme="minorHAnsi"/>
          <w:bCs/>
          <w:szCs w:val="24"/>
        </w:rPr>
        <w:t xml:space="preserve">Informācija par </w:t>
      </w:r>
      <w:r w:rsidR="005D63E3">
        <w:rPr>
          <w:rFonts w:cstheme="minorHAnsi"/>
          <w:bCs/>
          <w:szCs w:val="24"/>
        </w:rPr>
        <w:t>ĪA</w:t>
      </w:r>
      <w:r w:rsidRPr="00675182">
        <w:rPr>
          <w:rFonts w:cstheme="minorHAnsi"/>
          <w:bCs/>
          <w:szCs w:val="24"/>
        </w:rPr>
        <w:t xml:space="preserve"> abinieku un rāpuļu sugām ir apkopota 2.4.6. tabulā. </w:t>
      </w:r>
    </w:p>
    <w:p w14:paraId="0BB0DABB" w14:textId="77777777" w:rsidR="00E96A98" w:rsidRPr="00675182" w:rsidRDefault="00E96A98" w:rsidP="00E96A98">
      <w:pPr>
        <w:suppressAutoHyphens w:val="0"/>
        <w:autoSpaceDE w:val="0"/>
        <w:autoSpaceDN w:val="0"/>
        <w:adjustRightInd w:val="0"/>
        <w:contextualSpacing/>
        <w:jc w:val="both"/>
        <w:rPr>
          <w:rFonts w:cstheme="minorHAnsi"/>
          <w:bCs/>
          <w:szCs w:val="24"/>
        </w:rPr>
      </w:pPr>
    </w:p>
    <w:p w14:paraId="7179488A" w14:textId="06ACF5D9" w:rsidR="008E0C7E" w:rsidRPr="00675182" w:rsidRDefault="008E0C7E" w:rsidP="008E0C7E">
      <w:pPr>
        <w:autoSpaceDE w:val="0"/>
        <w:autoSpaceDN w:val="0"/>
        <w:adjustRightInd w:val="0"/>
        <w:jc w:val="both"/>
        <w:rPr>
          <w:rFonts w:cstheme="minorHAnsi"/>
          <w:bCs/>
        </w:rPr>
      </w:pPr>
      <w:r w:rsidRPr="00675182">
        <w:rPr>
          <w:rFonts w:cstheme="minorHAnsi"/>
          <w:bCs/>
          <w:szCs w:val="24"/>
        </w:rPr>
        <w:t xml:space="preserve">GNP ir iekļauts abinieku valsts monitoringā. Vokalizējošu abinieku monitorings tiek veikts Jāņmuižas parauglaukumā pie Cēsīm. Saskaņā ar 2016.-2018. gada monitoringa datiem, parastā krupja populācija šeit ir labāka nekā caurmērā Latvijā, parastās vardes populācija atbilst Latvijai tipiskajam blīvumam, savukārt purva vardes un zaļo varžu populāciju blīvums ir zemāks par tipisko (Čeirāns u.c., 2018). GNP tiek veikts arī lielā tritona monitorings ap 30 ūdenstilpēs visā teritorijā, sugas populāciju izpētes parauglaukumā raksturo samērā augsts apdzīvoto ūdenstilpņu īpatsvars un šeit ir viena no nozīmīgākajām lielā tritona populāciju grupām Latvijā, kuras minimālais </w:t>
      </w:r>
      <w:r w:rsidRPr="00675182">
        <w:rPr>
          <w:rFonts w:cstheme="minorHAnsi"/>
          <w:bCs/>
          <w:szCs w:val="24"/>
        </w:rPr>
        <w:lastRenderedPageBreak/>
        <w:t>novērtējums GNP ir 580-3400 pieauguši īpatņi (Čeirāns u.c. 2018).</w:t>
      </w:r>
      <w:r w:rsidRPr="00675182">
        <w:rPr>
          <w:rFonts w:cstheme="minorHAnsi"/>
          <w:bCs/>
        </w:rPr>
        <w:t xml:space="preserve"> </w:t>
      </w:r>
      <w:r w:rsidRPr="00675182">
        <w:rPr>
          <w:rFonts w:cstheme="minorHAnsi"/>
          <w:bCs/>
          <w:szCs w:val="24"/>
        </w:rPr>
        <w:t xml:space="preserve">GNP </w:t>
      </w:r>
      <w:r w:rsidRPr="00675182">
        <w:rPr>
          <w:rFonts w:cstheme="minorHAnsi"/>
          <w:bCs/>
        </w:rPr>
        <w:t>dienvidrietumu</w:t>
      </w:r>
      <w:r w:rsidRPr="00675182">
        <w:rPr>
          <w:rFonts w:cstheme="minorHAnsi"/>
          <w:bCs/>
          <w:szCs w:val="24"/>
        </w:rPr>
        <w:t xml:space="preserve"> </w:t>
      </w:r>
      <w:r w:rsidRPr="00675182">
        <w:rPr>
          <w:rFonts w:cstheme="minorHAnsi"/>
          <w:bCs/>
        </w:rPr>
        <w:t xml:space="preserve">daļā </w:t>
      </w:r>
      <w:r w:rsidRPr="00675182">
        <w:rPr>
          <w:rFonts w:cstheme="minorHAnsi"/>
          <w:bCs/>
          <w:szCs w:val="24"/>
        </w:rPr>
        <w:t>sila ķirzakas atradnes veido perifēru populāciju grupu ļoti nozīmīgai Pierīgas smiltāju līdzenumu populāciju grupai, kuras pamatdaļa atrodas uz rietumiem no GNP.</w:t>
      </w:r>
    </w:p>
    <w:p w14:paraId="4998FE22" w14:textId="77777777" w:rsidR="00A37BF0" w:rsidRPr="00675182" w:rsidRDefault="00A37BF0" w:rsidP="00A37BF0">
      <w:pPr>
        <w:jc w:val="both"/>
        <w:rPr>
          <w:rFonts w:cstheme="minorHAnsi"/>
          <w:b/>
          <w:szCs w:val="24"/>
        </w:rPr>
      </w:pPr>
    </w:p>
    <w:p w14:paraId="0D5A3BF1" w14:textId="77777777" w:rsidR="00A37BF0" w:rsidRPr="00675182" w:rsidRDefault="00A37BF0" w:rsidP="00E96A98">
      <w:pPr>
        <w:keepNext/>
        <w:jc w:val="both"/>
        <w:rPr>
          <w:rFonts w:cstheme="minorHAnsi"/>
          <w:b/>
          <w:szCs w:val="24"/>
        </w:rPr>
      </w:pPr>
      <w:r w:rsidRPr="00675182">
        <w:rPr>
          <w:rFonts w:cstheme="minorHAnsi"/>
          <w:b/>
          <w:szCs w:val="24"/>
        </w:rPr>
        <w:t xml:space="preserve">Sociālekonomiskā vērtība </w:t>
      </w:r>
    </w:p>
    <w:p w14:paraId="587686E1" w14:textId="77777777" w:rsidR="00A37BF0" w:rsidRPr="00675182" w:rsidRDefault="00A37BF0" w:rsidP="00A37BF0">
      <w:pPr>
        <w:rPr>
          <w:rFonts w:cstheme="minorHAnsi"/>
        </w:rPr>
      </w:pPr>
      <w:r w:rsidRPr="00675182">
        <w:rPr>
          <w:rFonts w:cstheme="minorHAnsi"/>
        </w:rPr>
        <w:t xml:space="preserve">GNP abinieku un rāpuļu sugas ir kopējās unikālās ekosistēmas sastāvdaļa, kura ļauj eksistēt citām retām aizsargājamām sugām. Dabas vērtības gan pašas par sevi, gan kā dabas kompleksa sastāvdaļa nodrošina vidi rekreācijai un dabas izglītībai, ko izmanto cilvēks. </w:t>
      </w:r>
    </w:p>
    <w:p w14:paraId="562146B2" w14:textId="77777777" w:rsidR="00A37BF0" w:rsidRPr="00675182" w:rsidRDefault="00A37BF0" w:rsidP="00A37BF0">
      <w:pPr>
        <w:jc w:val="both"/>
        <w:rPr>
          <w:rFonts w:cstheme="minorHAnsi"/>
        </w:rPr>
      </w:pPr>
    </w:p>
    <w:p w14:paraId="55A1F627" w14:textId="77777777" w:rsidR="00A37BF0" w:rsidRPr="00675182" w:rsidRDefault="00A37BF0" w:rsidP="00A37BF0">
      <w:pPr>
        <w:jc w:val="both"/>
        <w:rPr>
          <w:rFonts w:cstheme="minorHAnsi"/>
          <w:b/>
          <w:szCs w:val="24"/>
        </w:rPr>
      </w:pPr>
      <w:r w:rsidRPr="00675182">
        <w:rPr>
          <w:rFonts w:cstheme="minorHAnsi"/>
          <w:b/>
          <w:szCs w:val="24"/>
        </w:rPr>
        <w:t>Ietekmējošie faktori</w:t>
      </w:r>
    </w:p>
    <w:p w14:paraId="416D07B1" w14:textId="77777777" w:rsidR="00A37BF0" w:rsidRPr="00675182" w:rsidRDefault="00A37BF0" w:rsidP="00A37BF0">
      <w:pPr>
        <w:jc w:val="both"/>
        <w:rPr>
          <w:rFonts w:cstheme="minorHAnsi"/>
          <w:szCs w:val="24"/>
        </w:rPr>
      </w:pPr>
    </w:p>
    <w:p w14:paraId="0ECCDCC2" w14:textId="77777777" w:rsidR="00A37BF0" w:rsidRPr="00675182" w:rsidRDefault="00A37BF0" w:rsidP="00A37BF0">
      <w:pPr>
        <w:jc w:val="both"/>
        <w:rPr>
          <w:rFonts w:cstheme="minorHAnsi"/>
          <w:szCs w:val="24"/>
        </w:rPr>
      </w:pPr>
      <w:bookmarkStart w:id="90" w:name="_Hlk98432697"/>
      <w:r w:rsidRPr="00675182">
        <w:rPr>
          <w:rFonts w:cstheme="minorHAnsi"/>
          <w:szCs w:val="24"/>
        </w:rPr>
        <w:t xml:space="preserve">Pašlaik ir zināmi sekojoši abiniekus un rāpuļus negatīvi ietekmējošie faktori, kuri ir tipiski lielākajai daļai abinieku un rāpuļu biotopu Latvijā: </w:t>
      </w:r>
    </w:p>
    <w:p w14:paraId="643DAE94" w14:textId="77777777" w:rsidR="00A37BF0" w:rsidRPr="00675182" w:rsidRDefault="00A37BF0" w:rsidP="00F91227">
      <w:pPr>
        <w:pStyle w:val="ListParagraph"/>
        <w:numPr>
          <w:ilvl w:val="0"/>
          <w:numId w:val="10"/>
        </w:numPr>
        <w:jc w:val="both"/>
        <w:rPr>
          <w:rFonts w:cstheme="minorHAnsi"/>
          <w:szCs w:val="24"/>
        </w:rPr>
      </w:pPr>
      <w:r w:rsidRPr="00675182">
        <w:rPr>
          <w:rFonts w:cstheme="minorHAnsi"/>
          <w:szCs w:val="24"/>
        </w:rPr>
        <w:t xml:space="preserve">nārsta biotopu dabiskā aizaugšana, apēnošana un degradācija; </w:t>
      </w:r>
    </w:p>
    <w:p w14:paraId="2D5F5522" w14:textId="77777777" w:rsidR="00A37BF0" w:rsidRPr="00675182" w:rsidRDefault="00A37BF0" w:rsidP="00F91227">
      <w:pPr>
        <w:pStyle w:val="ListParagraph"/>
        <w:numPr>
          <w:ilvl w:val="0"/>
          <w:numId w:val="10"/>
        </w:numPr>
        <w:jc w:val="both"/>
        <w:rPr>
          <w:rFonts w:cstheme="minorHAnsi"/>
          <w:szCs w:val="24"/>
        </w:rPr>
      </w:pPr>
      <w:r w:rsidRPr="00675182">
        <w:rPr>
          <w:rFonts w:cstheme="minorHAnsi"/>
          <w:szCs w:val="24"/>
        </w:rPr>
        <w:t>rāpuļu barošanās un vairošanās biotopu aizēnošana, dabiskā aizaugšana;</w:t>
      </w:r>
    </w:p>
    <w:p w14:paraId="3D51CC5F" w14:textId="77777777" w:rsidR="00A37BF0" w:rsidRPr="00675182" w:rsidRDefault="00A37BF0" w:rsidP="00F91227">
      <w:pPr>
        <w:pStyle w:val="ListParagraph"/>
        <w:numPr>
          <w:ilvl w:val="0"/>
          <w:numId w:val="10"/>
        </w:numPr>
        <w:jc w:val="both"/>
        <w:rPr>
          <w:rFonts w:cstheme="minorHAnsi"/>
          <w:szCs w:val="24"/>
        </w:rPr>
      </w:pPr>
      <w:r w:rsidRPr="00675182">
        <w:rPr>
          <w:rFonts w:cstheme="minorHAnsi"/>
          <w:szCs w:val="24"/>
        </w:rPr>
        <w:t xml:space="preserve"> abinieku un rāpuļu bojāeja uz autoceļiem;</w:t>
      </w:r>
    </w:p>
    <w:p w14:paraId="061A3C3F" w14:textId="77777777" w:rsidR="00A37BF0" w:rsidRPr="00675182" w:rsidRDefault="00A37BF0" w:rsidP="00F91227">
      <w:pPr>
        <w:pStyle w:val="ListParagraph"/>
        <w:numPr>
          <w:ilvl w:val="0"/>
          <w:numId w:val="10"/>
        </w:numPr>
        <w:jc w:val="both"/>
        <w:rPr>
          <w:rFonts w:cstheme="minorHAnsi"/>
          <w:szCs w:val="24"/>
        </w:rPr>
      </w:pPr>
      <w:r w:rsidRPr="00675182">
        <w:rPr>
          <w:rFonts w:cstheme="minorHAnsi"/>
          <w:szCs w:val="24"/>
        </w:rPr>
        <w:t>pļavu uzaršana;</w:t>
      </w:r>
    </w:p>
    <w:p w14:paraId="3785E74C" w14:textId="77777777" w:rsidR="00A37BF0" w:rsidRPr="00675182" w:rsidRDefault="00A37BF0" w:rsidP="00F91227">
      <w:pPr>
        <w:pStyle w:val="ListParagraph"/>
        <w:numPr>
          <w:ilvl w:val="0"/>
          <w:numId w:val="10"/>
        </w:numPr>
        <w:jc w:val="both"/>
        <w:rPr>
          <w:rFonts w:cstheme="minorHAnsi"/>
          <w:szCs w:val="24"/>
        </w:rPr>
      </w:pPr>
      <w:r w:rsidRPr="00675182">
        <w:rPr>
          <w:rFonts w:cstheme="minorHAnsi"/>
          <w:szCs w:val="24"/>
        </w:rPr>
        <w:t>meliorācija.</w:t>
      </w:r>
    </w:p>
    <w:bookmarkEnd w:id="90"/>
    <w:p w14:paraId="24E8E0A7" w14:textId="77777777" w:rsidR="003060C4" w:rsidRPr="00675182" w:rsidRDefault="003060C4" w:rsidP="002B3341">
      <w:pPr>
        <w:rPr>
          <w:rFonts w:cstheme="minorHAnsi"/>
          <w:b/>
          <w:i/>
          <w:szCs w:val="24"/>
        </w:rPr>
      </w:pPr>
    </w:p>
    <w:p w14:paraId="612C9D40" w14:textId="77777777" w:rsidR="008E0C7E" w:rsidRPr="00675182" w:rsidRDefault="008E0C7E" w:rsidP="008E0C7E">
      <w:pPr>
        <w:jc w:val="both"/>
        <w:rPr>
          <w:rFonts w:cstheme="minorHAnsi"/>
        </w:rPr>
      </w:pPr>
      <w:r w:rsidRPr="00675182">
        <w:rPr>
          <w:rFonts w:cstheme="minorHAnsi"/>
          <w:bCs/>
          <w:szCs w:val="24"/>
        </w:rPr>
        <w:t xml:space="preserve">LVAF projekta “Invazīvo sugu – rotana </w:t>
      </w:r>
      <w:r w:rsidRPr="00675182">
        <w:rPr>
          <w:rFonts w:cstheme="minorHAnsi"/>
          <w:bCs/>
          <w:i/>
          <w:iCs/>
          <w:szCs w:val="24"/>
        </w:rPr>
        <w:t>Perccottus glenii</w:t>
      </w:r>
      <w:r w:rsidRPr="00675182">
        <w:rPr>
          <w:rFonts w:cstheme="minorHAnsi"/>
          <w:bCs/>
          <w:szCs w:val="24"/>
        </w:rPr>
        <w:t xml:space="preserve"> un sarkanausu bruņurupuča </w:t>
      </w:r>
      <w:r w:rsidRPr="00675182">
        <w:rPr>
          <w:rFonts w:cstheme="minorHAnsi"/>
          <w:bCs/>
          <w:i/>
          <w:iCs/>
          <w:szCs w:val="24"/>
        </w:rPr>
        <w:t>Trachemys scripta elegans</w:t>
      </w:r>
      <w:r w:rsidRPr="00675182">
        <w:rPr>
          <w:rFonts w:cstheme="minorHAnsi"/>
          <w:bCs/>
          <w:szCs w:val="24"/>
        </w:rPr>
        <w:t xml:space="preserve"> ietekmes novērtēšana un mazināšana uz </w:t>
      </w:r>
      <w:r w:rsidRPr="00675182">
        <w:rPr>
          <w:rFonts w:cstheme="minorHAnsi"/>
          <w:szCs w:val="24"/>
        </w:rPr>
        <w:t>reto abinieku un rāpuļu sugu populācijām” ietvaros 2019. gadā būtiski rotana apdraudējumi aizsargājamo sugu populācijām nav konstatēti (Čeirāns u.c. 2019).</w:t>
      </w:r>
    </w:p>
    <w:p w14:paraId="079989E7" w14:textId="77777777" w:rsidR="008E0C7E" w:rsidRPr="00675182" w:rsidRDefault="008E0C7E" w:rsidP="008E0C7E">
      <w:pPr>
        <w:jc w:val="both"/>
        <w:rPr>
          <w:rFonts w:cstheme="minorHAnsi"/>
        </w:rPr>
      </w:pPr>
    </w:p>
    <w:p w14:paraId="284C1ABE" w14:textId="77777777" w:rsidR="008E0C7E" w:rsidRPr="00675182" w:rsidRDefault="008E0C7E" w:rsidP="008E0C7E">
      <w:pPr>
        <w:jc w:val="both"/>
        <w:rPr>
          <w:rFonts w:cstheme="minorHAnsi"/>
        </w:rPr>
      </w:pPr>
      <w:r w:rsidRPr="00675182">
        <w:rPr>
          <w:rFonts w:cstheme="minorHAnsi"/>
        </w:rPr>
        <w:t>GNP ir ļoti liela teritorija, kas ir pašpietiekama no abinieku un rāpuļu populāciju uzturēšanas viedokļa, tomēr GNP ģeogrāfiskais stāvoklis - atrašanās Latvijas ziemeļu daļā nosaka šāda izmēra teritorijai samērā nelielu abinieku sugu daudzveidību. Neskatoties uz to, GNP ir ļoti nozīmīga teritorija Biotopu direktīvas II pielikuma sugas lielā tritona aizsardzībai, un šeit ir labas parastāko abinieku sugu populācijas. Lielā tritona populācijas lieluma novērtējumā ir liela nenoteiktība, populācijas lielums novērtēts robežās no dažiem tūkstošiem līdz dažiem desmitiem tūkstošu pieaugušu īpatņu, ko nosaka lielais darba apjoms, kas nepieciešami šīs sugas izpētei un ierobežotie resursi tā veikšanai 2020. gada izpētes ietvaros. GNP lielā tritona populācija, visticamāk, ir izolēta no citām populācijām un turklāt atrodas uz sugas kopējā areāla ziemeļu robežas. Nav zināmas lielā tritona atradnes ziemeļu un ziemeļrietumu virzienā no GNP ne Latvijā, ne Igaunijā.</w:t>
      </w:r>
    </w:p>
    <w:p w14:paraId="0AAAAADE" w14:textId="77777777" w:rsidR="008E0C7E" w:rsidRPr="00675182" w:rsidRDefault="008E0C7E" w:rsidP="008E0C7E">
      <w:pPr>
        <w:jc w:val="both"/>
        <w:rPr>
          <w:rFonts w:cstheme="minorHAnsi"/>
          <w:szCs w:val="24"/>
          <w:highlight w:val="yellow"/>
        </w:rPr>
      </w:pPr>
    </w:p>
    <w:p w14:paraId="5069B0D5" w14:textId="23EB6A07" w:rsidR="008E0C7E" w:rsidRPr="00675182" w:rsidRDefault="008E0C7E" w:rsidP="008E0C7E">
      <w:pPr>
        <w:jc w:val="both"/>
        <w:rPr>
          <w:rFonts w:cstheme="minorHAnsi"/>
        </w:rPr>
      </w:pPr>
      <w:r w:rsidRPr="00675182">
        <w:rPr>
          <w:rFonts w:cstheme="minorHAnsi"/>
        </w:rPr>
        <w:t xml:space="preserve">GNP abinieku populāciju ilgtspēju nodrošina pirmām kārtām Gaujas ieleja un tai piegulošās mežainās teritorijas ar antropogēni maz ietekmētiem biotopiem. Tomēr šeit ir salīdzinoši maz dabisku abinieku vairošanās vietu, kas galvenokārt ir bebraines un Gaujas vecupes. Gaujas vecupes ir ļoti nozīmīgs parastās vardes vairošanās biotops, kas lielā mērā nosaka šīs sugas labas populācijas klātbūtni nacionālajā parkā. Tomēr vairākām citām sugām (dīķa varde, purva varde) šāda biotopa nozīme ir salīdzinoši neliela. </w:t>
      </w:r>
      <w:r w:rsidR="005D63E3">
        <w:rPr>
          <w:rFonts w:cstheme="minorHAnsi"/>
        </w:rPr>
        <w:t>ĪA</w:t>
      </w:r>
      <w:r w:rsidRPr="00675182">
        <w:rPr>
          <w:rFonts w:cstheme="minorHAnsi"/>
        </w:rPr>
        <w:t xml:space="preserve"> abinieku sugu (lielais tritons, varžkrupis) vairošanās konstatēta galvenokārt antropogēnas izcelsmes dīķos. Vairošanās nolūkā daudzviet raksturīgas sezonālas </w:t>
      </w:r>
      <w:r w:rsidRPr="00675182">
        <w:rPr>
          <w:rFonts w:cstheme="minorHAnsi"/>
        </w:rPr>
        <w:lastRenderedPageBreak/>
        <w:t>migrācijas no maz ietekmētiem meža biotopiem uz antropogēnas izcelsmes dīķiem un novērojama abinieku bojāeja uz ceļiem vairošanās ūdenstilpņu tuvumā. Konstatēta būtiska abinieku bojāeja uz autoceļa P7 Ragana-Turaida ceļa, pretim Reiņa trases golfa laukumu dīķiem rietumos no Turaidas, kā arī uz vietējas nozīmes autoceļa Gaujas kreisajā krastā, kamaniņsporta trases apkārtnē. Abinieku bojāejas uz autoceļiem vietas dotā pētījuma ietvaros īpaši nav meklētas, un domājams, ka ir vēl daudzas citas līdz šim neapzinātas abinieku masveidīgas bojāejas vietas uz GNP autoceļiem.</w:t>
      </w:r>
    </w:p>
    <w:p w14:paraId="01B1BF56" w14:textId="77777777" w:rsidR="008E0C7E" w:rsidRPr="00675182" w:rsidRDefault="008E0C7E" w:rsidP="008E0C7E">
      <w:pPr>
        <w:jc w:val="both"/>
        <w:rPr>
          <w:rFonts w:cstheme="minorHAnsi"/>
          <w:highlight w:val="yellow"/>
        </w:rPr>
      </w:pPr>
    </w:p>
    <w:p w14:paraId="1B06058F" w14:textId="77777777" w:rsidR="008E0C7E" w:rsidRPr="00675182" w:rsidRDefault="008E0C7E" w:rsidP="008E0C7E">
      <w:pPr>
        <w:jc w:val="both"/>
        <w:rPr>
          <w:rFonts w:cstheme="minorHAnsi"/>
        </w:rPr>
      </w:pPr>
      <w:r w:rsidRPr="00675182">
        <w:rPr>
          <w:rFonts w:cstheme="minorHAnsi"/>
        </w:rPr>
        <w:t>Antropogēnā faktora ietekme uz abinieku populācijām īpaši izteikta GNP dienvidu daļā, kur uzskaitēs Raganas un Līgatnes apkārtnēs visām sugām vokalizējošu īpatņu skaits vidēji bija zemāks nekā cituviet GNP. Pastāv arī ar antropogēno faktoru nesaistītas variācijas to populāciju lielumos. Piemēram, stipri variē purva vardes populāciju lielumi dažādās vietās ar līdzīgu antropogēnās ietekmes līmeni. Variēšanas cēloņi ir identificēti tikai atsevišķos gadījumos. Tā piemēram GNP ziemeļu daļā samērā zemu abinieku populāciju blīvumu nosaka zems nelielo vairošanās ūdenstilpņu blīvums, bet esošajās ir caurmērā labas populācijas.</w:t>
      </w:r>
    </w:p>
    <w:p w14:paraId="51100515" w14:textId="77777777" w:rsidR="008E0C7E" w:rsidRPr="00675182" w:rsidRDefault="008E0C7E" w:rsidP="008E0C7E">
      <w:pPr>
        <w:jc w:val="both"/>
        <w:rPr>
          <w:rFonts w:cstheme="minorHAnsi"/>
          <w:highlight w:val="yellow"/>
        </w:rPr>
      </w:pPr>
    </w:p>
    <w:p w14:paraId="6E9FE811" w14:textId="194F604B" w:rsidR="008E0C7E" w:rsidRPr="00675182" w:rsidRDefault="008E0C7E" w:rsidP="008E0C7E">
      <w:pPr>
        <w:jc w:val="both"/>
        <w:rPr>
          <w:rFonts w:cstheme="minorHAnsi"/>
        </w:rPr>
      </w:pPr>
      <w:r w:rsidRPr="00675182">
        <w:rPr>
          <w:rFonts w:cstheme="minorHAnsi"/>
        </w:rPr>
        <w:t xml:space="preserve">Rāpuļu faunas sastāvs ir tipisks teritorijai ar šādu ģeogrāfisko novietojumu. Divām sugām – sila ķirzakai un zalktim limitējošs ir klimatiskais faktors. Abas šīs sugas biežāk sastopamas GNP dienvidrietumu daļā ar maigāku klimatu, bet cituviet atradnes ir galvenokārt gar Gauju vai tās tuvumā esošās dzīvotnēs. Abām šīm sugām Gaujas ieleja ir izplatīšanās koridors visā GNP garumā. Klimatiskā faktora dēļ </w:t>
      </w:r>
      <w:r w:rsidR="005D63E3">
        <w:rPr>
          <w:rFonts w:cstheme="minorHAnsi"/>
        </w:rPr>
        <w:t>ĪA</w:t>
      </w:r>
      <w:r w:rsidRPr="00675182">
        <w:rPr>
          <w:rFonts w:cstheme="minorHAnsi"/>
        </w:rPr>
        <w:t xml:space="preserve"> sugas – sila ķirzakas populācijas uzlabošanas potenciāls GNP ir samērā neliels, un lielākajā GNP daļā sila ķirzaka neizmanto visus tai potenciāli piemērotos biotopus. </w:t>
      </w:r>
    </w:p>
    <w:p w14:paraId="3F2BEEC8" w14:textId="77777777" w:rsidR="008E0C7E" w:rsidRPr="00675182" w:rsidRDefault="008E0C7E" w:rsidP="00B7518D">
      <w:pPr>
        <w:jc w:val="both"/>
        <w:rPr>
          <w:rFonts w:cstheme="minorHAnsi"/>
          <w:szCs w:val="24"/>
        </w:rPr>
      </w:pPr>
    </w:p>
    <w:p w14:paraId="6BEC05E3" w14:textId="77777777" w:rsidR="008E0C7E" w:rsidRPr="00675182" w:rsidRDefault="008E0C7E" w:rsidP="00B7518D">
      <w:pPr>
        <w:jc w:val="both"/>
        <w:rPr>
          <w:rFonts w:cstheme="minorHAnsi"/>
          <w:szCs w:val="24"/>
        </w:rPr>
      </w:pPr>
    </w:p>
    <w:p w14:paraId="1D2475A3" w14:textId="13743398" w:rsidR="008E0C7E" w:rsidRPr="00675182" w:rsidRDefault="008E0C7E" w:rsidP="00B7518D">
      <w:pPr>
        <w:jc w:val="both"/>
        <w:rPr>
          <w:rFonts w:cstheme="minorHAnsi"/>
          <w:b/>
          <w:i/>
          <w:szCs w:val="24"/>
        </w:rPr>
        <w:sectPr w:rsidR="008E0C7E" w:rsidRPr="00675182" w:rsidSect="00434AD0">
          <w:headerReference w:type="default" r:id="rId239"/>
          <w:pgSz w:w="11905" w:h="16837"/>
          <w:pgMar w:top="1440" w:right="1797" w:bottom="1440" w:left="1797" w:header="720" w:footer="720" w:gutter="0"/>
          <w:cols w:space="720"/>
          <w:docGrid w:linePitch="360"/>
        </w:sectPr>
      </w:pPr>
    </w:p>
    <w:p w14:paraId="597D981D" w14:textId="7FC1DB10" w:rsidR="00A37BF0" w:rsidRPr="00675182" w:rsidRDefault="00A37BF0" w:rsidP="00A37BF0">
      <w:pPr>
        <w:rPr>
          <w:rFonts w:cstheme="minorHAnsi"/>
        </w:rPr>
      </w:pPr>
      <w:r w:rsidRPr="00675182">
        <w:rPr>
          <w:rFonts w:cstheme="minorHAnsi"/>
          <w:b/>
          <w:i/>
          <w:szCs w:val="24"/>
        </w:rPr>
        <w:lastRenderedPageBreak/>
        <w:t>2.</w:t>
      </w:r>
      <w:r w:rsidR="00250218" w:rsidRPr="00675182">
        <w:rPr>
          <w:rFonts w:cstheme="minorHAnsi"/>
          <w:b/>
          <w:i/>
          <w:szCs w:val="24"/>
        </w:rPr>
        <w:t>4.6</w:t>
      </w:r>
      <w:r w:rsidRPr="00675182">
        <w:rPr>
          <w:rFonts w:cstheme="minorHAnsi"/>
          <w:b/>
          <w:i/>
          <w:szCs w:val="24"/>
        </w:rPr>
        <w:t>.</w:t>
      </w:r>
      <w:r w:rsidR="00CA7467">
        <w:rPr>
          <w:rFonts w:cstheme="minorHAnsi"/>
          <w:b/>
          <w:i/>
          <w:szCs w:val="24"/>
        </w:rPr>
        <w:t>A.</w:t>
      </w:r>
      <w:r w:rsidRPr="00675182">
        <w:rPr>
          <w:rFonts w:cstheme="minorHAnsi"/>
          <w:b/>
          <w:i/>
          <w:szCs w:val="24"/>
        </w:rPr>
        <w:t xml:space="preserve"> tabula. </w:t>
      </w:r>
      <w:r w:rsidR="00AB4839" w:rsidRPr="00675182">
        <w:rPr>
          <w:rFonts w:cstheme="minorHAnsi"/>
          <w:b/>
          <w:i/>
        </w:rPr>
        <w:t>GNP</w:t>
      </w:r>
      <w:r w:rsidRPr="00675182">
        <w:rPr>
          <w:rFonts w:cstheme="minorHAnsi"/>
          <w:b/>
          <w:i/>
        </w:rPr>
        <w:t xml:space="preserve"> parkā konstatētās Latvijā un Eiropā aizsargājamās un citādi vērtīgās abinieku un rāpuļu sugas un to aizsardzības statuss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1838"/>
        <w:gridCol w:w="2168"/>
        <w:gridCol w:w="1721"/>
        <w:gridCol w:w="1219"/>
        <w:gridCol w:w="2552"/>
        <w:gridCol w:w="3038"/>
      </w:tblGrid>
      <w:tr w:rsidR="00E333DE" w:rsidRPr="00675182" w14:paraId="1299BD70"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42416C2C" w14:textId="77777777" w:rsidR="00A37BF0" w:rsidRPr="00675182" w:rsidRDefault="00A37BF0">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Nr. p.k.</w:t>
            </w:r>
          </w:p>
        </w:tc>
        <w:tc>
          <w:tcPr>
            <w:tcW w:w="659"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62DFB371" w14:textId="77777777" w:rsidR="00A37BF0" w:rsidRPr="00675182" w:rsidRDefault="00A37BF0">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latviski</w:t>
            </w:r>
          </w:p>
        </w:tc>
        <w:tc>
          <w:tcPr>
            <w:tcW w:w="777"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3AF3DFA0" w14:textId="77777777" w:rsidR="00A37BF0" w:rsidRPr="00675182" w:rsidRDefault="00A37BF0">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latīniski</w:t>
            </w:r>
          </w:p>
        </w:tc>
        <w:tc>
          <w:tcPr>
            <w:tcW w:w="617"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38D6D458" w14:textId="77777777" w:rsidR="00A37BF0" w:rsidRPr="00675182" w:rsidRDefault="00A37BF0">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Aizsardzības statuss</w:t>
            </w:r>
          </w:p>
        </w:tc>
        <w:tc>
          <w:tcPr>
            <w:tcW w:w="437"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249CF7EE" w14:textId="77777777" w:rsidR="00A37BF0" w:rsidRPr="00675182" w:rsidRDefault="00A37BF0">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Cits statuss</w:t>
            </w:r>
          </w:p>
        </w:tc>
        <w:tc>
          <w:tcPr>
            <w:tcW w:w="915"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34E035A3" w14:textId="77777777" w:rsidR="00A37BF0" w:rsidRPr="00675182" w:rsidRDefault="00A37BF0">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labvēlīga aizsardzības stāvokļa novērtējums Latvijā</w:t>
            </w:r>
          </w:p>
        </w:tc>
        <w:tc>
          <w:tcPr>
            <w:tcW w:w="1089"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18766F55" w14:textId="0CA71BAE" w:rsidR="00A37BF0" w:rsidRPr="00675182" w:rsidRDefault="00A37BF0">
            <w:pPr>
              <w:jc w:val="center"/>
              <w:rPr>
                <w:rFonts w:cstheme="minorHAnsi"/>
                <w:b/>
                <w:color w:val="000000"/>
                <w:sz w:val="22"/>
                <w:szCs w:val="22"/>
              </w:rPr>
            </w:pPr>
            <w:r w:rsidRPr="00675182">
              <w:rPr>
                <w:rFonts w:cstheme="minorHAnsi"/>
                <w:b/>
                <w:color w:val="000000"/>
                <w:sz w:val="22"/>
                <w:szCs w:val="22"/>
              </w:rPr>
              <w:t>Sugas sastopamība GNP</w:t>
            </w:r>
          </w:p>
        </w:tc>
      </w:tr>
      <w:tr w:rsidR="00E333DE" w:rsidRPr="00675182" w14:paraId="4F2C55FF"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2F0535F3"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w:t>
            </w:r>
          </w:p>
        </w:tc>
        <w:tc>
          <w:tcPr>
            <w:tcW w:w="659" w:type="pct"/>
            <w:tcBorders>
              <w:top w:val="single" w:sz="4" w:space="0" w:color="auto"/>
              <w:left w:val="single" w:sz="4" w:space="0" w:color="auto"/>
              <w:bottom w:val="single" w:sz="4" w:space="0" w:color="auto"/>
              <w:right w:val="single" w:sz="4" w:space="0" w:color="auto"/>
            </w:tcBorders>
            <w:vAlign w:val="center"/>
            <w:hideMark/>
          </w:tcPr>
          <w:p w14:paraId="75F370F5" w14:textId="5E14EC7A" w:rsidR="00A37BF0" w:rsidRPr="00675182" w:rsidRDefault="00FD0BE6">
            <w:pPr>
              <w:rPr>
                <w:rFonts w:eastAsia="Times New Roman" w:cstheme="minorHAnsi"/>
                <w:color w:val="000000"/>
                <w:sz w:val="22"/>
                <w:szCs w:val="22"/>
                <w:lang w:eastAsia="en-GB"/>
              </w:rPr>
            </w:pPr>
            <w:r w:rsidRPr="00675182">
              <w:rPr>
                <w:rFonts w:cstheme="minorHAnsi"/>
                <w:bCs/>
                <w:sz w:val="22"/>
                <w:szCs w:val="22"/>
              </w:rPr>
              <w:t>L</w:t>
            </w:r>
            <w:r w:rsidR="00A37BF0" w:rsidRPr="00675182">
              <w:rPr>
                <w:rFonts w:cstheme="minorHAnsi"/>
                <w:bCs/>
                <w:sz w:val="22"/>
                <w:szCs w:val="22"/>
              </w:rPr>
              <w:t>ielais tritons</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1741645D"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Triturus cristatus</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42B3F2EA" w14:textId="77777777" w:rsidR="00A37BF0" w:rsidRPr="00675182" w:rsidRDefault="00A37BF0">
            <w:pPr>
              <w:jc w:val="center"/>
              <w:rPr>
                <w:rFonts w:cstheme="minorHAnsi"/>
                <w:color w:val="000000"/>
                <w:sz w:val="22"/>
                <w:szCs w:val="22"/>
              </w:rPr>
            </w:pPr>
            <w:r w:rsidRPr="00675182">
              <w:rPr>
                <w:rFonts w:cstheme="minorHAnsi"/>
                <w:color w:val="000000"/>
                <w:sz w:val="22"/>
                <w:szCs w:val="22"/>
              </w:rPr>
              <w:t>ES II, IV, ĪAS, MIK</w:t>
            </w:r>
          </w:p>
        </w:tc>
        <w:tc>
          <w:tcPr>
            <w:tcW w:w="437" w:type="pct"/>
            <w:tcBorders>
              <w:top w:val="single" w:sz="4" w:space="0" w:color="auto"/>
              <w:left w:val="single" w:sz="4" w:space="0" w:color="auto"/>
              <w:bottom w:val="single" w:sz="4" w:space="0" w:color="auto"/>
              <w:right w:val="single" w:sz="4" w:space="0" w:color="auto"/>
            </w:tcBorders>
            <w:hideMark/>
          </w:tcPr>
          <w:p w14:paraId="0C7ADE84" w14:textId="77777777" w:rsidR="00A37BF0" w:rsidRPr="00675182" w:rsidRDefault="00A37BF0">
            <w:pPr>
              <w:jc w:val="center"/>
              <w:rPr>
                <w:rFonts w:cstheme="minorHAnsi"/>
                <w:color w:val="000000"/>
                <w:sz w:val="22"/>
                <w:szCs w:val="22"/>
              </w:rPr>
            </w:pPr>
            <w:r w:rsidRPr="00675182">
              <w:rPr>
                <w:rFonts w:cstheme="minorHAnsi"/>
                <w:color w:val="000000"/>
                <w:sz w:val="22"/>
                <w:szCs w:val="22"/>
              </w:rPr>
              <w:t>SG I, BK II</w:t>
            </w:r>
          </w:p>
        </w:tc>
        <w:tc>
          <w:tcPr>
            <w:tcW w:w="915"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0B729D2" w14:textId="77777777" w:rsidR="00A37BF0" w:rsidRPr="00675182" w:rsidRDefault="00A37BF0">
            <w:pPr>
              <w:jc w:val="center"/>
              <w:rPr>
                <w:rFonts w:cstheme="minorHAnsi"/>
                <w:color w:val="000000"/>
                <w:sz w:val="22"/>
                <w:szCs w:val="22"/>
              </w:rPr>
            </w:pPr>
            <w:r w:rsidRPr="00675182">
              <w:rPr>
                <w:rFonts w:cstheme="minorHAnsi"/>
                <w:color w:val="000000"/>
                <w:sz w:val="22"/>
                <w:szCs w:val="22"/>
              </w:rPr>
              <w:t>U1-</w:t>
            </w:r>
          </w:p>
        </w:tc>
        <w:tc>
          <w:tcPr>
            <w:tcW w:w="1089" w:type="pct"/>
            <w:tcBorders>
              <w:top w:val="single" w:sz="4" w:space="0" w:color="auto"/>
              <w:left w:val="single" w:sz="4" w:space="0" w:color="auto"/>
              <w:bottom w:val="single" w:sz="4" w:space="0" w:color="auto"/>
              <w:right w:val="single" w:sz="4" w:space="0" w:color="auto"/>
            </w:tcBorders>
            <w:hideMark/>
          </w:tcPr>
          <w:p w14:paraId="6DCC3C25" w14:textId="77777777" w:rsidR="00A37BF0" w:rsidRPr="00675182" w:rsidRDefault="00A37BF0">
            <w:pPr>
              <w:rPr>
                <w:rFonts w:cstheme="minorHAnsi"/>
                <w:sz w:val="22"/>
                <w:szCs w:val="22"/>
              </w:rPr>
            </w:pPr>
            <w:r w:rsidRPr="00675182">
              <w:rPr>
                <w:rFonts w:cstheme="minorHAnsi"/>
                <w:sz w:val="22"/>
                <w:szCs w:val="22"/>
              </w:rPr>
              <w:t>Reti</w:t>
            </w:r>
          </w:p>
        </w:tc>
      </w:tr>
      <w:tr w:rsidR="00E333DE" w:rsidRPr="00675182" w14:paraId="49520890"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72EBE988"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w:t>
            </w:r>
          </w:p>
        </w:tc>
        <w:tc>
          <w:tcPr>
            <w:tcW w:w="659" w:type="pct"/>
            <w:tcBorders>
              <w:top w:val="single" w:sz="4" w:space="0" w:color="auto"/>
              <w:left w:val="single" w:sz="4" w:space="0" w:color="auto"/>
              <w:bottom w:val="single" w:sz="4" w:space="0" w:color="auto"/>
              <w:right w:val="single" w:sz="4" w:space="0" w:color="auto"/>
            </w:tcBorders>
            <w:vAlign w:val="center"/>
            <w:hideMark/>
          </w:tcPr>
          <w:p w14:paraId="5F6AF4B3" w14:textId="7BF49B96" w:rsidR="00A37BF0" w:rsidRPr="00675182" w:rsidRDefault="00FD0BE6">
            <w:pPr>
              <w:rPr>
                <w:rFonts w:eastAsia="Times New Roman" w:cstheme="minorHAnsi"/>
                <w:color w:val="000000"/>
                <w:sz w:val="22"/>
                <w:szCs w:val="22"/>
                <w:lang w:eastAsia="en-GB"/>
              </w:rPr>
            </w:pPr>
            <w:r w:rsidRPr="00675182">
              <w:rPr>
                <w:rFonts w:cstheme="minorHAnsi"/>
                <w:bCs/>
                <w:sz w:val="22"/>
                <w:szCs w:val="22"/>
              </w:rPr>
              <w:t>M</w:t>
            </w:r>
            <w:r w:rsidR="00A37BF0" w:rsidRPr="00675182">
              <w:rPr>
                <w:rFonts w:cstheme="minorHAnsi"/>
                <w:bCs/>
                <w:sz w:val="22"/>
                <w:szCs w:val="22"/>
              </w:rPr>
              <w:t>azais tritons</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253A5F41"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Lissotriton vulgaris</w:t>
            </w:r>
          </w:p>
        </w:tc>
        <w:tc>
          <w:tcPr>
            <w:tcW w:w="617" w:type="pct"/>
            <w:tcBorders>
              <w:top w:val="single" w:sz="4" w:space="0" w:color="auto"/>
              <w:left w:val="single" w:sz="4" w:space="0" w:color="auto"/>
              <w:bottom w:val="single" w:sz="4" w:space="0" w:color="auto"/>
              <w:right w:val="single" w:sz="4" w:space="0" w:color="auto"/>
            </w:tcBorders>
            <w:noWrap/>
            <w:vAlign w:val="center"/>
          </w:tcPr>
          <w:p w14:paraId="4B650D7D" w14:textId="77777777" w:rsidR="00A37BF0" w:rsidRPr="00675182" w:rsidRDefault="00A37BF0">
            <w:pPr>
              <w:jc w:val="center"/>
              <w:rPr>
                <w:rFonts w:cstheme="minorHAnsi"/>
                <w:color w:val="000000"/>
                <w:sz w:val="22"/>
                <w:szCs w:val="22"/>
              </w:rPr>
            </w:pPr>
          </w:p>
        </w:tc>
        <w:tc>
          <w:tcPr>
            <w:tcW w:w="437" w:type="pct"/>
            <w:tcBorders>
              <w:top w:val="single" w:sz="4" w:space="0" w:color="auto"/>
              <w:left w:val="single" w:sz="4" w:space="0" w:color="auto"/>
              <w:bottom w:val="single" w:sz="4" w:space="0" w:color="auto"/>
              <w:right w:val="single" w:sz="4" w:space="0" w:color="auto"/>
            </w:tcBorders>
            <w:hideMark/>
          </w:tcPr>
          <w:p w14:paraId="7EC35C2F"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III</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B466DE" w14:textId="77777777" w:rsidR="00A37BF0" w:rsidRPr="00675182" w:rsidRDefault="00A37BF0">
            <w:pPr>
              <w:jc w:val="center"/>
              <w:rPr>
                <w:rFonts w:cstheme="minorHAnsi"/>
                <w:color w:val="000000"/>
                <w:sz w:val="22"/>
                <w:szCs w:val="22"/>
              </w:rPr>
            </w:pPr>
          </w:p>
        </w:tc>
        <w:tc>
          <w:tcPr>
            <w:tcW w:w="1089" w:type="pct"/>
            <w:tcBorders>
              <w:top w:val="single" w:sz="4" w:space="0" w:color="auto"/>
              <w:left w:val="single" w:sz="4" w:space="0" w:color="auto"/>
              <w:bottom w:val="single" w:sz="4" w:space="0" w:color="auto"/>
              <w:right w:val="single" w:sz="4" w:space="0" w:color="auto"/>
            </w:tcBorders>
            <w:hideMark/>
          </w:tcPr>
          <w:p w14:paraId="4EDB2CC9" w14:textId="1A78F07D" w:rsidR="00A37BF0" w:rsidRPr="00675182" w:rsidRDefault="005C7C19">
            <w:pPr>
              <w:rPr>
                <w:rFonts w:cstheme="minorHAnsi"/>
                <w:sz w:val="22"/>
                <w:szCs w:val="22"/>
              </w:rPr>
            </w:pPr>
            <w:r w:rsidRPr="00675182">
              <w:rPr>
                <w:rFonts w:cstheme="minorHAnsi"/>
                <w:sz w:val="22"/>
                <w:szCs w:val="22"/>
              </w:rPr>
              <w:t>Bieži</w:t>
            </w:r>
          </w:p>
        </w:tc>
      </w:tr>
      <w:tr w:rsidR="00E333DE" w:rsidRPr="00675182" w14:paraId="6B61E180"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6B1F6B94"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w:t>
            </w:r>
          </w:p>
        </w:tc>
        <w:tc>
          <w:tcPr>
            <w:tcW w:w="659" w:type="pct"/>
            <w:tcBorders>
              <w:top w:val="single" w:sz="4" w:space="0" w:color="auto"/>
              <w:left w:val="single" w:sz="4" w:space="0" w:color="auto"/>
              <w:bottom w:val="single" w:sz="4" w:space="0" w:color="auto"/>
              <w:right w:val="single" w:sz="4" w:space="0" w:color="auto"/>
            </w:tcBorders>
            <w:vAlign w:val="center"/>
            <w:hideMark/>
          </w:tcPr>
          <w:p w14:paraId="2F6F02DB" w14:textId="47507E1B" w:rsidR="00A37BF0" w:rsidRPr="00675182" w:rsidRDefault="00FD0BE6">
            <w:pPr>
              <w:rPr>
                <w:rFonts w:eastAsia="Times New Roman" w:cstheme="minorHAnsi"/>
                <w:color w:val="000000"/>
                <w:sz w:val="22"/>
                <w:szCs w:val="22"/>
                <w:lang w:eastAsia="en-GB"/>
              </w:rPr>
            </w:pPr>
            <w:r w:rsidRPr="00675182">
              <w:rPr>
                <w:rFonts w:cstheme="minorHAnsi"/>
                <w:bCs/>
                <w:sz w:val="22"/>
                <w:szCs w:val="22"/>
              </w:rPr>
              <w:t>P</w:t>
            </w:r>
            <w:r w:rsidR="00A37BF0" w:rsidRPr="00675182">
              <w:rPr>
                <w:rFonts w:cstheme="minorHAnsi"/>
                <w:bCs/>
                <w:sz w:val="22"/>
                <w:szCs w:val="22"/>
              </w:rPr>
              <w:t>arastais krupis</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50CD4939"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Bufo bufo</w:t>
            </w:r>
          </w:p>
        </w:tc>
        <w:tc>
          <w:tcPr>
            <w:tcW w:w="617" w:type="pct"/>
            <w:tcBorders>
              <w:top w:val="single" w:sz="4" w:space="0" w:color="auto"/>
              <w:left w:val="single" w:sz="4" w:space="0" w:color="auto"/>
              <w:bottom w:val="single" w:sz="4" w:space="0" w:color="auto"/>
              <w:right w:val="single" w:sz="4" w:space="0" w:color="auto"/>
            </w:tcBorders>
            <w:noWrap/>
            <w:vAlign w:val="center"/>
          </w:tcPr>
          <w:p w14:paraId="6E7EFC5A" w14:textId="77777777" w:rsidR="00A37BF0" w:rsidRPr="00675182" w:rsidRDefault="00A37BF0">
            <w:pPr>
              <w:jc w:val="center"/>
              <w:rPr>
                <w:rFonts w:cstheme="minorHAnsi"/>
                <w:color w:val="000000"/>
                <w:sz w:val="22"/>
                <w:szCs w:val="22"/>
              </w:rPr>
            </w:pPr>
          </w:p>
        </w:tc>
        <w:tc>
          <w:tcPr>
            <w:tcW w:w="437" w:type="pct"/>
            <w:tcBorders>
              <w:top w:val="single" w:sz="4" w:space="0" w:color="auto"/>
              <w:left w:val="single" w:sz="4" w:space="0" w:color="auto"/>
              <w:bottom w:val="single" w:sz="4" w:space="0" w:color="auto"/>
              <w:right w:val="single" w:sz="4" w:space="0" w:color="auto"/>
            </w:tcBorders>
            <w:hideMark/>
          </w:tcPr>
          <w:p w14:paraId="18A3F113"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III</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641A6D" w14:textId="77777777" w:rsidR="00A37BF0" w:rsidRPr="00675182" w:rsidRDefault="00A37BF0">
            <w:pPr>
              <w:jc w:val="center"/>
              <w:rPr>
                <w:rFonts w:cstheme="minorHAnsi"/>
                <w:color w:val="000000"/>
                <w:sz w:val="22"/>
                <w:szCs w:val="22"/>
              </w:rPr>
            </w:pPr>
          </w:p>
        </w:tc>
        <w:tc>
          <w:tcPr>
            <w:tcW w:w="1089" w:type="pct"/>
            <w:tcBorders>
              <w:top w:val="single" w:sz="4" w:space="0" w:color="auto"/>
              <w:left w:val="single" w:sz="4" w:space="0" w:color="auto"/>
              <w:bottom w:val="single" w:sz="4" w:space="0" w:color="auto"/>
              <w:right w:val="single" w:sz="4" w:space="0" w:color="auto"/>
            </w:tcBorders>
            <w:hideMark/>
          </w:tcPr>
          <w:p w14:paraId="6F56AE19" w14:textId="77777777" w:rsidR="00A37BF0" w:rsidRPr="00675182" w:rsidRDefault="00A37BF0">
            <w:pPr>
              <w:rPr>
                <w:rFonts w:cstheme="minorHAnsi"/>
                <w:sz w:val="22"/>
                <w:szCs w:val="22"/>
              </w:rPr>
            </w:pPr>
            <w:r w:rsidRPr="00675182">
              <w:rPr>
                <w:rFonts w:cstheme="minorHAnsi"/>
                <w:sz w:val="22"/>
                <w:szCs w:val="22"/>
              </w:rPr>
              <w:t>Bieži</w:t>
            </w:r>
          </w:p>
        </w:tc>
      </w:tr>
      <w:tr w:rsidR="00E333DE" w:rsidRPr="00675182" w14:paraId="615411C9"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2514E569"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4.</w:t>
            </w:r>
          </w:p>
        </w:tc>
        <w:tc>
          <w:tcPr>
            <w:tcW w:w="659" w:type="pct"/>
            <w:tcBorders>
              <w:top w:val="single" w:sz="4" w:space="0" w:color="auto"/>
              <w:left w:val="single" w:sz="4" w:space="0" w:color="auto"/>
              <w:bottom w:val="single" w:sz="4" w:space="0" w:color="auto"/>
              <w:right w:val="single" w:sz="4" w:space="0" w:color="auto"/>
            </w:tcBorders>
            <w:vAlign w:val="center"/>
            <w:hideMark/>
          </w:tcPr>
          <w:p w14:paraId="2DB1B501" w14:textId="60CD41F9" w:rsidR="00A37BF0" w:rsidRPr="00675182" w:rsidRDefault="00FD0BE6">
            <w:pPr>
              <w:rPr>
                <w:rFonts w:eastAsia="Times New Roman" w:cstheme="minorHAnsi"/>
                <w:color w:val="000000"/>
                <w:sz w:val="22"/>
                <w:szCs w:val="22"/>
                <w:lang w:eastAsia="en-GB"/>
              </w:rPr>
            </w:pPr>
            <w:r w:rsidRPr="00675182">
              <w:rPr>
                <w:rFonts w:cstheme="minorHAnsi"/>
                <w:bCs/>
                <w:sz w:val="22"/>
                <w:szCs w:val="22"/>
              </w:rPr>
              <w:t>Z</w:t>
            </w:r>
            <w:r w:rsidR="00A37BF0" w:rsidRPr="00675182">
              <w:rPr>
                <w:rFonts w:cstheme="minorHAnsi"/>
                <w:bCs/>
                <w:sz w:val="22"/>
                <w:szCs w:val="22"/>
              </w:rPr>
              <w:t>aļais krupis</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1579A243"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Pseudepidalea viridis</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76528EF9" w14:textId="77777777" w:rsidR="00A37BF0" w:rsidRPr="00675182" w:rsidRDefault="00A37BF0">
            <w:pPr>
              <w:jc w:val="center"/>
              <w:rPr>
                <w:rFonts w:cstheme="minorHAnsi"/>
                <w:color w:val="000000"/>
                <w:sz w:val="22"/>
                <w:szCs w:val="22"/>
              </w:rPr>
            </w:pPr>
            <w:r w:rsidRPr="00675182">
              <w:rPr>
                <w:rFonts w:cstheme="minorHAnsi"/>
                <w:color w:val="000000"/>
                <w:sz w:val="22"/>
                <w:szCs w:val="22"/>
              </w:rPr>
              <w:t>ES IV, ĪAS</w:t>
            </w:r>
          </w:p>
        </w:tc>
        <w:tc>
          <w:tcPr>
            <w:tcW w:w="437" w:type="pct"/>
            <w:tcBorders>
              <w:top w:val="single" w:sz="4" w:space="0" w:color="auto"/>
              <w:left w:val="single" w:sz="4" w:space="0" w:color="auto"/>
              <w:bottom w:val="single" w:sz="4" w:space="0" w:color="auto"/>
              <w:right w:val="single" w:sz="4" w:space="0" w:color="auto"/>
            </w:tcBorders>
            <w:hideMark/>
          </w:tcPr>
          <w:p w14:paraId="5843CDDB" w14:textId="77777777" w:rsidR="00A37BF0" w:rsidRPr="00675182" w:rsidRDefault="00A37BF0">
            <w:pPr>
              <w:jc w:val="center"/>
              <w:rPr>
                <w:rFonts w:cstheme="minorHAnsi"/>
                <w:color w:val="000000"/>
                <w:sz w:val="22"/>
                <w:szCs w:val="22"/>
              </w:rPr>
            </w:pPr>
            <w:r w:rsidRPr="00675182">
              <w:rPr>
                <w:rFonts w:cstheme="minorHAnsi"/>
                <w:color w:val="000000"/>
                <w:sz w:val="22"/>
                <w:szCs w:val="22"/>
              </w:rPr>
              <w:t>SG III, BK II</w:t>
            </w:r>
          </w:p>
        </w:tc>
        <w:tc>
          <w:tcPr>
            <w:tcW w:w="915"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C3D3DE0" w14:textId="77777777" w:rsidR="00A37BF0" w:rsidRPr="00675182" w:rsidRDefault="00A37BF0">
            <w:pPr>
              <w:jc w:val="center"/>
              <w:rPr>
                <w:rFonts w:cstheme="minorHAnsi"/>
                <w:color w:val="000000"/>
                <w:sz w:val="22"/>
                <w:szCs w:val="22"/>
              </w:rPr>
            </w:pPr>
            <w:r w:rsidRPr="00675182">
              <w:rPr>
                <w:rFonts w:cstheme="minorHAnsi"/>
                <w:color w:val="000000"/>
                <w:sz w:val="22"/>
                <w:szCs w:val="22"/>
              </w:rPr>
              <w:t>U1=</w:t>
            </w:r>
          </w:p>
        </w:tc>
        <w:tc>
          <w:tcPr>
            <w:tcW w:w="1089" w:type="pct"/>
            <w:tcBorders>
              <w:top w:val="single" w:sz="4" w:space="0" w:color="auto"/>
              <w:left w:val="single" w:sz="4" w:space="0" w:color="auto"/>
              <w:bottom w:val="single" w:sz="4" w:space="0" w:color="auto"/>
              <w:right w:val="single" w:sz="4" w:space="0" w:color="auto"/>
            </w:tcBorders>
            <w:hideMark/>
          </w:tcPr>
          <w:p w14:paraId="147B82C2" w14:textId="408A32DB" w:rsidR="00A37BF0" w:rsidRPr="00675182" w:rsidRDefault="008D7637">
            <w:pPr>
              <w:rPr>
                <w:rFonts w:cstheme="minorHAnsi"/>
                <w:sz w:val="22"/>
                <w:szCs w:val="22"/>
              </w:rPr>
            </w:pPr>
            <w:r>
              <w:rPr>
                <w:rFonts w:cstheme="minorHAnsi"/>
                <w:sz w:val="22"/>
                <w:szCs w:val="22"/>
              </w:rPr>
              <w:t>J</w:t>
            </w:r>
            <w:r w:rsidRPr="008D7637">
              <w:rPr>
                <w:rFonts w:cstheme="minorHAnsi"/>
                <w:sz w:val="22"/>
                <w:szCs w:val="22"/>
              </w:rPr>
              <w:t>aunākos pētījumos nav konstatēts</w:t>
            </w:r>
          </w:p>
        </w:tc>
      </w:tr>
      <w:tr w:rsidR="00E333DE" w:rsidRPr="00675182" w14:paraId="7A6C83AA"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713B2688"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5.</w:t>
            </w:r>
          </w:p>
        </w:tc>
        <w:tc>
          <w:tcPr>
            <w:tcW w:w="659" w:type="pct"/>
            <w:tcBorders>
              <w:top w:val="single" w:sz="4" w:space="0" w:color="auto"/>
              <w:left w:val="single" w:sz="4" w:space="0" w:color="auto"/>
              <w:bottom w:val="single" w:sz="4" w:space="0" w:color="auto"/>
              <w:right w:val="single" w:sz="4" w:space="0" w:color="auto"/>
            </w:tcBorders>
            <w:vAlign w:val="center"/>
            <w:hideMark/>
          </w:tcPr>
          <w:p w14:paraId="0542196F" w14:textId="7AC05D1A" w:rsidR="00A37BF0" w:rsidRPr="00675182" w:rsidRDefault="00FD0BE6">
            <w:pPr>
              <w:rPr>
                <w:rFonts w:eastAsia="Times New Roman" w:cstheme="minorHAnsi"/>
                <w:color w:val="000000"/>
                <w:sz w:val="22"/>
                <w:szCs w:val="22"/>
                <w:lang w:eastAsia="en-GB"/>
              </w:rPr>
            </w:pPr>
            <w:r w:rsidRPr="00675182">
              <w:rPr>
                <w:rFonts w:cstheme="minorHAnsi"/>
                <w:bCs/>
                <w:sz w:val="22"/>
                <w:szCs w:val="22"/>
              </w:rPr>
              <w:t>P</w:t>
            </w:r>
            <w:r w:rsidR="00A37BF0" w:rsidRPr="00675182">
              <w:rPr>
                <w:rFonts w:cstheme="minorHAnsi"/>
                <w:bCs/>
                <w:sz w:val="22"/>
                <w:szCs w:val="22"/>
              </w:rPr>
              <w:t>urva varde</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53D66BB3"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Rana arvalis</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63EE8A97" w14:textId="77777777" w:rsidR="00A37BF0" w:rsidRPr="00675182" w:rsidRDefault="00A37BF0">
            <w:pPr>
              <w:jc w:val="center"/>
              <w:rPr>
                <w:rFonts w:cstheme="minorHAnsi"/>
                <w:color w:val="000000"/>
                <w:sz w:val="22"/>
                <w:szCs w:val="22"/>
              </w:rPr>
            </w:pPr>
            <w:r w:rsidRPr="00675182">
              <w:rPr>
                <w:rFonts w:cstheme="minorHAnsi"/>
                <w:color w:val="000000"/>
                <w:sz w:val="22"/>
                <w:szCs w:val="22"/>
              </w:rPr>
              <w:t>ES IV</w:t>
            </w:r>
          </w:p>
        </w:tc>
        <w:tc>
          <w:tcPr>
            <w:tcW w:w="437" w:type="pct"/>
            <w:tcBorders>
              <w:top w:val="single" w:sz="4" w:space="0" w:color="auto"/>
              <w:left w:val="single" w:sz="4" w:space="0" w:color="auto"/>
              <w:bottom w:val="single" w:sz="4" w:space="0" w:color="auto"/>
              <w:right w:val="single" w:sz="4" w:space="0" w:color="auto"/>
            </w:tcBorders>
            <w:hideMark/>
          </w:tcPr>
          <w:p w14:paraId="5147B785"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w:t>
            </w:r>
          </w:p>
        </w:tc>
        <w:tc>
          <w:tcPr>
            <w:tcW w:w="915"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47583C0A" w14:textId="77777777" w:rsidR="00A37BF0" w:rsidRPr="00675182" w:rsidRDefault="00A37BF0">
            <w:pPr>
              <w:jc w:val="center"/>
              <w:rPr>
                <w:rFonts w:cstheme="minorHAnsi"/>
                <w:color w:val="000000"/>
                <w:sz w:val="22"/>
                <w:szCs w:val="22"/>
              </w:rPr>
            </w:pPr>
            <w:r w:rsidRPr="00675182">
              <w:rPr>
                <w:rFonts w:cstheme="minorHAnsi"/>
                <w:color w:val="000000"/>
                <w:sz w:val="22"/>
                <w:szCs w:val="22"/>
              </w:rPr>
              <w:t>FV</w:t>
            </w:r>
          </w:p>
        </w:tc>
        <w:tc>
          <w:tcPr>
            <w:tcW w:w="1089" w:type="pct"/>
            <w:tcBorders>
              <w:top w:val="single" w:sz="4" w:space="0" w:color="auto"/>
              <w:left w:val="single" w:sz="4" w:space="0" w:color="auto"/>
              <w:bottom w:val="single" w:sz="4" w:space="0" w:color="auto"/>
              <w:right w:val="single" w:sz="4" w:space="0" w:color="auto"/>
            </w:tcBorders>
            <w:hideMark/>
          </w:tcPr>
          <w:p w14:paraId="1F04137E" w14:textId="77777777" w:rsidR="00A37BF0" w:rsidRPr="00675182" w:rsidRDefault="00A37BF0">
            <w:pPr>
              <w:rPr>
                <w:rFonts w:cstheme="minorHAnsi"/>
                <w:sz w:val="22"/>
                <w:szCs w:val="22"/>
              </w:rPr>
            </w:pPr>
            <w:r w:rsidRPr="00675182">
              <w:rPr>
                <w:rFonts w:cstheme="minorHAnsi"/>
                <w:sz w:val="22"/>
                <w:szCs w:val="22"/>
              </w:rPr>
              <w:t>Vietām</w:t>
            </w:r>
          </w:p>
        </w:tc>
      </w:tr>
      <w:tr w:rsidR="00E333DE" w:rsidRPr="00675182" w14:paraId="4E5C86D0"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3004081F"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6.</w:t>
            </w:r>
          </w:p>
        </w:tc>
        <w:tc>
          <w:tcPr>
            <w:tcW w:w="659" w:type="pct"/>
            <w:tcBorders>
              <w:top w:val="single" w:sz="4" w:space="0" w:color="auto"/>
              <w:left w:val="single" w:sz="4" w:space="0" w:color="auto"/>
              <w:bottom w:val="single" w:sz="4" w:space="0" w:color="auto"/>
              <w:right w:val="single" w:sz="4" w:space="0" w:color="auto"/>
            </w:tcBorders>
            <w:vAlign w:val="center"/>
            <w:hideMark/>
          </w:tcPr>
          <w:p w14:paraId="25B84E60" w14:textId="39A5B750" w:rsidR="00A37BF0" w:rsidRPr="00675182" w:rsidRDefault="00FD0BE6">
            <w:pPr>
              <w:rPr>
                <w:rFonts w:eastAsia="Times New Roman" w:cstheme="minorHAnsi"/>
                <w:color w:val="000000"/>
                <w:sz w:val="22"/>
                <w:szCs w:val="22"/>
                <w:lang w:eastAsia="en-GB"/>
              </w:rPr>
            </w:pPr>
            <w:r w:rsidRPr="00675182">
              <w:rPr>
                <w:rFonts w:cstheme="minorHAnsi"/>
                <w:bCs/>
                <w:sz w:val="22"/>
                <w:szCs w:val="22"/>
              </w:rPr>
              <w:t>P</w:t>
            </w:r>
            <w:r w:rsidR="00A37BF0" w:rsidRPr="00675182">
              <w:rPr>
                <w:rFonts w:cstheme="minorHAnsi"/>
                <w:bCs/>
                <w:sz w:val="22"/>
                <w:szCs w:val="22"/>
              </w:rPr>
              <w:t>arastā varde</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2AA38CCC"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Rana temporaria</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5F5D325E" w14:textId="77777777" w:rsidR="00A37BF0" w:rsidRPr="00675182" w:rsidRDefault="00A37BF0">
            <w:pPr>
              <w:jc w:val="center"/>
              <w:rPr>
                <w:rFonts w:cstheme="minorHAnsi"/>
                <w:color w:val="000000"/>
                <w:sz w:val="22"/>
                <w:szCs w:val="22"/>
              </w:rPr>
            </w:pPr>
            <w:r w:rsidRPr="00675182">
              <w:rPr>
                <w:rFonts w:cstheme="minorHAnsi"/>
                <w:color w:val="000000"/>
                <w:sz w:val="22"/>
                <w:szCs w:val="22"/>
              </w:rPr>
              <w:t>ES V</w:t>
            </w:r>
          </w:p>
        </w:tc>
        <w:tc>
          <w:tcPr>
            <w:tcW w:w="437" w:type="pct"/>
            <w:tcBorders>
              <w:top w:val="single" w:sz="4" w:space="0" w:color="auto"/>
              <w:left w:val="single" w:sz="4" w:space="0" w:color="auto"/>
              <w:bottom w:val="single" w:sz="4" w:space="0" w:color="auto"/>
              <w:right w:val="single" w:sz="4" w:space="0" w:color="auto"/>
            </w:tcBorders>
            <w:hideMark/>
          </w:tcPr>
          <w:p w14:paraId="15622C33"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III</w:t>
            </w:r>
          </w:p>
        </w:tc>
        <w:tc>
          <w:tcPr>
            <w:tcW w:w="915"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2465127" w14:textId="77777777" w:rsidR="00A37BF0" w:rsidRPr="00675182" w:rsidRDefault="00A37BF0">
            <w:pPr>
              <w:jc w:val="center"/>
              <w:rPr>
                <w:rFonts w:cstheme="minorHAnsi"/>
                <w:color w:val="000000"/>
                <w:sz w:val="22"/>
                <w:szCs w:val="22"/>
              </w:rPr>
            </w:pPr>
            <w:r w:rsidRPr="00675182">
              <w:rPr>
                <w:rFonts w:cstheme="minorHAnsi"/>
                <w:color w:val="000000"/>
                <w:sz w:val="22"/>
                <w:szCs w:val="22"/>
              </w:rPr>
              <w:t>FV</w:t>
            </w:r>
          </w:p>
        </w:tc>
        <w:tc>
          <w:tcPr>
            <w:tcW w:w="1089" w:type="pct"/>
            <w:tcBorders>
              <w:top w:val="single" w:sz="4" w:space="0" w:color="auto"/>
              <w:left w:val="single" w:sz="4" w:space="0" w:color="auto"/>
              <w:bottom w:val="single" w:sz="4" w:space="0" w:color="auto"/>
              <w:right w:val="single" w:sz="4" w:space="0" w:color="auto"/>
            </w:tcBorders>
            <w:hideMark/>
          </w:tcPr>
          <w:p w14:paraId="0EA440F4" w14:textId="77777777" w:rsidR="00A37BF0" w:rsidRPr="00675182" w:rsidRDefault="00A37BF0">
            <w:pPr>
              <w:rPr>
                <w:rFonts w:cstheme="minorHAnsi"/>
                <w:sz w:val="22"/>
                <w:szCs w:val="22"/>
              </w:rPr>
            </w:pPr>
            <w:r w:rsidRPr="00675182">
              <w:rPr>
                <w:rFonts w:cstheme="minorHAnsi"/>
                <w:sz w:val="22"/>
                <w:szCs w:val="22"/>
              </w:rPr>
              <w:t>Bieži</w:t>
            </w:r>
          </w:p>
        </w:tc>
      </w:tr>
      <w:tr w:rsidR="00E333DE" w:rsidRPr="00675182" w14:paraId="43345BE2"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4EACBFEA"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7.</w:t>
            </w:r>
          </w:p>
        </w:tc>
        <w:tc>
          <w:tcPr>
            <w:tcW w:w="659" w:type="pct"/>
            <w:tcBorders>
              <w:top w:val="single" w:sz="4" w:space="0" w:color="auto"/>
              <w:left w:val="single" w:sz="4" w:space="0" w:color="auto"/>
              <w:bottom w:val="single" w:sz="4" w:space="0" w:color="auto"/>
              <w:right w:val="single" w:sz="4" w:space="0" w:color="auto"/>
            </w:tcBorders>
            <w:vAlign w:val="center"/>
            <w:hideMark/>
          </w:tcPr>
          <w:p w14:paraId="544B527E" w14:textId="464DC6CE" w:rsidR="00A37BF0" w:rsidRPr="00675182" w:rsidRDefault="00FD0BE6">
            <w:pPr>
              <w:rPr>
                <w:rFonts w:eastAsia="Times New Roman" w:cstheme="minorHAnsi"/>
                <w:color w:val="000000"/>
                <w:sz w:val="22"/>
                <w:szCs w:val="22"/>
                <w:lang w:eastAsia="en-GB"/>
              </w:rPr>
            </w:pPr>
            <w:r w:rsidRPr="00675182">
              <w:rPr>
                <w:rFonts w:cstheme="minorHAnsi"/>
                <w:bCs/>
                <w:sz w:val="22"/>
                <w:szCs w:val="22"/>
              </w:rPr>
              <w:t>Z</w:t>
            </w:r>
            <w:r w:rsidR="00A37BF0" w:rsidRPr="00675182">
              <w:rPr>
                <w:rFonts w:cstheme="minorHAnsi"/>
                <w:bCs/>
                <w:sz w:val="22"/>
                <w:szCs w:val="22"/>
              </w:rPr>
              <w:t>aļā varde</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68A8877C" w14:textId="2794B44D"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Pelophylax esculent</w:t>
            </w:r>
            <w:r w:rsidR="005C7C19" w:rsidRPr="00675182">
              <w:rPr>
                <w:rFonts w:cstheme="minorHAnsi"/>
                <w:bCs/>
                <w:i/>
                <w:sz w:val="22"/>
                <w:szCs w:val="22"/>
              </w:rPr>
              <w:t>us</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2462867A" w14:textId="77777777" w:rsidR="00A37BF0" w:rsidRPr="00675182" w:rsidRDefault="00A37BF0">
            <w:pPr>
              <w:jc w:val="center"/>
              <w:rPr>
                <w:rFonts w:cstheme="minorHAnsi"/>
                <w:color w:val="000000"/>
                <w:sz w:val="22"/>
                <w:szCs w:val="22"/>
              </w:rPr>
            </w:pPr>
            <w:r w:rsidRPr="00675182">
              <w:rPr>
                <w:rFonts w:cstheme="minorHAnsi"/>
                <w:color w:val="000000"/>
                <w:sz w:val="22"/>
                <w:szCs w:val="22"/>
              </w:rPr>
              <w:t>ES V</w:t>
            </w:r>
          </w:p>
        </w:tc>
        <w:tc>
          <w:tcPr>
            <w:tcW w:w="437" w:type="pct"/>
            <w:tcBorders>
              <w:top w:val="single" w:sz="4" w:space="0" w:color="auto"/>
              <w:left w:val="single" w:sz="4" w:space="0" w:color="auto"/>
              <w:bottom w:val="single" w:sz="4" w:space="0" w:color="auto"/>
              <w:right w:val="single" w:sz="4" w:space="0" w:color="auto"/>
            </w:tcBorders>
            <w:hideMark/>
          </w:tcPr>
          <w:p w14:paraId="72CDB568"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III</w:t>
            </w:r>
          </w:p>
        </w:tc>
        <w:tc>
          <w:tcPr>
            <w:tcW w:w="915"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8B554BC" w14:textId="77777777" w:rsidR="00A37BF0" w:rsidRPr="00675182" w:rsidRDefault="00A37BF0">
            <w:pPr>
              <w:jc w:val="center"/>
              <w:rPr>
                <w:rFonts w:cstheme="minorHAnsi"/>
                <w:color w:val="000000"/>
                <w:sz w:val="22"/>
                <w:szCs w:val="22"/>
              </w:rPr>
            </w:pPr>
            <w:r w:rsidRPr="00675182">
              <w:rPr>
                <w:rFonts w:cstheme="minorHAnsi"/>
                <w:color w:val="000000"/>
                <w:sz w:val="22"/>
                <w:szCs w:val="22"/>
              </w:rPr>
              <w:t>FV</w:t>
            </w:r>
          </w:p>
        </w:tc>
        <w:tc>
          <w:tcPr>
            <w:tcW w:w="1089" w:type="pct"/>
            <w:tcBorders>
              <w:top w:val="single" w:sz="4" w:space="0" w:color="auto"/>
              <w:left w:val="single" w:sz="4" w:space="0" w:color="auto"/>
              <w:bottom w:val="single" w:sz="4" w:space="0" w:color="auto"/>
              <w:right w:val="single" w:sz="4" w:space="0" w:color="auto"/>
            </w:tcBorders>
            <w:hideMark/>
          </w:tcPr>
          <w:p w14:paraId="3F80972C" w14:textId="71DD19FD" w:rsidR="00A37BF0" w:rsidRPr="00675182" w:rsidRDefault="008D7637">
            <w:pPr>
              <w:rPr>
                <w:rFonts w:cstheme="minorHAnsi"/>
                <w:sz w:val="22"/>
                <w:szCs w:val="22"/>
              </w:rPr>
            </w:pPr>
            <w:r>
              <w:rPr>
                <w:rFonts w:cstheme="minorHAnsi"/>
                <w:sz w:val="22"/>
                <w:szCs w:val="22"/>
              </w:rPr>
              <w:t>I</w:t>
            </w:r>
            <w:r w:rsidRPr="008D7637">
              <w:rPr>
                <w:rFonts w:cstheme="minorHAnsi"/>
                <w:sz w:val="22"/>
                <w:szCs w:val="22"/>
              </w:rPr>
              <w:t>zplatība nav zināma, iespējams, sajaukta ar dīķa vardi</w:t>
            </w:r>
            <w:r>
              <w:rPr>
                <w:rFonts w:cstheme="minorHAnsi"/>
                <w:sz w:val="22"/>
                <w:szCs w:val="22"/>
              </w:rPr>
              <w:t>.</w:t>
            </w:r>
          </w:p>
        </w:tc>
      </w:tr>
      <w:tr w:rsidR="00E333DE" w:rsidRPr="00675182" w14:paraId="360C8A90"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4AB5D254"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w:t>
            </w:r>
          </w:p>
        </w:tc>
        <w:tc>
          <w:tcPr>
            <w:tcW w:w="659" w:type="pct"/>
            <w:tcBorders>
              <w:top w:val="single" w:sz="4" w:space="0" w:color="auto"/>
              <w:left w:val="single" w:sz="4" w:space="0" w:color="auto"/>
              <w:bottom w:val="single" w:sz="4" w:space="0" w:color="auto"/>
              <w:right w:val="single" w:sz="4" w:space="0" w:color="auto"/>
            </w:tcBorders>
            <w:vAlign w:val="center"/>
            <w:hideMark/>
          </w:tcPr>
          <w:p w14:paraId="3C52C991" w14:textId="52518D18" w:rsidR="00A37BF0" w:rsidRPr="00675182" w:rsidRDefault="00FD0BE6">
            <w:pPr>
              <w:rPr>
                <w:rFonts w:eastAsia="Times New Roman" w:cstheme="minorHAnsi"/>
                <w:color w:val="000000"/>
                <w:sz w:val="22"/>
                <w:szCs w:val="22"/>
                <w:lang w:eastAsia="en-GB"/>
              </w:rPr>
            </w:pPr>
            <w:r w:rsidRPr="00675182">
              <w:rPr>
                <w:rFonts w:cstheme="minorHAnsi"/>
                <w:bCs/>
                <w:sz w:val="22"/>
                <w:szCs w:val="22"/>
              </w:rPr>
              <w:t>D</w:t>
            </w:r>
            <w:r w:rsidR="00A37BF0" w:rsidRPr="00675182">
              <w:rPr>
                <w:rFonts w:cstheme="minorHAnsi"/>
                <w:bCs/>
                <w:sz w:val="22"/>
                <w:szCs w:val="22"/>
              </w:rPr>
              <w:t>īķa varde</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4F0B8C7A"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Pelophylax lessonae</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09190522" w14:textId="77777777" w:rsidR="00A37BF0" w:rsidRPr="00675182" w:rsidRDefault="00A37BF0">
            <w:pPr>
              <w:jc w:val="center"/>
              <w:rPr>
                <w:rFonts w:cstheme="minorHAnsi"/>
                <w:color w:val="000000"/>
                <w:sz w:val="22"/>
                <w:szCs w:val="22"/>
              </w:rPr>
            </w:pPr>
            <w:r w:rsidRPr="00675182">
              <w:rPr>
                <w:rFonts w:cstheme="minorHAnsi"/>
                <w:color w:val="000000"/>
                <w:sz w:val="22"/>
                <w:szCs w:val="22"/>
              </w:rPr>
              <w:t>ES IV</w:t>
            </w:r>
          </w:p>
        </w:tc>
        <w:tc>
          <w:tcPr>
            <w:tcW w:w="437" w:type="pct"/>
            <w:tcBorders>
              <w:top w:val="single" w:sz="4" w:space="0" w:color="auto"/>
              <w:left w:val="single" w:sz="4" w:space="0" w:color="auto"/>
              <w:bottom w:val="single" w:sz="4" w:space="0" w:color="auto"/>
              <w:right w:val="single" w:sz="4" w:space="0" w:color="auto"/>
            </w:tcBorders>
            <w:hideMark/>
          </w:tcPr>
          <w:p w14:paraId="1FE6908B"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III</w:t>
            </w:r>
          </w:p>
        </w:tc>
        <w:tc>
          <w:tcPr>
            <w:tcW w:w="915"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B43D7E5" w14:textId="77777777" w:rsidR="00A37BF0" w:rsidRPr="00675182" w:rsidRDefault="00A37BF0">
            <w:pPr>
              <w:jc w:val="center"/>
              <w:rPr>
                <w:rFonts w:cstheme="minorHAnsi"/>
                <w:color w:val="000000"/>
                <w:sz w:val="22"/>
                <w:szCs w:val="22"/>
              </w:rPr>
            </w:pPr>
            <w:r w:rsidRPr="00675182">
              <w:rPr>
                <w:rFonts w:cstheme="minorHAnsi"/>
                <w:color w:val="000000"/>
                <w:sz w:val="22"/>
                <w:szCs w:val="22"/>
              </w:rPr>
              <w:t>FV</w:t>
            </w:r>
          </w:p>
        </w:tc>
        <w:tc>
          <w:tcPr>
            <w:tcW w:w="1089" w:type="pct"/>
            <w:tcBorders>
              <w:top w:val="single" w:sz="4" w:space="0" w:color="auto"/>
              <w:left w:val="single" w:sz="4" w:space="0" w:color="auto"/>
              <w:bottom w:val="single" w:sz="4" w:space="0" w:color="auto"/>
              <w:right w:val="single" w:sz="4" w:space="0" w:color="auto"/>
            </w:tcBorders>
            <w:hideMark/>
          </w:tcPr>
          <w:p w14:paraId="24BE5D43" w14:textId="77777777" w:rsidR="00A37BF0" w:rsidRPr="00675182" w:rsidRDefault="00A37BF0">
            <w:pPr>
              <w:rPr>
                <w:rFonts w:cstheme="minorHAnsi"/>
                <w:sz w:val="22"/>
                <w:szCs w:val="22"/>
              </w:rPr>
            </w:pPr>
            <w:r w:rsidRPr="00675182">
              <w:rPr>
                <w:rFonts w:cstheme="minorHAnsi"/>
                <w:sz w:val="22"/>
                <w:szCs w:val="22"/>
              </w:rPr>
              <w:t>Bieži</w:t>
            </w:r>
          </w:p>
        </w:tc>
      </w:tr>
      <w:tr w:rsidR="00E333DE" w:rsidRPr="00675182" w14:paraId="6D7CA7A0"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1A2C8B22"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9.</w:t>
            </w:r>
          </w:p>
        </w:tc>
        <w:tc>
          <w:tcPr>
            <w:tcW w:w="659" w:type="pct"/>
            <w:tcBorders>
              <w:top w:val="single" w:sz="4" w:space="0" w:color="auto"/>
              <w:left w:val="single" w:sz="4" w:space="0" w:color="auto"/>
              <w:bottom w:val="single" w:sz="4" w:space="0" w:color="auto"/>
              <w:right w:val="single" w:sz="4" w:space="0" w:color="auto"/>
            </w:tcBorders>
            <w:vAlign w:val="center"/>
            <w:hideMark/>
          </w:tcPr>
          <w:p w14:paraId="39E26281" w14:textId="7BC30D1F" w:rsidR="00A37BF0" w:rsidRPr="00675182" w:rsidRDefault="00FD0BE6">
            <w:pPr>
              <w:rPr>
                <w:rFonts w:eastAsia="Times New Roman" w:cstheme="minorHAnsi"/>
                <w:color w:val="000000"/>
                <w:sz w:val="22"/>
                <w:szCs w:val="22"/>
                <w:lang w:eastAsia="en-GB"/>
              </w:rPr>
            </w:pPr>
            <w:r w:rsidRPr="00675182">
              <w:rPr>
                <w:rFonts w:cstheme="minorHAnsi"/>
                <w:bCs/>
                <w:sz w:val="22"/>
                <w:szCs w:val="22"/>
              </w:rPr>
              <w:t>B</w:t>
            </w:r>
            <w:r w:rsidR="00A37BF0" w:rsidRPr="00675182">
              <w:rPr>
                <w:rFonts w:cstheme="minorHAnsi"/>
                <w:bCs/>
                <w:sz w:val="22"/>
                <w:szCs w:val="22"/>
              </w:rPr>
              <w:t>rūnais varžkrupis</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3CE9CFD2"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Pelobates fuscus</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70D686C6" w14:textId="77777777" w:rsidR="00A37BF0" w:rsidRPr="00675182" w:rsidRDefault="00A37BF0">
            <w:pPr>
              <w:jc w:val="center"/>
              <w:rPr>
                <w:rFonts w:cstheme="minorHAnsi"/>
                <w:color w:val="000000"/>
                <w:sz w:val="22"/>
                <w:szCs w:val="22"/>
              </w:rPr>
            </w:pPr>
            <w:r w:rsidRPr="00675182">
              <w:rPr>
                <w:rFonts w:cstheme="minorHAnsi"/>
                <w:color w:val="000000"/>
                <w:sz w:val="22"/>
                <w:szCs w:val="22"/>
              </w:rPr>
              <w:t>ES IV, ĪAS</w:t>
            </w:r>
          </w:p>
        </w:tc>
        <w:tc>
          <w:tcPr>
            <w:tcW w:w="437" w:type="pct"/>
            <w:tcBorders>
              <w:top w:val="single" w:sz="4" w:space="0" w:color="auto"/>
              <w:left w:val="single" w:sz="4" w:space="0" w:color="auto"/>
              <w:bottom w:val="single" w:sz="4" w:space="0" w:color="auto"/>
              <w:right w:val="single" w:sz="4" w:space="0" w:color="auto"/>
            </w:tcBorders>
            <w:hideMark/>
          </w:tcPr>
          <w:p w14:paraId="70FD51D0" w14:textId="77777777" w:rsidR="00A37BF0" w:rsidRPr="00675182" w:rsidRDefault="00A37BF0">
            <w:pPr>
              <w:jc w:val="center"/>
              <w:rPr>
                <w:rFonts w:cstheme="minorHAnsi"/>
                <w:color w:val="000000"/>
                <w:sz w:val="22"/>
                <w:szCs w:val="22"/>
              </w:rPr>
            </w:pPr>
            <w:r w:rsidRPr="00675182">
              <w:rPr>
                <w:rFonts w:cstheme="minorHAnsi"/>
                <w:color w:val="000000"/>
                <w:sz w:val="22"/>
                <w:szCs w:val="22"/>
              </w:rPr>
              <w:t>SG IV, BK II</w:t>
            </w:r>
          </w:p>
        </w:tc>
        <w:tc>
          <w:tcPr>
            <w:tcW w:w="915"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1388A61" w14:textId="77777777" w:rsidR="00A37BF0" w:rsidRPr="00675182" w:rsidRDefault="00A37BF0">
            <w:pPr>
              <w:jc w:val="center"/>
              <w:rPr>
                <w:rFonts w:cstheme="minorHAnsi"/>
                <w:color w:val="000000"/>
                <w:sz w:val="22"/>
                <w:szCs w:val="22"/>
              </w:rPr>
            </w:pPr>
            <w:r w:rsidRPr="00675182">
              <w:rPr>
                <w:rFonts w:cstheme="minorHAnsi"/>
                <w:color w:val="000000"/>
                <w:sz w:val="22"/>
                <w:szCs w:val="22"/>
              </w:rPr>
              <w:t>U1x</w:t>
            </w:r>
          </w:p>
        </w:tc>
        <w:tc>
          <w:tcPr>
            <w:tcW w:w="1089" w:type="pct"/>
            <w:tcBorders>
              <w:top w:val="single" w:sz="4" w:space="0" w:color="auto"/>
              <w:left w:val="single" w:sz="4" w:space="0" w:color="auto"/>
              <w:bottom w:val="single" w:sz="4" w:space="0" w:color="auto"/>
              <w:right w:val="single" w:sz="4" w:space="0" w:color="auto"/>
            </w:tcBorders>
            <w:hideMark/>
          </w:tcPr>
          <w:p w14:paraId="312181C8" w14:textId="1574C875" w:rsidR="00A37BF0" w:rsidRPr="00675182" w:rsidRDefault="005C7C19">
            <w:pPr>
              <w:rPr>
                <w:rFonts w:cstheme="minorHAnsi"/>
                <w:sz w:val="22"/>
                <w:szCs w:val="22"/>
              </w:rPr>
            </w:pPr>
            <w:r w:rsidRPr="00675182">
              <w:rPr>
                <w:rFonts w:cstheme="minorHAnsi"/>
                <w:sz w:val="22"/>
                <w:szCs w:val="22"/>
              </w:rPr>
              <w:t>Reti</w:t>
            </w:r>
          </w:p>
        </w:tc>
      </w:tr>
      <w:tr w:rsidR="00E333DE" w:rsidRPr="00675182" w14:paraId="3B369E76"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62379A63"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10.</w:t>
            </w:r>
          </w:p>
        </w:tc>
        <w:tc>
          <w:tcPr>
            <w:tcW w:w="659" w:type="pct"/>
            <w:tcBorders>
              <w:top w:val="single" w:sz="4" w:space="0" w:color="auto"/>
              <w:left w:val="single" w:sz="4" w:space="0" w:color="auto"/>
              <w:bottom w:val="single" w:sz="4" w:space="0" w:color="auto"/>
              <w:right w:val="single" w:sz="4" w:space="0" w:color="auto"/>
            </w:tcBorders>
            <w:vAlign w:val="center"/>
            <w:hideMark/>
          </w:tcPr>
          <w:p w14:paraId="0A2AAC26" w14:textId="3894D16E" w:rsidR="00A37BF0" w:rsidRPr="00675182" w:rsidRDefault="00FD0BE6">
            <w:pPr>
              <w:rPr>
                <w:rFonts w:eastAsia="Times New Roman" w:cstheme="minorHAnsi"/>
                <w:color w:val="000000"/>
                <w:sz w:val="22"/>
                <w:szCs w:val="22"/>
                <w:lang w:eastAsia="en-GB"/>
              </w:rPr>
            </w:pPr>
            <w:r w:rsidRPr="00675182">
              <w:rPr>
                <w:rFonts w:cstheme="minorHAnsi"/>
                <w:bCs/>
                <w:sz w:val="22"/>
                <w:szCs w:val="22"/>
              </w:rPr>
              <w:t>S</w:t>
            </w:r>
            <w:r w:rsidR="00A37BF0" w:rsidRPr="00675182">
              <w:rPr>
                <w:rFonts w:cstheme="minorHAnsi"/>
                <w:bCs/>
                <w:sz w:val="22"/>
                <w:szCs w:val="22"/>
              </w:rPr>
              <w:t>ila ķirzaka</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221ADBAA"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Lacerta agilis</w:t>
            </w:r>
          </w:p>
        </w:tc>
        <w:tc>
          <w:tcPr>
            <w:tcW w:w="617" w:type="pct"/>
            <w:tcBorders>
              <w:top w:val="single" w:sz="4" w:space="0" w:color="auto"/>
              <w:left w:val="single" w:sz="4" w:space="0" w:color="auto"/>
              <w:bottom w:val="single" w:sz="4" w:space="0" w:color="auto"/>
              <w:right w:val="single" w:sz="4" w:space="0" w:color="auto"/>
            </w:tcBorders>
            <w:noWrap/>
            <w:vAlign w:val="center"/>
            <w:hideMark/>
          </w:tcPr>
          <w:p w14:paraId="7B69C286" w14:textId="77777777" w:rsidR="00A37BF0" w:rsidRPr="00675182" w:rsidRDefault="00A37BF0">
            <w:pPr>
              <w:jc w:val="center"/>
              <w:rPr>
                <w:rFonts w:cstheme="minorHAnsi"/>
                <w:color w:val="000000"/>
                <w:sz w:val="22"/>
                <w:szCs w:val="22"/>
              </w:rPr>
            </w:pPr>
            <w:r w:rsidRPr="00675182">
              <w:rPr>
                <w:rFonts w:cstheme="minorHAnsi"/>
                <w:color w:val="000000"/>
                <w:sz w:val="22"/>
                <w:szCs w:val="22"/>
              </w:rPr>
              <w:t>ES IV, ĪAS</w:t>
            </w:r>
          </w:p>
        </w:tc>
        <w:tc>
          <w:tcPr>
            <w:tcW w:w="437" w:type="pct"/>
            <w:tcBorders>
              <w:top w:val="single" w:sz="4" w:space="0" w:color="auto"/>
              <w:left w:val="single" w:sz="4" w:space="0" w:color="auto"/>
              <w:bottom w:val="single" w:sz="4" w:space="0" w:color="auto"/>
              <w:right w:val="single" w:sz="4" w:space="0" w:color="auto"/>
            </w:tcBorders>
            <w:hideMark/>
          </w:tcPr>
          <w:p w14:paraId="2358909C" w14:textId="77777777" w:rsidR="00A37BF0" w:rsidRPr="00675182" w:rsidRDefault="00A37BF0">
            <w:pPr>
              <w:jc w:val="center"/>
              <w:rPr>
                <w:rFonts w:cstheme="minorHAnsi"/>
                <w:color w:val="000000"/>
                <w:sz w:val="22"/>
                <w:szCs w:val="22"/>
              </w:rPr>
            </w:pPr>
            <w:r w:rsidRPr="00675182">
              <w:rPr>
                <w:rFonts w:cstheme="minorHAnsi"/>
                <w:color w:val="000000"/>
                <w:sz w:val="22"/>
                <w:szCs w:val="22"/>
              </w:rPr>
              <w:t>SG III, BK III</w:t>
            </w:r>
          </w:p>
        </w:tc>
        <w:tc>
          <w:tcPr>
            <w:tcW w:w="915"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7B062F4" w14:textId="77777777" w:rsidR="00A37BF0" w:rsidRPr="00675182" w:rsidRDefault="00A37BF0">
            <w:pPr>
              <w:jc w:val="center"/>
              <w:rPr>
                <w:rFonts w:cstheme="minorHAnsi"/>
                <w:color w:val="000000"/>
                <w:sz w:val="22"/>
                <w:szCs w:val="22"/>
              </w:rPr>
            </w:pPr>
            <w:r w:rsidRPr="00675182">
              <w:rPr>
                <w:rFonts w:cstheme="minorHAnsi"/>
                <w:color w:val="000000"/>
                <w:sz w:val="22"/>
                <w:szCs w:val="22"/>
              </w:rPr>
              <w:t>U1=</w:t>
            </w:r>
          </w:p>
        </w:tc>
        <w:tc>
          <w:tcPr>
            <w:tcW w:w="1089" w:type="pct"/>
            <w:tcBorders>
              <w:top w:val="single" w:sz="4" w:space="0" w:color="auto"/>
              <w:left w:val="single" w:sz="4" w:space="0" w:color="auto"/>
              <w:bottom w:val="single" w:sz="4" w:space="0" w:color="auto"/>
              <w:right w:val="single" w:sz="4" w:space="0" w:color="auto"/>
            </w:tcBorders>
            <w:hideMark/>
          </w:tcPr>
          <w:p w14:paraId="64D0D98B" w14:textId="77777777" w:rsidR="00A37BF0" w:rsidRPr="00675182" w:rsidRDefault="00A37BF0">
            <w:pPr>
              <w:rPr>
                <w:rFonts w:cstheme="minorHAnsi"/>
                <w:sz w:val="22"/>
                <w:szCs w:val="22"/>
              </w:rPr>
            </w:pPr>
            <w:r w:rsidRPr="00675182">
              <w:rPr>
                <w:rFonts w:cstheme="minorHAnsi"/>
                <w:sz w:val="22"/>
                <w:szCs w:val="22"/>
              </w:rPr>
              <w:t>Reti</w:t>
            </w:r>
          </w:p>
        </w:tc>
      </w:tr>
      <w:tr w:rsidR="00E333DE" w:rsidRPr="00675182" w14:paraId="3066E053"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3969DD19"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11.</w:t>
            </w:r>
          </w:p>
        </w:tc>
        <w:tc>
          <w:tcPr>
            <w:tcW w:w="659" w:type="pct"/>
            <w:tcBorders>
              <w:top w:val="single" w:sz="4" w:space="0" w:color="auto"/>
              <w:left w:val="single" w:sz="4" w:space="0" w:color="auto"/>
              <w:bottom w:val="single" w:sz="4" w:space="0" w:color="auto"/>
              <w:right w:val="single" w:sz="4" w:space="0" w:color="auto"/>
            </w:tcBorders>
            <w:vAlign w:val="center"/>
            <w:hideMark/>
          </w:tcPr>
          <w:p w14:paraId="2D53E5D2" w14:textId="09DE60EA" w:rsidR="00A37BF0" w:rsidRPr="00675182" w:rsidRDefault="00FD0BE6">
            <w:pPr>
              <w:rPr>
                <w:rFonts w:eastAsia="Times New Roman" w:cstheme="minorHAnsi"/>
                <w:color w:val="000000"/>
                <w:sz w:val="22"/>
                <w:szCs w:val="22"/>
                <w:lang w:eastAsia="en-GB"/>
              </w:rPr>
            </w:pPr>
            <w:r w:rsidRPr="00675182">
              <w:rPr>
                <w:rFonts w:cstheme="minorHAnsi"/>
                <w:bCs/>
                <w:sz w:val="22"/>
                <w:szCs w:val="22"/>
              </w:rPr>
              <w:t>P</w:t>
            </w:r>
            <w:r w:rsidR="00A37BF0" w:rsidRPr="00675182">
              <w:rPr>
                <w:rFonts w:cstheme="minorHAnsi"/>
                <w:bCs/>
                <w:sz w:val="22"/>
                <w:szCs w:val="22"/>
              </w:rPr>
              <w:t>ļavas ķirzaka</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06A465AF"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Zootoca vivipara</w:t>
            </w:r>
          </w:p>
        </w:tc>
        <w:tc>
          <w:tcPr>
            <w:tcW w:w="617" w:type="pct"/>
            <w:tcBorders>
              <w:top w:val="single" w:sz="4" w:space="0" w:color="auto"/>
              <w:left w:val="single" w:sz="4" w:space="0" w:color="auto"/>
              <w:bottom w:val="single" w:sz="4" w:space="0" w:color="auto"/>
              <w:right w:val="single" w:sz="4" w:space="0" w:color="auto"/>
            </w:tcBorders>
            <w:noWrap/>
            <w:vAlign w:val="center"/>
          </w:tcPr>
          <w:p w14:paraId="6BDDAD7C" w14:textId="77777777" w:rsidR="00A37BF0" w:rsidRPr="00675182" w:rsidRDefault="00A37BF0">
            <w:pPr>
              <w:jc w:val="center"/>
              <w:rPr>
                <w:rFonts w:cstheme="minorHAnsi"/>
                <w:color w:val="000000"/>
                <w:sz w:val="22"/>
                <w:szCs w:val="22"/>
              </w:rPr>
            </w:pPr>
          </w:p>
        </w:tc>
        <w:tc>
          <w:tcPr>
            <w:tcW w:w="437" w:type="pct"/>
            <w:tcBorders>
              <w:top w:val="single" w:sz="4" w:space="0" w:color="auto"/>
              <w:left w:val="single" w:sz="4" w:space="0" w:color="auto"/>
              <w:bottom w:val="single" w:sz="4" w:space="0" w:color="auto"/>
              <w:right w:val="single" w:sz="4" w:space="0" w:color="auto"/>
            </w:tcBorders>
            <w:hideMark/>
          </w:tcPr>
          <w:p w14:paraId="32554FC1"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III</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E17390" w14:textId="77777777" w:rsidR="00A37BF0" w:rsidRPr="00675182" w:rsidRDefault="00A37BF0">
            <w:pPr>
              <w:jc w:val="center"/>
              <w:rPr>
                <w:rFonts w:cstheme="minorHAnsi"/>
                <w:color w:val="000000"/>
                <w:sz w:val="22"/>
                <w:szCs w:val="22"/>
              </w:rPr>
            </w:pPr>
          </w:p>
        </w:tc>
        <w:tc>
          <w:tcPr>
            <w:tcW w:w="1089" w:type="pct"/>
            <w:tcBorders>
              <w:top w:val="single" w:sz="4" w:space="0" w:color="auto"/>
              <w:left w:val="single" w:sz="4" w:space="0" w:color="auto"/>
              <w:bottom w:val="single" w:sz="4" w:space="0" w:color="auto"/>
              <w:right w:val="single" w:sz="4" w:space="0" w:color="auto"/>
            </w:tcBorders>
            <w:hideMark/>
          </w:tcPr>
          <w:p w14:paraId="1D1B03A0" w14:textId="77777777" w:rsidR="00A37BF0" w:rsidRPr="00675182" w:rsidRDefault="00A37BF0">
            <w:pPr>
              <w:rPr>
                <w:rFonts w:cstheme="minorHAnsi"/>
                <w:sz w:val="22"/>
                <w:szCs w:val="22"/>
              </w:rPr>
            </w:pPr>
            <w:r w:rsidRPr="00675182">
              <w:rPr>
                <w:rFonts w:cstheme="minorHAnsi"/>
                <w:sz w:val="22"/>
                <w:szCs w:val="22"/>
              </w:rPr>
              <w:t>Bieži</w:t>
            </w:r>
          </w:p>
        </w:tc>
      </w:tr>
      <w:tr w:rsidR="00E333DE" w:rsidRPr="00675182" w14:paraId="12C2BD62"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75B8A9C3"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12.</w:t>
            </w:r>
          </w:p>
        </w:tc>
        <w:tc>
          <w:tcPr>
            <w:tcW w:w="659" w:type="pct"/>
            <w:tcBorders>
              <w:top w:val="single" w:sz="4" w:space="0" w:color="auto"/>
              <w:left w:val="single" w:sz="4" w:space="0" w:color="auto"/>
              <w:bottom w:val="single" w:sz="4" w:space="0" w:color="auto"/>
              <w:right w:val="single" w:sz="4" w:space="0" w:color="auto"/>
            </w:tcBorders>
            <w:vAlign w:val="center"/>
            <w:hideMark/>
          </w:tcPr>
          <w:p w14:paraId="4855A755" w14:textId="20C886AD" w:rsidR="00A37BF0" w:rsidRPr="00675182" w:rsidRDefault="00FD0BE6">
            <w:pPr>
              <w:rPr>
                <w:rFonts w:eastAsia="Times New Roman" w:cstheme="minorHAnsi"/>
                <w:color w:val="000000"/>
                <w:sz w:val="22"/>
                <w:szCs w:val="22"/>
                <w:lang w:eastAsia="en-GB"/>
              </w:rPr>
            </w:pPr>
            <w:r w:rsidRPr="00675182">
              <w:rPr>
                <w:rFonts w:cstheme="minorHAnsi"/>
                <w:bCs/>
                <w:sz w:val="22"/>
                <w:szCs w:val="22"/>
              </w:rPr>
              <w:t>G</w:t>
            </w:r>
            <w:r w:rsidR="00A37BF0" w:rsidRPr="00675182">
              <w:rPr>
                <w:rFonts w:cstheme="minorHAnsi"/>
                <w:bCs/>
                <w:sz w:val="22"/>
                <w:szCs w:val="22"/>
              </w:rPr>
              <w:t>lodene</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19014DB6"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Anguis fragilis</w:t>
            </w:r>
          </w:p>
        </w:tc>
        <w:tc>
          <w:tcPr>
            <w:tcW w:w="617" w:type="pct"/>
            <w:tcBorders>
              <w:top w:val="single" w:sz="4" w:space="0" w:color="auto"/>
              <w:left w:val="single" w:sz="4" w:space="0" w:color="auto"/>
              <w:bottom w:val="single" w:sz="4" w:space="0" w:color="auto"/>
              <w:right w:val="single" w:sz="4" w:space="0" w:color="auto"/>
            </w:tcBorders>
            <w:noWrap/>
            <w:vAlign w:val="center"/>
          </w:tcPr>
          <w:p w14:paraId="620EECD2" w14:textId="77777777" w:rsidR="00A37BF0" w:rsidRPr="00675182" w:rsidRDefault="00A37BF0">
            <w:pPr>
              <w:jc w:val="center"/>
              <w:rPr>
                <w:rFonts w:cstheme="minorHAnsi"/>
                <w:color w:val="000000"/>
                <w:sz w:val="22"/>
                <w:szCs w:val="22"/>
              </w:rPr>
            </w:pPr>
          </w:p>
        </w:tc>
        <w:tc>
          <w:tcPr>
            <w:tcW w:w="437" w:type="pct"/>
            <w:tcBorders>
              <w:top w:val="single" w:sz="4" w:space="0" w:color="auto"/>
              <w:left w:val="single" w:sz="4" w:space="0" w:color="auto"/>
              <w:bottom w:val="single" w:sz="4" w:space="0" w:color="auto"/>
              <w:right w:val="single" w:sz="4" w:space="0" w:color="auto"/>
            </w:tcBorders>
            <w:hideMark/>
          </w:tcPr>
          <w:p w14:paraId="71A02CD9"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III</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E564A3" w14:textId="77777777" w:rsidR="00A37BF0" w:rsidRPr="00675182" w:rsidRDefault="00A37BF0">
            <w:pPr>
              <w:jc w:val="center"/>
              <w:rPr>
                <w:rFonts w:cstheme="minorHAnsi"/>
                <w:color w:val="000000"/>
                <w:sz w:val="22"/>
                <w:szCs w:val="22"/>
              </w:rPr>
            </w:pPr>
          </w:p>
        </w:tc>
        <w:tc>
          <w:tcPr>
            <w:tcW w:w="1089" w:type="pct"/>
            <w:tcBorders>
              <w:top w:val="single" w:sz="4" w:space="0" w:color="auto"/>
              <w:left w:val="single" w:sz="4" w:space="0" w:color="auto"/>
              <w:bottom w:val="single" w:sz="4" w:space="0" w:color="auto"/>
              <w:right w:val="single" w:sz="4" w:space="0" w:color="auto"/>
            </w:tcBorders>
            <w:hideMark/>
          </w:tcPr>
          <w:p w14:paraId="035298F6" w14:textId="39A3B727" w:rsidR="00A37BF0" w:rsidRPr="00675182" w:rsidRDefault="00A37BF0">
            <w:pPr>
              <w:rPr>
                <w:rFonts w:cstheme="minorHAnsi"/>
                <w:sz w:val="22"/>
                <w:szCs w:val="22"/>
              </w:rPr>
            </w:pPr>
            <w:r w:rsidRPr="00675182">
              <w:rPr>
                <w:rFonts w:cstheme="minorHAnsi"/>
                <w:sz w:val="22"/>
                <w:szCs w:val="22"/>
              </w:rPr>
              <w:t>Vie</w:t>
            </w:r>
            <w:r w:rsidR="00FD0BE6" w:rsidRPr="00675182">
              <w:rPr>
                <w:rFonts w:cstheme="minorHAnsi"/>
                <w:sz w:val="22"/>
                <w:szCs w:val="22"/>
              </w:rPr>
              <w:t>t</w:t>
            </w:r>
            <w:r w:rsidRPr="00675182">
              <w:rPr>
                <w:rFonts w:cstheme="minorHAnsi"/>
                <w:sz w:val="22"/>
                <w:szCs w:val="22"/>
              </w:rPr>
              <w:t>ām</w:t>
            </w:r>
          </w:p>
        </w:tc>
      </w:tr>
      <w:tr w:rsidR="00E333DE" w:rsidRPr="00675182" w14:paraId="19766C9F"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53E80BEE"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13.</w:t>
            </w:r>
          </w:p>
        </w:tc>
        <w:tc>
          <w:tcPr>
            <w:tcW w:w="659" w:type="pct"/>
            <w:tcBorders>
              <w:top w:val="single" w:sz="4" w:space="0" w:color="auto"/>
              <w:left w:val="single" w:sz="4" w:space="0" w:color="auto"/>
              <w:bottom w:val="single" w:sz="4" w:space="0" w:color="auto"/>
              <w:right w:val="single" w:sz="4" w:space="0" w:color="auto"/>
            </w:tcBorders>
            <w:vAlign w:val="center"/>
            <w:hideMark/>
          </w:tcPr>
          <w:p w14:paraId="081E8434" w14:textId="7831E173" w:rsidR="00A37BF0" w:rsidRPr="00675182" w:rsidRDefault="00FD0BE6">
            <w:pPr>
              <w:rPr>
                <w:rFonts w:eastAsia="Times New Roman" w:cstheme="minorHAnsi"/>
                <w:color w:val="000000"/>
                <w:sz w:val="22"/>
                <w:szCs w:val="22"/>
                <w:lang w:eastAsia="en-GB"/>
              </w:rPr>
            </w:pPr>
            <w:r w:rsidRPr="00675182">
              <w:rPr>
                <w:rFonts w:cstheme="minorHAnsi"/>
                <w:bCs/>
                <w:sz w:val="22"/>
                <w:szCs w:val="22"/>
              </w:rPr>
              <w:t>P</w:t>
            </w:r>
            <w:r w:rsidR="00A37BF0" w:rsidRPr="00675182">
              <w:rPr>
                <w:rFonts w:cstheme="minorHAnsi"/>
                <w:bCs/>
                <w:sz w:val="22"/>
                <w:szCs w:val="22"/>
              </w:rPr>
              <w:t>arastais zalktis</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15C27118" w14:textId="77777777" w:rsidR="00A37BF0" w:rsidRPr="00675182" w:rsidRDefault="00A37BF0">
            <w:pPr>
              <w:rPr>
                <w:rFonts w:eastAsia="Times New Roman" w:cstheme="minorHAnsi"/>
                <w:i/>
                <w:color w:val="000000"/>
                <w:sz w:val="22"/>
                <w:szCs w:val="22"/>
                <w:lang w:eastAsia="en-GB"/>
              </w:rPr>
            </w:pPr>
            <w:r w:rsidRPr="00675182">
              <w:rPr>
                <w:rFonts w:cstheme="minorHAnsi"/>
                <w:bCs/>
                <w:i/>
                <w:sz w:val="22"/>
                <w:szCs w:val="22"/>
              </w:rPr>
              <w:t>Natrix natrix</w:t>
            </w:r>
          </w:p>
        </w:tc>
        <w:tc>
          <w:tcPr>
            <w:tcW w:w="617" w:type="pct"/>
            <w:tcBorders>
              <w:top w:val="single" w:sz="4" w:space="0" w:color="auto"/>
              <w:left w:val="single" w:sz="4" w:space="0" w:color="auto"/>
              <w:bottom w:val="single" w:sz="4" w:space="0" w:color="auto"/>
              <w:right w:val="single" w:sz="4" w:space="0" w:color="auto"/>
            </w:tcBorders>
            <w:noWrap/>
            <w:vAlign w:val="center"/>
          </w:tcPr>
          <w:p w14:paraId="5F797404" w14:textId="77777777" w:rsidR="00A37BF0" w:rsidRPr="00675182" w:rsidRDefault="00A37BF0">
            <w:pPr>
              <w:jc w:val="center"/>
              <w:rPr>
                <w:rFonts w:cstheme="minorHAnsi"/>
                <w:color w:val="000000"/>
                <w:sz w:val="22"/>
                <w:szCs w:val="22"/>
              </w:rPr>
            </w:pPr>
          </w:p>
        </w:tc>
        <w:tc>
          <w:tcPr>
            <w:tcW w:w="437" w:type="pct"/>
            <w:tcBorders>
              <w:top w:val="single" w:sz="4" w:space="0" w:color="auto"/>
              <w:left w:val="single" w:sz="4" w:space="0" w:color="auto"/>
              <w:bottom w:val="single" w:sz="4" w:space="0" w:color="auto"/>
              <w:right w:val="single" w:sz="4" w:space="0" w:color="auto"/>
            </w:tcBorders>
            <w:hideMark/>
          </w:tcPr>
          <w:p w14:paraId="5164B689"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III</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BB93FE" w14:textId="77777777" w:rsidR="00A37BF0" w:rsidRPr="00675182" w:rsidRDefault="00A37BF0">
            <w:pPr>
              <w:jc w:val="center"/>
              <w:rPr>
                <w:rFonts w:cstheme="minorHAnsi"/>
                <w:color w:val="000000"/>
                <w:sz w:val="22"/>
                <w:szCs w:val="22"/>
              </w:rPr>
            </w:pPr>
          </w:p>
        </w:tc>
        <w:tc>
          <w:tcPr>
            <w:tcW w:w="1089" w:type="pct"/>
            <w:tcBorders>
              <w:top w:val="single" w:sz="4" w:space="0" w:color="auto"/>
              <w:left w:val="single" w:sz="4" w:space="0" w:color="auto"/>
              <w:bottom w:val="single" w:sz="4" w:space="0" w:color="auto"/>
              <w:right w:val="single" w:sz="4" w:space="0" w:color="auto"/>
            </w:tcBorders>
            <w:hideMark/>
          </w:tcPr>
          <w:p w14:paraId="7A29322A" w14:textId="77777777" w:rsidR="00A37BF0" w:rsidRPr="00675182" w:rsidRDefault="00A37BF0">
            <w:pPr>
              <w:rPr>
                <w:rFonts w:cstheme="minorHAnsi"/>
                <w:sz w:val="22"/>
                <w:szCs w:val="22"/>
              </w:rPr>
            </w:pPr>
            <w:r w:rsidRPr="00675182">
              <w:rPr>
                <w:rFonts w:cstheme="minorHAnsi"/>
                <w:sz w:val="22"/>
                <w:szCs w:val="22"/>
              </w:rPr>
              <w:t>Vietām</w:t>
            </w:r>
          </w:p>
        </w:tc>
      </w:tr>
      <w:tr w:rsidR="00E333DE" w:rsidRPr="00675182" w14:paraId="185C6CB7" w14:textId="77777777" w:rsidTr="00E333DE">
        <w:trPr>
          <w:trHeight w:val="284"/>
        </w:trPr>
        <w:tc>
          <w:tcPr>
            <w:tcW w:w="506" w:type="pct"/>
            <w:tcBorders>
              <w:top w:val="single" w:sz="4" w:space="0" w:color="auto"/>
              <w:left w:val="single" w:sz="4" w:space="0" w:color="auto"/>
              <w:bottom w:val="single" w:sz="4" w:space="0" w:color="auto"/>
              <w:right w:val="single" w:sz="4" w:space="0" w:color="auto"/>
            </w:tcBorders>
            <w:vAlign w:val="center"/>
            <w:hideMark/>
          </w:tcPr>
          <w:p w14:paraId="6F31D0DF" w14:textId="77777777" w:rsidR="00A37BF0" w:rsidRPr="00675182" w:rsidRDefault="00A37BF0">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14.</w:t>
            </w:r>
          </w:p>
        </w:tc>
        <w:tc>
          <w:tcPr>
            <w:tcW w:w="659" w:type="pct"/>
            <w:tcBorders>
              <w:top w:val="single" w:sz="4" w:space="0" w:color="auto"/>
              <w:left w:val="single" w:sz="4" w:space="0" w:color="auto"/>
              <w:bottom w:val="single" w:sz="4" w:space="0" w:color="auto"/>
              <w:right w:val="single" w:sz="4" w:space="0" w:color="auto"/>
            </w:tcBorders>
            <w:vAlign w:val="center"/>
            <w:hideMark/>
          </w:tcPr>
          <w:p w14:paraId="6526F54B" w14:textId="7FC9CE72" w:rsidR="00A37BF0" w:rsidRPr="00675182" w:rsidRDefault="00FD0BE6">
            <w:pPr>
              <w:rPr>
                <w:rFonts w:cstheme="minorHAnsi"/>
                <w:bCs/>
                <w:sz w:val="22"/>
                <w:szCs w:val="22"/>
              </w:rPr>
            </w:pPr>
            <w:r w:rsidRPr="00675182">
              <w:rPr>
                <w:rFonts w:cstheme="minorHAnsi"/>
                <w:bCs/>
                <w:sz w:val="22"/>
                <w:szCs w:val="22"/>
              </w:rPr>
              <w:t>O</w:t>
            </w:r>
            <w:r w:rsidR="00A37BF0" w:rsidRPr="00675182">
              <w:rPr>
                <w:rFonts w:cstheme="minorHAnsi"/>
                <w:bCs/>
                <w:sz w:val="22"/>
                <w:szCs w:val="22"/>
              </w:rPr>
              <w:t>dze</w:t>
            </w:r>
          </w:p>
        </w:tc>
        <w:tc>
          <w:tcPr>
            <w:tcW w:w="777" w:type="pct"/>
            <w:tcBorders>
              <w:top w:val="single" w:sz="4" w:space="0" w:color="auto"/>
              <w:left w:val="single" w:sz="4" w:space="0" w:color="auto"/>
              <w:bottom w:val="single" w:sz="4" w:space="0" w:color="auto"/>
              <w:right w:val="single" w:sz="4" w:space="0" w:color="auto"/>
            </w:tcBorders>
            <w:noWrap/>
            <w:vAlign w:val="center"/>
            <w:hideMark/>
          </w:tcPr>
          <w:p w14:paraId="229D28DF" w14:textId="77777777" w:rsidR="00A37BF0" w:rsidRPr="00675182" w:rsidRDefault="00A37BF0">
            <w:pPr>
              <w:rPr>
                <w:rFonts w:cstheme="minorHAnsi"/>
                <w:bCs/>
                <w:i/>
                <w:sz w:val="22"/>
                <w:szCs w:val="22"/>
              </w:rPr>
            </w:pPr>
            <w:r w:rsidRPr="00675182">
              <w:rPr>
                <w:rFonts w:cstheme="minorHAnsi"/>
                <w:bCs/>
                <w:i/>
                <w:sz w:val="22"/>
                <w:szCs w:val="22"/>
              </w:rPr>
              <w:t>Vipera berus</w:t>
            </w:r>
          </w:p>
        </w:tc>
        <w:tc>
          <w:tcPr>
            <w:tcW w:w="617" w:type="pct"/>
            <w:tcBorders>
              <w:top w:val="single" w:sz="4" w:space="0" w:color="auto"/>
              <w:left w:val="single" w:sz="4" w:space="0" w:color="auto"/>
              <w:bottom w:val="single" w:sz="4" w:space="0" w:color="auto"/>
              <w:right w:val="single" w:sz="4" w:space="0" w:color="auto"/>
            </w:tcBorders>
            <w:noWrap/>
            <w:vAlign w:val="center"/>
          </w:tcPr>
          <w:p w14:paraId="0235B8B3" w14:textId="77777777" w:rsidR="00A37BF0" w:rsidRPr="00675182" w:rsidRDefault="00A37BF0">
            <w:pPr>
              <w:jc w:val="center"/>
              <w:rPr>
                <w:rFonts w:cstheme="minorHAnsi"/>
                <w:color w:val="000000"/>
                <w:sz w:val="22"/>
                <w:szCs w:val="22"/>
              </w:rPr>
            </w:pPr>
          </w:p>
        </w:tc>
        <w:tc>
          <w:tcPr>
            <w:tcW w:w="437" w:type="pct"/>
            <w:tcBorders>
              <w:top w:val="single" w:sz="4" w:space="0" w:color="auto"/>
              <w:left w:val="single" w:sz="4" w:space="0" w:color="auto"/>
              <w:bottom w:val="single" w:sz="4" w:space="0" w:color="auto"/>
              <w:right w:val="single" w:sz="4" w:space="0" w:color="auto"/>
            </w:tcBorders>
            <w:hideMark/>
          </w:tcPr>
          <w:p w14:paraId="61FB5BA7" w14:textId="77777777" w:rsidR="00A37BF0" w:rsidRPr="00675182" w:rsidRDefault="00A37BF0">
            <w:pPr>
              <w:jc w:val="center"/>
              <w:rPr>
                <w:rFonts w:cstheme="minorHAnsi"/>
                <w:color w:val="000000"/>
                <w:sz w:val="22"/>
                <w:szCs w:val="22"/>
              </w:rPr>
            </w:pPr>
            <w:r w:rsidRPr="00675182">
              <w:rPr>
                <w:rFonts w:cstheme="minorHAnsi"/>
                <w:color w:val="000000"/>
                <w:sz w:val="22"/>
                <w:szCs w:val="22"/>
              </w:rPr>
              <w:t>BK III</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F81175" w14:textId="77777777" w:rsidR="00A37BF0" w:rsidRPr="00675182" w:rsidRDefault="00A37BF0">
            <w:pPr>
              <w:jc w:val="center"/>
              <w:rPr>
                <w:rFonts w:cstheme="minorHAnsi"/>
                <w:color w:val="000000"/>
                <w:sz w:val="22"/>
                <w:szCs w:val="22"/>
              </w:rPr>
            </w:pPr>
          </w:p>
        </w:tc>
        <w:tc>
          <w:tcPr>
            <w:tcW w:w="1089" w:type="pct"/>
            <w:tcBorders>
              <w:top w:val="single" w:sz="4" w:space="0" w:color="auto"/>
              <w:left w:val="single" w:sz="4" w:space="0" w:color="auto"/>
              <w:bottom w:val="single" w:sz="4" w:space="0" w:color="auto"/>
              <w:right w:val="single" w:sz="4" w:space="0" w:color="auto"/>
            </w:tcBorders>
            <w:hideMark/>
          </w:tcPr>
          <w:p w14:paraId="01C25C52" w14:textId="77777777" w:rsidR="00A37BF0" w:rsidRPr="00675182" w:rsidRDefault="00A37BF0">
            <w:pPr>
              <w:rPr>
                <w:rFonts w:cstheme="minorHAnsi"/>
                <w:sz w:val="22"/>
                <w:szCs w:val="22"/>
              </w:rPr>
            </w:pPr>
            <w:r w:rsidRPr="00675182">
              <w:rPr>
                <w:rFonts w:cstheme="minorHAnsi"/>
                <w:sz w:val="22"/>
                <w:szCs w:val="22"/>
              </w:rPr>
              <w:t>Vietām</w:t>
            </w:r>
          </w:p>
        </w:tc>
      </w:tr>
    </w:tbl>
    <w:p w14:paraId="25B0965B" w14:textId="77777777" w:rsidR="00AA0571" w:rsidRPr="00675182" w:rsidRDefault="00AA0571" w:rsidP="002B3341">
      <w:pPr>
        <w:rPr>
          <w:rFonts w:cstheme="minorHAnsi"/>
        </w:rPr>
      </w:pPr>
    </w:p>
    <w:p w14:paraId="4066B493" w14:textId="560F5335" w:rsidR="00677AA8" w:rsidRDefault="00677AA8" w:rsidP="002B3341">
      <w:pPr>
        <w:rPr>
          <w:rFonts w:cstheme="minorHAnsi"/>
          <w:sz w:val="20"/>
        </w:rPr>
      </w:pPr>
      <w:r w:rsidRPr="00675182">
        <w:rPr>
          <w:rFonts w:cstheme="minorHAnsi"/>
          <w:sz w:val="20"/>
        </w:rPr>
        <w:t>Informācija par sugu aizsardzības stāvokli Latvijā no „Ziņojums Eiropas Komisijai par biotopu (dzīvotņu) un sugu aizsardzības stāvokli Latvijā. Novērtējums par 20</w:t>
      </w:r>
      <w:r w:rsidR="00C83FB5" w:rsidRPr="00675182">
        <w:rPr>
          <w:rFonts w:cstheme="minorHAnsi"/>
          <w:sz w:val="20"/>
        </w:rPr>
        <w:t>1</w:t>
      </w:r>
      <w:r w:rsidRPr="00675182">
        <w:rPr>
          <w:rFonts w:cstheme="minorHAnsi"/>
          <w:sz w:val="20"/>
        </w:rPr>
        <w:t xml:space="preserve">3.-2018. gada periodu” </w:t>
      </w:r>
      <w:r w:rsidRPr="00675182">
        <w:rPr>
          <w:rFonts w:cstheme="minorHAnsi"/>
          <w:b/>
          <w:bCs/>
          <w:sz w:val="20"/>
        </w:rPr>
        <w:t>FV</w:t>
      </w:r>
      <w:r w:rsidRPr="00675182">
        <w:rPr>
          <w:rFonts w:cstheme="minorHAnsi"/>
          <w:sz w:val="20"/>
        </w:rPr>
        <w:t xml:space="preserve">: Aizsardzības stāvoklis labvēlīgs (Favourable); </w:t>
      </w:r>
      <w:r w:rsidRPr="00675182">
        <w:rPr>
          <w:rFonts w:cstheme="minorHAnsi"/>
          <w:b/>
          <w:bCs/>
          <w:sz w:val="20"/>
        </w:rPr>
        <w:t>U1</w:t>
      </w:r>
      <w:r w:rsidRPr="00675182">
        <w:rPr>
          <w:rFonts w:cstheme="minorHAnsi"/>
          <w:sz w:val="20"/>
        </w:rPr>
        <w:t xml:space="preserve">: Aizsardzības stāvoklis nelabvēlīgs-nepietiekams (Unfavourable-Inadequate); </w:t>
      </w:r>
      <w:r w:rsidRPr="00675182">
        <w:rPr>
          <w:rFonts w:cstheme="minorHAnsi"/>
          <w:b/>
          <w:bCs/>
          <w:sz w:val="20"/>
        </w:rPr>
        <w:t>U2</w:t>
      </w:r>
      <w:r w:rsidRPr="00675182">
        <w:rPr>
          <w:rFonts w:cstheme="minorHAnsi"/>
          <w:sz w:val="20"/>
        </w:rPr>
        <w:t xml:space="preserve">: Aizsardzības stāvoklis nelabvēlīgs-slikts (Unfavourable-Bad); </w:t>
      </w:r>
      <w:r w:rsidRPr="00675182">
        <w:rPr>
          <w:rFonts w:cstheme="minorHAnsi"/>
          <w:b/>
          <w:bCs/>
          <w:sz w:val="20"/>
        </w:rPr>
        <w:t>XX</w:t>
      </w:r>
      <w:r w:rsidRPr="00675182">
        <w:rPr>
          <w:rFonts w:cstheme="minorHAnsi"/>
          <w:sz w:val="20"/>
        </w:rPr>
        <w:t xml:space="preserve">: Aizsardzības stāvoklis nezināms (Unknown). </w:t>
      </w:r>
    </w:p>
    <w:p w14:paraId="24F7F2D8" w14:textId="77777777" w:rsidR="00E333DE" w:rsidRPr="00675182" w:rsidRDefault="00E333DE" w:rsidP="002B3341">
      <w:pPr>
        <w:rPr>
          <w:rFonts w:cstheme="minorHAnsi"/>
          <w:b/>
          <w:i/>
          <w:szCs w:val="24"/>
        </w:rPr>
      </w:pPr>
    </w:p>
    <w:p w14:paraId="3F2A46E4" w14:textId="77777777" w:rsidR="00677AA8" w:rsidRPr="00675182" w:rsidRDefault="00677AA8" w:rsidP="002B3341">
      <w:pPr>
        <w:rPr>
          <w:rFonts w:cstheme="minorHAnsi"/>
          <w:b/>
          <w:iCs/>
          <w:sz w:val="20"/>
        </w:rPr>
      </w:pPr>
      <w:r w:rsidRPr="00675182">
        <w:rPr>
          <w:rFonts w:cstheme="minorHAnsi"/>
          <w:b/>
          <w:iCs/>
          <w:sz w:val="20"/>
        </w:rPr>
        <w:lastRenderedPageBreak/>
        <w:t>Saīsinājumi:</w:t>
      </w:r>
    </w:p>
    <w:p w14:paraId="04B71AB0" w14:textId="77777777" w:rsidR="00A37BF0" w:rsidRPr="00675182" w:rsidRDefault="00A37BF0" w:rsidP="00A37BF0">
      <w:pPr>
        <w:rPr>
          <w:rFonts w:cstheme="minorHAnsi"/>
          <w:sz w:val="20"/>
        </w:rPr>
      </w:pPr>
      <w:r w:rsidRPr="00675182">
        <w:rPr>
          <w:rFonts w:cstheme="minorHAnsi"/>
          <w:b/>
          <w:bCs/>
          <w:sz w:val="20"/>
        </w:rPr>
        <w:t>SG</w:t>
      </w:r>
      <w:r w:rsidRPr="00675182">
        <w:rPr>
          <w:rFonts w:cstheme="minorHAnsi"/>
          <w:sz w:val="20"/>
        </w:rPr>
        <w:t xml:space="preserve"> – </w:t>
      </w:r>
      <w:r w:rsidRPr="00675182">
        <w:rPr>
          <w:rFonts w:cstheme="minorHAnsi"/>
          <w:spacing w:val="-1"/>
          <w:sz w:val="20"/>
        </w:rPr>
        <w:t xml:space="preserve">Latvijas Sarkanā grāmata. LSG tiek lietotas šādas apdraudēto sugu kategorijas: </w:t>
      </w:r>
      <w:r w:rsidRPr="00675182">
        <w:rPr>
          <w:rFonts w:cstheme="minorHAnsi"/>
          <w:b/>
          <w:bCs/>
          <w:sz w:val="20"/>
        </w:rPr>
        <w:t>I</w:t>
      </w:r>
      <w:r w:rsidRPr="00675182">
        <w:rPr>
          <w:rFonts w:cstheme="minorHAnsi"/>
          <w:sz w:val="20"/>
        </w:rPr>
        <w:t xml:space="preserve"> - izzūdošās sugas; </w:t>
      </w:r>
      <w:r w:rsidRPr="00675182">
        <w:rPr>
          <w:rFonts w:cstheme="minorHAnsi"/>
          <w:b/>
          <w:bCs/>
          <w:sz w:val="20"/>
        </w:rPr>
        <w:t>II</w:t>
      </w:r>
      <w:r w:rsidRPr="00675182">
        <w:rPr>
          <w:rFonts w:cstheme="minorHAnsi"/>
          <w:sz w:val="20"/>
        </w:rPr>
        <w:t xml:space="preserve"> </w:t>
      </w:r>
      <w:r w:rsidRPr="00675182">
        <w:rPr>
          <w:rFonts w:cstheme="minorHAnsi"/>
          <w:spacing w:val="-1"/>
          <w:sz w:val="20"/>
        </w:rPr>
        <w:t xml:space="preserve">- sarūkošās sugas; </w:t>
      </w:r>
      <w:r w:rsidRPr="00675182">
        <w:rPr>
          <w:rFonts w:cstheme="minorHAnsi"/>
          <w:b/>
          <w:bCs/>
          <w:spacing w:val="-1"/>
          <w:sz w:val="20"/>
        </w:rPr>
        <w:t>III</w:t>
      </w:r>
      <w:r w:rsidRPr="00675182">
        <w:rPr>
          <w:rFonts w:cstheme="minorHAnsi"/>
          <w:spacing w:val="-1"/>
          <w:sz w:val="20"/>
        </w:rPr>
        <w:t xml:space="preserve"> - retās sugas; </w:t>
      </w:r>
      <w:r w:rsidRPr="00675182">
        <w:rPr>
          <w:rFonts w:cstheme="minorHAnsi"/>
          <w:b/>
          <w:bCs/>
          <w:spacing w:val="-1"/>
          <w:sz w:val="20"/>
        </w:rPr>
        <w:t>IV</w:t>
      </w:r>
      <w:r w:rsidRPr="00675182">
        <w:rPr>
          <w:rFonts w:cstheme="minorHAnsi"/>
          <w:spacing w:val="-1"/>
          <w:sz w:val="20"/>
        </w:rPr>
        <w:t xml:space="preserve"> - maz pazīstamās sugas.</w:t>
      </w:r>
    </w:p>
    <w:p w14:paraId="7F878E7A" w14:textId="77777777" w:rsidR="00A37BF0" w:rsidRPr="00675182" w:rsidRDefault="00A37BF0" w:rsidP="00A37BF0">
      <w:pPr>
        <w:rPr>
          <w:rFonts w:cstheme="minorHAnsi"/>
          <w:sz w:val="20"/>
          <w:szCs w:val="24"/>
        </w:rPr>
      </w:pPr>
      <w:r w:rsidRPr="00675182">
        <w:rPr>
          <w:rFonts w:cstheme="minorHAnsi"/>
          <w:b/>
          <w:bCs/>
          <w:sz w:val="20"/>
          <w:szCs w:val="24"/>
        </w:rPr>
        <w:t>ĪAS</w:t>
      </w:r>
      <w:r w:rsidRPr="00675182">
        <w:rPr>
          <w:rFonts w:cstheme="minorHAnsi"/>
          <w:sz w:val="20"/>
          <w:szCs w:val="24"/>
        </w:rPr>
        <w:t xml:space="preserve"> – īpaši aizsargājama suga (MK noteikumi Nr. 396. ”Noteikumi par īpaši aizsargājamo sugu un ierobežoti izmantojamo īpaši aizsargājamo sugu sarakstu”, 14.11.2000., grozījumi 27.07.2004.)</w:t>
      </w:r>
    </w:p>
    <w:p w14:paraId="0E71D589" w14:textId="77777777" w:rsidR="00A37BF0" w:rsidRPr="00675182" w:rsidRDefault="00A37BF0" w:rsidP="00A37BF0">
      <w:pPr>
        <w:rPr>
          <w:rFonts w:cstheme="minorHAnsi"/>
          <w:sz w:val="20"/>
        </w:rPr>
      </w:pPr>
      <w:r w:rsidRPr="00675182">
        <w:rPr>
          <w:rFonts w:cstheme="minorHAnsi"/>
          <w:b/>
          <w:sz w:val="20"/>
        </w:rPr>
        <w:t xml:space="preserve">MIK </w:t>
      </w:r>
      <w:r w:rsidRPr="00675182">
        <w:rPr>
          <w:rFonts w:cstheme="minorHAnsi"/>
          <w:sz w:val="20"/>
        </w:rPr>
        <w:t>– sugas aizsardzībai veidojams mikroliegums, 1. pielikums MK 2012. gada 18. decembra noteikumiem Nr. 940 „Noteikumi par mikroliegumu izveidošanas un apsaimniekošanas kārtību, to aizsardzību, kā arī mikroliegumu un to buferzonu noteikšanu”</w:t>
      </w:r>
    </w:p>
    <w:p w14:paraId="40199BF2" w14:textId="152DD73E" w:rsidR="00A37BF0" w:rsidRPr="00675182" w:rsidRDefault="00A37BF0" w:rsidP="00A37BF0">
      <w:pPr>
        <w:autoSpaceDE w:val="0"/>
        <w:rPr>
          <w:rFonts w:cstheme="minorHAnsi"/>
          <w:sz w:val="20"/>
          <w:szCs w:val="24"/>
        </w:rPr>
      </w:pPr>
      <w:r w:rsidRPr="00675182">
        <w:rPr>
          <w:rFonts w:cstheme="minorHAnsi"/>
          <w:b/>
          <w:bCs/>
          <w:sz w:val="20"/>
          <w:szCs w:val="24"/>
        </w:rPr>
        <w:t xml:space="preserve">ES </w:t>
      </w:r>
      <w:r w:rsidRPr="00675182">
        <w:rPr>
          <w:rFonts w:cstheme="minorHAnsi"/>
          <w:sz w:val="20"/>
          <w:szCs w:val="24"/>
        </w:rPr>
        <w:t xml:space="preserve">– </w:t>
      </w:r>
      <w:r w:rsidRPr="00675182">
        <w:rPr>
          <w:rFonts w:eastAsia="Times New Roman" w:cstheme="minorHAnsi"/>
          <w:sz w:val="20"/>
          <w:szCs w:val="24"/>
        </w:rPr>
        <w:t xml:space="preserve">Eiropas Padomes direktīva 92/43/EEK (21.05.1992) Par dabisko dzīvotņu, savvaļas floras un faunas aizsardzību. </w:t>
      </w:r>
      <w:r w:rsidRPr="00675182">
        <w:rPr>
          <w:rFonts w:cstheme="minorHAnsi"/>
          <w:b/>
          <w:bCs/>
          <w:sz w:val="20"/>
          <w:szCs w:val="24"/>
        </w:rPr>
        <w:t xml:space="preserve">II </w:t>
      </w:r>
      <w:r w:rsidRPr="00675182">
        <w:rPr>
          <w:rFonts w:cstheme="minorHAnsi"/>
          <w:sz w:val="20"/>
          <w:szCs w:val="24"/>
        </w:rPr>
        <w:t xml:space="preserve">pielikums. Dzīvnieku un augu sugas, kas ir Kopienas interešu sfērā un kuru aizsardzībai nepieciešama </w:t>
      </w:r>
      <w:r w:rsidR="005D63E3">
        <w:rPr>
          <w:rFonts w:cstheme="minorHAnsi"/>
          <w:sz w:val="20"/>
          <w:szCs w:val="24"/>
        </w:rPr>
        <w:t>ĪA</w:t>
      </w:r>
      <w:r w:rsidRPr="00675182">
        <w:rPr>
          <w:rFonts w:cstheme="minorHAnsi"/>
          <w:sz w:val="20"/>
          <w:szCs w:val="24"/>
        </w:rPr>
        <w:t xml:space="preserve"> teritoriju nodalīšana. </w:t>
      </w:r>
      <w:r w:rsidRPr="00675182">
        <w:rPr>
          <w:rFonts w:cstheme="minorHAnsi"/>
          <w:b/>
          <w:bCs/>
          <w:sz w:val="20"/>
          <w:szCs w:val="24"/>
        </w:rPr>
        <w:t xml:space="preserve">IV </w:t>
      </w:r>
      <w:r w:rsidRPr="00675182">
        <w:rPr>
          <w:rFonts w:cstheme="minorHAnsi"/>
          <w:sz w:val="20"/>
          <w:szCs w:val="24"/>
        </w:rPr>
        <w:t xml:space="preserve">pielikums. Dzīvnieku un augu sugas, kas ir Kopienas interešu sfērā un kuru aizsardzībai nepieciešams stingrs aizsardzības režīms. </w:t>
      </w:r>
      <w:r w:rsidRPr="00675182">
        <w:rPr>
          <w:rFonts w:cstheme="minorHAnsi"/>
          <w:b/>
          <w:bCs/>
          <w:sz w:val="20"/>
          <w:szCs w:val="24"/>
        </w:rPr>
        <w:t xml:space="preserve">V </w:t>
      </w:r>
      <w:r w:rsidRPr="00675182">
        <w:rPr>
          <w:rFonts w:cstheme="minorHAnsi"/>
          <w:sz w:val="20"/>
          <w:szCs w:val="24"/>
        </w:rPr>
        <w:t xml:space="preserve">pielikums. Kopienā nozīmīgas dzīvnieku un augu sugas, kuru īpatņu ieguvei savvaļā un izmantošanai var piemērot apsaimniekošanas pasākumus; </w:t>
      </w:r>
    </w:p>
    <w:p w14:paraId="31806F14" w14:textId="77777777" w:rsidR="00A37BF0" w:rsidRPr="00675182" w:rsidRDefault="00A37BF0" w:rsidP="00A37BF0">
      <w:pPr>
        <w:rPr>
          <w:rFonts w:cstheme="minorHAnsi"/>
          <w:sz w:val="20"/>
          <w:szCs w:val="24"/>
        </w:rPr>
      </w:pPr>
      <w:r w:rsidRPr="00675182">
        <w:rPr>
          <w:rFonts w:cstheme="minorHAnsi"/>
          <w:b/>
          <w:sz w:val="20"/>
          <w:szCs w:val="24"/>
        </w:rPr>
        <w:t xml:space="preserve">BK – </w:t>
      </w:r>
      <w:r w:rsidRPr="00675182">
        <w:rPr>
          <w:rFonts w:cstheme="minorHAnsi"/>
          <w:bCs/>
          <w:sz w:val="20"/>
          <w:szCs w:val="24"/>
        </w:rPr>
        <w:t>Bernes konvencija</w:t>
      </w:r>
      <w:r w:rsidRPr="00675182">
        <w:rPr>
          <w:rFonts w:cstheme="minorHAnsi"/>
          <w:sz w:val="20"/>
          <w:szCs w:val="24"/>
        </w:rPr>
        <w:t xml:space="preserve"> 16.09.1979.g. „Par Eiropas dzīvās dabas un dabisko dzīvotņu aizsardzību” II pielikums - īpaši aizsargājamo dzīvnieku sugas, III pielikums – aizsargājamās dzīvnieku sugas.</w:t>
      </w:r>
    </w:p>
    <w:p w14:paraId="7FE54271" w14:textId="77777777" w:rsidR="00677AA8" w:rsidRPr="00675182" w:rsidRDefault="00677AA8" w:rsidP="002B3341">
      <w:pPr>
        <w:rPr>
          <w:rFonts w:cstheme="minorHAnsi"/>
          <w:b/>
          <w:sz w:val="20"/>
        </w:rPr>
      </w:pPr>
    </w:p>
    <w:p w14:paraId="5721B397" w14:textId="46C093DC" w:rsidR="00865DCC" w:rsidRPr="00315BC7" w:rsidRDefault="00865DCC" w:rsidP="00865DCC">
      <w:pPr>
        <w:pStyle w:val="BodyText"/>
        <w:spacing w:after="0"/>
        <w:rPr>
          <w:rFonts w:cstheme="minorBidi"/>
          <w:b/>
          <w:bCs/>
          <w:i/>
          <w:iCs/>
          <w:lang w:val="lv-LV"/>
        </w:rPr>
      </w:pPr>
      <w:r w:rsidRPr="00675182">
        <w:rPr>
          <w:rFonts w:cstheme="minorHAnsi"/>
          <w:b/>
          <w:i/>
          <w:lang w:val="lv-LV"/>
        </w:rPr>
        <w:t>2.4.</w:t>
      </w:r>
      <w:r>
        <w:rPr>
          <w:rFonts w:cstheme="minorHAnsi"/>
          <w:b/>
          <w:i/>
          <w:lang w:val="lv-LV"/>
        </w:rPr>
        <w:t>6</w:t>
      </w:r>
      <w:r w:rsidRPr="00675182">
        <w:rPr>
          <w:rFonts w:cstheme="minorHAnsi"/>
          <w:b/>
          <w:i/>
          <w:lang w:val="lv-LV"/>
        </w:rPr>
        <w:t>.</w:t>
      </w:r>
      <w:r>
        <w:rPr>
          <w:rFonts w:cstheme="minorHAnsi"/>
          <w:b/>
          <w:i/>
          <w:lang w:val="lv-LV"/>
        </w:rPr>
        <w:t>B.</w:t>
      </w:r>
      <w:r w:rsidRPr="00675182">
        <w:rPr>
          <w:rFonts w:cstheme="minorHAnsi"/>
          <w:b/>
          <w:i/>
          <w:lang w:val="lv-LV"/>
        </w:rPr>
        <w:t xml:space="preserve"> tabula. </w:t>
      </w:r>
      <w:r w:rsidRPr="00315BC7">
        <w:rPr>
          <w:rFonts w:cstheme="minorBidi"/>
          <w:b/>
          <w:bCs/>
          <w:i/>
          <w:iCs/>
          <w:lang w:val="lv-LV"/>
        </w:rPr>
        <w:t xml:space="preserve">Biotopu direktīvas pielikumos iekļauto </w:t>
      </w:r>
      <w:r>
        <w:rPr>
          <w:rFonts w:cstheme="minorBidi"/>
          <w:b/>
          <w:bCs/>
          <w:i/>
          <w:iCs/>
          <w:lang w:val="lv-LV"/>
        </w:rPr>
        <w:t>abinieku un rāpuļu s</w:t>
      </w:r>
      <w:r w:rsidRPr="00315BC7">
        <w:rPr>
          <w:rFonts w:cstheme="minorBidi"/>
          <w:b/>
          <w:bCs/>
          <w:i/>
          <w:iCs/>
          <w:lang w:val="lv-LV"/>
        </w:rPr>
        <w:t xml:space="preserve">ugu populāciju lielums un sugu dzīvotņu platība </w:t>
      </w:r>
      <w:r>
        <w:rPr>
          <w:rFonts w:cstheme="minorBidi"/>
          <w:b/>
          <w:bCs/>
          <w:i/>
          <w:iCs/>
          <w:lang w:val="lv-LV"/>
        </w:rPr>
        <w:t>GNP</w:t>
      </w:r>
    </w:p>
    <w:tbl>
      <w:tblPr>
        <w:tblW w:w="5000" w:type="pct"/>
        <w:tblLook w:val="04A0" w:firstRow="1" w:lastRow="0" w:firstColumn="1" w:lastColumn="0" w:noHBand="0" w:noVBand="1"/>
      </w:tblPr>
      <w:tblGrid>
        <w:gridCol w:w="2797"/>
        <w:gridCol w:w="1183"/>
        <w:gridCol w:w="1158"/>
        <w:gridCol w:w="1816"/>
        <w:gridCol w:w="1752"/>
        <w:gridCol w:w="1456"/>
        <w:gridCol w:w="2036"/>
        <w:gridCol w:w="1749"/>
      </w:tblGrid>
      <w:tr w:rsidR="00865DCC" w:rsidRPr="00ED4366" w14:paraId="7FA2311A" w14:textId="77777777" w:rsidTr="00ED4366">
        <w:trPr>
          <w:trHeight w:val="1116"/>
          <w:tblHeader/>
        </w:trPr>
        <w:tc>
          <w:tcPr>
            <w:tcW w:w="1003"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2F39181" w14:textId="777E6FC4" w:rsidR="00865DCC" w:rsidRPr="00ED4366" w:rsidRDefault="00865DCC" w:rsidP="00ED4366">
            <w:pPr>
              <w:keepNext/>
              <w:keepLines/>
              <w:suppressAutoHyphens w:val="0"/>
              <w:jc w:val="center"/>
              <w:rPr>
                <w:rFonts w:eastAsia="Times New Roman" w:cstheme="minorHAnsi"/>
                <w:b/>
                <w:sz w:val="22"/>
                <w:szCs w:val="22"/>
                <w:lang w:eastAsia="en-GB"/>
              </w:rPr>
            </w:pPr>
            <w:r w:rsidRPr="00ED4366">
              <w:rPr>
                <w:rFonts w:eastAsia="Times New Roman" w:cstheme="minorHAnsi"/>
                <w:b/>
                <w:sz w:val="22"/>
                <w:szCs w:val="22"/>
                <w:lang w:eastAsia="en-GB"/>
              </w:rPr>
              <w:t>Sugas nosaukums</w:t>
            </w:r>
          </w:p>
          <w:p w14:paraId="1521E00D" w14:textId="77777777" w:rsidR="00865DCC" w:rsidRPr="00ED4366" w:rsidRDefault="00865DCC" w:rsidP="00ED4366">
            <w:pPr>
              <w:keepNext/>
              <w:keepLines/>
              <w:suppressAutoHyphens w:val="0"/>
              <w:jc w:val="center"/>
              <w:rPr>
                <w:rFonts w:eastAsia="Times New Roman" w:cstheme="minorHAnsi"/>
                <w:b/>
                <w:sz w:val="22"/>
                <w:szCs w:val="22"/>
                <w:lang w:eastAsia="en-GB"/>
              </w:rPr>
            </w:pPr>
            <w:r w:rsidRPr="00ED4366">
              <w:rPr>
                <w:rFonts w:eastAsia="Times New Roman" w:cstheme="minorHAnsi"/>
                <w:b/>
                <w:sz w:val="22"/>
                <w:szCs w:val="22"/>
                <w:lang w:eastAsia="en-GB"/>
              </w:rPr>
              <w:t>(latviski un latīniski)</w:t>
            </w:r>
          </w:p>
          <w:p w14:paraId="4F9D1290" w14:textId="77777777" w:rsidR="00865DCC" w:rsidRPr="00ED4366" w:rsidRDefault="00865DCC" w:rsidP="00ED4366">
            <w:pPr>
              <w:keepNext/>
              <w:keepLines/>
              <w:jc w:val="center"/>
              <w:rPr>
                <w:rFonts w:eastAsia="Times New Roman" w:cstheme="minorHAnsi"/>
                <w:b/>
                <w:sz w:val="22"/>
                <w:szCs w:val="22"/>
                <w:lang w:eastAsia="en-GB"/>
              </w:rPr>
            </w:pPr>
          </w:p>
        </w:tc>
        <w:tc>
          <w:tcPr>
            <w:tcW w:w="839" w:type="pct"/>
            <w:gridSpan w:val="2"/>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7DDEEDC" w14:textId="77777777" w:rsidR="00865DCC" w:rsidRPr="00ED4366" w:rsidRDefault="00865DCC" w:rsidP="00ED4366">
            <w:pPr>
              <w:keepNext/>
              <w:keepLines/>
              <w:suppressAutoHyphens w:val="0"/>
              <w:jc w:val="center"/>
              <w:rPr>
                <w:rFonts w:eastAsia="Times New Roman" w:cstheme="minorHAnsi"/>
                <w:b/>
                <w:sz w:val="22"/>
                <w:szCs w:val="22"/>
                <w:lang w:eastAsia="en-GB"/>
              </w:rPr>
            </w:pPr>
            <w:r w:rsidRPr="00ED4366">
              <w:rPr>
                <w:rFonts w:eastAsia="Times New Roman" w:cstheme="minorHAnsi"/>
                <w:b/>
                <w:sz w:val="22"/>
                <w:szCs w:val="22"/>
                <w:lang w:eastAsia="en-GB"/>
              </w:rPr>
              <w:t>Sugas populācijas novērtējums teritorijā</w:t>
            </w:r>
          </w:p>
        </w:tc>
        <w:tc>
          <w:tcPr>
            <w:tcW w:w="651" w:type="pct"/>
            <w:vMerge w:val="restart"/>
            <w:tcBorders>
              <w:top w:val="single" w:sz="4" w:space="0" w:color="auto"/>
              <w:left w:val="nil"/>
              <w:right w:val="single" w:sz="4" w:space="0" w:color="auto"/>
            </w:tcBorders>
            <w:shd w:val="clear" w:color="auto" w:fill="D6E3BC" w:themeFill="accent3" w:themeFillTint="66"/>
            <w:vAlign w:val="center"/>
            <w:hideMark/>
          </w:tcPr>
          <w:p w14:paraId="782151E0" w14:textId="77777777" w:rsidR="00865DCC" w:rsidRPr="00ED4366" w:rsidRDefault="00865DCC" w:rsidP="00ED4366">
            <w:pPr>
              <w:keepNext/>
              <w:keepLines/>
              <w:suppressAutoHyphens w:val="0"/>
              <w:jc w:val="center"/>
              <w:rPr>
                <w:rFonts w:eastAsia="Times New Roman" w:cstheme="minorHAnsi"/>
                <w:b/>
                <w:sz w:val="22"/>
                <w:szCs w:val="22"/>
                <w:lang w:eastAsia="en-GB"/>
              </w:rPr>
            </w:pPr>
            <w:r w:rsidRPr="00ED4366">
              <w:rPr>
                <w:rFonts w:eastAsia="Times New Roman" w:cstheme="minorHAnsi"/>
                <w:b/>
                <w:sz w:val="22"/>
                <w:szCs w:val="22"/>
                <w:lang w:eastAsia="en-GB"/>
              </w:rPr>
              <w:t>Teritorijā esošās sugas populācijas attiecība (%) pret sugas populāciju Natura 2000 teritorijās Latvijā kopumā</w:t>
            </w:r>
          </w:p>
        </w:tc>
        <w:tc>
          <w:tcPr>
            <w:tcW w:w="628" w:type="pct"/>
            <w:vMerge w:val="restart"/>
            <w:tcBorders>
              <w:top w:val="single" w:sz="4" w:space="0" w:color="auto"/>
              <w:left w:val="nil"/>
              <w:right w:val="single" w:sz="4" w:space="0" w:color="auto"/>
            </w:tcBorders>
            <w:shd w:val="clear" w:color="auto" w:fill="D6E3BC" w:themeFill="accent3" w:themeFillTint="66"/>
            <w:vAlign w:val="center"/>
            <w:hideMark/>
          </w:tcPr>
          <w:p w14:paraId="314EE40E" w14:textId="77777777" w:rsidR="00865DCC" w:rsidRPr="00ED4366" w:rsidRDefault="00865DCC" w:rsidP="00ED4366">
            <w:pPr>
              <w:keepNext/>
              <w:keepLines/>
              <w:suppressAutoHyphens w:val="0"/>
              <w:jc w:val="center"/>
              <w:rPr>
                <w:rFonts w:eastAsia="Times New Roman" w:cstheme="minorHAnsi"/>
                <w:b/>
                <w:sz w:val="22"/>
                <w:szCs w:val="22"/>
                <w:lang w:eastAsia="en-GB"/>
              </w:rPr>
            </w:pPr>
            <w:r w:rsidRPr="00ED4366">
              <w:rPr>
                <w:rFonts w:eastAsia="Times New Roman" w:cstheme="minorHAnsi"/>
                <w:b/>
                <w:sz w:val="22"/>
                <w:szCs w:val="22"/>
                <w:lang w:eastAsia="en-GB"/>
              </w:rPr>
              <w:t>Teritorijā esošās sugas populācijas attiecība (%) pret sugas populāciju valstī</w:t>
            </w:r>
          </w:p>
        </w:tc>
        <w:tc>
          <w:tcPr>
            <w:tcW w:w="522" w:type="pct"/>
            <w:vMerge w:val="restart"/>
            <w:tcBorders>
              <w:top w:val="single" w:sz="4" w:space="0" w:color="auto"/>
              <w:left w:val="nil"/>
              <w:right w:val="single" w:sz="4" w:space="0" w:color="auto"/>
            </w:tcBorders>
            <w:shd w:val="clear" w:color="auto" w:fill="D6E3BC" w:themeFill="accent3" w:themeFillTint="66"/>
            <w:vAlign w:val="center"/>
          </w:tcPr>
          <w:p w14:paraId="3A8FB34B" w14:textId="77777777" w:rsidR="00865DCC" w:rsidRPr="00ED4366" w:rsidRDefault="00865DCC" w:rsidP="00ED4366">
            <w:pPr>
              <w:keepNext/>
              <w:keepLines/>
              <w:jc w:val="center"/>
              <w:rPr>
                <w:rFonts w:cstheme="minorHAnsi"/>
                <w:b/>
                <w:sz w:val="22"/>
                <w:szCs w:val="22"/>
              </w:rPr>
            </w:pPr>
            <w:r w:rsidRPr="00ED4366">
              <w:rPr>
                <w:rFonts w:cstheme="minorHAnsi"/>
                <w:b/>
                <w:sz w:val="22"/>
                <w:szCs w:val="22"/>
              </w:rPr>
              <w:t>Sugas dzīvotnes platība (ha)</w:t>
            </w:r>
          </w:p>
        </w:tc>
        <w:tc>
          <w:tcPr>
            <w:tcW w:w="730" w:type="pct"/>
            <w:vMerge w:val="restart"/>
            <w:tcBorders>
              <w:top w:val="single" w:sz="4" w:space="0" w:color="auto"/>
              <w:left w:val="nil"/>
              <w:right w:val="single" w:sz="4" w:space="0" w:color="auto"/>
            </w:tcBorders>
            <w:shd w:val="clear" w:color="auto" w:fill="D6E3BC" w:themeFill="accent3" w:themeFillTint="66"/>
            <w:vAlign w:val="center"/>
          </w:tcPr>
          <w:p w14:paraId="35DE25A7" w14:textId="77777777" w:rsidR="00865DCC" w:rsidRPr="00ED4366" w:rsidRDefault="00865DCC" w:rsidP="00ED4366">
            <w:pPr>
              <w:keepNext/>
              <w:keepLines/>
              <w:jc w:val="center"/>
              <w:rPr>
                <w:rFonts w:cstheme="minorHAnsi"/>
                <w:b/>
                <w:sz w:val="22"/>
                <w:szCs w:val="22"/>
              </w:rPr>
            </w:pPr>
            <w:r w:rsidRPr="00ED4366">
              <w:rPr>
                <w:rFonts w:cstheme="minorHAnsi"/>
                <w:b/>
                <w:sz w:val="22"/>
                <w:szCs w:val="22"/>
              </w:rPr>
              <w:t>Sugas dzīvotnes platības attiecība (%) pret sugas dzīvotnes platību Natura 2000 teritorijās Latvijā kopumā</w:t>
            </w:r>
          </w:p>
        </w:tc>
        <w:tc>
          <w:tcPr>
            <w:tcW w:w="627" w:type="pct"/>
            <w:vMerge w:val="restart"/>
            <w:tcBorders>
              <w:top w:val="single" w:sz="4" w:space="0" w:color="auto"/>
              <w:left w:val="nil"/>
              <w:right w:val="single" w:sz="4" w:space="0" w:color="auto"/>
            </w:tcBorders>
            <w:shd w:val="clear" w:color="auto" w:fill="D6E3BC" w:themeFill="accent3" w:themeFillTint="66"/>
            <w:vAlign w:val="center"/>
          </w:tcPr>
          <w:p w14:paraId="2657569B" w14:textId="77777777" w:rsidR="00865DCC" w:rsidRPr="00ED4366" w:rsidRDefault="00865DCC" w:rsidP="00ED4366">
            <w:pPr>
              <w:keepNext/>
              <w:keepLines/>
              <w:jc w:val="center"/>
              <w:rPr>
                <w:rFonts w:cstheme="minorHAnsi"/>
                <w:b/>
                <w:sz w:val="22"/>
                <w:szCs w:val="22"/>
              </w:rPr>
            </w:pPr>
            <w:r w:rsidRPr="00ED4366">
              <w:rPr>
                <w:rFonts w:cstheme="minorHAnsi"/>
                <w:b/>
                <w:sz w:val="22"/>
                <w:szCs w:val="22"/>
              </w:rPr>
              <w:t>Sugas dzīvotnes platības attiecība (%) pret sugas dzīvotnes platību valstī</w:t>
            </w:r>
          </w:p>
        </w:tc>
      </w:tr>
      <w:tr w:rsidR="00865DCC" w:rsidRPr="00ED4366" w14:paraId="0AC8C03E" w14:textId="77777777" w:rsidTr="00ED4366">
        <w:trPr>
          <w:trHeight w:val="300"/>
        </w:trPr>
        <w:tc>
          <w:tcPr>
            <w:tcW w:w="1003" w:type="pct"/>
            <w:vMerge/>
            <w:tcBorders>
              <w:top w:val="single" w:sz="4" w:space="0" w:color="auto"/>
              <w:left w:val="single" w:sz="4" w:space="0" w:color="auto"/>
              <w:bottom w:val="single" w:sz="4" w:space="0" w:color="auto"/>
              <w:right w:val="single" w:sz="4" w:space="0" w:color="auto"/>
            </w:tcBorders>
            <w:vAlign w:val="center"/>
            <w:hideMark/>
          </w:tcPr>
          <w:p w14:paraId="0C42A683" w14:textId="77777777" w:rsidR="00865DCC" w:rsidRPr="00ED4366" w:rsidRDefault="00865DCC" w:rsidP="00ED4366">
            <w:pPr>
              <w:suppressAutoHyphens w:val="0"/>
              <w:jc w:val="center"/>
              <w:rPr>
                <w:rFonts w:eastAsia="Times New Roman" w:cstheme="minorHAnsi"/>
                <w:sz w:val="22"/>
                <w:szCs w:val="22"/>
                <w:lang w:eastAsia="en-GB"/>
              </w:rPr>
            </w:pPr>
          </w:p>
        </w:tc>
        <w:tc>
          <w:tcPr>
            <w:tcW w:w="42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3FAB100" w14:textId="77777777" w:rsidR="00865DCC" w:rsidRPr="00ED4366" w:rsidRDefault="00865DCC" w:rsidP="00ED4366">
            <w:pPr>
              <w:suppressAutoHyphens w:val="0"/>
              <w:jc w:val="center"/>
              <w:rPr>
                <w:rFonts w:eastAsia="Times New Roman" w:cstheme="minorHAnsi"/>
                <w:b/>
                <w:sz w:val="22"/>
                <w:szCs w:val="22"/>
                <w:lang w:eastAsia="en-GB"/>
              </w:rPr>
            </w:pPr>
            <w:r w:rsidRPr="00ED4366">
              <w:rPr>
                <w:rFonts w:eastAsia="Times New Roman" w:cstheme="minorHAnsi"/>
                <w:b/>
                <w:sz w:val="22"/>
                <w:szCs w:val="22"/>
                <w:lang w:eastAsia="en-GB"/>
              </w:rPr>
              <w:t>Min.</w:t>
            </w:r>
          </w:p>
        </w:tc>
        <w:tc>
          <w:tcPr>
            <w:tcW w:w="41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3653CCA" w14:textId="77777777" w:rsidR="00865DCC" w:rsidRPr="00ED4366" w:rsidRDefault="00865DCC" w:rsidP="00ED4366">
            <w:pPr>
              <w:suppressAutoHyphens w:val="0"/>
              <w:jc w:val="center"/>
              <w:rPr>
                <w:rFonts w:eastAsia="Times New Roman" w:cstheme="minorHAnsi"/>
                <w:b/>
                <w:sz w:val="22"/>
                <w:szCs w:val="22"/>
                <w:lang w:eastAsia="en-GB"/>
              </w:rPr>
            </w:pPr>
            <w:r w:rsidRPr="00ED4366">
              <w:rPr>
                <w:rFonts w:eastAsia="Times New Roman" w:cstheme="minorHAnsi"/>
                <w:b/>
                <w:sz w:val="22"/>
                <w:szCs w:val="22"/>
                <w:lang w:eastAsia="en-GB"/>
              </w:rPr>
              <w:t>Maks.</w:t>
            </w:r>
          </w:p>
        </w:tc>
        <w:tc>
          <w:tcPr>
            <w:tcW w:w="651" w:type="pct"/>
            <w:vMerge/>
            <w:vAlign w:val="center"/>
            <w:hideMark/>
          </w:tcPr>
          <w:p w14:paraId="0DDA11E3" w14:textId="77777777" w:rsidR="00865DCC" w:rsidRPr="00ED4366" w:rsidRDefault="00865DCC" w:rsidP="00ED4366">
            <w:pPr>
              <w:suppressAutoHyphens w:val="0"/>
              <w:jc w:val="center"/>
              <w:rPr>
                <w:rFonts w:eastAsia="Times New Roman" w:cstheme="minorHAnsi"/>
                <w:sz w:val="22"/>
                <w:szCs w:val="22"/>
                <w:lang w:eastAsia="en-GB"/>
              </w:rPr>
            </w:pPr>
          </w:p>
        </w:tc>
        <w:tc>
          <w:tcPr>
            <w:tcW w:w="628" w:type="pct"/>
            <w:vMerge/>
            <w:vAlign w:val="center"/>
            <w:hideMark/>
          </w:tcPr>
          <w:p w14:paraId="01ECF8BA" w14:textId="77777777" w:rsidR="00865DCC" w:rsidRPr="00ED4366" w:rsidRDefault="00865DCC" w:rsidP="00ED4366">
            <w:pPr>
              <w:suppressAutoHyphens w:val="0"/>
              <w:jc w:val="center"/>
              <w:rPr>
                <w:rFonts w:eastAsia="Times New Roman" w:cstheme="minorHAnsi"/>
                <w:sz w:val="22"/>
                <w:szCs w:val="22"/>
                <w:lang w:eastAsia="en-GB"/>
              </w:rPr>
            </w:pPr>
          </w:p>
        </w:tc>
        <w:tc>
          <w:tcPr>
            <w:tcW w:w="522" w:type="pct"/>
            <w:vMerge/>
            <w:vAlign w:val="center"/>
          </w:tcPr>
          <w:p w14:paraId="7B0EA114" w14:textId="77777777" w:rsidR="00865DCC" w:rsidRPr="00ED4366" w:rsidRDefault="00865DCC" w:rsidP="00ED4366">
            <w:pPr>
              <w:suppressAutoHyphens w:val="0"/>
              <w:jc w:val="center"/>
              <w:rPr>
                <w:rFonts w:eastAsia="Times New Roman" w:cstheme="minorHAnsi"/>
                <w:sz w:val="22"/>
                <w:szCs w:val="22"/>
                <w:highlight w:val="yellow"/>
                <w:lang w:eastAsia="en-GB"/>
              </w:rPr>
            </w:pPr>
          </w:p>
        </w:tc>
        <w:tc>
          <w:tcPr>
            <w:tcW w:w="730" w:type="pct"/>
            <w:vMerge/>
            <w:vAlign w:val="center"/>
          </w:tcPr>
          <w:p w14:paraId="7B466E3B" w14:textId="77777777" w:rsidR="00865DCC" w:rsidRPr="00ED4366" w:rsidRDefault="00865DCC" w:rsidP="00ED4366">
            <w:pPr>
              <w:suppressAutoHyphens w:val="0"/>
              <w:jc w:val="center"/>
              <w:rPr>
                <w:rFonts w:eastAsia="Times New Roman" w:cstheme="minorHAnsi"/>
                <w:sz w:val="22"/>
                <w:szCs w:val="22"/>
                <w:highlight w:val="yellow"/>
                <w:lang w:eastAsia="en-GB"/>
              </w:rPr>
            </w:pPr>
          </w:p>
        </w:tc>
        <w:tc>
          <w:tcPr>
            <w:tcW w:w="627" w:type="pct"/>
            <w:vMerge/>
            <w:vAlign w:val="center"/>
          </w:tcPr>
          <w:p w14:paraId="57FFC8D7" w14:textId="77777777" w:rsidR="00865DCC" w:rsidRPr="00ED4366" w:rsidRDefault="00865DCC" w:rsidP="00ED4366">
            <w:pPr>
              <w:suppressAutoHyphens w:val="0"/>
              <w:jc w:val="center"/>
              <w:rPr>
                <w:rFonts w:eastAsia="Times New Roman" w:cstheme="minorHAnsi"/>
                <w:sz w:val="22"/>
                <w:szCs w:val="22"/>
                <w:highlight w:val="yellow"/>
                <w:lang w:eastAsia="en-GB"/>
              </w:rPr>
            </w:pPr>
          </w:p>
        </w:tc>
      </w:tr>
      <w:tr w:rsidR="00865DCC" w:rsidRPr="00ED4366" w14:paraId="1401799D" w14:textId="77777777" w:rsidTr="00ED4366">
        <w:trPr>
          <w:trHeight w:val="495"/>
        </w:trPr>
        <w:tc>
          <w:tcPr>
            <w:tcW w:w="1003" w:type="pct"/>
            <w:tcBorders>
              <w:top w:val="single" w:sz="4" w:space="0" w:color="auto"/>
              <w:left w:val="single" w:sz="4" w:space="0" w:color="auto"/>
              <w:bottom w:val="single" w:sz="4" w:space="0" w:color="auto"/>
              <w:right w:val="single" w:sz="4" w:space="0" w:color="auto"/>
            </w:tcBorders>
            <w:vAlign w:val="center"/>
            <w:hideMark/>
          </w:tcPr>
          <w:p w14:paraId="22BE6300" w14:textId="77777777" w:rsidR="00865DCC" w:rsidRPr="00ED4366" w:rsidRDefault="00865DCC" w:rsidP="00ED4366">
            <w:pPr>
              <w:suppressAutoHyphens w:val="0"/>
              <w:jc w:val="center"/>
              <w:rPr>
                <w:rFonts w:cstheme="minorHAnsi"/>
                <w:bCs/>
                <w:sz w:val="22"/>
                <w:szCs w:val="22"/>
              </w:rPr>
            </w:pPr>
            <w:r w:rsidRPr="00ED4366">
              <w:rPr>
                <w:rFonts w:cstheme="minorHAnsi"/>
                <w:bCs/>
                <w:sz w:val="22"/>
                <w:szCs w:val="22"/>
              </w:rPr>
              <w:t>Lielais tritons</w:t>
            </w:r>
          </w:p>
          <w:p w14:paraId="235EF4B3" w14:textId="7CE8AED1" w:rsidR="00865DCC" w:rsidRPr="00ED4366" w:rsidRDefault="00865DCC" w:rsidP="00ED4366">
            <w:pPr>
              <w:suppressAutoHyphens w:val="0"/>
              <w:jc w:val="center"/>
              <w:rPr>
                <w:rFonts w:eastAsia="Times New Roman" w:cstheme="minorHAnsi"/>
                <w:sz w:val="22"/>
                <w:szCs w:val="22"/>
                <w:lang w:eastAsia="en-GB"/>
              </w:rPr>
            </w:pPr>
            <w:r w:rsidRPr="00ED4366">
              <w:rPr>
                <w:rFonts w:cstheme="minorHAnsi"/>
                <w:bCs/>
                <w:i/>
                <w:sz w:val="22"/>
                <w:szCs w:val="22"/>
              </w:rPr>
              <w:t>Triturus cristatus</w:t>
            </w:r>
          </w:p>
        </w:tc>
        <w:tc>
          <w:tcPr>
            <w:tcW w:w="424" w:type="pct"/>
            <w:tcBorders>
              <w:top w:val="single" w:sz="4" w:space="0" w:color="000000"/>
              <w:left w:val="single" w:sz="4" w:space="0" w:color="000000"/>
              <w:bottom w:val="single" w:sz="4" w:space="0" w:color="000000"/>
              <w:right w:val="single" w:sz="4" w:space="0" w:color="000000"/>
            </w:tcBorders>
            <w:noWrap/>
            <w:vAlign w:val="center"/>
          </w:tcPr>
          <w:p w14:paraId="0CDE3E5D" w14:textId="0249F523" w:rsidR="00865DCC" w:rsidRPr="00ED4366" w:rsidRDefault="00865DCC" w:rsidP="00ED4366">
            <w:pPr>
              <w:suppressAutoHyphens w:val="0"/>
              <w:jc w:val="center"/>
              <w:rPr>
                <w:rFonts w:eastAsia="Times New Roman" w:cstheme="minorHAnsi"/>
                <w:sz w:val="22"/>
                <w:szCs w:val="22"/>
                <w:lang w:eastAsia="en-GB"/>
              </w:rPr>
            </w:pPr>
            <w:r w:rsidRPr="00ED4366">
              <w:rPr>
                <w:rFonts w:cstheme="minorHAnsi"/>
                <w:sz w:val="22"/>
                <w:szCs w:val="22"/>
              </w:rPr>
              <w:t>2470</w:t>
            </w:r>
          </w:p>
        </w:tc>
        <w:tc>
          <w:tcPr>
            <w:tcW w:w="415" w:type="pct"/>
            <w:tcBorders>
              <w:top w:val="single" w:sz="4" w:space="0" w:color="000000"/>
              <w:left w:val="single" w:sz="4" w:space="0" w:color="000000"/>
              <w:bottom w:val="single" w:sz="4" w:space="0" w:color="000000"/>
              <w:right w:val="single" w:sz="4" w:space="0" w:color="000000"/>
            </w:tcBorders>
            <w:vAlign w:val="center"/>
          </w:tcPr>
          <w:p w14:paraId="450B2644" w14:textId="672B46DA" w:rsidR="00865DCC" w:rsidRPr="00ED4366" w:rsidRDefault="00865DCC" w:rsidP="00ED4366">
            <w:pPr>
              <w:suppressAutoHyphens w:val="0"/>
              <w:jc w:val="center"/>
              <w:rPr>
                <w:rFonts w:eastAsia="Times New Roman" w:cstheme="minorHAnsi"/>
                <w:sz w:val="22"/>
                <w:szCs w:val="22"/>
                <w:lang w:eastAsia="en-GB"/>
              </w:rPr>
            </w:pPr>
            <w:r w:rsidRPr="00ED4366">
              <w:rPr>
                <w:rFonts w:cstheme="minorHAnsi"/>
                <w:sz w:val="22"/>
                <w:szCs w:val="22"/>
              </w:rPr>
              <w:t>34400</w:t>
            </w:r>
          </w:p>
        </w:tc>
        <w:tc>
          <w:tcPr>
            <w:tcW w:w="651" w:type="pct"/>
            <w:tcBorders>
              <w:top w:val="single" w:sz="4" w:space="0" w:color="000000"/>
              <w:left w:val="single" w:sz="4" w:space="0" w:color="000000"/>
              <w:bottom w:val="single" w:sz="4" w:space="0" w:color="000000"/>
              <w:right w:val="single" w:sz="4" w:space="0" w:color="000000"/>
            </w:tcBorders>
            <w:vAlign w:val="center"/>
          </w:tcPr>
          <w:p w14:paraId="57C7C62F" w14:textId="134394EE" w:rsidR="00865DCC" w:rsidRPr="00ED4366" w:rsidRDefault="00865DCC" w:rsidP="00ED4366">
            <w:pPr>
              <w:suppressAutoHyphens w:val="0"/>
              <w:jc w:val="center"/>
              <w:rPr>
                <w:rFonts w:eastAsia="Times New Roman" w:cstheme="minorHAnsi"/>
                <w:sz w:val="22"/>
                <w:szCs w:val="22"/>
                <w:lang w:eastAsia="en-GB"/>
              </w:rPr>
            </w:pPr>
            <w:r w:rsidRPr="00ED4366">
              <w:rPr>
                <w:rFonts w:cstheme="minorHAnsi"/>
                <w:sz w:val="22"/>
                <w:szCs w:val="22"/>
              </w:rPr>
              <w:t>~20</w:t>
            </w:r>
          </w:p>
        </w:tc>
        <w:tc>
          <w:tcPr>
            <w:tcW w:w="628" w:type="pct"/>
            <w:tcBorders>
              <w:top w:val="single" w:sz="4" w:space="0" w:color="000000"/>
              <w:left w:val="single" w:sz="4" w:space="0" w:color="000000"/>
              <w:bottom w:val="single" w:sz="4" w:space="0" w:color="000000"/>
              <w:right w:val="single" w:sz="4" w:space="0" w:color="000000"/>
            </w:tcBorders>
            <w:vAlign w:val="center"/>
          </w:tcPr>
          <w:p w14:paraId="260ADDDB" w14:textId="22B53CC4" w:rsidR="00865DCC" w:rsidRPr="00ED4366" w:rsidRDefault="00865DCC" w:rsidP="00ED4366">
            <w:pPr>
              <w:suppressAutoHyphens w:val="0"/>
              <w:jc w:val="center"/>
              <w:rPr>
                <w:rFonts w:eastAsia="Times New Roman" w:cstheme="minorHAnsi"/>
                <w:sz w:val="22"/>
                <w:szCs w:val="22"/>
                <w:lang w:eastAsia="en-GB"/>
              </w:rPr>
            </w:pPr>
            <w:r w:rsidRPr="00ED4366">
              <w:rPr>
                <w:rFonts w:cstheme="minorHAnsi"/>
                <w:sz w:val="22"/>
                <w:szCs w:val="22"/>
              </w:rPr>
              <w:t>Nav zināma</w:t>
            </w:r>
          </w:p>
        </w:tc>
        <w:tc>
          <w:tcPr>
            <w:tcW w:w="522" w:type="pct"/>
            <w:tcBorders>
              <w:top w:val="single" w:sz="4" w:space="0" w:color="000000"/>
              <w:left w:val="single" w:sz="4" w:space="0" w:color="000000"/>
              <w:bottom w:val="single" w:sz="4" w:space="0" w:color="000000"/>
              <w:right w:val="single" w:sz="4" w:space="0" w:color="000000"/>
            </w:tcBorders>
            <w:vAlign w:val="center"/>
          </w:tcPr>
          <w:p w14:paraId="09EDD9CD" w14:textId="1DE8EE91" w:rsidR="00865DCC" w:rsidRPr="00ED4366" w:rsidRDefault="00865DCC" w:rsidP="00ED4366">
            <w:pPr>
              <w:suppressAutoHyphens w:val="0"/>
              <w:jc w:val="center"/>
              <w:rPr>
                <w:rFonts w:cstheme="minorHAnsi"/>
                <w:sz w:val="22"/>
                <w:szCs w:val="22"/>
                <w:highlight w:val="yellow"/>
              </w:rPr>
            </w:pPr>
            <w:r w:rsidRPr="00ED4366">
              <w:rPr>
                <w:rFonts w:cstheme="minorHAnsi"/>
                <w:sz w:val="22"/>
                <w:szCs w:val="22"/>
              </w:rPr>
              <w:t>Nav zināma</w:t>
            </w:r>
          </w:p>
        </w:tc>
        <w:tc>
          <w:tcPr>
            <w:tcW w:w="730" w:type="pct"/>
            <w:tcBorders>
              <w:top w:val="single" w:sz="4" w:space="0" w:color="auto"/>
              <w:left w:val="nil"/>
              <w:bottom w:val="single" w:sz="4" w:space="0" w:color="auto"/>
              <w:right w:val="single" w:sz="4" w:space="0" w:color="auto"/>
            </w:tcBorders>
            <w:vAlign w:val="center"/>
          </w:tcPr>
          <w:p w14:paraId="04C94CA4" w14:textId="0C14EF78" w:rsidR="00865DCC" w:rsidRPr="00ED4366" w:rsidRDefault="00865DCC" w:rsidP="00ED4366">
            <w:pPr>
              <w:suppressAutoHyphens w:val="0"/>
              <w:jc w:val="center"/>
              <w:rPr>
                <w:rFonts w:cstheme="minorHAnsi"/>
                <w:sz w:val="22"/>
                <w:szCs w:val="22"/>
                <w:highlight w:val="yellow"/>
              </w:rPr>
            </w:pPr>
            <w:r w:rsidRPr="00ED4366">
              <w:rPr>
                <w:rFonts w:cstheme="minorHAnsi"/>
                <w:sz w:val="22"/>
                <w:szCs w:val="22"/>
              </w:rPr>
              <w:t>Nav zināma</w:t>
            </w:r>
          </w:p>
        </w:tc>
        <w:tc>
          <w:tcPr>
            <w:tcW w:w="627" w:type="pct"/>
            <w:tcBorders>
              <w:top w:val="single" w:sz="4" w:space="0" w:color="auto"/>
              <w:left w:val="nil"/>
              <w:bottom w:val="single" w:sz="4" w:space="0" w:color="auto"/>
              <w:right w:val="single" w:sz="4" w:space="0" w:color="auto"/>
            </w:tcBorders>
            <w:shd w:val="clear" w:color="auto" w:fill="auto"/>
            <w:vAlign w:val="center"/>
          </w:tcPr>
          <w:p w14:paraId="398DE7C6" w14:textId="155DDE8F" w:rsidR="00865DCC" w:rsidRPr="00ED4366" w:rsidRDefault="00865DCC" w:rsidP="00ED4366">
            <w:pPr>
              <w:suppressAutoHyphens w:val="0"/>
              <w:jc w:val="center"/>
              <w:rPr>
                <w:rFonts w:cstheme="minorHAnsi"/>
                <w:sz w:val="22"/>
                <w:szCs w:val="22"/>
              </w:rPr>
            </w:pPr>
            <w:r w:rsidRPr="00ED4366">
              <w:rPr>
                <w:rFonts w:cstheme="minorHAnsi"/>
                <w:sz w:val="22"/>
                <w:szCs w:val="22"/>
              </w:rPr>
              <w:t>Nav zināma</w:t>
            </w:r>
          </w:p>
        </w:tc>
      </w:tr>
      <w:tr w:rsidR="00ED4366" w:rsidRPr="00ED4366" w14:paraId="0DD866A5" w14:textId="77777777" w:rsidTr="00ED4366">
        <w:trPr>
          <w:trHeight w:val="495"/>
        </w:trPr>
        <w:tc>
          <w:tcPr>
            <w:tcW w:w="1003" w:type="pct"/>
            <w:tcBorders>
              <w:top w:val="single" w:sz="4" w:space="0" w:color="auto"/>
              <w:left w:val="single" w:sz="4" w:space="0" w:color="auto"/>
              <w:bottom w:val="single" w:sz="4" w:space="0" w:color="auto"/>
              <w:right w:val="single" w:sz="4" w:space="0" w:color="auto"/>
            </w:tcBorders>
            <w:vAlign w:val="center"/>
          </w:tcPr>
          <w:p w14:paraId="5F398A04" w14:textId="3E7715AB" w:rsidR="00ED4366" w:rsidRPr="00ED4366" w:rsidRDefault="00ED4366" w:rsidP="00ED4366">
            <w:pPr>
              <w:suppressAutoHyphens w:val="0"/>
              <w:jc w:val="center"/>
              <w:rPr>
                <w:rFonts w:cstheme="minorHAnsi"/>
                <w:bCs/>
                <w:i/>
                <w:sz w:val="22"/>
                <w:szCs w:val="22"/>
              </w:rPr>
            </w:pPr>
            <w:r w:rsidRPr="00ED4366">
              <w:rPr>
                <w:rFonts w:cstheme="minorHAnsi"/>
                <w:bCs/>
                <w:sz w:val="22"/>
                <w:szCs w:val="22"/>
              </w:rPr>
              <w:t>Purva varde</w:t>
            </w:r>
          </w:p>
          <w:p w14:paraId="4DC29C2C" w14:textId="451C06B1" w:rsidR="00ED4366" w:rsidRPr="00ED4366" w:rsidRDefault="00ED4366" w:rsidP="00ED4366">
            <w:pPr>
              <w:suppressAutoHyphens w:val="0"/>
              <w:jc w:val="center"/>
              <w:rPr>
                <w:rFonts w:cstheme="minorHAnsi"/>
                <w:bCs/>
                <w:sz w:val="22"/>
                <w:szCs w:val="22"/>
              </w:rPr>
            </w:pPr>
            <w:r w:rsidRPr="00ED4366">
              <w:rPr>
                <w:rFonts w:cstheme="minorHAnsi"/>
                <w:bCs/>
                <w:i/>
                <w:sz w:val="22"/>
                <w:szCs w:val="22"/>
              </w:rPr>
              <w:t>Rana arvalis</w:t>
            </w:r>
          </w:p>
        </w:tc>
        <w:tc>
          <w:tcPr>
            <w:tcW w:w="424" w:type="pct"/>
            <w:tcBorders>
              <w:top w:val="single" w:sz="4" w:space="0" w:color="000000"/>
              <w:left w:val="single" w:sz="4" w:space="0" w:color="000000"/>
              <w:bottom w:val="single" w:sz="4" w:space="0" w:color="000000"/>
              <w:right w:val="single" w:sz="4" w:space="0" w:color="000000"/>
            </w:tcBorders>
            <w:noWrap/>
            <w:vAlign w:val="center"/>
          </w:tcPr>
          <w:p w14:paraId="3DEE3474" w14:textId="19972D00"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13960-</w:t>
            </w:r>
          </w:p>
        </w:tc>
        <w:tc>
          <w:tcPr>
            <w:tcW w:w="415" w:type="pct"/>
            <w:tcBorders>
              <w:top w:val="single" w:sz="4" w:space="0" w:color="000000"/>
              <w:left w:val="single" w:sz="4" w:space="0" w:color="000000"/>
              <w:bottom w:val="single" w:sz="4" w:space="0" w:color="000000"/>
              <w:right w:val="single" w:sz="4" w:space="0" w:color="000000"/>
            </w:tcBorders>
            <w:vAlign w:val="center"/>
          </w:tcPr>
          <w:p w14:paraId="765F1244" w14:textId="57A606EE"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w:t>
            </w:r>
          </w:p>
        </w:tc>
        <w:tc>
          <w:tcPr>
            <w:tcW w:w="651" w:type="pct"/>
            <w:tcBorders>
              <w:top w:val="single" w:sz="4" w:space="0" w:color="000000"/>
              <w:left w:val="single" w:sz="4" w:space="0" w:color="000000"/>
              <w:bottom w:val="single" w:sz="4" w:space="0" w:color="000000"/>
              <w:right w:val="single" w:sz="4" w:space="0" w:color="000000"/>
            </w:tcBorders>
            <w:vAlign w:val="center"/>
          </w:tcPr>
          <w:p w14:paraId="384CA986" w14:textId="7342D347"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Nav zināma</w:t>
            </w:r>
          </w:p>
        </w:tc>
        <w:tc>
          <w:tcPr>
            <w:tcW w:w="628" w:type="pct"/>
            <w:tcBorders>
              <w:top w:val="single" w:sz="4" w:space="0" w:color="000000"/>
              <w:left w:val="single" w:sz="4" w:space="0" w:color="000000"/>
              <w:bottom w:val="single" w:sz="4" w:space="0" w:color="000000"/>
              <w:right w:val="single" w:sz="4" w:space="0" w:color="000000"/>
            </w:tcBorders>
            <w:vAlign w:val="center"/>
          </w:tcPr>
          <w:p w14:paraId="70104607" w14:textId="65B03929"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1.2</w:t>
            </w:r>
          </w:p>
        </w:tc>
        <w:tc>
          <w:tcPr>
            <w:tcW w:w="522" w:type="pct"/>
            <w:tcBorders>
              <w:top w:val="single" w:sz="4" w:space="0" w:color="000000"/>
              <w:left w:val="single" w:sz="4" w:space="0" w:color="000000"/>
              <w:bottom w:val="single" w:sz="4" w:space="0" w:color="000000"/>
              <w:right w:val="single" w:sz="4" w:space="0" w:color="000000"/>
            </w:tcBorders>
            <w:vAlign w:val="center"/>
          </w:tcPr>
          <w:p w14:paraId="3B5B7E44" w14:textId="348DC92A"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Nav zināma</w:t>
            </w:r>
          </w:p>
        </w:tc>
        <w:tc>
          <w:tcPr>
            <w:tcW w:w="730" w:type="pct"/>
            <w:tcBorders>
              <w:top w:val="single" w:sz="4" w:space="0" w:color="auto"/>
              <w:left w:val="nil"/>
              <w:bottom w:val="single" w:sz="4" w:space="0" w:color="auto"/>
              <w:right w:val="single" w:sz="4" w:space="0" w:color="auto"/>
            </w:tcBorders>
            <w:vAlign w:val="center"/>
          </w:tcPr>
          <w:p w14:paraId="4007DD21" w14:textId="3E6B1FFB"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Nav zināma</w:t>
            </w:r>
          </w:p>
        </w:tc>
        <w:tc>
          <w:tcPr>
            <w:tcW w:w="627" w:type="pct"/>
            <w:tcBorders>
              <w:top w:val="single" w:sz="4" w:space="0" w:color="auto"/>
              <w:left w:val="nil"/>
              <w:bottom w:val="single" w:sz="4" w:space="0" w:color="auto"/>
              <w:right w:val="single" w:sz="4" w:space="0" w:color="auto"/>
            </w:tcBorders>
            <w:shd w:val="clear" w:color="auto" w:fill="auto"/>
            <w:vAlign w:val="center"/>
          </w:tcPr>
          <w:p w14:paraId="08BB2072" w14:textId="3DF6C747" w:rsidR="00ED4366" w:rsidRPr="00ED4366" w:rsidRDefault="00ED4366" w:rsidP="00ED4366">
            <w:pPr>
              <w:suppressAutoHyphens w:val="0"/>
              <w:jc w:val="center"/>
              <w:rPr>
                <w:rFonts w:cstheme="minorHAnsi"/>
                <w:sz w:val="22"/>
                <w:szCs w:val="22"/>
              </w:rPr>
            </w:pPr>
            <w:r w:rsidRPr="00ED4366">
              <w:rPr>
                <w:rFonts w:cstheme="minorHAnsi"/>
                <w:sz w:val="22"/>
                <w:szCs w:val="22"/>
              </w:rPr>
              <w:t>Nav zināma</w:t>
            </w:r>
          </w:p>
        </w:tc>
      </w:tr>
      <w:tr w:rsidR="00ED4366" w:rsidRPr="00ED4366" w14:paraId="738A7131" w14:textId="77777777" w:rsidTr="00ED4366">
        <w:trPr>
          <w:trHeight w:val="495"/>
        </w:trPr>
        <w:tc>
          <w:tcPr>
            <w:tcW w:w="1003" w:type="pct"/>
            <w:tcBorders>
              <w:top w:val="single" w:sz="4" w:space="0" w:color="auto"/>
              <w:left w:val="single" w:sz="4" w:space="0" w:color="auto"/>
              <w:bottom w:val="single" w:sz="4" w:space="0" w:color="auto"/>
              <w:right w:val="single" w:sz="4" w:space="0" w:color="auto"/>
            </w:tcBorders>
            <w:vAlign w:val="center"/>
          </w:tcPr>
          <w:p w14:paraId="507390CB" w14:textId="77777777" w:rsidR="00ED4366" w:rsidRPr="00ED4366" w:rsidRDefault="00ED4366" w:rsidP="00ED4366">
            <w:pPr>
              <w:suppressAutoHyphens w:val="0"/>
              <w:jc w:val="center"/>
              <w:rPr>
                <w:rFonts w:cstheme="minorHAnsi"/>
                <w:bCs/>
                <w:sz w:val="22"/>
                <w:szCs w:val="22"/>
              </w:rPr>
            </w:pPr>
            <w:r w:rsidRPr="00ED4366">
              <w:rPr>
                <w:rFonts w:cstheme="minorHAnsi"/>
                <w:bCs/>
                <w:sz w:val="22"/>
                <w:szCs w:val="22"/>
              </w:rPr>
              <w:t>Parastā varde</w:t>
            </w:r>
          </w:p>
          <w:p w14:paraId="32BBCD1D" w14:textId="7C869C7A" w:rsidR="00ED4366" w:rsidRPr="00ED4366" w:rsidRDefault="00ED4366" w:rsidP="00ED4366">
            <w:pPr>
              <w:suppressAutoHyphens w:val="0"/>
              <w:jc w:val="center"/>
              <w:rPr>
                <w:rFonts w:cstheme="minorHAnsi"/>
                <w:bCs/>
                <w:sz w:val="22"/>
                <w:szCs w:val="22"/>
              </w:rPr>
            </w:pPr>
            <w:r w:rsidRPr="00ED4366">
              <w:rPr>
                <w:rFonts w:cstheme="minorHAnsi"/>
                <w:bCs/>
                <w:i/>
                <w:sz w:val="22"/>
                <w:szCs w:val="22"/>
              </w:rPr>
              <w:t>Rana temporaria</w:t>
            </w:r>
          </w:p>
        </w:tc>
        <w:tc>
          <w:tcPr>
            <w:tcW w:w="424" w:type="pct"/>
            <w:tcBorders>
              <w:top w:val="single" w:sz="4" w:space="0" w:color="000000"/>
              <w:left w:val="single" w:sz="4" w:space="0" w:color="000000"/>
              <w:bottom w:val="single" w:sz="4" w:space="0" w:color="000000"/>
              <w:right w:val="single" w:sz="4" w:space="0" w:color="000000"/>
            </w:tcBorders>
            <w:noWrap/>
            <w:vAlign w:val="center"/>
          </w:tcPr>
          <w:p w14:paraId="69B89126" w14:textId="459618FD"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23570</w:t>
            </w:r>
          </w:p>
        </w:tc>
        <w:tc>
          <w:tcPr>
            <w:tcW w:w="415" w:type="pct"/>
            <w:tcBorders>
              <w:top w:val="single" w:sz="4" w:space="0" w:color="000000"/>
              <w:left w:val="single" w:sz="4" w:space="0" w:color="000000"/>
              <w:bottom w:val="single" w:sz="4" w:space="0" w:color="000000"/>
              <w:right w:val="single" w:sz="4" w:space="0" w:color="000000"/>
            </w:tcBorders>
            <w:vAlign w:val="center"/>
          </w:tcPr>
          <w:p w14:paraId="68A540CF" w14:textId="34413B8B"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w:t>
            </w:r>
          </w:p>
        </w:tc>
        <w:tc>
          <w:tcPr>
            <w:tcW w:w="651" w:type="pct"/>
            <w:tcBorders>
              <w:top w:val="single" w:sz="4" w:space="0" w:color="000000"/>
              <w:left w:val="single" w:sz="4" w:space="0" w:color="000000"/>
              <w:bottom w:val="single" w:sz="4" w:space="0" w:color="000000"/>
              <w:right w:val="single" w:sz="4" w:space="0" w:color="000000"/>
            </w:tcBorders>
            <w:vAlign w:val="center"/>
          </w:tcPr>
          <w:p w14:paraId="26B43585" w14:textId="2EB6C437"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Nav zināma</w:t>
            </w:r>
          </w:p>
        </w:tc>
        <w:tc>
          <w:tcPr>
            <w:tcW w:w="628" w:type="pct"/>
            <w:tcBorders>
              <w:top w:val="single" w:sz="4" w:space="0" w:color="000000"/>
              <w:left w:val="single" w:sz="4" w:space="0" w:color="000000"/>
              <w:bottom w:val="single" w:sz="4" w:space="0" w:color="000000"/>
              <w:right w:val="single" w:sz="4" w:space="0" w:color="000000"/>
            </w:tcBorders>
            <w:vAlign w:val="center"/>
          </w:tcPr>
          <w:p w14:paraId="6A75ED81" w14:textId="34923844"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2.2</w:t>
            </w:r>
          </w:p>
        </w:tc>
        <w:tc>
          <w:tcPr>
            <w:tcW w:w="522" w:type="pct"/>
            <w:tcBorders>
              <w:top w:val="single" w:sz="4" w:space="0" w:color="000000"/>
              <w:left w:val="single" w:sz="4" w:space="0" w:color="000000"/>
              <w:bottom w:val="single" w:sz="4" w:space="0" w:color="000000"/>
              <w:right w:val="single" w:sz="4" w:space="0" w:color="000000"/>
            </w:tcBorders>
            <w:vAlign w:val="center"/>
          </w:tcPr>
          <w:p w14:paraId="492564ED" w14:textId="68854AB6"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Nav zināma</w:t>
            </w:r>
          </w:p>
        </w:tc>
        <w:tc>
          <w:tcPr>
            <w:tcW w:w="730" w:type="pct"/>
            <w:tcBorders>
              <w:top w:val="single" w:sz="4" w:space="0" w:color="auto"/>
              <w:left w:val="nil"/>
              <w:bottom w:val="single" w:sz="4" w:space="0" w:color="auto"/>
              <w:right w:val="single" w:sz="4" w:space="0" w:color="auto"/>
            </w:tcBorders>
            <w:vAlign w:val="center"/>
          </w:tcPr>
          <w:p w14:paraId="3A9DA3A0" w14:textId="5C90294B"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Nav zināma</w:t>
            </w:r>
          </w:p>
        </w:tc>
        <w:tc>
          <w:tcPr>
            <w:tcW w:w="627" w:type="pct"/>
            <w:tcBorders>
              <w:top w:val="single" w:sz="4" w:space="0" w:color="auto"/>
              <w:left w:val="nil"/>
              <w:bottom w:val="single" w:sz="4" w:space="0" w:color="auto"/>
              <w:right w:val="single" w:sz="4" w:space="0" w:color="auto"/>
            </w:tcBorders>
            <w:shd w:val="clear" w:color="auto" w:fill="auto"/>
            <w:vAlign w:val="center"/>
          </w:tcPr>
          <w:p w14:paraId="4C9B0E8F" w14:textId="3F47C32A" w:rsidR="00ED4366" w:rsidRPr="00ED4366" w:rsidRDefault="00ED4366" w:rsidP="00ED4366">
            <w:pPr>
              <w:suppressAutoHyphens w:val="0"/>
              <w:jc w:val="center"/>
              <w:rPr>
                <w:rFonts w:cstheme="minorHAnsi"/>
                <w:sz w:val="22"/>
                <w:szCs w:val="22"/>
              </w:rPr>
            </w:pPr>
            <w:r w:rsidRPr="00ED4366">
              <w:rPr>
                <w:rFonts w:cstheme="minorHAnsi"/>
                <w:sz w:val="22"/>
                <w:szCs w:val="22"/>
              </w:rPr>
              <w:t>Nav zināma</w:t>
            </w:r>
          </w:p>
        </w:tc>
      </w:tr>
      <w:tr w:rsidR="00ED4366" w:rsidRPr="00ED4366" w14:paraId="375C7158" w14:textId="77777777" w:rsidTr="00ED4366">
        <w:trPr>
          <w:trHeight w:val="495"/>
        </w:trPr>
        <w:tc>
          <w:tcPr>
            <w:tcW w:w="1003" w:type="pct"/>
            <w:tcBorders>
              <w:top w:val="single" w:sz="4" w:space="0" w:color="auto"/>
              <w:left w:val="single" w:sz="4" w:space="0" w:color="auto"/>
              <w:bottom w:val="single" w:sz="4" w:space="0" w:color="auto"/>
              <w:right w:val="single" w:sz="4" w:space="0" w:color="auto"/>
            </w:tcBorders>
            <w:vAlign w:val="center"/>
          </w:tcPr>
          <w:p w14:paraId="2F95CD2B" w14:textId="77777777" w:rsidR="00ED4366" w:rsidRPr="00ED4366" w:rsidRDefault="00ED4366" w:rsidP="00ED4366">
            <w:pPr>
              <w:suppressAutoHyphens w:val="0"/>
              <w:jc w:val="center"/>
              <w:rPr>
                <w:rFonts w:cstheme="minorHAnsi"/>
                <w:bCs/>
                <w:sz w:val="22"/>
                <w:szCs w:val="22"/>
              </w:rPr>
            </w:pPr>
            <w:r w:rsidRPr="00ED4366">
              <w:rPr>
                <w:rFonts w:cstheme="minorHAnsi"/>
                <w:bCs/>
                <w:sz w:val="22"/>
                <w:szCs w:val="22"/>
              </w:rPr>
              <w:t>Dīķa varde</w:t>
            </w:r>
          </w:p>
          <w:p w14:paraId="2D75C34F" w14:textId="20ECC536" w:rsidR="00ED4366" w:rsidRPr="00ED4366" w:rsidRDefault="00ED4366" w:rsidP="00ED4366">
            <w:pPr>
              <w:suppressAutoHyphens w:val="0"/>
              <w:jc w:val="center"/>
              <w:rPr>
                <w:rFonts w:cstheme="minorHAnsi"/>
                <w:bCs/>
                <w:sz w:val="22"/>
                <w:szCs w:val="22"/>
              </w:rPr>
            </w:pPr>
            <w:r w:rsidRPr="00ED4366">
              <w:rPr>
                <w:rFonts w:cstheme="minorHAnsi"/>
                <w:bCs/>
                <w:i/>
                <w:sz w:val="22"/>
                <w:szCs w:val="22"/>
              </w:rPr>
              <w:t>Pelophylax lessonae</w:t>
            </w:r>
          </w:p>
        </w:tc>
        <w:tc>
          <w:tcPr>
            <w:tcW w:w="424" w:type="pct"/>
            <w:tcBorders>
              <w:top w:val="single" w:sz="4" w:space="0" w:color="000000"/>
              <w:left w:val="single" w:sz="4" w:space="0" w:color="000000"/>
              <w:bottom w:val="single" w:sz="4" w:space="0" w:color="000000"/>
              <w:right w:val="single" w:sz="4" w:space="0" w:color="000000"/>
            </w:tcBorders>
            <w:noWrap/>
            <w:vAlign w:val="center"/>
          </w:tcPr>
          <w:p w14:paraId="19D2830C" w14:textId="43EF95D3"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18230</w:t>
            </w:r>
          </w:p>
        </w:tc>
        <w:tc>
          <w:tcPr>
            <w:tcW w:w="415" w:type="pct"/>
            <w:tcBorders>
              <w:top w:val="single" w:sz="4" w:space="0" w:color="000000"/>
              <w:left w:val="single" w:sz="4" w:space="0" w:color="000000"/>
              <w:bottom w:val="single" w:sz="4" w:space="0" w:color="000000"/>
              <w:right w:val="single" w:sz="4" w:space="0" w:color="000000"/>
            </w:tcBorders>
            <w:vAlign w:val="center"/>
          </w:tcPr>
          <w:p w14:paraId="3BFA1291" w14:textId="090946D9"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w:t>
            </w:r>
          </w:p>
        </w:tc>
        <w:tc>
          <w:tcPr>
            <w:tcW w:w="651" w:type="pct"/>
            <w:tcBorders>
              <w:top w:val="single" w:sz="4" w:space="0" w:color="000000"/>
              <w:left w:val="single" w:sz="4" w:space="0" w:color="000000"/>
              <w:bottom w:val="single" w:sz="4" w:space="0" w:color="000000"/>
              <w:right w:val="single" w:sz="4" w:space="0" w:color="000000"/>
            </w:tcBorders>
            <w:vAlign w:val="center"/>
          </w:tcPr>
          <w:p w14:paraId="03A708CA" w14:textId="218D01C8"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Nav zināma</w:t>
            </w:r>
          </w:p>
        </w:tc>
        <w:tc>
          <w:tcPr>
            <w:tcW w:w="628" w:type="pct"/>
            <w:tcBorders>
              <w:top w:val="single" w:sz="4" w:space="0" w:color="000000"/>
              <w:left w:val="single" w:sz="4" w:space="0" w:color="000000"/>
              <w:bottom w:val="single" w:sz="4" w:space="0" w:color="000000"/>
              <w:right w:val="single" w:sz="4" w:space="0" w:color="000000"/>
            </w:tcBorders>
            <w:vAlign w:val="center"/>
          </w:tcPr>
          <w:p w14:paraId="3A08E521" w14:textId="398A1FD6"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1.2</w:t>
            </w:r>
          </w:p>
        </w:tc>
        <w:tc>
          <w:tcPr>
            <w:tcW w:w="522" w:type="pct"/>
            <w:tcBorders>
              <w:top w:val="single" w:sz="4" w:space="0" w:color="000000"/>
              <w:left w:val="single" w:sz="4" w:space="0" w:color="000000"/>
              <w:bottom w:val="single" w:sz="4" w:space="0" w:color="000000"/>
              <w:right w:val="single" w:sz="4" w:space="0" w:color="000000"/>
            </w:tcBorders>
            <w:vAlign w:val="center"/>
          </w:tcPr>
          <w:p w14:paraId="024B023A" w14:textId="02F427D7"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~200</w:t>
            </w:r>
          </w:p>
        </w:tc>
        <w:tc>
          <w:tcPr>
            <w:tcW w:w="730" w:type="pct"/>
            <w:tcBorders>
              <w:top w:val="single" w:sz="4" w:space="0" w:color="auto"/>
              <w:left w:val="nil"/>
              <w:bottom w:val="single" w:sz="4" w:space="0" w:color="auto"/>
              <w:right w:val="single" w:sz="4" w:space="0" w:color="auto"/>
            </w:tcBorders>
            <w:vAlign w:val="center"/>
          </w:tcPr>
          <w:p w14:paraId="12A11961" w14:textId="6BA92770"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Nav zināma</w:t>
            </w:r>
          </w:p>
        </w:tc>
        <w:tc>
          <w:tcPr>
            <w:tcW w:w="627" w:type="pct"/>
            <w:tcBorders>
              <w:top w:val="single" w:sz="4" w:space="0" w:color="auto"/>
              <w:left w:val="nil"/>
              <w:bottom w:val="single" w:sz="4" w:space="0" w:color="auto"/>
              <w:right w:val="single" w:sz="4" w:space="0" w:color="auto"/>
            </w:tcBorders>
            <w:shd w:val="clear" w:color="auto" w:fill="auto"/>
            <w:vAlign w:val="center"/>
          </w:tcPr>
          <w:p w14:paraId="49575B75" w14:textId="6D1A7C0C" w:rsidR="00ED4366" w:rsidRPr="00ED4366" w:rsidRDefault="00ED4366" w:rsidP="00ED4366">
            <w:pPr>
              <w:suppressAutoHyphens w:val="0"/>
              <w:jc w:val="center"/>
              <w:rPr>
                <w:rFonts w:cstheme="minorHAnsi"/>
                <w:sz w:val="22"/>
                <w:szCs w:val="22"/>
              </w:rPr>
            </w:pPr>
            <w:r w:rsidRPr="00ED4366">
              <w:rPr>
                <w:rFonts w:cstheme="minorHAnsi"/>
                <w:sz w:val="22"/>
                <w:szCs w:val="22"/>
              </w:rPr>
              <w:t>Nav zināma</w:t>
            </w:r>
          </w:p>
        </w:tc>
      </w:tr>
      <w:tr w:rsidR="00ED4366" w:rsidRPr="00ED4366" w14:paraId="6A9BA6E2" w14:textId="77777777" w:rsidTr="00ED4366">
        <w:trPr>
          <w:trHeight w:val="495"/>
        </w:trPr>
        <w:tc>
          <w:tcPr>
            <w:tcW w:w="1003" w:type="pct"/>
            <w:tcBorders>
              <w:top w:val="single" w:sz="4" w:space="0" w:color="auto"/>
              <w:left w:val="single" w:sz="4" w:space="0" w:color="auto"/>
              <w:bottom w:val="single" w:sz="4" w:space="0" w:color="auto"/>
              <w:right w:val="single" w:sz="4" w:space="0" w:color="auto"/>
            </w:tcBorders>
            <w:vAlign w:val="center"/>
          </w:tcPr>
          <w:p w14:paraId="565EDEAE" w14:textId="77777777" w:rsidR="00ED4366" w:rsidRPr="00ED4366" w:rsidRDefault="00ED4366" w:rsidP="00ED4366">
            <w:pPr>
              <w:suppressAutoHyphens w:val="0"/>
              <w:jc w:val="center"/>
              <w:rPr>
                <w:rFonts w:cstheme="minorHAnsi"/>
                <w:bCs/>
                <w:sz w:val="22"/>
                <w:szCs w:val="22"/>
              </w:rPr>
            </w:pPr>
            <w:r w:rsidRPr="00ED4366">
              <w:rPr>
                <w:rFonts w:cstheme="minorHAnsi"/>
                <w:bCs/>
                <w:sz w:val="22"/>
                <w:szCs w:val="22"/>
              </w:rPr>
              <w:t>Brūnais varžkrupis</w:t>
            </w:r>
          </w:p>
          <w:p w14:paraId="0D6AACCD" w14:textId="4CE05B08" w:rsidR="00ED4366" w:rsidRPr="00ED4366" w:rsidRDefault="00ED4366" w:rsidP="00ED4366">
            <w:pPr>
              <w:suppressAutoHyphens w:val="0"/>
              <w:jc w:val="center"/>
              <w:rPr>
                <w:rFonts w:cstheme="minorHAnsi"/>
                <w:bCs/>
                <w:sz w:val="22"/>
                <w:szCs w:val="22"/>
              </w:rPr>
            </w:pPr>
            <w:r w:rsidRPr="00ED4366">
              <w:rPr>
                <w:rFonts w:cstheme="minorHAnsi"/>
                <w:bCs/>
                <w:i/>
                <w:sz w:val="22"/>
                <w:szCs w:val="22"/>
              </w:rPr>
              <w:t>Pelobates fuscus</w:t>
            </w:r>
          </w:p>
        </w:tc>
        <w:tc>
          <w:tcPr>
            <w:tcW w:w="424" w:type="pct"/>
            <w:tcBorders>
              <w:top w:val="single" w:sz="4" w:space="0" w:color="000000"/>
              <w:left w:val="single" w:sz="4" w:space="0" w:color="000000"/>
              <w:bottom w:val="single" w:sz="4" w:space="0" w:color="000000"/>
              <w:right w:val="single" w:sz="4" w:space="0" w:color="000000"/>
            </w:tcBorders>
            <w:noWrap/>
            <w:vAlign w:val="center"/>
          </w:tcPr>
          <w:p w14:paraId="5073FCDA" w14:textId="424D0A16"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672</w:t>
            </w:r>
          </w:p>
        </w:tc>
        <w:tc>
          <w:tcPr>
            <w:tcW w:w="415" w:type="pct"/>
            <w:tcBorders>
              <w:top w:val="single" w:sz="4" w:space="0" w:color="000000"/>
              <w:left w:val="single" w:sz="4" w:space="0" w:color="000000"/>
              <w:bottom w:val="single" w:sz="4" w:space="0" w:color="000000"/>
              <w:right w:val="single" w:sz="4" w:space="0" w:color="000000"/>
            </w:tcBorders>
            <w:vAlign w:val="center"/>
          </w:tcPr>
          <w:p w14:paraId="0CB822DF" w14:textId="07F0F754"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w:t>
            </w:r>
          </w:p>
        </w:tc>
        <w:tc>
          <w:tcPr>
            <w:tcW w:w="651" w:type="pct"/>
            <w:tcBorders>
              <w:top w:val="single" w:sz="4" w:space="0" w:color="000000"/>
              <w:left w:val="single" w:sz="4" w:space="0" w:color="000000"/>
              <w:bottom w:val="single" w:sz="4" w:space="0" w:color="000000"/>
              <w:right w:val="single" w:sz="4" w:space="0" w:color="000000"/>
            </w:tcBorders>
            <w:vAlign w:val="center"/>
          </w:tcPr>
          <w:p w14:paraId="0F1E792A" w14:textId="535AE6B4"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Nav zināma</w:t>
            </w:r>
          </w:p>
        </w:tc>
        <w:tc>
          <w:tcPr>
            <w:tcW w:w="628" w:type="pct"/>
            <w:tcBorders>
              <w:top w:val="single" w:sz="4" w:space="0" w:color="000000"/>
              <w:left w:val="single" w:sz="4" w:space="0" w:color="000000"/>
              <w:bottom w:val="single" w:sz="4" w:space="0" w:color="000000"/>
              <w:right w:val="single" w:sz="4" w:space="0" w:color="000000"/>
            </w:tcBorders>
            <w:vAlign w:val="center"/>
          </w:tcPr>
          <w:p w14:paraId="1F1B03EC" w14:textId="61517143"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0.4</w:t>
            </w:r>
          </w:p>
        </w:tc>
        <w:tc>
          <w:tcPr>
            <w:tcW w:w="522" w:type="pct"/>
            <w:tcBorders>
              <w:top w:val="single" w:sz="4" w:space="0" w:color="000000"/>
              <w:left w:val="single" w:sz="4" w:space="0" w:color="000000"/>
              <w:bottom w:val="single" w:sz="4" w:space="0" w:color="000000"/>
              <w:right w:val="single" w:sz="4" w:space="0" w:color="000000"/>
            </w:tcBorders>
            <w:vAlign w:val="center"/>
          </w:tcPr>
          <w:p w14:paraId="6A722908" w14:textId="0C730A6F"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Nav zināma</w:t>
            </w:r>
          </w:p>
        </w:tc>
        <w:tc>
          <w:tcPr>
            <w:tcW w:w="730" w:type="pct"/>
            <w:tcBorders>
              <w:top w:val="single" w:sz="4" w:space="0" w:color="auto"/>
              <w:left w:val="nil"/>
              <w:bottom w:val="single" w:sz="4" w:space="0" w:color="auto"/>
              <w:right w:val="single" w:sz="4" w:space="0" w:color="auto"/>
            </w:tcBorders>
            <w:vAlign w:val="center"/>
          </w:tcPr>
          <w:p w14:paraId="389D0FDE" w14:textId="3463F7CD"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Nav zināma</w:t>
            </w:r>
          </w:p>
        </w:tc>
        <w:tc>
          <w:tcPr>
            <w:tcW w:w="627" w:type="pct"/>
            <w:tcBorders>
              <w:top w:val="single" w:sz="4" w:space="0" w:color="auto"/>
              <w:left w:val="nil"/>
              <w:bottom w:val="single" w:sz="4" w:space="0" w:color="auto"/>
              <w:right w:val="single" w:sz="4" w:space="0" w:color="auto"/>
            </w:tcBorders>
            <w:shd w:val="clear" w:color="auto" w:fill="auto"/>
            <w:vAlign w:val="center"/>
          </w:tcPr>
          <w:p w14:paraId="7C768A11" w14:textId="2C15D7F7" w:rsidR="00ED4366" w:rsidRPr="00ED4366" w:rsidRDefault="00ED4366" w:rsidP="00ED4366">
            <w:pPr>
              <w:suppressAutoHyphens w:val="0"/>
              <w:jc w:val="center"/>
              <w:rPr>
                <w:rFonts w:cstheme="minorHAnsi"/>
                <w:sz w:val="22"/>
                <w:szCs w:val="22"/>
              </w:rPr>
            </w:pPr>
            <w:r w:rsidRPr="00ED4366">
              <w:rPr>
                <w:rFonts w:cstheme="minorHAnsi"/>
                <w:sz w:val="22"/>
                <w:szCs w:val="22"/>
              </w:rPr>
              <w:t>Nav zināma</w:t>
            </w:r>
          </w:p>
        </w:tc>
      </w:tr>
      <w:tr w:rsidR="00ED4366" w:rsidRPr="00ED4366" w14:paraId="65AC63A7" w14:textId="77777777" w:rsidTr="00ED4366">
        <w:trPr>
          <w:trHeight w:val="495"/>
        </w:trPr>
        <w:tc>
          <w:tcPr>
            <w:tcW w:w="1003" w:type="pct"/>
            <w:tcBorders>
              <w:top w:val="single" w:sz="4" w:space="0" w:color="auto"/>
              <w:left w:val="single" w:sz="4" w:space="0" w:color="auto"/>
              <w:bottom w:val="single" w:sz="4" w:space="0" w:color="auto"/>
              <w:right w:val="single" w:sz="4" w:space="0" w:color="auto"/>
            </w:tcBorders>
            <w:vAlign w:val="center"/>
          </w:tcPr>
          <w:p w14:paraId="66F3C6DA" w14:textId="56113213" w:rsidR="00ED4366" w:rsidRPr="00ED4366" w:rsidRDefault="00ED4366" w:rsidP="00ED4366">
            <w:pPr>
              <w:suppressAutoHyphens w:val="0"/>
              <w:jc w:val="center"/>
              <w:rPr>
                <w:rFonts w:cstheme="minorHAnsi"/>
                <w:bCs/>
                <w:i/>
                <w:sz w:val="22"/>
                <w:szCs w:val="22"/>
              </w:rPr>
            </w:pPr>
            <w:r w:rsidRPr="00ED4366">
              <w:rPr>
                <w:rFonts w:cstheme="minorHAnsi"/>
                <w:bCs/>
                <w:sz w:val="22"/>
                <w:szCs w:val="22"/>
              </w:rPr>
              <w:lastRenderedPageBreak/>
              <w:t>Sila ķirzaka</w:t>
            </w:r>
          </w:p>
          <w:p w14:paraId="0C439C90" w14:textId="43CE9340" w:rsidR="00ED4366" w:rsidRPr="00ED4366" w:rsidRDefault="00ED4366" w:rsidP="00ED4366">
            <w:pPr>
              <w:suppressAutoHyphens w:val="0"/>
              <w:jc w:val="center"/>
              <w:rPr>
                <w:rFonts w:cstheme="minorHAnsi"/>
                <w:bCs/>
                <w:sz w:val="22"/>
                <w:szCs w:val="22"/>
              </w:rPr>
            </w:pPr>
            <w:r w:rsidRPr="00ED4366">
              <w:rPr>
                <w:rFonts w:cstheme="minorHAnsi"/>
                <w:bCs/>
                <w:i/>
                <w:sz w:val="22"/>
                <w:szCs w:val="22"/>
              </w:rPr>
              <w:t>Lacerta agilis</w:t>
            </w:r>
          </w:p>
        </w:tc>
        <w:tc>
          <w:tcPr>
            <w:tcW w:w="424" w:type="pct"/>
            <w:tcBorders>
              <w:top w:val="single" w:sz="4" w:space="0" w:color="000000"/>
              <w:left w:val="single" w:sz="4" w:space="0" w:color="000000"/>
              <w:bottom w:val="single" w:sz="4" w:space="0" w:color="000000"/>
              <w:right w:val="single" w:sz="4" w:space="0" w:color="000000"/>
            </w:tcBorders>
            <w:noWrap/>
            <w:vAlign w:val="center"/>
          </w:tcPr>
          <w:p w14:paraId="18DA0241" w14:textId="76C218A0"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810</w:t>
            </w:r>
          </w:p>
        </w:tc>
        <w:tc>
          <w:tcPr>
            <w:tcW w:w="415" w:type="pct"/>
            <w:tcBorders>
              <w:top w:val="single" w:sz="4" w:space="0" w:color="000000"/>
              <w:left w:val="single" w:sz="4" w:space="0" w:color="000000"/>
              <w:bottom w:val="single" w:sz="4" w:space="0" w:color="000000"/>
              <w:right w:val="single" w:sz="4" w:space="0" w:color="000000"/>
            </w:tcBorders>
            <w:vAlign w:val="center"/>
          </w:tcPr>
          <w:p w14:paraId="7E952517" w14:textId="00E1F008"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1420</w:t>
            </w:r>
          </w:p>
        </w:tc>
        <w:tc>
          <w:tcPr>
            <w:tcW w:w="651" w:type="pct"/>
            <w:tcBorders>
              <w:top w:val="single" w:sz="4" w:space="0" w:color="000000"/>
              <w:left w:val="single" w:sz="4" w:space="0" w:color="000000"/>
              <w:bottom w:val="single" w:sz="4" w:space="0" w:color="000000"/>
              <w:right w:val="single" w:sz="4" w:space="0" w:color="000000"/>
            </w:tcBorders>
            <w:vAlign w:val="center"/>
          </w:tcPr>
          <w:p w14:paraId="3ABCED60" w14:textId="7A264524"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Nav zināma</w:t>
            </w:r>
          </w:p>
        </w:tc>
        <w:tc>
          <w:tcPr>
            <w:tcW w:w="628" w:type="pct"/>
            <w:tcBorders>
              <w:top w:val="single" w:sz="4" w:space="0" w:color="000000"/>
              <w:left w:val="single" w:sz="4" w:space="0" w:color="000000"/>
              <w:bottom w:val="single" w:sz="4" w:space="0" w:color="000000"/>
              <w:right w:val="single" w:sz="4" w:space="0" w:color="000000"/>
            </w:tcBorders>
            <w:vAlign w:val="center"/>
          </w:tcPr>
          <w:p w14:paraId="7CEB45D3" w14:textId="293775D5" w:rsidR="00ED4366" w:rsidRPr="00ED4366" w:rsidRDefault="00ED4366" w:rsidP="00ED4366">
            <w:pPr>
              <w:suppressAutoHyphens w:val="0"/>
              <w:jc w:val="center"/>
              <w:rPr>
                <w:rFonts w:eastAsia="Times New Roman" w:cstheme="minorHAnsi"/>
                <w:sz w:val="22"/>
                <w:szCs w:val="22"/>
                <w:lang w:eastAsia="en-GB"/>
              </w:rPr>
            </w:pPr>
            <w:r w:rsidRPr="00ED4366">
              <w:rPr>
                <w:rFonts w:cstheme="minorHAnsi"/>
                <w:sz w:val="22"/>
                <w:szCs w:val="22"/>
              </w:rPr>
              <w:t>Nav zināma</w:t>
            </w:r>
          </w:p>
        </w:tc>
        <w:tc>
          <w:tcPr>
            <w:tcW w:w="522" w:type="pct"/>
            <w:tcBorders>
              <w:top w:val="single" w:sz="4" w:space="0" w:color="000000"/>
              <w:left w:val="single" w:sz="4" w:space="0" w:color="000000"/>
              <w:bottom w:val="single" w:sz="4" w:space="0" w:color="000000"/>
              <w:right w:val="single" w:sz="4" w:space="0" w:color="000000"/>
            </w:tcBorders>
            <w:vAlign w:val="center"/>
          </w:tcPr>
          <w:p w14:paraId="68E2BA91" w14:textId="4FB03AAE"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~20</w:t>
            </w:r>
          </w:p>
        </w:tc>
        <w:tc>
          <w:tcPr>
            <w:tcW w:w="730" w:type="pct"/>
            <w:tcBorders>
              <w:top w:val="single" w:sz="4" w:space="0" w:color="auto"/>
              <w:left w:val="nil"/>
              <w:bottom w:val="single" w:sz="4" w:space="0" w:color="auto"/>
              <w:right w:val="single" w:sz="4" w:space="0" w:color="auto"/>
            </w:tcBorders>
            <w:vAlign w:val="center"/>
          </w:tcPr>
          <w:p w14:paraId="5D1C43E3" w14:textId="36C7F7EF" w:rsidR="00ED4366" w:rsidRPr="00ED4366" w:rsidRDefault="00ED4366" w:rsidP="00ED4366">
            <w:pPr>
              <w:suppressAutoHyphens w:val="0"/>
              <w:jc w:val="center"/>
              <w:rPr>
                <w:rFonts w:cstheme="minorHAnsi"/>
                <w:sz w:val="22"/>
                <w:szCs w:val="22"/>
                <w:highlight w:val="yellow"/>
              </w:rPr>
            </w:pPr>
            <w:r w:rsidRPr="00ED4366">
              <w:rPr>
                <w:rFonts w:cstheme="minorHAnsi"/>
                <w:sz w:val="22"/>
                <w:szCs w:val="22"/>
              </w:rPr>
              <w:t>Nav zināma</w:t>
            </w:r>
          </w:p>
        </w:tc>
        <w:tc>
          <w:tcPr>
            <w:tcW w:w="627" w:type="pct"/>
            <w:tcBorders>
              <w:top w:val="single" w:sz="4" w:space="0" w:color="auto"/>
              <w:left w:val="nil"/>
              <w:bottom w:val="single" w:sz="4" w:space="0" w:color="auto"/>
              <w:right w:val="single" w:sz="4" w:space="0" w:color="auto"/>
            </w:tcBorders>
            <w:shd w:val="clear" w:color="auto" w:fill="auto"/>
            <w:vAlign w:val="center"/>
          </w:tcPr>
          <w:p w14:paraId="206534EE" w14:textId="5D0ADF18" w:rsidR="00ED4366" w:rsidRPr="00ED4366" w:rsidRDefault="00ED4366" w:rsidP="00ED4366">
            <w:pPr>
              <w:suppressAutoHyphens w:val="0"/>
              <w:jc w:val="center"/>
              <w:rPr>
                <w:rFonts w:cstheme="minorHAnsi"/>
                <w:sz w:val="22"/>
                <w:szCs w:val="22"/>
              </w:rPr>
            </w:pPr>
            <w:r w:rsidRPr="00ED4366">
              <w:rPr>
                <w:rFonts w:cstheme="minorHAnsi"/>
                <w:sz w:val="22"/>
                <w:szCs w:val="22"/>
              </w:rPr>
              <w:t>Nav zināma</w:t>
            </w:r>
          </w:p>
        </w:tc>
      </w:tr>
    </w:tbl>
    <w:p w14:paraId="479E4EA7" w14:textId="77777777" w:rsidR="007E3974" w:rsidRPr="00675182" w:rsidRDefault="007E3974" w:rsidP="002B3341">
      <w:pPr>
        <w:rPr>
          <w:rFonts w:cstheme="minorHAnsi"/>
          <w:sz w:val="20"/>
        </w:rPr>
        <w:sectPr w:rsidR="007E3974" w:rsidRPr="00675182" w:rsidSect="007E3974">
          <w:headerReference w:type="default" r:id="rId240"/>
          <w:pgSz w:w="16837" w:h="11905" w:orient="landscape"/>
          <w:pgMar w:top="1797" w:right="1440" w:bottom="1797" w:left="1440" w:header="720" w:footer="720" w:gutter="0"/>
          <w:cols w:space="720"/>
          <w:docGrid w:linePitch="360"/>
        </w:sectPr>
      </w:pPr>
    </w:p>
    <w:p w14:paraId="72E1F40D" w14:textId="610EFAB2" w:rsidR="00A25A76" w:rsidRPr="00675182" w:rsidRDefault="00A25A76" w:rsidP="00CC0016">
      <w:pPr>
        <w:pStyle w:val="Heading4"/>
        <w:rPr>
          <w:rFonts w:asciiTheme="minorHAnsi" w:hAnsiTheme="minorHAnsi" w:cstheme="minorHAnsi"/>
        </w:rPr>
      </w:pPr>
      <w:r w:rsidRPr="00675182">
        <w:rPr>
          <w:rFonts w:asciiTheme="minorHAnsi" w:hAnsiTheme="minorHAnsi" w:cstheme="minorHAnsi"/>
        </w:rPr>
        <w:lastRenderedPageBreak/>
        <w:t>2.4.2.4. Zivis un vēžveidīgie</w:t>
      </w:r>
    </w:p>
    <w:p w14:paraId="615C8B4F" w14:textId="77777777" w:rsidR="00A25A76" w:rsidRPr="00675182" w:rsidRDefault="00A25A76" w:rsidP="00A25A76">
      <w:pPr>
        <w:rPr>
          <w:rFonts w:cstheme="minorHAnsi"/>
          <w:b/>
        </w:rPr>
      </w:pPr>
    </w:p>
    <w:p w14:paraId="6F7D14B1" w14:textId="62E45A8B" w:rsidR="009C64A8" w:rsidRPr="00675182" w:rsidRDefault="009C64A8" w:rsidP="009C64A8">
      <w:pPr>
        <w:suppressAutoHyphens w:val="0"/>
        <w:jc w:val="both"/>
        <w:rPr>
          <w:rFonts w:cstheme="minorHAnsi"/>
          <w:szCs w:val="24"/>
          <w:lang w:eastAsia="en-US"/>
        </w:rPr>
      </w:pPr>
      <w:r w:rsidRPr="00675182">
        <w:rPr>
          <w:rFonts w:cstheme="minorHAnsi"/>
          <w:szCs w:val="24"/>
          <w:lang w:eastAsia="en-US"/>
        </w:rPr>
        <w:t xml:space="preserve">Gaujā un tās baseina upēs un ezeros sastopamas, iespējams sastopamas vai ziņots par to noķeršanu rūpnieciskajā zvejā 43 zivju un nēģu sugas (Birzaks, 2007). Pētnieciskajā zvejā GNP teritorijā konstatētas 37 sugas: plaudis </w:t>
      </w:r>
      <w:r w:rsidRPr="00675182">
        <w:rPr>
          <w:rFonts w:cstheme="minorHAnsi"/>
          <w:i/>
          <w:iCs/>
          <w:szCs w:val="24"/>
          <w:lang w:eastAsia="en-US"/>
        </w:rPr>
        <w:t>Abramis brama</w:t>
      </w:r>
      <w:r w:rsidRPr="00675182">
        <w:rPr>
          <w:rFonts w:cstheme="minorHAnsi"/>
          <w:szCs w:val="24"/>
          <w:lang w:eastAsia="en-US"/>
        </w:rPr>
        <w:t xml:space="preserve">, pavīķe </w:t>
      </w:r>
      <w:r w:rsidRPr="00675182">
        <w:rPr>
          <w:rFonts w:cstheme="minorHAnsi"/>
          <w:i/>
          <w:iCs/>
          <w:szCs w:val="24"/>
          <w:lang w:eastAsia="en-US"/>
        </w:rPr>
        <w:t>Alburnoides bipunctatus</w:t>
      </w:r>
      <w:r w:rsidRPr="00675182">
        <w:rPr>
          <w:rFonts w:cstheme="minorHAnsi"/>
          <w:szCs w:val="24"/>
          <w:lang w:eastAsia="en-US"/>
        </w:rPr>
        <w:t xml:space="preserve">, vīķe </w:t>
      </w:r>
      <w:r w:rsidRPr="00675182">
        <w:rPr>
          <w:rFonts w:cstheme="minorHAnsi"/>
          <w:i/>
          <w:iCs/>
          <w:szCs w:val="24"/>
          <w:lang w:eastAsia="en-US"/>
        </w:rPr>
        <w:t>Alburnus alburnus</w:t>
      </w:r>
      <w:r w:rsidRPr="00675182">
        <w:rPr>
          <w:rFonts w:cstheme="minorHAnsi"/>
          <w:szCs w:val="24"/>
          <w:lang w:eastAsia="en-US"/>
        </w:rPr>
        <w:t xml:space="preserve">, zutis </w:t>
      </w:r>
      <w:r w:rsidRPr="00675182">
        <w:rPr>
          <w:rFonts w:cstheme="minorHAnsi"/>
          <w:i/>
          <w:iCs/>
          <w:szCs w:val="24"/>
          <w:lang w:eastAsia="en-US"/>
        </w:rPr>
        <w:t>Anguilla anguilla</w:t>
      </w:r>
      <w:r w:rsidRPr="00675182">
        <w:rPr>
          <w:rFonts w:cstheme="minorHAnsi"/>
          <w:szCs w:val="24"/>
          <w:lang w:eastAsia="en-US"/>
        </w:rPr>
        <w:t>, salate</w:t>
      </w:r>
      <w:r w:rsidR="007A5E16">
        <w:rPr>
          <w:rFonts w:cstheme="minorHAnsi"/>
          <w:szCs w:val="24"/>
          <w:lang w:eastAsia="en-US"/>
        </w:rPr>
        <w:t xml:space="preserve"> </w:t>
      </w:r>
      <w:r w:rsidRPr="00675182">
        <w:rPr>
          <w:rFonts w:cstheme="minorHAnsi"/>
          <w:i/>
          <w:iCs/>
          <w:szCs w:val="24"/>
          <w:lang w:eastAsia="en-US"/>
        </w:rPr>
        <w:t>Aspius aspius</w:t>
      </w:r>
      <w:r w:rsidRPr="00675182">
        <w:rPr>
          <w:rFonts w:cstheme="minorHAnsi"/>
          <w:szCs w:val="24"/>
          <w:lang w:eastAsia="en-US"/>
        </w:rPr>
        <w:t xml:space="preserve">, bārdainais akmeņgrauzis </w:t>
      </w:r>
      <w:r w:rsidRPr="00675182">
        <w:rPr>
          <w:rFonts w:cstheme="minorHAnsi"/>
          <w:i/>
          <w:iCs/>
          <w:szCs w:val="24"/>
          <w:lang w:eastAsia="en-US"/>
        </w:rPr>
        <w:t>Barbatula barbatula</w:t>
      </w:r>
      <w:r w:rsidRPr="00675182">
        <w:rPr>
          <w:rFonts w:cstheme="minorHAnsi"/>
          <w:szCs w:val="24"/>
          <w:lang w:eastAsia="en-US"/>
        </w:rPr>
        <w:t xml:space="preserve">, plicis </w:t>
      </w:r>
      <w:r w:rsidRPr="00675182">
        <w:rPr>
          <w:rFonts w:cstheme="minorHAnsi"/>
          <w:i/>
          <w:iCs/>
          <w:szCs w:val="24"/>
          <w:lang w:eastAsia="en-US"/>
        </w:rPr>
        <w:t>Blicca bjoerkna</w:t>
      </w:r>
      <w:r w:rsidRPr="00675182">
        <w:rPr>
          <w:rFonts w:cstheme="minorHAnsi"/>
          <w:szCs w:val="24"/>
          <w:lang w:eastAsia="en-US"/>
        </w:rPr>
        <w:t xml:space="preserve">, karūsa </w:t>
      </w:r>
      <w:r w:rsidRPr="00675182">
        <w:rPr>
          <w:rFonts w:cstheme="minorHAnsi"/>
          <w:i/>
          <w:iCs/>
          <w:szCs w:val="24"/>
          <w:lang w:eastAsia="en-US"/>
        </w:rPr>
        <w:t>Carassius carassius</w:t>
      </w:r>
      <w:r w:rsidRPr="00675182">
        <w:rPr>
          <w:rFonts w:cstheme="minorHAnsi"/>
          <w:szCs w:val="24"/>
          <w:lang w:eastAsia="en-US"/>
        </w:rPr>
        <w:t xml:space="preserve">, sudrabkarūsa </w:t>
      </w:r>
      <w:r w:rsidRPr="00675182">
        <w:rPr>
          <w:rFonts w:cstheme="minorHAnsi"/>
          <w:i/>
          <w:iCs/>
          <w:szCs w:val="24"/>
          <w:lang w:eastAsia="en-US"/>
        </w:rPr>
        <w:t>Carassius gibelio</w:t>
      </w:r>
      <w:r w:rsidRPr="00675182">
        <w:rPr>
          <w:rFonts w:cstheme="minorHAnsi"/>
          <w:szCs w:val="24"/>
          <w:lang w:eastAsia="en-US"/>
        </w:rPr>
        <w:t xml:space="preserve">, akmeņgrauzis </w:t>
      </w:r>
      <w:r w:rsidRPr="00675182">
        <w:rPr>
          <w:rFonts w:cstheme="minorHAnsi"/>
          <w:i/>
          <w:iCs/>
          <w:szCs w:val="24"/>
          <w:lang w:eastAsia="en-US"/>
        </w:rPr>
        <w:t>Cobitis taenia</w:t>
      </w:r>
      <w:r w:rsidRPr="00675182">
        <w:rPr>
          <w:rFonts w:cstheme="minorHAnsi"/>
          <w:szCs w:val="24"/>
          <w:lang w:eastAsia="en-US"/>
        </w:rPr>
        <w:t xml:space="preserve">, platgalve </w:t>
      </w:r>
      <w:r w:rsidRPr="00675182">
        <w:rPr>
          <w:rFonts w:cstheme="minorHAnsi"/>
          <w:i/>
          <w:iCs/>
          <w:szCs w:val="24"/>
          <w:lang w:eastAsia="en-US"/>
        </w:rPr>
        <w:t>Cottus gobio</w:t>
      </w:r>
      <w:r w:rsidRPr="00675182">
        <w:rPr>
          <w:rFonts w:cstheme="minorHAnsi"/>
          <w:szCs w:val="24"/>
          <w:lang w:eastAsia="en-US"/>
        </w:rPr>
        <w:t xml:space="preserve">, karpa </w:t>
      </w:r>
      <w:r w:rsidRPr="00675182">
        <w:rPr>
          <w:rFonts w:cstheme="minorHAnsi"/>
          <w:i/>
          <w:iCs/>
          <w:szCs w:val="24"/>
          <w:lang w:eastAsia="en-US"/>
        </w:rPr>
        <w:t>Cyprinus carpio</w:t>
      </w:r>
      <w:r w:rsidR="007A5E16">
        <w:rPr>
          <w:rFonts w:cstheme="minorHAnsi"/>
          <w:szCs w:val="24"/>
          <w:lang w:eastAsia="en-US"/>
        </w:rPr>
        <w:t>,</w:t>
      </w:r>
      <w:r w:rsidRPr="00675182">
        <w:rPr>
          <w:rFonts w:cstheme="minorHAnsi"/>
          <w:szCs w:val="24"/>
          <w:lang w:eastAsia="en-US"/>
        </w:rPr>
        <w:t xml:space="preserve"> līdaka </w:t>
      </w:r>
      <w:r w:rsidRPr="00675182">
        <w:rPr>
          <w:rFonts w:cstheme="minorHAnsi"/>
          <w:i/>
          <w:iCs/>
          <w:szCs w:val="24"/>
          <w:lang w:eastAsia="en-US"/>
        </w:rPr>
        <w:t>Esox lucius</w:t>
      </w:r>
      <w:r w:rsidRPr="00675182">
        <w:rPr>
          <w:rFonts w:cstheme="minorHAnsi"/>
          <w:szCs w:val="24"/>
          <w:lang w:eastAsia="en-US"/>
        </w:rPr>
        <w:t xml:space="preserve">, trīsadatu stagars </w:t>
      </w:r>
      <w:r w:rsidRPr="00675182">
        <w:rPr>
          <w:rFonts w:cstheme="minorHAnsi"/>
          <w:i/>
          <w:iCs/>
          <w:szCs w:val="24"/>
          <w:lang w:eastAsia="en-US"/>
        </w:rPr>
        <w:t>Gasterosteus aculeatus</w:t>
      </w:r>
      <w:r w:rsidRPr="00675182">
        <w:rPr>
          <w:rFonts w:cstheme="minorHAnsi"/>
          <w:szCs w:val="24"/>
          <w:lang w:eastAsia="en-US"/>
        </w:rPr>
        <w:t xml:space="preserve">, grundulis </w:t>
      </w:r>
      <w:r w:rsidRPr="00675182">
        <w:rPr>
          <w:rFonts w:cstheme="minorHAnsi"/>
          <w:i/>
          <w:iCs/>
          <w:szCs w:val="24"/>
          <w:lang w:eastAsia="en-US"/>
        </w:rPr>
        <w:t>Gobio gobio</w:t>
      </w:r>
      <w:r w:rsidRPr="00675182">
        <w:rPr>
          <w:rFonts w:cstheme="minorHAnsi"/>
          <w:szCs w:val="24"/>
          <w:lang w:eastAsia="en-US"/>
        </w:rPr>
        <w:t xml:space="preserve">, ķīsis </w:t>
      </w:r>
      <w:r w:rsidRPr="00675182">
        <w:rPr>
          <w:rFonts w:cstheme="minorHAnsi"/>
          <w:i/>
          <w:iCs/>
          <w:szCs w:val="24"/>
          <w:lang w:eastAsia="en-US"/>
        </w:rPr>
        <w:t>Gymnocephalus cernua</w:t>
      </w:r>
      <w:r w:rsidRPr="00675182">
        <w:rPr>
          <w:rFonts w:cstheme="minorHAnsi"/>
          <w:szCs w:val="24"/>
          <w:lang w:eastAsia="en-US"/>
        </w:rPr>
        <w:t xml:space="preserve">, upes nēģis </w:t>
      </w:r>
      <w:r w:rsidRPr="00675182">
        <w:rPr>
          <w:rFonts w:cstheme="minorHAnsi"/>
          <w:i/>
          <w:iCs/>
          <w:szCs w:val="24"/>
          <w:lang w:eastAsia="en-US"/>
        </w:rPr>
        <w:t>Lampetra fluviatilis</w:t>
      </w:r>
      <w:r w:rsidRPr="00675182">
        <w:rPr>
          <w:rFonts w:cstheme="minorHAnsi"/>
          <w:szCs w:val="24"/>
          <w:lang w:eastAsia="en-US"/>
        </w:rPr>
        <w:t xml:space="preserve">, strauta nēģis </w:t>
      </w:r>
      <w:r w:rsidRPr="00675182">
        <w:rPr>
          <w:rFonts w:cstheme="minorHAnsi"/>
          <w:i/>
          <w:iCs/>
          <w:szCs w:val="24"/>
          <w:lang w:eastAsia="en-US"/>
        </w:rPr>
        <w:t>Lampetra planeri</w:t>
      </w:r>
      <w:r w:rsidRPr="00675182">
        <w:rPr>
          <w:rFonts w:cstheme="minorHAnsi"/>
          <w:szCs w:val="24"/>
          <w:lang w:eastAsia="en-US"/>
        </w:rPr>
        <w:t xml:space="preserve">, ausleja </w:t>
      </w:r>
      <w:r w:rsidRPr="00675182">
        <w:rPr>
          <w:rFonts w:cstheme="minorHAnsi"/>
          <w:i/>
          <w:iCs/>
          <w:szCs w:val="24"/>
          <w:lang w:eastAsia="en-US"/>
        </w:rPr>
        <w:t>Leucaspius delineatus</w:t>
      </w:r>
      <w:r w:rsidRPr="00675182">
        <w:rPr>
          <w:rFonts w:cstheme="minorHAnsi"/>
          <w:szCs w:val="24"/>
          <w:lang w:eastAsia="en-US"/>
        </w:rPr>
        <w:t xml:space="preserve">, sapals </w:t>
      </w:r>
      <w:r w:rsidRPr="00675182">
        <w:rPr>
          <w:rFonts w:cstheme="minorHAnsi"/>
          <w:i/>
          <w:iCs/>
          <w:szCs w:val="24"/>
          <w:lang w:eastAsia="en-US"/>
        </w:rPr>
        <w:t>Squalius cephalus</w:t>
      </w:r>
      <w:r w:rsidRPr="00675182">
        <w:rPr>
          <w:rFonts w:cstheme="minorHAnsi"/>
          <w:szCs w:val="24"/>
          <w:lang w:eastAsia="en-US"/>
        </w:rPr>
        <w:t xml:space="preserve">, ālants </w:t>
      </w:r>
      <w:r w:rsidRPr="00675182">
        <w:rPr>
          <w:rFonts w:cstheme="minorHAnsi"/>
          <w:i/>
          <w:iCs/>
          <w:szCs w:val="24"/>
          <w:lang w:eastAsia="en-US"/>
        </w:rPr>
        <w:t>Leuciscus idus</w:t>
      </w:r>
      <w:r w:rsidRPr="00675182">
        <w:rPr>
          <w:rFonts w:cstheme="minorHAnsi"/>
          <w:szCs w:val="24"/>
          <w:lang w:eastAsia="en-US"/>
        </w:rPr>
        <w:t xml:space="preserve">, baltais sapals </w:t>
      </w:r>
      <w:r w:rsidRPr="00675182">
        <w:rPr>
          <w:rFonts w:cstheme="minorHAnsi"/>
          <w:i/>
          <w:iCs/>
          <w:szCs w:val="24"/>
          <w:lang w:eastAsia="en-US"/>
        </w:rPr>
        <w:t>Leuciscus leuciscus</w:t>
      </w:r>
      <w:r w:rsidRPr="00675182">
        <w:rPr>
          <w:rFonts w:cstheme="minorHAnsi"/>
          <w:szCs w:val="24"/>
          <w:lang w:eastAsia="en-US"/>
        </w:rPr>
        <w:t xml:space="preserve">, vēdzele </w:t>
      </w:r>
      <w:r w:rsidRPr="00675182">
        <w:rPr>
          <w:rFonts w:cstheme="minorHAnsi"/>
          <w:i/>
          <w:iCs/>
          <w:szCs w:val="24"/>
          <w:lang w:eastAsia="en-US"/>
        </w:rPr>
        <w:t>Lota lota</w:t>
      </w:r>
      <w:r w:rsidRPr="00675182">
        <w:rPr>
          <w:rFonts w:cstheme="minorHAnsi"/>
          <w:szCs w:val="24"/>
          <w:lang w:eastAsia="en-US"/>
        </w:rPr>
        <w:t xml:space="preserve">, pīkste </w:t>
      </w:r>
      <w:r w:rsidRPr="00675182">
        <w:rPr>
          <w:rFonts w:cstheme="minorHAnsi"/>
          <w:i/>
          <w:iCs/>
          <w:szCs w:val="24"/>
          <w:lang w:eastAsia="en-US"/>
        </w:rPr>
        <w:t>Misgurnus fossilis</w:t>
      </w:r>
      <w:r w:rsidRPr="00675182">
        <w:rPr>
          <w:rFonts w:cstheme="minorHAnsi"/>
          <w:szCs w:val="24"/>
          <w:lang w:eastAsia="en-US"/>
        </w:rPr>
        <w:t xml:space="preserve">, varavīksnes forele </w:t>
      </w:r>
      <w:r w:rsidRPr="00675182">
        <w:rPr>
          <w:rFonts w:cstheme="minorHAnsi"/>
          <w:i/>
          <w:iCs/>
          <w:szCs w:val="24"/>
          <w:lang w:eastAsia="en-US"/>
        </w:rPr>
        <w:t>Oncorhynchus mykiss</w:t>
      </w:r>
      <w:r w:rsidRPr="00675182">
        <w:rPr>
          <w:rFonts w:cstheme="minorHAnsi"/>
          <w:color w:val="4D5156"/>
          <w:szCs w:val="24"/>
          <w:lang w:eastAsia="en-US"/>
        </w:rPr>
        <w:t xml:space="preserve">, </w:t>
      </w:r>
      <w:r w:rsidRPr="00675182">
        <w:rPr>
          <w:rFonts w:cstheme="minorHAnsi"/>
          <w:szCs w:val="24"/>
          <w:lang w:eastAsia="en-US"/>
        </w:rPr>
        <w:t xml:space="preserve">asaris </w:t>
      </w:r>
      <w:r w:rsidRPr="00675182">
        <w:rPr>
          <w:rFonts w:cstheme="minorHAnsi"/>
          <w:i/>
          <w:iCs/>
          <w:szCs w:val="24"/>
          <w:lang w:eastAsia="en-US"/>
        </w:rPr>
        <w:t>Perca fluviatilis</w:t>
      </w:r>
      <w:r w:rsidRPr="00675182">
        <w:rPr>
          <w:rFonts w:cstheme="minorHAnsi"/>
          <w:szCs w:val="24"/>
          <w:lang w:eastAsia="en-US"/>
        </w:rPr>
        <w:t xml:space="preserve">, mailīte </w:t>
      </w:r>
      <w:r w:rsidRPr="00675182">
        <w:rPr>
          <w:rFonts w:cstheme="minorHAnsi"/>
          <w:i/>
          <w:iCs/>
          <w:szCs w:val="24"/>
          <w:lang w:eastAsia="en-US"/>
        </w:rPr>
        <w:t>Phoxinus phoxinus</w:t>
      </w:r>
      <w:r w:rsidRPr="00675182">
        <w:rPr>
          <w:rFonts w:cstheme="minorHAnsi"/>
          <w:szCs w:val="24"/>
          <w:lang w:eastAsia="en-US"/>
        </w:rPr>
        <w:t xml:space="preserve">, deviņadatu stagars </w:t>
      </w:r>
      <w:r w:rsidRPr="00675182">
        <w:rPr>
          <w:rFonts w:cstheme="minorHAnsi"/>
          <w:i/>
          <w:iCs/>
          <w:szCs w:val="24"/>
          <w:lang w:eastAsia="en-US"/>
        </w:rPr>
        <w:t>Pungitius pungitius</w:t>
      </w:r>
      <w:r w:rsidRPr="00675182">
        <w:rPr>
          <w:rFonts w:cstheme="minorHAnsi"/>
          <w:szCs w:val="24"/>
          <w:lang w:eastAsia="en-US"/>
        </w:rPr>
        <w:t xml:space="preserve">, spidiļķis </w:t>
      </w:r>
      <w:r w:rsidRPr="00675182">
        <w:rPr>
          <w:rFonts w:cstheme="minorHAnsi"/>
          <w:i/>
          <w:iCs/>
          <w:szCs w:val="24"/>
          <w:lang w:eastAsia="en-US"/>
        </w:rPr>
        <w:t>Rhodeus amarus</w:t>
      </w:r>
      <w:r w:rsidRPr="00675182">
        <w:rPr>
          <w:rFonts w:cstheme="minorHAnsi"/>
          <w:szCs w:val="24"/>
          <w:lang w:eastAsia="en-US"/>
        </w:rPr>
        <w:t xml:space="preserve">, rauda </w:t>
      </w:r>
      <w:r w:rsidRPr="00675182">
        <w:rPr>
          <w:rFonts w:cstheme="minorHAnsi"/>
          <w:i/>
          <w:iCs/>
          <w:szCs w:val="24"/>
          <w:lang w:eastAsia="en-US"/>
        </w:rPr>
        <w:t>Rutilus rutilus</w:t>
      </w:r>
      <w:r w:rsidRPr="00675182">
        <w:rPr>
          <w:rFonts w:cstheme="minorHAnsi"/>
          <w:szCs w:val="24"/>
          <w:lang w:eastAsia="en-US"/>
        </w:rPr>
        <w:t xml:space="preserve">, ziemeļu zeltainais akmeņgrauzis </w:t>
      </w:r>
      <w:r w:rsidRPr="00675182">
        <w:rPr>
          <w:rFonts w:cstheme="minorHAnsi"/>
          <w:i/>
          <w:iCs/>
          <w:szCs w:val="24"/>
          <w:lang w:eastAsia="en-US"/>
        </w:rPr>
        <w:t>Sabanejewia baltica</w:t>
      </w:r>
      <w:r w:rsidRPr="00675182">
        <w:rPr>
          <w:rFonts w:cstheme="minorHAnsi"/>
          <w:szCs w:val="24"/>
          <w:lang w:eastAsia="en-US"/>
        </w:rPr>
        <w:t xml:space="preserve">, lasis </w:t>
      </w:r>
      <w:r w:rsidRPr="00675182">
        <w:rPr>
          <w:rFonts w:cstheme="minorHAnsi"/>
          <w:i/>
          <w:iCs/>
          <w:szCs w:val="24"/>
          <w:lang w:eastAsia="en-US"/>
        </w:rPr>
        <w:t>Salmo salar</w:t>
      </w:r>
      <w:r w:rsidRPr="00675182">
        <w:rPr>
          <w:rFonts w:cstheme="minorHAnsi"/>
          <w:szCs w:val="24"/>
          <w:lang w:eastAsia="en-US"/>
        </w:rPr>
        <w:t xml:space="preserve">, taimiņš </w:t>
      </w:r>
      <w:r w:rsidRPr="00675182">
        <w:rPr>
          <w:rFonts w:cstheme="minorHAnsi"/>
          <w:i/>
          <w:iCs/>
          <w:szCs w:val="24"/>
          <w:lang w:eastAsia="en-US"/>
        </w:rPr>
        <w:t>Salmo trutta</w:t>
      </w:r>
      <w:r w:rsidRPr="00675182">
        <w:rPr>
          <w:rFonts w:cstheme="minorHAnsi"/>
          <w:szCs w:val="24"/>
          <w:lang w:eastAsia="en-US"/>
        </w:rPr>
        <w:t xml:space="preserve">, rudulis </w:t>
      </w:r>
      <w:r w:rsidRPr="00675182">
        <w:rPr>
          <w:rFonts w:cstheme="minorHAnsi"/>
          <w:i/>
          <w:iCs/>
          <w:szCs w:val="24"/>
          <w:lang w:eastAsia="en-US"/>
        </w:rPr>
        <w:t>Scardinius erythrophthalmus</w:t>
      </w:r>
      <w:r w:rsidRPr="00675182">
        <w:rPr>
          <w:rFonts w:cstheme="minorHAnsi"/>
          <w:szCs w:val="24"/>
          <w:lang w:eastAsia="en-US"/>
        </w:rPr>
        <w:t xml:space="preserve">, zandarts </w:t>
      </w:r>
      <w:r w:rsidRPr="00675182">
        <w:rPr>
          <w:rFonts w:cstheme="minorHAnsi"/>
          <w:i/>
          <w:iCs/>
          <w:szCs w:val="24"/>
          <w:lang w:eastAsia="en-US"/>
        </w:rPr>
        <w:t>Stizostedion lucioperca</w:t>
      </w:r>
      <w:r w:rsidRPr="00675182">
        <w:rPr>
          <w:rFonts w:cstheme="minorHAnsi"/>
          <w:szCs w:val="24"/>
          <w:lang w:eastAsia="en-US"/>
        </w:rPr>
        <w:t xml:space="preserve"> alata </w:t>
      </w:r>
      <w:r w:rsidRPr="00675182">
        <w:rPr>
          <w:rFonts w:cstheme="minorHAnsi"/>
          <w:i/>
          <w:iCs/>
          <w:szCs w:val="24"/>
          <w:lang w:eastAsia="en-US"/>
        </w:rPr>
        <w:t>Thymallus thymallus</w:t>
      </w:r>
      <w:r w:rsidRPr="00675182">
        <w:rPr>
          <w:rFonts w:cstheme="minorHAnsi"/>
          <w:szCs w:val="24"/>
          <w:lang w:eastAsia="en-US"/>
        </w:rPr>
        <w:t xml:space="preserve">, līnis </w:t>
      </w:r>
      <w:r w:rsidRPr="00675182">
        <w:rPr>
          <w:rFonts w:cstheme="minorHAnsi"/>
          <w:i/>
          <w:iCs/>
          <w:szCs w:val="24"/>
          <w:lang w:eastAsia="en-US"/>
        </w:rPr>
        <w:t>Tinca tinca</w:t>
      </w:r>
      <w:r w:rsidRPr="00675182">
        <w:rPr>
          <w:rFonts w:cstheme="minorHAnsi"/>
          <w:szCs w:val="24"/>
          <w:lang w:eastAsia="en-US"/>
        </w:rPr>
        <w:t xml:space="preserve">, vimba </w:t>
      </w:r>
      <w:r w:rsidRPr="00675182">
        <w:rPr>
          <w:rFonts w:cstheme="minorHAnsi"/>
          <w:i/>
          <w:iCs/>
          <w:szCs w:val="24"/>
          <w:lang w:eastAsia="en-US"/>
        </w:rPr>
        <w:t>Vimba vimba</w:t>
      </w:r>
      <w:r w:rsidRPr="00675182">
        <w:rPr>
          <w:rFonts w:cstheme="minorHAnsi"/>
          <w:szCs w:val="24"/>
          <w:lang w:eastAsia="en-US"/>
        </w:rPr>
        <w:t xml:space="preserve">. Lielākā daļa no iepriekšminētajām sugām </w:t>
      </w:r>
      <w:r w:rsidR="00C85A30" w:rsidRPr="00675182">
        <w:rPr>
          <w:rFonts w:cstheme="minorHAnsi"/>
          <w:szCs w:val="24"/>
          <w:lang w:eastAsia="en-US"/>
        </w:rPr>
        <w:t xml:space="preserve">GNP </w:t>
      </w:r>
      <w:r w:rsidRPr="00675182">
        <w:rPr>
          <w:rFonts w:cstheme="minorHAnsi"/>
          <w:szCs w:val="24"/>
          <w:lang w:eastAsia="en-US"/>
        </w:rPr>
        <w:t>sastopama upēs</w:t>
      </w:r>
      <w:r w:rsidR="00C85A30" w:rsidRPr="00675182">
        <w:rPr>
          <w:rFonts w:cstheme="minorHAnsi"/>
          <w:szCs w:val="24"/>
          <w:lang w:eastAsia="en-US"/>
        </w:rPr>
        <w:t>;</w:t>
      </w:r>
      <w:r w:rsidRPr="00675182">
        <w:rPr>
          <w:rFonts w:cstheme="minorHAnsi"/>
          <w:szCs w:val="24"/>
          <w:lang w:eastAsia="en-US"/>
        </w:rPr>
        <w:t xml:space="preserve"> ezeros konstatētas 15 no tām: plaudis, vīķe, karūsa, akmeņgrauzis, līdaka, grundulis, ķīsis, ausleja, ālants, asaris, deviņadatu stagars, rauda, zandarts, rudulis, līnis. Atsevišķas zivju sugas upēs un ezeros nonāk no zivjaudzētavām un zivju dīķiem (karpa, sudrabkarūsa</w:t>
      </w:r>
      <w:r w:rsidR="00BE4990" w:rsidRPr="00675182">
        <w:rPr>
          <w:rFonts w:cstheme="minorHAnsi"/>
          <w:szCs w:val="24"/>
          <w:lang w:eastAsia="en-US"/>
        </w:rPr>
        <w:t xml:space="preserve"> (aklimatizējusies)</w:t>
      </w:r>
      <w:r w:rsidRPr="00675182">
        <w:rPr>
          <w:rFonts w:cstheme="minorHAnsi"/>
          <w:szCs w:val="24"/>
          <w:lang w:eastAsia="en-US"/>
        </w:rPr>
        <w:t>, varavīksnes forele). Zivju krājumi tiek papildināti</w:t>
      </w:r>
      <w:r w:rsidR="00EC5184" w:rsidRPr="00675182">
        <w:rPr>
          <w:rFonts w:cstheme="minorHAnsi"/>
          <w:szCs w:val="24"/>
          <w:lang w:eastAsia="en-US"/>
        </w:rPr>
        <w:t>,</w:t>
      </w:r>
      <w:r w:rsidRPr="00675182">
        <w:rPr>
          <w:rFonts w:cstheme="minorHAnsi"/>
          <w:szCs w:val="24"/>
          <w:lang w:eastAsia="en-US"/>
        </w:rPr>
        <w:t xml:space="preserve"> ielaižot to mazuļus vai kāpurus Zivju resursu mākslīgās atražošanas plāna ietvaros.</w:t>
      </w:r>
    </w:p>
    <w:p w14:paraId="75F8062B" w14:textId="77777777" w:rsidR="00C85A30" w:rsidRPr="00675182" w:rsidRDefault="00C85A30" w:rsidP="009C64A8">
      <w:pPr>
        <w:suppressAutoHyphens w:val="0"/>
        <w:jc w:val="both"/>
        <w:rPr>
          <w:rFonts w:cstheme="minorHAnsi"/>
          <w:szCs w:val="24"/>
          <w:lang w:eastAsia="en-US"/>
        </w:rPr>
      </w:pPr>
    </w:p>
    <w:p w14:paraId="2C8FAA36" w14:textId="1172F643" w:rsidR="009C64A8" w:rsidRPr="00675182" w:rsidRDefault="009C64A8" w:rsidP="009C64A8">
      <w:pPr>
        <w:suppressAutoHyphens w:val="0"/>
        <w:jc w:val="both"/>
        <w:rPr>
          <w:rFonts w:cstheme="minorHAnsi"/>
          <w:szCs w:val="24"/>
          <w:lang w:eastAsia="en-US"/>
        </w:rPr>
      </w:pPr>
      <w:r w:rsidRPr="00675182">
        <w:rPr>
          <w:rFonts w:cstheme="minorHAnsi"/>
          <w:szCs w:val="24"/>
          <w:lang w:eastAsia="en-US"/>
        </w:rPr>
        <w:t xml:space="preserve">Palede </w:t>
      </w:r>
      <w:r w:rsidRPr="00675182">
        <w:rPr>
          <w:rFonts w:cstheme="minorHAnsi"/>
          <w:i/>
          <w:iCs/>
          <w:szCs w:val="24"/>
          <w:lang w:eastAsia="en-US"/>
        </w:rPr>
        <w:t>Alosa fallax</w:t>
      </w:r>
      <w:r w:rsidRPr="00675182">
        <w:rPr>
          <w:rFonts w:cstheme="minorHAnsi"/>
          <w:szCs w:val="24"/>
          <w:lang w:eastAsia="en-US"/>
        </w:rPr>
        <w:t xml:space="preserve"> un kaze </w:t>
      </w:r>
      <w:r w:rsidRPr="00675182">
        <w:rPr>
          <w:rFonts w:cstheme="minorHAnsi"/>
          <w:i/>
          <w:iCs/>
          <w:szCs w:val="24"/>
          <w:lang w:eastAsia="en-US"/>
        </w:rPr>
        <w:t>Pelecus cultratus</w:t>
      </w:r>
      <w:r w:rsidRPr="00675182">
        <w:rPr>
          <w:rFonts w:cstheme="minorHAnsi"/>
          <w:szCs w:val="24"/>
          <w:lang w:eastAsia="en-US"/>
        </w:rPr>
        <w:t xml:space="preserve"> samērā regulāri tiek noķertas Rīgas jūras līča piekrastes ūdeņos, arī Gaujas grīvas rajonā. Šo sugu migrācija uz nārstu līdz </w:t>
      </w:r>
      <w:r w:rsidR="00362F31" w:rsidRPr="00675182">
        <w:rPr>
          <w:rFonts w:cstheme="minorHAnsi"/>
          <w:szCs w:val="24"/>
          <w:lang w:eastAsia="en-US"/>
        </w:rPr>
        <w:t>GNP</w:t>
      </w:r>
      <w:r w:rsidRPr="00675182">
        <w:rPr>
          <w:rFonts w:cstheme="minorHAnsi"/>
          <w:szCs w:val="24"/>
          <w:lang w:eastAsia="en-US"/>
        </w:rPr>
        <w:t xml:space="preserve"> teritorijas upēm ir maz</w:t>
      </w:r>
      <w:r w:rsidR="00362F31" w:rsidRPr="00675182">
        <w:rPr>
          <w:rFonts w:cstheme="minorHAnsi"/>
          <w:szCs w:val="24"/>
          <w:lang w:eastAsia="en-US"/>
        </w:rPr>
        <w:t xml:space="preserve"> iespējama</w:t>
      </w:r>
      <w:r w:rsidRPr="00675182">
        <w:rPr>
          <w:rFonts w:cstheme="minorHAnsi"/>
          <w:szCs w:val="24"/>
          <w:lang w:eastAsia="en-US"/>
        </w:rPr>
        <w:t xml:space="preserve">. Sīgas </w:t>
      </w:r>
      <w:r w:rsidRPr="00675182">
        <w:rPr>
          <w:rFonts w:cstheme="minorHAnsi"/>
          <w:i/>
          <w:iCs/>
          <w:szCs w:val="24"/>
          <w:lang w:eastAsia="en-US"/>
        </w:rPr>
        <w:t>Coregonus spp</w:t>
      </w:r>
      <w:r w:rsidRPr="00675182">
        <w:rPr>
          <w:rFonts w:cstheme="minorHAnsi"/>
          <w:szCs w:val="24"/>
          <w:lang w:eastAsia="en-US"/>
        </w:rPr>
        <w:t>. nārsts 1950</w:t>
      </w:r>
      <w:r w:rsidR="00362F31" w:rsidRPr="00675182">
        <w:rPr>
          <w:rFonts w:cstheme="minorHAnsi"/>
          <w:szCs w:val="24"/>
          <w:lang w:eastAsia="en-US"/>
        </w:rPr>
        <w:t>.-tajos</w:t>
      </w:r>
      <w:r w:rsidRPr="00675182">
        <w:rPr>
          <w:rFonts w:cstheme="minorHAnsi"/>
          <w:szCs w:val="24"/>
          <w:lang w:eastAsia="en-US"/>
        </w:rPr>
        <w:t xml:space="preserve"> gados novērots Gaujā</w:t>
      </w:r>
      <w:r w:rsidR="00362F31" w:rsidRPr="00675182">
        <w:rPr>
          <w:rFonts w:cstheme="minorHAnsi"/>
          <w:szCs w:val="24"/>
          <w:lang w:eastAsia="en-US"/>
        </w:rPr>
        <w:t>,</w:t>
      </w:r>
      <w:r w:rsidRPr="00675182">
        <w:rPr>
          <w:rFonts w:cstheme="minorHAnsi"/>
          <w:szCs w:val="24"/>
          <w:lang w:eastAsia="en-US"/>
        </w:rPr>
        <w:t xml:space="preserve"> Raunas un Braslas grīvu rajonos, Līgatnes un Raunas upēs (Priedītis, 1950). Nav datu par sīgas sastopamību un izplatību Gaujas baseina upēs mūsdienās. </w:t>
      </w:r>
    </w:p>
    <w:p w14:paraId="69EE2E7F" w14:textId="77777777" w:rsidR="00362F31" w:rsidRPr="00675182" w:rsidRDefault="00362F31" w:rsidP="009C64A8">
      <w:pPr>
        <w:suppressAutoHyphens w:val="0"/>
        <w:jc w:val="both"/>
        <w:rPr>
          <w:rFonts w:cstheme="minorHAnsi"/>
          <w:szCs w:val="24"/>
          <w:lang w:eastAsia="en-US"/>
        </w:rPr>
      </w:pPr>
    </w:p>
    <w:p w14:paraId="1E81A047" w14:textId="68ACD57B" w:rsidR="009C64A8" w:rsidRPr="00675182" w:rsidRDefault="00362F31" w:rsidP="009C64A8">
      <w:pPr>
        <w:suppressAutoHyphens w:val="0"/>
        <w:jc w:val="both"/>
        <w:rPr>
          <w:rFonts w:cstheme="minorHAnsi"/>
          <w:szCs w:val="24"/>
          <w:lang w:eastAsia="en-US"/>
        </w:rPr>
      </w:pPr>
      <w:r w:rsidRPr="00675182">
        <w:rPr>
          <w:rFonts w:cstheme="minorHAnsi"/>
          <w:szCs w:val="24"/>
          <w:lang w:eastAsia="en-US"/>
        </w:rPr>
        <w:t>GNP</w:t>
      </w:r>
      <w:r w:rsidR="009C64A8" w:rsidRPr="00675182">
        <w:rPr>
          <w:rFonts w:cstheme="minorHAnsi"/>
          <w:szCs w:val="24"/>
          <w:lang w:eastAsia="en-US"/>
        </w:rPr>
        <w:t xml:space="preserve"> konstatētas 4 vēžu sugas platspīļu vē</w:t>
      </w:r>
      <w:r w:rsidR="001953F8" w:rsidRPr="00675182">
        <w:rPr>
          <w:rFonts w:cstheme="minorHAnsi"/>
          <w:szCs w:val="24"/>
          <w:lang w:eastAsia="en-US"/>
        </w:rPr>
        <w:t>zi</w:t>
      </w:r>
      <w:r w:rsidR="009C64A8" w:rsidRPr="00675182">
        <w:rPr>
          <w:rFonts w:cstheme="minorHAnsi"/>
          <w:szCs w:val="24"/>
          <w:lang w:eastAsia="en-US"/>
        </w:rPr>
        <w:t xml:space="preserve">s </w:t>
      </w:r>
      <w:r w:rsidR="009C64A8" w:rsidRPr="00675182">
        <w:rPr>
          <w:rFonts w:cstheme="minorHAnsi"/>
          <w:i/>
          <w:iCs/>
          <w:szCs w:val="24"/>
          <w:lang w:eastAsia="en-US"/>
        </w:rPr>
        <w:t>Astacus astacus</w:t>
      </w:r>
      <w:r w:rsidR="009C64A8" w:rsidRPr="00675182">
        <w:rPr>
          <w:rFonts w:cstheme="minorHAnsi"/>
          <w:szCs w:val="24"/>
          <w:lang w:eastAsia="en-US"/>
        </w:rPr>
        <w:t xml:space="preserve">, šaurspīļu vēzis </w:t>
      </w:r>
      <w:r w:rsidR="009C64A8" w:rsidRPr="00675182">
        <w:rPr>
          <w:rFonts w:cstheme="minorHAnsi"/>
          <w:i/>
          <w:iCs/>
          <w:szCs w:val="24"/>
          <w:lang w:eastAsia="en-US"/>
        </w:rPr>
        <w:t>Astacus leptodactylus</w:t>
      </w:r>
      <w:r w:rsidR="009C64A8" w:rsidRPr="00675182">
        <w:rPr>
          <w:rFonts w:cstheme="minorHAnsi"/>
          <w:szCs w:val="24"/>
          <w:lang w:eastAsia="en-US"/>
        </w:rPr>
        <w:t xml:space="preserve">, signālvēzis </w:t>
      </w:r>
      <w:r w:rsidR="009C64A8" w:rsidRPr="00675182">
        <w:rPr>
          <w:rFonts w:cstheme="minorHAnsi"/>
          <w:i/>
          <w:iCs/>
          <w:szCs w:val="24"/>
          <w:lang w:eastAsia="en-US"/>
        </w:rPr>
        <w:t>Pacifastacus leniusculus</w:t>
      </w:r>
      <w:r w:rsidR="009C64A8" w:rsidRPr="00675182">
        <w:rPr>
          <w:rFonts w:cstheme="minorHAnsi"/>
          <w:szCs w:val="24"/>
          <w:lang w:eastAsia="en-US"/>
        </w:rPr>
        <w:t xml:space="preserve"> un dz</w:t>
      </w:r>
      <w:r w:rsidR="001953F8" w:rsidRPr="00675182">
        <w:rPr>
          <w:rFonts w:cstheme="minorHAnsi"/>
          <w:szCs w:val="24"/>
          <w:lang w:eastAsia="en-US"/>
        </w:rPr>
        <w:t>e</w:t>
      </w:r>
      <w:r w:rsidR="009C64A8" w:rsidRPr="00675182">
        <w:rPr>
          <w:rFonts w:cstheme="minorHAnsi"/>
          <w:szCs w:val="24"/>
          <w:lang w:eastAsia="en-US"/>
        </w:rPr>
        <w:t xml:space="preserve">loņvaigu vēzis </w:t>
      </w:r>
      <w:r w:rsidR="009C64A8" w:rsidRPr="00675182">
        <w:rPr>
          <w:rFonts w:cstheme="minorHAnsi"/>
          <w:i/>
          <w:iCs/>
          <w:szCs w:val="24"/>
          <w:lang w:eastAsia="en-US"/>
        </w:rPr>
        <w:t>Orconectes limosus</w:t>
      </w:r>
      <w:r w:rsidR="009C64A8" w:rsidRPr="00675182">
        <w:rPr>
          <w:rFonts w:cstheme="minorHAnsi"/>
          <w:szCs w:val="24"/>
          <w:lang w:eastAsia="en-US"/>
        </w:rPr>
        <w:t>. Signāvēzis un dzeloņvaigu vēzis pieder invazīvām sugām (Birzaks, Škute, 2019).</w:t>
      </w:r>
    </w:p>
    <w:p w14:paraId="2FBDBEBB" w14:textId="1D4ADF2E" w:rsidR="0034403D" w:rsidRPr="00675182" w:rsidRDefault="0034403D" w:rsidP="009C64A8">
      <w:pPr>
        <w:suppressAutoHyphens w:val="0"/>
        <w:jc w:val="both"/>
        <w:rPr>
          <w:rFonts w:cstheme="minorHAnsi"/>
          <w:szCs w:val="24"/>
          <w:lang w:eastAsia="en-US"/>
        </w:rPr>
      </w:pPr>
    </w:p>
    <w:p w14:paraId="4386DF73" w14:textId="50D3604F" w:rsidR="0034403D" w:rsidRPr="00675182" w:rsidRDefault="0034403D" w:rsidP="0034403D">
      <w:pPr>
        <w:suppressAutoHyphens w:val="0"/>
        <w:jc w:val="both"/>
        <w:rPr>
          <w:rFonts w:cstheme="minorHAnsi"/>
          <w:szCs w:val="24"/>
          <w:lang w:eastAsia="en-US"/>
        </w:rPr>
      </w:pPr>
      <w:r w:rsidRPr="00675182">
        <w:rPr>
          <w:rFonts w:cstheme="minorHAnsi"/>
          <w:szCs w:val="24"/>
          <w:lang w:eastAsia="en-US"/>
        </w:rPr>
        <w:t xml:space="preserve">Saskaņā ar ICUN zutis </w:t>
      </w:r>
      <w:r w:rsidRPr="00675182">
        <w:rPr>
          <w:rFonts w:cstheme="minorHAnsi"/>
          <w:i/>
          <w:iCs/>
          <w:szCs w:val="24"/>
          <w:lang w:eastAsia="en-US"/>
        </w:rPr>
        <w:t>Anguilla anguilla</w:t>
      </w:r>
      <w:r w:rsidRPr="00675182">
        <w:rPr>
          <w:rFonts w:cstheme="minorHAnsi"/>
          <w:szCs w:val="24"/>
          <w:lang w:eastAsia="en-US"/>
        </w:rPr>
        <w:t xml:space="preserve"> ir kritiski apdraudēta suga, </w:t>
      </w:r>
      <w:r w:rsidR="006804E7" w:rsidRPr="00675182">
        <w:rPr>
          <w:rFonts w:cstheme="minorHAnsi"/>
          <w:szCs w:val="24"/>
          <w:lang w:eastAsia="en-US"/>
        </w:rPr>
        <w:t>kuras</w:t>
      </w:r>
      <w:r w:rsidRPr="00675182">
        <w:rPr>
          <w:rFonts w:cstheme="minorHAnsi"/>
          <w:szCs w:val="24"/>
          <w:lang w:eastAsia="en-US"/>
        </w:rPr>
        <w:t xml:space="preserve"> stāvokli nosaka tādi faktori, kā resursu pārmērīga ekspluatācija, sugai pieejamo dzīvotņu saldūdeņos samazināšanās u.c. (Freyhof, Brooks 2011; Jacoby, Gollock, 2014)</w:t>
      </w:r>
      <w:r w:rsidR="006804E7" w:rsidRPr="00675182">
        <w:rPr>
          <w:rFonts w:cstheme="minorHAnsi"/>
          <w:szCs w:val="24"/>
          <w:lang w:eastAsia="en-US"/>
        </w:rPr>
        <w:t>.</w:t>
      </w:r>
      <w:r w:rsidRPr="00675182">
        <w:rPr>
          <w:rFonts w:cstheme="minorHAnsi"/>
          <w:szCs w:val="24"/>
          <w:lang w:eastAsia="en-US"/>
        </w:rPr>
        <w:t xml:space="preserve"> Pēdējās desmitgadēs zušu īpatņu skaits ir būtiski samazinājies visā Eiropā – to krājums ir mazāks par bioloģiski drošu robežu un pašreizējā zveja nav uzskatāma par ilgtspējīgu, tādēļ saskaņā ar Padomes Regulu (EK) Nr. 1100/2007 tiek veikti dažādi pasākumi krājum</w:t>
      </w:r>
      <w:r w:rsidR="006804E7" w:rsidRPr="00675182">
        <w:rPr>
          <w:rFonts w:cstheme="minorHAnsi"/>
          <w:szCs w:val="24"/>
          <w:lang w:eastAsia="en-US"/>
        </w:rPr>
        <w:t xml:space="preserve">u </w:t>
      </w:r>
      <w:r w:rsidRPr="00675182">
        <w:rPr>
          <w:rFonts w:cstheme="minorHAnsi"/>
          <w:szCs w:val="24"/>
          <w:lang w:eastAsia="en-US"/>
        </w:rPr>
        <w:t>atjaunošanai, to starpā stikla zuš</w:t>
      </w:r>
      <w:r w:rsidR="00C14E9E" w:rsidRPr="00675182">
        <w:rPr>
          <w:rFonts w:cstheme="minorHAnsi"/>
          <w:szCs w:val="24"/>
          <w:lang w:eastAsia="en-US"/>
        </w:rPr>
        <w:t>u</w:t>
      </w:r>
      <w:r w:rsidRPr="00675182">
        <w:rPr>
          <w:rFonts w:cstheme="minorHAnsi"/>
          <w:szCs w:val="24"/>
          <w:lang w:eastAsia="en-US"/>
        </w:rPr>
        <w:t xml:space="preserve"> ielaišana tiem piemērotās upēs un ezeros. </w:t>
      </w:r>
    </w:p>
    <w:p w14:paraId="5C60B9FB" w14:textId="55F087C9" w:rsidR="0034403D" w:rsidRPr="00675182" w:rsidRDefault="0034403D" w:rsidP="0034403D">
      <w:pPr>
        <w:suppressAutoHyphens w:val="0"/>
        <w:jc w:val="both"/>
        <w:rPr>
          <w:rFonts w:cstheme="minorHAnsi"/>
          <w:szCs w:val="24"/>
          <w:lang w:eastAsia="en-US"/>
        </w:rPr>
      </w:pPr>
      <w:r w:rsidRPr="00675182">
        <w:rPr>
          <w:rFonts w:cstheme="minorHAnsi"/>
          <w:szCs w:val="24"/>
          <w:lang w:eastAsia="en-US"/>
        </w:rPr>
        <w:t>Saskaņā ar iepriekšminēto regulu</w:t>
      </w:r>
      <w:r w:rsidR="006804E7" w:rsidRPr="00675182">
        <w:rPr>
          <w:rFonts w:cstheme="minorHAnsi"/>
          <w:szCs w:val="24"/>
          <w:lang w:eastAsia="en-US"/>
        </w:rPr>
        <w:t>,</w:t>
      </w:r>
      <w:r w:rsidRPr="00675182">
        <w:rPr>
          <w:rFonts w:cstheme="minorHAnsi"/>
          <w:szCs w:val="24"/>
          <w:lang w:eastAsia="en-US"/>
        </w:rPr>
        <w:t xml:space="preserve"> E</w:t>
      </w:r>
      <w:r w:rsidR="006804E7" w:rsidRPr="00675182">
        <w:rPr>
          <w:rFonts w:cstheme="minorHAnsi"/>
          <w:szCs w:val="24"/>
          <w:lang w:eastAsia="en-US"/>
        </w:rPr>
        <w:t>S</w:t>
      </w:r>
      <w:r w:rsidRPr="00675182">
        <w:rPr>
          <w:rFonts w:cstheme="minorHAnsi"/>
          <w:szCs w:val="24"/>
          <w:lang w:eastAsia="en-US"/>
        </w:rPr>
        <w:t xml:space="preserve"> dalībvalstīs no 2009. gada ir izstrādāts Zuša krājumu pārvaldības plāns, kurā noteikts Latvijas iekšējos ūdeņos ielaižamo stikla zušu daudzums. Plānā iekļauta arī Gaujas upe</w:t>
      </w:r>
      <w:r w:rsidR="00272317" w:rsidRPr="00675182">
        <w:rPr>
          <w:rFonts w:cstheme="minorHAnsi"/>
          <w:szCs w:val="24"/>
          <w:lang w:eastAsia="en-US"/>
        </w:rPr>
        <w:t>, tai skaitā</w:t>
      </w:r>
      <w:r w:rsidRPr="00675182">
        <w:rPr>
          <w:rFonts w:cstheme="minorHAnsi"/>
          <w:szCs w:val="24"/>
          <w:lang w:eastAsia="en-US"/>
        </w:rPr>
        <w:t xml:space="preserve"> posms, kas atrodas GNP teritorijā. Saskaņā ar </w:t>
      </w:r>
      <w:r w:rsidR="00272317" w:rsidRPr="00675182">
        <w:rPr>
          <w:rFonts w:cstheme="minorHAnsi"/>
          <w:szCs w:val="24"/>
          <w:lang w:eastAsia="en-US"/>
        </w:rPr>
        <w:t>plānā iekļauto informāciju</w:t>
      </w:r>
      <w:r w:rsidRPr="00675182">
        <w:rPr>
          <w:rFonts w:cstheme="minorHAnsi"/>
          <w:szCs w:val="24"/>
          <w:lang w:eastAsia="en-US"/>
        </w:rPr>
        <w:t xml:space="preserve"> Gaujā 2012. un 2017.</w:t>
      </w:r>
      <w:r w:rsidR="00272317" w:rsidRPr="00675182">
        <w:rPr>
          <w:rFonts w:cstheme="minorHAnsi"/>
          <w:szCs w:val="24"/>
          <w:lang w:eastAsia="en-US"/>
        </w:rPr>
        <w:t xml:space="preserve"> </w:t>
      </w:r>
      <w:r w:rsidRPr="00675182">
        <w:rPr>
          <w:rFonts w:cstheme="minorHAnsi"/>
          <w:szCs w:val="24"/>
          <w:lang w:eastAsia="en-US"/>
        </w:rPr>
        <w:t xml:space="preserve">gadā </w:t>
      </w:r>
      <w:r w:rsidR="00272317" w:rsidRPr="00675182">
        <w:rPr>
          <w:rFonts w:cstheme="minorHAnsi"/>
          <w:szCs w:val="24"/>
          <w:lang w:eastAsia="en-US"/>
        </w:rPr>
        <w:t xml:space="preserve">tika </w:t>
      </w:r>
      <w:r w:rsidRPr="00675182">
        <w:rPr>
          <w:rFonts w:cstheme="minorHAnsi"/>
          <w:szCs w:val="24"/>
          <w:lang w:eastAsia="en-US"/>
        </w:rPr>
        <w:t xml:space="preserve">veikta 106 tūkst. </w:t>
      </w:r>
      <w:r w:rsidRPr="00675182">
        <w:rPr>
          <w:rFonts w:cstheme="minorHAnsi"/>
          <w:szCs w:val="24"/>
          <w:lang w:eastAsia="en-US"/>
        </w:rPr>
        <w:lastRenderedPageBreak/>
        <w:t xml:space="preserve">stikla zušu </w:t>
      </w:r>
      <w:r w:rsidR="00C14E9E" w:rsidRPr="00675182">
        <w:rPr>
          <w:rFonts w:cstheme="minorHAnsi"/>
          <w:szCs w:val="24"/>
          <w:lang w:eastAsia="en-US"/>
        </w:rPr>
        <w:t xml:space="preserve">mazuļu </w:t>
      </w:r>
      <w:r w:rsidRPr="00675182">
        <w:rPr>
          <w:rFonts w:cstheme="minorHAnsi"/>
          <w:szCs w:val="24"/>
          <w:lang w:eastAsia="en-US"/>
        </w:rPr>
        <w:t xml:space="preserve">ielaišana. </w:t>
      </w:r>
      <w:r w:rsidR="00272317" w:rsidRPr="00675182">
        <w:rPr>
          <w:rFonts w:cstheme="minorHAnsi"/>
          <w:szCs w:val="24"/>
          <w:lang w:eastAsia="en-US"/>
        </w:rPr>
        <w:t>Stikla zušu</w:t>
      </w:r>
      <w:r w:rsidRPr="00675182">
        <w:rPr>
          <w:rFonts w:cstheme="minorHAnsi"/>
          <w:szCs w:val="24"/>
          <w:lang w:eastAsia="en-US"/>
        </w:rPr>
        <w:t xml:space="preserve"> kopējais apjoms 2017. – 2019. gadā Latvijā bija 2,43 mlj.</w:t>
      </w:r>
    </w:p>
    <w:p w14:paraId="12A283AF" w14:textId="77777777" w:rsidR="00362F31" w:rsidRPr="00675182" w:rsidRDefault="00362F31" w:rsidP="009C64A8">
      <w:pPr>
        <w:suppressAutoHyphens w:val="0"/>
        <w:jc w:val="both"/>
        <w:rPr>
          <w:rFonts w:cstheme="minorHAnsi"/>
          <w:szCs w:val="24"/>
          <w:lang w:eastAsia="en-US"/>
        </w:rPr>
      </w:pPr>
    </w:p>
    <w:p w14:paraId="6DEE8248" w14:textId="77777777" w:rsidR="009C64A8" w:rsidRPr="00675182" w:rsidRDefault="009C64A8" w:rsidP="009C64A8">
      <w:pPr>
        <w:jc w:val="both"/>
        <w:rPr>
          <w:rFonts w:cstheme="minorHAnsi"/>
          <w:b/>
          <w:szCs w:val="24"/>
        </w:rPr>
      </w:pPr>
      <w:r w:rsidRPr="00675182">
        <w:rPr>
          <w:rFonts w:cstheme="minorHAnsi"/>
          <w:b/>
          <w:szCs w:val="24"/>
        </w:rPr>
        <w:t>Dabas aizsardzības vērtība</w:t>
      </w:r>
    </w:p>
    <w:p w14:paraId="7208F0BA" w14:textId="15B6E29B" w:rsidR="009C64A8" w:rsidRPr="00675182" w:rsidRDefault="004D4639" w:rsidP="009C64A8">
      <w:pPr>
        <w:jc w:val="both"/>
        <w:rPr>
          <w:rFonts w:cstheme="minorHAnsi"/>
          <w:bCs/>
          <w:szCs w:val="24"/>
        </w:rPr>
      </w:pPr>
      <w:r w:rsidRPr="00675182">
        <w:rPr>
          <w:rFonts w:cstheme="minorHAnsi"/>
          <w:szCs w:val="24"/>
        </w:rPr>
        <w:t xml:space="preserve">No 37 GNP teritorijas ūdeņos sastopamām sugām aizsargājams statuss ir 12 sugām (skat. 2.4.7. </w:t>
      </w:r>
      <w:r w:rsidR="0065284F">
        <w:rPr>
          <w:rFonts w:cstheme="minorHAnsi"/>
          <w:szCs w:val="24"/>
        </w:rPr>
        <w:t xml:space="preserve">A un B </w:t>
      </w:r>
      <w:r w:rsidRPr="00675182">
        <w:rPr>
          <w:rFonts w:cstheme="minorHAnsi"/>
          <w:szCs w:val="24"/>
        </w:rPr>
        <w:t xml:space="preserve">tabulu). </w:t>
      </w:r>
      <w:r w:rsidR="00BE6849" w:rsidRPr="00675182">
        <w:rPr>
          <w:rFonts w:cstheme="minorHAnsi"/>
          <w:szCs w:val="24"/>
        </w:rPr>
        <w:t>U</w:t>
      </w:r>
      <w:r w:rsidR="009C64A8" w:rsidRPr="00675182">
        <w:rPr>
          <w:rFonts w:cstheme="minorHAnsi"/>
          <w:szCs w:val="24"/>
        </w:rPr>
        <w:t>pes un strauta nēģ</w:t>
      </w:r>
      <w:r w:rsidR="00BE6849" w:rsidRPr="00675182">
        <w:rPr>
          <w:rFonts w:cstheme="minorHAnsi"/>
          <w:szCs w:val="24"/>
        </w:rPr>
        <w:t>is</w:t>
      </w:r>
      <w:r w:rsidR="009C64A8" w:rsidRPr="00675182">
        <w:rPr>
          <w:rFonts w:cstheme="minorHAnsi"/>
          <w:szCs w:val="24"/>
        </w:rPr>
        <w:t>, salate</w:t>
      </w:r>
      <w:r w:rsidR="0058060C" w:rsidRPr="00675182">
        <w:rPr>
          <w:rFonts w:cstheme="minorHAnsi"/>
          <w:szCs w:val="24"/>
        </w:rPr>
        <w:t>,</w:t>
      </w:r>
      <w:r w:rsidR="009C64A8" w:rsidRPr="00675182">
        <w:rPr>
          <w:rFonts w:cstheme="minorHAnsi"/>
          <w:szCs w:val="24"/>
        </w:rPr>
        <w:t xml:space="preserve"> akmeņgrauzi</w:t>
      </w:r>
      <w:r w:rsidR="00BE6849" w:rsidRPr="00675182">
        <w:rPr>
          <w:rFonts w:cstheme="minorHAnsi"/>
          <w:szCs w:val="24"/>
        </w:rPr>
        <w:t>s</w:t>
      </w:r>
      <w:r w:rsidR="009C64A8" w:rsidRPr="00675182">
        <w:rPr>
          <w:rFonts w:cstheme="minorHAnsi"/>
          <w:szCs w:val="24"/>
        </w:rPr>
        <w:t>, pīkste, platgalve, spidiļķi</w:t>
      </w:r>
      <w:r w:rsidR="00BE6849" w:rsidRPr="00675182">
        <w:rPr>
          <w:rFonts w:cstheme="minorHAnsi"/>
          <w:szCs w:val="24"/>
        </w:rPr>
        <w:t>s</w:t>
      </w:r>
      <w:r w:rsidR="009C64A8" w:rsidRPr="00675182">
        <w:rPr>
          <w:rFonts w:cstheme="minorHAnsi"/>
          <w:szCs w:val="24"/>
        </w:rPr>
        <w:t>, lasi</w:t>
      </w:r>
      <w:r w:rsidR="00BE6849" w:rsidRPr="00675182">
        <w:rPr>
          <w:rFonts w:cstheme="minorHAnsi"/>
          <w:szCs w:val="24"/>
        </w:rPr>
        <w:t>s</w:t>
      </w:r>
      <w:r w:rsidR="009C64A8" w:rsidRPr="00675182">
        <w:rPr>
          <w:rFonts w:cstheme="minorHAnsi"/>
          <w:szCs w:val="24"/>
        </w:rPr>
        <w:t>, ziemeļu zeltain</w:t>
      </w:r>
      <w:r w:rsidR="00BE6849" w:rsidRPr="00675182">
        <w:rPr>
          <w:rFonts w:cstheme="minorHAnsi"/>
          <w:szCs w:val="24"/>
        </w:rPr>
        <w:t xml:space="preserve">ais </w:t>
      </w:r>
      <w:r w:rsidR="009C64A8" w:rsidRPr="00675182">
        <w:rPr>
          <w:rFonts w:cstheme="minorHAnsi"/>
          <w:szCs w:val="24"/>
        </w:rPr>
        <w:t>akmeņgrauzi</w:t>
      </w:r>
      <w:r w:rsidR="00BE6849" w:rsidRPr="00675182">
        <w:rPr>
          <w:rFonts w:cstheme="minorHAnsi"/>
          <w:szCs w:val="24"/>
        </w:rPr>
        <w:t xml:space="preserve">s ir iekļauti </w:t>
      </w:r>
      <w:r w:rsidR="001953F8" w:rsidRPr="00675182">
        <w:rPr>
          <w:rFonts w:cstheme="minorHAnsi"/>
          <w:bCs/>
          <w:szCs w:val="24"/>
        </w:rPr>
        <w:t>Biotopu direktīvas</w:t>
      </w:r>
      <w:r w:rsidR="009C64A8" w:rsidRPr="00675182">
        <w:rPr>
          <w:rFonts w:cstheme="minorHAnsi"/>
          <w:bCs/>
          <w:szCs w:val="24"/>
        </w:rPr>
        <w:t xml:space="preserve"> II pielikum</w:t>
      </w:r>
      <w:r w:rsidR="00BE6849" w:rsidRPr="00675182">
        <w:rPr>
          <w:rFonts w:cstheme="minorHAnsi"/>
          <w:bCs/>
          <w:szCs w:val="24"/>
        </w:rPr>
        <w:t>ā</w:t>
      </w:r>
      <w:r w:rsidR="009C64A8" w:rsidRPr="00675182">
        <w:rPr>
          <w:rFonts w:cstheme="minorHAnsi"/>
          <w:bCs/>
          <w:szCs w:val="24"/>
        </w:rPr>
        <w:t xml:space="preserve"> – sugas, kuru aizsardzībai jānosaka </w:t>
      </w:r>
      <w:r w:rsidR="006B0898">
        <w:rPr>
          <w:rFonts w:cstheme="minorHAnsi"/>
          <w:bCs/>
          <w:szCs w:val="24"/>
        </w:rPr>
        <w:t>ĪADT</w:t>
      </w:r>
      <w:r w:rsidR="009C64A8" w:rsidRPr="00675182">
        <w:rPr>
          <w:rFonts w:cstheme="minorHAnsi"/>
          <w:bCs/>
          <w:szCs w:val="24"/>
        </w:rPr>
        <w:t>. Upes nēģis, lasis, alata un platspīļu vēzis šajā direktīvā noteiktas kā kopienā nozīmīgas sugas, kuru īpatņu ieguvei savvaļā un izmantošanai var piemērot apsaimniekošanas pasākumus (V pielikums).</w:t>
      </w:r>
    </w:p>
    <w:p w14:paraId="5FE5CA22" w14:textId="77777777" w:rsidR="00CD2781" w:rsidRPr="00675182" w:rsidRDefault="00CD2781" w:rsidP="009C64A8">
      <w:pPr>
        <w:jc w:val="both"/>
        <w:rPr>
          <w:rFonts w:cstheme="minorHAnsi"/>
          <w:bCs/>
          <w:szCs w:val="24"/>
        </w:rPr>
      </w:pPr>
    </w:p>
    <w:p w14:paraId="5C07F10D" w14:textId="673DE3D9" w:rsidR="009C64A8" w:rsidRPr="00675182" w:rsidRDefault="009C64A8" w:rsidP="009C64A8">
      <w:pPr>
        <w:jc w:val="both"/>
        <w:rPr>
          <w:rFonts w:cstheme="minorHAnsi"/>
          <w:bCs/>
          <w:szCs w:val="24"/>
        </w:rPr>
      </w:pPr>
      <w:r w:rsidRPr="00675182">
        <w:rPr>
          <w:rFonts w:cstheme="minorHAnsi"/>
          <w:bCs/>
          <w:szCs w:val="24"/>
        </w:rPr>
        <w:t xml:space="preserve">Taimiņš un platspīļu vēzis iekļauti MK </w:t>
      </w:r>
      <w:r w:rsidR="001953F8" w:rsidRPr="00675182">
        <w:rPr>
          <w:rFonts w:cstheme="minorHAnsi"/>
          <w:bCs/>
          <w:szCs w:val="24"/>
        </w:rPr>
        <w:t xml:space="preserve">2000. gada 14. novembra </w:t>
      </w:r>
      <w:r w:rsidRPr="00675182">
        <w:rPr>
          <w:rFonts w:cstheme="minorHAnsi"/>
          <w:bCs/>
          <w:szCs w:val="24"/>
        </w:rPr>
        <w:t xml:space="preserve">noteikumu Nr. 396 „Noteikumi par īpaši aizsargājamo sugu un ierobežoti izmantojamo īpaši aizsargājamo sugu sarakstu” 2. pielikumā – ierobežoti izmantojamo </w:t>
      </w:r>
      <w:r w:rsidR="00000D9F" w:rsidRPr="00675182">
        <w:rPr>
          <w:rFonts w:cstheme="minorHAnsi"/>
          <w:bCs/>
          <w:szCs w:val="24"/>
        </w:rPr>
        <w:t>ĪA</w:t>
      </w:r>
      <w:r w:rsidRPr="00675182">
        <w:rPr>
          <w:rFonts w:cstheme="minorHAnsi"/>
          <w:bCs/>
          <w:szCs w:val="24"/>
        </w:rPr>
        <w:t xml:space="preserve"> sugu saraksts).</w:t>
      </w:r>
    </w:p>
    <w:p w14:paraId="42A826BF" w14:textId="47E356A9" w:rsidR="00CD2781" w:rsidRPr="00675182" w:rsidRDefault="00CD2781" w:rsidP="009C64A8">
      <w:pPr>
        <w:jc w:val="both"/>
        <w:rPr>
          <w:rFonts w:cstheme="minorHAnsi"/>
          <w:bCs/>
          <w:szCs w:val="24"/>
        </w:rPr>
      </w:pPr>
    </w:p>
    <w:p w14:paraId="15CC80E4" w14:textId="43C790C4" w:rsidR="00CD2781" w:rsidRPr="00675182" w:rsidRDefault="00CD2781" w:rsidP="00CD2781">
      <w:pPr>
        <w:suppressAutoHyphens w:val="0"/>
        <w:autoSpaceDE w:val="0"/>
        <w:autoSpaceDN w:val="0"/>
        <w:adjustRightInd w:val="0"/>
        <w:contextualSpacing/>
        <w:jc w:val="both"/>
        <w:rPr>
          <w:rFonts w:cstheme="minorHAnsi"/>
          <w:szCs w:val="24"/>
        </w:rPr>
      </w:pPr>
      <w:r w:rsidRPr="00675182">
        <w:rPr>
          <w:rFonts w:cstheme="minorHAnsi"/>
          <w:bCs/>
          <w:szCs w:val="24"/>
        </w:rPr>
        <w:t xml:space="preserve">Informācija par </w:t>
      </w:r>
      <w:r w:rsidR="006B0898">
        <w:rPr>
          <w:rFonts w:cstheme="minorHAnsi"/>
          <w:bCs/>
          <w:szCs w:val="24"/>
        </w:rPr>
        <w:t>ĪA</w:t>
      </w:r>
      <w:r w:rsidRPr="00675182">
        <w:rPr>
          <w:rFonts w:cstheme="minorHAnsi"/>
          <w:bCs/>
          <w:szCs w:val="24"/>
        </w:rPr>
        <w:t xml:space="preserve"> zivju sugām ir apkopota 2.4.7. </w:t>
      </w:r>
      <w:r w:rsidR="0065284F">
        <w:rPr>
          <w:rFonts w:cstheme="minorHAnsi"/>
          <w:bCs/>
          <w:szCs w:val="24"/>
        </w:rPr>
        <w:t xml:space="preserve">A un B </w:t>
      </w:r>
      <w:r w:rsidRPr="00675182">
        <w:rPr>
          <w:rFonts w:cstheme="minorHAnsi"/>
          <w:bCs/>
          <w:szCs w:val="24"/>
        </w:rPr>
        <w:t xml:space="preserve">tabulā. </w:t>
      </w:r>
    </w:p>
    <w:p w14:paraId="11C56609" w14:textId="6AB8CE22" w:rsidR="009C64A8" w:rsidRPr="00675182" w:rsidRDefault="009C64A8" w:rsidP="009C64A8">
      <w:pPr>
        <w:jc w:val="both"/>
        <w:rPr>
          <w:rFonts w:cstheme="minorHAnsi"/>
          <w:szCs w:val="24"/>
        </w:rPr>
      </w:pPr>
      <w:r w:rsidRPr="00675182">
        <w:rPr>
          <w:rFonts w:cstheme="minorHAnsi"/>
          <w:bCs/>
          <w:szCs w:val="24"/>
        </w:rPr>
        <w:t xml:space="preserve"> </w:t>
      </w:r>
    </w:p>
    <w:p w14:paraId="5CE83139" w14:textId="77777777" w:rsidR="009C64A8" w:rsidRPr="00675182" w:rsidRDefault="009C64A8" w:rsidP="009C64A8">
      <w:pPr>
        <w:jc w:val="both"/>
        <w:rPr>
          <w:rFonts w:cstheme="minorHAnsi"/>
          <w:b/>
          <w:szCs w:val="24"/>
        </w:rPr>
      </w:pPr>
      <w:r w:rsidRPr="00675182">
        <w:rPr>
          <w:rFonts w:cstheme="minorHAnsi"/>
          <w:b/>
          <w:szCs w:val="24"/>
        </w:rPr>
        <w:t>Sociālekonomiskā vērtība</w:t>
      </w:r>
    </w:p>
    <w:p w14:paraId="6173E0F6" w14:textId="77777777" w:rsidR="001953F8" w:rsidRPr="00675182" w:rsidRDefault="001953F8" w:rsidP="009C64A8">
      <w:pPr>
        <w:jc w:val="both"/>
        <w:rPr>
          <w:rFonts w:cstheme="minorHAnsi"/>
          <w:szCs w:val="24"/>
        </w:rPr>
      </w:pPr>
      <w:r w:rsidRPr="00675182">
        <w:rPr>
          <w:rFonts w:cstheme="minorHAnsi"/>
          <w:szCs w:val="24"/>
        </w:rPr>
        <w:t>S</w:t>
      </w:r>
      <w:r w:rsidR="009C64A8" w:rsidRPr="00675182">
        <w:rPr>
          <w:rFonts w:cstheme="minorHAnsi"/>
          <w:szCs w:val="24"/>
        </w:rPr>
        <w:t xml:space="preserve">aimnieciska vērtība ir tādām GNP sastopamajām zivju, nēģu un vēžu sugām kā salate, lasis, taimiņš, alata un upes nēģis. Lasis un taimiņš tiek zvejoti Baltijas jūras un tās piekrastes ūdeņos. Salate, alata, kā arī taimiņš un lasis (no 2020. gada) ir makšķerēšanas objekti. </w:t>
      </w:r>
    </w:p>
    <w:p w14:paraId="0EF0CF30" w14:textId="77777777" w:rsidR="001953F8" w:rsidRPr="00675182" w:rsidRDefault="001953F8" w:rsidP="009C64A8">
      <w:pPr>
        <w:jc w:val="both"/>
        <w:rPr>
          <w:rFonts w:cstheme="minorHAnsi"/>
          <w:szCs w:val="24"/>
        </w:rPr>
      </w:pPr>
    </w:p>
    <w:p w14:paraId="52B53C43" w14:textId="692EB58D" w:rsidR="009C64A8" w:rsidRPr="00675182" w:rsidRDefault="009C64A8" w:rsidP="009C64A8">
      <w:pPr>
        <w:jc w:val="both"/>
        <w:rPr>
          <w:rFonts w:cstheme="minorHAnsi"/>
          <w:szCs w:val="24"/>
        </w:rPr>
      </w:pPr>
      <w:r w:rsidRPr="00675182">
        <w:rPr>
          <w:rFonts w:cstheme="minorHAnsi"/>
          <w:szCs w:val="24"/>
        </w:rPr>
        <w:t>Nozīmīgākā saimnieciski izmantojamā suga Gaujas upes baseinā ir upes nēģis. Tā nozveja dažādos laika periodos bijusi robežās no 5</w:t>
      </w:r>
      <w:r w:rsidR="001953F8" w:rsidRPr="00675182">
        <w:rPr>
          <w:rFonts w:cstheme="minorHAnsi"/>
          <w:szCs w:val="24"/>
        </w:rPr>
        <w:t xml:space="preserve"> </w:t>
      </w:r>
      <w:r w:rsidRPr="00675182">
        <w:rPr>
          <w:rFonts w:cstheme="minorHAnsi"/>
          <w:szCs w:val="24"/>
        </w:rPr>
        <w:t>- 304 t. Laik</w:t>
      </w:r>
      <w:r w:rsidR="001953F8" w:rsidRPr="00675182">
        <w:rPr>
          <w:rFonts w:cstheme="minorHAnsi"/>
          <w:szCs w:val="24"/>
        </w:rPr>
        <w:t>a periodā</w:t>
      </w:r>
      <w:r w:rsidRPr="00675182">
        <w:rPr>
          <w:rFonts w:cstheme="minorHAnsi"/>
          <w:szCs w:val="24"/>
        </w:rPr>
        <w:t xml:space="preserve"> no 1996. gada </w:t>
      </w:r>
      <w:r w:rsidR="001953F8" w:rsidRPr="00675182">
        <w:rPr>
          <w:rFonts w:cstheme="minorHAnsi"/>
          <w:szCs w:val="24"/>
        </w:rPr>
        <w:t>nēģu nozveja</w:t>
      </w:r>
      <w:r w:rsidRPr="00675182">
        <w:rPr>
          <w:rFonts w:cstheme="minorHAnsi"/>
          <w:szCs w:val="24"/>
        </w:rPr>
        <w:t xml:space="preserve"> vidēji biju</w:t>
      </w:r>
      <w:r w:rsidR="00AA2138" w:rsidRPr="00675182">
        <w:rPr>
          <w:rFonts w:cstheme="minorHAnsi"/>
          <w:szCs w:val="24"/>
        </w:rPr>
        <w:t>si</w:t>
      </w:r>
      <w:r w:rsidRPr="00675182">
        <w:rPr>
          <w:rFonts w:cstheme="minorHAnsi"/>
          <w:szCs w:val="24"/>
        </w:rPr>
        <w:t xml:space="preserve"> 20 t gadā.</w:t>
      </w:r>
    </w:p>
    <w:p w14:paraId="1748243C" w14:textId="77777777" w:rsidR="001953F8" w:rsidRPr="00675182" w:rsidRDefault="001953F8" w:rsidP="009C64A8">
      <w:pPr>
        <w:jc w:val="both"/>
        <w:rPr>
          <w:rFonts w:cstheme="minorHAnsi"/>
          <w:szCs w:val="24"/>
        </w:rPr>
      </w:pPr>
    </w:p>
    <w:p w14:paraId="20C47AB0" w14:textId="77777777" w:rsidR="00AA2138" w:rsidRPr="00675182" w:rsidRDefault="009C64A8" w:rsidP="009C64A8">
      <w:pPr>
        <w:jc w:val="both"/>
        <w:rPr>
          <w:rFonts w:cstheme="minorHAnsi"/>
          <w:szCs w:val="24"/>
        </w:rPr>
      </w:pPr>
      <w:r w:rsidRPr="00675182">
        <w:rPr>
          <w:rFonts w:cstheme="minorHAnsi"/>
          <w:szCs w:val="24"/>
        </w:rPr>
        <w:t>Dati par lomiem makšķerēšanā ir fragmentāri, pieejami tikai par ūdenstilpēm, kur noteikta licencētā makšķerēšana (</w:t>
      </w:r>
      <w:r w:rsidR="00AA2138" w:rsidRPr="00675182">
        <w:rPr>
          <w:rFonts w:cstheme="minorHAnsi"/>
          <w:szCs w:val="24"/>
        </w:rPr>
        <w:t xml:space="preserve">skat. DA plāna </w:t>
      </w:r>
      <w:r w:rsidRPr="00675182">
        <w:rPr>
          <w:rFonts w:cstheme="minorHAnsi"/>
          <w:szCs w:val="24"/>
        </w:rPr>
        <w:t>1.4.3.5. sadaļ</w:t>
      </w:r>
      <w:r w:rsidR="00AA2138" w:rsidRPr="00675182">
        <w:rPr>
          <w:rFonts w:cstheme="minorHAnsi"/>
          <w:szCs w:val="24"/>
        </w:rPr>
        <w:t>u</w:t>
      </w:r>
      <w:r w:rsidRPr="00675182">
        <w:rPr>
          <w:rFonts w:cstheme="minorHAnsi"/>
          <w:szCs w:val="24"/>
        </w:rPr>
        <w:t>)</w:t>
      </w:r>
      <w:r w:rsidR="00AA2138" w:rsidRPr="00675182">
        <w:rPr>
          <w:rFonts w:cstheme="minorHAnsi"/>
          <w:szCs w:val="24"/>
        </w:rPr>
        <w:t xml:space="preserve">. </w:t>
      </w:r>
    </w:p>
    <w:p w14:paraId="5875F629" w14:textId="77777777" w:rsidR="009C64A8" w:rsidRPr="00675182" w:rsidRDefault="009C64A8" w:rsidP="009C64A8">
      <w:pPr>
        <w:jc w:val="both"/>
        <w:rPr>
          <w:rFonts w:cstheme="minorHAnsi"/>
          <w:b/>
          <w:szCs w:val="24"/>
        </w:rPr>
      </w:pPr>
    </w:p>
    <w:p w14:paraId="40716055" w14:textId="77777777" w:rsidR="009C64A8" w:rsidRPr="00675182" w:rsidRDefault="009C64A8" w:rsidP="009C64A8">
      <w:pPr>
        <w:jc w:val="both"/>
        <w:rPr>
          <w:rFonts w:cstheme="minorHAnsi"/>
          <w:b/>
          <w:szCs w:val="24"/>
        </w:rPr>
      </w:pPr>
      <w:bookmarkStart w:id="91" w:name="_Hlk56793356"/>
      <w:r w:rsidRPr="00675182">
        <w:rPr>
          <w:rFonts w:cstheme="minorHAnsi"/>
          <w:b/>
          <w:szCs w:val="24"/>
        </w:rPr>
        <w:t>Ietekmējošie faktori</w:t>
      </w:r>
    </w:p>
    <w:p w14:paraId="52AE7336" w14:textId="77777777" w:rsidR="00AA2138" w:rsidRPr="00675182" w:rsidRDefault="00AA2138" w:rsidP="009C64A8">
      <w:pPr>
        <w:jc w:val="both"/>
        <w:rPr>
          <w:rFonts w:cstheme="minorHAnsi"/>
          <w:b/>
          <w:szCs w:val="24"/>
        </w:rPr>
      </w:pPr>
    </w:p>
    <w:p w14:paraId="588963C3" w14:textId="02AD7000" w:rsidR="009C64A8" w:rsidRPr="00675182" w:rsidRDefault="009C64A8" w:rsidP="009C64A8">
      <w:pPr>
        <w:jc w:val="both"/>
        <w:rPr>
          <w:rFonts w:cstheme="minorHAnsi"/>
          <w:bCs/>
          <w:i/>
          <w:iCs/>
          <w:szCs w:val="24"/>
          <w:u w:val="single"/>
        </w:rPr>
      </w:pPr>
      <w:bookmarkStart w:id="92" w:name="_Hlk98433235"/>
      <w:r w:rsidRPr="00675182">
        <w:rPr>
          <w:rFonts w:cstheme="minorHAnsi"/>
          <w:bCs/>
          <w:i/>
          <w:iCs/>
          <w:szCs w:val="24"/>
          <w:u w:val="single"/>
        </w:rPr>
        <w:t xml:space="preserve">Antropogēnie šķēršļi </w:t>
      </w:r>
    </w:p>
    <w:bookmarkEnd w:id="92"/>
    <w:p w14:paraId="3584AD37" w14:textId="2624DD4E" w:rsidR="006F13B9" w:rsidRPr="00675182" w:rsidRDefault="006F13B9" w:rsidP="006F13B9">
      <w:pPr>
        <w:jc w:val="both"/>
        <w:rPr>
          <w:rFonts w:cstheme="minorHAnsi"/>
          <w:szCs w:val="24"/>
        </w:rPr>
      </w:pPr>
      <w:r w:rsidRPr="00675182">
        <w:rPr>
          <w:rFonts w:cstheme="minorHAnsi"/>
          <w:szCs w:val="24"/>
        </w:rPr>
        <w:t xml:space="preserve">Nozīmīgākais ietekmes faktors, kas nosaka ceļotājzivju izplatību upēs GNP teritorijā ir antropogēnie šķēršļi Amatā, Līgatnē, Braslā, Lojā un Vaivē. GNP teritorijā tie samazina lasim (Amatā un Braslā), taimiņam un upes nēģim (visās iepriekšminētajās upēs) pieejamās dzīvotņu platības. </w:t>
      </w:r>
    </w:p>
    <w:p w14:paraId="3DF5E308" w14:textId="0AB21056" w:rsidR="006F13B9" w:rsidRPr="00675182" w:rsidRDefault="006F13B9" w:rsidP="006F13B9">
      <w:pPr>
        <w:jc w:val="both"/>
        <w:rPr>
          <w:rFonts w:cstheme="minorHAnsi"/>
          <w:szCs w:val="24"/>
        </w:rPr>
      </w:pPr>
      <w:r w:rsidRPr="00675182">
        <w:rPr>
          <w:rFonts w:cstheme="minorHAnsi"/>
          <w:szCs w:val="24"/>
        </w:rPr>
        <w:t>Zivju ceļu izbūve ap mākslīgiem šķēršļiem upēs ir viens no paņēmieniem, kā samazināt un novērst to radītos zaudējumus ceļotājzivju resursiem. No ekoloģiskā un dabas aizsardzības viedokļa efektīvu zivju ceļu izbūves rezultātā Gaujas upes baseinā iespējams palielinātos dabisko laša, taimiņa un upes nēģa īpatsvars populācijās.</w:t>
      </w:r>
    </w:p>
    <w:p w14:paraId="6C2972C7" w14:textId="77777777" w:rsidR="006F13B9" w:rsidRPr="00675182" w:rsidRDefault="006F13B9" w:rsidP="006F13B9">
      <w:pPr>
        <w:jc w:val="both"/>
        <w:rPr>
          <w:rFonts w:cstheme="minorHAnsi"/>
          <w:szCs w:val="24"/>
        </w:rPr>
      </w:pPr>
    </w:p>
    <w:p w14:paraId="0FFAADB5" w14:textId="19A79C40" w:rsidR="00AA2138" w:rsidRPr="00675182" w:rsidRDefault="006F13B9" w:rsidP="006F13B9">
      <w:pPr>
        <w:jc w:val="both"/>
        <w:rPr>
          <w:rFonts w:cstheme="minorHAnsi"/>
          <w:szCs w:val="24"/>
        </w:rPr>
      </w:pPr>
      <w:r w:rsidRPr="00675182">
        <w:rPr>
          <w:rFonts w:cstheme="minorHAnsi"/>
          <w:szCs w:val="24"/>
        </w:rPr>
        <w:t xml:space="preserve">Jāatzīmē, ka valsts zivju audzētavas Latvijā izbūvētas, lai kompensētu hidroceltniecības upēs rezultātā zaudētos ceļotājzivju resursus.  </w:t>
      </w:r>
    </w:p>
    <w:p w14:paraId="4E2208A2" w14:textId="77777777" w:rsidR="006F13B9" w:rsidRPr="00675182" w:rsidRDefault="006F13B9" w:rsidP="006F13B9">
      <w:pPr>
        <w:jc w:val="both"/>
        <w:rPr>
          <w:rFonts w:cstheme="minorHAnsi"/>
          <w:szCs w:val="24"/>
        </w:rPr>
      </w:pPr>
    </w:p>
    <w:p w14:paraId="0619F502" w14:textId="441E7735" w:rsidR="009C64A8" w:rsidRPr="00675182" w:rsidRDefault="009C64A8" w:rsidP="009C64A8">
      <w:pPr>
        <w:jc w:val="both"/>
        <w:rPr>
          <w:rFonts w:cstheme="minorHAnsi"/>
          <w:szCs w:val="24"/>
        </w:rPr>
      </w:pPr>
      <w:r w:rsidRPr="00675182">
        <w:rPr>
          <w:rFonts w:cstheme="minorHAnsi"/>
          <w:szCs w:val="24"/>
        </w:rPr>
        <w:lastRenderedPageBreak/>
        <w:t xml:space="preserve">Pavisam kopā GNP teritorijā upēs ir </w:t>
      </w:r>
      <w:r w:rsidR="001B27A8" w:rsidRPr="00675182">
        <w:rPr>
          <w:rFonts w:cstheme="minorHAnsi"/>
          <w:szCs w:val="24"/>
        </w:rPr>
        <w:t>14</w:t>
      </w:r>
      <w:r w:rsidRPr="00675182">
        <w:rPr>
          <w:rFonts w:cstheme="minorHAnsi"/>
          <w:szCs w:val="24"/>
        </w:rPr>
        <w:t xml:space="preserve"> aizsprosti, no tiem pirmie virzienā no grīvas ir aizsprosti Lojas, Amatas, Līgatnes un Braslas upēs. Zivju ceļi ir ierīkoti Amatā un Braslā,</w:t>
      </w:r>
      <w:r w:rsidR="00AA2138" w:rsidRPr="00675182">
        <w:rPr>
          <w:rFonts w:cstheme="minorHAnsi"/>
          <w:szCs w:val="24"/>
        </w:rPr>
        <w:t xml:space="preserve"> bet</w:t>
      </w:r>
      <w:r w:rsidRPr="00675182">
        <w:rPr>
          <w:rFonts w:cstheme="minorHAnsi"/>
          <w:szCs w:val="24"/>
        </w:rPr>
        <w:t xml:space="preserve"> to efektivitāte nav zināma</w:t>
      </w:r>
    </w:p>
    <w:p w14:paraId="291274FB" w14:textId="77777777" w:rsidR="002D5449" w:rsidRPr="00675182" w:rsidRDefault="002D5449" w:rsidP="009C64A8">
      <w:pPr>
        <w:jc w:val="both"/>
        <w:rPr>
          <w:rFonts w:cstheme="minorHAnsi"/>
          <w:szCs w:val="24"/>
        </w:rPr>
      </w:pPr>
    </w:p>
    <w:p w14:paraId="1608EA9F" w14:textId="6B6FDBDE" w:rsidR="002D5449" w:rsidRPr="00675182" w:rsidRDefault="002D5449" w:rsidP="002D5449">
      <w:pPr>
        <w:jc w:val="both"/>
        <w:rPr>
          <w:rFonts w:cstheme="minorHAnsi"/>
          <w:color w:val="FF0000"/>
        </w:rPr>
      </w:pPr>
      <w:r w:rsidRPr="00675182">
        <w:rPr>
          <w:rFonts w:cstheme="minorHAnsi"/>
        </w:rPr>
        <w:t>Amatas aizsprostā pie „Kārļu” HES zivju ceļš tika izbūvēts 1997. gadā, bet konstruktīvi uzlabots 2002. gadā. 2003.</w:t>
      </w:r>
      <w:r w:rsidR="00CD2781" w:rsidRPr="00675182">
        <w:rPr>
          <w:rFonts w:cstheme="minorHAnsi"/>
        </w:rPr>
        <w:t xml:space="preserve"> </w:t>
      </w:r>
      <w:r w:rsidRPr="00675182">
        <w:rPr>
          <w:rFonts w:cstheme="minorHAnsi"/>
        </w:rPr>
        <w:t>g. rudenī tika veikti eksperimenti, laša un taimiņa vaisliniekus iezīmējot ar telemetriskām zīmēm, pētot to pārvietošanos augšpus un lejpus zivju ceļa, kā arī zivju ceļā. Tika veikta arī migrējošo zivju uzskaite. Šie darbu rezultātā tika pieradīts, ka lasis un taimiņš spēj atrast „Kārļu” zivju ceļa ieeju, pārvarēt zivju ceļu un migrēt uz nārstu Amatas augštecē, taču to skaits ir ļoti mazs</w:t>
      </w:r>
      <w:r w:rsidR="006F13B9" w:rsidRPr="00675182">
        <w:rPr>
          <w:rFonts w:cstheme="minorHAnsi"/>
        </w:rPr>
        <w:t xml:space="preserve"> (tieši novērojumi veikti 2005. - 2007. gadā, pēc zivju ceļa rekonstrukcijas. Zivju ceļš 2013. gadā izbūvēts arī Līgatnes upē aizsprostā pie papīrfabrikas. Tā efektivitāte nav tikusi pētīta.</w:t>
      </w:r>
    </w:p>
    <w:p w14:paraId="031BF044" w14:textId="77777777" w:rsidR="002D5449" w:rsidRPr="00675182" w:rsidRDefault="002D5449" w:rsidP="002D5449">
      <w:pPr>
        <w:jc w:val="both"/>
        <w:rPr>
          <w:rFonts w:cstheme="minorHAnsi"/>
        </w:rPr>
      </w:pPr>
    </w:p>
    <w:p w14:paraId="22469083" w14:textId="77777777" w:rsidR="006F13B9" w:rsidRPr="00675182" w:rsidRDefault="006F13B9" w:rsidP="00BF7348">
      <w:pPr>
        <w:suppressAutoHyphens w:val="0"/>
        <w:spacing w:line="256" w:lineRule="auto"/>
        <w:jc w:val="both"/>
        <w:rPr>
          <w:rFonts w:cstheme="minorHAnsi"/>
          <w:szCs w:val="24"/>
          <w:lang w:eastAsia="en-US"/>
        </w:rPr>
      </w:pPr>
      <w:r w:rsidRPr="00675182">
        <w:rPr>
          <w:rFonts w:cstheme="minorHAnsi"/>
          <w:szCs w:val="24"/>
          <w:lang w:eastAsia="en-US"/>
        </w:rPr>
        <w:t>Pētījumos, kas veikti citās valstīs pierādīts, ka ne vienmēr zivju ceļu izbūve dod vēlamo efektu (Brown et al., 2013). Arī dambju tieša nojaukšana var būt problemātiska (Lejon et al., 2009). Ceļotajzivju krājumu atjaunošanai svarīgi arī citi faktori:</w:t>
      </w:r>
    </w:p>
    <w:p w14:paraId="0822BC99" w14:textId="5FA3B35D" w:rsidR="006F13B9" w:rsidRPr="00675182" w:rsidRDefault="006F13B9" w:rsidP="00A84218">
      <w:pPr>
        <w:pStyle w:val="ListParagraph"/>
        <w:numPr>
          <w:ilvl w:val="1"/>
          <w:numId w:val="17"/>
        </w:numPr>
        <w:suppressAutoHyphens w:val="0"/>
        <w:ind w:left="357" w:hanging="357"/>
        <w:jc w:val="both"/>
        <w:rPr>
          <w:rFonts w:cstheme="minorHAnsi"/>
          <w:szCs w:val="24"/>
          <w:lang w:eastAsia="en-US"/>
        </w:rPr>
      </w:pPr>
      <w:r w:rsidRPr="00675182">
        <w:rPr>
          <w:rFonts w:cstheme="minorHAnsi"/>
          <w:szCs w:val="24"/>
          <w:lang w:eastAsia="en-US"/>
        </w:rPr>
        <w:t>vaislinieku daudzums, kas pārvar zivju ceļu;</w:t>
      </w:r>
    </w:p>
    <w:p w14:paraId="37A9E63D" w14:textId="69C65DA7" w:rsidR="006F13B9" w:rsidRPr="00675182" w:rsidRDefault="006F13B9" w:rsidP="00A84218">
      <w:pPr>
        <w:pStyle w:val="ListParagraph"/>
        <w:numPr>
          <w:ilvl w:val="1"/>
          <w:numId w:val="17"/>
        </w:numPr>
        <w:suppressAutoHyphens w:val="0"/>
        <w:ind w:left="357" w:hanging="357"/>
        <w:jc w:val="both"/>
        <w:rPr>
          <w:rFonts w:cstheme="minorHAnsi"/>
          <w:szCs w:val="24"/>
          <w:lang w:eastAsia="en-US"/>
        </w:rPr>
      </w:pPr>
      <w:r w:rsidRPr="00675182">
        <w:rPr>
          <w:rFonts w:cstheme="minorHAnsi"/>
          <w:szCs w:val="24"/>
          <w:lang w:eastAsia="en-US"/>
        </w:rPr>
        <w:t>nārsta, ikru attīstības un mazuļu dzīves apstākļi upes posmā augšpus zivju ceļa;</w:t>
      </w:r>
    </w:p>
    <w:p w14:paraId="0BF295E5" w14:textId="3E3E5C96" w:rsidR="006F13B9" w:rsidRPr="00675182" w:rsidRDefault="006F13B9" w:rsidP="00A84218">
      <w:pPr>
        <w:pStyle w:val="ListParagraph"/>
        <w:numPr>
          <w:ilvl w:val="1"/>
          <w:numId w:val="17"/>
        </w:numPr>
        <w:suppressAutoHyphens w:val="0"/>
        <w:ind w:left="357" w:hanging="357"/>
        <w:jc w:val="both"/>
        <w:rPr>
          <w:rFonts w:cstheme="minorHAnsi"/>
          <w:szCs w:val="24"/>
          <w:lang w:eastAsia="en-US"/>
        </w:rPr>
      </w:pPr>
      <w:r w:rsidRPr="00675182">
        <w:rPr>
          <w:rFonts w:cstheme="minorHAnsi"/>
          <w:szCs w:val="24"/>
          <w:lang w:eastAsia="en-US"/>
        </w:rPr>
        <w:t xml:space="preserve">zivju mazuļu (smoltu) un upes nēģa mazuļu lejupmigrācijas nodrošināšana. </w:t>
      </w:r>
    </w:p>
    <w:p w14:paraId="5BD45005" w14:textId="77777777" w:rsidR="006F13B9" w:rsidRPr="00675182" w:rsidRDefault="006F13B9" w:rsidP="006F13B9">
      <w:pPr>
        <w:suppressAutoHyphens w:val="0"/>
        <w:jc w:val="both"/>
        <w:rPr>
          <w:rFonts w:cstheme="minorHAnsi"/>
          <w:szCs w:val="24"/>
          <w:lang w:eastAsia="en-US"/>
        </w:rPr>
      </w:pPr>
    </w:p>
    <w:p w14:paraId="746D1C99" w14:textId="38F2EA48" w:rsidR="006F13B9" w:rsidRPr="00675182" w:rsidRDefault="006F13B9" w:rsidP="006F13B9">
      <w:pPr>
        <w:suppressAutoHyphens w:val="0"/>
        <w:jc w:val="both"/>
        <w:rPr>
          <w:rFonts w:cstheme="minorHAnsi"/>
          <w:szCs w:val="24"/>
          <w:lang w:eastAsia="en-US"/>
        </w:rPr>
      </w:pPr>
      <w:r w:rsidRPr="00675182">
        <w:rPr>
          <w:rFonts w:cstheme="minorHAnsi"/>
          <w:szCs w:val="24"/>
          <w:lang w:eastAsia="en-US"/>
        </w:rPr>
        <w:t>Kārļu zivju ceļā veiktie novērojumi 2006. un 2007. gadā liecināja</w:t>
      </w:r>
      <w:r w:rsidR="006F7EAB" w:rsidRPr="00675182">
        <w:rPr>
          <w:rFonts w:cstheme="minorHAnsi"/>
          <w:szCs w:val="24"/>
          <w:lang w:eastAsia="en-US"/>
        </w:rPr>
        <w:t>,</w:t>
      </w:r>
      <w:r w:rsidRPr="00675182">
        <w:rPr>
          <w:rFonts w:cstheme="minorHAnsi"/>
          <w:szCs w:val="24"/>
          <w:lang w:eastAsia="en-US"/>
        </w:rPr>
        <w:t xml:space="preserve"> ka:</w:t>
      </w:r>
    </w:p>
    <w:p w14:paraId="18EF1272" w14:textId="73A70468" w:rsidR="006F13B9" w:rsidRPr="00675182" w:rsidRDefault="006F13B9" w:rsidP="00A84218">
      <w:pPr>
        <w:pStyle w:val="ListParagraph"/>
        <w:numPr>
          <w:ilvl w:val="1"/>
          <w:numId w:val="17"/>
        </w:numPr>
        <w:suppressAutoHyphens w:val="0"/>
        <w:ind w:left="357" w:hanging="357"/>
        <w:jc w:val="both"/>
        <w:rPr>
          <w:rFonts w:cstheme="minorHAnsi"/>
          <w:szCs w:val="24"/>
          <w:lang w:eastAsia="en-US"/>
        </w:rPr>
      </w:pPr>
      <w:r w:rsidRPr="00675182">
        <w:rPr>
          <w:rFonts w:cstheme="minorHAnsi"/>
          <w:szCs w:val="24"/>
          <w:lang w:eastAsia="en-US"/>
        </w:rPr>
        <w:t>Amatas notece var būt nepietiekama zivju ceļa un zivjaudzētavas “Kārļi” vienlaicīgai apgādei ar ūdeni;</w:t>
      </w:r>
    </w:p>
    <w:p w14:paraId="26A35271" w14:textId="2DE79E58" w:rsidR="006F13B9" w:rsidRPr="00675182" w:rsidRDefault="0069197D" w:rsidP="00A84218">
      <w:pPr>
        <w:pStyle w:val="ListParagraph"/>
        <w:numPr>
          <w:ilvl w:val="1"/>
          <w:numId w:val="17"/>
        </w:numPr>
        <w:suppressAutoHyphens w:val="0"/>
        <w:ind w:left="357" w:hanging="357"/>
        <w:jc w:val="both"/>
        <w:rPr>
          <w:rFonts w:cstheme="minorHAnsi"/>
          <w:szCs w:val="24"/>
          <w:lang w:eastAsia="en-US"/>
        </w:rPr>
      </w:pPr>
      <w:r>
        <w:rPr>
          <w:rFonts w:cstheme="minorHAnsi"/>
          <w:szCs w:val="24"/>
          <w:lang w:eastAsia="en-US"/>
        </w:rPr>
        <w:t>v</w:t>
      </w:r>
      <w:r w:rsidRPr="00675182">
        <w:rPr>
          <w:rFonts w:cstheme="minorHAnsi"/>
          <w:szCs w:val="24"/>
          <w:lang w:eastAsia="en-US"/>
        </w:rPr>
        <w:t xml:space="preserve">ēlā </w:t>
      </w:r>
      <w:r w:rsidR="006F13B9" w:rsidRPr="00675182">
        <w:rPr>
          <w:rFonts w:cstheme="minorHAnsi"/>
          <w:szCs w:val="24"/>
          <w:lang w:eastAsia="en-US"/>
        </w:rPr>
        <w:t>rudenī, oktobra un novembra mēnesī zivju ceļā migrēja tikai atsevišķi taimiņi, t.i. šīs sugas atražošanās efektivitāte Amatas posmā augšpus Kārļiem ticamā ir nenozīmīga;</w:t>
      </w:r>
    </w:p>
    <w:p w14:paraId="629E8746" w14:textId="3B9F5971" w:rsidR="006F13B9" w:rsidRPr="00675182" w:rsidRDefault="006F13B9" w:rsidP="00A84218">
      <w:pPr>
        <w:pStyle w:val="ListParagraph"/>
        <w:numPr>
          <w:ilvl w:val="1"/>
          <w:numId w:val="17"/>
        </w:numPr>
        <w:suppressAutoHyphens w:val="0"/>
        <w:ind w:left="357" w:hanging="357"/>
        <w:jc w:val="both"/>
        <w:rPr>
          <w:rFonts w:cstheme="minorHAnsi"/>
          <w:szCs w:val="24"/>
          <w:lang w:eastAsia="en-US"/>
        </w:rPr>
      </w:pPr>
      <w:r w:rsidRPr="00675182">
        <w:rPr>
          <w:rFonts w:cstheme="minorHAnsi"/>
          <w:szCs w:val="24"/>
          <w:lang w:eastAsia="en-US"/>
        </w:rPr>
        <w:t>Kārļu HES darbība laikā no jūnija līdz novembrim faktiski būtu jāpārtrauc, lai nodrošinātu caurteci zivju ceļā iespējami garākā laika periodā.</w:t>
      </w:r>
    </w:p>
    <w:p w14:paraId="3D577CA5" w14:textId="17201672" w:rsidR="002D5449" w:rsidRPr="00675182" w:rsidRDefault="002D5449" w:rsidP="002D5449">
      <w:pPr>
        <w:jc w:val="both"/>
        <w:rPr>
          <w:rFonts w:cstheme="minorHAnsi"/>
        </w:rPr>
      </w:pPr>
    </w:p>
    <w:p w14:paraId="4509DB6C" w14:textId="2EB1BB59" w:rsidR="001326D3" w:rsidRPr="00675182" w:rsidRDefault="001326D3" w:rsidP="001326D3">
      <w:pPr>
        <w:jc w:val="both"/>
        <w:rPr>
          <w:rFonts w:cstheme="minorHAnsi"/>
        </w:rPr>
      </w:pPr>
      <w:r w:rsidRPr="00675182">
        <w:rPr>
          <w:rFonts w:cstheme="minorHAnsi"/>
        </w:rPr>
        <w:t xml:space="preserve">2020. gadā rudenī pabeigta zivju ceļa rekonstrukcija Līgatnes upē pār </w:t>
      </w:r>
      <w:r w:rsidR="0058060C" w:rsidRPr="00675182">
        <w:rPr>
          <w:rFonts w:cstheme="minorHAnsi"/>
        </w:rPr>
        <w:t>Ā</w:t>
      </w:r>
      <w:r w:rsidRPr="00675182">
        <w:rPr>
          <w:rFonts w:cstheme="minorHAnsi"/>
        </w:rPr>
        <w:t>nfabrikas slūžām (skat.</w:t>
      </w:r>
      <w:r w:rsidR="0058060C" w:rsidRPr="00675182">
        <w:rPr>
          <w:rFonts w:cstheme="minorHAnsi"/>
        </w:rPr>
        <w:t xml:space="preserve"> </w:t>
      </w:r>
      <w:r w:rsidRPr="00675182">
        <w:rPr>
          <w:rFonts w:cstheme="minorHAnsi"/>
        </w:rPr>
        <w:t>2.4.</w:t>
      </w:r>
      <w:r w:rsidR="0042456B" w:rsidRPr="00675182">
        <w:rPr>
          <w:rFonts w:cstheme="minorHAnsi"/>
        </w:rPr>
        <w:t>1</w:t>
      </w:r>
      <w:r w:rsidR="00DD6E9F" w:rsidRPr="00675182">
        <w:rPr>
          <w:rFonts w:cstheme="minorHAnsi"/>
        </w:rPr>
        <w:t>1</w:t>
      </w:r>
      <w:r w:rsidRPr="00675182">
        <w:rPr>
          <w:rFonts w:cstheme="minorHAnsi"/>
        </w:rPr>
        <w:t>. attēlu). Zivju ceļš sākotnēji izbūvēts 2013. gadā, bet 2020. gadā veikta atjaunošana, kuras laikā nomainītas koka konstrukcijas, uzstādīti metāla atbalsti, izveidoti ieejas baseini un pārveidots pirmais posms, kas ļaus zivīm atvieglot iekļūšanu</w:t>
      </w:r>
      <w:r w:rsidR="0058060C" w:rsidRPr="00675182">
        <w:rPr>
          <w:rFonts w:cstheme="minorHAnsi"/>
        </w:rPr>
        <w:t xml:space="preserve"> ceļā</w:t>
      </w:r>
      <w:r w:rsidRPr="00675182">
        <w:rPr>
          <w:rFonts w:cstheme="minorHAnsi"/>
        </w:rPr>
        <w:t>. Projekts realizēts ar Zivju fonda, Līgatnes novada domes un Gaujas ilgtspējīgas attīstības biedrības finansējumu.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1326D3" w:rsidRPr="00675182" w14:paraId="1FA9F00B" w14:textId="77777777" w:rsidTr="001326D3">
        <w:tc>
          <w:tcPr>
            <w:tcW w:w="8301" w:type="dxa"/>
          </w:tcPr>
          <w:p w14:paraId="33C4CAEF" w14:textId="405688B2" w:rsidR="001326D3" w:rsidRPr="00675182" w:rsidRDefault="001326D3" w:rsidP="001326D3">
            <w:pPr>
              <w:jc w:val="both"/>
              <w:rPr>
                <w:rFonts w:cstheme="minorHAnsi"/>
              </w:rPr>
            </w:pPr>
            <w:r w:rsidRPr="00675182">
              <w:rPr>
                <w:rFonts w:cstheme="minorHAnsi"/>
                <w:noProof/>
              </w:rPr>
              <w:drawing>
                <wp:inline distT="0" distB="0" distL="0" distR="0" wp14:anchorId="0F4ADBE5" wp14:editId="68477E05">
                  <wp:extent cx="2880000" cy="1728139"/>
                  <wp:effectExtent l="0" t="0" r="0" b="5715"/>
                  <wp:docPr id="46" name="Picture 46" descr="attachment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ttachment file"/>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2880000" cy="1728139"/>
                          </a:xfrm>
                          <a:prstGeom prst="rect">
                            <a:avLst/>
                          </a:prstGeom>
                          <a:noFill/>
                          <a:ln>
                            <a:noFill/>
                          </a:ln>
                        </pic:spPr>
                      </pic:pic>
                    </a:graphicData>
                  </a:graphic>
                </wp:inline>
              </w:drawing>
            </w:r>
          </w:p>
        </w:tc>
      </w:tr>
      <w:tr w:rsidR="001326D3" w:rsidRPr="00675182" w14:paraId="7575FE1D" w14:textId="77777777" w:rsidTr="001326D3">
        <w:tc>
          <w:tcPr>
            <w:tcW w:w="8301" w:type="dxa"/>
          </w:tcPr>
          <w:p w14:paraId="556A98D5" w14:textId="363A302D" w:rsidR="001326D3" w:rsidRPr="00675182" w:rsidRDefault="001326D3" w:rsidP="001326D3">
            <w:pPr>
              <w:jc w:val="both"/>
              <w:rPr>
                <w:rFonts w:cstheme="minorHAnsi"/>
                <w:b/>
                <w:bCs/>
                <w:i/>
                <w:iCs/>
              </w:rPr>
            </w:pPr>
            <w:r w:rsidRPr="00675182">
              <w:rPr>
                <w:rFonts w:cstheme="minorHAnsi"/>
                <w:b/>
                <w:bCs/>
                <w:i/>
                <w:iCs/>
              </w:rPr>
              <w:lastRenderedPageBreak/>
              <w:t>2.4.</w:t>
            </w:r>
            <w:r w:rsidR="0042456B" w:rsidRPr="00675182">
              <w:rPr>
                <w:rFonts w:cstheme="minorHAnsi"/>
                <w:b/>
                <w:bCs/>
                <w:i/>
                <w:iCs/>
              </w:rPr>
              <w:t>1</w:t>
            </w:r>
            <w:r w:rsidR="00DD6E9F" w:rsidRPr="00675182">
              <w:rPr>
                <w:rFonts w:cstheme="minorHAnsi"/>
                <w:b/>
                <w:bCs/>
                <w:i/>
                <w:iCs/>
              </w:rPr>
              <w:t>1</w:t>
            </w:r>
            <w:r w:rsidRPr="00675182">
              <w:rPr>
                <w:rFonts w:cstheme="minorHAnsi"/>
                <w:b/>
                <w:bCs/>
                <w:i/>
                <w:iCs/>
              </w:rPr>
              <w:t xml:space="preserve">. attēls. Zivju ceļa rekonstrukcija Līgatnes upē pār </w:t>
            </w:r>
            <w:r w:rsidR="003963AC" w:rsidRPr="00675182">
              <w:rPr>
                <w:rFonts w:cstheme="minorHAnsi"/>
                <w:b/>
                <w:bCs/>
                <w:i/>
                <w:iCs/>
              </w:rPr>
              <w:t>Papīrfabrikas</w:t>
            </w:r>
            <w:r w:rsidRPr="00675182">
              <w:rPr>
                <w:rFonts w:cstheme="minorHAnsi"/>
                <w:b/>
                <w:bCs/>
                <w:i/>
                <w:iCs/>
              </w:rPr>
              <w:t xml:space="preserve"> slūžām (foto: Gaujas ilgtspējīgas attīstības biedrība)</w:t>
            </w:r>
          </w:p>
        </w:tc>
      </w:tr>
    </w:tbl>
    <w:p w14:paraId="6E84B4F5" w14:textId="693B88E1" w:rsidR="00AA2138" w:rsidRPr="00675182" w:rsidRDefault="00AA2138" w:rsidP="009C64A8">
      <w:pPr>
        <w:jc w:val="both"/>
        <w:rPr>
          <w:rFonts w:cstheme="minorHAnsi"/>
          <w:color w:val="FF0000"/>
          <w:szCs w:val="24"/>
        </w:rPr>
      </w:pPr>
    </w:p>
    <w:p w14:paraId="04530080" w14:textId="365E40EE" w:rsidR="006F13B9" w:rsidRPr="00675182" w:rsidRDefault="006F13B9" w:rsidP="006F13B9">
      <w:pPr>
        <w:jc w:val="both"/>
        <w:rPr>
          <w:rFonts w:cstheme="minorHAnsi"/>
        </w:rPr>
      </w:pPr>
      <w:r w:rsidRPr="00675182">
        <w:rPr>
          <w:rFonts w:cstheme="minorHAnsi"/>
        </w:rPr>
        <w:t xml:space="preserve">Perspektīvā var plānot zivju ceļa izbūvi visās iepriekšminētajās upēs, taču to potenciālo nozīmi grūti novērtēt, jo to noteiks ne tikai ceļotājzivju mazuļiem piemēroto upes posmu platība augšpus šķēršļa un to bioloģiskā produktivitāte, bet arī lejupmigrējošo laša un taimiņa smoltu un jauno upes nēģu (pēc metamorfozes) mirstība mazo HES turbīnās lejupmigrācijas laikā. </w:t>
      </w:r>
    </w:p>
    <w:p w14:paraId="351CBB84" w14:textId="77777777" w:rsidR="006F13B9" w:rsidRPr="00675182" w:rsidRDefault="006F13B9" w:rsidP="006F13B9">
      <w:pPr>
        <w:jc w:val="both"/>
        <w:rPr>
          <w:rFonts w:eastAsiaTheme="minorHAnsi" w:cstheme="minorHAnsi"/>
          <w:sz w:val="22"/>
          <w:lang w:eastAsia="en-US"/>
        </w:rPr>
      </w:pPr>
    </w:p>
    <w:p w14:paraId="7F46E724" w14:textId="556782D1" w:rsidR="006F13B9" w:rsidRPr="00675182" w:rsidRDefault="006F13B9" w:rsidP="006F13B9">
      <w:pPr>
        <w:jc w:val="both"/>
        <w:rPr>
          <w:rFonts w:cstheme="minorHAnsi"/>
        </w:rPr>
      </w:pPr>
      <w:r w:rsidRPr="00675182">
        <w:rPr>
          <w:rFonts w:cstheme="minorHAnsi"/>
        </w:rPr>
        <w:t xml:space="preserve">Zivju ceļa tipa, izbūves vietas, izmaksas u.c. ar to celtniecību un saistīti jautājumi jārisina to projektēšanas laikā. Zivju ceļu ekspluatācijas režīms jānosaka atkarībā no iepriekšminētajām ceļotājzivju sugām tipiskajiem nārsta migrācijas laikiem. </w:t>
      </w:r>
    </w:p>
    <w:p w14:paraId="7F12781E" w14:textId="77777777" w:rsidR="006F13B9" w:rsidRPr="00675182" w:rsidRDefault="006F13B9" w:rsidP="006F13B9">
      <w:pPr>
        <w:jc w:val="both"/>
        <w:rPr>
          <w:rFonts w:cstheme="minorHAnsi"/>
        </w:rPr>
      </w:pPr>
    </w:p>
    <w:p w14:paraId="5E1E5C91" w14:textId="05FFDE17" w:rsidR="006F13B9" w:rsidRPr="00675182" w:rsidRDefault="006F13B9" w:rsidP="006F13B9">
      <w:pPr>
        <w:jc w:val="both"/>
        <w:rPr>
          <w:rFonts w:cstheme="minorHAnsi"/>
        </w:rPr>
      </w:pPr>
      <w:r w:rsidRPr="00675182">
        <w:rPr>
          <w:rFonts w:cstheme="minorHAnsi"/>
        </w:rPr>
        <w:t>Rekomendējam pirms zivju ceļu projektēšanas veikt upju posmu augšpus šķēršļiem izpēti, veicot to kartēšanu un potenciālās ceļotājzivju mazuļu produkcijas novērtēšanu. Jāveic arī zivju ceļu izbūves potenciālo izmaksu novērtējums.</w:t>
      </w:r>
    </w:p>
    <w:p w14:paraId="7B077F0C" w14:textId="77777777" w:rsidR="006F13B9" w:rsidRPr="00675182" w:rsidRDefault="006F13B9" w:rsidP="006F13B9">
      <w:pPr>
        <w:jc w:val="both"/>
        <w:rPr>
          <w:rFonts w:cstheme="minorHAnsi"/>
        </w:rPr>
      </w:pPr>
    </w:p>
    <w:p w14:paraId="4DD216B1" w14:textId="5F9A3BE5" w:rsidR="006F13B9" w:rsidRPr="00675182" w:rsidRDefault="00FF18FE" w:rsidP="006F13B9">
      <w:pPr>
        <w:jc w:val="both"/>
        <w:rPr>
          <w:rFonts w:cstheme="minorHAnsi"/>
        </w:rPr>
      </w:pPr>
      <w:r w:rsidRPr="00675182">
        <w:rPr>
          <w:rFonts w:cstheme="minorHAnsi"/>
        </w:rPr>
        <w:t>S</w:t>
      </w:r>
      <w:r w:rsidR="006F13B9" w:rsidRPr="00675182">
        <w:rPr>
          <w:rFonts w:cstheme="minorHAnsi"/>
        </w:rPr>
        <w:t>askaņā ar pieejamo informāciju</w:t>
      </w:r>
      <w:r w:rsidR="003963AC" w:rsidRPr="00675182">
        <w:rPr>
          <w:rFonts w:cstheme="minorHAnsi"/>
        </w:rPr>
        <w:t>,</w:t>
      </w:r>
      <w:r w:rsidR="006F13B9" w:rsidRPr="00675182">
        <w:rPr>
          <w:rFonts w:cstheme="minorHAnsi"/>
        </w:rPr>
        <w:t xml:space="preserve"> Dāvida dzirnavu dambis Vaives upē 1998. gada plūdos pārrauts. Iespējams, tā atliekas var nojaukt un zivju ceļa izbūve nav nepieciešama. Iespējams arī cits tehnisks risinājums, vecā dambja vietā izveidojot akmeņu krāvumus rampas veidā, padarot tās zivīm pārvaramas arī mazūdens periodos. </w:t>
      </w:r>
    </w:p>
    <w:p w14:paraId="14565BED" w14:textId="77777777" w:rsidR="006F13B9" w:rsidRPr="00675182" w:rsidRDefault="006F13B9" w:rsidP="006F13B9">
      <w:pPr>
        <w:jc w:val="both"/>
        <w:rPr>
          <w:rFonts w:cstheme="minorHAnsi"/>
        </w:rPr>
      </w:pPr>
    </w:p>
    <w:p w14:paraId="2BFF0E69" w14:textId="18D9D32D" w:rsidR="006F13B9" w:rsidRPr="00675182" w:rsidRDefault="006F13B9" w:rsidP="009C64A8">
      <w:pPr>
        <w:jc w:val="both"/>
        <w:rPr>
          <w:rFonts w:cstheme="minorHAnsi"/>
          <w:color w:val="FF0000"/>
          <w:szCs w:val="24"/>
        </w:rPr>
      </w:pPr>
      <w:r w:rsidRPr="00675182">
        <w:rPr>
          <w:rFonts w:cstheme="minorHAnsi"/>
        </w:rPr>
        <w:t>No dambja pārraušanas pagājis pietiekami ilgs laiks, upes krasti bijušajā ūdenskrātuves gultnē stabilizējušies. Ja tas iespējams, šī šķēršļa likvidēšana upē GNP uzskatām</w:t>
      </w:r>
      <w:r w:rsidR="006F7EAB" w:rsidRPr="00675182">
        <w:rPr>
          <w:rFonts w:cstheme="minorHAnsi"/>
        </w:rPr>
        <w:t>a</w:t>
      </w:r>
      <w:r w:rsidRPr="00675182">
        <w:rPr>
          <w:rFonts w:cstheme="minorHAnsi"/>
        </w:rPr>
        <w:t xml:space="preserve"> par prioritāru. </w:t>
      </w:r>
    </w:p>
    <w:p w14:paraId="792BC3AE" w14:textId="77777777" w:rsidR="006F13B9" w:rsidRPr="00675182" w:rsidRDefault="006F13B9" w:rsidP="009C64A8">
      <w:pPr>
        <w:jc w:val="both"/>
        <w:rPr>
          <w:rFonts w:cstheme="minorHAnsi"/>
          <w:color w:val="FF0000"/>
          <w:szCs w:val="24"/>
        </w:rPr>
      </w:pPr>
    </w:p>
    <w:p w14:paraId="1D5D6A90" w14:textId="3F77B5C2" w:rsidR="009C64A8" w:rsidRPr="00675182" w:rsidRDefault="009C64A8" w:rsidP="009C64A8">
      <w:pPr>
        <w:jc w:val="both"/>
        <w:rPr>
          <w:rFonts w:cstheme="minorHAnsi"/>
          <w:bCs/>
          <w:i/>
          <w:iCs/>
          <w:szCs w:val="24"/>
          <w:u w:val="single"/>
        </w:rPr>
      </w:pPr>
      <w:bookmarkStart w:id="93" w:name="_Hlk98433270"/>
      <w:r w:rsidRPr="00675182">
        <w:rPr>
          <w:rFonts w:cstheme="minorHAnsi"/>
          <w:bCs/>
          <w:i/>
          <w:iCs/>
          <w:szCs w:val="24"/>
          <w:u w:val="single"/>
        </w:rPr>
        <w:t>Zveja un makšķerēšana</w:t>
      </w:r>
    </w:p>
    <w:bookmarkEnd w:id="93"/>
    <w:p w14:paraId="23CDDE05" w14:textId="749BBA49" w:rsidR="009C64A8" w:rsidRPr="00675182" w:rsidRDefault="009C64A8" w:rsidP="009C64A8">
      <w:pPr>
        <w:jc w:val="both"/>
        <w:rPr>
          <w:rFonts w:cstheme="minorHAnsi"/>
          <w:szCs w:val="24"/>
        </w:rPr>
      </w:pPr>
      <w:r w:rsidRPr="00675182">
        <w:rPr>
          <w:rFonts w:cstheme="minorHAnsi"/>
          <w:szCs w:val="24"/>
        </w:rPr>
        <w:t>Laša, taimiņa un alatas zveja iekšējos ūdeņos, izņemot Daugavu un Buļļupi, ir aizliegta. Gaujas baseinā nelielos apjomos tiek zvejoti laša un taimiņa vaislinieki. Lasi un taimiņš tiek zvejot</w:t>
      </w:r>
      <w:r w:rsidR="0058060C" w:rsidRPr="00675182">
        <w:rPr>
          <w:rFonts w:cstheme="minorHAnsi"/>
          <w:szCs w:val="24"/>
        </w:rPr>
        <w:t>s</w:t>
      </w:r>
      <w:r w:rsidRPr="00675182">
        <w:rPr>
          <w:rFonts w:cstheme="minorHAnsi"/>
          <w:szCs w:val="24"/>
        </w:rPr>
        <w:t xml:space="preserve"> atklātā jūrā un piekrastes ūdeņos. Jāatzīmē, ka Gaujas laši (audzētavu vai dabiskas izcelsmes), Baltijas jūrā nonāk arī citu valstu zvejnieku lomos.</w:t>
      </w:r>
    </w:p>
    <w:p w14:paraId="1C56DAF1" w14:textId="77777777" w:rsidR="00AA2138" w:rsidRPr="00675182" w:rsidRDefault="00AA2138" w:rsidP="009C64A8">
      <w:pPr>
        <w:jc w:val="both"/>
        <w:rPr>
          <w:rFonts w:cstheme="minorHAnsi"/>
          <w:szCs w:val="24"/>
        </w:rPr>
      </w:pPr>
    </w:p>
    <w:p w14:paraId="7427947D" w14:textId="1F309676" w:rsidR="001B27A8" w:rsidRPr="00675182" w:rsidRDefault="009C64A8" w:rsidP="001B27A8">
      <w:pPr>
        <w:jc w:val="both"/>
        <w:rPr>
          <w:rFonts w:cstheme="minorHAnsi"/>
          <w:szCs w:val="24"/>
        </w:rPr>
      </w:pPr>
      <w:r w:rsidRPr="00675182">
        <w:rPr>
          <w:rFonts w:cstheme="minorHAnsi"/>
          <w:szCs w:val="24"/>
        </w:rPr>
        <w:t>Upes nēģa zveja Gaujas grīvā tiek regulēta, nosakot zvejas sezonas ilgumu un zvejas rīku skaitu zvejā.</w:t>
      </w:r>
      <w:r w:rsidR="00ED150A">
        <w:rPr>
          <w:rFonts w:cstheme="minorHAnsi"/>
          <w:szCs w:val="24"/>
        </w:rPr>
        <w:t xml:space="preserve"> </w:t>
      </w:r>
      <w:r w:rsidR="001B27A8" w:rsidRPr="00675182">
        <w:rPr>
          <w:rFonts w:cstheme="minorHAnsi"/>
          <w:szCs w:val="24"/>
        </w:rPr>
        <w:t>No 2020. gada Gaujā no tiek veikta lašu un taimiņa licencētā makšķerēšana. Dati par tās rezultātiem pašlaik nav pieejami.</w:t>
      </w:r>
      <w:r w:rsidR="00ED150A">
        <w:rPr>
          <w:rFonts w:cstheme="minorHAnsi"/>
          <w:szCs w:val="24"/>
        </w:rPr>
        <w:t xml:space="preserve"> </w:t>
      </w:r>
      <w:r w:rsidR="001B27A8" w:rsidRPr="00675182">
        <w:rPr>
          <w:rFonts w:cstheme="minorHAnsi"/>
          <w:szCs w:val="24"/>
        </w:rPr>
        <w:t>Nelegāla upes nēģa, laša un taimiņa zveja Gaujā un tās pietekās GNP teritorijā samazina iepriekšminēto sugu vaislinieku skaitu upēs.</w:t>
      </w:r>
    </w:p>
    <w:p w14:paraId="6AB45801" w14:textId="7327F6DB" w:rsidR="001B27A8" w:rsidRPr="00675182" w:rsidRDefault="001B27A8" w:rsidP="009C64A8">
      <w:pPr>
        <w:jc w:val="both"/>
        <w:rPr>
          <w:rFonts w:cstheme="minorHAnsi"/>
          <w:szCs w:val="24"/>
        </w:rPr>
      </w:pPr>
    </w:p>
    <w:p w14:paraId="5F361456" w14:textId="09895AF6" w:rsidR="002D5449" w:rsidRPr="00675182" w:rsidRDefault="002D5449" w:rsidP="009C64A8">
      <w:pPr>
        <w:jc w:val="both"/>
        <w:rPr>
          <w:rFonts w:cstheme="minorHAnsi"/>
          <w:i/>
          <w:iCs/>
          <w:szCs w:val="24"/>
          <w:u w:val="single"/>
        </w:rPr>
      </w:pPr>
      <w:bookmarkStart w:id="94" w:name="_Hlk98433291"/>
      <w:r w:rsidRPr="00675182">
        <w:rPr>
          <w:rFonts w:cstheme="minorHAnsi"/>
          <w:i/>
          <w:iCs/>
          <w:szCs w:val="24"/>
          <w:u w:val="single"/>
        </w:rPr>
        <w:t>Bebru darbība</w:t>
      </w:r>
    </w:p>
    <w:bookmarkEnd w:id="94"/>
    <w:p w14:paraId="641FAFE3" w14:textId="16DC26E4" w:rsidR="002D5449" w:rsidRPr="00675182" w:rsidRDefault="004D4639" w:rsidP="002D5449">
      <w:pPr>
        <w:jc w:val="both"/>
        <w:rPr>
          <w:rFonts w:cstheme="minorHAnsi"/>
        </w:rPr>
      </w:pPr>
      <w:r w:rsidRPr="00675182">
        <w:rPr>
          <w:rFonts w:cstheme="minorHAnsi"/>
        </w:rPr>
        <w:t xml:space="preserve">Bebri viegli </w:t>
      </w:r>
      <w:r w:rsidR="002D5449" w:rsidRPr="00675182">
        <w:rPr>
          <w:rFonts w:cstheme="minorHAnsi"/>
        </w:rPr>
        <w:t>aizsprosto</w:t>
      </w:r>
      <w:r w:rsidRPr="00675182">
        <w:rPr>
          <w:rFonts w:cstheme="minorHAnsi"/>
        </w:rPr>
        <w:t xml:space="preserve"> mazās upes un strautus</w:t>
      </w:r>
      <w:r w:rsidR="002D5449" w:rsidRPr="00675182">
        <w:rPr>
          <w:rFonts w:cstheme="minorHAnsi"/>
        </w:rPr>
        <w:t>, to darbība izraisa daudz izmaiņu zivju dzīvotnēs, kuras ir vitāli nozīmīgas zivju reprodukcijai, kā ūdensteces hidroloģija, temperatūra, skābekļa saturs un ūdens ķīmiskais sastāvs. Samazinās biotopu pieejamība migrējošajām lašveidīgajām zivīm (Hay, 1989). Liels bebru dambju skaita daudzums var ietekmēt lašveidīgo zivju atražošanos ne tikai kādas upes baseinā, bet Austrumbaltijas reģionā kopumā (Virbickas et al, 2015).</w:t>
      </w:r>
    </w:p>
    <w:p w14:paraId="7C3603D0" w14:textId="77777777" w:rsidR="002D5449" w:rsidRPr="00675182" w:rsidRDefault="002D5449" w:rsidP="002D5449">
      <w:pPr>
        <w:jc w:val="both"/>
        <w:rPr>
          <w:rFonts w:cstheme="minorHAnsi"/>
        </w:rPr>
      </w:pPr>
    </w:p>
    <w:p w14:paraId="2EAB7859" w14:textId="15466E58" w:rsidR="002D5449" w:rsidRPr="00675182" w:rsidRDefault="002D5449" w:rsidP="002D5449">
      <w:pPr>
        <w:jc w:val="both"/>
        <w:rPr>
          <w:rFonts w:cstheme="minorHAnsi"/>
        </w:rPr>
      </w:pPr>
      <w:r w:rsidRPr="00675182">
        <w:rPr>
          <w:rFonts w:cstheme="minorHAnsi"/>
        </w:rPr>
        <w:lastRenderedPageBreak/>
        <w:t>GNP mazajās upēs un strautos novērojama biotopu degradācija bebru darbības rezultātā. Upēs uzkrājas krituši koki un to zari, veidojot blīvus sagāzumus, arī aizsprostus. Tā rezultātā samazinās biotopu pieejamība. Bebraines teritorijā biotopi tiek zaudēti (vismaz uz laiku). Iespējams</w:t>
      </w:r>
      <w:r w:rsidR="0058060C" w:rsidRPr="00675182">
        <w:rPr>
          <w:rFonts w:cstheme="minorHAnsi"/>
        </w:rPr>
        <w:t>,</w:t>
      </w:r>
      <w:r w:rsidRPr="00675182">
        <w:rPr>
          <w:rFonts w:cstheme="minorHAnsi"/>
        </w:rPr>
        <w:t xml:space="preserve"> bebru darbības rezultātā mazajās upēs un strautos lokāli pasliktinās ūdens kvalitāte.</w:t>
      </w:r>
    </w:p>
    <w:p w14:paraId="428AF757" w14:textId="77777777" w:rsidR="00AA2138" w:rsidRPr="00675182" w:rsidRDefault="00AA2138" w:rsidP="009C64A8">
      <w:pPr>
        <w:jc w:val="both"/>
        <w:rPr>
          <w:rFonts w:cstheme="minorHAnsi"/>
          <w:szCs w:val="24"/>
        </w:rPr>
      </w:pPr>
    </w:p>
    <w:p w14:paraId="2E5BCCF5" w14:textId="77777777" w:rsidR="009C64A8" w:rsidRPr="00675182" w:rsidRDefault="009C64A8" w:rsidP="009C64A8">
      <w:pPr>
        <w:jc w:val="both"/>
        <w:rPr>
          <w:rFonts w:cstheme="minorHAnsi"/>
          <w:bCs/>
          <w:i/>
          <w:iCs/>
          <w:szCs w:val="24"/>
          <w:u w:val="single"/>
        </w:rPr>
      </w:pPr>
      <w:bookmarkStart w:id="95" w:name="_Hlk98433323"/>
      <w:r w:rsidRPr="00675182">
        <w:rPr>
          <w:rFonts w:cstheme="minorHAnsi"/>
          <w:bCs/>
          <w:i/>
          <w:iCs/>
          <w:szCs w:val="24"/>
          <w:u w:val="single"/>
        </w:rPr>
        <w:t>Invazīvās sugas</w:t>
      </w:r>
    </w:p>
    <w:bookmarkEnd w:id="95"/>
    <w:p w14:paraId="12D2934C" w14:textId="4AFF8664" w:rsidR="009C64A8" w:rsidRPr="00675182" w:rsidRDefault="009C64A8" w:rsidP="009C64A8">
      <w:pPr>
        <w:jc w:val="both"/>
        <w:rPr>
          <w:rFonts w:cstheme="minorHAnsi"/>
          <w:szCs w:val="24"/>
        </w:rPr>
      </w:pPr>
      <w:r w:rsidRPr="00675182">
        <w:rPr>
          <w:rFonts w:cstheme="minorHAnsi"/>
          <w:szCs w:val="24"/>
        </w:rPr>
        <w:t xml:space="preserve">GNP sastopamas divas invazīvas vēžu sugas – signālvēzis un dzeloņvaigu vēzis. Zināms, ka šīs sugas ir “vēžu mēra” izraisītāja </w:t>
      </w:r>
      <w:r w:rsidRPr="00675182">
        <w:rPr>
          <w:rFonts w:cstheme="minorHAnsi"/>
          <w:i/>
          <w:iCs/>
          <w:szCs w:val="24"/>
        </w:rPr>
        <w:t>Aphanomyces astaci</w:t>
      </w:r>
      <w:r w:rsidRPr="00675182">
        <w:rPr>
          <w:rFonts w:cstheme="minorHAnsi"/>
          <w:szCs w:val="24"/>
        </w:rPr>
        <w:t xml:space="preserve"> pārnēsātājas. Invazīvo vēžu sugu izplatība un sastopamība liecina, ka tie izplatās upju tīklā, gan </w:t>
      </w:r>
      <w:r w:rsidR="00AA2138" w:rsidRPr="00675182">
        <w:rPr>
          <w:rFonts w:cstheme="minorHAnsi"/>
          <w:szCs w:val="24"/>
        </w:rPr>
        <w:t xml:space="preserve">tos </w:t>
      </w:r>
      <w:r w:rsidRPr="00675182">
        <w:rPr>
          <w:rFonts w:cstheme="minorHAnsi"/>
          <w:szCs w:val="24"/>
        </w:rPr>
        <w:t>pārvadājot</w:t>
      </w:r>
      <w:r w:rsidR="00AA2138" w:rsidRPr="00675182">
        <w:rPr>
          <w:rFonts w:cstheme="minorHAnsi"/>
          <w:szCs w:val="24"/>
        </w:rPr>
        <w:t xml:space="preserve">, gan </w:t>
      </w:r>
      <w:r w:rsidRPr="00675182">
        <w:rPr>
          <w:rFonts w:cstheme="minorHAnsi"/>
          <w:szCs w:val="24"/>
        </w:rPr>
        <w:t>ielaižot nesankcionēti</w:t>
      </w:r>
      <w:r w:rsidR="002D5449" w:rsidRPr="00675182">
        <w:rPr>
          <w:rFonts w:cstheme="minorHAnsi"/>
          <w:szCs w:val="24"/>
        </w:rPr>
        <w:t xml:space="preserve"> (Birzaks, Škute, 2019)</w:t>
      </w:r>
      <w:r w:rsidRPr="00675182">
        <w:rPr>
          <w:rFonts w:cstheme="minorHAnsi"/>
          <w:szCs w:val="24"/>
        </w:rPr>
        <w:t>. Ūdenstilpēs, kur tie sastopami, Eiropas vēžu sugas platspīļu vēzis un šaurspīļu vēzis ir izzudis vai tā skaits būtiski samazinājies.</w:t>
      </w:r>
    </w:p>
    <w:p w14:paraId="67026E21" w14:textId="77777777" w:rsidR="00512320" w:rsidRPr="00675182" w:rsidRDefault="00512320" w:rsidP="00BE1BFF">
      <w:pPr>
        <w:jc w:val="both"/>
        <w:rPr>
          <w:rFonts w:cstheme="minorHAnsi"/>
          <w:szCs w:val="24"/>
        </w:rPr>
      </w:pPr>
    </w:p>
    <w:p w14:paraId="65F64F52" w14:textId="6D20EE70" w:rsidR="00BE1BFF" w:rsidRPr="00675182" w:rsidRDefault="00BA2CD9" w:rsidP="00BE1BFF">
      <w:pPr>
        <w:jc w:val="both"/>
        <w:rPr>
          <w:rFonts w:cstheme="minorHAnsi"/>
        </w:rPr>
      </w:pPr>
      <w:r w:rsidRPr="00675182">
        <w:rPr>
          <w:rFonts w:cstheme="minorHAnsi"/>
          <w:szCs w:val="24"/>
        </w:rPr>
        <w:t xml:space="preserve">Plašāk GNP teritorijā izplatījies un ticis nesankcionēti izplatīts signālvēzis. </w:t>
      </w:r>
      <w:r w:rsidR="009D5C1A" w:rsidRPr="00675182">
        <w:rPr>
          <w:rFonts w:cstheme="minorHAnsi"/>
        </w:rPr>
        <w:t xml:space="preserve">Tas </w:t>
      </w:r>
      <w:r w:rsidR="00BE1BFF" w:rsidRPr="00675182">
        <w:rPr>
          <w:rFonts w:cstheme="minorHAnsi"/>
        </w:rPr>
        <w:t xml:space="preserve">Latvijā </w:t>
      </w:r>
      <w:r w:rsidR="009D5C1A" w:rsidRPr="00675182">
        <w:rPr>
          <w:rFonts w:cstheme="minorHAnsi"/>
        </w:rPr>
        <w:t xml:space="preserve">tika </w:t>
      </w:r>
      <w:r w:rsidR="00BE1BFF" w:rsidRPr="00675182">
        <w:rPr>
          <w:rFonts w:cstheme="minorHAnsi"/>
        </w:rPr>
        <w:t>ievests 1983. gadā apzināti, pamatojoties uz datiem un izpēti Lietuvā (Mjasischev, 1991). Iemesls bija vietējo vēžu krājumu strauja samazināšanās slimību ietekmē, tāpēc signālvēža aklimatizācijā tika saskatīts saimniecisks izdevīgums.</w:t>
      </w:r>
    </w:p>
    <w:p w14:paraId="357ED9F6" w14:textId="77777777" w:rsidR="00512320" w:rsidRPr="00675182" w:rsidRDefault="00512320" w:rsidP="00BE1BFF">
      <w:pPr>
        <w:jc w:val="both"/>
        <w:rPr>
          <w:rFonts w:eastAsiaTheme="minorHAnsi" w:cstheme="minorHAnsi"/>
          <w:sz w:val="22"/>
          <w:lang w:eastAsia="en-US"/>
        </w:rPr>
      </w:pPr>
    </w:p>
    <w:p w14:paraId="03994880" w14:textId="35375E50" w:rsidR="00BE1BFF" w:rsidRPr="00675182" w:rsidRDefault="00BE1BFF" w:rsidP="00BE1BFF">
      <w:pPr>
        <w:pStyle w:val="Default"/>
        <w:spacing w:after="120"/>
        <w:jc w:val="both"/>
        <w:rPr>
          <w:rFonts w:asciiTheme="minorHAnsi" w:eastAsiaTheme="minorHAnsi" w:hAnsiTheme="minorHAnsi" w:cstheme="minorHAnsi"/>
          <w:color w:val="FF0000"/>
          <w:lang w:val="lv-LV" w:eastAsia="en-US"/>
        </w:rPr>
      </w:pPr>
      <w:r w:rsidRPr="00675182">
        <w:rPr>
          <w:rFonts w:asciiTheme="minorHAnsi" w:hAnsiTheme="minorHAnsi" w:cstheme="minorHAnsi"/>
          <w:color w:val="auto"/>
          <w:lang w:val="lv-LV"/>
        </w:rPr>
        <w:t xml:space="preserve">Monitoringā Salacas baseina upēs tas regulāri tiek noķerts no 1996. gada. 40 gadu laikā signālvēža areāls ir palielinājies, gan dabiskā ceļā, bet galvenokārt nesankcionēti pārvadājot un ielaižot. Zināmi vismaz 3 gadījumi, kur pēdējos gados veikta sugas ielaišana. </w:t>
      </w:r>
      <w:r w:rsidR="009D5C1A" w:rsidRPr="00675182">
        <w:rPr>
          <w:rFonts w:asciiTheme="minorHAnsi" w:hAnsiTheme="minorHAnsi" w:cstheme="minorHAnsi"/>
          <w:color w:val="auto"/>
          <w:lang w:val="lv-LV"/>
        </w:rPr>
        <w:t>GNP</w:t>
      </w:r>
      <w:r w:rsidRPr="00675182">
        <w:rPr>
          <w:rFonts w:asciiTheme="minorHAnsi" w:hAnsiTheme="minorHAnsi" w:cstheme="minorHAnsi"/>
          <w:color w:val="auto"/>
          <w:lang w:val="lv-LV"/>
        </w:rPr>
        <w:t xml:space="preserve"> vislielākais tā populācijas blīvums novērojams zivjaudzētas “Brasla” teritorijā un Braslas ūdenskrātuvē. Tas konstatēts arī Braslas pietekā Līčupītē, t.i., faktiski lielākajā Braslas upes daļā. Suga izplatījusies un/vai nesankcionēti izplatīta nacionālā parka teritorijā un sastopama arī Strīkupē, Lojā, Skaļupē un Plaužu ezerā. Latvijā konstatēts 14 upēs un 2 ezeros. Suga ticamāk ir izplatīta daudz plašāk, sevišķi privātos dīķos u.c. mazās ūdenstilpēs, kas atrodas viena īpašuma robežās.</w:t>
      </w:r>
    </w:p>
    <w:p w14:paraId="2A88F607" w14:textId="77777777" w:rsidR="00BA2CD9" w:rsidRPr="00675182" w:rsidRDefault="00BA2CD9" w:rsidP="00BA2CD9">
      <w:pPr>
        <w:jc w:val="both"/>
        <w:rPr>
          <w:rFonts w:cstheme="minorHAnsi"/>
          <w:szCs w:val="24"/>
        </w:rPr>
      </w:pPr>
    </w:p>
    <w:p w14:paraId="47D3745B" w14:textId="1549D24A" w:rsidR="00BA2CD9" w:rsidRPr="00675182" w:rsidRDefault="00132591" w:rsidP="00BA2CD9">
      <w:pPr>
        <w:jc w:val="both"/>
        <w:rPr>
          <w:rFonts w:cstheme="minorHAnsi"/>
          <w:szCs w:val="24"/>
        </w:rPr>
      </w:pPr>
      <w:r w:rsidRPr="00675182">
        <w:rPr>
          <w:rFonts w:cstheme="minorHAnsi"/>
        </w:rPr>
        <w:t xml:space="preserve">Dzeloņvaigu vēzis Latvijā konstatēts 2005. gadā Lielupē, zivju un vēžu masveida nobeigšanās laikā Jelgavas cukurfabrikai piesārņojot upes ūdeni (Aleksejevs 2006). </w:t>
      </w:r>
      <w:r w:rsidR="009D5C1A" w:rsidRPr="00675182">
        <w:rPr>
          <w:rFonts w:cstheme="minorHAnsi"/>
        </w:rPr>
        <w:t>GNP</w:t>
      </w:r>
      <w:r w:rsidRPr="00675182">
        <w:rPr>
          <w:rFonts w:cstheme="minorHAnsi"/>
        </w:rPr>
        <w:t xml:space="preserve"> teritorijā </w:t>
      </w:r>
      <w:r w:rsidRPr="00675182">
        <w:rPr>
          <w:rFonts w:cstheme="minorHAnsi"/>
          <w:szCs w:val="24"/>
        </w:rPr>
        <w:t>dzeloņvaigu vēzis kopš 2018. gada ir konstatēts Vējupītē.</w:t>
      </w:r>
    </w:p>
    <w:p w14:paraId="385F94AB" w14:textId="77777777" w:rsidR="00AA2138" w:rsidRPr="00675182" w:rsidRDefault="00AA2138" w:rsidP="009C64A8">
      <w:pPr>
        <w:jc w:val="both"/>
        <w:rPr>
          <w:rFonts w:cstheme="minorHAnsi"/>
          <w:szCs w:val="24"/>
        </w:rPr>
      </w:pPr>
    </w:p>
    <w:p w14:paraId="60A7A8D6" w14:textId="34C57B34" w:rsidR="00FA0EA1" w:rsidRPr="00675182" w:rsidRDefault="009C64A8" w:rsidP="00FA0EA1">
      <w:pPr>
        <w:jc w:val="both"/>
        <w:rPr>
          <w:rFonts w:cstheme="minorHAnsi"/>
          <w:color w:val="212438"/>
          <w:shd w:val="clear" w:color="auto" w:fill="FFFFFF"/>
        </w:rPr>
      </w:pPr>
      <w:r w:rsidRPr="00675182">
        <w:rPr>
          <w:rFonts w:cstheme="minorHAnsi"/>
          <w:szCs w:val="24"/>
        </w:rPr>
        <w:t xml:space="preserve">Latvijā līdz šim nav izstrādāts pasākumu plāns šo sugu ierobežošanai. </w:t>
      </w:r>
    </w:p>
    <w:p w14:paraId="0DE0370F" w14:textId="6DACE275" w:rsidR="00FA0EA1" w:rsidRPr="00675182" w:rsidRDefault="00FA0EA1" w:rsidP="00FA0EA1">
      <w:pPr>
        <w:jc w:val="both"/>
        <w:rPr>
          <w:rFonts w:cstheme="minorHAnsi"/>
          <w:strike/>
          <w:color w:val="212438"/>
          <w:shd w:val="clear" w:color="auto" w:fill="FFFFFF"/>
        </w:rPr>
      </w:pPr>
    </w:p>
    <w:p w14:paraId="4D8A5332" w14:textId="0DFB0EDD" w:rsidR="00DA1B92" w:rsidRPr="00675182" w:rsidRDefault="00DA1B92" w:rsidP="00DA1B92">
      <w:pPr>
        <w:jc w:val="both"/>
        <w:rPr>
          <w:rFonts w:cstheme="minorHAnsi"/>
        </w:rPr>
      </w:pPr>
      <w:r w:rsidRPr="00675182">
        <w:rPr>
          <w:rFonts w:cstheme="minorHAnsi"/>
        </w:rPr>
        <w:t>Invazīvo vēžu izplatības areāla palielināšanās ir Latvijas mēroga problēma. GNP</w:t>
      </w:r>
      <w:r w:rsidR="004E0412" w:rsidRPr="00675182">
        <w:rPr>
          <w:rFonts w:cstheme="minorHAnsi"/>
        </w:rPr>
        <w:t>,</w:t>
      </w:r>
      <w:r w:rsidRPr="00675182">
        <w:rPr>
          <w:rFonts w:cstheme="minorHAnsi"/>
        </w:rPr>
        <w:t xml:space="preserve"> savukārt</w:t>
      </w:r>
      <w:r w:rsidR="004E0412" w:rsidRPr="00675182">
        <w:rPr>
          <w:rFonts w:cstheme="minorHAnsi"/>
        </w:rPr>
        <w:t>,</w:t>
      </w:r>
      <w:r w:rsidRPr="00675182">
        <w:rPr>
          <w:rFonts w:cstheme="minorHAnsi"/>
        </w:rPr>
        <w:t xml:space="preserve"> ir potenciāls un esošs šīs suga</w:t>
      </w:r>
      <w:r w:rsidR="004E0412" w:rsidRPr="00675182">
        <w:rPr>
          <w:rFonts w:cstheme="minorHAnsi"/>
        </w:rPr>
        <w:t>s</w:t>
      </w:r>
      <w:r w:rsidRPr="00675182">
        <w:rPr>
          <w:rFonts w:cstheme="minorHAnsi"/>
        </w:rPr>
        <w:t xml:space="preserve"> ieguves un tālākas izplatīšanas avots. Par to, ka tieši nesankcionēta signālvēža izplatīšana ir noteicošais faktors, liecina kaut vai fakts, ka pēc ievešanas zivjaudzētavā “Brasla” vairāk nekā 40 gados suga nav tikusi konstatēta Gaujā. Taču GNP teritorijā tā sastopama ūdenstilpēs, kurās suga nevarēja nokļūt, migrējot dabiskā ceļā. </w:t>
      </w:r>
    </w:p>
    <w:p w14:paraId="74A12301" w14:textId="77777777" w:rsidR="00DA1B92" w:rsidRPr="00675182" w:rsidRDefault="00DA1B92" w:rsidP="00DA1B92">
      <w:pPr>
        <w:jc w:val="both"/>
        <w:rPr>
          <w:rFonts w:eastAsiaTheme="minorHAnsi" w:cstheme="minorHAnsi"/>
          <w:sz w:val="22"/>
          <w:lang w:eastAsia="en-US"/>
        </w:rPr>
      </w:pPr>
    </w:p>
    <w:p w14:paraId="6787F6D2" w14:textId="3DA31FF3" w:rsidR="00DA1B92" w:rsidRPr="00675182" w:rsidRDefault="00DA1B92" w:rsidP="00A9426F">
      <w:pPr>
        <w:jc w:val="both"/>
        <w:rPr>
          <w:rFonts w:cstheme="minorHAnsi"/>
        </w:rPr>
      </w:pPr>
      <w:r w:rsidRPr="00675182">
        <w:rPr>
          <w:rFonts w:cstheme="minorHAnsi"/>
        </w:rPr>
        <w:t xml:space="preserve">Zinātniskās literatūras analīze liecina, ka nav viena, vienkārša un universāla problēmas risinājuma. Veiksmīga bijusi invazīvo vēžu sugu izindēšana nelielās ūdenstilpēs. Izņēmuma gadījumos mazās izolētās ūdenstilpēs tos var izskaust. Tas neatrisina problēmu plašākā mērogā. Upēs, upju sistēmās, ezeros labākajā gadījumā izdevies ietekmēt īpatņu skaitu populācijās. Arī intensīvai to zvejai un vēžošanai ir tāds pats </w:t>
      </w:r>
      <w:r w:rsidRPr="00675182">
        <w:rPr>
          <w:rFonts w:cstheme="minorHAnsi"/>
        </w:rPr>
        <w:lastRenderedPageBreak/>
        <w:t>efekts. Praksē vēžotāji parasti atlaiž atpakaļ ūdenstilpē mazāka izmēra invazīvo vēžu īpatņus vai vēžu mātītes. Vēžošana kā tāda, lai samazinātu signālvēža īpatņu skaitu populācijās, iespējams dod rezultātu.</w:t>
      </w:r>
    </w:p>
    <w:p w14:paraId="360D774F" w14:textId="77777777" w:rsidR="00A9426F" w:rsidRPr="00675182" w:rsidRDefault="00A9426F" w:rsidP="00A9426F">
      <w:pPr>
        <w:jc w:val="both"/>
        <w:rPr>
          <w:rFonts w:cstheme="minorHAnsi"/>
        </w:rPr>
      </w:pPr>
    </w:p>
    <w:p w14:paraId="6614D30B" w14:textId="62DFE64A" w:rsidR="00DA1B92" w:rsidRPr="00675182" w:rsidRDefault="00DA1B92" w:rsidP="00A9426F">
      <w:pPr>
        <w:jc w:val="both"/>
        <w:rPr>
          <w:rFonts w:cstheme="minorHAnsi"/>
        </w:rPr>
      </w:pPr>
      <w:r w:rsidRPr="00675182">
        <w:rPr>
          <w:rFonts w:cstheme="minorHAnsi"/>
        </w:rPr>
        <w:t>Piemēram, kopš Salacā tika ieviesta licencētā vēžošana, vēžu, sevišķi liela izmēra skaits ir samazinājies, iespējams, samazinājusies arī vēžotāju interese. Signālvēži Salacā tiek noķerti arī upes nēģa zvejā tačos. Taču vienlaicīgi tā netīši stimulē dzīvu invazīvo vēžu nesankcionētu pārvešanu uz jaunām vietām.</w:t>
      </w:r>
      <w:r w:rsidRPr="00675182">
        <w:rPr>
          <w:rFonts w:cstheme="minorHAnsi"/>
          <w:b/>
          <w:color w:val="FF0000"/>
        </w:rPr>
        <w:t xml:space="preserve"> </w:t>
      </w:r>
      <w:r w:rsidRPr="00675182">
        <w:rPr>
          <w:rFonts w:cstheme="minorHAnsi"/>
        </w:rPr>
        <w:t>Tika novērots, ka vietējie iedzīvotāji pārdod dzīvus signālvēžus, kas tiek pārvesti un izplatīti ūdenstilpēs, kur suga agrāk nebija sastopama. Potenciāli to var veikt arī nēģu zvejnieki. Jāatzīmē,</w:t>
      </w:r>
      <w:r w:rsidR="00BC51C7" w:rsidRPr="00675182">
        <w:rPr>
          <w:rFonts w:cstheme="minorHAnsi"/>
        </w:rPr>
        <w:t xml:space="preserve"> ka</w:t>
      </w:r>
      <w:r w:rsidRPr="00675182">
        <w:rPr>
          <w:rFonts w:cstheme="minorHAnsi"/>
        </w:rPr>
        <w:t xml:space="preserve"> signālvēža skaita samazināšana bija viens no to licencētās vēžošanas ieviešanas mērķiem Salacā. Var secināt, ka tas tika sasniegts daļēji, vienlaikus sekmējot tā nesankcionētu izplatīšanu/os.</w:t>
      </w:r>
    </w:p>
    <w:p w14:paraId="42928B16" w14:textId="77777777" w:rsidR="00A9426F" w:rsidRPr="00675182" w:rsidRDefault="00A9426F" w:rsidP="00A9426F">
      <w:pPr>
        <w:jc w:val="both"/>
        <w:rPr>
          <w:rFonts w:cstheme="minorHAnsi"/>
        </w:rPr>
      </w:pPr>
    </w:p>
    <w:p w14:paraId="47F13765" w14:textId="7F03F5D6" w:rsidR="00DA1B92" w:rsidRPr="00675182" w:rsidRDefault="00DA1B92" w:rsidP="00A9426F">
      <w:pPr>
        <w:jc w:val="both"/>
        <w:rPr>
          <w:rFonts w:cstheme="minorHAnsi"/>
        </w:rPr>
      </w:pPr>
      <w:r w:rsidRPr="00675182">
        <w:rPr>
          <w:rFonts w:cstheme="minorHAnsi"/>
        </w:rPr>
        <w:t>Savukārt, vēžošanas aizlieguma rezultātā varētu pieaugt tā īpatņu skaits esošajās populācijās GNP, kas izraisīs vai var izraisīt:</w:t>
      </w:r>
    </w:p>
    <w:p w14:paraId="0BE6F4D6" w14:textId="2608EF68" w:rsidR="00DA1B92" w:rsidRPr="00675182" w:rsidRDefault="005A0678" w:rsidP="00A84218">
      <w:pPr>
        <w:pStyle w:val="ListParagraph"/>
        <w:numPr>
          <w:ilvl w:val="0"/>
          <w:numId w:val="43"/>
        </w:numPr>
        <w:suppressAutoHyphens w:val="0"/>
        <w:contextualSpacing/>
        <w:jc w:val="both"/>
        <w:rPr>
          <w:rFonts w:cstheme="minorHAnsi"/>
        </w:rPr>
      </w:pPr>
      <w:r>
        <w:rPr>
          <w:rFonts w:cstheme="minorHAnsi"/>
        </w:rPr>
        <w:t>u</w:t>
      </w:r>
      <w:r w:rsidRPr="00675182">
        <w:rPr>
          <w:rFonts w:cstheme="minorHAnsi"/>
        </w:rPr>
        <w:t xml:space="preserve">pju </w:t>
      </w:r>
      <w:r w:rsidR="00DA1B92" w:rsidRPr="00675182">
        <w:rPr>
          <w:rFonts w:cstheme="minorHAnsi"/>
        </w:rPr>
        <w:t>populācijās īpatņu skaita pieaugums uz teritorijas laukuma vienību var izraisīt to pārvietošanos (migrāciju) uz jaunām, “brīvām” teritorijām. Tā būs intensīvāka virzienā lejup pa straumi no “mātes” populācijas aizņemtās teritorijas. Pieaugs iespēja vēžu nelegālai ieguvei. Ticamāk, tā arī tiek veikta;</w:t>
      </w:r>
    </w:p>
    <w:p w14:paraId="364B72BC" w14:textId="3FD527A5" w:rsidR="00DA1B92" w:rsidRPr="00675182" w:rsidRDefault="005A0678" w:rsidP="00A84218">
      <w:pPr>
        <w:pStyle w:val="ListParagraph"/>
        <w:numPr>
          <w:ilvl w:val="0"/>
          <w:numId w:val="43"/>
        </w:numPr>
        <w:suppressAutoHyphens w:val="0"/>
        <w:spacing w:after="160" w:line="256" w:lineRule="auto"/>
        <w:contextualSpacing/>
        <w:jc w:val="both"/>
        <w:rPr>
          <w:rFonts w:cstheme="minorHAnsi"/>
        </w:rPr>
      </w:pPr>
      <w:r>
        <w:rPr>
          <w:rFonts w:cstheme="minorHAnsi"/>
        </w:rPr>
        <w:t>e</w:t>
      </w:r>
      <w:r w:rsidRPr="00675182">
        <w:rPr>
          <w:rFonts w:cstheme="minorHAnsi"/>
        </w:rPr>
        <w:t>zeru</w:t>
      </w:r>
      <w:r w:rsidR="00DA1B92" w:rsidRPr="00675182">
        <w:rPr>
          <w:rFonts w:cstheme="minorHAnsi"/>
        </w:rPr>
        <w:t>, dīķu, ūdenskrātuvju u.c. slēgtu vai daļēji slēgtu ūdenstilpju populācijās arī būs novērojama IV īpatņu skaita pieaugums. Tas izraisīs vēžotāju “intereses” pieaugumu, attiecīgi nelegālu vēžošanu, neievērojot aizliegumu. Ticamāk, tā arī tiek veikta.</w:t>
      </w:r>
    </w:p>
    <w:p w14:paraId="077D6A98" w14:textId="29F576C2" w:rsidR="00DA1B92" w:rsidRPr="00675182" w:rsidRDefault="00DA1B92" w:rsidP="00DA1B92">
      <w:pPr>
        <w:jc w:val="both"/>
        <w:rPr>
          <w:rFonts w:cstheme="minorHAnsi"/>
        </w:rPr>
      </w:pPr>
      <w:r w:rsidRPr="00675182">
        <w:rPr>
          <w:rFonts w:cstheme="minorHAnsi"/>
        </w:rPr>
        <w:t xml:space="preserve">Jāatzīmē, ka lielākā daļa ūdenstilpju vai to daļu, kur sastopams signālvēzis, ir publiski pieejami (izņēmums ir Braslas upes posms zivjaudzētas “Brasla” teritorijā). Vēžošanas kontrole varētu būt visai komplicēta. </w:t>
      </w:r>
    </w:p>
    <w:p w14:paraId="7FDAC0EF" w14:textId="77777777" w:rsidR="00DA1B92" w:rsidRPr="00675182" w:rsidRDefault="00DA1B92" w:rsidP="00DA1B92">
      <w:pPr>
        <w:jc w:val="both"/>
        <w:rPr>
          <w:rFonts w:cstheme="minorHAnsi"/>
          <w:color w:val="FF0000"/>
        </w:rPr>
      </w:pPr>
    </w:p>
    <w:p w14:paraId="716F09F4" w14:textId="5169977E" w:rsidR="00DA1B92" w:rsidRPr="00675182" w:rsidRDefault="00DA1B92" w:rsidP="00DA1B92">
      <w:pPr>
        <w:jc w:val="both"/>
        <w:rPr>
          <w:rFonts w:cstheme="minorHAnsi"/>
        </w:rPr>
      </w:pPr>
      <w:r w:rsidRPr="00675182">
        <w:rPr>
          <w:rFonts w:cstheme="minorHAnsi"/>
        </w:rPr>
        <w:t xml:space="preserve">Pastāv arī nejaušas invazīvo vēžu izplatīšanas iespējas, piemēram, pārvadājot dzīvas dīķsaimniecībās audzētas zivis. </w:t>
      </w:r>
    </w:p>
    <w:p w14:paraId="4920D3FA" w14:textId="77777777" w:rsidR="00DA1B92" w:rsidRPr="00675182" w:rsidRDefault="00DA1B92" w:rsidP="00DA1B92">
      <w:pPr>
        <w:jc w:val="both"/>
        <w:rPr>
          <w:rFonts w:cstheme="minorHAnsi"/>
        </w:rPr>
      </w:pPr>
    </w:p>
    <w:p w14:paraId="4BDDD372" w14:textId="77777777" w:rsidR="00DA1B92" w:rsidRPr="00675182" w:rsidRDefault="00DA1B92" w:rsidP="00DA1B92">
      <w:pPr>
        <w:jc w:val="both"/>
        <w:rPr>
          <w:rFonts w:cstheme="minorHAnsi"/>
        </w:rPr>
      </w:pPr>
      <w:r w:rsidRPr="00675182">
        <w:rPr>
          <w:rFonts w:cstheme="minorHAnsi"/>
        </w:rPr>
        <w:t>Savukārt, dzeloņvaigu vēzis izplatās salīdzinoši ātri. Acīmredzot to nosaka sugas īpašības, ekoloģiska tolerance ir lielāka kā signālvēzim. Sugai nav komercvērtības (nav arī gastronomiskas vērtības, vēzis ir neliela izmēra, salīdzinot ar signālvēzi). Izplatīšanu acīmredzot veicina sabiedrības neinformētība un neizglītotība. No ekoloģiska riska viedokļa bīstamāks par signālvēzi.</w:t>
      </w:r>
    </w:p>
    <w:p w14:paraId="50118535" w14:textId="77777777" w:rsidR="00DA1B92" w:rsidRPr="00675182" w:rsidRDefault="00DA1B92" w:rsidP="00FA0EA1">
      <w:pPr>
        <w:jc w:val="both"/>
        <w:rPr>
          <w:rFonts w:eastAsiaTheme="minorHAnsi" w:cstheme="minorHAnsi"/>
          <w:sz w:val="22"/>
          <w:lang w:eastAsia="en-US"/>
        </w:rPr>
      </w:pPr>
    </w:p>
    <w:p w14:paraId="7036ADC0" w14:textId="28B24606" w:rsidR="009C64A8" w:rsidRPr="00675182" w:rsidRDefault="009C64A8" w:rsidP="00BE4990">
      <w:pPr>
        <w:keepNext/>
        <w:keepLines/>
        <w:jc w:val="both"/>
        <w:rPr>
          <w:rFonts w:cstheme="minorHAnsi"/>
          <w:bCs/>
          <w:i/>
          <w:iCs/>
          <w:szCs w:val="24"/>
          <w:u w:val="single"/>
        </w:rPr>
      </w:pPr>
      <w:bookmarkStart w:id="96" w:name="_Hlk98433351"/>
      <w:r w:rsidRPr="00675182">
        <w:rPr>
          <w:rFonts w:cstheme="minorHAnsi"/>
          <w:bCs/>
          <w:i/>
          <w:iCs/>
          <w:szCs w:val="24"/>
          <w:u w:val="single"/>
        </w:rPr>
        <w:t>Piesārņojums un eitrofikācija</w:t>
      </w:r>
    </w:p>
    <w:bookmarkEnd w:id="96"/>
    <w:p w14:paraId="7CB486AC" w14:textId="45EF5304" w:rsidR="009C64A8" w:rsidRPr="00675182" w:rsidRDefault="009C64A8" w:rsidP="00BE4990">
      <w:pPr>
        <w:keepNext/>
        <w:keepLines/>
        <w:jc w:val="both"/>
        <w:rPr>
          <w:rFonts w:cstheme="minorHAnsi"/>
          <w:szCs w:val="24"/>
        </w:rPr>
      </w:pPr>
      <w:r w:rsidRPr="00675182">
        <w:rPr>
          <w:rFonts w:cstheme="minorHAnsi"/>
          <w:szCs w:val="24"/>
        </w:rPr>
        <w:t>Tādas GNP sastopamas aizsargājamās zivju sugas kā lasis, taimiņš, alata un platspīļu vēzis pieder ekoloģiski jutīgām sugām, to populāciju pastāvēšan</w:t>
      </w:r>
      <w:r w:rsidR="004D4639" w:rsidRPr="00675182">
        <w:rPr>
          <w:rFonts w:cstheme="minorHAnsi"/>
          <w:szCs w:val="24"/>
        </w:rPr>
        <w:t>u</w:t>
      </w:r>
      <w:r w:rsidRPr="00675182">
        <w:rPr>
          <w:rFonts w:cstheme="minorHAnsi"/>
          <w:szCs w:val="24"/>
        </w:rPr>
        <w:t xml:space="preserve"> lielā mērā nosaka ūdens kvalitāte.</w:t>
      </w:r>
    </w:p>
    <w:p w14:paraId="6EA74A12" w14:textId="77777777" w:rsidR="00AA2138" w:rsidRPr="00675182" w:rsidRDefault="00AA2138" w:rsidP="009C64A8">
      <w:pPr>
        <w:jc w:val="both"/>
        <w:rPr>
          <w:rFonts w:cstheme="minorHAnsi"/>
          <w:szCs w:val="24"/>
        </w:rPr>
      </w:pPr>
    </w:p>
    <w:p w14:paraId="349F724A" w14:textId="77777777" w:rsidR="009C64A8" w:rsidRPr="00675182" w:rsidRDefault="009C64A8" w:rsidP="002D5449">
      <w:pPr>
        <w:keepNext/>
        <w:keepLines/>
        <w:jc w:val="both"/>
        <w:rPr>
          <w:rFonts w:cstheme="minorHAnsi"/>
          <w:bCs/>
          <w:i/>
          <w:iCs/>
          <w:szCs w:val="24"/>
          <w:u w:val="single"/>
        </w:rPr>
      </w:pPr>
      <w:bookmarkStart w:id="97" w:name="_Hlk98433522"/>
      <w:r w:rsidRPr="00675182">
        <w:rPr>
          <w:rFonts w:cstheme="minorHAnsi"/>
          <w:bCs/>
          <w:i/>
          <w:iCs/>
          <w:szCs w:val="24"/>
          <w:u w:val="single"/>
        </w:rPr>
        <w:t>Akvakultūra</w:t>
      </w:r>
    </w:p>
    <w:bookmarkEnd w:id="97"/>
    <w:p w14:paraId="7D7D3E64" w14:textId="0354EFD8" w:rsidR="00B37A67" w:rsidRPr="00675182" w:rsidRDefault="00B37A67" w:rsidP="00F1220C">
      <w:pPr>
        <w:pStyle w:val="ListParagraph"/>
        <w:ind w:left="0"/>
        <w:jc w:val="both"/>
        <w:rPr>
          <w:rFonts w:eastAsiaTheme="minorHAnsi" w:cstheme="minorHAnsi"/>
          <w:color w:val="000000"/>
          <w:lang w:eastAsia="en-US"/>
        </w:rPr>
      </w:pPr>
      <w:r w:rsidRPr="00675182">
        <w:rPr>
          <w:rFonts w:cstheme="minorHAnsi"/>
          <w:color w:val="000000"/>
        </w:rPr>
        <w:t xml:space="preserve">Pētījumos (Palme et al, 2012) līdz šim konstatēts, ka laša un taimiņa mazuļi Gaujas upes vidustecē un augštecē sastopami mazā skaitā, upes bioloģiskais potenciāls netiek </w:t>
      </w:r>
      <w:r w:rsidRPr="00675182">
        <w:rPr>
          <w:rFonts w:cstheme="minorHAnsi"/>
          <w:color w:val="000000"/>
        </w:rPr>
        <w:lastRenderedPageBreak/>
        <w:t>izmantots. Iespējams, ka viens no iemesliem ir līdzšinējā zivkopības prakse, kad ilgā laika periodā:</w:t>
      </w:r>
    </w:p>
    <w:p w14:paraId="48CF79C3" w14:textId="0E6EA308" w:rsidR="00B37A67" w:rsidRPr="00675182" w:rsidRDefault="00B37A67" w:rsidP="00A84218">
      <w:pPr>
        <w:pStyle w:val="ListParagraph"/>
        <w:numPr>
          <w:ilvl w:val="0"/>
          <w:numId w:val="37"/>
        </w:numPr>
        <w:suppressAutoHyphens w:val="0"/>
        <w:contextualSpacing/>
        <w:jc w:val="both"/>
        <w:rPr>
          <w:rFonts w:cstheme="minorHAnsi"/>
          <w:color w:val="000000"/>
        </w:rPr>
      </w:pPr>
      <w:r w:rsidRPr="00675182">
        <w:rPr>
          <w:rFonts w:cstheme="minorHAnsi"/>
          <w:color w:val="000000"/>
        </w:rPr>
        <w:t>izmantoti uz nārstu vēlu (oktobrī</w:t>
      </w:r>
      <w:r w:rsidR="00F1220C" w:rsidRPr="00675182">
        <w:rPr>
          <w:rFonts w:cstheme="minorHAnsi"/>
          <w:color w:val="000000"/>
        </w:rPr>
        <w:t xml:space="preserve"> –</w:t>
      </w:r>
      <w:r w:rsidRPr="00675182">
        <w:rPr>
          <w:rFonts w:cstheme="minorHAnsi"/>
          <w:color w:val="000000"/>
        </w:rPr>
        <w:t xml:space="preserve"> novembrī) migrējoši vaislinieki;</w:t>
      </w:r>
    </w:p>
    <w:p w14:paraId="5A7F1C5C" w14:textId="6F5ECDFD" w:rsidR="00B37A67" w:rsidRPr="00675182" w:rsidRDefault="00B37A67" w:rsidP="00A84218">
      <w:pPr>
        <w:pStyle w:val="ListParagraph"/>
        <w:numPr>
          <w:ilvl w:val="0"/>
          <w:numId w:val="37"/>
        </w:numPr>
        <w:suppressAutoHyphens w:val="0"/>
        <w:contextualSpacing/>
        <w:jc w:val="both"/>
        <w:rPr>
          <w:rFonts w:cstheme="minorHAnsi"/>
          <w:bCs/>
          <w:iCs/>
          <w:u w:val="single"/>
        </w:rPr>
      </w:pPr>
      <w:r w:rsidRPr="00675182">
        <w:rPr>
          <w:rFonts w:cstheme="minorHAnsi"/>
          <w:color w:val="000000"/>
        </w:rPr>
        <w:t>vaislinieku zveja ilglaicīgi tikusi veikta Gaujas grīvā Rīgas jūras līča piekrastē, kur migrē jaukti laša (Gaujas un Daugavas populāciju) un taimiņa (Gaujas, Daugavas, Rīgas jūras līča mazo upju populāciju) bari. Pēc skaita šajā zvejas rajonā vēsturiski vienmēr dominējis Daugavas lašu bars</w:t>
      </w:r>
      <w:r w:rsidR="00ED539D">
        <w:rPr>
          <w:rFonts w:cstheme="minorHAnsi"/>
          <w:color w:val="000000"/>
        </w:rPr>
        <w:t>;</w:t>
      </w:r>
    </w:p>
    <w:p w14:paraId="596FCC30" w14:textId="77777777" w:rsidR="00B37A67" w:rsidRPr="00675182" w:rsidRDefault="00B37A67" w:rsidP="00A84218">
      <w:pPr>
        <w:pStyle w:val="ListParagraph"/>
        <w:numPr>
          <w:ilvl w:val="0"/>
          <w:numId w:val="37"/>
        </w:numPr>
        <w:suppressAutoHyphens w:val="0"/>
        <w:contextualSpacing/>
        <w:jc w:val="both"/>
        <w:rPr>
          <w:rFonts w:cstheme="minorHAnsi"/>
          <w:bCs/>
          <w:iCs/>
          <w:u w:val="single"/>
        </w:rPr>
      </w:pPr>
      <w:r w:rsidRPr="00675182">
        <w:rPr>
          <w:rFonts w:cstheme="minorHAnsi"/>
          <w:color w:val="000000"/>
        </w:rPr>
        <w:t xml:space="preserve">zivsaimnieciskajā praksē laša un taimiņa vaislinieku baru sajaukšana tikusi veikta vēl salīdzinoši nesen 1990. – 2000. gados. </w:t>
      </w:r>
    </w:p>
    <w:p w14:paraId="1E9DF47E" w14:textId="77777777" w:rsidR="00F1220C" w:rsidRPr="00675182" w:rsidRDefault="00F1220C" w:rsidP="00F1220C">
      <w:pPr>
        <w:jc w:val="both"/>
        <w:rPr>
          <w:rFonts w:cstheme="minorHAnsi"/>
          <w:szCs w:val="24"/>
        </w:rPr>
      </w:pPr>
    </w:p>
    <w:p w14:paraId="30F93451" w14:textId="3C413A9D" w:rsidR="00B37A67" w:rsidRPr="00675182" w:rsidRDefault="00B37A67" w:rsidP="00F1220C">
      <w:pPr>
        <w:jc w:val="both"/>
        <w:rPr>
          <w:rFonts w:cstheme="minorHAnsi"/>
          <w:szCs w:val="24"/>
        </w:rPr>
      </w:pPr>
      <w:r w:rsidRPr="00675182">
        <w:rPr>
          <w:rFonts w:cstheme="minorHAnsi"/>
          <w:szCs w:val="24"/>
        </w:rPr>
        <w:t xml:space="preserve">Akvakultūras ietekme uz sugām, kas tiek audzētas un ielaistas zivju resursu papildināšanai, ietekmē to populāciju ģenētisko struktūru (Pame et al, 2012). Piemēram, upēs, kur ilggadīgi tiek ielaisti audzētavas izcelsmes laši, būtiski samazinās agri uz nārstu (jūnijā) migrējošo pieaugušo zivju skaits, jo audzēšanā tiek izmantoti vēlu uz nārstu migrējošie (oktobrī – novembrī) laša vaislinieki. </w:t>
      </w:r>
    </w:p>
    <w:p w14:paraId="2D727785" w14:textId="77777777" w:rsidR="00F1220C" w:rsidRPr="00675182" w:rsidRDefault="00F1220C" w:rsidP="00F1220C">
      <w:pPr>
        <w:jc w:val="both"/>
        <w:rPr>
          <w:rFonts w:cstheme="minorHAnsi"/>
          <w:szCs w:val="24"/>
        </w:rPr>
      </w:pPr>
    </w:p>
    <w:p w14:paraId="6358C9F6" w14:textId="510304EB" w:rsidR="00B37A67" w:rsidRPr="00675182" w:rsidRDefault="00B37A67" w:rsidP="00F1220C">
      <w:pPr>
        <w:jc w:val="both"/>
        <w:rPr>
          <w:rFonts w:cstheme="minorHAnsi"/>
        </w:rPr>
      </w:pPr>
      <w:r w:rsidRPr="00675182">
        <w:rPr>
          <w:rFonts w:cstheme="minorHAnsi"/>
        </w:rPr>
        <w:t xml:space="preserve">Par iespējamu vēlu uz nārstu migrējošu laša un taimiņa populāciju izveidi selekcijas rezultātā liecina fakts, ka vēl 1980. gados ievērojamu daļu no laša un taimiņa nozvejas Rīgas jūras līča piekrastē veidoja maija beigās un jūnijā noķertie laši un taimiņi. Mūsdienās šo zivju skaits ir neliels. Tas acīmredzot liecina par izmaiņām laša un taimiņa populāciju ģenētiskajā struktūrā Latvijas upēs, jo līdzīga zivsaimnieciskā prakse tikusi un tiek realizēta arī citās Latvijas zivjaudzētavās. Uz nārstu agri migrējošo zivju skaits samazinājies arī Ventā. Savukārt, pēc </w:t>
      </w:r>
      <w:r w:rsidR="00F1220C" w:rsidRPr="00675182">
        <w:rPr>
          <w:rFonts w:cstheme="minorHAnsi"/>
        </w:rPr>
        <w:t>zivjaudzētas</w:t>
      </w:r>
      <w:r w:rsidRPr="00675182">
        <w:rPr>
          <w:rFonts w:cstheme="minorHAnsi"/>
        </w:rPr>
        <w:t xml:space="preserve"> “Salaca” slēgšanas, novērojama laša dabiskās populācijas stāvokļa uzlabošanās šajā upē.</w:t>
      </w:r>
    </w:p>
    <w:p w14:paraId="4DADC3F8" w14:textId="77777777" w:rsidR="00F1220C" w:rsidRPr="00675182" w:rsidRDefault="00F1220C" w:rsidP="00F1220C">
      <w:pPr>
        <w:jc w:val="both"/>
        <w:rPr>
          <w:rFonts w:cstheme="minorHAnsi"/>
        </w:rPr>
      </w:pPr>
    </w:p>
    <w:p w14:paraId="6048C798" w14:textId="7BE089ED" w:rsidR="00B37A67" w:rsidRPr="00675182" w:rsidRDefault="00B37A67" w:rsidP="00B37A67">
      <w:pPr>
        <w:jc w:val="both"/>
        <w:rPr>
          <w:rFonts w:cstheme="minorHAnsi"/>
          <w:color w:val="000000"/>
        </w:rPr>
      </w:pPr>
      <w:r w:rsidRPr="00675182">
        <w:rPr>
          <w:rFonts w:cstheme="minorHAnsi"/>
          <w:color w:val="000000"/>
        </w:rPr>
        <w:t>Pašlaik minēto sugu vaislinieku zveja tiek veikta Gaujā, kas uzskatāma par bioloģiski pamatotu risinājumu un samazina dažādu upju izcelsmes lašu un taimiņu sajaukšanas iespēju to mazuļu audzēšanas procesā. Taču, spriežot pēc publiski pieejamās informācijas, var konstatēt, ka pastāv zināmas problēmas.</w:t>
      </w:r>
    </w:p>
    <w:p w14:paraId="70185224" w14:textId="77777777" w:rsidR="00F1220C" w:rsidRPr="00675182" w:rsidRDefault="00F1220C" w:rsidP="00B37A67">
      <w:pPr>
        <w:jc w:val="both"/>
        <w:rPr>
          <w:rFonts w:cstheme="minorHAnsi"/>
          <w:color w:val="000000"/>
        </w:rPr>
      </w:pPr>
    </w:p>
    <w:p w14:paraId="631DFB44" w14:textId="3A7D5FC8" w:rsidR="00B37A67" w:rsidRPr="00675182" w:rsidRDefault="00B37A67" w:rsidP="00B37A67">
      <w:pPr>
        <w:jc w:val="both"/>
        <w:rPr>
          <w:rFonts w:cstheme="minorHAnsi"/>
        </w:rPr>
      </w:pPr>
      <w:r w:rsidRPr="00675182">
        <w:rPr>
          <w:rFonts w:cstheme="minorHAnsi"/>
          <w:color w:val="000000"/>
        </w:rPr>
        <w:t xml:space="preserve">Saskaņā ar institūta </w:t>
      </w:r>
      <w:bookmarkStart w:id="98" w:name="_Hlk98152312"/>
      <w:r w:rsidRPr="00675182">
        <w:rPr>
          <w:rFonts w:cstheme="minorHAnsi"/>
          <w:color w:val="000000"/>
        </w:rPr>
        <w:t>BIOR Pārskatu par Zivju resursu mākslīgās atražošanas plāna 2017. - 2020. gadam īstenošanu</w:t>
      </w:r>
      <w:bookmarkEnd w:id="98"/>
      <w:r w:rsidRPr="00675182">
        <w:rPr>
          <w:rFonts w:cstheme="minorHAnsi"/>
          <w:color w:val="000000"/>
        </w:rPr>
        <w:t>, laša un taimiņa bioloģisko analīžu rezultāti liecina, ka 54 – 86% no upē nozvejotajiem laša un 29% - 67% (bet Braslā līdz pat 100 %) taimiņa vaisliniekiem bija audzētavu izcelsmes zivis. Jāpievērš uzmanība faktam, ka tikai daļa no audzētavu izlaistajiem laša un taimiņa smoltiem ir pilnībā smoltificējušās zivis (</w:t>
      </w:r>
      <w:r w:rsidR="00F1220C" w:rsidRPr="00675182">
        <w:rPr>
          <w:rFonts w:cstheme="minorHAnsi"/>
          <w:color w:val="000000"/>
        </w:rPr>
        <w:t>p</w:t>
      </w:r>
      <w:r w:rsidRPr="00675182">
        <w:rPr>
          <w:rFonts w:cstheme="minorHAnsi"/>
          <w:color w:val="000000"/>
        </w:rPr>
        <w:t xml:space="preserve">ārskatā minēti 27 – 78%). Nesmoltificējušās zivis ticamāk nemigrēs uz jūru to ielaišanas gadā, daļa no tām ies bojā, bet daļa var ieņemt dabiskajiem mazuļiem piemērotus biotopus, konkurējot ar tiem par dzīves telpu un barību, kas nebūtu vēlams. Nesmoltificējušos laša un taimiņa mazuļu ielaišana samazina tās efektivitāti. Netieši par to liecina zvejas dati. Saskaņā ar ICES WGBAST darba grupas materiāliem, laša nozveja Latvijas piekrastes ūdeņos ir būtiski samazinājusies no 1990. gadiem, bet taimiņa, pieaugot ielaisto audzētas mazuļu daudzumam, </w:t>
      </w:r>
      <w:r w:rsidR="00C26896" w:rsidRPr="00675182">
        <w:rPr>
          <w:rFonts w:cstheme="minorHAnsi"/>
          <w:color w:val="000000"/>
        </w:rPr>
        <w:t>nav būtiski mainījusies (</w:t>
      </w:r>
      <w:r w:rsidRPr="00675182">
        <w:rPr>
          <w:rFonts w:cstheme="minorHAnsi"/>
          <w:color w:val="000000"/>
        </w:rPr>
        <w:t>5 – 20 t</w:t>
      </w:r>
      <w:r w:rsidR="00C26896" w:rsidRPr="00675182">
        <w:rPr>
          <w:rFonts w:cstheme="minorHAnsi"/>
          <w:color w:val="000000"/>
        </w:rPr>
        <w:t>)</w:t>
      </w:r>
      <w:r w:rsidRPr="00675182">
        <w:rPr>
          <w:rFonts w:cstheme="minorHAnsi"/>
          <w:color w:val="000000"/>
        </w:rPr>
        <w:t xml:space="preserve">. </w:t>
      </w:r>
      <w:r w:rsidRPr="00675182">
        <w:rPr>
          <w:rFonts w:cstheme="minorHAnsi"/>
        </w:rPr>
        <w:t xml:space="preserve">Jāatzīst, ka laša un taimiņa ielaišana pašlaik ir ar nelielu zivsaimniecisku efektivitāti vai pat bez tās. </w:t>
      </w:r>
    </w:p>
    <w:p w14:paraId="71D44F10" w14:textId="77777777" w:rsidR="00C26896" w:rsidRPr="00675182" w:rsidRDefault="00C26896" w:rsidP="00B37A67">
      <w:pPr>
        <w:jc w:val="both"/>
        <w:rPr>
          <w:rFonts w:cstheme="minorHAnsi"/>
        </w:rPr>
      </w:pPr>
    </w:p>
    <w:p w14:paraId="080F290F" w14:textId="08133CE9" w:rsidR="00B37A67" w:rsidRPr="00675182" w:rsidRDefault="00B37A67" w:rsidP="00B37A67">
      <w:pPr>
        <w:jc w:val="both"/>
        <w:rPr>
          <w:rFonts w:cstheme="minorHAnsi"/>
        </w:rPr>
      </w:pPr>
      <w:r w:rsidRPr="00675182">
        <w:rPr>
          <w:rFonts w:cstheme="minorHAnsi"/>
          <w:szCs w:val="24"/>
        </w:rPr>
        <w:t xml:space="preserve">Baltijas jūras baseina upēs iespējama audzētavu laša ielaišanas upēs ierobežošana, ko noteiks ES līmeņa pasākumi, kuru mērķis ir Baltijas laša ģenētiskās daudzveidības un </w:t>
      </w:r>
      <w:r w:rsidRPr="00675182">
        <w:rPr>
          <w:rFonts w:cstheme="minorHAnsi"/>
          <w:szCs w:val="24"/>
        </w:rPr>
        <w:lastRenderedPageBreak/>
        <w:t>integritātes aizsardzības un saglabāšanas pasākumi (Palme</w:t>
      </w:r>
      <w:r w:rsidR="005A58B0" w:rsidRPr="00675182">
        <w:rPr>
          <w:rFonts w:cstheme="minorHAnsi"/>
          <w:szCs w:val="24"/>
        </w:rPr>
        <w:t xml:space="preserve"> et al</w:t>
      </w:r>
      <w:r w:rsidRPr="00675182">
        <w:rPr>
          <w:rFonts w:cstheme="minorHAnsi"/>
          <w:szCs w:val="24"/>
        </w:rPr>
        <w:t>, 2012).</w:t>
      </w:r>
      <w:r w:rsidR="005A58B0" w:rsidRPr="00675182">
        <w:rPr>
          <w:rFonts w:cstheme="minorHAnsi"/>
          <w:szCs w:val="24"/>
        </w:rPr>
        <w:t xml:space="preserve"> </w:t>
      </w:r>
      <w:r w:rsidRPr="00675182">
        <w:rPr>
          <w:rFonts w:cstheme="minorHAnsi"/>
          <w:color w:val="000000"/>
        </w:rPr>
        <w:t>Tāpēc, turpinot esošo zivsaimniecisko praksi, t.i., saglabājot audzētavu izcelsmes laša un taimiņa mazuļu audzēšanu un ielaišanu, vienlaicīgi jāveic to populāciju dabiskās komponentes aizsardzības un saglabāšanas pasākum</w:t>
      </w:r>
      <w:r w:rsidR="00B05EC9" w:rsidRPr="00675182">
        <w:rPr>
          <w:rFonts w:cstheme="minorHAnsi"/>
          <w:color w:val="000000"/>
        </w:rPr>
        <w:t>i</w:t>
      </w:r>
      <w:r w:rsidR="0075720E" w:rsidRPr="00675182">
        <w:rPr>
          <w:rFonts w:cstheme="minorHAnsi"/>
          <w:color w:val="000000"/>
        </w:rPr>
        <w:t xml:space="preserve">. </w:t>
      </w:r>
      <w:r w:rsidRPr="00675182">
        <w:rPr>
          <w:rFonts w:cstheme="minorHAnsi"/>
          <w:color w:val="000000"/>
        </w:rPr>
        <w:t xml:space="preserve">Visvienkāršāk būtu audzētavu vajadzībām neizmantot dabiskas izcelsmes laša un taimiņa vaisliniekus. Ņemot vērā, ka to zvejā tiek izmantoti murdi, zivis ar tauksuprām (dabiskās) iespējams atlaist. Jāņem vērā, ka dabisko populāciju atjaunošanai un uzturēšanai zivjaudzētavu atbalsts ir nepieciešams. Tādā gadījumā dabiskas izcelsmes laša un taimiņa mātītes un tēviņi zivkopības procesā no ikru apaugļošanas līdz mazuļu un/vai smoltu ielaišanai izmantojami un turami atsevišķi no audzētavu izcelsmes zivīm. Audzētavas zivis, kur vecāki bijuši dabiskas izcelsmes, dotu iespēju palielināt Gaujas baseina upju laša un taimiņa populāciju “dabiskumu”, tās nebūtu tikušas pakļautas audzētavu ietekmei daudzās paaudzēs. Jānodrošina iespēja šīs zivis atšķirt kā no dabiskajām, tā audzētavu zivīm arī vēlāk, kad tās atgriezīsies uz nārstu Gaujas baseina upēs, t.i., jāizmanto kāda cita, ne pašlaik lietotā iezīmēšanas metode. </w:t>
      </w:r>
      <w:r w:rsidRPr="00675182">
        <w:rPr>
          <w:rFonts w:cstheme="minorHAnsi"/>
        </w:rPr>
        <w:t>Tomēr vienkāršāk, kā minēts iepriekš, būtu atteikties no dabiskas izcelsmes laša un taimiņa vaislinieku izmantošanas zivkopībā Gaujā. Dabiskas izcelsmes laša un taimiņa vaislinieku izmantošana resursu papildināšanai varētu tikt pētīta eksperimentāli, ievērojot iepriekšminēto.</w:t>
      </w:r>
    </w:p>
    <w:p w14:paraId="643D7685" w14:textId="77777777" w:rsidR="0075720E" w:rsidRPr="00675182" w:rsidRDefault="0075720E" w:rsidP="00B37A67">
      <w:pPr>
        <w:jc w:val="both"/>
        <w:rPr>
          <w:rFonts w:cstheme="minorHAnsi"/>
          <w:szCs w:val="24"/>
        </w:rPr>
      </w:pPr>
    </w:p>
    <w:p w14:paraId="48A6D7DA" w14:textId="0A0C9B77" w:rsidR="00B37A67" w:rsidRPr="00675182" w:rsidRDefault="0075720E" w:rsidP="00B37A67">
      <w:pPr>
        <w:jc w:val="both"/>
        <w:rPr>
          <w:rFonts w:cstheme="minorHAnsi"/>
          <w:szCs w:val="24"/>
        </w:rPr>
      </w:pPr>
      <w:r w:rsidRPr="00675182">
        <w:rPr>
          <w:rFonts w:cstheme="minorHAnsi"/>
        </w:rPr>
        <w:t>V</w:t>
      </w:r>
      <w:r w:rsidR="00B37A67" w:rsidRPr="00675182">
        <w:rPr>
          <w:rFonts w:cstheme="minorHAnsi"/>
        </w:rPr>
        <w:t xml:space="preserve">eicot laša mazuļu un smoltu audzēšanu un smoltu ielaišanu Gaujā un tās pietekās GNP teritorijā, kas ir arī laša un taimiņa dabiskās atražošanās apgabals, </w:t>
      </w:r>
      <w:r w:rsidR="00B37A67" w:rsidRPr="00675182">
        <w:rPr>
          <w:rFonts w:cstheme="minorHAnsi"/>
          <w:szCs w:val="24"/>
        </w:rPr>
        <w:t>jāievēro piesardzības principi:</w:t>
      </w:r>
    </w:p>
    <w:p w14:paraId="43B390E6" w14:textId="77777777" w:rsidR="00B37A67" w:rsidRPr="00675182" w:rsidRDefault="00B37A67" w:rsidP="00A84218">
      <w:pPr>
        <w:pStyle w:val="ListParagraph"/>
        <w:numPr>
          <w:ilvl w:val="0"/>
          <w:numId w:val="38"/>
        </w:numPr>
        <w:suppressAutoHyphens w:val="0"/>
        <w:contextualSpacing/>
        <w:jc w:val="both"/>
        <w:rPr>
          <w:rFonts w:cstheme="minorHAnsi"/>
          <w:szCs w:val="24"/>
        </w:rPr>
      </w:pPr>
      <w:r w:rsidRPr="00675182">
        <w:rPr>
          <w:rFonts w:cstheme="minorHAnsi"/>
        </w:rPr>
        <w:t>jāizmanto iespējami lielāks vaislinieku skaits;</w:t>
      </w:r>
    </w:p>
    <w:p w14:paraId="5ACAA510" w14:textId="77777777" w:rsidR="00B37A67" w:rsidRPr="00675182" w:rsidRDefault="00B37A67" w:rsidP="00A84218">
      <w:pPr>
        <w:pStyle w:val="ListParagraph"/>
        <w:numPr>
          <w:ilvl w:val="0"/>
          <w:numId w:val="38"/>
        </w:numPr>
        <w:suppressAutoHyphens w:val="0"/>
        <w:contextualSpacing/>
        <w:jc w:val="both"/>
        <w:rPr>
          <w:rFonts w:cstheme="minorHAnsi"/>
        </w:rPr>
      </w:pPr>
      <w:r w:rsidRPr="00675182">
        <w:rPr>
          <w:rFonts w:cstheme="minorHAnsi"/>
        </w:rPr>
        <w:t>jāizmanto iespējami dažādu vecuma grupu vaislinieki;</w:t>
      </w:r>
    </w:p>
    <w:p w14:paraId="2B2B4B07" w14:textId="77777777" w:rsidR="00B37A67" w:rsidRPr="00675182" w:rsidRDefault="00B37A67" w:rsidP="00A84218">
      <w:pPr>
        <w:pStyle w:val="ListParagraph"/>
        <w:numPr>
          <w:ilvl w:val="0"/>
          <w:numId w:val="38"/>
        </w:numPr>
        <w:suppressAutoHyphens w:val="0"/>
        <w:contextualSpacing/>
        <w:jc w:val="both"/>
        <w:rPr>
          <w:rFonts w:cstheme="minorHAnsi"/>
        </w:rPr>
      </w:pPr>
      <w:r w:rsidRPr="00675182">
        <w:rPr>
          <w:rFonts w:cstheme="minorHAnsi"/>
        </w:rPr>
        <w:t>audzētavas vajadzībām nebūtu jāizmanto dabiskas izcelsmes zivis vai to izmantošana jāpamato ar speciālu ilggadīgu pētniecības proghrammu;</w:t>
      </w:r>
    </w:p>
    <w:p w14:paraId="36EA1AD1" w14:textId="77777777" w:rsidR="00B37A67" w:rsidRPr="00675182" w:rsidRDefault="00B37A67" w:rsidP="00A84218">
      <w:pPr>
        <w:pStyle w:val="ListParagraph"/>
        <w:numPr>
          <w:ilvl w:val="0"/>
          <w:numId w:val="38"/>
        </w:numPr>
        <w:suppressAutoHyphens w:val="0"/>
        <w:contextualSpacing/>
        <w:jc w:val="both"/>
        <w:rPr>
          <w:rFonts w:cstheme="minorHAnsi"/>
        </w:rPr>
      </w:pPr>
      <w:r w:rsidRPr="00675182">
        <w:rPr>
          <w:rFonts w:cstheme="minorHAnsi"/>
        </w:rPr>
        <w:t>nav rekomendējama nesmoltificējušos laša un taimiņa mazuļu ielaišana upē dabīgo mazuļu uzturēšanās vietās. Tas veicams Gaujas augštecē, ārpus GNP teritorijas, kas ir būtiskākā laša un taimiņa dabiskās atražošanās teritorija Gaujas baseinā pašlaik;</w:t>
      </w:r>
    </w:p>
    <w:p w14:paraId="4E13A482" w14:textId="77777777" w:rsidR="00B37A67" w:rsidRPr="00675182" w:rsidRDefault="00B37A67" w:rsidP="00A84218">
      <w:pPr>
        <w:pStyle w:val="ListParagraph"/>
        <w:numPr>
          <w:ilvl w:val="0"/>
          <w:numId w:val="38"/>
        </w:numPr>
        <w:suppressAutoHyphens w:val="0"/>
        <w:contextualSpacing/>
        <w:jc w:val="both"/>
        <w:rPr>
          <w:rFonts w:cstheme="minorHAnsi"/>
        </w:rPr>
      </w:pPr>
      <w:r w:rsidRPr="00675182">
        <w:rPr>
          <w:rFonts w:cstheme="minorHAnsi"/>
        </w:rPr>
        <w:t>ja iespējams, jāatsāk arī divgadīgu laša smoltu audzēšana.</w:t>
      </w:r>
    </w:p>
    <w:p w14:paraId="59BD7761" w14:textId="77777777" w:rsidR="00AA2138" w:rsidRPr="00675182" w:rsidRDefault="00AA2138" w:rsidP="009C64A8">
      <w:pPr>
        <w:jc w:val="both"/>
        <w:rPr>
          <w:rFonts w:cstheme="minorHAnsi"/>
          <w:szCs w:val="24"/>
        </w:rPr>
      </w:pPr>
    </w:p>
    <w:p w14:paraId="62406670" w14:textId="1733FA2D" w:rsidR="009C64A8" w:rsidRPr="00675182" w:rsidRDefault="009C64A8" w:rsidP="009C64A8">
      <w:pPr>
        <w:jc w:val="both"/>
        <w:rPr>
          <w:rFonts w:cstheme="minorHAnsi"/>
          <w:bCs/>
          <w:i/>
          <w:iCs/>
          <w:szCs w:val="24"/>
          <w:u w:val="single"/>
        </w:rPr>
      </w:pPr>
      <w:r w:rsidRPr="00675182">
        <w:rPr>
          <w:rFonts w:cstheme="minorHAnsi"/>
          <w:bCs/>
          <w:i/>
          <w:iCs/>
          <w:szCs w:val="24"/>
          <w:u w:val="single"/>
        </w:rPr>
        <w:t>Klimata izmaiņu ietekme</w:t>
      </w:r>
    </w:p>
    <w:p w14:paraId="5BA6C6C7" w14:textId="5919AE97" w:rsidR="009C64A8" w:rsidRPr="00675182" w:rsidRDefault="009C64A8" w:rsidP="009C64A8">
      <w:pPr>
        <w:jc w:val="both"/>
        <w:rPr>
          <w:rFonts w:cstheme="minorHAnsi"/>
          <w:szCs w:val="24"/>
        </w:rPr>
      </w:pPr>
      <w:r w:rsidRPr="00675182">
        <w:rPr>
          <w:rFonts w:cstheme="minorHAnsi"/>
          <w:szCs w:val="24"/>
        </w:rPr>
        <w:t xml:space="preserve">Tiek prognozēts, ka klimata izmaiņu ietekmē mērenajā klimata joslā varētu mainīties zivju dzīves apstākļi, tiem uzlabojoties siltūdens, bet pasliktinoties aukstūdens sugām (Palmer et al, 2009). Latvijā Salacas upē novērojamas izmaiņas laša un taimiņa mazuļu un smoltu vecuma struktūrā, augšanā un migrācijas uz jūru termiņos. Taču šis izmaiņas nav būtiski samazinājušas to īpatņu skaitu populācijā (Birzaks, 2020). </w:t>
      </w:r>
    </w:p>
    <w:p w14:paraId="090CDB9A" w14:textId="77777777" w:rsidR="00A16D04" w:rsidRPr="00675182" w:rsidRDefault="00A16D04" w:rsidP="009C64A8">
      <w:pPr>
        <w:jc w:val="both"/>
        <w:rPr>
          <w:rFonts w:cstheme="minorHAnsi"/>
          <w:szCs w:val="24"/>
        </w:rPr>
      </w:pPr>
    </w:p>
    <w:p w14:paraId="2824B64F" w14:textId="2D32E4D9" w:rsidR="009C64A8" w:rsidRPr="00675182" w:rsidRDefault="009C64A8" w:rsidP="009C64A8">
      <w:pPr>
        <w:jc w:val="both"/>
        <w:rPr>
          <w:rFonts w:cstheme="minorHAnsi"/>
          <w:szCs w:val="24"/>
        </w:rPr>
      </w:pPr>
      <w:r w:rsidRPr="00675182">
        <w:rPr>
          <w:rFonts w:cstheme="minorHAnsi"/>
          <w:szCs w:val="24"/>
        </w:rPr>
        <w:t>Novērojama aukstūdens sugas platgalves īpatņu relatīvā skaita samazināšanās gan Latvijā kopumā, gan Gaujas baseina upēs</w:t>
      </w:r>
      <w:r w:rsidR="00A16D04" w:rsidRPr="00675182">
        <w:rPr>
          <w:rFonts w:cstheme="minorHAnsi"/>
          <w:szCs w:val="24"/>
        </w:rPr>
        <w:t>.</w:t>
      </w:r>
      <w:r w:rsidR="001B27A8" w:rsidRPr="00675182">
        <w:rPr>
          <w:rFonts w:cstheme="minorHAnsi"/>
          <w:szCs w:val="24"/>
        </w:rPr>
        <w:t xml:space="preserve"> Līdzīgas izmaiņas var prognozēt arī citās upēs, tai skaitā Gaujā un tās pietekās GNP teritorijā. </w:t>
      </w:r>
    </w:p>
    <w:p w14:paraId="7315D3CB" w14:textId="77777777" w:rsidR="00A16D04" w:rsidRPr="00675182" w:rsidRDefault="00A16D04" w:rsidP="009C64A8">
      <w:pPr>
        <w:jc w:val="both"/>
        <w:rPr>
          <w:rFonts w:cstheme="minorHAnsi"/>
          <w:b/>
          <w:szCs w:val="24"/>
        </w:rPr>
      </w:pPr>
    </w:p>
    <w:p w14:paraId="2372AB66" w14:textId="40114F23" w:rsidR="009C64A8" w:rsidRPr="00675182" w:rsidRDefault="009C64A8" w:rsidP="00CD2781">
      <w:pPr>
        <w:keepNext/>
        <w:keepLines/>
        <w:jc w:val="both"/>
        <w:rPr>
          <w:rFonts w:cstheme="minorHAnsi"/>
          <w:bCs/>
          <w:i/>
          <w:iCs/>
          <w:szCs w:val="24"/>
          <w:u w:val="single"/>
        </w:rPr>
      </w:pPr>
      <w:r w:rsidRPr="00675182">
        <w:rPr>
          <w:rFonts w:cstheme="minorHAnsi"/>
          <w:bCs/>
          <w:i/>
          <w:iCs/>
          <w:szCs w:val="24"/>
          <w:u w:val="single"/>
        </w:rPr>
        <w:lastRenderedPageBreak/>
        <w:t>Citi ietekmes faktori</w:t>
      </w:r>
    </w:p>
    <w:p w14:paraId="01263276" w14:textId="0D417C62" w:rsidR="009C64A8" w:rsidRPr="00675182" w:rsidRDefault="009C64A8" w:rsidP="00CD2781">
      <w:pPr>
        <w:keepNext/>
        <w:keepLines/>
        <w:jc w:val="both"/>
        <w:rPr>
          <w:rFonts w:cstheme="minorHAnsi"/>
          <w:szCs w:val="24"/>
        </w:rPr>
      </w:pPr>
      <w:r w:rsidRPr="00675182">
        <w:rPr>
          <w:rFonts w:cstheme="minorHAnsi"/>
          <w:szCs w:val="24"/>
        </w:rPr>
        <w:t xml:space="preserve">Novērojamas izmaiņas upes nēģa populācijā Gaujas baseinā. Laikā pēc Rīgas HES nodošanas ekspluatācijā 1974. gadā, nēģa nozveja Gaujā samazinājusies vairāk </w:t>
      </w:r>
      <w:r w:rsidR="00A16D04" w:rsidRPr="00675182">
        <w:rPr>
          <w:rFonts w:cstheme="minorHAnsi"/>
          <w:szCs w:val="24"/>
        </w:rPr>
        <w:t>nekā</w:t>
      </w:r>
      <w:r w:rsidRPr="00675182">
        <w:rPr>
          <w:rFonts w:cstheme="minorHAnsi"/>
          <w:szCs w:val="24"/>
        </w:rPr>
        <w:t xml:space="preserve"> divas reizes</w:t>
      </w:r>
      <w:r w:rsidR="00A16D04" w:rsidRPr="00675182">
        <w:rPr>
          <w:rFonts w:cstheme="minorHAnsi"/>
          <w:szCs w:val="24"/>
        </w:rPr>
        <w:t>, s</w:t>
      </w:r>
      <w:r w:rsidRPr="00675182">
        <w:rPr>
          <w:rFonts w:cstheme="minorHAnsi"/>
          <w:szCs w:val="24"/>
        </w:rPr>
        <w:t>avukārt Daugavā tā ir pieaugusi.</w:t>
      </w:r>
    </w:p>
    <w:p w14:paraId="4BBF891A" w14:textId="77777777" w:rsidR="00A16D04" w:rsidRPr="00675182" w:rsidRDefault="00A16D04" w:rsidP="009C64A8">
      <w:pPr>
        <w:jc w:val="both"/>
        <w:rPr>
          <w:rFonts w:cstheme="minorHAnsi"/>
          <w:szCs w:val="24"/>
        </w:rPr>
      </w:pPr>
    </w:p>
    <w:p w14:paraId="316A9A81" w14:textId="32C5D3D5" w:rsidR="009C64A8" w:rsidRPr="00675182" w:rsidRDefault="009C64A8" w:rsidP="009C64A8">
      <w:pPr>
        <w:jc w:val="both"/>
        <w:rPr>
          <w:rFonts w:cstheme="minorHAnsi"/>
          <w:szCs w:val="24"/>
        </w:rPr>
      </w:pPr>
      <w:r w:rsidRPr="00675182">
        <w:rPr>
          <w:rFonts w:cstheme="minorHAnsi"/>
          <w:szCs w:val="24"/>
        </w:rPr>
        <w:t xml:space="preserve">Upes nēģa migrāciju upēs lielā mērā nosaka hidroloģiskie apstākļi </w:t>
      </w:r>
      <w:r w:rsidR="00A16D04" w:rsidRPr="00675182">
        <w:rPr>
          <w:rFonts w:cstheme="minorHAnsi"/>
          <w:szCs w:val="24"/>
        </w:rPr>
        <w:t>–</w:t>
      </w:r>
      <w:r w:rsidRPr="00675182">
        <w:rPr>
          <w:rFonts w:cstheme="minorHAnsi"/>
          <w:szCs w:val="24"/>
        </w:rPr>
        <w:t xml:space="preserve"> </w:t>
      </w:r>
      <w:r w:rsidR="00A16D04" w:rsidRPr="00675182">
        <w:rPr>
          <w:rFonts w:cstheme="minorHAnsi"/>
          <w:szCs w:val="24"/>
        </w:rPr>
        <w:t xml:space="preserve">galvenokārt </w:t>
      </w:r>
      <w:r w:rsidRPr="00675182">
        <w:rPr>
          <w:rFonts w:cstheme="minorHAnsi"/>
          <w:szCs w:val="24"/>
        </w:rPr>
        <w:t>upes caurplūdums. Upēs ar dabisku hidroloģisko režīmu upes caurteces pieaugumu nosaka dabiski faktori, bet Daugavā</w:t>
      </w:r>
      <w:r w:rsidR="00A16D04" w:rsidRPr="00675182">
        <w:rPr>
          <w:rFonts w:cstheme="minorHAnsi"/>
          <w:szCs w:val="24"/>
        </w:rPr>
        <w:t xml:space="preserve"> -</w:t>
      </w:r>
      <w:r w:rsidRPr="00675182">
        <w:rPr>
          <w:rFonts w:cstheme="minorHAnsi"/>
          <w:szCs w:val="24"/>
        </w:rPr>
        <w:t xml:space="preserve"> Rīgas HES darbība, diennakts vai dažu dienu pulsa veidā. Nēģa nārsta vietas Daugavā HES celtniecības rezultātā tika neatgriezeniski zaudētas.</w:t>
      </w:r>
    </w:p>
    <w:p w14:paraId="2FCF172C" w14:textId="73E70681" w:rsidR="0075720E" w:rsidRPr="00675182" w:rsidRDefault="00A16D04" w:rsidP="009C64A8">
      <w:pPr>
        <w:jc w:val="both"/>
        <w:rPr>
          <w:rFonts w:cstheme="minorHAnsi"/>
          <w:szCs w:val="24"/>
        </w:rPr>
      </w:pPr>
      <w:r w:rsidRPr="00675182">
        <w:rPr>
          <w:rFonts w:cstheme="minorHAnsi"/>
          <w:szCs w:val="24"/>
        </w:rPr>
        <w:t>Tiek uzskatīts</w:t>
      </w:r>
      <w:r w:rsidR="009C64A8" w:rsidRPr="00675182">
        <w:rPr>
          <w:rFonts w:cstheme="minorHAnsi"/>
          <w:szCs w:val="24"/>
        </w:rPr>
        <w:t>, ka Daugavas hidroloģiskā režīma izmaiņu rezultātā samazinās tā vaislinieku daudzums Gaujā, tiem migrējot Daugavā</w:t>
      </w:r>
      <w:r w:rsidRPr="00675182">
        <w:rPr>
          <w:rFonts w:cstheme="minorHAnsi"/>
          <w:szCs w:val="24"/>
        </w:rPr>
        <w:t xml:space="preserve">, tādējādi </w:t>
      </w:r>
      <w:r w:rsidR="009C64A8" w:rsidRPr="00675182">
        <w:rPr>
          <w:rFonts w:cstheme="minorHAnsi"/>
          <w:szCs w:val="24"/>
        </w:rPr>
        <w:t>ilgtermiņā nēģa atražošanās Gaujā, attiecīgi arī nozvej</w:t>
      </w:r>
      <w:r w:rsidRPr="00675182">
        <w:rPr>
          <w:rFonts w:cstheme="minorHAnsi"/>
          <w:szCs w:val="24"/>
        </w:rPr>
        <w:t>a</w:t>
      </w:r>
      <w:r w:rsidR="009C64A8" w:rsidRPr="00675182">
        <w:rPr>
          <w:rFonts w:cstheme="minorHAnsi"/>
          <w:szCs w:val="24"/>
        </w:rPr>
        <w:t>, samazinā</w:t>
      </w:r>
      <w:r w:rsidRPr="00675182">
        <w:rPr>
          <w:rFonts w:cstheme="minorHAnsi"/>
          <w:szCs w:val="24"/>
        </w:rPr>
        <w:t>s</w:t>
      </w:r>
      <w:r w:rsidR="009C64A8" w:rsidRPr="00675182">
        <w:rPr>
          <w:rFonts w:cstheme="minorHAnsi"/>
          <w:szCs w:val="24"/>
        </w:rPr>
        <w:t>. Iespējams, nepieciešama daļas Daugavā nozvejoto nēģu pārvešana uz Daugavu</w:t>
      </w:r>
      <w:r w:rsidRPr="00675182">
        <w:rPr>
          <w:rFonts w:cstheme="minorHAnsi"/>
          <w:szCs w:val="24"/>
        </w:rPr>
        <w:t>, t</w:t>
      </w:r>
      <w:r w:rsidR="009C64A8" w:rsidRPr="00675182">
        <w:rPr>
          <w:rFonts w:cstheme="minorHAnsi"/>
          <w:szCs w:val="24"/>
        </w:rPr>
        <w:t xml:space="preserve">aču šāda pasākuma efektivitāti būtu iespējams novērtēt tikai ilgtermiņā </w:t>
      </w:r>
      <w:r w:rsidRPr="00675182">
        <w:rPr>
          <w:rFonts w:cstheme="minorHAnsi"/>
          <w:szCs w:val="24"/>
        </w:rPr>
        <w:t>(</w:t>
      </w:r>
      <w:r w:rsidR="009C64A8" w:rsidRPr="00675182">
        <w:rPr>
          <w:rFonts w:cstheme="minorHAnsi"/>
          <w:szCs w:val="24"/>
        </w:rPr>
        <w:t>10 – 20 gadu laikā</w:t>
      </w:r>
      <w:r w:rsidRPr="00675182">
        <w:rPr>
          <w:rFonts w:cstheme="minorHAnsi"/>
          <w:szCs w:val="24"/>
        </w:rPr>
        <w:t>)</w:t>
      </w:r>
      <w:r w:rsidR="009C64A8" w:rsidRPr="00675182">
        <w:rPr>
          <w:rFonts w:cstheme="minorHAnsi"/>
          <w:szCs w:val="24"/>
        </w:rPr>
        <w:t>.</w:t>
      </w:r>
      <w:r w:rsidR="0075720E" w:rsidRPr="00675182">
        <w:rPr>
          <w:rFonts w:cstheme="minorHAnsi"/>
          <w:szCs w:val="24"/>
        </w:rPr>
        <w:t xml:space="preserve"> Jāatzīmē, ka arī upes nēģis Gaujas baseinā tiek atražots arī zivjaudzētavās. Spriežot pēc upes nēģa nozvejas Gaujā, šis pasākums no zivsaimnieciskā viedokļa nav bijis efektīvs. Tā ietekme uz nēģa dabisko populāciju nav tikusi pētīta, bet ir iespējama, spriežot pēc analoģijas ar citām akvakultūrā pavairojamām sugām</w:t>
      </w:r>
      <w:r w:rsidR="007D0B8E" w:rsidRPr="00675182">
        <w:rPr>
          <w:rFonts w:cstheme="minorHAnsi"/>
          <w:szCs w:val="24"/>
        </w:rPr>
        <w:t>.</w:t>
      </w:r>
    </w:p>
    <w:bookmarkEnd w:id="91"/>
    <w:p w14:paraId="3C0A51C2" w14:textId="77777777" w:rsidR="00A25A76" w:rsidRPr="00675182" w:rsidRDefault="00A25A76" w:rsidP="00A25A76">
      <w:pPr>
        <w:rPr>
          <w:rFonts w:cstheme="minorHAnsi"/>
          <w:b/>
          <w:i/>
          <w:szCs w:val="24"/>
        </w:rPr>
        <w:sectPr w:rsidR="00A25A76" w:rsidRPr="00675182" w:rsidSect="00434AD0">
          <w:headerReference w:type="default" r:id="rId242"/>
          <w:pgSz w:w="11905" w:h="16837"/>
          <w:pgMar w:top="1440" w:right="1797" w:bottom="1440" w:left="1797" w:header="720" w:footer="720" w:gutter="0"/>
          <w:cols w:space="720"/>
          <w:docGrid w:linePitch="360"/>
        </w:sectPr>
      </w:pPr>
    </w:p>
    <w:p w14:paraId="62341641" w14:textId="7E5C1128" w:rsidR="00A25A76" w:rsidRPr="00675182" w:rsidRDefault="00A25A76" w:rsidP="00A25A76">
      <w:pPr>
        <w:rPr>
          <w:rFonts w:cstheme="minorHAnsi"/>
        </w:rPr>
      </w:pPr>
      <w:r w:rsidRPr="00675182">
        <w:rPr>
          <w:rFonts w:cstheme="minorHAnsi"/>
          <w:b/>
          <w:i/>
          <w:szCs w:val="24"/>
        </w:rPr>
        <w:lastRenderedPageBreak/>
        <w:t>2</w:t>
      </w:r>
      <w:bookmarkStart w:id="99" w:name="_Hlk56792287"/>
      <w:r w:rsidRPr="00675182">
        <w:rPr>
          <w:rFonts w:cstheme="minorHAnsi"/>
          <w:b/>
          <w:i/>
          <w:szCs w:val="24"/>
        </w:rPr>
        <w:t>.</w:t>
      </w:r>
      <w:r w:rsidR="00250218" w:rsidRPr="00675182">
        <w:rPr>
          <w:rFonts w:cstheme="minorHAnsi"/>
          <w:b/>
          <w:i/>
          <w:szCs w:val="24"/>
        </w:rPr>
        <w:t>4.7</w:t>
      </w:r>
      <w:r w:rsidRPr="00675182">
        <w:rPr>
          <w:rFonts w:cstheme="minorHAnsi"/>
          <w:b/>
          <w:i/>
          <w:szCs w:val="24"/>
        </w:rPr>
        <w:t>.</w:t>
      </w:r>
      <w:r w:rsidR="00ED4366">
        <w:rPr>
          <w:rFonts w:cstheme="minorHAnsi"/>
          <w:b/>
          <w:i/>
          <w:szCs w:val="24"/>
        </w:rPr>
        <w:t>A.</w:t>
      </w:r>
      <w:r w:rsidRPr="00675182">
        <w:rPr>
          <w:rFonts w:cstheme="minorHAnsi"/>
          <w:b/>
          <w:i/>
          <w:szCs w:val="24"/>
        </w:rPr>
        <w:t xml:space="preserve"> tabula. </w:t>
      </w:r>
      <w:r w:rsidR="00A16D04" w:rsidRPr="00675182">
        <w:rPr>
          <w:rFonts w:cstheme="minorHAnsi"/>
          <w:b/>
          <w:i/>
        </w:rPr>
        <w:t>GNP</w:t>
      </w:r>
      <w:r w:rsidR="00BB03AC" w:rsidRPr="00675182">
        <w:rPr>
          <w:rFonts w:cstheme="minorHAnsi"/>
          <w:b/>
          <w:i/>
        </w:rPr>
        <w:t xml:space="preserve"> konstatētās Latvijā un Eiropā aizsargājamās un citādi vērtīgās zivju un vēžveidīgo sugas un to aizsardzības statuss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3297"/>
        <w:gridCol w:w="3197"/>
        <w:gridCol w:w="2343"/>
        <w:gridCol w:w="1874"/>
        <w:gridCol w:w="1964"/>
      </w:tblGrid>
      <w:tr w:rsidR="007E3974" w:rsidRPr="00675182" w14:paraId="7451FDB6" w14:textId="77777777" w:rsidTr="007E3974">
        <w:trPr>
          <w:trHeight w:val="284"/>
        </w:trPr>
        <w:tc>
          <w:tcPr>
            <w:tcW w:w="456" w:type="pct"/>
            <w:shd w:val="clear" w:color="auto" w:fill="D6E3BC"/>
            <w:vAlign w:val="center"/>
          </w:tcPr>
          <w:p w14:paraId="4AE05E36" w14:textId="6004BDE6" w:rsidR="007E3974" w:rsidRPr="00675182" w:rsidRDefault="007E3974" w:rsidP="007E3974">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Nr.p.k.</w:t>
            </w:r>
          </w:p>
        </w:tc>
        <w:tc>
          <w:tcPr>
            <w:tcW w:w="1182" w:type="pct"/>
            <w:shd w:val="clear" w:color="auto" w:fill="D6E3BC"/>
            <w:vAlign w:val="center"/>
            <w:hideMark/>
          </w:tcPr>
          <w:p w14:paraId="034698C1" w14:textId="70D8DE98" w:rsidR="007E3974" w:rsidRPr="00675182" w:rsidRDefault="007E3974" w:rsidP="00BB03AC">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latviski</w:t>
            </w:r>
          </w:p>
        </w:tc>
        <w:tc>
          <w:tcPr>
            <w:tcW w:w="1146" w:type="pct"/>
            <w:shd w:val="clear" w:color="auto" w:fill="D6E3BC"/>
            <w:vAlign w:val="center"/>
            <w:hideMark/>
          </w:tcPr>
          <w:p w14:paraId="465ECF1F" w14:textId="77777777" w:rsidR="007E3974" w:rsidRPr="00675182" w:rsidRDefault="007E3974" w:rsidP="00BB03AC">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latīniski</w:t>
            </w:r>
          </w:p>
        </w:tc>
        <w:tc>
          <w:tcPr>
            <w:tcW w:w="840" w:type="pct"/>
            <w:shd w:val="clear" w:color="auto" w:fill="D6E3BC"/>
            <w:vAlign w:val="center"/>
            <w:hideMark/>
          </w:tcPr>
          <w:p w14:paraId="3E3CBC25" w14:textId="77777777" w:rsidR="007E3974" w:rsidRPr="00675182" w:rsidRDefault="007E3974" w:rsidP="00BB03AC">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Aizsardzības statuss</w:t>
            </w:r>
          </w:p>
        </w:tc>
        <w:tc>
          <w:tcPr>
            <w:tcW w:w="672" w:type="pct"/>
            <w:tcBorders>
              <w:bottom w:val="single" w:sz="4" w:space="0" w:color="auto"/>
            </w:tcBorders>
            <w:shd w:val="clear" w:color="auto" w:fill="D6E3BC"/>
            <w:vAlign w:val="center"/>
            <w:hideMark/>
          </w:tcPr>
          <w:p w14:paraId="3B0AA6CB" w14:textId="77777777" w:rsidR="007E3974" w:rsidRPr="00675182" w:rsidRDefault="007E3974" w:rsidP="00BB03AC">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labvēlīga aizsardzības stāvokļa novērtējums Latvijā</w:t>
            </w:r>
          </w:p>
        </w:tc>
        <w:tc>
          <w:tcPr>
            <w:tcW w:w="704" w:type="pct"/>
            <w:tcBorders>
              <w:bottom w:val="single" w:sz="4" w:space="0" w:color="auto"/>
            </w:tcBorders>
            <w:shd w:val="clear" w:color="auto" w:fill="D6E3BC"/>
            <w:vAlign w:val="center"/>
          </w:tcPr>
          <w:p w14:paraId="22AD7AF0" w14:textId="55100A92" w:rsidR="007E3974" w:rsidRPr="00675182" w:rsidRDefault="007E3974" w:rsidP="00BB03AC">
            <w:pPr>
              <w:jc w:val="center"/>
              <w:rPr>
                <w:rFonts w:cstheme="minorHAnsi"/>
                <w:b/>
                <w:color w:val="000000"/>
                <w:sz w:val="22"/>
                <w:szCs w:val="22"/>
              </w:rPr>
            </w:pPr>
            <w:r w:rsidRPr="00675182">
              <w:rPr>
                <w:rFonts w:cstheme="minorHAnsi"/>
                <w:b/>
                <w:color w:val="000000"/>
                <w:sz w:val="22"/>
                <w:szCs w:val="22"/>
              </w:rPr>
              <w:t>Sugas sastopamība GNP</w:t>
            </w:r>
          </w:p>
        </w:tc>
      </w:tr>
      <w:tr w:rsidR="00803EC7" w:rsidRPr="00675182" w14:paraId="1C935703" w14:textId="77777777" w:rsidTr="00A16D04">
        <w:trPr>
          <w:trHeight w:val="284"/>
        </w:trPr>
        <w:tc>
          <w:tcPr>
            <w:tcW w:w="456" w:type="pct"/>
            <w:vAlign w:val="center"/>
          </w:tcPr>
          <w:p w14:paraId="1E913ADE" w14:textId="1BC3A915"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w:t>
            </w:r>
          </w:p>
        </w:tc>
        <w:tc>
          <w:tcPr>
            <w:tcW w:w="1182" w:type="pct"/>
            <w:shd w:val="clear" w:color="auto" w:fill="auto"/>
            <w:vAlign w:val="center"/>
          </w:tcPr>
          <w:p w14:paraId="087F159F" w14:textId="25589659"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Strauta nēģis</w:t>
            </w:r>
          </w:p>
        </w:tc>
        <w:tc>
          <w:tcPr>
            <w:tcW w:w="1146" w:type="pct"/>
            <w:shd w:val="clear" w:color="auto" w:fill="auto"/>
            <w:noWrap/>
            <w:vAlign w:val="center"/>
          </w:tcPr>
          <w:p w14:paraId="0E6D3AD3" w14:textId="771FE0E4"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Lampetra planeri</w:t>
            </w:r>
          </w:p>
        </w:tc>
        <w:tc>
          <w:tcPr>
            <w:tcW w:w="840" w:type="pct"/>
            <w:shd w:val="clear" w:color="auto" w:fill="auto"/>
            <w:noWrap/>
            <w:vAlign w:val="center"/>
          </w:tcPr>
          <w:p w14:paraId="0F765DC3" w14:textId="29A67E5A" w:rsidR="00803EC7" w:rsidRPr="00675182" w:rsidRDefault="00803EC7" w:rsidP="00803EC7">
            <w:pPr>
              <w:jc w:val="center"/>
              <w:rPr>
                <w:rFonts w:cstheme="minorHAnsi"/>
                <w:color w:val="000000"/>
                <w:sz w:val="22"/>
                <w:szCs w:val="22"/>
              </w:rPr>
            </w:pPr>
            <w:r w:rsidRPr="00675182">
              <w:rPr>
                <w:rFonts w:cstheme="minorHAnsi"/>
                <w:color w:val="000000"/>
                <w:sz w:val="22"/>
                <w:szCs w:val="22"/>
              </w:rPr>
              <w:t>ES II</w:t>
            </w:r>
          </w:p>
        </w:tc>
        <w:tc>
          <w:tcPr>
            <w:tcW w:w="672" w:type="pct"/>
            <w:shd w:val="clear" w:color="auto" w:fill="92D050"/>
            <w:noWrap/>
            <w:vAlign w:val="center"/>
          </w:tcPr>
          <w:p w14:paraId="4AF7C2A7" w14:textId="78C058C8" w:rsidR="00803EC7" w:rsidRPr="00675182" w:rsidRDefault="00803EC7" w:rsidP="00803EC7">
            <w:pPr>
              <w:jc w:val="center"/>
              <w:rPr>
                <w:rFonts w:cstheme="minorHAnsi"/>
                <w:color w:val="000000"/>
                <w:sz w:val="22"/>
                <w:szCs w:val="22"/>
              </w:rPr>
            </w:pPr>
            <w:r w:rsidRPr="00675182">
              <w:rPr>
                <w:rFonts w:cstheme="minorHAnsi"/>
                <w:color w:val="000000"/>
                <w:sz w:val="22"/>
                <w:szCs w:val="22"/>
              </w:rPr>
              <w:t>FV</w:t>
            </w:r>
          </w:p>
        </w:tc>
        <w:tc>
          <w:tcPr>
            <w:tcW w:w="704" w:type="pct"/>
          </w:tcPr>
          <w:p w14:paraId="1DF35F14" w14:textId="46CE20DB" w:rsidR="00803EC7" w:rsidRPr="00675182" w:rsidRDefault="00353713" w:rsidP="00803EC7">
            <w:pPr>
              <w:rPr>
                <w:rFonts w:cstheme="minorHAnsi"/>
                <w:sz w:val="22"/>
                <w:szCs w:val="22"/>
              </w:rPr>
            </w:pPr>
            <w:r w:rsidRPr="00675182">
              <w:rPr>
                <w:rFonts w:cstheme="minorHAnsi"/>
                <w:sz w:val="22"/>
                <w:szCs w:val="22"/>
              </w:rPr>
              <w:t>bieži</w:t>
            </w:r>
          </w:p>
        </w:tc>
      </w:tr>
      <w:tr w:rsidR="00803EC7" w:rsidRPr="00675182" w14:paraId="5045502E" w14:textId="77777777" w:rsidTr="00A16D04">
        <w:trPr>
          <w:trHeight w:val="284"/>
        </w:trPr>
        <w:tc>
          <w:tcPr>
            <w:tcW w:w="456" w:type="pct"/>
            <w:vAlign w:val="center"/>
          </w:tcPr>
          <w:p w14:paraId="2414A6B2" w14:textId="061AE2ED"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2.</w:t>
            </w:r>
          </w:p>
        </w:tc>
        <w:tc>
          <w:tcPr>
            <w:tcW w:w="1182" w:type="pct"/>
            <w:shd w:val="clear" w:color="auto" w:fill="auto"/>
            <w:vAlign w:val="center"/>
          </w:tcPr>
          <w:p w14:paraId="474BBCAD" w14:textId="508051B9"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Upes nēģis</w:t>
            </w:r>
          </w:p>
        </w:tc>
        <w:tc>
          <w:tcPr>
            <w:tcW w:w="1146" w:type="pct"/>
            <w:shd w:val="clear" w:color="auto" w:fill="auto"/>
            <w:noWrap/>
            <w:vAlign w:val="center"/>
          </w:tcPr>
          <w:p w14:paraId="3F9213A9" w14:textId="65CC05D0"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Lampetra fluviatilis</w:t>
            </w:r>
          </w:p>
        </w:tc>
        <w:tc>
          <w:tcPr>
            <w:tcW w:w="840" w:type="pct"/>
            <w:shd w:val="clear" w:color="auto" w:fill="auto"/>
            <w:noWrap/>
            <w:vAlign w:val="center"/>
          </w:tcPr>
          <w:p w14:paraId="620919ED" w14:textId="5F07F412" w:rsidR="00803EC7" w:rsidRPr="00675182" w:rsidRDefault="00803EC7" w:rsidP="00803EC7">
            <w:pPr>
              <w:jc w:val="center"/>
              <w:rPr>
                <w:rFonts w:cstheme="minorHAnsi"/>
                <w:color w:val="000000"/>
                <w:sz w:val="22"/>
                <w:szCs w:val="22"/>
              </w:rPr>
            </w:pPr>
            <w:r w:rsidRPr="00675182">
              <w:rPr>
                <w:rFonts w:cstheme="minorHAnsi"/>
                <w:color w:val="000000"/>
                <w:sz w:val="22"/>
                <w:szCs w:val="22"/>
              </w:rPr>
              <w:t>ES II, V, ĪAS, MIK</w:t>
            </w:r>
          </w:p>
        </w:tc>
        <w:tc>
          <w:tcPr>
            <w:tcW w:w="672" w:type="pct"/>
            <w:shd w:val="clear" w:color="auto" w:fill="92D050"/>
            <w:noWrap/>
            <w:vAlign w:val="center"/>
          </w:tcPr>
          <w:p w14:paraId="123489A5" w14:textId="4F2B4BE0" w:rsidR="00803EC7" w:rsidRPr="00675182" w:rsidRDefault="00803EC7" w:rsidP="00803EC7">
            <w:pPr>
              <w:jc w:val="center"/>
              <w:rPr>
                <w:rFonts w:cstheme="minorHAnsi"/>
                <w:color w:val="000000"/>
                <w:sz w:val="22"/>
                <w:szCs w:val="22"/>
              </w:rPr>
            </w:pPr>
            <w:r w:rsidRPr="00675182">
              <w:rPr>
                <w:rFonts w:cstheme="minorHAnsi"/>
                <w:color w:val="000000"/>
                <w:sz w:val="22"/>
                <w:szCs w:val="22"/>
              </w:rPr>
              <w:t>FV</w:t>
            </w:r>
          </w:p>
        </w:tc>
        <w:tc>
          <w:tcPr>
            <w:tcW w:w="704" w:type="pct"/>
          </w:tcPr>
          <w:p w14:paraId="04912BAD" w14:textId="76A90885" w:rsidR="00803EC7" w:rsidRPr="00675182" w:rsidRDefault="00353713" w:rsidP="00803EC7">
            <w:pPr>
              <w:rPr>
                <w:rFonts w:cstheme="minorHAnsi"/>
                <w:sz w:val="22"/>
                <w:szCs w:val="22"/>
              </w:rPr>
            </w:pPr>
            <w:r w:rsidRPr="00675182">
              <w:rPr>
                <w:rFonts w:cstheme="minorHAnsi"/>
                <w:sz w:val="22"/>
                <w:szCs w:val="22"/>
              </w:rPr>
              <w:t>bieži</w:t>
            </w:r>
          </w:p>
        </w:tc>
      </w:tr>
      <w:tr w:rsidR="00803EC7" w:rsidRPr="00675182" w14:paraId="129949EE" w14:textId="77777777" w:rsidTr="00A16D04">
        <w:trPr>
          <w:trHeight w:val="284"/>
        </w:trPr>
        <w:tc>
          <w:tcPr>
            <w:tcW w:w="456" w:type="pct"/>
            <w:vAlign w:val="center"/>
          </w:tcPr>
          <w:p w14:paraId="3B6FF7EA" w14:textId="4B0ABB72"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3.</w:t>
            </w:r>
          </w:p>
        </w:tc>
        <w:tc>
          <w:tcPr>
            <w:tcW w:w="1182" w:type="pct"/>
            <w:shd w:val="clear" w:color="auto" w:fill="auto"/>
            <w:vAlign w:val="center"/>
          </w:tcPr>
          <w:p w14:paraId="51869836" w14:textId="75C5F3E8"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Salate</w:t>
            </w:r>
          </w:p>
        </w:tc>
        <w:tc>
          <w:tcPr>
            <w:tcW w:w="1146" w:type="pct"/>
            <w:shd w:val="clear" w:color="auto" w:fill="auto"/>
            <w:noWrap/>
            <w:vAlign w:val="center"/>
          </w:tcPr>
          <w:p w14:paraId="338A1F0B" w14:textId="462AEFE9"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Aspius aspius</w:t>
            </w:r>
          </w:p>
        </w:tc>
        <w:tc>
          <w:tcPr>
            <w:tcW w:w="840" w:type="pct"/>
            <w:shd w:val="clear" w:color="auto" w:fill="auto"/>
            <w:noWrap/>
            <w:vAlign w:val="center"/>
          </w:tcPr>
          <w:p w14:paraId="54D5B127" w14:textId="78429562" w:rsidR="00803EC7" w:rsidRPr="00675182" w:rsidRDefault="00803EC7" w:rsidP="00803EC7">
            <w:pPr>
              <w:jc w:val="center"/>
              <w:rPr>
                <w:rFonts w:cstheme="minorHAnsi"/>
                <w:color w:val="000000"/>
                <w:sz w:val="22"/>
                <w:szCs w:val="22"/>
              </w:rPr>
            </w:pPr>
            <w:r w:rsidRPr="00675182">
              <w:rPr>
                <w:rFonts w:cstheme="minorHAnsi"/>
                <w:color w:val="000000"/>
                <w:sz w:val="22"/>
                <w:szCs w:val="22"/>
              </w:rPr>
              <w:t>ES II, ĪAS, MIK</w:t>
            </w:r>
          </w:p>
        </w:tc>
        <w:tc>
          <w:tcPr>
            <w:tcW w:w="672" w:type="pct"/>
            <w:shd w:val="clear" w:color="auto" w:fill="92D050"/>
            <w:noWrap/>
            <w:vAlign w:val="center"/>
          </w:tcPr>
          <w:p w14:paraId="24F9FBF0" w14:textId="2D69C557" w:rsidR="00803EC7" w:rsidRPr="00675182" w:rsidRDefault="00803EC7" w:rsidP="00803EC7">
            <w:pPr>
              <w:jc w:val="center"/>
              <w:rPr>
                <w:rFonts w:cstheme="minorHAnsi"/>
                <w:color w:val="000000"/>
                <w:sz w:val="22"/>
                <w:szCs w:val="22"/>
              </w:rPr>
            </w:pPr>
            <w:r w:rsidRPr="00675182">
              <w:rPr>
                <w:rFonts w:cstheme="minorHAnsi"/>
                <w:color w:val="000000"/>
                <w:sz w:val="22"/>
                <w:szCs w:val="22"/>
              </w:rPr>
              <w:t>FV</w:t>
            </w:r>
          </w:p>
        </w:tc>
        <w:tc>
          <w:tcPr>
            <w:tcW w:w="704" w:type="pct"/>
          </w:tcPr>
          <w:p w14:paraId="2542E6B4" w14:textId="22095AF5" w:rsidR="00803EC7" w:rsidRPr="00675182" w:rsidRDefault="00353713" w:rsidP="00803EC7">
            <w:pPr>
              <w:rPr>
                <w:rFonts w:cstheme="minorHAnsi"/>
                <w:sz w:val="22"/>
                <w:szCs w:val="22"/>
              </w:rPr>
            </w:pPr>
            <w:r w:rsidRPr="00675182">
              <w:rPr>
                <w:rFonts w:cstheme="minorHAnsi"/>
                <w:sz w:val="22"/>
                <w:szCs w:val="22"/>
              </w:rPr>
              <w:t>parasts</w:t>
            </w:r>
          </w:p>
        </w:tc>
      </w:tr>
      <w:tr w:rsidR="00803EC7" w:rsidRPr="00675182" w14:paraId="5BF094AE" w14:textId="77777777" w:rsidTr="00A16D04">
        <w:trPr>
          <w:trHeight w:val="284"/>
        </w:trPr>
        <w:tc>
          <w:tcPr>
            <w:tcW w:w="456" w:type="pct"/>
            <w:vAlign w:val="center"/>
          </w:tcPr>
          <w:p w14:paraId="15FB492A" w14:textId="4DC47472"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4.</w:t>
            </w:r>
          </w:p>
        </w:tc>
        <w:tc>
          <w:tcPr>
            <w:tcW w:w="1182" w:type="pct"/>
            <w:shd w:val="clear" w:color="auto" w:fill="auto"/>
            <w:vAlign w:val="center"/>
          </w:tcPr>
          <w:p w14:paraId="64328767" w14:textId="04B40B17"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Akmeņgrauzis</w:t>
            </w:r>
          </w:p>
        </w:tc>
        <w:tc>
          <w:tcPr>
            <w:tcW w:w="1146" w:type="pct"/>
            <w:shd w:val="clear" w:color="auto" w:fill="auto"/>
            <w:noWrap/>
            <w:vAlign w:val="center"/>
          </w:tcPr>
          <w:p w14:paraId="01816EA3" w14:textId="0A1A2463"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Cobitis taenia</w:t>
            </w:r>
          </w:p>
        </w:tc>
        <w:tc>
          <w:tcPr>
            <w:tcW w:w="840" w:type="pct"/>
            <w:shd w:val="clear" w:color="auto" w:fill="auto"/>
            <w:noWrap/>
            <w:vAlign w:val="center"/>
          </w:tcPr>
          <w:p w14:paraId="5D7E0C20" w14:textId="27F291D4" w:rsidR="00803EC7" w:rsidRPr="00675182" w:rsidRDefault="00803EC7" w:rsidP="00803EC7">
            <w:pPr>
              <w:jc w:val="center"/>
              <w:rPr>
                <w:rFonts w:cstheme="minorHAnsi"/>
                <w:color w:val="000000"/>
                <w:sz w:val="22"/>
                <w:szCs w:val="22"/>
              </w:rPr>
            </w:pPr>
            <w:r w:rsidRPr="00675182">
              <w:rPr>
                <w:rFonts w:cstheme="minorHAnsi"/>
                <w:color w:val="000000"/>
                <w:sz w:val="22"/>
                <w:szCs w:val="22"/>
              </w:rPr>
              <w:t>ES II</w:t>
            </w:r>
          </w:p>
        </w:tc>
        <w:tc>
          <w:tcPr>
            <w:tcW w:w="672" w:type="pct"/>
            <w:shd w:val="clear" w:color="auto" w:fill="92D050"/>
            <w:noWrap/>
            <w:vAlign w:val="center"/>
          </w:tcPr>
          <w:p w14:paraId="47A40835" w14:textId="1FD13DC5" w:rsidR="00803EC7" w:rsidRPr="00675182" w:rsidRDefault="00803EC7" w:rsidP="00803EC7">
            <w:pPr>
              <w:jc w:val="center"/>
              <w:rPr>
                <w:rFonts w:cstheme="minorHAnsi"/>
                <w:color w:val="000000"/>
                <w:sz w:val="22"/>
                <w:szCs w:val="22"/>
              </w:rPr>
            </w:pPr>
            <w:r w:rsidRPr="00675182">
              <w:rPr>
                <w:rFonts w:cstheme="minorHAnsi"/>
                <w:color w:val="000000"/>
                <w:sz w:val="22"/>
                <w:szCs w:val="22"/>
              </w:rPr>
              <w:t>FV</w:t>
            </w:r>
          </w:p>
        </w:tc>
        <w:tc>
          <w:tcPr>
            <w:tcW w:w="704" w:type="pct"/>
          </w:tcPr>
          <w:p w14:paraId="7ADBC3B9" w14:textId="2AF7A31F" w:rsidR="00803EC7" w:rsidRPr="00675182" w:rsidRDefault="00353713" w:rsidP="00803EC7">
            <w:pPr>
              <w:rPr>
                <w:rFonts w:cstheme="minorHAnsi"/>
                <w:sz w:val="22"/>
                <w:szCs w:val="22"/>
              </w:rPr>
            </w:pPr>
            <w:r w:rsidRPr="00675182">
              <w:rPr>
                <w:rFonts w:cstheme="minorHAnsi"/>
                <w:sz w:val="22"/>
                <w:szCs w:val="22"/>
              </w:rPr>
              <w:t>bieži</w:t>
            </w:r>
          </w:p>
        </w:tc>
      </w:tr>
      <w:tr w:rsidR="00803EC7" w:rsidRPr="00675182" w14:paraId="4AB7E212" w14:textId="77777777" w:rsidTr="00A16D04">
        <w:trPr>
          <w:trHeight w:val="284"/>
        </w:trPr>
        <w:tc>
          <w:tcPr>
            <w:tcW w:w="456" w:type="pct"/>
            <w:vAlign w:val="center"/>
          </w:tcPr>
          <w:p w14:paraId="60863DD6" w14:textId="393B7A8B"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5.</w:t>
            </w:r>
          </w:p>
        </w:tc>
        <w:tc>
          <w:tcPr>
            <w:tcW w:w="1182" w:type="pct"/>
            <w:shd w:val="clear" w:color="auto" w:fill="auto"/>
            <w:vAlign w:val="center"/>
          </w:tcPr>
          <w:p w14:paraId="18FF304F" w14:textId="39D90761"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Pīkste</w:t>
            </w:r>
          </w:p>
        </w:tc>
        <w:tc>
          <w:tcPr>
            <w:tcW w:w="1146" w:type="pct"/>
            <w:shd w:val="clear" w:color="auto" w:fill="auto"/>
            <w:noWrap/>
            <w:vAlign w:val="center"/>
          </w:tcPr>
          <w:p w14:paraId="10ECF9F4" w14:textId="55FCE8C2"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Misgurnus fossilis</w:t>
            </w:r>
          </w:p>
        </w:tc>
        <w:tc>
          <w:tcPr>
            <w:tcW w:w="840" w:type="pct"/>
            <w:shd w:val="clear" w:color="auto" w:fill="auto"/>
            <w:noWrap/>
            <w:vAlign w:val="center"/>
          </w:tcPr>
          <w:p w14:paraId="6E3DC268" w14:textId="627A301E" w:rsidR="00803EC7" w:rsidRPr="00675182" w:rsidRDefault="00803EC7" w:rsidP="00803EC7">
            <w:pPr>
              <w:jc w:val="center"/>
              <w:rPr>
                <w:rFonts w:cstheme="minorHAnsi"/>
                <w:color w:val="000000"/>
                <w:sz w:val="22"/>
                <w:szCs w:val="22"/>
              </w:rPr>
            </w:pPr>
            <w:r w:rsidRPr="00675182">
              <w:rPr>
                <w:rFonts w:cstheme="minorHAnsi"/>
                <w:color w:val="000000"/>
                <w:sz w:val="22"/>
                <w:szCs w:val="22"/>
              </w:rPr>
              <w:t>ES II</w:t>
            </w:r>
          </w:p>
        </w:tc>
        <w:tc>
          <w:tcPr>
            <w:tcW w:w="672" w:type="pct"/>
            <w:shd w:val="clear" w:color="auto" w:fill="92D050"/>
            <w:noWrap/>
            <w:vAlign w:val="center"/>
          </w:tcPr>
          <w:p w14:paraId="5257F588" w14:textId="0494E058" w:rsidR="00803EC7" w:rsidRPr="00675182" w:rsidRDefault="00803EC7" w:rsidP="00803EC7">
            <w:pPr>
              <w:jc w:val="center"/>
              <w:rPr>
                <w:rFonts w:cstheme="minorHAnsi"/>
                <w:color w:val="000000"/>
                <w:sz w:val="22"/>
                <w:szCs w:val="22"/>
              </w:rPr>
            </w:pPr>
            <w:r w:rsidRPr="00675182">
              <w:rPr>
                <w:rFonts w:cstheme="minorHAnsi"/>
                <w:color w:val="000000"/>
                <w:sz w:val="22"/>
                <w:szCs w:val="22"/>
              </w:rPr>
              <w:t>FV</w:t>
            </w:r>
          </w:p>
        </w:tc>
        <w:tc>
          <w:tcPr>
            <w:tcW w:w="704" w:type="pct"/>
          </w:tcPr>
          <w:p w14:paraId="13735606" w14:textId="565C99E9" w:rsidR="00803EC7" w:rsidRPr="00675182" w:rsidRDefault="00353713" w:rsidP="00803EC7">
            <w:pPr>
              <w:rPr>
                <w:rFonts w:cstheme="minorHAnsi"/>
                <w:sz w:val="22"/>
                <w:szCs w:val="22"/>
              </w:rPr>
            </w:pPr>
            <w:r w:rsidRPr="00675182">
              <w:rPr>
                <w:rFonts w:cstheme="minorHAnsi"/>
                <w:sz w:val="22"/>
                <w:szCs w:val="22"/>
              </w:rPr>
              <w:t>parasts</w:t>
            </w:r>
          </w:p>
        </w:tc>
      </w:tr>
      <w:tr w:rsidR="00803EC7" w:rsidRPr="00675182" w14:paraId="1D87E79A" w14:textId="77777777" w:rsidTr="00A16D04">
        <w:trPr>
          <w:trHeight w:val="284"/>
        </w:trPr>
        <w:tc>
          <w:tcPr>
            <w:tcW w:w="456" w:type="pct"/>
            <w:vAlign w:val="center"/>
          </w:tcPr>
          <w:p w14:paraId="34149A80" w14:textId="5E6F4398"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6.</w:t>
            </w:r>
          </w:p>
        </w:tc>
        <w:tc>
          <w:tcPr>
            <w:tcW w:w="1182" w:type="pct"/>
            <w:shd w:val="clear" w:color="auto" w:fill="auto"/>
            <w:vAlign w:val="center"/>
          </w:tcPr>
          <w:p w14:paraId="1577EAFB" w14:textId="6D80FDD3"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Platgalve</w:t>
            </w:r>
          </w:p>
        </w:tc>
        <w:tc>
          <w:tcPr>
            <w:tcW w:w="1146" w:type="pct"/>
            <w:shd w:val="clear" w:color="auto" w:fill="auto"/>
            <w:noWrap/>
            <w:vAlign w:val="center"/>
          </w:tcPr>
          <w:p w14:paraId="347E67CA" w14:textId="08967F2B"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Cottus gobio</w:t>
            </w:r>
          </w:p>
        </w:tc>
        <w:tc>
          <w:tcPr>
            <w:tcW w:w="840" w:type="pct"/>
            <w:shd w:val="clear" w:color="auto" w:fill="auto"/>
            <w:noWrap/>
            <w:vAlign w:val="center"/>
          </w:tcPr>
          <w:p w14:paraId="70608A98" w14:textId="10993D4F" w:rsidR="00803EC7" w:rsidRPr="00675182" w:rsidRDefault="00803EC7" w:rsidP="00803EC7">
            <w:pPr>
              <w:jc w:val="center"/>
              <w:rPr>
                <w:rFonts w:cstheme="minorHAnsi"/>
                <w:color w:val="000000"/>
                <w:sz w:val="22"/>
                <w:szCs w:val="22"/>
              </w:rPr>
            </w:pPr>
            <w:r w:rsidRPr="00675182">
              <w:rPr>
                <w:rFonts w:cstheme="minorHAnsi"/>
                <w:color w:val="000000"/>
                <w:sz w:val="22"/>
                <w:szCs w:val="22"/>
              </w:rPr>
              <w:t>ES II</w:t>
            </w:r>
          </w:p>
        </w:tc>
        <w:tc>
          <w:tcPr>
            <w:tcW w:w="672" w:type="pct"/>
            <w:shd w:val="clear" w:color="auto" w:fill="92D050"/>
            <w:noWrap/>
            <w:vAlign w:val="center"/>
          </w:tcPr>
          <w:p w14:paraId="42B1DDBB" w14:textId="61D1CB60" w:rsidR="00803EC7" w:rsidRPr="00675182" w:rsidRDefault="00803EC7" w:rsidP="00803EC7">
            <w:pPr>
              <w:jc w:val="center"/>
              <w:rPr>
                <w:rFonts w:cstheme="minorHAnsi"/>
                <w:color w:val="000000"/>
                <w:sz w:val="22"/>
                <w:szCs w:val="22"/>
              </w:rPr>
            </w:pPr>
            <w:r w:rsidRPr="00675182">
              <w:rPr>
                <w:rFonts w:cstheme="minorHAnsi"/>
                <w:color w:val="000000"/>
                <w:sz w:val="22"/>
                <w:szCs w:val="22"/>
              </w:rPr>
              <w:t>FV</w:t>
            </w:r>
          </w:p>
        </w:tc>
        <w:tc>
          <w:tcPr>
            <w:tcW w:w="704" w:type="pct"/>
          </w:tcPr>
          <w:p w14:paraId="3C943A28" w14:textId="09567F4C" w:rsidR="00803EC7" w:rsidRPr="00675182" w:rsidRDefault="00353713" w:rsidP="00803EC7">
            <w:pPr>
              <w:rPr>
                <w:rFonts w:cstheme="minorHAnsi"/>
                <w:sz w:val="22"/>
                <w:szCs w:val="22"/>
              </w:rPr>
            </w:pPr>
            <w:r w:rsidRPr="00675182">
              <w:rPr>
                <w:rFonts w:cstheme="minorHAnsi"/>
                <w:sz w:val="22"/>
                <w:szCs w:val="22"/>
              </w:rPr>
              <w:t>bieži</w:t>
            </w:r>
          </w:p>
        </w:tc>
      </w:tr>
      <w:tr w:rsidR="00803EC7" w:rsidRPr="00675182" w14:paraId="4E6BDE6F" w14:textId="77777777" w:rsidTr="00A16D04">
        <w:trPr>
          <w:trHeight w:val="284"/>
        </w:trPr>
        <w:tc>
          <w:tcPr>
            <w:tcW w:w="456" w:type="pct"/>
            <w:vAlign w:val="center"/>
          </w:tcPr>
          <w:p w14:paraId="3929E85E" w14:textId="48740D3F"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7.</w:t>
            </w:r>
          </w:p>
        </w:tc>
        <w:tc>
          <w:tcPr>
            <w:tcW w:w="1182" w:type="pct"/>
            <w:shd w:val="clear" w:color="auto" w:fill="auto"/>
            <w:vAlign w:val="center"/>
          </w:tcPr>
          <w:p w14:paraId="17C441CE" w14:textId="272D0EE4"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Spidiļķis</w:t>
            </w:r>
          </w:p>
        </w:tc>
        <w:tc>
          <w:tcPr>
            <w:tcW w:w="1146" w:type="pct"/>
            <w:shd w:val="clear" w:color="auto" w:fill="auto"/>
            <w:noWrap/>
            <w:vAlign w:val="center"/>
          </w:tcPr>
          <w:p w14:paraId="5F1D45A4" w14:textId="06A114FA"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Rhodeus amarus</w:t>
            </w:r>
          </w:p>
        </w:tc>
        <w:tc>
          <w:tcPr>
            <w:tcW w:w="840" w:type="pct"/>
            <w:shd w:val="clear" w:color="auto" w:fill="auto"/>
            <w:noWrap/>
            <w:vAlign w:val="center"/>
          </w:tcPr>
          <w:p w14:paraId="01057B33" w14:textId="6CAE6D9F" w:rsidR="00803EC7" w:rsidRPr="00675182" w:rsidRDefault="00803EC7" w:rsidP="00803EC7">
            <w:pPr>
              <w:jc w:val="center"/>
              <w:rPr>
                <w:rFonts w:cstheme="minorHAnsi"/>
                <w:color w:val="000000"/>
                <w:sz w:val="22"/>
                <w:szCs w:val="22"/>
              </w:rPr>
            </w:pPr>
            <w:r w:rsidRPr="00675182">
              <w:rPr>
                <w:rFonts w:cstheme="minorHAnsi"/>
                <w:color w:val="000000"/>
                <w:sz w:val="22"/>
                <w:szCs w:val="22"/>
              </w:rPr>
              <w:t>ES II</w:t>
            </w:r>
          </w:p>
        </w:tc>
        <w:tc>
          <w:tcPr>
            <w:tcW w:w="672" w:type="pct"/>
            <w:shd w:val="clear" w:color="auto" w:fill="92D050"/>
            <w:noWrap/>
            <w:vAlign w:val="center"/>
          </w:tcPr>
          <w:p w14:paraId="4A54061B" w14:textId="7AB04C71" w:rsidR="00803EC7" w:rsidRPr="00675182" w:rsidRDefault="00803EC7" w:rsidP="00803EC7">
            <w:pPr>
              <w:jc w:val="center"/>
              <w:rPr>
                <w:rFonts w:cstheme="minorHAnsi"/>
                <w:color w:val="000000"/>
                <w:sz w:val="22"/>
                <w:szCs w:val="22"/>
              </w:rPr>
            </w:pPr>
            <w:r w:rsidRPr="00675182">
              <w:rPr>
                <w:rFonts w:cstheme="minorHAnsi"/>
                <w:color w:val="000000"/>
                <w:sz w:val="22"/>
                <w:szCs w:val="22"/>
              </w:rPr>
              <w:t>FV</w:t>
            </w:r>
          </w:p>
        </w:tc>
        <w:tc>
          <w:tcPr>
            <w:tcW w:w="704" w:type="pct"/>
          </w:tcPr>
          <w:p w14:paraId="147B0497" w14:textId="62F5A05B" w:rsidR="00803EC7" w:rsidRPr="00675182" w:rsidRDefault="00353713" w:rsidP="00803EC7">
            <w:pPr>
              <w:rPr>
                <w:rFonts w:cstheme="minorHAnsi"/>
                <w:sz w:val="22"/>
                <w:szCs w:val="22"/>
              </w:rPr>
            </w:pPr>
            <w:r w:rsidRPr="00675182">
              <w:rPr>
                <w:rFonts w:cstheme="minorHAnsi"/>
                <w:sz w:val="22"/>
                <w:szCs w:val="22"/>
              </w:rPr>
              <w:t>parasts</w:t>
            </w:r>
          </w:p>
        </w:tc>
      </w:tr>
      <w:tr w:rsidR="00803EC7" w:rsidRPr="00675182" w14:paraId="197A6297" w14:textId="77777777" w:rsidTr="00803EC7">
        <w:trPr>
          <w:trHeight w:val="284"/>
        </w:trPr>
        <w:tc>
          <w:tcPr>
            <w:tcW w:w="456" w:type="pct"/>
            <w:vAlign w:val="center"/>
          </w:tcPr>
          <w:p w14:paraId="2EB6EF7A" w14:textId="5871899A"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8.</w:t>
            </w:r>
          </w:p>
        </w:tc>
        <w:tc>
          <w:tcPr>
            <w:tcW w:w="1182" w:type="pct"/>
            <w:shd w:val="clear" w:color="auto" w:fill="auto"/>
            <w:vAlign w:val="center"/>
          </w:tcPr>
          <w:p w14:paraId="3B0DE8A6" w14:textId="16B8D135"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Lasis</w:t>
            </w:r>
          </w:p>
        </w:tc>
        <w:tc>
          <w:tcPr>
            <w:tcW w:w="1146" w:type="pct"/>
            <w:shd w:val="clear" w:color="auto" w:fill="auto"/>
            <w:noWrap/>
            <w:vAlign w:val="center"/>
          </w:tcPr>
          <w:p w14:paraId="1FA2ED2B" w14:textId="4B3EA62F"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Salmo salar</w:t>
            </w:r>
          </w:p>
        </w:tc>
        <w:tc>
          <w:tcPr>
            <w:tcW w:w="840" w:type="pct"/>
            <w:shd w:val="clear" w:color="auto" w:fill="auto"/>
            <w:noWrap/>
            <w:vAlign w:val="center"/>
          </w:tcPr>
          <w:p w14:paraId="48713B53" w14:textId="3D7A414D" w:rsidR="00803EC7" w:rsidRPr="00675182" w:rsidRDefault="00803EC7" w:rsidP="00803EC7">
            <w:pPr>
              <w:jc w:val="center"/>
              <w:rPr>
                <w:rFonts w:cstheme="minorHAnsi"/>
                <w:color w:val="000000"/>
                <w:sz w:val="22"/>
                <w:szCs w:val="22"/>
              </w:rPr>
            </w:pPr>
            <w:r w:rsidRPr="00675182">
              <w:rPr>
                <w:rFonts w:cstheme="minorHAnsi"/>
                <w:color w:val="000000"/>
                <w:sz w:val="22"/>
                <w:szCs w:val="22"/>
              </w:rPr>
              <w:t>ES II, V, ĪAS, MIK</w:t>
            </w:r>
          </w:p>
        </w:tc>
        <w:tc>
          <w:tcPr>
            <w:tcW w:w="672" w:type="pct"/>
            <w:shd w:val="clear" w:color="auto" w:fill="FFFF00"/>
            <w:noWrap/>
            <w:vAlign w:val="center"/>
          </w:tcPr>
          <w:p w14:paraId="3AFDBB8A" w14:textId="1627F3DA" w:rsidR="00803EC7" w:rsidRPr="00675182" w:rsidRDefault="00803EC7" w:rsidP="00803EC7">
            <w:pPr>
              <w:jc w:val="center"/>
              <w:rPr>
                <w:rFonts w:cstheme="minorHAnsi"/>
                <w:color w:val="000000"/>
                <w:sz w:val="22"/>
                <w:szCs w:val="22"/>
              </w:rPr>
            </w:pPr>
            <w:r w:rsidRPr="00675182">
              <w:rPr>
                <w:rFonts w:cstheme="minorHAnsi"/>
                <w:sz w:val="22"/>
                <w:szCs w:val="22"/>
              </w:rPr>
              <w:t>U1-</w:t>
            </w:r>
          </w:p>
        </w:tc>
        <w:tc>
          <w:tcPr>
            <w:tcW w:w="704" w:type="pct"/>
          </w:tcPr>
          <w:p w14:paraId="3310758D" w14:textId="1DCC7EEE" w:rsidR="00803EC7" w:rsidRPr="00675182" w:rsidRDefault="00353713" w:rsidP="00803EC7">
            <w:pPr>
              <w:rPr>
                <w:rFonts w:cstheme="minorHAnsi"/>
                <w:sz w:val="22"/>
                <w:szCs w:val="22"/>
              </w:rPr>
            </w:pPr>
            <w:r w:rsidRPr="00675182">
              <w:rPr>
                <w:rFonts w:cstheme="minorHAnsi"/>
                <w:sz w:val="22"/>
                <w:szCs w:val="22"/>
              </w:rPr>
              <w:t>bieži</w:t>
            </w:r>
          </w:p>
        </w:tc>
      </w:tr>
      <w:tr w:rsidR="00803EC7" w:rsidRPr="00675182" w14:paraId="618101AC" w14:textId="77777777" w:rsidTr="00803EC7">
        <w:trPr>
          <w:trHeight w:val="284"/>
        </w:trPr>
        <w:tc>
          <w:tcPr>
            <w:tcW w:w="456" w:type="pct"/>
            <w:vAlign w:val="center"/>
          </w:tcPr>
          <w:p w14:paraId="2479609B" w14:textId="15C2B39C"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9.</w:t>
            </w:r>
          </w:p>
        </w:tc>
        <w:tc>
          <w:tcPr>
            <w:tcW w:w="1182" w:type="pct"/>
            <w:shd w:val="clear" w:color="auto" w:fill="auto"/>
            <w:vAlign w:val="center"/>
          </w:tcPr>
          <w:p w14:paraId="5F7BEB01" w14:textId="69713119"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Alata</w:t>
            </w:r>
          </w:p>
        </w:tc>
        <w:tc>
          <w:tcPr>
            <w:tcW w:w="1146" w:type="pct"/>
            <w:shd w:val="clear" w:color="auto" w:fill="auto"/>
            <w:noWrap/>
            <w:vAlign w:val="center"/>
          </w:tcPr>
          <w:p w14:paraId="2FF37741" w14:textId="36758C96"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Thymallus thymallus</w:t>
            </w:r>
          </w:p>
        </w:tc>
        <w:tc>
          <w:tcPr>
            <w:tcW w:w="840" w:type="pct"/>
            <w:shd w:val="clear" w:color="auto" w:fill="auto"/>
            <w:noWrap/>
            <w:vAlign w:val="center"/>
          </w:tcPr>
          <w:p w14:paraId="2A32D60D" w14:textId="569F1DAC" w:rsidR="00803EC7" w:rsidRPr="00675182" w:rsidRDefault="00803EC7" w:rsidP="00803EC7">
            <w:pPr>
              <w:jc w:val="center"/>
              <w:rPr>
                <w:rFonts w:cstheme="minorHAnsi"/>
                <w:color w:val="000000"/>
                <w:sz w:val="22"/>
                <w:szCs w:val="22"/>
              </w:rPr>
            </w:pPr>
            <w:r w:rsidRPr="00675182">
              <w:rPr>
                <w:rFonts w:cstheme="minorHAnsi"/>
                <w:color w:val="000000"/>
                <w:sz w:val="22"/>
                <w:szCs w:val="22"/>
              </w:rPr>
              <w:t>ES V, ĪAS, MIK</w:t>
            </w:r>
          </w:p>
        </w:tc>
        <w:tc>
          <w:tcPr>
            <w:tcW w:w="672" w:type="pct"/>
            <w:shd w:val="clear" w:color="auto" w:fill="FFFF00"/>
            <w:noWrap/>
            <w:vAlign w:val="center"/>
          </w:tcPr>
          <w:p w14:paraId="7B4A779A" w14:textId="31423EC1" w:rsidR="00803EC7" w:rsidRPr="00675182" w:rsidRDefault="00803EC7" w:rsidP="00803EC7">
            <w:pPr>
              <w:jc w:val="center"/>
              <w:rPr>
                <w:rFonts w:cstheme="minorHAnsi"/>
                <w:color w:val="000000"/>
                <w:sz w:val="22"/>
                <w:szCs w:val="22"/>
              </w:rPr>
            </w:pPr>
            <w:r w:rsidRPr="00675182">
              <w:rPr>
                <w:rFonts w:cstheme="minorHAnsi"/>
                <w:color w:val="000000"/>
                <w:sz w:val="22"/>
                <w:szCs w:val="22"/>
              </w:rPr>
              <w:t>U1=</w:t>
            </w:r>
          </w:p>
        </w:tc>
        <w:tc>
          <w:tcPr>
            <w:tcW w:w="704" w:type="pct"/>
          </w:tcPr>
          <w:p w14:paraId="72DB48B3" w14:textId="40F6A61E" w:rsidR="00803EC7" w:rsidRPr="00675182" w:rsidRDefault="00353713" w:rsidP="00803EC7">
            <w:pPr>
              <w:rPr>
                <w:rFonts w:cstheme="minorHAnsi"/>
                <w:sz w:val="22"/>
                <w:szCs w:val="22"/>
              </w:rPr>
            </w:pPr>
            <w:r w:rsidRPr="00675182">
              <w:rPr>
                <w:rFonts w:cstheme="minorHAnsi"/>
                <w:sz w:val="22"/>
                <w:szCs w:val="22"/>
              </w:rPr>
              <w:t>parasts</w:t>
            </w:r>
          </w:p>
        </w:tc>
      </w:tr>
      <w:tr w:rsidR="00803EC7" w:rsidRPr="00675182" w14:paraId="3AEB17D0" w14:textId="77777777" w:rsidTr="00803EC7">
        <w:trPr>
          <w:trHeight w:val="134"/>
        </w:trPr>
        <w:tc>
          <w:tcPr>
            <w:tcW w:w="456" w:type="pct"/>
            <w:vAlign w:val="center"/>
          </w:tcPr>
          <w:p w14:paraId="69E4D5C9" w14:textId="556E41D6"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10.</w:t>
            </w:r>
          </w:p>
        </w:tc>
        <w:tc>
          <w:tcPr>
            <w:tcW w:w="1182" w:type="pct"/>
            <w:shd w:val="clear" w:color="auto" w:fill="auto"/>
            <w:vAlign w:val="center"/>
          </w:tcPr>
          <w:p w14:paraId="0AEA6C12" w14:textId="01E092C7"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Taimiņš</w:t>
            </w:r>
          </w:p>
        </w:tc>
        <w:tc>
          <w:tcPr>
            <w:tcW w:w="1146" w:type="pct"/>
            <w:shd w:val="clear" w:color="auto" w:fill="auto"/>
            <w:noWrap/>
            <w:vAlign w:val="center"/>
          </w:tcPr>
          <w:p w14:paraId="5E409F2A" w14:textId="1F6B7C37"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Salmo trutta</w:t>
            </w:r>
          </w:p>
        </w:tc>
        <w:tc>
          <w:tcPr>
            <w:tcW w:w="840" w:type="pct"/>
            <w:shd w:val="clear" w:color="auto" w:fill="auto"/>
            <w:noWrap/>
            <w:vAlign w:val="center"/>
          </w:tcPr>
          <w:p w14:paraId="70270A09" w14:textId="79890BFE" w:rsidR="00803EC7" w:rsidRPr="00675182" w:rsidRDefault="00803EC7" w:rsidP="00803EC7">
            <w:pPr>
              <w:jc w:val="center"/>
              <w:rPr>
                <w:rFonts w:cstheme="minorHAnsi"/>
                <w:color w:val="000000"/>
                <w:sz w:val="22"/>
                <w:szCs w:val="22"/>
              </w:rPr>
            </w:pPr>
            <w:r w:rsidRPr="00675182">
              <w:rPr>
                <w:rFonts w:cstheme="minorHAnsi"/>
                <w:color w:val="000000"/>
                <w:sz w:val="22"/>
                <w:szCs w:val="22"/>
              </w:rPr>
              <w:t>ĪAS, MIK</w:t>
            </w:r>
          </w:p>
        </w:tc>
        <w:tc>
          <w:tcPr>
            <w:tcW w:w="672" w:type="pct"/>
            <w:shd w:val="clear" w:color="auto" w:fill="auto"/>
            <w:noWrap/>
            <w:vAlign w:val="center"/>
          </w:tcPr>
          <w:p w14:paraId="24B8FE2C" w14:textId="77777777" w:rsidR="00803EC7" w:rsidRPr="00675182" w:rsidRDefault="00803EC7" w:rsidP="00803EC7">
            <w:pPr>
              <w:jc w:val="center"/>
              <w:rPr>
                <w:rFonts w:cstheme="minorHAnsi"/>
                <w:color w:val="000000"/>
                <w:sz w:val="22"/>
                <w:szCs w:val="22"/>
              </w:rPr>
            </w:pPr>
          </w:p>
        </w:tc>
        <w:tc>
          <w:tcPr>
            <w:tcW w:w="704" w:type="pct"/>
          </w:tcPr>
          <w:p w14:paraId="67FB9E0C" w14:textId="78057FFB" w:rsidR="00803EC7" w:rsidRPr="00675182" w:rsidRDefault="00353713" w:rsidP="00803EC7">
            <w:pPr>
              <w:rPr>
                <w:rFonts w:cstheme="minorHAnsi"/>
                <w:sz w:val="22"/>
                <w:szCs w:val="22"/>
              </w:rPr>
            </w:pPr>
            <w:r w:rsidRPr="00675182">
              <w:rPr>
                <w:rFonts w:cstheme="minorHAnsi"/>
                <w:sz w:val="22"/>
                <w:szCs w:val="22"/>
              </w:rPr>
              <w:t>bieži</w:t>
            </w:r>
          </w:p>
        </w:tc>
      </w:tr>
      <w:tr w:rsidR="00803EC7" w:rsidRPr="00675182" w14:paraId="5A7F3993" w14:textId="77777777" w:rsidTr="00803EC7">
        <w:trPr>
          <w:trHeight w:val="284"/>
        </w:trPr>
        <w:tc>
          <w:tcPr>
            <w:tcW w:w="456" w:type="pct"/>
            <w:vAlign w:val="center"/>
          </w:tcPr>
          <w:p w14:paraId="7245EDDF" w14:textId="199E0118" w:rsidR="00803EC7" w:rsidRPr="00675182" w:rsidRDefault="00803EC7" w:rsidP="00803EC7">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11.</w:t>
            </w:r>
          </w:p>
        </w:tc>
        <w:tc>
          <w:tcPr>
            <w:tcW w:w="1182" w:type="pct"/>
            <w:shd w:val="clear" w:color="auto" w:fill="auto"/>
            <w:vAlign w:val="center"/>
          </w:tcPr>
          <w:p w14:paraId="7FC37287" w14:textId="5D9CA5E5" w:rsidR="00803EC7" w:rsidRPr="00675182" w:rsidRDefault="00803EC7" w:rsidP="00803EC7">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Ziemeļu zaltainais akmeņgrauzis*</w:t>
            </w:r>
          </w:p>
        </w:tc>
        <w:tc>
          <w:tcPr>
            <w:tcW w:w="1146" w:type="pct"/>
            <w:shd w:val="clear" w:color="auto" w:fill="auto"/>
            <w:noWrap/>
            <w:vAlign w:val="center"/>
          </w:tcPr>
          <w:p w14:paraId="080DA240" w14:textId="5D953A86" w:rsidR="00803EC7" w:rsidRPr="00675182" w:rsidRDefault="00803EC7" w:rsidP="00803EC7">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Sabanejewia baltica</w:t>
            </w:r>
          </w:p>
        </w:tc>
        <w:tc>
          <w:tcPr>
            <w:tcW w:w="840" w:type="pct"/>
            <w:shd w:val="clear" w:color="auto" w:fill="auto"/>
            <w:noWrap/>
            <w:vAlign w:val="center"/>
          </w:tcPr>
          <w:p w14:paraId="0E1638CF" w14:textId="2A4BD116" w:rsidR="00803EC7" w:rsidRPr="00675182" w:rsidRDefault="00803EC7" w:rsidP="00803EC7">
            <w:pPr>
              <w:jc w:val="center"/>
              <w:rPr>
                <w:rFonts w:cstheme="minorHAnsi"/>
                <w:color w:val="000000"/>
                <w:sz w:val="22"/>
                <w:szCs w:val="22"/>
              </w:rPr>
            </w:pPr>
            <w:r w:rsidRPr="00675182">
              <w:rPr>
                <w:rFonts w:cstheme="minorHAnsi"/>
                <w:color w:val="000000"/>
                <w:sz w:val="22"/>
                <w:szCs w:val="22"/>
              </w:rPr>
              <w:t>ES</w:t>
            </w:r>
            <w:r w:rsidR="00D70F48" w:rsidRPr="00675182">
              <w:rPr>
                <w:rFonts w:cstheme="minorHAnsi"/>
                <w:color w:val="000000"/>
                <w:sz w:val="22"/>
                <w:szCs w:val="22"/>
              </w:rPr>
              <w:t xml:space="preserve"> </w:t>
            </w:r>
            <w:r w:rsidRPr="00675182">
              <w:rPr>
                <w:rFonts w:cstheme="minorHAnsi"/>
                <w:color w:val="000000"/>
                <w:sz w:val="22"/>
                <w:szCs w:val="22"/>
              </w:rPr>
              <w:t>II</w:t>
            </w:r>
          </w:p>
        </w:tc>
        <w:tc>
          <w:tcPr>
            <w:tcW w:w="672" w:type="pct"/>
            <w:shd w:val="clear" w:color="auto" w:fill="92D050"/>
            <w:noWrap/>
            <w:vAlign w:val="center"/>
          </w:tcPr>
          <w:p w14:paraId="058E2296" w14:textId="4983D0A8" w:rsidR="00803EC7" w:rsidRPr="00675182" w:rsidRDefault="00803EC7" w:rsidP="00803EC7">
            <w:pPr>
              <w:jc w:val="center"/>
              <w:rPr>
                <w:rFonts w:cstheme="minorHAnsi"/>
                <w:color w:val="000000"/>
                <w:sz w:val="22"/>
                <w:szCs w:val="22"/>
              </w:rPr>
            </w:pPr>
            <w:r w:rsidRPr="00675182">
              <w:rPr>
                <w:rFonts w:cstheme="minorHAnsi"/>
                <w:color w:val="000000"/>
                <w:sz w:val="22"/>
                <w:szCs w:val="22"/>
              </w:rPr>
              <w:t>FV</w:t>
            </w:r>
          </w:p>
        </w:tc>
        <w:tc>
          <w:tcPr>
            <w:tcW w:w="704" w:type="pct"/>
          </w:tcPr>
          <w:p w14:paraId="38D18F9D" w14:textId="5040CB9D" w:rsidR="00803EC7" w:rsidRPr="00675182" w:rsidRDefault="00353713" w:rsidP="00803EC7">
            <w:pPr>
              <w:rPr>
                <w:rFonts w:cstheme="minorHAnsi"/>
                <w:sz w:val="22"/>
                <w:szCs w:val="22"/>
              </w:rPr>
            </w:pPr>
            <w:r w:rsidRPr="00675182">
              <w:rPr>
                <w:rFonts w:cstheme="minorHAnsi"/>
                <w:sz w:val="22"/>
                <w:szCs w:val="22"/>
              </w:rPr>
              <w:t>parasts</w:t>
            </w:r>
          </w:p>
        </w:tc>
      </w:tr>
      <w:tr w:rsidR="00353713" w:rsidRPr="00675182" w14:paraId="0ABD547B" w14:textId="77777777" w:rsidTr="00803EC7">
        <w:trPr>
          <w:trHeight w:val="284"/>
        </w:trPr>
        <w:tc>
          <w:tcPr>
            <w:tcW w:w="456" w:type="pct"/>
            <w:vAlign w:val="center"/>
          </w:tcPr>
          <w:p w14:paraId="46FFB32E" w14:textId="60E88A48" w:rsidR="00353713" w:rsidRPr="00675182" w:rsidRDefault="00353713" w:rsidP="00353713">
            <w:pPr>
              <w:jc w:val="center"/>
              <w:rPr>
                <w:rFonts w:eastAsia="Times New Roman" w:cstheme="minorHAnsi"/>
                <w:color w:val="000000"/>
                <w:sz w:val="22"/>
                <w:szCs w:val="22"/>
                <w:lang w:eastAsia="en-GB"/>
              </w:rPr>
            </w:pPr>
            <w:r w:rsidRPr="00675182">
              <w:rPr>
                <w:rFonts w:eastAsia="Times New Roman" w:cstheme="minorHAnsi"/>
                <w:color w:val="000000"/>
                <w:sz w:val="22"/>
                <w:szCs w:val="22"/>
                <w:lang w:eastAsia="en-GB"/>
              </w:rPr>
              <w:t>12.</w:t>
            </w:r>
          </w:p>
        </w:tc>
        <w:tc>
          <w:tcPr>
            <w:tcW w:w="1182" w:type="pct"/>
            <w:shd w:val="clear" w:color="auto" w:fill="auto"/>
            <w:vAlign w:val="center"/>
          </w:tcPr>
          <w:p w14:paraId="5A89BF1B" w14:textId="540DD069" w:rsidR="00353713" w:rsidRPr="00675182" w:rsidRDefault="00353713" w:rsidP="00353713">
            <w:pPr>
              <w:rPr>
                <w:rFonts w:eastAsia="Times New Roman" w:cstheme="minorHAnsi"/>
                <w:color w:val="000000"/>
                <w:sz w:val="22"/>
                <w:szCs w:val="22"/>
                <w:lang w:eastAsia="en-GB"/>
              </w:rPr>
            </w:pPr>
            <w:r w:rsidRPr="00675182">
              <w:rPr>
                <w:rFonts w:eastAsia="Times New Roman" w:cstheme="minorHAnsi"/>
                <w:color w:val="000000"/>
                <w:sz w:val="22"/>
                <w:szCs w:val="22"/>
                <w:lang w:eastAsia="en-GB"/>
              </w:rPr>
              <w:t>Platspīļu vēzis</w:t>
            </w:r>
          </w:p>
        </w:tc>
        <w:tc>
          <w:tcPr>
            <w:tcW w:w="1146" w:type="pct"/>
            <w:shd w:val="clear" w:color="auto" w:fill="auto"/>
            <w:noWrap/>
            <w:vAlign w:val="center"/>
          </w:tcPr>
          <w:p w14:paraId="71754F04" w14:textId="31012755" w:rsidR="00353713" w:rsidRPr="00675182" w:rsidRDefault="00353713" w:rsidP="00353713">
            <w:pPr>
              <w:rPr>
                <w:rFonts w:eastAsia="Times New Roman" w:cstheme="minorHAnsi"/>
                <w:i/>
                <w:color w:val="000000"/>
                <w:sz w:val="22"/>
                <w:szCs w:val="22"/>
                <w:lang w:eastAsia="en-GB"/>
              </w:rPr>
            </w:pPr>
            <w:r w:rsidRPr="00675182">
              <w:rPr>
                <w:rFonts w:eastAsia="Times New Roman" w:cstheme="minorHAnsi"/>
                <w:i/>
                <w:color w:val="000000"/>
                <w:sz w:val="22"/>
                <w:szCs w:val="22"/>
                <w:lang w:eastAsia="en-GB"/>
              </w:rPr>
              <w:t>Astacus astacus</w:t>
            </w:r>
          </w:p>
        </w:tc>
        <w:tc>
          <w:tcPr>
            <w:tcW w:w="840" w:type="pct"/>
            <w:shd w:val="clear" w:color="auto" w:fill="auto"/>
            <w:noWrap/>
            <w:vAlign w:val="center"/>
          </w:tcPr>
          <w:p w14:paraId="3C652EFC" w14:textId="144EC3E5" w:rsidR="00353713" w:rsidRPr="00675182" w:rsidRDefault="00353713" w:rsidP="00353713">
            <w:pPr>
              <w:jc w:val="center"/>
              <w:rPr>
                <w:rFonts w:cstheme="minorHAnsi"/>
                <w:color w:val="000000"/>
                <w:sz w:val="22"/>
                <w:szCs w:val="22"/>
              </w:rPr>
            </w:pPr>
            <w:r w:rsidRPr="00675182">
              <w:rPr>
                <w:rFonts w:cstheme="minorHAnsi"/>
                <w:color w:val="000000"/>
                <w:sz w:val="22"/>
                <w:szCs w:val="22"/>
              </w:rPr>
              <w:t>ES V, ĪAS</w:t>
            </w:r>
          </w:p>
        </w:tc>
        <w:tc>
          <w:tcPr>
            <w:tcW w:w="672" w:type="pct"/>
            <w:shd w:val="clear" w:color="auto" w:fill="FFFF00"/>
            <w:noWrap/>
            <w:vAlign w:val="center"/>
          </w:tcPr>
          <w:p w14:paraId="10C84DFF" w14:textId="2CBDDDC4" w:rsidR="00353713" w:rsidRPr="00675182" w:rsidRDefault="00353713" w:rsidP="00353713">
            <w:pPr>
              <w:jc w:val="center"/>
              <w:rPr>
                <w:rFonts w:cstheme="minorHAnsi"/>
                <w:color w:val="000000"/>
                <w:sz w:val="22"/>
                <w:szCs w:val="22"/>
              </w:rPr>
            </w:pPr>
            <w:r w:rsidRPr="00675182">
              <w:rPr>
                <w:rFonts w:cstheme="minorHAnsi"/>
                <w:color w:val="000000"/>
                <w:sz w:val="22"/>
                <w:szCs w:val="22"/>
              </w:rPr>
              <w:t>U1=</w:t>
            </w:r>
          </w:p>
        </w:tc>
        <w:tc>
          <w:tcPr>
            <w:tcW w:w="704" w:type="pct"/>
          </w:tcPr>
          <w:p w14:paraId="6F64D7F2" w14:textId="1E5EBC15" w:rsidR="00353713" w:rsidRPr="00675182" w:rsidRDefault="00353713" w:rsidP="00353713">
            <w:pPr>
              <w:rPr>
                <w:rFonts w:cstheme="minorHAnsi"/>
                <w:sz w:val="22"/>
                <w:szCs w:val="22"/>
              </w:rPr>
            </w:pPr>
            <w:r w:rsidRPr="00675182">
              <w:rPr>
                <w:rFonts w:cstheme="minorHAnsi"/>
                <w:sz w:val="22"/>
                <w:szCs w:val="22"/>
              </w:rPr>
              <w:t>parasts</w:t>
            </w:r>
          </w:p>
        </w:tc>
      </w:tr>
    </w:tbl>
    <w:p w14:paraId="5B7DD246" w14:textId="36501AFA" w:rsidR="00A25A76" w:rsidRPr="00675182" w:rsidRDefault="00803EC7" w:rsidP="00A25A76">
      <w:pPr>
        <w:rPr>
          <w:rFonts w:cstheme="minorHAnsi"/>
        </w:rPr>
      </w:pPr>
      <w:r w:rsidRPr="00675182">
        <w:rPr>
          <w:rFonts w:cstheme="minorHAnsi"/>
          <w:sz w:val="20"/>
        </w:rPr>
        <w:t xml:space="preserve">*- </w:t>
      </w:r>
      <w:r w:rsidRPr="00675182">
        <w:rPr>
          <w:rFonts w:eastAsia="Times New Roman" w:cstheme="minorHAnsi"/>
          <w:sz w:val="20"/>
        </w:rPr>
        <w:t xml:space="preserve">Eiropas Padomes direktīvā 92/43/EEK (21.05.1992) ar veco nosaukumu </w:t>
      </w:r>
      <w:r w:rsidRPr="00675182">
        <w:rPr>
          <w:rFonts w:eastAsia="Times New Roman" w:cstheme="minorHAnsi"/>
          <w:i/>
          <w:iCs/>
          <w:sz w:val="20"/>
        </w:rPr>
        <w:t>Sabanejewia aurata</w:t>
      </w:r>
    </w:p>
    <w:p w14:paraId="60534316" w14:textId="3A27AF8E" w:rsidR="00BB1A73" w:rsidRPr="00675182" w:rsidRDefault="00A25A76" w:rsidP="00A25A76">
      <w:pPr>
        <w:rPr>
          <w:rFonts w:cstheme="minorHAnsi"/>
          <w:b/>
          <w:iCs/>
          <w:sz w:val="20"/>
        </w:rPr>
      </w:pPr>
      <w:r w:rsidRPr="00675182">
        <w:rPr>
          <w:rFonts w:cstheme="minorHAnsi"/>
          <w:sz w:val="20"/>
        </w:rPr>
        <w:t xml:space="preserve">Informācija par sugu aizsardzības stāvokli Latvijā no „Ziņojums Eiropas Komisijai par biotopu (dzīvotņu) un sugu aizsardzības stāvokli Latvijā. Novērtējums par 2013.-2018. gada periodu” </w:t>
      </w:r>
      <w:r w:rsidRPr="00675182">
        <w:rPr>
          <w:rFonts w:cstheme="minorHAnsi"/>
          <w:b/>
          <w:bCs/>
          <w:sz w:val="20"/>
        </w:rPr>
        <w:t>FV</w:t>
      </w:r>
      <w:r w:rsidRPr="00675182">
        <w:rPr>
          <w:rFonts w:cstheme="minorHAnsi"/>
          <w:sz w:val="20"/>
        </w:rPr>
        <w:t xml:space="preserve">: Aizsardzības stāvoklis labvēlīgs (Favourable); </w:t>
      </w:r>
      <w:r w:rsidRPr="00675182">
        <w:rPr>
          <w:rFonts w:cstheme="minorHAnsi"/>
          <w:b/>
          <w:bCs/>
          <w:sz w:val="20"/>
        </w:rPr>
        <w:t>U1</w:t>
      </w:r>
      <w:r w:rsidRPr="00675182">
        <w:rPr>
          <w:rFonts w:cstheme="minorHAnsi"/>
          <w:sz w:val="20"/>
        </w:rPr>
        <w:t xml:space="preserve">: Aizsardzības stāvoklis nelabvēlīgs-nepietiekams (Unfavourable-Inadequate); </w:t>
      </w:r>
      <w:r w:rsidRPr="00675182">
        <w:rPr>
          <w:rFonts w:cstheme="minorHAnsi"/>
          <w:b/>
          <w:bCs/>
          <w:sz w:val="20"/>
        </w:rPr>
        <w:t>U2</w:t>
      </w:r>
      <w:r w:rsidRPr="00675182">
        <w:rPr>
          <w:rFonts w:cstheme="minorHAnsi"/>
          <w:sz w:val="20"/>
        </w:rPr>
        <w:t xml:space="preserve">: Aizsardzības stāvoklis nelabvēlīgs-slikts (Unfavourable-Bad); </w:t>
      </w:r>
      <w:r w:rsidRPr="00675182">
        <w:rPr>
          <w:rFonts w:cstheme="minorHAnsi"/>
          <w:b/>
          <w:bCs/>
          <w:sz w:val="20"/>
        </w:rPr>
        <w:t>XX</w:t>
      </w:r>
      <w:r w:rsidRPr="00675182">
        <w:rPr>
          <w:rFonts w:cstheme="minorHAnsi"/>
          <w:sz w:val="20"/>
        </w:rPr>
        <w:t xml:space="preserve">: Aizsardzības stāvoklis nezināms (Unknown). </w:t>
      </w:r>
    </w:p>
    <w:p w14:paraId="14D828A7" w14:textId="743CECBF" w:rsidR="00A25A76" w:rsidRPr="00675182" w:rsidRDefault="00A25A76" w:rsidP="00A25A76">
      <w:pPr>
        <w:rPr>
          <w:rFonts w:cstheme="minorHAnsi"/>
          <w:b/>
          <w:iCs/>
          <w:sz w:val="20"/>
        </w:rPr>
      </w:pPr>
      <w:r w:rsidRPr="00675182">
        <w:rPr>
          <w:rFonts w:cstheme="minorHAnsi"/>
          <w:b/>
          <w:iCs/>
          <w:sz w:val="20"/>
        </w:rPr>
        <w:t>Saīsinājumi:</w:t>
      </w:r>
    </w:p>
    <w:p w14:paraId="439C485D" w14:textId="0AB6AE73" w:rsidR="00A25A76" w:rsidRPr="00675182" w:rsidRDefault="00A25A76" w:rsidP="00A25A76">
      <w:pPr>
        <w:autoSpaceDE w:val="0"/>
        <w:rPr>
          <w:rFonts w:cstheme="minorHAnsi"/>
          <w:sz w:val="20"/>
        </w:rPr>
      </w:pPr>
      <w:r w:rsidRPr="00675182">
        <w:rPr>
          <w:rFonts w:cstheme="minorHAnsi"/>
          <w:b/>
          <w:bCs/>
          <w:sz w:val="20"/>
        </w:rPr>
        <w:t xml:space="preserve">ES </w:t>
      </w:r>
      <w:r w:rsidRPr="00675182">
        <w:rPr>
          <w:rFonts w:cstheme="minorHAnsi"/>
          <w:sz w:val="20"/>
        </w:rPr>
        <w:t xml:space="preserve">– </w:t>
      </w:r>
      <w:r w:rsidRPr="00675182">
        <w:rPr>
          <w:rFonts w:eastAsia="Times New Roman" w:cstheme="minorHAnsi"/>
          <w:sz w:val="20"/>
        </w:rPr>
        <w:t xml:space="preserve">Eiropas Padomes direktīva 92/43/EEK (21.05.1992) Par dabisko dzīvotņu, savvaļas floras un faunas aizsardzību. </w:t>
      </w:r>
      <w:r w:rsidRPr="00675182">
        <w:rPr>
          <w:rFonts w:cstheme="minorHAnsi"/>
          <w:b/>
          <w:bCs/>
          <w:sz w:val="20"/>
        </w:rPr>
        <w:t xml:space="preserve">II </w:t>
      </w:r>
      <w:r w:rsidRPr="00675182">
        <w:rPr>
          <w:rFonts w:cstheme="minorHAnsi"/>
          <w:sz w:val="20"/>
        </w:rPr>
        <w:t xml:space="preserve">pielikums. Dzīvnieku un augu sugas, kas ir Kopienas interešu sfērā un kuru aizsardzībai nepieciešama </w:t>
      </w:r>
      <w:r w:rsidR="005D63E3">
        <w:rPr>
          <w:rFonts w:cstheme="minorHAnsi"/>
          <w:sz w:val="20"/>
        </w:rPr>
        <w:t>ĪA</w:t>
      </w:r>
      <w:r w:rsidRPr="00675182">
        <w:rPr>
          <w:rFonts w:cstheme="minorHAnsi"/>
          <w:sz w:val="20"/>
        </w:rPr>
        <w:t xml:space="preserve"> teritoriju nodalīšana. </w:t>
      </w:r>
      <w:r w:rsidRPr="00675182">
        <w:rPr>
          <w:rFonts w:cstheme="minorHAnsi"/>
          <w:b/>
          <w:bCs/>
          <w:sz w:val="20"/>
        </w:rPr>
        <w:t xml:space="preserve">* </w:t>
      </w:r>
      <w:r w:rsidRPr="00675182">
        <w:rPr>
          <w:rFonts w:cstheme="minorHAnsi"/>
          <w:sz w:val="20"/>
        </w:rPr>
        <w:t xml:space="preserve">- prioritāra suga; </w:t>
      </w:r>
      <w:r w:rsidRPr="00675182">
        <w:rPr>
          <w:rFonts w:cstheme="minorHAnsi"/>
          <w:b/>
          <w:bCs/>
          <w:sz w:val="20"/>
        </w:rPr>
        <w:t xml:space="preserve">IV </w:t>
      </w:r>
      <w:r w:rsidRPr="00675182">
        <w:rPr>
          <w:rFonts w:cstheme="minorHAnsi"/>
          <w:sz w:val="20"/>
        </w:rPr>
        <w:t>pielikums. Dzīvnieku un augu sugas, kas ir Kopienas interešu sfērā un kuru aizsardzībai nepieciešams stingrs aizsardzības režīms</w:t>
      </w:r>
      <w:r w:rsidR="00803EC7" w:rsidRPr="00675182">
        <w:rPr>
          <w:rFonts w:cstheme="minorHAnsi"/>
          <w:sz w:val="20"/>
        </w:rPr>
        <w:t>.</w:t>
      </w:r>
    </w:p>
    <w:p w14:paraId="0AC0E328" w14:textId="77777777" w:rsidR="00803EC7" w:rsidRPr="00675182" w:rsidRDefault="00803EC7" w:rsidP="00803EC7">
      <w:pPr>
        <w:shd w:val="clear" w:color="auto" w:fill="FFFFFF"/>
        <w:rPr>
          <w:rFonts w:cstheme="minorHAnsi"/>
          <w:sz w:val="20"/>
        </w:rPr>
      </w:pPr>
      <w:r w:rsidRPr="00675182">
        <w:rPr>
          <w:rFonts w:cstheme="minorHAnsi"/>
          <w:b/>
          <w:sz w:val="20"/>
        </w:rPr>
        <w:t xml:space="preserve">ĪAS </w:t>
      </w:r>
      <w:r w:rsidRPr="00675182">
        <w:rPr>
          <w:rFonts w:cstheme="minorHAnsi"/>
          <w:sz w:val="20"/>
        </w:rPr>
        <w:t>– īpaši aizsargājama suga, 1. pielikums (īpaši aizsargājamas sugas) vai 2. pielikums (ierobežoti izmantojamas īpaši aizsargājamas sugas) MK 2000. gada 14. novembra noteikumiem Nr. 396 ”Noteikumi par īpaši aizsargājamo sugu un ierobežoti izmantojamo īpaši aizsargājamo sugu sarakstu</w:t>
      </w:r>
      <w:r w:rsidRPr="00675182">
        <w:rPr>
          <w:rFonts w:cstheme="minorHAnsi"/>
        </w:rPr>
        <w:t>”</w:t>
      </w:r>
      <w:r w:rsidRPr="00675182">
        <w:rPr>
          <w:rFonts w:cstheme="minorHAnsi"/>
          <w:sz w:val="20"/>
        </w:rPr>
        <w:t xml:space="preserve"> </w:t>
      </w:r>
    </w:p>
    <w:p w14:paraId="5D90EC61" w14:textId="0B25159F" w:rsidR="00A25A76" w:rsidRPr="00675182" w:rsidRDefault="00803EC7" w:rsidP="00A25A76">
      <w:pPr>
        <w:rPr>
          <w:rFonts w:cstheme="minorHAnsi"/>
          <w:b/>
          <w:sz w:val="20"/>
        </w:rPr>
      </w:pPr>
      <w:r w:rsidRPr="00675182">
        <w:rPr>
          <w:rFonts w:cstheme="minorHAnsi"/>
          <w:b/>
          <w:sz w:val="20"/>
        </w:rPr>
        <w:t xml:space="preserve">MIK </w:t>
      </w:r>
      <w:r w:rsidRPr="00675182">
        <w:rPr>
          <w:rFonts w:cstheme="minorHAnsi"/>
          <w:sz w:val="20"/>
        </w:rPr>
        <w:t>– sugas aizsardzībai veidojams mikroliegums, 1. pielikums MK 2012. gada 18. decembra noteikumiem Nr. 940 „Noteikumi par mikroliegumu izveidošanas un apsaimniekošanas kārtību, to aizsardzību, kā arī mikroliegumu un to buferzonu noteikšanu”</w:t>
      </w:r>
      <w:bookmarkEnd w:id="99"/>
    </w:p>
    <w:p w14:paraId="525BF193" w14:textId="2FA5ECA6" w:rsidR="00ED4366" w:rsidRPr="00315BC7" w:rsidRDefault="00ED4366" w:rsidP="00ED4366">
      <w:pPr>
        <w:pStyle w:val="BodyText"/>
        <w:spacing w:after="0"/>
        <w:rPr>
          <w:rFonts w:cstheme="minorBidi"/>
          <w:b/>
          <w:bCs/>
          <w:i/>
          <w:iCs/>
          <w:lang w:val="lv-LV"/>
        </w:rPr>
      </w:pPr>
      <w:r w:rsidRPr="00675182">
        <w:rPr>
          <w:rFonts w:cstheme="minorHAnsi"/>
          <w:b/>
          <w:i/>
          <w:lang w:val="lv-LV"/>
        </w:rPr>
        <w:lastRenderedPageBreak/>
        <w:t>2.4.</w:t>
      </w:r>
      <w:r>
        <w:rPr>
          <w:rFonts w:cstheme="minorHAnsi"/>
          <w:b/>
          <w:i/>
          <w:lang w:val="lv-LV"/>
        </w:rPr>
        <w:t>7</w:t>
      </w:r>
      <w:r w:rsidRPr="00675182">
        <w:rPr>
          <w:rFonts w:cstheme="minorHAnsi"/>
          <w:b/>
          <w:i/>
          <w:lang w:val="lv-LV"/>
        </w:rPr>
        <w:t>.</w:t>
      </w:r>
      <w:r>
        <w:rPr>
          <w:rFonts w:cstheme="minorHAnsi"/>
          <w:b/>
          <w:i/>
          <w:lang w:val="lv-LV"/>
        </w:rPr>
        <w:t>B.</w:t>
      </w:r>
      <w:r w:rsidRPr="00675182">
        <w:rPr>
          <w:rFonts w:cstheme="minorHAnsi"/>
          <w:b/>
          <w:i/>
          <w:lang w:val="lv-LV"/>
        </w:rPr>
        <w:t xml:space="preserve"> tabula. </w:t>
      </w:r>
      <w:r w:rsidRPr="00315BC7">
        <w:rPr>
          <w:rFonts w:cstheme="minorBidi"/>
          <w:b/>
          <w:bCs/>
          <w:i/>
          <w:iCs/>
          <w:lang w:val="lv-LV"/>
        </w:rPr>
        <w:t xml:space="preserve">Biotopu direktīvas pielikumos iekļauto </w:t>
      </w:r>
      <w:r>
        <w:rPr>
          <w:rFonts w:cstheme="minorBidi"/>
          <w:b/>
          <w:bCs/>
          <w:i/>
          <w:iCs/>
          <w:lang w:val="lv-LV"/>
        </w:rPr>
        <w:t>zivju s</w:t>
      </w:r>
      <w:r w:rsidRPr="00315BC7">
        <w:rPr>
          <w:rFonts w:cstheme="minorBidi"/>
          <w:b/>
          <w:bCs/>
          <w:i/>
          <w:iCs/>
          <w:lang w:val="lv-LV"/>
        </w:rPr>
        <w:t xml:space="preserve">ugu populāciju lielums un sugu dzīvotņu platība </w:t>
      </w:r>
      <w:r>
        <w:rPr>
          <w:rFonts w:cstheme="minorBidi"/>
          <w:b/>
          <w:bCs/>
          <w:i/>
          <w:iCs/>
          <w:lang w:val="lv-LV"/>
        </w:rPr>
        <w:t>GNP</w:t>
      </w:r>
    </w:p>
    <w:tbl>
      <w:tblPr>
        <w:tblW w:w="5000" w:type="pct"/>
        <w:tblCellMar>
          <w:left w:w="10" w:type="dxa"/>
          <w:right w:w="10" w:type="dxa"/>
        </w:tblCellMar>
        <w:tblLook w:val="04A0" w:firstRow="1" w:lastRow="0" w:firstColumn="1" w:lastColumn="0" w:noHBand="0" w:noVBand="1"/>
      </w:tblPr>
      <w:tblGrid>
        <w:gridCol w:w="1267"/>
        <w:gridCol w:w="2273"/>
        <w:gridCol w:w="968"/>
        <w:gridCol w:w="1166"/>
        <w:gridCol w:w="1994"/>
        <w:gridCol w:w="1891"/>
        <w:gridCol w:w="1654"/>
        <w:gridCol w:w="2734"/>
      </w:tblGrid>
      <w:tr w:rsidR="009D70FF" w:rsidRPr="001512C5" w14:paraId="3D0FAFF4" w14:textId="77777777" w:rsidTr="00A0428C">
        <w:tc>
          <w:tcPr>
            <w:tcW w:w="454"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581DA127" w14:textId="77777777" w:rsidR="009D70FF" w:rsidRPr="00ED4366" w:rsidRDefault="009D70FF" w:rsidP="009D70FF">
            <w:pPr>
              <w:jc w:val="center"/>
              <w:rPr>
                <w:rFonts w:cstheme="minorHAnsi"/>
                <w:b/>
                <w:bCs/>
              </w:rPr>
            </w:pPr>
            <w:r w:rsidRPr="00ED4366">
              <w:rPr>
                <w:rFonts w:cstheme="minorHAnsi"/>
                <w:b/>
                <w:bCs/>
              </w:rPr>
              <w:t>Nr.p.k.</w:t>
            </w:r>
          </w:p>
        </w:tc>
        <w:tc>
          <w:tcPr>
            <w:tcW w:w="815" w:type="pct"/>
            <w:vMerge w:val="restart"/>
            <w:tcBorders>
              <w:top w:val="single" w:sz="4" w:space="0" w:color="000000"/>
              <w:left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03BC3CF3" w14:textId="77777777" w:rsidR="009D70FF" w:rsidRPr="00ED4366" w:rsidRDefault="009D70FF" w:rsidP="009D70FF">
            <w:pPr>
              <w:jc w:val="center"/>
              <w:rPr>
                <w:rFonts w:cstheme="minorHAnsi"/>
                <w:b/>
                <w:bCs/>
              </w:rPr>
            </w:pPr>
            <w:r w:rsidRPr="00ED4366">
              <w:rPr>
                <w:rFonts w:cstheme="minorHAnsi"/>
                <w:b/>
                <w:bCs/>
              </w:rPr>
              <w:t>Sugas nosaukums (latviski un latīniski)</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677AD957" w14:textId="77777777" w:rsidR="009D70FF" w:rsidRPr="00ED4366" w:rsidRDefault="009D70FF" w:rsidP="009D70FF">
            <w:pPr>
              <w:jc w:val="center"/>
              <w:rPr>
                <w:rFonts w:cstheme="minorHAnsi"/>
                <w:b/>
                <w:bCs/>
              </w:rPr>
            </w:pPr>
            <w:r w:rsidRPr="00ED4366">
              <w:rPr>
                <w:rFonts w:cstheme="minorHAnsi"/>
                <w:b/>
                <w:bCs/>
              </w:rPr>
              <w:t>Sugas populācijas lielums teritorijā</w:t>
            </w:r>
            <w:r w:rsidRPr="00ED4366">
              <w:rPr>
                <w:rFonts w:cstheme="minorHAnsi"/>
                <w:b/>
                <w:bCs/>
                <w:vertAlign w:val="superscript"/>
              </w:rPr>
              <w:t>1</w:t>
            </w:r>
          </w:p>
        </w:tc>
        <w:tc>
          <w:tcPr>
            <w:tcW w:w="715" w:type="pct"/>
            <w:vMerge w:val="restart"/>
            <w:tcBorders>
              <w:top w:val="single" w:sz="4" w:space="0" w:color="000000"/>
              <w:left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6EF0DF1B" w14:textId="77777777" w:rsidR="009D70FF" w:rsidRPr="00ED4366" w:rsidRDefault="009D70FF" w:rsidP="009D70FF">
            <w:pPr>
              <w:jc w:val="center"/>
              <w:rPr>
                <w:rFonts w:cstheme="minorHAnsi"/>
                <w:b/>
                <w:bCs/>
              </w:rPr>
            </w:pPr>
            <w:r w:rsidRPr="00ED4366">
              <w:rPr>
                <w:rFonts w:cstheme="minorHAnsi"/>
                <w:b/>
                <w:bCs/>
              </w:rPr>
              <w:t>Teritorijā esošās sugas populācijas attiecība (%) pret sugas populāciju Natura 2000 teritorijās Latvijā kopumā</w:t>
            </w:r>
          </w:p>
        </w:tc>
        <w:tc>
          <w:tcPr>
            <w:tcW w:w="678" w:type="pct"/>
            <w:vMerge w:val="restart"/>
            <w:tcBorders>
              <w:top w:val="single" w:sz="4" w:space="0" w:color="000000"/>
              <w:left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29ABFC5B" w14:textId="77777777" w:rsidR="009D70FF" w:rsidRPr="00ED4366" w:rsidRDefault="009D70FF" w:rsidP="009D70FF">
            <w:pPr>
              <w:jc w:val="center"/>
              <w:rPr>
                <w:rFonts w:cstheme="minorHAnsi"/>
                <w:b/>
                <w:bCs/>
              </w:rPr>
            </w:pPr>
            <w:r w:rsidRPr="00ED4366">
              <w:rPr>
                <w:rFonts w:cstheme="minorHAnsi"/>
                <w:b/>
                <w:bCs/>
              </w:rPr>
              <w:t>Teritorijā esošās sugas populācijas attiecība (%) pret sugas populāciju valstī</w:t>
            </w:r>
          </w:p>
        </w:tc>
        <w:tc>
          <w:tcPr>
            <w:tcW w:w="593" w:type="pct"/>
            <w:vMerge w:val="restart"/>
            <w:tcBorders>
              <w:top w:val="single" w:sz="4" w:space="0" w:color="000000"/>
              <w:left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45FCF81D" w14:textId="77777777" w:rsidR="009D70FF" w:rsidRPr="00ED4366" w:rsidRDefault="009D70FF" w:rsidP="009D70FF">
            <w:pPr>
              <w:jc w:val="center"/>
              <w:rPr>
                <w:rFonts w:cstheme="minorHAnsi"/>
                <w:b/>
                <w:bCs/>
              </w:rPr>
            </w:pPr>
            <w:r w:rsidRPr="00ED4366">
              <w:rPr>
                <w:rFonts w:cstheme="minorHAnsi"/>
                <w:b/>
                <w:bCs/>
              </w:rPr>
              <w:t>Sugas dzīvotnes platība (ha)</w:t>
            </w:r>
          </w:p>
        </w:tc>
        <w:tc>
          <w:tcPr>
            <w:tcW w:w="980" w:type="pct"/>
            <w:vMerge w:val="restart"/>
            <w:tcBorders>
              <w:top w:val="single" w:sz="4" w:space="0" w:color="000000"/>
              <w:left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14C74E33" w14:textId="77777777" w:rsidR="009D70FF" w:rsidRPr="00ED4366" w:rsidRDefault="009D70FF" w:rsidP="009D70FF">
            <w:pPr>
              <w:jc w:val="center"/>
              <w:rPr>
                <w:rFonts w:cstheme="minorHAnsi"/>
                <w:b/>
                <w:bCs/>
              </w:rPr>
            </w:pPr>
            <w:r w:rsidRPr="00ED4366">
              <w:rPr>
                <w:rFonts w:cstheme="minorHAnsi"/>
                <w:b/>
                <w:bCs/>
              </w:rPr>
              <w:t>Sugas dzīvotnes platības attiecība (%) pret sugas dzīvotnes platību Natura 2000 teritorijās Latvijā kopumā</w:t>
            </w:r>
          </w:p>
        </w:tc>
      </w:tr>
      <w:tr w:rsidR="009D70FF" w:rsidRPr="001512C5" w14:paraId="2634A79A" w14:textId="77777777" w:rsidTr="00A0428C">
        <w:tc>
          <w:tcPr>
            <w:tcW w:w="454"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1DDDEAAD" w14:textId="77777777" w:rsidR="009D70FF" w:rsidRPr="00ED4366" w:rsidRDefault="009D70FF" w:rsidP="009D70FF">
            <w:pPr>
              <w:jc w:val="center"/>
              <w:rPr>
                <w:rFonts w:cstheme="minorHAnsi"/>
                <w:b/>
                <w:bCs/>
              </w:rPr>
            </w:pPr>
          </w:p>
        </w:tc>
        <w:tc>
          <w:tcPr>
            <w:tcW w:w="815" w:type="pct"/>
            <w:vMerge/>
            <w:tcBorders>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6580A9D0" w14:textId="77777777" w:rsidR="009D70FF" w:rsidRPr="00ED4366" w:rsidRDefault="009D70FF" w:rsidP="009D70FF">
            <w:pPr>
              <w:jc w:val="center"/>
              <w:rPr>
                <w:rFonts w:cstheme="minorHAnsi"/>
                <w:b/>
                <w:bCs/>
              </w:rPr>
            </w:pPr>
          </w:p>
        </w:tc>
        <w:tc>
          <w:tcPr>
            <w:tcW w:w="347"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13FF8EE5" w14:textId="77777777" w:rsidR="009D70FF" w:rsidRPr="00ED4366" w:rsidRDefault="009D70FF" w:rsidP="009D70FF">
            <w:pPr>
              <w:jc w:val="center"/>
              <w:rPr>
                <w:rFonts w:cstheme="minorHAnsi"/>
                <w:b/>
                <w:bCs/>
              </w:rPr>
            </w:pPr>
            <w:r w:rsidRPr="00ED4366">
              <w:rPr>
                <w:rFonts w:cstheme="minorHAnsi"/>
                <w:b/>
                <w:bCs/>
              </w:rPr>
              <w:t>Min.</w:t>
            </w:r>
          </w:p>
        </w:tc>
        <w:tc>
          <w:tcPr>
            <w:tcW w:w="418"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4E19A41C" w14:textId="77777777" w:rsidR="009D70FF" w:rsidRPr="00ED4366" w:rsidRDefault="009D70FF" w:rsidP="009D70FF">
            <w:pPr>
              <w:jc w:val="center"/>
              <w:rPr>
                <w:rFonts w:cstheme="minorHAnsi"/>
                <w:b/>
                <w:bCs/>
              </w:rPr>
            </w:pPr>
            <w:r w:rsidRPr="00ED4366">
              <w:rPr>
                <w:rFonts w:cstheme="minorHAnsi"/>
                <w:b/>
                <w:bCs/>
              </w:rPr>
              <w:t>Maks.</w:t>
            </w:r>
          </w:p>
        </w:tc>
        <w:tc>
          <w:tcPr>
            <w:tcW w:w="715" w:type="pct"/>
            <w:vMerge/>
            <w:tcBorders>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48B9937F" w14:textId="77777777" w:rsidR="009D70FF" w:rsidRPr="00ED4366" w:rsidRDefault="009D70FF" w:rsidP="009D70FF">
            <w:pPr>
              <w:jc w:val="center"/>
              <w:rPr>
                <w:rFonts w:cstheme="minorHAnsi"/>
                <w:b/>
                <w:bCs/>
              </w:rPr>
            </w:pPr>
          </w:p>
        </w:tc>
        <w:tc>
          <w:tcPr>
            <w:tcW w:w="678" w:type="pct"/>
            <w:vMerge/>
            <w:tcBorders>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125C5A5D" w14:textId="77777777" w:rsidR="009D70FF" w:rsidRPr="00ED4366" w:rsidRDefault="009D70FF" w:rsidP="009D70FF">
            <w:pPr>
              <w:jc w:val="center"/>
              <w:rPr>
                <w:rFonts w:cstheme="minorHAnsi"/>
                <w:b/>
                <w:bCs/>
              </w:rPr>
            </w:pPr>
          </w:p>
        </w:tc>
        <w:tc>
          <w:tcPr>
            <w:tcW w:w="593" w:type="pct"/>
            <w:vMerge/>
            <w:tcBorders>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7C03527C" w14:textId="77777777" w:rsidR="009D70FF" w:rsidRPr="00ED4366" w:rsidRDefault="009D70FF" w:rsidP="009D70FF">
            <w:pPr>
              <w:jc w:val="center"/>
              <w:rPr>
                <w:rFonts w:cstheme="minorHAnsi"/>
                <w:b/>
                <w:bCs/>
              </w:rPr>
            </w:pPr>
          </w:p>
        </w:tc>
        <w:tc>
          <w:tcPr>
            <w:tcW w:w="980" w:type="pct"/>
            <w:vMerge/>
            <w:tcBorders>
              <w:left w:val="single" w:sz="4" w:space="0" w:color="000000"/>
              <w:bottom w:val="single" w:sz="4" w:space="0" w:color="000000"/>
              <w:right w:val="single" w:sz="4" w:space="0" w:color="000000"/>
            </w:tcBorders>
            <w:shd w:val="clear" w:color="auto" w:fill="D6E3BC" w:themeFill="accent3" w:themeFillTint="66"/>
            <w:tcMar>
              <w:top w:w="0" w:type="dxa"/>
              <w:left w:w="108" w:type="dxa"/>
              <w:bottom w:w="0" w:type="dxa"/>
              <w:right w:w="108" w:type="dxa"/>
            </w:tcMar>
            <w:vAlign w:val="center"/>
          </w:tcPr>
          <w:p w14:paraId="268061CC" w14:textId="77777777" w:rsidR="009D70FF" w:rsidRPr="00ED4366" w:rsidRDefault="009D70FF" w:rsidP="009D70FF">
            <w:pPr>
              <w:jc w:val="center"/>
              <w:rPr>
                <w:rFonts w:cstheme="minorHAnsi"/>
                <w:b/>
                <w:bCs/>
              </w:rPr>
            </w:pPr>
          </w:p>
        </w:tc>
      </w:tr>
      <w:tr w:rsidR="00A84218" w:rsidRPr="001512C5" w14:paraId="56A8E509"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E8647" w14:textId="70999431"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8F147" w14:textId="52617635" w:rsidR="00ED4366" w:rsidRDefault="00A84218" w:rsidP="009D70FF">
            <w:pPr>
              <w:rPr>
                <w:rFonts w:cstheme="minorHAnsi"/>
                <w:bCs/>
              </w:rPr>
            </w:pPr>
            <w:r>
              <w:rPr>
                <w:rFonts w:cstheme="minorHAnsi"/>
                <w:bCs/>
              </w:rPr>
              <w:t>Salate</w:t>
            </w:r>
          </w:p>
          <w:p w14:paraId="414228A3" w14:textId="002398C8" w:rsidR="00A84218" w:rsidRPr="00ED4366" w:rsidRDefault="00A84218" w:rsidP="009D70FF">
            <w:pPr>
              <w:rPr>
                <w:rFonts w:cstheme="minorHAnsi"/>
                <w:bCs/>
                <w:i/>
                <w:iCs/>
              </w:rPr>
            </w:pPr>
            <w:r w:rsidRPr="00ED4366">
              <w:rPr>
                <w:rFonts w:cstheme="minorHAnsi"/>
                <w:bCs/>
                <w:i/>
                <w:iCs/>
              </w:rPr>
              <w:t>Aspius aspius</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DBCB3" w14:textId="77777777" w:rsidR="00A84218" w:rsidRPr="001512C5" w:rsidRDefault="00A84218" w:rsidP="009D70FF">
            <w:pPr>
              <w:jc w:val="center"/>
              <w:rPr>
                <w:rFonts w:cstheme="minorHAnsi"/>
                <w:bCs/>
              </w:rPr>
            </w:pPr>
            <w:r>
              <w:rPr>
                <w:rFonts w:cstheme="minorHAnsi"/>
                <w:bCs/>
              </w:rPr>
              <w:t>93</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CDD71" w14:textId="77777777" w:rsidR="00A84218" w:rsidRPr="001512C5" w:rsidRDefault="00A84218" w:rsidP="009D70FF">
            <w:pPr>
              <w:jc w:val="center"/>
              <w:rPr>
                <w:rFonts w:cstheme="minorHAnsi"/>
                <w:bCs/>
              </w:rPr>
            </w:pPr>
            <w:r>
              <w:rPr>
                <w:rFonts w:cstheme="minorHAnsi"/>
                <w:bCs/>
              </w:rPr>
              <w:t>10,6</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81DA7" w14:textId="77777777" w:rsidR="00A84218" w:rsidRPr="001512C5" w:rsidRDefault="00A84218" w:rsidP="009D70FF">
            <w:pPr>
              <w:jc w:val="center"/>
              <w:rPr>
                <w:rFonts w:cstheme="minorHAnsi"/>
                <w:bCs/>
              </w:rPr>
            </w:pPr>
            <w:r>
              <w:rPr>
                <w:rFonts w:cstheme="minorHAnsi"/>
                <w:bCs/>
              </w:rPr>
              <w:t>3,4</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67531" w14:textId="77777777" w:rsidR="00A84218" w:rsidRPr="005F00F9" w:rsidRDefault="00A84218" w:rsidP="009D70FF">
            <w:pPr>
              <w:jc w:val="center"/>
              <w:rPr>
                <w:rFonts w:cstheme="minorHAnsi"/>
                <w:bCs/>
              </w:rPr>
            </w:pPr>
            <w:r w:rsidRPr="005F00F9">
              <w:rPr>
                <w:rFonts w:cstheme="minorHAnsi"/>
                <w:bCs/>
              </w:rPr>
              <w:t>500</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ADDB9" w14:textId="77777777" w:rsidR="00A84218" w:rsidRPr="001512C5" w:rsidRDefault="00A84218" w:rsidP="009D70FF">
            <w:pPr>
              <w:jc w:val="center"/>
              <w:rPr>
                <w:rFonts w:cstheme="minorHAnsi"/>
                <w:bCs/>
              </w:rPr>
            </w:pPr>
            <w:r>
              <w:rPr>
                <w:rFonts w:cstheme="minorHAnsi"/>
                <w:bCs/>
              </w:rPr>
              <w:t>14,2</w:t>
            </w:r>
          </w:p>
        </w:tc>
      </w:tr>
      <w:tr w:rsidR="00A84218" w:rsidRPr="001512C5" w14:paraId="4AEB4FEA"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77A84" w14:textId="4ED70F1E"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80ED2" w14:textId="0000BF20" w:rsidR="00FC14CD" w:rsidRDefault="00A84218" w:rsidP="009D70FF">
            <w:pPr>
              <w:rPr>
                <w:rFonts w:cstheme="minorHAnsi"/>
                <w:bCs/>
              </w:rPr>
            </w:pPr>
            <w:r>
              <w:rPr>
                <w:rFonts w:cstheme="minorHAnsi"/>
                <w:bCs/>
              </w:rPr>
              <w:t>Akmeņgrauzis</w:t>
            </w:r>
          </w:p>
          <w:p w14:paraId="24D3D12D" w14:textId="1F4F2841" w:rsidR="00A84218" w:rsidRPr="00FC14CD" w:rsidRDefault="00A84218" w:rsidP="009D70FF">
            <w:pPr>
              <w:rPr>
                <w:rFonts w:cstheme="minorHAnsi"/>
                <w:bCs/>
                <w:i/>
                <w:iCs/>
              </w:rPr>
            </w:pPr>
            <w:r w:rsidRPr="00FC14CD">
              <w:rPr>
                <w:rFonts w:cstheme="minorHAnsi"/>
                <w:bCs/>
                <w:i/>
                <w:iCs/>
              </w:rPr>
              <w:t>Cobits taenia</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C802A" w14:textId="77777777" w:rsidR="00A84218" w:rsidRPr="001512C5" w:rsidRDefault="00A84218" w:rsidP="009D70FF">
            <w:pPr>
              <w:jc w:val="center"/>
              <w:rPr>
                <w:rFonts w:cstheme="minorHAnsi"/>
                <w:bCs/>
              </w:rPr>
            </w:pPr>
            <w:r>
              <w:rPr>
                <w:rFonts w:cstheme="minorHAnsi"/>
                <w:bCs/>
              </w:rPr>
              <w:t>124</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DBCC7" w14:textId="77777777" w:rsidR="00A84218" w:rsidRPr="001512C5" w:rsidRDefault="00A84218" w:rsidP="009D70FF">
            <w:pPr>
              <w:jc w:val="center"/>
              <w:rPr>
                <w:rFonts w:cstheme="minorHAnsi"/>
                <w:bCs/>
              </w:rPr>
            </w:pPr>
            <w:r>
              <w:rPr>
                <w:rFonts w:cstheme="minorHAnsi"/>
                <w:bCs/>
              </w:rPr>
              <w:t>1,9</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FD8F7" w14:textId="77777777" w:rsidR="00A84218" w:rsidRPr="001512C5" w:rsidRDefault="00A84218" w:rsidP="009D70FF">
            <w:pPr>
              <w:jc w:val="center"/>
              <w:rPr>
                <w:rFonts w:cstheme="minorHAnsi"/>
                <w:bCs/>
              </w:rPr>
            </w:pPr>
            <w:r>
              <w:rPr>
                <w:rFonts w:cstheme="minorHAnsi"/>
                <w:bCs/>
              </w:rPr>
              <w:t>0,4</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337D2" w14:textId="77777777" w:rsidR="00A84218" w:rsidRPr="001512C5" w:rsidRDefault="00A84218" w:rsidP="009D70FF">
            <w:pPr>
              <w:jc w:val="center"/>
              <w:rPr>
                <w:rFonts w:cstheme="minorHAnsi"/>
                <w:bCs/>
              </w:rPr>
            </w:pPr>
            <w:r>
              <w:rPr>
                <w:rFonts w:cstheme="minorHAnsi"/>
                <w:bCs/>
              </w:rPr>
              <w:t>727</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1670E" w14:textId="77777777" w:rsidR="00A84218" w:rsidRPr="001512C5" w:rsidRDefault="00A84218" w:rsidP="009D70FF">
            <w:pPr>
              <w:jc w:val="center"/>
              <w:rPr>
                <w:rFonts w:cstheme="minorHAnsi"/>
                <w:bCs/>
              </w:rPr>
            </w:pPr>
            <w:r>
              <w:rPr>
                <w:rFonts w:cstheme="minorHAnsi"/>
                <w:bCs/>
              </w:rPr>
              <w:t>0,9</w:t>
            </w:r>
          </w:p>
        </w:tc>
      </w:tr>
      <w:tr w:rsidR="00A84218" w:rsidRPr="001512C5" w14:paraId="31D9F25B"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596F4" w14:textId="2B6BC8BE"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CEB68" w14:textId="77777777" w:rsidR="00A84218" w:rsidRPr="001512C5" w:rsidRDefault="00A84218" w:rsidP="009D70FF">
            <w:pPr>
              <w:rPr>
                <w:rFonts w:cstheme="minorHAnsi"/>
                <w:bCs/>
              </w:rPr>
            </w:pPr>
            <w:r>
              <w:rPr>
                <w:rFonts w:cstheme="minorHAnsi"/>
                <w:bCs/>
              </w:rPr>
              <w:t xml:space="preserve">Ziemeļu zeltainais akmeņgrauzis </w:t>
            </w:r>
            <w:r w:rsidRPr="00FC14CD">
              <w:rPr>
                <w:rFonts w:cstheme="minorHAnsi"/>
                <w:bCs/>
                <w:i/>
                <w:iCs/>
              </w:rPr>
              <w:t>Sabanejewia baltica</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FA350" w14:textId="77777777" w:rsidR="00A84218" w:rsidRPr="00FC04B9" w:rsidRDefault="00A84218" w:rsidP="009D70FF">
            <w:pPr>
              <w:jc w:val="center"/>
            </w:pPr>
            <w:r w:rsidRPr="00FC04B9">
              <w:t>103</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90630" w14:textId="77777777" w:rsidR="00A84218" w:rsidRPr="00FC04B9" w:rsidRDefault="00A84218" w:rsidP="009D70FF">
            <w:pPr>
              <w:jc w:val="center"/>
            </w:pPr>
            <w:r w:rsidRPr="00FC04B9">
              <w:t>17,0</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F15E9" w14:textId="77777777" w:rsidR="00A84218" w:rsidRPr="00FC04B9" w:rsidRDefault="00A84218" w:rsidP="009D70FF">
            <w:pPr>
              <w:jc w:val="center"/>
            </w:pPr>
            <w:r w:rsidRPr="00FC04B9">
              <w:t>7,6</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86781" w14:textId="77777777" w:rsidR="00A84218" w:rsidRPr="00FC04B9" w:rsidRDefault="00A84218" w:rsidP="009D70FF">
            <w:pPr>
              <w:jc w:val="center"/>
            </w:pPr>
            <w:r w:rsidRPr="00FC04B9">
              <w:t>536</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7B43A" w14:textId="77777777" w:rsidR="00A84218" w:rsidRDefault="00A84218" w:rsidP="009D70FF">
            <w:pPr>
              <w:jc w:val="center"/>
            </w:pPr>
            <w:r w:rsidRPr="00FC04B9">
              <w:t>26,5</w:t>
            </w:r>
          </w:p>
        </w:tc>
      </w:tr>
      <w:tr w:rsidR="00A84218" w:rsidRPr="001512C5" w14:paraId="60EEE699"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36C5F" w14:textId="6100E881"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A0F39" w14:textId="77777777" w:rsidR="00FC14CD" w:rsidRDefault="00A84218" w:rsidP="009D70FF">
            <w:pPr>
              <w:rPr>
                <w:rFonts w:cstheme="minorHAnsi"/>
                <w:bCs/>
              </w:rPr>
            </w:pPr>
            <w:r>
              <w:rPr>
                <w:rFonts w:cstheme="minorHAnsi"/>
                <w:bCs/>
              </w:rPr>
              <w:t>Platgalve</w:t>
            </w:r>
          </w:p>
          <w:p w14:paraId="7CD12DC8" w14:textId="5516EBDA" w:rsidR="00A84218" w:rsidRPr="00FC14CD" w:rsidRDefault="00A84218" w:rsidP="009D70FF">
            <w:pPr>
              <w:rPr>
                <w:rFonts w:cstheme="minorHAnsi"/>
                <w:bCs/>
                <w:i/>
                <w:iCs/>
              </w:rPr>
            </w:pPr>
            <w:r w:rsidRPr="00FC14CD">
              <w:rPr>
                <w:rFonts w:cstheme="minorHAnsi"/>
                <w:bCs/>
                <w:i/>
                <w:iCs/>
              </w:rPr>
              <w:t>Cottus gobio</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6577A" w14:textId="77777777" w:rsidR="00A84218" w:rsidRPr="001512C5" w:rsidRDefault="00A84218" w:rsidP="009D70FF">
            <w:pPr>
              <w:jc w:val="center"/>
              <w:rPr>
                <w:rFonts w:cstheme="minorHAnsi"/>
                <w:bCs/>
              </w:rPr>
            </w:pPr>
            <w:r>
              <w:rPr>
                <w:rFonts w:cstheme="minorHAnsi"/>
                <w:bCs/>
              </w:rPr>
              <w:t>190</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6CD0B" w14:textId="77777777" w:rsidR="00A84218" w:rsidRPr="001512C5" w:rsidRDefault="00A84218" w:rsidP="009D70FF">
            <w:pPr>
              <w:jc w:val="center"/>
              <w:rPr>
                <w:rFonts w:cstheme="minorHAnsi"/>
                <w:bCs/>
              </w:rPr>
            </w:pPr>
            <w:r>
              <w:rPr>
                <w:rFonts w:cstheme="minorHAnsi"/>
                <w:bCs/>
              </w:rPr>
              <w:t>3,8</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5043A" w14:textId="77777777" w:rsidR="00A84218" w:rsidRPr="001512C5" w:rsidRDefault="00A84218" w:rsidP="009D70FF">
            <w:pPr>
              <w:jc w:val="center"/>
              <w:rPr>
                <w:rFonts w:cstheme="minorHAnsi"/>
                <w:bCs/>
              </w:rPr>
            </w:pPr>
            <w:r>
              <w:rPr>
                <w:rFonts w:cstheme="minorHAnsi"/>
                <w:bCs/>
              </w:rPr>
              <w:t>0,9</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FE7C1" w14:textId="77777777" w:rsidR="00A84218" w:rsidRPr="001512C5" w:rsidRDefault="00A84218" w:rsidP="009D70FF">
            <w:pPr>
              <w:jc w:val="center"/>
              <w:rPr>
                <w:rFonts w:cstheme="minorHAnsi"/>
                <w:bCs/>
              </w:rPr>
            </w:pPr>
            <w:r>
              <w:rPr>
                <w:rFonts w:cstheme="minorHAnsi"/>
                <w:bCs/>
              </w:rPr>
              <w:t>640</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ACA47" w14:textId="77777777" w:rsidR="00A84218" w:rsidRPr="001512C5" w:rsidRDefault="00A84218" w:rsidP="009D70FF">
            <w:pPr>
              <w:jc w:val="center"/>
              <w:rPr>
                <w:rFonts w:cstheme="minorHAnsi"/>
                <w:bCs/>
              </w:rPr>
            </w:pPr>
            <w:r>
              <w:rPr>
                <w:rFonts w:cstheme="minorHAnsi"/>
                <w:bCs/>
              </w:rPr>
              <w:t>6,2</w:t>
            </w:r>
          </w:p>
        </w:tc>
      </w:tr>
      <w:tr w:rsidR="00A84218" w:rsidRPr="001512C5" w14:paraId="280D5440"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16F7F" w14:textId="7AE481A3"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43E2A" w14:textId="37B0E95F" w:rsidR="00FC14CD" w:rsidRDefault="00A84218" w:rsidP="009D70FF">
            <w:pPr>
              <w:rPr>
                <w:rFonts w:cstheme="minorHAnsi"/>
                <w:bCs/>
              </w:rPr>
            </w:pPr>
            <w:r>
              <w:rPr>
                <w:rFonts w:cstheme="minorHAnsi"/>
                <w:bCs/>
              </w:rPr>
              <w:t>Upes nēģis</w:t>
            </w:r>
          </w:p>
          <w:p w14:paraId="5FEF34E6" w14:textId="6B62E47B" w:rsidR="00A84218" w:rsidRPr="00FC14CD" w:rsidRDefault="00A84218" w:rsidP="009D70FF">
            <w:pPr>
              <w:rPr>
                <w:rFonts w:cstheme="minorHAnsi"/>
                <w:bCs/>
                <w:i/>
                <w:iCs/>
              </w:rPr>
            </w:pPr>
            <w:r w:rsidRPr="00FC14CD">
              <w:rPr>
                <w:rFonts w:cstheme="minorHAnsi"/>
                <w:bCs/>
                <w:i/>
                <w:iCs/>
              </w:rPr>
              <w:t>Lampetra fluviatilis</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D4C9E" w14:textId="77777777" w:rsidR="00A84218" w:rsidRPr="001512C5" w:rsidRDefault="00A84218" w:rsidP="009D70FF">
            <w:pPr>
              <w:jc w:val="center"/>
              <w:rPr>
                <w:rFonts w:cstheme="minorHAnsi"/>
                <w:bCs/>
              </w:rPr>
            </w:pPr>
            <w:r>
              <w:rPr>
                <w:rFonts w:cstheme="minorHAnsi"/>
                <w:bCs/>
              </w:rPr>
              <w:t>146</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14D46" w14:textId="77777777" w:rsidR="00A84218" w:rsidRPr="001512C5" w:rsidRDefault="00A84218" w:rsidP="009D70FF">
            <w:pPr>
              <w:jc w:val="center"/>
              <w:rPr>
                <w:rFonts w:cstheme="minorHAnsi"/>
                <w:bCs/>
              </w:rPr>
            </w:pPr>
            <w:r>
              <w:rPr>
                <w:rFonts w:cstheme="minorHAnsi"/>
                <w:bCs/>
              </w:rPr>
              <w:t>26,7</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E4447" w14:textId="77777777" w:rsidR="00A84218" w:rsidRPr="001512C5" w:rsidRDefault="00A84218" w:rsidP="009D70FF">
            <w:pPr>
              <w:jc w:val="center"/>
              <w:rPr>
                <w:rFonts w:cstheme="minorHAnsi"/>
                <w:bCs/>
              </w:rPr>
            </w:pPr>
            <w:r>
              <w:rPr>
                <w:rFonts w:cstheme="minorHAnsi"/>
                <w:bCs/>
              </w:rPr>
              <w:t>8,7</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E4D6E" w14:textId="77777777" w:rsidR="00A84218" w:rsidRPr="001512C5" w:rsidRDefault="00A84218" w:rsidP="009D70FF">
            <w:pPr>
              <w:jc w:val="center"/>
              <w:rPr>
                <w:rFonts w:cstheme="minorHAnsi"/>
                <w:bCs/>
              </w:rPr>
            </w:pPr>
            <w:r>
              <w:rPr>
                <w:rFonts w:cstheme="minorHAnsi"/>
                <w:bCs/>
              </w:rPr>
              <w:t>580</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D55B2" w14:textId="77777777" w:rsidR="00A84218" w:rsidRPr="001512C5" w:rsidRDefault="00A84218" w:rsidP="009D70FF">
            <w:pPr>
              <w:jc w:val="center"/>
              <w:rPr>
                <w:rFonts w:cstheme="minorHAnsi"/>
                <w:bCs/>
              </w:rPr>
            </w:pPr>
            <w:r>
              <w:rPr>
                <w:rFonts w:cstheme="minorHAnsi"/>
                <w:bCs/>
              </w:rPr>
              <w:t>28,7</w:t>
            </w:r>
          </w:p>
        </w:tc>
      </w:tr>
      <w:tr w:rsidR="00A84218" w:rsidRPr="001512C5" w14:paraId="13640297"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5D2C6" w14:textId="2B4E562F"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3C042" w14:textId="77777777" w:rsidR="00A84218" w:rsidRPr="001512C5" w:rsidRDefault="00A84218" w:rsidP="009D70FF">
            <w:pPr>
              <w:rPr>
                <w:rFonts w:cstheme="minorHAnsi"/>
                <w:bCs/>
              </w:rPr>
            </w:pPr>
            <w:r>
              <w:rPr>
                <w:rFonts w:cstheme="minorHAnsi"/>
                <w:bCs/>
              </w:rPr>
              <w:t>Strauta nēģis Lampetra planeri</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38503" w14:textId="77777777" w:rsidR="00A84218" w:rsidRPr="001512C5" w:rsidRDefault="00A84218" w:rsidP="009D70FF">
            <w:pPr>
              <w:jc w:val="center"/>
              <w:rPr>
                <w:rFonts w:cstheme="minorHAnsi"/>
                <w:bCs/>
              </w:rPr>
            </w:pPr>
            <w:r>
              <w:rPr>
                <w:rFonts w:cstheme="minorHAnsi"/>
                <w:bCs/>
              </w:rPr>
              <w:t>162</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2802E" w14:textId="77777777" w:rsidR="00A84218" w:rsidRPr="001512C5" w:rsidRDefault="00A84218" w:rsidP="009D70FF">
            <w:pPr>
              <w:jc w:val="center"/>
              <w:rPr>
                <w:rFonts w:cstheme="minorHAnsi"/>
                <w:bCs/>
              </w:rPr>
            </w:pPr>
            <w:r>
              <w:rPr>
                <w:rFonts w:cstheme="minorHAnsi"/>
                <w:bCs/>
              </w:rPr>
              <w:t>0,6</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C587A" w14:textId="77777777" w:rsidR="00A84218" w:rsidRPr="001512C5" w:rsidRDefault="00A84218" w:rsidP="009D70FF">
            <w:pPr>
              <w:jc w:val="center"/>
              <w:rPr>
                <w:rFonts w:cstheme="minorHAnsi"/>
                <w:bCs/>
              </w:rPr>
            </w:pPr>
            <w:r>
              <w:rPr>
                <w:rFonts w:cstheme="minorHAnsi"/>
                <w:bCs/>
              </w:rPr>
              <w:t>3,5</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B0C25" w14:textId="77777777" w:rsidR="00A84218" w:rsidRPr="001512C5" w:rsidRDefault="00A84218" w:rsidP="009D70FF">
            <w:pPr>
              <w:jc w:val="center"/>
              <w:rPr>
                <w:rFonts w:cstheme="minorHAnsi"/>
                <w:bCs/>
              </w:rPr>
            </w:pPr>
            <w:r>
              <w:rPr>
                <w:rFonts w:cstheme="minorHAnsi"/>
                <w:bCs/>
              </w:rPr>
              <w:t>616</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DE0C0" w14:textId="77777777" w:rsidR="00A84218" w:rsidRPr="001512C5" w:rsidRDefault="00A84218" w:rsidP="009D70FF">
            <w:pPr>
              <w:jc w:val="center"/>
              <w:rPr>
                <w:rFonts w:cstheme="minorHAnsi"/>
                <w:bCs/>
              </w:rPr>
            </w:pPr>
            <w:r>
              <w:rPr>
                <w:rFonts w:cstheme="minorHAnsi"/>
                <w:bCs/>
              </w:rPr>
              <w:t>12,0</w:t>
            </w:r>
          </w:p>
        </w:tc>
      </w:tr>
      <w:tr w:rsidR="00A84218" w:rsidRPr="001512C5" w14:paraId="3AFF1536"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4105A" w14:textId="774D083C"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33EC6" w14:textId="77777777" w:rsidR="00FC14CD" w:rsidRDefault="00A84218" w:rsidP="009D70FF">
            <w:pPr>
              <w:rPr>
                <w:rFonts w:cstheme="minorHAnsi"/>
                <w:bCs/>
              </w:rPr>
            </w:pPr>
            <w:r>
              <w:rPr>
                <w:rFonts w:cstheme="minorHAnsi"/>
                <w:bCs/>
              </w:rPr>
              <w:t>Pīkste</w:t>
            </w:r>
          </w:p>
          <w:p w14:paraId="42B4410F" w14:textId="1B352543" w:rsidR="00A84218" w:rsidRPr="00FC14CD" w:rsidRDefault="00A84218" w:rsidP="009D70FF">
            <w:pPr>
              <w:rPr>
                <w:rFonts w:cstheme="minorHAnsi"/>
                <w:bCs/>
                <w:i/>
                <w:iCs/>
              </w:rPr>
            </w:pPr>
            <w:r w:rsidRPr="00FC14CD">
              <w:rPr>
                <w:rFonts w:cstheme="minorHAnsi"/>
                <w:bCs/>
                <w:i/>
                <w:iCs/>
              </w:rPr>
              <w:t>Misgurnus fossilis</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0B9BD" w14:textId="77777777" w:rsidR="00A84218" w:rsidRPr="001512C5" w:rsidRDefault="00A84218" w:rsidP="009D70FF">
            <w:pPr>
              <w:jc w:val="center"/>
              <w:rPr>
                <w:rFonts w:cstheme="minorHAnsi"/>
                <w:bCs/>
              </w:rPr>
            </w:pPr>
            <w:r>
              <w:rPr>
                <w:rFonts w:cstheme="minorHAnsi"/>
                <w:bCs/>
              </w:rPr>
              <w:t>3</w:t>
            </w:r>
            <w:r w:rsidRPr="0062655F">
              <w:rPr>
                <w:rFonts w:cstheme="minorHAnsi"/>
                <w:bCs/>
                <w:vertAlign w:val="superscript"/>
              </w:rPr>
              <w:t>2</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2409C" w14:textId="77777777" w:rsidR="00A84218" w:rsidRPr="001512C5" w:rsidRDefault="00A84218" w:rsidP="009D70FF">
            <w:pPr>
              <w:jc w:val="center"/>
              <w:rPr>
                <w:rFonts w:cstheme="minorHAnsi"/>
                <w:bCs/>
              </w:rPr>
            </w:pPr>
            <w:r>
              <w:rPr>
                <w:rFonts w:cstheme="minorHAnsi"/>
                <w:bCs/>
              </w:rPr>
              <w:t>&lt;0,1</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555F3" w14:textId="77777777" w:rsidR="00A84218" w:rsidRPr="001512C5" w:rsidRDefault="00A84218" w:rsidP="009D70FF">
            <w:pPr>
              <w:jc w:val="center"/>
              <w:rPr>
                <w:rFonts w:cstheme="minorHAnsi"/>
                <w:bCs/>
              </w:rPr>
            </w:pPr>
            <w:r>
              <w:rPr>
                <w:rFonts w:cstheme="minorHAnsi"/>
                <w:bCs/>
              </w:rPr>
              <w:t>&lt;0,1</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F0460" w14:textId="77777777" w:rsidR="00A84218" w:rsidRPr="001512C5" w:rsidRDefault="00A84218" w:rsidP="009D70FF">
            <w:pPr>
              <w:jc w:val="center"/>
              <w:rPr>
                <w:rFonts w:cstheme="minorHAnsi"/>
                <w:bCs/>
              </w:rPr>
            </w:pPr>
            <w:r>
              <w:rPr>
                <w:rFonts w:cstheme="minorHAnsi"/>
                <w:bCs/>
              </w:rPr>
              <w:t>2</w:t>
            </w:r>
            <w:r w:rsidRPr="005154FA">
              <w:rPr>
                <w:rFonts w:cstheme="minorHAnsi"/>
                <w:bCs/>
                <w:vertAlign w:val="superscript"/>
              </w:rPr>
              <w:t>2</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79A17" w14:textId="0E31B84A" w:rsidR="00A84218" w:rsidRPr="001512C5" w:rsidRDefault="00A84218" w:rsidP="009D70FF">
            <w:pPr>
              <w:jc w:val="center"/>
              <w:rPr>
                <w:rFonts w:cstheme="minorHAnsi"/>
                <w:bCs/>
              </w:rPr>
            </w:pPr>
            <w:r>
              <w:rPr>
                <w:rFonts w:cstheme="minorHAnsi"/>
                <w:bCs/>
              </w:rPr>
              <w:t>&lt;1%</w:t>
            </w:r>
          </w:p>
        </w:tc>
      </w:tr>
      <w:tr w:rsidR="00A84218" w:rsidRPr="001512C5" w14:paraId="03EE0E89"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D7C93" w14:textId="6141EAB8"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9B6AE" w14:textId="18F5A494" w:rsidR="00FC14CD" w:rsidRDefault="00A84218" w:rsidP="009D70FF">
            <w:pPr>
              <w:rPr>
                <w:rFonts w:cstheme="minorHAnsi"/>
                <w:bCs/>
              </w:rPr>
            </w:pPr>
            <w:r>
              <w:rPr>
                <w:rFonts w:cstheme="minorHAnsi"/>
                <w:bCs/>
              </w:rPr>
              <w:t>Spidiļķis</w:t>
            </w:r>
          </w:p>
          <w:p w14:paraId="5A0109F0" w14:textId="08EC1E0E" w:rsidR="00A84218" w:rsidRPr="00FC14CD" w:rsidRDefault="00A84218" w:rsidP="009D70FF">
            <w:pPr>
              <w:rPr>
                <w:rFonts w:cstheme="minorHAnsi"/>
                <w:bCs/>
                <w:i/>
                <w:iCs/>
              </w:rPr>
            </w:pPr>
            <w:r w:rsidRPr="00FC14CD">
              <w:rPr>
                <w:rFonts w:cstheme="minorHAnsi"/>
                <w:bCs/>
                <w:i/>
                <w:iCs/>
              </w:rPr>
              <w:t>Rhodeus amarus</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723A9" w14:textId="77777777" w:rsidR="00A84218" w:rsidRPr="00EE0568" w:rsidRDefault="00A84218" w:rsidP="009D70FF">
            <w:pPr>
              <w:jc w:val="center"/>
              <w:rPr>
                <w:rFonts w:cstheme="minorHAnsi"/>
                <w:bCs/>
              </w:rPr>
            </w:pPr>
            <w:r w:rsidRPr="00EE0568">
              <w:rPr>
                <w:rFonts w:cstheme="minorHAnsi"/>
                <w:bCs/>
              </w:rPr>
              <w:t>93</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004AD" w14:textId="77777777" w:rsidR="00A84218" w:rsidRPr="001512C5" w:rsidRDefault="00A84218" w:rsidP="009D70FF">
            <w:pPr>
              <w:jc w:val="center"/>
              <w:rPr>
                <w:rFonts w:cstheme="minorHAnsi"/>
                <w:bCs/>
              </w:rPr>
            </w:pPr>
            <w:r>
              <w:rPr>
                <w:rFonts w:cstheme="minorHAnsi"/>
                <w:bCs/>
              </w:rPr>
              <w:t>7,3</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04B79" w14:textId="77777777" w:rsidR="00A84218" w:rsidRPr="001512C5" w:rsidRDefault="00A84218" w:rsidP="009D70FF">
            <w:pPr>
              <w:jc w:val="center"/>
              <w:rPr>
                <w:rFonts w:cstheme="minorHAnsi"/>
                <w:bCs/>
              </w:rPr>
            </w:pPr>
            <w:r>
              <w:rPr>
                <w:rFonts w:cstheme="minorHAnsi"/>
                <w:bCs/>
              </w:rPr>
              <w:t>2,2</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C26A3" w14:textId="77777777" w:rsidR="00A84218" w:rsidRPr="005F00F9" w:rsidRDefault="00A84218" w:rsidP="009D70FF">
            <w:pPr>
              <w:jc w:val="center"/>
              <w:rPr>
                <w:rFonts w:cstheme="minorHAnsi"/>
                <w:bCs/>
              </w:rPr>
            </w:pPr>
            <w:r w:rsidRPr="005F00F9">
              <w:rPr>
                <w:rFonts w:cstheme="minorHAnsi"/>
                <w:bCs/>
              </w:rPr>
              <w:t>500</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33892" w14:textId="77777777" w:rsidR="00A84218" w:rsidRPr="001512C5" w:rsidRDefault="00A84218" w:rsidP="009D70FF">
            <w:pPr>
              <w:jc w:val="center"/>
              <w:rPr>
                <w:rFonts w:cstheme="minorHAnsi"/>
                <w:bCs/>
              </w:rPr>
            </w:pPr>
            <w:r>
              <w:rPr>
                <w:rFonts w:cstheme="minorHAnsi"/>
                <w:bCs/>
              </w:rPr>
              <w:t>2,7</w:t>
            </w:r>
          </w:p>
        </w:tc>
      </w:tr>
      <w:tr w:rsidR="00A84218" w:rsidRPr="001512C5" w14:paraId="10DF6BA8" w14:textId="77777777" w:rsidTr="009D70FF">
        <w:trPr>
          <w:trHeight w:val="720"/>
        </w:trPr>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05AE9" w14:textId="38D677AD"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C7EE0" w14:textId="77777777" w:rsidR="00A84218" w:rsidRPr="001512C5" w:rsidRDefault="00A84218" w:rsidP="009D70FF">
            <w:pPr>
              <w:rPr>
                <w:rFonts w:cstheme="minorHAnsi"/>
                <w:bCs/>
              </w:rPr>
            </w:pPr>
            <w:r>
              <w:rPr>
                <w:rFonts w:cstheme="minorHAnsi"/>
                <w:bCs/>
              </w:rPr>
              <w:t>Lasis Salmo salar</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C363C" w14:textId="77777777" w:rsidR="00A84218" w:rsidRPr="001512C5" w:rsidRDefault="00A84218" w:rsidP="009D70FF">
            <w:pPr>
              <w:jc w:val="center"/>
              <w:rPr>
                <w:rFonts w:cstheme="minorHAnsi"/>
                <w:bCs/>
              </w:rPr>
            </w:pPr>
            <w:r>
              <w:rPr>
                <w:rFonts w:cstheme="minorHAnsi"/>
                <w:bCs/>
              </w:rPr>
              <w:t>112</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973FE" w14:textId="77777777" w:rsidR="00A84218" w:rsidRPr="001512C5" w:rsidRDefault="00A84218" w:rsidP="009D70FF">
            <w:pPr>
              <w:jc w:val="center"/>
              <w:rPr>
                <w:rFonts w:cstheme="minorHAnsi"/>
                <w:bCs/>
              </w:rPr>
            </w:pPr>
            <w:r>
              <w:rPr>
                <w:rFonts w:cstheme="minorHAnsi"/>
                <w:bCs/>
              </w:rPr>
              <w:t>23,7</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382BB" w14:textId="77777777" w:rsidR="00A84218" w:rsidRPr="001512C5" w:rsidRDefault="00A84218" w:rsidP="009D70FF">
            <w:pPr>
              <w:jc w:val="center"/>
              <w:rPr>
                <w:rFonts w:cstheme="minorHAnsi"/>
                <w:bCs/>
              </w:rPr>
            </w:pPr>
            <w:r>
              <w:rPr>
                <w:rFonts w:cstheme="minorHAnsi"/>
                <w:bCs/>
              </w:rPr>
              <w:t>10,5</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B2743" w14:textId="77777777" w:rsidR="00A84218" w:rsidRPr="001512C5" w:rsidRDefault="00A84218" w:rsidP="009D70FF">
            <w:pPr>
              <w:jc w:val="center"/>
              <w:rPr>
                <w:rFonts w:cstheme="minorHAnsi"/>
                <w:bCs/>
              </w:rPr>
            </w:pPr>
            <w:r>
              <w:rPr>
                <w:rFonts w:cstheme="minorHAnsi"/>
                <w:bCs/>
              </w:rPr>
              <w:t>555</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DFB53" w14:textId="77777777" w:rsidR="00A84218" w:rsidRPr="001512C5" w:rsidRDefault="00A84218" w:rsidP="009D70FF">
            <w:pPr>
              <w:jc w:val="center"/>
              <w:rPr>
                <w:rFonts w:cstheme="minorHAnsi"/>
                <w:bCs/>
              </w:rPr>
            </w:pPr>
            <w:r>
              <w:rPr>
                <w:rFonts w:cstheme="minorHAnsi"/>
                <w:bCs/>
              </w:rPr>
              <w:t>24,8</w:t>
            </w:r>
          </w:p>
        </w:tc>
      </w:tr>
      <w:tr w:rsidR="00A84218" w:rsidRPr="001512C5" w14:paraId="498E8CF9"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F75F8" w14:textId="16B9F1BB"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D7234" w14:textId="77777777" w:rsidR="00A84218" w:rsidRPr="001512C5" w:rsidRDefault="00A84218" w:rsidP="009D70FF">
            <w:pPr>
              <w:rPr>
                <w:rFonts w:cstheme="minorHAnsi"/>
                <w:bCs/>
              </w:rPr>
            </w:pPr>
            <w:r>
              <w:rPr>
                <w:rFonts w:cstheme="minorHAnsi"/>
                <w:bCs/>
              </w:rPr>
              <w:t>Alata Thymallus thymallus</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2F6D4" w14:textId="77777777" w:rsidR="00A84218" w:rsidRPr="001512C5" w:rsidRDefault="00A84218" w:rsidP="009D70FF">
            <w:pPr>
              <w:jc w:val="center"/>
              <w:rPr>
                <w:rFonts w:cstheme="minorHAnsi"/>
                <w:bCs/>
              </w:rPr>
            </w:pPr>
            <w:r>
              <w:rPr>
                <w:rFonts w:cstheme="minorHAnsi"/>
                <w:bCs/>
              </w:rPr>
              <w:t>162</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3F6DD" w14:textId="77777777" w:rsidR="00A84218" w:rsidRPr="001512C5" w:rsidRDefault="00A84218" w:rsidP="009D70FF">
            <w:pPr>
              <w:jc w:val="center"/>
              <w:rPr>
                <w:rFonts w:cstheme="minorHAnsi"/>
                <w:bCs/>
              </w:rPr>
            </w:pPr>
            <w:r>
              <w:rPr>
                <w:rFonts w:cstheme="minorHAnsi"/>
                <w:bCs/>
              </w:rPr>
              <w:t>28,4</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23993" w14:textId="77777777" w:rsidR="00A84218" w:rsidRPr="001512C5" w:rsidRDefault="00A84218" w:rsidP="009D70FF">
            <w:pPr>
              <w:jc w:val="center"/>
              <w:rPr>
                <w:rFonts w:cstheme="minorHAnsi"/>
                <w:bCs/>
              </w:rPr>
            </w:pPr>
            <w:r>
              <w:rPr>
                <w:rFonts w:cstheme="minorHAnsi"/>
                <w:bCs/>
              </w:rPr>
              <w:t>11,2</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7AC92" w14:textId="77777777" w:rsidR="00A84218" w:rsidRPr="001512C5" w:rsidRDefault="00A84218" w:rsidP="009D70FF">
            <w:pPr>
              <w:jc w:val="center"/>
              <w:rPr>
                <w:rFonts w:cstheme="minorHAnsi"/>
                <w:bCs/>
              </w:rPr>
            </w:pPr>
            <w:r>
              <w:rPr>
                <w:rFonts w:cstheme="minorHAnsi"/>
                <w:bCs/>
              </w:rPr>
              <w:t>625</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433A8" w14:textId="77777777" w:rsidR="00A84218" w:rsidRPr="001512C5" w:rsidRDefault="00A84218" w:rsidP="009D70FF">
            <w:pPr>
              <w:jc w:val="center"/>
              <w:rPr>
                <w:rFonts w:cstheme="minorHAnsi"/>
                <w:bCs/>
              </w:rPr>
            </w:pPr>
            <w:r>
              <w:rPr>
                <w:rFonts w:cstheme="minorHAnsi"/>
                <w:bCs/>
              </w:rPr>
              <w:t>31,0</w:t>
            </w:r>
          </w:p>
        </w:tc>
      </w:tr>
      <w:tr w:rsidR="00A84218" w:rsidRPr="001512C5" w14:paraId="6FF8A300" w14:textId="77777777" w:rsidTr="009D70FF">
        <w:tc>
          <w:tcPr>
            <w:tcW w:w="4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2F73B" w14:textId="767B4A27" w:rsidR="00A84218" w:rsidRPr="00ED4366" w:rsidRDefault="00A84218" w:rsidP="009D70FF">
            <w:pPr>
              <w:pStyle w:val="ListParagraph"/>
              <w:numPr>
                <w:ilvl w:val="0"/>
                <w:numId w:val="82"/>
              </w:numPr>
              <w:jc w:val="center"/>
              <w:rPr>
                <w:rFonts w:cstheme="minorHAnsi"/>
                <w:bCs/>
              </w:rPr>
            </w:pPr>
          </w:p>
        </w:tc>
        <w:tc>
          <w:tcPr>
            <w:tcW w:w="8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39D46" w14:textId="77777777" w:rsidR="00A84218" w:rsidRPr="001512C5" w:rsidRDefault="00A84218" w:rsidP="009D70FF">
            <w:pPr>
              <w:rPr>
                <w:rFonts w:cstheme="minorHAnsi"/>
                <w:bCs/>
              </w:rPr>
            </w:pPr>
            <w:r>
              <w:rPr>
                <w:rFonts w:cstheme="minorHAnsi"/>
                <w:bCs/>
              </w:rPr>
              <w:t>Platspīļu vēzis Astacus astacus</w:t>
            </w:r>
          </w:p>
        </w:tc>
        <w:tc>
          <w:tcPr>
            <w:tcW w:w="76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57699" w14:textId="77777777" w:rsidR="00A84218" w:rsidRPr="001512C5" w:rsidRDefault="00A84218" w:rsidP="009D70FF">
            <w:pPr>
              <w:jc w:val="center"/>
              <w:rPr>
                <w:rFonts w:cstheme="minorHAnsi"/>
                <w:bCs/>
              </w:rPr>
            </w:pPr>
            <w:r>
              <w:rPr>
                <w:rFonts w:cstheme="minorHAnsi"/>
                <w:bCs/>
              </w:rPr>
              <w:t>12</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3A233" w14:textId="77777777" w:rsidR="00A84218" w:rsidRPr="00956F61" w:rsidRDefault="00A84218" w:rsidP="009D70FF">
            <w:pPr>
              <w:jc w:val="center"/>
              <w:rPr>
                <w:rFonts w:cstheme="minorHAnsi"/>
                <w:bCs/>
              </w:rPr>
            </w:pPr>
            <w:r w:rsidRPr="00956F61">
              <w:rPr>
                <w:rFonts w:cstheme="minorHAnsi"/>
                <w:bCs/>
              </w:rPr>
              <w:t>Nav zināma populācija Natura</w:t>
            </w:r>
            <w:r>
              <w:rPr>
                <w:rFonts w:cstheme="minorHAnsi"/>
                <w:bCs/>
              </w:rPr>
              <w:t xml:space="preserve"> </w:t>
            </w:r>
            <w:r w:rsidRPr="00956F61">
              <w:rPr>
                <w:rFonts w:cstheme="minorHAnsi"/>
                <w:bCs/>
              </w:rPr>
              <w:t>2000</w:t>
            </w:r>
          </w:p>
        </w:tc>
        <w:tc>
          <w:tcPr>
            <w:tcW w:w="6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25778" w14:textId="77777777" w:rsidR="00A84218" w:rsidRPr="001512C5" w:rsidRDefault="00A84218" w:rsidP="009D70FF">
            <w:pPr>
              <w:jc w:val="center"/>
              <w:rPr>
                <w:rFonts w:cstheme="minorHAnsi"/>
                <w:bCs/>
              </w:rPr>
            </w:pPr>
            <w:r w:rsidRPr="003C2E19">
              <w:rPr>
                <w:rFonts w:cstheme="minorHAnsi"/>
                <w:bCs/>
              </w:rPr>
              <w:t>0,8</w:t>
            </w:r>
          </w:p>
        </w:tc>
        <w:tc>
          <w:tcPr>
            <w:tcW w:w="5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2615F" w14:textId="77777777" w:rsidR="00A84218" w:rsidRPr="001512C5" w:rsidRDefault="00A84218" w:rsidP="009D70FF">
            <w:pPr>
              <w:jc w:val="center"/>
              <w:rPr>
                <w:rFonts w:cstheme="minorHAnsi"/>
                <w:bCs/>
              </w:rPr>
            </w:pPr>
            <w:r>
              <w:rPr>
                <w:rFonts w:cstheme="minorHAnsi"/>
                <w:bCs/>
              </w:rPr>
              <w:t>237</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E5DFF" w14:textId="77777777" w:rsidR="00A84218" w:rsidRPr="001512C5" w:rsidRDefault="00A84218" w:rsidP="009D70FF">
            <w:pPr>
              <w:jc w:val="center"/>
              <w:rPr>
                <w:rFonts w:cstheme="minorHAnsi"/>
                <w:bCs/>
              </w:rPr>
            </w:pPr>
            <w:r>
              <w:rPr>
                <w:rFonts w:cstheme="minorHAnsi"/>
                <w:bCs/>
              </w:rPr>
              <w:t>2,8</w:t>
            </w:r>
          </w:p>
        </w:tc>
      </w:tr>
    </w:tbl>
    <w:p w14:paraId="30922D03" w14:textId="77777777" w:rsidR="00A84218" w:rsidRPr="00956F61" w:rsidRDefault="00A84218" w:rsidP="00A84218">
      <w:pPr>
        <w:jc w:val="both"/>
      </w:pPr>
      <w:r w:rsidRPr="00956F61">
        <w:rPr>
          <w:vertAlign w:val="superscript"/>
        </w:rPr>
        <w:t>1</w:t>
      </w:r>
      <w:r w:rsidRPr="00956F61">
        <w:t xml:space="preserve"> – vērtēta 1x1 km režģa šūnu vienībās kā min populācija</w:t>
      </w:r>
    </w:p>
    <w:p w14:paraId="72D5A939" w14:textId="77777777" w:rsidR="00A84218" w:rsidRPr="00956F61" w:rsidRDefault="00A84218" w:rsidP="00A84218">
      <w:pPr>
        <w:jc w:val="both"/>
      </w:pPr>
      <w:r w:rsidRPr="00956F61">
        <w:rPr>
          <w:vertAlign w:val="superscript"/>
        </w:rPr>
        <w:t>2</w:t>
      </w:r>
      <w:r w:rsidRPr="00956F61">
        <w:t xml:space="preserve"> – suga konstatēta 2 mazās ūdenstilpēs, ticamāk, populācija GNP nav apzināta</w:t>
      </w:r>
    </w:p>
    <w:p w14:paraId="1932E6B5" w14:textId="17A9EA98" w:rsidR="00A84218" w:rsidRPr="00675182" w:rsidRDefault="00A84218" w:rsidP="002B3341">
      <w:pPr>
        <w:rPr>
          <w:rFonts w:cstheme="minorHAnsi"/>
        </w:rPr>
        <w:sectPr w:rsidR="00A84218" w:rsidRPr="00675182" w:rsidSect="003060C4">
          <w:headerReference w:type="default" r:id="rId243"/>
          <w:pgSz w:w="16837" w:h="11905" w:orient="landscape"/>
          <w:pgMar w:top="1797" w:right="1440" w:bottom="1797" w:left="1440" w:header="720" w:footer="720" w:gutter="0"/>
          <w:cols w:space="720"/>
          <w:docGrid w:linePitch="360"/>
        </w:sectPr>
      </w:pPr>
    </w:p>
    <w:p w14:paraId="6CE68FBA" w14:textId="77777777" w:rsidR="00E30B04" w:rsidRPr="00675182" w:rsidRDefault="00E30B04" w:rsidP="00A84218">
      <w:pPr>
        <w:pStyle w:val="Heading4"/>
        <w:numPr>
          <w:ilvl w:val="3"/>
          <w:numId w:val="44"/>
        </w:numPr>
        <w:ind w:left="0" w:firstLine="0"/>
        <w:rPr>
          <w:rFonts w:asciiTheme="minorHAnsi" w:hAnsiTheme="minorHAnsi" w:cstheme="minorHAnsi"/>
        </w:rPr>
      </w:pPr>
      <w:bookmarkStart w:id="100" w:name="_Hlk98762938"/>
      <w:bookmarkStart w:id="101" w:name="_Hlk99277826"/>
      <w:r w:rsidRPr="00675182">
        <w:rPr>
          <w:rFonts w:asciiTheme="minorHAnsi" w:hAnsiTheme="minorHAnsi" w:cstheme="minorHAnsi"/>
        </w:rPr>
        <w:lastRenderedPageBreak/>
        <w:t>2.4.2.5. Bezmugurkaulnieki</w:t>
      </w:r>
    </w:p>
    <w:p w14:paraId="6424C50F" w14:textId="77777777" w:rsidR="00E30B04" w:rsidRPr="00675182" w:rsidRDefault="00E30B04" w:rsidP="00E30B04">
      <w:pPr>
        <w:jc w:val="both"/>
        <w:rPr>
          <w:rFonts w:cstheme="minorHAnsi"/>
          <w:szCs w:val="24"/>
        </w:rPr>
      </w:pPr>
    </w:p>
    <w:p w14:paraId="71A8BF44" w14:textId="5A544B8F" w:rsidR="00E30B04" w:rsidRPr="00675182" w:rsidRDefault="00E30B04" w:rsidP="00E30B04">
      <w:pPr>
        <w:jc w:val="both"/>
        <w:rPr>
          <w:rFonts w:cstheme="minorHAnsi"/>
          <w:bCs/>
          <w:szCs w:val="24"/>
        </w:rPr>
      </w:pPr>
      <w:bookmarkStart w:id="102" w:name="_Hlk55245787"/>
      <w:r w:rsidRPr="00675182">
        <w:rPr>
          <w:rFonts w:cstheme="minorHAnsi"/>
          <w:bCs/>
          <w:szCs w:val="24"/>
        </w:rPr>
        <w:t xml:space="preserve">GNP ir viena no visvairāk pētītajām bezmugurkaulnieku teritorijām Latvijā. Pirmie mērķtiecīgie bezmugurkaulnieku pētījumi Gaujas senlejā ir datējami 19. gs. Pētījumu intensitāte teritorijā nav bijusi vienmērīga un periodiski ir notikusi pētnieciskās darbības aktivizēšanās. Viens no šādiem periodiem sakrita ar GNP veidošanas idejas attīstību 20. gs. 70. gadu sākumā. Nākamais aktīvo pētījumu periods saistīts ar iepriekšējā GNP </w:t>
      </w:r>
      <w:r w:rsidR="0067539A">
        <w:rPr>
          <w:rFonts w:cstheme="minorHAnsi"/>
          <w:bCs/>
          <w:szCs w:val="24"/>
        </w:rPr>
        <w:t>DA</w:t>
      </w:r>
      <w:r w:rsidRPr="00675182">
        <w:rPr>
          <w:rFonts w:cstheme="minorHAnsi"/>
          <w:bCs/>
          <w:szCs w:val="24"/>
        </w:rPr>
        <w:t xml:space="preserve"> plāna izstrādi. Laika posmā no 1999. līdz 2001. gadam tika realizēti vairāki LVAF finansētie projekti, tajā skaitā GNP faunas inventarizācija, kura laikā veikts pirmais bezmugurkaulnieku faunas apkopojums, galvenokārt no literatūras datiem. Laika posmā no 2001. līdz 2003. gadam EMERALD projekta ietvaros tika apsekota GNP teritorija ar mērķi noskaidrot </w:t>
      </w:r>
      <w:r w:rsidRPr="00675182">
        <w:rPr>
          <w:rFonts w:cstheme="minorHAnsi"/>
        </w:rPr>
        <w:t>Biotopu Direktīvas</w:t>
      </w:r>
      <w:r w:rsidRPr="00675182">
        <w:rPr>
          <w:rFonts w:cstheme="minorHAnsi"/>
          <w:bCs/>
          <w:szCs w:val="24"/>
        </w:rPr>
        <w:t xml:space="preserve"> pielikumos iekļauto bezmugurkaulnieku sugu sastopamību. Savukārt 2007. gadā ar LVAF finansējumu tika izdots GNP reģistrēto sugu saraksts “Bioloģiskā daudzveidība Gaujas nacionālajā parka”, kas ir uzskatāms par iepriekš veikto pētījumu apkopojumu. Rezultātā GNP teritorijā tika atzīmēta 81 bezmugurkaulnieku suga, kas iekļauta kādā no apdraudēto un aizsargājamo sugu sarakstiem, tajā skaitā 20 sugas, kuras iekļautas ES Biotopu Direktīvas pielikumos. Laika posmā no 2008. gada līdz 2012. gadam Latvijā tika īstenots LVAF finansēts projekts “Bezmugurkaulnieku monitorings Natura 2000 vietās laika posmā 2008-2012”. Šī projekta ietvaros Latvijas vadošie bezmugurkaulnieku eksperti veica bezmugurkaulnieku sastopamības izvērtēšana Natura 2000 teritorijās Latvijā. Pēc iepriekš minētā projekta realizācijas bezmugurkaulnieku izpētes detalizācijas līmeni GNP ir veicinājusi Bioloģiskās daudzveidības monitoringa programmas īstenošana. Šajā programmā ietilpst divi bezmugurkaulnieku monitoringa veidi:</w:t>
      </w:r>
    </w:p>
    <w:p w14:paraId="71BE8657" w14:textId="77777777" w:rsidR="00E30B04" w:rsidRPr="00675182" w:rsidRDefault="00E30B04" w:rsidP="00A84218">
      <w:pPr>
        <w:pStyle w:val="ListParagraph"/>
        <w:numPr>
          <w:ilvl w:val="0"/>
          <w:numId w:val="51"/>
        </w:numPr>
        <w:jc w:val="both"/>
        <w:rPr>
          <w:rFonts w:cstheme="minorHAnsi"/>
          <w:bCs/>
          <w:szCs w:val="24"/>
        </w:rPr>
      </w:pPr>
      <w:r w:rsidRPr="00675182">
        <w:rPr>
          <w:rFonts w:cstheme="minorHAnsi"/>
          <w:bCs/>
          <w:szCs w:val="24"/>
        </w:rPr>
        <w:t>Bezmugurkaulnieku monitorings Natura 2000 teritorijās, kas GNP tiek īstenots kopš 2013. gada;</w:t>
      </w:r>
    </w:p>
    <w:p w14:paraId="3534B483" w14:textId="77777777" w:rsidR="00E30B04" w:rsidRPr="00675182" w:rsidRDefault="00E30B04" w:rsidP="00A84218">
      <w:pPr>
        <w:pStyle w:val="ListParagraph"/>
        <w:numPr>
          <w:ilvl w:val="0"/>
          <w:numId w:val="51"/>
        </w:numPr>
        <w:jc w:val="both"/>
        <w:rPr>
          <w:rFonts w:cstheme="minorHAnsi"/>
          <w:bCs/>
          <w:szCs w:val="24"/>
        </w:rPr>
      </w:pPr>
      <w:r w:rsidRPr="00675182">
        <w:rPr>
          <w:rFonts w:cstheme="minorHAnsi"/>
          <w:bCs/>
          <w:szCs w:val="24"/>
        </w:rPr>
        <w:t xml:space="preserve">Bezmugurkaulnieku fona monitoringa aktivitātes, kas tiek īstenotas kopš 2015. gada. </w:t>
      </w:r>
    </w:p>
    <w:p w14:paraId="41FDD7A3" w14:textId="77777777" w:rsidR="00E30B04" w:rsidRPr="00675182" w:rsidRDefault="00E30B04" w:rsidP="00E30B04">
      <w:pPr>
        <w:jc w:val="both"/>
        <w:rPr>
          <w:rFonts w:cstheme="minorHAnsi"/>
          <w:bCs/>
          <w:szCs w:val="24"/>
        </w:rPr>
      </w:pPr>
    </w:p>
    <w:p w14:paraId="42465E15" w14:textId="77777777" w:rsidR="00E30B04" w:rsidRPr="00675182" w:rsidRDefault="00E30B04" w:rsidP="00E30B04">
      <w:pPr>
        <w:jc w:val="both"/>
        <w:rPr>
          <w:rFonts w:cstheme="minorHAnsi"/>
          <w:bCs/>
          <w:szCs w:val="24"/>
        </w:rPr>
      </w:pPr>
      <w:r w:rsidRPr="00675182">
        <w:rPr>
          <w:rFonts w:cstheme="minorHAnsi"/>
          <w:bCs/>
          <w:szCs w:val="24"/>
        </w:rPr>
        <w:t xml:space="preserve">Zinātniskajās publikācijās visvairāk informācijas iegūstams par GNP spāru (Kalniņš, 2006b, Kalniņš, 2007; Kalniņš, 2008; Kalniņš et al., 2011, Kalniņš 2017), gliemju (Pilāte, 2003; Rudzīte, 2004; Pilāte, Lūkins, 2009, Pilāte 2007, Rudzīte, 2004, 2005, </w:t>
      </w:r>
      <w:r w:rsidRPr="00675182">
        <w:rPr>
          <w:rStyle w:val="normaltextrun"/>
          <w:rFonts w:cstheme="minorHAnsi"/>
          <w:color w:val="000000"/>
          <w:szCs w:val="24"/>
          <w:bdr w:val="none" w:sz="0" w:space="0" w:color="auto" w:frame="1"/>
        </w:rPr>
        <w:t>Rudzīte, Rudzītis 2012; Rudzītis, Rudzīte 2012)</w:t>
      </w:r>
      <w:r w:rsidRPr="00675182">
        <w:rPr>
          <w:rFonts w:cstheme="minorHAnsi"/>
          <w:bCs/>
          <w:szCs w:val="24"/>
        </w:rPr>
        <w:t>, vaboļu (Telnov, 2001; Telnov et al., 2006, 2007, 2008, 2010, 2011, 2016; Barševskis et al., 2009; Barševskis et al., 2012, 2014), airvaboļu faunu (Kalniņš, 2006a, Vahruševs un Kalniņš, 2013), pieejama informācija arī par atsevišķām citām bezmugurkaulnieku grupām, piem., mušveidīgajiem (Karpa et al. 2005), ērcēm (Salmane 2006), smecerniekiem (Balalaikins, 2011, 2012a, b.; Balalaikins, Bukejs, 2012; Balalaikins, Telnov,2012; Bukejs, 2012; Bukejs, Telnov, 2010; Cibuļskis, 2011) u.c.</w:t>
      </w:r>
    </w:p>
    <w:p w14:paraId="20942B9D" w14:textId="77777777" w:rsidR="00E30B04" w:rsidRPr="00675182" w:rsidRDefault="00E30B04" w:rsidP="00E30B04">
      <w:pPr>
        <w:jc w:val="both"/>
        <w:rPr>
          <w:rFonts w:cstheme="minorHAnsi"/>
          <w:bCs/>
          <w:szCs w:val="24"/>
        </w:rPr>
      </w:pPr>
    </w:p>
    <w:bookmarkEnd w:id="102"/>
    <w:p w14:paraId="6F59F3A9" w14:textId="0EFCC20F" w:rsidR="00E30B04" w:rsidRPr="00675182" w:rsidRDefault="00E30B04" w:rsidP="00E30B04">
      <w:pPr>
        <w:jc w:val="both"/>
        <w:rPr>
          <w:rFonts w:cstheme="minorHAnsi"/>
          <w:bCs/>
          <w:szCs w:val="24"/>
        </w:rPr>
      </w:pPr>
      <w:r w:rsidRPr="00675182">
        <w:rPr>
          <w:rFonts w:cstheme="minorHAnsi"/>
          <w:bCs/>
          <w:szCs w:val="24"/>
        </w:rPr>
        <w:t>Dati par GNP teritorijā sastopamajām reto un aizsargājamo bezmugurkaulnieku sugām apkopoti, balstoties uz pieejamo informāciju DAP DDPS “Ozols”, EMERALD projekta ietvaros veikto apsekojumu datiem, projekta “Bezmugurkaulnieku monitorings Natura 2000 vietās laika posmā 2008-2012” ievāktajiem datiem, Natura2000 datubāzē pieejamiem datiem</w:t>
      </w:r>
      <w:r w:rsidRPr="00675182">
        <w:rPr>
          <w:rStyle w:val="FootnoteReference"/>
          <w:rFonts w:cstheme="minorHAnsi"/>
          <w:bCs/>
          <w:szCs w:val="24"/>
        </w:rPr>
        <w:footnoteReference w:id="28"/>
      </w:r>
      <w:r w:rsidRPr="00675182">
        <w:rPr>
          <w:rFonts w:cstheme="minorHAnsi"/>
          <w:bCs/>
          <w:szCs w:val="24"/>
        </w:rPr>
        <w:t xml:space="preserve">, </w:t>
      </w:r>
      <w:r w:rsidRPr="00675182">
        <w:rPr>
          <w:rFonts w:cstheme="minorHAnsi"/>
        </w:rPr>
        <w:t>Mārtiņa Kalniņa veidotajā Latvijas bezmugurkaulnieku izplatības datu bāzē (LINDA), portālā Dabasdati.lv</w:t>
      </w:r>
      <w:r w:rsidRPr="00675182">
        <w:t xml:space="preserve"> reģistrētiem ierakstiem,</w:t>
      </w:r>
      <w:r w:rsidRPr="00675182">
        <w:rPr>
          <w:rFonts w:cstheme="minorHAnsi"/>
        </w:rPr>
        <w:t xml:space="preserve"> Bioloģiskās</w:t>
      </w:r>
      <w:r w:rsidRPr="00675182">
        <w:rPr>
          <w:rFonts w:cstheme="minorHAnsi"/>
          <w:bCs/>
          <w:szCs w:val="24"/>
        </w:rPr>
        <w:t xml:space="preserve"> daudzveidības monitoringa programmas datiem, kā arī </w:t>
      </w:r>
      <w:r w:rsidRPr="00675182">
        <w:rPr>
          <w:rFonts w:cstheme="minorHAnsi"/>
          <w:bCs/>
          <w:szCs w:val="24"/>
        </w:rPr>
        <w:lastRenderedPageBreak/>
        <w:t>publicētajā literatūrā pieejamo informāciju. Aktuālākie dati tika ievākti DA plāna izstrādes ietvaros, veicot GNP teritoriju apsekojumus 2020. un 2021. gada lauka pētījumu sezonās</w:t>
      </w:r>
      <w:r w:rsidR="00D903BD">
        <w:rPr>
          <w:rFonts w:cstheme="minorHAnsi"/>
          <w:bCs/>
          <w:szCs w:val="24"/>
        </w:rPr>
        <w:t>, tai skaitā projekta</w:t>
      </w:r>
      <w:r w:rsidR="00D51F06">
        <w:rPr>
          <w:rFonts w:cstheme="minorHAnsi"/>
          <w:bCs/>
          <w:szCs w:val="24"/>
        </w:rPr>
        <w:t xml:space="preserve"> “</w:t>
      </w:r>
      <w:r w:rsidR="00D51F06">
        <w:t>Bezmugurkaulnieku, abinieku un rāpuļu monitorings un izpēte dabas liegumā “Lubāna mitrājs”, Gaujas nacionālajā parkā un Ķemeru nacionālajā parkā” ietvaros</w:t>
      </w:r>
      <w:r w:rsidR="00D903BD">
        <w:rPr>
          <w:rFonts w:cstheme="minorHAnsi"/>
          <w:bCs/>
          <w:szCs w:val="24"/>
        </w:rPr>
        <w:t xml:space="preserve"> </w:t>
      </w:r>
      <w:r w:rsidRPr="00675182">
        <w:rPr>
          <w:rFonts w:cstheme="minorHAnsi"/>
          <w:bCs/>
          <w:szCs w:val="24"/>
        </w:rPr>
        <w:t xml:space="preserve">. DA plāna izstrādes ietvaros apsekojumus veica DAP sertificēti bezmugurkaulnieku eksperti Maksims Balalaikins, Uldis Valainis un Dmitrijs Teļnovs. </w:t>
      </w:r>
      <w:r w:rsidRPr="00675182">
        <w:rPr>
          <w:rFonts w:cstheme="minorHAnsi"/>
          <w:szCs w:val="24"/>
        </w:rPr>
        <w:t xml:space="preserve">Veicot teritorijas apsekošanu galvenā uzmanība tika pievērsta </w:t>
      </w:r>
      <w:r w:rsidRPr="00675182">
        <w:rPr>
          <w:rFonts w:cstheme="minorHAnsi"/>
          <w:bCs/>
          <w:szCs w:val="24"/>
        </w:rPr>
        <w:t>Biotopu D</w:t>
      </w:r>
      <w:r w:rsidRPr="00675182">
        <w:rPr>
          <w:rFonts w:cstheme="minorHAnsi"/>
          <w:bCs/>
          <w:spacing w:val="-1"/>
          <w:szCs w:val="24"/>
        </w:rPr>
        <w:t>irektīvas</w:t>
      </w:r>
      <w:r w:rsidRPr="00675182">
        <w:rPr>
          <w:rFonts w:cstheme="minorHAnsi"/>
          <w:bCs/>
          <w:spacing w:val="-6"/>
          <w:szCs w:val="24"/>
        </w:rPr>
        <w:t xml:space="preserve"> </w:t>
      </w:r>
      <w:r w:rsidRPr="00675182">
        <w:rPr>
          <w:rFonts w:cstheme="minorHAnsi"/>
          <w:szCs w:val="24"/>
        </w:rPr>
        <w:t xml:space="preserve">II pielikumā iekļauto sugu sastopamībai un to populāciju lieluma novērtējumam. Biotopu Direktīvā iekļauto sugu izmantotā uzskaites metodika tika pamatota ar </w:t>
      </w:r>
      <w:r w:rsidRPr="00675182">
        <w:rPr>
          <w:rFonts w:cstheme="minorHAnsi"/>
        </w:rPr>
        <w:t xml:space="preserve">Vides monitoringa programmu 2015. – 2020. gadam, kas apstiprināta ar Vides aizsardzības un reģionālās attīstības ministra 2015. gada 26. februāra rīkojumu Nr. 67 “Par Vides monitoringa programmu”. </w:t>
      </w:r>
      <w:r w:rsidRPr="00675182">
        <w:rPr>
          <w:rFonts w:cstheme="minorHAnsi"/>
          <w:szCs w:val="24"/>
        </w:rPr>
        <w:t>Pārējo sugu konstatēšana ir vērtējama kā papildus rezultāts un šo sugu populācijas netika vērtētas.</w:t>
      </w:r>
    </w:p>
    <w:p w14:paraId="68E57B20" w14:textId="77777777" w:rsidR="00E30B04" w:rsidRPr="00675182" w:rsidRDefault="00E30B04" w:rsidP="00E30B04">
      <w:pPr>
        <w:jc w:val="both"/>
        <w:rPr>
          <w:rFonts w:cstheme="minorHAnsi"/>
        </w:rPr>
      </w:pPr>
    </w:p>
    <w:p w14:paraId="46B167A5" w14:textId="77777777" w:rsidR="00E30B04" w:rsidRPr="00675182" w:rsidRDefault="00E30B04" w:rsidP="00E30B04">
      <w:pPr>
        <w:jc w:val="both"/>
        <w:rPr>
          <w:rFonts w:cstheme="minorHAnsi"/>
          <w:b/>
        </w:rPr>
      </w:pPr>
      <w:r w:rsidRPr="00675182">
        <w:rPr>
          <w:rFonts w:cstheme="minorHAnsi"/>
          <w:b/>
        </w:rPr>
        <w:t>Dabas aizsardzības vērtība</w:t>
      </w:r>
    </w:p>
    <w:p w14:paraId="1EE209CC" w14:textId="0EAF64F2" w:rsidR="00E30B04" w:rsidRPr="00675182" w:rsidRDefault="00E30B04" w:rsidP="00E30B04">
      <w:pPr>
        <w:jc w:val="both"/>
        <w:rPr>
          <w:rFonts w:cstheme="minorHAnsi"/>
          <w:szCs w:val="24"/>
        </w:rPr>
      </w:pPr>
      <w:r w:rsidRPr="00675182">
        <w:rPr>
          <w:rFonts w:cstheme="minorHAnsi"/>
          <w:szCs w:val="24"/>
        </w:rPr>
        <w:t xml:space="preserve">Veicot datu apkopojumu par GNP teritorijā zināmām bezmugurkaulnieku atradnēm, ieskaitot aktuālos ekspertu apsekojumu datus, </w:t>
      </w:r>
      <w:r w:rsidRPr="00675182">
        <w:rPr>
          <w:rFonts w:cstheme="minorHAnsi"/>
          <w:bCs/>
          <w:szCs w:val="24"/>
        </w:rPr>
        <w:t xml:space="preserve">DDPS “Ozols” </w:t>
      </w:r>
      <w:r w:rsidRPr="00675182">
        <w:rPr>
          <w:rFonts w:cstheme="minorHAnsi"/>
          <w:szCs w:val="24"/>
        </w:rPr>
        <w:t xml:space="preserve">esošos datus, tika identificēti ~ 1808 novērojumi. GNP teritorijā kopumā konstatētas 108 </w:t>
      </w:r>
      <w:r w:rsidR="00DE050F">
        <w:rPr>
          <w:rFonts w:cstheme="minorHAnsi"/>
          <w:szCs w:val="24"/>
        </w:rPr>
        <w:t>ĪA</w:t>
      </w:r>
      <w:r w:rsidRPr="00675182">
        <w:rPr>
          <w:rFonts w:cstheme="minorHAnsi"/>
          <w:szCs w:val="24"/>
        </w:rPr>
        <w:t xml:space="preserve"> vai citādi no dabas aizsardzības viedokļa vērtīgas bezmugurkaulnieku sugas. </w:t>
      </w:r>
      <w:r w:rsidRPr="00675182">
        <w:rPr>
          <w:rFonts w:cstheme="minorHAnsi"/>
        </w:rPr>
        <w:t xml:space="preserve">18 no konstatētajām sugām ir iekļautas </w:t>
      </w:r>
      <w:r w:rsidRPr="00675182">
        <w:rPr>
          <w:rFonts w:eastAsia="Times New Roman" w:cstheme="minorHAnsi"/>
        </w:rPr>
        <w:t>Biotopu Direktīvas II pielikumā, vēl piecas sugas IV pielikumā savukārt viena suga V pielikumā.</w:t>
      </w:r>
      <w:r w:rsidRPr="00675182">
        <w:rPr>
          <w:rFonts w:cstheme="minorHAnsi"/>
          <w:bCs/>
          <w:szCs w:val="24"/>
        </w:rPr>
        <w:t xml:space="preserve"> Informācija par ES nozīmes </w:t>
      </w:r>
      <w:r w:rsidR="00DE050F">
        <w:rPr>
          <w:rFonts w:cstheme="minorHAnsi"/>
          <w:bCs/>
          <w:szCs w:val="24"/>
        </w:rPr>
        <w:t>ĪA</w:t>
      </w:r>
      <w:r w:rsidRPr="00675182">
        <w:rPr>
          <w:rFonts w:cstheme="minorHAnsi"/>
          <w:bCs/>
          <w:szCs w:val="24"/>
        </w:rPr>
        <w:t xml:space="preserve"> bezmugurkaulnieku sugām ir apkopota 2.4.8. </w:t>
      </w:r>
      <w:r w:rsidR="00E03FAC">
        <w:rPr>
          <w:rFonts w:cstheme="minorHAnsi"/>
          <w:bCs/>
          <w:szCs w:val="24"/>
        </w:rPr>
        <w:t xml:space="preserve">A un B </w:t>
      </w:r>
      <w:r w:rsidRPr="00675182">
        <w:rPr>
          <w:rFonts w:cstheme="minorHAnsi"/>
          <w:bCs/>
          <w:szCs w:val="24"/>
        </w:rPr>
        <w:t xml:space="preserve">tabulā. Detalizēta informācija par </w:t>
      </w:r>
      <w:r w:rsidR="00DE050F">
        <w:rPr>
          <w:rFonts w:cstheme="minorHAnsi"/>
          <w:bCs/>
          <w:szCs w:val="24"/>
        </w:rPr>
        <w:t>ĪA</w:t>
      </w:r>
      <w:r w:rsidRPr="00675182">
        <w:rPr>
          <w:rFonts w:cstheme="minorHAnsi"/>
          <w:bCs/>
          <w:szCs w:val="24"/>
        </w:rPr>
        <w:t xml:space="preserve">, retām un citādi nozīmīgām bezmugurkaulnieku sugām ir apkopota 12. pielikumā. </w:t>
      </w:r>
    </w:p>
    <w:p w14:paraId="609E9D51" w14:textId="77777777" w:rsidR="00E30B04" w:rsidRPr="00675182" w:rsidRDefault="00E30B04" w:rsidP="00E30B04">
      <w:pPr>
        <w:jc w:val="both"/>
        <w:rPr>
          <w:rFonts w:cstheme="minorHAnsi"/>
          <w:szCs w:val="24"/>
        </w:rPr>
      </w:pPr>
    </w:p>
    <w:p w14:paraId="40060DD5" w14:textId="1257F116" w:rsidR="00E30B04" w:rsidRPr="00675182" w:rsidRDefault="00E30B04" w:rsidP="00E30B04">
      <w:pPr>
        <w:jc w:val="both"/>
        <w:rPr>
          <w:rFonts w:cstheme="minorHAnsi"/>
          <w:szCs w:val="24"/>
        </w:rPr>
      </w:pPr>
      <w:r w:rsidRPr="00675182">
        <w:rPr>
          <w:rFonts w:eastAsia="Times New Roman" w:cstheme="minorHAnsi"/>
        </w:rPr>
        <w:t xml:space="preserve">57 sugas </w:t>
      </w:r>
      <w:r w:rsidRPr="00675182">
        <w:rPr>
          <w:rFonts w:eastAsia="Times New Roman" w:cstheme="minorHAnsi"/>
          <w:szCs w:val="24"/>
        </w:rPr>
        <w:t xml:space="preserve">iekļautas Latvijā </w:t>
      </w:r>
      <w:r w:rsidR="00DE050F">
        <w:rPr>
          <w:rFonts w:eastAsia="Times New Roman" w:cstheme="minorHAnsi"/>
          <w:szCs w:val="24"/>
        </w:rPr>
        <w:t>ĪA</w:t>
      </w:r>
      <w:r w:rsidRPr="00675182">
        <w:rPr>
          <w:rFonts w:eastAsia="Times New Roman" w:cstheme="minorHAnsi"/>
          <w:szCs w:val="24"/>
        </w:rPr>
        <w:t xml:space="preserve"> sugu sarakstā, no tām </w:t>
      </w:r>
      <w:r w:rsidRPr="00675182">
        <w:rPr>
          <w:rFonts w:cstheme="minorHAnsi"/>
          <w:szCs w:val="24"/>
        </w:rPr>
        <w:t xml:space="preserve">16 sugu aizsardzībai var būt veidojami mikroliegumi. 37 sugas ir iekļautas Pasaules dabas aizsardzības organizācijas (The World Conservation Union) apdraudēto sugu sarakstā, 70 </w:t>
      </w:r>
      <w:r w:rsidRPr="00675182">
        <w:rPr>
          <w:rFonts w:cstheme="minorHAnsi"/>
        </w:rPr>
        <w:t>no GNP sastopamajām bezmugurkaulnieku sugām iekļautas Latvijas Sarkanajā Grāmatā, k</w:t>
      </w:r>
      <w:r w:rsidRPr="00675182">
        <w:rPr>
          <w:rFonts w:cstheme="minorHAnsi"/>
          <w:szCs w:val="24"/>
        </w:rPr>
        <w:t>ā arī 41 mežaudžu atslēgas biotopu suga, tajā skaitā 26</w:t>
      </w:r>
      <w:r w:rsidRPr="00675182">
        <w:rPr>
          <w:rFonts w:cstheme="minorHAnsi"/>
          <w:sz w:val="32"/>
          <w:szCs w:val="24"/>
        </w:rPr>
        <w:t xml:space="preserve"> </w:t>
      </w:r>
      <w:r w:rsidRPr="00675182">
        <w:rPr>
          <w:rFonts w:cstheme="minorHAnsi"/>
        </w:rPr>
        <w:t>biotopu speciālistu sugas un 15 indikatorsugas.</w:t>
      </w:r>
    </w:p>
    <w:p w14:paraId="434D8350" w14:textId="77777777" w:rsidR="00E30B04" w:rsidRPr="00675182" w:rsidRDefault="00E30B04" w:rsidP="00E30B04">
      <w:pPr>
        <w:jc w:val="both"/>
        <w:rPr>
          <w:rFonts w:cstheme="minorHAnsi"/>
          <w:szCs w:val="24"/>
        </w:rPr>
      </w:pPr>
    </w:p>
    <w:p w14:paraId="0FB3733A" w14:textId="77777777" w:rsidR="00E30B04" w:rsidRPr="00675182" w:rsidRDefault="00E30B04" w:rsidP="00E30B04">
      <w:pPr>
        <w:jc w:val="both"/>
        <w:rPr>
          <w:rFonts w:cstheme="minorHAnsi"/>
        </w:rPr>
      </w:pPr>
      <w:r w:rsidRPr="00675182">
        <w:rPr>
          <w:rFonts w:cstheme="minorHAnsi"/>
          <w:szCs w:val="24"/>
        </w:rPr>
        <w:t>Nozīmīgākā atradņu daļa ir saistīta ar saproksīliem kukaiņiem un gliemjiem, spārēm un dienas tauriņiem.</w:t>
      </w:r>
    </w:p>
    <w:p w14:paraId="72581F68" w14:textId="77777777" w:rsidR="00E30B04" w:rsidRPr="00675182" w:rsidRDefault="00E30B04" w:rsidP="00E30B04">
      <w:pPr>
        <w:suppressAutoHyphens w:val="0"/>
        <w:autoSpaceDE w:val="0"/>
        <w:autoSpaceDN w:val="0"/>
        <w:adjustRightInd w:val="0"/>
        <w:jc w:val="both"/>
        <w:rPr>
          <w:rFonts w:cstheme="minorHAnsi"/>
          <w:bCs/>
          <w:szCs w:val="24"/>
        </w:rPr>
      </w:pPr>
    </w:p>
    <w:p w14:paraId="39B9C07C" w14:textId="77777777" w:rsidR="00E30B04" w:rsidRPr="00675182" w:rsidRDefault="00E30B04" w:rsidP="00E30B04">
      <w:pPr>
        <w:jc w:val="both"/>
        <w:rPr>
          <w:rFonts w:cstheme="minorHAnsi"/>
          <w:szCs w:val="24"/>
          <w:u w:val="single"/>
        </w:rPr>
      </w:pPr>
      <w:r w:rsidRPr="00675182">
        <w:rPr>
          <w:rFonts w:cstheme="minorHAnsi"/>
          <w:szCs w:val="24"/>
          <w:u w:val="single"/>
        </w:rPr>
        <w:t>Saproksīlo kukaiņu sugu apskats GNP</w:t>
      </w:r>
    </w:p>
    <w:p w14:paraId="5204B47C" w14:textId="77777777" w:rsidR="00E30B04" w:rsidRPr="00675182" w:rsidRDefault="00E30B04" w:rsidP="00E30B04">
      <w:pPr>
        <w:jc w:val="both"/>
        <w:rPr>
          <w:rFonts w:cstheme="minorHAnsi"/>
          <w:szCs w:val="24"/>
        </w:rPr>
      </w:pPr>
      <w:r w:rsidRPr="00675182">
        <w:rPr>
          <w:rFonts w:cstheme="minorHAnsi"/>
          <w:szCs w:val="24"/>
        </w:rPr>
        <w:t xml:space="preserve">~ 51,7 % GNP teritorijas jeb </w:t>
      </w:r>
      <w:r w:rsidRPr="00675182">
        <w:rPr>
          <w:rFonts w:cstheme="minorHAnsi"/>
        </w:rPr>
        <w:t>49722,5</w:t>
      </w:r>
      <w:r w:rsidRPr="00675182">
        <w:rPr>
          <w:rFonts w:cstheme="minorHAnsi"/>
          <w:szCs w:val="24"/>
        </w:rPr>
        <w:t xml:space="preserve"> ha aizņem meži un krūmāji, no tām bezmugurkaulniekiem nozīmīgākie ir meža masīvi ar bioloģiski vecām mežaudzēm un lielu atmirušās koksnes struktūru daudzumu. Lielākā daļa aizsargājamo bezmugurkaulnieku sugu ir saistītas ar dzīvotnēm, kas atbilst ES nozīmes aizsargājamo mežu biotopu statusam un atbilstošas mežaudzes GNP teritorijā aizņem ~11975 ha, no kurām lielākā daļa atbilst DMB vai PDMB statusam. GNP ir viena no </w:t>
      </w:r>
      <w:r w:rsidRPr="00BF7348">
        <w:rPr>
          <w:rFonts w:cstheme="minorHAnsi"/>
          <w:iCs/>
          <w:szCs w:val="24"/>
        </w:rPr>
        <w:t>Natura 2000</w:t>
      </w:r>
      <w:r w:rsidRPr="004F15D2">
        <w:rPr>
          <w:rFonts w:cstheme="minorHAnsi"/>
          <w:iCs/>
          <w:szCs w:val="24"/>
        </w:rPr>
        <w:t xml:space="preserve"> </w:t>
      </w:r>
      <w:r w:rsidRPr="00675182">
        <w:rPr>
          <w:rFonts w:cstheme="minorHAnsi"/>
          <w:szCs w:val="24"/>
        </w:rPr>
        <w:t xml:space="preserve">teritorijām ar augstu pirofīlo sugu aizsardzības potenciālu. </w:t>
      </w:r>
      <w:r w:rsidRPr="00675182">
        <w:rPr>
          <w:rFonts w:cstheme="minorHAnsi"/>
          <w:color w:val="000000" w:themeColor="text1"/>
          <w:szCs w:val="24"/>
        </w:rPr>
        <w:t xml:space="preserve">Veicot saproksīlo kukaiņu sugu atradņu apkopojumu, tika identificētas sugas ar lielāko novērojumu skaitu teritorijā. Nozīmīgāko atradņu skaitu teritorijā veido spožās skudras </w:t>
      </w:r>
      <w:r w:rsidRPr="00675182">
        <w:rPr>
          <w:rFonts w:cstheme="minorHAnsi"/>
          <w:i/>
          <w:color w:val="000000" w:themeColor="text1"/>
          <w:szCs w:val="24"/>
        </w:rPr>
        <w:t>Lasius fuliginosus</w:t>
      </w:r>
      <w:r w:rsidRPr="00675182">
        <w:rPr>
          <w:rFonts w:cstheme="minorHAnsi"/>
          <w:color w:val="000000" w:themeColor="text1"/>
          <w:szCs w:val="24"/>
        </w:rPr>
        <w:t xml:space="preserve"> novērojumi, kopumā 468. Suga saistīta ar veciem, dobumainiem, galvenokārt liela izmēra lapukokiem un pūžņus veido atmirušā koksnē. Suga ir samērā ekoloģiski plastiska, tāpēc sastopama gan dabiskos biotopos, kur liela </w:t>
      </w:r>
      <w:r w:rsidRPr="00675182">
        <w:rPr>
          <w:rFonts w:cstheme="minorHAnsi"/>
          <w:color w:val="000000" w:themeColor="text1"/>
          <w:szCs w:val="24"/>
        </w:rPr>
        <w:lastRenderedPageBreak/>
        <w:t>izmēra kritalas un atmirusi koksne ir maz, gan arī cilvēka veidotos biotopos – parkos, alejās u.c. stādījumos.</w:t>
      </w:r>
    </w:p>
    <w:p w14:paraId="198CE638" w14:textId="77777777" w:rsidR="00E30B04" w:rsidRPr="00675182" w:rsidRDefault="00E30B04" w:rsidP="00E30B04">
      <w:pPr>
        <w:jc w:val="both"/>
        <w:rPr>
          <w:rFonts w:cstheme="minorHAnsi"/>
          <w:szCs w:val="24"/>
        </w:rPr>
      </w:pPr>
    </w:p>
    <w:p w14:paraId="4D68BEC5" w14:textId="77777777" w:rsidR="00E30B04" w:rsidRPr="00675182" w:rsidRDefault="00E30B04" w:rsidP="00E30B04">
      <w:pPr>
        <w:jc w:val="both"/>
        <w:rPr>
          <w:rFonts w:eastAsia="Times New Roman" w:cstheme="minorHAnsi"/>
          <w:color w:val="000000"/>
          <w:szCs w:val="24"/>
          <w:lang w:eastAsia="en-GB"/>
        </w:rPr>
      </w:pPr>
      <w:r w:rsidRPr="00675182">
        <w:rPr>
          <w:rFonts w:eastAsia="Times New Roman" w:cstheme="minorHAnsi"/>
          <w:b/>
          <w:iCs/>
          <w:color w:val="000000"/>
          <w:szCs w:val="24"/>
        </w:rPr>
        <w:t xml:space="preserve">Svītrainais kapucķirmis </w:t>
      </w:r>
      <w:r w:rsidRPr="00675182">
        <w:rPr>
          <w:rFonts w:eastAsia="Times New Roman" w:cstheme="minorHAnsi"/>
          <w:b/>
          <w:i/>
          <w:iCs/>
          <w:color w:val="000000"/>
          <w:szCs w:val="24"/>
        </w:rPr>
        <w:t>Stephanopachys linearis</w:t>
      </w:r>
      <w:r w:rsidRPr="00675182">
        <w:rPr>
          <w:rFonts w:cstheme="minorHAnsi"/>
          <w:szCs w:val="24"/>
        </w:rPr>
        <w:t xml:space="preserve"> ir pirofīla suga, kas saistīta ar apdegušiem, bet dzīviem skujkokiem, parasti priedēm, kur attīstās kāpuri (Nardi, Audisio, 2016). Latvijā sugas optimālais biotops ir skraji, pirms 2-3 gadiem deguši priežu meži sākot ar 60 gadu vecumu, kas var atbilst biotopam </w:t>
      </w:r>
      <w:r w:rsidRPr="00675182">
        <w:rPr>
          <w:rFonts w:cstheme="minorHAnsi"/>
          <w:iCs/>
          <w:szCs w:val="24"/>
        </w:rPr>
        <w:t>9010*</w:t>
      </w:r>
      <w:r w:rsidRPr="00675182">
        <w:rPr>
          <w:rFonts w:cstheme="minorHAnsi"/>
          <w:szCs w:val="24"/>
        </w:rPr>
        <w:t xml:space="preserve"> Veci vai dabiski boreālie meži vai attīstās tā virzienā. Šī suga pašlaik Latvijā zināma no </w:t>
      </w:r>
      <w:r w:rsidRPr="004F15D2">
        <w:rPr>
          <w:rFonts w:cstheme="minorHAnsi"/>
          <w:szCs w:val="24"/>
        </w:rPr>
        <w:t xml:space="preserve">divām </w:t>
      </w:r>
      <w:r w:rsidRPr="00BF7348">
        <w:rPr>
          <w:rFonts w:cstheme="minorHAnsi"/>
          <w:szCs w:val="24"/>
        </w:rPr>
        <w:t>Natura 2000</w:t>
      </w:r>
      <w:r w:rsidRPr="00675182">
        <w:rPr>
          <w:rFonts w:cstheme="minorHAnsi"/>
          <w:szCs w:val="24"/>
        </w:rPr>
        <w:t xml:space="preserve"> teritorijām, viena no tām ir GNP. </w:t>
      </w:r>
    </w:p>
    <w:p w14:paraId="466B6FE5" w14:textId="77777777" w:rsidR="00E30B04" w:rsidRPr="00675182" w:rsidRDefault="00E30B04" w:rsidP="00E30B04">
      <w:pPr>
        <w:jc w:val="both"/>
        <w:rPr>
          <w:rFonts w:cstheme="minorHAnsi"/>
          <w:szCs w:val="24"/>
        </w:rPr>
      </w:pPr>
    </w:p>
    <w:p w14:paraId="22B08659" w14:textId="77777777" w:rsidR="00E30B04" w:rsidRPr="00675182" w:rsidRDefault="00E30B04" w:rsidP="00E30B04">
      <w:pPr>
        <w:jc w:val="both"/>
        <w:rPr>
          <w:rFonts w:eastAsia="Times New Roman" w:cstheme="minorHAnsi"/>
          <w:color w:val="000000"/>
          <w:szCs w:val="24"/>
          <w:lang w:eastAsia="en-GB"/>
        </w:rPr>
      </w:pPr>
      <w:r w:rsidRPr="00675182">
        <w:rPr>
          <w:rFonts w:eastAsia="Times New Roman" w:cstheme="minorHAnsi"/>
          <w:b/>
          <w:color w:val="000000"/>
          <w:szCs w:val="24"/>
          <w:lang w:eastAsia="en-GB"/>
        </w:rPr>
        <w:t>Šneidera mizmīlis</w:t>
      </w:r>
      <w:r w:rsidRPr="00675182">
        <w:rPr>
          <w:rFonts w:eastAsia="Times New Roman" w:cstheme="minorHAnsi"/>
          <w:color w:val="000000"/>
          <w:szCs w:val="24"/>
          <w:lang w:eastAsia="en-GB"/>
        </w:rPr>
        <w:t xml:space="preserve"> </w:t>
      </w:r>
      <w:r w:rsidRPr="00675182">
        <w:rPr>
          <w:rFonts w:cstheme="minorHAnsi"/>
          <w:b/>
          <w:bCs/>
          <w:i/>
        </w:rPr>
        <w:t>Boros schneideri</w:t>
      </w:r>
      <w:r w:rsidRPr="00675182">
        <w:rPr>
          <w:rFonts w:cstheme="minorHAnsi"/>
        </w:rPr>
        <w:t xml:space="preserve"> līdz šim ir zināms no diviem meža masīviem GNP – uz dienvidaustrumiem no Auciema, “For-Rest” projekta teritorijā, </w:t>
      </w:r>
      <w:r w:rsidRPr="00675182">
        <w:rPr>
          <w:rFonts w:eastAsia="Times New Roman" w:cstheme="minorHAnsi"/>
          <w:color w:val="000000"/>
          <w:szCs w:val="24"/>
          <w:lang w:eastAsia="en-GB"/>
        </w:rPr>
        <w:t>kur pirms vairākiem gadiem monodominantās priežu mežaudzēs tika veikta atmirušās koksnes un atvērumu veidošana, kā arī priežu meža masīvā GNP dienvidrietumu daļā.</w:t>
      </w:r>
    </w:p>
    <w:p w14:paraId="691EDC39" w14:textId="77777777" w:rsidR="00E30B04" w:rsidRPr="00675182" w:rsidRDefault="00E30B04" w:rsidP="00E30B04">
      <w:pPr>
        <w:jc w:val="both"/>
        <w:rPr>
          <w:rFonts w:cstheme="minorHAnsi"/>
        </w:rPr>
      </w:pPr>
    </w:p>
    <w:p w14:paraId="5FF35304" w14:textId="45F2B561" w:rsidR="00E30B04" w:rsidRPr="00675182" w:rsidRDefault="00E30B04" w:rsidP="00E30B04">
      <w:pPr>
        <w:jc w:val="both"/>
        <w:rPr>
          <w:rFonts w:cstheme="minorHAnsi"/>
          <w:szCs w:val="24"/>
        </w:rPr>
      </w:pPr>
      <w:r w:rsidRPr="00675182">
        <w:rPr>
          <w:rFonts w:cstheme="minorHAnsi"/>
          <w:b/>
        </w:rPr>
        <w:t>Austrumu koksngrauzis</w:t>
      </w:r>
      <w:r w:rsidRPr="00675182">
        <w:rPr>
          <w:rFonts w:cstheme="minorHAnsi"/>
        </w:rPr>
        <w:t xml:space="preserve"> </w:t>
      </w:r>
      <w:r w:rsidRPr="00675182">
        <w:rPr>
          <w:rFonts w:cstheme="minorHAnsi"/>
          <w:b/>
          <w:bCs/>
          <w:i/>
        </w:rPr>
        <w:t>Mesosa myops</w:t>
      </w:r>
      <w:r w:rsidRPr="00675182">
        <w:rPr>
          <w:rFonts w:cstheme="minorHAnsi"/>
        </w:rPr>
        <w:t xml:space="preserve"> ir GNP teritorijai unikāla koksngraužu suga, ar vienīgo aktuālo atradni Latvijā, Vikmestes gravā. </w:t>
      </w:r>
      <w:r w:rsidRPr="00675182">
        <w:rPr>
          <w:rFonts w:cstheme="minorHAnsi"/>
          <w:szCs w:val="24"/>
        </w:rPr>
        <w:t>Suga tika konstatēta 2014. gadā; ticami, ka sugas populācija teritorijā pastāv, jo atradnē reģistrētās dzīvotnes atbilst sugas ekoloģiskajām prasībām.</w:t>
      </w:r>
    </w:p>
    <w:p w14:paraId="14C4B844" w14:textId="77777777" w:rsidR="00E30B04" w:rsidRPr="00675182" w:rsidRDefault="00E30B04" w:rsidP="00E30B04">
      <w:pPr>
        <w:jc w:val="both"/>
        <w:rPr>
          <w:rFonts w:cstheme="minorHAnsi"/>
          <w:szCs w:val="24"/>
        </w:rPr>
      </w:pPr>
    </w:p>
    <w:p w14:paraId="59DDCD30" w14:textId="77777777" w:rsidR="00E30B04" w:rsidRPr="00675182" w:rsidRDefault="00E30B04" w:rsidP="00E30B04">
      <w:pPr>
        <w:suppressAutoHyphens w:val="0"/>
        <w:jc w:val="both"/>
        <w:rPr>
          <w:rFonts w:eastAsia="Times New Roman" w:cstheme="minorHAnsi"/>
          <w:color w:val="000000"/>
          <w:sz w:val="22"/>
          <w:szCs w:val="22"/>
          <w:lang w:eastAsia="en-GB"/>
        </w:rPr>
      </w:pPr>
      <w:r w:rsidRPr="00675182">
        <w:rPr>
          <w:rFonts w:cstheme="minorHAnsi"/>
          <w:b/>
          <w:szCs w:val="24"/>
        </w:rPr>
        <w:t>Sarkanais plakanis</w:t>
      </w:r>
      <w:r w:rsidRPr="00675182">
        <w:rPr>
          <w:rFonts w:cstheme="minorHAnsi"/>
          <w:szCs w:val="24"/>
        </w:rPr>
        <w:t xml:space="preserve"> </w:t>
      </w:r>
      <w:r w:rsidRPr="00675182">
        <w:rPr>
          <w:rFonts w:cstheme="minorHAnsi"/>
          <w:b/>
          <w:bCs/>
          <w:i/>
          <w:szCs w:val="24"/>
        </w:rPr>
        <w:t>Cucujus cinnaberinus</w:t>
      </w:r>
      <w:r w:rsidRPr="00675182">
        <w:rPr>
          <w:rFonts w:cstheme="minorHAnsi"/>
          <w:i/>
          <w:szCs w:val="24"/>
        </w:rPr>
        <w:t xml:space="preserve"> </w:t>
      </w:r>
      <w:r w:rsidRPr="00675182">
        <w:rPr>
          <w:rFonts w:cstheme="minorHAnsi"/>
          <w:szCs w:val="24"/>
        </w:rPr>
        <w:t xml:space="preserve">konstatēta Siguldas apkārtnē (10 atradnes), tās apvienotas vienā sugas sastopamības poligonā ar platību ~167 ha (skat. </w:t>
      </w:r>
      <w:r w:rsidRPr="00675182">
        <w:rPr>
          <w:rFonts w:cstheme="minorHAnsi"/>
        </w:rPr>
        <w:t xml:space="preserve">2.4.12. </w:t>
      </w:r>
      <w:r w:rsidRPr="00675182">
        <w:rPr>
          <w:rFonts w:cstheme="minorHAnsi"/>
          <w:szCs w:val="24"/>
        </w:rPr>
        <w:t>attēlu), balstoties uz sugai piemēroto biotopu sastopamību (pamatā 9180</w:t>
      </w:r>
      <w:r w:rsidRPr="00675182">
        <w:rPr>
          <w:rFonts w:cstheme="minorHAnsi"/>
          <w:color w:val="000000" w:themeColor="text1"/>
          <w:szCs w:val="24"/>
        </w:rPr>
        <w:t>* Nogāžu un gravu meži un arī 91F0 Jaukti ozolu, gobu, ošu meži pie lielām upēm)</w:t>
      </w:r>
      <w:r w:rsidRPr="00675182">
        <w:rPr>
          <w:rFonts w:cstheme="minorHAnsi"/>
          <w:szCs w:val="24"/>
        </w:rPr>
        <w:t>; šī platība uzskatāma par sugas minimālo apdzīvoto platību GNP.</w:t>
      </w:r>
    </w:p>
    <w:p w14:paraId="2D9D282C" w14:textId="77777777" w:rsidR="00E30B04" w:rsidRPr="00675182" w:rsidRDefault="00E30B04" w:rsidP="00BB5382">
      <w:pPr>
        <w:keepNext/>
        <w:keepLines/>
        <w:jc w:val="both"/>
        <w:rPr>
          <w:rFonts w:cstheme="minorHAnsi"/>
          <w:szCs w:val="24"/>
        </w:rPr>
      </w:pPr>
      <w:r w:rsidRPr="00675182">
        <w:rPr>
          <w:rFonts w:cstheme="minorHAnsi"/>
          <w:noProof/>
          <w:szCs w:val="24"/>
        </w:rPr>
        <w:lastRenderedPageBreak/>
        <w:drawing>
          <wp:inline distT="0" distB="0" distL="0" distR="0" wp14:anchorId="206F8AED" wp14:editId="6DC1207C">
            <wp:extent cx="5033240" cy="3564000"/>
            <wp:effectExtent l="0" t="0" r="0" b="0"/>
            <wp:docPr id="174" name="Picture 17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033240" cy="3564000"/>
                    </a:xfrm>
                    <a:prstGeom prst="rect">
                      <a:avLst/>
                    </a:prstGeom>
                    <a:noFill/>
                    <a:ln>
                      <a:noFill/>
                    </a:ln>
                  </pic:spPr>
                </pic:pic>
              </a:graphicData>
            </a:graphic>
          </wp:inline>
        </w:drawing>
      </w:r>
    </w:p>
    <w:p w14:paraId="011AF688" w14:textId="77777777" w:rsidR="00E30B04" w:rsidRPr="00675182" w:rsidRDefault="00E30B04" w:rsidP="00BB5382">
      <w:pPr>
        <w:keepNext/>
        <w:keepLines/>
        <w:jc w:val="both"/>
        <w:rPr>
          <w:rFonts w:cstheme="minorHAnsi"/>
          <w:b/>
          <w:szCs w:val="24"/>
        </w:rPr>
      </w:pPr>
      <w:r w:rsidRPr="00675182">
        <w:rPr>
          <w:rFonts w:cstheme="minorHAnsi"/>
          <w:b/>
          <w:i/>
          <w:iCs/>
          <w:szCs w:val="24"/>
        </w:rPr>
        <w:t xml:space="preserve">2.4.12.attēls. </w:t>
      </w:r>
      <w:r w:rsidRPr="00675182">
        <w:rPr>
          <w:rFonts w:cstheme="minorHAnsi"/>
          <w:b/>
          <w:i/>
          <w:szCs w:val="24"/>
        </w:rPr>
        <w:t>Sarkanā plakaņa sastopamības poligons GNP, raustītā līnija ĪADT robeža, sarkanā krāsā sugas sastopamības poligona robeža, zaļā krāsā sugai piemērotie biotopi, sarkanā krāsā sugas atradnes.</w:t>
      </w:r>
    </w:p>
    <w:p w14:paraId="02706B05" w14:textId="77777777" w:rsidR="00E30B04" w:rsidRPr="00675182" w:rsidRDefault="00E30B04" w:rsidP="00E30B04">
      <w:pPr>
        <w:jc w:val="both"/>
        <w:rPr>
          <w:rFonts w:cstheme="minorHAnsi"/>
          <w:b/>
        </w:rPr>
      </w:pPr>
    </w:p>
    <w:p w14:paraId="2DC6475B" w14:textId="77777777" w:rsidR="00E30B04" w:rsidRPr="00675182" w:rsidRDefault="00E30B04" w:rsidP="00E30B04">
      <w:pPr>
        <w:jc w:val="both"/>
        <w:rPr>
          <w:rFonts w:cstheme="minorHAnsi"/>
        </w:rPr>
      </w:pPr>
      <w:r w:rsidRPr="00675182">
        <w:rPr>
          <w:rFonts w:cstheme="minorHAnsi"/>
          <w:b/>
        </w:rPr>
        <w:t>Mannerheima īsspārnis</w:t>
      </w:r>
      <w:r w:rsidRPr="00675182">
        <w:rPr>
          <w:rFonts w:cstheme="minorHAnsi"/>
        </w:rPr>
        <w:t xml:space="preserve"> </w:t>
      </w:r>
      <w:r w:rsidRPr="00675182">
        <w:rPr>
          <w:rFonts w:cstheme="minorHAnsi"/>
          <w:b/>
          <w:bCs/>
          <w:i/>
        </w:rPr>
        <w:t>Oxyporus</w:t>
      </w:r>
      <w:r w:rsidRPr="00675182">
        <w:rPr>
          <w:rFonts w:cstheme="minorHAnsi"/>
          <w:b/>
          <w:bCs/>
        </w:rPr>
        <w:t xml:space="preserve"> </w:t>
      </w:r>
      <w:r w:rsidRPr="00675182">
        <w:rPr>
          <w:rFonts w:cstheme="minorHAnsi"/>
          <w:b/>
          <w:bCs/>
          <w:i/>
        </w:rPr>
        <w:t>mannerheimi</w:t>
      </w:r>
      <w:r w:rsidRPr="00675182">
        <w:rPr>
          <w:rFonts w:cstheme="minorHAnsi"/>
        </w:rPr>
        <w:t xml:space="preserve"> apsekošanas laikā konstatēts 2 atradnēs. Suga ir saistīta ar cepurīšu sēnēm, retāk piepēm (Cibuļskis, 2010), tās bioloģija Latvijas apstākļos līdz šim ir maz pētīta, līdz ar to nav iespējams veikt tās populācijas aprēķinu. Sugas sastopamība galvenokārt ir saistāma ar sēņu pieejamību, gan ES aizsargājamos meža biotopos, gan mežaudzēs, kas neatbilst biotopa statusam.</w:t>
      </w:r>
    </w:p>
    <w:p w14:paraId="2AAC374D" w14:textId="77777777" w:rsidR="00E30B04" w:rsidRPr="00675182" w:rsidRDefault="00E30B04" w:rsidP="00E30B04">
      <w:pPr>
        <w:jc w:val="both"/>
        <w:rPr>
          <w:rFonts w:cstheme="minorHAnsi"/>
        </w:rPr>
      </w:pPr>
    </w:p>
    <w:p w14:paraId="2BD249DF" w14:textId="77777777" w:rsidR="00E30B04" w:rsidRPr="00675182" w:rsidRDefault="00E30B04" w:rsidP="00E30B04">
      <w:pPr>
        <w:jc w:val="both"/>
        <w:rPr>
          <w:rFonts w:eastAsia="Times New Roman" w:cstheme="minorHAnsi"/>
          <w:color w:val="000000"/>
          <w:szCs w:val="24"/>
          <w:lang w:eastAsia="en-GB"/>
        </w:rPr>
      </w:pPr>
      <w:r w:rsidRPr="00675182">
        <w:rPr>
          <w:rFonts w:cstheme="minorHAnsi"/>
          <w:b/>
          <w:szCs w:val="24"/>
        </w:rPr>
        <w:t>Lapkoku praulgrauzis</w:t>
      </w:r>
      <w:r w:rsidRPr="00675182">
        <w:rPr>
          <w:rFonts w:cstheme="minorHAnsi"/>
          <w:szCs w:val="24"/>
        </w:rPr>
        <w:t xml:space="preserve"> </w:t>
      </w:r>
      <w:r w:rsidRPr="00675182">
        <w:rPr>
          <w:rFonts w:cstheme="minorHAnsi"/>
          <w:b/>
          <w:bCs/>
          <w:i/>
          <w:szCs w:val="24"/>
        </w:rPr>
        <w:t>Osmoderma barnabita</w:t>
      </w:r>
      <w:r w:rsidRPr="00675182">
        <w:rPr>
          <w:rFonts w:cstheme="minorHAnsi"/>
        </w:rPr>
        <w:t xml:space="preserve"> ir saproksīla suga, kas ir cieši saistīta ar īpašu mikrobiotopu – veco lapu koku dobumiem. </w:t>
      </w:r>
      <w:r w:rsidRPr="00675182">
        <w:rPr>
          <w:rFonts w:cstheme="minorHAnsi"/>
          <w:szCs w:val="24"/>
        </w:rPr>
        <w:t>GNP</w:t>
      </w:r>
      <w:r w:rsidRPr="00675182">
        <w:rPr>
          <w:rFonts w:eastAsia="Times New Roman" w:cstheme="minorHAnsi"/>
          <w:color w:val="000000"/>
          <w:szCs w:val="24"/>
          <w:lang w:eastAsia="en-GB"/>
        </w:rPr>
        <w:t xml:space="preserve"> identificētas vairākas sugai nozīmīgas teritorijas (</w:t>
      </w:r>
      <w:r w:rsidRPr="00675182">
        <w:rPr>
          <w:rFonts w:cstheme="minorHAnsi"/>
          <w:szCs w:val="24"/>
        </w:rPr>
        <w:t xml:space="preserve">skat. </w:t>
      </w:r>
      <w:r w:rsidRPr="00675182">
        <w:rPr>
          <w:rFonts w:cstheme="minorHAnsi"/>
        </w:rPr>
        <w:t xml:space="preserve">2.4.13. </w:t>
      </w:r>
      <w:r w:rsidRPr="00675182">
        <w:rPr>
          <w:rFonts w:cstheme="minorHAnsi"/>
          <w:szCs w:val="24"/>
        </w:rPr>
        <w:t>attēlu</w:t>
      </w:r>
      <w:r w:rsidRPr="00675182">
        <w:rPr>
          <w:rFonts w:eastAsia="Times New Roman" w:cstheme="minorHAnsi"/>
          <w:color w:val="000000"/>
          <w:szCs w:val="24"/>
          <w:lang w:eastAsia="en-GB"/>
        </w:rPr>
        <w:t>) ar lielu piemēroto biotopu īpatsvaru (9180* Nogāžu un gravu meži, 9160 Ozolu meži, 6530* Parkveida pļavas un ganības, koku alejas).  Sugai nozīmīga vērtība ir sugas sastopamības poligonos reģistrētie dižkoki: ozoli – 84, liepas – 16, kļavas – 8, oši – 7 un kopā 5 gobas un vīksnas. Jāņem vērā, ka sugas kāpuru attīstībai ir piemēroti arī dobumainie koki, kas nav sasnieguši dižkoka izmērus. Detalizēts pārskats par lapkoku praulgrauzim nozīmīgām teritorijām pieejams atsevišķā pārskatā (Balalaikins red. 2022).</w:t>
      </w:r>
    </w:p>
    <w:p w14:paraId="3D68B762" w14:textId="77777777" w:rsidR="00E30B04" w:rsidRPr="00675182" w:rsidRDefault="00E30B04" w:rsidP="00E30B04">
      <w:pPr>
        <w:jc w:val="both"/>
        <w:rPr>
          <w:rFonts w:cstheme="minorHAnsi"/>
          <w:szCs w:val="24"/>
        </w:rPr>
      </w:pPr>
    </w:p>
    <w:p w14:paraId="754FF1BE" w14:textId="77777777" w:rsidR="00E30B04" w:rsidRPr="00675182" w:rsidRDefault="00E30B04" w:rsidP="00E30B04">
      <w:pPr>
        <w:jc w:val="both"/>
        <w:rPr>
          <w:rFonts w:cstheme="minorHAnsi"/>
          <w:szCs w:val="24"/>
        </w:rPr>
      </w:pPr>
      <w:r w:rsidRPr="00675182">
        <w:rPr>
          <w:rFonts w:cstheme="minorHAnsi"/>
          <w:noProof/>
          <w:szCs w:val="24"/>
        </w:rPr>
        <w:lastRenderedPageBreak/>
        <w:drawing>
          <wp:inline distT="0" distB="0" distL="0" distR="0" wp14:anchorId="6C96536E" wp14:editId="4C14657F">
            <wp:extent cx="5516677" cy="3906317"/>
            <wp:effectExtent l="0" t="0" r="8255" b="0"/>
            <wp:docPr id="182" name="Picture 18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540823" cy="3923415"/>
                    </a:xfrm>
                    <a:prstGeom prst="rect">
                      <a:avLst/>
                    </a:prstGeom>
                    <a:noFill/>
                    <a:ln>
                      <a:noFill/>
                    </a:ln>
                  </pic:spPr>
                </pic:pic>
              </a:graphicData>
            </a:graphic>
          </wp:inline>
        </w:drawing>
      </w:r>
    </w:p>
    <w:p w14:paraId="16FA04F4" w14:textId="77777777" w:rsidR="00E30B04" w:rsidRPr="00675182" w:rsidRDefault="00E30B04" w:rsidP="00E30B04">
      <w:pPr>
        <w:jc w:val="both"/>
        <w:rPr>
          <w:rFonts w:cstheme="minorHAnsi"/>
          <w:b/>
          <w:i/>
          <w:szCs w:val="24"/>
        </w:rPr>
      </w:pPr>
      <w:r w:rsidRPr="00675182">
        <w:rPr>
          <w:rFonts w:cstheme="minorHAnsi"/>
          <w:b/>
          <w:i/>
          <w:iCs/>
          <w:szCs w:val="24"/>
        </w:rPr>
        <w:t>2.4.13.</w:t>
      </w:r>
      <w:r w:rsidRPr="00675182">
        <w:rPr>
          <w:rFonts w:cstheme="minorHAnsi"/>
          <w:b/>
          <w:i/>
          <w:noProof/>
          <w:szCs w:val="24"/>
          <w:lang w:eastAsia="lv-LV"/>
        </w:rPr>
        <w:t>attēls. O.barnabita dzīvotņu piemērotības modelis GNP (Heksagoni dzeltenā krāsā – sugas sastopamība nav ticama, sarkanā krāsā – ticama, zilā krāsā ļoti ticama).</w:t>
      </w:r>
    </w:p>
    <w:p w14:paraId="109CD318" w14:textId="77777777" w:rsidR="00E30B04" w:rsidRPr="00675182" w:rsidRDefault="00E30B04" w:rsidP="00E30B04">
      <w:pPr>
        <w:jc w:val="both"/>
        <w:rPr>
          <w:rFonts w:cstheme="minorHAnsi"/>
          <w:szCs w:val="24"/>
        </w:rPr>
      </w:pPr>
    </w:p>
    <w:p w14:paraId="6B5AFA03" w14:textId="77777777" w:rsidR="00E30B04" w:rsidRPr="00675182" w:rsidRDefault="00E30B04" w:rsidP="00E30B04">
      <w:pPr>
        <w:jc w:val="both"/>
        <w:rPr>
          <w:rFonts w:cstheme="minorHAnsi"/>
          <w:szCs w:val="24"/>
        </w:rPr>
      </w:pPr>
      <w:r w:rsidRPr="00675182">
        <w:rPr>
          <w:rFonts w:cstheme="minorHAnsi"/>
          <w:szCs w:val="24"/>
        </w:rPr>
        <w:t xml:space="preserve">Kopumā GNP tika aktualizēti dati par 15 lapkoku praulgrauža atradnēm un to potenciālajām sastopamības vietām. Apsekojumu laikā konstatētas mērķsugas darbības pēdas 17 kokos. Liels sugai piemērotu koku skaits konstatēts Raiskumā, kur tika apsekots 71 sugai piemērots koks, un Ungurmuižā (218 koki), atrastas arī jaunas dzīvotnes, piemēram, pie Zanderu mājām </w:t>
      </w:r>
      <w:r w:rsidRPr="00675182">
        <w:rPr>
          <w:rFonts w:cstheme="minorHAnsi"/>
        </w:rPr>
        <w:t>(skat. 2.4.14. attēlu)</w:t>
      </w:r>
      <w:r w:rsidRPr="00675182">
        <w:rPr>
          <w:rFonts w:cstheme="minorHAnsi"/>
          <w:szCs w:val="24"/>
        </w:rPr>
        <w:t>. Vairums atradņu ārpus Raiskuma un Ungurmuižas nav uzskatāmas par ilgtspējīgām, jo tās ir izolētas ar ierobežotu mikrobiotopu skaitu.</w:t>
      </w:r>
    </w:p>
    <w:p w14:paraId="1C362B12" w14:textId="77777777" w:rsidR="00E30B04" w:rsidRPr="00675182" w:rsidRDefault="00E30B04" w:rsidP="00E30B04">
      <w:pPr>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5"/>
      </w:tblGrid>
      <w:tr w:rsidR="00E30B04" w:rsidRPr="00675182" w14:paraId="734C6DE5" w14:textId="77777777" w:rsidTr="004F15D2">
        <w:trPr>
          <w:trHeight w:val="4487"/>
        </w:trPr>
        <w:tc>
          <w:tcPr>
            <w:tcW w:w="8115" w:type="dxa"/>
            <w:hideMark/>
          </w:tcPr>
          <w:p w14:paraId="651F0D41" w14:textId="77777777" w:rsidR="00E30B04" w:rsidRPr="00675182" w:rsidRDefault="00E30B04" w:rsidP="00666D08">
            <w:pPr>
              <w:jc w:val="both"/>
              <w:rPr>
                <w:rFonts w:cstheme="minorHAnsi"/>
              </w:rPr>
            </w:pPr>
            <w:r w:rsidRPr="00675182">
              <w:rPr>
                <w:rFonts w:cstheme="minorHAnsi"/>
                <w:noProof/>
              </w:rPr>
              <w:lastRenderedPageBreak/>
              <w:drawing>
                <wp:inline distT="0" distB="0" distL="0" distR="0" wp14:anchorId="7EB05D50" wp14:editId="580FB302">
                  <wp:extent cx="3818534" cy="2863901"/>
                  <wp:effectExtent l="0" t="0" r="0" b="0"/>
                  <wp:docPr id="183" name="Picture 183" descr="A group of trees in a grassy ar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trees in a grassy area&#10;&#10;Description automatically generated with medium confidence"/>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839288" cy="2879466"/>
                          </a:xfrm>
                          <a:prstGeom prst="rect">
                            <a:avLst/>
                          </a:prstGeom>
                          <a:noFill/>
                          <a:ln>
                            <a:noFill/>
                          </a:ln>
                        </pic:spPr>
                      </pic:pic>
                    </a:graphicData>
                  </a:graphic>
                </wp:inline>
              </w:drawing>
            </w:r>
          </w:p>
        </w:tc>
      </w:tr>
      <w:tr w:rsidR="00E30B04" w:rsidRPr="00675182" w14:paraId="48C9EB0F" w14:textId="77777777" w:rsidTr="004F15D2">
        <w:trPr>
          <w:trHeight w:val="504"/>
        </w:trPr>
        <w:tc>
          <w:tcPr>
            <w:tcW w:w="8115" w:type="dxa"/>
            <w:hideMark/>
          </w:tcPr>
          <w:p w14:paraId="5620F0FD" w14:textId="77777777" w:rsidR="00E30B04" w:rsidRPr="00675182" w:rsidRDefault="00E30B04" w:rsidP="00666D08">
            <w:pPr>
              <w:jc w:val="both"/>
              <w:rPr>
                <w:rFonts w:cstheme="minorHAnsi"/>
              </w:rPr>
            </w:pPr>
            <w:r w:rsidRPr="00675182">
              <w:rPr>
                <w:rFonts w:cstheme="minorHAnsi"/>
                <w:b/>
                <w:i/>
                <w:iCs/>
                <w:szCs w:val="24"/>
              </w:rPr>
              <w:t>2.4.14. attēls. Lapkoku praulgrauža atradne pie Zanderu mājām (foto M. Balalaikins)</w:t>
            </w:r>
          </w:p>
        </w:tc>
      </w:tr>
    </w:tbl>
    <w:p w14:paraId="054B6D6D" w14:textId="77777777" w:rsidR="00E30B04" w:rsidRPr="00675182" w:rsidRDefault="00E30B04" w:rsidP="00E30B04">
      <w:pPr>
        <w:jc w:val="both"/>
        <w:rPr>
          <w:rFonts w:cstheme="minorHAnsi"/>
          <w:color w:val="000000" w:themeColor="text1"/>
          <w:szCs w:val="24"/>
          <w:shd w:val="clear" w:color="auto" w:fill="FFFFFF"/>
        </w:rPr>
      </w:pPr>
    </w:p>
    <w:p w14:paraId="39B1B34F" w14:textId="77777777" w:rsidR="00E30B04" w:rsidRPr="00675182" w:rsidRDefault="00E30B04" w:rsidP="00E30B04">
      <w:pPr>
        <w:jc w:val="both"/>
        <w:rPr>
          <w:rFonts w:cstheme="minorHAnsi"/>
          <w:u w:val="single"/>
        </w:rPr>
      </w:pPr>
      <w:r w:rsidRPr="00675182">
        <w:rPr>
          <w:rFonts w:cstheme="minorHAnsi"/>
          <w:u w:val="single"/>
        </w:rPr>
        <w:t>Ūdensvaboles</w:t>
      </w:r>
    </w:p>
    <w:p w14:paraId="2564F7A5" w14:textId="1903ABCE" w:rsidR="00E30B04" w:rsidRDefault="00E30B04" w:rsidP="00E30B04">
      <w:pPr>
        <w:jc w:val="both"/>
        <w:rPr>
          <w:rFonts w:cstheme="minorHAnsi"/>
        </w:rPr>
      </w:pPr>
      <w:r w:rsidRPr="00675182">
        <w:rPr>
          <w:rFonts w:cstheme="minorHAnsi"/>
          <w:b/>
        </w:rPr>
        <w:t>Platās airvaboles</w:t>
      </w:r>
      <w:r w:rsidRPr="00675182">
        <w:rPr>
          <w:rFonts w:cstheme="minorHAnsi"/>
        </w:rPr>
        <w:t xml:space="preserve"> </w:t>
      </w:r>
      <w:r w:rsidRPr="00675182">
        <w:rPr>
          <w:rFonts w:cstheme="minorHAnsi"/>
          <w:b/>
          <w:bCs/>
          <w:i/>
        </w:rPr>
        <w:t>Dytiscus latissimus</w:t>
      </w:r>
      <w:r w:rsidRPr="00675182">
        <w:rPr>
          <w:rFonts w:cstheme="minorHAnsi"/>
        </w:rPr>
        <w:t xml:space="preserve"> dzīvotne ir eitrofi ezeri ar labi attīstītu peldošo veģetāciju (Vahruševs, Kalniņš 2013). Platā airvabole ir konstatēta gan ezeros, gan vecupēs, visā GNP teritorijā. Aktuālie dati sugas populācijas izvērtēšanai GNP tika ievākti 7 ūdenstilpēs. Mērķsuga tika konstatēta Driškina, Lazdiņu un Pūricu ezerā, kā arī Tītmaņu vecupē. Līdzīgos biotopos ir sastopama arī </w:t>
      </w:r>
      <w:r w:rsidRPr="00675182">
        <w:rPr>
          <w:rFonts w:cstheme="minorHAnsi"/>
          <w:b/>
        </w:rPr>
        <w:t>divjoslu airvabole</w:t>
      </w:r>
      <w:r w:rsidRPr="00675182">
        <w:rPr>
          <w:rFonts w:cstheme="minorHAnsi"/>
        </w:rPr>
        <w:t xml:space="preserve"> </w:t>
      </w:r>
      <w:r w:rsidRPr="00675182">
        <w:rPr>
          <w:rFonts w:cstheme="minorHAnsi"/>
          <w:b/>
          <w:bCs/>
          <w:i/>
        </w:rPr>
        <w:t>Graphoderus bilineatus</w:t>
      </w:r>
      <w:r w:rsidRPr="00675182">
        <w:rPr>
          <w:rFonts w:cstheme="minorHAnsi"/>
        </w:rPr>
        <w:t xml:space="preserve">, kas konstatēta Driškina ezerā (skat. 2.4.15. attēlu) un Tītmaņu vecupē. Par nozīmīgāko sugas sastopamības dzīvotni teritorijā ir uzskatāmas vecupes. </w:t>
      </w:r>
    </w:p>
    <w:p w14:paraId="69691FFA" w14:textId="77777777" w:rsidR="004F15D2" w:rsidRPr="00675182" w:rsidRDefault="004F15D2" w:rsidP="00E30B04">
      <w:pPr>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6"/>
      </w:tblGrid>
      <w:tr w:rsidR="00E30B04" w:rsidRPr="00675182" w14:paraId="3AF3A3F3" w14:textId="77777777" w:rsidTr="004F15D2">
        <w:trPr>
          <w:trHeight w:val="4372"/>
        </w:trPr>
        <w:tc>
          <w:tcPr>
            <w:tcW w:w="8356" w:type="dxa"/>
            <w:hideMark/>
          </w:tcPr>
          <w:p w14:paraId="2D7D4CAF" w14:textId="77777777" w:rsidR="00E30B04" w:rsidRPr="00675182" w:rsidRDefault="00E30B04" w:rsidP="00666D08">
            <w:pPr>
              <w:jc w:val="both"/>
              <w:rPr>
                <w:rFonts w:cstheme="minorHAnsi"/>
              </w:rPr>
            </w:pPr>
            <w:r w:rsidRPr="00675182">
              <w:rPr>
                <w:rFonts w:cstheme="minorHAnsi"/>
                <w:noProof/>
              </w:rPr>
              <w:drawing>
                <wp:inline distT="0" distB="0" distL="0" distR="0" wp14:anchorId="384E16DD" wp14:editId="1D147930">
                  <wp:extent cx="4135092" cy="2765145"/>
                  <wp:effectExtent l="0" t="0" r="0" b="0"/>
                  <wp:docPr id="184" name="Picture 184" descr="A grassy field with water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ssy field with water in the background&#10;&#10;Description automatically generated with low confidence"/>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4172661" cy="2790267"/>
                          </a:xfrm>
                          <a:prstGeom prst="rect">
                            <a:avLst/>
                          </a:prstGeom>
                          <a:noFill/>
                          <a:ln>
                            <a:noFill/>
                          </a:ln>
                        </pic:spPr>
                      </pic:pic>
                    </a:graphicData>
                  </a:graphic>
                </wp:inline>
              </w:drawing>
            </w:r>
          </w:p>
        </w:tc>
      </w:tr>
      <w:tr w:rsidR="00E30B04" w:rsidRPr="00675182" w14:paraId="11AB3FD5" w14:textId="77777777" w:rsidTr="004F15D2">
        <w:trPr>
          <w:trHeight w:val="329"/>
        </w:trPr>
        <w:tc>
          <w:tcPr>
            <w:tcW w:w="8356" w:type="dxa"/>
            <w:hideMark/>
          </w:tcPr>
          <w:p w14:paraId="2FE57AF8" w14:textId="77777777" w:rsidR="00E30B04" w:rsidRPr="00675182" w:rsidRDefault="00E30B04" w:rsidP="00666D08">
            <w:pPr>
              <w:jc w:val="both"/>
              <w:rPr>
                <w:rFonts w:cstheme="minorHAnsi"/>
              </w:rPr>
            </w:pPr>
            <w:r w:rsidRPr="00675182">
              <w:rPr>
                <w:rFonts w:cstheme="minorHAnsi"/>
                <w:b/>
                <w:i/>
                <w:iCs/>
                <w:szCs w:val="24"/>
              </w:rPr>
              <w:t>2.4.15. attēls. Aizsargājamo airvaboļu dzīvotne Drišķina ezerā (foto M. Balalaikins)</w:t>
            </w:r>
          </w:p>
        </w:tc>
      </w:tr>
    </w:tbl>
    <w:p w14:paraId="71BC89A5" w14:textId="77777777" w:rsidR="00E30B04" w:rsidRPr="00675182" w:rsidRDefault="00E30B04" w:rsidP="00E30B04">
      <w:pPr>
        <w:jc w:val="both"/>
        <w:rPr>
          <w:rFonts w:cstheme="minorHAnsi"/>
          <w:szCs w:val="24"/>
        </w:rPr>
      </w:pPr>
    </w:p>
    <w:p w14:paraId="68F972C7" w14:textId="77777777" w:rsidR="00E30B04" w:rsidRPr="00675182" w:rsidRDefault="00E30B04" w:rsidP="00E30B04">
      <w:pPr>
        <w:jc w:val="both"/>
        <w:rPr>
          <w:rFonts w:cstheme="minorHAnsi"/>
          <w:u w:val="single"/>
        </w:rPr>
      </w:pPr>
      <w:r w:rsidRPr="00675182">
        <w:rPr>
          <w:rFonts w:cstheme="minorHAnsi"/>
          <w:u w:val="single"/>
        </w:rPr>
        <w:t>Gliemju sugas:</w:t>
      </w:r>
    </w:p>
    <w:p w14:paraId="44B5359A" w14:textId="77777777" w:rsidR="00E30B04" w:rsidRPr="00675182" w:rsidRDefault="00E30B04" w:rsidP="00E30B04">
      <w:pPr>
        <w:jc w:val="both"/>
        <w:rPr>
          <w:rFonts w:eastAsia="Times New Roman" w:cstheme="minorHAnsi"/>
          <w:color w:val="000000" w:themeColor="text1"/>
          <w:szCs w:val="24"/>
          <w:lang w:eastAsia="en-GB"/>
        </w:rPr>
      </w:pPr>
      <w:r w:rsidRPr="00675182">
        <w:rPr>
          <w:rFonts w:eastAsia="Times New Roman" w:cstheme="minorHAnsi"/>
          <w:color w:val="000000" w:themeColor="text1"/>
          <w:szCs w:val="24"/>
          <w:lang w:eastAsia="en-GB"/>
        </w:rPr>
        <w:t>GNP apsekošanas rezultātā tika apstiprināta 26 sugu sastopamība teritorijā.</w:t>
      </w:r>
      <w:r w:rsidRPr="00675182">
        <w:rPr>
          <w:rFonts w:cstheme="minorHAnsi"/>
        </w:rPr>
        <w:t xml:space="preserve"> </w:t>
      </w:r>
      <w:r w:rsidRPr="00675182">
        <w:rPr>
          <w:rFonts w:eastAsia="Times New Roman" w:cstheme="minorHAnsi"/>
          <w:color w:val="000000" w:themeColor="text1"/>
          <w:szCs w:val="24"/>
          <w:lang w:eastAsia="en-GB"/>
        </w:rPr>
        <w:t xml:space="preserve">Balstoties uz pieejamiem datiem, tika veikta gliemju sastopamībai būtiskāko meža biotopu identificēšana (skat. </w:t>
      </w:r>
      <w:r w:rsidRPr="00675182">
        <w:rPr>
          <w:rFonts w:eastAsia="Times New Roman" w:cstheme="minorHAnsi"/>
          <w:iCs/>
          <w:color w:val="000000"/>
          <w:szCs w:val="24"/>
          <w:lang w:eastAsia="en-GB"/>
        </w:rPr>
        <w:t>2.4.16.</w:t>
      </w:r>
      <w:r w:rsidRPr="00675182">
        <w:rPr>
          <w:rFonts w:eastAsia="Times New Roman" w:cstheme="minorHAnsi"/>
          <w:b/>
          <w:i/>
          <w:color w:val="000000"/>
          <w:szCs w:val="24"/>
          <w:lang w:eastAsia="en-GB"/>
        </w:rPr>
        <w:t xml:space="preserve"> </w:t>
      </w:r>
      <w:r w:rsidRPr="00675182">
        <w:rPr>
          <w:rFonts w:eastAsia="Times New Roman" w:cstheme="minorHAnsi"/>
          <w:color w:val="000000" w:themeColor="text1"/>
          <w:szCs w:val="24"/>
          <w:lang w:eastAsia="en-GB"/>
        </w:rPr>
        <w:t xml:space="preserve">attēlu). Par gliemju aizsardzībai būtiskajām teritorijām ir uzskatāma teritorijas ziemeļrietumu daļa, kur Gaujas ielejā koncentrējas gliemjiem piemērotie meža biotopi, kā arī Nurmižu gravu, Roču meža un Inciema senkrastu rezervātu zonas. Būtībā nozīmīga ir visa Gaujas senleja, sāngravas un pieteku ielejas. </w:t>
      </w:r>
      <w:r w:rsidRPr="00675182">
        <w:rPr>
          <w:rFonts w:cstheme="minorHAnsi"/>
        </w:rPr>
        <w:t xml:space="preserve">GNP teritorijā ir plaši pārstāvētas dažādas vārpstiņgliemežu sugas (Clausiliidae), kā arī sastopami </w:t>
      </w:r>
      <w:r w:rsidRPr="00675182">
        <w:rPr>
          <w:rFonts w:cstheme="minorHAnsi"/>
          <w:b/>
          <w:bCs/>
        </w:rPr>
        <w:t xml:space="preserve">mazais </w:t>
      </w:r>
      <w:r w:rsidRPr="00675182">
        <w:rPr>
          <w:rFonts w:cstheme="minorHAnsi"/>
          <w:b/>
          <w:bCs/>
          <w:szCs w:val="24"/>
        </w:rPr>
        <w:t>torņgliemezis</w:t>
      </w:r>
      <w:r w:rsidRPr="00675182">
        <w:rPr>
          <w:rFonts w:cstheme="minorHAnsi"/>
          <w:szCs w:val="24"/>
        </w:rPr>
        <w:t xml:space="preserve"> </w:t>
      </w:r>
      <w:r w:rsidRPr="00675182">
        <w:rPr>
          <w:rFonts w:cstheme="minorHAnsi"/>
          <w:b/>
          <w:bCs/>
          <w:i/>
        </w:rPr>
        <w:t>Merdigera</w:t>
      </w:r>
      <w:r w:rsidRPr="00675182">
        <w:rPr>
          <w:rFonts w:cstheme="minorHAnsi"/>
          <w:b/>
          <w:bCs/>
          <w:i/>
          <w:szCs w:val="24"/>
        </w:rPr>
        <w:t xml:space="preserve"> obscura</w:t>
      </w:r>
      <w:r w:rsidRPr="00675182">
        <w:rPr>
          <w:rFonts w:cstheme="minorHAnsi"/>
          <w:i/>
          <w:szCs w:val="24"/>
        </w:rPr>
        <w:t xml:space="preserve"> </w:t>
      </w:r>
      <w:r w:rsidRPr="00675182">
        <w:rPr>
          <w:rFonts w:cstheme="minorHAnsi"/>
          <w:szCs w:val="24"/>
        </w:rPr>
        <w:t xml:space="preserve">un </w:t>
      </w:r>
      <w:r w:rsidRPr="00675182">
        <w:rPr>
          <w:rFonts w:cstheme="minorHAnsi"/>
          <w:b/>
          <w:bCs/>
          <w:szCs w:val="24"/>
        </w:rPr>
        <w:t>lielais torņgliemezis</w:t>
      </w:r>
      <w:r w:rsidRPr="00675182">
        <w:rPr>
          <w:rFonts w:cstheme="minorHAnsi"/>
          <w:szCs w:val="24"/>
        </w:rPr>
        <w:t xml:space="preserve"> </w:t>
      </w:r>
      <w:r w:rsidRPr="00675182">
        <w:rPr>
          <w:rFonts w:cstheme="minorHAnsi"/>
          <w:b/>
          <w:bCs/>
          <w:i/>
          <w:szCs w:val="24"/>
        </w:rPr>
        <w:t>Ena montana</w:t>
      </w:r>
      <w:r w:rsidRPr="00675182">
        <w:rPr>
          <w:rFonts w:cstheme="minorHAnsi"/>
          <w:i/>
          <w:szCs w:val="24"/>
        </w:rPr>
        <w:t xml:space="preserve">. </w:t>
      </w:r>
      <w:r w:rsidRPr="00675182">
        <w:rPr>
          <w:rFonts w:cstheme="minorHAnsi"/>
          <w:szCs w:val="24"/>
        </w:rPr>
        <w:t xml:space="preserve">Vārpstiņgliemeži ir tipiski meža iemītnieki, to atradnes ir reģistrētas visā GNP teritorijā. Kopumā teritorijā konstatētas 10 vārpstiņgliemežu sugas, no kurām </w:t>
      </w:r>
      <w:r w:rsidRPr="00675182">
        <w:rPr>
          <w:rFonts w:cstheme="minorHAnsi"/>
          <w:b/>
          <w:szCs w:val="24"/>
        </w:rPr>
        <w:t>asribu vārpstiņgliemezis</w:t>
      </w:r>
      <w:r w:rsidRPr="00675182">
        <w:rPr>
          <w:rFonts w:cstheme="minorHAnsi"/>
          <w:szCs w:val="24"/>
        </w:rPr>
        <w:t xml:space="preserve"> </w:t>
      </w:r>
      <w:r w:rsidRPr="00675182">
        <w:rPr>
          <w:rFonts w:cstheme="minorHAnsi"/>
          <w:b/>
          <w:bCs/>
          <w:i/>
          <w:szCs w:val="24"/>
        </w:rPr>
        <w:t>Clausilia cruciata</w:t>
      </w:r>
      <w:r w:rsidRPr="00675182">
        <w:rPr>
          <w:rFonts w:cstheme="minorHAnsi"/>
          <w:i/>
          <w:szCs w:val="24"/>
        </w:rPr>
        <w:t xml:space="preserve"> </w:t>
      </w:r>
      <w:r w:rsidRPr="00675182">
        <w:rPr>
          <w:rFonts w:cstheme="minorHAnsi"/>
        </w:rPr>
        <w:t>ir mikroliegumu suga, kas DA plāna izstrādes laikā konstatēta 3 vietās</w:t>
      </w:r>
      <w:r w:rsidRPr="00675182">
        <w:rPr>
          <w:rFonts w:cstheme="minorHAnsi"/>
          <w:szCs w:val="24"/>
        </w:rPr>
        <w:t xml:space="preserve"> – Renču strauta ieleja,</w:t>
      </w:r>
      <w:r w:rsidRPr="00675182">
        <w:rPr>
          <w:rFonts w:cstheme="minorHAnsi"/>
          <w:sz w:val="36"/>
          <w:szCs w:val="24"/>
        </w:rPr>
        <w:t xml:space="preserve"> </w:t>
      </w:r>
      <w:r w:rsidRPr="00675182">
        <w:rPr>
          <w:rFonts w:cstheme="minorHAnsi"/>
          <w:szCs w:val="18"/>
        </w:rPr>
        <w:t>Braslas ieleja pie Slūnu ieža, kur konstatēti atsevišķi īpatņi, un</w:t>
      </w:r>
      <w:r w:rsidRPr="00675182">
        <w:rPr>
          <w:rFonts w:cstheme="minorHAnsi"/>
          <w:sz w:val="36"/>
          <w:szCs w:val="18"/>
        </w:rPr>
        <w:t xml:space="preserve"> </w:t>
      </w:r>
      <w:r w:rsidRPr="00675182">
        <w:rPr>
          <w:rFonts w:cstheme="minorHAnsi"/>
          <w:szCs w:val="18"/>
        </w:rPr>
        <w:t xml:space="preserve">Līgatnes apkārtnē pie Tītmaņu ieža, kur novērots liels sugas īpatņu skaits. </w:t>
      </w:r>
      <w:r w:rsidRPr="00675182">
        <w:rPr>
          <w:rFonts w:cstheme="minorHAnsi"/>
        </w:rPr>
        <w:t xml:space="preserve">Salīdzinoši visbiežāk no vārpstiņgliemežu sugām teritorijā ir sastopamas trīs sugas </w:t>
      </w:r>
      <w:r w:rsidRPr="00675182">
        <w:rPr>
          <w:rFonts w:cstheme="minorHAnsi"/>
          <w:b/>
        </w:rPr>
        <w:t>vēderainais vārpstiņgliemezis</w:t>
      </w:r>
      <w:r w:rsidRPr="00675182">
        <w:rPr>
          <w:rFonts w:cstheme="minorHAnsi"/>
        </w:rPr>
        <w:t xml:space="preserve"> </w:t>
      </w:r>
      <w:r w:rsidRPr="00675182">
        <w:rPr>
          <w:rFonts w:cstheme="minorHAnsi"/>
          <w:b/>
          <w:bCs/>
          <w:i/>
        </w:rPr>
        <w:t>Macrogastra ventricosa</w:t>
      </w:r>
      <w:r w:rsidRPr="00675182">
        <w:rPr>
          <w:rFonts w:cstheme="minorHAnsi"/>
        </w:rPr>
        <w:t>,</w:t>
      </w:r>
      <w:r w:rsidRPr="00675182">
        <w:rPr>
          <w:rFonts w:cstheme="minorHAnsi"/>
          <w:sz w:val="36"/>
        </w:rPr>
        <w:t xml:space="preserve"> </w:t>
      </w:r>
      <w:r w:rsidRPr="00675182">
        <w:rPr>
          <w:rFonts w:cstheme="minorHAnsi"/>
          <w:b/>
        </w:rPr>
        <w:t>krokainais vārpstiņgliemezis</w:t>
      </w:r>
      <w:r w:rsidRPr="00675182">
        <w:rPr>
          <w:rFonts w:cstheme="minorHAnsi"/>
        </w:rPr>
        <w:t xml:space="preserve"> </w:t>
      </w:r>
      <w:r w:rsidRPr="00675182">
        <w:rPr>
          <w:rFonts w:cstheme="minorHAnsi"/>
          <w:b/>
          <w:bCs/>
          <w:i/>
        </w:rPr>
        <w:t>Macrogastra plicatula</w:t>
      </w:r>
      <w:r w:rsidRPr="00675182">
        <w:rPr>
          <w:rFonts w:cstheme="minorHAnsi"/>
          <w:i/>
        </w:rPr>
        <w:t xml:space="preserve"> </w:t>
      </w:r>
      <w:r w:rsidRPr="00675182">
        <w:rPr>
          <w:rFonts w:cstheme="minorHAnsi"/>
        </w:rPr>
        <w:t>un</w:t>
      </w:r>
      <w:r w:rsidRPr="00675182">
        <w:rPr>
          <w:rFonts w:cstheme="minorHAnsi"/>
          <w:sz w:val="36"/>
        </w:rPr>
        <w:t xml:space="preserve"> </w:t>
      </w:r>
      <w:r w:rsidRPr="00675182">
        <w:rPr>
          <w:rFonts w:cstheme="minorHAnsi"/>
          <w:b/>
        </w:rPr>
        <w:t>kroklūpas vārpstiņgliemezis</w:t>
      </w:r>
      <w:r w:rsidRPr="00675182">
        <w:rPr>
          <w:rFonts w:cstheme="minorHAnsi"/>
        </w:rPr>
        <w:t xml:space="preserve"> </w:t>
      </w:r>
      <w:r w:rsidRPr="00675182">
        <w:rPr>
          <w:rFonts w:cstheme="minorHAnsi"/>
          <w:b/>
          <w:bCs/>
          <w:i/>
        </w:rPr>
        <w:t>Laciniaria plicata</w:t>
      </w:r>
      <w:r w:rsidRPr="00675182">
        <w:rPr>
          <w:rFonts w:cstheme="minorHAnsi"/>
        </w:rPr>
        <w:t>, kas ir DMB indikatorsugas.</w:t>
      </w:r>
    </w:p>
    <w:p w14:paraId="76D631B4" w14:textId="77777777" w:rsidR="00E30B04" w:rsidRPr="00675182" w:rsidRDefault="00E30B04" w:rsidP="00E30B04">
      <w:pPr>
        <w:jc w:val="both"/>
        <w:rPr>
          <w:rFonts w:cstheme="minorHAnsi"/>
        </w:rPr>
      </w:pPr>
      <w:r w:rsidRPr="00675182">
        <w:rPr>
          <w:rFonts w:cstheme="minorHAnsi"/>
          <w:noProof/>
        </w:rPr>
        <w:drawing>
          <wp:inline distT="0" distB="0" distL="0" distR="0" wp14:anchorId="10EBB4C7" wp14:editId="3D82EF8A">
            <wp:extent cx="5273040" cy="3733800"/>
            <wp:effectExtent l="0" t="0" r="3810" b="0"/>
            <wp:docPr id="201" name="Picture 201" descr="http://mail.biology.lv:8800/webmail/api/download/attachment/biology.lv/maksims.balalaikins/4656ea3e-cf04-48bd-8357-2a82b13dcbb1/26657/0-1/Glieme%C5%BEi.jpg?version=119089&amp;sid=875ba05376a903f333a5feb49c37dcadc88b990b2769a9ec23a2faf3e0e6830a&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8" descr="http://mail.biology.lv:8800/webmail/api/download/attachment/biology.lv/maksims.balalaikins/4656ea3e-cf04-48bd-8357-2a82b13dcbb1/26657/0-1/Glieme%C5%BEi.jpg?version=119089&amp;sid=875ba05376a903f333a5feb49c37dcadc88b990b2769a9ec23a2faf3e0e6830a&amp;mode=view"/>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273040" cy="3733800"/>
                    </a:xfrm>
                    <a:prstGeom prst="rect">
                      <a:avLst/>
                    </a:prstGeom>
                    <a:noFill/>
                    <a:ln>
                      <a:noFill/>
                    </a:ln>
                  </pic:spPr>
                </pic:pic>
              </a:graphicData>
            </a:graphic>
          </wp:inline>
        </w:drawing>
      </w:r>
    </w:p>
    <w:p w14:paraId="123DC1A7" w14:textId="77777777" w:rsidR="00E30B04" w:rsidRPr="00675182" w:rsidRDefault="00E30B04" w:rsidP="00E30B04">
      <w:pPr>
        <w:jc w:val="both"/>
        <w:rPr>
          <w:rFonts w:cstheme="minorHAnsi"/>
          <w:b/>
          <w:i/>
        </w:rPr>
      </w:pPr>
      <w:r w:rsidRPr="00675182">
        <w:rPr>
          <w:rFonts w:eastAsia="Times New Roman" w:cstheme="minorHAnsi"/>
          <w:b/>
          <w:i/>
          <w:color w:val="000000"/>
          <w:szCs w:val="24"/>
          <w:lang w:eastAsia="en-GB"/>
        </w:rPr>
        <w:t>2.4.16. attēls. Gliemju sastopamība ES nozīmes aizsargājamos meža biotopos.</w:t>
      </w:r>
    </w:p>
    <w:p w14:paraId="663ACF80" w14:textId="77777777" w:rsidR="00E30B04" w:rsidRPr="00675182" w:rsidRDefault="00E30B04" w:rsidP="00E30B04">
      <w:pPr>
        <w:jc w:val="both"/>
        <w:rPr>
          <w:rFonts w:cstheme="minorHAnsi"/>
        </w:rPr>
      </w:pPr>
    </w:p>
    <w:p w14:paraId="7937454D" w14:textId="77777777" w:rsidR="00E30B04" w:rsidRPr="00675182" w:rsidRDefault="00E30B04" w:rsidP="00E30B04">
      <w:pPr>
        <w:jc w:val="both"/>
        <w:rPr>
          <w:rFonts w:cstheme="minorHAnsi"/>
        </w:rPr>
      </w:pPr>
      <w:r w:rsidRPr="00675182">
        <w:rPr>
          <w:rFonts w:cstheme="minorHAnsi"/>
          <w:b/>
        </w:rPr>
        <w:t>Lielajam torņgliemezim</w:t>
      </w:r>
      <w:r w:rsidRPr="00675182">
        <w:rPr>
          <w:rFonts w:cstheme="minorHAnsi"/>
        </w:rPr>
        <w:t xml:space="preserve"> </w:t>
      </w:r>
      <w:r w:rsidRPr="00675182">
        <w:rPr>
          <w:rFonts w:cstheme="minorHAnsi"/>
          <w:b/>
          <w:bCs/>
          <w:i/>
        </w:rPr>
        <w:t>Ena montana</w:t>
      </w:r>
      <w:r w:rsidRPr="00675182">
        <w:rPr>
          <w:rFonts w:cstheme="minorHAnsi"/>
        </w:rPr>
        <w:t xml:space="preserve"> GNP teritorijā konstatētas vairākas atradnes, kas koncentrējas Amatas upes ielejā, pamatā teritorijā sastopamajos nogāžu mežos. Suga saistīta ar lapu koku mežiem galvenokārt upju ielejās. </w:t>
      </w:r>
      <w:r w:rsidRPr="00675182">
        <w:rPr>
          <w:rFonts w:cstheme="minorHAnsi"/>
          <w:b/>
        </w:rPr>
        <w:t>Mazais torņgliemezis</w:t>
      </w:r>
      <w:r w:rsidRPr="00675182">
        <w:rPr>
          <w:rFonts w:cstheme="minorHAnsi"/>
        </w:rPr>
        <w:t xml:space="preserve"> </w:t>
      </w:r>
      <w:r w:rsidRPr="00675182">
        <w:rPr>
          <w:rFonts w:cstheme="minorHAnsi"/>
          <w:b/>
          <w:bCs/>
          <w:i/>
        </w:rPr>
        <w:t>Merdigera obscura</w:t>
      </w:r>
      <w:r w:rsidRPr="00675182">
        <w:rPr>
          <w:rFonts w:cstheme="minorHAnsi"/>
        </w:rPr>
        <w:t xml:space="preserve"> ir GNP teritorijā samērā bieži sastopama suga vairāku upju ielejās, daudzskaitlīgākās atradnes</w:t>
      </w:r>
      <w:r w:rsidRPr="00675182">
        <w:rPr>
          <w:rFonts w:cstheme="minorHAnsi"/>
          <w:sz w:val="36"/>
        </w:rPr>
        <w:t xml:space="preserve"> </w:t>
      </w:r>
      <w:r w:rsidRPr="00675182">
        <w:rPr>
          <w:rFonts w:cstheme="minorHAnsi"/>
          <w:szCs w:val="18"/>
        </w:rPr>
        <w:t xml:space="preserve">Pērļupes </w:t>
      </w:r>
      <w:r w:rsidRPr="00675182">
        <w:rPr>
          <w:rFonts w:cstheme="minorHAnsi"/>
          <w:szCs w:val="18"/>
        </w:rPr>
        <w:lastRenderedPageBreak/>
        <w:t xml:space="preserve">ieleja pie Ķaubju ieža un Līgatnes upes ielejā pie Ķempju gravas. </w:t>
      </w:r>
      <w:r w:rsidRPr="00675182">
        <w:rPr>
          <w:rFonts w:cstheme="minorHAnsi"/>
          <w:b/>
        </w:rPr>
        <w:t>Tumšais kailgliemezis</w:t>
      </w:r>
      <w:r w:rsidRPr="00675182">
        <w:rPr>
          <w:rFonts w:cstheme="minorHAnsi"/>
        </w:rPr>
        <w:t xml:space="preserve"> </w:t>
      </w:r>
      <w:r w:rsidRPr="00675182">
        <w:rPr>
          <w:rFonts w:cstheme="minorHAnsi"/>
          <w:b/>
          <w:bCs/>
          <w:i/>
        </w:rPr>
        <w:t>Limax cinereoniger</w:t>
      </w:r>
      <w:r w:rsidRPr="00675182">
        <w:rPr>
          <w:rFonts w:cstheme="minorHAnsi"/>
        </w:rPr>
        <w:t xml:space="preserve"> ir samērā bieži sastopama suga visā valsts teritorijā, arī GNP sastopama bieži.</w:t>
      </w:r>
    </w:p>
    <w:p w14:paraId="586A9913" w14:textId="77777777" w:rsidR="00E30B04" w:rsidRPr="00675182" w:rsidRDefault="00E30B04" w:rsidP="00E30B04">
      <w:pPr>
        <w:jc w:val="both"/>
        <w:rPr>
          <w:rFonts w:cstheme="minorHAnsi"/>
        </w:rPr>
      </w:pPr>
    </w:p>
    <w:p w14:paraId="0C7F62B8" w14:textId="77777777" w:rsidR="00E30B04" w:rsidRPr="00675182" w:rsidRDefault="00E30B04" w:rsidP="00E30B04">
      <w:pPr>
        <w:jc w:val="both"/>
        <w:rPr>
          <w:rFonts w:cstheme="minorHAnsi"/>
        </w:rPr>
      </w:pPr>
      <w:r w:rsidRPr="00675182">
        <w:rPr>
          <w:rFonts w:cstheme="minorHAnsi"/>
          <w:szCs w:val="24"/>
        </w:rPr>
        <w:t xml:space="preserve">Viena no nozīmīgākajām gliemju grupām GNP ir pumpurgliemeži. Teritorijā ir reģistrētas divas aizsargājamo pumpurgliemežu sugas: </w:t>
      </w:r>
      <w:r w:rsidRPr="00675182">
        <w:rPr>
          <w:rFonts w:cstheme="minorHAnsi"/>
          <w:b/>
          <w:bCs/>
          <w:szCs w:val="24"/>
        </w:rPr>
        <w:t>četrzobu pumpurgliemezis</w:t>
      </w:r>
      <w:r w:rsidRPr="00675182">
        <w:rPr>
          <w:rFonts w:cstheme="minorHAnsi"/>
          <w:szCs w:val="24"/>
        </w:rPr>
        <w:t xml:space="preserve"> </w:t>
      </w:r>
      <w:r w:rsidRPr="00675182">
        <w:rPr>
          <w:rFonts w:cstheme="minorHAnsi"/>
          <w:b/>
          <w:bCs/>
          <w:i/>
          <w:iCs/>
          <w:szCs w:val="24"/>
        </w:rPr>
        <w:t>Vertigo geyeri</w:t>
      </w:r>
      <w:r w:rsidRPr="00675182">
        <w:rPr>
          <w:rFonts w:cstheme="minorHAnsi"/>
          <w:i/>
          <w:iCs/>
          <w:szCs w:val="24"/>
        </w:rPr>
        <w:t xml:space="preserve"> </w:t>
      </w:r>
      <w:r w:rsidRPr="00675182">
        <w:rPr>
          <w:rFonts w:cstheme="minorHAnsi"/>
          <w:iCs/>
          <w:szCs w:val="24"/>
        </w:rPr>
        <w:t xml:space="preserve">un </w:t>
      </w:r>
      <w:r w:rsidRPr="00675182">
        <w:rPr>
          <w:rFonts w:cstheme="minorHAnsi"/>
          <w:b/>
          <w:bCs/>
          <w:iCs/>
          <w:szCs w:val="24"/>
        </w:rPr>
        <w:t xml:space="preserve">slaidais </w:t>
      </w:r>
      <w:r w:rsidRPr="00675182">
        <w:rPr>
          <w:rFonts w:cstheme="minorHAnsi"/>
          <w:b/>
          <w:bCs/>
          <w:szCs w:val="24"/>
          <w:lang w:eastAsia="lv-LV"/>
        </w:rPr>
        <w:t>pumpurgliemezis</w:t>
      </w:r>
      <w:r w:rsidRPr="00675182">
        <w:rPr>
          <w:rFonts w:cstheme="minorHAnsi"/>
          <w:szCs w:val="24"/>
          <w:lang w:eastAsia="lv-LV"/>
        </w:rPr>
        <w:t xml:space="preserve"> </w:t>
      </w:r>
      <w:r w:rsidRPr="00675182">
        <w:rPr>
          <w:rFonts w:cstheme="minorHAnsi"/>
          <w:b/>
          <w:bCs/>
          <w:i/>
          <w:iCs/>
          <w:szCs w:val="24"/>
        </w:rPr>
        <w:t>Vertigo angustior</w:t>
      </w:r>
      <w:r w:rsidRPr="00675182">
        <w:rPr>
          <w:rFonts w:cstheme="minorHAnsi"/>
          <w:iCs/>
          <w:szCs w:val="24"/>
        </w:rPr>
        <w:t>. Abas sugas ir saistītas ar atklātām dzīvotnēm, no kurām par piemērotākām ir uzskatāmi ES nozīmes biotopi 7230 Kaļķaini zāļu purvi, 7140 Pārejas purvi un slīkšņas, 6450 Palieņu zālāji un 6410 Mitri zālāji periodiski izžūstošās augsnēs. Šo pumpurgliemežu sugu sastopamības prognozēšanai tika atlasītas piemērotās dzīvotnes visā</w:t>
      </w:r>
      <w:r w:rsidRPr="00675182">
        <w:rPr>
          <w:rFonts w:cstheme="minorHAnsi"/>
          <w:szCs w:val="24"/>
        </w:rPr>
        <w:t xml:space="preserve"> GNP teritorijā. Kopējās sugām piemēroto dzīvotņu platības GNP ir ap 485 ha, bet līdz šim </w:t>
      </w:r>
      <w:r w:rsidRPr="00675182">
        <w:rPr>
          <w:rFonts w:cstheme="minorHAnsi"/>
          <w:i/>
          <w:szCs w:val="24"/>
        </w:rPr>
        <w:t>V. angustior</w:t>
      </w:r>
      <w:r w:rsidRPr="00675182">
        <w:rPr>
          <w:rFonts w:cstheme="minorHAnsi"/>
          <w:szCs w:val="24"/>
        </w:rPr>
        <w:t xml:space="preserve"> ir konstatēta 3 atradnēs un </w:t>
      </w:r>
      <w:r w:rsidRPr="00675182">
        <w:rPr>
          <w:rFonts w:cstheme="minorHAnsi"/>
          <w:i/>
          <w:szCs w:val="24"/>
        </w:rPr>
        <w:t>V. geyeri</w:t>
      </w:r>
      <w:r w:rsidRPr="00675182">
        <w:rPr>
          <w:rFonts w:cstheme="minorHAnsi"/>
          <w:szCs w:val="24"/>
        </w:rPr>
        <w:t xml:space="preserve"> 3 atradnēs. Detalizēts pumpurgliemežu atradņu apskats pieejams </w:t>
      </w:r>
      <w:r w:rsidRPr="00675182">
        <w:rPr>
          <w:rFonts w:eastAsia="Times New Roman" w:cstheme="minorHAnsi"/>
          <w:color w:val="000000"/>
          <w:szCs w:val="24"/>
          <w:lang w:eastAsia="en-GB"/>
        </w:rPr>
        <w:t>atsevišķā pārskatā (Balalaikins red. 2022).</w:t>
      </w:r>
    </w:p>
    <w:p w14:paraId="0DFAE724" w14:textId="77777777" w:rsidR="00E30B04" w:rsidRPr="00675182" w:rsidRDefault="00E30B04" w:rsidP="00E30B04">
      <w:pPr>
        <w:jc w:val="both"/>
        <w:rPr>
          <w:rStyle w:val="Emphasis"/>
          <w:bCs/>
          <w:color w:val="000000" w:themeColor="text1"/>
          <w:shd w:val="clear" w:color="auto" w:fill="FFFFFF"/>
        </w:rPr>
      </w:pPr>
    </w:p>
    <w:p w14:paraId="6D820FB1" w14:textId="77777777" w:rsidR="00E30B04" w:rsidRPr="00675182" w:rsidRDefault="00E30B04" w:rsidP="00E30B04">
      <w:pPr>
        <w:jc w:val="both"/>
        <w:rPr>
          <w:rFonts w:cstheme="minorHAnsi"/>
        </w:rPr>
      </w:pPr>
      <w:r w:rsidRPr="00675182">
        <w:rPr>
          <w:rFonts w:cstheme="minorHAnsi"/>
          <w:szCs w:val="24"/>
        </w:rPr>
        <w:t xml:space="preserve">Viena no visvairāk apdraudētām sugām GNP un arī Latvijā ir </w:t>
      </w:r>
      <w:r w:rsidRPr="00675182">
        <w:rPr>
          <w:rFonts w:cstheme="minorHAnsi"/>
          <w:b/>
          <w:bCs/>
          <w:szCs w:val="24"/>
        </w:rPr>
        <w:t xml:space="preserve">ziemeļu upespērlene </w:t>
      </w:r>
      <w:r w:rsidRPr="00675182">
        <w:rPr>
          <w:rFonts w:cstheme="minorHAnsi"/>
          <w:b/>
          <w:bCs/>
          <w:i/>
          <w:iCs/>
          <w:szCs w:val="24"/>
        </w:rPr>
        <w:t>Margaritifera margaritifera</w:t>
      </w:r>
      <w:r w:rsidRPr="00675182">
        <w:rPr>
          <w:rFonts w:cstheme="minorHAnsi"/>
          <w:i/>
          <w:iCs/>
          <w:szCs w:val="24"/>
        </w:rPr>
        <w:t>.</w:t>
      </w:r>
      <w:r w:rsidRPr="00675182">
        <w:rPr>
          <w:rFonts w:cstheme="minorHAnsi"/>
          <w:szCs w:val="24"/>
        </w:rPr>
        <w:t xml:space="preserve"> Ziemeļu upespērlenes raksturīgais biotops ir oligotrofas ūdensteces vai to posmi ārpus lauksaimniecības zemēm, pamatā mežainā apvidū (Bauer, 1988). GNP teritorija sugai potenciāli piemērota </w:t>
      </w:r>
      <w:r w:rsidRPr="00675182">
        <w:rPr>
          <w:rStyle w:val="normaltextrun"/>
          <w:rFonts w:cstheme="minorHAnsi"/>
          <w:color w:val="000000"/>
          <w:szCs w:val="24"/>
          <w:bdr w:val="none" w:sz="0" w:space="0" w:color="auto" w:frame="1"/>
        </w:rPr>
        <w:t xml:space="preserve">ES nozīmes biotopa 3260 Upju straujteces un dabiski upju posmi platība ir ap 813 ha, un vēsturiski Gauja un tās pietekas tikuši izmantoti kā pērļu ieguves vieta, bet pēdējās desmitgadēs suga reģistrēta tikai </w:t>
      </w:r>
      <w:r w:rsidRPr="00675182">
        <w:rPr>
          <w:rFonts w:cstheme="minorHAnsi"/>
          <w:szCs w:val="24"/>
        </w:rPr>
        <w:t>Pērļupē un Strīķupē</w:t>
      </w:r>
      <w:r w:rsidRPr="00675182">
        <w:rPr>
          <w:rStyle w:val="normaltextrun"/>
          <w:rFonts w:cstheme="minorHAnsi"/>
          <w:color w:val="000000"/>
          <w:szCs w:val="24"/>
          <w:bdr w:val="none" w:sz="0" w:space="0" w:color="auto" w:frame="1"/>
        </w:rPr>
        <w:t xml:space="preserve">. Monitoringa dati par sugas populācijas izmaiņām Pērļupē pieejami kopš 1977. gada un liecina par populācijas lejupslīdi, īpaši pēc nelabvēlīgiem klimatiskajiem apstākļiem 2008. gadā. </w:t>
      </w:r>
      <w:r w:rsidRPr="00675182">
        <w:rPr>
          <w:rFonts w:cstheme="minorHAnsi"/>
        </w:rPr>
        <w:t>Balstoties uz monitoringa rezultātiem jāpieņem, ka GNP teritorijā suga pašlaik ir sastopama tikai Strīķupē.</w:t>
      </w:r>
    </w:p>
    <w:p w14:paraId="31A0DB4F" w14:textId="77777777" w:rsidR="00E30B04" w:rsidRPr="00675182" w:rsidRDefault="00E30B04" w:rsidP="00E30B04">
      <w:pPr>
        <w:jc w:val="both"/>
        <w:rPr>
          <w:rFonts w:cstheme="minorHAnsi"/>
        </w:rPr>
      </w:pPr>
    </w:p>
    <w:p w14:paraId="030A2FA8" w14:textId="77777777" w:rsidR="00E30B04" w:rsidRPr="00675182" w:rsidRDefault="00E30B04" w:rsidP="00E30B04">
      <w:pPr>
        <w:jc w:val="both"/>
        <w:rPr>
          <w:rFonts w:cstheme="minorHAnsi"/>
          <w:szCs w:val="24"/>
        </w:rPr>
      </w:pPr>
      <w:r w:rsidRPr="00675182">
        <w:rPr>
          <w:rFonts w:cstheme="minorHAnsi"/>
          <w:b/>
          <w:bCs/>
          <w:szCs w:val="24"/>
        </w:rPr>
        <w:t xml:space="preserve">Biezās perlamutrenes </w:t>
      </w:r>
      <w:r w:rsidRPr="00675182">
        <w:rPr>
          <w:rFonts w:cstheme="minorHAnsi"/>
          <w:b/>
          <w:bCs/>
          <w:i/>
          <w:szCs w:val="24"/>
        </w:rPr>
        <w:t>Unio crassus</w:t>
      </w:r>
      <w:r w:rsidRPr="00675182">
        <w:rPr>
          <w:rFonts w:cstheme="minorHAnsi"/>
          <w:szCs w:val="24"/>
        </w:rPr>
        <w:t xml:space="preserve"> raksturīgais biotops ir tīras upes ar smilšainu un smilšaini granšainu vai oļainu upes gultni, un nelielu dūņu piejaukumu (Parele 1998). GNP suga sastopama Gaujā un tās pietekās. 2020. gadā sugas sastopamība tika pētīta 15 posmos Gaujas upē, īpatņi konstatēti arī Jumarā, bet Amatā apsekotajā transektē netika konstatēti. Nozīmīgākā ūdenstece </w:t>
      </w:r>
      <w:r w:rsidRPr="00675182">
        <w:rPr>
          <w:rFonts w:cstheme="minorHAnsi"/>
          <w:i/>
          <w:iCs/>
          <w:szCs w:val="24"/>
        </w:rPr>
        <w:t>U. crassus</w:t>
      </w:r>
      <w:r w:rsidRPr="00675182">
        <w:rPr>
          <w:rFonts w:cstheme="minorHAnsi"/>
          <w:szCs w:val="24"/>
        </w:rPr>
        <w:t xml:space="preserve"> sastopamībai GNP teritorijā ir Gauja, kur reģistrēti upes posmi, kas atbilst ES nozīmes biotopa 3260 1.  un 2. variantam. Izvērtējot upes piemērotību sugas sastopamībai un atradņu datus tika pieņemts, ka sugas sastopamība ir saistīta ar abiem biotopa variantiem.</w:t>
      </w:r>
    </w:p>
    <w:p w14:paraId="38D2FE39" w14:textId="77777777" w:rsidR="00E30B04" w:rsidRPr="00675182" w:rsidRDefault="00E30B04" w:rsidP="00E30B04">
      <w:pPr>
        <w:jc w:val="both"/>
        <w:rPr>
          <w:rFonts w:eastAsia="Times New Roman" w:cstheme="minorHAnsi"/>
          <w:color w:val="000000" w:themeColor="text1"/>
          <w:szCs w:val="24"/>
          <w:lang w:eastAsia="en-GB"/>
        </w:rPr>
      </w:pPr>
    </w:p>
    <w:p w14:paraId="116FA169" w14:textId="77777777" w:rsidR="00E30B04" w:rsidRPr="00675182" w:rsidRDefault="00E30B04" w:rsidP="00E30B04">
      <w:pPr>
        <w:jc w:val="both"/>
        <w:rPr>
          <w:rFonts w:cstheme="minorHAnsi"/>
          <w:u w:val="single"/>
        </w:rPr>
      </w:pPr>
      <w:r w:rsidRPr="00675182">
        <w:rPr>
          <w:rFonts w:cstheme="minorHAnsi"/>
          <w:u w:val="single"/>
        </w:rPr>
        <w:t>Tauriņu sugas:</w:t>
      </w:r>
    </w:p>
    <w:p w14:paraId="028FF551" w14:textId="77777777" w:rsidR="00E30B04" w:rsidRPr="00675182" w:rsidRDefault="00E30B04" w:rsidP="00E30B04">
      <w:pPr>
        <w:jc w:val="both"/>
        <w:rPr>
          <w:rFonts w:cstheme="minorHAnsi"/>
          <w:color w:val="000000"/>
          <w:szCs w:val="24"/>
          <w:shd w:val="clear" w:color="auto" w:fill="FFFFFF"/>
        </w:rPr>
      </w:pPr>
      <w:r w:rsidRPr="00675182">
        <w:rPr>
          <w:rFonts w:cstheme="minorHAnsi"/>
          <w:szCs w:val="24"/>
        </w:rPr>
        <w:t xml:space="preserve">Lauksaimniecības zemes GNP aizņem ~23% teritorijas. </w:t>
      </w:r>
      <w:r w:rsidRPr="00675182">
        <w:rPr>
          <w:rFonts w:cstheme="minorHAnsi"/>
        </w:rPr>
        <w:t xml:space="preserve">No aktīvi apsaimniekotām lauksaimniecībā izmantojamām zemēm vislielāko platību aizņem pastāvīgās pļavas un </w:t>
      </w:r>
      <w:r w:rsidRPr="00675182">
        <w:rPr>
          <w:rFonts w:cstheme="minorHAnsi"/>
          <w:szCs w:val="24"/>
        </w:rPr>
        <w:t xml:space="preserve">ganības (42 %) jeb vairāk nekā 9000 hektāru. Daļa no šīm platībām piemērota reto un aizsargājamo tauriņu kāpuru attīstībai un imago barošanās vajadzībām. Teritorijā tika konstatētas četras Biotopu Direktīvas II pielikumā iekļautās dienastauriņu sugas, divas no tām zirgskābeņu zilenītis </w:t>
      </w:r>
      <w:r w:rsidRPr="00675182">
        <w:rPr>
          <w:rFonts w:cstheme="minorHAnsi"/>
          <w:i/>
          <w:color w:val="000000"/>
          <w:szCs w:val="24"/>
          <w:shd w:val="clear" w:color="auto" w:fill="FFFFFF"/>
        </w:rPr>
        <w:t>Lycaena dispar</w:t>
      </w:r>
      <w:r w:rsidRPr="00675182">
        <w:rPr>
          <w:rFonts w:cstheme="minorHAnsi"/>
          <w:color w:val="000000"/>
          <w:szCs w:val="24"/>
          <w:shd w:val="clear" w:color="auto" w:fill="FFFFFF"/>
        </w:rPr>
        <w:t xml:space="preserve"> un skabiozu pļavraibenis </w:t>
      </w:r>
      <w:r w:rsidRPr="00675182">
        <w:rPr>
          <w:rFonts w:cstheme="minorHAnsi"/>
          <w:i/>
          <w:color w:val="000000"/>
          <w:szCs w:val="24"/>
          <w:shd w:val="clear" w:color="auto" w:fill="FFFFFF"/>
        </w:rPr>
        <w:t>Euphydryas aurinia</w:t>
      </w:r>
      <w:r w:rsidRPr="00675182">
        <w:rPr>
          <w:rFonts w:cstheme="minorHAnsi"/>
          <w:color w:val="000000"/>
          <w:szCs w:val="24"/>
          <w:shd w:val="clear" w:color="auto" w:fill="FFFFFF"/>
        </w:rPr>
        <w:t xml:space="preserve"> norādītas kā teritorijas kvalificējošās sugas. </w:t>
      </w:r>
      <w:r w:rsidRPr="00675182">
        <w:rPr>
          <w:rFonts w:cstheme="minorHAnsi"/>
          <w:szCs w:val="24"/>
        </w:rPr>
        <w:t xml:space="preserve">Detalizēts apskats par tauriņu sugām pieejams </w:t>
      </w:r>
      <w:r w:rsidRPr="00675182">
        <w:rPr>
          <w:rFonts w:eastAsia="Times New Roman" w:cstheme="minorHAnsi"/>
          <w:color w:val="000000"/>
          <w:szCs w:val="24"/>
          <w:lang w:eastAsia="en-GB"/>
        </w:rPr>
        <w:t>atsevišķā pārskatā (Balalaikins red. 2022).</w:t>
      </w:r>
    </w:p>
    <w:p w14:paraId="67C2D26E" w14:textId="77777777" w:rsidR="00E30B04" w:rsidRPr="00675182" w:rsidRDefault="00E30B04" w:rsidP="00E30B04">
      <w:pPr>
        <w:jc w:val="both"/>
        <w:rPr>
          <w:rFonts w:cstheme="minorHAnsi"/>
          <w:szCs w:val="24"/>
        </w:rPr>
      </w:pPr>
    </w:p>
    <w:p w14:paraId="380FB409" w14:textId="77777777" w:rsidR="00E30B04" w:rsidRPr="00675182" w:rsidRDefault="00E30B04" w:rsidP="00E30B04">
      <w:pPr>
        <w:jc w:val="both"/>
        <w:rPr>
          <w:rFonts w:eastAsia="Times New Roman" w:cstheme="minorHAnsi"/>
          <w:color w:val="000000"/>
          <w:szCs w:val="24"/>
          <w:lang w:eastAsia="en-GB"/>
        </w:rPr>
      </w:pPr>
      <w:r w:rsidRPr="00675182">
        <w:rPr>
          <w:rFonts w:cstheme="minorHAnsi"/>
          <w:szCs w:val="24"/>
        </w:rPr>
        <w:t xml:space="preserve">No šīm sugām teritorijā visplašāk sastopams </w:t>
      </w:r>
      <w:r w:rsidRPr="00675182">
        <w:rPr>
          <w:rFonts w:cstheme="minorHAnsi"/>
          <w:b/>
          <w:szCs w:val="24"/>
        </w:rPr>
        <w:t xml:space="preserve">zirgskābeņu zilenītis </w:t>
      </w:r>
      <w:r w:rsidRPr="00675182">
        <w:rPr>
          <w:rFonts w:cstheme="minorHAnsi"/>
          <w:b/>
          <w:i/>
          <w:szCs w:val="24"/>
        </w:rPr>
        <w:t>Lycaena dispar</w:t>
      </w:r>
      <w:r w:rsidRPr="00675182">
        <w:rPr>
          <w:rFonts w:cstheme="minorHAnsi"/>
          <w:szCs w:val="24"/>
        </w:rPr>
        <w:t xml:space="preserve">. Veicot sugas sastopamības analīzi, kas tika pamatota uz zināmām sugas atradnēm un īpatņu dispersijas </w:t>
      </w:r>
      <w:r w:rsidRPr="00675182">
        <w:rPr>
          <w:rFonts w:cstheme="minorHAnsi"/>
          <w:szCs w:val="24"/>
        </w:rPr>
        <w:lastRenderedPageBreak/>
        <w:t xml:space="preserve">spējām, iezīmēti trīs potenciālie sugas sastopamības poligoni (skat. </w:t>
      </w:r>
      <w:r w:rsidRPr="00675182">
        <w:rPr>
          <w:rFonts w:cstheme="minorHAnsi"/>
          <w:iCs/>
        </w:rPr>
        <w:t>2.4.16. att</w:t>
      </w:r>
      <w:r w:rsidRPr="00675182">
        <w:rPr>
          <w:rFonts w:cstheme="minorHAnsi"/>
          <w:i/>
        </w:rPr>
        <w:t>.</w:t>
      </w:r>
      <w:r w:rsidRPr="00675182">
        <w:rPr>
          <w:rFonts w:cstheme="minorHAnsi"/>
          <w:szCs w:val="24"/>
        </w:rPr>
        <w:t>). Lielākā sugas atradņu koncentrācija ir reģistrēta Kārļu apkārtnē, kur ir koncentrēti sugai piemēroti biotopi.</w:t>
      </w:r>
    </w:p>
    <w:p w14:paraId="6FBC849B" w14:textId="77777777" w:rsidR="00E30B04" w:rsidRPr="00675182" w:rsidRDefault="00E30B04" w:rsidP="00E30B04">
      <w:pPr>
        <w:jc w:val="both"/>
        <w:rPr>
          <w:rFonts w:cstheme="minorHAnsi"/>
          <w:szCs w:val="24"/>
        </w:rPr>
      </w:pPr>
    </w:p>
    <w:p w14:paraId="2E3815C9" w14:textId="77777777" w:rsidR="00E30B04" w:rsidRPr="00675182" w:rsidRDefault="00E30B04" w:rsidP="00E30B04">
      <w:pPr>
        <w:jc w:val="both"/>
        <w:rPr>
          <w:rFonts w:cstheme="minorHAnsi"/>
          <w:szCs w:val="24"/>
        </w:rPr>
      </w:pPr>
      <w:r w:rsidRPr="00675182">
        <w:rPr>
          <w:rFonts w:cstheme="minorHAnsi"/>
          <w:noProof/>
        </w:rPr>
        <w:drawing>
          <wp:inline distT="0" distB="0" distL="0" distR="0" wp14:anchorId="632C5247" wp14:editId="365D6322">
            <wp:extent cx="5273040" cy="3733800"/>
            <wp:effectExtent l="0" t="0" r="3810" b="0"/>
            <wp:docPr id="206" name="Picture 20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273040" cy="3733800"/>
                    </a:xfrm>
                    <a:prstGeom prst="rect">
                      <a:avLst/>
                    </a:prstGeom>
                    <a:noFill/>
                    <a:ln>
                      <a:noFill/>
                    </a:ln>
                  </pic:spPr>
                </pic:pic>
              </a:graphicData>
            </a:graphic>
          </wp:inline>
        </w:drawing>
      </w:r>
    </w:p>
    <w:p w14:paraId="38A89404" w14:textId="77777777" w:rsidR="00E30B04" w:rsidRPr="00675182" w:rsidRDefault="00E30B04" w:rsidP="00E30B04">
      <w:pPr>
        <w:jc w:val="both"/>
        <w:rPr>
          <w:rFonts w:cstheme="minorHAnsi"/>
          <w:b/>
          <w:i/>
          <w:szCs w:val="24"/>
        </w:rPr>
      </w:pPr>
      <w:r w:rsidRPr="00675182">
        <w:rPr>
          <w:rFonts w:cstheme="minorHAnsi"/>
          <w:b/>
          <w:i/>
        </w:rPr>
        <w:t xml:space="preserve">2.4.17. attēls. Zirgskābeņu </w:t>
      </w:r>
      <w:r w:rsidRPr="00DD4B2E">
        <w:rPr>
          <w:rFonts w:cstheme="minorHAnsi"/>
          <w:b/>
          <w:i/>
        </w:rPr>
        <w:t xml:space="preserve">zilenīša </w:t>
      </w:r>
      <w:r w:rsidRPr="00BF7348">
        <w:rPr>
          <w:rFonts w:cstheme="minorHAnsi"/>
          <w:b/>
          <w:i/>
        </w:rPr>
        <w:t>L. dispar</w:t>
      </w:r>
      <w:r w:rsidRPr="00675182">
        <w:rPr>
          <w:rFonts w:cstheme="minorHAnsi"/>
          <w:b/>
          <w:i/>
        </w:rPr>
        <w:t xml:space="preserve"> sastopamība GNP teritorijā. Sarkanie riņķi sugas atradnes, zilie riņķi - 3500 m bufera joslas ap </w:t>
      </w:r>
      <w:r w:rsidRPr="00BF7348">
        <w:rPr>
          <w:rFonts w:cstheme="minorHAnsi"/>
          <w:b/>
          <w:i/>
        </w:rPr>
        <w:t>L. dispar</w:t>
      </w:r>
      <w:r w:rsidRPr="00675182">
        <w:rPr>
          <w:rFonts w:cstheme="minorHAnsi"/>
          <w:b/>
          <w:i/>
        </w:rPr>
        <w:t xml:space="preserve"> atradnēm.</w:t>
      </w:r>
    </w:p>
    <w:p w14:paraId="364328AF" w14:textId="77777777" w:rsidR="00E30B04" w:rsidRPr="00675182" w:rsidRDefault="00E30B04" w:rsidP="00E30B04">
      <w:pPr>
        <w:jc w:val="both"/>
        <w:rPr>
          <w:rFonts w:cstheme="minorHAnsi"/>
          <w:szCs w:val="24"/>
        </w:rPr>
      </w:pPr>
    </w:p>
    <w:p w14:paraId="497C8323" w14:textId="77777777" w:rsidR="00E30B04" w:rsidRPr="00675182" w:rsidRDefault="00E30B04" w:rsidP="00E30B04">
      <w:pPr>
        <w:jc w:val="both"/>
        <w:rPr>
          <w:rFonts w:cstheme="minorHAnsi"/>
          <w:szCs w:val="24"/>
        </w:rPr>
      </w:pPr>
      <w:r w:rsidRPr="00675182">
        <w:rPr>
          <w:rFonts w:cstheme="minorHAnsi"/>
          <w:b/>
          <w:color w:val="000000"/>
          <w:szCs w:val="24"/>
          <w:shd w:val="clear" w:color="auto" w:fill="FFFFFF"/>
        </w:rPr>
        <w:t xml:space="preserve">Skabiozu pļavraibenis </w:t>
      </w:r>
      <w:r w:rsidRPr="00675182">
        <w:rPr>
          <w:rFonts w:cstheme="minorHAnsi"/>
          <w:b/>
          <w:i/>
          <w:iCs/>
          <w:color w:val="000000"/>
          <w:szCs w:val="24"/>
          <w:shd w:val="clear" w:color="auto" w:fill="FFFFFF"/>
        </w:rPr>
        <w:t>Euphydryas aurinia.</w:t>
      </w:r>
      <w:r w:rsidRPr="00675182">
        <w:rPr>
          <w:rFonts w:cstheme="minorHAnsi"/>
          <w:color w:val="000000"/>
          <w:szCs w:val="24"/>
          <w:shd w:val="clear" w:color="auto" w:fill="FFFFFF"/>
        </w:rPr>
        <w:t xml:space="preserve"> </w:t>
      </w:r>
      <w:r w:rsidRPr="00675182">
        <w:rPr>
          <w:rFonts w:cstheme="minorHAnsi"/>
          <w:szCs w:val="24"/>
        </w:rPr>
        <w:t xml:space="preserve">Populācijas lieluma un sastopamības areāla aprēķins (skat. 2.4.18. att.) tika veikts, balstoties uz visām zināmajām sugas atradnēm un to ģeotelpisko izvietojumu, kā arī nelielo sugas dispersijas spēju (līdz 500 m no kāpuru attīstības biotopa). Sugai piemērotas dzīvotnes var būt biotopi </w:t>
      </w:r>
      <w:r w:rsidRPr="00675182">
        <w:rPr>
          <w:rFonts w:cstheme="minorHAnsi"/>
          <w:color w:val="444444"/>
          <w:szCs w:val="24"/>
          <w:shd w:val="clear" w:color="auto" w:fill="FFFFFF"/>
        </w:rPr>
        <w:t>6270</w:t>
      </w:r>
      <w:r w:rsidRPr="00675182">
        <w:rPr>
          <w:rFonts w:cstheme="minorHAnsi"/>
          <w:color w:val="444444"/>
          <w:szCs w:val="24"/>
        </w:rPr>
        <w:t>* Sugām bagātas ganības un ganītas pļavas</w:t>
      </w:r>
      <w:r w:rsidRPr="00675182">
        <w:rPr>
          <w:rFonts w:cstheme="minorHAnsi"/>
          <w:color w:val="444444"/>
          <w:szCs w:val="24"/>
          <w:shd w:val="clear" w:color="auto" w:fill="FFFFFF"/>
        </w:rPr>
        <w:t>, 6410 Mitri zālāji periodiski izžūstošās augsnēs, 6450 Palieņu zālāji, 6510 Mēreni mitras pļavas, 7140 Pārejas purvi un slīkšņas, 7230 Kaļķaini zāļu purvi, taču sugas vājās izplatības dēļ ne visi piemērotie biotopi var būt kolonizēti. GNP teritorijā suga sastopama Kārļu apkārtnē, kur atrodas piemēroti biotopi ap 4,2 ha platībā, arī kopējā optimālā biotopa platība GNP (6410 Mitri zālāji periodiski izžūstošās augsnēs, ap 30 ha) nav liela.</w:t>
      </w:r>
    </w:p>
    <w:p w14:paraId="48BFAD15" w14:textId="77777777" w:rsidR="00E30B04" w:rsidRPr="00675182" w:rsidRDefault="00E30B04" w:rsidP="00E30B04">
      <w:pPr>
        <w:jc w:val="both"/>
        <w:rPr>
          <w:rFonts w:eastAsia="Times New Roman" w:cstheme="minorHAnsi"/>
          <w:color w:val="000000"/>
          <w:szCs w:val="24"/>
        </w:rPr>
      </w:pPr>
    </w:p>
    <w:p w14:paraId="7C5FD086" w14:textId="77777777" w:rsidR="00E30B04" w:rsidRPr="00675182" w:rsidRDefault="00E30B04" w:rsidP="00E30B04">
      <w:pPr>
        <w:jc w:val="both"/>
        <w:rPr>
          <w:rFonts w:eastAsia="Times New Roman" w:cstheme="minorHAnsi"/>
          <w:color w:val="000000"/>
          <w:szCs w:val="24"/>
        </w:rPr>
      </w:pPr>
    </w:p>
    <w:p w14:paraId="02CF92FA" w14:textId="77777777" w:rsidR="00E30B04" w:rsidRPr="00675182" w:rsidRDefault="00E30B04" w:rsidP="00E30B04">
      <w:pPr>
        <w:jc w:val="both"/>
        <w:rPr>
          <w:rFonts w:eastAsia="Times New Roman" w:cstheme="minorHAnsi"/>
          <w:color w:val="000000"/>
          <w:szCs w:val="24"/>
        </w:rPr>
      </w:pPr>
      <w:r w:rsidRPr="00675182">
        <w:rPr>
          <w:rFonts w:cstheme="minorHAnsi"/>
          <w:noProof/>
          <w:szCs w:val="24"/>
          <w:lang w:eastAsia="en-US"/>
        </w:rPr>
        <w:lastRenderedPageBreak/>
        <w:drawing>
          <wp:inline distT="0" distB="0" distL="0" distR="0" wp14:anchorId="37B0D410" wp14:editId="15C432F2">
            <wp:extent cx="5273040" cy="3733800"/>
            <wp:effectExtent l="0" t="0" r="3810" b="0"/>
            <wp:docPr id="207" name="Picture 20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273040" cy="3733800"/>
                    </a:xfrm>
                    <a:prstGeom prst="rect">
                      <a:avLst/>
                    </a:prstGeom>
                    <a:noFill/>
                    <a:ln>
                      <a:noFill/>
                    </a:ln>
                  </pic:spPr>
                </pic:pic>
              </a:graphicData>
            </a:graphic>
          </wp:inline>
        </w:drawing>
      </w:r>
    </w:p>
    <w:p w14:paraId="704642AE" w14:textId="77777777" w:rsidR="00E30B04" w:rsidRPr="00675182" w:rsidRDefault="00E30B04" w:rsidP="00E30B04">
      <w:pPr>
        <w:jc w:val="both"/>
        <w:rPr>
          <w:rFonts w:eastAsia="Times New Roman" w:cstheme="minorHAnsi"/>
          <w:b/>
          <w:i/>
          <w:color w:val="000000"/>
          <w:szCs w:val="24"/>
        </w:rPr>
      </w:pPr>
      <w:r w:rsidRPr="00675182">
        <w:rPr>
          <w:rFonts w:cstheme="minorHAnsi"/>
          <w:b/>
          <w:i/>
        </w:rPr>
        <w:t>2.4.18</w:t>
      </w:r>
      <w:r w:rsidRPr="00675182">
        <w:rPr>
          <w:rFonts w:cstheme="minorHAnsi"/>
          <w:b/>
          <w:i/>
          <w:szCs w:val="24"/>
        </w:rPr>
        <w:t xml:space="preserve">. attēls. Skabiozu pļavraibeņa </w:t>
      </w:r>
      <w:r w:rsidRPr="00BF7348">
        <w:rPr>
          <w:rFonts w:cstheme="minorHAnsi"/>
          <w:b/>
          <w:i/>
          <w:szCs w:val="24"/>
        </w:rPr>
        <w:t>E. aurinia</w:t>
      </w:r>
      <w:r w:rsidRPr="00675182">
        <w:rPr>
          <w:rFonts w:cstheme="minorHAnsi"/>
          <w:b/>
          <w:i/>
          <w:szCs w:val="24"/>
        </w:rPr>
        <w:t xml:space="preserve"> sastopamības karte GNP, tumšie riņķi 500 metru bufera joslas ap sugai piemērotām dzīvotnēm, sarkanie punkti sugas atradnes, ar sarkano līniju ierobežots prognozējamais sugas sastopamības poligons.  </w:t>
      </w:r>
    </w:p>
    <w:p w14:paraId="52790074" w14:textId="77777777" w:rsidR="00E30B04" w:rsidRPr="00675182" w:rsidRDefault="00E30B04" w:rsidP="00E30B04">
      <w:pPr>
        <w:jc w:val="both"/>
        <w:rPr>
          <w:rFonts w:cstheme="minorHAnsi"/>
          <w:b/>
          <w:szCs w:val="24"/>
        </w:rPr>
      </w:pPr>
    </w:p>
    <w:p w14:paraId="07133AA2" w14:textId="77777777" w:rsidR="00E30B04" w:rsidRPr="00675182" w:rsidRDefault="00E30B04" w:rsidP="00E30B04">
      <w:pPr>
        <w:jc w:val="both"/>
        <w:rPr>
          <w:rFonts w:eastAsia="Times New Roman" w:cstheme="minorHAnsi"/>
          <w:color w:val="000000"/>
          <w:szCs w:val="24"/>
          <w:lang w:eastAsia="en-GB"/>
        </w:rPr>
      </w:pPr>
      <w:r w:rsidRPr="00675182">
        <w:rPr>
          <w:rFonts w:cstheme="minorHAnsi"/>
          <w:b/>
          <w:szCs w:val="24"/>
        </w:rPr>
        <w:t xml:space="preserve">Ošu pļavraibenis </w:t>
      </w:r>
      <w:r w:rsidRPr="00675182">
        <w:rPr>
          <w:rFonts w:cstheme="minorHAnsi"/>
          <w:b/>
          <w:i/>
          <w:iCs/>
          <w:szCs w:val="24"/>
        </w:rPr>
        <w:t>Euphydryas maturna</w:t>
      </w:r>
      <w:r w:rsidRPr="00675182">
        <w:rPr>
          <w:rFonts w:cstheme="minorHAnsi"/>
          <w:szCs w:val="24"/>
        </w:rPr>
        <w:t xml:space="preserve"> ir suga, kas GNP tiek regulāri monitorēta, taču netiek konstatēta jau vairākus uzskaites periodus pēc kārtas, līdz šim ir zināmas 3 sugas atradnes. </w:t>
      </w:r>
      <w:r w:rsidRPr="00675182">
        <w:rPr>
          <w:rFonts w:eastAsia="Times New Roman" w:cstheme="minorHAnsi"/>
          <w:color w:val="000000"/>
        </w:rPr>
        <w:t>Sugas sastopamība nav tieši saistāma ar ES nozīmes aizsargājamajiem biotopiem.</w:t>
      </w:r>
      <w:r w:rsidRPr="00675182">
        <w:rPr>
          <w:rFonts w:cstheme="minorHAnsi"/>
          <w:szCs w:val="24"/>
        </w:rPr>
        <w:t xml:space="preserve"> Sugas iespējamās sastopamības poligoni veidoti, izmantoti</w:t>
      </w:r>
      <w:r w:rsidRPr="00675182">
        <w:rPr>
          <w:rFonts w:eastAsia="Times New Roman" w:cstheme="minorHAnsi"/>
          <w:color w:val="000000"/>
        </w:rPr>
        <w:t xml:space="preserve"> lineārusobjekti 5 metru platumā – ekotonus starp sugai piemērotu mežaudzi un ilglaicīgiem zālājiem (tajā skaitā BVZ), grāvjiem, ceļiem, stigām, ūdenstecēm (skat. 2.4.19. attēlu). Šie poligoni ir savstarpēji izolēti. Ņemot vērā, ka nav ticamu datu, bet ir vairākas atradnes teritorijā un tās tuvumā, tiek pieņemts, ka teritorijā var būt sastopamas vismaz divas ilgtspējīgas populācijas. </w:t>
      </w:r>
    </w:p>
    <w:p w14:paraId="07BD2030" w14:textId="77777777" w:rsidR="00E30B04" w:rsidRPr="00675182" w:rsidRDefault="00E30B04" w:rsidP="00E30B04">
      <w:pPr>
        <w:jc w:val="both"/>
        <w:rPr>
          <w:rFonts w:eastAsia="Times New Roman" w:cstheme="minorHAnsi"/>
          <w:color w:val="000000"/>
        </w:rPr>
      </w:pPr>
    </w:p>
    <w:p w14:paraId="7D8881EA" w14:textId="77777777" w:rsidR="00E30B04" w:rsidRPr="00675182" w:rsidRDefault="00E30B04" w:rsidP="00E30B04">
      <w:pPr>
        <w:jc w:val="both"/>
        <w:rPr>
          <w:rFonts w:eastAsia="Times New Roman" w:cstheme="minorHAnsi"/>
          <w:color w:val="000000"/>
        </w:rPr>
      </w:pPr>
      <w:r w:rsidRPr="00675182">
        <w:rPr>
          <w:rFonts w:cstheme="minorHAnsi"/>
          <w:noProof/>
        </w:rPr>
        <w:lastRenderedPageBreak/>
        <w:drawing>
          <wp:inline distT="0" distB="0" distL="0" distR="0" wp14:anchorId="22E32C2E" wp14:editId="0022B862">
            <wp:extent cx="4191000" cy="3017520"/>
            <wp:effectExtent l="0" t="0" r="0" b="0"/>
            <wp:docPr id="209" name="Picture 20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191000" cy="3017520"/>
                    </a:xfrm>
                    <a:prstGeom prst="rect">
                      <a:avLst/>
                    </a:prstGeom>
                    <a:noFill/>
                    <a:ln>
                      <a:noFill/>
                    </a:ln>
                  </pic:spPr>
                </pic:pic>
              </a:graphicData>
            </a:graphic>
          </wp:inline>
        </w:drawing>
      </w:r>
    </w:p>
    <w:p w14:paraId="78ECDBD9" w14:textId="77777777" w:rsidR="00E30B04" w:rsidRPr="00675182" w:rsidRDefault="00E30B04" w:rsidP="00E30B04">
      <w:pPr>
        <w:jc w:val="both"/>
        <w:rPr>
          <w:rFonts w:cstheme="minorHAnsi"/>
          <w:b/>
          <w:i/>
          <w:iCs/>
          <w:szCs w:val="24"/>
        </w:rPr>
      </w:pPr>
      <w:r w:rsidRPr="00675182">
        <w:rPr>
          <w:rFonts w:cstheme="minorHAnsi"/>
          <w:b/>
          <w:i/>
          <w:iCs/>
          <w:szCs w:val="24"/>
        </w:rPr>
        <w:t xml:space="preserve">2.4.19. attēls. Ošu pļavraibeņa </w:t>
      </w:r>
      <w:r w:rsidRPr="00BF7348">
        <w:rPr>
          <w:rFonts w:cstheme="minorHAnsi"/>
          <w:b/>
          <w:i/>
        </w:rPr>
        <w:t>E. maturna</w:t>
      </w:r>
      <w:r w:rsidRPr="00675182">
        <w:rPr>
          <w:rFonts w:cstheme="minorHAnsi"/>
          <w:b/>
          <w:i/>
        </w:rPr>
        <w:t xml:space="preserve"> populācijas izvērtēšanas kartoshēma GNP</w:t>
      </w:r>
      <w:r w:rsidRPr="00675182">
        <w:rPr>
          <w:rFonts w:cstheme="minorHAnsi"/>
          <w:b/>
          <w:i/>
          <w:color w:val="000000"/>
        </w:rPr>
        <w:t xml:space="preserve">. </w:t>
      </w:r>
      <w:r w:rsidRPr="00675182">
        <w:rPr>
          <w:rFonts w:cstheme="minorHAnsi"/>
          <w:b/>
          <w:i/>
        </w:rPr>
        <w:t>Izvērtējamās ĪADT robeža atzīmēta ar sarkanu raustīto līniju</w:t>
      </w:r>
      <w:r w:rsidRPr="00937FA2">
        <w:rPr>
          <w:rFonts w:cstheme="minorHAnsi"/>
          <w:b/>
          <w:i/>
        </w:rPr>
        <w:t xml:space="preserve">. </w:t>
      </w:r>
      <w:r w:rsidRPr="00BF7348">
        <w:rPr>
          <w:rFonts w:cstheme="minorHAnsi"/>
          <w:b/>
          <w:i/>
        </w:rPr>
        <w:t>E. maturna</w:t>
      </w:r>
      <w:r w:rsidRPr="00937FA2">
        <w:rPr>
          <w:rFonts w:cstheme="minorHAnsi"/>
          <w:b/>
          <w:i/>
        </w:rPr>
        <w:t xml:space="preserve"> sastopamība teritorijā (zaļie punkti). Zili pelēkie riņķi ir 500 metru bufera joslas ap </w:t>
      </w:r>
      <w:r w:rsidRPr="00BF7348">
        <w:rPr>
          <w:rFonts w:cstheme="minorHAnsi"/>
          <w:b/>
          <w:i/>
        </w:rPr>
        <w:t>E. maturna</w:t>
      </w:r>
      <w:r w:rsidRPr="00675182">
        <w:rPr>
          <w:rFonts w:cstheme="minorHAnsi"/>
          <w:b/>
          <w:iCs/>
        </w:rPr>
        <w:t xml:space="preserve"> </w:t>
      </w:r>
      <w:r w:rsidRPr="00675182">
        <w:rPr>
          <w:rFonts w:cstheme="minorHAnsi"/>
          <w:b/>
          <w:i/>
        </w:rPr>
        <w:t>piemērotiem biotopiem. Sarkanā līnija apzīmē poligonu robežas, kurās tiek prognozētas sugas populācija.</w:t>
      </w:r>
    </w:p>
    <w:p w14:paraId="31BB1F20" w14:textId="77777777" w:rsidR="00E30B04" w:rsidRPr="00675182" w:rsidRDefault="00E30B04" w:rsidP="00E30B04">
      <w:pPr>
        <w:jc w:val="both"/>
        <w:rPr>
          <w:rFonts w:cstheme="minorHAnsi"/>
          <w:b/>
          <w:bCs/>
          <w:szCs w:val="24"/>
        </w:rPr>
      </w:pPr>
    </w:p>
    <w:p w14:paraId="72A5DBE0" w14:textId="77777777" w:rsidR="00E30B04" w:rsidRPr="00675182" w:rsidRDefault="00E30B04" w:rsidP="00E30B04">
      <w:pPr>
        <w:jc w:val="both"/>
        <w:rPr>
          <w:rFonts w:cstheme="minorHAnsi"/>
          <w:szCs w:val="24"/>
        </w:rPr>
      </w:pPr>
      <w:r w:rsidRPr="00675182">
        <w:rPr>
          <w:rFonts w:cstheme="minorHAnsi"/>
          <w:b/>
          <w:bCs/>
          <w:szCs w:val="24"/>
        </w:rPr>
        <w:t>Lielais mārsilu zilenītis</w:t>
      </w:r>
      <w:r w:rsidRPr="00675182">
        <w:rPr>
          <w:rFonts w:cstheme="minorHAnsi"/>
          <w:szCs w:val="24"/>
        </w:rPr>
        <w:t xml:space="preserve"> </w:t>
      </w:r>
      <w:r w:rsidRPr="00675182">
        <w:rPr>
          <w:rFonts w:cstheme="minorHAnsi"/>
          <w:b/>
          <w:i/>
          <w:iCs/>
          <w:szCs w:val="24"/>
        </w:rPr>
        <w:t>Maculinea arion</w:t>
      </w:r>
      <w:r w:rsidRPr="00675182">
        <w:rPr>
          <w:rFonts w:cstheme="minorHAnsi"/>
          <w:bCs/>
          <w:i/>
          <w:iCs/>
          <w:szCs w:val="24"/>
        </w:rPr>
        <w:t xml:space="preserve"> </w:t>
      </w:r>
      <w:r w:rsidRPr="00675182">
        <w:rPr>
          <w:rFonts w:cstheme="minorHAnsi"/>
          <w:szCs w:val="24"/>
        </w:rPr>
        <w:t xml:space="preserve">ir Latvijā reti sastopama dienas tauriņu suga, atkarīga ne tikai no barības auga klātbūtnes, bet arī skudru ligzdām barības auga tiešā tuvumā. GNP teritorijā ir zināma viena sugas atradne. 2020. gada apsekojumu rezultātā suga netika konstatēta. Piemēroti biotopi GNP ir lokalizēti teritorijas rietumu galējā stūrī (starp Siguldu un Gaujas ciemu), kur ir saglabājušies sugai piemēroti apstākļi (skat. 2.4.20. attēlu) un tās eksistence nelielā blīvumā ir ticama. </w:t>
      </w:r>
    </w:p>
    <w:p w14:paraId="5FF104A1" w14:textId="77777777" w:rsidR="00E30B04" w:rsidRPr="00675182" w:rsidRDefault="00E30B04" w:rsidP="00E30B04">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2"/>
      </w:tblGrid>
      <w:tr w:rsidR="00E30B04" w:rsidRPr="00675182" w14:paraId="350DDB9A" w14:textId="77777777" w:rsidTr="00666D08">
        <w:trPr>
          <w:trHeight w:val="4682"/>
        </w:trPr>
        <w:tc>
          <w:tcPr>
            <w:tcW w:w="8301" w:type="dxa"/>
            <w:hideMark/>
          </w:tcPr>
          <w:p w14:paraId="3C4B6FD4" w14:textId="77777777" w:rsidR="00E30B04" w:rsidRPr="00675182" w:rsidRDefault="00E30B04" w:rsidP="00666D08">
            <w:pPr>
              <w:keepNext/>
              <w:keepLines/>
              <w:jc w:val="both"/>
              <w:rPr>
                <w:rFonts w:cstheme="minorHAnsi"/>
                <w:szCs w:val="24"/>
              </w:rPr>
            </w:pPr>
            <w:r w:rsidRPr="00675182">
              <w:rPr>
                <w:rFonts w:cstheme="minorHAnsi"/>
                <w:noProof/>
              </w:rPr>
              <w:lastRenderedPageBreak/>
              <w:drawing>
                <wp:inline distT="0" distB="0" distL="0" distR="0" wp14:anchorId="4F0828A5" wp14:editId="60E68770">
                  <wp:extent cx="5280660" cy="2971800"/>
                  <wp:effectExtent l="0" t="0" r="0" b="1905"/>
                  <wp:docPr id="212" name="Picture 212" descr="A picture containing grass,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outdoor, plant&#10;&#10;Description automatically generated"/>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280660" cy="2971800"/>
                          </a:xfrm>
                          <a:prstGeom prst="rect">
                            <a:avLst/>
                          </a:prstGeom>
                          <a:noFill/>
                          <a:ln>
                            <a:noFill/>
                          </a:ln>
                        </pic:spPr>
                      </pic:pic>
                    </a:graphicData>
                  </a:graphic>
                </wp:inline>
              </w:drawing>
            </w:r>
          </w:p>
        </w:tc>
      </w:tr>
      <w:tr w:rsidR="00E30B04" w:rsidRPr="00675182" w14:paraId="130A474D" w14:textId="77777777" w:rsidTr="00666D08">
        <w:trPr>
          <w:trHeight w:val="387"/>
        </w:trPr>
        <w:tc>
          <w:tcPr>
            <w:tcW w:w="8301" w:type="dxa"/>
            <w:hideMark/>
          </w:tcPr>
          <w:p w14:paraId="6FAE76A3" w14:textId="77777777" w:rsidR="00E30B04" w:rsidRPr="00675182" w:rsidRDefault="00E30B04" w:rsidP="00666D08">
            <w:pPr>
              <w:keepNext/>
              <w:keepLines/>
              <w:jc w:val="both"/>
              <w:rPr>
                <w:rFonts w:cstheme="minorHAnsi"/>
                <w:b/>
                <w:i/>
                <w:iCs/>
                <w:szCs w:val="24"/>
              </w:rPr>
            </w:pPr>
            <w:r w:rsidRPr="00675182">
              <w:rPr>
                <w:rFonts w:cstheme="minorHAnsi"/>
                <w:b/>
                <w:i/>
                <w:iCs/>
                <w:szCs w:val="24"/>
              </w:rPr>
              <w:t xml:space="preserve">2.4.20. attēls. </w:t>
            </w:r>
            <w:r w:rsidRPr="00675182">
              <w:rPr>
                <w:rFonts w:cstheme="minorHAnsi"/>
                <w:b/>
                <w:bCs/>
                <w:i/>
                <w:iCs/>
                <w:szCs w:val="24"/>
              </w:rPr>
              <w:t>Lielā mārsilu zilenīš</w:t>
            </w:r>
            <w:r w:rsidRPr="00675182">
              <w:rPr>
                <w:rFonts w:cstheme="minorHAnsi"/>
                <w:b/>
                <w:bCs/>
                <w:i/>
                <w:iCs/>
              </w:rPr>
              <w:t>a</w:t>
            </w:r>
            <w:r w:rsidRPr="00675182">
              <w:rPr>
                <w:rFonts w:cstheme="minorHAnsi"/>
                <w:b/>
                <w:bCs/>
              </w:rPr>
              <w:t xml:space="preserve"> </w:t>
            </w:r>
            <w:r w:rsidRPr="00675182">
              <w:rPr>
                <w:rFonts w:cstheme="minorHAnsi"/>
                <w:b/>
                <w:i/>
                <w:iCs/>
                <w:szCs w:val="24"/>
              </w:rPr>
              <w:t>Maculinea arion tipiska dzīvotne GNP teritorijā (foto: U. Piterāns)</w:t>
            </w:r>
          </w:p>
        </w:tc>
      </w:tr>
    </w:tbl>
    <w:p w14:paraId="0C5E00A9" w14:textId="77777777" w:rsidR="00E30B04" w:rsidRPr="00675182" w:rsidRDefault="00E30B04" w:rsidP="00E30B04">
      <w:pPr>
        <w:jc w:val="both"/>
        <w:rPr>
          <w:rFonts w:cstheme="minorHAnsi"/>
          <w:szCs w:val="24"/>
        </w:rPr>
      </w:pPr>
    </w:p>
    <w:p w14:paraId="0D4C02E7" w14:textId="77777777" w:rsidR="00E30B04" w:rsidRPr="00675182" w:rsidRDefault="00E30B04" w:rsidP="00E30B04">
      <w:pPr>
        <w:jc w:val="both"/>
        <w:rPr>
          <w:rFonts w:cstheme="minorHAnsi"/>
        </w:rPr>
      </w:pPr>
      <w:r w:rsidRPr="00675182">
        <w:rPr>
          <w:rFonts w:cstheme="minorHAnsi"/>
          <w:szCs w:val="24"/>
        </w:rPr>
        <w:t xml:space="preserve">GNP samērā bieži sastopama dienas tauriņu suga ir </w:t>
      </w:r>
      <w:r w:rsidRPr="00675182">
        <w:rPr>
          <w:rFonts w:cstheme="minorHAnsi"/>
          <w:b/>
          <w:szCs w:val="24"/>
        </w:rPr>
        <w:t>cīrulīšu dižtauriņš</w:t>
      </w:r>
      <w:r w:rsidRPr="00675182">
        <w:rPr>
          <w:rFonts w:cstheme="minorHAnsi"/>
          <w:szCs w:val="24"/>
        </w:rPr>
        <w:t xml:space="preserve"> </w:t>
      </w:r>
      <w:r w:rsidRPr="00675182">
        <w:rPr>
          <w:rFonts w:cstheme="minorHAnsi"/>
          <w:i/>
          <w:szCs w:val="24"/>
        </w:rPr>
        <w:t>Parnassius mnemosyne</w:t>
      </w:r>
      <w:r w:rsidRPr="00675182">
        <w:rPr>
          <w:rFonts w:cstheme="minorHAnsi"/>
          <w:szCs w:val="24"/>
        </w:rPr>
        <w:t xml:space="preserve">. Sastopama </w:t>
      </w:r>
      <w:r w:rsidRPr="00675182">
        <w:rPr>
          <w:rFonts w:cstheme="minorHAnsi"/>
        </w:rPr>
        <w:t>atklātos biotopos lapkoku, arī palieņu mežu tuvumā. Tauriņi samērā labi pārceļo uz jauniem biotopiem, ja esošajā biotopā ir augsts populācijas blīvums. Pārceļošanu uz citiem biotopiem veicina upju aizsargjoslas ar palieņu mežiem (Savenkovs, 2018). Šāda veida migrācijas koridors GNP ir Gaujas ieleja, kur nereti tiek novērotas vairāku desmitu īpatņu grupas. Saskaņā ar cīrulīšu dižtauriņa monitoringa datiem (2020) suga ir plaši sastopama un daudzskaitliska teritorijā, konstatēta visos monitoringa maršrutos.</w:t>
      </w:r>
    </w:p>
    <w:p w14:paraId="3818118A" w14:textId="77777777" w:rsidR="00E30B04" w:rsidRPr="00675182" w:rsidRDefault="00E30B04" w:rsidP="00E30B04">
      <w:pPr>
        <w:jc w:val="both"/>
        <w:rPr>
          <w:rFonts w:cstheme="minorHAnsi"/>
          <w:szCs w:val="24"/>
        </w:rPr>
      </w:pPr>
    </w:p>
    <w:p w14:paraId="0E65A8C3" w14:textId="77777777" w:rsidR="00E30B04" w:rsidRPr="00675182" w:rsidRDefault="00E30B04" w:rsidP="00E30B04">
      <w:pPr>
        <w:jc w:val="both"/>
        <w:rPr>
          <w:rFonts w:eastAsia="Times New Roman" w:cstheme="minorHAnsi"/>
          <w:lang w:eastAsia="lv-LV"/>
        </w:rPr>
      </w:pPr>
      <w:r w:rsidRPr="00675182">
        <w:rPr>
          <w:rFonts w:cstheme="minorHAnsi"/>
        </w:rPr>
        <w:t xml:space="preserve">GNP ir valstī nozīmīgākā teritorija </w:t>
      </w:r>
      <w:r w:rsidRPr="00675182">
        <w:rPr>
          <w:rFonts w:cstheme="minorHAnsi"/>
          <w:b/>
        </w:rPr>
        <w:t>tumšās pūcītes</w:t>
      </w:r>
      <w:r w:rsidRPr="00675182">
        <w:rPr>
          <w:rFonts w:cstheme="minorHAnsi"/>
        </w:rPr>
        <w:t xml:space="preserve"> </w:t>
      </w:r>
      <w:r w:rsidRPr="00675182">
        <w:rPr>
          <w:rFonts w:cstheme="minorHAnsi"/>
          <w:i/>
        </w:rPr>
        <w:t>Xylomoia strix</w:t>
      </w:r>
      <w:r w:rsidRPr="00675182">
        <w:rPr>
          <w:rFonts w:cstheme="minorHAnsi"/>
        </w:rPr>
        <w:t xml:space="preserve"> sastopamībai. Šī suga apdzīvo biotopus ar ziemzaļo kosu</w:t>
      </w:r>
      <w:r w:rsidRPr="00675182">
        <w:rPr>
          <w:rFonts w:cstheme="minorHAnsi"/>
          <w:i/>
        </w:rPr>
        <w:t xml:space="preserve"> Equisetum hyemale</w:t>
      </w:r>
      <w:r w:rsidRPr="00675182">
        <w:rPr>
          <w:rFonts w:cstheme="minorHAnsi"/>
        </w:rPr>
        <w:t>, kas GNP teritorijā galvenokārt aug Gaujas un tās pieteku palieņu mežos, kur tā ir bieži sastopama. Tauriņi samērā labi pārceļo uz jauniem biotopiem, ja esošajā biotopā ir augsts populācijas blīvums. Pārceļošanu uz citiem biotopiem veicina upju aizsargjoslas ar palieņu mežiem.</w:t>
      </w:r>
    </w:p>
    <w:p w14:paraId="6D07FB35" w14:textId="77777777" w:rsidR="00E30B04" w:rsidRPr="00675182" w:rsidRDefault="00E30B04" w:rsidP="00E30B04">
      <w:pPr>
        <w:jc w:val="both"/>
        <w:rPr>
          <w:rFonts w:cstheme="minorHAnsi"/>
          <w:szCs w:val="24"/>
        </w:rPr>
      </w:pPr>
    </w:p>
    <w:p w14:paraId="663D0D33" w14:textId="77777777" w:rsidR="00E30B04" w:rsidRPr="00675182" w:rsidRDefault="00E30B04" w:rsidP="00E30B04">
      <w:pPr>
        <w:jc w:val="both"/>
        <w:rPr>
          <w:rFonts w:cstheme="minorHAnsi"/>
          <w:szCs w:val="24"/>
          <w:u w:val="single"/>
        </w:rPr>
      </w:pPr>
      <w:r w:rsidRPr="00675182">
        <w:rPr>
          <w:rFonts w:cstheme="minorHAnsi"/>
          <w:szCs w:val="24"/>
          <w:u w:val="single"/>
        </w:rPr>
        <w:t>Spāru sugas</w:t>
      </w:r>
    </w:p>
    <w:p w14:paraId="4F303B90" w14:textId="77777777" w:rsidR="00E30B04" w:rsidRPr="00675182" w:rsidRDefault="00E30B04" w:rsidP="00E30B04">
      <w:pPr>
        <w:jc w:val="both"/>
        <w:rPr>
          <w:rFonts w:cstheme="minorHAnsi"/>
          <w:szCs w:val="24"/>
        </w:rPr>
      </w:pPr>
      <w:r w:rsidRPr="00675182">
        <w:rPr>
          <w:rFonts w:cstheme="minorHAnsi"/>
          <w:szCs w:val="24"/>
        </w:rPr>
        <w:t xml:space="preserve">Spāres ir viena no kukaiņu kārtām, kas GNP ir relatīvi labi izpētīta (detalizētu pārskatu par minētajām spāru sugām skat. arī Balalaikins (red.) 2022) Spāru sastopamībā nozīmīga ir Gauja ar tās pietekām un īpaši vecupēm, kā arī teritorijā esošie ezeri, dīķi un citas ūdenstilpes. Viena no bieži sastopamām aizsargājamajām spāru sugām GNP ir </w:t>
      </w:r>
      <w:r w:rsidRPr="00675182">
        <w:rPr>
          <w:rFonts w:cstheme="minorHAnsi"/>
          <w:b/>
          <w:bCs/>
          <w:szCs w:val="24"/>
        </w:rPr>
        <w:t>parastā strautuspāre</w:t>
      </w:r>
      <w:r w:rsidRPr="00675182">
        <w:rPr>
          <w:rFonts w:cstheme="minorHAnsi"/>
          <w:szCs w:val="24"/>
        </w:rPr>
        <w:t xml:space="preserve"> </w:t>
      </w:r>
      <w:r w:rsidRPr="00675182">
        <w:rPr>
          <w:rFonts w:cstheme="minorHAnsi"/>
          <w:b/>
          <w:bCs/>
          <w:i/>
          <w:szCs w:val="24"/>
        </w:rPr>
        <w:t>Cordulegaster boltonii</w:t>
      </w:r>
      <w:r w:rsidRPr="00675182">
        <w:rPr>
          <w:rFonts w:cstheme="minorHAnsi"/>
          <w:szCs w:val="24"/>
        </w:rPr>
        <w:t xml:space="preserve">. Latvijā suga sastopama lokāli, un GNP ir viena no Natura 2000 teritorijām, kur ir plašs sugai piemēroto strautu un mazo upju tīkls. </w:t>
      </w:r>
      <w:r w:rsidRPr="00675182">
        <w:rPr>
          <w:rFonts w:cstheme="minorHAnsi"/>
          <w:b/>
        </w:rPr>
        <w:t xml:space="preserve">Zaļā upjuspāre </w:t>
      </w:r>
      <w:r w:rsidRPr="00675182">
        <w:rPr>
          <w:rFonts w:cstheme="minorHAnsi"/>
          <w:b/>
          <w:i/>
        </w:rPr>
        <w:t>Ophiogomphus cecilia</w:t>
      </w:r>
      <w:r w:rsidRPr="00675182">
        <w:rPr>
          <w:rFonts w:cstheme="minorHAnsi"/>
        </w:rPr>
        <w:t xml:space="preserve"> ir plaši izplatīta Gaujas upes baseinā, kur suga apdzīvo dažāda lieluma upes, tajā skaitā mazas, 2-5 m platas upes, bet nav sastopama strautos. Apdzīvotās upes vai to posmi ir vidēji strauji tekoši ar smilšainu vai granšainu grunti, ar nelielu dūņu slāni un retu veģetāciju, vai bez tās (Kalniņš 2006, 2017). GNP piemērotos biotopos suga sastopama visā teritorijā, nozīmīgākā upe tās sastopamībai ir Gauja ar </w:t>
      </w:r>
      <w:r w:rsidRPr="00675182">
        <w:rPr>
          <w:rFonts w:cstheme="minorHAnsi"/>
        </w:rPr>
        <w:lastRenderedPageBreak/>
        <w:t xml:space="preserve">tās pietekām, no kurām nozīmīgākās ir Amata, Brasla, Vildoga, Lenčupe un Līgatne. GNP sastopama arī </w:t>
      </w:r>
      <w:r w:rsidRPr="00675182">
        <w:rPr>
          <w:rFonts w:cstheme="minorHAnsi"/>
          <w:b/>
        </w:rPr>
        <w:t xml:space="preserve">dzeltenkāju upjuspāre </w:t>
      </w:r>
      <w:r w:rsidRPr="00675182">
        <w:rPr>
          <w:rFonts w:cstheme="minorHAnsi"/>
          <w:b/>
          <w:i/>
        </w:rPr>
        <w:t>Gomphus flavipes</w:t>
      </w:r>
      <w:r w:rsidRPr="00675182">
        <w:rPr>
          <w:rFonts w:cstheme="minorHAnsi"/>
          <w:i/>
        </w:rPr>
        <w:t>.</w:t>
      </w:r>
      <w:r w:rsidRPr="00675182">
        <w:rPr>
          <w:rFonts w:cstheme="minorHAnsi"/>
        </w:rPr>
        <w:t xml:space="preserve"> Šī suga Latvijā apdzīvo lielās upes tajā skaitā Gauju, kur sastopama posmos ar smilšainām gruntīm un vāji attīstītu veģetāciju.</w:t>
      </w:r>
    </w:p>
    <w:p w14:paraId="0869DB95" w14:textId="77777777" w:rsidR="00E30B04" w:rsidRPr="00675182" w:rsidRDefault="00E30B04" w:rsidP="00E30B04">
      <w:pPr>
        <w:jc w:val="both"/>
        <w:rPr>
          <w:rFonts w:cstheme="minorHAnsi"/>
          <w:highlight w:val="yellow"/>
        </w:rPr>
      </w:pPr>
    </w:p>
    <w:p w14:paraId="6019958E" w14:textId="77777777" w:rsidR="00E30B04" w:rsidRPr="00675182" w:rsidRDefault="00E30B04" w:rsidP="00E30B04">
      <w:pPr>
        <w:jc w:val="both"/>
        <w:rPr>
          <w:rFonts w:cstheme="minorHAnsi"/>
        </w:rPr>
      </w:pPr>
      <w:r w:rsidRPr="00675182">
        <w:rPr>
          <w:rFonts w:cstheme="minorHAnsi"/>
        </w:rPr>
        <w:t xml:space="preserve">Ezeru biotopi (neskaitot vecupes) aizņem ap 1% no GNP teritorijas. Ar stāvošiem saldūdeņu biotopiem ir saistītas vairākas purvuspāru sugas un zaļā dižspāre. </w:t>
      </w:r>
      <w:r w:rsidRPr="00675182">
        <w:rPr>
          <w:rFonts w:cstheme="minorHAnsi"/>
          <w:b/>
        </w:rPr>
        <w:t xml:space="preserve">Spilgtā purvuspāre </w:t>
      </w:r>
      <w:r w:rsidRPr="00675182">
        <w:rPr>
          <w:rFonts w:cstheme="minorHAnsi"/>
          <w:b/>
          <w:i/>
        </w:rPr>
        <w:t>Leucorrhinia pectoralis</w:t>
      </w:r>
      <w:r w:rsidRPr="00675182">
        <w:rPr>
          <w:rFonts w:cstheme="minorHAnsi"/>
        </w:rPr>
        <w:t xml:space="preserve"> konstatēta 7 no 14 sugai piemērotām ūdenstilpēm, sugas sastopamībai nozīmīgākais biotops GNP ir vecupes</w:t>
      </w:r>
      <w:r w:rsidRPr="00675182">
        <w:rPr>
          <w:rFonts w:eastAsia="Times New Roman" w:cstheme="minorHAnsi"/>
          <w:color w:val="000000"/>
          <w:szCs w:val="24"/>
          <w:lang w:eastAsia="en-GB"/>
        </w:rPr>
        <w:t>.</w:t>
      </w:r>
      <w:r w:rsidRPr="00675182">
        <w:rPr>
          <w:rFonts w:cstheme="minorHAnsi"/>
        </w:rPr>
        <w:t xml:space="preserve"> Septiņās uzskaites vietās konstatēta </w:t>
      </w:r>
      <w:r w:rsidRPr="00675182">
        <w:rPr>
          <w:rFonts w:cstheme="minorHAnsi"/>
          <w:b/>
        </w:rPr>
        <w:t xml:space="preserve">resnvēdera purvuspāre </w:t>
      </w:r>
      <w:r w:rsidRPr="00675182">
        <w:rPr>
          <w:rFonts w:cstheme="minorHAnsi"/>
          <w:b/>
          <w:i/>
        </w:rPr>
        <w:t>Leucorrhinia caudal</w:t>
      </w:r>
      <w:r w:rsidRPr="00675182">
        <w:rPr>
          <w:rFonts w:cstheme="minorHAnsi"/>
          <w:i/>
        </w:rPr>
        <w:t>is</w:t>
      </w:r>
      <w:r w:rsidRPr="00675182">
        <w:rPr>
          <w:rFonts w:cstheme="minorHAnsi"/>
        </w:rPr>
        <w:t xml:space="preserve"> šī suga apdzīvo spilgtajai purvuspārei līdzīgu biotopu, līdz ar to sugas sastopamība ir līdzīga. </w:t>
      </w:r>
      <w:r w:rsidRPr="00675182">
        <w:rPr>
          <w:rFonts w:cstheme="minorHAnsi"/>
          <w:b/>
          <w:bCs/>
        </w:rPr>
        <w:t xml:space="preserve">Raibgalvas purvuspāre </w:t>
      </w:r>
      <w:r w:rsidRPr="00675182">
        <w:rPr>
          <w:rFonts w:cstheme="minorHAnsi"/>
          <w:b/>
          <w:bCs/>
          <w:i/>
        </w:rPr>
        <w:t>Leucorrhinia albifrons</w:t>
      </w:r>
      <w:r w:rsidRPr="00675182">
        <w:rPr>
          <w:rFonts w:cstheme="minorHAnsi"/>
        </w:rPr>
        <w:t xml:space="preserve"> ir retāk sastopama eitrofors ezeros un vairāk nekā pusē no atradnēm Latvijā ir reģistrētas distrofos ezeros. Šī suga konstatēta Salas ezerā, kas atbilst distrofa ezera statusam. Šo sugu attīstībai ir piemēroti arī vairāki citi GNP teritorijā esošie ezeri un vecupes.</w:t>
      </w:r>
    </w:p>
    <w:p w14:paraId="508B4BCA" w14:textId="77777777" w:rsidR="00E30B04" w:rsidRPr="00675182" w:rsidRDefault="00E30B04" w:rsidP="00E30B04">
      <w:pPr>
        <w:jc w:val="both"/>
        <w:rPr>
          <w:rFonts w:cstheme="minorHAnsi"/>
        </w:rPr>
      </w:pPr>
    </w:p>
    <w:p w14:paraId="0AE7711B" w14:textId="77777777" w:rsidR="00E30B04" w:rsidRPr="00675182" w:rsidRDefault="00E30B04" w:rsidP="00E30B04">
      <w:pPr>
        <w:jc w:val="both"/>
        <w:rPr>
          <w:rFonts w:cstheme="minorHAnsi"/>
        </w:rPr>
      </w:pPr>
      <w:r w:rsidRPr="00675182">
        <w:rPr>
          <w:rFonts w:cstheme="minorHAnsi"/>
          <w:b/>
        </w:rPr>
        <w:t>Zaļā dižspāre</w:t>
      </w:r>
      <w:r w:rsidRPr="00675182">
        <w:rPr>
          <w:rFonts w:cstheme="minorHAnsi"/>
        </w:rPr>
        <w:t xml:space="preserve"> </w:t>
      </w:r>
      <w:r w:rsidRPr="00675182">
        <w:rPr>
          <w:rFonts w:cstheme="minorHAnsi"/>
          <w:b/>
          <w:bCs/>
          <w:i/>
        </w:rPr>
        <w:t>Aeshna viridis</w:t>
      </w:r>
      <w:r w:rsidRPr="00675182">
        <w:rPr>
          <w:rFonts w:cstheme="minorHAnsi"/>
        </w:rPr>
        <w:t xml:space="preserve"> pamatā apdzīvo stāvošas ūdenstilpes – ezerus, vecupes un dīķus ar parastā elša </w:t>
      </w:r>
      <w:r w:rsidRPr="00675182">
        <w:rPr>
          <w:rFonts w:cstheme="minorHAnsi"/>
          <w:i/>
        </w:rPr>
        <w:t xml:space="preserve">Stratiotes aloides </w:t>
      </w:r>
      <w:r w:rsidRPr="00675182">
        <w:rPr>
          <w:rFonts w:cstheme="minorHAnsi"/>
        </w:rPr>
        <w:t xml:space="preserve">audzēm (Kalniņš, 2017). GNP teritorijā nozīmīgāko sugas sastopamības biotopu veido vecupes Gaujas ielejā. </w:t>
      </w:r>
    </w:p>
    <w:p w14:paraId="6BEAE1C9" w14:textId="77777777" w:rsidR="00E30B04" w:rsidRPr="00675182" w:rsidRDefault="00E30B04" w:rsidP="00E30B04">
      <w:pPr>
        <w:jc w:val="both"/>
        <w:rPr>
          <w:rFonts w:cstheme="minorHAnsi"/>
          <w:highlight w:val="yellow"/>
        </w:rPr>
      </w:pPr>
    </w:p>
    <w:p w14:paraId="2CE4D914" w14:textId="77777777" w:rsidR="00E30B04" w:rsidRPr="00675182" w:rsidRDefault="00E30B04" w:rsidP="00E30B04">
      <w:pPr>
        <w:suppressAutoHyphens w:val="0"/>
        <w:jc w:val="both"/>
        <w:rPr>
          <w:rFonts w:eastAsiaTheme="minorHAnsi" w:cstheme="minorHAnsi"/>
          <w:szCs w:val="24"/>
          <w:lang w:eastAsia="en-GB"/>
        </w:rPr>
      </w:pPr>
      <w:r w:rsidRPr="00675182">
        <w:rPr>
          <w:rFonts w:cstheme="minorHAnsi"/>
        </w:rPr>
        <w:t xml:space="preserve">Līdzīgos biotopos sastopama arī </w:t>
      </w:r>
      <w:r w:rsidRPr="00675182">
        <w:rPr>
          <w:rFonts w:cstheme="minorHAnsi"/>
          <w:b/>
        </w:rPr>
        <w:t>medicīnas dēle</w:t>
      </w:r>
      <w:r w:rsidRPr="00675182">
        <w:rPr>
          <w:rFonts w:cstheme="minorHAnsi"/>
        </w:rPr>
        <w:t xml:space="preserve"> </w:t>
      </w:r>
      <w:r w:rsidRPr="00675182">
        <w:rPr>
          <w:rFonts w:cstheme="minorHAnsi"/>
          <w:b/>
          <w:bCs/>
          <w:i/>
        </w:rPr>
        <w:t>Hirudo medicinalis</w:t>
      </w:r>
      <w:r w:rsidRPr="00675182">
        <w:rPr>
          <w:rFonts w:cstheme="minorHAnsi"/>
        </w:rPr>
        <w:t xml:space="preserve">. Suga konstatēta vairākās vecupēs un ezeros visā GNP teritorijā, bet sugas sastopamībai piemērotas arī citas ūdenstilpes. Medicīnas dēle apdzīvo dažādās saldūdens ekosistēmas – mežus, pārplūstošas pļavas, purvus. </w:t>
      </w:r>
    </w:p>
    <w:p w14:paraId="62688DE2" w14:textId="77777777" w:rsidR="00E30B04" w:rsidRPr="00675182" w:rsidRDefault="00E30B04" w:rsidP="00E30B04">
      <w:pPr>
        <w:suppressAutoHyphens w:val="0"/>
        <w:autoSpaceDE w:val="0"/>
        <w:autoSpaceDN w:val="0"/>
        <w:adjustRightInd w:val="0"/>
        <w:jc w:val="both"/>
        <w:rPr>
          <w:rFonts w:cstheme="minorHAnsi"/>
          <w:szCs w:val="24"/>
        </w:rPr>
      </w:pPr>
    </w:p>
    <w:p w14:paraId="60180B17" w14:textId="77777777" w:rsidR="00E30B04" w:rsidRPr="00675182" w:rsidRDefault="00E30B04" w:rsidP="00E30B04">
      <w:pPr>
        <w:jc w:val="both"/>
        <w:rPr>
          <w:rFonts w:cstheme="minorHAnsi"/>
          <w:b/>
          <w:szCs w:val="24"/>
        </w:rPr>
      </w:pPr>
      <w:r w:rsidRPr="00675182">
        <w:rPr>
          <w:rFonts w:cstheme="minorHAnsi"/>
          <w:b/>
          <w:szCs w:val="24"/>
        </w:rPr>
        <w:t xml:space="preserve">Sociālekonomiskā vērtība </w:t>
      </w:r>
    </w:p>
    <w:p w14:paraId="156E5217" w14:textId="218E0DE8" w:rsidR="00E30B04" w:rsidRPr="00675182" w:rsidRDefault="00E30B04" w:rsidP="00E30B04">
      <w:pPr>
        <w:widowControl w:val="0"/>
        <w:jc w:val="both"/>
        <w:rPr>
          <w:rFonts w:cstheme="minorHAnsi"/>
        </w:rPr>
      </w:pPr>
      <w:r w:rsidRPr="00675182">
        <w:rPr>
          <w:rFonts w:cstheme="minorHAnsi"/>
        </w:rPr>
        <w:t>GNP teritorijā konstatētajām bezmugurkaulnieku sugām nav tiešas sociālekonomiskās vērtības. Aizsargājamiem biotopiem un tajos sastopamajām sugām ir augsta estētiskā un pētnieciskās izziņas vērtība. Daudzām bezmugurkaulnieku sugām ir liela nozīme ekosistēmas labvēlīga stāvokļa nodrošināšanai (piemēram, augu apputeksnētāji, bezmugurkaulnieki ietilpst daudzu dzīvnieku barošanās ķēdē, piedalās augsnes veidošanas procesos, u</w:t>
      </w:r>
      <w:r w:rsidR="00623D84">
        <w:rPr>
          <w:rFonts w:cstheme="minorHAnsi"/>
        </w:rPr>
        <w:t>.</w:t>
      </w:r>
      <w:r w:rsidRPr="00675182">
        <w:rPr>
          <w:rFonts w:cstheme="minorHAnsi"/>
        </w:rPr>
        <w:t>tt.). Potenciālā sociālekonomiska vērtība ir parka vīngliemezim, kas ir ierobežoti izmantojamā suga. Latvijā tiek praktizēta vīngliemežu uzpirkšana, kas veicina to ievākšanu dabā, līdz ar to nodrošinot sezonālus ienākumus vietējiem iedzīvotājiem.</w:t>
      </w:r>
    </w:p>
    <w:p w14:paraId="445002F0" w14:textId="77777777" w:rsidR="00E30B04" w:rsidRPr="00675182" w:rsidRDefault="00E30B04" w:rsidP="00E30B04">
      <w:pPr>
        <w:jc w:val="both"/>
        <w:rPr>
          <w:rFonts w:cstheme="minorHAnsi"/>
        </w:rPr>
      </w:pPr>
    </w:p>
    <w:p w14:paraId="4C8D8F12" w14:textId="77777777" w:rsidR="00E30B04" w:rsidRPr="00675182" w:rsidRDefault="00E30B04" w:rsidP="00E30B04">
      <w:pPr>
        <w:jc w:val="both"/>
        <w:rPr>
          <w:rFonts w:cstheme="minorHAnsi"/>
          <w:b/>
          <w:szCs w:val="24"/>
        </w:rPr>
      </w:pPr>
      <w:r w:rsidRPr="00675182">
        <w:rPr>
          <w:rFonts w:cstheme="minorHAnsi"/>
          <w:b/>
          <w:szCs w:val="24"/>
        </w:rPr>
        <w:t>Ietekmējošie faktori</w:t>
      </w:r>
    </w:p>
    <w:p w14:paraId="6DB6963B" w14:textId="52C8A44B" w:rsidR="00E30B04" w:rsidRPr="00675182" w:rsidRDefault="00E30B04" w:rsidP="00E30B04">
      <w:pPr>
        <w:jc w:val="both"/>
        <w:rPr>
          <w:rFonts w:cstheme="minorHAnsi"/>
          <w:szCs w:val="24"/>
        </w:rPr>
      </w:pPr>
      <w:r w:rsidRPr="00675182">
        <w:rPr>
          <w:rFonts w:cstheme="minorHAnsi"/>
          <w:szCs w:val="24"/>
        </w:rPr>
        <w:t xml:space="preserve">Būtisku daļu no mežu biotopus apdzīvojošām </w:t>
      </w:r>
      <w:r w:rsidR="0084001E">
        <w:rPr>
          <w:rFonts w:cstheme="minorHAnsi"/>
          <w:szCs w:val="24"/>
        </w:rPr>
        <w:t>ĪA</w:t>
      </w:r>
      <w:r w:rsidRPr="00675182">
        <w:rPr>
          <w:rFonts w:cstheme="minorHAnsi"/>
          <w:szCs w:val="24"/>
        </w:rPr>
        <w:t xml:space="preserve"> bezmugurkaulnieku sugām veido saproksīlās kukaiņu sugas, kuras vismaz kādā no to attīstības posmiem ir atkarīgas no atmirušās vai atmirstošās koksnes, vai arī no organismiem, kas to apdzīvo. Šīs sugas un to sabiedrības negatīvi ietekmē meža biotopu kvalitātes nodrošināšanai būtisku dabisko struktūru (kritalu, sausokņu, stumbeņu) daudzuma samazināšanās, kas pamatā notiek mežsaimnieciskās darbības rezultātā. </w:t>
      </w:r>
    </w:p>
    <w:p w14:paraId="10AE3678" w14:textId="77777777" w:rsidR="00E30B04" w:rsidRPr="00675182" w:rsidRDefault="00E30B04" w:rsidP="00E30B04">
      <w:pPr>
        <w:jc w:val="both"/>
        <w:rPr>
          <w:rFonts w:cstheme="minorHAnsi"/>
          <w:szCs w:val="24"/>
        </w:rPr>
      </w:pPr>
    </w:p>
    <w:p w14:paraId="066C55C4" w14:textId="7653C023" w:rsidR="00E30B04" w:rsidRPr="00675182" w:rsidRDefault="00E30B04" w:rsidP="00E30B04">
      <w:pPr>
        <w:jc w:val="both"/>
        <w:rPr>
          <w:rFonts w:cstheme="minorHAnsi"/>
          <w:szCs w:val="24"/>
        </w:rPr>
      </w:pPr>
      <w:r w:rsidRPr="00675182">
        <w:rPr>
          <w:rFonts w:cstheme="minorHAnsi"/>
          <w:szCs w:val="24"/>
        </w:rPr>
        <w:t xml:space="preserve">GNP teritorijā sastopamo, ar mežiem saistīto, aizsargājamo un citādi vērtīgo bezmugurkaulnieku aizsardzībai jānodrošina mežsaimnieciskās darbības ierobežojumi bezmugurkaulnieku sastopamībai nozīmīgās meža teritorijās, nodrošinot neiejaukšanās attiecīgo biotopu dabiskā attīstībā vai realizējot speciālus biotopu apsaimniekošanas pasākumus. Plānojot ĪADT funkcionālo </w:t>
      </w:r>
      <w:r w:rsidRPr="00675182">
        <w:rPr>
          <w:rFonts w:cstheme="minorHAnsi"/>
          <w:szCs w:val="24"/>
        </w:rPr>
        <w:lastRenderedPageBreak/>
        <w:t xml:space="preserve">zonējumu un mežsaimnieciskās darbības ierobežojumus, ir nepieciešams ņemt vērā biotopu fragmentācijas draudus, kas ir retu un aizsargājamu sugu dzīvotspējīgu populāciju saglabāšanas apdraudošais faktors (Valainis, 2018), līdz ar to bezmugurkaulnieku sastopamībai svarīgos meža masīvos ir jāveicina arī mežaudzes saglabāšana meža nogabalos, kuri vēl neatbilst ES nozīmes </w:t>
      </w:r>
      <w:r w:rsidR="0084001E">
        <w:rPr>
          <w:rFonts w:cstheme="minorHAnsi"/>
          <w:szCs w:val="24"/>
        </w:rPr>
        <w:t>ĪA</w:t>
      </w:r>
      <w:r w:rsidRPr="00675182">
        <w:rPr>
          <w:rFonts w:cstheme="minorHAnsi"/>
          <w:szCs w:val="24"/>
        </w:rPr>
        <w:t xml:space="preserve"> biotopu statusam, bet kuriem ir šāda perspektīva nākotnē.</w:t>
      </w:r>
    </w:p>
    <w:p w14:paraId="0522EE37" w14:textId="77777777" w:rsidR="00E30B04" w:rsidRPr="00675182" w:rsidRDefault="00E30B04" w:rsidP="00E30B04">
      <w:pPr>
        <w:jc w:val="both"/>
        <w:rPr>
          <w:rFonts w:cstheme="minorHAnsi"/>
          <w:szCs w:val="24"/>
        </w:rPr>
      </w:pPr>
    </w:p>
    <w:p w14:paraId="28195553" w14:textId="77777777" w:rsidR="00E30B04" w:rsidRPr="00675182" w:rsidRDefault="00E30B04" w:rsidP="00E30B04">
      <w:pPr>
        <w:jc w:val="both"/>
        <w:rPr>
          <w:rFonts w:cstheme="minorHAnsi"/>
          <w:szCs w:val="24"/>
        </w:rPr>
      </w:pPr>
      <w:r w:rsidRPr="00675182">
        <w:rPr>
          <w:rFonts w:cstheme="minorHAnsi"/>
          <w:color w:val="000000" w:themeColor="text1"/>
          <w:szCs w:val="24"/>
        </w:rPr>
        <w:t>Vairākas GNP teritorijā sastopamās aizsargājamās sugas (tajā skaitā biezā perlamutrene un ziemeļu upespērlene) ir saistītas ar dabisko upju straujtecēm un</w:t>
      </w:r>
      <w:r w:rsidRPr="00675182">
        <w:rPr>
          <w:rFonts w:cstheme="minorHAnsi"/>
          <w:i/>
          <w:iCs/>
          <w:color w:val="000000" w:themeColor="text1"/>
          <w:szCs w:val="24"/>
        </w:rPr>
        <w:t xml:space="preserve"> </w:t>
      </w:r>
      <w:r w:rsidRPr="00675182">
        <w:rPr>
          <w:rStyle w:val="Emphasis"/>
          <w:rFonts w:cstheme="minorHAnsi"/>
          <w:bCs/>
          <w:color w:val="000000" w:themeColor="text1"/>
          <w:szCs w:val="24"/>
          <w:shd w:val="clear" w:color="auto" w:fill="FFFFFF"/>
        </w:rPr>
        <w:t>dabiskiem upju posmiem</w:t>
      </w:r>
      <w:r w:rsidRPr="00675182">
        <w:rPr>
          <w:rFonts w:cstheme="minorHAnsi"/>
          <w:i/>
          <w:iCs/>
          <w:color w:val="000000" w:themeColor="text1"/>
          <w:szCs w:val="24"/>
          <w:shd w:val="clear" w:color="auto" w:fill="FFFFFF"/>
        </w:rPr>
        <w:t>.</w:t>
      </w:r>
      <w:r w:rsidRPr="00675182">
        <w:rPr>
          <w:rFonts w:cstheme="minorHAnsi"/>
          <w:i/>
          <w:iCs/>
          <w:color w:val="000000" w:themeColor="text1"/>
          <w:szCs w:val="24"/>
        </w:rPr>
        <w:t xml:space="preserve"> </w:t>
      </w:r>
      <w:r w:rsidRPr="00675182">
        <w:rPr>
          <w:rFonts w:cstheme="minorHAnsi"/>
          <w:color w:val="000000" w:themeColor="text1"/>
          <w:szCs w:val="24"/>
        </w:rPr>
        <w:t xml:space="preserve">Šī </w:t>
      </w:r>
      <w:r w:rsidRPr="00675182">
        <w:rPr>
          <w:rFonts w:cstheme="minorHAnsi"/>
          <w:color w:val="000000" w:themeColor="text1"/>
          <w:szCs w:val="21"/>
          <w:shd w:val="clear" w:color="auto" w:fill="FFFFFF"/>
        </w:rPr>
        <w:t xml:space="preserve">biotopa labvēlīgā aizsardzības </w:t>
      </w:r>
      <w:r w:rsidRPr="00BF7348">
        <w:rPr>
          <w:rFonts w:cstheme="minorHAnsi"/>
          <w:i/>
          <w:iCs/>
          <w:color w:val="000000" w:themeColor="text1"/>
          <w:szCs w:val="21"/>
          <w:shd w:val="clear" w:color="auto" w:fill="FFFFFF"/>
        </w:rPr>
        <w:t>stāvokļa</w:t>
      </w:r>
      <w:r w:rsidRPr="00BF7348">
        <w:rPr>
          <w:rStyle w:val="Emphasis"/>
          <w:rFonts w:cstheme="minorHAnsi"/>
          <w:bCs/>
          <w:i w:val="0"/>
          <w:color w:val="000000" w:themeColor="text1"/>
          <w:szCs w:val="21"/>
          <w:shd w:val="clear" w:color="auto" w:fill="FFFFFF"/>
        </w:rPr>
        <w:t xml:space="preserve"> nodrošināšanai un sugu dzīvotnes saglabāšanai jānodrošina</w:t>
      </w:r>
      <w:r w:rsidRPr="00675182">
        <w:rPr>
          <w:rFonts w:cstheme="minorHAnsi"/>
          <w:i/>
          <w:iCs/>
          <w:szCs w:val="24"/>
        </w:rPr>
        <w:t xml:space="preserve"> </w:t>
      </w:r>
      <w:r w:rsidRPr="00675182">
        <w:rPr>
          <w:rFonts w:cstheme="minorHAnsi"/>
          <w:szCs w:val="24"/>
        </w:rPr>
        <w:t>vējlaužu rezultātā upēs iekritušu koku, kas ietekmē upes plūsmu, izņemšana. Vairākās upēs ir konstatētas bebru darbības pēdas, kas negatīvi ietekmē biotopa kvalitāti, tādējādi ar to ir jāveic bebru skaita samazināšana un to darbības rezultātā izveidoto aizsprostu nojaukšana.</w:t>
      </w:r>
    </w:p>
    <w:p w14:paraId="6EEB2478" w14:textId="77777777" w:rsidR="00E30B04" w:rsidRPr="00675182" w:rsidRDefault="00E30B04" w:rsidP="00E30B04">
      <w:pPr>
        <w:jc w:val="both"/>
        <w:rPr>
          <w:rFonts w:cstheme="minorHAnsi"/>
          <w:szCs w:val="24"/>
        </w:rPr>
      </w:pPr>
    </w:p>
    <w:p w14:paraId="4DE30F32" w14:textId="05FEF854" w:rsidR="00E30B04" w:rsidRPr="00675182" w:rsidRDefault="00A92BA0" w:rsidP="00E30B04">
      <w:pPr>
        <w:jc w:val="both"/>
        <w:rPr>
          <w:rFonts w:eastAsia="Times New Roman" w:cstheme="minorHAnsi"/>
          <w:szCs w:val="24"/>
          <w:lang w:eastAsia="lv-LV"/>
        </w:rPr>
      </w:pPr>
      <w:r>
        <w:rPr>
          <w:rFonts w:cstheme="minorHAnsi"/>
          <w:color w:val="000000" w:themeColor="text1"/>
          <w:szCs w:val="24"/>
        </w:rPr>
        <w:t>Biotopu direktīvas</w:t>
      </w:r>
      <w:r w:rsidR="00E30B04" w:rsidRPr="00675182">
        <w:rPr>
          <w:rFonts w:cstheme="minorHAnsi"/>
          <w:color w:val="000000" w:themeColor="text1"/>
          <w:szCs w:val="24"/>
        </w:rPr>
        <w:t xml:space="preserve"> ziņojumā </w:t>
      </w:r>
      <w:r w:rsidR="00E30B04" w:rsidRPr="00675182">
        <w:rPr>
          <w:rFonts w:cstheme="minorHAnsi"/>
          <w:szCs w:val="24"/>
        </w:rPr>
        <w:t xml:space="preserve">par 2013.–2018. gadu periodu norādīts, ka GNP sastopamajām </w:t>
      </w:r>
      <w:r w:rsidR="00E30B04" w:rsidRPr="00675182">
        <w:rPr>
          <w:rFonts w:cstheme="minorHAnsi"/>
          <w:i/>
          <w:szCs w:val="24"/>
        </w:rPr>
        <w:t>Vertigo</w:t>
      </w:r>
      <w:r w:rsidR="00E30B04" w:rsidRPr="00675182">
        <w:rPr>
          <w:rFonts w:cstheme="minorHAnsi"/>
          <w:szCs w:val="24"/>
        </w:rPr>
        <w:t xml:space="preserve"> sugām: </w:t>
      </w:r>
      <w:r w:rsidR="00E30B04" w:rsidRPr="00675182">
        <w:rPr>
          <w:rFonts w:cstheme="minorHAnsi"/>
          <w:color w:val="000000" w:themeColor="text1"/>
          <w:szCs w:val="24"/>
        </w:rPr>
        <w:t xml:space="preserve">slaidajam pumpurgliemezim </w:t>
      </w:r>
      <w:r w:rsidR="00E30B04" w:rsidRPr="00675182">
        <w:rPr>
          <w:rFonts w:cstheme="minorHAnsi"/>
          <w:i/>
          <w:iCs/>
          <w:color w:val="000000" w:themeColor="text1"/>
          <w:szCs w:val="24"/>
        </w:rPr>
        <w:t>V. angustior</w:t>
      </w:r>
      <w:r w:rsidR="00E30B04" w:rsidRPr="00675182">
        <w:rPr>
          <w:rFonts w:cstheme="minorHAnsi"/>
          <w:szCs w:val="24"/>
        </w:rPr>
        <w:t xml:space="preserve"> un četrzobu pumpurgliemezim </w:t>
      </w:r>
      <w:r w:rsidR="00E30B04" w:rsidRPr="00675182">
        <w:rPr>
          <w:rFonts w:cstheme="minorHAnsi"/>
          <w:i/>
          <w:iCs/>
          <w:szCs w:val="24"/>
        </w:rPr>
        <w:t>V. geyeri</w:t>
      </w:r>
      <w:r w:rsidR="00E30B04" w:rsidRPr="00675182">
        <w:rPr>
          <w:rFonts w:cstheme="minorHAnsi"/>
          <w:szCs w:val="24"/>
        </w:rPr>
        <w:t xml:space="preserve"> </w:t>
      </w:r>
      <w:r w:rsidR="00E30B04" w:rsidRPr="00675182">
        <w:rPr>
          <w:rFonts w:cstheme="minorHAnsi"/>
          <w:color w:val="000000" w:themeColor="text1"/>
          <w:szCs w:val="24"/>
        </w:rPr>
        <w:t xml:space="preserve">aizsardzības statuss valstī kopumā ir </w:t>
      </w:r>
      <w:r w:rsidR="00E30B04" w:rsidRPr="00675182">
        <w:rPr>
          <w:rFonts w:cstheme="minorHAnsi"/>
          <w:szCs w:val="24"/>
        </w:rPr>
        <w:t xml:space="preserve">slikts–neapmierinošs. Tāpēc </w:t>
      </w:r>
      <w:r w:rsidR="00E30B04" w:rsidRPr="00675182">
        <w:rPr>
          <w:rFonts w:cstheme="minorHAnsi"/>
        </w:rPr>
        <w:t xml:space="preserve">GNP ir nozīme </w:t>
      </w:r>
      <w:r w:rsidR="00E30B04" w:rsidRPr="00675182">
        <w:rPr>
          <w:rFonts w:cstheme="minorHAnsi"/>
          <w:i/>
        </w:rPr>
        <w:t>V. geyeri</w:t>
      </w:r>
      <w:r w:rsidR="00E30B04" w:rsidRPr="00675182">
        <w:rPr>
          <w:rFonts w:cstheme="minorHAnsi"/>
        </w:rPr>
        <w:t xml:space="preserve"> un </w:t>
      </w:r>
      <w:r w:rsidR="00E30B04" w:rsidRPr="00675182">
        <w:rPr>
          <w:rFonts w:cstheme="minorHAnsi"/>
          <w:i/>
        </w:rPr>
        <w:t>V. angustior</w:t>
      </w:r>
      <w:r w:rsidR="00E30B04" w:rsidRPr="00675182">
        <w:rPr>
          <w:rFonts w:cstheme="minorHAnsi"/>
        </w:rPr>
        <w:t xml:space="preserve"> aizsardzībā. Šo sugu izplatība un sastopamība ir jāturpina noskaidrot, jo datu trūkuma dēļ nevar objektīvi novērtēt pumpurgliemežu populāciju lielumus, stāvokli un ar sugu dzīvotnēm saistīto biotopu platības un to kvalitāti. </w:t>
      </w:r>
      <w:r w:rsidR="00E30B04" w:rsidRPr="00675182">
        <w:rPr>
          <w:rFonts w:cstheme="minorHAnsi"/>
          <w:szCs w:val="24"/>
        </w:rPr>
        <w:t>Ņemot vērā to, ka pumpurgliemežu sastopamība un izplatība ir skaidrojama, lai vēl vairāk nepasliktinātu kopējo sugu populāciju vērtējumu valstī, pirms uzsākt biotopa apsaimniekošanu sugām atbilstošā dzīvotnē, ja tā pirms tam nav veikta, katru vietu vispirms individuāli jāizvērtē un tikai tad jāpieņem lēmums par atbilstošu apsaimniekošanas režīmu, konsultējoties ar attiecīgās sugu grupas ekspertu.</w:t>
      </w:r>
      <w:bookmarkStart w:id="103" w:name="_Hlk116598058"/>
    </w:p>
    <w:bookmarkEnd w:id="103"/>
    <w:p w14:paraId="1ACAD7E5" w14:textId="77777777" w:rsidR="00E30B04" w:rsidRPr="00675182" w:rsidRDefault="00E30B04" w:rsidP="00E30B04">
      <w:pPr>
        <w:jc w:val="both"/>
        <w:rPr>
          <w:rFonts w:cstheme="minorHAnsi"/>
          <w:b/>
          <w:szCs w:val="24"/>
        </w:rPr>
      </w:pPr>
    </w:p>
    <w:p w14:paraId="72C920CA" w14:textId="77777777" w:rsidR="00E30B04" w:rsidRPr="00675182" w:rsidRDefault="00E30B04" w:rsidP="00E30B04">
      <w:pPr>
        <w:jc w:val="both"/>
        <w:rPr>
          <w:rFonts w:cstheme="minorHAnsi"/>
        </w:rPr>
        <w:sectPr w:rsidR="00E30B04" w:rsidRPr="00675182">
          <w:pgSz w:w="12240" w:h="15840"/>
          <w:pgMar w:top="1440" w:right="1440" w:bottom="1440" w:left="1440" w:header="720" w:footer="720" w:gutter="0"/>
          <w:cols w:space="720"/>
          <w:docGrid w:linePitch="360"/>
        </w:sectPr>
      </w:pPr>
      <w:r w:rsidRPr="00675182">
        <w:rPr>
          <w:rFonts w:cstheme="minorHAnsi"/>
        </w:rPr>
        <w:t xml:space="preserve">GNP teritorijā ir konstatētas vairākas dienas tauriņu sugas, kuru barošanās un arī attīstība ir saistīta ar zālāju biotopiem. Šo dzīvotņu labvēlīgā statusa nodrošināšanai ir jānovērš zālāju aizaugšanas procesi. Aizsargājamo tauriņu atradnēs, kur pašlaik nenotiek zālāju apsaimniekošana, tā ir jāieplāno. </w:t>
      </w:r>
      <w:bookmarkEnd w:id="100"/>
    </w:p>
    <w:p w14:paraId="5FD4DD92" w14:textId="2818AFDE" w:rsidR="00E30B04" w:rsidRPr="00675182" w:rsidRDefault="00E30B04" w:rsidP="00E30B04">
      <w:pPr>
        <w:rPr>
          <w:rFonts w:cstheme="minorHAnsi"/>
          <w:b/>
          <w:i/>
        </w:rPr>
      </w:pPr>
      <w:r w:rsidRPr="00675182">
        <w:rPr>
          <w:rFonts w:cstheme="minorHAnsi"/>
          <w:b/>
          <w:i/>
        </w:rPr>
        <w:lastRenderedPageBreak/>
        <w:t>2.4.8.</w:t>
      </w:r>
      <w:r w:rsidR="00926641">
        <w:rPr>
          <w:rFonts w:cstheme="minorHAnsi"/>
          <w:b/>
          <w:i/>
        </w:rPr>
        <w:t>A.</w:t>
      </w:r>
      <w:r w:rsidRPr="00675182">
        <w:rPr>
          <w:rFonts w:cstheme="minorHAnsi"/>
          <w:b/>
          <w:i/>
        </w:rPr>
        <w:t xml:space="preserve"> tabula. GNP konstatētās Eiropā aizsargājamās bezmugurkaulnieku sugas un to aizsardzības statuss</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796"/>
        <w:gridCol w:w="2314"/>
        <w:gridCol w:w="1467"/>
        <w:gridCol w:w="1440"/>
        <w:gridCol w:w="1374"/>
        <w:gridCol w:w="3965"/>
      </w:tblGrid>
      <w:tr w:rsidR="00E30B04" w:rsidRPr="00675182" w14:paraId="4917B603" w14:textId="77777777" w:rsidTr="003B7F6F">
        <w:trPr>
          <w:trHeight w:val="284"/>
          <w:tblHeader/>
        </w:trPr>
        <w:tc>
          <w:tcPr>
            <w:tcW w:w="494"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044504DB" w14:textId="77777777" w:rsidR="00E30B04" w:rsidRPr="00675182" w:rsidRDefault="00E30B04" w:rsidP="00666D08">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N.p.k.</w:t>
            </w:r>
          </w:p>
        </w:tc>
        <w:tc>
          <w:tcPr>
            <w:tcW w:w="655"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66D7FEBA" w14:textId="77777777" w:rsidR="00E30B04" w:rsidRPr="00675182" w:rsidRDefault="00E30B04" w:rsidP="00666D08">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latviski</w:t>
            </w:r>
          </w:p>
        </w:tc>
        <w:tc>
          <w:tcPr>
            <w:tcW w:w="844"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0754161E" w14:textId="77777777" w:rsidR="00E30B04" w:rsidRPr="00675182" w:rsidRDefault="00E30B04" w:rsidP="00666D08">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nosaukums latīniski</w:t>
            </w:r>
          </w:p>
        </w:tc>
        <w:tc>
          <w:tcPr>
            <w:tcW w:w="535"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3FE129A2" w14:textId="77777777" w:rsidR="00E30B04" w:rsidRPr="00675182" w:rsidRDefault="00E30B04" w:rsidP="00666D08">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Aizsardzības statuss</w:t>
            </w:r>
          </w:p>
        </w:tc>
        <w:tc>
          <w:tcPr>
            <w:tcW w:w="525"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3C06F030" w14:textId="77777777" w:rsidR="00E30B04" w:rsidRPr="00675182" w:rsidRDefault="00E30B04" w:rsidP="00666D08">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Cits statuss</w:t>
            </w:r>
          </w:p>
        </w:tc>
        <w:tc>
          <w:tcPr>
            <w:tcW w:w="501"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71392E16" w14:textId="77777777" w:rsidR="00E30B04" w:rsidRPr="00675182" w:rsidRDefault="00E30B04" w:rsidP="00666D08">
            <w:pPr>
              <w:jc w:val="center"/>
              <w:rPr>
                <w:rFonts w:eastAsia="Times New Roman" w:cstheme="minorHAnsi"/>
                <w:b/>
                <w:color w:val="000000"/>
                <w:sz w:val="22"/>
                <w:szCs w:val="22"/>
                <w:lang w:eastAsia="en-GB"/>
              </w:rPr>
            </w:pPr>
            <w:r w:rsidRPr="00675182">
              <w:rPr>
                <w:rFonts w:eastAsia="Times New Roman" w:cstheme="minorHAnsi"/>
                <w:b/>
                <w:color w:val="000000"/>
                <w:sz w:val="22"/>
                <w:szCs w:val="22"/>
                <w:lang w:eastAsia="en-GB"/>
              </w:rPr>
              <w:t>Sugas labvēlīga aizsardzības stāvokļa novērtējums Latvijā</w:t>
            </w:r>
          </w:p>
        </w:tc>
        <w:tc>
          <w:tcPr>
            <w:tcW w:w="1446"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39A9FB3A" w14:textId="77777777" w:rsidR="00E30B04" w:rsidRPr="00675182" w:rsidRDefault="00E30B04" w:rsidP="00666D08">
            <w:pPr>
              <w:jc w:val="center"/>
              <w:rPr>
                <w:rFonts w:cstheme="minorHAnsi"/>
                <w:b/>
                <w:color w:val="000000"/>
                <w:sz w:val="22"/>
                <w:szCs w:val="22"/>
              </w:rPr>
            </w:pPr>
            <w:r w:rsidRPr="00675182">
              <w:rPr>
                <w:rFonts w:cstheme="minorHAnsi"/>
                <w:b/>
                <w:color w:val="000000"/>
                <w:sz w:val="22"/>
                <w:szCs w:val="22"/>
              </w:rPr>
              <w:t>Sugas sastopamība GNP</w:t>
            </w:r>
          </w:p>
        </w:tc>
      </w:tr>
      <w:tr w:rsidR="00E30B04" w:rsidRPr="00675182" w14:paraId="7933EAB9"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2DAE780B"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19400781"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Ošu pļavraibenis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486C9A9B" w14:textId="77777777" w:rsidR="00E30B04" w:rsidRPr="00675182" w:rsidRDefault="00E30B04" w:rsidP="00666D08">
            <w:pPr>
              <w:rPr>
                <w:rFonts w:cstheme="minorHAnsi"/>
                <w:i/>
                <w:color w:val="000000"/>
                <w:sz w:val="20"/>
              </w:rPr>
            </w:pPr>
            <w:r w:rsidRPr="00675182">
              <w:rPr>
                <w:rFonts w:cstheme="minorHAnsi"/>
                <w:i/>
                <w:color w:val="000000"/>
                <w:sz w:val="20"/>
              </w:rPr>
              <w:t>Euphydryas maturna</w:t>
            </w:r>
          </w:p>
        </w:tc>
        <w:tc>
          <w:tcPr>
            <w:tcW w:w="535" w:type="pct"/>
            <w:tcBorders>
              <w:top w:val="single" w:sz="4" w:space="0" w:color="auto"/>
              <w:left w:val="single" w:sz="4" w:space="0" w:color="auto"/>
              <w:bottom w:val="single" w:sz="4" w:space="0" w:color="auto"/>
              <w:right w:val="single" w:sz="4" w:space="0" w:color="auto"/>
            </w:tcBorders>
            <w:vAlign w:val="center"/>
            <w:hideMark/>
          </w:tcPr>
          <w:p w14:paraId="097415BD"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w:t>
            </w:r>
          </w:p>
        </w:tc>
        <w:tc>
          <w:tcPr>
            <w:tcW w:w="525" w:type="pct"/>
            <w:tcBorders>
              <w:top w:val="single" w:sz="4" w:space="0" w:color="auto"/>
              <w:left w:val="single" w:sz="4" w:space="0" w:color="auto"/>
              <w:bottom w:val="single" w:sz="4" w:space="0" w:color="auto"/>
              <w:right w:val="single" w:sz="4" w:space="0" w:color="auto"/>
            </w:tcBorders>
            <w:vAlign w:val="center"/>
            <w:hideMark/>
          </w:tcPr>
          <w:p w14:paraId="45729694"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w:t>
            </w:r>
            <w:r w:rsidRPr="00675182">
              <w:rPr>
                <w:rFonts w:cstheme="minorHAnsi"/>
                <w:sz w:val="20"/>
              </w:rPr>
              <w:t>*</w:t>
            </w:r>
            <w:r w:rsidRPr="00675182">
              <w:rPr>
                <w:rFonts w:eastAsia="Times New Roman" w:cstheme="minorHAnsi"/>
                <w:color w:val="000000"/>
                <w:sz w:val="20"/>
                <w:lang w:eastAsia="en-GB"/>
              </w:rPr>
              <w:t xml:space="preserve"> (VU)</w:t>
            </w:r>
          </w:p>
        </w:tc>
        <w:tc>
          <w:tcPr>
            <w:tcW w:w="50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80777F7" w14:textId="77777777" w:rsidR="00E30B04" w:rsidRPr="00675182" w:rsidRDefault="00E30B04" w:rsidP="00666D08">
            <w:pPr>
              <w:rPr>
                <w:rFonts w:eastAsia="Times New Roman" w:cstheme="minorHAnsi"/>
                <w:bCs/>
                <w:color w:val="000000"/>
                <w:sz w:val="22"/>
                <w:szCs w:val="22"/>
                <w:lang w:eastAsia="en-GB"/>
              </w:rPr>
            </w:pPr>
            <w:r w:rsidRPr="00675182">
              <w:rPr>
                <w:rFonts w:eastAsia="Times New Roman" w:cstheme="minorHAnsi"/>
                <w:bCs/>
                <w:color w:val="000000"/>
                <w:sz w:val="22"/>
                <w:szCs w:val="22"/>
                <w:lang w:eastAsia="en-GB"/>
              </w:rPr>
              <w:t>FV</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1923485" w14:textId="77777777" w:rsidR="00E30B04" w:rsidRPr="00675182" w:rsidRDefault="00E30B04" w:rsidP="00666D08">
            <w:pPr>
              <w:spacing w:line="254" w:lineRule="auto"/>
              <w:rPr>
                <w:sz w:val="20"/>
              </w:rPr>
            </w:pPr>
            <w:r w:rsidRPr="00675182">
              <w:rPr>
                <w:sz w:val="20"/>
              </w:rPr>
              <w:t>FV</w:t>
            </w:r>
          </w:p>
          <w:p w14:paraId="50F59A79" w14:textId="77777777" w:rsidR="00E30B04" w:rsidRPr="00675182" w:rsidRDefault="00E30B04" w:rsidP="00666D08">
            <w:pPr>
              <w:rPr>
                <w:rFonts w:cstheme="minorHAnsi"/>
                <w:bCs/>
                <w:color w:val="000000"/>
                <w:sz w:val="22"/>
                <w:szCs w:val="22"/>
              </w:rPr>
            </w:pPr>
            <w:r w:rsidRPr="00675182">
              <w:rPr>
                <w:sz w:val="20"/>
              </w:rPr>
              <w:t xml:space="preserve">Teritorijā ir liels sugai piemēroto biotopu īpatsvars, iezīmēti 2 sugas sastopamības poligoni. Būtiski riski nav konstatēti. </w:t>
            </w:r>
          </w:p>
        </w:tc>
      </w:tr>
      <w:tr w:rsidR="00E30B04" w:rsidRPr="00675182" w14:paraId="3B4A7EB8"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57C0A215"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1416E89B" w14:textId="77777777" w:rsidR="00E30B04" w:rsidRPr="00675182" w:rsidRDefault="00E30B04" w:rsidP="00666D08">
            <w:pPr>
              <w:rPr>
                <w:rFonts w:eastAsia="Times New Roman" w:cstheme="minorHAnsi"/>
                <w:color w:val="000000"/>
                <w:sz w:val="20"/>
                <w:lang w:eastAsia="en-GB"/>
              </w:rPr>
            </w:pPr>
            <w:r w:rsidRPr="00675182">
              <w:rPr>
                <w:rFonts w:cstheme="minorHAnsi"/>
                <w:sz w:val="20"/>
              </w:rPr>
              <w:t>Skabiozu pļavraibenis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4DE64824" w14:textId="77777777" w:rsidR="00E30B04" w:rsidRPr="00675182" w:rsidRDefault="00E30B04" w:rsidP="00666D08">
            <w:pPr>
              <w:rPr>
                <w:rFonts w:cstheme="minorHAnsi"/>
                <w:i/>
                <w:color w:val="000000"/>
                <w:sz w:val="20"/>
              </w:rPr>
            </w:pPr>
            <w:r w:rsidRPr="00675182">
              <w:rPr>
                <w:rFonts w:cstheme="minorHAnsi"/>
                <w:i/>
                <w:color w:val="000000"/>
                <w:sz w:val="20"/>
              </w:rPr>
              <w:t>Euphydryas aurinia</w:t>
            </w:r>
          </w:p>
        </w:tc>
        <w:tc>
          <w:tcPr>
            <w:tcW w:w="535" w:type="pct"/>
            <w:tcBorders>
              <w:top w:val="single" w:sz="4" w:space="0" w:color="auto"/>
              <w:left w:val="single" w:sz="4" w:space="0" w:color="auto"/>
              <w:bottom w:val="single" w:sz="4" w:space="0" w:color="auto"/>
              <w:right w:val="single" w:sz="4" w:space="0" w:color="auto"/>
            </w:tcBorders>
            <w:vAlign w:val="center"/>
            <w:hideMark/>
          </w:tcPr>
          <w:p w14:paraId="166A7202" w14:textId="77777777" w:rsidR="00E30B04" w:rsidRPr="00675182" w:rsidRDefault="00E30B04" w:rsidP="00666D08">
            <w:pPr>
              <w:rPr>
                <w:rFonts w:cstheme="minorHAnsi"/>
                <w:sz w:val="20"/>
              </w:rPr>
            </w:pPr>
            <w:r w:rsidRPr="00675182">
              <w:rPr>
                <w:rFonts w:cstheme="minorHAnsi"/>
                <w:sz w:val="20"/>
              </w:rPr>
              <w:t>ES II, ĪAS 1</w:t>
            </w:r>
          </w:p>
        </w:tc>
        <w:tc>
          <w:tcPr>
            <w:tcW w:w="525" w:type="pct"/>
            <w:tcBorders>
              <w:top w:val="single" w:sz="4" w:space="0" w:color="auto"/>
              <w:left w:val="single" w:sz="4" w:space="0" w:color="auto"/>
              <w:bottom w:val="single" w:sz="4" w:space="0" w:color="auto"/>
              <w:right w:val="single" w:sz="4" w:space="0" w:color="auto"/>
            </w:tcBorders>
            <w:vAlign w:val="center"/>
            <w:hideMark/>
          </w:tcPr>
          <w:p w14:paraId="0CA483E8"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w:t>
            </w:r>
            <w:r w:rsidRPr="00675182">
              <w:rPr>
                <w:rFonts w:cstheme="minorHAnsi"/>
                <w:sz w:val="20"/>
              </w:rPr>
              <w:t>*</w:t>
            </w:r>
            <w:r w:rsidRPr="00675182">
              <w:rPr>
                <w:rFonts w:eastAsia="Times New Roman" w:cstheme="minorHAnsi"/>
                <w:color w:val="000000"/>
                <w:sz w:val="20"/>
                <w:lang w:eastAsia="en-GB"/>
              </w:rPr>
              <w:t xml:space="preserve"> (LC)</w:t>
            </w: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E651235" w14:textId="77777777" w:rsidR="00E30B04" w:rsidRPr="00675182" w:rsidRDefault="00E30B04" w:rsidP="00666D08">
            <w:pPr>
              <w:rPr>
                <w:rFonts w:eastAsia="Times New Roman" w:cstheme="minorHAnsi"/>
                <w:bCs/>
                <w:color w:val="000000"/>
                <w:sz w:val="22"/>
                <w:szCs w:val="22"/>
                <w:lang w:eastAsia="en-GB"/>
              </w:rPr>
            </w:pPr>
            <w:r w:rsidRPr="00675182">
              <w:rPr>
                <w:rFonts w:eastAsia="Times New Roman" w:cstheme="minorHAnsi"/>
                <w:bCs/>
                <w:color w:val="000000"/>
                <w:sz w:val="22"/>
                <w:szCs w:val="22"/>
                <w:lang w:eastAsia="en-GB"/>
              </w:rPr>
              <w:t>U1x</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26783434" w14:textId="77777777" w:rsidR="00E30B04" w:rsidRPr="00675182" w:rsidRDefault="00E30B04" w:rsidP="00666D08">
            <w:pPr>
              <w:spacing w:line="254" w:lineRule="auto"/>
              <w:rPr>
                <w:sz w:val="20"/>
              </w:rPr>
            </w:pPr>
            <w:r w:rsidRPr="00675182">
              <w:rPr>
                <w:sz w:val="20"/>
              </w:rPr>
              <w:t>U1</w:t>
            </w:r>
          </w:p>
          <w:p w14:paraId="6C77642A" w14:textId="77777777" w:rsidR="00E30B04" w:rsidRPr="00675182" w:rsidRDefault="00E30B04" w:rsidP="00666D08">
            <w:pPr>
              <w:rPr>
                <w:rFonts w:cstheme="minorHAnsi"/>
                <w:bCs/>
                <w:color w:val="000000"/>
                <w:sz w:val="22"/>
                <w:szCs w:val="22"/>
              </w:rPr>
            </w:pPr>
            <w:r w:rsidRPr="00675182">
              <w:rPr>
                <w:sz w:val="20"/>
              </w:rPr>
              <w:t>Populācijas izmērs novērtēts provizoriski, trūkst aktuālo datu. Piemērotas dzīvotnes fragmentētas.</w:t>
            </w:r>
          </w:p>
        </w:tc>
      </w:tr>
      <w:tr w:rsidR="00E30B04" w:rsidRPr="00675182" w14:paraId="4BEA08A7"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33EC1C35"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0402DC0C"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Spilgtā purvuspāre</w:t>
            </w:r>
          </w:p>
        </w:tc>
        <w:tc>
          <w:tcPr>
            <w:tcW w:w="844" w:type="pct"/>
            <w:tcBorders>
              <w:top w:val="single" w:sz="4" w:space="0" w:color="auto"/>
              <w:left w:val="single" w:sz="4" w:space="0" w:color="auto"/>
              <w:bottom w:val="single" w:sz="4" w:space="0" w:color="auto"/>
              <w:right w:val="single" w:sz="4" w:space="0" w:color="auto"/>
            </w:tcBorders>
            <w:vAlign w:val="center"/>
            <w:hideMark/>
          </w:tcPr>
          <w:p w14:paraId="7CC07413" w14:textId="77777777" w:rsidR="00E30B04" w:rsidRPr="00675182" w:rsidRDefault="00E30B04" w:rsidP="00666D08">
            <w:pPr>
              <w:rPr>
                <w:rFonts w:cstheme="minorHAnsi"/>
                <w:i/>
                <w:color w:val="000000"/>
                <w:sz w:val="20"/>
              </w:rPr>
            </w:pPr>
            <w:r w:rsidRPr="00675182">
              <w:rPr>
                <w:rFonts w:cstheme="minorHAnsi"/>
                <w:i/>
                <w:color w:val="000000"/>
                <w:sz w:val="20"/>
              </w:rPr>
              <w:t>Leucorrhinia pectoralis</w:t>
            </w:r>
          </w:p>
        </w:tc>
        <w:tc>
          <w:tcPr>
            <w:tcW w:w="535" w:type="pct"/>
            <w:tcBorders>
              <w:top w:val="single" w:sz="4" w:space="0" w:color="auto"/>
              <w:left w:val="single" w:sz="4" w:space="0" w:color="auto"/>
              <w:bottom w:val="single" w:sz="4" w:space="0" w:color="auto"/>
              <w:right w:val="single" w:sz="4" w:space="0" w:color="auto"/>
            </w:tcBorders>
            <w:vAlign w:val="center"/>
            <w:hideMark/>
          </w:tcPr>
          <w:p w14:paraId="7E31F42F"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w:t>
            </w:r>
          </w:p>
        </w:tc>
        <w:tc>
          <w:tcPr>
            <w:tcW w:w="525" w:type="pct"/>
            <w:tcBorders>
              <w:top w:val="single" w:sz="4" w:space="0" w:color="auto"/>
              <w:left w:val="single" w:sz="4" w:space="0" w:color="auto"/>
              <w:bottom w:val="single" w:sz="4" w:space="0" w:color="auto"/>
              <w:right w:val="single" w:sz="4" w:space="0" w:color="auto"/>
            </w:tcBorders>
            <w:vAlign w:val="center"/>
            <w:hideMark/>
          </w:tcPr>
          <w:p w14:paraId="5D71B5DE" w14:textId="77777777" w:rsidR="00E30B04" w:rsidRPr="00675182" w:rsidRDefault="00E30B04" w:rsidP="00666D08">
            <w:pPr>
              <w:spacing w:line="254" w:lineRule="auto"/>
              <w:rPr>
                <w:rFonts w:eastAsia="Times New Roman" w:cstheme="minorHAnsi"/>
                <w:color w:val="000000"/>
                <w:sz w:val="20"/>
                <w:lang w:eastAsia="en-GB"/>
              </w:rPr>
            </w:pPr>
            <w:r w:rsidRPr="00675182">
              <w:rPr>
                <w:rFonts w:eastAsia="Times New Roman" w:cstheme="minorHAnsi"/>
                <w:color w:val="000000"/>
                <w:sz w:val="20"/>
                <w:lang w:eastAsia="en-GB"/>
              </w:rPr>
              <w:t>IUCN</w:t>
            </w:r>
          </w:p>
          <w:p w14:paraId="6E5AFD28"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(LR)</w:t>
            </w:r>
          </w:p>
        </w:tc>
        <w:tc>
          <w:tcPr>
            <w:tcW w:w="50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3AEDCDF" w14:textId="77777777" w:rsidR="00E30B04" w:rsidRPr="00675182" w:rsidRDefault="00E30B04" w:rsidP="00666D08">
            <w:pPr>
              <w:rPr>
                <w:rFonts w:eastAsia="Times New Roman" w:cstheme="minorHAnsi"/>
                <w:bCs/>
                <w:color w:val="000000"/>
                <w:sz w:val="22"/>
                <w:szCs w:val="22"/>
                <w:lang w:eastAsia="en-GB"/>
              </w:rPr>
            </w:pPr>
            <w:r w:rsidRPr="00675182">
              <w:rPr>
                <w:rFonts w:eastAsia="Times New Roman" w:cstheme="minorHAnsi"/>
                <w:bCs/>
                <w:color w:val="000000"/>
                <w:sz w:val="22"/>
                <w:szCs w:val="22"/>
                <w:lang w:eastAsia="en-GB"/>
              </w:rPr>
              <w:t>FV</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65C1BDF" w14:textId="77777777" w:rsidR="00E30B04" w:rsidRPr="00675182" w:rsidRDefault="00E30B04" w:rsidP="00666D08">
            <w:pPr>
              <w:spacing w:line="254" w:lineRule="auto"/>
              <w:rPr>
                <w:sz w:val="20"/>
              </w:rPr>
            </w:pPr>
            <w:r w:rsidRPr="00675182">
              <w:rPr>
                <w:sz w:val="20"/>
              </w:rPr>
              <w:t>FV</w:t>
            </w:r>
          </w:p>
          <w:p w14:paraId="26A61115" w14:textId="77777777" w:rsidR="00E30B04" w:rsidRPr="00675182" w:rsidRDefault="00E30B04" w:rsidP="00666D08">
            <w:pPr>
              <w:rPr>
                <w:rFonts w:cstheme="minorHAnsi"/>
                <w:bCs/>
                <w:color w:val="000000"/>
                <w:sz w:val="22"/>
                <w:szCs w:val="22"/>
              </w:rPr>
            </w:pPr>
            <w:r w:rsidRPr="00675182">
              <w:rPr>
                <w:sz w:val="20"/>
              </w:rPr>
              <w:t>Sugas populāciju negatīvi ietekmējošie faktori nav reģistrēti.</w:t>
            </w:r>
          </w:p>
        </w:tc>
      </w:tr>
      <w:tr w:rsidR="00E30B04" w:rsidRPr="00675182" w14:paraId="1AB1237E"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6C5AC715"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7194575A"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Zirgskābeņu zilenītis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62E81918" w14:textId="77777777" w:rsidR="00E30B04" w:rsidRPr="00675182" w:rsidRDefault="00E30B04" w:rsidP="00666D08">
            <w:pPr>
              <w:rPr>
                <w:rFonts w:cstheme="minorHAnsi"/>
                <w:i/>
                <w:color w:val="000000"/>
                <w:sz w:val="20"/>
              </w:rPr>
            </w:pPr>
            <w:r w:rsidRPr="00675182">
              <w:rPr>
                <w:rFonts w:cstheme="minorHAnsi"/>
                <w:i/>
                <w:color w:val="000000"/>
                <w:sz w:val="20"/>
              </w:rPr>
              <w:t>Lycaena dispar</w:t>
            </w:r>
          </w:p>
        </w:tc>
        <w:tc>
          <w:tcPr>
            <w:tcW w:w="535" w:type="pct"/>
            <w:tcBorders>
              <w:top w:val="single" w:sz="4" w:space="0" w:color="auto"/>
              <w:left w:val="single" w:sz="4" w:space="0" w:color="auto"/>
              <w:bottom w:val="single" w:sz="4" w:space="0" w:color="auto"/>
              <w:right w:val="single" w:sz="4" w:space="0" w:color="auto"/>
            </w:tcBorders>
            <w:vAlign w:val="center"/>
            <w:hideMark/>
          </w:tcPr>
          <w:p w14:paraId="7D17A23B"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w:t>
            </w:r>
          </w:p>
        </w:tc>
        <w:tc>
          <w:tcPr>
            <w:tcW w:w="525" w:type="pct"/>
            <w:tcBorders>
              <w:top w:val="single" w:sz="4" w:space="0" w:color="auto"/>
              <w:left w:val="single" w:sz="4" w:space="0" w:color="auto"/>
              <w:bottom w:val="single" w:sz="4" w:space="0" w:color="auto"/>
              <w:right w:val="single" w:sz="4" w:space="0" w:color="auto"/>
            </w:tcBorders>
            <w:vAlign w:val="center"/>
            <w:hideMark/>
          </w:tcPr>
          <w:p w14:paraId="0EB79C96"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w:t>
            </w:r>
            <w:r w:rsidRPr="00675182">
              <w:rPr>
                <w:rFonts w:cstheme="minorHAnsi"/>
                <w:sz w:val="20"/>
              </w:rPr>
              <w:t>*</w:t>
            </w:r>
            <w:r w:rsidRPr="00675182">
              <w:rPr>
                <w:rFonts w:eastAsia="Times New Roman" w:cstheme="minorHAnsi"/>
                <w:color w:val="000000"/>
                <w:sz w:val="20"/>
                <w:lang w:eastAsia="en-GB"/>
              </w:rPr>
              <w:t xml:space="preserve"> (NT)</w:t>
            </w:r>
          </w:p>
        </w:tc>
        <w:tc>
          <w:tcPr>
            <w:tcW w:w="50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4FED061" w14:textId="77777777" w:rsidR="00E30B04" w:rsidRPr="00675182" w:rsidRDefault="00E30B04" w:rsidP="00666D08">
            <w:pPr>
              <w:rPr>
                <w:rFonts w:eastAsia="Times New Roman" w:cstheme="minorHAnsi"/>
                <w:bCs/>
                <w:color w:val="000000"/>
                <w:sz w:val="22"/>
                <w:szCs w:val="22"/>
                <w:lang w:eastAsia="en-GB"/>
              </w:rPr>
            </w:pPr>
            <w:r w:rsidRPr="00675182">
              <w:rPr>
                <w:rFonts w:eastAsia="Times New Roman" w:cstheme="minorHAnsi"/>
                <w:bCs/>
                <w:color w:val="000000"/>
                <w:sz w:val="22"/>
                <w:szCs w:val="22"/>
                <w:lang w:eastAsia="en-GB"/>
              </w:rPr>
              <w:t>FV</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E8CE152" w14:textId="77777777" w:rsidR="00E30B04" w:rsidRPr="00675182" w:rsidRDefault="00E30B04" w:rsidP="00666D08">
            <w:pPr>
              <w:spacing w:line="254" w:lineRule="auto"/>
              <w:rPr>
                <w:sz w:val="20"/>
              </w:rPr>
            </w:pPr>
            <w:r w:rsidRPr="00675182">
              <w:rPr>
                <w:sz w:val="20"/>
              </w:rPr>
              <w:t>FV</w:t>
            </w:r>
          </w:p>
          <w:p w14:paraId="6DACD696" w14:textId="77777777" w:rsidR="00E30B04" w:rsidRPr="00675182" w:rsidRDefault="00E30B04" w:rsidP="00666D08">
            <w:pPr>
              <w:rPr>
                <w:rFonts w:cstheme="minorHAnsi"/>
                <w:bCs/>
                <w:color w:val="000000"/>
                <w:sz w:val="22"/>
                <w:szCs w:val="22"/>
              </w:rPr>
            </w:pPr>
            <w:r w:rsidRPr="00675182">
              <w:rPr>
                <w:sz w:val="20"/>
              </w:rPr>
              <w:t>Populācija ir stabila un daudzskaitlīga. Nozīmīga sugai piemērotu dzīvotņu apsaimniekošana.</w:t>
            </w:r>
          </w:p>
        </w:tc>
      </w:tr>
      <w:tr w:rsidR="00E30B04" w:rsidRPr="00675182" w14:paraId="47E2CA65"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18AB5AF0"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00CC6B94"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Ziemeļu upespērlene</w:t>
            </w:r>
          </w:p>
        </w:tc>
        <w:tc>
          <w:tcPr>
            <w:tcW w:w="844" w:type="pct"/>
            <w:tcBorders>
              <w:top w:val="single" w:sz="4" w:space="0" w:color="auto"/>
              <w:left w:val="single" w:sz="4" w:space="0" w:color="auto"/>
              <w:bottom w:val="single" w:sz="4" w:space="0" w:color="auto"/>
              <w:right w:val="single" w:sz="4" w:space="0" w:color="auto"/>
            </w:tcBorders>
            <w:vAlign w:val="center"/>
            <w:hideMark/>
          </w:tcPr>
          <w:p w14:paraId="3D47BDB2" w14:textId="77777777" w:rsidR="00E30B04" w:rsidRPr="00675182" w:rsidRDefault="00E30B04" w:rsidP="00666D08">
            <w:pPr>
              <w:rPr>
                <w:rFonts w:cstheme="minorHAnsi"/>
                <w:i/>
                <w:color w:val="000000"/>
                <w:sz w:val="20"/>
              </w:rPr>
            </w:pPr>
            <w:r w:rsidRPr="00675182">
              <w:rPr>
                <w:rFonts w:cstheme="minorHAnsi"/>
                <w:i/>
                <w:color w:val="000000"/>
                <w:sz w:val="20"/>
              </w:rPr>
              <w:t>Margaritifera margaritifera</w:t>
            </w:r>
          </w:p>
        </w:tc>
        <w:tc>
          <w:tcPr>
            <w:tcW w:w="535" w:type="pct"/>
            <w:tcBorders>
              <w:top w:val="single" w:sz="4" w:space="0" w:color="auto"/>
              <w:left w:val="single" w:sz="4" w:space="0" w:color="auto"/>
              <w:bottom w:val="single" w:sz="4" w:space="0" w:color="auto"/>
              <w:right w:val="single" w:sz="4" w:space="0" w:color="auto"/>
            </w:tcBorders>
            <w:vAlign w:val="center"/>
            <w:hideMark/>
          </w:tcPr>
          <w:p w14:paraId="04452099"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 V,</w:t>
            </w:r>
            <w:r w:rsidRPr="00675182">
              <w:rPr>
                <w:rFonts w:eastAsia="Times New Roman" w:cstheme="minorHAnsi"/>
                <w:color w:val="000000"/>
                <w:sz w:val="20"/>
                <w:lang w:eastAsia="en-GB"/>
              </w:rPr>
              <w:t xml:space="preserve"> </w:t>
            </w:r>
            <w:r w:rsidRPr="00675182">
              <w:rPr>
                <w:rFonts w:cstheme="minorHAnsi"/>
                <w:sz w:val="20"/>
              </w:rPr>
              <w:t>ĪAS 1, MIK</w:t>
            </w:r>
            <w:r w:rsidRPr="00675182">
              <w:rPr>
                <w:rFonts w:eastAsia="Times New Roman" w:cstheme="minorHAnsi"/>
                <w:color w:val="000000"/>
                <w:sz w:val="20"/>
                <w:lang w:eastAsia="en-GB"/>
              </w:rPr>
              <w:t xml:space="preserve"> </w:t>
            </w:r>
          </w:p>
        </w:tc>
        <w:tc>
          <w:tcPr>
            <w:tcW w:w="525" w:type="pct"/>
            <w:tcBorders>
              <w:top w:val="single" w:sz="4" w:space="0" w:color="auto"/>
              <w:left w:val="single" w:sz="4" w:space="0" w:color="auto"/>
              <w:bottom w:val="single" w:sz="4" w:space="0" w:color="auto"/>
              <w:right w:val="single" w:sz="4" w:space="0" w:color="auto"/>
            </w:tcBorders>
            <w:vAlign w:val="center"/>
            <w:hideMark/>
          </w:tcPr>
          <w:p w14:paraId="6B003EBC"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 xml:space="preserve">IUCN (EN), SG I, </w:t>
            </w:r>
            <w:r w:rsidRPr="00675182">
              <w:rPr>
                <w:rFonts w:cstheme="minorHAnsi"/>
                <w:sz w:val="20"/>
              </w:rPr>
              <w:t>SG*</w:t>
            </w:r>
            <w:r w:rsidRPr="00675182">
              <w:rPr>
                <w:rFonts w:eastAsia="Times New Roman" w:cstheme="minorHAnsi"/>
                <w:color w:val="000000"/>
                <w:sz w:val="20"/>
                <w:lang w:eastAsia="en-GB"/>
              </w:rPr>
              <w:t xml:space="preserve"> </w:t>
            </w:r>
          </w:p>
        </w:tc>
        <w:tc>
          <w:tcPr>
            <w:tcW w:w="50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3739222" w14:textId="77777777" w:rsidR="00E30B04" w:rsidRPr="00675182" w:rsidRDefault="00E30B04" w:rsidP="00666D08">
            <w:pPr>
              <w:rPr>
                <w:rFonts w:eastAsia="Times New Roman" w:cstheme="minorHAnsi"/>
                <w:bCs/>
                <w:color w:val="000000"/>
                <w:sz w:val="22"/>
                <w:szCs w:val="22"/>
                <w:lang w:eastAsia="en-GB"/>
              </w:rPr>
            </w:pPr>
            <w:r w:rsidRPr="00675182">
              <w:t>U2-</w:t>
            </w:r>
          </w:p>
        </w:tc>
        <w:tc>
          <w:tcPr>
            <w:tcW w:w="1446"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3B9E21F" w14:textId="77777777" w:rsidR="00E30B04" w:rsidRPr="00675182" w:rsidRDefault="00E30B04" w:rsidP="00666D08">
            <w:pPr>
              <w:spacing w:line="254" w:lineRule="auto"/>
              <w:rPr>
                <w:rFonts w:eastAsia="Times New Roman"/>
                <w:color w:val="000000"/>
                <w:sz w:val="20"/>
                <w:lang w:eastAsia="en-GB"/>
              </w:rPr>
            </w:pPr>
            <w:r w:rsidRPr="00675182">
              <w:rPr>
                <w:rFonts w:eastAsia="Times New Roman"/>
                <w:color w:val="000000"/>
                <w:sz w:val="20"/>
                <w:lang w:eastAsia="en-GB"/>
              </w:rPr>
              <w:t>U2</w:t>
            </w:r>
          </w:p>
          <w:p w14:paraId="0D24627B" w14:textId="77777777" w:rsidR="00E30B04" w:rsidRPr="00675182" w:rsidRDefault="00E30B04" w:rsidP="00666D08">
            <w:pPr>
              <w:rPr>
                <w:rFonts w:cstheme="minorHAnsi"/>
                <w:bCs/>
                <w:color w:val="000000"/>
                <w:sz w:val="22"/>
                <w:szCs w:val="22"/>
              </w:rPr>
            </w:pPr>
            <w:r w:rsidRPr="00675182">
              <w:rPr>
                <w:sz w:val="20"/>
              </w:rPr>
              <w:t>Vienīgā aktuālā atradne ir Strīķupē. Populācijas lielumam tendence samazināties. Nepieciešami pasākumi populācijas atjaunošanai.</w:t>
            </w:r>
          </w:p>
        </w:tc>
      </w:tr>
      <w:tr w:rsidR="00E30B04" w:rsidRPr="00675182" w14:paraId="4877B8EA"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627B69FE"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339E254B" w14:textId="77777777" w:rsidR="00E30B04" w:rsidRPr="00675182" w:rsidRDefault="00E30B04" w:rsidP="00666D08">
            <w:pPr>
              <w:rPr>
                <w:rFonts w:cstheme="minorHAnsi"/>
                <w:sz w:val="20"/>
              </w:rPr>
            </w:pPr>
            <w:r w:rsidRPr="00675182">
              <w:rPr>
                <w:rFonts w:cstheme="minorHAnsi"/>
                <w:sz w:val="20"/>
              </w:rPr>
              <w:t>Biezā perlamutrene</w:t>
            </w:r>
          </w:p>
        </w:tc>
        <w:tc>
          <w:tcPr>
            <w:tcW w:w="844" w:type="pct"/>
            <w:tcBorders>
              <w:top w:val="single" w:sz="4" w:space="0" w:color="auto"/>
              <w:left w:val="single" w:sz="4" w:space="0" w:color="auto"/>
              <w:bottom w:val="single" w:sz="4" w:space="0" w:color="auto"/>
              <w:right w:val="single" w:sz="4" w:space="0" w:color="auto"/>
            </w:tcBorders>
            <w:vAlign w:val="center"/>
            <w:hideMark/>
          </w:tcPr>
          <w:p w14:paraId="550976ED" w14:textId="77777777" w:rsidR="00E30B04" w:rsidRPr="00675182" w:rsidRDefault="00E30B04" w:rsidP="00666D08">
            <w:pPr>
              <w:rPr>
                <w:rFonts w:cstheme="minorHAnsi"/>
                <w:i/>
                <w:sz w:val="20"/>
              </w:rPr>
            </w:pPr>
            <w:r w:rsidRPr="00675182">
              <w:rPr>
                <w:rFonts w:cstheme="minorHAnsi"/>
                <w:i/>
                <w:sz w:val="20"/>
              </w:rPr>
              <w:t>Unio crassus</w:t>
            </w:r>
          </w:p>
        </w:tc>
        <w:tc>
          <w:tcPr>
            <w:tcW w:w="535" w:type="pct"/>
            <w:tcBorders>
              <w:top w:val="single" w:sz="4" w:space="0" w:color="auto"/>
              <w:left w:val="single" w:sz="4" w:space="0" w:color="auto"/>
              <w:bottom w:val="single" w:sz="4" w:space="0" w:color="auto"/>
              <w:right w:val="single" w:sz="4" w:space="0" w:color="auto"/>
            </w:tcBorders>
            <w:vAlign w:val="center"/>
            <w:hideMark/>
          </w:tcPr>
          <w:p w14:paraId="67244347" w14:textId="77777777" w:rsidR="00E30B04" w:rsidRPr="00675182" w:rsidRDefault="00E30B04" w:rsidP="00666D08">
            <w:pPr>
              <w:rPr>
                <w:rFonts w:cstheme="minorHAnsi"/>
                <w:sz w:val="20"/>
              </w:rPr>
            </w:pPr>
            <w:r w:rsidRPr="00675182">
              <w:rPr>
                <w:rFonts w:cstheme="minorHAnsi"/>
                <w:sz w:val="20"/>
              </w:rPr>
              <w:t>ES II, IV,</w:t>
            </w:r>
            <w:r w:rsidRPr="00675182">
              <w:rPr>
                <w:rFonts w:eastAsia="Times New Roman" w:cstheme="minorHAnsi"/>
                <w:color w:val="000000"/>
                <w:sz w:val="20"/>
                <w:lang w:eastAsia="en-GB"/>
              </w:rPr>
              <w:t xml:space="preserve"> </w:t>
            </w:r>
            <w:r w:rsidRPr="00675182">
              <w:rPr>
                <w:rFonts w:cstheme="minorHAnsi"/>
                <w:sz w:val="20"/>
              </w:rPr>
              <w:t>ĪAS 1, MIK</w:t>
            </w:r>
          </w:p>
        </w:tc>
        <w:tc>
          <w:tcPr>
            <w:tcW w:w="525" w:type="pct"/>
            <w:tcBorders>
              <w:top w:val="single" w:sz="4" w:space="0" w:color="auto"/>
              <w:left w:val="single" w:sz="4" w:space="0" w:color="auto"/>
              <w:bottom w:val="single" w:sz="4" w:space="0" w:color="auto"/>
              <w:right w:val="single" w:sz="4" w:space="0" w:color="auto"/>
            </w:tcBorders>
            <w:vAlign w:val="center"/>
            <w:hideMark/>
          </w:tcPr>
          <w:p w14:paraId="7535EB2F"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 xml:space="preserve">IUCN (EN), SG I, </w:t>
            </w:r>
            <w:r w:rsidRPr="00675182">
              <w:rPr>
                <w:rFonts w:cstheme="minorHAnsi"/>
                <w:sz w:val="20"/>
              </w:rPr>
              <w:t>SG*</w:t>
            </w:r>
            <w:r w:rsidRPr="00675182">
              <w:rPr>
                <w:rFonts w:eastAsia="Times New Roman" w:cstheme="minorHAnsi"/>
                <w:color w:val="000000"/>
                <w:sz w:val="20"/>
                <w:lang w:eastAsia="en-GB"/>
              </w:rPr>
              <w:t xml:space="preserve"> </w:t>
            </w: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08C5599" w14:textId="77777777" w:rsidR="00E30B04" w:rsidRPr="00675182" w:rsidRDefault="00E30B04" w:rsidP="00666D08">
            <w:pPr>
              <w:rPr>
                <w:rFonts w:eastAsia="Times New Roman" w:cstheme="minorHAnsi"/>
                <w:bCs/>
                <w:color w:val="000000"/>
                <w:sz w:val="22"/>
                <w:szCs w:val="22"/>
                <w:lang w:eastAsia="en-GB"/>
              </w:rPr>
            </w:pPr>
            <w:r w:rsidRPr="00675182">
              <w:t>U1</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2BC9B3D" w14:textId="77777777" w:rsidR="00E30B04" w:rsidRPr="00675182" w:rsidRDefault="00E30B04" w:rsidP="00666D08">
            <w:pPr>
              <w:spacing w:line="254" w:lineRule="auto"/>
              <w:rPr>
                <w:sz w:val="20"/>
              </w:rPr>
            </w:pPr>
            <w:r w:rsidRPr="00675182">
              <w:rPr>
                <w:sz w:val="20"/>
              </w:rPr>
              <w:t>FV</w:t>
            </w:r>
          </w:p>
          <w:p w14:paraId="689C1FAA" w14:textId="77777777" w:rsidR="00E30B04" w:rsidRPr="00675182" w:rsidRDefault="00E30B04" w:rsidP="00666D08">
            <w:pPr>
              <w:rPr>
                <w:rFonts w:cstheme="minorHAnsi"/>
                <w:bCs/>
                <w:color w:val="000000"/>
                <w:sz w:val="22"/>
                <w:szCs w:val="22"/>
              </w:rPr>
            </w:pPr>
            <w:r w:rsidRPr="00675182">
              <w:rPr>
                <w:sz w:val="20"/>
              </w:rPr>
              <w:t>Gauja ir nozīmīga sugas dzīvotne, kur prognozējama nozīmīga populācija. Precīzāku datu iegūšanai nepieciešams veikt padziļinātu izpēti, piesaistot ūdenslīdējus, vai citas dziļu vietu pārbaudes tehnoloģijas.</w:t>
            </w:r>
          </w:p>
        </w:tc>
      </w:tr>
      <w:tr w:rsidR="00E30B04" w:rsidRPr="00675182" w14:paraId="38EEFF6B"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33FDC206"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290931EE"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Zaļā upjuspāre</w:t>
            </w:r>
          </w:p>
        </w:tc>
        <w:tc>
          <w:tcPr>
            <w:tcW w:w="844" w:type="pct"/>
            <w:tcBorders>
              <w:top w:val="single" w:sz="4" w:space="0" w:color="auto"/>
              <w:left w:val="single" w:sz="4" w:space="0" w:color="auto"/>
              <w:bottom w:val="single" w:sz="4" w:space="0" w:color="auto"/>
              <w:right w:val="single" w:sz="4" w:space="0" w:color="auto"/>
            </w:tcBorders>
            <w:vAlign w:val="center"/>
            <w:hideMark/>
          </w:tcPr>
          <w:p w14:paraId="60CD3174" w14:textId="77777777" w:rsidR="00E30B04" w:rsidRPr="00675182" w:rsidRDefault="00E30B04" w:rsidP="00666D08">
            <w:pPr>
              <w:rPr>
                <w:rFonts w:cstheme="minorHAnsi"/>
                <w:i/>
                <w:color w:val="000000"/>
                <w:sz w:val="20"/>
              </w:rPr>
            </w:pPr>
            <w:r w:rsidRPr="00675182">
              <w:rPr>
                <w:rFonts w:cstheme="minorHAnsi"/>
                <w:i/>
                <w:color w:val="000000"/>
                <w:sz w:val="20"/>
              </w:rPr>
              <w:t>Ophiogomphus cecilia</w:t>
            </w:r>
          </w:p>
        </w:tc>
        <w:tc>
          <w:tcPr>
            <w:tcW w:w="535" w:type="pct"/>
            <w:tcBorders>
              <w:top w:val="single" w:sz="4" w:space="0" w:color="auto"/>
              <w:left w:val="single" w:sz="4" w:space="0" w:color="auto"/>
              <w:bottom w:val="single" w:sz="4" w:space="0" w:color="auto"/>
              <w:right w:val="single" w:sz="4" w:space="0" w:color="auto"/>
            </w:tcBorders>
            <w:vAlign w:val="center"/>
            <w:hideMark/>
          </w:tcPr>
          <w:p w14:paraId="3AEF1F9C"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w:t>
            </w:r>
          </w:p>
        </w:tc>
        <w:tc>
          <w:tcPr>
            <w:tcW w:w="525" w:type="pct"/>
            <w:tcBorders>
              <w:top w:val="single" w:sz="4" w:space="0" w:color="auto"/>
              <w:left w:val="single" w:sz="4" w:space="0" w:color="auto"/>
              <w:bottom w:val="single" w:sz="4" w:space="0" w:color="auto"/>
              <w:right w:val="single" w:sz="4" w:space="0" w:color="auto"/>
            </w:tcBorders>
            <w:vAlign w:val="center"/>
            <w:hideMark/>
          </w:tcPr>
          <w:p w14:paraId="029C6FCE"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w:t>
            </w:r>
            <w:r w:rsidRPr="00675182">
              <w:rPr>
                <w:rFonts w:cstheme="minorHAnsi"/>
                <w:sz w:val="20"/>
              </w:rPr>
              <w:t>*</w:t>
            </w:r>
            <w:r w:rsidRPr="00675182">
              <w:rPr>
                <w:rFonts w:eastAsia="Times New Roman" w:cstheme="minorHAnsi"/>
                <w:color w:val="000000"/>
                <w:sz w:val="20"/>
                <w:lang w:eastAsia="en-GB"/>
              </w:rPr>
              <w:t xml:space="preserve"> (LC), SG III</w:t>
            </w: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4679D3EE" w14:textId="77777777" w:rsidR="00E30B04" w:rsidRPr="00675182" w:rsidRDefault="00E30B04" w:rsidP="00666D08">
            <w:pPr>
              <w:rPr>
                <w:rFonts w:eastAsia="Times New Roman" w:cstheme="minorHAnsi"/>
                <w:bCs/>
                <w:color w:val="000000"/>
                <w:sz w:val="22"/>
                <w:szCs w:val="22"/>
                <w:lang w:eastAsia="en-GB"/>
              </w:rPr>
            </w:pPr>
            <w:r w:rsidRPr="00675182">
              <w:t>U1</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AC41DBD" w14:textId="77777777" w:rsidR="00E30B04" w:rsidRPr="00675182" w:rsidRDefault="00E30B04" w:rsidP="00666D08">
            <w:pPr>
              <w:spacing w:line="254" w:lineRule="auto"/>
              <w:rPr>
                <w:bCs/>
                <w:sz w:val="20"/>
              </w:rPr>
            </w:pPr>
            <w:r w:rsidRPr="00675182">
              <w:rPr>
                <w:sz w:val="20"/>
              </w:rPr>
              <w:t>FV</w:t>
            </w:r>
          </w:p>
          <w:p w14:paraId="60B5C90E" w14:textId="77777777" w:rsidR="00E30B04" w:rsidRPr="00675182" w:rsidRDefault="00E30B04" w:rsidP="00666D08">
            <w:pPr>
              <w:rPr>
                <w:rFonts w:cstheme="minorHAnsi"/>
                <w:bCs/>
                <w:color w:val="000000"/>
                <w:sz w:val="22"/>
                <w:szCs w:val="22"/>
              </w:rPr>
            </w:pPr>
            <w:r w:rsidRPr="00675182">
              <w:rPr>
                <w:sz w:val="20"/>
              </w:rPr>
              <w:t>Teritorijā ir būtiska populācija,  stāvoklis stabils.</w:t>
            </w:r>
          </w:p>
        </w:tc>
      </w:tr>
      <w:tr w:rsidR="00E30B04" w:rsidRPr="00675182" w14:paraId="3DCCFAF1"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43C983D6"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24D38C06"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Lapkoku praulgrauzis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62AF8F81" w14:textId="77777777" w:rsidR="00E30B04" w:rsidRPr="00675182" w:rsidRDefault="00E30B04" w:rsidP="00666D08">
            <w:pPr>
              <w:rPr>
                <w:rFonts w:cstheme="minorHAnsi"/>
                <w:i/>
                <w:color w:val="000000"/>
                <w:sz w:val="20"/>
              </w:rPr>
            </w:pPr>
            <w:r w:rsidRPr="00675182">
              <w:rPr>
                <w:rFonts w:cstheme="minorHAnsi"/>
                <w:i/>
                <w:color w:val="000000"/>
                <w:sz w:val="20"/>
              </w:rPr>
              <w:t>Osmoderma barnabita</w:t>
            </w:r>
          </w:p>
        </w:tc>
        <w:tc>
          <w:tcPr>
            <w:tcW w:w="535" w:type="pct"/>
            <w:tcBorders>
              <w:top w:val="single" w:sz="4" w:space="0" w:color="auto"/>
              <w:left w:val="single" w:sz="4" w:space="0" w:color="auto"/>
              <w:bottom w:val="single" w:sz="4" w:space="0" w:color="auto"/>
              <w:right w:val="single" w:sz="4" w:space="0" w:color="auto"/>
            </w:tcBorders>
            <w:vAlign w:val="center"/>
            <w:hideMark/>
          </w:tcPr>
          <w:p w14:paraId="04213317"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 IV,</w:t>
            </w:r>
            <w:r w:rsidRPr="00675182">
              <w:rPr>
                <w:rFonts w:eastAsia="Times New Roman" w:cstheme="minorHAnsi"/>
                <w:color w:val="000000"/>
                <w:sz w:val="20"/>
                <w:lang w:eastAsia="en-GB"/>
              </w:rPr>
              <w:t xml:space="preserve"> </w:t>
            </w:r>
            <w:r w:rsidRPr="00675182">
              <w:rPr>
                <w:rFonts w:cstheme="minorHAnsi"/>
                <w:sz w:val="20"/>
              </w:rPr>
              <w:t>ĪAS 1, MIK</w:t>
            </w:r>
          </w:p>
        </w:tc>
        <w:tc>
          <w:tcPr>
            <w:tcW w:w="525" w:type="pct"/>
            <w:tcBorders>
              <w:top w:val="single" w:sz="4" w:space="0" w:color="auto"/>
              <w:left w:val="single" w:sz="4" w:space="0" w:color="auto"/>
              <w:bottom w:val="single" w:sz="4" w:space="0" w:color="auto"/>
              <w:right w:val="single" w:sz="4" w:space="0" w:color="auto"/>
            </w:tcBorders>
            <w:vAlign w:val="center"/>
            <w:hideMark/>
          </w:tcPr>
          <w:p w14:paraId="08B1AA10"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w:t>
            </w:r>
            <w:r w:rsidRPr="00675182">
              <w:rPr>
                <w:rFonts w:cstheme="minorHAnsi"/>
                <w:sz w:val="20"/>
              </w:rPr>
              <w:t>*</w:t>
            </w:r>
            <w:r w:rsidRPr="00675182">
              <w:rPr>
                <w:rFonts w:eastAsia="Times New Roman" w:cstheme="minorHAnsi"/>
                <w:color w:val="000000"/>
                <w:sz w:val="20"/>
                <w:lang w:eastAsia="en-GB"/>
              </w:rPr>
              <w:t xml:space="preserve"> (NT), SG I, MAB (BSS)</w:t>
            </w:r>
          </w:p>
        </w:tc>
        <w:tc>
          <w:tcPr>
            <w:tcW w:w="50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22D5DDD7" w14:textId="77777777" w:rsidR="00E30B04" w:rsidRPr="00675182" w:rsidRDefault="00E30B04" w:rsidP="00666D08">
            <w:pPr>
              <w:rPr>
                <w:rFonts w:eastAsia="Times New Roman" w:cstheme="minorHAnsi"/>
                <w:bCs/>
                <w:color w:val="000000"/>
                <w:sz w:val="22"/>
                <w:szCs w:val="22"/>
                <w:lang w:eastAsia="en-GB"/>
              </w:rPr>
            </w:pPr>
            <w:r w:rsidRPr="00675182">
              <w:rPr>
                <w:rFonts w:eastAsia="Times New Roman"/>
                <w:color w:val="000000"/>
                <w:sz w:val="20"/>
                <w:lang w:eastAsia="en-GB"/>
              </w:rPr>
              <w:t>U2</w:t>
            </w:r>
          </w:p>
        </w:tc>
        <w:tc>
          <w:tcPr>
            <w:tcW w:w="1446"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1AC3329" w14:textId="77777777" w:rsidR="00E30B04" w:rsidRPr="00675182" w:rsidRDefault="00E30B04" w:rsidP="00666D08">
            <w:pPr>
              <w:spacing w:line="254" w:lineRule="auto"/>
              <w:rPr>
                <w:rFonts w:eastAsia="Times New Roman"/>
                <w:color w:val="000000"/>
                <w:sz w:val="20"/>
                <w:lang w:eastAsia="en-GB"/>
              </w:rPr>
            </w:pPr>
            <w:r w:rsidRPr="00675182">
              <w:rPr>
                <w:rFonts w:eastAsia="Times New Roman"/>
                <w:color w:val="000000"/>
                <w:sz w:val="20"/>
                <w:lang w:eastAsia="en-GB"/>
              </w:rPr>
              <w:t>U2</w:t>
            </w:r>
          </w:p>
          <w:p w14:paraId="46336C42" w14:textId="77777777" w:rsidR="00E30B04" w:rsidRPr="00675182" w:rsidRDefault="00E30B04" w:rsidP="00666D08">
            <w:pPr>
              <w:rPr>
                <w:rFonts w:cstheme="minorHAnsi"/>
                <w:bCs/>
                <w:color w:val="000000"/>
                <w:sz w:val="22"/>
                <w:szCs w:val="22"/>
              </w:rPr>
            </w:pPr>
            <w:r w:rsidRPr="00675182">
              <w:rPr>
                <w:sz w:val="20"/>
              </w:rPr>
              <w:t>Atradnes lielākoties saistītas ar koku stādījumiem, problēmas rada mikrobiotopu ilgtspējība un populāciju izolācija.</w:t>
            </w:r>
          </w:p>
        </w:tc>
      </w:tr>
      <w:tr w:rsidR="00E30B04" w:rsidRPr="00675182" w14:paraId="7DA0B6F1"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7BC3CDA8"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21B5ABA1"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Mannerheima īsspārnis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5186143B" w14:textId="77777777" w:rsidR="00E30B04" w:rsidRPr="00675182" w:rsidRDefault="00E30B04" w:rsidP="00666D08">
            <w:pPr>
              <w:rPr>
                <w:rFonts w:cstheme="minorHAnsi"/>
                <w:i/>
                <w:color w:val="000000"/>
                <w:sz w:val="20"/>
              </w:rPr>
            </w:pPr>
            <w:r w:rsidRPr="00675182">
              <w:rPr>
                <w:rFonts w:cstheme="minorHAnsi"/>
                <w:i/>
                <w:color w:val="000000"/>
                <w:sz w:val="20"/>
              </w:rPr>
              <w:t>Oxyporus mannerheimii</w:t>
            </w:r>
          </w:p>
        </w:tc>
        <w:tc>
          <w:tcPr>
            <w:tcW w:w="535" w:type="pct"/>
            <w:tcBorders>
              <w:top w:val="single" w:sz="4" w:space="0" w:color="auto"/>
              <w:left w:val="single" w:sz="4" w:space="0" w:color="auto"/>
              <w:bottom w:val="single" w:sz="4" w:space="0" w:color="auto"/>
              <w:right w:val="single" w:sz="4" w:space="0" w:color="auto"/>
            </w:tcBorders>
            <w:vAlign w:val="center"/>
            <w:hideMark/>
          </w:tcPr>
          <w:p w14:paraId="1FC305FC"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 MIK</w:t>
            </w:r>
          </w:p>
        </w:tc>
        <w:tc>
          <w:tcPr>
            <w:tcW w:w="525" w:type="pct"/>
            <w:tcBorders>
              <w:top w:val="single" w:sz="4" w:space="0" w:color="auto"/>
              <w:left w:val="single" w:sz="4" w:space="0" w:color="auto"/>
              <w:bottom w:val="single" w:sz="4" w:space="0" w:color="auto"/>
              <w:right w:val="single" w:sz="4" w:space="0" w:color="auto"/>
            </w:tcBorders>
            <w:vAlign w:val="center"/>
          </w:tcPr>
          <w:p w14:paraId="17C95344" w14:textId="77777777" w:rsidR="00E30B04" w:rsidRPr="00675182" w:rsidRDefault="00E30B04" w:rsidP="00666D08">
            <w:pPr>
              <w:rPr>
                <w:rFonts w:eastAsia="Times New Roman" w:cstheme="minorHAnsi"/>
                <w:color w:val="000000"/>
                <w:sz w:val="20"/>
                <w:lang w:eastAsia="en-GB"/>
              </w:rPr>
            </w:pPr>
          </w:p>
        </w:tc>
        <w:tc>
          <w:tcPr>
            <w:tcW w:w="5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8C0C74" w14:textId="77777777" w:rsidR="00E30B04" w:rsidRPr="00675182" w:rsidRDefault="00E30B04" w:rsidP="00666D08">
            <w:pPr>
              <w:rPr>
                <w:rFonts w:eastAsia="Times New Roman" w:cstheme="minorHAnsi"/>
                <w:bCs/>
                <w:color w:val="000000"/>
                <w:sz w:val="22"/>
                <w:szCs w:val="22"/>
                <w:lang w:eastAsia="en-GB"/>
              </w:rPr>
            </w:pPr>
            <w:r w:rsidRPr="00675182">
              <w:rPr>
                <w:rFonts w:eastAsia="Times New Roman"/>
                <w:color w:val="000000"/>
                <w:sz w:val="20"/>
                <w:lang w:eastAsia="en-GB"/>
              </w:rPr>
              <w:t>XX</w:t>
            </w:r>
          </w:p>
        </w:tc>
        <w:tc>
          <w:tcPr>
            <w:tcW w:w="144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C69330" w14:textId="77777777" w:rsidR="00E30B04" w:rsidRPr="00675182" w:rsidRDefault="00E30B04" w:rsidP="00666D08">
            <w:pPr>
              <w:spacing w:line="254" w:lineRule="auto"/>
              <w:rPr>
                <w:sz w:val="20"/>
              </w:rPr>
            </w:pPr>
            <w:r w:rsidRPr="00675182">
              <w:rPr>
                <w:sz w:val="20"/>
              </w:rPr>
              <w:t>XX</w:t>
            </w:r>
          </w:p>
          <w:p w14:paraId="21095222" w14:textId="77777777" w:rsidR="00E30B04" w:rsidRPr="00675182" w:rsidRDefault="00E30B04" w:rsidP="00666D08">
            <w:pPr>
              <w:rPr>
                <w:rFonts w:cstheme="minorHAnsi"/>
                <w:bCs/>
                <w:color w:val="000000"/>
                <w:sz w:val="22"/>
                <w:szCs w:val="22"/>
              </w:rPr>
            </w:pPr>
            <w:r w:rsidRPr="00675182">
              <w:rPr>
                <w:sz w:val="20"/>
              </w:rPr>
              <w:t xml:space="preserve">Teritorijā zināmas 2 atradnes Piemērotie biotopi visā teritorijā. Trūkst datu par sugas ekoloģiju. </w:t>
            </w:r>
          </w:p>
        </w:tc>
      </w:tr>
      <w:tr w:rsidR="00E30B04" w:rsidRPr="00675182" w14:paraId="4B186753"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19973E87"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5A468800"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Svītrainais kapucķirmis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5EDC425D" w14:textId="77777777" w:rsidR="00E30B04" w:rsidRPr="00675182" w:rsidRDefault="00E30B04" w:rsidP="00666D08">
            <w:pPr>
              <w:rPr>
                <w:rFonts w:cstheme="minorHAnsi"/>
                <w:i/>
                <w:color w:val="000000"/>
                <w:sz w:val="20"/>
              </w:rPr>
            </w:pPr>
            <w:r w:rsidRPr="00675182">
              <w:rPr>
                <w:rFonts w:cstheme="minorHAnsi"/>
                <w:i/>
                <w:color w:val="000000"/>
                <w:sz w:val="20"/>
              </w:rPr>
              <w:t>Stephanopachys linearis</w:t>
            </w:r>
          </w:p>
        </w:tc>
        <w:tc>
          <w:tcPr>
            <w:tcW w:w="535" w:type="pct"/>
            <w:tcBorders>
              <w:top w:val="single" w:sz="4" w:space="0" w:color="auto"/>
              <w:left w:val="single" w:sz="4" w:space="0" w:color="auto"/>
              <w:bottom w:val="single" w:sz="4" w:space="0" w:color="auto"/>
              <w:right w:val="single" w:sz="4" w:space="0" w:color="auto"/>
            </w:tcBorders>
            <w:vAlign w:val="center"/>
            <w:hideMark/>
          </w:tcPr>
          <w:p w14:paraId="42EAC5DF"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w:t>
            </w:r>
          </w:p>
        </w:tc>
        <w:tc>
          <w:tcPr>
            <w:tcW w:w="525" w:type="pct"/>
            <w:tcBorders>
              <w:top w:val="single" w:sz="4" w:space="0" w:color="auto"/>
              <w:left w:val="single" w:sz="4" w:space="0" w:color="auto"/>
              <w:bottom w:val="single" w:sz="4" w:space="0" w:color="auto"/>
              <w:right w:val="single" w:sz="4" w:space="0" w:color="auto"/>
            </w:tcBorders>
            <w:vAlign w:val="center"/>
            <w:hideMark/>
          </w:tcPr>
          <w:p w14:paraId="43B5DEEB"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w:t>
            </w:r>
            <w:r w:rsidRPr="00675182">
              <w:rPr>
                <w:rFonts w:cstheme="minorHAnsi"/>
                <w:sz w:val="20"/>
              </w:rPr>
              <w:t>*</w:t>
            </w:r>
            <w:r w:rsidRPr="00675182">
              <w:rPr>
                <w:rFonts w:eastAsia="Times New Roman" w:cstheme="minorHAnsi"/>
                <w:color w:val="000000"/>
                <w:sz w:val="20"/>
                <w:lang w:eastAsia="en-GB"/>
              </w:rPr>
              <w:t xml:space="preserve"> (LC)</w:t>
            </w: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335AE38" w14:textId="77777777" w:rsidR="00E30B04" w:rsidRPr="00675182" w:rsidRDefault="00E30B04" w:rsidP="00666D08">
            <w:pPr>
              <w:rPr>
                <w:rFonts w:eastAsia="Times New Roman" w:cstheme="minorHAnsi"/>
                <w:bCs/>
                <w:color w:val="000000"/>
                <w:sz w:val="22"/>
                <w:szCs w:val="22"/>
                <w:lang w:eastAsia="en-GB"/>
              </w:rPr>
            </w:pPr>
            <w:r w:rsidRPr="00675182">
              <w:t>U1</w:t>
            </w:r>
          </w:p>
        </w:tc>
        <w:tc>
          <w:tcPr>
            <w:tcW w:w="144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6973CF" w14:textId="77777777" w:rsidR="00E30B04" w:rsidRPr="00675182" w:rsidRDefault="00E30B04" w:rsidP="00666D08">
            <w:pPr>
              <w:spacing w:line="254" w:lineRule="auto"/>
              <w:rPr>
                <w:bCs/>
                <w:sz w:val="20"/>
              </w:rPr>
            </w:pPr>
            <w:r w:rsidRPr="00675182">
              <w:rPr>
                <w:sz w:val="20"/>
              </w:rPr>
              <w:t>XX</w:t>
            </w:r>
          </w:p>
          <w:p w14:paraId="418CA165" w14:textId="77777777" w:rsidR="00E30B04" w:rsidRPr="00675182" w:rsidRDefault="00E30B04" w:rsidP="00666D08">
            <w:pPr>
              <w:rPr>
                <w:rFonts w:cstheme="minorHAnsi"/>
                <w:bCs/>
                <w:color w:val="000000"/>
                <w:sz w:val="22"/>
                <w:szCs w:val="22"/>
              </w:rPr>
            </w:pPr>
            <w:r w:rsidRPr="00675182">
              <w:rPr>
                <w:sz w:val="20"/>
              </w:rPr>
              <w:t>Aktuālie dati nav konstatēti. Sugas saglabāšanai nepieciešami dzīvotņu saglabāšanas/izveidošanas pasākumi.</w:t>
            </w:r>
          </w:p>
        </w:tc>
      </w:tr>
      <w:tr w:rsidR="00E30B04" w:rsidRPr="00675182" w14:paraId="058877B6"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0240A782"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0566DD3A"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Platā airvabole</w:t>
            </w:r>
          </w:p>
        </w:tc>
        <w:tc>
          <w:tcPr>
            <w:tcW w:w="844" w:type="pct"/>
            <w:tcBorders>
              <w:top w:val="single" w:sz="4" w:space="0" w:color="auto"/>
              <w:left w:val="single" w:sz="4" w:space="0" w:color="auto"/>
              <w:bottom w:val="single" w:sz="4" w:space="0" w:color="auto"/>
              <w:right w:val="single" w:sz="4" w:space="0" w:color="auto"/>
            </w:tcBorders>
            <w:vAlign w:val="center"/>
            <w:hideMark/>
          </w:tcPr>
          <w:p w14:paraId="5641B9FC" w14:textId="77777777" w:rsidR="00E30B04" w:rsidRPr="00675182" w:rsidRDefault="00E30B04" w:rsidP="00666D08">
            <w:pPr>
              <w:suppressAutoHyphens w:val="0"/>
              <w:rPr>
                <w:rFonts w:eastAsia="Times New Roman" w:cstheme="minorHAnsi"/>
                <w:i/>
                <w:color w:val="000000"/>
                <w:sz w:val="20"/>
                <w:lang w:eastAsia="en-GB"/>
              </w:rPr>
            </w:pPr>
            <w:r w:rsidRPr="00675182">
              <w:rPr>
                <w:rFonts w:cstheme="minorHAnsi"/>
                <w:i/>
                <w:color w:val="000000"/>
                <w:sz w:val="20"/>
              </w:rPr>
              <w:t>Dytiscus latissimus</w:t>
            </w:r>
          </w:p>
        </w:tc>
        <w:tc>
          <w:tcPr>
            <w:tcW w:w="535" w:type="pct"/>
            <w:tcBorders>
              <w:top w:val="single" w:sz="4" w:space="0" w:color="auto"/>
              <w:left w:val="single" w:sz="4" w:space="0" w:color="auto"/>
              <w:bottom w:val="single" w:sz="4" w:space="0" w:color="auto"/>
              <w:right w:val="single" w:sz="4" w:space="0" w:color="auto"/>
            </w:tcBorders>
            <w:vAlign w:val="center"/>
            <w:hideMark/>
          </w:tcPr>
          <w:p w14:paraId="3288E70F"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 MIK</w:t>
            </w:r>
          </w:p>
        </w:tc>
        <w:tc>
          <w:tcPr>
            <w:tcW w:w="525" w:type="pct"/>
            <w:tcBorders>
              <w:top w:val="single" w:sz="4" w:space="0" w:color="auto"/>
              <w:left w:val="single" w:sz="4" w:space="0" w:color="auto"/>
              <w:bottom w:val="single" w:sz="4" w:space="0" w:color="auto"/>
              <w:right w:val="single" w:sz="4" w:space="0" w:color="auto"/>
            </w:tcBorders>
            <w:vAlign w:val="center"/>
            <w:hideMark/>
          </w:tcPr>
          <w:p w14:paraId="4914F1EE"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w:t>
            </w:r>
            <w:r w:rsidRPr="00675182">
              <w:rPr>
                <w:rFonts w:cstheme="minorHAnsi"/>
                <w:sz w:val="20"/>
              </w:rPr>
              <w:t>*</w:t>
            </w:r>
            <w:r w:rsidRPr="00675182">
              <w:rPr>
                <w:rFonts w:eastAsia="Times New Roman" w:cstheme="minorHAnsi"/>
                <w:color w:val="000000"/>
                <w:sz w:val="20"/>
                <w:lang w:eastAsia="en-GB"/>
              </w:rPr>
              <w:t xml:space="preserve"> (VU), SG III</w:t>
            </w: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43921C3D" w14:textId="77777777" w:rsidR="00E30B04" w:rsidRPr="00675182" w:rsidRDefault="00E30B04" w:rsidP="00666D08">
            <w:pPr>
              <w:rPr>
                <w:rFonts w:eastAsia="Times New Roman" w:cstheme="minorHAnsi"/>
                <w:bCs/>
                <w:color w:val="000000"/>
                <w:sz w:val="22"/>
                <w:szCs w:val="22"/>
                <w:lang w:eastAsia="en-GB"/>
              </w:rPr>
            </w:pPr>
            <w:r w:rsidRPr="00675182">
              <w:t>U1</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575235C3" w14:textId="77777777" w:rsidR="00E30B04" w:rsidRPr="00675182" w:rsidRDefault="00E30B04" w:rsidP="00666D08">
            <w:pPr>
              <w:spacing w:line="254" w:lineRule="auto"/>
              <w:rPr>
                <w:sz w:val="20"/>
              </w:rPr>
            </w:pPr>
            <w:r w:rsidRPr="00675182">
              <w:rPr>
                <w:sz w:val="20"/>
              </w:rPr>
              <w:t>U1</w:t>
            </w:r>
          </w:p>
          <w:p w14:paraId="07E55F5F" w14:textId="77777777" w:rsidR="00E30B04" w:rsidRPr="00675182" w:rsidRDefault="00E30B04" w:rsidP="00666D08">
            <w:pPr>
              <w:rPr>
                <w:rFonts w:cstheme="minorHAnsi"/>
                <w:bCs/>
                <w:color w:val="000000"/>
                <w:sz w:val="22"/>
                <w:szCs w:val="22"/>
              </w:rPr>
            </w:pPr>
            <w:r w:rsidRPr="00675182">
              <w:rPr>
                <w:sz w:val="20"/>
              </w:rPr>
              <w:t xml:space="preserve">Dzīvotņu kvalitāte laba. Pamatā dzīvotnes izolētas, īpatņu migrācija maz ticama. </w:t>
            </w:r>
          </w:p>
        </w:tc>
      </w:tr>
      <w:tr w:rsidR="003B7F6F" w:rsidRPr="00675182" w14:paraId="6A9A4762"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5B17E235" w14:textId="77777777" w:rsidR="003B7F6F" w:rsidRPr="00675182" w:rsidRDefault="003B7F6F" w:rsidP="003B7F6F">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tcPr>
          <w:p w14:paraId="3BB16EBE" w14:textId="77777777" w:rsidR="003B7F6F" w:rsidRPr="005F32C8" w:rsidRDefault="003B7F6F" w:rsidP="003B7F6F">
            <w:pPr>
              <w:rPr>
                <w:rFonts w:eastAsia="Times New Roman"/>
                <w:color w:val="000000"/>
                <w:sz w:val="20"/>
                <w:lang w:eastAsia="en-GB"/>
              </w:rPr>
            </w:pPr>
            <w:r w:rsidRPr="005F32C8">
              <w:rPr>
                <w:rFonts w:eastAsia="Times New Roman"/>
                <w:color w:val="000000"/>
                <w:sz w:val="20"/>
                <w:lang w:eastAsia="en-GB"/>
              </w:rPr>
              <w:t>Šneidera mizmīlis</w:t>
            </w:r>
          </w:p>
          <w:p w14:paraId="3E4DFF3E" w14:textId="04A237A5" w:rsidR="003B7F6F" w:rsidRPr="00675182" w:rsidRDefault="003B7F6F" w:rsidP="003B7F6F">
            <w:pPr>
              <w:rPr>
                <w:rFonts w:eastAsia="Times New Roman" w:cstheme="minorHAnsi"/>
                <w:iCs/>
                <w:color w:val="000000"/>
                <w:sz w:val="20"/>
              </w:rPr>
            </w:pPr>
          </w:p>
        </w:tc>
        <w:tc>
          <w:tcPr>
            <w:tcW w:w="844" w:type="pct"/>
            <w:tcBorders>
              <w:top w:val="single" w:sz="4" w:space="0" w:color="auto"/>
              <w:left w:val="single" w:sz="4" w:space="0" w:color="auto"/>
              <w:bottom w:val="single" w:sz="4" w:space="0" w:color="auto"/>
              <w:right w:val="single" w:sz="4" w:space="0" w:color="auto"/>
            </w:tcBorders>
            <w:vAlign w:val="center"/>
          </w:tcPr>
          <w:p w14:paraId="5145CE41" w14:textId="5E3D56E2" w:rsidR="003B7F6F" w:rsidRPr="00675182" w:rsidRDefault="003B7F6F" w:rsidP="003B7F6F">
            <w:pPr>
              <w:suppressAutoHyphens w:val="0"/>
              <w:rPr>
                <w:rFonts w:eastAsia="Times New Roman" w:cstheme="minorHAnsi"/>
                <w:i/>
                <w:iCs/>
                <w:color w:val="000000"/>
                <w:sz w:val="20"/>
              </w:rPr>
            </w:pPr>
            <w:r w:rsidRPr="005F32C8">
              <w:rPr>
                <w:i/>
                <w:color w:val="000000"/>
                <w:sz w:val="20"/>
              </w:rPr>
              <w:t>Boros schneideri</w:t>
            </w:r>
          </w:p>
        </w:tc>
        <w:tc>
          <w:tcPr>
            <w:tcW w:w="535" w:type="pct"/>
            <w:tcBorders>
              <w:top w:val="single" w:sz="4" w:space="0" w:color="auto"/>
              <w:left w:val="single" w:sz="4" w:space="0" w:color="auto"/>
              <w:bottom w:val="single" w:sz="4" w:space="0" w:color="auto"/>
              <w:right w:val="single" w:sz="4" w:space="0" w:color="auto"/>
            </w:tcBorders>
            <w:vAlign w:val="center"/>
          </w:tcPr>
          <w:p w14:paraId="7E06808E" w14:textId="2574E048" w:rsidR="003B7F6F" w:rsidRPr="003B7F6F" w:rsidRDefault="003B7F6F" w:rsidP="003B7F6F">
            <w:pPr>
              <w:rPr>
                <w:rFonts w:cstheme="minorHAnsi"/>
                <w:sz w:val="20"/>
              </w:rPr>
            </w:pPr>
            <w:r w:rsidRPr="003B7F6F">
              <w:rPr>
                <w:rFonts w:cstheme="minorHAnsi"/>
                <w:sz w:val="20"/>
              </w:rPr>
              <w:t>ES II,</w:t>
            </w:r>
            <w:r w:rsidRPr="003B7F6F">
              <w:rPr>
                <w:rFonts w:eastAsia="Times New Roman" w:cstheme="minorHAnsi"/>
                <w:color w:val="000000"/>
                <w:sz w:val="20"/>
                <w:lang w:eastAsia="en-GB"/>
              </w:rPr>
              <w:t xml:space="preserve"> </w:t>
            </w:r>
            <w:r w:rsidRPr="003B7F6F">
              <w:rPr>
                <w:rFonts w:cstheme="minorHAnsi"/>
                <w:sz w:val="20"/>
              </w:rPr>
              <w:t>ĪAS 1</w:t>
            </w:r>
          </w:p>
        </w:tc>
        <w:tc>
          <w:tcPr>
            <w:tcW w:w="525" w:type="pct"/>
            <w:tcBorders>
              <w:top w:val="single" w:sz="4" w:space="0" w:color="auto"/>
              <w:left w:val="single" w:sz="4" w:space="0" w:color="auto"/>
              <w:bottom w:val="single" w:sz="4" w:space="0" w:color="auto"/>
              <w:right w:val="single" w:sz="4" w:space="0" w:color="auto"/>
            </w:tcBorders>
            <w:vAlign w:val="center"/>
          </w:tcPr>
          <w:p w14:paraId="5A7ECBD5" w14:textId="0FCCFFBA" w:rsidR="003B7F6F" w:rsidRPr="003B7F6F" w:rsidRDefault="003B7F6F" w:rsidP="003B7F6F">
            <w:pPr>
              <w:rPr>
                <w:rFonts w:eastAsia="Times New Roman" w:cstheme="minorHAnsi"/>
                <w:color w:val="000000"/>
                <w:sz w:val="20"/>
                <w:lang w:eastAsia="en-GB"/>
              </w:rPr>
            </w:pPr>
            <w:r w:rsidRPr="003B7F6F">
              <w:rPr>
                <w:rFonts w:cstheme="minorHAnsi"/>
                <w:sz w:val="20"/>
              </w:rPr>
              <w:t>MAB (BSS)</w:t>
            </w: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tcPr>
          <w:p w14:paraId="467B46AE" w14:textId="77777777" w:rsidR="003B7F6F" w:rsidRPr="003B7F6F" w:rsidRDefault="003B7F6F" w:rsidP="003B7F6F">
            <w:pPr>
              <w:rPr>
                <w:rFonts w:cstheme="minorHAnsi"/>
                <w:sz w:val="20"/>
              </w:rPr>
            </w:pPr>
            <w:r w:rsidRPr="003B7F6F">
              <w:rPr>
                <w:rFonts w:cstheme="minorHAnsi"/>
                <w:sz w:val="20"/>
              </w:rPr>
              <w:t>U1</w:t>
            </w:r>
          </w:p>
          <w:p w14:paraId="4D5E9B25" w14:textId="77777777" w:rsidR="003B7F6F" w:rsidRPr="003B7F6F" w:rsidRDefault="003B7F6F" w:rsidP="003B7F6F">
            <w:pPr>
              <w:rPr>
                <w:rFonts w:cstheme="minorHAnsi"/>
                <w:sz w:val="20"/>
              </w:rPr>
            </w:pP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tcPr>
          <w:p w14:paraId="02535F53" w14:textId="77777777" w:rsidR="003B7F6F" w:rsidRPr="003B7F6F" w:rsidRDefault="003B7F6F" w:rsidP="003B7F6F">
            <w:pPr>
              <w:spacing w:line="254" w:lineRule="auto"/>
              <w:rPr>
                <w:rFonts w:cstheme="minorHAnsi"/>
                <w:sz w:val="20"/>
              </w:rPr>
            </w:pPr>
            <w:r w:rsidRPr="003B7F6F">
              <w:rPr>
                <w:rFonts w:cstheme="minorHAnsi"/>
                <w:sz w:val="20"/>
              </w:rPr>
              <w:t xml:space="preserve">FV </w:t>
            </w:r>
          </w:p>
          <w:p w14:paraId="4172C271" w14:textId="537CAC06" w:rsidR="003B7F6F" w:rsidRPr="003B7F6F" w:rsidRDefault="003B7F6F" w:rsidP="003B7F6F">
            <w:pPr>
              <w:spacing w:line="254" w:lineRule="auto"/>
              <w:rPr>
                <w:rFonts w:cstheme="minorHAnsi"/>
                <w:sz w:val="20"/>
              </w:rPr>
            </w:pPr>
            <w:r w:rsidRPr="003B7F6F">
              <w:rPr>
                <w:rFonts w:cstheme="minorHAnsi"/>
                <w:sz w:val="20"/>
              </w:rPr>
              <w:t>Teritorijas rietumu daļā, piemērotos biotopos bieži sastopama.</w:t>
            </w:r>
          </w:p>
        </w:tc>
      </w:tr>
      <w:tr w:rsidR="00E30B04" w:rsidRPr="00675182" w14:paraId="49FCB2E6"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5F653D6F"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49F2ADA1" w14:textId="77777777" w:rsidR="00E30B04" w:rsidRPr="00675182" w:rsidRDefault="00E30B04" w:rsidP="00666D08">
            <w:pPr>
              <w:rPr>
                <w:rFonts w:eastAsia="Times New Roman" w:cstheme="minorHAnsi"/>
                <w:iCs/>
                <w:color w:val="000000"/>
                <w:sz w:val="20"/>
              </w:rPr>
            </w:pPr>
            <w:r w:rsidRPr="00675182">
              <w:rPr>
                <w:rFonts w:eastAsia="Times New Roman" w:cstheme="minorHAnsi"/>
                <w:iCs/>
                <w:color w:val="000000"/>
                <w:sz w:val="20"/>
              </w:rPr>
              <w:t>Divjoslu airvabole</w:t>
            </w:r>
          </w:p>
        </w:tc>
        <w:tc>
          <w:tcPr>
            <w:tcW w:w="844" w:type="pct"/>
            <w:tcBorders>
              <w:top w:val="single" w:sz="4" w:space="0" w:color="auto"/>
              <w:left w:val="single" w:sz="4" w:space="0" w:color="auto"/>
              <w:bottom w:val="single" w:sz="4" w:space="0" w:color="auto"/>
              <w:right w:val="single" w:sz="4" w:space="0" w:color="auto"/>
            </w:tcBorders>
            <w:vAlign w:val="center"/>
            <w:hideMark/>
          </w:tcPr>
          <w:p w14:paraId="7DFBDF50" w14:textId="77777777" w:rsidR="00E30B04" w:rsidRPr="00675182" w:rsidRDefault="00E30B04" w:rsidP="00666D08">
            <w:pPr>
              <w:suppressAutoHyphens w:val="0"/>
              <w:rPr>
                <w:rFonts w:cstheme="minorHAnsi"/>
                <w:i/>
                <w:color w:val="000000"/>
                <w:sz w:val="20"/>
              </w:rPr>
            </w:pPr>
            <w:r w:rsidRPr="00675182">
              <w:rPr>
                <w:rFonts w:eastAsia="Times New Roman" w:cstheme="minorHAnsi"/>
                <w:i/>
                <w:iCs/>
                <w:color w:val="000000"/>
                <w:sz w:val="20"/>
              </w:rPr>
              <w:t>Graphoderus bilineatus</w:t>
            </w:r>
          </w:p>
        </w:tc>
        <w:tc>
          <w:tcPr>
            <w:tcW w:w="535" w:type="pct"/>
            <w:tcBorders>
              <w:top w:val="single" w:sz="4" w:space="0" w:color="auto"/>
              <w:left w:val="single" w:sz="4" w:space="0" w:color="auto"/>
              <w:bottom w:val="single" w:sz="4" w:space="0" w:color="auto"/>
              <w:right w:val="single" w:sz="4" w:space="0" w:color="auto"/>
            </w:tcBorders>
            <w:vAlign w:val="center"/>
            <w:hideMark/>
          </w:tcPr>
          <w:p w14:paraId="42B2FA7F" w14:textId="77777777" w:rsidR="00E30B04" w:rsidRPr="00675182" w:rsidRDefault="00E30B04" w:rsidP="00666D08">
            <w:pPr>
              <w:rPr>
                <w:rFonts w:cstheme="minorHAnsi"/>
                <w:sz w:val="20"/>
              </w:rPr>
            </w:pPr>
            <w:r w:rsidRPr="00675182">
              <w:rPr>
                <w:rFonts w:cstheme="minorHAnsi"/>
                <w:sz w:val="20"/>
              </w:rPr>
              <w:t>ES II, ĪAS 1, MIK</w:t>
            </w:r>
          </w:p>
        </w:tc>
        <w:tc>
          <w:tcPr>
            <w:tcW w:w="525" w:type="pct"/>
            <w:tcBorders>
              <w:top w:val="single" w:sz="4" w:space="0" w:color="auto"/>
              <w:left w:val="single" w:sz="4" w:space="0" w:color="auto"/>
              <w:bottom w:val="single" w:sz="4" w:space="0" w:color="auto"/>
              <w:right w:val="single" w:sz="4" w:space="0" w:color="auto"/>
            </w:tcBorders>
            <w:vAlign w:val="center"/>
            <w:hideMark/>
          </w:tcPr>
          <w:p w14:paraId="6740AC7B"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 (VU)</w:t>
            </w: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725DC6D" w14:textId="77777777" w:rsidR="00E30B04" w:rsidRPr="00675182" w:rsidRDefault="00E30B04" w:rsidP="00666D08">
            <w:pPr>
              <w:rPr>
                <w:rFonts w:eastAsia="Times New Roman" w:cstheme="minorHAnsi"/>
                <w:bCs/>
                <w:color w:val="000000"/>
                <w:sz w:val="22"/>
                <w:szCs w:val="22"/>
                <w:lang w:eastAsia="en-GB"/>
              </w:rPr>
            </w:pPr>
            <w:r w:rsidRPr="00675182">
              <w:t>U1</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42861119" w14:textId="77777777" w:rsidR="00E30B04" w:rsidRPr="00675182" w:rsidRDefault="00E30B04" w:rsidP="00666D08">
            <w:pPr>
              <w:spacing w:line="254" w:lineRule="auto"/>
              <w:rPr>
                <w:sz w:val="20"/>
              </w:rPr>
            </w:pPr>
            <w:r w:rsidRPr="00675182">
              <w:rPr>
                <w:sz w:val="20"/>
              </w:rPr>
              <w:t>U1</w:t>
            </w:r>
          </w:p>
          <w:p w14:paraId="2C4ABB35" w14:textId="77777777" w:rsidR="00E30B04" w:rsidRPr="00675182" w:rsidRDefault="00E30B04" w:rsidP="00666D08">
            <w:pPr>
              <w:rPr>
                <w:rFonts w:cstheme="minorHAnsi"/>
                <w:bCs/>
                <w:color w:val="000000"/>
                <w:sz w:val="22"/>
                <w:szCs w:val="22"/>
              </w:rPr>
            </w:pPr>
            <w:r w:rsidRPr="00675182">
              <w:rPr>
                <w:sz w:val="20"/>
              </w:rPr>
              <w:t>Dzīvotņu kvalitāte laba. Pamatā dzīvotnes izolētas, īpatņu migrācija maz ticama.</w:t>
            </w:r>
          </w:p>
        </w:tc>
      </w:tr>
      <w:tr w:rsidR="00E30B04" w:rsidRPr="00675182" w14:paraId="33CBEAC9"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1B79B627"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274DB51C" w14:textId="77777777" w:rsidR="00E30B04" w:rsidRPr="00675182" w:rsidRDefault="00E30B04" w:rsidP="00666D08">
            <w:pPr>
              <w:rPr>
                <w:rFonts w:eastAsia="Times New Roman" w:cstheme="minorHAnsi"/>
                <w:color w:val="000000"/>
                <w:sz w:val="20"/>
                <w:lang w:eastAsia="en-GB"/>
              </w:rPr>
            </w:pPr>
            <w:r w:rsidRPr="00675182">
              <w:rPr>
                <w:rFonts w:cstheme="minorHAnsi"/>
                <w:sz w:val="20"/>
              </w:rPr>
              <w:t>Sarkanais plakanis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6B29BCD3" w14:textId="77777777" w:rsidR="00E30B04" w:rsidRPr="00675182" w:rsidRDefault="00E30B04" w:rsidP="00666D08">
            <w:pPr>
              <w:rPr>
                <w:rFonts w:cstheme="minorHAnsi"/>
                <w:sz w:val="20"/>
              </w:rPr>
            </w:pPr>
            <w:r w:rsidRPr="00675182">
              <w:rPr>
                <w:rFonts w:cstheme="minorHAnsi"/>
                <w:i/>
                <w:sz w:val="20"/>
              </w:rPr>
              <w:t>Cucujus cinnaberinus</w:t>
            </w:r>
          </w:p>
        </w:tc>
        <w:tc>
          <w:tcPr>
            <w:tcW w:w="535" w:type="pct"/>
            <w:tcBorders>
              <w:top w:val="single" w:sz="4" w:space="0" w:color="auto"/>
              <w:left w:val="single" w:sz="4" w:space="0" w:color="auto"/>
              <w:bottom w:val="single" w:sz="4" w:space="0" w:color="auto"/>
              <w:right w:val="single" w:sz="4" w:space="0" w:color="auto"/>
            </w:tcBorders>
            <w:vAlign w:val="center"/>
            <w:hideMark/>
          </w:tcPr>
          <w:p w14:paraId="3B3DD9B2" w14:textId="77777777" w:rsidR="00E30B04" w:rsidRPr="00675182" w:rsidRDefault="00E30B04" w:rsidP="00666D08">
            <w:pPr>
              <w:rPr>
                <w:rFonts w:cstheme="minorHAnsi"/>
                <w:sz w:val="20"/>
              </w:rPr>
            </w:pPr>
            <w:r w:rsidRPr="00675182">
              <w:rPr>
                <w:rFonts w:cstheme="minorHAnsi"/>
                <w:sz w:val="20"/>
              </w:rPr>
              <w:t>ES II, IV, ĪAS 1, MIK</w:t>
            </w:r>
          </w:p>
        </w:tc>
        <w:tc>
          <w:tcPr>
            <w:tcW w:w="525" w:type="pct"/>
            <w:tcBorders>
              <w:top w:val="single" w:sz="4" w:space="0" w:color="auto"/>
              <w:left w:val="single" w:sz="4" w:space="0" w:color="auto"/>
              <w:bottom w:val="single" w:sz="4" w:space="0" w:color="auto"/>
              <w:right w:val="single" w:sz="4" w:space="0" w:color="auto"/>
            </w:tcBorders>
            <w:vAlign w:val="center"/>
            <w:hideMark/>
          </w:tcPr>
          <w:p w14:paraId="4ED562FF"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SG I, IUCN* (VU)</w:t>
            </w: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6B43A89A" w14:textId="77777777" w:rsidR="00E30B04" w:rsidRPr="00675182" w:rsidRDefault="00E30B04" w:rsidP="00666D08">
            <w:pPr>
              <w:rPr>
                <w:rFonts w:eastAsia="Times New Roman" w:cstheme="minorHAnsi"/>
                <w:bCs/>
                <w:color w:val="000000"/>
                <w:sz w:val="22"/>
                <w:szCs w:val="22"/>
                <w:lang w:eastAsia="en-GB"/>
              </w:rPr>
            </w:pPr>
            <w:r w:rsidRPr="00675182">
              <w:rPr>
                <w:sz w:val="20"/>
              </w:rPr>
              <w:t>U1</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DA7FF3A" w14:textId="77777777" w:rsidR="00E30B04" w:rsidRPr="00675182" w:rsidRDefault="00E30B04" w:rsidP="00666D08">
            <w:pPr>
              <w:spacing w:line="254" w:lineRule="auto"/>
              <w:rPr>
                <w:bCs/>
                <w:sz w:val="20"/>
              </w:rPr>
            </w:pPr>
            <w:r w:rsidRPr="00675182">
              <w:rPr>
                <w:sz w:val="20"/>
              </w:rPr>
              <w:t>U1</w:t>
            </w:r>
          </w:p>
          <w:p w14:paraId="50F72178" w14:textId="77777777" w:rsidR="00E30B04" w:rsidRPr="00675182" w:rsidRDefault="00E30B04" w:rsidP="00666D08">
            <w:pPr>
              <w:rPr>
                <w:rFonts w:cstheme="minorHAnsi"/>
                <w:bCs/>
                <w:color w:val="000000"/>
                <w:sz w:val="22"/>
                <w:szCs w:val="22"/>
              </w:rPr>
            </w:pPr>
            <w:r w:rsidRPr="00675182">
              <w:rPr>
                <w:sz w:val="20"/>
              </w:rPr>
              <w:t>Suga zināma vienā sastopamības poligonā, vairākās atradnēs. Pārējā teritorijā ir piemērotas dzīvotnes.</w:t>
            </w:r>
          </w:p>
        </w:tc>
      </w:tr>
      <w:tr w:rsidR="00E30B04" w:rsidRPr="00675182" w14:paraId="18A59363"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30FAF3F7"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266E277E"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Slaidais pumpurgliemezis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6AEDE1AA" w14:textId="77777777" w:rsidR="00E30B04" w:rsidRPr="00675182" w:rsidRDefault="00E30B04" w:rsidP="00666D08">
            <w:pPr>
              <w:rPr>
                <w:rFonts w:cstheme="minorHAnsi"/>
                <w:i/>
                <w:color w:val="000000"/>
                <w:sz w:val="20"/>
              </w:rPr>
            </w:pPr>
            <w:r w:rsidRPr="00675182">
              <w:rPr>
                <w:rFonts w:cstheme="minorHAnsi"/>
                <w:i/>
                <w:color w:val="000000"/>
                <w:sz w:val="20"/>
              </w:rPr>
              <w:t>Vertigo angustior</w:t>
            </w:r>
          </w:p>
        </w:tc>
        <w:tc>
          <w:tcPr>
            <w:tcW w:w="535" w:type="pct"/>
            <w:tcBorders>
              <w:top w:val="single" w:sz="4" w:space="0" w:color="auto"/>
              <w:left w:val="single" w:sz="4" w:space="0" w:color="auto"/>
              <w:bottom w:val="single" w:sz="4" w:space="0" w:color="auto"/>
              <w:right w:val="single" w:sz="4" w:space="0" w:color="auto"/>
            </w:tcBorders>
            <w:vAlign w:val="center"/>
            <w:hideMark/>
          </w:tcPr>
          <w:p w14:paraId="42F72F3E"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 MIK</w:t>
            </w:r>
          </w:p>
        </w:tc>
        <w:tc>
          <w:tcPr>
            <w:tcW w:w="525" w:type="pct"/>
            <w:tcBorders>
              <w:top w:val="single" w:sz="4" w:space="0" w:color="auto"/>
              <w:left w:val="single" w:sz="4" w:space="0" w:color="auto"/>
              <w:bottom w:val="single" w:sz="4" w:space="0" w:color="auto"/>
              <w:right w:val="single" w:sz="4" w:space="0" w:color="auto"/>
            </w:tcBorders>
            <w:vAlign w:val="center"/>
            <w:hideMark/>
          </w:tcPr>
          <w:p w14:paraId="1FDC3A5D"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w:t>
            </w:r>
            <w:r w:rsidRPr="00675182">
              <w:rPr>
                <w:rFonts w:cstheme="minorHAnsi"/>
                <w:sz w:val="20"/>
              </w:rPr>
              <w:t>*</w:t>
            </w:r>
            <w:r w:rsidRPr="00675182">
              <w:rPr>
                <w:rFonts w:eastAsia="Times New Roman" w:cstheme="minorHAnsi"/>
                <w:color w:val="000000"/>
                <w:sz w:val="20"/>
                <w:lang w:eastAsia="en-GB"/>
              </w:rPr>
              <w:t xml:space="preserve"> (NT), SG II</w:t>
            </w:r>
          </w:p>
        </w:tc>
        <w:tc>
          <w:tcPr>
            <w:tcW w:w="50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5EB7B748" w14:textId="77777777" w:rsidR="00E30B04" w:rsidRPr="00675182" w:rsidRDefault="00E30B04" w:rsidP="00666D08">
            <w:pPr>
              <w:rPr>
                <w:rFonts w:eastAsia="Times New Roman" w:cstheme="minorHAnsi"/>
                <w:bCs/>
                <w:color w:val="000000"/>
                <w:sz w:val="22"/>
                <w:szCs w:val="22"/>
                <w:lang w:eastAsia="en-GB"/>
              </w:rPr>
            </w:pPr>
            <w:r w:rsidRPr="00675182">
              <w:rPr>
                <w:sz w:val="20"/>
              </w:rPr>
              <w:t>U2</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48FF3985" w14:textId="77777777" w:rsidR="00E30B04" w:rsidRPr="00675182" w:rsidRDefault="00E30B04" w:rsidP="00666D08">
            <w:pPr>
              <w:spacing w:line="254" w:lineRule="auto"/>
              <w:rPr>
                <w:bCs/>
                <w:sz w:val="20"/>
              </w:rPr>
            </w:pPr>
            <w:r w:rsidRPr="00675182">
              <w:rPr>
                <w:sz w:val="20"/>
              </w:rPr>
              <w:t>U1</w:t>
            </w:r>
          </w:p>
          <w:p w14:paraId="024E8088" w14:textId="77777777" w:rsidR="00E30B04" w:rsidRPr="00675182" w:rsidRDefault="00E30B04" w:rsidP="00666D08">
            <w:pPr>
              <w:rPr>
                <w:rFonts w:cstheme="minorHAnsi"/>
                <w:bCs/>
                <w:color w:val="000000"/>
                <w:sz w:val="22"/>
                <w:szCs w:val="22"/>
              </w:rPr>
            </w:pPr>
            <w:r w:rsidRPr="00675182">
              <w:rPr>
                <w:sz w:val="20"/>
              </w:rPr>
              <w:t>Zināmas vairākas atradnes, dzīvotņu kvalitāte vidēja, populācijas stabilas. Apdraudošie faktori, pārkrūmošanās, invazīvās sugas.</w:t>
            </w:r>
          </w:p>
        </w:tc>
      </w:tr>
      <w:tr w:rsidR="00E30B04" w:rsidRPr="00675182" w14:paraId="1F349CEA"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2313F65D"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4FDF1D82"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Četrzobu pumpurgliemezis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3D7BE842" w14:textId="77777777" w:rsidR="00E30B04" w:rsidRPr="00675182" w:rsidRDefault="00E30B04" w:rsidP="00666D08">
            <w:pPr>
              <w:rPr>
                <w:rFonts w:cstheme="minorHAnsi"/>
                <w:i/>
                <w:color w:val="000000"/>
                <w:sz w:val="20"/>
              </w:rPr>
            </w:pPr>
            <w:r w:rsidRPr="00675182">
              <w:rPr>
                <w:rFonts w:cstheme="minorHAnsi"/>
                <w:i/>
                <w:color w:val="000000"/>
                <w:sz w:val="20"/>
              </w:rPr>
              <w:t>Vertigo geyeri</w:t>
            </w:r>
          </w:p>
        </w:tc>
        <w:tc>
          <w:tcPr>
            <w:tcW w:w="535" w:type="pct"/>
            <w:tcBorders>
              <w:top w:val="single" w:sz="4" w:space="0" w:color="auto"/>
              <w:left w:val="single" w:sz="4" w:space="0" w:color="auto"/>
              <w:bottom w:val="single" w:sz="4" w:space="0" w:color="auto"/>
              <w:right w:val="single" w:sz="4" w:space="0" w:color="auto"/>
            </w:tcBorders>
            <w:vAlign w:val="center"/>
            <w:hideMark/>
          </w:tcPr>
          <w:p w14:paraId="5589F242"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 MIK</w:t>
            </w:r>
          </w:p>
        </w:tc>
        <w:tc>
          <w:tcPr>
            <w:tcW w:w="525" w:type="pct"/>
            <w:tcBorders>
              <w:top w:val="single" w:sz="4" w:space="0" w:color="auto"/>
              <w:left w:val="single" w:sz="4" w:space="0" w:color="auto"/>
              <w:bottom w:val="single" w:sz="4" w:space="0" w:color="auto"/>
              <w:right w:val="single" w:sz="4" w:space="0" w:color="auto"/>
            </w:tcBorders>
            <w:vAlign w:val="center"/>
            <w:hideMark/>
          </w:tcPr>
          <w:p w14:paraId="281FB65A"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IUCN</w:t>
            </w:r>
            <w:r w:rsidRPr="00675182">
              <w:rPr>
                <w:rFonts w:cstheme="minorHAnsi"/>
                <w:sz w:val="20"/>
              </w:rPr>
              <w:t>*</w:t>
            </w:r>
            <w:r w:rsidRPr="00675182">
              <w:rPr>
                <w:rFonts w:eastAsia="Times New Roman" w:cstheme="minorHAnsi"/>
                <w:color w:val="000000"/>
                <w:sz w:val="20"/>
                <w:lang w:eastAsia="en-GB"/>
              </w:rPr>
              <w:t xml:space="preserve"> (LC), SG III</w:t>
            </w:r>
          </w:p>
        </w:tc>
        <w:tc>
          <w:tcPr>
            <w:tcW w:w="50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63A37582" w14:textId="77777777" w:rsidR="00E30B04" w:rsidRPr="00675182" w:rsidRDefault="00E30B04" w:rsidP="00666D08">
            <w:pPr>
              <w:rPr>
                <w:rFonts w:eastAsia="Times New Roman" w:cstheme="minorHAnsi"/>
                <w:bCs/>
                <w:color w:val="000000"/>
                <w:sz w:val="22"/>
                <w:szCs w:val="22"/>
                <w:lang w:eastAsia="en-GB"/>
              </w:rPr>
            </w:pPr>
            <w:r w:rsidRPr="00675182">
              <w:rPr>
                <w:sz w:val="20"/>
              </w:rPr>
              <w:t>U2</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0DFDBC3" w14:textId="77777777" w:rsidR="00E30B04" w:rsidRPr="00675182" w:rsidRDefault="00E30B04" w:rsidP="00666D08">
            <w:pPr>
              <w:spacing w:line="254" w:lineRule="auto"/>
              <w:rPr>
                <w:bCs/>
                <w:sz w:val="20"/>
              </w:rPr>
            </w:pPr>
            <w:r w:rsidRPr="00675182">
              <w:rPr>
                <w:sz w:val="20"/>
              </w:rPr>
              <w:t>U1</w:t>
            </w:r>
          </w:p>
          <w:p w14:paraId="76FE9204" w14:textId="77777777" w:rsidR="00E30B04" w:rsidRPr="00675182" w:rsidRDefault="00E30B04" w:rsidP="00666D08">
            <w:pPr>
              <w:rPr>
                <w:rFonts w:cstheme="minorHAnsi"/>
                <w:bCs/>
                <w:color w:val="000000"/>
                <w:sz w:val="22"/>
                <w:szCs w:val="22"/>
              </w:rPr>
            </w:pPr>
            <w:r w:rsidRPr="00675182">
              <w:rPr>
                <w:sz w:val="20"/>
              </w:rPr>
              <w:t>Zināmas vairākas atradnes, dzīvotņu kvalitāte vidēja, populācijas stabilas. Apdraudošie faktori, pārkrūmošanās, bebru darbība.</w:t>
            </w:r>
          </w:p>
        </w:tc>
      </w:tr>
      <w:tr w:rsidR="00E30B04" w:rsidRPr="00675182" w14:paraId="5A9950FF"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4074816B"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5095B97E"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Tumšā pūcīte</w:t>
            </w:r>
          </w:p>
        </w:tc>
        <w:tc>
          <w:tcPr>
            <w:tcW w:w="844" w:type="pct"/>
            <w:tcBorders>
              <w:top w:val="single" w:sz="4" w:space="0" w:color="auto"/>
              <w:left w:val="single" w:sz="4" w:space="0" w:color="auto"/>
              <w:bottom w:val="single" w:sz="4" w:space="0" w:color="auto"/>
              <w:right w:val="single" w:sz="4" w:space="0" w:color="auto"/>
            </w:tcBorders>
            <w:vAlign w:val="center"/>
            <w:hideMark/>
          </w:tcPr>
          <w:p w14:paraId="1AF9E587" w14:textId="77777777" w:rsidR="00E30B04" w:rsidRPr="00675182" w:rsidRDefault="00E30B04" w:rsidP="00666D08">
            <w:pPr>
              <w:rPr>
                <w:rFonts w:cstheme="minorHAnsi"/>
                <w:i/>
                <w:color w:val="000000"/>
                <w:sz w:val="20"/>
              </w:rPr>
            </w:pPr>
            <w:r w:rsidRPr="00675182">
              <w:rPr>
                <w:rFonts w:cstheme="minorHAnsi"/>
                <w:i/>
                <w:color w:val="000000"/>
                <w:sz w:val="20"/>
              </w:rPr>
              <w:t>Xylomoia strix</w:t>
            </w:r>
          </w:p>
        </w:tc>
        <w:tc>
          <w:tcPr>
            <w:tcW w:w="535" w:type="pct"/>
            <w:tcBorders>
              <w:top w:val="single" w:sz="4" w:space="0" w:color="auto"/>
              <w:left w:val="single" w:sz="4" w:space="0" w:color="auto"/>
              <w:bottom w:val="single" w:sz="4" w:space="0" w:color="auto"/>
              <w:right w:val="single" w:sz="4" w:space="0" w:color="auto"/>
            </w:tcBorders>
            <w:vAlign w:val="center"/>
            <w:hideMark/>
          </w:tcPr>
          <w:p w14:paraId="7FE71BD8" w14:textId="77777777" w:rsidR="00E30B04" w:rsidRPr="00675182" w:rsidRDefault="00E30B04" w:rsidP="00666D08">
            <w:pPr>
              <w:rPr>
                <w:rFonts w:eastAsia="Times New Roman" w:cstheme="minorHAnsi"/>
                <w:color w:val="000000"/>
                <w:sz w:val="20"/>
                <w:lang w:eastAsia="en-GB"/>
              </w:rPr>
            </w:pPr>
            <w:r w:rsidRPr="00675182">
              <w:rPr>
                <w:rFonts w:cstheme="minorHAnsi"/>
                <w:sz w:val="20"/>
              </w:rPr>
              <w:t>ES II,</w:t>
            </w:r>
            <w:r w:rsidRPr="00675182">
              <w:rPr>
                <w:rFonts w:eastAsia="Times New Roman" w:cstheme="minorHAnsi"/>
                <w:color w:val="000000"/>
                <w:sz w:val="20"/>
                <w:lang w:eastAsia="en-GB"/>
              </w:rPr>
              <w:t xml:space="preserve"> </w:t>
            </w:r>
            <w:r w:rsidRPr="00675182">
              <w:rPr>
                <w:rFonts w:cstheme="minorHAnsi"/>
                <w:sz w:val="20"/>
              </w:rPr>
              <w:t>ĪAS 1</w:t>
            </w:r>
          </w:p>
        </w:tc>
        <w:tc>
          <w:tcPr>
            <w:tcW w:w="525" w:type="pct"/>
            <w:tcBorders>
              <w:top w:val="single" w:sz="4" w:space="0" w:color="auto"/>
              <w:left w:val="single" w:sz="4" w:space="0" w:color="auto"/>
              <w:bottom w:val="single" w:sz="4" w:space="0" w:color="auto"/>
              <w:right w:val="single" w:sz="4" w:space="0" w:color="auto"/>
            </w:tcBorders>
            <w:vAlign w:val="center"/>
            <w:hideMark/>
          </w:tcPr>
          <w:p w14:paraId="60242953"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SG I</w:t>
            </w:r>
          </w:p>
        </w:tc>
        <w:tc>
          <w:tcPr>
            <w:tcW w:w="50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65238BB" w14:textId="77777777" w:rsidR="00E30B04" w:rsidRPr="00675182" w:rsidRDefault="00E30B04" w:rsidP="00666D08">
            <w:pPr>
              <w:rPr>
                <w:rFonts w:eastAsia="Times New Roman" w:cstheme="minorHAnsi"/>
                <w:bCs/>
                <w:color w:val="000000"/>
                <w:sz w:val="22"/>
                <w:szCs w:val="22"/>
                <w:lang w:eastAsia="en-GB"/>
              </w:rPr>
            </w:pPr>
            <w:r w:rsidRPr="00675182">
              <w:rPr>
                <w:sz w:val="20"/>
              </w:rPr>
              <w:t>FV</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B574721" w14:textId="77777777" w:rsidR="00E30B04" w:rsidRPr="00675182" w:rsidRDefault="00E30B04" w:rsidP="00666D08">
            <w:pPr>
              <w:spacing w:line="254" w:lineRule="auto"/>
              <w:rPr>
                <w:bCs/>
                <w:sz w:val="20"/>
              </w:rPr>
            </w:pPr>
            <w:r w:rsidRPr="00675182">
              <w:rPr>
                <w:sz w:val="20"/>
              </w:rPr>
              <w:t>FV</w:t>
            </w:r>
          </w:p>
          <w:p w14:paraId="5E50BE17" w14:textId="77777777" w:rsidR="00E30B04" w:rsidRPr="00675182" w:rsidRDefault="00E30B04" w:rsidP="00666D08">
            <w:pPr>
              <w:rPr>
                <w:rFonts w:cstheme="minorHAnsi"/>
                <w:bCs/>
                <w:color w:val="000000"/>
                <w:sz w:val="22"/>
                <w:szCs w:val="22"/>
              </w:rPr>
            </w:pPr>
            <w:r w:rsidRPr="00675182">
              <w:rPr>
                <w:sz w:val="20"/>
              </w:rPr>
              <w:t>Gaujas ieleja nozīmīga sugas sastopamībai. Būtiski populāciju negatīvi ietekmējošie faktori nav konstatēti.</w:t>
            </w:r>
          </w:p>
        </w:tc>
      </w:tr>
      <w:tr w:rsidR="00E30B04" w:rsidRPr="00675182" w14:paraId="10D480C6"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46C51BE8"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12CC61E2" w14:textId="77777777" w:rsidR="00E30B04" w:rsidRPr="00675182" w:rsidRDefault="00E30B04" w:rsidP="00666D08">
            <w:pPr>
              <w:rPr>
                <w:rFonts w:cstheme="minorHAnsi"/>
                <w:sz w:val="20"/>
              </w:rPr>
            </w:pPr>
            <w:r w:rsidRPr="00675182">
              <w:rPr>
                <w:rFonts w:cstheme="minorHAnsi"/>
                <w:sz w:val="20"/>
              </w:rPr>
              <w:t>Lielais mārsilu zilenītis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45D3E355" w14:textId="77777777" w:rsidR="00E30B04" w:rsidRPr="00675182" w:rsidRDefault="00E30B04" w:rsidP="00666D08">
            <w:pPr>
              <w:rPr>
                <w:rFonts w:cstheme="minorHAnsi"/>
                <w:i/>
                <w:sz w:val="20"/>
              </w:rPr>
            </w:pPr>
            <w:r w:rsidRPr="00675182">
              <w:rPr>
                <w:rFonts w:cstheme="minorHAnsi"/>
                <w:i/>
                <w:sz w:val="20"/>
              </w:rPr>
              <w:t>Phengaris (Maculinea) arion</w:t>
            </w:r>
          </w:p>
        </w:tc>
        <w:tc>
          <w:tcPr>
            <w:tcW w:w="535" w:type="pct"/>
            <w:tcBorders>
              <w:top w:val="single" w:sz="4" w:space="0" w:color="auto"/>
              <w:left w:val="single" w:sz="4" w:space="0" w:color="auto"/>
              <w:bottom w:val="single" w:sz="4" w:space="0" w:color="auto"/>
              <w:right w:val="single" w:sz="4" w:space="0" w:color="auto"/>
            </w:tcBorders>
            <w:vAlign w:val="center"/>
            <w:hideMark/>
          </w:tcPr>
          <w:p w14:paraId="6CC5119D" w14:textId="77777777" w:rsidR="00E30B04" w:rsidRPr="00675182" w:rsidRDefault="00E30B04" w:rsidP="00666D08">
            <w:pPr>
              <w:rPr>
                <w:rFonts w:cstheme="minorHAnsi"/>
                <w:sz w:val="20"/>
              </w:rPr>
            </w:pPr>
            <w:r w:rsidRPr="00675182">
              <w:rPr>
                <w:rFonts w:cstheme="minorHAnsi"/>
                <w:sz w:val="20"/>
              </w:rPr>
              <w:t>ES II, ĪAS I</w:t>
            </w:r>
          </w:p>
        </w:tc>
        <w:tc>
          <w:tcPr>
            <w:tcW w:w="525" w:type="pct"/>
            <w:tcBorders>
              <w:top w:val="single" w:sz="4" w:space="0" w:color="auto"/>
              <w:left w:val="single" w:sz="4" w:space="0" w:color="auto"/>
              <w:bottom w:val="single" w:sz="4" w:space="0" w:color="auto"/>
              <w:right w:val="single" w:sz="4" w:space="0" w:color="auto"/>
            </w:tcBorders>
            <w:vAlign w:val="center"/>
            <w:hideMark/>
          </w:tcPr>
          <w:p w14:paraId="5F4196CA" w14:textId="77777777" w:rsidR="00E30B04" w:rsidRPr="00675182" w:rsidRDefault="00E30B04" w:rsidP="00666D08">
            <w:pPr>
              <w:spacing w:line="254" w:lineRule="auto"/>
              <w:rPr>
                <w:rFonts w:eastAsia="Times New Roman" w:cstheme="minorHAnsi"/>
                <w:color w:val="000000"/>
                <w:sz w:val="20"/>
                <w:lang w:eastAsia="en-GB"/>
              </w:rPr>
            </w:pPr>
            <w:r w:rsidRPr="00675182">
              <w:rPr>
                <w:rFonts w:eastAsia="Times New Roman" w:cstheme="minorHAnsi"/>
                <w:color w:val="000000"/>
                <w:sz w:val="20"/>
                <w:lang w:eastAsia="en-GB"/>
              </w:rPr>
              <w:t>IUCN</w:t>
            </w:r>
          </w:p>
          <w:p w14:paraId="7242ACCE"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(LR)</w:t>
            </w:r>
          </w:p>
        </w:tc>
        <w:tc>
          <w:tcPr>
            <w:tcW w:w="50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2EC4A7C" w14:textId="77777777" w:rsidR="00E30B04" w:rsidRPr="00675182" w:rsidRDefault="00E30B04" w:rsidP="00666D08">
            <w:pPr>
              <w:rPr>
                <w:rFonts w:eastAsia="Times New Roman" w:cstheme="minorHAnsi"/>
                <w:bCs/>
                <w:color w:val="000000"/>
                <w:sz w:val="22"/>
                <w:szCs w:val="22"/>
                <w:lang w:eastAsia="en-GB"/>
              </w:rPr>
            </w:pPr>
            <w:r w:rsidRPr="00675182">
              <w:t>FV</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DF21D09" w14:textId="77777777" w:rsidR="00E30B04" w:rsidRPr="00675182" w:rsidRDefault="00E30B04" w:rsidP="00666D08">
            <w:pPr>
              <w:spacing w:line="254" w:lineRule="auto"/>
              <w:rPr>
                <w:bCs/>
                <w:sz w:val="20"/>
              </w:rPr>
            </w:pPr>
            <w:r w:rsidRPr="00675182">
              <w:rPr>
                <w:sz w:val="20"/>
              </w:rPr>
              <w:t>U1</w:t>
            </w:r>
          </w:p>
          <w:p w14:paraId="0C50BFA3" w14:textId="77777777" w:rsidR="00E30B04" w:rsidRPr="00675182" w:rsidRDefault="00E30B04" w:rsidP="00666D08">
            <w:pPr>
              <w:rPr>
                <w:rFonts w:cstheme="minorHAnsi"/>
                <w:bCs/>
                <w:color w:val="000000"/>
                <w:sz w:val="22"/>
                <w:szCs w:val="22"/>
              </w:rPr>
            </w:pPr>
            <w:r w:rsidRPr="00675182">
              <w:rPr>
                <w:sz w:val="20"/>
              </w:rPr>
              <w:t>Sugas sastopamība ir paredzama nelielā blīvumā. Nozīmīga sugai piemēroto dzīvotņu saglabāšana.</w:t>
            </w:r>
          </w:p>
        </w:tc>
      </w:tr>
      <w:tr w:rsidR="00E30B04" w:rsidRPr="00675182" w14:paraId="507F6757"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435CD404"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5B3E7E1C"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Cīrulīšu dižtauriņš</w:t>
            </w:r>
          </w:p>
        </w:tc>
        <w:tc>
          <w:tcPr>
            <w:tcW w:w="844" w:type="pct"/>
            <w:tcBorders>
              <w:top w:val="single" w:sz="4" w:space="0" w:color="auto"/>
              <w:left w:val="single" w:sz="4" w:space="0" w:color="auto"/>
              <w:bottom w:val="single" w:sz="4" w:space="0" w:color="auto"/>
              <w:right w:val="single" w:sz="4" w:space="0" w:color="auto"/>
            </w:tcBorders>
            <w:vAlign w:val="center"/>
            <w:hideMark/>
          </w:tcPr>
          <w:p w14:paraId="0778DE27" w14:textId="77777777" w:rsidR="00E30B04" w:rsidRPr="00675182" w:rsidRDefault="00E30B04" w:rsidP="00666D08">
            <w:pPr>
              <w:rPr>
                <w:rFonts w:cstheme="minorHAnsi"/>
                <w:i/>
                <w:color w:val="000000"/>
                <w:sz w:val="20"/>
              </w:rPr>
            </w:pPr>
            <w:r w:rsidRPr="00675182">
              <w:rPr>
                <w:rFonts w:cstheme="minorHAnsi"/>
                <w:i/>
                <w:color w:val="000000"/>
                <w:sz w:val="20"/>
              </w:rPr>
              <w:t>Parnassius mnemosyne</w:t>
            </w:r>
          </w:p>
        </w:tc>
        <w:tc>
          <w:tcPr>
            <w:tcW w:w="535" w:type="pct"/>
            <w:tcBorders>
              <w:top w:val="single" w:sz="4" w:space="0" w:color="auto"/>
              <w:left w:val="single" w:sz="4" w:space="0" w:color="auto"/>
              <w:bottom w:val="single" w:sz="4" w:space="0" w:color="auto"/>
              <w:right w:val="single" w:sz="4" w:space="0" w:color="auto"/>
            </w:tcBorders>
            <w:vAlign w:val="center"/>
            <w:hideMark/>
          </w:tcPr>
          <w:p w14:paraId="42EF39D0" w14:textId="77777777" w:rsidR="00E30B04" w:rsidRPr="00675182" w:rsidRDefault="00E30B04" w:rsidP="00666D08">
            <w:pPr>
              <w:rPr>
                <w:rFonts w:cstheme="minorHAnsi"/>
                <w:sz w:val="20"/>
              </w:rPr>
            </w:pPr>
            <w:r w:rsidRPr="00675182">
              <w:rPr>
                <w:rFonts w:cstheme="minorHAnsi"/>
                <w:sz w:val="20"/>
              </w:rPr>
              <w:t>ES IV, ĪAS 1</w:t>
            </w:r>
          </w:p>
        </w:tc>
        <w:tc>
          <w:tcPr>
            <w:tcW w:w="525" w:type="pct"/>
            <w:tcBorders>
              <w:top w:val="single" w:sz="4" w:space="0" w:color="auto"/>
              <w:left w:val="single" w:sz="4" w:space="0" w:color="auto"/>
              <w:bottom w:val="single" w:sz="4" w:space="0" w:color="auto"/>
              <w:right w:val="single" w:sz="4" w:space="0" w:color="auto"/>
            </w:tcBorders>
            <w:vAlign w:val="center"/>
            <w:hideMark/>
          </w:tcPr>
          <w:p w14:paraId="6E89AA84"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SG I</w:t>
            </w:r>
          </w:p>
        </w:tc>
        <w:tc>
          <w:tcPr>
            <w:tcW w:w="50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25F6E82" w14:textId="77777777" w:rsidR="00E30B04" w:rsidRPr="00675182" w:rsidRDefault="00E30B04" w:rsidP="00666D08">
            <w:pPr>
              <w:rPr>
                <w:rFonts w:eastAsia="Times New Roman" w:cstheme="minorHAnsi"/>
                <w:bCs/>
                <w:color w:val="000000"/>
                <w:sz w:val="22"/>
                <w:szCs w:val="22"/>
                <w:lang w:eastAsia="en-GB"/>
              </w:rPr>
            </w:pPr>
            <w:r w:rsidRPr="00675182">
              <w:t>FV</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21F4214" w14:textId="77777777" w:rsidR="00E30B04" w:rsidRPr="00675182" w:rsidRDefault="00E30B04" w:rsidP="00666D08">
            <w:pPr>
              <w:spacing w:line="254" w:lineRule="auto"/>
              <w:rPr>
                <w:bCs/>
                <w:sz w:val="20"/>
              </w:rPr>
            </w:pPr>
            <w:r w:rsidRPr="00675182">
              <w:rPr>
                <w:sz w:val="20"/>
              </w:rPr>
              <w:t>FV</w:t>
            </w:r>
          </w:p>
          <w:p w14:paraId="5436AC5E" w14:textId="77777777" w:rsidR="00E30B04" w:rsidRPr="00675182" w:rsidRDefault="00E30B04" w:rsidP="00666D08">
            <w:pPr>
              <w:rPr>
                <w:rFonts w:cstheme="minorHAnsi"/>
                <w:bCs/>
                <w:color w:val="000000"/>
                <w:sz w:val="22"/>
                <w:szCs w:val="22"/>
              </w:rPr>
            </w:pPr>
            <w:r w:rsidRPr="00675182">
              <w:rPr>
                <w:sz w:val="20"/>
              </w:rPr>
              <w:t>Teritorijā pastāv stabila populācija. Būtiski negatīvie faktori nav konstatēti.</w:t>
            </w:r>
          </w:p>
        </w:tc>
      </w:tr>
      <w:tr w:rsidR="00E30B04" w:rsidRPr="00675182" w14:paraId="2BBD0202"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42AC629A"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6A4F7A4C" w14:textId="77777777" w:rsidR="00E30B04" w:rsidRPr="00675182" w:rsidRDefault="00E30B04" w:rsidP="00666D08">
            <w:pPr>
              <w:rPr>
                <w:rFonts w:eastAsia="Times New Roman" w:cstheme="minorHAnsi"/>
                <w:color w:val="000000"/>
                <w:sz w:val="20"/>
                <w:lang w:eastAsia="en-GB"/>
              </w:rPr>
            </w:pPr>
            <w:r w:rsidRPr="00675182">
              <w:rPr>
                <w:rFonts w:cstheme="minorHAnsi"/>
                <w:sz w:val="20"/>
              </w:rPr>
              <w:t>Zaļā dižspāre</w:t>
            </w:r>
          </w:p>
        </w:tc>
        <w:tc>
          <w:tcPr>
            <w:tcW w:w="844" w:type="pct"/>
            <w:tcBorders>
              <w:top w:val="single" w:sz="4" w:space="0" w:color="auto"/>
              <w:left w:val="single" w:sz="4" w:space="0" w:color="auto"/>
              <w:bottom w:val="single" w:sz="4" w:space="0" w:color="auto"/>
              <w:right w:val="single" w:sz="4" w:space="0" w:color="auto"/>
            </w:tcBorders>
            <w:vAlign w:val="center"/>
            <w:hideMark/>
          </w:tcPr>
          <w:p w14:paraId="061392F9" w14:textId="77777777" w:rsidR="00E30B04" w:rsidRPr="00675182" w:rsidRDefault="00E30B04" w:rsidP="00666D08">
            <w:pPr>
              <w:rPr>
                <w:rFonts w:cstheme="minorHAnsi"/>
                <w:i/>
                <w:sz w:val="20"/>
              </w:rPr>
            </w:pPr>
            <w:r w:rsidRPr="00675182">
              <w:rPr>
                <w:rFonts w:cstheme="minorHAnsi"/>
                <w:i/>
                <w:sz w:val="20"/>
              </w:rPr>
              <w:t>Aeshna viridis</w:t>
            </w:r>
          </w:p>
        </w:tc>
        <w:tc>
          <w:tcPr>
            <w:tcW w:w="535" w:type="pct"/>
            <w:tcBorders>
              <w:top w:val="single" w:sz="4" w:space="0" w:color="auto"/>
              <w:left w:val="single" w:sz="4" w:space="0" w:color="auto"/>
              <w:bottom w:val="single" w:sz="4" w:space="0" w:color="auto"/>
              <w:right w:val="single" w:sz="4" w:space="0" w:color="auto"/>
            </w:tcBorders>
            <w:vAlign w:val="center"/>
            <w:hideMark/>
          </w:tcPr>
          <w:p w14:paraId="37FA1A5F" w14:textId="77777777" w:rsidR="00E30B04" w:rsidRPr="00675182" w:rsidRDefault="00E30B04" w:rsidP="00666D08">
            <w:pPr>
              <w:rPr>
                <w:rFonts w:cstheme="minorHAnsi"/>
                <w:sz w:val="20"/>
              </w:rPr>
            </w:pPr>
            <w:r w:rsidRPr="00675182">
              <w:rPr>
                <w:rFonts w:cstheme="minorHAnsi"/>
                <w:sz w:val="20"/>
              </w:rPr>
              <w:t>ES IV, ĪAS 1</w:t>
            </w:r>
          </w:p>
        </w:tc>
        <w:tc>
          <w:tcPr>
            <w:tcW w:w="525" w:type="pct"/>
            <w:tcBorders>
              <w:top w:val="single" w:sz="4" w:space="0" w:color="auto"/>
              <w:left w:val="single" w:sz="4" w:space="0" w:color="auto"/>
              <w:bottom w:val="single" w:sz="4" w:space="0" w:color="auto"/>
              <w:right w:val="single" w:sz="4" w:space="0" w:color="auto"/>
            </w:tcBorders>
            <w:vAlign w:val="center"/>
            <w:hideMark/>
          </w:tcPr>
          <w:p w14:paraId="10D28608" w14:textId="77777777" w:rsidR="00E30B04" w:rsidRPr="00675182" w:rsidRDefault="00E30B04" w:rsidP="00666D08">
            <w:pPr>
              <w:spacing w:line="254" w:lineRule="auto"/>
              <w:rPr>
                <w:rFonts w:eastAsia="Times New Roman" w:cstheme="minorHAnsi"/>
                <w:color w:val="000000"/>
                <w:sz w:val="20"/>
                <w:lang w:eastAsia="en-GB"/>
              </w:rPr>
            </w:pPr>
            <w:r w:rsidRPr="00675182">
              <w:rPr>
                <w:rFonts w:eastAsia="Times New Roman" w:cstheme="minorHAnsi"/>
                <w:color w:val="000000"/>
                <w:sz w:val="20"/>
                <w:lang w:eastAsia="en-GB"/>
              </w:rPr>
              <w:t>IUCN</w:t>
            </w:r>
          </w:p>
          <w:p w14:paraId="776C9A60" w14:textId="77777777" w:rsidR="00E30B04" w:rsidRPr="00675182" w:rsidRDefault="00E30B04" w:rsidP="00666D08">
            <w:pPr>
              <w:spacing w:line="254" w:lineRule="auto"/>
              <w:rPr>
                <w:rFonts w:eastAsia="Times New Roman" w:cstheme="minorHAnsi"/>
                <w:color w:val="000000"/>
                <w:sz w:val="20"/>
                <w:lang w:eastAsia="en-GB"/>
              </w:rPr>
            </w:pPr>
            <w:r w:rsidRPr="00675182">
              <w:rPr>
                <w:rFonts w:eastAsia="Times New Roman" w:cstheme="minorHAnsi"/>
                <w:color w:val="000000"/>
                <w:sz w:val="20"/>
                <w:lang w:eastAsia="en-GB"/>
              </w:rPr>
              <w:t>(LR), SG III</w:t>
            </w:r>
          </w:p>
        </w:tc>
        <w:tc>
          <w:tcPr>
            <w:tcW w:w="50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1C6B3AEE" w14:textId="77777777" w:rsidR="00E30B04" w:rsidRPr="00675182" w:rsidRDefault="00E30B04" w:rsidP="00666D08">
            <w:pPr>
              <w:rPr>
                <w:rFonts w:eastAsia="Times New Roman" w:cstheme="minorHAnsi"/>
                <w:bCs/>
                <w:color w:val="000000"/>
                <w:sz w:val="22"/>
                <w:szCs w:val="22"/>
                <w:lang w:eastAsia="en-GB"/>
              </w:rPr>
            </w:pPr>
            <w:r w:rsidRPr="00675182">
              <w:t>U2x</w:t>
            </w:r>
          </w:p>
        </w:tc>
        <w:tc>
          <w:tcPr>
            <w:tcW w:w="144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58C07F39" w14:textId="77777777" w:rsidR="00E30B04" w:rsidRPr="00675182" w:rsidRDefault="00E30B04" w:rsidP="00666D08">
            <w:pPr>
              <w:spacing w:line="254" w:lineRule="auto"/>
              <w:rPr>
                <w:bCs/>
                <w:sz w:val="20"/>
              </w:rPr>
            </w:pPr>
            <w:r w:rsidRPr="00675182">
              <w:rPr>
                <w:sz w:val="20"/>
              </w:rPr>
              <w:t>U1</w:t>
            </w:r>
          </w:p>
          <w:p w14:paraId="6BDD8179" w14:textId="77777777" w:rsidR="00E30B04" w:rsidRPr="00675182" w:rsidRDefault="00E30B04" w:rsidP="00666D08">
            <w:pPr>
              <w:rPr>
                <w:rFonts w:cstheme="minorHAnsi"/>
                <w:bCs/>
                <w:color w:val="000000"/>
                <w:sz w:val="22"/>
                <w:szCs w:val="22"/>
              </w:rPr>
            </w:pPr>
            <w:r w:rsidRPr="00675182">
              <w:rPr>
                <w:sz w:val="20"/>
              </w:rPr>
              <w:t>Teritorijā ir nozīmīgs sugai piemēroto vecupju skaits. Sugas saglabāšanās atkarīga no parastā elša audzēm.</w:t>
            </w:r>
          </w:p>
        </w:tc>
      </w:tr>
      <w:tr w:rsidR="00E30B04" w:rsidRPr="00675182" w14:paraId="2FA9324C"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0D02D4BB"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40A7C0C8" w14:textId="77777777" w:rsidR="00E30B04" w:rsidRPr="00675182" w:rsidRDefault="00E30B04" w:rsidP="00666D08">
            <w:pPr>
              <w:rPr>
                <w:rFonts w:cstheme="minorHAnsi"/>
                <w:sz w:val="20"/>
              </w:rPr>
            </w:pPr>
            <w:r w:rsidRPr="00675182">
              <w:rPr>
                <w:rFonts w:cstheme="minorHAnsi"/>
                <w:sz w:val="20"/>
              </w:rPr>
              <w:t>Dzeltenkāju upjuspāre</w:t>
            </w:r>
          </w:p>
        </w:tc>
        <w:tc>
          <w:tcPr>
            <w:tcW w:w="844" w:type="pct"/>
            <w:tcBorders>
              <w:top w:val="single" w:sz="4" w:space="0" w:color="auto"/>
              <w:left w:val="single" w:sz="4" w:space="0" w:color="auto"/>
              <w:bottom w:val="single" w:sz="4" w:space="0" w:color="auto"/>
              <w:right w:val="single" w:sz="4" w:space="0" w:color="auto"/>
            </w:tcBorders>
            <w:vAlign w:val="center"/>
            <w:hideMark/>
          </w:tcPr>
          <w:p w14:paraId="7E9B90FE" w14:textId="77777777" w:rsidR="00E30B04" w:rsidRPr="00675182" w:rsidRDefault="00E30B04" w:rsidP="00666D08">
            <w:pPr>
              <w:rPr>
                <w:rFonts w:cstheme="minorHAnsi"/>
                <w:i/>
                <w:sz w:val="20"/>
              </w:rPr>
            </w:pPr>
            <w:r w:rsidRPr="00675182">
              <w:rPr>
                <w:rFonts w:cstheme="minorHAnsi"/>
                <w:i/>
                <w:sz w:val="20"/>
              </w:rPr>
              <w:t>Gomphus flavipes</w:t>
            </w:r>
          </w:p>
        </w:tc>
        <w:tc>
          <w:tcPr>
            <w:tcW w:w="535" w:type="pct"/>
            <w:tcBorders>
              <w:top w:val="single" w:sz="4" w:space="0" w:color="auto"/>
              <w:left w:val="single" w:sz="4" w:space="0" w:color="auto"/>
              <w:bottom w:val="single" w:sz="4" w:space="0" w:color="auto"/>
              <w:right w:val="single" w:sz="4" w:space="0" w:color="auto"/>
            </w:tcBorders>
            <w:vAlign w:val="center"/>
            <w:hideMark/>
          </w:tcPr>
          <w:p w14:paraId="31166665" w14:textId="77777777" w:rsidR="00E30B04" w:rsidRPr="00675182" w:rsidRDefault="00E30B04" w:rsidP="00666D08">
            <w:pPr>
              <w:rPr>
                <w:rFonts w:cstheme="minorHAnsi"/>
                <w:sz w:val="20"/>
              </w:rPr>
            </w:pPr>
            <w:r w:rsidRPr="00675182">
              <w:rPr>
                <w:rFonts w:cstheme="minorHAnsi"/>
                <w:sz w:val="20"/>
              </w:rPr>
              <w:t>ES IV, ĪAS 1, MIK</w:t>
            </w:r>
          </w:p>
        </w:tc>
        <w:tc>
          <w:tcPr>
            <w:tcW w:w="525" w:type="pct"/>
            <w:tcBorders>
              <w:top w:val="single" w:sz="4" w:space="0" w:color="auto"/>
              <w:left w:val="single" w:sz="4" w:space="0" w:color="auto"/>
              <w:bottom w:val="single" w:sz="4" w:space="0" w:color="auto"/>
              <w:right w:val="single" w:sz="4" w:space="0" w:color="auto"/>
            </w:tcBorders>
            <w:vAlign w:val="center"/>
            <w:hideMark/>
          </w:tcPr>
          <w:p w14:paraId="43630FED" w14:textId="77777777" w:rsidR="00E30B04" w:rsidRPr="00675182" w:rsidRDefault="00E30B04" w:rsidP="00666D08">
            <w:pPr>
              <w:rPr>
                <w:rFonts w:eastAsia="Times New Roman" w:cstheme="minorHAnsi"/>
                <w:color w:val="000000"/>
                <w:sz w:val="20"/>
                <w:lang w:eastAsia="en-GB"/>
              </w:rPr>
            </w:pPr>
            <w:r w:rsidRPr="00675182">
              <w:rPr>
                <w:rFonts w:eastAsia="Times New Roman" w:cstheme="minorHAnsi"/>
                <w:color w:val="000000"/>
                <w:sz w:val="20"/>
                <w:lang w:eastAsia="en-GB"/>
              </w:rPr>
              <w:t>SG I</w:t>
            </w:r>
          </w:p>
        </w:tc>
        <w:tc>
          <w:tcPr>
            <w:tcW w:w="50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4A66CBC4" w14:textId="77777777" w:rsidR="00E30B04" w:rsidRPr="00675182" w:rsidRDefault="00E30B04" w:rsidP="00666D08">
            <w:pPr>
              <w:rPr>
                <w:rFonts w:eastAsia="Times New Roman" w:cstheme="minorHAnsi"/>
                <w:bCs/>
                <w:color w:val="000000"/>
                <w:sz w:val="22"/>
                <w:szCs w:val="22"/>
                <w:lang w:eastAsia="en-GB"/>
              </w:rPr>
            </w:pPr>
            <w:r w:rsidRPr="00675182">
              <w:t>U2x</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4A401C8" w14:textId="77777777" w:rsidR="00E30B04" w:rsidRPr="00675182" w:rsidRDefault="00E30B04" w:rsidP="00666D08">
            <w:pPr>
              <w:spacing w:line="254" w:lineRule="auto"/>
              <w:rPr>
                <w:bCs/>
                <w:sz w:val="20"/>
              </w:rPr>
            </w:pPr>
            <w:r w:rsidRPr="00675182">
              <w:rPr>
                <w:sz w:val="20"/>
              </w:rPr>
              <w:t>FV</w:t>
            </w:r>
          </w:p>
          <w:p w14:paraId="02E53EDC" w14:textId="77777777" w:rsidR="00E30B04" w:rsidRPr="00675182" w:rsidRDefault="00E30B04" w:rsidP="00666D08">
            <w:pPr>
              <w:rPr>
                <w:rFonts w:cstheme="minorHAnsi"/>
                <w:bCs/>
                <w:color w:val="000000"/>
                <w:sz w:val="22"/>
                <w:szCs w:val="22"/>
              </w:rPr>
            </w:pPr>
            <w:r w:rsidRPr="00675182">
              <w:rPr>
                <w:sz w:val="20"/>
              </w:rPr>
              <w:t>Teritorijā pastāv populācija. Būtiski negatīvie faktori nav konstatēti.</w:t>
            </w:r>
          </w:p>
        </w:tc>
      </w:tr>
      <w:tr w:rsidR="00E30B04" w:rsidRPr="00675182" w14:paraId="7D0ED872"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08FB662E"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2F8BB1A7" w14:textId="77777777" w:rsidR="00E30B04" w:rsidRPr="00675182" w:rsidRDefault="00E30B04" w:rsidP="00666D08">
            <w:pPr>
              <w:rPr>
                <w:rFonts w:cstheme="minorHAnsi"/>
                <w:sz w:val="20"/>
              </w:rPr>
            </w:pPr>
            <w:r w:rsidRPr="00675182">
              <w:rPr>
                <w:rFonts w:cstheme="minorHAnsi"/>
                <w:sz w:val="20"/>
              </w:rPr>
              <w:t>Raibgalvas purvuspāre</w:t>
            </w:r>
          </w:p>
        </w:tc>
        <w:tc>
          <w:tcPr>
            <w:tcW w:w="844" w:type="pct"/>
            <w:tcBorders>
              <w:top w:val="single" w:sz="4" w:space="0" w:color="auto"/>
              <w:left w:val="single" w:sz="4" w:space="0" w:color="auto"/>
              <w:bottom w:val="single" w:sz="4" w:space="0" w:color="auto"/>
              <w:right w:val="single" w:sz="4" w:space="0" w:color="auto"/>
            </w:tcBorders>
            <w:vAlign w:val="center"/>
            <w:hideMark/>
          </w:tcPr>
          <w:p w14:paraId="1D2B1D53" w14:textId="77777777" w:rsidR="00E30B04" w:rsidRPr="00675182" w:rsidRDefault="00E30B04" w:rsidP="00666D08">
            <w:pPr>
              <w:rPr>
                <w:rFonts w:cstheme="minorHAnsi"/>
                <w:i/>
                <w:sz w:val="20"/>
              </w:rPr>
            </w:pPr>
            <w:r w:rsidRPr="00675182">
              <w:rPr>
                <w:rFonts w:cstheme="minorHAnsi"/>
                <w:i/>
                <w:sz w:val="20"/>
              </w:rPr>
              <w:t>Leucorrhinia albifrons</w:t>
            </w:r>
          </w:p>
        </w:tc>
        <w:tc>
          <w:tcPr>
            <w:tcW w:w="535" w:type="pct"/>
            <w:tcBorders>
              <w:top w:val="single" w:sz="4" w:space="0" w:color="auto"/>
              <w:left w:val="single" w:sz="4" w:space="0" w:color="auto"/>
              <w:bottom w:val="single" w:sz="4" w:space="0" w:color="auto"/>
              <w:right w:val="single" w:sz="4" w:space="0" w:color="auto"/>
            </w:tcBorders>
            <w:vAlign w:val="center"/>
            <w:hideMark/>
          </w:tcPr>
          <w:p w14:paraId="1A10C1D6" w14:textId="77777777" w:rsidR="00E30B04" w:rsidRPr="00675182" w:rsidRDefault="00E30B04" w:rsidP="00666D08">
            <w:pPr>
              <w:rPr>
                <w:rFonts w:cstheme="minorHAnsi"/>
                <w:sz w:val="20"/>
              </w:rPr>
            </w:pPr>
            <w:r w:rsidRPr="00675182">
              <w:rPr>
                <w:rFonts w:cstheme="minorHAnsi"/>
                <w:sz w:val="20"/>
              </w:rPr>
              <w:t>ES IV, ĪAS 1</w:t>
            </w:r>
          </w:p>
        </w:tc>
        <w:tc>
          <w:tcPr>
            <w:tcW w:w="525" w:type="pct"/>
            <w:tcBorders>
              <w:top w:val="single" w:sz="4" w:space="0" w:color="auto"/>
              <w:left w:val="single" w:sz="4" w:space="0" w:color="auto"/>
              <w:bottom w:val="single" w:sz="4" w:space="0" w:color="auto"/>
              <w:right w:val="single" w:sz="4" w:space="0" w:color="auto"/>
            </w:tcBorders>
            <w:vAlign w:val="center"/>
          </w:tcPr>
          <w:p w14:paraId="0FE8E990" w14:textId="77777777" w:rsidR="00E30B04" w:rsidRPr="00675182" w:rsidRDefault="00E30B04" w:rsidP="00666D08">
            <w:pPr>
              <w:rPr>
                <w:rFonts w:eastAsia="Times New Roman" w:cstheme="minorHAnsi"/>
                <w:color w:val="000000"/>
                <w:sz w:val="20"/>
                <w:lang w:eastAsia="en-GB"/>
              </w:rPr>
            </w:pP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75550357" w14:textId="77777777" w:rsidR="00E30B04" w:rsidRPr="00675182" w:rsidRDefault="00E30B04" w:rsidP="00666D08">
            <w:pPr>
              <w:rPr>
                <w:rFonts w:eastAsia="Times New Roman" w:cstheme="minorHAnsi"/>
                <w:bCs/>
                <w:color w:val="000000"/>
                <w:sz w:val="22"/>
                <w:szCs w:val="22"/>
                <w:lang w:eastAsia="en-GB"/>
              </w:rPr>
            </w:pPr>
            <w:r w:rsidRPr="00675182">
              <w:t>U1x</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96E0C20" w14:textId="77777777" w:rsidR="00E30B04" w:rsidRPr="00675182" w:rsidRDefault="00E30B04" w:rsidP="00666D08">
            <w:pPr>
              <w:spacing w:line="254" w:lineRule="auto"/>
              <w:rPr>
                <w:sz w:val="20"/>
              </w:rPr>
            </w:pPr>
            <w:r w:rsidRPr="00675182">
              <w:rPr>
                <w:sz w:val="20"/>
              </w:rPr>
              <w:t>FV</w:t>
            </w:r>
          </w:p>
          <w:p w14:paraId="6DD41AA3" w14:textId="77777777" w:rsidR="00E30B04" w:rsidRPr="00675182" w:rsidRDefault="00E30B04" w:rsidP="00666D08">
            <w:pPr>
              <w:rPr>
                <w:rFonts w:cstheme="minorHAnsi"/>
                <w:bCs/>
                <w:color w:val="000000"/>
                <w:sz w:val="22"/>
                <w:szCs w:val="22"/>
              </w:rPr>
            </w:pPr>
            <w:r w:rsidRPr="00675182">
              <w:rPr>
                <w:sz w:val="20"/>
              </w:rPr>
              <w:t>Sugas populāciju negatīvi ietekmējošie faktori nav reģistrēti.</w:t>
            </w:r>
          </w:p>
        </w:tc>
      </w:tr>
      <w:tr w:rsidR="00E30B04" w:rsidRPr="00675182" w14:paraId="04D2243B"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3D9289B8"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39BA3EDF" w14:textId="77777777" w:rsidR="00E30B04" w:rsidRPr="00675182" w:rsidRDefault="00E30B04" w:rsidP="00666D08">
            <w:pPr>
              <w:rPr>
                <w:rFonts w:cstheme="minorHAnsi"/>
                <w:sz w:val="20"/>
              </w:rPr>
            </w:pPr>
            <w:r w:rsidRPr="00675182">
              <w:rPr>
                <w:rFonts w:cstheme="minorHAnsi"/>
                <w:sz w:val="20"/>
              </w:rPr>
              <w:t>Resnvēdera purvuspāre,</w:t>
            </w:r>
          </w:p>
        </w:tc>
        <w:tc>
          <w:tcPr>
            <w:tcW w:w="844" w:type="pct"/>
            <w:tcBorders>
              <w:top w:val="single" w:sz="4" w:space="0" w:color="auto"/>
              <w:left w:val="single" w:sz="4" w:space="0" w:color="auto"/>
              <w:bottom w:val="single" w:sz="4" w:space="0" w:color="auto"/>
              <w:right w:val="single" w:sz="4" w:space="0" w:color="auto"/>
            </w:tcBorders>
            <w:vAlign w:val="center"/>
            <w:hideMark/>
          </w:tcPr>
          <w:p w14:paraId="390AC17C" w14:textId="77777777" w:rsidR="00E30B04" w:rsidRPr="00675182" w:rsidRDefault="00E30B04" w:rsidP="00666D08">
            <w:pPr>
              <w:rPr>
                <w:rFonts w:cstheme="minorHAnsi"/>
                <w:sz w:val="20"/>
              </w:rPr>
            </w:pPr>
            <w:r w:rsidRPr="00675182">
              <w:rPr>
                <w:rFonts w:cstheme="minorHAnsi"/>
                <w:i/>
                <w:sz w:val="20"/>
              </w:rPr>
              <w:t>Leucorrhinia caudalis</w:t>
            </w:r>
          </w:p>
        </w:tc>
        <w:tc>
          <w:tcPr>
            <w:tcW w:w="535" w:type="pct"/>
            <w:tcBorders>
              <w:top w:val="single" w:sz="4" w:space="0" w:color="auto"/>
              <w:left w:val="single" w:sz="4" w:space="0" w:color="auto"/>
              <w:bottom w:val="single" w:sz="4" w:space="0" w:color="auto"/>
              <w:right w:val="single" w:sz="4" w:space="0" w:color="auto"/>
            </w:tcBorders>
            <w:vAlign w:val="center"/>
            <w:hideMark/>
          </w:tcPr>
          <w:p w14:paraId="6CAD8F08" w14:textId="77777777" w:rsidR="00E30B04" w:rsidRPr="00675182" w:rsidRDefault="00E30B04" w:rsidP="00666D08">
            <w:pPr>
              <w:pStyle w:val="Header"/>
              <w:tabs>
                <w:tab w:val="left" w:pos="720"/>
              </w:tabs>
              <w:rPr>
                <w:rFonts w:cstheme="minorHAnsi"/>
                <w:sz w:val="20"/>
                <w:lang w:val="lv-LV"/>
              </w:rPr>
            </w:pPr>
            <w:r w:rsidRPr="00675182">
              <w:rPr>
                <w:rFonts w:cstheme="minorHAnsi"/>
                <w:sz w:val="20"/>
                <w:lang w:val="lv-LV"/>
              </w:rPr>
              <w:t>ES IV, ĪAS 1</w:t>
            </w:r>
          </w:p>
        </w:tc>
        <w:tc>
          <w:tcPr>
            <w:tcW w:w="525" w:type="pct"/>
            <w:tcBorders>
              <w:top w:val="single" w:sz="4" w:space="0" w:color="auto"/>
              <w:left w:val="single" w:sz="4" w:space="0" w:color="auto"/>
              <w:bottom w:val="single" w:sz="4" w:space="0" w:color="auto"/>
              <w:right w:val="single" w:sz="4" w:space="0" w:color="auto"/>
            </w:tcBorders>
            <w:vAlign w:val="center"/>
          </w:tcPr>
          <w:p w14:paraId="59550FB4" w14:textId="77777777" w:rsidR="00E30B04" w:rsidRPr="00675182" w:rsidRDefault="00E30B04" w:rsidP="00666D08">
            <w:pPr>
              <w:rPr>
                <w:rFonts w:eastAsia="Times New Roman" w:cstheme="minorHAnsi"/>
                <w:color w:val="000000"/>
                <w:sz w:val="20"/>
                <w:lang w:eastAsia="en-GB"/>
              </w:rPr>
            </w:pPr>
          </w:p>
        </w:tc>
        <w:tc>
          <w:tcPr>
            <w:tcW w:w="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2F485883" w14:textId="77777777" w:rsidR="00E30B04" w:rsidRPr="00675182" w:rsidRDefault="00E30B04" w:rsidP="00666D08">
            <w:pPr>
              <w:rPr>
                <w:rFonts w:eastAsia="Times New Roman" w:cstheme="minorHAnsi"/>
                <w:bCs/>
                <w:color w:val="000000"/>
                <w:sz w:val="22"/>
                <w:szCs w:val="22"/>
                <w:lang w:eastAsia="en-GB"/>
              </w:rPr>
            </w:pPr>
            <w:r w:rsidRPr="00675182">
              <w:t>U1</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578778E" w14:textId="77777777" w:rsidR="00E30B04" w:rsidRPr="00675182" w:rsidRDefault="00E30B04" w:rsidP="00666D08">
            <w:pPr>
              <w:spacing w:line="254" w:lineRule="auto"/>
              <w:rPr>
                <w:sz w:val="20"/>
              </w:rPr>
            </w:pPr>
            <w:r w:rsidRPr="00675182">
              <w:rPr>
                <w:sz w:val="20"/>
              </w:rPr>
              <w:t>FV</w:t>
            </w:r>
          </w:p>
          <w:p w14:paraId="798F2D84" w14:textId="77777777" w:rsidR="00E30B04" w:rsidRPr="00675182" w:rsidRDefault="00E30B04" w:rsidP="00666D08">
            <w:pPr>
              <w:rPr>
                <w:rFonts w:cstheme="minorHAnsi"/>
                <w:bCs/>
                <w:color w:val="000000"/>
                <w:sz w:val="22"/>
                <w:szCs w:val="22"/>
              </w:rPr>
            </w:pPr>
            <w:r w:rsidRPr="00675182">
              <w:rPr>
                <w:sz w:val="20"/>
              </w:rPr>
              <w:t>Sugas populāciju negatīvi ietekmējošie faktori nav reģistrēti.</w:t>
            </w:r>
          </w:p>
        </w:tc>
      </w:tr>
      <w:tr w:rsidR="00E30B04" w:rsidRPr="00675182" w14:paraId="7400B17E"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0CC4A7E7"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6F6A12CB" w14:textId="77777777" w:rsidR="00E30B04" w:rsidRPr="00675182" w:rsidRDefault="00E30B04" w:rsidP="00666D08">
            <w:pPr>
              <w:rPr>
                <w:rFonts w:cstheme="minorHAnsi"/>
                <w:sz w:val="20"/>
              </w:rPr>
            </w:pPr>
            <w:r w:rsidRPr="00675182">
              <w:rPr>
                <w:rFonts w:eastAsia="Times New Roman"/>
                <w:sz w:val="20"/>
              </w:rPr>
              <w:t>Medicīnas dēle</w:t>
            </w:r>
          </w:p>
        </w:tc>
        <w:tc>
          <w:tcPr>
            <w:tcW w:w="844" w:type="pct"/>
            <w:tcBorders>
              <w:top w:val="single" w:sz="4" w:space="0" w:color="auto"/>
              <w:left w:val="single" w:sz="4" w:space="0" w:color="auto"/>
              <w:bottom w:val="single" w:sz="4" w:space="0" w:color="auto"/>
              <w:right w:val="single" w:sz="4" w:space="0" w:color="auto"/>
            </w:tcBorders>
            <w:vAlign w:val="center"/>
            <w:hideMark/>
          </w:tcPr>
          <w:p w14:paraId="535FF9B2" w14:textId="77777777" w:rsidR="00E30B04" w:rsidRPr="00675182" w:rsidRDefault="00E30B04" w:rsidP="00666D08">
            <w:pPr>
              <w:rPr>
                <w:rFonts w:cstheme="minorHAnsi"/>
                <w:i/>
                <w:sz w:val="20"/>
              </w:rPr>
            </w:pPr>
            <w:r w:rsidRPr="00675182">
              <w:rPr>
                <w:rFonts w:eastAsia="Times New Roman"/>
                <w:i/>
                <w:sz w:val="20"/>
              </w:rPr>
              <w:t>Hirudo medicinalis</w:t>
            </w:r>
          </w:p>
        </w:tc>
        <w:tc>
          <w:tcPr>
            <w:tcW w:w="535" w:type="pct"/>
            <w:tcBorders>
              <w:top w:val="single" w:sz="4" w:space="0" w:color="auto"/>
              <w:left w:val="single" w:sz="4" w:space="0" w:color="auto"/>
              <w:bottom w:val="single" w:sz="4" w:space="0" w:color="auto"/>
              <w:right w:val="single" w:sz="4" w:space="0" w:color="auto"/>
            </w:tcBorders>
            <w:vAlign w:val="center"/>
            <w:hideMark/>
          </w:tcPr>
          <w:p w14:paraId="23FAF68F" w14:textId="77777777" w:rsidR="00E30B04" w:rsidRPr="00675182" w:rsidRDefault="00E30B04" w:rsidP="00666D08">
            <w:pPr>
              <w:pStyle w:val="Header"/>
              <w:tabs>
                <w:tab w:val="left" w:pos="720"/>
              </w:tabs>
              <w:rPr>
                <w:rFonts w:cstheme="minorHAnsi"/>
                <w:sz w:val="20"/>
                <w:lang w:val="lv-LV"/>
              </w:rPr>
            </w:pPr>
            <w:r w:rsidRPr="00675182">
              <w:rPr>
                <w:rFonts w:cstheme="minorHAnsi"/>
                <w:sz w:val="20"/>
                <w:lang w:val="lv-LV"/>
              </w:rPr>
              <w:t>ES IV, ĪAS</w:t>
            </w:r>
          </w:p>
        </w:tc>
        <w:tc>
          <w:tcPr>
            <w:tcW w:w="525" w:type="pct"/>
            <w:tcBorders>
              <w:top w:val="single" w:sz="4" w:space="0" w:color="auto"/>
              <w:left w:val="single" w:sz="4" w:space="0" w:color="auto"/>
              <w:bottom w:val="single" w:sz="4" w:space="0" w:color="auto"/>
              <w:right w:val="single" w:sz="4" w:space="0" w:color="auto"/>
            </w:tcBorders>
            <w:vAlign w:val="center"/>
          </w:tcPr>
          <w:p w14:paraId="6DD19E11" w14:textId="77777777" w:rsidR="00E30B04" w:rsidRPr="00675182" w:rsidRDefault="00E30B04" w:rsidP="00666D08">
            <w:pPr>
              <w:rPr>
                <w:rFonts w:eastAsia="Times New Roman" w:cstheme="minorHAnsi"/>
                <w:color w:val="000000"/>
                <w:sz w:val="20"/>
                <w:lang w:eastAsia="en-GB"/>
              </w:rPr>
            </w:pPr>
          </w:p>
        </w:tc>
        <w:tc>
          <w:tcPr>
            <w:tcW w:w="5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9F561" w14:textId="77777777" w:rsidR="00E30B04" w:rsidRPr="00675182" w:rsidRDefault="00E30B04" w:rsidP="00666D08">
            <w:pPr>
              <w:rPr>
                <w:rFonts w:cstheme="minorHAnsi"/>
              </w:rPr>
            </w:pPr>
            <w:r w:rsidRPr="00675182">
              <w:rPr>
                <w:rFonts w:eastAsia="Times New Roman"/>
                <w:color w:val="000000"/>
                <w:sz w:val="20"/>
                <w:lang w:eastAsia="en-GB"/>
              </w:rPr>
              <w:t>XX</w:t>
            </w:r>
          </w:p>
        </w:tc>
        <w:tc>
          <w:tcPr>
            <w:tcW w:w="144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C373FD1" w14:textId="77777777" w:rsidR="00E30B04" w:rsidRPr="00675182" w:rsidRDefault="00E30B04" w:rsidP="00666D08">
            <w:pPr>
              <w:spacing w:line="254" w:lineRule="auto"/>
              <w:rPr>
                <w:sz w:val="20"/>
              </w:rPr>
            </w:pPr>
            <w:r w:rsidRPr="00675182">
              <w:rPr>
                <w:sz w:val="20"/>
              </w:rPr>
              <w:t>FV</w:t>
            </w:r>
          </w:p>
          <w:p w14:paraId="0E97E389" w14:textId="77777777" w:rsidR="00E30B04" w:rsidRPr="00675182" w:rsidRDefault="00E30B04" w:rsidP="00666D08">
            <w:pPr>
              <w:rPr>
                <w:rFonts w:cstheme="minorHAnsi"/>
                <w:bCs/>
                <w:color w:val="000000"/>
                <w:sz w:val="22"/>
                <w:szCs w:val="22"/>
              </w:rPr>
            </w:pPr>
            <w:r w:rsidRPr="00675182">
              <w:rPr>
                <w:sz w:val="20"/>
              </w:rPr>
              <w:lastRenderedPageBreak/>
              <w:t>Suga plaši sastopama teritorijā, uzskaitītas 14 mikropopulācijas (SAP)</w:t>
            </w:r>
          </w:p>
        </w:tc>
      </w:tr>
      <w:tr w:rsidR="00E30B04" w:rsidRPr="00675182" w14:paraId="1E260C12"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59A62DDA" w14:textId="77777777" w:rsidR="00E30B04" w:rsidRPr="00675182" w:rsidRDefault="00E30B04" w:rsidP="00A84218">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hideMark/>
          </w:tcPr>
          <w:p w14:paraId="5739E06E" w14:textId="77777777" w:rsidR="00E30B04" w:rsidRPr="00675182" w:rsidRDefault="00E30B04" w:rsidP="00666D08">
            <w:pPr>
              <w:rPr>
                <w:rFonts w:cstheme="minorHAnsi"/>
                <w:sz w:val="20"/>
              </w:rPr>
            </w:pPr>
            <w:r w:rsidRPr="00675182">
              <w:rPr>
                <w:rFonts w:cstheme="minorHAnsi"/>
                <w:sz w:val="20"/>
              </w:rPr>
              <w:t>Parka vīngliemezis</w:t>
            </w:r>
          </w:p>
        </w:tc>
        <w:tc>
          <w:tcPr>
            <w:tcW w:w="844" w:type="pct"/>
            <w:tcBorders>
              <w:top w:val="single" w:sz="4" w:space="0" w:color="auto"/>
              <w:left w:val="single" w:sz="4" w:space="0" w:color="auto"/>
              <w:bottom w:val="single" w:sz="4" w:space="0" w:color="auto"/>
              <w:right w:val="single" w:sz="4" w:space="0" w:color="auto"/>
            </w:tcBorders>
            <w:vAlign w:val="center"/>
            <w:hideMark/>
          </w:tcPr>
          <w:p w14:paraId="6263CCCD" w14:textId="77777777" w:rsidR="00E30B04" w:rsidRPr="00675182" w:rsidRDefault="00E30B04" w:rsidP="00666D08">
            <w:pPr>
              <w:rPr>
                <w:rFonts w:cstheme="minorHAnsi"/>
                <w:i/>
                <w:sz w:val="20"/>
              </w:rPr>
            </w:pPr>
            <w:r w:rsidRPr="00675182">
              <w:rPr>
                <w:rFonts w:cstheme="minorHAnsi"/>
                <w:i/>
                <w:sz w:val="20"/>
              </w:rPr>
              <w:t>Helix pomatia</w:t>
            </w:r>
          </w:p>
        </w:tc>
        <w:tc>
          <w:tcPr>
            <w:tcW w:w="535" w:type="pct"/>
            <w:tcBorders>
              <w:top w:val="single" w:sz="4" w:space="0" w:color="auto"/>
              <w:left w:val="single" w:sz="4" w:space="0" w:color="auto"/>
              <w:bottom w:val="single" w:sz="4" w:space="0" w:color="auto"/>
              <w:right w:val="single" w:sz="4" w:space="0" w:color="auto"/>
            </w:tcBorders>
            <w:vAlign w:val="center"/>
            <w:hideMark/>
          </w:tcPr>
          <w:p w14:paraId="29B4C371" w14:textId="77777777" w:rsidR="00E30B04" w:rsidRPr="00675182" w:rsidRDefault="00E30B04" w:rsidP="00666D08">
            <w:pPr>
              <w:rPr>
                <w:rFonts w:cstheme="minorHAnsi"/>
                <w:sz w:val="20"/>
              </w:rPr>
            </w:pPr>
            <w:r w:rsidRPr="00675182">
              <w:rPr>
                <w:rFonts w:cstheme="minorHAnsi"/>
                <w:sz w:val="20"/>
              </w:rPr>
              <w:t>ES V, ĪAS 2</w:t>
            </w:r>
          </w:p>
        </w:tc>
        <w:tc>
          <w:tcPr>
            <w:tcW w:w="525" w:type="pct"/>
            <w:tcBorders>
              <w:top w:val="single" w:sz="4" w:space="0" w:color="auto"/>
              <w:left w:val="single" w:sz="4" w:space="0" w:color="auto"/>
              <w:bottom w:val="single" w:sz="4" w:space="0" w:color="auto"/>
              <w:right w:val="single" w:sz="4" w:space="0" w:color="auto"/>
            </w:tcBorders>
            <w:vAlign w:val="center"/>
          </w:tcPr>
          <w:p w14:paraId="16BAA044" w14:textId="77777777" w:rsidR="00E30B04" w:rsidRPr="00675182" w:rsidRDefault="00E30B04" w:rsidP="00666D08">
            <w:pPr>
              <w:rPr>
                <w:rFonts w:eastAsia="Times New Roman" w:cstheme="minorHAnsi"/>
                <w:color w:val="000000"/>
                <w:sz w:val="20"/>
                <w:lang w:eastAsia="en-GB"/>
              </w:rPr>
            </w:pPr>
          </w:p>
        </w:tc>
        <w:tc>
          <w:tcPr>
            <w:tcW w:w="50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0A31EDB" w14:textId="77777777" w:rsidR="00E30B04" w:rsidRPr="00675182" w:rsidRDefault="00E30B04" w:rsidP="00666D08">
            <w:pPr>
              <w:rPr>
                <w:rFonts w:eastAsia="Times New Roman" w:cstheme="minorHAnsi"/>
                <w:bCs/>
                <w:color w:val="000000"/>
                <w:sz w:val="22"/>
                <w:szCs w:val="22"/>
                <w:lang w:eastAsia="en-GB"/>
              </w:rPr>
            </w:pPr>
            <w:r w:rsidRPr="00675182">
              <w:t>FV</w:t>
            </w:r>
          </w:p>
        </w:tc>
        <w:tc>
          <w:tcPr>
            <w:tcW w:w="1446" w:type="pct"/>
            <w:tcBorders>
              <w:top w:val="single" w:sz="4" w:space="0" w:color="auto"/>
              <w:left w:val="single" w:sz="4" w:space="0" w:color="auto"/>
              <w:bottom w:val="single" w:sz="4" w:space="0" w:color="auto"/>
              <w:right w:val="single" w:sz="4" w:space="0" w:color="auto"/>
            </w:tcBorders>
            <w:vAlign w:val="center"/>
          </w:tcPr>
          <w:p w14:paraId="5CE37C57" w14:textId="77777777" w:rsidR="00E30B04" w:rsidRPr="00675182" w:rsidRDefault="00E30B04" w:rsidP="00666D08">
            <w:pPr>
              <w:rPr>
                <w:rFonts w:cstheme="minorHAnsi"/>
                <w:bCs/>
                <w:color w:val="000000"/>
                <w:sz w:val="22"/>
                <w:szCs w:val="22"/>
              </w:rPr>
            </w:pPr>
          </w:p>
        </w:tc>
      </w:tr>
      <w:tr w:rsidR="003B7F6F" w:rsidRPr="00675182" w14:paraId="1B592A03" w14:textId="77777777" w:rsidTr="003B7F6F">
        <w:trPr>
          <w:trHeight w:val="284"/>
        </w:trPr>
        <w:tc>
          <w:tcPr>
            <w:tcW w:w="494" w:type="pct"/>
            <w:tcBorders>
              <w:top w:val="single" w:sz="4" w:space="0" w:color="auto"/>
              <w:left w:val="single" w:sz="4" w:space="0" w:color="auto"/>
              <w:bottom w:val="single" w:sz="4" w:space="0" w:color="auto"/>
              <w:right w:val="single" w:sz="4" w:space="0" w:color="auto"/>
            </w:tcBorders>
            <w:vAlign w:val="center"/>
          </w:tcPr>
          <w:p w14:paraId="78ECED99" w14:textId="77777777" w:rsidR="003B7F6F" w:rsidRPr="00675182" w:rsidRDefault="003B7F6F" w:rsidP="003B7F6F">
            <w:pPr>
              <w:pStyle w:val="ListParagraph"/>
              <w:numPr>
                <w:ilvl w:val="0"/>
                <w:numId w:val="72"/>
              </w:numPr>
              <w:rPr>
                <w:rFonts w:eastAsia="Times New Roman" w:cstheme="minorHAnsi"/>
                <w:bCs/>
                <w:color w:val="000000"/>
                <w:sz w:val="20"/>
                <w:lang w:eastAsia="en-GB"/>
              </w:rPr>
            </w:pPr>
          </w:p>
        </w:tc>
        <w:tc>
          <w:tcPr>
            <w:tcW w:w="655" w:type="pct"/>
            <w:tcBorders>
              <w:top w:val="single" w:sz="4" w:space="0" w:color="auto"/>
              <w:left w:val="single" w:sz="4" w:space="0" w:color="auto"/>
              <w:bottom w:val="single" w:sz="4" w:space="0" w:color="auto"/>
              <w:right w:val="single" w:sz="4" w:space="0" w:color="auto"/>
            </w:tcBorders>
            <w:vAlign w:val="center"/>
          </w:tcPr>
          <w:p w14:paraId="46AD6485" w14:textId="77777777" w:rsidR="003B7F6F" w:rsidRPr="003B7F6F" w:rsidRDefault="003B7F6F" w:rsidP="003B7F6F">
            <w:pPr>
              <w:rPr>
                <w:rFonts w:eastAsia="Times New Roman" w:cstheme="minorHAnsi"/>
                <w:i/>
                <w:iCs/>
                <w:color w:val="000000"/>
                <w:sz w:val="20"/>
              </w:rPr>
            </w:pPr>
            <w:r w:rsidRPr="003B7F6F">
              <w:rPr>
                <w:rFonts w:eastAsia="Times New Roman" w:cstheme="minorHAnsi"/>
                <w:color w:val="000000"/>
                <w:sz w:val="20"/>
                <w:lang w:eastAsia="en-GB"/>
              </w:rPr>
              <w:t>Austrumu koksngrauzis</w:t>
            </w:r>
          </w:p>
          <w:p w14:paraId="3463F4CD" w14:textId="1B75972A" w:rsidR="003B7F6F" w:rsidRPr="003B7F6F" w:rsidRDefault="003B7F6F" w:rsidP="003B7F6F">
            <w:pPr>
              <w:rPr>
                <w:rFonts w:cstheme="minorHAnsi"/>
                <w:sz w:val="20"/>
              </w:rPr>
            </w:pPr>
          </w:p>
        </w:tc>
        <w:tc>
          <w:tcPr>
            <w:tcW w:w="844" w:type="pct"/>
            <w:tcBorders>
              <w:top w:val="single" w:sz="4" w:space="0" w:color="auto"/>
              <w:left w:val="single" w:sz="4" w:space="0" w:color="auto"/>
              <w:bottom w:val="single" w:sz="4" w:space="0" w:color="auto"/>
              <w:right w:val="single" w:sz="4" w:space="0" w:color="auto"/>
            </w:tcBorders>
            <w:vAlign w:val="center"/>
          </w:tcPr>
          <w:p w14:paraId="79B33DCD" w14:textId="0934DF6F" w:rsidR="003B7F6F" w:rsidRPr="003B7F6F" w:rsidRDefault="003B7F6F" w:rsidP="003B7F6F">
            <w:pPr>
              <w:rPr>
                <w:rFonts w:cstheme="minorHAnsi"/>
                <w:i/>
                <w:sz w:val="20"/>
              </w:rPr>
            </w:pPr>
            <w:r w:rsidRPr="003B7F6F">
              <w:rPr>
                <w:rFonts w:eastAsia="Times New Roman" w:cstheme="minorHAnsi"/>
                <w:i/>
                <w:iCs/>
                <w:color w:val="000000"/>
                <w:sz w:val="20"/>
              </w:rPr>
              <w:t>Mesosa myops</w:t>
            </w:r>
          </w:p>
        </w:tc>
        <w:tc>
          <w:tcPr>
            <w:tcW w:w="535" w:type="pct"/>
            <w:tcBorders>
              <w:top w:val="single" w:sz="4" w:space="0" w:color="auto"/>
              <w:left w:val="single" w:sz="4" w:space="0" w:color="auto"/>
              <w:bottom w:val="single" w:sz="4" w:space="0" w:color="auto"/>
              <w:right w:val="single" w:sz="4" w:space="0" w:color="auto"/>
            </w:tcBorders>
            <w:vAlign w:val="center"/>
          </w:tcPr>
          <w:p w14:paraId="6C56DFCD" w14:textId="6CDC8074" w:rsidR="003B7F6F" w:rsidRPr="003B7F6F" w:rsidRDefault="003B7F6F" w:rsidP="003B7F6F">
            <w:pPr>
              <w:rPr>
                <w:rFonts w:cstheme="minorHAnsi"/>
                <w:sz w:val="20"/>
              </w:rPr>
            </w:pPr>
            <w:r w:rsidRPr="003B7F6F">
              <w:rPr>
                <w:rFonts w:cstheme="minorHAnsi"/>
                <w:sz w:val="20"/>
              </w:rPr>
              <w:t>ES II, ĪAS 1</w:t>
            </w:r>
          </w:p>
        </w:tc>
        <w:tc>
          <w:tcPr>
            <w:tcW w:w="525" w:type="pct"/>
            <w:tcBorders>
              <w:top w:val="single" w:sz="4" w:space="0" w:color="auto"/>
              <w:left w:val="single" w:sz="4" w:space="0" w:color="auto"/>
              <w:bottom w:val="single" w:sz="4" w:space="0" w:color="auto"/>
              <w:right w:val="single" w:sz="4" w:space="0" w:color="auto"/>
            </w:tcBorders>
            <w:vAlign w:val="center"/>
          </w:tcPr>
          <w:p w14:paraId="5BD49EE7" w14:textId="77777777" w:rsidR="003B7F6F" w:rsidRPr="003B7F6F" w:rsidRDefault="003B7F6F" w:rsidP="003B7F6F">
            <w:pPr>
              <w:rPr>
                <w:rFonts w:eastAsia="Times New Roman" w:cstheme="minorHAnsi"/>
                <w:color w:val="000000"/>
                <w:sz w:val="20"/>
                <w:lang w:eastAsia="en-GB"/>
              </w:rPr>
            </w:pPr>
          </w:p>
        </w:tc>
        <w:tc>
          <w:tcPr>
            <w:tcW w:w="501" w:type="pct"/>
            <w:tcBorders>
              <w:top w:val="single" w:sz="4" w:space="0" w:color="auto"/>
              <w:left w:val="single" w:sz="4" w:space="0" w:color="auto"/>
              <w:bottom w:val="single" w:sz="4" w:space="0" w:color="auto"/>
              <w:right w:val="single" w:sz="4" w:space="0" w:color="auto"/>
            </w:tcBorders>
            <w:vAlign w:val="center"/>
          </w:tcPr>
          <w:p w14:paraId="06E0DF42" w14:textId="77777777" w:rsidR="003B7F6F" w:rsidRPr="003B7F6F" w:rsidRDefault="003B7F6F" w:rsidP="003B7F6F">
            <w:pPr>
              <w:rPr>
                <w:rFonts w:cstheme="minorHAnsi"/>
              </w:rPr>
            </w:pPr>
          </w:p>
        </w:tc>
        <w:tc>
          <w:tcPr>
            <w:tcW w:w="144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38D887" w14:textId="77777777" w:rsidR="003B7F6F" w:rsidRPr="003B7F6F" w:rsidRDefault="003B7F6F" w:rsidP="003B7F6F">
            <w:pPr>
              <w:spacing w:line="254" w:lineRule="auto"/>
              <w:rPr>
                <w:rFonts w:cstheme="minorHAnsi"/>
                <w:bCs/>
                <w:sz w:val="20"/>
              </w:rPr>
            </w:pPr>
            <w:r w:rsidRPr="003B7F6F">
              <w:rPr>
                <w:rFonts w:cstheme="minorHAnsi"/>
                <w:sz w:val="20"/>
              </w:rPr>
              <w:t>XX</w:t>
            </w:r>
          </w:p>
          <w:p w14:paraId="7BE1AA8F" w14:textId="39D78C95" w:rsidR="003B7F6F" w:rsidRPr="003B7F6F" w:rsidRDefault="003B7F6F" w:rsidP="003B7F6F">
            <w:pPr>
              <w:rPr>
                <w:rFonts w:cstheme="minorHAnsi"/>
                <w:bCs/>
                <w:color w:val="000000"/>
                <w:sz w:val="22"/>
                <w:szCs w:val="22"/>
              </w:rPr>
            </w:pPr>
            <w:r w:rsidRPr="003B7F6F">
              <w:rPr>
                <w:rFonts w:cstheme="minorHAnsi"/>
                <w:sz w:val="20"/>
              </w:rPr>
              <w:t>Aktuālie dati nav konstatēti. Dzīvotnes kvalitāte laba. Nepieciešami sugas pētījumi.</w:t>
            </w:r>
          </w:p>
        </w:tc>
      </w:tr>
    </w:tbl>
    <w:p w14:paraId="7084B99D" w14:textId="77777777" w:rsidR="00E30B04" w:rsidRPr="00675182" w:rsidRDefault="00E30B04" w:rsidP="00E30B04">
      <w:pPr>
        <w:rPr>
          <w:rFonts w:cstheme="minorHAnsi"/>
          <w:sz w:val="20"/>
        </w:rPr>
      </w:pPr>
      <w:r w:rsidRPr="00675182">
        <w:rPr>
          <w:rFonts w:cstheme="minorHAnsi"/>
          <w:sz w:val="20"/>
        </w:rPr>
        <w:t xml:space="preserve">Informācija par sugu aizsardzības stāvokli Latvijā no „Ziņojums Eiropas Komisijai par biotopu (dzīvotņu) un sugu aizsardzības stāvokli Latvijā. Novērtējums par 2013.-2018. gada periodu” </w:t>
      </w:r>
      <w:r w:rsidRPr="00675182">
        <w:rPr>
          <w:rFonts w:cstheme="minorHAnsi"/>
          <w:b/>
          <w:bCs/>
          <w:sz w:val="20"/>
        </w:rPr>
        <w:t>FV</w:t>
      </w:r>
      <w:r w:rsidRPr="00675182">
        <w:rPr>
          <w:rFonts w:cstheme="minorHAnsi"/>
          <w:sz w:val="20"/>
        </w:rPr>
        <w:t xml:space="preserve">: Aizsardzības stāvoklis labvēlīgs (Favourable); </w:t>
      </w:r>
      <w:r w:rsidRPr="00675182">
        <w:rPr>
          <w:rFonts w:cstheme="minorHAnsi"/>
          <w:b/>
          <w:bCs/>
          <w:sz w:val="20"/>
        </w:rPr>
        <w:t>U1</w:t>
      </w:r>
      <w:r w:rsidRPr="00675182">
        <w:rPr>
          <w:rFonts w:cstheme="minorHAnsi"/>
          <w:sz w:val="20"/>
        </w:rPr>
        <w:t xml:space="preserve">: Aizsardzības stāvoklis nelabvēlīgs-nepietiekams (Unfavourable-Inadequate); </w:t>
      </w:r>
      <w:r w:rsidRPr="00675182">
        <w:rPr>
          <w:rFonts w:cstheme="minorHAnsi"/>
          <w:b/>
          <w:bCs/>
          <w:sz w:val="20"/>
        </w:rPr>
        <w:t>U2</w:t>
      </w:r>
      <w:r w:rsidRPr="00675182">
        <w:rPr>
          <w:rFonts w:cstheme="minorHAnsi"/>
          <w:sz w:val="20"/>
        </w:rPr>
        <w:t xml:space="preserve">: Aizsardzības stāvoklis nelabvēlīgs-slikts (Unfavourable-Bad); </w:t>
      </w:r>
      <w:r w:rsidRPr="00675182">
        <w:rPr>
          <w:rFonts w:cstheme="minorHAnsi"/>
          <w:b/>
          <w:bCs/>
          <w:sz w:val="20"/>
        </w:rPr>
        <w:t>XX</w:t>
      </w:r>
      <w:r w:rsidRPr="00675182">
        <w:rPr>
          <w:rFonts w:cstheme="minorHAnsi"/>
          <w:sz w:val="20"/>
        </w:rPr>
        <w:t xml:space="preserve">: Aizsardzības stāvoklis nezināms (Unknown). </w:t>
      </w:r>
    </w:p>
    <w:p w14:paraId="2ED1A649" w14:textId="77777777" w:rsidR="00E30B04" w:rsidRPr="00675182" w:rsidRDefault="00E30B04" w:rsidP="00E30B04">
      <w:pPr>
        <w:rPr>
          <w:rFonts w:cstheme="minorHAnsi"/>
          <w:b/>
          <w:i/>
          <w:szCs w:val="24"/>
        </w:rPr>
      </w:pPr>
    </w:p>
    <w:p w14:paraId="3BE507E0" w14:textId="77777777" w:rsidR="00E30B04" w:rsidRPr="00675182" w:rsidRDefault="00E30B04" w:rsidP="00E30B04">
      <w:pPr>
        <w:rPr>
          <w:rFonts w:cstheme="minorHAnsi"/>
          <w:b/>
          <w:iCs/>
          <w:sz w:val="20"/>
        </w:rPr>
      </w:pPr>
      <w:r w:rsidRPr="00675182">
        <w:rPr>
          <w:rFonts w:cstheme="minorHAnsi"/>
          <w:b/>
          <w:iCs/>
          <w:sz w:val="20"/>
        </w:rPr>
        <w:t>Saīsinājumi:</w:t>
      </w:r>
    </w:p>
    <w:p w14:paraId="5C6BEF8B" w14:textId="77777777" w:rsidR="00E30B04" w:rsidRPr="00675182" w:rsidRDefault="00E30B04" w:rsidP="00E30B04">
      <w:pPr>
        <w:shd w:val="clear" w:color="auto" w:fill="FFFFFF"/>
        <w:rPr>
          <w:rFonts w:cstheme="minorHAnsi"/>
          <w:spacing w:val="-1"/>
          <w:sz w:val="20"/>
        </w:rPr>
      </w:pPr>
      <w:r w:rsidRPr="00675182">
        <w:rPr>
          <w:rFonts w:cstheme="minorHAnsi"/>
          <w:b/>
          <w:bCs/>
          <w:spacing w:val="-1"/>
          <w:sz w:val="20"/>
        </w:rPr>
        <w:t xml:space="preserve">SG </w:t>
      </w:r>
      <w:r w:rsidRPr="00675182">
        <w:rPr>
          <w:rFonts w:cstheme="minorHAnsi"/>
          <w:spacing w:val="-1"/>
          <w:sz w:val="20"/>
        </w:rPr>
        <w:t xml:space="preserve">- Latvijas Sarkanā grāmata (Spuris, 1998). SG tiek lietotas šādas apdraudēto sugu kategorijas: </w:t>
      </w:r>
      <w:r w:rsidRPr="00675182">
        <w:rPr>
          <w:rFonts w:cstheme="minorHAnsi"/>
          <w:b/>
          <w:bCs/>
          <w:sz w:val="20"/>
        </w:rPr>
        <w:t>I</w:t>
      </w:r>
      <w:r w:rsidRPr="00675182">
        <w:rPr>
          <w:rFonts w:cstheme="minorHAnsi"/>
          <w:sz w:val="20"/>
        </w:rPr>
        <w:t xml:space="preserve"> - izzūdošās sugas; </w:t>
      </w:r>
      <w:r w:rsidRPr="00675182">
        <w:rPr>
          <w:rFonts w:cstheme="minorHAnsi"/>
          <w:b/>
          <w:bCs/>
          <w:sz w:val="20"/>
        </w:rPr>
        <w:t>II</w:t>
      </w:r>
      <w:r w:rsidRPr="00675182">
        <w:rPr>
          <w:rFonts w:cstheme="minorHAnsi"/>
          <w:sz w:val="20"/>
        </w:rPr>
        <w:t xml:space="preserve"> </w:t>
      </w:r>
      <w:r w:rsidRPr="00675182">
        <w:rPr>
          <w:rFonts w:cstheme="minorHAnsi"/>
          <w:spacing w:val="-1"/>
          <w:sz w:val="20"/>
        </w:rPr>
        <w:t xml:space="preserve">- sarūkošās sugas; </w:t>
      </w:r>
      <w:r w:rsidRPr="00675182">
        <w:rPr>
          <w:rFonts w:cstheme="minorHAnsi"/>
          <w:b/>
          <w:bCs/>
          <w:spacing w:val="-1"/>
          <w:sz w:val="20"/>
        </w:rPr>
        <w:t>III</w:t>
      </w:r>
      <w:r w:rsidRPr="00675182">
        <w:rPr>
          <w:rFonts w:cstheme="minorHAnsi"/>
          <w:spacing w:val="-1"/>
          <w:sz w:val="20"/>
        </w:rPr>
        <w:t xml:space="preserve"> - retās sugas; </w:t>
      </w:r>
      <w:r w:rsidRPr="00675182">
        <w:rPr>
          <w:rFonts w:cstheme="minorHAnsi"/>
          <w:b/>
          <w:bCs/>
          <w:spacing w:val="-1"/>
          <w:sz w:val="20"/>
        </w:rPr>
        <w:t>IV</w:t>
      </w:r>
      <w:r w:rsidRPr="00675182">
        <w:rPr>
          <w:rFonts w:cstheme="minorHAnsi"/>
          <w:spacing w:val="-1"/>
          <w:sz w:val="20"/>
        </w:rPr>
        <w:t xml:space="preserve"> - maz pazīstamās sugas.</w:t>
      </w:r>
    </w:p>
    <w:p w14:paraId="33D1992A" w14:textId="77777777" w:rsidR="00E30B04" w:rsidRPr="00675182" w:rsidRDefault="00E30B04" w:rsidP="00E30B04">
      <w:pPr>
        <w:pStyle w:val="BodyText"/>
        <w:spacing w:after="0"/>
        <w:rPr>
          <w:rFonts w:cstheme="minorHAnsi"/>
          <w:sz w:val="20"/>
          <w:lang w:val="lv-LV"/>
        </w:rPr>
      </w:pPr>
      <w:r w:rsidRPr="00675182">
        <w:rPr>
          <w:rFonts w:cstheme="minorHAnsi"/>
          <w:b/>
          <w:sz w:val="20"/>
          <w:lang w:val="lv-LV"/>
        </w:rPr>
        <w:t>SG*</w:t>
      </w:r>
      <w:r w:rsidRPr="00675182">
        <w:rPr>
          <w:rFonts w:cstheme="minorHAnsi"/>
          <w:sz w:val="20"/>
          <w:lang w:val="lv-LV"/>
        </w:rPr>
        <w:t xml:space="preserve"> - Rudzīte M., Boikova E., Dreijers E., Jakubāne I., Parele E., Pilāte D., Rudzītis M. 2018. The New Red List of the molluscs of the Latvia. </w:t>
      </w:r>
      <w:r w:rsidRPr="00675182">
        <w:rPr>
          <w:rFonts w:cstheme="minorHAnsi"/>
          <w:i/>
          <w:sz w:val="20"/>
          <w:lang w:val="lv-LV"/>
        </w:rPr>
        <w:t>Environmental and Experimental Biology</w:t>
      </w:r>
      <w:r w:rsidRPr="00675182">
        <w:rPr>
          <w:rFonts w:cstheme="minorHAnsi"/>
          <w:sz w:val="20"/>
          <w:lang w:val="lv-LV"/>
        </w:rPr>
        <w:t xml:space="preserve"> (2018) 16: 55-59. </w:t>
      </w:r>
    </w:p>
    <w:p w14:paraId="0AEDA8CB" w14:textId="21895A80" w:rsidR="00E30B04" w:rsidRPr="00675182" w:rsidRDefault="00E30B04" w:rsidP="00E30B04">
      <w:pPr>
        <w:autoSpaceDE w:val="0"/>
        <w:rPr>
          <w:rFonts w:cstheme="minorHAnsi"/>
          <w:sz w:val="20"/>
        </w:rPr>
      </w:pPr>
      <w:r w:rsidRPr="00675182">
        <w:rPr>
          <w:rFonts w:cstheme="minorHAnsi"/>
          <w:b/>
          <w:bCs/>
          <w:sz w:val="20"/>
        </w:rPr>
        <w:t xml:space="preserve">ES </w:t>
      </w:r>
      <w:r w:rsidRPr="00675182">
        <w:rPr>
          <w:rFonts w:cstheme="minorHAnsi"/>
          <w:sz w:val="20"/>
        </w:rPr>
        <w:t xml:space="preserve">– </w:t>
      </w:r>
      <w:r w:rsidRPr="00675182">
        <w:rPr>
          <w:rFonts w:eastAsia="Times New Roman" w:cstheme="minorHAnsi"/>
          <w:sz w:val="20"/>
        </w:rPr>
        <w:t xml:space="preserve">Eiropas Padomes direktīva 92/43/EEK (21.05.1992) Par dabisko dzīvotņu, savvaļas floras un faunas aizsardzību. </w:t>
      </w:r>
      <w:r w:rsidRPr="00675182">
        <w:rPr>
          <w:rFonts w:cstheme="minorHAnsi"/>
          <w:b/>
          <w:bCs/>
          <w:sz w:val="20"/>
        </w:rPr>
        <w:t xml:space="preserve">II </w:t>
      </w:r>
      <w:r w:rsidRPr="00675182">
        <w:rPr>
          <w:rFonts w:cstheme="minorHAnsi"/>
          <w:sz w:val="20"/>
        </w:rPr>
        <w:t xml:space="preserve">pielikums. Dzīvnieku un augu sugas, kas ir Kopienas interešu sfērā un kuru aizsardzībai nepieciešama </w:t>
      </w:r>
      <w:r w:rsidR="005D63E3">
        <w:rPr>
          <w:rFonts w:cstheme="minorHAnsi"/>
          <w:sz w:val="20"/>
        </w:rPr>
        <w:t>ĪA</w:t>
      </w:r>
      <w:r w:rsidRPr="00675182">
        <w:rPr>
          <w:rFonts w:cstheme="minorHAnsi"/>
          <w:sz w:val="20"/>
        </w:rPr>
        <w:t xml:space="preserve"> teritoriju nodalīšana. </w:t>
      </w:r>
      <w:r w:rsidRPr="00675182">
        <w:rPr>
          <w:rFonts w:cstheme="minorHAnsi"/>
          <w:b/>
          <w:bCs/>
          <w:sz w:val="20"/>
        </w:rPr>
        <w:t xml:space="preserve">* </w:t>
      </w:r>
      <w:r w:rsidRPr="00675182">
        <w:rPr>
          <w:rFonts w:cstheme="minorHAnsi"/>
          <w:sz w:val="20"/>
        </w:rPr>
        <w:t xml:space="preserve">- prioritāra suga; </w:t>
      </w:r>
      <w:r w:rsidRPr="00675182">
        <w:rPr>
          <w:rFonts w:cstheme="minorHAnsi"/>
          <w:b/>
          <w:bCs/>
          <w:sz w:val="20"/>
        </w:rPr>
        <w:t xml:space="preserve">IV </w:t>
      </w:r>
      <w:r w:rsidRPr="00675182">
        <w:rPr>
          <w:rFonts w:cstheme="minorHAnsi"/>
          <w:sz w:val="20"/>
        </w:rPr>
        <w:t xml:space="preserve">pielikums. Dzīvnieku un augu sugas, kas ir Kopienas interešu sfērā un kuru aizsardzībai nepieciešams stingrs aizsardzības režīms; </w:t>
      </w:r>
      <w:r w:rsidRPr="00675182">
        <w:rPr>
          <w:rFonts w:cstheme="minorHAnsi"/>
          <w:b/>
          <w:bCs/>
          <w:sz w:val="20"/>
        </w:rPr>
        <w:t>V</w:t>
      </w:r>
      <w:r w:rsidRPr="00675182">
        <w:rPr>
          <w:rFonts w:cstheme="minorHAnsi"/>
          <w:sz w:val="20"/>
        </w:rPr>
        <w:t xml:space="preserve"> pielikums. Dzīvnieku un augu sugas, kas ir Kopienas interešu sfērā un kuru iegūšana un ekspluatācija dabā var būt pieļaujama.</w:t>
      </w:r>
    </w:p>
    <w:p w14:paraId="5A7120A0" w14:textId="77777777" w:rsidR="00E30B04" w:rsidRPr="00675182" w:rsidRDefault="00E30B04" w:rsidP="00E30B04">
      <w:pPr>
        <w:shd w:val="clear" w:color="auto" w:fill="FFFFFF"/>
        <w:rPr>
          <w:rFonts w:cstheme="minorHAnsi"/>
          <w:sz w:val="20"/>
        </w:rPr>
      </w:pPr>
      <w:r w:rsidRPr="00675182">
        <w:rPr>
          <w:rFonts w:cstheme="minorHAnsi"/>
          <w:b/>
          <w:sz w:val="20"/>
        </w:rPr>
        <w:t xml:space="preserve">ĪAS 1 </w:t>
      </w:r>
      <w:r w:rsidRPr="00675182">
        <w:rPr>
          <w:rFonts w:cstheme="minorHAnsi"/>
          <w:sz w:val="20"/>
        </w:rPr>
        <w:t>– īpaši aizsargājama suga, 1. pielikums (īpaši aizsargājamas sugas) vai 2. pielikums (ierobežoti izmantojamas īpaši aizsargājamas sugas) MK 2000. gada 14. novembra noteikumiem Nr. 396 ”Noteikumi par īpaši aizsargājamo sugu un ierobežoti izmantojamo īpaši aizsargājamo sugu sarakstu</w:t>
      </w:r>
      <w:r w:rsidRPr="00675182">
        <w:rPr>
          <w:rFonts w:cstheme="minorHAnsi"/>
        </w:rPr>
        <w:t>”</w:t>
      </w:r>
      <w:r w:rsidRPr="00675182">
        <w:rPr>
          <w:rFonts w:cstheme="minorHAnsi"/>
          <w:sz w:val="20"/>
        </w:rPr>
        <w:t xml:space="preserve"> </w:t>
      </w:r>
    </w:p>
    <w:p w14:paraId="40FD92C3" w14:textId="77777777" w:rsidR="00E30B04" w:rsidRPr="00675182" w:rsidRDefault="00E30B04" w:rsidP="00E30B04">
      <w:pPr>
        <w:rPr>
          <w:rFonts w:cstheme="minorHAnsi"/>
          <w:sz w:val="20"/>
        </w:rPr>
      </w:pPr>
      <w:r w:rsidRPr="00675182">
        <w:rPr>
          <w:rFonts w:cstheme="minorHAnsi"/>
          <w:b/>
          <w:sz w:val="20"/>
        </w:rPr>
        <w:t xml:space="preserve">MIK </w:t>
      </w:r>
      <w:r w:rsidRPr="00675182">
        <w:rPr>
          <w:rFonts w:cstheme="minorHAnsi"/>
          <w:sz w:val="20"/>
        </w:rPr>
        <w:t>– sugas aizsardzībai veidojams mikroliegums, 1. pielikums MK 2012. gada 18. decembra noteikumiem Nr. 940 „Noteikumi par mikroliegumu izveidošanas un apsaimniekošanas kārtību, to aizsardzību, kā arī mikroliegumu un to buferzonu noteikšanu”</w:t>
      </w:r>
    </w:p>
    <w:p w14:paraId="5AF40740" w14:textId="77777777" w:rsidR="00E30B04" w:rsidRPr="00675182" w:rsidRDefault="00E30B04" w:rsidP="00E30B04">
      <w:pPr>
        <w:shd w:val="clear" w:color="auto" w:fill="FFFFFF"/>
        <w:spacing w:line="250" w:lineRule="exact"/>
        <w:rPr>
          <w:rFonts w:cstheme="minorHAnsi"/>
          <w:sz w:val="20"/>
        </w:rPr>
      </w:pPr>
      <w:r w:rsidRPr="00675182">
        <w:rPr>
          <w:rFonts w:cstheme="minorHAnsi"/>
          <w:b/>
          <w:bCs/>
          <w:sz w:val="20"/>
        </w:rPr>
        <w:t xml:space="preserve">MAB </w:t>
      </w:r>
      <w:r w:rsidRPr="00675182">
        <w:rPr>
          <w:rFonts w:cstheme="minorHAnsi"/>
          <w:sz w:val="20"/>
        </w:rPr>
        <w:t xml:space="preserve">- Mežaudžu atslēgas biotopu (MAB) (= dabisku meža biotopu) sugas (Lārmanis u.c. 2000). </w:t>
      </w:r>
      <w:r w:rsidRPr="00675182">
        <w:rPr>
          <w:rFonts w:cstheme="minorHAnsi"/>
          <w:b/>
          <w:bCs/>
          <w:sz w:val="20"/>
        </w:rPr>
        <w:t xml:space="preserve">BSS </w:t>
      </w:r>
      <w:r w:rsidRPr="00675182">
        <w:rPr>
          <w:rFonts w:cstheme="minorHAnsi"/>
          <w:sz w:val="20"/>
        </w:rPr>
        <w:t xml:space="preserve">-Biotopu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 </w:t>
      </w:r>
      <w:r w:rsidRPr="00675182">
        <w:rPr>
          <w:rFonts w:cstheme="minorHAnsi"/>
          <w:b/>
          <w:bCs/>
          <w:sz w:val="20"/>
        </w:rPr>
        <w:t xml:space="preserve">IS </w:t>
      </w:r>
      <w:r w:rsidRPr="00675182">
        <w:rPr>
          <w:rFonts w:cstheme="minorHAnsi"/>
          <w:sz w:val="20"/>
        </w:rPr>
        <w:t>- Indikatorsuga, kam ir samērā augstas prasības pret dzīves vidi, bet ne tik augstas kā biotopu speciālistu sugām.</w:t>
      </w:r>
    </w:p>
    <w:p w14:paraId="5EC6F5DE" w14:textId="77777777" w:rsidR="00E30B04" w:rsidRPr="00675182" w:rsidRDefault="00E30B04" w:rsidP="00E30B04">
      <w:pPr>
        <w:shd w:val="clear" w:color="auto" w:fill="FFFFFF"/>
        <w:rPr>
          <w:rFonts w:cstheme="minorHAnsi"/>
          <w:color w:val="000000"/>
          <w:sz w:val="20"/>
          <w:szCs w:val="18"/>
        </w:rPr>
      </w:pPr>
      <w:r w:rsidRPr="00675182">
        <w:rPr>
          <w:rFonts w:cstheme="minorHAnsi"/>
          <w:b/>
          <w:bCs/>
          <w:color w:val="000000"/>
          <w:spacing w:val="1"/>
          <w:sz w:val="20"/>
          <w:szCs w:val="18"/>
        </w:rPr>
        <w:t>I</w:t>
      </w:r>
      <w:r w:rsidRPr="00675182">
        <w:rPr>
          <w:rFonts w:cstheme="minorHAnsi"/>
          <w:b/>
          <w:bCs/>
          <w:color w:val="000000"/>
          <w:spacing w:val="-1"/>
          <w:sz w:val="20"/>
          <w:szCs w:val="18"/>
        </w:rPr>
        <w:t>UC</w:t>
      </w:r>
      <w:r w:rsidRPr="00675182">
        <w:rPr>
          <w:rFonts w:cstheme="minorHAnsi"/>
          <w:b/>
          <w:bCs/>
          <w:color w:val="000000"/>
          <w:sz w:val="20"/>
          <w:szCs w:val="18"/>
        </w:rPr>
        <w:t xml:space="preserve">N </w:t>
      </w:r>
      <w:r w:rsidRPr="00675182">
        <w:rPr>
          <w:rFonts w:cstheme="minorHAnsi"/>
          <w:color w:val="000000"/>
          <w:sz w:val="20"/>
          <w:szCs w:val="18"/>
        </w:rPr>
        <w:t>– Pa</w:t>
      </w:r>
      <w:r w:rsidRPr="00675182">
        <w:rPr>
          <w:rFonts w:cstheme="minorHAnsi"/>
          <w:color w:val="000000"/>
          <w:spacing w:val="1"/>
          <w:sz w:val="20"/>
          <w:szCs w:val="18"/>
        </w:rPr>
        <w:t>s</w:t>
      </w:r>
      <w:r w:rsidRPr="00675182">
        <w:rPr>
          <w:rFonts w:cstheme="minorHAnsi"/>
          <w:color w:val="000000"/>
          <w:sz w:val="20"/>
          <w:szCs w:val="18"/>
        </w:rPr>
        <w:t>a</w:t>
      </w:r>
      <w:r w:rsidRPr="00675182">
        <w:rPr>
          <w:rFonts w:cstheme="minorHAnsi"/>
          <w:color w:val="000000"/>
          <w:spacing w:val="-2"/>
          <w:sz w:val="20"/>
          <w:szCs w:val="18"/>
        </w:rPr>
        <w:t>u</w:t>
      </w:r>
      <w:r w:rsidRPr="00675182">
        <w:rPr>
          <w:rFonts w:cstheme="minorHAnsi"/>
          <w:color w:val="000000"/>
          <w:spacing w:val="1"/>
          <w:sz w:val="20"/>
          <w:szCs w:val="18"/>
        </w:rPr>
        <w:t>l</w:t>
      </w:r>
      <w:r w:rsidRPr="00675182">
        <w:rPr>
          <w:rFonts w:cstheme="minorHAnsi"/>
          <w:color w:val="000000"/>
          <w:sz w:val="20"/>
          <w:szCs w:val="18"/>
        </w:rPr>
        <w:t>es</w:t>
      </w:r>
      <w:r w:rsidRPr="00675182">
        <w:rPr>
          <w:rFonts w:cstheme="minorHAnsi"/>
          <w:color w:val="000000"/>
          <w:spacing w:val="54"/>
          <w:sz w:val="20"/>
          <w:szCs w:val="18"/>
        </w:rPr>
        <w:t> </w:t>
      </w:r>
      <w:r w:rsidRPr="00675182">
        <w:rPr>
          <w:rFonts w:cstheme="minorHAnsi"/>
          <w:color w:val="000000"/>
          <w:sz w:val="20"/>
          <w:szCs w:val="18"/>
        </w:rPr>
        <w:t>da</w:t>
      </w:r>
      <w:r w:rsidRPr="00675182">
        <w:rPr>
          <w:rFonts w:cstheme="minorHAnsi"/>
          <w:color w:val="000000"/>
          <w:spacing w:val="-2"/>
          <w:sz w:val="20"/>
          <w:szCs w:val="18"/>
        </w:rPr>
        <w:t>b</w:t>
      </w:r>
      <w:r w:rsidRPr="00675182">
        <w:rPr>
          <w:rFonts w:cstheme="minorHAnsi"/>
          <w:color w:val="000000"/>
          <w:sz w:val="20"/>
          <w:szCs w:val="18"/>
        </w:rPr>
        <w:t>as</w:t>
      </w:r>
      <w:r w:rsidRPr="00675182">
        <w:rPr>
          <w:rFonts w:cstheme="minorHAnsi"/>
          <w:color w:val="000000"/>
          <w:spacing w:val="54"/>
          <w:sz w:val="20"/>
          <w:szCs w:val="18"/>
        </w:rPr>
        <w:t> </w:t>
      </w:r>
      <w:r w:rsidRPr="00675182">
        <w:rPr>
          <w:rFonts w:cstheme="minorHAnsi"/>
          <w:color w:val="000000"/>
          <w:sz w:val="20"/>
          <w:szCs w:val="18"/>
        </w:rPr>
        <w:t>a</w:t>
      </w:r>
      <w:r w:rsidRPr="00675182">
        <w:rPr>
          <w:rFonts w:cstheme="minorHAnsi"/>
          <w:color w:val="000000"/>
          <w:spacing w:val="1"/>
          <w:sz w:val="20"/>
          <w:szCs w:val="18"/>
        </w:rPr>
        <w:t>i</w:t>
      </w:r>
      <w:r w:rsidRPr="00675182">
        <w:rPr>
          <w:rFonts w:cstheme="minorHAnsi"/>
          <w:color w:val="000000"/>
          <w:spacing w:val="-2"/>
          <w:sz w:val="20"/>
          <w:szCs w:val="18"/>
        </w:rPr>
        <w:t>z</w:t>
      </w:r>
      <w:r w:rsidRPr="00675182">
        <w:rPr>
          <w:rFonts w:cstheme="minorHAnsi"/>
          <w:color w:val="000000"/>
          <w:spacing w:val="1"/>
          <w:sz w:val="20"/>
          <w:szCs w:val="18"/>
        </w:rPr>
        <w:t>s</w:t>
      </w:r>
      <w:r w:rsidRPr="00675182">
        <w:rPr>
          <w:rFonts w:cstheme="minorHAnsi"/>
          <w:color w:val="000000"/>
          <w:sz w:val="20"/>
          <w:szCs w:val="18"/>
        </w:rPr>
        <w:t>a</w:t>
      </w:r>
      <w:r w:rsidRPr="00675182">
        <w:rPr>
          <w:rFonts w:cstheme="minorHAnsi"/>
          <w:color w:val="000000"/>
          <w:spacing w:val="1"/>
          <w:sz w:val="20"/>
          <w:szCs w:val="18"/>
        </w:rPr>
        <w:t>r</w:t>
      </w:r>
      <w:r w:rsidRPr="00675182">
        <w:rPr>
          <w:rFonts w:cstheme="minorHAnsi"/>
          <w:color w:val="000000"/>
          <w:sz w:val="20"/>
          <w:szCs w:val="18"/>
        </w:rPr>
        <w:t>d</w:t>
      </w:r>
      <w:r w:rsidRPr="00675182">
        <w:rPr>
          <w:rFonts w:cstheme="minorHAnsi"/>
          <w:color w:val="000000"/>
          <w:spacing w:val="-2"/>
          <w:sz w:val="20"/>
          <w:szCs w:val="18"/>
        </w:rPr>
        <w:t>z</w:t>
      </w:r>
      <w:r w:rsidRPr="00675182">
        <w:rPr>
          <w:rFonts w:cstheme="minorHAnsi"/>
          <w:color w:val="000000"/>
          <w:spacing w:val="1"/>
          <w:sz w:val="20"/>
          <w:szCs w:val="18"/>
        </w:rPr>
        <w:t>ī</w:t>
      </w:r>
      <w:r w:rsidRPr="00675182">
        <w:rPr>
          <w:rFonts w:cstheme="minorHAnsi"/>
          <w:color w:val="000000"/>
          <w:spacing w:val="-2"/>
          <w:sz w:val="20"/>
          <w:szCs w:val="18"/>
        </w:rPr>
        <w:t>b</w:t>
      </w:r>
      <w:r w:rsidRPr="00675182">
        <w:rPr>
          <w:rFonts w:cstheme="minorHAnsi"/>
          <w:color w:val="000000"/>
          <w:sz w:val="20"/>
          <w:szCs w:val="18"/>
        </w:rPr>
        <w:t xml:space="preserve">as </w:t>
      </w:r>
      <w:r w:rsidRPr="00675182">
        <w:rPr>
          <w:rFonts w:cstheme="minorHAnsi"/>
          <w:color w:val="000000"/>
          <w:spacing w:val="1"/>
          <w:sz w:val="20"/>
          <w:szCs w:val="18"/>
        </w:rPr>
        <w:t> </w:t>
      </w:r>
      <w:r w:rsidRPr="00675182">
        <w:rPr>
          <w:rFonts w:cstheme="minorHAnsi"/>
          <w:color w:val="000000"/>
          <w:spacing w:val="-2"/>
          <w:sz w:val="20"/>
          <w:szCs w:val="18"/>
        </w:rPr>
        <w:t>o</w:t>
      </w:r>
      <w:r w:rsidRPr="00675182">
        <w:rPr>
          <w:rFonts w:cstheme="minorHAnsi"/>
          <w:color w:val="000000"/>
          <w:spacing w:val="1"/>
          <w:sz w:val="20"/>
          <w:szCs w:val="18"/>
        </w:rPr>
        <w:t>r</w:t>
      </w:r>
      <w:r w:rsidRPr="00675182">
        <w:rPr>
          <w:rFonts w:cstheme="minorHAnsi"/>
          <w:color w:val="000000"/>
          <w:spacing w:val="-2"/>
          <w:sz w:val="20"/>
          <w:szCs w:val="18"/>
        </w:rPr>
        <w:t>g</w:t>
      </w:r>
      <w:r w:rsidRPr="00675182">
        <w:rPr>
          <w:rFonts w:cstheme="minorHAnsi"/>
          <w:color w:val="000000"/>
          <w:sz w:val="20"/>
          <w:szCs w:val="18"/>
        </w:rPr>
        <w:t>an</w:t>
      </w:r>
      <w:r w:rsidRPr="00675182">
        <w:rPr>
          <w:rFonts w:cstheme="minorHAnsi"/>
          <w:color w:val="000000"/>
          <w:spacing w:val="1"/>
          <w:sz w:val="20"/>
          <w:szCs w:val="18"/>
        </w:rPr>
        <w:t>i</w:t>
      </w:r>
      <w:r w:rsidRPr="00675182">
        <w:rPr>
          <w:rFonts w:cstheme="minorHAnsi"/>
          <w:color w:val="000000"/>
          <w:spacing w:val="-2"/>
          <w:sz w:val="20"/>
          <w:szCs w:val="18"/>
        </w:rPr>
        <w:t>z</w:t>
      </w:r>
      <w:r w:rsidRPr="00675182">
        <w:rPr>
          <w:rFonts w:cstheme="minorHAnsi"/>
          <w:color w:val="000000"/>
          <w:sz w:val="20"/>
          <w:szCs w:val="18"/>
        </w:rPr>
        <w:t>āc</w:t>
      </w:r>
      <w:r w:rsidRPr="00675182">
        <w:rPr>
          <w:rFonts w:cstheme="minorHAnsi"/>
          <w:color w:val="000000"/>
          <w:spacing w:val="-1"/>
          <w:sz w:val="20"/>
          <w:szCs w:val="18"/>
        </w:rPr>
        <w:t>i</w:t>
      </w:r>
      <w:r w:rsidRPr="00675182">
        <w:rPr>
          <w:rFonts w:cstheme="minorHAnsi"/>
          <w:color w:val="000000"/>
          <w:spacing w:val="1"/>
          <w:sz w:val="20"/>
          <w:szCs w:val="18"/>
        </w:rPr>
        <w:t>j</w:t>
      </w:r>
      <w:r w:rsidRPr="00675182">
        <w:rPr>
          <w:rFonts w:cstheme="minorHAnsi"/>
          <w:color w:val="000000"/>
          <w:spacing w:val="-2"/>
          <w:sz w:val="20"/>
          <w:szCs w:val="18"/>
        </w:rPr>
        <w:t>a</w:t>
      </w:r>
      <w:r w:rsidRPr="00675182">
        <w:rPr>
          <w:rFonts w:cstheme="minorHAnsi"/>
          <w:color w:val="000000"/>
          <w:sz w:val="20"/>
          <w:szCs w:val="18"/>
        </w:rPr>
        <w:t>s</w:t>
      </w:r>
      <w:r w:rsidRPr="00675182">
        <w:rPr>
          <w:rFonts w:cstheme="minorHAnsi"/>
          <w:color w:val="000000"/>
          <w:spacing w:val="54"/>
          <w:sz w:val="20"/>
          <w:szCs w:val="18"/>
        </w:rPr>
        <w:t> </w:t>
      </w:r>
      <w:r w:rsidRPr="00675182">
        <w:rPr>
          <w:rFonts w:cstheme="minorHAnsi"/>
          <w:color w:val="000000"/>
          <w:spacing w:val="1"/>
          <w:sz w:val="20"/>
          <w:szCs w:val="18"/>
        </w:rPr>
        <w:t>(</w:t>
      </w:r>
      <w:r w:rsidRPr="00675182">
        <w:rPr>
          <w:rFonts w:cstheme="minorHAnsi"/>
          <w:color w:val="000000"/>
          <w:sz w:val="20"/>
          <w:szCs w:val="18"/>
        </w:rPr>
        <w:t>The</w:t>
      </w:r>
      <w:r w:rsidRPr="00675182">
        <w:rPr>
          <w:rFonts w:cstheme="minorHAnsi"/>
          <w:color w:val="000000"/>
          <w:spacing w:val="53"/>
          <w:sz w:val="20"/>
          <w:szCs w:val="18"/>
        </w:rPr>
        <w:t> </w:t>
      </w:r>
      <w:r w:rsidRPr="00675182">
        <w:rPr>
          <w:rFonts w:cstheme="minorHAnsi"/>
          <w:color w:val="000000"/>
          <w:sz w:val="20"/>
          <w:szCs w:val="18"/>
        </w:rPr>
        <w:t>Wo</w:t>
      </w:r>
      <w:r w:rsidRPr="00675182">
        <w:rPr>
          <w:rFonts w:cstheme="minorHAnsi"/>
          <w:color w:val="000000"/>
          <w:spacing w:val="-1"/>
          <w:sz w:val="20"/>
          <w:szCs w:val="18"/>
        </w:rPr>
        <w:t>r</w:t>
      </w:r>
      <w:r w:rsidRPr="00675182">
        <w:rPr>
          <w:rFonts w:cstheme="minorHAnsi"/>
          <w:color w:val="000000"/>
          <w:spacing w:val="1"/>
          <w:sz w:val="20"/>
          <w:szCs w:val="18"/>
        </w:rPr>
        <w:t>l</w:t>
      </w:r>
      <w:r w:rsidRPr="00675182">
        <w:rPr>
          <w:rFonts w:cstheme="minorHAnsi"/>
          <w:color w:val="000000"/>
          <w:sz w:val="20"/>
          <w:szCs w:val="18"/>
        </w:rPr>
        <w:t xml:space="preserve">d </w:t>
      </w:r>
      <w:r w:rsidRPr="00675182">
        <w:rPr>
          <w:rFonts w:cstheme="minorHAnsi"/>
          <w:color w:val="000000"/>
          <w:spacing w:val="-1"/>
          <w:sz w:val="20"/>
          <w:szCs w:val="18"/>
        </w:rPr>
        <w:t>C</w:t>
      </w:r>
      <w:r w:rsidRPr="00675182">
        <w:rPr>
          <w:rFonts w:cstheme="minorHAnsi"/>
          <w:color w:val="000000"/>
          <w:sz w:val="20"/>
          <w:szCs w:val="18"/>
        </w:rPr>
        <w:t>o</w:t>
      </w:r>
      <w:r w:rsidRPr="00675182">
        <w:rPr>
          <w:rFonts w:cstheme="minorHAnsi"/>
          <w:color w:val="000000"/>
          <w:spacing w:val="-2"/>
          <w:sz w:val="20"/>
          <w:szCs w:val="18"/>
        </w:rPr>
        <w:t>n</w:t>
      </w:r>
      <w:r w:rsidRPr="00675182">
        <w:rPr>
          <w:rFonts w:cstheme="minorHAnsi"/>
          <w:color w:val="000000"/>
          <w:spacing w:val="1"/>
          <w:sz w:val="20"/>
          <w:szCs w:val="18"/>
        </w:rPr>
        <w:t>s</w:t>
      </w:r>
      <w:r w:rsidRPr="00675182">
        <w:rPr>
          <w:rFonts w:cstheme="minorHAnsi"/>
          <w:color w:val="000000"/>
          <w:sz w:val="20"/>
          <w:szCs w:val="18"/>
        </w:rPr>
        <w:t>e</w:t>
      </w:r>
      <w:r w:rsidRPr="00675182">
        <w:rPr>
          <w:rFonts w:cstheme="minorHAnsi"/>
          <w:color w:val="000000"/>
          <w:spacing w:val="1"/>
          <w:sz w:val="20"/>
          <w:szCs w:val="18"/>
        </w:rPr>
        <w:t>r</w:t>
      </w:r>
      <w:r w:rsidRPr="00675182">
        <w:rPr>
          <w:rFonts w:cstheme="minorHAnsi"/>
          <w:color w:val="000000"/>
          <w:spacing w:val="-2"/>
          <w:sz w:val="20"/>
          <w:szCs w:val="18"/>
        </w:rPr>
        <w:t>v</w:t>
      </w:r>
      <w:r w:rsidRPr="00675182">
        <w:rPr>
          <w:rFonts w:cstheme="minorHAnsi"/>
          <w:color w:val="000000"/>
          <w:sz w:val="20"/>
          <w:szCs w:val="18"/>
        </w:rPr>
        <w:t>a</w:t>
      </w:r>
      <w:r w:rsidRPr="00675182">
        <w:rPr>
          <w:rFonts w:cstheme="minorHAnsi"/>
          <w:color w:val="000000"/>
          <w:spacing w:val="-1"/>
          <w:sz w:val="20"/>
          <w:szCs w:val="18"/>
        </w:rPr>
        <w:t>t</w:t>
      </w:r>
      <w:r w:rsidRPr="00675182">
        <w:rPr>
          <w:rFonts w:cstheme="minorHAnsi"/>
          <w:color w:val="000000"/>
          <w:spacing w:val="1"/>
          <w:sz w:val="20"/>
          <w:szCs w:val="18"/>
        </w:rPr>
        <w:t>i</w:t>
      </w:r>
      <w:r w:rsidRPr="00675182">
        <w:rPr>
          <w:rFonts w:cstheme="minorHAnsi"/>
          <w:color w:val="000000"/>
          <w:sz w:val="20"/>
          <w:szCs w:val="18"/>
        </w:rPr>
        <w:t>on</w:t>
      </w:r>
      <w:r w:rsidRPr="00675182">
        <w:rPr>
          <w:rFonts w:cstheme="minorHAnsi"/>
          <w:color w:val="000000"/>
          <w:spacing w:val="53"/>
          <w:sz w:val="20"/>
          <w:szCs w:val="18"/>
        </w:rPr>
        <w:t> </w:t>
      </w:r>
      <w:r w:rsidRPr="00675182">
        <w:rPr>
          <w:rFonts w:cstheme="minorHAnsi"/>
          <w:color w:val="000000"/>
          <w:spacing w:val="-1"/>
          <w:sz w:val="20"/>
          <w:szCs w:val="18"/>
        </w:rPr>
        <w:t>U</w:t>
      </w:r>
      <w:r w:rsidRPr="00675182">
        <w:rPr>
          <w:rFonts w:cstheme="minorHAnsi"/>
          <w:color w:val="000000"/>
          <w:sz w:val="20"/>
          <w:szCs w:val="18"/>
        </w:rPr>
        <w:t>n</w:t>
      </w:r>
      <w:r w:rsidRPr="00675182">
        <w:rPr>
          <w:rFonts w:cstheme="minorHAnsi"/>
          <w:color w:val="000000"/>
          <w:spacing w:val="1"/>
          <w:sz w:val="20"/>
          <w:szCs w:val="18"/>
        </w:rPr>
        <w:t>i</w:t>
      </w:r>
      <w:r w:rsidRPr="00675182">
        <w:rPr>
          <w:rFonts w:cstheme="minorHAnsi"/>
          <w:color w:val="000000"/>
          <w:sz w:val="20"/>
          <w:szCs w:val="18"/>
        </w:rPr>
        <w:t>on)</w:t>
      </w:r>
      <w:r w:rsidRPr="00675182">
        <w:rPr>
          <w:rFonts w:cstheme="minorHAnsi"/>
          <w:color w:val="000000"/>
          <w:spacing w:val="54"/>
          <w:sz w:val="20"/>
          <w:szCs w:val="18"/>
        </w:rPr>
        <w:t> </w:t>
      </w:r>
      <w:r w:rsidRPr="00675182">
        <w:rPr>
          <w:rFonts w:cstheme="minorHAnsi"/>
          <w:color w:val="000000"/>
          <w:spacing w:val="-1"/>
          <w:sz w:val="20"/>
          <w:szCs w:val="18"/>
        </w:rPr>
        <w:t>A</w:t>
      </w:r>
      <w:r w:rsidRPr="00675182">
        <w:rPr>
          <w:rFonts w:cstheme="minorHAnsi"/>
          <w:color w:val="000000"/>
          <w:sz w:val="20"/>
          <w:szCs w:val="18"/>
        </w:rPr>
        <w:t>pd</w:t>
      </w:r>
      <w:r w:rsidRPr="00675182">
        <w:rPr>
          <w:rFonts w:cstheme="minorHAnsi"/>
          <w:color w:val="000000"/>
          <w:spacing w:val="1"/>
          <w:sz w:val="20"/>
          <w:szCs w:val="18"/>
        </w:rPr>
        <w:t>r</w:t>
      </w:r>
      <w:r w:rsidRPr="00675182">
        <w:rPr>
          <w:rFonts w:cstheme="minorHAnsi"/>
          <w:color w:val="000000"/>
          <w:spacing w:val="-2"/>
          <w:sz w:val="20"/>
          <w:szCs w:val="18"/>
        </w:rPr>
        <w:t>a</w:t>
      </w:r>
      <w:r w:rsidRPr="00675182">
        <w:rPr>
          <w:rFonts w:cstheme="minorHAnsi"/>
          <w:color w:val="000000"/>
          <w:sz w:val="20"/>
          <w:szCs w:val="18"/>
        </w:rPr>
        <w:t>ud</w:t>
      </w:r>
      <w:r w:rsidRPr="00675182">
        <w:rPr>
          <w:rFonts w:cstheme="minorHAnsi"/>
          <w:color w:val="000000"/>
          <w:spacing w:val="-2"/>
          <w:sz w:val="20"/>
          <w:szCs w:val="18"/>
        </w:rPr>
        <w:t>ē</w:t>
      </w:r>
      <w:r w:rsidRPr="00675182">
        <w:rPr>
          <w:rFonts w:cstheme="minorHAnsi"/>
          <w:color w:val="000000"/>
          <w:spacing w:val="1"/>
          <w:sz w:val="20"/>
          <w:szCs w:val="18"/>
        </w:rPr>
        <w:t>t</w:t>
      </w:r>
      <w:r w:rsidRPr="00675182">
        <w:rPr>
          <w:rFonts w:cstheme="minorHAnsi"/>
          <w:color w:val="000000"/>
          <w:sz w:val="20"/>
          <w:szCs w:val="18"/>
        </w:rPr>
        <w:t xml:space="preserve">o </w:t>
      </w:r>
      <w:r w:rsidRPr="00675182">
        <w:rPr>
          <w:rFonts w:cstheme="minorHAnsi"/>
          <w:color w:val="000000"/>
          <w:spacing w:val="1"/>
          <w:sz w:val="20"/>
          <w:szCs w:val="18"/>
        </w:rPr>
        <w:t>s</w:t>
      </w:r>
      <w:r w:rsidRPr="00675182">
        <w:rPr>
          <w:rFonts w:cstheme="minorHAnsi"/>
          <w:color w:val="000000"/>
          <w:sz w:val="20"/>
          <w:szCs w:val="18"/>
        </w:rPr>
        <w:t>u</w:t>
      </w:r>
      <w:r w:rsidRPr="00675182">
        <w:rPr>
          <w:rFonts w:cstheme="minorHAnsi"/>
          <w:color w:val="000000"/>
          <w:spacing w:val="-2"/>
          <w:sz w:val="20"/>
          <w:szCs w:val="18"/>
        </w:rPr>
        <w:t>g</w:t>
      </w:r>
      <w:r w:rsidRPr="00675182">
        <w:rPr>
          <w:rFonts w:cstheme="minorHAnsi"/>
          <w:color w:val="000000"/>
          <w:sz w:val="20"/>
          <w:szCs w:val="18"/>
        </w:rPr>
        <w:t xml:space="preserve">u </w:t>
      </w:r>
      <w:r w:rsidRPr="00675182">
        <w:rPr>
          <w:rFonts w:cstheme="minorHAnsi"/>
          <w:color w:val="000000"/>
          <w:spacing w:val="1"/>
          <w:sz w:val="20"/>
          <w:szCs w:val="18"/>
        </w:rPr>
        <w:t>s</w:t>
      </w:r>
      <w:r w:rsidRPr="00675182">
        <w:rPr>
          <w:rFonts w:cstheme="minorHAnsi"/>
          <w:color w:val="000000"/>
          <w:sz w:val="20"/>
          <w:szCs w:val="18"/>
        </w:rPr>
        <w:t>a</w:t>
      </w:r>
      <w:r w:rsidRPr="00675182">
        <w:rPr>
          <w:rFonts w:cstheme="minorHAnsi"/>
          <w:color w:val="000000"/>
          <w:spacing w:val="1"/>
          <w:sz w:val="20"/>
          <w:szCs w:val="18"/>
        </w:rPr>
        <w:t>r</w:t>
      </w:r>
      <w:r w:rsidRPr="00675182">
        <w:rPr>
          <w:rFonts w:cstheme="minorHAnsi"/>
          <w:color w:val="000000"/>
          <w:sz w:val="20"/>
          <w:szCs w:val="18"/>
        </w:rPr>
        <w:t>a</w:t>
      </w:r>
      <w:r w:rsidRPr="00675182">
        <w:rPr>
          <w:rFonts w:cstheme="minorHAnsi"/>
          <w:color w:val="000000"/>
          <w:spacing w:val="-2"/>
          <w:sz w:val="20"/>
          <w:szCs w:val="18"/>
        </w:rPr>
        <w:t>k</w:t>
      </w:r>
      <w:r w:rsidRPr="00675182">
        <w:rPr>
          <w:rFonts w:cstheme="minorHAnsi"/>
          <w:color w:val="000000"/>
          <w:spacing w:val="1"/>
          <w:sz w:val="20"/>
          <w:szCs w:val="18"/>
        </w:rPr>
        <w:t>s</w:t>
      </w:r>
      <w:r w:rsidRPr="00675182">
        <w:rPr>
          <w:rFonts w:cstheme="minorHAnsi"/>
          <w:color w:val="000000"/>
          <w:spacing w:val="-1"/>
          <w:sz w:val="20"/>
          <w:szCs w:val="18"/>
        </w:rPr>
        <w:t>t</w:t>
      </w:r>
      <w:r w:rsidRPr="00675182">
        <w:rPr>
          <w:rFonts w:cstheme="minorHAnsi"/>
          <w:color w:val="000000"/>
          <w:spacing w:val="1"/>
          <w:sz w:val="20"/>
          <w:szCs w:val="18"/>
        </w:rPr>
        <w:t>s</w:t>
      </w:r>
      <w:r w:rsidRPr="00675182">
        <w:rPr>
          <w:rFonts w:cstheme="minorHAnsi"/>
          <w:color w:val="000000"/>
          <w:sz w:val="20"/>
          <w:szCs w:val="18"/>
        </w:rPr>
        <w:t>:</w:t>
      </w:r>
      <w:r w:rsidRPr="00675182">
        <w:rPr>
          <w:rFonts w:cstheme="minorHAnsi"/>
          <w:color w:val="000000"/>
          <w:spacing w:val="4"/>
          <w:sz w:val="20"/>
          <w:szCs w:val="18"/>
        </w:rPr>
        <w:t> </w:t>
      </w:r>
      <w:r w:rsidRPr="00675182">
        <w:rPr>
          <w:rFonts w:cstheme="minorHAnsi"/>
          <w:b/>
          <w:bCs/>
          <w:color w:val="000000"/>
          <w:spacing w:val="-1"/>
          <w:sz w:val="20"/>
          <w:szCs w:val="18"/>
        </w:rPr>
        <w:t>E</w:t>
      </w:r>
      <w:r w:rsidRPr="00675182">
        <w:rPr>
          <w:rFonts w:cstheme="minorHAnsi"/>
          <w:b/>
          <w:bCs/>
          <w:color w:val="000000"/>
          <w:sz w:val="20"/>
          <w:szCs w:val="18"/>
        </w:rPr>
        <w:t>N</w:t>
      </w:r>
      <w:r w:rsidRPr="00675182">
        <w:rPr>
          <w:rFonts w:cstheme="minorHAnsi"/>
          <w:b/>
          <w:bCs/>
          <w:color w:val="000000"/>
          <w:spacing w:val="2"/>
          <w:sz w:val="20"/>
          <w:szCs w:val="18"/>
        </w:rPr>
        <w:t> </w:t>
      </w:r>
      <w:r w:rsidRPr="00675182">
        <w:rPr>
          <w:rFonts w:cstheme="minorHAnsi"/>
          <w:color w:val="000000"/>
          <w:spacing w:val="1"/>
          <w:sz w:val="20"/>
          <w:szCs w:val="18"/>
        </w:rPr>
        <w:t>(</w:t>
      </w:r>
      <w:r w:rsidRPr="00675182">
        <w:rPr>
          <w:rFonts w:cstheme="minorHAnsi"/>
          <w:color w:val="000000"/>
          <w:sz w:val="20"/>
          <w:szCs w:val="18"/>
        </w:rPr>
        <w:t>en</w:t>
      </w:r>
      <w:r w:rsidRPr="00675182">
        <w:rPr>
          <w:rFonts w:cstheme="minorHAnsi"/>
          <w:color w:val="000000"/>
          <w:spacing w:val="-2"/>
          <w:sz w:val="20"/>
          <w:szCs w:val="18"/>
        </w:rPr>
        <w:t>d</w:t>
      </w:r>
      <w:r w:rsidRPr="00675182">
        <w:rPr>
          <w:rFonts w:cstheme="minorHAnsi"/>
          <w:color w:val="000000"/>
          <w:sz w:val="20"/>
          <w:szCs w:val="18"/>
        </w:rPr>
        <w:t>an</w:t>
      </w:r>
      <w:r w:rsidRPr="00675182">
        <w:rPr>
          <w:rFonts w:cstheme="minorHAnsi"/>
          <w:color w:val="000000"/>
          <w:spacing w:val="-2"/>
          <w:sz w:val="20"/>
          <w:szCs w:val="18"/>
        </w:rPr>
        <w:t>g</w:t>
      </w:r>
      <w:r w:rsidRPr="00675182">
        <w:rPr>
          <w:rFonts w:cstheme="minorHAnsi"/>
          <w:color w:val="000000"/>
          <w:sz w:val="20"/>
          <w:szCs w:val="18"/>
        </w:rPr>
        <w:t>e</w:t>
      </w:r>
      <w:r w:rsidRPr="00675182">
        <w:rPr>
          <w:rFonts w:cstheme="minorHAnsi"/>
          <w:color w:val="000000"/>
          <w:spacing w:val="1"/>
          <w:sz w:val="20"/>
          <w:szCs w:val="18"/>
        </w:rPr>
        <w:t>r</w:t>
      </w:r>
      <w:r w:rsidRPr="00675182">
        <w:rPr>
          <w:rFonts w:cstheme="minorHAnsi"/>
          <w:color w:val="000000"/>
          <w:sz w:val="20"/>
          <w:szCs w:val="18"/>
        </w:rPr>
        <w:t>e</w:t>
      </w:r>
      <w:r w:rsidRPr="00675182">
        <w:rPr>
          <w:rFonts w:cstheme="minorHAnsi"/>
          <w:color w:val="000000"/>
          <w:spacing w:val="-2"/>
          <w:sz w:val="20"/>
          <w:szCs w:val="18"/>
        </w:rPr>
        <w:t>d</w:t>
      </w:r>
      <w:r w:rsidRPr="00675182">
        <w:rPr>
          <w:rFonts w:cstheme="minorHAnsi"/>
          <w:color w:val="000000"/>
          <w:sz w:val="20"/>
          <w:szCs w:val="18"/>
        </w:rPr>
        <w:t>)</w:t>
      </w:r>
      <w:r w:rsidRPr="00675182">
        <w:rPr>
          <w:rFonts w:cstheme="minorHAnsi"/>
          <w:color w:val="000000"/>
          <w:spacing w:val="1"/>
          <w:sz w:val="20"/>
          <w:szCs w:val="18"/>
        </w:rPr>
        <w:t> </w:t>
      </w:r>
      <w:r w:rsidRPr="00675182">
        <w:rPr>
          <w:rFonts w:cstheme="minorHAnsi"/>
          <w:color w:val="000000"/>
          <w:sz w:val="20"/>
          <w:szCs w:val="18"/>
        </w:rPr>
        <w:t>–</w:t>
      </w:r>
      <w:r w:rsidRPr="00675182">
        <w:rPr>
          <w:rFonts w:cstheme="minorHAnsi"/>
          <w:color w:val="000000"/>
          <w:spacing w:val="3"/>
          <w:sz w:val="20"/>
          <w:szCs w:val="18"/>
        </w:rPr>
        <w:t> </w:t>
      </w:r>
      <w:r w:rsidRPr="00675182">
        <w:rPr>
          <w:rFonts w:cstheme="minorHAnsi"/>
          <w:color w:val="000000"/>
          <w:sz w:val="20"/>
          <w:szCs w:val="18"/>
        </w:rPr>
        <w:t>apd</w:t>
      </w:r>
      <w:r w:rsidRPr="00675182">
        <w:rPr>
          <w:rFonts w:cstheme="minorHAnsi"/>
          <w:color w:val="000000"/>
          <w:spacing w:val="1"/>
          <w:sz w:val="20"/>
          <w:szCs w:val="18"/>
        </w:rPr>
        <w:t>r</w:t>
      </w:r>
      <w:r w:rsidRPr="00675182">
        <w:rPr>
          <w:rFonts w:cstheme="minorHAnsi"/>
          <w:color w:val="000000"/>
          <w:sz w:val="20"/>
          <w:szCs w:val="18"/>
        </w:rPr>
        <w:t>aud</w:t>
      </w:r>
      <w:r w:rsidRPr="00675182">
        <w:rPr>
          <w:rFonts w:cstheme="minorHAnsi"/>
          <w:color w:val="000000"/>
          <w:spacing w:val="-2"/>
          <w:sz w:val="20"/>
          <w:szCs w:val="18"/>
        </w:rPr>
        <w:t>ē</w:t>
      </w:r>
      <w:r w:rsidRPr="00675182">
        <w:rPr>
          <w:rFonts w:cstheme="minorHAnsi"/>
          <w:color w:val="000000"/>
          <w:spacing w:val="1"/>
          <w:sz w:val="20"/>
          <w:szCs w:val="18"/>
        </w:rPr>
        <w:t>t</w:t>
      </w:r>
      <w:r w:rsidRPr="00675182">
        <w:rPr>
          <w:rFonts w:cstheme="minorHAnsi"/>
          <w:color w:val="000000"/>
          <w:sz w:val="20"/>
          <w:szCs w:val="18"/>
        </w:rPr>
        <w:t>a</w:t>
      </w:r>
      <w:r w:rsidRPr="00675182">
        <w:rPr>
          <w:rFonts w:cstheme="minorHAnsi"/>
          <w:color w:val="000000"/>
          <w:spacing w:val="3"/>
          <w:sz w:val="20"/>
          <w:szCs w:val="18"/>
        </w:rPr>
        <w:t> </w:t>
      </w:r>
      <w:r w:rsidRPr="00675182">
        <w:rPr>
          <w:rFonts w:cstheme="minorHAnsi"/>
          <w:color w:val="000000"/>
          <w:spacing w:val="1"/>
          <w:sz w:val="20"/>
          <w:szCs w:val="18"/>
        </w:rPr>
        <w:t>s</w:t>
      </w:r>
      <w:r w:rsidRPr="00675182">
        <w:rPr>
          <w:rFonts w:cstheme="minorHAnsi"/>
          <w:color w:val="000000"/>
          <w:sz w:val="20"/>
          <w:szCs w:val="18"/>
        </w:rPr>
        <w:t>u</w:t>
      </w:r>
      <w:r w:rsidRPr="00675182">
        <w:rPr>
          <w:rFonts w:cstheme="minorHAnsi"/>
          <w:color w:val="000000"/>
          <w:spacing w:val="-2"/>
          <w:sz w:val="20"/>
          <w:szCs w:val="18"/>
        </w:rPr>
        <w:t>g</w:t>
      </w:r>
      <w:r w:rsidRPr="00675182">
        <w:rPr>
          <w:rFonts w:cstheme="minorHAnsi"/>
          <w:color w:val="000000"/>
          <w:sz w:val="20"/>
          <w:szCs w:val="18"/>
        </w:rPr>
        <w:t xml:space="preserve">a; </w:t>
      </w:r>
      <w:r w:rsidRPr="00675182">
        <w:rPr>
          <w:rFonts w:cstheme="minorHAnsi"/>
          <w:color w:val="000000"/>
          <w:spacing w:val="26"/>
          <w:sz w:val="20"/>
          <w:szCs w:val="18"/>
        </w:rPr>
        <w:t> </w:t>
      </w:r>
      <w:r w:rsidRPr="00675182">
        <w:rPr>
          <w:rFonts w:cstheme="minorHAnsi"/>
          <w:b/>
          <w:bCs/>
          <w:color w:val="000000"/>
          <w:spacing w:val="-1"/>
          <w:sz w:val="20"/>
          <w:szCs w:val="18"/>
        </w:rPr>
        <w:t>V</w:t>
      </w:r>
      <w:r w:rsidRPr="00675182">
        <w:rPr>
          <w:rFonts w:cstheme="minorHAnsi"/>
          <w:b/>
          <w:bCs/>
          <w:color w:val="000000"/>
          <w:sz w:val="20"/>
          <w:szCs w:val="18"/>
        </w:rPr>
        <w:t>U</w:t>
      </w:r>
      <w:r w:rsidRPr="00675182">
        <w:rPr>
          <w:rFonts w:cstheme="minorHAnsi"/>
          <w:b/>
          <w:bCs/>
          <w:color w:val="000000"/>
          <w:spacing w:val="2"/>
          <w:sz w:val="20"/>
          <w:szCs w:val="18"/>
        </w:rPr>
        <w:t> </w:t>
      </w:r>
      <w:r w:rsidRPr="00675182">
        <w:rPr>
          <w:rFonts w:cstheme="minorHAnsi"/>
          <w:color w:val="000000"/>
          <w:spacing w:val="1"/>
          <w:sz w:val="20"/>
          <w:szCs w:val="18"/>
        </w:rPr>
        <w:t>(</w:t>
      </w:r>
      <w:r w:rsidRPr="00675182">
        <w:rPr>
          <w:rFonts w:cstheme="minorHAnsi"/>
          <w:color w:val="000000"/>
          <w:spacing w:val="-2"/>
          <w:sz w:val="20"/>
          <w:szCs w:val="18"/>
        </w:rPr>
        <w:t>v</w:t>
      </w:r>
      <w:r w:rsidRPr="00675182">
        <w:rPr>
          <w:rFonts w:cstheme="minorHAnsi"/>
          <w:color w:val="000000"/>
          <w:sz w:val="20"/>
          <w:szCs w:val="18"/>
        </w:rPr>
        <w:t>u</w:t>
      </w:r>
      <w:r w:rsidRPr="00675182">
        <w:rPr>
          <w:rFonts w:cstheme="minorHAnsi"/>
          <w:color w:val="000000"/>
          <w:spacing w:val="1"/>
          <w:sz w:val="20"/>
          <w:szCs w:val="18"/>
        </w:rPr>
        <w:t>l</w:t>
      </w:r>
      <w:r w:rsidRPr="00675182">
        <w:rPr>
          <w:rFonts w:cstheme="minorHAnsi"/>
          <w:color w:val="000000"/>
          <w:sz w:val="20"/>
          <w:szCs w:val="18"/>
        </w:rPr>
        <w:t>ne</w:t>
      </w:r>
      <w:r w:rsidRPr="00675182">
        <w:rPr>
          <w:rFonts w:cstheme="minorHAnsi"/>
          <w:color w:val="000000"/>
          <w:spacing w:val="1"/>
          <w:sz w:val="20"/>
          <w:szCs w:val="18"/>
        </w:rPr>
        <w:t>r</w:t>
      </w:r>
      <w:r w:rsidRPr="00675182">
        <w:rPr>
          <w:rFonts w:cstheme="minorHAnsi"/>
          <w:color w:val="000000"/>
          <w:sz w:val="20"/>
          <w:szCs w:val="18"/>
        </w:rPr>
        <w:t>a</w:t>
      </w:r>
      <w:r w:rsidRPr="00675182">
        <w:rPr>
          <w:rFonts w:cstheme="minorHAnsi"/>
          <w:color w:val="000000"/>
          <w:spacing w:val="-2"/>
          <w:sz w:val="20"/>
          <w:szCs w:val="18"/>
        </w:rPr>
        <w:t>b</w:t>
      </w:r>
      <w:r w:rsidRPr="00675182">
        <w:rPr>
          <w:rFonts w:cstheme="minorHAnsi"/>
          <w:color w:val="000000"/>
          <w:spacing w:val="1"/>
          <w:sz w:val="20"/>
          <w:szCs w:val="18"/>
        </w:rPr>
        <w:t>l</w:t>
      </w:r>
      <w:r w:rsidRPr="00675182">
        <w:rPr>
          <w:rFonts w:cstheme="minorHAnsi"/>
          <w:color w:val="000000"/>
          <w:spacing w:val="-2"/>
          <w:sz w:val="20"/>
          <w:szCs w:val="18"/>
        </w:rPr>
        <w:t>e</w:t>
      </w:r>
      <w:r w:rsidRPr="00675182">
        <w:rPr>
          <w:rFonts w:cstheme="minorHAnsi"/>
          <w:color w:val="000000"/>
          <w:sz w:val="20"/>
          <w:szCs w:val="18"/>
        </w:rPr>
        <w:t>)</w:t>
      </w:r>
      <w:r w:rsidRPr="00675182">
        <w:rPr>
          <w:rFonts w:cstheme="minorHAnsi"/>
          <w:color w:val="000000"/>
          <w:spacing w:val="4"/>
          <w:sz w:val="20"/>
          <w:szCs w:val="18"/>
        </w:rPr>
        <w:t> </w:t>
      </w:r>
      <w:r w:rsidRPr="00675182">
        <w:rPr>
          <w:rFonts w:cstheme="minorHAnsi"/>
          <w:color w:val="000000"/>
          <w:sz w:val="20"/>
          <w:szCs w:val="18"/>
        </w:rPr>
        <w:t xml:space="preserve">– </w:t>
      </w:r>
      <w:r w:rsidRPr="00675182">
        <w:rPr>
          <w:rFonts w:cstheme="minorHAnsi"/>
          <w:color w:val="000000"/>
          <w:spacing w:val="3"/>
          <w:sz w:val="20"/>
          <w:szCs w:val="18"/>
        </w:rPr>
        <w:t>j</w:t>
      </w:r>
      <w:r w:rsidRPr="00675182">
        <w:rPr>
          <w:rFonts w:cstheme="minorHAnsi"/>
          <w:color w:val="000000"/>
          <w:sz w:val="20"/>
          <w:szCs w:val="18"/>
        </w:rPr>
        <w:t>ū</w:t>
      </w:r>
      <w:r w:rsidRPr="00675182">
        <w:rPr>
          <w:rFonts w:cstheme="minorHAnsi"/>
          <w:color w:val="000000"/>
          <w:spacing w:val="-1"/>
          <w:sz w:val="20"/>
          <w:szCs w:val="18"/>
        </w:rPr>
        <w:t>t</w:t>
      </w:r>
      <w:r w:rsidRPr="00675182">
        <w:rPr>
          <w:rFonts w:cstheme="minorHAnsi"/>
          <w:color w:val="000000"/>
          <w:spacing w:val="1"/>
          <w:sz w:val="20"/>
          <w:szCs w:val="18"/>
        </w:rPr>
        <w:t>ī</w:t>
      </w:r>
      <w:r w:rsidRPr="00675182">
        <w:rPr>
          <w:rFonts w:cstheme="minorHAnsi"/>
          <w:color w:val="000000"/>
          <w:spacing w:val="-2"/>
          <w:sz w:val="20"/>
          <w:szCs w:val="18"/>
        </w:rPr>
        <w:t>g</w:t>
      </w:r>
      <w:r w:rsidRPr="00675182">
        <w:rPr>
          <w:rFonts w:cstheme="minorHAnsi"/>
          <w:color w:val="000000"/>
          <w:sz w:val="20"/>
          <w:szCs w:val="18"/>
        </w:rPr>
        <w:t>a</w:t>
      </w:r>
      <w:r w:rsidRPr="00675182">
        <w:rPr>
          <w:rFonts w:cstheme="minorHAnsi"/>
          <w:color w:val="000000"/>
          <w:spacing w:val="3"/>
          <w:sz w:val="20"/>
          <w:szCs w:val="18"/>
        </w:rPr>
        <w:t> </w:t>
      </w:r>
      <w:r w:rsidRPr="00675182">
        <w:rPr>
          <w:rFonts w:cstheme="minorHAnsi"/>
          <w:color w:val="000000"/>
          <w:spacing w:val="1"/>
          <w:sz w:val="20"/>
          <w:szCs w:val="18"/>
        </w:rPr>
        <w:t>s</w:t>
      </w:r>
      <w:r w:rsidRPr="00675182">
        <w:rPr>
          <w:rFonts w:cstheme="minorHAnsi"/>
          <w:color w:val="000000"/>
          <w:sz w:val="20"/>
          <w:szCs w:val="18"/>
        </w:rPr>
        <w:t>u</w:t>
      </w:r>
      <w:r w:rsidRPr="00675182">
        <w:rPr>
          <w:rFonts w:cstheme="minorHAnsi"/>
          <w:color w:val="000000"/>
          <w:spacing w:val="-2"/>
          <w:sz w:val="20"/>
          <w:szCs w:val="18"/>
        </w:rPr>
        <w:t>g</w:t>
      </w:r>
      <w:r w:rsidRPr="00675182">
        <w:rPr>
          <w:rFonts w:cstheme="minorHAnsi"/>
          <w:color w:val="000000"/>
          <w:sz w:val="20"/>
          <w:szCs w:val="18"/>
        </w:rPr>
        <w:t xml:space="preserve">a; </w:t>
      </w:r>
      <w:r w:rsidRPr="00675182">
        <w:rPr>
          <w:rFonts w:cstheme="minorHAnsi"/>
          <w:color w:val="000000"/>
          <w:spacing w:val="26"/>
          <w:sz w:val="20"/>
          <w:szCs w:val="18"/>
        </w:rPr>
        <w:t> </w:t>
      </w:r>
      <w:r w:rsidRPr="00675182">
        <w:rPr>
          <w:rFonts w:cstheme="minorHAnsi"/>
          <w:b/>
          <w:bCs/>
          <w:color w:val="000000"/>
          <w:spacing w:val="-1"/>
          <w:sz w:val="20"/>
          <w:szCs w:val="18"/>
        </w:rPr>
        <w:t>L</w:t>
      </w:r>
      <w:r w:rsidRPr="00675182">
        <w:rPr>
          <w:rFonts w:cstheme="minorHAnsi"/>
          <w:b/>
          <w:bCs/>
          <w:color w:val="000000"/>
          <w:sz w:val="20"/>
          <w:szCs w:val="18"/>
        </w:rPr>
        <w:t>R</w:t>
      </w:r>
      <w:r w:rsidRPr="00675182">
        <w:rPr>
          <w:rFonts w:cstheme="minorHAnsi"/>
          <w:b/>
          <w:bCs/>
          <w:color w:val="000000"/>
          <w:spacing w:val="2"/>
          <w:sz w:val="20"/>
          <w:szCs w:val="18"/>
        </w:rPr>
        <w:t> </w:t>
      </w:r>
      <w:r w:rsidRPr="00675182">
        <w:rPr>
          <w:rFonts w:cstheme="minorHAnsi"/>
          <w:color w:val="000000"/>
          <w:spacing w:val="1"/>
          <w:sz w:val="20"/>
          <w:szCs w:val="18"/>
        </w:rPr>
        <w:t>(l</w:t>
      </w:r>
      <w:r w:rsidRPr="00675182">
        <w:rPr>
          <w:rFonts w:cstheme="minorHAnsi"/>
          <w:color w:val="000000"/>
          <w:sz w:val="20"/>
          <w:szCs w:val="18"/>
        </w:rPr>
        <w:t>o</w:t>
      </w:r>
      <w:r w:rsidRPr="00675182">
        <w:rPr>
          <w:rFonts w:cstheme="minorHAnsi"/>
          <w:color w:val="000000"/>
          <w:spacing w:val="-1"/>
          <w:sz w:val="20"/>
          <w:szCs w:val="18"/>
        </w:rPr>
        <w:t>w</w:t>
      </w:r>
      <w:r w:rsidRPr="00675182">
        <w:rPr>
          <w:rFonts w:cstheme="minorHAnsi"/>
          <w:color w:val="000000"/>
          <w:sz w:val="20"/>
          <w:szCs w:val="18"/>
        </w:rPr>
        <w:t>er</w:t>
      </w:r>
      <w:r w:rsidRPr="00675182">
        <w:rPr>
          <w:rFonts w:cstheme="minorHAnsi"/>
          <w:color w:val="000000"/>
          <w:spacing w:val="4"/>
          <w:sz w:val="20"/>
          <w:szCs w:val="18"/>
        </w:rPr>
        <w:t> </w:t>
      </w:r>
      <w:r w:rsidRPr="00675182">
        <w:rPr>
          <w:rFonts w:cstheme="minorHAnsi"/>
          <w:color w:val="000000"/>
          <w:spacing w:val="1"/>
          <w:sz w:val="20"/>
          <w:szCs w:val="18"/>
        </w:rPr>
        <w:t>r</w:t>
      </w:r>
      <w:r w:rsidRPr="00675182">
        <w:rPr>
          <w:rFonts w:cstheme="minorHAnsi"/>
          <w:color w:val="000000"/>
          <w:spacing w:val="-1"/>
          <w:sz w:val="20"/>
          <w:szCs w:val="18"/>
        </w:rPr>
        <w:t>i</w:t>
      </w:r>
      <w:r w:rsidRPr="00675182">
        <w:rPr>
          <w:rFonts w:cstheme="minorHAnsi"/>
          <w:color w:val="000000"/>
          <w:spacing w:val="1"/>
          <w:sz w:val="20"/>
          <w:szCs w:val="18"/>
        </w:rPr>
        <w:t>s</w:t>
      </w:r>
      <w:r w:rsidRPr="00675182">
        <w:rPr>
          <w:rFonts w:cstheme="minorHAnsi"/>
          <w:color w:val="000000"/>
          <w:spacing w:val="-2"/>
          <w:sz w:val="20"/>
          <w:szCs w:val="18"/>
        </w:rPr>
        <w:t>k</w:t>
      </w:r>
      <w:r w:rsidRPr="00675182">
        <w:rPr>
          <w:rFonts w:cstheme="minorHAnsi"/>
          <w:color w:val="000000"/>
          <w:sz w:val="20"/>
          <w:szCs w:val="18"/>
        </w:rPr>
        <w:t>)</w:t>
      </w:r>
      <w:r w:rsidRPr="00675182">
        <w:rPr>
          <w:rFonts w:cstheme="minorHAnsi"/>
          <w:color w:val="000000"/>
          <w:spacing w:val="4"/>
          <w:sz w:val="20"/>
          <w:szCs w:val="18"/>
        </w:rPr>
        <w:t> </w:t>
      </w:r>
      <w:r w:rsidRPr="00675182">
        <w:rPr>
          <w:rFonts w:cstheme="minorHAnsi"/>
          <w:color w:val="000000"/>
          <w:sz w:val="20"/>
          <w:szCs w:val="18"/>
        </w:rPr>
        <w:t>–</w:t>
      </w:r>
      <w:r w:rsidRPr="00675182">
        <w:rPr>
          <w:rFonts w:cstheme="minorHAnsi"/>
          <w:color w:val="000000"/>
          <w:spacing w:val="3"/>
          <w:sz w:val="20"/>
          <w:szCs w:val="18"/>
        </w:rPr>
        <w:t> </w:t>
      </w:r>
      <w:r w:rsidRPr="00675182">
        <w:rPr>
          <w:rFonts w:cstheme="minorHAnsi"/>
          <w:color w:val="000000"/>
          <w:spacing w:val="-2"/>
          <w:sz w:val="20"/>
          <w:szCs w:val="18"/>
        </w:rPr>
        <w:t>z</w:t>
      </w:r>
      <w:r w:rsidRPr="00675182">
        <w:rPr>
          <w:rFonts w:cstheme="minorHAnsi"/>
          <w:color w:val="000000"/>
          <w:spacing w:val="3"/>
          <w:sz w:val="20"/>
          <w:szCs w:val="18"/>
        </w:rPr>
        <w:t>e</w:t>
      </w:r>
      <w:r w:rsidRPr="00675182">
        <w:rPr>
          <w:rFonts w:cstheme="minorHAnsi"/>
          <w:color w:val="000000"/>
          <w:spacing w:val="-4"/>
          <w:sz w:val="20"/>
          <w:szCs w:val="18"/>
        </w:rPr>
        <w:t>m</w:t>
      </w:r>
      <w:r w:rsidRPr="00675182">
        <w:rPr>
          <w:rFonts w:cstheme="minorHAnsi"/>
          <w:color w:val="000000"/>
          <w:spacing w:val="3"/>
          <w:sz w:val="20"/>
          <w:szCs w:val="18"/>
        </w:rPr>
        <w:t>ā</w:t>
      </w:r>
      <w:r w:rsidRPr="00675182">
        <w:rPr>
          <w:rFonts w:cstheme="minorHAnsi"/>
          <w:color w:val="000000"/>
          <w:spacing w:val="-2"/>
          <w:sz w:val="20"/>
          <w:szCs w:val="18"/>
        </w:rPr>
        <w:t>k</w:t>
      </w:r>
      <w:r w:rsidRPr="00675182">
        <w:rPr>
          <w:rFonts w:cstheme="minorHAnsi"/>
          <w:color w:val="000000"/>
          <w:sz w:val="20"/>
          <w:szCs w:val="18"/>
        </w:rPr>
        <w:t xml:space="preserve">s </w:t>
      </w:r>
      <w:r w:rsidRPr="00675182">
        <w:rPr>
          <w:rFonts w:cstheme="minorHAnsi"/>
          <w:color w:val="000000"/>
          <w:spacing w:val="1"/>
          <w:sz w:val="20"/>
          <w:szCs w:val="18"/>
        </w:rPr>
        <w:t>s</w:t>
      </w:r>
      <w:r w:rsidRPr="00675182">
        <w:rPr>
          <w:rFonts w:cstheme="minorHAnsi"/>
          <w:color w:val="000000"/>
          <w:sz w:val="20"/>
          <w:szCs w:val="18"/>
        </w:rPr>
        <w:t>u</w:t>
      </w:r>
      <w:r w:rsidRPr="00675182">
        <w:rPr>
          <w:rFonts w:cstheme="minorHAnsi"/>
          <w:color w:val="000000"/>
          <w:spacing w:val="-2"/>
          <w:sz w:val="20"/>
          <w:szCs w:val="18"/>
        </w:rPr>
        <w:t>g</w:t>
      </w:r>
      <w:r w:rsidRPr="00675182">
        <w:rPr>
          <w:rFonts w:cstheme="minorHAnsi"/>
          <w:color w:val="000000"/>
          <w:sz w:val="20"/>
          <w:szCs w:val="18"/>
        </w:rPr>
        <w:t>as</w:t>
      </w:r>
      <w:r w:rsidRPr="00675182">
        <w:rPr>
          <w:rFonts w:cstheme="minorHAnsi"/>
          <w:color w:val="000000"/>
          <w:spacing w:val="1"/>
          <w:sz w:val="20"/>
          <w:szCs w:val="18"/>
        </w:rPr>
        <w:t> </w:t>
      </w:r>
      <w:r w:rsidRPr="00675182">
        <w:rPr>
          <w:rFonts w:cstheme="minorHAnsi"/>
          <w:color w:val="000000"/>
          <w:sz w:val="20"/>
          <w:szCs w:val="18"/>
        </w:rPr>
        <w:t>apd</w:t>
      </w:r>
      <w:r w:rsidRPr="00675182">
        <w:rPr>
          <w:rFonts w:cstheme="minorHAnsi"/>
          <w:color w:val="000000"/>
          <w:spacing w:val="-1"/>
          <w:sz w:val="20"/>
          <w:szCs w:val="18"/>
        </w:rPr>
        <w:t>r</w:t>
      </w:r>
      <w:r w:rsidRPr="00675182">
        <w:rPr>
          <w:rFonts w:cstheme="minorHAnsi"/>
          <w:color w:val="000000"/>
          <w:sz w:val="20"/>
          <w:szCs w:val="18"/>
        </w:rPr>
        <w:t>aud</w:t>
      </w:r>
      <w:r w:rsidRPr="00675182">
        <w:rPr>
          <w:rFonts w:cstheme="minorHAnsi"/>
          <w:color w:val="000000"/>
          <w:spacing w:val="-2"/>
          <w:sz w:val="20"/>
          <w:szCs w:val="18"/>
        </w:rPr>
        <w:t>ē</w:t>
      </w:r>
      <w:r w:rsidRPr="00675182">
        <w:rPr>
          <w:rFonts w:cstheme="minorHAnsi"/>
          <w:color w:val="000000"/>
          <w:spacing w:val="1"/>
          <w:sz w:val="20"/>
          <w:szCs w:val="18"/>
        </w:rPr>
        <w:t>j</w:t>
      </w:r>
      <w:r w:rsidRPr="00675182">
        <w:rPr>
          <w:rFonts w:cstheme="minorHAnsi"/>
          <w:color w:val="000000"/>
          <w:sz w:val="20"/>
          <w:szCs w:val="18"/>
        </w:rPr>
        <w:t>u</w:t>
      </w:r>
      <w:r w:rsidRPr="00675182">
        <w:rPr>
          <w:rFonts w:cstheme="minorHAnsi"/>
          <w:color w:val="000000"/>
          <w:spacing w:val="-4"/>
          <w:sz w:val="20"/>
          <w:szCs w:val="18"/>
        </w:rPr>
        <w:t>m</w:t>
      </w:r>
      <w:r w:rsidRPr="00675182">
        <w:rPr>
          <w:rFonts w:cstheme="minorHAnsi"/>
          <w:color w:val="000000"/>
          <w:spacing w:val="1"/>
          <w:sz w:val="20"/>
          <w:szCs w:val="18"/>
        </w:rPr>
        <w:t>s</w:t>
      </w:r>
      <w:r w:rsidRPr="00675182">
        <w:rPr>
          <w:rFonts w:cstheme="minorHAnsi"/>
          <w:color w:val="000000"/>
          <w:sz w:val="20"/>
          <w:szCs w:val="18"/>
        </w:rPr>
        <w:t>;</w:t>
      </w:r>
      <w:r w:rsidRPr="00675182">
        <w:rPr>
          <w:rFonts w:cstheme="minorHAnsi"/>
          <w:color w:val="000000"/>
          <w:spacing w:val="1"/>
          <w:sz w:val="20"/>
          <w:szCs w:val="18"/>
        </w:rPr>
        <w:t> </w:t>
      </w:r>
      <w:r w:rsidRPr="00675182">
        <w:rPr>
          <w:rFonts w:cstheme="minorHAnsi"/>
          <w:b/>
          <w:bCs/>
          <w:color w:val="000000"/>
          <w:spacing w:val="-1"/>
          <w:sz w:val="20"/>
          <w:szCs w:val="18"/>
        </w:rPr>
        <w:t>D</w:t>
      </w:r>
      <w:r w:rsidRPr="00675182">
        <w:rPr>
          <w:rFonts w:cstheme="minorHAnsi"/>
          <w:b/>
          <w:bCs/>
          <w:color w:val="000000"/>
          <w:sz w:val="20"/>
          <w:szCs w:val="18"/>
        </w:rPr>
        <w:t>D</w:t>
      </w:r>
      <w:r w:rsidRPr="00675182">
        <w:rPr>
          <w:rFonts w:cstheme="minorHAnsi"/>
          <w:b/>
          <w:bCs/>
          <w:color w:val="000000"/>
          <w:spacing w:val="-1"/>
          <w:sz w:val="20"/>
          <w:szCs w:val="18"/>
        </w:rPr>
        <w:t> </w:t>
      </w:r>
      <w:r w:rsidRPr="00675182">
        <w:rPr>
          <w:rFonts w:cstheme="minorHAnsi"/>
          <w:color w:val="000000"/>
          <w:spacing w:val="1"/>
          <w:sz w:val="20"/>
          <w:szCs w:val="18"/>
        </w:rPr>
        <w:t>(</w:t>
      </w:r>
      <w:r w:rsidRPr="00675182">
        <w:rPr>
          <w:rFonts w:cstheme="minorHAnsi"/>
          <w:color w:val="000000"/>
          <w:spacing w:val="-2"/>
          <w:sz w:val="20"/>
          <w:szCs w:val="18"/>
        </w:rPr>
        <w:t>d</w:t>
      </w:r>
      <w:r w:rsidRPr="00675182">
        <w:rPr>
          <w:rFonts w:cstheme="minorHAnsi"/>
          <w:color w:val="000000"/>
          <w:sz w:val="20"/>
          <w:szCs w:val="18"/>
        </w:rPr>
        <w:t>a</w:t>
      </w:r>
      <w:r w:rsidRPr="00675182">
        <w:rPr>
          <w:rFonts w:cstheme="minorHAnsi"/>
          <w:color w:val="000000"/>
          <w:spacing w:val="1"/>
          <w:sz w:val="20"/>
          <w:szCs w:val="18"/>
        </w:rPr>
        <w:t>t</w:t>
      </w:r>
      <w:r w:rsidRPr="00675182">
        <w:rPr>
          <w:rFonts w:cstheme="minorHAnsi"/>
          <w:color w:val="000000"/>
          <w:sz w:val="20"/>
          <w:szCs w:val="18"/>
        </w:rPr>
        <w:t>a</w:t>
      </w:r>
      <w:r w:rsidRPr="00675182">
        <w:rPr>
          <w:rFonts w:cstheme="minorHAnsi"/>
          <w:color w:val="000000"/>
          <w:spacing w:val="1"/>
          <w:sz w:val="20"/>
          <w:szCs w:val="18"/>
        </w:rPr>
        <w:t> </w:t>
      </w:r>
      <w:r w:rsidRPr="00675182">
        <w:rPr>
          <w:rFonts w:cstheme="minorHAnsi"/>
          <w:color w:val="000000"/>
          <w:spacing w:val="-2"/>
          <w:sz w:val="20"/>
          <w:szCs w:val="18"/>
        </w:rPr>
        <w:t>d</w:t>
      </w:r>
      <w:r w:rsidRPr="00675182">
        <w:rPr>
          <w:rFonts w:cstheme="minorHAnsi"/>
          <w:color w:val="000000"/>
          <w:sz w:val="20"/>
          <w:szCs w:val="18"/>
        </w:rPr>
        <w:t>e</w:t>
      </w:r>
      <w:r w:rsidRPr="00675182">
        <w:rPr>
          <w:rFonts w:cstheme="minorHAnsi"/>
          <w:color w:val="000000"/>
          <w:spacing w:val="-1"/>
          <w:sz w:val="20"/>
          <w:szCs w:val="18"/>
        </w:rPr>
        <w:t>f</w:t>
      </w:r>
      <w:r w:rsidRPr="00675182">
        <w:rPr>
          <w:rFonts w:cstheme="minorHAnsi"/>
          <w:color w:val="000000"/>
          <w:spacing w:val="1"/>
          <w:sz w:val="20"/>
          <w:szCs w:val="18"/>
        </w:rPr>
        <w:t>i</w:t>
      </w:r>
      <w:r w:rsidRPr="00675182">
        <w:rPr>
          <w:rFonts w:cstheme="minorHAnsi"/>
          <w:color w:val="000000"/>
          <w:spacing w:val="-2"/>
          <w:sz w:val="20"/>
          <w:szCs w:val="18"/>
        </w:rPr>
        <w:t>c</w:t>
      </w:r>
      <w:r w:rsidRPr="00675182">
        <w:rPr>
          <w:rFonts w:cstheme="minorHAnsi"/>
          <w:color w:val="000000"/>
          <w:spacing w:val="1"/>
          <w:sz w:val="20"/>
          <w:szCs w:val="18"/>
        </w:rPr>
        <w:t>i</w:t>
      </w:r>
      <w:r w:rsidRPr="00675182">
        <w:rPr>
          <w:rFonts w:cstheme="minorHAnsi"/>
          <w:color w:val="000000"/>
          <w:sz w:val="20"/>
          <w:szCs w:val="18"/>
        </w:rPr>
        <w:t>e</w:t>
      </w:r>
      <w:r w:rsidRPr="00675182">
        <w:rPr>
          <w:rFonts w:cstheme="minorHAnsi"/>
          <w:color w:val="000000"/>
          <w:spacing w:val="-2"/>
          <w:sz w:val="20"/>
          <w:szCs w:val="18"/>
        </w:rPr>
        <w:t>n</w:t>
      </w:r>
      <w:r w:rsidRPr="00675182">
        <w:rPr>
          <w:rFonts w:cstheme="minorHAnsi"/>
          <w:color w:val="000000"/>
          <w:spacing w:val="1"/>
          <w:sz w:val="20"/>
          <w:szCs w:val="18"/>
        </w:rPr>
        <w:t>t</w:t>
      </w:r>
      <w:r w:rsidRPr="00675182">
        <w:rPr>
          <w:rFonts w:cstheme="minorHAnsi"/>
          <w:color w:val="000000"/>
          <w:sz w:val="20"/>
          <w:szCs w:val="18"/>
        </w:rPr>
        <w:t>)</w:t>
      </w:r>
      <w:r w:rsidRPr="00675182">
        <w:rPr>
          <w:rFonts w:cstheme="minorHAnsi"/>
          <w:color w:val="000000"/>
          <w:spacing w:val="1"/>
          <w:sz w:val="20"/>
          <w:szCs w:val="18"/>
        </w:rPr>
        <w:t> </w:t>
      </w:r>
      <w:r w:rsidRPr="00675182">
        <w:rPr>
          <w:rFonts w:cstheme="minorHAnsi"/>
          <w:color w:val="000000"/>
          <w:sz w:val="20"/>
          <w:szCs w:val="18"/>
        </w:rPr>
        <w:t>–</w:t>
      </w:r>
      <w:r w:rsidRPr="00675182">
        <w:rPr>
          <w:rFonts w:cstheme="minorHAnsi"/>
          <w:color w:val="000000"/>
          <w:spacing w:val="-2"/>
          <w:sz w:val="20"/>
          <w:szCs w:val="18"/>
        </w:rPr>
        <w:t> </w:t>
      </w:r>
      <w:r w:rsidRPr="00675182">
        <w:rPr>
          <w:rFonts w:cstheme="minorHAnsi"/>
          <w:color w:val="000000"/>
          <w:sz w:val="20"/>
          <w:szCs w:val="18"/>
        </w:rPr>
        <w:t>da</w:t>
      </w:r>
      <w:r w:rsidRPr="00675182">
        <w:rPr>
          <w:rFonts w:cstheme="minorHAnsi"/>
          <w:color w:val="000000"/>
          <w:spacing w:val="-1"/>
          <w:sz w:val="20"/>
          <w:szCs w:val="18"/>
        </w:rPr>
        <w:t>t</w:t>
      </w:r>
      <w:r w:rsidRPr="00675182">
        <w:rPr>
          <w:rFonts w:cstheme="minorHAnsi"/>
          <w:color w:val="000000"/>
          <w:sz w:val="20"/>
          <w:szCs w:val="18"/>
        </w:rPr>
        <w:t xml:space="preserve">u </w:t>
      </w:r>
      <w:r w:rsidRPr="00675182">
        <w:rPr>
          <w:rFonts w:cstheme="minorHAnsi"/>
          <w:color w:val="000000"/>
          <w:spacing w:val="-1"/>
          <w:sz w:val="20"/>
          <w:szCs w:val="18"/>
        </w:rPr>
        <w:t>t</w:t>
      </w:r>
      <w:r w:rsidRPr="00675182">
        <w:rPr>
          <w:rFonts w:cstheme="minorHAnsi"/>
          <w:color w:val="000000"/>
          <w:spacing w:val="1"/>
          <w:sz w:val="20"/>
          <w:szCs w:val="18"/>
        </w:rPr>
        <w:t>r</w:t>
      </w:r>
      <w:r w:rsidRPr="00675182">
        <w:rPr>
          <w:rFonts w:cstheme="minorHAnsi"/>
          <w:color w:val="000000"/>
          <w:sz w:val="20"/>
          <w:szCs w:val="18"/>
        </w:rPr>
        <w:t>ū</w:t>
      </w:r>
      <w:r w:rsidRPr="00675182">
        <w:rPr>
          <w:rFonts w:cstheme="minorHAnsi"/>
          <w:color w:val="000000"/>
          <w:spacing w:val="-2"/>
          <w:sz w:val="20"/>
          <w:szCs w:val="18"/>
        </w:rPr>
        <w:t>k</w:t>
      </w:r>
      <w:r w:rsidRPr="00675182">
        <w:rPr>
          <w:rFonts w:cstheme="minorHAnsi"/>
          <w:color w:val="000000"/>
          <w:sz w:val="20"/>
          <w:szCs w:val="18"/>
        </w:rPr>
        <w:t>u</w:t>
      </w:r>
      <w:r w:rsidRPr="00675182">
        <w:rPr>
          <w:rFonts w:cstheme="minorHAnsi"/>
          <w:color w:val="000000"/>
          <w:spacing w:val="-1"/>
          <w:sz w:val="20"/>
          <w:szCs w:val="18"/>
        </w:rPr>
        <w:t>m</w:t>
      </w:r>
      <w:r w:rsidRPr="00675182">
        <w:rPr>
          <w:rFonts w:cstheme="minorHAnsi"/>
          <w:color w:val="000000"/>
          <w:sz w:val="20"/>
          <w:szCs w:val="18"/>
        </w:rPr>
        <w:t>s</w:t>
      </w:r>
      <w:r w:rsidRPr="00675182">
        <w:rPr>
          <w:rFonts w:cstheme="minorHAnsi"/>
          <w:color w:val="000000"/>
          <w:spacing w:val="1"/>
          <w:sz w:val="20"/>
          <w:szCs w:val="18"/>
        </w:rPr>
        <w:t> </w:t>
      </w:r>
      <w:r w:rsidRPr="00675182">
        <w:rPr>
          <w:rFonts w:cstheme="minorHAnsi"/>
          <w:color w:val="000000"/>
          <w:sz w:val="20"/>
          <w:szCs w:val="18"/>
        </w:rPr>
        <w:t>par</w:t>
      </w:r>
      <w:r w:rsidRPr="00675182">
        <w:rPr>
          <w:rFonts w:cstheme="minorHAnsi"/>
          <w:color w:val="000000"/>
          <w:spacing w:val="-1"/>
          <w:sz w:val="20"/>
          <w:szCs w:val="18"/>
        </w:rPr>
        <w:t> </w:t>
      </w:r>
      <w:r w:rsidRPr="00675182">
        <w:rPr>
          <w:rFonts w:cstheme="minorHAnsi"/>
          <w:color w:val="000000"/>
          <w:spacing w:val="1"/>
          <w:sz w:val="20"/>
          <w:szCs w:val="18"/>
        </w:rPr>
        <w:t>s</w:t>
      </w:r>
      <w:r w:rsidRPr="00675182">
        <w:rPr>
          <w:rFonts w:cstheme="minorHAnsi"/>
          <w:color w:val="000000"/>
          <w:sz w:val="20"/>
          <w:szCs w:val="18"/>
        </w:rPr>
        <w:t>u</w:t>
      </w:r>
      <w:r w:rsidRPr="00675182">
        <w:rPr>
          <w:rFonts w:cstheme="minorHAnsi"/>
          <w:color w:val="000000"/>
          <w:spacing w:val="-2"/>
          <w:sz w:val="20"/>
          <w:szCs w:val="18"/>
        </w:rPr>
        <w:t>g</w:t>
      </w:r>
      <w:r w:rsidRPr="00675182">
        <w:rPr>
          <w:rFonts w:cstheme="minorHAnsi"/>
          <w:color w:val="000000"/>
          <w:sz w:val="20"/>
          <w:szCs w:val="18"/>
        </w:rPr>
        <w:t>u.</w:t>
      </w:r>
    </w:p>
    <w:p w14:paraId="11D33AC4" w14:textId="374C527E" w:rsidR="00E30B04" w:rsidRDefault="00E30B04" w:rsidP="00E30B04">
      <w:pPr>
        <w:shd w:val="clear" w:color="auto" w:fill="FFFFFF"/>
        <w:rPr>
          <w:rFonts w:cstheme="minorHAnsi"/>
          <w:sz w:val="20"/>
        </w:rPr>
      </w:pPr>
      <w:r w:rsidRPr="00675182">
        <w:rPr>
          <w:rFonts w:cstheme="minorHAnsi"/>
          <w:b/>
          <w:bCs/>
          <w:spacing w:val="1"/>
          <w:sz w:val="20"/>
        </w:rPr>
        <w:lastRenderedPageBreak/>
        <w:t>IUCN*</w:t>
      </w:r>
      <w:r w:rsidRPr="00675182">
        <w:rPr>
          <w:rFonts w:cstheme="minorHAnsi"/>
          <w:spacing w:val="1"/>
          <w:sz w:val="20"/>
        </w:rPr>
        <w:t xml:space="preserve"> - </w:t>
      </w:r>
      <w:r w:rsidRPr="00675182">
        <w:rPr>
          <w:rFonts w:cstheme="minorHAnsi"/>
          <w:sz w:val="20"/>
        </w:rPr>
        <w:t>The</w:t>
      </w:r>
      <w:r w:rsidRPr="00675182">
        <w:rPr>
          <w:rFonts w:cstheme="minorHAnsi"/>
          <w:spacing w:val="53"/>
          <w:sz w:val="20"/>
        </w:rPr>
        <w:t xml:space="preserve"> </w:t>
      </w:r>
      <w:r w:rsidRPr="00675182">
        <w:rPr>
          <w:rFonts w:cstheme="minorHAnsi"/>
          <w:sz w:val="20"/>
        </w:rPr>
        <w:t>Wo</w:t>
      </w:r>
      <w:r w:rsidRPr="00675182">
        <w:rPr>
          <w:rFonts w:cstheme="minorHAnsi"/>
          <w:spacing w:val="-1"/>
          <w:sz w:val="20"/>
        </w:rPr>
        <w:t>r</w:t>
      </w:r>
      <w:r w:rsidRPr="00675182">
        <w:rPr>
          <w:rFonts w:cstheme="minorHAnsi"/>
          <w:spacing w:val="1"/>
          <w:sz w:val="20"/>
        </w:rPr>
        <w:t>l</w:t>
      </w:r>
      <w:r w:rsidRPr="00675182">
        <w:rPr>
          <w:rFonts w:cstheme="minorHAnsi"/>
          <w:sz w:val="20"/>
        </w:rPr>
        <w:t xml:space="preserve">d </w:t>
      </w:r>
      <w:r w:rsidRPr="00675182">
        <w:rPr>
          <w:rFonts w:cstheme="minorHAnsi"/>
          <w:spacing w:val="-1"/>
          <w:sz w:val="20"/>
        </w:rPr>
        <w:t>C</w:t>
      </w:r>
      <w:r w:rsidRPr="00675182">
        <w:rPr>
          <w:rFonts w:cstheme="minorHAnsi"/>
          <w:sz w:val="20"/>
        </w:rPr>
        <w:t>o</w:t>
      </w:r>
      <w:r w:rsidRPr="00675182">
        <w:rPr>
          <w:rFonts w:cstheme="minorHAnsi"/>
          <w:spacing w:val="-2"/>
          <w:sz w:val="20"/>
        </w:rPr>
        <w:t>n</w:t>
      </w:r>
      <w:r w:rsidRPr="00675182">
        <w:rPr>
          <w:rFonts w:cstheme="minorHAnsi"/>
          <w:spacing w:val="1"/>
          <w:sz w:val="20"/>
        </w:rPr>
        <w:t>s</w:t>
      </w:r>
      <w:r w:rsidRPr="00675182">
        <w:rPr>
          <w:rFonts w:cstheme="minorHAnsi"/>
          <w:sz w:val="20"/>
        </w:rPr>
        <w:t>e</w:t>
      </w:r>
      <w:r w:rsidRPr="00675182">
        <w:rPr>
          <w:rFonts w:cstheme="minorHAnsi"/>
          <w:spacing w:val="1"/>
          <w:sz w:val="20"/>
        </w:rPr>
        <w:t>r</w:t>
      </w:r>
      <w:r w:rsidRPr="00675182">
        <w:rPr>
          <w:rFonts w:cstheme="minorHAnsi"/>
          <w:spacing w:val="-2"/>
          <w:sz w:val="20"/>
        </w:rPr>
        <w:t>v</w:t>
      </w:r>
      <w:r w:rsidRPr="00675182">
        <w:rPr>
          <w:rFonts w:cstheme="minorHAnsi"/>
          <w:sz w:val="20"/>
        </w:rPr>
        <w:t>a</w:t>
      </w:r>
      <w:r w:rsidRPr="00675182">
        <w:rPr>
          <w:rFonts w:cstheme="minorHAnsi"/>
          <w:spacing w:val="-1"/>
          <w:sz w:val="20"/>
        </w:rPr>
        <w:t>t</w:t>
      </w:r>
      <w:r w:rsidRPr="00675182">
        <w:rPr>
          <w:rFonts w:cstheme="minorHAnsi"/>
          <w:spacing w:val="1"/>
          <w:sz w:val="20"/>
        </w:rPr>
        <w:t>i</w:t>
      </w:r>
      <w:r w:rsidRPr="00675182">
        <w:rPr>
          <w:rFonts w:cstheme="minorHAnsi"/>
          <w:sz w:val="20"/>
        </w:rPr>
        <w:t>on</w:t>
      </w:r>
      <w:r w:rsidRPr="00675182">
        <w:rPr>
          <w:rFonts w:cstheme="minorHAnsi"/>
          <w:spacing w:val="53"/>
          <w:sz w:val="20"/>
        </w:rPr>
        <w:t xml:space="preserve"> </w:t>
      </w:r>
      <w:r w:rsidRPr="00675182">
        <w:rPr>
          <w:rFonts w:cstheme="minorHAnsi"/>
          <w:spacing w:val="-1"/>
          <w:sz w:val="20"/>
        </w:rPr>
        <w:t>U</w:t>
      </w:r>
      <w:r w:rsidRPr="00675182">
        <w:rPr>
          <w:rFonts w:cstheme="minorHAnsi"/>
          <w:sz w:val="20"/>
        </w:rPr>
        <w:t>n</w:t>
      </w:r>
      <w:r w:rsidRPr="00675182">
        <w:rPr>
          <w:rFonts w:cstheme="minorHAnsi"/>
          <w:spacing w:val="1"/>
          <w:sz w:val="20"/>
        </w:rPr>
        <w:t>i</w:t>
      </w:r>
      <w:r w:rsidRPr="00675182">
        <w:rPr>
          <w:rFonts w:cstheme="minorHAnsi"/>
          <w:sz w:val="20"/>
        </w:rPr>
        <w:t xml:space="preserve">on; </w:t>
      </w:r>
      <w:r w:rsidRPr="00675182">
        <w:rPr>
          <w:rStyle w:val="A5"/>
          <w:rFonts w:cstheme="minorHAnsi"/>
          <w:sz w:val="20"/>
        </w:rPr>
        <w:t>Red List version 3.1.; IUCN 2017</w:t>
      </w:r>
      <w:r w:rsidRPr="00675182">
        <w:rPr>
          <w:rFonts w:cstheme="minorHAnsi"/>
          <w:sz w:val="20"/>
        </w:rPr>
        <w:t>)</w:t>
      </w:r>
      <w:r w:rsidRPr="00675182">
        <w:rPr>
          <w:rFonts w:cstheme="minorHAnsi"/>
          <w:spacing w:val="54"/>
          <w:sz w:val="20"/>
        </w:rPr>
        <w:t xml:space="preserve"> </w:t>
      </w:r>
      <w:r w:rsidRPr="00675182">
        <w:rPr>
          <w:rFonts w:cstheme="minorHAnsi"/>
          <w:spacing w:val="-1"/>
          <w:sz w:val="20"/>
        </w:rPr>
        <w:t>a</w:t>
      </w:r>
      <w:r w:rsidRPr="00675182">
        <w:rPr>
          <w:rFonts w:cstheme="minorHAnsi"/>
          <w:sz w:val="20"/>
        </w:rPr>
        <w:t>pd</w:t>
      </w:r>
      <w:r w:rsidRPr="00675182">
        <w:rPr>
          <w:rFonts w:cstheme="minorHAnsi"/>
          <w:spacing w:val="1"/>
          <w:sz w:val="20"/>
        </w:rPr>
        <w:t>r</w:t>
      </w:r>
      <w:r w:rsidRPr="00675182">
        <w:rPr>
          <w:rFonts w:cstheme="minorHAnsi"/>
          <w:spacing w:val="-2"/>
          <w:sz w:val="20"/>
        </w:rPr>
        <w:t>a</w:t>
      </w:r>
      <w:r w:rsidRPr="00675182">
        <w:rPr>
          <w:rFonts w:cstheme="minorHAnsi"/>
          <w:sz w:val="20"/>
        </w:rPr>
        <w:t>ud</w:t>
      </w:r>
      <w:r w:rsidRPr="00675182">
        <w:rPr>
          <w:rFonts w:cstheme="minorHAnsi"/>
          <w:spacing w:val="-2"/>
          <w:sz w:val="20"/>
        </w:rPr>
        <w:t>ē</w:t>
      </w:r>
      <w:r w:rsidRPr="00675182">
        <w:rPr>
          <w:rFonts w:cstheme="minorHAnsi"/>
          <w:spacing w:val="1"/>
          <w:sz w:val="20"/>
        </w:rPr>
        <w:t>t</w:t>
      </w:r>
      <w:r w:rsidRPr="00675182">
        <w:rPr>
          <w:rFonts w:cstheme="minorHAnsi"/>
          <w:sz w:val="20"/>
        </w:rPr>
        <w:t xml:space="preserve">o </w:t>
      </w:r>
      <w:r w:rsidRPr="00675182">
        <w:rPr>
          <w:rFonts w:cstheme="minorHAnsi"/>
          <w:spacing w:val="1"/>
          <w:sz w:val="20"/>
        </w:rPr>
        <w:t>s</w:t>
      </w:r>
      <w:r w:rsidRPr="00675182">
        <w:rPr>
          <w:rFonts w:cstheme="minorHAnsi"/>
          <w:sz w:val="20"/>
        </w:rPr>
        <w:t>u</w:t>
      </w:r>
      <w:r w:rsidRPr="00675182">
        <w:rPr>
          <w:rFonts w:cstheme="minorHAnsi"/>
          <w:spacing w:val="-2"/>
          <w:sz w:val="20"/>
        </w:rPr>
        <w:t>g</w:t>
      </w:r>
      <w:r w:rsidRPr="00675182">
        <w:rPr>
          <w:rFonts w:cstheme="minorHAnsi"/>
          <w:sz w:val="20"/>
        </w:rPr>
        <w:t xml:space="preserve">u </w:t>
      </w:r>
      <w:r w:rsidRPr="00675182">
        <w:rPr>
          <w:rFonts w:cstheme="minorHAnsi"/>
          <w:spacing w:val="1"/>
          <w:sz w:val="20"/>
        </w:rPr>
        <w:t>s</w:t>
      </w:r>
      <w:r w:rsidRPr="00675182">
        <w:rPr>
          <w:rFonts w:cstheme="minorHAnsi"/>
          <w:sz w:val="20"/>
        </w:rPr>
        <w:t>a</w:t>
      </w:r>
      <w:r w:rsidRPr="00675182">
        <w:rPr>
          <w:rFonts w:cstheme="minorHAnsi"/>
          <w:spacing w:val="1"/>
          <w:sz w:val="20"/>
        </w:rPr>
        <w:t>r</w:t>
      </w:r>
      <w:r w:rsidRPr="00675182">
        <w:rPr>
          <w:rFonts w:cstheme="minorHAnsi"/>
          <w:sz w:val="20"/>
        </w:rPr>
        <w:t>a</w:t>
      </w:r>
      <w:r w:rsidRPr="00675182">
        <w:rPr>
          <w:rFonts w:cstheme="minorHAnsi"/>
          <w:spacing w:val="-2"/>
          <w:sz w:val="20"/>
        </w:rPr>
        <w:t>k</w:t>
      </w:r>
      <w:r w:rsidRPr="00675182">
        <w:rPr>
          <w:rFonts w:cstheme="minorHAnsi"/>
          <w:spacing w:val="1"/>
          <w:sz w:val="20"/>
        </w:rPr>
        <w:t>s</w:t>
      </w:r>
      <w:r w:rsidRPr="00675182">
        <w:rPr>
          <w:rFonts w:cstheme="minorHAnsi"/>
          <w:spacing w:val="-1"/>
          <w:sz w:val="20"/>
        </w:rPr>
        <w:t>t</w:t>
      </w:r>
      <w:r w:rsidRPr="00675182">
        <w:rPr>
          <w:rFonts w:cstheme="minorHAnsi"/>
          <w:spacing w:val="1"/>
          <w:sz w:val="20"/>
        </w:rPr>
        <w:t>ā ierakstīta suga un kategorija</w:t>
      </w:r>
      <w:r w:rsidRPr="00675182">
        <w:rPr>
          <w:rFonts w:cstheme="minorHAnsi"/>
          <w:sz w:val="20"/>
        </w:rPr>
        <w:t>:</w:t>
      </w:r>
      <w:r w:rsidRPr="00675182">
        <w:rPr>
          <w:rFonts w:cstheme="minorHAnsi"/>
          <w:spacing w:val="4"/>
          <w:sz w:val="20"/>
        </w:rPr>
        <w:t xml:space="preserve"> </w:t>
      </w:r>
      <w:r w:rsidRPr="00675182">
        <w:rPr>
          <w:rFonts w:cstheme="minorHAnsi"/>
          <w:spacing w:val="-1"/>
          <w:sz w:val="20"/>
        </w:rPr>
        <w:t>E</w:t>
      </w:r>
      <w:r w:rsidRPr="00675182">
        <w:rPr>
          <w:rFonts w:cstheme="minorHAnsi"/>
          <w:sz w:val="20"/>
        </w:rPr>
        <w:t>N</w:t>
      </w:r>
      <w:r w:rsidRPr="00675182">
        <w:rPr>
          <w:rFonts w:cstheme="minorHAnsi"/>
          <w:b/>
          <w:spacing w:val="2"/>
          <w:sz w:val="20"/>
        </w:rPr>
        <w:t xml:space="preserve"> </w:t>
      </w:r>
      <w:r w:rsidRPr="00675182">
        <w:rPr>
          <w:rFonts w:cstheme="minorHAnsi"/>
          <w:spacing w:val="1"/>
          <w:sz w:val="20"/>
        </w:rPr>
        <w:t>(</w:t>
      </w:r>
      <w:r w:rsidRPr="00675182">
        <w:rPr>
          <w:rFonts w:cstheme="minorHAnsi"/>
          <w:sz w:val="20"/>
        </w:rPr>
        <w:t>en</w:t>
      </w:r>
      <w:r w:rsidRPr="00675182">
        <w:rPr>
          <w:rFonts w:cstheme="minorHAnsi"/>
          <w:spacing w:val="-2"/>
          <w:sz w:val="20"/>
        </w:rPr>
        <w:t>d</w:t>
      </w:r>
      <w:r w:rsidRPr="00675182">
        <w:rPr>
          <w:rFonts w:cstheme="minorHAnsi"/>
          <w:sz w:val="20"/>
        </w:rPr>
        <w:t>an</w:t>
      </w:r>
      <w:r w:rsidRPr="00675182">
        <w:rPr>
          <w:rFonts w:cstheme="minorHAnsi"/>
          <w:spacing w:val="-2"/>
          <w:sz w:val="20"/>
        </w:rPr>
        <w:t>g</w:t>
      </w:r>
      <w:r w:rsidRPr="00675182">
        <w:rPr>
          <w:rFonts w:cstheme="minorHAnsi"/>
          <w:sz w:val="20"/>
        </w:rPr>
        <w:t>e</w:t>
      </w:r>
      <w:r w:rsidRPr="00675182">
        <w:rPr>
          <w:rFonts w:cstheme="minorHAnsi"/>
          <w:spacing w:val="1"/>
          <w:sz w:val="20"/>
        </w:rPr>
        <w:t>r</w:t>
      </w:r>
      <w:r w:rsidRPr="00675182">
        <w:rPr>
          <w:rFonts w:cstheme="minorHAnsi"/>
          <w:sz w:val="20"/>
        </w:rPr>
        <w:t>e</w:t>
      </w:r>
      <w:r w:rsidRPr="00675182">
        <w:rPr>
          <w:rFonts w:cstheme="minorHAnsi"/>
          <w:spacing w:val="-2"/>
          <w:sz w:val="20"/>
        </w:rPr>
        <w:t>d</w:t>
      </w:r>
      <w:r w:rsidRPr="00675182">
        <w:rPr>
          <w:rFonts w:cstheme="minorHAnsi"/>
          <w:sz w:val="20"/>
        </w:rPr>
        <w:t>)</w:t>
      </w:r>
      <w:r w:rsidRPr="00675182">
        <w:rPr>
          <w:rFonts w:cstheme="minorHAnsi"/>
          <w:spacing w:val="1"/>
          <w:sz w:val="20"/>
        </w:rPr>
        <w:t xml:space="preserve"> </w:t>
      </w:r>
      <w:r w:rsidRPr="00675182">
        <w:rPr>
          <w:rFonts w:cstheme="minorHAnsi"/>
          <w:sz w:val="20"/>
        </w:rPr>
        <w:t>–</w:t>
      </w:r>
      <w:r w:rsidRPr="00675182">
        <w:rPr>
          <w:rFonts w:cstheme="minorHAnsi"/>
          <w:spacing w:val="3"/>
          <w:sz w:val="20"/>
        </w:rPr>
        <w:t xml:space="preserve"> </w:t>
      </w:r>
      <w:r w:rsidRPr="00675182">
        <w:rPr>
          <w:rFonts w:cstheme="minorHAnsi"/>
          <w:sz w:val="20"/>
        </w:rPr>
        <w:t>apd</w:t>
      </w:r>
      <w:r w:rsidRPr="00675182">
        <w:rPr>
          <w:rFonts w:cstheme="minorHAnsi"/>
          <w:spacing w:val="1"/>
          <w:sz w:val="20"/>
        </w:rPr>
        <w:t>r</w:t>
      </w:r>
      <w:r w:rsidRPr="00675182">
        <w:rPr>
          <w:rFonts w:cstheme="minorHAnsi"/>
          <w:sz w:val="20"/>
        </w:rPr>
        <w:t>aud</w:t>
      </w:r>
      <w:r w:rsidRPr="00675182">
        <w:rPr>
          <w:rFonts w:cstheme="minorHAnsi"/>
          <w:spacing w:val="-2"/>
          <w:sz w:val="20"/>
        </w:rPr>
        <w:t>ē</w:t>
      </w:r>
      <w:r w:rsidRPr="00675182">
        <w:rPr>
          <w:rFonts w:cstheme="minorHAnsi"/>
          <w:spacing w:val="1"/>
          <w:sz w:val="20"/>
        </w:rPr>
        <w:t>t</w:t>
      </w:r>
      <w:r w:rsidRPr="00675182">
        <w:rPr>
          <w:rFonts w:cstheme="minorHAnsi"/>
          <w:sz w:val="20"/>
        </w:rPr>
        <w:t>a</w:t>
      </w:r>
      <w:r w:rsidRPr="00675182">
        <w:rPr>
          <w:rFonts w:cstheme="minorHAnsi"/>
          <w:spacing w:val="3"/>
          <w:sz w:val="20"/>
        </w:rPr>
        <w:t xml:space="preserve"> </w:t>
      </w:r>
      <w:r w:rsidRPr="00675182">
        <w:rPr>
          <w:rFonts w:cstheme="minorHAnsi"/>
          <w:spacing w:val="1"/>
          <w:sz w:val="20"/>
        </w:rPr>
        <w:t>s</w:t>
      </w:r>
      <w:r w:rsidRPr="00675182">
        <w:rPr>
          <w:rFonts w:cstheme="minorHAnsi"/>
          <w:sz w:val="20"/>
        </w:rPr>
        <w:t>u</w:t>
      </w:r>
      <w:r w:rsidRPr="00675182">
        <w:rPr>
          <w:rFonts w:cstheme="minorHAnsi"/>
          <w:spacing w:val="-2"/>
          <w:sz w:val="20"/>
        </w:rPr>
        <w:t>g</w:t>
      </w:r>
      <w:r w:rsidRPr="00675182">
        <w:rPr>
          <w:rFonts w:cstheme="minorHAnsi"/>
          <w:sz w:val="20"/>
        </w:rPr>
        <w:t xml:space="preserve">a; </w:t>
      </w:r>
      <w:r w:rsidRPr="00675182">
        <w:rPr>
          <w:rFonts w:cstheme="minorHAnsi"/>
          <w:spacing w:val="-1"/>
          <w:sz w:val="20"/>
        </w:rPr>
        <w:t>V</w:t>
      </w:r>
      <w:r w:rsidRPr="00675182">
        <w:rPr>
          <w:rFonts w:cstheme="minorHAnsi"/>
          <w:sz w:val="20"/>
        </w:rPr>
        <w:t>U</w:t>
      </w:r>
      <w:r w:rsidRPr="00675182">
        <w:rPr>
          <w:rFonts w:cstheme="minorHAnsi"/>
          <w:b/>
          <w:spacing w:val="2"/>
          <w:sz w:val="20"/>
        </w:rPr>
        <w:t xml:space="preserve"> </w:t>
      </w:r>
      <w:r w:rsidRPr="00675182">
        <w:rPr>
          <w:rFonts w:cstheme="minorHAnsi"/>
          <w:spacing w:val="1"/>
          <w:sz w:val="20"/>
        </w:rPr>
        <w:t>(</w:t>
      </w:r>
      <w:r w:rsidRPr="00675182">
        <w:rPr>
          <w:rFonts w:cstheme="minorHAnsi"/>
          <w:spacing w:val="-2"/>
          <w:sz w:val="20"/>
        </w:rPr>
        <w:t>v</w:t>
      </w:r>
      <w:r w:rsidRPr="00675182">
        <w:rPr>
          <w:rFonts w:cstheme="minorHAnsi"/>
          <w:sz w:val="20"/>
        </w:rPr>
        <w:t>u</w:t>
      </w:r>
      <w:r w:rsidRPr="00675182">
        <w:rPr>
          <w:rFonts w:cstheme="minorHAnsi"/>
          <w:spacing w:val="1"/>
          <w:sz w:val="20"/>
        </w:rPr>
        <w:t>l</w:t>
      </w:r>
      <w:r w:rsidRPr="00675182">
        <w:rPr>
          <w:rFonts w:cstheme="minorHAnsi"/>
          <w:sz w:val="20"/>
        </w:rPr>
        <w:t>ne</w:t>
      </w:r>
      <w:r w:rsidRPr="00675182">
        <w:rPr>
          <w:rFonts w:cstheme="minorHAnsi"/>
          <w:spacing w:val="1"/>
          <w:sz w:val="20"/>
        </w:rPr>
        <w:t>r</w:t>
      </w:r>
      <w:r w:rsidRPr="00675182">
        <w:rPr>
          <w:rFonts w:cstheme="minorHAnsi"/>
          <w:sz w:val="20"/>
        </w:rPr>
        <w:t>a</w:t>
      </w:r>
      <w:r w:rsidRPr="00675182">
        <w:rPr>
          <w:rFonts w:cstheme="minorHAnsi"/>
          <w:spacing w:val="-2"/>
          <w:sz w:val="20"/>
        </w:rPr>
        <w:t>b</w:t>
      </w:r>
      <w:r w:rsidRPr="00675182">
        <w:rPr>
          <w:rFonts w:cstheme="minorHAnsi"/>
          <w:spacing w:val="1"/>
          <w:sz w:val="20"/>
        </w:rPr>
        <w:t>l</w:t>
      </w:r>
      <w:r w:rsidRPr="00675182">
        <w:rPr>
          <w:rFonts w:cstheme="minorHAnsi"/>
          <w:spacing w:val="-2"/>
          <w:sz w:val="20"/>
        </w:rPr>
        <w:t>e</w:t>
      </w:r>
      <w:r w:rsidRPr="00675182">
        <w:rPr>
          <w:rFonts w:cstheme="minorHAnsi"/>
          <w:sz w:val="20"/>
        </w:rPr>
        <w:t>)</w:t>
      </w:r>
      <w:r w:rsidRPr="00675182">
        <w:rPr>
          <w:rFonts w:cstheme="minorHAnsi"/>
          <w:spacing w:val="4"/>
          <w:sz w:val="20"/>
        </w:rPr>
        <w:t xml:space="preserve"> </w:t>
      </w:r>
      <w:r w:rsidRPr="00675182">
        <w:rPr>
          <w:rFonts w:cstheme="minorHAnsi"/>
          <w:sz w:val="20"/>
        </w:rPr>
        <w:t xml:space="preserve">– </w:t>
      </w:r>
      <w:r w:rsidRPr="00675182">
        <w:rPr>
          <w:rFonts w:cstheme="minorHAnsi"/>
          <w:spacing w:val="3"/>
          <w:sz w:val="20"/>
        </w:rPr>
        <w:t>j</w:t>
      </w:r>
      <w:r w:rsidRPr="00675182">
        <w:rPr>
          <w:rFonts w:cstheme="minorHAnsi"/>
          <w:sz w:val="20"/>
        </w:rPr>
        <w:t>ū</w:t>
      </w:r>
      <w:r w:rsidRPr="00675182">
        <w:rPr>
          <w:rFonts w:cstheme="minorHAnsi"/>
          <w:spacing w:val="-1"/>
          <w:sz w:val="20"/>
        </w:rPr>
        <w:t>t</w:t>
      </w:r>
      <w:r w:rsidRPr="00675182">
        <w:rPr>
          <w:rFonts w:cstheme="minorHAnsi"/>
          <w:spacing w:val="1"/>
          <w:sz w:val="20"/>
        </w:rPr>
        <w:t>ī</w:t>
      </w:r>
      <w:r w:rsidRPr="00675182">
        <w:rPr>
          <w:rFonts w:cstheme="minorHAnsi"/>
          <w:spacing w:val="-2"/>
          <w:sz w:val="20"/>
        </w:rPr>
        <w:t>g</w:t>
      </w:r>
      <w:r w:rsidRPr="00675182">
        <w:rPr>
          <w:rFonts w:cstheme="minorHAnsi"/>
          <w:sz w:val="20"/>
        </w:rPr>
        <w:t>a</w:t>
      </w:r>
      <w:r w:rsidRPr="00675182">
        <w:rPr>
          <w:rFonts w:cstheme="minorHAnsi"/>
          <w:spacing w:val="3"/>
          <w:sz w:val="20"/>
        </w:rPr>
        <w:t xml:space="preserve"> </w:t>
      </w:r>
      <w:r w:rsidRPr="00675182">
        <w:rPr>
          <w:rFonts w:cstheme="minorHAnsi"/>
          <w:spacing w:val="1"/>
          <w:sz w:val="20"/>
        </w:rPr>
        <w:t>s</w:t>
      </w:r>
      <w:r w:rsidRPr="00675182">
        <w:rPr>
          <w:rFonts w:cstheme="minorHAnsi"/>
          <w:sz w:val="20"/>
        </w:rPr>
        <w:t>u</w:t>
      </w:r>
      <w:r w:rsidRPr="00675182">
        <w:rPr>
          <w:rFonts w:cstheme="minorHAnsi"/>
          <w:spacing w:val="-2"/>
          <w:sz w:val="20"/>
        </w:rPr>
        <w:t>g</w:t>
      </w:r>
      <w:r w:rsidRPr="00675182">
        <w:rPr>
          <w:rFonts w:cstheme="minorHAnsi"/>
          <w:sz w:val="20"/>
        </w:rPr>
        <w:t>a; NT (</w:t>
      </w:r>
      <w:r w:rsidRPr="00675182">
        <w:rPr>
          <w:rStyle w:val="A5"/>
          <w:rFonts w:cstheme="minorHAnsi"/>
          <w:sz w:val="20"/>
        </w:rPr>
        <w:t xml:space="preserve">near threatened ) – gandrīz apdraudēta; LC ( least concern) – vismazāk apdraudēta; </w:t>
      </w:r>
      <w:r w:rsidRPr="00675182">
        <w:rPr>
          <w:rFonts w:cstheme="minorHAnsi"/>
          <w:spacing w:val="-1"/>
          <w:sz w:val="20"/>
        </w:rPr>
        <w:t>D</w:t>
      </w:r>
      <w:r w:rsidRPr="00675182">
        <w:rPr>
          <w:rFonts w:cstheme="minorHAnsi"/>
          <w:sz w:val="20"/>
        </w:rPr>
        <w:t>D</w:t>
      </w:r>
      <w:r w:rsidRPr="00675182">
        <w:rPr>
          <w:rFonts w:cstheme="minorHAnsi"/>
          <w:b/>
          <w:spacing w:val="-1"/>
          <w:sz w:val="20"/>
        </w:rPr>
        <w:t xml:space="preserve"> </w:t>
      </w:r>
      <w:r w:rsidRPr="00675182">
        <w:rPr>
          <w:rFonts w:cstheme="minorHAnsi"/>
          <w:spacing w:val="1"/>
          <w:sz w:val="20"/>
        </w:rPr>
        <w:t>(</w:t>
      </w:r>
      <w:r w:rsidRPr="00675182">
        <w:rPr>
          <w:rFonts w:cstheme="minorHAnsi"/>
          <w:spacing w:val="-2"/>
          <w:sz w:val="20"/>
        </w:rPr>
        <w:t>d</w:t>
      </w:r>
      <w:r w:rsidRPr="00675182">
        <w:rPr>
          <w:rFonts w:cstheme="minorHAnsi"/>
          <w:sz w:val="20"/>
        </w:rPr>
        <w:t>a</w:t>
      </w:r>
      <w:r w:rsidRPr="00675182">
        <w:rPr>
          <w:rFonts w:cstheme="minorHAnsi"/>
          <w:spacing w:val="1"/>
          <w:sz w:val="20"/>
        </w:rPr>
        <w:t>t</w:t>
      </w:r>
      <w:r w:rsidRPr="00675182">
        <w:rPr>
          <w:rFonts w:cstheme="minorHAnsi"/>
          <w:sz w:val="20"/>
        </w:rPr>
        <w:t>a</w:t>
      </w:r>
      <w:r w:rsidRPr="00675182">
        <w:rPr>
          <w:rFonts w:cstheme="minorHAnsi"/>
          <w:spacing w:val="1"/>
          <w:sz w:val="20"/>
        </w:rPr>
        <w:t xml:space="preserve"> </w:t>
      </w:r>
      <w:r w:rsidRPr="00675182">
        <w:rPr>
          <w:rFonts w:cstheme="minorHAnsi"/>
          <w:spacing w:val="-2"/>
          <w:sz w:val="20"/>
        </w:rPr>
        <w:t>d</w:t>
      </w:r>
      <w:r w:rsidRPr="00675182">
        <w:rPr>
          <w:rFonts w:cstheme="minorHAnsi"/>
          <w:sz w:val="20"/>
        </w:rPr>
        <w:t>e</w:t>
      </w:r>
      <w:r w:rsidRPr="00675182">
        <w:rPr>
          <w:rFonts w:cstheme="minorHAnsi"/>
          <w:spacing w:val="-1"/>
          <w:sz w:val="20"/>
        </w:rPr>
        <w:t>f</w:t>
      </w:r>
      <w:r w:rsidRPr="00675182">
        <w:rPr>
          <w:rFonts w:cstheme="minorHAnsi"/>
          <w:spacing w:val="1"/>
          <w:sz w:val="20"/>
        </w:rPr>
        <w:t>i</w:t>
      </w:r>
      <w:r w:rsidRPr="00675182">
        <w:rPr>
          <w:rFonts w:cstheme="minorHAnsi"/>
          <w:spacing w:val="-2"/>
          <w:sz w:val="20"/>
        </w:rPr>
        <w:t>c</w:t>
      </w:r>
      <w:r w:rsidRPr="00675182">
        <w:rPr>
          <w:rFonts w:cstheme="minorHAnsi"/>
          <w:spacing w:val="1"/>
          <w:sz w:val="20"/>
        </w:rPr>
        <w:t>i</w:t>
      </w:r>
      <w:r w:rsidRPr="00675182">
        <w:rPr>
          <w:rFonts w:cstheme="minorHAnsi"/>
          <w:sz w:val="20"/>
        </w:rPr>
        <w:t>e</w:t>
      </w:r>
      <w:r w:rsidRPr="00675182">
        <w:rPr>
          <w:rFonts w:cstheme="minorHAnsi"/>
          <w:spacing w:val="-2"/>
          <w:sz w:val="20"/>
        </w:rPr>
        <w:t>n</w:t>
      </w:r>
      <w:r w:rsidRPr="00675182">
        <w:rPr>
          <w:rFonts w:cstheme="minorHAnsi"/>
          <w:spacing w:val="1"/>
          <w:sz w:val="20"/>
        </w:rPr>
        <w:t>t</w:t>
      </w:r>
      <w:r w:rsidRPr="00675182">
        <w:rPr>
          <w:rFonts w:cstheme="minorHAnsi"/>
          <w:sz w:val="20"/>
        </w:rPr>
        <w:t>)</w:t>
      </w:r>
      <w:r w:rsidRPr="00675182">
        <w:rPr>
          <w:rFonts w:cstheme="minorHAnsi"/>
          <w:spacing w:val="1"/>
          <w:sz w:val="20"/>
        </w:rPr>
        <w:t xml:space="preserve"> </w:t>
      </w:r>
      <w:r w:rsidRPr="00675182">
        <w:rPr>
          <w:rFonts w:cstheme="minorHAnsi"/>
          <w:sz w:val="20"/>
        </w:rPr>
        <w:t>–</w:t>
      </w:r>
      <w:r w:rsidRPr="00675182">
        <w:rPr>
          <w:rFonts w:cstheme="minorHAnsi"/>
          <w:spacing w:val="-2"/>
          <w:sz w:val="20"/>
        </w:rPr>
        <w:t xml:space="preserve"> trūkst </w:t>
      </w:r>
      <w:r w:rsidRPr="00675182">
        <w:rPr>
          <w:rFonts w:cstheme="minorHAnsi"/>
          <w:sz w:val="20"/>
        </w:rPr>
        <w:t>da</w:t>
      </w:r>
      <w:r w:rsidRPr="00675182">
        <w:rPr>
          <w:rFonts w:cstheme="minorHAnsi"/>
          <w:spacing w:val="-1"/>
          <w:sz w:val="20"/>
        </w:rPr>
        <w:t>t</w:t>
      </w:r>
      <w:r w:rsidRPr="00675182">
        <w:rPr>
          <w:rFonts w:cstheme="minorHAnsi"/>
          <w:sz w:val="20"/>
        </w:rPr>
        <w:t>u par</w:t>
      </w:r>
      <w:r w:rsidRPr="00675182">
        <w:rPr>
          <w:rFonts w:cstheme="minorHAnsi"/>
          <w:spacing w:val="-1"/>
          <w:sz w:val="20"/>
        </w:rPr>
        <w:t xml:space="preserve"> </w:t>
      </w:r>
      <w:r w:rsidRPr="00675182">
        <w:rPr>
          <w:rFonts w:cstheme="minorHAnsi"/>
          <w:spacing w:val="1"/>
          <w:sz w:val="20"/>
        </w:rPr>
        <w:t>s</w:t>
      </w:r>
      <w:r w:rsidRPr="00675182">
        <w:rPr>
          <w:rFonts w:cstheme="minorHAnsi"/>
          <w:sz w:val="20"/>
        </w:rPr>
        <w:t>u</w:t>
      </w:r>
      <w:r w:rsidRPr="00675182">
        <w:rPr>
          <w:rFonts w:cstheme="minorHAnsi"/>
          <w:spacing w:val="-2"/>
          <w:sz w:val="20"/>
        </w:rPr>
        <w:t>g</w:t>
      </w:r>
      <w:r w:rsidRPr="00675182">
        <w:rPr>
          <w:rFonts w:cstheme="minorHAnsi"/>
          <w:sz w:val="20"/>
        </w:rPr>
        <w:t>u</w:t>
      </w:r>
    </w:p>
    <w:p w14:paraId="06057009" w14:textId="77777777" w:rsidR="003B7F6F" w:rsidRPr="00675182" w:rsidRDefault="003B7F6F" w:rsidP="00E30B04">
      <w:pPr>
        <w:shd w:val="clear" w:color="auto" w:fill="FFFFFF"/>
        <w:rPr>
          <w:rFonts w:cstheme="minorHAnsi"/>
          <w:color w:val="000000"/>
          <w:sz w:val="20"/>
          <w:szCs w:val="18"/>
        </w:rPr>
      </w:pPr>
    </w:p>
    <w:p w14:paraId="1F6D9130" w14:textId="1058EDCB" w:rsidR="00926641" w:rsidRPr="00315BC7" w:rsidRDefault="00926641" w:rsidP="00926641">
      <w:pPr>
        <w:pStyle w:val="BodyText"/>
        <w:spacing w:after="0"/>
        <w:rPr>
          <w:rFonts w:cstheme="minorBidi"/>
          <w:b/>
          <w:bCs/>
          <w:i/>
          <w:iCs/>
          <w:lang w:val="lv-LV"/>
        </w:rPr>
      </w:pPr>
      <w:r w:rsidRPr="00675182">
        <w:rPr>
          <w:rFonts w:cstheme="minorHAnsi"/>
          <w:b/>
          <w:i/>
          <w:lang w:val="lv-LV"/>
        </w:rPr>
        <w:t>2.4.</w:t>
      </w:r>
      <w:r>
        <w:rPr>
          <w:rFonts w:cstheme="minorHAnsi"/>
          <w:b/>
          <w:i/>
          <w:lang w:val="lv-LV"/>
        </w:rPr>
        <w:t>8</w:t>
      </w:r>
      <w:r w:rsidRPr="00675182">
        <w:rPr>
          <w:rFonts w:cstheme="minorHAnsi"/>
          <w:b/>
          <w:i/>
          <w:lang w:val="lv-LV"/>
        </w:rPr>
        <w:t>.</w:t>
      </w:r>
      <w:r>
        <w:rPr>
          <w:rFonts w:cstheme="minorHAnsi"/>
          <w:b/>
          <w:i/>
          <w:lang w:val="lv-LV"/>
        </w:rPr>
        <w:t>B.</w:t>
      </w:r>
      <w:r w:rsidRPr="00675182">
        <w:rPr>
          <w:rFonts w:cstheme="minorHAnsi"/>
          <w:b/>
          <w:i/>
          <w:lang w:val="lv-LV"/>
        </w:rPr>
        <w:t xml:space="preserve"> tabula. </w:t>
      </w:r>
      <w:r w:rsidRPr="00315BC7">
        <w:rPr>
          <w:rFonts w:cstheme="minorBidi"/>
          <w:b/>
          <w:bCs/>
          <w:i/>
          <w:iCs/>
          <w:lang w:val="lv-LV"/>
        </w:rPr>
        <w:t xml:space="preserve">Biotopu direktīvas pielikumos iekļauto </w:t>
      </w:r>
      <w:r>
        <w:rPr>
          <w:rFonts w:cstheme="minorBidi"/>
          <w:b/>
          <w:bCs/>
          <w:i/>
          <w:iCs/>
          <w:lang w:val="lv-LV"/>
        </w:rPr>
        <w:t>bezmugurkaulnieku s</w:t>
      </w:r>
      <w:r w:rsidRPr="00315BC7">
        <w:rPr>
          <w:rFonts w:cstheme="minorBidi"/>
          <w:b/>
          <w:bCs/>
          <w:i/>
          <w:iCs/>
          <w:lang w:val="lv-LV"/>
        </w:rPr>
        <w:t xml:space="preserve">ugu populāciju lielums un sugu dzīvotņu platība </w:t>
      </w:r>
      <w:r>
        <w:rPr>
          <w:rFonts w:cstheme="minorBidi"/>
          <w:b/>
          <w:bCs/>
          <w:i/>
          <w:iCs/>
          <w:lang w:val="lv-LV"/>
        </w:rPr>
        <w:t>GNP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305"/>
        <w:gridCol w:w="798"/>
        <w:gridCol w:w="953"/>
        <w:gridCol w:w="2318"/>
        <w:gridCol w:w="1619"/>
        <w:gridCol w:w="1412"/>
        <w:gridCol w:w="2429"/>
      </w:tblGrid>
      <w:tr w:rsidR="00926641" w:rsidRPr="002C20D0" w14:paraId="3267119D" w14:textId="77777777" w:rsidTr="00926641">
        <w:trPr>
          <w:trHeight w:val="70"/>
          <w:tblHeader/>
        </w:trPr>
        <w:tc>
          <w:tcPr>
            <w:tcW w:w="431"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1BEDD78B" w14:textId="77777777" w:rsidR="00926641" w:rsidRPr="00926641" w:rsidRDefault="00926641" w:rsidP="00926641">
            <w:pPr>
              <w:jc w:val="center"/>
              <w:rPr>
                <w:b/>
                <w:bCs/>
                <w:sz w:val="20"/>
              </w:rPr>
            </w:pPr>
            <w:r w:rsidRPr="00926641">
              <w:rPr>
                <w:b/>
                <w:bCs/>
                <w:sz w:val="20"/>
              </w:rPr>
              <w:t>Nr.p.k.</w:t>
            </w:r>
          </w:p>
        </w:tc>
        <w:tc>
          <w:tcPr>
            <w:tcW w:w="890"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0E72BF73" w14:textId="77777777" w:rsidR="00926641" w:rsidRPr="00926641" w:rsidRDefault="00926641" w:rsidP="00926641">
            <w:pPr>
              <w:jc w:val="center"/>
              <w:rPr>
                <w:b/>
                <w:bCs/>
                <w:sz w:val="20"/>
              </w:rPr>
            </w:pPr>
            <w:r w:rsidRPr="00926641">
              <w:rPr>
                <w:b/>
                <w:bCs/>
                <w:sz w:val="20"/>
              </w:rPr>
              <w:t>Sugas nosaukums (latviski un latīniski)</w:t>
            </w:r>
          </w:p>
        </w:tc>
        <w:tc>
          <w:tcPr>
            <w:tcW w:w="676" w:type="pct"/>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3274AFC" w14:textId="77777777" w:rsidR="00926641" w:rsidRPr="00926641" w:rsidRDefault="00926641" w:rsidP="00926641">
            <w:pPr>
              <w:jc w:val="center"/>
              <w:rPr>
                <w:b/>
                <w:bCs/>
                <w:sz w:val="20"/>
              </w:rPr>
            </w:pPr>
            <w:r w:rsidRPr="00926641">
              <w:rPr>
                <w:b/>
                <w:bCs/>
                <w:sz w:val="20"/>
              </w:rPr>
              <w:t>Sugas populācijas</w:t>
            </w:r>
          </w:p>
          <w:p w14:paraId="757485D4" w14:textId="77777777" w:rsidR="00926641" w:rsidRPr="00926641" w:rsidRDefault="00926641" w:rsidP="00926641">
            <w:pPr>
              <w:jc w:val="center"/>
              <w:rPr>
                <w:b/>
                <w:bCs/>
                <w:sz w:val="20"/>
              </w:rPr>
            </w:pPr>
            <w:r w:rsidRPr="00926641">
              <w:rPr>
                <w:b/>
                <w:bCs/>
                <w:sz w:val="20"/>
              </w:rPr>
              <w:t>lielums teritorijā</w:t>
            </w:r>
          </w:p>
        </w:tc>
        <w:tc>
          <w:tcPr>
            <w:tcW w:w="895"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123EFF85" w14:textId="77777777" w:rsidR="00926641" w:rsidRPr="00926641" w:rsidRDefault="00926641" w:rsidP="00926641">
            <w:pPr>
              <w:jc w:val="center"/>
              <w:rPr>
                <w:b/>
                <w:bCs/>
                <w:sz w:val="20"/>
              </w:rPr>
            </w:pPr>
            <w:r w:rsidRPr="00926641">
              <w:rPr>
                <w:b/>
                <w:bCs/>
                <w:sz w:val="20"/>
              </w:rPr>
              <w:t>Teritorijā esošās sugas populācijas attiecība (%) pret sugas populāciju Natura 2000 teritorijās Latvijā kopumā</w:t>
            </w:r>
          </w:p>
        </w:tc>
        <w:tc>
          <w:tcPr>
            <w:tcW w:w="625"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15DD3B34" w14:textId="77777777" w:rsidR="00926641" w:rsidRPr="00926641" w:rsidRDefault="00926641" w:rsidP="00926641">
            <w:pPr>
              <w:jc w:val="center"/>
              <w:rPr>
                <w:b/>
                <w:bCs/>
                <w:sz w:val="20"/>
              </w:rPr>
            </w:pPr>
            <w:r w:rsidRPr="00926641">
              <w:rPr>
                <w:b/>
                <w:bCs/>
                <w:sz w:val="20"/>
              </w:rPr>
              <w:t>Teritorijā esošās sugas populācijas attiecība (%) pret sugas populāciju valstī</w:t>
            </w:r>
          </w:p>
        </w:tc>
        <w:tc>
          <w:tcPr>
            <w:tcW w:w="545"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633501F8" w14:textId="77777777" w:rsidR="00926641" w:rsidRPr="00926641" w:rsidRDefault="00926641" w:rsidP="00926641">
            <w:pPr>
              <w:jc w:val="center"/>
              <w:rPr>
                <w:b/>
                <w:bCs/>
                <w:sz w:val="20"/>
              </w:rPr>
            </w:pPr>
            <w:r w:rsidRPr="00926641">
              <w:rPr>
                <w:b/>
                <w:bCs/>
                <w:sz w:val="20"/>
              </w:rPr>
              <w:t>Sugas dzīvotnes platība (ha)</w:t>
            </w:r>
          </w:p>
        </w:tc>
        <w:tc>
          <w:tcPr>
            <w:tcW w:w="938"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03997D42" w14:textId="77777777" w:rsidR="00926641" w:rsidRPr="00926641" w:rsidRDefault="00926641" w:rsidP="00926641">
            <w:pPr>
              <w:jc w:val="center"/>
              <w:rPr>
                <w:b/>
                <w:bCs/>
                <w:sz w:val="20"/>
              </w:rPr>
            </w:pPr>
            <w:r w:rsidRPr="00926641">
              <w:rPr>
                <w:b/>
                <w:bCs/>
                <w:sz w:val="20"/>
              </w:rPr>
              <w:t>Sugas dzīvotnes platības attiecība (%) pret sugas dzīvotnes platību Natura 2000 teritorijās Latvijā kopumā</w:t>
            </w:r>
          </w:p>
        </w:tc>
      </w:tr>
      <w:tr w:rsidR="00926641" w14:paraId="36485630" w14:textId="77777777" w:rsidTr="00332DC1">
        <w:trPr>
          <w:trHeight w:val="189"/>
        </w:trPr>
        <w:tc>
          <w:tcPr>
            <w:tcW w:w="431" w:type="pct"/>
            <w:vMerge/>
            <w:tcBorders>
              <w:left w:val="single" w:sz="4" w:space="0" w:color="auto"/>
              <w:bottom w:val="single" w:sz="4" w:space="0" w:color="auto"/>
              <w:right w:val="single" w:sz="4" w:space="0" w:color="auto"/>
            </w:tcBorders>
            <w:shd w:val="clear" w:color="auto" w:fill="D6E3BC" w:themeFill="accent3" w:themeFillTint="66"/>
            <w:vAlign w:val="center"/>
          </w:tcPr>
          <w:p w14:paraId="371B7633" w14:textId="77777777" w:rsidR="00926641" w:rsidRPr="00926641" w:rsidRDefault="00926641" w:rsidP="00926641">
            <w:pPr>
              <w:jc w:val="center"/>
              <w:rPr>
                <w:b/>
                <w:bCs/>
                <w:sz w:val="20"/>
              </w:rPr>
            </w:pPr>
          </w:p>
        </w:tc>
        <w:tc>
          <w:tcPr>
            <w:tcW w:w="890" w:type="pct"/>
            <w:vMerge/>
            <w:tcBorders>
              <w:left w:val="single" w:sz="4" w:space="0" w:color="auto"/>
              <w:bottom w:val="single" w:sz="4" w:space="0" w:color="auto"/>
              <w:right w:val="single" w:sz="4" w:space="0" w:color="auto"/>
            </w:tcBorders>
            <w:shd w:val="clear" w:color="auto" w:fill="D6E3BC" w:themeFill="accent3" w:themeFillTint="66"/>
            <w:vAlign w:val="center"/>
          </w:tcPr>
          <w:p w14:paraId="339244EA" w14:textId="77777777" w:rsidR="00926641" w:rsidRPr="00926641" w:rsidRDefault="00926641" w:rsidP="00926641">
            <w:pPr>
              <w:jc w:val="center"/>
              <w:rPr>
                <w:b/>
                <w:bCs/>
                <w:sz w:val="20"/>
              </w:rPr>
            </w:pPr>
          </w:p>
        </w:tc>
        <w:tc>
          <w:tcPr>
            <w:tcW w:w="30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D6A9C4D" w14:textId="77777777" w:rsidR="00926641" w:rsidRPr="00926641" w:rsidRDefault="00926641" w:rsidP="00926641">
            <w:pPr>
              <w:jc w:val="center"/>
              <w:rPr>
                <w:b/>
                <w:bCs/>
                <w:sz w:val="20"/>
              </w:rPr>
            </w:pPr>
            <w:r w:rsidRPr="00926641">
              <w:rPr>
                <w:b/>
                <w:bCs/>
                <w:sz w:val="20"/>
              </w:rPr>
              <w:t>Min</w:t>
            </w:r>
          </w:p>
        </w:tc>
        <w:tc>
          <w:tcPr>
            <w:tcW w:w="36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DFB00E7" w14:textId="77777777" w:rsidR="00926641" w:rsidRPr="00926641" w:rsidRDefault="00926641" w:rsidP="00926641">
            <w:pPr>
              <w:jc w:val="center"/>
              <w:rPr>
                <w:b/>
                <w:bCs/>
                <w:sz w:val="20"/>
              </w:rPr>
            </w:pPr>
            <w:r w:rsidRPr="00926641">
              <w:rPr>
                <w:b/>
                <w:bCs/>
                <w:sz w:val="20"/>
              </w:rPr>
              <w:t>Maks</w:t>
            </w:r>
          </w:p>
        </w:tc>
        <w:tc>
          <w:tcPr>
            <w:tcW w:w="895" w:type="pct"/>
            <w:vMerge/>
            <w:tcBorders>
              <w:left w:val="single" w:sz="4" w:space="0" w:color="auto"/>
              <w:bottom w:val="single" w:sz="4" w:space="0" w:color="auto"/>
              <w:right w:val="single" w:sz="4" w:space="0" w:color="auto"/>
            </w:tcBorders>
            <w:shd w:val="clear" w:color="auto" w:fill="D6E3BC" w:themeFill="accent3" w:themeFillTint="66"/>
            <w:vAlign w:val="center"/>
          </w:tcPr>
          <w:p w14:paraId="315E69F9" w14:textId="77777777" w:rsidR="00926641" w:rsidRPr="00926641" w:rsidRDefault="00926641" w:rsidP="00926641">
            <w:pPr>
              <w:jc w:val="center"/>
              <w:rPr>
                <w:b/>
                <w:bCs/>
                <w:sz w:val="20"/>
              </w:rPr>
            </w:pPr>
          </w:p>
        </w:tc>
        <w:tc>
          <w:tcPr>
            <w:tcW w:w="625" w:type="pct"/>
            <w:vMerge/>
            <w:tcBorders>
              <w:left w:val="single" w:sz="4" w:space="0" w:color="auto"/>
              <w:bottom w:val="single" w:sz="4" w:space="0" w:color="auto"/>
              <w:right w:val="single" w:sz="4" w:space="0" w:color="auto"/>
            </w:tcBorders>
            <w:shd w:val="clear" w:color="auto" w:fill="D6E3BC" w:themeFill="accent3" w:themeFillTint="66"/>
            <w:vAlign w:val="center"/>
          </w:tcPr>
          <w:p w14:paraId="0E1436F3" w14:textId="77777777" w:rsidR="00926641" w:rsidRPr="00926641" w:rsidRDefault="00926641" w:rsidP="00926641">
            <w:pPr>
              <w:jc w:val="center"/>
              <w:rPr>
                <w:b/>
                <w:bCs/>
                <w:sz w:val="20"/>
              </w:rPr>
            </w:pPr>
          </w:p>
        </w:tc>
        <w:tc>
          <w:tcPr>
            <w:tcW w:w="545" w:type="pct"/>
            <w:vMerge/>
            <w:tcBorders>
              <w:left w:val="single" w:sz="4" w:space="0" w:color="auto"/>
              <w:bottom w:val="single" w:sz="4" w:space="0" w:color="auto"/>
              <w:right w:val="single" w:sz="4" w:space="0" w:color="auto"/>
            </w:tcBorders>
            <w:shd w:val="clear" w:color="auto" w:fill="D6E3BC" w:themeFill="accent3" w:themeFillTint="66"/>
            <w:vAlign w:val="center"/>
          </w:tcPr>
          <w:p w14:paraId="388CB250" w14:textId="77777777" w:rsidR="00926641" w:rsidRPr="00926641" w:rsidRDefault="00926641" w:rsidP="00926641">
            <w:pPr>
              <w:jc w:val="center"/>
              <w:rPr>
                <w:b/>
                <w:bCs/>
                <w:sz w:val="20"/>
              </w:rPr>
            </w:pPr>
          </w:p>
        </w:tc>
        <w:tc>
          <w:tcPr>
            <w:tcW w:w="938" w:type="pct"/>
            <w:vMerge/>
            <w:tcBorders>
              <w:left w:val="single" w:sz="4" w:space="0" w:color="auto"/>
              <w:bottom w:val="single" w:sz="4" w:space="0" w:color="auto"/>
              <w:right w:val="single" w:sz="4" w:space="0" w:color="auto"/>
            </w:tcBorders>
            <w:shd w:val="clear" w:color="auto" w:fill="D6E3BC" w:themeFill="accent3" w:themeFillTint="66"/>
            <w:vAlign w:val="center"/>
          </w:tcPr>
          <w:p w14:paraId="08A17D15" w14:textId="77777777" w:rsidR="00926641" w:rsidRPr="00926641" w:rsidRDefault="00926641" w:rsidP="00926641">
            <w:pPr>
              <w:jc w:val="center"/>
              <w:rPr>
                <w:b/>
                <w:bCs/>
                <w:sz w:val="20"/>
              </w:rPr>
            </w:pPr>
          </w:p>
        </w:tc>
      </w:tr>
      <w:tr w:rsidR="003C1DB1" w14:paraId="0F29B346" w14:textId="77777777" w:rsidTr="00711C3A">
        <w:tc>
          <w:tcPr>
            <w:tcW w:w="431" w:type="pct"/>
            <w:tcBorders>
              <w:top w:val="single" w:sz="4" w:space="0" w:color="auto"/>
              <w:left w:val="single" w:sz="4" w:space="0" w:color="auto"/>
              <w:bottom w:val="single" w:sz="4" w:space="0" w:color="auto"/>
              <w:right w:val="single" w:sz="4" w:space="0" w:color="auto"/>
            </w:tcBorders>
          </w:tcPr>
          <w:p w14:paraId="101F34D3"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183A3DC6" w14:textId="77777777" w:rsidR="003C1DB1" w:rsidRDefault="003C1DB1" w:rsidP="00711C3A">
            <w:pPr>
              <w:rPr>
                <w:rFonts w:eastAsia="Times New Roman" w:cstheme="minorHAnsi"/>
                <w:color w:val="000000"/>
                <w:sz w:val="20"/>
                <w:lang w:eastAsia="en-GB"/>
              </w:rPr>
            </w:pPr>
            <w:r w:rsidRPr="00F020C6">
              <w:rPr>
                <w:rFonts w:eastAsia="Times New Roman" w:cstheme="minorHAnsi"/>
                <w:color w:val="000000"/>
                <w:sz w:val="20"/>
                <w:lang w:eastAsia="en-GB"/>
              </w:rPr>
              <w:t>ošu pļavraibenis</w:t>
            </w:r>
          </w:p>
          <w:p w14:paraId="0D609479" w14:textId="77777777" w:rsidR="003C1DB1" w:rsidRDefault="003C1DB1" w:rsidP="00711C3A">
            <w:pPr>
              <w:rPr>
                <w:bCs/>
                <w:sz w:val="20"/>
              </w:rPr>
            </w:pPr>
            <w:r w:rsidRPr="00F020C6">
              <w:rPr>
                <w:rFonts w:cstheme="minorHAnsi"/>
                <w:i/>
                <w:color w:val="000000"/>
                <w:sz w:val="20"/>
              </w:rPr>
              <w:t>Euphydryas maturna</w:t>
            </w:r>
          </w:p>
        </w:tc>
        <w:tc>
          <w:tcPr>
            <w:tcW w:w="676" w:type="pct"/>
            <w:gridSpan w:val="2"/>
            <w:tcBorders>
              <w:top w:val="single" w:sz="4" w:space="0" w:color="auto"/>
              <w:left w:val="single" w:sz="4" w:space="0" w:color="auto"/>
              <w:bottom w:val="single" w:sz="4" w:space="0" w:color="auto"/>
              <w:right w:val="single" w:sz="4" w:space="0" w:color="auto"/>
            </w:tcBorders>
          </w:tcPr>
          <w:p w14:paraId="4D2C9AA2" w14:textId="77777777" w:rsidR="003C1DB1" w:rsidRPr="009D3DD0" w:rsidRDefault="003C1DB1" w:rsidP="00711C3A">
            <w:pPr>
              <w:rPr>
                <w:bCs/>
                <w:sz w:val="20"/>
              </w:rPr>
            </w:pPr>
            <w:r w:rsidRPr="009D3DD0">
              <w:rPr>
                <w:rFonts w:eastAsia="Times New Roman"/>
                <w:color w:val="000000"/>
                <w:sz w:val="20"/>
              </w:rPr>
              <w:t>100 - 1821</w:t>
            </w:r>
          </w:p>
        </w:tc>
        <w:tc>
          <w:tcPr>
            <w:tcW w:w="895" w:type="pct"/>
            <w:tcBorders>
              <w:top w:val="single" w:sz="4" w:space="0" w:color="auto"/>
              <w:left w:val="single" w:sz="4" w:space="0" w:color="auto"/>
              <w:bottom w:val="single" w:sz="4" w:space="0" w:color="auto"/>
              <w:right w:val="single" w:sz="4" w:space="0" w:color="auto"/>
            </w:tcBorders>
          </w:tcPr>
          <w:p w14:paraId="433506ED" w14:textId="77777777" w:rsidR="003C1DB1" w:rsidRPr="00C70692" w:rsidRDefault="003C1DB1" w:rsidP="00711C3A">
            <w:pPr>
              <w:jc w:val="center"/>
              <w:rPr>
                <w:rFonts w:cstheme="minorHAnsi"/>
                <w:bCs/>
                <w:sz w:val="20"/>
              </w:rPr>
            </w:pPr>
            <w:r w:rsidRPr="00C70692">
              <w:rPr>
                <w:rFonts w:cstheme="minorHAnsi"/>
                <w:sz w:val="20"/>
              </w:rPr>
              <w:t>&lt;5</w:t>
            </w:r>
          </w:p>
        </w:tc>
        <w:tc>
          <w:tcPr>
            <w:tcW w:w="625" w:type="pct"/>
            <w:tcBorders>
              <w:top w:val="single" w:sz="4" w:space="0" w:color="auto"/>
              <w:left w:val="single" w:sz="4" w:space="0" w:color="auto"/>
              <w:bottom w:val="single" w:sz="4" w:space="0" w:color="auto"/>
              <w:right w:val="single" w:sz="4" w:space="0" w:color="auto"/>
            </w:tcBorders>
          </w:tcPr>
          <w:p w14:paraId="64579646" w14:textId="77777777" w:rsidR="003C1DB1" w:rsidRPr="00C70692" w:rsidRDefault="003C1DB1" w:rsidP="00711C3A">
            <w:pPr>
              <w:jc w:val="center"/>
              <w:rPr>
                <w:rFonts w:cstheme="minorHAnsi"/>
                <w:bCs/>
                <w:sz w:val="20"/>
              </w:rPr>
            </w:pPr>
            <w:r w:rsidRPr="00C70692">
              <w:rPr>
                <w:rFonts w:cstheme="minorHAnsi"/>
                <w:sz w:val="20"/>
              </w:rPr>
              <w:t>&lt;3</w:t>
            </w:r>
          </w:p>
        </w:tc>
        <w:tc>
          <w:tcPr>
            <w:tcW w:w="545" w:type="pct"/>
            <w:tcBorders>
              <w:top w:val="single" w:sz="4" w:space="0" w:color="auto"/>
              <w:left w:val="single" w:sz="4" w:space="0" w:color="auto"/>
              <w:bottom w:val="single" w:sz="4" w:space="0" w:color="auto"/>
              <w:right w:val="single" w:sz="4" w:space="0" w:color="auto"/>
            </w:tcBorders>
          </w:tcPr>
          <w:p w14:paraId="0F2CF604" w14:textId="13C863FF" w:rsidR="003C1DB1" w:rsidRPr="00C70692" w:rsidRDefault="003C1DB1" w:rsidP="00711C3A">
            <w:pPr>
              <w:jc w:val="center"/>
              <w:rPr>
                <w:rFonts w:cstheme="minorHAnsi"/>
                <w:bCs/>
                <w:sz w:val="20"/>
              </w:rPr>
            </w:pPr>
            <w:r w:rsidRPr="00C70692">
              <w:rPr>
                <w:rFonts w:cstheme="minorHAnsi"/>
                <w:sz w:val="20"/>
              </w:rPr>
              <w:t>25</w:t>
            </w:r>
            <w:r w:rsidR="00926641" w:rsidRPr="00C70692">
              <w:rPr>
                <w:rFonts w:cstheme="minorHAnsi"/>
                <w:sz w:val="20"/>
              </w:rPr>
              <w:t>,</w:t>
            </w:r>
            <w:r w:rsidRPr="00C70692">
              <w:rPr>
                <w:rFonts w:cstheme="minorHAnsi"/>
                <w:sz w:val="20"/>
              </w:rPr>
              <w:t>14</w:t>
            </w:r>
          </w:p>
        </w:tc>
        <w:tc>
          <w:tcPr>
            <w:tcW w:w="938" w:type="pct"/>
            <w:tcBorders>
              <w:top w:val="single" w:sz="4" w:space="0" w:color="auto"/>
              <w:left w:val="single" w:sz="4" w:space="0" w:color="auto"/>
              <w:bottom w:val="single" w:sz="4" w:space="0" w:color="auto"/>
              <w:right w:val="single" w:sz="4" w:space="0" w:color="auto"/>
            </w:tcBorders>
          </w:tcPr>
          <w:p w14:paraId="4AE6B139" w14:textId="77777777" w:rsidR="003C1DB1" w:rsidRPr="00C70692" w:rsidRDefault="003C1DB1" w:rsidP="00711C3A">
            <w:pPr>
              <w:jc w:val="center"/>
              <w:rPr>
                <w:rFonts w:cstheme="minorHAnsi"/>
                <w:bCs/>
                <w:sz w:val="20"/>
              </w:rPr>
            </w:pPr>
            <w:r w:rsidRPr="00C70692">
              <w:rPr>
                <w:rFonts w:cstheme="minorHAnsi"/>
                <w:sz w:val="20"/>
              </w:rPr>
              <w:t>&lt;5</w:t>
            </w:r>
          </w:p>
        </w:tc>
      </w:tr>
      <w:tr w:rsidR="003C1DB1" w14:paraId="08F4D52D" w14:textId="77777777" w:rsidTr="00711C3A">
        <w:tc>
          <w:tcPr>
            <w:tcW w:w="431" w:type="pct"/>
            <w:tcBorders>
              <w:top w:val="single" w:sz="4" w:space="0" w:color="auto"/>
              <w:left w:val="single" w:sz="4" w:space="0" w:color="auto"/>
              <w:bottom w:val="single" w:sz="4" w:space="0" w:color="auto"/>
              <w:right w:val="single" w:sz="4" w:space="0" w:color="auto"/>
            </w:tcBorders>
          </w:tcPr>
          <w:p w14:paraId="4DCF368E"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216CD348" w14:textId="77777777" w:rsidR="003C1DB1" w:rsidRDefault="003C1DB1" w:rsidP="00711C3A">
            <w:pPr>
              <w:rPr>
                <w:rFonts w:cstheme="minorHAnsi"/>
                <w:sz w:val="20"/>
              </w:rPr>
            </w:pPr>
            <w:r w:rsidRPr="00F020C6">
              <w:rPr>
                <w:rFonts w:cstheme="minorHAnsi"/>
                <w:sz w:val="20"/>
              </w:rPr>
              <w:t>Skabiozu pļavraibenis</w:t>
            </w:r>
          </w:p>
          <w:p w14:paraId="66F247FF" w14:textId="77777777" w:rsidR="003C1DB1" w:rsidRDefault="003C1DB1" w:rsidP="00711C3A">
            <w:pPr>
              <w:rPr>
                <w:bCs/>
                <w:sz w:val="20"/>
              </w:rPr>
            </w:pPr>
            <w:r w:rsidRPr="00F020C6">
              <w:rPr>
                <w:rFonts w:cstheme="minorHAnsi"/>
                <w:i/>
                <w:color w:val="000000"/>
                <w:sz w:val="20"/>
              </w:rPr>
              <w:t>Euphydryas aurinia</w:t>
            </w:r>
          </w:p>
        </w:tc>
        <w:tc>
          <w:tcPr>
            <w:tcW w:w="676" w:type="pct"/>
            <w:gridSpan w:val="2"/>
            <w:tcBorders>
              <w:top w:val="single" w:sz="4" w:space="0" w:color="auto"/>
              <w:left w:val="single" w:sz="4" w:space="0" w:color="auto"/>
              <w:bottom w:val="single" w:sz="4" w:space="0" w:color="auto"/>
              <w:right w:val="single" w:sz="4" w:space="0" w:color="auto"/>
            </w:tcBorders>
          </w:tcPr>
          <w:p w14:paraId="77C0EF7A" w14:textId="77777777" w:rsidR="003C1DB1" w:rsidRPr="009D3DD0" w:rsidRDefault="003C1DB1" w:rsidP="00711C3A">
            <w:pPr>
              <w:rPr>
                <w:bCs/>
                <w:sz w:val="20"/>
              </w:rPr>
            </w:pPr>
            <w:r w:rsidRPr="009D3DD0">
              <w:rPr>
                <w:sz w:val="20"/>
              </w:rPr>
              <w:t>50 -101</w:t>
            </w:r>
          </w:p>
        </w:tc>
        <w:tc>
          <w:tcPr>
            <w:tcW w:w="895" w:type="pct"/>
            <w:tcBorders>
              <w:top w:val="single" w:sz="4" w:space="0" w:color="auto"/>
              <w:left w:val="single" w:sz="4" w:space="0" w:color="auto"/>
              <w:bottom w:val="single" w:sz="4" w:space="0" w:color="auto"/>
              <w:right w:val="single" w:sz="4" w:space="0" w:color="auto"/>
            </w:tcBorders>
          </w:tcPr>
          <w:p w14:paraId="3FB02676" w14:textId="77777777" w:rsidR="003C1DB1" w:rsidRPr="00C70692" w:rsidRDefault="003C1DB1" w:rsidP="00711C3A">
            <w:pPr>
              <w:jc w:val="center"/>
              <w:rPr>
                <w:rFonts w:cstheme="minorHAnsi"/>
                <w:bCs/>
                <w:sz w:val="20"/>
              </w:rPr>
            </w:pPr>
            <w:r w:rsidRPr="00C70692">
              <w:rPr>
                <w:rFonts w:cstheme="minorHAnsi"/>
                <w:sz w:val="20"/>
              </w:rPr>
              <w:t>&lt;1</w:t>
            </w:r>
          </w:p>
        </w:tc>
        <w:tc>
          <w:tcPr>
            <w:tcW w:w="625" w:type="pct"/>
            <w:tcBorders>
              <w:top w:val="single" w:sz="4" w:space="0" w:color="auto"/>
              <w:left w:val="single" w:sz="4" w:space="0" w:color="auto"/>
              <w:bottom w:val="single" w:sz="4" w:space="0" w:color="auto"/>
              <w:right w:val="single" w:sz="4" w:space="0" w:color="auto"/>
            </w:tcBorders>
          </w:tcPr>
          <w:p w14:paraId="63C0628B" w14:textId="77777777" w:rsidR="003C1DB1" w:rsidRPr="00C70692" w:rsidRDefault="003C1DB1" w:rsidP="00711C3A">
            <w:pPr>
              <w:jc w:val="center"/>
              <w:rPr>
                <w:rFonts w:cstheme="minorHAnsi"/>
                <w:bCs/>
                <w:sz w:val="20"/>
              </w:rPr>
            </w:pPr>
            <w:r w:rsidRPr="00C70692">
              <w:rPr>
                <w:rFonts w:cstheme="minorHAnsi"/>
                <w:sz w:val="20"/>
              </w:rPr>
              <w:t>&lt;1</w:t>
            </w:r>
          </w:p>
        </w:tc>
        <w:tc>
          <w:tcPr>
            <w:tcW w:w="545" w:type="pct"/>
            <w:tcBorders>
              <w:top w:val="single" w:sz="4" w:space="0" w:color="auto"/>
              <w:left w:val="single" w:sz="4" w:space="0" w:color="auto"/>
              <w:bottom w:val="single" w:sz="4" w:space="0" w:color="auto"/>
              <w:right w:val="single" w:sz="4" w:space="0" w:color="auto"/>
            </w:tcBorders>
          </w:tcPr>
          <w:p w14:paraId="66915AFD" w14:textId="7D6CFD5C" w:rsidR="003C1DB1" w:rsidRPr="00C70692" w:rsidRDefault="003C1DB1" w:rsidP="00711C3A">
            <w:pPr>
              <w:jc w:val="center"/>
              <w:rPr>
                <w:rFonts w:cstheme="minorHAnsi"/>
                <w:bCs/>
                <w:sz w:val="20"/>
              </w:rPr>
            </w:pPr>
            <w:r w:rsidRPr="00C70692">
              <w:rPr>
                <w:rFonts w:eastAsia="Times New Roman" w:cstheme="minorHAnsi"/>
                <w:color w:val="000000"/>
                <w:sz w:val="20"/>
              </w:rPr>
              <w:t>4</w:t>
            </w:r>
            <w:r w:rsidR="00926641" w:rsidRPr="00C70692">
              <w:rPr>
                <w:rFonts w:eastAsia="Times New Roman" w:cstheme="minorHAnsi"/>
                <w:color w:val="000000"/>
                <w:sz w:val="20"/>
              </w:rPr>
              <w:t>,</w:t>
            </w:r>
            <w:r w:rsidRPr="00C70692">
              <w:rPr>
                <w:rFonts w:eastAsia="Times New Roman" w:cstheme="minorHAnsi"/>
                <w:color w:val="000000"/>
                <w:sz w:val="20"/>
              </w:rPr>
              <w:t>21</w:t>
            </w:r>
          </w:p>
        </w:tc>
        <w:tc>
          <w:tcPr>
            <w:tcW w:w="938" w:type="pct"/>
            <w:tcBorders>
              <w:top w:val="single" w:sz="4" w:space="0" w:color="auto"/>
              <w:left w:val="single" w:sz="4" w:space="0" w:color="auto"/>
              <w:bottom w:val="single" w:sz="4" w:space="0" w:color="auto"/>
              <w:right w:val="single" w:sz="4" w:space="0" w:color="auto"/>
            </w:tcBorders>
          </w:tcPr>
          <w:p w14:paraId="715C9CB6" w14:textId="77777777" w:rsidR="003C1DB1" w:rsidRPr="00C70692" w:rsidRDefault="003C1DB1" w:rsidP="00711C3A">
            <w:pPr>
              <w:jc w:val="center"/>
              <w:rPr>
                <w:rFonts w:cstheme="minorHAnsi"/>
                <w:bCs/>
                <w:sz w:val="20"/>
              </w:rPr>
            </w:pPr>
            <w:r w:rsidRPr="00C70692">
              <w:rPr>
                <w:rFonts w:cstheme="minorHAnsi"/>
                <w:sz w:val="20"/>
              </w:rPr>
              <w:t>&lt;1</w:t>
            </w:r>
          </w:p>
        </w:tc>
      </w:tr>
      <w:tr w:rsidR="003C1DB1" w14:paraId="1A5B6D61" w14:textId="77777777" w:rsidTr="00711C3A">
        <w:tc>
          <w:tcPr>
            <w:tcW w:w="431" w:type="pct"/>
            <w:tcBorders>
              <w:top w:val="single" w:sz="4" w:space="0" w:color="auto"/>
              <w:left w:val="single" w:sz="4" w:space="0" w:color="auto"/>
              <w:bottom w:val="single" w:sz="4" w:space="0" w:color="auto"/>
              <w:right w:val="single" w:sz="4" w:space="0" w:color="auto"/>
            </w:tcBorders>
          </w:tcPr>
          <w:p w14:paraId="33A2D7EB"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09423189" w14:textId="77777777" w:rsidR="003C1DB1" w:rsidRDefault="003C1DB1" w:rsidP="00711C3A">
            <w:pPr>
              <w:rPr>
                <w:rFonts w:eastAsia="Times New Roman" w:cstheme="minorHAnsi"/>
                <w:color w:val="000000"/>
                <w:sz w:val="20"/>
                <w:lang w:eastAsia="en-GB"/>
              </w:rPr>
            </w:pPr>
            <w:r w:rsidRPr="00F020C6">
              <w:rPr>
                <w:rFonts w:eastAsia="Times New Roman" w:cstheme="minorHAnsi"/>
                <w:color w:val="000000"/>
                <w:sz w:val="20"/>
                <w:lang w:eastAsia="en-GB"/>
              </w:rPr>
              <w:t>spilgtā purvuspāre</w:t>
            </w:r>
          </w:p>
          <w:p w14:paraId="4B72FC1B" w14:textId="77777777" w:rsidR="003C1DB1" w:rsidRDefault="003C1DB1" w:rsidP="00711C3A">
            <w:pPr>
              <w:rPr>
                <w:bCs/>
                <w:sz w:val="20"/>
              </w:rPr>
            </w:pPr>
            <w:r w:rsidRPr="00F020C6">
              <w:rPr>
                <w:rFonts w:cstheme="minorHAnsi"/>
                <w:i/>
                <w:color w:val="000000"/>
                <w:sz w:val="20"/>
              </w:rPr>
              <w:t>Leucorrhinia pectoralis</w:t>
            </w:r>
          </w:p>
        </w:tc>
        <w:tc>
          <w:tcPr>
            <w:tcW w:w="676" w:type="pct"/>
            <w:gridSpan w:val="2"/>
            <w:tcBorders>
              <w:top w:val="single" w:sz="4" w:space="0" w:color="auto"/>
              <w:left w:val="single" w:sz="4" w:space="0" w:color="auto"/>
              <w:bottom w:val="single" w:sz="4" w:space="0" w:color="auto"/>
              <w:right w:val="single" w:sz="4" w:space="0" w:color="auto"/>
            </w:tcBorders>
          </w:tcPr>
          <w:p w14:paraId="153E7F83" w14:textId="204E2A41" w:rsidR="003C1DB1" w:rsidRPr="009D3DD0" w:rsidRDefault="003C1DB1" w:rsidP="00711C3A">
            <w:pPr>
              <w:rPr>
                <w:bCs/>
                <w:sz w:val="20"/>
              </w:rPr>
            </w:pPr>
            <w:r w:rsidRPr="009D3DD0">
              <w:rPr>
                <w:sz w:val="20"/>
              </w:rPr>
              <w:t>Max</w:t>
            </w:r>
            <w:r w:rsidR="00926641">
              <w:rPr>
                <w:sz w:val="20"/>
              </w:rPr>
              <w:t>,</w:t>
            </w:r>
            <w:r w:rsidRPr="009D3DD0">
              <w:rPr>
                <w:sz w:val="20"/>
              </w:rPr>
              <w:t xml:space="preserve"> </w:t>
            </w:r>
            <w:r>
              <w:rPr>
                <w:sz w:val="20"/>
              </w:rPr>
              <w:t>87837</w:t>
            </w:r>
          </w:p>
        </w:tc>
        <w:tc>
          <w:tcPr>
            <w:tcW w:w="895" w:type="pct"/>
            <w:tcBorders>
              <w:top w:val="single" w:sz="4" w:space="0" w:color="auto"/>
              <w:left w:val="single" w:sz="4" w:space="0" w:color="auto"/>
              <w:bottom w:val="single" w:sz="4" w:space="0" w:color="auto"/>
              <w:right w:val="single" w:sz="4" w:space="0" w:color="auto"/>
            </w:tcBorders>
          </w:tcPr>
          <w:p w14:paraId="19AE870E" w14:textId="77777777" w:rsidR="003C1DB1" w:rsidRPr="00C70692" w:rsidRDefault="003C1DB1" w:rsidP="00711C3A">
            <w:pPr>
              <w:jc w:val="center"/>
              <w:rPr>
                <w:rFonts w:cstheme="minorHAnsi"/>
                <w:bCs/>
                <w:sz w:val="20"/>
              </w:rPr>
            </w:pPr>
            <w:r w:rsidRPr="00C70692">
              <w:rPr>
                <w:rFonts w:cstheme="minorHAnsi"/>
                <w:sz w:val="20"/>
              </w:rPr>
              <w:t>&lt;15</w:t>
            </w:r>
          </w:p>
        </w:tc>
        <w:tc>
          <w:tcPr>
            <w:tcW w:w="625" w:type="pct"/>
            <w:tcBorders>
              <w:top w:val="single" w:sz="4" w:space="0" w:color="auto"/>
              <w:left w:val="single" w:sz="4" w:space="0" w:color="auto"/>
              <w:bottom w:val="single" w:sz="4" w:space="0" w:color="auto"/>
              <w:right w:val="single" w:sz="4" w:space="0" w:color="auto"/>
            </w:tcBorders>
          </w:tcPr>
          <w:p w14:paraId="577FDBFB" w14:textId="77777777" w:rsidR="003C1DB1" w:rsidRPr="00C70692" w:rsidRDefault="003C1DB1" w:rsidP="00711C3A">
            <w:pPr>
              <w:jc w:val="center"/>
              <w:rPr>
                <w:rFonts w:cstheme="minorHAnsi"/>
                <w:bCs/>
                <w:sz w:val="20"/>
              </w:rPr>
            </w:pPr>
            <w:r w:rsidRPr="00C70692">
              <w:rPr>
                <w:rFonts w:cstheme="minorHAnsi"/>
                <w:sz w:val="20"/>
              </w:rPr>
              <w:t>&lt;10</w:t>
            </w:r>
          </w:p>
        </w:tc>
        <w:tc>
          <w:tcPr>
            <w:tcW w:w="545" w:type="pct"/>
            <w:tcBorders>
              <w:top w:val="single" w:sz="4" w:space="0" w:color="auto"/>
              <w:left w:val="single" w:sz="4" w:space="0" w:color="auto"/>
              <w:bottom w:val="single" w:sz="4" w:space="0" w:color="auto"/>
              <w:right w:val="single" w:sz="4" w:space="0" w:color="auto"/>
            </w:tcBorders>
          </w:tcPr>
          <w:p w14:paraId="5F27195A" w14:textId="309D5CAC" w:rsidR="003C1DB1" w:rsidRPr="00C70692" w:rsidRDefault="003C1DB1" w:rsidP="00711C3A">
            <w:pPr>
              <w:jc w:val="center"/>
              <w:rPr>
                <w:rFonts w:cstheme="minorHAnsi"/>
                <w:bCs/>
                <w:sz w:val="20"/>
              </w:rPr>
            </w:pPr>
            <w:r w:rsidRPr="00C70692">
              <w:rPr>
                <w:rFonts w:cstheme="minorHAnsi"/>
                <w:sz w:val="20"/>
              </w:rPr>
              <w:t>12</w:t>
            </w:r>
            <w:r w:rsidR="00926641" w:rsidRPr="00C70692">
              <w:rPr>
                <w:rFonts w:cstheme="minorHAnsi"/>
                <w:sz w:val="20"/>
              </w:rPr>
              <w:t>,</w:t>
            </w:r>
            <w:r w:rsidRPr="00C70692">
              <w:rPr>
                <w:rFonts w:cstheme="minorHAnsi"/>
                <w:sz w:val="20"/>
              </w:rPr>
              <w:t>04</w:t>
            </w:r>
          </w:p>
        </w:tc>
        <w:tc>
          <w:tcPr>
            <w:tcW w:w="938" w:type="pct"/>
            <w:tcBorders>
              <w:top w:val="single" w:sz="4" w:space="0" w:color="auto"/>
              <w:left w:val="single" w:sz="4" w:space="0" w:color="auto"/>
              <w:bottom w:val="single" w:sz="4" w:space="0" w:color="auto"/>
              <w:right w:val="single" w:sz="4" w:space="0" w:color="auto"/>
            </w:tcBorders>
          </w:tcPr>
          <w:p w14:paraId="7A04847B" w14:textId="77777777" w:rsidR="003C1DB1" w:rsidRPr="00C70692" w:rsidRDefault="003C1DB1" w:rsidP="00711C3A">
            <w:pPr>
              <w:jc w:val="center"/>
              <w:rPr>
                <w:rFonts w:cstheme="minorHAnsi"/>
                <w:bCs/>
                <w:sz w:val="20"/>
              </w:rPr>
            </w:pPr>
            <w:r w:rsidRPr="00C70692">
              <w:rPr>
                <w:rFonts w:cstheme="minorHAnsi"/>
                <w:sz w:val="20"/>
              </w:rPr>
              <w:t>&lt;10</w:t>
            </w:r>
          </w:p>
        </w:tc>
      </w:tr>
      <w:tr w:rsidR="003C1DB1" w14:paraId="79061DDE" w14:textId="77777777" w:rsidTr="00711C3A">
        <w:tc>
          <w:tcPr>
            <w:tcW w:w="431" w:type="pct"/>
            <w:tcBorders>
              <w:top w:val="single" w:sz="4" w:space="0" w:color="auto"/>
              <w:left w:val="single" w:sz="4" w:space="0" w:color="auto"/>
              <w:bottom w:val="single" w:sz="4" w:space="0" w:color="auto"/>
              <w:right w:val="single" w:sz="4" w:space="0" w:color="auto"/>
            </w:tcBorders>
          </w:tcPr>
          <w:p w14:paraId="407FDE1B"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047890AC" w14:textId="77777777" w:rsidR="003C1DB1" w:rsidRDefault="003C1DB1" w:rsidP="00711C3A">
            <w:pPr>
              <w:rPr>
                <w:rFonts w:eastAsia="Times New Roman" w:cstheme="minorHAnsi"/>
                <w:color w:val="000000"/>
                <w:sz w:val="20"/>
                <w:lang w:eastAsia="en-GB"/>
              </w:rPr>
            </w:pPr>
            <w:r w:rsidRPr="00F020C6">
              <w:rPr>
                <w:rFonts w:eastAsia="Times New Roman" w:cstheme="minorHAnsi"/>
                <w:color w:val="000000"/>
                <w:sz w:val="20"/>
                <w:lang w:eastAsia="en-GB"/>
              </w:rPr>
              <w:t>zirgskābeņu zilenītis</w:t>
            </w:r>
          </w:p>
          <w:p w14:paraId="2052C850" w14:textId="77777777" w:rsidR="003C1DB1" w:rsidRDefault="003C1DB1" w:rsidP="00711C3A">
            <w:pPr>
              <w:rPr>
                <w:bCs/>
                <w:sz w:val="20"/>
              </w:rPr>
            </w:pPr>
            <w:r w:rsidRPr="00F020C6">
              <w:rPr>
                <w:rFonts w:cstheme="minorHAnsi"/>
                <w:i/>
                <w:color w:val="000000"/>
                <w:sz w:val="20"/>
              </w:rPr>
              <w:t>Lycaena dispar</w:t>
            </w:r>
          </w:p>
        </w:tc>
        <w:tc>
          <w:tcPr>
            <w:tcW w:w="676" w:type="pct"/>
            <w:gridSpan w:val="2"/>
            <w:tcBorders>
              <w:top w:val="single" w:sz="4" w:space="0" w:color="auto"/>
              <w:left w:val="single" w:sz="4" w:space="0" w:color="auto"/>
              <w:bottom w:val="single" w:sz="4" w:space="0" w:color="auto"/>
              <w:right w:val="single" w:sz="4" w:space="0" w:color="auto"/>
            </w:tcBorders>
          </w:tcPr>
          <w:p w14:paraId="22DB76E3" w14:textId="77777777" w:rsidR="003C1DB1" w:rsidRPr="009D3DD0" w:rsidRDefault="003C1DB1" w:rsidP="00711C3A">
            <w:pPr>
              <w:rPr>
                <w:bCs/>
                <w:sz w:val="20"/>
              </w:rPr>
            </w:pPr>
            <w:r w:rsidRPr="009D3DD0">
              <w:rPr>
                <w:rFonts w:eastAsia="Times New Roman"/>
                <w:color w:val="000000"/>
                <w:sz w:val="20"/>
              </w:rPr>
              <w:t>1863 – 11179</w:t>
            </w:r>
          </w:p>
        </w:tc>
        <w:tc>
          <w:tcPr>
            <w:tcW w:w="895" w:type="pct"/>
            <w:tcBorders>
              <w:top w:val="single" w:sz="4" w:space="0" w:color="auto"/>
              <w:left w:val="single" w:sz="4" w:space="0" w:color="auto"/>
              <w:bottom w:val="single" w:sz="4" w:space="0" w:color="auto"/>
              <w:right w:val="single" w:sz="4" w:space="0" w:color="auto"/>
            </w:tcBorders>
          </w:tcPr>
          <w:p w14:paraId="586CA36D" w14:textId="77777777" w:rsidR="003C1DB1" w:rsidRPr="00C70692" w:rsidRDefault="003C1DB1" w:rsidP="00711C3A">
            <w:pPr>
              <w:jc w:val="center"/>
              <w:rPr>
                <w:rFonts w:cstheme="minorHAnsi"/>
                <w:bCs/>
                <w:sz w:val="20"/>
              </w:rPr>
            </w:pPr>
            <w:r w:rsidRPr="00C70692">
              <w:rPr>
                <w:rFonts w:cstheme="minorHAnsi"/>
                <w:sz w:val="20"/>
              </w:rPr>
              <w:t>&lt;5</w:t>
            </w:r>
          </w:p>
        </w:tc>
        <w:tc>
          <w:tcPr>
            <w:tcW w:w="625" w:type="pct"/>
            <w:tcBorders>
              <w:top w:val="single" w:sz="4" w:space="0" w:color="auto"/>
              <w:left w:val="single" w:sz="4" w:space="0" w:color="auto"/>
              <w:bottom w:val="single" w:sz="4" w:space="0" w:color="auto"/>
              <w:right w:val="single" w:sz="4" w:space="0" w:color="auto"/>
            </w:tcBorders>
          </w:tcPr>
          <w:p w14:paraId="5AC678F1" w14:textId="77777777" w:rsidR="003C1DB1" w:rsidRPr="00C70692" w:rsidRDefault="003C1DB1" w:rsidP="00711C3A">
            <w:pPr>
              <w:jc w:val="center"/>
              <w:rPr>
                <w:rFonts w:cstheme="minorHAnsi"/>
                <w:bCs/>
                <w:sz w:val="20"/>
              </w:rPr>
            </w:pPr>
            <w:r w:rsidRPr="00C70692">
              <w:rPr>
                <w:rFonts w:cstheme="minorHAnsi"/>
                <w:sz w:val="20"/>
              </w:rPr>
              <w:t>&lt;2</w:t>
            </w:r>
          </w:p>
        </w:tc>
        <w:tc>
          <w:tcPr>
            <w:tcW w:w="545" w:type="pct"/>
            <w:tcBorders>
              <w:top w:val="single" w:sz="4" w:space="0" w:color="auto"/>
              <w:left w:val="single" w:sz="4" w:space="0" w:color="auto"/>
              <w:bottom w:val="single" w:sz="4" w:space="0" w:color="auto"/>
              <w:right w:val="single" w:sz="4" w:space="0" w:color="auto"/>
            </w:tcBorders>
          </w:tcPr>
          <w:p w14:paraId="0B1AA86B" w14:textId="30BC596E" w:rsidR="003C1DB1" w:rsidRPr="00C70692" w:rsidRDefault="003C1DB1" w:rsidP="00711C3A">
            <w:pPr>
              <w:jc w:val="center"/>
              <w:rPr>
                <w:rFonts w:cstheme="minorHAnsi"/>
                <w:bCs/>
                <w:sz w:val="20"/>
              </w:rPr>
            </w:pPr>
            <w:r w:rsidRPr="00C70692">
              <w:rPr>
                <w:rFonts w:eastAsia="Times New Roman" w:cstheme="minorHAnsi"/>
                <w:color w:val="000000"/>
                <w:sz w:val="20"/>
              </w:rPr>
              <w:t>1863</w:t>
            </w:r>
            <w:r w:rsidR="00926641" w:rsidRPr="00C70692">
              <w:rPr>
                <w:rFonts w:eastAsia="Times New Roman" w:cstheme="minorHAnsi"/>
                <w:color w:val="000000"/>
                <w:sz w:val="20"/>
              </w:rPr>
              <w:t>,</w:t>
            </w:r>
            <w:r w:rsidRPr="00C70692">
              <w:rPr>
                <w:rFonts w:eastAsia="Times New Roman" w:cstheme="minorHAnsi"/>
                <w:color w:val="000000"/>
                <w:sz w:val="20"/>
              </w:rPr>
              <w:t>18</w:t>
            </w:r>
          </w:p>
        </w:tc>
        <w:tc>
          <w:tcPr>
            <w:tcW w:w="938" w:type="pct"/>
            <w:tcBorders>
              <w:top w:val="single" w:sz="4" w:space="0" w:color="auto"/>
              <w:left w:val="single" w:sz="4" w:space="0" w:color="auto"/>
              <w:bottom w:val="single" w:sz="4" w:space="0" w:color="auto"/>
              <w:right w:val="single" w:sz="4" w:space="0" w:color="auto"/>
            </w:tcBorders>
          </w:tcPr>
          <w:p w14:paraId="18BBD5CF" w14:textId="77777777" w:rsidR="003C1DB1" w:rsidRPr="00C70692" w:rsidRDefault="003C1DB1" w:rsidP="00711C3A">
            <w:pPr>
              <w:jc w:val="center"/>
              <w:rPr>
                <w:rFonts w:cstheme="minorHAnsi"/>
                <w:bCs/>
                <w:sz w:val="20"/>
              </w:rPr>
            </w:pPr>
            <w:r w:rsidRPr="00C70692">
              <w:rPr>
                <w:rFonts w:cstheme="minorHAnsi"/>
                <w:sz w:val="20"/>
              </w:rPr>
              <w:t>&lt;5</w:t>
            </w:r>
          </w:p>
        </w:tc>
      </w:tr>
      <w:tr w:rsidR="003C1DB1" w14:paraId="405D69B7" w14:textId="77777777" w:rsidTr="00711C3A">
        <w:tc>
          <w:tcPr>
            <w:tcW w:w="431" w:type="pct"/>
            <w:tcBorders>
              <w:top w:val="single" w:sz="4" w:space="0" w:color="auto"/>
              <w:left w:val="single" w:sz="4" w:space="0" w:color="auto"/>
              <w:bottom w:val="single" w:sz="4" w:space="0" w:color="auto"/>
              <w:right w:val="single" w:sz="4" w:space="0" w:color="auto"/>
            </w:tcBorders>
          </w:tcPr>
          <w:p w14:paraId="7AB4CC46"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050D98BD" w14:textId="77777777" w:rsidR="003C1DB1" w:rsidRDefault="003C1DB1" w:rsidP="00711C3A">
            <w:pPr>
              <w:rPr>
                <w:rFonts w:eastAsia="Times New Roman" w:cstheme="minorHAnsi"/>
                <w:color w:val="000000"/>
                <w:sz w:val="20"/>
                <w:lang w:eastAsia="en-GB"/>
              </w:rPr>
            </w:pPr>
            <w:r w:rsidRPr="00F020C6">
              <w:rPr>
                <w:rFonts w:eastAsia="Times New Roman" w:cstheme="minorHAnsi"/>
                <w:color w:val="000000"/>
                <w:sz w:val="20"/>
                <w:lang w:eastAsia="en-GB"/>
              </w:rPr>
              <w:t>ziemeļu upespērlene</w:t>
            </w:r>
          </w:p>
          <w:p w14:paraId="75A92F26" w14:textId="77777777" w:rsidR="003C1DB1" w:rsidRDefault="003C1DB1" w:rsidP="00711C3A">
            <w:pPr>
              <w:rPr>
                <w:bCs/>
                <w:sz w:val="20"/>
              </w:rPr>
            </w:pPr>
            <w:r w:rsidRPr="00F020C6">
              <w:rPr>
                <w:rFonts w:cstheme="minorHAnsi"/>
                <w:i/>
                <w:color w:val="000000"/>
                <w:sz w:val="20"/>
              </w:rPr>
              <w:t>Margaritifera margaritifera</w:t>
            </w:r>
          </w:p>
        </w:tc>
        <w:tc>
          <w:tcPr>
            <w:tcW w:w="676" w:type="pct"/>
            <w:gridSpan w:val="2"/>
            <w:tcBorders>
              <w:top w:val="single" w:sz="4" w:space="0" w:color="auto"/>
              <w:left w:val="single" w:sz="4" w:space="0" w:color="auto"/>
              <w:bottom w:val="single" w:sz="4" w:space="0" w:color="auto"/>
              <w:right w:val="single" w:sz="4" w:space="0" w:color="auto"/>
            </w:tcBorders>
          </w:tcPr>
          <w:p w14:paraId="7682B040" w14:textId="77777777" w:rsidR="003C1DB1" w:rsidRPr="009D3DD0" w:rsidRDefault="003C1DB1" w:rsidP="00711C3A">
            <w:pPr>
              <w:rPr>
                <w:bCs/>
                <w:sz w:val="20"/>
              </w:rPr>
            </w:pPr>
            <w:r w:rsidRPr="009D3DD0">
              <w:rPr>
                <w:sz w:val="20"/>
              </w:rPr>
              <w:t>130 - 2000</w:t>
            </w:r>
          </w:p>
        </w:tc>
        <w:tc>
          <w:tcPr>
            <w:tcW w:w="895" w:type="pct"/>
            <w:tcBorders>
              <w:top w:val="single" w:sz="4" w:space="0" w:color="auto"/>
              <w:left w:val="single" w:sz="4" w:space="0" w:color="auto"/>
              <w:bottom w:val="single" w:sz="4" w:space="0" w:color="auto"/>
              <w:right w:val="single" w:sz="4" w:space="0" w:color="auto"/>
            </w:tcBorders>
          </w:tcPr>
          <w:p w14:paraId="0EB07360" w14:textId="77777777" w:rsidR="003C1DB1" w:rsidRPr="00C70692" w:rsidRDefault="003C1DB1" w:rsidP="00711C3A">
            <w:pPr>
              <w:jc w:val="center"/>
              <w:rPr>
                <w:rFonts w:cstheme="minorHAnsi"/>
                <w:bCs/>
                <w:sz w:val="20"/>
              </w:rPr>
            </w:pPr>
            <w:r w:rsidRPr="00C70692">
              <w:rPr>
                <w:rFonts w:cstheme="minorHAnsi"/>
                <w:sz w:val="20"/>
              </w:rPr>
              <w:t>&lt;10</w:t>
            </w:r>
          </w:p>
        </w:tc>
        <w:tc>
          <w:tcPr>
            <w:tcW w:w="625" w:type="pct"/>
            <w:tcBorders>
              <w:top w:val="single" w:sz="4" w:space="0" w:color="auto"/>
              <w:left w:val="single" w:sz="4" w:space="0" w:color="auto"/>
              <w:bottom w:val="single" w:sz="4" w:space="0" w:color="auto"/>
              <w:right w:val="single" w:sz="4" w:space="0" w:color="auto"/>
            </w:tcBorders>
          </w:tcPr>
          <w:p w14:paraId="2246E18D" w14:textId="77777777" w:rsidR="003C1DB1" w:rsidRPr="00C70692" w:rsidRDefault="003C1DB1" w:rsidP="00711C3A">
            <w:pPr>
              <w:jc w:val="center"/>
              <w:rPr>
                <w:rFonts w:cstheme="minorHAnsi"/>
                <w:bCs/>
                <w:sz w:val="20"/>
              </w:rPr>
            </w:pPr>
            <w:r w:rsidRPr="00C70692">
              <w:rPr>
                <w:rFonts w:cstheme="minorHAnsi"/>
                <w:sz w:val="20"/>
              </w:rPr>
              <w:t>&lt;10</w:t>
            </w:r>
          </w:p>
        </w:tc>
        <w:tc>
          <w:tcPr>
            <w:tcW w:w="545" w:type="pct"/>
            <w:tcBorders>
              <w:top w:val="single" w:sz="4" w:space="0" w:color="auto"/>
              <w:left w:val="single" w:sz="4" w:space="0" w:color="auto"/>
              <w:bottom w:val="single" w:sz="4" w:space="0" w:color="auto"/>
              <w:right w:val="single" w:sz="4" w:space="0" w:color="auto"/>
            </w:tcBorders>
          </w:tcPr>
          <w:p w14:paraId="14479021" w14:textId="1CE87D55" w:rsidR="003C1DB1" w:rsidRPr="00C70692" w:rsidRDefault="003C1DB1" w:rsidP="00711C3A">
            <w:pPr>
              <w:jc w:val="center"/>
              <w:rPr>
                <w:rFonts w:cstheme="minorHAnsi"/>
                <w:bCs/>
                <w:sz w:val="20"/>
              </w:rPr>
            </w:pPr>
            <w:r w:rsidRPr="00C70692">
              <w:rPr>
                <w:rStyle w:val="normaltextrun"/>
                <w:rFonts w:cstheme="minorHAnsi"/>
                <w:color w:val="000000"/>
                <w:sz w:val="20"/>
                <w:bdr w:val="none" w:sz="0" w:space="0" w:color="auto" w:frame="1"/>
              </w:rPr>
              <w:t>813</w:t>
            </w:r>
            <w:r w:rsidR="00926641" w:rsidRPr="00C70692">
              <w:rPr>
                <w:rStyle w:val="normaltextrun"/>
                <w:rFonts w:cstheme="minorHAnsi"/>
                <w:color w:val="000000"/>
                <w:sz w:val="20"/>
                <w:bdr w:val="none" w:sz="0" w:space="0" w:color="auto" w:frame="1"/>
              </w:rPr>
              <w:t>,</w:t>
            </w:r>
            <w:r w:rsidRPr="00C70692">
              <w:rPr>
                <w:rStyle w:val="normaltextrun"/>
                <w:rFonts w:cstheme="minorHAnsi"/>
                <w:color w:val="000000"/>
                <w:sz w:val="20"/>
                <w:bdr w:val="none" w:sz="0" w:space="0" w:color="auto" w:frame="1"/>
              </w:rPr>
              <w:t>01</w:t>
            </w:r>
          </w:p>
        </w:tc>
        <w:tc>
          <w:tcPr>
            <w:tcW w:w="938" w:type="pct"/>
            <w:tcBorders>
              <w:top w:val="single" w:sz="4" w:space="0" w:color="auto"/>
              <w:left w:val="single" w:sz="4" w:space="0" w:color="auto"/>
              <w:bottom w:val="single" w:sz="4" w:space="0" w:color="auto"/>
              <w:right w:val="single" w:sz="4" w:space="0" w:color="auto"/>
            </w:tcBorders>
          </w:tcPr>
          <w:p w14:paraId="1870F46B" w14:textId="77777777" w:rsidR="003C1DB1" w:rsidRPr="00C70692" w:rsidRDefault="003C1DB1" w:rsidP="00711C3A">
            <w:pPr>
              <w:jc w:val="center"/>
              <w:rPr>
                <w:rFonts w:cstheme="minorHAnsi"/>
                <w:bCs/>
                <w:sz w:val="20"/>
              </w:rPr>
            </w:pPr>
            <w:r w:rsidRPr="00C70692">
              <w:rPr>
                <w:rFonts w:cstheme="minorHAnsi"/>
                <w:sz w:val="20"/>
              </w:rPr>
              <w:t>&gt;20</w:t>
            </w:r>
          </w:p>
        </w:tc>
      </w:tr>
      <w:tr w:rsidR="003C1DB1" w14:paraId="235DE358" w14:textId="77777777" w:rsidTr="00711C3A">
        <w:tc>
          <w:tcPr>
            <w:tcW w:w="431" w:type="pct"/>
            <w:tcBorders>
              <w:top w:val="single" w:sz="4" w:space="0" w:color="auto"/>
              <w:left w:val="single" w:sz="4" w:space="0" w:color="auto"/>
              <w:bottom w:val="single" w:sz="4" w:space="0" w:color="auto"/>
              <w:right w:val="single" w:sz="4" w:space="0" w:color="auto"/>
            </w:tcBorders>
          </w:tcPr>
          <w:p w14:paraId="5AAD57D6"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470F9C16" w14:textId="77777777" w:rsidR="003C1DB1" w:rsidRPr="005F32C8" w:rsidRDefault="003C1DB1" w:rsidP="00711C3A">
            <w:pPr>
              <w:rPr>
                <w:sz w:val="20"/>
              </w:rPr>
            </w:pPr>
            <w:r w:rsidRPr="005F32C8">
              <w:rPr>
                <w:sz w:val="20"/>
              </w:rPr>
              <w:t>biezā perlamutrene</w:t>
            </w:r>
          </w:p>
          <w:p w14:paraId="3CE3CEAF" w14:textId="77777777" w:rsidR="003C1DB1" w:rsidRPr="005F32C8" w:rsidRDefault="003C1DB1" w:rsidP="00711C3A">
            <w:pPr>
              <w:rPr>
                <w:b/>
                <w:bCs/>
                <w:sz w:val="20"/>
              </w:rPr>
            </w:pPr>
            <w:r w:rsidRPr="005F32C8">
              <w:rPr>
                <w:i/>
                <w:sz w:val="20"/>
              </w:rPr>
              <w:t>Unio crassus</w:t>
            </w:r>
          </w:p>
        </w:tc>
        <w:tc>
          <w:tcPr>
            <w:tcW w:w="676" w:type="pct"/>
            <w:gridSpan w:val="2"/>
            <w:tcBorders>
              <w:top w:val="single" w:sz="4" w:space="0" w:color="auto"/>
              <w:left w:val="single" w:sz="4" w:space="0" w:color="auto"/>
              <w:bottom w:val="single" w:sz="4" w:space="0" w:color="auto"/>
              <w:right w:val="single" w:sz="4" w:space="0" w:color="auto"/>
            </w:tcBorders>
          </w:tcPr>
          <w:p w14:paraId="0A7CEF7C" w14:textId="0436F81F" w:rsidR="003C1DB1" w:rsidRPr="009D3DD0" w:rsidRDefault="003C1DB1" w:rsidP="00711C3A">
            <w:pPr>
              <w:rPr>
                <w:bCs/>
                <w:sz w:val="20"/>
              </w:rPr>
            </w:pPr>
            <w:r w:rsidRPr="009D3DD0">
              <w:rPr>
                <w:sz w:val="20"/>
              </w:rPr>
              <w:t>Max</w:t>
            </w:r>
            <w:r w:rsidR="00926641">
              <w:rPr>
                <w:sz w:val="20"/>
              </w:rPr>
              <w:t>,</w:t>
            </w:r>
            <w:r w:rsidRPr="009D3DD0">
              <w:rPr>
                <w:sz w:val="20"/>
              </w:rPr>
              <w:t xml:space="preserve"> </w:t>
            </w:r>
            <w:r w:rsidRPr="009D3DD0">
              <w:rPr>
                <w:rFonts w:eastAsia="Times New Roman"/>
                <w:color w:val="000000"/>
                <w:sz w:val="20"/>
                <w:lang w:val="en-GB" w:eastAsia="en-GB"/>
              </w:rPr>
              <w:t>1312626</w:t>
            </w:r>
          </w:p>
        </w:tc>
        <w:tc>
          <w:tcPr>
            <w:tcW w:w="895" w:type="pct"/>
            <w:tcBorders>
              <w:top w:val="single" w:sz="4" w:space="0" w:color="auto"/>
              <w:left w:val="single" w:sz="4" w:space="0" w:color="auto"/>
              <w:bottom w:val="single" w:sz="4" w:space="0" w:color="auto"/>
              <w:right w:val="single" w:sz="4" w:space="0" w:color="auto"/>
            </w:tcBorders>
          </w:tcPr>
          <w:p w14:paraId="75FC2EB4" w14:textId="77777777" w:rsidR="003C1DB1" w:rsidRPr="00C70692" w:rsidRDefault="003C1DB1" w:rsidP="00711C3A">
            <w:pPr>
              <w:jc w:val="center"/>
              <w:rPr>
                <w:rFonts w:cstheme="minorHAnsi"/>
                <w:bCs/>
                <w:sz w:val="20"/>
              </w:rPr>
            </w:pPr>
            <w:r w:rsidRPr="00C70692">
              <w:rPr>
                <w:rFonts w:cstheme="minorHAnsi"/>
                <w:sz w:val="20"/>
              </w:rPr>
              <w:t>&lt;15</w:t>
            </w:r>
          </w:p>
        </w:tc>
        <w:tc>
          <w:tcPr>
            <w:tcW w:w="625" w:type="pct"/>
            <w:tcBorders>
              <w:top w:val="single" w:sz="4" w:space="0" w:color="auto"/>
              <w:left w:val="single" w:sz="4" w:space="0" w:color="auto"/>
              <w:bottom w:val="single" w:sz="4" w:space="0" w:color="auto"/>
              <w:right w:val="single" w:sz="4" w:space="0" w:color="auto"/>
            </w:tcBorders>
          </w:tcPr>
          <w:p w14:paraId="6698943E" w14:textId="77777777" w:rsidR="003C1DB1" w:rsidRPr="00C70692" w:rsidRDefault="003C1DB1" w:rsidP="00711C3A">
            <w:pPr>
              <w:jc w:val="center"/>
              <w:rPr>
                <w:rFonts w:cstheme="minorHAnsi"/>
                <w:bCs/>
                <w:sz w:val="20"/>
              </w:rPr>
            </w:pPr>
            <w:r w:rsidRPr="00C70692">
              <w:rPr>
                <w:rFonts w:cstheme="minorHAnsi"/>
                <w:sz w:val="20"/>
              </w:rPr>
              <w:t>&lt;10</w:t>
            </w:r>
          </w:p>
        </w:tc>
        <w:tc>
          <w:tcPr>
            <w:tcW w:w="545" w:type="pct"/>
            <w:tcBorders>
              <w:top w:val="single" w:sz="4" w:space="0" w:color="auto"/>
              <w:left w:val="single" w:sz="4" w:space="0" w:color="auto"/>
              <w:bottom w:val="single" w:sz="4" w:space="0" w:color="auto"/>
              <w:right w:val="single" w:sz="4" w:space="0" w:color="auto"/>
            </w:tcBorders>
          </w:tcPr>
          <w:p w14:paraId="067BFB40" w14:textId="77777777" w:rsidR="003C1DB1" w:rsidRPr="00C70692" w:rsidRDefault="003C1DB1" w:rsidP="00711C3A">
            <w:pPr>
              <w:jc w:val="center"/>
              <w:rPr>
                <w:rFonts w:cstheme="minorHAnsi"/>
                <w:bCs/>
                <w:sz w:val="20"/>
              </w:rPr>
            </w:pPr>
            <w:r w:rsidRPr="00C70692">
              <w:rPr>
                <w:rFonts w:eastAsia="Times New Roman" w:cstheme="minorHAnsi"/>
                <w:color w:val="000000"/>
                <w:sz w:val="20"/>
                <w:lang w:val="en-GB" w:eastAsia="en-GB"/>
              </w:rPr>
              <w:t>937,59</w:t>
            </w:r>
          </w:p>
        </w:tc>
        <w:tc>
          <w:tcPr>
            <w:tcW w:w="938" w:type="pct"/>
            <w:tcBorders>
              <w:top w:val="single" w:sz="4" w:space="0" w:color="auto"/>
              <w:left w:val="single" w:sz="4" w:space="0" w:color="auto"/>
              <w:bottom w:val="single" w:sz="4" w:space="0" w:color="auto"/>
              <w:right w:val="single" w:sz="4" w:space="0" w:color="auto"/>
            </w:tcBorders>
          </w:tcPr>
          <w:p w14:paraId="5D6268DE" w14:textId="77777777" w:rsidR="003C1DB1" w:rsidRPr="00C70692" w:rsidRDefault="003C1DB1" w:rsidP="00711C3A">
            <w:pPr>
              <w:jc w:val="center"/>
              <w:rPr>
                <w:rFonts w:cstheme="minorHAnsi"/>
                <w:bCs/>
                <w:sz w:val="20"/>
              </w:rPr>
            </w:pPr>
            <w:r w:rsidRPr="00C70692">
              <w:rPr>
                <w:rFonts w:cstheme="minorHAnsi"/>
                <w:sz w:val="20"/>
              </w:rPr>
              <w:t>&lt;15</w:t>
            </w:r>
          </w:p>
        </w:tc>
      </w:tr>
      <w:tr w:rsidR="003C1DB1" w14:paraId="6BE18BBE" w14:textId="77777777" w:rsidTr="00711C3A">
        <w:tc>
          <w:tcPr>
            <w:tcW w:w="431" w:type="pct"/>
            <w:tcBorders>
              <w:top w:val="single" w:sz="4" w:space="0" w:color="auto"/>
              <w:left w:val="single" w:sz="4" w:space="0" w:color="auto"/>
              <w:bottom w:val="single" w:sz="4" w:space="0" w:color="auto"/>
              <w:right w:val="single" w:sz="4" w:space="0" w:color="auto"/>
            </w:tcBorders>
          </w:tcPr>
          <w:p w14:paraId="63E76083"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3E6E6E9C" w14:textId="77777777" w:rsidR="003C1DB1" w:rsidRPr="005F32C8" w:rsidRDefault="003C1DB1" w:rsidP="00711C3A">
            <w:pPr>
              <w:rPr>
                <w:rFonts w:eastAsia="Times New Roman"/>
                <w:color w:val="000000"/>
                <w:sz w:val="20"/>
                <w:lang w:eastAsia="en-GB"/>
              </w:rPr>
            </w:pPr>
            <w:r w:rsidRPr="005F32C8">
              <w:rPr>
                <w:rFonts w:eastAsia="Times New Roman"/>
                <w:color w:val="000000"/>
                <w:sz w:val="20"/>
                <w:lang w:eastAsia="en-GB"/>
              </w:rPr>
              <w:t>zaļā upjuspāre</w:t>
            </w:r>
          </w:p>
          <w:p w14:paraId="2D963B87" w14:textId="77777777" w:rsidR="003C1DB1" w:rsidRPr="005F32C8" w:rsidRDefault="003C1DB1" w:rsidP="00711C3A">
            <w:pPr>
              <w:rPr>
                <w:bCs/>
                <w:sz w:val="20"/>
              </w:rPr>
            </w:pPr>
            <w:r w:rsidRPr="005F32C8">
              <w:rPr>
                <w:i/>
                <w:color w:val="000000"/>
                <w:sz w:val="20"/>
              </w:rPr>
              <w:t>Ophiogomphus cecilia</w:t>
            </w:r>
          </w:p>
        </w:tc>
        <w:tc>
          <w:tcPr>
            <w:tcW w:w="676" w:type="pct"/>
            <w:gridSpan w:val="2"/>
            <w:tcBorders>
              <w:top w:val="single" w:sz="4" w:space="0" w:color="auto"/>
              <w:left w:val="single" w:sz="4" w:space="0" w:color="auto"/>
              <w:bottom w:val="single" w:sz="4" w:space="0" w:color="auto"/>
              <w:right w:val="single" w:sz="4" w:space="0" w:color="auto"/>
            </w:tcBorders>
          </w:tcPr>
          <w:p w14:paraId="7776703F" w14:textId="77777777" w:rsidR="003C1DB1" w:rsidRPr="009D3DD0" w:rsidRDefault="003C1DB1" w:rsidP="00711C3A">
            <w:pPr>
              <w:rPr>
                <w:bCs/>
                <w:sz w:val="20"/>
              </w:rPr>
            </w:pPr>
            <w:r w:rsidRPr="009D3DD0">
              <w:rPr>
                <w:sz w:val="20"/>
              </w:rPr>
              <w:t xml:space="preserve">733 - </w:t>
            </w:r>
            <w:r w:rsidRPr="009D3DD0">
              <w:rPr>
                <w:iCs/>
                <w:sz w:val="20"/>
              </w:rPr>
              <w:t>8186</w:t>
            </w:r>
          </w:p>
        </w:tc>
        <w:tc>
          <w:tcPr>
            <w:tcW w:w="895" w:type="pct"/>
            <w:tcBorders>
              <w:top w:val="single" w:sz="4" w:space="0" w:color="auto"/>
              <w:left w:val="single" w:sz="4" w:space="0" w:color="auto"/>
              <w:bottom w:val="single" w:sz="4" w:space="0" w:color="auto"/>
              <w:right w:val="single" w:sz="4" w:space="0" w:color="auto"/>
            </w:tcBorders>
          </w:tcPr>
          <w:p w14:paraId="15BD28A9" w14:textId="77777777" w:rsidR="003C1DB1" w:rsidRPr="00C70692" w:rsidRDefault="003C1DB1" w:rsidP="00711C3A">
            <w:pPr>
              <w:jc w:val="center"/>
              <w:rPr>
                <w:rFonts w:cstheme="minorHAnsi"/>
                <w:bCs/>
                <w:sz w:val="20"/>
              </w:rPr>
            </w:pPr>
            <w:r w:rsidRPr="00C70692">
              <w:rPr>
                <w:rFonts w:cstheme="minorHAnsi"/>
                <w:sz w:val="20"/>
              </w:rPr>
              <w:t>&lt;30</w:t>
            </w:r>
          </w:p>
        </w:tc>
        <w:tc>
          <w:tcPr>
            <w:tcW w:w="625" w:type="pct"/>
            <w:tcBorders>
              <w:top w:val="single" w:sz="4" w:space="0" w:color="auto"/>
              <w:left w:val="single" w:sz="4" w:space="0" w:color="auto"/>
              <w:bottom w:val="single" w:sz="4" w:space="0" w:color="auto"/>
              <w:right w:val="single" w:sz="4" w:space="0" w:color="auto"/>
            </w:tcBorders>
          </w:tcPr>
          <w:p w14:paraId="14CD93F8" w14:textId="77777777" w:rsidR="003C1DB1" w:rsidRPr="00C70692" w:rsidRDefault="003C1DB1" w:rsidP="00711C3A">
            <w:pPr>
              <w:jc w:val="center"/>
              <w:rPr>
                <w:rFonts w:cstheme="minorHAnsi"/>
                <w:bCs/>
                <w:sz w:val="20"/>
              </w:rPr>
            </w:pPr>
            <w:r w:rsidRPr="00C70692">
              <w:rPr>
                <w:rFonts w:cstheme="minorHAnsi"/>
                <w:sz w:val="20"/>
              </w:rPr>
              <w:t>&lt;20</w:t>
            </w:r>
          </w:p>
        </w:tc>
        <w:tc>
          <w:tcPr>
            <w:tcW w:w="545" w:type="pct"/>
            <w:tcBorders>
              <w:top w:val="single" w:sz="4" w:space="0" w:color="auto"/>
              <w:left w:val="single" w:sz="4" w:space="0" w:color="auto"/>
              <w:bottom w:val="single" w:sz="4" w:space="0" w:color="auto"/>
              <w:right w:val="single" w:sz="4" w:space="0" w:color="auto"/>
            </w:tcBorders>
          </w:tcPr>
          <w:p w14:paraId="2DB249E4" w14:textId="77777777" w:rsidR="003C1DB1" w:rsidRPr="00C70692" w:rsidRDefault="003C1DB1" w:rsidP="00711C3A">
            <w:pPr>
              <w:jc w:val="center"/>
              <w:rPr>
                <w:rFonts w:cstheme="minorHAnsi"/>
                <w:bCs/>
                <w:sz w:val="20"/>
              </w:rPr>
            </w:pPr>
            <w:r w:rsidRPr="00C70692">
              <w:rPr>
                <w:rFonts w:eastAsia="Times New Roman" w:cstheme="minorHAnsi"/>
                <w:color w:val="000000"/>
                <w:sz w:val="20"/>
                <w:lang w:eastAsia="en-GB"/>
              </w:rPr>
              <w:t>739</w:t>
            </w:r>
          </w:p>
        </w:tc>
        <w:tc>
          <w:tcPr>
            <w:tcW w:w="938" w:type="pct"/>
            <w:tcBorders>
              <w:top w:val="single" w:sz="4" w:space="0" w:color="auto"/>
              <w:left w:val="single" w:sz="4" w:space="0" w:color="auto"/>
              <w:bottom w:val="single" w:sz="4" w:space="0" w:color="auto"/>
              <w:right w:val="single" w:sz="4" w:space="0" w:color="auto"/>
            </w:tcBorders>
          </w:tcPr>
          <w:p w14:paraId="2BC97D88" w14:textId="77777777" w:rsidR="003C1DB1" w:rsidRPr="00C70692" w:rsidRDefault="003C1DB1" w:rsidP="00711C3A">
            <w:pPr>
              <w:jc w:val="center"/>
              <w:rPr>
                <w:rFonts w:cstheme="minorHAnsi"/>
                <w:bCs/>
                <w:sz w:val="20"/>
              </w:rPr>
            </w:pPr>
            <w:r w:rsidRPr="00C70692">
              <w:rPr>
                <w:rFonts w:cstheme="minorHAnsi"/>
                <w:sz w:val="20"/>
              </w:rPr>
              <w:t>&lt;30</w:t>
            </w:r>
          </w:p>
        </w:tc>
      </w:tr>
      <w:tr w:rsidR="003C1DB1" w14:paraId="55846956" w14:textId="77777777" w:rsidTr="00711C3A">
        <w:tc>
          <w:tcPr>
            <w:tcW w:w="431" w:type="pct"/>
            <w:tcBorders>
              <w:top w:val="single" w:sz="4" w:space="0" w:color="auto"/>
              <w:left w:val="single" w:sz="4" w:space="0" w:color="auto"/>
              <w:bottom w:val="single" w:sz="4" w:space="0" w:color="auto"/>
              <w:right w:val="single" w:sz="4" w:space="0" w:color="auto"/>
            </w:tcBorders>
          </w:tcPr>
          <w:p w14:paraId="46BAE0D9"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0A50C32C" w14:textId="77777777" w:rsidR="003C1DB1" w:rsidRPr="005F32C8" w:rsidRDefault="003C1DB1" w:rsidP="00711C3A">
            <w:pPr>
              <w:rPr>
                <w:rFonts w:eastAsia="Times New Roman"/>
                <w:color w:val="000000"/>
                <w:sz w:val="20"/>
                <w:lang w:eastAsia="en-GB"/>
              </w:rPr>
            </w:pPr>
            <w:r w:rsidRPr="005F32C8">
              <w:rPr>
                <w:rFonts w:eastAsia="Times New Roman"/>
                <w:color w:val="000000"/>
                <w:sz w:val="20"/>
                <w:lang w:eastAsia="en-GB"/>
              </w:rPr>
              <w:t>lapkoku praulgrauzis</w:t>
            </w:r>
          </w:p>
          <w:p w14:paraId="575C1665" w14:textId="77777777" w:rsidR="003C1DB1" w:rsidRPr="005F32C8" w:rsidRDefault="003C1DB1" w:rsidP="00711C3A">
            <w:pPr>
              <w:rPr>
                <w:bCs/>
                <w:sz w:val="20"/>
              </w:rPr>
            </w:pPr>
            <w:r w:rsidRPr="005F32C8">
              <w:rPr>
                <w:i/>
                <w:color w:val="000000"/>
                <w:sz w:val="20"/>
              </w:rPr>
              <w:t>Osmoderma barnabita</w:t>
            </w:r>
          </w:p>
        </w:tc>
        <w:tc>
          <w:tcPr>
            <w:tcW w:w="676" w:type="pct"/>
            <w:gridSpan w:val="2"/>
            <w:tcBorders>
              <w:top w:val="single" w:sz="4" w:space="0" w:color="auto"/>
              <w:left w:val="single" w:sz="4" w:space="0" w:color="auto"/>
              <w:bottom w:val="single" w:sz="4" w:space="0" w:color="auto"/>
              <w:right w:val="single" w:sz="4" w:space="0" w:color="auto"/>
            </w:tcBorders>
          </w:tcPr>
          <w:p w14:paraId="02D40F5D" w14:textId="77777777" w:rsidR="003C1DB1" w:rsidRPr="009D3DD0" w:rsidRDefault="003C1DB1" w:rsidP="00711C3A">
            <w:pPr>
              <w:rPr>
                <w:bCs/>
                <w:sz w:val="20"/>
              </w:rPr>
            </w:pPr>
            <w:r>
              <w:rPr>
                <w:sz w:val="20"/>
              </w:rPr>
              <w:t>Min. 600</w:t>
            </w:r>
          </w:p>
        </w:tc>
        <w:tc>
          <w:tcPr>
            <w:tcW w:w="895" w:type="pct"/>
            <w:tcBorders>
              <w:top w:val="single" w:sz="4" w:space="0" w:color="auto"/>
              <w:left w:val="single" w:sz="4" w:space="0" w:color="auto"/>
              <w:bottom w:val="single" w:sz="4" w:space="0" w:color="auto"/>
              <w:right w:val="single" w:sz="4" w:space="0" w:color="auto"/>
            </w:tcBorders>
          </w:tcPr>
          <w:p w14:paraId="1C5E2121" w14:textId="77777777" w:rsidR="003C1DB1" w:rsidRPr="00C70692" w:rsidRDefault="003C1DB1" w:rsidP="00711C3A">
            <w:pPr>
              <w:jc w:val="center"/>
              <w:rPr>
                <w:rFonts w:cstheme="minorHAnsi"/>
                <w:bCs/>
                <w:sz w:val="20"/>
              </w:rPr>
            </w:pPr>
            <w:r w:rsidRPr="00C70692">
              <w:rPr>
                <w:rFonts w:cstheme="minorHAnsi"/>
                <w:sz w:val="20"/>
              </w:rPr>
              <w:t>&lt;1</w:t>
            </w:r>
          </w:p>
        </w:tc>
        <w:tc>
          <w:tcPr>
            <w:tcW w:w="625" w:type="pct"/>
            <w:tcBorders>
              <w:top w:val="single" w:sz="4" w:space="0" w:color="auto"/>
              <w:left w:val="single" w:sz="4" w:space="0" w:color="auto"/>
              <w:bottom w:val="single" w:sz="4" w:space="0" w:color="auto"/>
              <w:right w:val="single" w:sz="4" w:space="0" w:color="auto"/>
            </w:tcBorders>
          </w:tcPr>
          <w:p w14:paraId="6229A743" w14:textId="77777777" w:rsidR="003C1DB1" w:rsidRPr="00C70692" w:rsidRDefault="003C1DB1" w:rsidP="00711C3A">
            <w:pPr>
              <w:jc w:val="center"/>
              <w:rPr>
                <w:rFonts w:cstheme="minorHAnsi"/>
                <w:bCs/>
                <w:sz w:val="20"/>
              </w:rPr>
            </w:pPr>
            <w:r w:rsidRPr="00C70692">
              <w:rPr>
                <w:rFonts w:cstheme="minorHAnsi"/>
                <w:sz w:val="20"/>
              </w:rPr>
              <w:t>&lt;1</w:t>
            </w:r>
          </w:p>
        </w:tc>
        <w:tc>
          <w:tcPr>
            <w:tcW w:w="545" w:type="pct"/>
            <w:tcBorders>
              <w:top w:val="single" w:sz="4" w:space="0" w:color="auto"/>
              <w:left w:val="single" w:sz="4" w:space="0" w:color="auto"/>
              <w:bottom w:val="single" w:sz="4" w:space="0" w:color="auto"/>
              <w:right w:val="single" w:sz="4" w:space="0" w:color="auto"/>
            </w:tcBorders>
          </w:tcPr>
          <w:p w14:paraId="73028FA0" w14:textId="087E7E04" w:rsidR="003C1DB1" w:rsidRPr="00C70692" w:rsidRDefault="00E470A4" w:rsidP="00711C3A">
            <w:pPr>
              <w:jc w:val="center"/>
              <w:rPr>
                <w:rFonts w:cstheme="minorHAnsi"/>
                <w:bCs/>
                <w:sz w:val="20"/>
              </w:rPr>
            </w:pPr>
            <w:r>
              <w:rPr>
                <w:rFonts w:cstheme="minorHAnsi"/>
                <w:bCs/>
                <w:sz w:val="20"/>
              </w:rPr>
              <w:t>?</w:t>
            </w:r>
          </w:p>
        </w:tc>
        <w:tc>
          <w:tcPr>
            <w:tcW w:w="938" w:type="pct"/>
            <w:tcBorders>
              <w:top w:val="single" w:sz="4" w:space="0" w:color="auto"/>
              <w:left w:val="single" w:sz="4" w:space="0" w:color="auto"/>
              <w:bottom w:val="single" w:sz="4" w:space="0" w:color="auto"/>
              <w:right w:val="single" w:sz="4" w:space="0" w:color="auto"/>
            </w:tcBorders>
          </w:tcPr>
          <w:p w14:paraId="444CE89B" w14:textId="77777777" w:rsidR="003C1DB1" w:rsidRPr="00C70692" w:rsidRDefault="003C1DB1" w:rsidP="00711C3A">
            <w:pPr>
              <w:jc w:val="center"/>
              <w:rPr>
                <w:rFonts w:cstheme="minorHAnsi"/>
                <w:bCs/>
                <w:sz w:val="20"/>
              </w:rPr>
            </w:pPr>
            <w:r w:rsidRPr="00C70692">
              <w:rPr>
                <w:rFonts w:cstheme="minorHAnsi"/>
                <w:sz w:val="20"/>
              </w:rPr>
              <w:t>&lt;1</w:t>
            </w:r>
          </w:p>
        </w:tc>
      </w:tr>
      <w:tr w:rsidR="003C1DB1" w14:paraId="28CB7999" w14:textId="77777777" w:rsidTr="00711C3A">
        <w:tc>
          <w:tcPr>
            <w:tcW w:w="431" w:type="pct"/>
            <w:tcBorders>
              <w:top w:val="single" w:sz="4" w:space="0" w:color="auto"/>
              <w:left w:val="single" w:sz="4" w:space="0" w:color="auto"/>
              <w:bottom w:val="single" w:sz="4" w:space="0" w:color="auto"/>
              <w:right w:val="single" w:sz="4" w:space="0" w:color="auto"/>
            </w:tcBorders>
          </w:tcPr>
          <w:p w14:paraId="53C9D8B7"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018BC178" w14:textId="77777777" w:rsidR="003C1DB1" w:rsidRPr="005F32C8" w:rsidRDefault="003C1DB1" w:rsidP="00711C3A">
            <w:pPr>
              <w:rPr>
                <w:rFonts w:eastAsia="Times New Roman"/>
                <w:color w:val="000000"/>
                <w:sz w:val="20"/>
                <w:lang w:eastAsia="en-GB"/>
              </w:rPr>
            </w:pPr>
            <w:r w:rsidRPr="005F32C8">
              <w:rPr>
                <w:rFonts w:eastAsia="Times New Roman"/>
                <w:color w:val="000000"/>
                <w:sz w:val="20"/>
                <w:lang w:eastAsia="en-GB"/>
              </w:rPr>
              <w:t>Mannerheima īsspārnis</w:t>
            </w:r>
          </w:p>
          <w:p w14:paraId="6989DC07" w14:textId="77777777" w:rsidR="003C1DB1" w:rsidRPr="005F32C8" w:rsidRDefault="003C1DB1" w:rsidP="00711C3A">
            <w:pPr>
              <w:rPr>
                <w:bCs/>
                <w:sz w:val="20"/>
              </w:rPr>
            </w:pPr>
            <w:r w:rsidRPr="005F32C8">
              <w:rPr>
                <w:i/>
                <w:color w:val="000000"/>
                <w:sz w:val="20"/>
              </w:rPr>
              <w:t>Oxyporus mannerheimii</w:t>
            </w:r>
          </w:p>
        </w:tc>
        <w:tc>
          <w:tcPr>
            <w:tcW w:w="676" w:type="pct"/>
            <w:gridSpan w:val="2"/>
            <w:tcBorders>
              <w:top w:val="single" w:sz="4" w:space="0" w:color="auto"/>
              <w:left w:val="single" w:sz="4" w:space="0" w:color="auto"/>
              <w:bottom w:val="single" w:sz="4" w:space="0" w:color="auto"/>
              <w:right w:val="single" w:sz="4" w:space="0" w:color="auto"/>
            </w:tcBorders>
          </w:tcPr>
          <w:p w14:paraId="68CAE4AA" w14:textId="509A934D" w:rsidR="003C1DB1" w:rsidRPr="009D3DD0" w:rsidRDefault="00C671AE" w:rsidP="00711C3A">
            <w:pPr>
              <w:rPr>
                <w:bCs/>
                <w:sz w:val="20"/>
              </w:rPr>
            </w:pPr>
            <w:r>
              <w:rPr>
                <w:sz w:val="20"/>
              </w:rPr>
              <w:t>100-1000</w:t>
            </w:r>
          </w:p>
        </w:tc>
        <w:tc>
          <w:tcPr>
            <w:tcW w:w="895" w:type="pct"/>
            <w:tcBorders>
              <w:top w:val="single" w:sz="4" w:space="0" w:color="auto"/>
              <w:left w:val="single" w:sz="4" w:space="0" w:color="auto"/>
              <w:bottom w:val="single" w:sz="4" w:space="0" w:color="auto"/>
              <w:right w:val="single" w:sz="4" w:space="0" w:color="auto"/>
            </w:tcBorders>
          </w:tcPr>
          <w:p w14:paraId="4AB3372E" w14:textId="77777777" w:rsidR="003C1DB1" w:rsidRPr="00C70692" w:rsidRDefault="003C1DB1" w:rsidP="00711C3A">
            <w:pPr>
              <w:jc w:val="center"/>
              <w:rPr>
                <w:rFonts w:cstheme="minorHAnsi"/>
                <w:bCs/>
                <w:sz w:val="20"/>
              </w:rPr>
            </w:pPr>
          </w:p>
          <w:p w14:paraId="5858CF5A" w14:textId="77777777" w:rsidR="003C1DB1" w:rsidRPr="00C70692" w:rsidRDefault="003C1DB1" w:rsidP="00711C3A">
            <w:pPr>
              <w:jc w:val="center"/>
              <w:rPr>
                <w:rFonts w:cstheme="minorHAnsi"/>
                <w:sz w:val="20"/>
              </w:rPr>
            </w:pPr>
            <w:r w:rsidRPr="00C70692">
              <w:rPr>
                <w:rFonts w:cstheme="minorHAnsi"/>
                <w:sz w:val="20"/>
              </w:rPr>
              <w:t>?</w:t>
            </w:r>
          </w:p>
        </w:tc>
        <w:tc>
          <w:tcPr>
            <w:tcW w:w="625" w:type="pct"/>
            <w:tcBorders>
              <w:top w:val="single" w:sz="4" w:space="0" w:color="auto"/>
              <w:left w:val="single" w:sz="4" w:space="0" w:color="auto"/>
              <w:bottom w:val="single" w:sz="4" w:space="0" w:color="auto"/>
              <w:right w:val="single" w:sz="4" w:space="0" w:color="auto"/>
            </w:tcBorders>
          </w:tcPr>
          <w:p w14:paraId="6217A242" w14:textId="77777777" w:rsidR="003C1DB1" w:rsidRPr="00C70692" w:rsidRDefault="003C1DB1" w:rsidP="00711C3A">
            <w:pPr>
              <w:jc w:val="center"/>
              <w:rPr>
                <w:rFonts w:cstheme="minorHAnsi"/>
                <w:sz w:val="20"/>
              </w:rPr>
            </w:pPr>
          </w:p>
          <w:p w14:paraId="3FB8B3C4" w14:textId="77777777" w:rsidR="003C1DB1" w:rsidRPr="00C70692" w:rsidRDefault="003C1DB1" w:rsidP="00711C3A">
            <w:pPr>
              <w:jc w:val="center"/>
              <w:rPr>
                <w:rFonts w:cstheme="minorHAnsi"/>
                <w:bCs/>
                <w:sz w:val="20"/>
              </w:rPr>
            </w:pPr>
            <w:r w:rsidRPr="00C70692">
              <w:rPr>
                <w:rFonts w:cstheme="minorHAnsi"/>
                <w:sz w:val="20"/>
              </w:rPr>
              <w:t>?</w:t>
            </w:r>
          </w:p>
        </w:tc>
        <w:tc>
          <w:tcPr>
            <w:tcW w:w="545" w:type="pct"/>
            <w:tcBorders>
              <w:top w:val="single" w:sz="4" w:space="0" w:color="auto"/>
              <w:left w:val="single" w:sz="4" w:space="0" w:color="auto"/>
              <w:bottom w:val="single" w:sz="4" w:space="0" w:color="auto"/>
              <w:right w:val="single" w:sz="4" w:space="0" w:color="auto"/>
            </w:tcBorders>
          </w:tcPr>
          <w:p w14:paraId="2BD52E5C" w14:textId="77777777" w:rsidR="003C1DB1" w:rsidRPr="00C70692" w:rsidRDefault="003C1DB1" w:rsidP="00711C3A">
            <w:pPr>
              <w:jc w:val="center"/>
              <w:rPr>
                <w:rFonts w:cstheme="minorHAnsi"/>
                <w:sz w:val="20"/>
              </w:rPr>
            </w:pPr>
          </w:p>
          <w:p w14:paraId="2C605631"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06D75651" w14:textId="77777777" w:rsidR="003C1DB1" w:rsidRPr="00C70692" w:rsidRDefault="003C1DB1" w:rsidP="00711C3A">
            <w:pPr>
              <w:jc w:val="center"/>
              <w:rPr>
                <w:rFonts w:cstheme="minorHAnsi"/>
                <w:sz w:val="20"/>
              </w:rPr>
            </w:pPr>
          </w:p>
          <w:p w14:paraId="0E1723F7" w14:textId="77777777" w:rsidR="003C1DB1" w:rsidRPr="00C70692" w:rsidRDefault="003C1DB1" w:rsidP="00711C3A">
            <w:pPr>
              <w:jc w:val="center"/>
              <w:rPr>
                <w:rFonts w:cstheme="minorHAnsi"/>
                <w:bCs/>
                <w:sz w:val="20"/>
              </w:rPr>
            </w:pPr>
            <w:r w:rsidRPr="00C70692">
              <w:rPr>
                <w:rFonts w:cstheme="minorHAnsi"/>
                <w:sz w:val="20"/>
              </w:rPr>
              <w:t>?</w:t>
            </w:r>
          </w:p>
        </w:tc>
      </w:tr>
      <w:tr w:rsidR="003C1DB1" w14:paraId="35516492" w14:textId="77777777" w:rsidTr="003B7F6F">
        <w:tc>
          <w:tcPr>
            <w:tcW w:w="431" w:type="pct"/>
            <w:tcBorders>
              <w:top w:val="single" w:sz="4" w:space="0" w:color="auto"/>
              <w:left w:val="single" w:sz="4" w:space="0" w:color="auto"/>
              <w:bottom w:val="single" w:sz="4" w:space="0" w:color="auto"/>
              <w:right w:val="single" w:sz="4" w:space="0" w:color="auto"/>
            </w:tcBorders>
          </w:tcPr>
          <w:p w14:paraId="2104A545"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4A4514DE" w14:textId="77777777" w:rsidR="003C1DB1" w:rsidRPr="005F32C8" w:rsidRDefault="003C1DB1" w:rsidP="00711C3A">
            <w:pPr>
              <w:rPr>
                <w:rFonts w:eastAsia="Times New Roman"/>
                <w:color w:val="000000"/>
                <w:sz w:val="20"/>
                <w:lang w:eastAsia="en-GB"/>
              </w:rPr>
            </w:pPr>
            <w:r w:rsidRPr="005F32C8">
              <w:rPr>
                <w:rFonts w:eastAsia="Times New Roman"/>
                <w:color w:val="000000"/>
                <w:sz w:val="20"/>
                <w:lang w:eastAsia="en-GB"/>
              </w:rPr>
              <w:t>svītrainais kapucķirmis</w:t>
            </w:r>
          </w:p>
          <w:p w14:paraId="573E6974" w14:textId="77777777" w:rsidR="003C1DB1" w:rsidRPr="005F32C8" w:rsidRDefault="003C1DB1" w:rsidP="00711C3A">
            <w:pPr>
              <w:rPr>
                <w:bCs/>
                <w:sz w:val="20"/>
              </w:rPr>
            </w:pPr>
            <w:r w:rsidRPr="005F32C8">
              <w:rPr>
                <w:i/>
                <w:color w:val="000000"/>
                <w:sz w:val="20"/>
              </w:rPr>
              <w:t>Stephanopachys linearis</w:t>
            </w:r>
          </w:p>
        </w:tc>
        <w:tc>
          <w:tcPr>
            <w:tcW w:w="676" w:type="pct"/>
            <w:gridSpan w:val="2"/>
            <w:tcBorders>
              <w:top w:val="single" w:sz="4" w:space="0" w:color="auto"/>
              <w:left w:val="single" w:sz="4" w:space="0" w:color="auto"/>
              <w:bottom w:val="single" w:sz="4" w:space="0" w:color="auto"/>
              <w:right w:val="single" w:sz="4" w:space="0" w:color="auto"/>
            </w:tcBorders>
          </w:tcPr>
          <w:p w14:paraId="10607B0F" w14:textId="77777777" w:rsidR="003C1DB1" w:rsidRPr="009D3DD0" w:rsidRDefault="003C1DB1" w:rsidP="00711C3A">
            <w:pPr>
              <w:rPr>
                <w:bCs/>
                <w:sz w:val="20"/>
              </w:rPr>
            </w:pPr>
          </w:p>
          <w:p w14:paraId="605DA1D9" w14:textId="77777777" w:rsidR="003C1DB1" w:rsidRPr="009D3DD0" w:rsidRDefault="003C1DB1" w:rsidP="00711C3A">
            <w:pPr>
              <w:rPr>
                <w:bCs/>
                <w:sz w:val="20"/>
              </w:rPr>
            </w:pPr>
            <w:r w:rsidRPr="009D3DD0">
              <w:rPr>
                <w:sz w:val="20"/>
              </w:rPr>
              <w:t>?</w:t>
            </w:r>
          </w:p>
        </w:tc>
        <w:tc>
          <w:tcPr>
            <w:tcW w:w="895" w:type="pct"/>
            <w:tcBorders>
              <w:top w:val="single" w:sz="4" w:space="0" w:color="auto"/>
              <w:left w:val="single" w:sz="4" w:space="0" w:color="auto"/>
              <w:bottom w:val="single" w:sz="4" w:space="0" w:color="auto"/>
              <w:right w:val="single" w:sz="4" w:space="0" w:color="auto"/>
            </w:tcBorders>
          </w:tcPr>
          <w:p w14:paraId="0316F2E7" w14:textId="77777777" w:rsidR="003C1DB1" w:rsidRPr="00C70692" w:rsidRDefault="003C1DB1" w:rsidP="00711C3A">
            <w:pPr>
              <w:jc w:val="center"/>
              <w:rPr>
                <w:rFonts w:cstheme="minorHAnsi"/>
                <w:sz w:val="20"/>
              </w:rPr>
            </w:pPr>
          </w:p>
          <w:p w14:paraId="22713F11" w14:textId="77777777" w:rsidR="003C1DB1" w:rsidRPr="00C70692" w:rsidRDefault="003C1DB1" w:rsidP="00711C3A">
            <w:pPr>
              <w:jc w:val="center"/>
              <w:rPr>
                <w:rFonts w:cstheme="minorHAnsi"/>
                <w:bCs/>
                <w:sz w:val="20"/>
              </w:rPr>
            </w:pPr>
            <w:r w:rsidRPr="00C70692">
              <w:rPr>
                <w:rFonts w:cstheme="minorHAnsi"/>
                <w:sz w:val="20"/>
              </w:rPr>
              <w:t>?</w:t>
            </w:r>
          </w:p>
        </w:tc>
        <w:tc>
          <w:tcPr>
            <w:tcW w:w="625" w:type="pct"/>
            <w:tcBorders>
              <w:top w:val="single" w:sz="4" w:space="0" w:color="auto"/>
              <w:left w:val="single" w:sz="4" w:space="0" w:color="auto"/>
              <w:bottom w:val="single" w:sz="4" w:space="0" w:color="auto"/>
              <w:right w:val="single" w:sz="4" w:space="0" w:color="auto"/>
            </w:tcBorders>
          </w:tcPr>
          <w:p w14:paraId="6D8D3D07" w14:textId="77777777" w:rsidR="003C1DB1" w:rsidRPr="00C70692" w:rsidRDefault="003C1DB1" w:rsidP="00711C3A">
            <w:pPr>
              <w:jc w:val="center"/>
              <w:rPr>
                <w:rFonts w:cstheme="minorHAnsi"/>
                <w:sz w:val="20"/>
              </w:rPr>
            </w:pPr>
          </w:p>
          <w:p w14:paraId="5E6B1BD2" w14:textId="77777777" w:rsidR="003C1DB1" w:rsidRPr="00C70692" w:rsidRDefault="003C1DB1" w:rsidP="00711C3A">
            <w:pPr>
              <w:jc w:val="center"/>
              <w:rPr>
                <w:rFonts w:cstheme="minorHAnsi"/>
                <w:bCs/>
                <w:sz w:val="20"/>
              </w:rPr>
            </w:pPr>
            <w:r w:rsidRPr="00C70692">
              <w:rPr>
                <w:rFonts w:cstheme="minorHAnsi"/>
                <w:sz w:val="20"/>
              </w:rPr>
              <w:t>?</w:t>
            </w:r>
          </w:p>
        </w:tc>
        <w:tc>
          <w:tcPr>
            <w:tcW w:w="545" w:type="pct"/>
            <w:tcBorders>
              <w:top w:val="single" w:sz="4" w:space="0" w:color="auto"/>
              <w:left w:val="single" w:sz="4" w:space="0" w:color="auto"/>
              <w:bottom w:val="single" w:sz="4" w:space="0" w:color="auto"/>
              <w:right w:val="single" w:sz="4" w:space="0" w:color="auto"/>
            </w:tcBorders>
          </w:tcPr>
          <w:p w14:paraId="4E171EE1" w14:textId="77777777" w:rsidR="003C1DB1" w:rsidRPr="00C70692" w:rsidRDefault="003C1DB1" w:rsidP="00711C3A">
            <w:pPr>
              <w:jc w:val="center"/>
              <w:rPr>
                <w:rFonts w:cstheme="minorHAnsi"/>
                <w:sz w:val="20"/>
              </w:rPr>
            </w:pPr>
          </w:p>
          <w:p w14:paraId="6808848A"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29D18411" w14:textId="77777777" w:rsidR="003C1DB1" w:rsidRPr="00C70692" w:rsidRDefault="003C1DB1" w:rsidP="00711C3A">
            <w:pPr>
              <w:jc w:val="center"/>
              <w:rPr>
                <w:rFonts w:cstheme="minorHAnsi"/>
                <w:bCs/>
                <w:sz w:val="20"/>
              </w:rPr>
            </w:pPr>
          </w:p>
          <w:p w14:paraId="65C44329" w14:textId="77777777" w:rsidR="003C1DB1" w:rsidRPr="00C70692" w:rsidRDefault="003C1DB1" w:rsidP="00711C3A">
            <w:pPr>
              <w:jc w:val="center"/>
              <w:rPr>
                <w:rFonts w:cstheme="minorHAnsi"/>
                <w:bCs/>
                <w:sz w:val="20"/>
              </w:rPr>
            </w:pPr>
            <w:r w:rsidRPr="00C70692">
              <w:rPr>
                <w:rFonts w:cstheme="minorHAnsi"/>
                <w:sz w:val="20"/>
              </w:rPr>
              <w:t>?</w:t>
            </w:r>
          </w:p>
        </w:tc>
      </w:tr>
      <w:tr w:rsidR="003C1DB1" w14:paraId="1C71E5FA" w14:textId="77777777" w:rsidTr="003B7F6F">
        <w:tc>
          <w:tcPr>
            <w:tcW w:w="431" w:type="pct"/>
            <w:tcBorders>
              <w:top w:val="single" w:sz="4" w:space="0" w:color="auto"/>
              <w:left w:val="single" w:sz="4" w:space="0" w:color="auto"/>
              <w:bottom w:val="single" w:sz="4" w:space="0" w:color="auto"/>
              <w:right w:val="single" w:sz="4" w:space="0" w:color="auto"/>
            </w:tcBorders>
          </w:tcPr>
          <w:p w14:paraId="0E8C055E"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2CB68FD6" w14:textId="77777777" w:rsidR="003C1DB1" w:rsidRPr="003B7F6F" w:rsidRDefault="003C1DB1" w:rsidP="00711C3A">
            <w:pPr>
              <w:rPr>
                <w:rFonts w:eastAsia="Times New Roman"/>
                <w:color w:val="000000"/>
                <w:sz w:val="20"/>
                <w:lang w:eastAsia="en-GB"/>
              </w:rPr>
            </w:pPr>
            <w:r w:rsidRPr="003B7F6F">
              <w:rPr>
                <w:rFonts w:eastAsia="Times New Roman"/>
                <w:color w:val="000000"/>
                <w:sz w:val="20"/>
                <w:lang w:eastAsia="en-GB"/>
              </w:rPr>
              <w:t>Šneidera mizmīlis</w:t>
            </w:r>
          </w:p>
          <w:p w14:paraId="72B8D06B" w14:textId="77777777" w:rsidR="003C1DB1" w:rsidRPr="005F32C8" w:rsidRDefault="003C1DB1" w:rsidP="00711C3A">
            <w:pPr>
              <w:rPr>
                <w:bCs/>
                <w:sz w:val="20"/>
              </w:rPr>
            </w:pPr>
            <w:r w:rsidRPr="003B7F6F">
              <w:rPr>
                <w:i/>
                <w:color w:val="000000"/>
                <w:sz w:val="20"/>
              </w:rPr>
              <w:t>Boros schneideri</w:t>
            </w:r>
          </w:p>
        </w:tc>
        <w:tc>
          <w:tcPr>
            <w:tcW w:w="676" w:type="pct"/>
            <w:gridSpan w:val="2"/>
            <w:tcBorders>
              <w:top w:val="single" w:sz="4" w:space="0" w:color="auto"/>
              <w:left w:val="single" w:sz="4" w:space="0" w:color="auto"/>
              <w:bottom w:val="single" w:sz="4" w:space="0" w:color="auto"/>
              <w:right w:val="single" w:sz="4" w:space="0" w:color="auto"/>
            </w:tcBorders>
          </w:tcPr>
          <w:p w14:paraId="3720843F" w14:textId="77777777" w:rsidR="003C1DB1" w:rsidRPr="009D3DD0" w:rsidRDefault="003C1DB1" w:rsidP="00711C3A">
            <w:pPr>
              <w:rPr>
                <w:bCs/>
                <w:sz w:val="20"/>
              </w:rPr>
            </w:pPr>
            <w:r w:rsidRPr="009D3DD0">
              <w:rPr>
                <w:sz w:val="20"/>
              </w:rPr>
              <w:t>M</w:t>
            </w:r>
            <w:r>
              <w:rPr>
                <w:sz w:val="20"/>
              </w:rPr>
              <w:t>ax 435854</w:t>
            </w:r>
          </w:p>
        </w:tc>
        <w:tc>
          <w:tcPr>
            <w:tcW w:w="895" w:type="pct"/>
            <w:tcBorders>
              <w:top w:val="single" w:sz="4" w:space="0" w:color="auto"/>
              <w:left w:val="single" w:sz="4" w:space="0" w:color="auto"/>
              <w:bottom w:val="single" w:sz="4" w:space="0" w:color="auto"/>
              <w:right w:val="single" w:sz="4" w:space="0" w:color="auto"/>
            </w:tcBorders>
          </w:tcPr>
          <w:p w14:paraId="757E2399" w14:textId="77777777" w:rsidR="003C1DB1" w:rsidRPr="00C70692" w:rsidRDefault="003C1DB1" w:rsidP="00711C3A">
            <w:pPr>
              <w:jc w:val="center"/>
              <w:rPr>
                <w:rFonts w:cstheme="minorHAnsi"/>
                <w:bCs/>
                <w:sz w:val="20"/>
              </w:rPr>
            </w:pPr>
            <w:r w:rsidRPr="00C70692">
              <w:rPr>
                <w:rFonts w:cstheme="minorHAnsi"/>
                <w:sz w:val="20"/>
              </w:rPr>
              <w:t>&lt;5</w:t>
            </w:r>
          </w:p>
        </w:tc>
        <w:tc>
          <w:tcPr>
            <w:tcW w:w="625" w:type="pct"/>
            <w:tcBorders>
              <w:top w:val="single" w:sz="4" w:space="0" w:color="auto"/>
              <w:left w:val="single" w:sz="4" w:space="0" w:color="auto"/>
              <w:bottom w:val="single" w:sz="4" w:space="0" w:color="auto"/>
              <w:right w:val="single" w:sz="4" w:space="0" w:color="auto"/>
            </w:tcBorders>
          </w:tcPr>
          <w:p w14:paraId="0328A610" w14:textId="77777777" w:rsidR="003C1DB1" w:rsidRPr="00C70692" w:rsidRDefault="003C1DB1" w:rsidP="00711C3A">
            <w:pPr>
              <w:jc w:val="center"/>
              <w:rPr>
                <w:rFonts w:cstheme="minorHAnsi"/>
                <w:bCs/>
                <w:sz w:val="20"/>
              </w:rPr>
            </w:pPr>
            <w:r w:rsidRPr="00C70692">
              <w:rPr>
                <w:rFonts w:cstheme="minorHAnsi"/>
                <w:sz w:val="20"/>
              </w:rPr>
              <w:t>&lt;2</w:t>
            </w:r>
          </w:p>
        </w:tc>
        <w:tc>
          <w:tcPr>
            <w:tcW w:w="545" w:type="pct"/>
            <w:tcBorders>
              <w:top w:val="single" w:sz="4" w:space="0" w:color="auto"/>
              <w:left w:val="single" w:sz="4" w:space="0" w:color="auto"/>
              <w:bottom w:val="single" w:sz="4" w:space="0" w:color="auto"/>
              <w:right w:val="single" w:sz="4" w:space="0" w:color="auto"/>
            </w:tcBorders>
          </w:tcPr>
          <w:p w14:paraId="4977627E" w14:textId="565D8C1D" w:rsidR="003C1DB1" w:rsidRPr="00C70692" w:rsidRDefault="003C1DB1" w:rsidP="00711C3A">
            <w:pPr>
              <w:jc w:val="center"/>
              <w:rPr>
                <w:rFonts w:cstheme="minorHAnsi"/>
                <w:bCs/>
                <w:sz w:val="20"/>
              </w:rPr>
            </w:pPr>
            <w:r w:rsidRPr="00C70692">
              <w:rPr>
                <w:rFonts w:cstheme="minorHAnsi"/>
                <w:color w:val="222222"/>
                <w:sz w:val="20"/>
                <w:szCs w:val="21"/>
                <w:shd w:val="clear" w:color="auto" w:fill="FFFFFF"/>
              </w:rPr>
              <w:t>21220</w:t>
            </w:r>
            <w:r w:rsidR="00926641" w:rsidRPr="00C70692">
              <w:rPr>
                <w:rFonts w:cstheme="minorHAnsi"/>
                <w:color w:val="222222"/>
                <w:sz w:val="20"/>
                <w:szCs w:val="21"/>
                <w:shd w:val="clear" w:color="auto" w:fill="FFFFFF"/>
              </w:rPr>
              <w:t>,</w:t>
            </w:r>
            <w:r w:rsidRPr="00C70692">
              <w:rPr>
                <w:rFonts w:cstheme="minorHAnsi"/>
                <w:color w:val="222222"/>
                <w:sz w:val="20"/>
                <w:szCs w:val="21"/>
                <w:shd w:val="clear" w:color="auto" w:fill="FFFFFF"/>
              </w:rPr>
              <w:t>60</w:t>
            </w:r>
          </w:p>
        </w:tc>
        <w:tc>
          <w:tcPr>
            <w:tcW w:w="938" w:type="pct"/>
            <w:tcBorders>
              <w:top w:val="single" w:sz="4" w:space="0" w:color="auto"/>
              <w:left w:val="single" w:sz="4" w:space="0" w:color="auto"/>
              <w:bottom w:val="single" w:sz="4" w:space="0" w:color="auto"/>
              <w:right w:val="single" w:sz="4" w:space="0" w:color="auto"/>
            </w:tcBorders>
          </w:tcPr>
          <w:p w14:paraId="040A5BD6" w14:textId="77777777" w:rsidR="003C1DB1" w:rsidRPr="00C70692" w:rsidRDefault="003C1DB1" w:rsidP="00711C3A">
            <w:pPr>
              <w:jc w:val="center"/>
              <w:rPr>
                <w:rFonts w:cstheme="minorHAnsi"/>
                <w:bCs/>
                <w:sz w:val="20"/>
              </w:rPr>
            </w:pPr>
            <w:r w:rsidRPr="00C70692">
              <w:rPr>
                <w:rFonts w:cstheme="minorHAnsi"/>
                <w:sz w:val="20"/>
              </w:rPr>
              <w:t>?</w:t>
            </w:r>
          </w:p>
        </w:tc>
      </w:tr>
      <w:tr w:rsidR="003C1DB1" w14:paraId="1A9880B2" w14:textId="77777777" w:rsidTr="00711C3A">
        <w:tc>
          <w:tcPr>
            <w:tcW w:w="431" w:type="pct"/>
            <w:tcBorders>
              <w:top w:val="single" w:sz="4" w:space="0" w:color="auto"/>
              <w:left w:val="single" w:sz="4" w:space="0" w:color="auto"/>
              <w:bottom w:val="single" w:sz="4" w:space="0" w:color="auto"/>
              <w:right w:val="single" w:sz="4" w:space="0" w:color="auto"/>
            </w:tcBorders>
          </w:tcPr>
          <w:p w14:paraId="58907B5D"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39D98CEE" w14:textId="77777777" w:rsidR="003C1DB1" w:rsidRPr="005F32C8" w:rsidRDefault="003C1DB1" w:rsidP="00711C3A">
            <w:pPr>
              <w:rPr>
                <w:rFonts w:eastAsia="Times New Roman"/>
                <w:color w:val="000000"/>
                <w:sz w:val="20"/>
                <w:lang w:eastAsia="en-GB"/>
              </w:rPr>
            </w:pPr>
            <w:r w:rsidRPr="005F32C8">
              <w:rPr>
                <w:rFonts w:eastAsia="Times New Roman"/>
                <w:color w:val="000000"/>
                <w:sz w:val="20"/>
                <w:lang w:eastAsia="en-GB"/>
              </w:rPr>
              <w:t>platā airvabole</w:t>
            </w:r>
          </w:p>
          <w:p w14:paraId="6A0060BF" w14:textId="77777777" w:rsidR="003C1DB1" w:rsidRPr="005F32C8" w:rsidRDefault="003C1DB1" w:rsidP="00711C3A">
            <w:pPr>
              <w:rPr>
                <w:bCs/>
                <w:sz w:val="20"/>
              </w:rPr>
            </w:pPr>
            <w:r w:rsidRPr="005F32C8">
              <w:rPr>
                <w:i/>
                <w:color w:val="000000"/>
                <w:sz w:val="20"/>
              </w:rPr>
              <w:t>Dytiscus latissimus</w:t>
            </w:r>
          </w:p>
        </w:tc>
        <w:tc>
          <w:tcPr>
            <w:tcW w:w="676" w:type="pct"/>
            <w:gridSpan w:val="2"/>
            <w:tcBorders>
              <w:top w:val="single" w:sz="4" w:space="0" w:color="auto"/>
              <w:left w:val="single" w:sz="4" w:space="0" w:color="auto"/>
              <w:bottom w:val="single" w:sz="4" w:space="0" w:color="auto"/>
              <w:right w:val="single" w:sz="4" w:space="0" w:color="auto"/>
            </w:tcBorders>
          </w:tcPr>
          <w:p w14:paraId="2B8C7ADF" w14:textId="77777777" w:rsidR="003C1DB1" w:rsidRPr="009D3DD0" w:rsidRDefault="003C1DB1" w:rsidP="00711C3A">
            <w:pPr>
              <w:rPr>
                <w:bCs/>
                <w:sz w:val="20"/>
              </w:rPr>
            </w:pPr>
            <w:r>
              <w:rPr>
                <w:rFonts w:eastAsia="Times New Roman"/>
                <w:color w:val="000000"/>
                <w:sz w:val="20"/>
                <w:lang w:eastAsia="en-GB"/>
              </w:rPr>
              <w:t>4957</w:t>
            </w:r>
            <w:r w:rsidRPr="009D3DD0">
              <w:rPr>
                <w:rFonts w:eastAsia="Times New Roman"/>
                <w:color w:val="000000"/>
                <w:sz w:val="20"/>
                <w:lang w:eastAsia="en-GB"/>
              </w:rPr>
              <w:t xml:space="preserve"> – </w:t>
            </w:r>
            <w:r>
              <w:rPr>
                <w:rFonts w:eastAsia="Times New Roman"/>
                <w:color w:val="000000"/>
                <w:sz w:val="20"/>
                <w:lang w:eastAsia="en-GB"/>
              </w:rPr>
              <w:t>8205</w:t>
            </w:r>
          </w:p>
        </w:tc>
        <w:tc>
          <w:tcPr>
            <w:tcW w:w="895" w:type="pct"/>
            <w:tcBorders>
              <w:top w:val="single" w:sz="4" w:space="0" w:color="auto"/>
              <w:left w:val="single" w:sz="4" w:space="0" w:color="auto"/>
              <w:bottom w:val="single" w:sz="4" w:space="0" w:color="auto"/>
              <w:right w:val="single" w:sz="4" w:space="0" w:color="auto"/>
            </w:tcBorders>
          </w:tcPr>
          <w:p w14:paraId="47527DAD" w14:textId="77777777" w:rsidR="003C1DB1" w:rsidRPr="00C70692" w:rsidRDefault="003C1DB1" w:rsidP="00711C3A">
            <w:pPr>
              <w:jc w:val="center"/>
              <w:rPr>
                <w:rFonts w:cstheme="minorHAnsi"/>
                <w:bCs/>
                <w:sz w:val="20"/>
              </w:rPr>
            </w:pPr>
            <w:r w:rsidRPr="00C70692">
              <w:rPr>
                <w:rFonts w:cstheme="minorHAnsi"/>
                <w:sz w:val="20"/>
              </w:rPr>
              <w:t>&lt;5</w:t>
            </w:r>
          </w:p>
        </w:tc>
        <w:tc>
          <w:tcPr>
            <w:tcW w:w="625" w:type="pct"/>
            <w:tcBorders>
              <w:top w:val="single" w:sz="4" w:space="0" w:color="auto"/>
              <w:left w:val="single" w:sz="4" w:space="0" w:color="auto"/>
              <w:bottom w:val="single" w:sz="4" w:space="0" w:color="auto"/>
              <w:right w:val="single" w:sz="4" w:space="0" w:color="auto"/>
            </w:tcBorders>
          </w:tcPr>
          <w:p w14:paraId="42AC2652" w14:textId="77777777" w:rsidR="003C1DB1" w:rsidRPr="00C70692" w:rsidRDefault="003C1DB1" w:rsidP="00711C3A">
            <w:pPr>
              <w:jc w:val="center"/>
              <w:rPr>
                <w:rFonts w:cstheme="minorHAnsi"/>
                <w:bCs/>
                <w:sz w:val="20"/>
              </w:rPr>
            </w:pPr>
            <w:r w:rsidRPr="00C70692">
              <w:rPr>
                <w:rFonts w:cstheme="minorHAnsi"/>
                <w:sz w:val="20"/>
              </w:rPr>
              <w:t>&lt;2</w:t>
            </w:r>
          </w:p>
        </w:tc>
        <w:tc>
          <w:tcPr>
            <w:tcW w:w="545" w:type="pct"/>
            <w:tcBorders>
              <w:top w:val="single" w:sz="4" w:space="0" w:color="auto"/>
              <w:left w:val="single" w:sz="4" w:space="0" w:color="auto"/>
              <w:bottom w:val="single" w:sz="4" w:space="0" w:color="auto"/>
              <w:right w:val="single" w:sz="4" w:space="0" w:color="auto"/>
            </w:tcBorders>
          </w:tcPr>
          <w:p w14:paraId="6146F4C6" w14:textId="53D150CF" w:rsidR="003C1DB1" w:rsidRPr="00C70692" w:rsidRDefault="003C1DB1" w:rsidP="00711C3A">
            <w:pPr>
              <w:jc w:val="center"/>
              <w:rPr>
                <w:rFonts w:cstheme="minorHAnsi"/>
                <w:bCs/>
                <w:sz w:val="20"/>
              </w:rPr>
            </w:pPr>
            <w:r w:rsidRPr="00C70692">
              <w:rPr>
                <w:rFonts w:cstheme="minorHAnsi"/>
                <w:sz w:val="20"/>
              </w:rPr>
              <w:t>15</w:t>
            </w:r>
            <w:r w:rsidR="00926641" w:rsidRPr="00C70692">
              <w:rPr>
                <w:rFonts w:cstheme="minorHAnsi"/>
                <w:sz w:val="20"/>
              </w:rPr>
              <w:t>,</w:t>
            </w:r>
            <w:r w:rsidRPr="00C70692">
              <w:rPr>
                <w:rFonts w:cstheme="minorHAnsi"/>
                <w:sz w:val="20"/>
              </w:rPr>
              <w:t>08</w:t>
            </w:r>
          </w:p>
        </w:tc>
        <w:tc>
          <w:tcPr>
            <w:tcW w:w="938" w:type="pct"/>
            <w:tcBorders>
              <w:top w:val="single" w:sz="4" w:space="0" w:color="auto"/>
              <w:left w:val="single" w:sz="4" w:space="0" w:color="auto"/>
              <w:bottom w:val="single" w:sz="4" w:space="0" w:color="auto"/>
              <w:right w:val="single" w:sz="4" w:space="0" w:color="auto"/>
            </w:tcBorders>
          </w:tcPr>
          <w:p w14:paraId="7A2939BA" w14:textId="77777777" w:rsidR="003C1DB1" w:rsidRPr="00C70692" w:rsidRDefault="003C1DB1" w:rsidP="00711C3A">
            <w:pPr>
              <w:jc w:val="center"/>
              <w:rPr>
                <w:rFonts w:cstheme="minorHAnsi"/>
                <w:bCs/>
                <w:sz w:val="20"/>
              </w:rPr>
            </w:pPr>
            <w:r w:rsidRPr="00C70692">
              <w:rPr>
                <w:rFonts w:cstheme="minorHAnsi"/>
                <w:sz w:val="20"/>
              </w:rPr>
              <w:t>&lt;5</w:t>
            </w:r>
          </w:p>
        </w:tc>
      </w:tr>
      <w:tr w:rsidR="003C1DB1" w14:paraId="60395FBE" w14:textId="77777777" w:rsidTr="00711C3A">
        <w:tc>
          <w:tcPr>
            <w:tcW w:w="431" w:type="pct"/>
            <w:tcBorders>
              <w:top w:val="single" w:sz="4" w:space="0" w:color="auto"/>
              <w:left w:val="single" w:sz="4" w:space="0" w:color="auto"/>
              <w:bottom w:val="single" w:sz="4" w:space="0" w:color="auto"/>
              <w:right w:val="single" w:sz="4" w:space="0" w:color="auto"/>
            </w:tcBorders>
          </w:tcPr>
          <w:p w14:paraId="678DE455"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497D8F82" w14:textId="77777777" w:rsidR="003C1DB1" w:rsidRDefault="003C1DB1" w:rsidP="00711C3A">
            <w:pPr>
              <w:rPr>
                <w:rFonts w:eastAsia="Times New Roman" w:cstheme="minorHAnsi"/>
                <w:iCs/>
                <w:color w:val="000000"/>
                <w:sz w:val="20"/>
              </w:rPr>
            </w:pPr>
            <w:r w:rsidRPr="00F020C6">
              <w:rPr>
                <w:rFonts w:eastAsia="Times New Roman" w:cstheme="minorHAnsi"/>
                <w:iCs/>
                <w:color w:val="000000"/>
                <w:sz w:val="20"/>
              </w:rPr>
              <w:t>Divjoslu airvabole</w:t>
            </w:r>
          </w:p>
          <w:p w14:paraId="70F74704" w14:textId="77777777" w:rsidR="003C1DB1" w:rsidRDefault="003C1DB1" w:rsidP="00711C3A">
            <w:pPr>
              <w:rPr>
                <w:bCs/>
                <w:sz w:val="20"/>
              </w:rPr>
            </w:pPr>
            <w:r w:rsidRPr="00F020C6">
              <w:rPr>
                <w:rFonts w:eastAsia="Times New Roman" w:cstheme="minorHAnsi"/>
                <w:i/>
                <w:iCs/>
                <w:color w:val="000000"/>
                <w:sz w:val="20"/>
              </w:rPr>
              <w:lastRenderedPageBreak/>
              <w:t>Graphoderus bilineatus</w:t>
            </w:r>
          </w:p>
        </w:tc>
        <w:tc>
          <w:tcPr>
            <w:tcW w:w="676" w:type="pct"/>
            <w:gridSpan w:val="2"/>
            <w:tcBorders>
              <w:top w:val="single" w:sz="4" w:space="0" w:color="auto"/>
              <w:left w:val="single" w:sz="4" w:space="0" w:color="auto"/>
              <w:bottom w:val="single" w:sz="4" w:space="0" w:color="auto"/>
              <w:right w:val="single" w:sz="4" w:space="0" w:color="auto"/>
            </w:tcBorders>
          </w:tcPr>
          <w:p w14:paraId="596C47A8" w14:textId="77777777" w:rsidR="003C1DB1" w:rsidRPr="009D3DD0" w:rsidRDefault="003C1DB1" w:rsidP="00711C3A">
            <w:pPr>
              <w:rPr>
                <w:bCs/>
                <w:sz w:val="20"/>
              </w:rPr>
            </w:pPr>
            <w:r w:rsidRPr="009D3DD0">
              <w:rPr>
                <w:rFonts w:eastAsia="Times New Roman"/>
                <w:color w:val="000000"/>
                <w:sz w:val="20"/>
                <w:lang w:eastAsia="en-GB"/>
              </w:rPr>
              <w:lastRenderedPageBreak/>
              <w:t xml:space="preserve">649 – </w:t>
            </w:r>
            <w:r>
              <w:rPr>
                <w:rFonts w:eastAsia="Times New Roman"/>
                <w:color w:val="000000"/>
                <w:sz w:val="20"/>
                <w:lang w:eastAsia="en-GB"/>
              </w:rPr>
              <w:t>2113</w:t>
            </w:r>
          </w:p>
        </w:tc>
        <w:tc>
          <w:tcPr>
            <w:tcW w:w="895" w:type="pct"/>
            <w:tcBorders>
              <w:top w:val="single" w:sz="4" w:space="0" w:color="auto"/>
              <w:left w:val="single" w:sz="4" w:space="0" w:color="auto"/>
              <w:bottom w:val="single" w:sz="4" w:space="0" w:color="auto"/>
              <w:right w:val="single" w:sz="4" w:space="0" w:color="auto"/>
            </w:tcBorders>
          </w:tcPr>
          <w:p w14:paraId="2A05E4C1" w14:textId="77777777" w:rsidR="003C1DB1" w:rsidRPr="00C70692" w:rsidRDefault="003C1DB1" w:rsidP="00711C3A">
            <w:pPr>
              <w:jc w:val="center"/>
              <w:rPr>
                <w:rFonts w:cstheme="minorHAnsi"/>
                <w:bCs/>
                <w:sz w:val="20"/>
              </w:rPr>
            </w:pPr>
            <w:r w:rsidRPr="00C70692">
              <w:rPr>
                <w:rFonts w:cstheme="minorHAnsi"/>
                <w:sz w:val="20"/>
              </w:rPr>
              <w:t>&lt; 2</w:t>
            </w:r>
          </w:p>
        </w:tc>
        <w:tc>
          <w:tcPr>
            <w:tcW w:w="625" w:type="pct"/>
            <w:tcBorders>
              <w:top w:val="single" w:sz="4" w:space="0" w:color="auto"/>
              <w:left w:val="single" w:sz="4" w:space="0" w:color="auto"/>
              <w:bottom w:val="single" w:sz="4" w:space="0" w:color="auto"/>
              <w:right w:val="single" w:sz="4" w:space="0" w:color="auto"/>
            </w:tcBorders>
          </w:tcPr>
          <w:p w14:paraId="3F258918" w14:textId="77777777" w:rsidR="003C1DB1" w:rsidRPr="00C70692" w:rsidRDefault="003C1DB1" w:rsidP="00711C3A">
            <w:pPr>
              <w:jc w:val="center"/>
              <w:rPr>
                <w:rFonts w:cstheme="minorHAnsi"/>
                <w:bCs/>
                <w:sz w:val="20"/>
              </w:rPr>
            </w:pPr>
            <w:r w:rsidRPr="00C70692">
              <w:rPr>
                <w:rFonts w:cstheme="minorHAnsi"/>
                <w:sz w:val="20"/>
              </w:rPr>
              <w:t>&lt;1</w:t>
            </w:r>
          </w:p>
        </w:tc>
        <w:tc>
          <w:tcPr>
            <w:tcW w:w="545" w:type="pct"/>
            <w:tcBorders>
              <w:top w:val="single" w:sz="4" w:space="0" w:color="auto"/>
              <w:left w:val="single" w:sz="4" w:space="0" w:color="auto"/>
              <w:bottom w:val="single" w:sz="4" w:space="0" w:color="auto"/>
              <w:right w:val="single" w:sz="4" w:space="0" w:color="auto"/>
            </w:tcBorders>
          </w:tcPr>
          <w:p w14:paraId="1E09346A"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622C800D" w14:textId="77777777" w:rsidR="003C1DB1" w:rsidRPr="00C70692" w:rsidRDefault="003C1DB1" w:rsidP="00711C3A">
            <w:pPr>
              <w:jc w:val="center"/>
              <w:rPr>
                <w:rFonts w:cstheme="minorHAnsi"/>
                <w:bCs/>
                <w:sz w:val="20"/>
              </w:rPr>
            </w:pPr>
            <w:r w:rsidRPr="00C70692">
              <w:rPr>
                <w:rFonts w:cstheme="minorHAnsi"/>
                <w:sz w:val="20"/>
              </w:rPr>
              <w:t>&lt;1</w:t>
            </w:r>
          </w:p>
        </w:tc>
      </w:tr>
      <w:tr w:rsidR="003C1DB1" w14:paraId="518AB0B1" w14:textId="77777777" w:rsidTr="00711C3A">
        <w:tc>
          <w:tcPr>
            <w:tcW w:w="431" w:type="pct"/>
            <w:tcBorders>
              <w:top w:val="single" w:sz="4" w:space="0" w:color="auto"/>
              <w:left w:val="single" w:sz="4" w:space="0" w:color="auto"/>
              <w:bottom w:val="single" w:sz="4" w:space="0" w:color="auto"/>
              <w:right w:val="single" w:sz="4" w:space="0" w:color="auto"/>
            </w:tcBorders>
          </w:tcPr>
          <w:p w14:paraId="141AE0E1"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6631DDF2" w14:textId="77777777" w:rsidR="003C1DB1" w:rsidRDefault="003C1DB1" w:rsidP="00711C3A">
            <w:pPr>
              <w:rPr>
                <w:rFonts w:cstheme="minorHAnsi"/>
                <w:sz w:val="20"/>
              </w:rPr>
            </w:pPr>
            <w:r w:rsidRPr="00F020C6">
              <w:rPr>
                <w:rFonts w:cstheme="minorHAnsi"/>
                <w:sz w:val="20"/>
              </w:rPr>
              <w:t>sarkanais plakanis</w:t>
            </w:r>
          </w:p>
          <w:p w14:paraId="221C6E53" w14:textId="77777777" w:rsidR="003C1DB1" w:rsidRDefault="003C1DB1" w:rsidP="00711C3A">
            <w:pPr>
              <w:rPr>
                <w:bCs/>
                <w:sz w:val="20"/>
              </w:rPr>
            </w:pPr>
            <w:r w:rsidRPr="00F020C6">
              <w:rPr>
                <w:rFonts w:cstheme="minorHAnsi"/>
                <w:i/>
                <w:sz w:val="20"/>
              </w:rPr>
              <w:t>Cucujus cinnaberinus</w:t>
            </w:r>
          </w:p>
        </w:tc>
        <w:tc>
          <w:tcPr>
            <w:tcW w:w="676" w:type="pct"/>
            <w:gridSpan w:val="2"/>
            <w:tcBorders>
              <w:top w:val="single" w:sz="4" w:space="0" w:color="auto"/>
              <w:left w:val="single" w:sz="4" w:space="0" w:color="auto"/>
              <w:bottom w:val="single" w:sz="4" w:space="0" w:color="auto"/>
              <w:right w:val="single" w:sz="4" w:space="0" w:color="auto"/>
            </w:tcBorders>
          </w:tcPr>
          <w:p w14:paraId="37C11EB9" w14:textId="6707B016" w:rsidR="003C1DB1" w:rsidRPr="009D3DD0" w:rsidRDefault="003C1DB1" w:rsidP="00711C3A">
            <w:pPr>
              <w:rPr>
                <w:bCs/>
                <w:sz w:val="20"/>
              </w:rPr>
            </w:pPr>
            <w:r w:rsidRPr="009D3DD0">
              <w:rPr>
                <w:sz w:val="20"/>
              </w:rPr>
              <w:t>50</w:t>
            </w:r>
            <w:r w:rsidR="00C671AE">
              <w:rPr>
                <w:sz w:val="20"/>
              </w:rPr>
              <w:t>-500</w:t>
            </w:r>
          </w:p>
        </w:tc>
        <w:tc>
          <w:tcPr>
            <w:tcW w:w="895" w:type="pct"/>
            <w:tcBorders>
              <w:top w:val="single" w:sz="4" w:space="0" w:color="auto"/>
              <w:left w:val="single" w:sz="4" w:space="0" w:color="auto"/>
              <w:bottom w:val="single" w:sz="4" w:space="0" w:color="auto"/>
              <w:right w:val="single" w:sz="4" w:space="0" w:color="auto"/>
            </w:tcBorders>
          </w:tcPr>
          <w:p w14:paraId="06C47E5F" w14:textId="77777777" w:rsidR="003C1DB1" w:rsidRPr="00C70692" w:rsidRDefault="003C1DB1" w:rsidP="00711C3A">
            <w:pPr>
              <w:jc w:val="center"/>
              <w:rPr>
                <w:rFonts w:cstheme="minorHAnsi"/>
                <w:bCs/>
                <w:sz w:val="20"/>
              </w:rPr>
            </w:pPr>
            <w:r w:rsidRPr="00C70692">
              <w:rPr>
                <w:rFonts w:cstheme="minorHAnsi"/>
                <w:sz w:val="20"/>
              </w:rPr>
              <w:t>&lt;1</w:t>
            </w:r>
          </w:p>
        </w:tc>
        <w:tc>
          <w:tcPr>
            <w:tcW w:w="625" w:type="pct"/>
            <w:tcBorders>
              <w:top w:val="single" w:sz="4" w:space="0" w:color="auto"/>
              <w:left w:val="single" w:sz="4" w:space="0" w:color="auto"/>
              <w:bottom w:val="single" w:sz="4" w:space="0" w:color="auto"/>
              <w:right w:val="single" w:sz="4" w:space="0" w:color="auto"/>
            </w:tcBorders>
          </w:tcPr>
          <w:p w14:paraId="3B30A9DA" w14:textId="77777777" w:rsidR="003C1DB1" w:rsidRPr="00C70692" w:rsidRDefault="003C1DB1" w:rsidP="00711C3A">
            <w:pPr>
              <w:jc w:val="center"/>
              <w:rPr>
                <w:rFonts w:cstheme="minorHAnsi"/>
                <w:bCs/>
                <w:sz w:val="20"/>
              </w:rPr>
            </w:pPr>
            <w:r w:rsidRPr="00C70692">
              <w:rPr>
                <w:rFonts w:cstheme="minorHAnsi"/>
                <w:sz w:val="20"/>
              </w:rPr>
              <w:t>&lt;1</w:t>
            </w:r>
          </w:p>
        </w:tc>
        <w:tc>
          <w:tcPr>
            <w:tcW w:w="545" w:type="pct"/>
            <w:tcBorders>
              <w:top w:val="single" w:sz="4" w:space="0" w:color="auto"/>
              <w:left w:val="single" w:sz="4" w:space="0" w:color="auto"/>
              <w:bottom w:val="single" w:sz="4" w:space="0" w:color="auto"/>
              <w:right w:val="single" w:sz="4" w:space="0" w:color="auto"/>
            </w:tcBorders>
          </w:tcPr>
          <w:p w14:paraId="54F0D188" w14:textId="0803DBD4" w:rsidR="003C1DB1" w:rsidRPr="00C70692" w:rsidRDefault="003C1DB1" w:rsidP="00711C3A">
            <w:pPr>
              <w:jc w:val="center"/>
              <w:rPr>
                <w:rFonts w:cstheme="minorHAnsi"/>
                <w:bCs/>
                <w:sz w:val="20"/>
              </w:rPr>
            </w:pPr>
            <w:r w:rsidRPr="00C70692">
              <w:rPr>
                <w:rFonts w:cstheme="minorHAnsi"/>
                <w:sz w:val="20"/>
              </w:rPr>
              <w:t>167</w:t>
            </w:r>
            <w:r w:rsidR="00926641" w:rsidRPr="00C70692">
              <w:rPr>
                <w:rFonts w:cstheme="minorHAnsi"/>
                <w:sz w:val="20"/>
              </w:rPr>
              <w:t>,</w:t>
            </w:r>
            <w:r w:rsidRPr="00C70692">
              <w:rPr>
                <w:rFonts w:cstheme="minorHAnsi"/>
                <w:sz w:val="20"/>
              </w:rPr>
              <w:t>29</w:t>
            </w:r>
          </w:p>
        </w:tc>
        <w:tc>
          <w:tcPr>
            <w:tcW w:w="938" w:type="pct"/>
            <w:tcBorders>
              <w:top w:val="single" w:sz="4" w:space="0" w:color="auto"/>
              <w:left w:val="single" w:sz="4" w:space="0" w:color="auto"/>
              <w:bottom w:val="single" w:sz="4" w:space="0" w:color="auto"/>
              <w:right w:val="single" w:sz="4" w:space="0" w:color="auto"/>
            </w:tcBorders>
          </w:tcPr>
          <w:p w14:paraId="35A3373B" w14:textId="77777777" w:rsidR="003C1DB1" w:rsidRPr="00C70692" w:rsidRDefault="003C1DB1" w:rsidP="00711C3A">
            <w:pPr>
              <w:jc w:val="center"/>
              <w:rPr>
                <w:rFonts w:cstheme="minorHAnsi"/>
                <w:bCs/>
                <w:sz w:val="20"/>
              </w:rPr>
            </w:pPr>
            <w:r w:rsidRPr="00C70692">
              <w:rPr>
                <w:rFonts w:cstheme="minorHAnsi"/>
                <w:sz w:val="20"/>
              </w:rPr>
              <w:t>&lt;1</w:t>
            </w:r>
          </w:p>
        </w:tc>
      </w:tr>
      <w:tr w:rsidR="003C1DB1" w14:paraId="4A4B02DA" w14:textId="77777777" w:rsidTr="00711C3A">
        <w:tc>
          <w:tcPr>
            <w:tcW w:w="431" w:type="pct"/>
            <w:tcBorders>
              <w:top w:val="single" w:sz="4" w:space="0" w:color="auto"/>
              <w:left w:val="single" w:sz="4" w:space="0" w:color="auto"/>
              <w:bottom w:val="single" w:sz="4" w:space="0" w:color="auto"/>
              <w:right w:val="single" w:sz="4" w:space="0" w:color="auto"/>
            </w:tcBorders>
          </w:tcPr>
          <w:p w14:paraId="50A96378"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0D59E563" w14:textId="77777777" w:rsidR="003C1DB1" w:rsidRDefault="003C1DB1" w:rsidP="00711C3A">
            <w:pPr>
              <w:rPr>
                <w:rFonts w:eastAsia="Times New Roman" w:cstheme="minorHAnsi"/>
                <w:color w:val="000000"/>
                <w:sz w:val="20"/>
                <w:lang w:eastAsia="en-GB"/>
              </w:rPr>
            </w:pPr>
            <w:r w:rsidRPr="00F020C6">
              <w:rPr>
                <w:rFonts w:eastAsia="Times New Roman" w:cstheme="minorHAnsi"/>
                <w:color w:val="000000"/>
                <w:sz w:val="20"/>
                <w:lang w:eastAsia="en-GB"/>
              </w:rPr>
              <w:t>slaidais pumpurgliemezis</w:t>
            </w:r>
          </w:p>
          <w:p w14:paraId="4CC1C4EE" w14:textId="77777777" w:rsidR="003C1DB1" w:rsidRDefault="003C1DB1" w:rsidP="00711C3A">
            <w:pPr>
              <w:rPr>
                <w:bCs/>
                <w:sz w:val="20"/>
              </w:rPr>
            </w:pPr>
            <w:r w:rsidRPr="00F020C6">
              <w:rPr>
                <w:rFonts w:cstheme="minorHAnsi"/>
                <w:i/>
                <w:color w:val="000000"/>
                <w:sz w:val="20"/>
              </w:rPr>
              <w:t>Vertigo angustior</w:t>
            </w:r>
          </w:p>
        </w:tc>
        <w:tc>
          <w:tcPr>
            <w:tcW w:w="676" w:type="pct"/>
            <w:gridSpan w:val="2"/>
            <w:tcBorders>
              <w:top w:val="single" w:sz="4" w:space="0" w:color="auto"/>
              <w:left w:val="single" w:sz="4" w:space="0" w:color="auto"/>
              <w:bottom w:val="single" w:sz="4" w:space="0" w:color="auto"/>
              <w:right w:val="single" w:sz="4" w:space="0" w:color="auto"/>
            </w:tcBorders>
          </w:tcPr>
          <w:p w14:paraId="40ACC09E" w14:textId="77777777" w:rsidR="003C1DB1" w:rsidRPr="009D3DD0" w:rsidRDefault="003C1DB1" w:rsidP="00711C3A">
            <w:pPr>
              <w:rPr>
                <w:bCs/>
                <w:sz w:val="20"/>
              </w:rPr>
            </w:pPr>
            <w:r>
              <w:rPr>
                <w:sz w:val="20"/>
              </w:rPr>
              <w:t>Max. 8204000</w:t>
            </w:r>
          </w:p>
        </w:tc>
        <w:tc>
          <w:tcPr>
            <w:tcW w:w="895" w:type="pct"/>
            <w:tcBorders>
              <w:top w:val="single" w:sz="4" w:space="0" w:color="auto"/>
              <w:left w:val="single" w:sz="4" w:space="0" w:color="auto"/>
              <w:bottom w:val="single" w:sz="4" w:space="0" w:color="auto"/>
              <w:right w:val="single" w:sz="4" w:space="0" w:color="auto"/>
            </w:tcBorders>
          </w:tcPr>
          <w:p w14:paraId="3E66454A" w14:textId="77777777" w:rsidR="003C1DB1" w:rsidRPr="00C70692" w:rsidRDefault="003C1DB1" w:rsidP="00711C3A">
            <w:pPr>
              <w:jc w:val="center"/>
              <w:rPr>
                <w:rFonts w:cstheme="minorHAnsi"/>
                <w:bCs/>
                <w:sz w:val="20"/>
              </w:rPr>
            </w:pPr>
            <w:r w:rsidRPr="00C70692">
              <w:rPr>
                <w:rFonts w:cstheme="minorHAnsi"/>
                <w:sz w:val="20"/>
              </w:rPr>
              <w:t>&lt;5</w:t>
            </w:r>
          </w:p>
        </w:tc>
        <w:tc>
          <w:tcPr>
            <w:tcW w:w="625" w:type="pct"/>
            <w:tcBorders>
              <w:top w:val="single" w:sz="4" w:space="0" w:color="auto"/>
              <w:left w:val="single" w:sz="4" w:space="0" w:color="auto"/>
              <w:bottom w:val="single" w:sz="4" w:space="0" w:color="auto"/>
              <w:right w:val="single" w:sz="4" w:space="0" w:color="auto"/>
            </w:tcBorders>
          </w:tcPr>
          <w:p w14:paraId="747D0431" w14:textId="77777777" w:rsidR="003C1DB1" w:rsidRPr="00C70692" w:rsidRDefault="003C1DB1" w:rsidP="00711C3A">
            <w:pPr>
              <w:jc w:val="center"/>
              <w:rPr>
                <w:rFonts w:cstheme="minorHAnsi"/>
                <w:bCs/>
                <w:sz w:val="20"/>
              </w:rPr>
            </w:pPr>
            <w:r w:rsidRPr="00C70692">
              <w:rPr>
                <w:rFonts w:cstheme="minorHAnsi"/>
                <w:sz w:val="20"/>
              </w:rPr>
              <w:t>&lt;1</w:t>
            </w:r>
          </w:p>
        </w:tc>
        <w:tc>
          <w:tcPr>
            <w:tcW w:w="545" w:type="pct"/>
            <w:tcBorders>
              <w:top w:val="single" w:sz="4" w:space="0" w:color="auto"/>
              <w:left w:val="single" w:sz="4" w:space="0" w:color="auto"/>
              <w:bottom w:val="single" w:sz="4" w:space="0" w:color="auto"/>
              <w:right w:val="single" w:sz="4" w:space="0" w:color="auto"/>
            </w:tcBorders>
          </w:tcPr>
          <w:p w14:paraId="7B16C39C" w14:textId="1EE6C644" w:rsidR="003C1DB1" w:rsidRPr="00C70692" w:rsidRDefault="003C1DB1" w:rsidP="00711C3A">
            <w:pPr>
              <w:jc w:val="center"/>
              <w:rPr>
                <w:rFonts w:cstheme="minorHAnsi"/>
                <w:bCs/>
                <w:sz w:val="20"/>
              </w:rPr>
            </w:pPr>
            <w:r w:rsidRPr="00C70692">
              <w:rPr>
                <w:rFonts w:cstheme="minorHAnsi"/>
                <w:sz w:val="20"/>
              </w:rPr>
              <w:t>486</w:t>
            </w:r>
            <w:r w:rsidR="00926641" w:rsidRPr="00C70692">
              <w:rPr>
                <w:rFonts w:cstheme="minorHAnsi"/>
                <w:sz w:val="20"/>
              </w:rPr>
              <w:t>,</w:t>
            </w:r>
            <w:r w:rsidRPr="00C70692">
              <w:rPr>
                <w:rFonts w:cstheme="minorHAnsi"/>
                <w:sz w:val="20"/>
              </w:rPr>
              <w:t>28</w:t>
            </w:r>
          </w:p>
        </w:tc>
        <w:tc>
          <w:tcPr>
            <w:tcW w:w="938" w:type="pct"/>
            <w:tcBorders>
              <w:top w:val="single" w:sz="4" w:space="0" w:color="auto"/>
              <w:left w:val="single" w:sz="4" w:space="0" w:color="auto"/>
              <w:bottom w:val="single" w:sz="4" w:space="0" w:color="auto"/>
              <w:right w:val="single" w:sz="4" w:space="0" w:color="auto"/>
            </w:tcBorders>
          </w:tcPr>
          <w:p w14:paraId="335B2298" w14:textId="77777777" w:rsidR="003C1DB1" w:rsidRPr="00C70692" w:rsidRDefault="003C1DB1" w:rsidP="00711C3A">
            <w:pPr>
              <w:jc w:val="center"/>
              <w:rPr>
                <w:rFonts w:cstheme="minorHAnsi"/>
                <w:bCs/>
                <w:sz w:val="20"/>
              </w:rPr>
            </w:pPr>
            <w:r w:rsidRPr="00C70692">
              <w:rPr>
                <w:rFonts w:cstheme="minorHAnsi"/>
                <w:sz w:val="20"/>
              </w:rPr>
              <w:t>&lt;1</w:t>
            </w:r>
          </w:p>
        </w:tc>
      </w:tr>
      <w:tr w:rsidR="003C1DB1" w14:paraId="7D9484D9" w14:textId="77777777" w:rsidTr="00711C3A">
        <w:tc>
          <w:tcPr>
            <w:tcW w:w="431" w:type="pct"/>
            <w:tcBorders>
              <w:top w:val="single" w:sz="4" w:space="0" w:color="auto"/>
              <w:left w:val="single" w:sz="4" w:space="0" w:color="auto"/>
              <w:bottom w:val="single" w:sz="4" w:space="0" w:color="auto"/>
              <w:right w:val="single" w:sz="4" w:space="0" w:color="auto"/>
            </w:tcBorders>
          </w:tcPr>
          <w:p w14:paraId="3AB932AC"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6DD9C347" w14:textId="77777777" w:rsidR="003C1DB1" w:rsidRDefault="003C1DB1" w:rsidP="00711C3A">
            <w:pPr>
              <w:rPr>
                <w:rFonts w:eastAsia="Times New Roman" w:cstheme="minorHAnsi"/>
                <w:color w:val="000000"/>
                <w:sz w:val="20"/>
                <w:lang w:eastAsia="en-GB"/>
              </w:rPr>
            </w:pPr>
            <w:r w:rsidRPr="00F020C6">
              <w:rPr>
                <w:rFonts w:eastAsia="Times New Roman" w:cstheme="minorHAnsi"/>
                <w:color w:val="000000"/>
                <w:sz w:val="20"/>
                <w:lang w:eastAsia="en-GB"/>
              </w:rPr>
              <w:t>četrzobu pumpurgliemezis</w:t>
            </w:r>
          </w:p>
          <w:p w14:paraId="56256FFB" w14:textId="77777777" w:rsidR="003C1DB1" w:rsidRDefault="003C1DB1" w:rsidP="00711C3A">
            <w:pPr>
              <w:rPr>
                <w:bCs/>
                <w:sz w:val="20"/>
              </w:rPr>
            </w:pPr>
            <w:r w:rsidRPr="00F020C6">
              <w:rPr>
                <w:rFonts w:cstheme="minorHAnsi"/>
                <w:i/>
                <w:color w:val="000000"/>
                <w:sz w:val="20"/>
              </w:rPr>
              <w:t>Vertigo geyeri</w:t>
            </w:r>
          </w:p>
        </w:tc>
        <w:tc>
          <w:tcPr>
            <w:tcW w:w="676" w:type="pct"/>
            <w:gridSpan w:val="2"/>
            <w:tcBorders>
              <w:top w:val="single" w:sz="4" w:space="0" w:color="auto"/>
              <w:left w:val="single" w:sz="4" w:space="0" w:color="auto"/>
              <w:bottom w:val="single" w:sz="4" w:space="0" w:color="auto"/>
              <w:right w:val="single" w:sz="4" w:space="0" w:color="auto"/>
            </w:tcBorders>
          </w:tcPr>
          <w:p w14:paraId="7545CD51" w14:textId="77777777" w:rsidR="003C1DB1" w:rsidRPr="009D3DD0" w:rsidRDefault="003C1DB1" w:rsidP="00711C3A">
            <w:pPr>
              <w:rPr>
                <w:bCs/>
                <w:sz w:val="20"/>
              </w:rPr>
            </w:pPr>
            <w:r>
              <w:rPr>
                <w:sz w:val="20"/>
              </w:rPr>
              <w:t>1485900</w:t>
            </w:r>
          </w:p>
        </w:tc>
        <w:tc>
          <w:tcPr>
            <w:tcW w:w="895" w:type="pct"/>
            <w:tcBorders>
              <w:top w:val="single" w:sz="4" w:space="0" w:color="auto"/>
              <w:left w:val="single" w:sz="4" w:space="0" w:color="auto"/>
              <w:bottom w:val="single" w:sz="4" w:space="0" w:color="auto"/>
              <w:right w:val="single" w:sz="4" w:space="0" w:color="auto"/>
            </w:tcBorders>
          </w:tcPr>
          <w:p w14:paraId="11E2942A" w14:textId="77777777" w:rsidR="003C1DB1" w:rsidRPr="00C70692" w:rsidRDefault="003C1DB1" w:rsidP="00711C3A">
            <w:pPr>
              <w:jc w:val="center"/>
              <w:rPr>
                <w:rFonts w:cstheme="minorHAnsi"/>
                <w:bCs/>
                <w:sz w:val="20"/>
              </w:rPr>
            </w:pPr>
            <w:r w:rsidRPr="00C70692">
              <w:rPr>
                <w:rFonts w:cstheme="minorHAnsi"/>
                <w:sz w:val="20"/>
              </w:rPr>
              <w:t>&lt;5</w:t>
            </w:r>
          </w:p>
        </w:tc>
        <w:tc>
          <w:tcPr>
            <w:tcW w:w="625" w:type="pct"/>
            <w:tcBorders>
              <w:top w:val="single" w:sz="4" w:space="0" w:color="auto"/>
              <w:left w:val="single" w:sz="4" w:space="0" w:color="auto"/>
              <w:bottom w:val="single" w:sz="4" w:space="0" w:color="auto"/>
              <w:right w:val="single" w:sz="4" w:space="0" w:color="auto"/>
            </w:tcBorders>
          </w:tcPr>
          <w:p w14:paraId="3C5ACCED" w14:textId="77777777" w:rsidR="003C1DB1" w:rsidRPr="00C70692" w:rsidRDefault="003C1DB1" w:rsidP="00711C3A">
            <w:pPr>
              <w:jc w:val="center"/>
              <w:rPr>
                <w:rFonts w:cstheme="minorHAnsi"/>
                <w:bCs/>
                <w:sz w:val="20"/>
              </w:rPr>
            </w:pPr>
            <w:r w:rsidRPr="00C70692">
              <w:rPr>
                <w:rFonts w:cstheme="minorHAnsi"/>
                <w:sz w:val="20"/>
              </w:rPr>
              <w:t>&lt;1</w:t>
            </w:r>
          </w:p>
        </w:tc>
        <w:tc>
          <w:tcPr>
            <w:tcW w:w="545" w:type="pct"/>
            <w:tcBorders>
              <w:top w:val="single" w:sz="4" w:space="0" w:color="auto"/>
              <w:left w:val="single" w:sz="4" w:space="0" w:color="auto"/>
              <w:bottom w:val="single" w:sz="4" w:space="0" w:color="auto"/>
              <w:right w:val="single" w:sz="4" w:space="0" w:color="auto"/>
            </w:tcBorders>
          </w:tcPr>
          <w:p w14:paraId="02746662" w14:textId="350966FB" w:rsidR="003C1DB1" w:rsidRPr="00C70692" w:rsidRDefault="003C1DB1" w:rsidP="00711C3A">
            <w:pPr>
              <w:jc w:val="center"/>
              <w:rPr>
                <w:rFonts w:cstheme="minorHAnsi"/>
                <w:bCs/>
                <w:sz w:val="20"/>
              </w:rPr>
            </w:pPr>
            <w:r w:rsidRPr="00C70692">
              <w:rPr>
                <w:rFonts w:cstheme="minorHAnsi"/>
                <w:sz w:val="20"/>
              </w:rPr>
              <w:t>486</w:t>
            </w:r>
            <w:r w:rsidR="00926641" w:rsidRPr="00C70692">
              <w:rPr>
                <w:rFonts w:cstheme="minorHAnsi"/>
                <w:sz w:val="20"/>
              </w:rPr>
              <w:t>,</w:t>
            </w:r>
            <w:r w:rsidRPr="00C70692">
              <w:rPr>
                <w:rFonts w:cstheme="minorHAnsi"/>
                <w:sz w:val="20"/>
              </w:rPr>
              <w:t>28</w:t>
            </w:r>
          </w:p>
        </w:tc>
        <w:tc>
          <w:tcPr>
            <w:tcW w:w="938" w:type="pct"/>
            <w:tcBorders>
              <w:top w:val="single" w:sz="4" w:space="0" w:color="auto"/>
              <w:left w:val="single" w:sz="4" w:space="0" w:color="auto"/>
              <w:bottom w:val="single" w:sz="4" w:space="0" w:color="auto"/>
              <w:right w:val="single" w:sz="4" w:space="0" w:color="auto"/>
            </w:tcBorders>
          </w:tcPr>
          <w:p w14:paraId="46887F9D" w14:textId="77777777" w:rsidR="003C1DB1" w:rsidRPr="00C70692" w:rsidRDefault="003C1DB1" w:rsidP="00711C3A">
            <w:pPr>
              <w:jc w:val="center"/>
              <w:rPr>
                <w:rFonts w:cstheme="minorHAnsi"/>
                <w:bCs/>
                <w:sz w:val="20"/>
              </w:rPr>
            </w:pPr>
            <w:r w:rsidRPr="00C70692">
              <w:rPr>
                <w:rFonts w:cstheme="minorHAnsi"/>
                <w:sz w:val="20"/>
              </w:rPr>
              <w:t>&lt;1</w:t>
            </w:r>
          </w:p>
        </w:tc>
      </w:tr>
      <w:tr w:rsidR="003C1DB1" w14:paraId="5AF9B665" w14:textId="77777777" w:rsidTr="00711C3A">
        <w:tc>
          <w:tcPr>
            <w:tcW w:w="431" w:type="pct"/>
            <w:tcBorders>
              <w:top w:val="single" w:sz="4" w:space="0" w:color="auto"/>
              <w:left w:val="single" w:sz="4" w:space="0" w:color="auto"/>
              <w:bottom w:val="single" w:sz="4" w:space="0" w:color="auto"/>
              <w:right w:val="single" w:sz="4" w:space="0" w:color="auto"/>
            </w:tcBorders>
          </w:tcPr>
          <w:p w14:paraId="45B96F5E"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75F250C5" w14:textId="77777777" w:rsidR="003C1DB1" w:rsidRDefault="003C1DB1" w:rsidP="00711C3A">
            <w:pPr>
              <w:rPr>
                <w:rFonts w:eastAsia="Times New Roman" w:cstheme="minorHAnsi"/>
                <w:color w:val="000000"/>
                <w:sz w:val="20"/>
                <w:lang w:eastAsia="en-GB"/>
              </w:rPr>
            </w:pPr>
            <w:r w:rsidRPr="00F020C6">
              <w:rPr>
                <w:rFonts w:eastAsia="Times New Roman" w:cstheme="minorHAnsi"/>
                <w:color w:val="000000"/>
                <w:sz w:val="20"/>
                <w:lang w:eastAsia="en-GB"/>
              </w:rPr>
              <w:t>tumšā pūcīte</w:t>
            </w:r>
          </w:p>
          <w:p w14:paraId="6C119DC9" w14:textId="77777777" w:rsidR="003C1DB1" w:rsidRDefault="003C1DB1" w:rsidP="00711C3A">
            <w:pPr>
              <w:rPr>
                <w:bCs/>
                <w:sz w:val="20"/>
              </w:rPr>
            </w:pPr>
            <w:r w:rsidRPr="00F020C6">
              <w:rPr>
                <w:rFonts w:cstheme="minorHAnsi"/>
                <w:i/>
                <w:color w:val="000000"/>
                <w:sz w:val="20"/>
              </w:rPr>
              <w:t>Xylomoia strix</w:t>
            </w:r>
          </w:p>
        </w:tc>
        <w:tc>
          <w:tcPr>
            <w:tcW w:w="676" w:type="pct"/>
            <w:gridSpan w:val="2"/>
            <w:tcBorders>
              <w:top w:val="single" w:sz="4" w:space="0" w:color="auto"/>
              <w:left w:val="single" w:sz="4" w:space="0" w:color="auto"/>
              <w:bottom w:val="single" w:sz="4" w:space="0" w:color="auto"/>
              <w:right w:val="single" w:sz="4" w:space="0" w:color="auto"/>
            </w:tcBorders>
          </w:tcPr>
          <w:p w14:paraId="7ADF0A8C" w14:textId="77777777" w:rsidR="003C1DB1" w:rsidRPr="009D3DD0" w:rsidRDefault="003C1DB1" w:rsidP="00711C3A">
            <w:pPr>
              <w:rPr>
                <w:bCs/>
                <w:sz w:val="20"/>
              </w:rPr>
            </w:pPr>
            <w:r>
              <w:rPr>
                <w:color w:val="222222"/>
                <w:sz w:val="20"/>
                <w:shd w:val="clear" w:color="auto" w:fill="FFFFFF"/>
              </w:rPr>
              <w:t>2300-</w:t>
            </w:r>
            <w:r w:rsidRPr="009D3DD0">
              <w:rPr>
                <w:color w:val="222222"/>
                <w:sz w:val="20"/>
                <w:shd w:val="clear" w:color="auto" w:fill="FFFFFF"/>
              </w:rPr>
              <w:t>167510</w:t>
            </w:r>
          </w:p>
        </w:tc>
        <w:tc>
          <w:tcPr>
            <w:tcW w:w="895" w:type="pct"/>
            <w:tcBorders>
              <w:top w:val="single" w:sz="4" w:space="0" w:color="auto"/>
              <w:left w:val="single" w:sz="4" w:space="0" w:color="auto"/>
              <w:bottom w:val="single" w:sz="4" w:space="0" w:color="auto"/>
              <w:right w:val="single" w:sz="4" w:space="0" w:color="auto"/>
            </w:tcBorders>
          </w:tcPr>
          <w:p w14:paraId="59A497AA" w14:textId="77777777" w:rsidR="003C1DB1" w:rsidRPr="00C70692" w:rsidRDefault="003C1DB1" w:rsidP="00711C3A">
            <w:pPr>
              <w:ind w:left="720" w:hanging="360"/>
              <w:jc w:val="center"/>
              <w:rPr>
                <w:rFonts w:cstheme="minorHAnsi"/>
                <w:bCs/>
                <w:sz w:val="20"/>
              </w:rPr>
            </w:pPr>
            <w:r w:rsidRPr="00C70692">
              <w:rPr>
                <w:rFonts w:cstheme="minorHAnsi"/>
                <w:sz w:val="20"/>
              </w:rPr>
              <w:t>&lt; 30</w:t>
            </w:r>
          </w:p>
        </w:tc>
        <w:tc>
          <w:tcPr>
            <w:tcW w:w="625" w:type="pct"/>
            <w:tcBorders>
              <w:top w:val="single" w:sz="4" w:space="0" w:color="auto"/>
              <w:left w:val="single" w:sz="4" w:space="0" w:color="auto"/>
              <w:bottom w:val="single" w:sz="4" w:space="0" w:color="auto"/>
              <w:right w:val="single" w:sz="4" w:space="0" w:color="auto"/>
            </w:tcBorders>
          </w:tcPr>
          <w:p w14:paraId="1A5B49E0" w14:textId="77777777" w:rsidR="003C1DB1" w:rsidRPr="00C70692" w:rsidRDefault="003C1DB1" w:rsidP="00711C3A">
            <w:pPr>
              <w:pStyle w:val="ListParagraph"/>
              <w:jc w:val="center"/>
              <w:rPr>
                <w:rFonts w:cstheme="minorHAnsi"/>
                <w:bCs/>
                <w:sz w:val="20"/>
              </w:rPr>
            </w:pPr>
            <w:r w:rsidRPr="00C70692">
              <w:rPr>
                <w:rFonts w:cstheme="minorHAnsi"/>
                <w:sz w:val="20"/>
              </w:rPr>
              <w:t>&lt;20</w:t>
            </w:r>
          </w:p>
        </w:tc>
        <w:tc>
          <w:tcPr>
            <w:tcW w:w="545" w:type="pct"/>
            <w:tcBorders>
              <w:top w:val="single" w:sz="4" w:space="0" w:color="auto"/>
              <w:left w:val="single" w:sz="4" w:space="0" w:color="auto"/>
              <w:bottom w:val="single" w:sz="4" w:space="0" w:color="auto"/>
              <w:right w:val="single" w:sz="4" w:space="0" w:color="auto"/>
            </w:tcBorders>
          </w:tcPr>
          <w:p w14:paraId="3B2DC62E" w14:textId="77777777" w:rsidR="003C1DB1" w:rsidRPr="00C70692" w:rsidRDefault="003C1DB1" w:rsidP="00711C3A">
            <w:pPr>
              <w:jc w:val="center"/>
              <w:rPr>
                <w:rFonts w:cstheme="minorHAnsi"/>
                <w:bCs/>
                <w:sz w:val="20"/>
              </w:rPr>
            </w:pPr>
            <w:r w:rsidRPr="00C70692">
              <w:rPr>
                <w:rFonts w:cstheme="minorHAnsi"/>
                <w:color w:val="222222"/>
                <w:sz w:val="20"/>
                <w:shd w:val="clear" w:color="auto" w:fill="FFFFFF"/>
              </w:rPr>
              <w:t>455,19</w:t>
            </w:r>
          </w:p>
        </w:tc>
        <w:tc>
          <w:tcPr>
            <w:tcW w:w="938" w:type="pct"/>
            <w:tcBorders>
              <w:top w:val="single" w:sz="4" w:space="0" w:color="auto"/>
              <w:left w:val="single" w:sz="4" w:space="0" w:color="auto"/>
              <w:bottom w:val="single" w:sz="4" w:space="0" w:color="auto"/>
              <w:right w:val="single" w:sz="4" w:space="0" w:color="auto"/>
            </w:tcBorders>
          </w:tcPr>
          <w:p w14:paraId="6618A834" w14:textId="77777777" w:rsidR="003C1DB1" w:rsidRPr="00C70692" w:rsidRDefault="003C1DB1" w:rsidP="00711C3A">
            <w:pPr>
              <w:jc w:val="center"/>
              <w:rPr>
                <w:rFonts w:cstheme="minorHAnsi"/>
                <w:bCs/>
                <w:sz w:val="20"/>
              </w:rPr>
            </w:pPr>
            <w:r w:rsidRPr="00C70692">
              <w:rPr>
                <w:rFonts w:cstheme="minorHAnsi"/>
                <w:sz w:val="20"/>
              </w:rPr>
              <w:t>&lt; 30</w:t>
            </w:r>
          </w:p>
        </w:tc>
      </w:tr>
      <w:tr w:rsidR="003C1DB1" w14:paraId="05A1BD51" w14:textId="77777777" w:rsidTr="00711C3A">
        <w:tc>
          <w:tcPr>
            <w:tcW w:w="431" w:type="pct"/>
            <w:tcBorders>
              <w:top w:val="single" w:sz="4" w:space="0" w:color="auto"/>
              <w:left w:val="single" w:sz="4" w:space="0" w:color="auto"/>
              <w:bottom w:val="single" w:sz="4" w:space="0" w:color="auto"/>
              <w:right w:val="single" w:sz="4" w:space="0" w:color="auto"/>
            </w:tcBorders>
          </w:tcPr>
          <w:p w14:paraId="38D722EC"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30639698" w14:textId="77777777" w:rsidR="003C1DB1" w:rsidRDefault="003C1DB1" w:rsidP="00711C3A">
            <w:pPr>
              <w:rPr>
                <w:rFonts w:cstheme="minorHAnsi"/>
                <w:sz w:val="20"/>
              </w:rPr>
            </w:pPr>
            <w:r w:rsidRPr="00F020C6">
              <w:rPr>
                <w:rFonts w:cstheme="minorHAnsi"/>
                <w:sz w:val="20"/>
              </w:rPr>
              <w:t>Lielais mārsilu zilenītis</w:t>
            </w:r>
          </w:p>
          <w:p w14:paraId="77951D68" w14:textId="77777777" w:rsidR="003C1DB1" w:rsidRDefault="003C1DB1" w:rsidP="00711C3A">
            <w:pPr>
              <w:rPr>
                <w:bCs/>
                <w:sz w:val="20"/>
              </w:rPr>
            </w:pPr>
            <w:r w:rsidRPr="00F020C6">
              <w:rPr>
                <w:rFonts w:cstheme="minorHAnsi"/>
                <w:i/>
                <w:sz w:val="20"/>
              </w:rPr>
              <w:t>Phengaris (Maculinea) arion</w:t>
            </w:r>
          </w:p>
        </w:tc>
        <w:tc>
          <w:tcPr>
            <w:tcW w:w="676" w:type="pct"/>
            <w:gridSpan w:val="2"/>
            <w:tcBorders>
              <w:top w:val="single" w:sz="4" w:space="0" w:color="auto"/>
              <w:left w:val="single" w:sz="4" w:space="0" w:color="auto"/>
              <w:bottom w:val="single" w:sz="4" w:space="0" w:color="auto"/>
              <w:right w:val="single" w:sz="4" w:space="0" w:color="auto"/>
            </w:tcBorders>
          </w:tcPr>
          <w:p w14:paraId="2E9616F8" w14:textId="77777777" w:rsidR="003C1DB1" w:rsidRDefault="003C1DB1" w:rsidP="00711C3A">
            <w:pPr>
              <w:rPr>
                <w:bCs/>
                <w:sz w:val="20"/>
              </w:rPr>
            </w:pPr>
            <w:r>
              <w:rPr>
                <w:sz w:val="20"/>
              </w:rPr>
              <w:t>1 - 50</w:t>
            </w:r>
          </w:p>
        </w:tc>
        <w:tc>
          <w:tcPr>
            <w:tcW w:w="895" w:type="pct"/>
            <w:tcBorders>
              <w:top w:val="single" w:sz="4" w:space="0" w:color="auto"/>
              <w:left w:val="single" w:sz="4" w:space="0" w:color="auto"/>
              <w:bottom w:val="single" w:sz="4" w:space="0" w:color="auto"/>
              <w:right w:val="single" w:sz="4" w:space="0" w:color="auto"/>
            </w:tcBorders>
          </w:tcPr>
          <w:p w14:paraId="4EFBE90E" w14:textId="77777777" w:rsidR="003C1DB1" w:rsidRPr="00C70692" w:rsidRDefault="003C1DB1" w:rsidP="00711C3A">
            <w:pPr>
              <w:jc w:val="center"/>
              <w:rPr>
                <w:rFonts w:cstheme="minorHAnsi"/>
                <w:bCs/>
                <w:sz w:val="20"/>
              </w:rPr>
            </w:pPr>
            <w:r w:rsidRPr="00C70692">
              <w:rPr>
                <w:rFonts w:cstheme="minorHAnsi"/>
                <w:sz w:val="20"/>
              </w:rPr>
              <w:t>&lt;1</w:t>
            </w:r>
          </w:p>
        </w:tc>
        <w:tc>
          <w:tcPr>
            <w:tcW w:w="625" w:type="pct"/>
            <w:tcBorders>
              <w:top w:val="single" w:sz="4" w:space="0" w:color="auto"/>
              <w:left w:val="single" w:sz="4" w:space="0" w:color="auto"/>
              <w:bottom w:val="single" w:sz="4" w:space="0" w:color="auto"/>
              <w:right w:val="single" w:sz="4" w:space="0" w:color="auto"/>
            </w:tcBorders>
          </w:tcPr>
          <w:p w14:paraId="3128AA6F" w14:textId="77777777" w:rsidR="003C1DB1" w:rsidRPr="00C70692" w:rsidRDefault="003C1DB1" w:rsidP="00711C3A">
            <w:pPr>
              <w:jc w:val="center"/>
              <w:rPr>
                <w:rFonts w:cstheme="minorHAnsi"/>
                <w:bCs/>
                <w:sz w:val="20"/>
              </w:rPr>
            </w:pPr>
            <w:r w:rsidRPr="00C70692">
              <w:rPr>
                <w:rFonts w:cstheme="minorHAnsi"/>
                <w:sz w:val="20"/>
              </w:rPr>
              <w:t>&lt;1</w:t>
            </w:r>
          </w:p>
        </w:tc>
        <w:tc>
          <w:tcPr>
            <w:tcW w:w="545" w:type="pct"/>
            <w:tcBorders>
              <w:top w:val="single" w:sz="4" w:space="0" w:color="auto"/>
              <w:left w:val="single" w:sz="4" w:space="0" w:color="auto"/>
              <w:bottom w:val="single" w:sz="4" w:space="0" w:color="auto"/>
              <w:right w:val="single" w:sz="4" w:space="0" w:color="auto"/>
            </w:tcBorders>
          </w:tcPr>
          <w:p w14:paraId="001F30D5"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47A0F9F3" w14:textId="77777777" w:rsidR="003C1DB1" w:rsidRPr="00C70692" w:rsidRDefault="003C1DB1" w:rsidP="00711C3A">
            <w:pPr>
              <w:jc w:val="center"/>
              <w:rPr>
                <w:rFonts w:cstheme="minorHAnsi"/>
                <w:bCs/>
                <w:sz w:val="20"/>
              </w:rPr>
            </w:pPr>
            <w:r w:rsidRPr="00C70692">
              <w:rPr>
                <w:rFonts w:cstheme="minorHAnsi"/>
                <w:sz w:val="20"/>
              </w:rPr>
              <w:t>&lt;1</w:t>
            </w:r>
          </w:p>
        </w:tc>
      </w:tr>
      <w:tr w:rsidR="003C1DB1" w14:paraId="0A8A9C22" w14:textId="77777777" w:rsidTr="00711C3A">
        <w:tc>
          <w:tcPr>
            <w:tcW w:w="431" w:type="pct"/>
            <w:tcBorders>
              <w:top w:val="single" w:sz="4" w:space="0" w:color="auto"/>
              <w:left w:val="single" w:sz="4" w:space="0" w:color="auto"/>
              <w:bottom w:val="single" w:sz="4" w:space="0" w:color="auto"/>
              <w:right w:val="single" w:sz="4" w:space="0" w:color="auto"/>
            </w:tcBorders>
          </w:tcPr>
          <w:p w14:paraId="28E88CB7"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7C6B1C79" w14:textId="77777777" w:rsidR="003C1DB1" w:rsidRDefault="003C1DB1" w:rsidP="00711C3A">
            <w:pPr>
              <w:rPr>
                <w:rFonts w:eastAsia="Times New Roman" w:cstheme="minorHAnsi"/>
                <w:color w:val="000000"/>
                <w:sz w:val="20"/>
                <w:lang w:eastAsia="en-GB"/>
              </w:rPr>
            </w:pPr>
            <w:r w:rsidRPr="00F020C6">
              <w:rPr>
                <w:rFonts w:eastAsia="Times New Roman" w:cstheme="minorHAnsi"/>
                <w:color w:val="000000"/>
                <w:sz w:val="20"/>
                <w:lang w:eastAsia="en-GB"/>
              </w:rPr>
              <w:t>cīrulīšu dižtauriņš</w:t>
            </w:r>
          </w:p>
          <w:p w14:paraId="34303F8D" w14:textId="77777777" w:rsidR="003C1DB1" w:rsidRDefault="003C1DB1" w:rsidP="00711C3A">
            <w:pPr>
              <w:rPr>
                <w:bCs/>
                <w:sz w:val="20"/>
              </w:rPr>
            </w:pPr>
            <w:r w:rsidRPr="00F020C6">
              <w:rPr>
                <w:rFonts w:cstheme="minorHAnsi"/>
                <w:i/>
                <w:color w:val="000000"/>
                <w:sz w:val="20"/>
              </w:rPr>
              <w:t>Parnassius mnemosyne</w:t>
            </w:r>
          </w:p>
        </w:tc>
        <w:tc>
          <w:tcPr>
            <w:tcW w:w="676" w:type="pct"/>
            <w:gridSpan w:val="2"/>
            <w:tcBorders>
              <w:top w:val="single" w:sz="4" w:space="0" w:color="auto"/>
              <w:left w:val="single" w:sz="4" w:space="0" w:color="auto"/>
              <w:bottom w:val="single" w:sz="4" w:space="0" w:color="auto"/>
              <w:right w:val="single" w:sz="4" w:space="0" w:color="auto"/>
            </w:tcBorders>
          </w:tcPr>
          <w:p w14:paraId="3A02C5C9" w14:textId="77777777" w:rsidR="003C1DB1" w:rsidRPr="009D3DD0" w:rsidRDefault="003C1DB1" w:rsidP="00711C3A">
            <w:pPr>
              <w:rPr>
                <w:bCs/>
                <w:sz w:val="20"/>
              </w:rPr>
            </w:pPr>
            <w:r w:rsidRPr="009D3DD0">
              <w:rPr>
                <w:sz w:val="20"/>
              </w:rPr>
              <w:t xml:space="preserve">737 - </w:t>
            </w:r>
            <w:r w:rsidRPr="009D3DD0">
              <w:rPr>
                <w:sz w:val="20"/>
                <w:shd w:val="clear" w:color="auto" w:fill="FFFFFF"/>
              </w:rPr>
              <w:t>3840</w:t>
            </w:r>
          </w:p>
        </w:tc>
        <w:tc>
          <w:tcPr>
            <w:tcW w:w="895" w:type="pct"/>
            <w:tcBorders>
              <w:top w:val="single" w:sz="4" w:space="0" w:color="auto"/>
              <w:left w:val="single" w:sz="4" w:space="0" w:color="auto"/>
              <w:bottom w:val="single" w:sz="4" w:space="0" w:color="auto"/>
              <w:right w:val="single" w:sz="4" w:space="0" w:color="auto"/>
            </w:tcBorders>
          </w:tcPr>
          <w:p w14:paraId="176A8764" w14:textId="77777777" w:rsidR="003C1DB1" w:rsidRPr="00C70692" w:rsidRDefault="003C1DB1" w:rsidP="00711C3A">
            <w:pPr>
              <w:jc w:val="center"/>
              <w:rPr>
                <w:rFonts w:cstheme="minorHAnsi"/>
                <w:bCs/>
                <w:sz w:val="20"/>
              </w:rPr>
            </w:pPr>
            <w:r w:rsidRPr="00C70692">
              <w:rPr>
                <w:rFonts w:cstheme="minorHAnsi"/>
                <w:sz w:val="20"/>
              </w:rPr>
              <w:t>&lt;10</w:t>
            </w:r>
          </w:p>
        </w:tc>
        <w:tc>
          <w:tcPr>
            <w:tcW w:w="625" w:type="pct"/>
            <w:tcBorders>
              <w:top w:val="single" w:sz="4" w:space="0" w:color="auto"/>
              <w:left w:val="single" w:sz="4" w:space="0" w:color="auto"/>
              <w:bottom w:val="single" w:sz="4" w:space="0" w:color="auto"/>
              <w:right w:val="single" w:sz="4" w:space="0" w:color="auto"/>
            </w:tcBorders>
          </w:tcPr>
          <w:p w14:paraId="6CD8B2DC" w14:textId="77777777" w:rsidR="003C1DB1" w:rsidRPr="00C70692" w:rsidRDefault="003C1DB1" w:rsidP="00711C3A">
            <w:pPr>
              <w:jc w:val="center"/>
              <w:rPr>
                <w:rFonts w:cstheme="minorHAnsi"/>
                <w:bCs/>
                <w:sz w:val="20"/>
              </w:rPr>
            </w:pPr>
            <w:r w:rsidRPr="00C70692">
              <w:rPr>
                <w:rFonts w:cstheme="minorHAnsi"/>
                <w:sz w:val="20"/>
              </w:rPr>
              <w:t>&lt;5</w:t>
            </w:r>
          </w:p>
        </w:tc>
        <w:tc>
          <w:tcPr>
            <w:tcW w:w="545" w:type="pct"/>
            <w:tcBorders>
              <w:top w:val="single" w:sz="4" w:space="0" w:color="auto"/>
              <w:left w:val="single" w:sz="4" w:space="0" w:color="auto"/>
              <w:bottom w:val="single" w:sz="4" w:space="0" w:color="auto"/>
              <w:right w:val="single" w:sz="4" w:space="0" w:color="auto"/>
            </w:tcBorders>
          </w:tcPr>
          <w:p w14:paraId="50529037" w14:textId="25AB4C29" w:rsidR="003C1DB1" w:rsidRPr="00C70692" w:rsidRDefault="003C1DB1" w:rsidP="00711C3A">
            <w:pPr>
              <w:jc w:val="center"/>
              <w:rPr>
                <w:rFonts w:cstheme="minorHAnsi"/>
                <w:bCs/>
                <w:sz w:val="20"/>
              </w:rPr>
            </w:pPr>
            <w:r w:rsidRPr="00C70692">
              <w:rPr>
                <w:rFonts w:eastAsia="Times New Roman" w:cstheme="minorHAnsi"/>
                <w:sz w:val="20"/>
                <w:lang w:eastAsia="en-GB"/>
              </w:rPr>
              <w:t>374</w:t>
            </w:r>
            <w:r w:rsidR="00926641" w:rsidRPr="00C70692">
              <w:rPr>
                <w:rFonts w:eastAsia="Times New Roman" w:cstheme="minorHAnsi"/>
                <w:sz w:val="20"/>
                <w:lang w:eastAsia="en-GB"/>
              </w:rPr>
              <w:t>,</w:t>
            </w:r>
            <w:r w:rsidRPr="00C70692">
              <w:rPr>
                <w:rFonts w:eastAsia="Times New Roman" w:cstheme="minorHAnsi"/>
                <w:sz w:val="20"/>
                <w:lang w:eastAsia="en-GB"/>
              </w:rPr>
              <w:t>15</w:t>
            </w:r>
          </w:p>
        </w:tc>
        <w:tc>
          <w:tcPr>
            <w:tcW w:w="938" w:type="pct"/>
            <w:tcBorders>
              <w:top w:val="single" w:sz="4" w:space="0" w:color="auto"/>
              <w:left w:val="single" w:sz="4" w:space="0" w:color="auto"/>
              <w:bottom w:val="single" w:sz="4" w:space="0" w:color="auto"/>
              <w:right w:val="single" w:sz="4" w:space="0" w:color="auto"/>
            </w:tcBorders>
          </w:tcPr>
          <w:p w14:paraId="0A737636" w14:textId="77777777" w:rsidR="003C1DB1" w:rsidRPr="00C70692" w:rsidRDefault="003C1DB1" w:rsidP="00711C3A">
            <w:pPr>
              <w:jc w:val="center"/>
              <w:rPr>
                <w:rFonts w:cstheme="minorHAnsi"/>
                <w:bCs/>
                <w:sz w:val="20"/>
              </w:rPr>
            </w:pPr>
            <w:r w:rsidRPr="00C70692">
              <w:rPr>
                <w:rFonts w:cstheme="minorHAnsi"/>
                <w:sz w:val="20"/>
              </w:rPr>
              <w:t>&lt;10</w:t>
            </w:r>
          </w:p>
        </w:tc>
      </w:tr>
      <w:tr w:rsidR="003C1DB1" w14:paraId="2D5A336D" w14:textId="77777777" w:rsidTr="00711C3A">
        <w:tc>
          <w:tcPr>
            <w:tcW w:w="431" w:type="pct"/>
            <w:tcBorders>
              <w:top w:val="single" w:sz="4" w:space="0" w:color="auto"/>
              <w:left w:val="single" w:sz="4" w:space="0" w:color="auto"/>
              <w:bottom w:val="single" w:sz="4" w:space="0" w:color="auto"/>
              <w:right w:val="single" w:sz="4" w:space="0" w:color="auto"/>
            </w:tcBorders>
          </w:tcPr>
          <w:p w14:paraId="029485C5"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16DC79A3" w14:textId="77777777" w:rsidR="003C1DB1" w:rsidRDefault="003C1DB1" w:rsidP="00711C3A">
            <w:pPr>
              <w:rPr>
                <w:rFonts w:cstheme="minorHAnsi"/>
                <w:sz w:val="20"/>
              </w:rPr>
            </w:pPr>
            <w:r w:rsidRPr="00F020C6">
              <w:rPr>
                <w:rFonts w:cstheme="minorHAnsi"/>
                <w:sz w:val="20"/>
              </w:rPr>
              <w:t>zaļā dižspāre</w:t>
            </w:r>
          </w:p>
          <w:p w14:paraId="233315FF" w14:textId="77777777" w:rsidR="003C1DB1" w:rsidRDefault="003C1DB1" w:rsidP="00711C3A">
            <w:pPr>
              <w:rPr>
                <w:bCs/>
                <w:sz w:val="20"/>
              </w:rPr>
            </w:pPr>
            <w:r w:rsidRPr="00F020C6">
              <w:rPr>
                <w:rFonts w:cstheme="minorHAnsi"/>
                <w:i/>
                <w:sz w:val="20"/>
              </w:rPr>
              <w:t>Aeshna viridis</w:t>
            </w:r>
          </w:p>
        </w:tc>
        <w:tc>
          <w:tcPr>
            <w:tcW w:w="676" w:type="pct"/>
            <w:gridSpan w:val="2"/>
            <w:tcBorders>
              <w:top w:val="single" w:sz="4" w:space="0" w:color="auto"/>
              <w:left w:val="single" w:sz="4" w:space="0" w:color="auto"/>
              <w:bottom w:val="single" w:sz="4" w:space="0" w:color="auto"/>
              <w:right w:val="single" w:sz="4" w:space="0" w:color="auto"/>
            </w:tcBorders>
          </w:tcPr>
          <w:p w14:paraId="79DF8F75" w14:textId="77777777" w:rsidR="003C1DB1" w:rsidRDefault="003C1DB1" w:rsidP="00711C3A">
            <w:pPr>
              <w:rPr>
                <w:bCs/>
                <w:sz w:val="20"/>
              </w:rPr>
            </w:pPr>
            <w:r>
              <w:rPr>
                <w:sz w:val="20"/>
              </w:rPr>
              <w:t>Min. 50</w:t>
            </w:r>
          </w:p>
        </w:tc>
        <w:tc>
          <w:tcPr>
            <w:tcW w:w="895" w:type="pct"/>
            <w:tcBorders>
              <w:top w:val="single" w:sz="4" w:space="0" w:color="auto"/>
              <w:left w:val="single" w:sz="4" w:space="0" w:color="auto"/>
              <w:bottom w:val="single" w:sz="4" w:space="0" w:color="auto"/>
              <w:right w:val="single" w:sz="4" w:space="0" w:color="auto"/>
            </w:tcBorders>
          </w:tcPr>
          <w:p w14:paraId="108F61B6" w14:textId="77777777" w:rsidR="003C1DB1" w:rsidRPr="00C70692" w:rsidRDefault="003C1DB1" w:rsidP="00711C3A">
            <w:pPr>
              <w:jc w:val="center"/>
              <w:rPr>
                <w:rFonts w:cstheme="minorHAnsi"/>
                <w:bCs/>
                <w:sz w:val="20"/>
              </w:rPr>
            </w:pPr>
            <w:r w:rsidRPr="00C70692">
              <w:rPr>
                <w:rFonts w:cstheme="minorHAnsi"/>
                <w:sz w:val="20"/>
              </w:rPr>
              <w:t>?</w:t>
            </w:r>
          </w:p>
        </w:tc>
        <w:tc>
          <w:tcPr>
            <w:tcW w:w="625" w:type="pct"/>
            <w:tcBorders>
              <w:top w:val="single" w:sz="4" w:space="0" w:color="auto"/>
              <w:left w:val="single" w:sz="4" w:space="0" w:color="auto"/>
              <w:bottom w:val="single" w:sz="4" w:space="0" w:color="auto"/>
              <w:right w:val="single" w:sz="4" w:space="0" w:color="auto"/>
            </w:tcBorders>
          </w:tcPr>
          <w:p w14:paraId="67A42D4D" w14:textId="77777777" w:rsidR="003C1DB1" w:rsidRPr="00C70692" w:rsidRDefault="003C1DB1" w:rsidP="00711C3A">
            <w:pPr>
              <w:jc w:val="center"/>
              <w:rPr>
                <w:rFonts w:cstheme="minorHAnsi"/>
                <w:bCs/>
                <w:sz w:val="20"/>
              </w:rPr>
            </w:pPr>
            <w:r w:rsidRPr="00C70692">
              <w:rPr>
                <w:rFonts w:cstheme="minorHAnsi"/>
                <w:sz w:val="20"/>
              </w:rPr>
              <w:t>?</w:t>
            </w:r>
          </w:p>
        </w:tc>
        <w:tc>
          <w:tcPr>
            <w:tcW w:w="545" w:type="pct"/>
            <w:tcBorders>
              <w:top w:val="single" w:sz="4" w:space="0" w:color="auto"/>
              <w:left w:val="single" w:sz="4" w:space="0" w:color="auto"/>
              <w:bottom w:val="single" w:sz="4" w:space="0" w:color="auto"/>
              <w:right w:val="single" w:sz="4" w:space="0" w:color="auto"/>
            </w:tcBorders>
          </w:tcPr>
          <w:p w14:paraId="206AC6EE"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3B5E57C7" w14:textId="77777777" w:rsidR="003C1DB1" w:rsidRPr="00C70692" w:rsidRDefault="003C1DB1" w:rsidP="00711C3A">
            <w:pPr>
              <w:jc w:val="center"/>
              <w:rPr>
                <w:rFonts w:cstheme="minorHAnsi"/>
                <w:bCs/>
                <w:sz w:val="20"/>
              </w:rPr>
            </w:pPr>
            <w:r w:rsidRPr="00C70692">
              <w:rPr>
                <w:rFonts w:cstheme="minorHAnsi"/>
                <w:sz w:val="20"/>
              </w:rPr>
              <w:t>?</w:t>
            </w:r>
          </w:p>
        </w:tc>
      </w:tr>
      <w:tr w:rsidR="003C1DB1" w14:paraId="06BFAF8F" w14:textId="77777777" w:rsidTr="00711C3A">
        <w:tc>
          <w:tcPr>
            <w:tcW w:w="431" w:type="pct"/>
            <w:tcBorders>
              <w:top w:val="single" w:sz="4" w:space="0" w:color="auto"/>
              <w:left w:val="single" w:sz="4" w:space="0" w:color="auto"/>
              <w:bottom w:val="single" w:sz="4" w:space="0" w:color="auto"/>
              <w:right w:val="single" w:sz="4" w:space="0" w:color="auto"/>
            </w:tcBorders>
          </w:tcPr>
          <w:p w14:paraId="7873B708"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0A41B754" w14:textId="77777777" w:rsidR="003C1DB1" w:rsidRDefault="003C1DB1" w:rsidP="00711C3A">
            <w:pPr>
              <w:rPr>
                <w:rFonts w:cstheme="minorHAnsi"/>
                <w:sz w:val="20"/>
              </w:rPr>
            </w:pPr>
            <w:r w:rsidRPr="00F020C6">
              <w:rPr>
                <w:rFonts w:cstheme="minorHAnsi"/>
                <w:sz w:val="20"/>
              </w:rPr>
              <w:t>dzeltenkāju upjuspāre</w:t>
            </w:r>
          </w:p>
          <w:p w14:paraId="1622CA17" w14:textId="77777777" w:rsidR="003C1DB1" w:rsidRDefault="003C1DB1" w:rsidP="00711C3A">
            <w:pPr>
              <w:rPr>
                <w:bCs/>
                <w:sz w:val="20"/>
              </w:rPr>
            </w:pPr>
            <w:r w:rsidRPr="00F020C6">
              <w:rPr>
                <w:rFonts w:cstheme="minorHAnsi"/>
                <w:i/>
                <w:sz w:val="20"/>
              </w:rPr>
              <w:t>Gomphus flavipes</w:t>
            </w:r>
          </w:p>
        </w:tc>
        <w:tc>
          <w:tcPr>
            <w:tcW w:w="676" w:type="pct"/>
            <w:gridSpan w:val="2"/>
            <w:tcBorders>
              <w:top w:val="single" w:sz="4" w:space="0" w:color="auto"/>
              <w:left w:val="single" w:sz="4" w:space="0" w:color="auto"/>
              <w:bottom w:val="single" w:sz="4" w:space="0" w:color="auto"/>
              <w:right w:val="single" w:sz="4" w:space="0" w:color="auto"/>
            </w:tcBorders>
          </w:tcPr>
          <w:p w14:paraId="4FAF8D27" w14:textId="77777777" w:rsidR="003C1DB1" w:rsidRDefault="003C1DB1" w:rsidP="00711C3A">
            <w:pPr>
              <w:rPr>
                <w:bCs/>
                <w:sz w:val="20"/>
              </w:rPr>
            </w:pPr>
            <w:r>
              <w:rPr>
                <w:sz w:val="20"/>
              </w:rPr>
              <w:t>Min. 50</w:t>
            </w:r>
          </w:p>
        </w:tc>
        <w:tc>
          <w:tcPr>
            <w:tcW w:w="895" w:type="pct"/>
            <w:tcBorders>
              <w:top w:val="single" w:sz="4" w:space="0" w:color="auto"/>
              <w:left w:val="single" w:sz="4" w:space="0" w:color="auto"/>
              <w:bottom w:val="single" w:sz="4" w:space="0" w:color="auto"/>
              <w:right w:val="single" w:sz="4" w:space="0" w:color="auto"/>
            </w:tcBorders>
          </w:tcPr>
          <w:p w14:paraId="1CC6DEDF" w14:textId="77777777" w:rsidR="003C1DB1" w:rsidRPr="00C70692" w:rsidRDefault="003C1DB1" w:rsidP="00711C3A">
            <w:pPr>
              <w:jc w:val="center"/>
              <w:rPr>
                <w:rFonts w:cstheme="minorHAnsi"/>
                <w:bCs/>
                <w:sz w:val="20"/>
              </w:rPr>
            </w:pPr>
            <w:r w:rsidRPr="00C70692">
              <w:rPr>
                <w:rFonts w:cstheme="minorHAnsi"/>
                <w:sz w:val="20"/>
              </w:rPr>
              <w:t>?</w:t>
            </w:r>
          </w:p>
        </w:tc>
        <w:tc>
          <w:tcPr>
            <w:tcW w:w="625" w:type="pct"/>
            <w:tcBorders>
              <w:top w:val="single" w:sz="4" w:space="0" w:color="auto"/>
              <w:left w:val="single" w:sz="4" w:space="0" w:color="auto"/>
              <w:bottom w:val="single" w:sz="4" w:space="0" w:color="auto"/>
              <w:right w:val="single" w:sz="4" w:space="0" w:color="auto"/>
            </w:tcBorders>
          </w:tcPr>
          <w:p w14:paraId="1460D25A" w14:textId="77777777" w:rsidR="003C1DB1" w:rsidRPr="00C70692" w:rsidRDefault="003C1DB1" w:rsidP="00711C3A">
            <w:pPr>
              <w:jc w:val="center"/>
              <w:rPr>
                <w:rFonts w:cstheme="minorHAnsi"/>
                <w:bCs/>
                <w:sz w:val="20"/>
              </w:rPr>
            </w:pPr>
            <w:r w:rsidRPr="00C70692">
              <w:rPr>
                <w:rFonts w:cstheme="minorHAnsi"/>
                <w:sz w:val="20"/>
              </w:rPr>
              <w:t>?</w:t>
            </w:r>
          </w:p>
        </w:tc>
        <w:tc>
          <w:tcPr>
            <w:tcW w:w="545" w:type="pct"/>
            <w:tcBorders>
              <w:top w:val="single" w:sz="4" w:space="0" w:color="auto"/>
              <w:left w:val="single" w:sz="4" w:space="0" w:color="auto"/>
              <w:bottom w:val="single" w:sz="4" w:space="0" w:color="auto"/>
              <w:right w:val="single" w:sz="4" w:space="0" w:color="auto"/>
            </w:tcBorders>
          </w:tcPr>
          <w:p w14:paraId="61728928"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0204A1CC" w14:textId="77777777" w:rsidR="003C1DB1" w:rsidRPr="00C70692" w:rsidRDefault="003C1DB1" w:rsidP="00711C3A">
            <w:pPr>
              <w:jc w:val="center"/>
              <w:rPr>
                <w:rFonts w:cstheme="minorHAnsi"/>
                <w:bCs/>
                <w:sz w:val="20"/>
              </w:rPr>
            </w:pPr>
            <w:r w:rsidRPr="00C70692">
              <w:rPr>
                <w:rFonts w:cstheme="minorHAnsi"/>
                <w:sz w:val="20"/>
              </w:rPr>
              <w:t>?</w:t>
            </w:r>
          </w:p>
        </w:tc>
      </w:tr>
      <w:tr w:rsidR="003C1DB1" w14:paraId="0781BB54" w14:textId="77777777" w:rsidTr="00711C3A">
        <w:tc>
          <w:tcPr>
            <w:tcW w:w="431" w:type="pct"/>
            <w:tcBorders>
              <w:top w:val="single" w:sz="4" w:space="0" w:color="auto"/>
              <w:left w:val="single" w:sz="4" w:space="0" w:color="auto"/>
              <w:bottom w:val="single" w:sz="4" w:space="0" w:color="auto"/>
              <w:right w:val="single" w:sz="4" w:space="0" w:color="auto"/>
            </w:tcBorders>
          </w:tcPr>
          <w:p w14:paraId="02BEA705"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671A1969" w14:textId="77777777" w:rsidR="003C1DB1" w:rsidRPr="00C671AE" w:rsidRDefault="003C1DB1" w:rsidP="00711C3A">
            <w:pPr>
              <w:rPr>
                <w:rFonts w:cstheme="minorHAnsi"/>
                <w:sz w:val="20"/>
              </w:rPr>
            </w:pPr>
            <w:r w:rsidRPr="00C671AE">
              <w:rPr>
                <w:rFonts w:cstheme="minorHAnsi"/>
                <w:sz w:val="20"/>
              </w:rPr>
              <w:t>raibgalvas purvuspāre</w:t>
            </w:r>
          </w:p>
          <w:p w14:paraId="6F4DC157" w14:textId="77777777" w:rsidR="003C1DB1" w:rsidRPr="00C671AE" w:rsidRDefault="003C1DB1" w:rsidP="00711C3A">
            <w:pPr>
              <w:rPr>
                <w:bCs/>
                <w:sz w:val="20"/>
              </w:rPr>
            </w:pPr>
            <w:r w:rsidRPr="00C671AE">
              <w:rPr>
                <w:rFonts w:cstheme="minorHAnsi"/>
                <w:i/>
                <w:sz w:val="20"/>
              </w:rPr>
              <w:t>Leucorrhinia albifrons</w:t>
            </w:r>
          </w:p>
        </w:tc>
        <w:tc>
          <w:tcPr>
            <w:tcW w:w="676" w:type="pct"/>
            <w:gridSpan w:val="2"/>
            <w:tcBorders>
              <w:top w:val="single" w:sz="4" w:space="0" w:color="auto"/>
              <w:left w:val="single" w:sz="4" w:space="0" w:color="auto"/>
              <w:bottom w:val="single" w:sz="4" w:space="0" w:color="auto"/>
              <w:right w:val="single" w:sz="4" w:space="0" w:color="auto"/>
            </w:tcBorders>
          </w:tcPr>
          <w:p w14:paraId="14FF1BA5" w14:textId="77777777" w:rsidR="003C1DB1" w:rsidRDefault="003C1DB1" w:rsidP="00711C3A">
            <w:pPr>
              <w:rPr>
                <w:bCs/>
                <w:sz w:val="20"/>
              </w:rPr>
            </w:pPr>
            <w:r>
              <w:rPr>
                <w:sz w:val="20"/>
              </w:rPr>
              <w:t>Min. 350</w:t>
            </w:r>
          </w:p>
        </w:tc>
        <w:tc>
          <w:tcPr>
            <w:tcW w:w="895" w:type="pct"/>
            <w:tcBorders>
              <w:top w:val="single" w:sz="4" w:space="0" w:color="auto"/>
              <w:left w:val="single" w:sz="4" w:space="0" w:color="auto"/>
              <w:bottom w:val="single" w:sz="4" w:space="0" w:color="auto"/>
              <w:right w:val="single" w:sz="4" w:space="0" w:color="auto"/>
            </w:tcBorders>
          </w:tcPr>
          <w:p w14:paraId="19D4584B" w14:textId="77777777" w:rsidR="003C1DB1" w:rsidRPr="00C70692" w:rsidRDefault="003C1DB1" w:rsidP="00711C3A">
            <w:pPr>
              <w:jc w:val="center"/>
              <w:rPr>
                <w:rFonts w:cstheme="minorHAnsi"/>
                <w:bCs/>
                <w:sz w:val="20"/>
              </w:rPr>
            </w:pPr>
            <w:r w:rsidRPr="00C70692">
              <w:rPr>
                <w:rFonts w:cstheme="minorHAnsi"/>
                <w:sz w:val="20"/>
              </w:rPr>
              <w:t>?</w:t>
            </w:r>
          </w:p>
        </w:tc>
        <w:tc>
          <w:tcPr>
            <w:tcW w:w="625" w:type="pct"/>
            <w:tcBorders>
              <w:top w:val="single" w:sz="4" w:space="0" w:color="auto"/>
              <w:left w:val="single" w:sz="4" w:space="0" w:color="auto"/>
              <w:bottom w:val="single" w:sz="4" w:space="0" w:color="auto"/>
              <w:right w:val="single" w:sz="4" w:space="0" w:color="auto"/>
            </w:tcBorders>
          </w:tcPr>
          <w:p w14:paraId="024BF670" w14:textId="77777777" w:rsidR="003C1DB1" w:rsidRPr="00C70692" w:rsidRDefault="003C1DB1" w:rsidP="00711C3A">
            <w:pPr>
              <w:jc w:val="center"/>
              <w:rPr>
                <w:rFonts w:cstheme="minorHAnsi"/>
                <w:bCs/>
                <w:sz w:val="20"/>
              </w:rPr>
            </w:pPr>
            <w:r w:rsidRPr="00C70692">
              <w:rPr>
                <w:rFonts w:cstheme="minorHAnsi"/>
                <w:sz w:val="20"/>
              </w:rPr>
              <w:t>?</w:t>
            </w:r>
          </w:p>
        </w:tc>
        <w:tc>
          <w:tcPr>
            <w:tcW w:w="545" w:type="pct"/>
            <w:tcBorders>
              <w:top w:val="single" w:sz="4" w:space="0" w:color="auto"/>
              <w:left w:val="single" w:sz="4" w:space="0" w:color="auto"/>
              <w:bottom w:val="single" w:sz="4" w:space="0" w:color="auto"/>
              <w:right w:val="single" w:sz="4" w:space="0" w:color="auto"/>
            </w:tcBorders>
          </w:tcPr>
          <w:p w14:paraId="3739DB37"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419B8D1F" w14:textId="77777777" w:rsidR="003C1DB1" w:rsidRPr="00C70692" w:rsidRDefault="003C1DB1" w:rsidP="00711C3A">
            <w:pPr>
              <w:jc w:val="center"/>
              <w:rPr>
                <w:rFonts w:cstheme="minorHAnsi"/>
                <w:bCs/>
                <w:sz w:val="20"/>
              </w:rPr>
            </w:pPr>
            <w:r w:rsidRPr="00C70692">
              <w:rPr>
                <w:rFonts w:cstheme="minorHAnsi"/>
                <w:sz w:val="20"/>
              </w:rPr>
              <w:t>?</w:t>
            </w:r>
          </w:p>
        </w:tc>
      </w:tr>
      <w:tr w:rsidR="003C1DB1" w14:paraId="2A4E01D1" w14:textId="77777777" w:rsidTr="00711C3A">
        <w:tc>
          <w:tcPr>
            <w:tcW w:w="431" w:type="pct"/>
            <w:tcBorders>
              <w:top w:val="single" w:sz="4" w:space="0" w:color="auto"/>
              <w:left w:val="single" w:sz="4" w:space="0" w:color="auto"/>
              <w:bottom w:val="single" w:sz="4" w:space="0" w:color="auto"/>
              <w:right w:val="single" w:sz="4" w:space="0" w:color="auto"/>
            </w:tcBorders>
          </w:tcPr>
          <w:p w14:paraId="16FC298F"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62D31496" w14:textId="77777777" w:rsidR="003C1DB1" w:rsidRPr="00C671AE" w:rsidRDefault="003C1DB1" w:rsidP="00711C3A">
            <w:pPr>
              <w:rPr>
                <w:rFonts w:cstheme="minorHAnsi"/>
                <w:sz w:val="20"/>
              </w:rPr>
            </w:pPr>
            <w:r w:rsidRPr="00C671AE">
              <w:rPr>
                <w:rFonts w:cstheme="minorHAnsi"/>
                <w:sz w:val="20"/>
              </w:rPr>
              <w:t>resnvēdera purvuspāre</w:t>
            </w:r>
          </w:p>
          <w:p w14:paraId="56C99CD3" w14:textId="77777777" w:rsidR="003C1DB1" w:rsidRPr="00C671AE" w:rsidRDefault="003C1DB1" w:rsidP="00711C3A">
            <w:pPr>
              <w:rPr>
                <w:bCs/>
                <w:sz w:val="20"/>
              </w:rPr>
            </w:pPr>
            <w:r w:rsidRPr="00C671AE">
              <w:rPr>
                <w:rFonts w:cstheme="minorHAnsi"/>
                <w:i/>
                <w:sz w:val="20"/>
              </w:rPr>
              <w:t>Leucorrhinia caudalis</w:t>
            </w:r>
          </w:p>
        </w:tc>
        <w:tc>
          <w:tcPr>
            <w:tcW w:w="676" w:type="pct"/>
            <w:gridSpan w:val="2"/>
            <w:tcBorders>
              <w:top w:val="single" w:sz="4" w:space="0" w:color="auto"/>
              <w:left w:val="single" w:sz="4" w:space="0" w:color="auto"/>
              <w:bottom w:val="single" w:sz="4" w:space="0" w:color="auto"/>
              <w:right w:val="single" w:sz="4" w:space="0" w:color="auto"/>
            </w:tcBorders>
          </w:tcPr>
          <w:p w14:paraId="0F923ECB" w14:textId="77777777" w:rsidR="003C1DB1" w:rsidRDefault="003C1DB1" w:rsidP="00711C3A">
            <w:pPr>
              <w:rPr>
                <w:bCs/>
                <w:sz w:val="20"/>
              </w:rPr>
            </w:pPr>
            <w:r>
              <w:rPr>
                <w:sz w:val="20"/>
              </w:rPr>
              <w:t>Min. 50</w:t>
            </w:r>
          </w:p>
        </w:tc>
        <w:tc>
          <w:tcPr>
            <w:tcW w:w="895" w:type="pct"/>
            <w:tcBorders>
              <w:top w:val="single" w:sz="4" w:space="0" w:color="auto"/>
              <w:left w:val="single" w:sz="4" w:space="0" w:color="auto"/>
              <w:bottom w:val="single" w:sz="4" w:space="0" w:color="auto"/>
              <w:right w:val="single" w:sz="4" w:space="0" w:color="auto"/>
            </w:tcBorders>
          </w:tcPr>
          <w:p w14:paraId="787FBA0C" w14:textId="77777777" w:rsidR="003C1DB1" w:rsidRPr="00C70692" w:rsidRDefault="003C1DB1" w:rsidP="00711C3A">
            <w:pPr>
              <w:jc w:val="center"/>
              <w:rPr>
                <w:rFonts w:cstheme="minorHAnsi"/>
                <w:bCs/>
                <w:sz w:val="20"/>
              </w:rPr>
            </w:pPr>
            <w:r w:rsidRPr="00C70692">
              <w:rPr>
                <w:rFonts w:cstheme="minorHAnsi"/>
                <w:sz w:val="20"/>
              </w:rPr>
              <w:t>?</w:t>
            </w:r>
          </w:p>
        </w:tc>
        <w:tc>
          <w:tcPr>
            <w:tcW w:w="625" w:type="pct"/>
            <w:tcBorders>
              <w:top w:val="single" w:sz="4" w:space="0" w:color="auto"/>
              <w:left w:val="single" w:sz="4" w:space="0" w:color="auto"/>
              <w:bottom w:val="single" w:sz="4" w:space="0" w:color="auto"/>
              <w:right w:val="single" w:sz="4" w:space="0" w:color="auto"/>
            </w:tcBorders>
          </w:tcPr>
          <w:p w14:paraId="5711696D" w14:textId="77777777" w:rsidR="003C1DB1" w:rsidRPr="00C70692" w:rsidRDefault="003C1DB1" w:rsidP="00711C3A">
            <w:pPr>
              <w:jc w:val="center"/>
              <w:rPr>
                <w:rFonts w:cstheme="minorHAnsi"/>
                <w:bCs/>
                <w:sz w:val="20"/>
              </w:rPr>
            </w:pPr>
            <w:r w:rsidRPr="00C70692">
              <w:rPr>
                <w:rFonts w:cstheme="minorHAnsi"/>
                <w:sz w:val="20"/>
              </w:rPr>
              <w:t>?</w:t>
            </w:r>
          </w:p>
        </w:tc>
        <w:tc>
          <w:tcPr>
            <w:tcW w:w="545" w:type="pct"/>
            <w:tcBorders>
              <w:top w:val="single" w:sz="4" w:space="0" w:color="auto"/>
              <w:left w:val="single" w:sz="4" w:space="0" w:color="auto"/>
              <w:bottom w:val="single" w:sz="4" w:space="0" w:color="auto"/>
              <w:right w:val="single" w:sz="4" w:space="0" w:color="auto"/>
            </w:tcBorders>
          </w:tcPr>
          <w:p w14:paraId="5206593B"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589A1615" w14:textId="77777777" w:rsidR="003C1DB1" w:rsidRPr="00C70692" w:rsidRDefault="003C1DB1" w:rsidP="00711C3A">
            <w:pPr>
              <w:jc w:val="center"/>
              <w:rPr>
                <w:rFonts w:cstheme="minorHAnsi"/>
                <w:bCs/>
                <w:sz w:val="20"/>
              </w:rPr>
            </w:pPr>
            <w:r w:rsidRPr="00C70692">
              <w:rPr>
                <w:rFonts w:cstheme="minorHAnsi"/>
                <w:sz w:val="20"/>
              </w:rPr>
              <w:t>?</w:t>
            </w:r>
          </w:p>
        </w:tc>
      </w:tr>
      <w:tr w:rsidR="003C1DB1" w14:paraId="02BB5D0B" w14:textId="77777777" w:rsidTr="00711C3A">
        <w:tc>
          <w:tcPr>
            <w:tcW w:w="431" w:type="pct"/>
            <w:tcBorders>
              <w:top w:val="single" w:sz="4" w:space="0" w:color="auto"/>
              <w:left w:val="single" w:sz="4" w:space="0" w:color="auto"/>
              <w:bottom w:val="single" w:sz="4" w:space="0" w:color="auto"/>
              <w:right w:val="single" w:sz="4" w:space="0" w:color="auto"/>
            </w:tcBorders>
          </w:tcPr>
          <w:p w14:paraId="0DA86EC5"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37F17902" w14:textId="77777777" w:rsidR="00C671AE" w:rsidRPr="00C671AE" w:rsidRDefault="003C1DB1" w:rsidP="00711C3A">
            <w:pPr>
              <w:rPr>
                <w:sz w:val="20"/>
              </w:rPr>
            </w:pPr>
            <w:r w:rsidRPr="00C671AE">
              <w:rPr>
                <w:spacing w:val="-1"/>
                <w:sz w:val="20"/>
              </w:rPr>
              <w:t>Gā</w:t>
            </w:r>
            <w:r w:rsidRPr="00C671AE">
              <w:rPr>
                <w:sz w:val="20"/>
              </w:rPr>
              <w:t>rš</w:t>
            </w:r>
            <w:r w:rsidRPr="00C671AE">
              <w:rPr>
                <w:spacing w:val="-1"/>
                <w:sz w:val="20"/>
              </w:rPr>
              <w:t>a</w:t>
            </w:r>
            <w:r w:rsidRPr="00C671AE">
              <w:rPr>
                <w:sz w:val="20"/>
              </w:rPr>
              <w:t>s</w:t>
            </w:r>
            <w:r w:rsidRPr="00C671AE">
              <w:rPr>
                <w:spacing w:val="-3"/>
                <w:sz w:val="20"/>
              </w:rPr>
              <w:t xml:space="preserve"> </w:t>
            </w:r>
            <w:r w:rsidRPr="00C671AE">
              <w:rPr>
                <w:spacing w:val="2"/>
                <w:sz w:val="20"/>
              </w:rPr>
              <w:t>sa</w:t>
            </w:r>
            <w:r w:rsidRPr="00C671AE">
              <w:rPr>
                <w:spacing w:val="-3"/>
                <w:sz w:val="20"/>
              </w:rPr>
              <w:t>m</w:t>
            </w:r>
            <w:r w:rsidRPr="00C671AE">
              <w:rPr>
                <w:sz w:val="20"/>
              </w:rPr>
              <w:t>t</w:t>
            </w:r>
            <w:r w:rsidRPr="00C671AE">
              <w:rPr>
                <w:spacing w:val="-1"/>
                <w:sz w:val="20"/>
              </w:rPr>
              <w:t>e</w:t>
            </w:r>
            <w:r w:rsidRPr="00C671AE">
              <w:rPr>
                <w:spacing w:val="1"/>
                <w:sz w:val="20"/>
              </w:rPr>
              <w:t>n</w:t>
            </w:r>
            <w:r w:rsidRPr="00C671AE">
              <w:rPr>
                <w:sz w:val="20"/>
              </w:rPr>
              <w:t>is</w:t>
            </w:r>
          </w:p>
          <w:p w14:paraId="11AE25C1" w14:textId="2CFB18C1" w:rsidR="003C1DB1" w:rsidRPr="00C671AE" w:rsidRDefault="003C1DB1" w:rsidP="00711C3A">
            <w:pPr>
              <w:rPr>
                <w:rFonts w:cstheme="minorHAnsi"/>
                <w:sz w:val="20"/>
              </w:rPr>
            </w:pPr>
            <w:r w:rsidRPr="00C671AE">
              <w:rPr>
                <w:i/>
                <w:spacing w:val="1"/>
                <w:sz w:val="20"/>
              </w:rPr>
              <w:t xml:space="preserve"> Lop</w:t>
            </w:r>
            <w:r w:rsidRPr="00C671AE">
              <w:rPr>
                <w:i/>
                <w:spacing w:val="-2"/>
                <w:sz w:val="20"/>
              </w:rPr>
              <w:t>i</w:t>
            </w:r>
            <w:r w:rsidRPr="00C671AE">
              <w:rPr>
                <w:i/>
                <w:spacing w:val="1"/>
                <w:sz w:val="20"/>
              </w:rPr>
              <w:t>n</w:t>
            </w:r>
            <w:r w:rsidRPr="00C671AE">
              <w:rPr>
                <w:i/>
                <w:spacing w:val="-1"/>
                <w:sz w:val="20"/>
              </w:rPr>
              <w:t>g</w:t>
            </w:r>
            <w:r w:rsidRPr="00C671AE">
              <w:rPr>
                <w:i/>
                <w:sz w:val="20"/>
              </w:rPr>
              <w:t>a</w:t>
            </w:r>
            <w:r w:rsidRPr="00C671AE">
              <w:rPr>
                <w:i/>
                <w:spacing w:val="-6"/>
                <w:sz w:val="20"/>
              </w:rPr>
              <w:t xml:space="preserve"> </w:t>
            </w:r>
            <w:r w:rsidRPr="00C671AE">
              <w:rPr>
                <w:i/>
                <w:spacing w:val="1"/>
                <w:sz w:val="20"/>
              </w:rPr>
              <w:t>a</w:t>
            </w:r>
            <w:r w:rsidRPr="00C671AE">
              <w:rPr>
                <w:i/>
                <w:spacing w:val="-1"/>
                <w:sz w:val="20"/>
              </w:rPr>
              <w:t>c</w:t>
            </w:r>
            <w:r w:rsidRPr="00C671AE">
              <w:rPr>
                <w:i/>
                <w:spacing w:val="1"/>
                <w:sz w:val="20"/>
              </w:rPr>
              <w:t>h</w:t>
            </w:r>
            <w:r w:rsidRPr="00C671AE">
              <w:rPr>
                <w:i/>
                <w:spacing w:val="-2"/>
                <w:sz w:val="20"/>
              </w:rPr>
              <w:t>i</w:t>
            </w:r>
            <w:r w:rsidRPr="00C671AE">
              <w:rPr>
                <w:i/>
                <w:spacing w:val="1"/>
                <w:sz w:val="20"/>
              </w:rPr>
              <w:t>n</w:t>
            </w:r>
            <w:r w:rsidRPr="00C671AE">
              <w:rPr>
                <w:i/>
                <w:sz w:val="20"/>
              </w:rPr>
              <w:t>e</w:t>
            </w:r>
          </w:p>
        </w:tc>
        <w:tc>
          <w:tcPr>
            <w:tcW w:w="676" w:type="pct"/>
            <w:gridSpan w:val="2"/>
            <w:tcBorders>
              <w:top w:val="single" w:sz="4" w:space="0" w:color="auto"/>
              <w:left w:val="single" w:sz="4" w:space="0" w:color="auto"/>
              <w:bottom w:val="single" w:sz="4" w:space="0" w:color="auto"/>
              <w:right w:val="single" w:sz="4" w:space="0" w:color="auto"/>
            </w:tcBorders>
          </w:tcPr>
          <w:p w14:paraId="60EB1AB4" w14:textId="77777777" w:rsidR="003C1DB1" w:rsidRDefault="003C1DB1" w:rsidP="00711C3A">
            <w:pPr>
              <w:rPr>
                <w:bCs/>
                <w:sz w:val="20"/>
              </w:rPr>
            </w:pPr>
            <w:r>
              <w:rPr>
                <w:sz w:val="20"/>
              </w:rPr>
              <w:t>Min 200</w:t>
            </w:r>
          </w:p>
        </w:tc>
        <w:tc>
          <w:tcPr>
            <w:tcW w:w="895" w:type="pct"/>
            <w:tcBorders>
              <w:top w:val="single" w:sz="4" w:space="0" w:color="auto"/>
              <w:left w:val="single" w:sz="4" w:space="0" w:color="auto"/>
              <w:bottom w:val="single" w:sz="4" w:space="0" w:color="auto"/>
              <w:right w:val="single" w:sz="4" w:space="0" w:color="auto"/>
            </w:tcBorders>
          </w:tcPr>
          <w:p w14:paraId="366C5112" w14:textId="77777777" w:rsidR="003C1DB1" w:rsidRPr="00C70692" w:rsidRDefault="003C1DB1" w:rsidP="00711C3A">
            <w:pPr>
              <w:jc w:val="center"/>
              <w:rPr>
                <w:rFonts w:cstheme="minorHAnsi"/>
                <w:bCs/>
                <w:sz w:val="20"/>
              </w:rPr>
            </w:pPr>
            <w:r w:rsidRPr="00C70692">
              <w:rPr>
                <w:rFonts w:cstheme="minorHAnsi"/>
                <w:sz w:val="20"/>
              </w:rPr>
              <w:t>&lt;1</w:t>
            </w:r>
          </w:p>
        </w:tc>
        <w:tc>
          <w:tcPr>
            <w:tcW w:w="625" w:type="pct"/>
            <w:tcBorders>
              <w:top w:val="single" w:sz="4" w:space="0" w:color="auto"/>
              <w:left w:val="single" w:sz="4" w:space="0" w:color="auto"/>
              <w:bottom w:val="single" w:sz="4" w:space="0" w:color="auto"/>
              <w:right w:val="single" w:sz="4" w:space="0" w:color="auto"/>
            </w:tcBorders>
          </w:tcPr>
          <w:p w14:paraId="746EE5AB" w14:textId="77777777" w:rsidR="003C1DB1" w:rsidRPr="00C70692" w:rsidRDefault="003C1DB1" w:rsidP="00711C3A">
            <w:pPr>
              <w:jc w:val="center"/>
              <w:rPr>
                <w:rFonts w:cstheme="minorHAnsi"/>
                <w:bCs/>
                <w:sz w:val="20"/>
              </w:rPr>
            </w:pPr>
            <w:r w:rsidRPr="00C70692">
              <w:rPr>
                <w:rFonts w:cstheme="minorHAnsi"/>
                <w:sz w:val="20"/>
              </w:rPr>
              <w:t>&lt;1</w:t>
            </w:r>
          </w:p>
        </w:tc>
        <w:tc>
          <w:tcPr>
            <w:tcW w:w="545" w:type="pct"/>
            <w:tcBorders>
              <w:top w:val="single" w:sz="4" w:space="0" w:color="auto"/>
              <w:left w:val="single" w:sz="4" w:space="0" w:color="auto"/>
              <w:bottom w:val="single" w:sz="4" w:space="0" w:color="auto"/>
              <w:right w:val="single" w:sz="4" w:space="0" w:color="auto"/>
            </w:tcBorders>
          </w:tcPr>
          <w:p w14:paraId="5D6DD1EC" w14:textId="4DC9B1C7" w:rsidR="003C1DB1" w:rsidRPr="00C70692" w:rsidRDefault="004B3C7B" w:rsidP="00711C3A">
            <w:pPr>
              <w:jc w:val="center"/>
              <w:rPr>
                <w:rFonts w:cstheme="minorHAnsi"/>
                <w:bCs/>
                <w:sz w:val="20"/>
              </w:rPr>
            </w:pPr>
            <w:r>
              <w:rPr>
                <w:rFonts w:cstheme="minorHAnsi"/>
                <w:bCs/>
                <w:sz w:val="20"/>
              </w:rPr>
              <w:t>?</w:t>
            </w:r>
          </w:p>
        </w:tc>
        <w:tc>
          <w:tcPr>
            <w:tcW w:w="938" w:type="pct"/>
            <w:tcBorders>
              <w:top w:val="single" w:sz="4" w:space="0" w:color="auto"/>
              <w:left w:val="single" w:sz="4" w:space="0" w:color="auto"/>
              <w:bottom w:val="single" w:sz="4" w:space="0" w:color="auto"/>
              <w:right w:val="single" w:sz="4" w:space="0" w:color="auto"/>
            </w:tcBorders>
          </w:tcPr>
          <w:p w14:paraId="591B2DDD" w14:textId="77777777" w:rsidR="003C1DB1" w:rsidRPr="00C70692" w:rsidRDefault="003C1DB1" w:rsidP="00711C3A">
            <w:pPr>
              <w:jc w:val="center"/>
              <w:rPr>
                <w:rFonts w:cstheme="minorHAnsi"/>
                <w:bCs/>
                <w:sz w:val="20"/>
              </w:rPr>
            </w:pPr>
            <w:r w:rsidRPr="00C70692">
              <w:rPr>
                <w:rFonts w:cstheme="minorHAnsi"/>
                <w:sz w:val="20"/>
              </w:rPr>
              <w:t>&lt;1</w:t>
            </w:r>
          </w:p>
        </w:tc>
      </w:tr>
      <w:tr w:rsidR="003C1DB1" w14:paraId="3AC39F8D" w14:textId="77777777" w:rsidTr="00711C3A">
        <w:tc>
          <w:tcPr>
            <w:tcW w:w="431" w:type="pct"/>
            <w:tcBorders>
              <w:top w:val="single" w:sz="4" w:space="0" w:color="auto"/>
              <w:left w:val="single" w:sz="4" w:space="0" w:color="auto"/>
              <w:bottom w:val="single" w:sz="4" w:space="0" w:color="auto"/>
              <w:right w:val="single" w:sz="4" w:space="0" w:color="auto"/>
            </w:tcBorders>
          </w:tcPr>
          <w:p w14:paraId="68ED15BB"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5B5248AB" w14:textId="77777777" w:rsidR="00C671AE" w:rsidRPr="00C671AE" w:rsidRDefault="003C1DB1" w:rsidP="00711C3A">
            <w:pPr>
              <w:rPr>
                <w:rFonts w:eastAsia="Times New Roman" w:cstheme="minorHAnsi"/>
                <w:i/>
                <w:sz w:val="20"/>
                <w:lang w:val="sq-AL"/>
              </w:rPr>
            </w:pPr>
            <w:r w:rsidRPr="00C671AE">
              <w:rPr>
                <w:rFonts w:eastAsia="Times New Roman" w:cstheme="minorHAnsi"/>
                <w:sz w:val="20"/>
                <w:lang w:val="sq-AL"/>
              </w:rPr>
              <w:t>medicīnas dēle</w:t>
            </w:r>
            <w:r w:rsidRPr="00C671AE">
              <w:rPr>
                <w:rFonts w:eastAsia="Times New Roman" w:cstheme="minorHAnsi"/>
                <w:i/>
                <w:sz w:val="20"/>
                <w:lang w:val="sq-AL"/>
              </w:rPr>
              <w:t xml:space="preserve"> </w:t>
            </w:r>
          </w:p>
          <w:p w14:paraId="6A67A39D" w14:textId="45BC13D9" w:rsidR="003C1DB1" w:rsidRPr="00C671AE" w:rsidRDefault="003C1DB1" w:rsidP="00711C3A">
            <w:pPr>
              <w:rPr>
                <w:rFonts w:cstheme="minorHAnsi"/>
                <w:sz w:val="20"/>
              </w:rPr>
            </w:pPr>
            <w:r w:rsidRPr="00C671AE">
              <w:rPr>
                <w:rFonts w:eastAsia="Times New Roman" w:cstheme="minorHAnsi"/>
                <w:i/>
                <w:sz w:val="20"/>
                <w:lang w:val="sq-AL"/>
              </w:rPr>
              <w:t>Hirudo medicinalis</w:t>
            </w:r>
          </w:p>
        </w:tc>
        <w:tc>
          <w:tcPr>
            <w:tcW w:w="676" w:type="pct"/>
            <w:gridSpan w:val="2"/>
            <w:tcBorders>
              <w:top w:val="single" w:sz="4" w:space="0" w:color="auto"/>
              <w:left w:val="single" w:sz="4" w:space="0" w:color="auto"/>
              <w:bottom w:val="single" w:sz="4" w:space="0" w:color="auto"/>
              <w:right w:val="single" w:sz="4" w:space="0" w:color="auto"/>
            </w:tcBorders>
          </w:tcPr>
          <w:p w14:paraId="24FCB878" w14:textId="77777777" w:rsidR="003C1DB1" w:rsidRDefault="003C1DB1" w:rsidP="00711C3A">
            <w:pPr>
              <w:rPr>
                <w:bCs/>
                <w:sz w:val="20"/>
              </w:rPr>
            </w:pPr>
            <w:r>
              <w:rPr>
                <w:sz w:val="20"/>
              </w:rPr>
              <w:t>Min. 700</w:t>
            </w:r>
          </w:p>
        </w:tc>
        <w:tc>
          <w:tcPr>
            <w:tcW w:w="895" w:type="pct"/>
            <w:tcBorders>
              <w:top w:val="single" w:sz="4" w:space="0" w:color="auto"/>
              <w:left w:val="single" w:sz="4" w:space="0" w:color="auto"/>
              <w:bottom w:val="single" w:sz="4" w:space="0" w:color="auto"/>
              <w:right w:val="single" w:sz="4" w:space="0" w:color="auto"/>
            </w:tcBorders>
          </w:tcPr>
          <w:p w14:paraId="0E3DA5CB" w14:textId="77777777" w:rsidR="003C1DB1" w:rsidRPr="00C70692" w:rsidRDefault="003C1DB1" w:rsidP="00711C3A">
            <w:pPr>
              <w:jc w:val="center"/>
              <w:rPr>
                <w:rFonts w:cstheme="minorHAnsi"/>
                <w:bCs/>
                <w:sz w:val="20"/>
              </w:rPr>
            </w:pPr>
            <w:r w:rsidRPr="00C70692">
              <w:rPr>
                <w:rFonts w:cstheme="minorHAnsi"/>
                <w:sz w:val="20"/>
              </w:rPr>
              <w:t>&lt;10</w:t>
            </w:r>
          </w:p>
        </w:tc>
        <w:tc>
          <w:tcPr>
            <w:tcW w:w="625" w:type="pct"/>
            <w:tcBorders>
              <w:top w:val="single" w:sz="4" w:space="0" w:color="auto"/>
              <w:left w:val="single" w:sz="4" w:space="0" w:color="auto"/>
              <w:bottom w:val="single" w:sz="4" w:space="0" w:color="auto"/>
              <w:right w:val="single" w:sz="4" w:space="0" w:color="auto"/>
            </w:tcBorders>
          </w:tcPr>
          <w:p w14:paraId="6E0E1A2F" w14:textId="575493D8" w:rsidR="003C1DB1" w:rsidRPr="00C70692" w:rsidRDefault="004B3C7B" w:rsidP="00711C3A">
            <w:pPr>
              <w:jc w:val="center"/>
              <w:rPr>
                <w:rFonts w:cstheme="minorHAnsi"/>
                <w:bCs/>
                <w:sz w:val="20"/>
              </w:rPr>
            </w:pPr>
            <w:r>
              <w:rPr>
                <w:rFonts w:cstheme="minorHAnsi"/>
                <w:bCs/>
                <w:sz w:val="20"/>
              </w:rPr>
              <w:t>?</w:t>
            </w:r>
          </w:p>
        </w:tc>
        <w:tc>
          <w:tcPr>
            <w:tcW w:w="545" w:type="pct"/>
            <w:tcBorders>
              <w:top w:val="single" w:sz="4" w:space="0" w:color="auto"/>
              <w:left w:val="single" w:sz="4" w:space="0" w:color="auto"/>
              <w:bottom w:val="single" w:sz="4" w:space="0" w:color="auto"/>
              <w:right w:val="single" w:sz="4" w:space="0" w:color="auto"/>
            </w:tcBorders>
          </w:tcPr>
          <w:p w14:paraId="2E0F7B2E" w14:textId="4DB5ED11" w:rsidR="003C1DB1" w:rsidRPr="00C70692" w:rsidRDefault="004B3C7B" w:rsidP="00711C3A">
            <w:pPr>
              <w:jc w:val="center"/>
              <w:rPr>
                <w:rFonts w:cstheme="minorHAnsi"/>
                <w:bCs/>
                <w:sz w:val="20"/>
              </w:rPr>
            </w:pPr>
            <w:r>
              <w:rPr>
                <w:rFonts w:cstheme="minorHAnsi"/>
                <w:bCs/>
                <w:sz w:val="20"/>
              </w:rPr>
              <w:t>?</w:t>
            </w:r>
          </w:p>
        </w:tc>
        <w:tc>
          <w:tcPr>
            <w:tcW w:w="938" w:type="pct"/>
            <w:tcBorders>
              <w:top w:val="single" w:sz="4" w:space="0" w:color="auto"/>
              <w:left w:val="single" w:sz="4" w:space="0" w:color="auto"/>
              <w:bottom w:val="single" w:sz="4" w:space="0" w:color="auto"/>
              <w:right w:val="single" w:sz="4" w:space="0" w:color="auto"/>
            </w:tcBorders>
          </w:tcPr>
          <w:p w14:paraId="22F5622A" w14:textId="62B8AA2C" w:rsidR="003C1DB1" w:rsidRPr="00C70692" w:rsidRDefault="004B3C7B" w:rsidP="00711C3A">
            <w:pPr>
              <w:jc w:val="center"/>
              <w:rPr>
                <w:rFonts w:cstheme="minorHAnsi"/>
                <w:bCs/>
                <w:sz w:val="20"/>
              </w:rPr>
            </w:pPr>
            <w:r>
              <w:rPr>
                <w:rFonts w:cstheme="minorHAnsi"/>
                <w:bCs/>
                <w:sz w:val="20"/>
              </w:rPr>
              <w:t>?</w:t>
            </w:r>
          </w:p>
        </w:tc>
      </w:tr>
      <w:tr w:rsidR="003C1DB1" w14:paraId="3A8537BC" w14:textId="77777777" w:rsidTr="00711C3A">
        <w:tc>
          <w:tcPr>
            <w:tcW w:w="431" w:type="pct"/>
            <w:tcBorders>
              <w:top w:val="single" w:sz="4" w:space="0" w:color="auto"/>
              <w:left w:val="single" w:sz="4" w:space="0" w:color="auto"/>
              <w:bottom w:val="single" w:sz="4" w:space="0" w:color="auto"/>
              <w:right w:val="single" w:sz="4" w:space="0" w:color="auto"/>
            </w:tcBorders>
          </w:tcPr>
          <w:p w14:paraId="7DCCCA32"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tcPr>
          <w:p w14:paraId="3475E889" w14:textId="77777777" w:rsidR="003C1DB1" w:rsidRDefault="003C1DB1" w:rsidP="00711C3A">
            <w:pPr>
              <w:rPr>
                <w:rFonts w:cstheme="minorHAnsi"/>
                <w:sz w:val="20"/>
              </w:rPr>
            </w:pPr>
            <w:r w:rsidRPr="00F020C6">
              <w:rPr>
                <w:rFonts w:cstheme="minorHAnsi"/>
                <w:sz w:val="20"/>
              </w:rPr>
              <w:t>parka vīngliemezis</w:t>
            </w:r>
          </w:p>
          <w:p w14:paraId="2A6699BA" w14:textId="77777777" w:rsidR="003C1DB1" w:rsidRDefault="003C1DB1" w:rsidP="00711C3A">
            <w:pPr>
              <w:rPr>
                <w:bCs/>
                <w:sz w:val="20"/>
              </w:rPr>
            </w:pPr>
            <w:r w:rsidRPr="00F020C6">
              <w:rPr>
                <w:rFonts w:cstheme="minorHAnsi"/>
                <w:i/>
                <w:sz w:val="20"/>
              </w:rPr>
              <w:t>Helix pomatia</w:t>
            </w:r>
          </w:p>
        </w:tc>
        <w:tc>
          <w:tcPr>
            <w:tcW w:w="676" w:type="pct"/>
            <w:gridSpan w:val="2"/>
            <w:tcBorders>
              <w:top w:val="single" w:sz="4" w:space="0" w:color="auto"/>
              <w:left w:val="single" w:sz="4" w:space="0" w:color="auto"/>
              <w:bottom w:val="single" w:sz="4" w:space="0" w:color="auto"/>
              <w:right w:val="single" w:sz="4" w:space="0" w:color="auto"/>
            </w:tcBorders>
          </w:tcPr>
          <w:p w14:paraId="3D2432C3" w14:textId="77777777" w:rsidR="003C1DB1" w:rsidRDefault="003C1DB1" w:rsidP="00711C3A">
            <w:pPr>
              <w:rPr>
                <w:bCs/>
                <w:sz w:val="20"/>
              </w:rPr>
            </w:pPr>
            <w:r>
              <w:rPr>
                <w:sz w:val="20"/>
              </w:rPr>
              <w:t>Min. 50</w:t>
            </w:r>
          </w:p>
        </w:tc>
        <w:tc>
          <w:tcPr>
            <w:tcW w:w="895" w:type="pct"/>
            <w:tcBorders>
              <w:top w:val="single" w:sz="4" w:space="0" w:color="auto"/>
              <w:left w:val="single" w:sz="4" w:space="0" w:color="auto"/>
              <w:bottom w:val="single" w:sz="4" w:space="0" w:color="auto"/>
              <w:right w:val="single" w:sz="4" w:space="0" w:color="auto"/>
            </w:tcBorders>
          </w:tcPr>
          <w:p w14:paraId="30BC338A" w14:textId="77777777" w:rsidR="003C1DB1" w:rsidRPr="00C70692" w:rsidRDefault="003C1DB1" w:rsidP="00711C3A">
            <w:pPr>
              <w:jc w:val="center"/>
              <w:rPr>
                <w:rFonts w:cstheme="minorHAnsi"/>
                <w:bCs/>
                <w:sz w:val="20"/>
              </w:rPr>
            </w:pPr>
            <w:r w:rsidRPr="00C70692">
              <w:rPr>
                <w:rFonts w:cstheme="minorHAnsi"/>
                <w:sz w:val="20"/>
              </w:rPr>
              <w:t>?</w:t>
            </w:r>
          </w:p>
        </w:tc>
        <w:tc>
          <w:tcPr>
            <w:tcW w:w="625" w:type="pct"/>
            <w:tcBorders>
              <w:top w:val="single" w:sz="4" w:space="0" w:color="auto"/>
              <w:left w:val="single" w:sz="4" w:space="0" w:color="auto"/>
              <w:bottom w:val="single" w:sz="4" w:space="0" w:color="auto"/>
              <w:right w:val="single" w:sz="4" w:space="0" w:color="auto"/>
            </w:tcBorders>
          </w:tcPr>
          <w:p w14:paraId="3F1200A9" w14:textId="77777777" w:rsidR="003C1DB1" w:rsidRPr="00C70692" w:rsidRDefault="003C1DB1" w:rsidP="00711C3A">
            <w:pPr>
              <w:jc w:val="center"/>
              <w:rPr>
                <w:rFonts w:cstheme="minorHAnsi"/>
                <w:bCs/>
                <w:sz w:val="20"/>
              </w:rPr>
            </w:pPr>
            <w:r w:rsidRPr="00C70692">
              <w:rPr>
                <w:rFonts w:cstheme="minorHAnsi"/>
                <w:sz w:val="20"/>
              </w:rPr>
              <w:t>?</w:t>
            </w:r>
          </w:p>
        </w:tc>
        <w:tc>
          <w:tcPr>
            <w:tcW w:w="545" w:type="pct"/>
            <w:tcBorders>
              <w:top w:val="single" w:sz="4" w:space="0" w:color="auto"/>
              <w:left w:val="single" w:sz="4" w:space="0" w:color="auto"/>
              <w:bottom w:val="single" w:sz="4" w:space="0" w:color="auto"/>
              <w:right w:val="single" w:sz="4" w:space="0" w:color="auto"/>
            </w:tcBorders>
          </w:tcPr>
          <w:p w14:paraId="30B030D5"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724E2242" w14:textId="77777777" w:rsidR="003C1DB1" w:rsidRPr="00C70692" w:rsidRDefault="003C1DB1" w:rsidP="00711C3A">
            <w:pPr>
              <w:jc w:val="center"/>
              <w:rPr>
                <w:rFonts w:cstheme="minorHAnsi"/>
                <w:bCs/>
                <w:sz w:val="20"/>
              </w:rPr>
            </w:pPr>
            <w:r w:rsidRPr="00C70692">
              <w:rPr>
                <w:rFonts w:cstheme="minorHAnsi"/>
                <w:sz w:val="20"/>
              </w:rPr>
              <w:t>?</w:t>
            </w:r>
          </w:p>
        </w:tc>
      </w:tr>
      <w:tr w:rsidR="003C1DB1" w14:paraId="7A658653" w14:textId="77777777" w:rsidTr="003B7F6F">
        <w:trPr>
          <w:trHeight w:val="341"/>
        </w:trPr>
        <w:tc>
          <w:tcPr>
            <w:tcW w:w="431" w:type="pct"/>
            <w:tcBorders>
              <w:top w:val="single" w:sz="4" w:space="0" w:color="auto"/>
              <w:left w:val="single" w:sz="4" w:space="0" w:color="auto"/>
              <w:bottom w:val="single" w:sz="4" w:space="0" w:color="auto"/>
              <w:right w:val="single" w:sz="4" w:space="0" w:color="auto"/>
            </w:tcBorders>
          </w:tcPr>
          <w:p w14:paraId="23B80795" w14:textId="77777777" w:rsidR="003C1DB1" w:rsidRPr="00AF6968" w:rsidRDefault="003C1DB1" w:rsidP="00A84218">
            <w:pPr>
              <w:pStyle w:val="ListParagraph"/>
              <w:widowControl w:val="0"/>
              <w:numPr>
                <w:ilvl w:val="0"/>
                <w:numId w:val="81"/>
              </w:numPr>
              <w:suppressAutoHyphens w:val="0"/>
              <w:autoSpaceDE w:val="0"/>
              <w:autoSpaceDN w:val="0"/>
              <w:adjustRightInd w:val="0"/>
              <w:spacing w:line="276" w:lineRule="auto"/>
              <w:contextualSpacing/>
              <w:rPr>
                <w:sz w:val="20"/>
              </w:rPr>
            </w:pPr>
          </w:p>
        </w:tc>
        <w:tc>
          <w:tcPr>
            <w:tcW w:w="890" w:type="pct"/>
            <w:tcBorders>
              <w:top w:val="single" w:sz="4" w:space="0" w:color="auto"/>
              <w:left w:val="single" w:sz="4" w:space="0" w:color="auto"/>
              <w:bottom w:val="single" w:sz="4" w:space="0" w:color="auto"/>
              <w:right w:val="single" w:sz="4" w:space="0" w:color="auto"/>
            </w:tcBorders>
            <w:shd w:val="clear" w:color="auto" w:fill="auto"/>
          </w:tcPr>
          <w:p w14:paraId="6607A243" w14:textId="31EF1A2F" w:rsidR="003C1DB1" w:rsidRPr="003B7F6F" w:rsidRDefault="003B7F6F" w:rsidP="00711C3A">
            <w:pPr>
              <w:rPr>
                <w:rFonts w:eastAsia="Times New Roman" w:cstheme="minorHAnsi"/>
                <w:i/>
                <w:iCs/>
                <w:color w:val="000000"/>
                <w:sz w:val="20"/>
              </w:rPr>
            </w:pPr>
            <w:r w:rsidRPr="003B7F6F">
              <w:rPr>
                <w:rFonts w:eastAsia="Times New Roman" w:cstheme="minorHAnsi"/>
                <w:color w:val="000000"/>
                <w:sz w:val="20"/>
                <w:lang w:eastAsia="en-GB"/>
              </w:rPr>
              <w:t>A</w:t>
            </w:r>
            <w:r w:rsidR="003C1DB1" w:rsidRPr="003B7F6F">
              <w:rPr>
                <w:rFonts w:eastAsia="Times New Roman" w:cstheme="minorHAnsi"/>
                <w:color w:val="000000"/>
                <w:sz w:val="20"/>
                <w:lang w:eastAsia="en-GB"/>
              </w:rPr>
              <w:t>ustrumu koksngrauzis</w:t>
            </w:r>
          </w:p>
          <w:p w14:paraId="4DE8DAF3" w14:textId="77777777" w:rsidR="003C1DB1" w:rsidRPr="007D40C9" w:rsidRDefault="003C1DB1" w:rsidP="00711C3A">
            <w:pPr>
              <w:rPr>
                <w:rFonts w:cstheme="minorHAnsi"/>
                <w:sz w:val="20"/>
                <w:highlight w:val="red"/>
              </w:rPr>
            </w:pPr>
            <w:r w:rsidRPr="003B7F6F">
              <w:rPr>
                <w:rFonts w:eastAsia="Times New Roman" w:cstheme="minorHAnsi"/>
                <w:i/>
                <w:iCs/>
                <w:color w:val="000000"/>
                <w:sz w:val="20"/>
              </w:rPr>
              <w:t>Mesosa myops</w:t>
            </w:r>
          </w:p>
        </w:tc>
        <w:tc>
          <w:tcPr>
            <w:tcW w:w="676" w:type="pct"/>
            <w:gridSpan w:val="2"/>
            <w:tcBorders>
              <w:top w:val="single" w:sz="4" w:space="0" w:color="auto"/>
              <w:left w:val="single" w:sz="4" w:space="0" w:color="auto"/>
              <w:bottom w:val="single" w:sz="4" w:space="0" w:color="auto"/>
              <w:right w:val="single" w:sz="4" w:space="0" w:color="auto"/>
            </w:tcBorders>
          </w:tcPr>
          <w:p w14:paraId="79248AB8" w14:textId="4CE57B39" w:rsidR="003C1DB1" w:rsidRDefault="003B7F6F" w:rsidP="00711C3A">
            <w:pPr>
              <w:rPr>
                <w:bCs/>
                <w:sz w:val="20"/>
              </w:rPr>
            </w:pPr>
            <w:r>
              <w:rPr>
                <w:sz w:val="20"/>
              </w:rPr>
              <w:t>50-100</w:t>
            </w:r>
          </w:p>
        </w:tc>
        <w:tc>
          <w:tcPr>
            <w:tcW w:w="895" w:type="pct"/>
            <w:tcBorders>
              <w:top w:val="single" w:sz="4" w:space="0" w:color="auto"/>
              <w:left w:val="single" w:sz="4" w:space="0" w:color="auto"/>
              <w:bottom w:val="single" w:sz="4" w:space="0" w:color="auto"/>
              <w:right w:val="single" w:sz="4" w:space="0" w:color="auto"/>
            </w:tcBorders>
          </w:tcPr>
          <w:p w14:paraId="09EAAB02" w14:textId="77777777" w:rsidR="003C1DB1" w:rsidRPr="00C70692" w:rsidRDefault="003C1DB1" w:rsidP="00711C3A">
            <w:pPr>
              <w:jc w:val="center"/>
              <w:rPr>
                <w:rFonts w:cstheme="minorHAnsi"/>
                <w:bCs/>
                <w:sz w:val="20"/>
              </w:rPr>
            </w:pPr>
            <w:r w:rsidRPr="00C70692">
              <w:rPr>
                <w:rFonts w:cstheme="minorHAnsi"/>
                <w:sz w:val="20"/>
              </w:rPr>
              <w:t>100</w:t>
            </w:r>
          </w:p>
        </w:tc>
        <w:tc>
          <w:tcPr>
            <w:tcW w:w="625" w:type="pct"/>
            <w:tcBorders>
              <w:top w:val="single" w:sz="4" w:space="0" w:color="auto"/>
              <w:left w:val="single" w:sz="4" w:space="0" w:color="auto"/>
              <w:bottom w:val="single" w:sz="4" w:space="0" w:color="auto"/>
              <w:right w:val="single" w:sz="4" w:space="0" w:color="auto"/>
            </w:tcBorders>
          </w:tcPr>
          <w:p w14:paraId="0AAF3070" w14:textId="77777777" w:rsidR="003C1DB1" w:rsidRPr="00C70692" w:rsidRDefault="003C1DB1" w:rsidP="00711C3A">
            <w:pPr>
              <w:jc w:val="center"/>
              <w:rPr>
                <w:rFonts w:cstheme="minorHAnsi"/>
                <w:bCs/>
                <w:sz w:val="20"/>
              </w:rPr>
            </w:pPr>
            <w:r w:rsidRPr="00C70692">
              <w:rPr>
                <w:rFonts w:cstheme="minorHAnsi"/>
                <w:sz w:val="20"/>
              </w:rPr>
              <w:t>100</w:t>
            </w:r>
          </w:p>
        </w:tc>
        <w:tc>
          <w:tcPr>
            <w:tcW w:w="545" w:type="pct"/>
            <w:tcBorders>
              <w:top w:val="single" w:sz="4" w:space="0" w:color="auto"/>
              <w:left w:val="single" w:sz="4" w:space="0" w:color="auto"/>
              <w:bottom w:val="single" w:sz="4" w:space="0" w:color="auto"/>
              <w:right w:val="single" w:sz="4" w:space="0" w:color="auto"/>
            </w:tcBorders>
          </w:tcPr>
          <w:p w14:paraId="7DE201D0" w14:textId="77777777" w:rsidR="003C1DB1" w:rsidRPr="00C70692" w:rsidRDefault="003C1DB1" w:rsidP="00711C3A">
            <w:pPr>
              <w:jc w:val="center"/>
              <w:rPr>
                <w:rFonts w:cstheme="minorHAnsi"/>
                <w:bCs/>
                <w:sz w:val="20"/>
              </w:rPr>
            </w:pPr>
            <w:r w:rsidRPr="00C70692">
              <w:rPr>
                <w:rFonts w:cstheme="minorHAnsi"/>
                <w:sz w:val="20"/>
              </w:rPr>
              <w:t>?</w:t>
            </w:r>
          </w:p>
        </w:tc>
        <w:tc>
          <w:tcPr>
            <w:tcW w:w="938" w:type="pct"/>
            <w:tcBorders>
              <w:top w:val="single" w:sz="4" w:space="0" w:color="auto"/>
              <w:left w:val="single" w:sz="4" w:space="0" w:color="auto"/>
              <w:bottom w:val="single" w:sz="4" w:space="0" w:color="auto"/>
              <w:right w:val="single" w:sz="4" w:space="0" w:color="auto"/>
            </w:tcBorders>
          </w:tcPr>
          <w:p w14:paraId="626C938D" w14:textId="77777777" w:rsidR="003C1DB1" w:rsidRPr="00C70692" w:rsidRDefault="003C1DB1" w:rsidP="00711C3A">
            <w:pPr>
              <w:jc w:val="center"/>
              <w:rPr>
                <w:rFonts w:cstheme="minorHAnsi"/>
                <w:bCs/>
                <w:sz w:val="20"/>
              </w:rPr>
            </w:pPr>
            <w:r w:rsidRPr="00C70692">
              <w:rPr>
                <w:rFonts w:cstheme="minorHAnsi"/>
                <w:sz w:val="20"/>
              </w:rPr>
              <w:t>100</w:t>
            </w:r>
          </w:p>
        </w:tc>
      </w:tr>
    </w:tbl>
    <w:p w14:paraId="6F822101" w14:textId="2619A473" w:rsidR="003C1DB1" w:rsidRPr="00675182" w:rsidRDefault="003C1DB1" w:rsidP="00E30B04">
      <w:pPr>
        <w:sectPr w:rsidR="003C1DB1" w:rsidRPr="00675182" w:rsidSect="009B0827">
          <w:headerReference w:type="default" r:id="rId253"/>
          <w:pgSz w:w="15840" w:h="12240" w:orient="landscape" w:code="1"/>
          <w:pgMar w:top="1440" w:right="1440" w:bottom="1440" w:left="1440" w:header="720" w:footer="720" w:gutter="0"/>
          <w:cols w:space="720"/>
          <w:docGrid w:linePitch="360"/>
        </w:sectPr>
      </w:pPr>
    </w:p>
    <w:p w14:paraId="6E391F38" w14:textId="77777777" w:rsidR="00E30B04" w:rsidRPr="00675182" w:rsidRDefault="00E30B04" w:rsidP="00E30B04"/>
    <w:p w14:paraId="3E61B70D" w14:textId="416B10DD" w:rsidR="00116F32" w:rsidRPr="00675182" w:rsidRDefault="00116F32" w:rsidP="00116F32">
      <w:pPr>
        <w:pStyle w:val="Heading2"/>
        <w:keepNext w:val="0"/>
        <w:rPr>
          <w:rFonts w:cstheme="minorHAnsi"/>
          <w:i w:val="0"/>
          <w:lang w:val="lv-LV"/>
        </w:rPr>
      </w:pPr>
      <w:bookmarkStart w:id="104" w:name="_Toc116938411"/>
      <w:bookmarkEnd w:id="101"/>
      <w:r w:rsidRPr="00675182">
        <w:rPr>
          <w:rFonts w:cstheme="minorHAnsi"/>
          <w:i w:val="0"/>
          <w:lang w:val="lv-LV"/>
        </w:rPr>
        <w:t>2.5. Citas vērtības un tās ietekmējošie faktori</w:t>
      </w:r>
      <w:bookmarkEnd w:id="104"/>
      <w:r w:rsidRPr="00675182">
        <w:rPr>
          <w:rFonts w:cstheme="minorHAnsi"/>
          <w:i w:val="0"/>
          <w:lang w:val="lv-LV"/>
        </w:rPr>
        <w:t xml:space="preserve"> </w:t>
      </w:r>
    </w:p>
    <w:p w14:paraId="20BA4D17" w14:textId="77777777" w:rsidR="00116F32" w:rsidRPr="00675182" w:rsidRDefault="00116F32" w:rsidP="00430653">
      <w:pPr>
        <w:rPr>
          <w:rFonts w:cstheme="minorHAnsi"/>
        </w:rPr>
      </w:pPr>
    </w:p>
    <w:p w14:paraId="74078F67" w14:textId="0AB8341D" w:rsidR="00FA0DEC" w:rsidRPr="00675182" w:rsidRDefault="00C30EB7" w:rsidP="00D115E7">
      <w:pPr>
        <w:rPr>
          <w:rFonts w:cstheme="minorHAnsi"/>
          <w:b/>
          <w:bCs/>
          <w:u w:val="single"/>
          <w:lang w:eastAsia="ja-JP"/>
        </w:rPr>
      </w:pPr>
      <w:r w:rsidRPr="00675182">
        <w:rPr>
          <w:rFonts w:cstheme="minorHAnsi"/>
          <w:b/>
          <w:bCs/>
          <w:u w:val="single"/>
          <w:lang w:eastAsia="ja-JP"/>
        </w:rPr>
        <w:t>Aizsargājamās alejas</w:t>
      </w:r>
    </w:p>
    <w:p w14:paraId="489B80C5" w14:textId="38602486" w:rsidR="00C30EB7" w:rsidRPr="00675182" w:rsidRDefault="00C30EB7" w:rsidP="005243B8">
      <w:pPr>
        <w:jc w:val="both"/>
        <w:rPr>
          <w:rFonts w:cstheme="minorHAnsi"/>
          <w:bCs/>
        </w:rPr>
      </w:pPr>
      <w:r w:rsidRPr="00675182">
        <w:rPr>
          <w:rFonts w:cstheme="minorHAnsi"/>
          <w:lang w:eastAsia="ja-JP"/>
        </w:rPr>
        <w:t xml:space="preserve">GNP teritorijā saskaņā ar </w:t>
      </w:r>
      <w:r w:rsidRPr="00675182">
        <w:rPr>
          <w:rFonts w:cstheme="minorHAnsi"/>
          <w:bCs/>
        </w:rPr>
        <w:t xml:space="preserve">MK 2005. gada 22. novembra noteikumiem Nr. 88 </w:t>
      </w:r>
      <w:r w:rsidRPr="00675182">
        <w:rPr>
          <w:rFonts w:cstheme="minorHAnsi"/>
          <w:szCs w:val="24"/>
        </w:rPr>
        <w:t xml:space="preserve">„Noteikumi par aizsargājamām alejām” </w:t>
      </w:r>
      <w:r w:rsidR="008F7EB1" w:rsidRPr="00675182">
        <w:rPr>
          <w:rFonts w:cstheme="minorHAnsi"/>
        </w:rPr>
        <w:t>ietilpst</w:t>
      </w:r>
      <w:r w:rsidR="008F7EB1" w:rsidRPr="00675182">
        <w:rPr>
          <w:rFonts w:cstheme="minorHAnsi"/>
          <w:bCs/>
        </w:rPr>
        <w:t xml:space="preserve"> 5 aizsargājamās alejas – Priekuļu aleja, Rāceņmuižu alejas, Mazākroga aleja, Raiskuma aleja, Ieriķu muižas aleja.</w:t>
      </w:r>
    </w:p>
    <w:p w14:paraId="1E7B8528" w14:textId="10A7E40E" w:rsidR="008F7EB1" w:rsidRPr="00675182" w:rsidRDefault="008F7EB1" w:rsidP="00C30EB7">
      <w:pPr>
        <w:rPr>
          <w:rFonts w:cstheme="minorHAnsi"/>
          <w:bCs/>
        </w:rPr>
      </w:pPr>
    </w:p>
    <w:p w14:paraId="162BAC54" w14:textId="7EE4ABD9" w:rsidR="008F7EB1" w:rsidRPr="00675182" w:rsidRDefault="00C30EB7" w:rsidP="00B751E8">
      <w:pPr>
        <w:jc w:val="both"/>
        <w:rPr>
          <w:rFonts w:cstheme="minorHAnsi"/>
          <w:bCs/>
        </w:rPr>
      </w:pPr>
      <w:r w:rsidRPr="00675182">
        <w:rPr>
          <w:rFonts w:cstheme="minorHAnsi"/>
          <w:b/>
        </w:rPr>
        <w:t>Priekuļu aleja</w:t>
      </w:r>
      <w:r w:rsidRPr="00675182">
        <w:rPr>
          <w:rFonts w:cstheme="minorHAnsi"/>
          <w:bCs/>
        </w:rPr>
        <w:t>.</w:t>
      </w:r>
      <w:r w:rsidRPr="00675182">
        <w:rPr>
          <w:rFonts w:cstheme="minorHAnsi"/>
        </w:rPr>
        <w:t xml:space="preserve"> </w:t>
      </w:r>
      <w:r w:rsidR="004F6BB7" w:rsidRPr="00675182">
        <w:rPr>
          <w:rFonts w:cstheme="minorHAnsi"/>
        </w:rPr>
        <w:t xml:space="preserve">Aleju, kuras </w:t>
      </w:r>
      <w:r w:rsidR="00381CDC" w:rsidRPr="00675182">
        <w:rPr>
          <w:rFonts w:cstheme="minorHAnsi"/>
        </w:rPr>
        <w:t xml:space="preserve">kopējais garums ir 360 m, </w:t>
      </w:r>
      <w:r w:rsidR="00B751E8" w:rsidRPr="00675182">
        <w:rPr>
          <w:rFonts w:cstheme="minorHAnsi"/>
          <w:bCs/>
        </w:rPr>
        <w:t>veido vidēju dimensiju lapegles, kas</w:t>
      </w:r>
      <w:r w:rsidR="00381CDC" w:rsidRPr="00675182">
        <w:rPr>
          <w:rFonts w:cstheme="minorHAnsi"/>
          <w:bCs/>
        </w:rPr>
        <w:t xml:space="preserve"> </w:t>
      </w:r>
      <w:r w:rsidR="00B751E8" w:rsidRPr="00675182">
        <w:rPr>
          <w:rFonts w:cstheme="minorHAnsi"/>
          <w:bCs/>
        </w:rPr>
        <w:t xml:space="preserve">stādītas vienā rindā katrā </w:t>
      </w:r>
      <w:r w:rsidR="00F740AA">
        <w:rPr>
          <w:rFonts w:cstheme="minorHAnsi"/>
          <w:bCs/>
        </w:rPr>
        <w:t xml:space="preserve">Egļu </w:t>
      </w:r>
      <w:r w:rsidR="00B751E8" w:rsidRPr="00675182">
        <w:rPr>
          <w:rFonts w:cstheme="minorHAnsi"/>
          <w:bCs/>
        </w:rPr>
        <w:t>gatves malā</w:t>
      </w:r>
      <w:r w:rsidR="00381CDC" w:rsidRPr="00675182">
        <w:rPr>
          <w:rFonts w:cstheme="minorHAnsi"/>
          <w:bCs/>
        </w:rPr>
        <w:t>. G</w:t>
      </w:r>
      <w:r w:rsidR="00B751E8" w:rsidRPr="00675182">
        <w:rPr>
          <w:rFonts w:cstheme="minorHAnsi"/>
          <w:bCs/>
        </w:rPr>
        <w:t>atve tiek izmantota kā gājēju</w:t>
      </w:r>
      <w:r w:rsidR="00381CDC" w:rsidRPr="00675182">
        <w:rPr>
          <w:rFonts w:cstheme="minorHAnsi"/>
          <w:bCs/>
        </w:rPr>
        <w:t xml:space="preserve"> </w:t>
      </w:r>
      <w:r w:rsidR="00B751E8" w:rsidRPr="00675182">
        <w:rPr>
          <w:rFonts w:cstheme="minorHAnsi"/>
          <w:bCs/>
        </w:rPr>
        <w:t>ceļš</w:t>
      </w:r>
      <w:r w:rsidR="00381CDC" w:rsidRPr="00675182">
        <w:rPr>
          <w:rFonts w:cstheme="minorHAnsi"/>
          <w:bCs/>
        </w:rPr>
        <w:t>, ierobežojot motorizēto transporta līdzekļu pārvietošanos</w:t>
      </w:r>
      <w:r w:rsidR="00B751E8" w:rsidRPr="00675182">
        <w:rPr>
          <w:rFonts w:cstheme="minorHAnsi"/>
          <w:bCs/>
        </w:rPr>
        <w:t>.</w:t>
      </w:r>
      <w:r w:rsidR="00381CDC" w:rsidRPr="00675182">
        <w:rPr>
          <w:rFonts w:cstheme="minorHAnsi"/>
          <w:bCs/>
        </w:rPr>
        <w:t xml:space="preserve"> 2016. gadā veiktās inventarizācijas laikā, alejā netika konstatētas </w:t>
      </w:r>
      <w:r w:rsidR="00DA77E4">
        <w:rPr>
          <w:rFonts w:cstheme="minorHAnsi"/>
          <w:bCs/>
        </w:rPr>
        <w:t>ĪA</w:t>
      </w:r>
      <w:r w:rsidR="00381CDC" w:rsidRPr="00675182">
        <w:rPr>
          <w:rFonts w:cstheme="minorHAnsi"/>
          <w:bCs/>
        </w:rPr>
        <w:t xml:space="preserve"> sūnu vai ķērpju sugas, bezmugurkaulnieku sugas. </w:t>
      </w:r>
    </w:p>
    <w:p w14:paraId="585619A7" w14:textId="77777777" w:rsidR="00C30EB7" w:rsidRPr="00675182" w:rsidRDefault="00C30EB7" w:rsidP="008F7EB1">
      <w:pPr>
        <w:jc w:val="both"/>
        <w:rPr>
          <w:rFonts w:cstheme="minorHAnsi"/>
          <w:bCs/>
        </w:rPr>
      </w:pPr>
    </w:p>
    <w:p w14:paraId="3EB1B4DC" w14:textId="7E5F8F5B" w:rsidR="00C30EB7" w:rsidRPr="00675182" w:rsidRDefault="00C30EB7" w:rsidP="008F7EB1">
      <w:pPr>
        <w:jc w:val="both"/>
        <w:rPr>
          <w:rFonts w:cstheme="minorHAnsi"/>
          <w:bCs/>
        </w:rPr>
      </w:pPr>
      <w:r w:rsidRPr="00675182">
        <w:rPr>
          <w:rFonts w:cstheme="minorHAnsi"/>
          <w:b/>
        </w:rPr>
        <w:t>Rāceņmuižas alejas.</w:t>
      </w:r>
      <w:r w:rsidRPr="00675182">
        <w:rPr>
          <w:rFonts w:cstheme="minorHAnsi"/>
          <w:bCs/>
        </w:rPr>
        <w:t xml:space="preserve"> </w:t>
      </w:r>
      <w:r w:rsidRPr="00675182">
        <w:rPr>
          <w:rFonts w:cstheme="minorHAnsi"/>
        </w:rPr>
        <w:t xml:space="preserve">Alejā, kuras kopējais garums ir 1 km, aug vidēji veci līdz veci ozoli, piemistrojumā atsevišķi citu platlapju sugu koki. Inventarizācijas laikā kopumā alejā uzskaitīti 42 dobumaini koki. Dobumi ir neliela izmēra. Papildus novēroti arī citi bezmugurkaulnieku sugām nozīmīgi mikrobiotopi – atmirusī koksne, atsegta koksne uz stumbriem, koki ar sēņu augļķermeņiem. Alejā konstatētas divas aizsargājamas ķērpju sugas – kausveida pleurostikta </w:t>
      </w:r>
      <w:r w:rsidRPr="00675182">
        <w:rPr>
          <w:rStyle w:val="Emphasis"/>
          <w:rFonts w:cstheme="minorHAnsi"/>
        </w:rPr>
        <w:t>Pleurosticta acetabulum</w:t>
      </w:r>
      <w:r w:rsidRPr="00675182">
        <w:rPr>
          <w:rFonts w:cstheme="minorHAnsi"/>
        </w:rPr>
        <w:t xml:space="preserve"> ar 5 atradnēm un brūngalvainā henotēka </w:t>
      </w:r>
      <w:r w:rsidRPr="00675182">
        <w:rPr>
          <w:rStyle w:val="Emphasis"/>
          <w:rFonts w:cstheme="minorHAnsi"/>
        </w:rPr>
        <w:t>Chaenotheca phaeocephala</w:t>
      </w:r>
      <w:r w:rsidRPr="00675182">
        <w:rPr>
          <w:rFonts w:cstheme="minorHAnsi"/>
        </w:rPr>
        <w:t> ar 2 atradnēm.</w:t>
      </w:r>
    </w:p>
    <w:p w14:paraId="2D47CA56" w14:textId="77777777" w:rsidR="00C30EB7" w:rsidRPr="00675182" w:rsidRDefault="00C30EB7" w:rsidP="008F7EB1">
      <w:pPr>
        <w:jc w:val="both"/>
        <w:rPr>
          <w:rFonts w:cstheme="minorHAnsi"/>
          <w:bCs/>
        </w:rPr>
      </w:pPr>
    </w:p>
    <w:p w14:paraId="16BFFE5B" w14:textId="66AAA67A" w:rsidR="00C30EB7" w:rsidRPr="00675182" w:rsidRDefault="00C30EB7" w:rsidP="008F7EB1">
      <w:pPr>
        <w:jc w:val="both"/>
        <w:rPr>
          <w:rFonts w:cstheme="minorHAnsi"/>
          <w:bCs/>
        </w:rPr>
      </w:pPr>
      <w:r w:rsidRPr="00675182">
        <w:rPr>
          <w:rFonts w:cstheme="minorHAnsi"/>
          <w:b/>
        </w:rPr>
        <w:t>Mazākroga aleja</w:t>
      </w:r>
      <w:r w:rsidR="00425684" w:rsidRPr="00675182">
        <w:rPr>
          <w:rFonts w:cstheme="minorHAnsi"/>
          <w:b/>
        </w:rPr>
        <w:t>.</w:t>
      </w:r>
      <w:r w:rsidR="00425684" w:rsidRPr="00675182">
        <w:rPr>
          <w:rFonts w:cstheme="minorHAnsi"/>
          <w:bCs/>
        </w:rPr>
        <w:t xml:space="preserve"> </w:t>
      </w:r>
      <w:r w:rsidR="00425684" w:rsidRPr="00675182">
        <w:rPr>
          <w:rFonts w:cstheme="minorHAnsi"/>
        </w:rPr>
        <w:t xml:space="preserve">Alejā, </w:t>
      </w:r>
      <w:r w:rsidR="005243B8" w:rsidRPr="00675182">
        <w:rPr>
          <w:rFonts w:cstheme="minorHAnsi"/>
        </w:rPr>
        <w:t xml:space="preserve">kuras garums ir aptuveni 250 m, </w:t>
      </w:r>
      <w:r w:rsidR="00425684" w:rsidRPr="00675182">
        <w:rPr>
          <w:rFonts w:cstheme="minorHAnsi"/>
        </w:rPr>
        <w:t xml:space="preserve">aug veci, lielu dimensiju melnalkšņi. Inventarizācijas laikā alejas teritorijā konstatēta viena </w:t>
      </w:r>
      <w:r w:rsidR="008B59D0">
        <w:rPr>
          <w:rFonts w:cstheme="minorHAnsi"/>
        </w:rPr>
        <w:t>ĪA</w:t>
      </w:r>
      <w:r w:rsidR="00425684" w:rsidRPr="00675182">
        <w:rPr>
          <w:rFonts w:cstheme="minorHAnsi"/>
        </w:rPr>
        <w:t xml:space="preserve"> bezmugurkaulnieku suga lapkoku praulgrauzis </w:t>
      </w:r>
      <w:r w:rsidR="00425684" w:rsidRPr="00675182">
        <w:rPr>
          <w:rStyle w:val="Emphasis"/>
          <w:rFonts w:cstheme="minorHAnsi"/>
        </w:rPr>
        <w:t>Osmoderma barnabita</w:t>
      </w:r>
      <w:r w:rsidR="00425684" w:rsidRPr="00675182">
        <w:rPr>
          <w:rFonts w:cstheme="minorHAnsi"/>
        </w:rPr>
        <w:t>. Tāpat alejā uzkartēti 12 dobumaini koki. Raksturīga liela dobumu daudzveidība – sastopami mazi, spraugveida un lieli dobumi. Sastopami koki ar atsegtu koksni, bez mizas, ar saproksilo vaboļu izskrējām, uz dažiem kokiem ir sēņu augļķermeņi.</w:t>
      </w:r>
    </w:p>
    <w:p w14:paraId="05CC9EC6" w14:textId="77777777" w:rsidR="00C30EB7" w:rsidRPr="00675182" w:rsidRDefault="00C30EB7" w:rsidP="008F7EB1">
      <w:pPr>
        <w:jc w:val="both"/>
        <w:rPr>
          <w:rFonts w:cstheme="minorHAnsi"/>
          <w:bCs/>
        </w:rPr>
      </w:pPr>
    </w:p>
    <w:p w14:paraId="3571C0D1" w14:textId="5867CB91" w:rsidR="00C30EB7" w:rsidRPr="00675182" w:rsidRDefault="00C30EB7" w:rsidP="008F7EB1">
      <w:pPr>
        <w:jc w:val="both"/>
        <w:rPr>
          <w:rFonts w:cstheme="minorHAnsi"/>
          <w:bCs/>
        </w:rPr>
      </w:pPr>
      <w:r w:rsidRPr="00675182">
        <w:rPr>
          <w:rFonts w:cstheme="minorHAnsi"/>
          <w:b/>
        </w:rPr>
        <w:t>Raiskuma aleja</w:t>
      </w:r>
      <w:r w:rsidRPr="00675182">
        <w:rPr>
          <w:rFonts w:cstheme="minorHAnsi"/>
          <w:bCs/>
        </w:rPr>
        <w:t xml:space="preserve">. </w:t>
      </w:r>
      <w:r w:rsidRPr="00675182">
        <w:rPr>
          <w:rFonts w:cstheme="minorHAnsi"/>
        </w:rPr>
        <w:t xml:space="preserve">Kopumā alejā uzskaitīti 386 koki, no kuriem 20 koki ir sasnieguši dižkoka izmērus. Alejā aug veci, dobumaini platlapji, galvenokārt ozoli un liepas, taču sastopami arī oši, kļavas, gobas un citas koku sugas. Raiskuma alejā ir konstatētas trīs </w:t>
      </w:r>
      <w:r w:rsidR="008B59D0">
        <w:rPr>
          <w:rFonts w:cstheme="minorHAnsi"/>
        </w:rPr>
        <w:t>ĪA</w:t>
      </w:r>
      <w:r w:rsidR="008B59D0" w:rsidRPr="00675182">
        <w:rPr>
          <w:rFonts w:cstheme="minorHAnsi"/>
        </w:rPr>
        <w:t xml:space="preserve"> </w:t>
      </w:r>
      <w:r w:rsidRPr="00675182">
        <w:rPr>
          <w:rFonts w:cstheme="minorHAnsi"/>
        </w:rPr>
        <w:t>bezmugurkaulnieku sugas – spožā skudra</w:t>
      </w:r>
      <w:r w:rsidR="008B59D0">
        <w:rPr>
          <w:rStyle w:val="Emphasis"/>
          <w:rFonts w:cstheme="minorHAnsi"/>
        </w:rPr>
        <w:t xml:space="preserve"> </w:t>
      </w:r>
      <w:r w:rsidRPr="00675182">
        <w:rPr>
          <w:rStyle w:val="Emphasis"/>
          <w:rFonts w:cstheme="minorHAnsi"/>
        </w:rPr>
        <w:t>Lasius fuliginosus</w:t>
      </w:r>
      <w:r w:rsidRPr="00675182">
        <w:rPr>
          <w:rFonts w:cstheme="minorHAnsi"/>
        </w:rPr>
        <w:t xml:space="preserve">, marmora rožvabole </w:t>
      </w:r>
      <w:r w:rsidRPr="00675182">
        <w:rPr>
          <w:rStyle w:val="Emphasis"/>
          <w:rFonts w:cstheme="minorHAnsi"/>
        </w:rPr>
        <w:t>Liocola marmorata</w:t>
      </w:r>
      <w:r w:rsidRPr="00675182">
        <w:rPr>
          <w:rFonts w:cstheme="minorHAnsi"/>
        </w:rPr>
        <w:t xml:space="preserve">, lapkoku praulgrauzis </w:t>
      </w:r>
      <w:r w:rsidRPr="00675182">
        <w:rPr>
          <w:rStyle w:val="Emphasis"/>
          <w:rFonts w:cstheme="minorHAnsi"/>
        </w:rPr>
        <w:t>Osmoderma barnabita</w:t>
      </w:r>
      <w:r w:rsidRPr="00675182">
        <w:rPr>
          <w:rFonts w:cstheme="minorHAnsi"/>
        </w:rPr>
        <w:t xml:space="preserve">, un papildus atrastas vēl divas DMB indikatorsugas – četrplankumu sēņgrauzis </w:t>
      </w:r>
      <w:r w:rsidRPr="00675182">
        <w:rPr>
          <w:rStyle w:val="Emphasis"/>
          <w:rFonts w:cstheme="minorHAnsi"/>
        </w:rPr>
        <w:t>Mycetophagus quadripustulatus</w:t>
      </w:r>
      <w:r w:rsidRPr="00675182">
        <w:rPr>
          <w:rFonts w:cstheme="minorHAnsi"/>
        </w:rPr>
        <w:t xml:space="preserve"> un sarkanais melnulis </w:t>
      </w:r>
      <w:r w:rsidRPr="00675182">
        <w:rPr>
          <w:rStyle w:val="Emphasis"/>
          <w:rFonts w:cstheme="minorHAnsi"/>
        </w:rPr>
        <w:t>Neomidia haemorrhoidalis</w:t>
      </w:r>
      <w:r w:rsidRPr="00675182">
        <w:rPr>
          <w:rFonts w:cstheme="minorHAnsi"/>
        </w:rPr>
        <w:t xml:space="preserve">. Raiskuma aleju sistēmā un pieguļošajā parkā kopā pašlaik zināmi 18 lapkoku praulgrauža apdzīvoti koki. Tāpat alejā ir konstatētas trīs </w:t>
      </w:r>
      <w:r w:rsidR="008B59D0">
        <w:rPr>
          <w:rFonts w:cstheme="minorHAnsi"/>
        </w:rPr>
        <w:t>ĪA</w:t>
      </w:r>
      <w:r w:rsidRPr="00675182">
        <w:rPr>
          <w:rFonts w:cstheme="minorHAnsi"/>
        </w:rPr>
        <w:t xml:space="preserve"> ķērpju sugas - bālā sklerofora  </w:t>
      </w:r>
      <w:r w:rsidRPr="00675182">
        <w:rPr>
          <w:rStyle w:val="Emphasis"/>
          <w:rFonts w:cstheme="minorHAnsi"/>
        </w:rPr>
        <w:t>Sclerophora pallida</w:t>
      </w:r>
      <w:r w:rsidRPr="00675182">
        <w:rPr>
          <w:rFonts w:cstheme="minorHAnsi"/>
        </w:rPr>
        <w:t xml:space="preserve">, liepu parmelīna </w:t>
      </w:r>
      <w:r w:rsidRPr="00675182">
        <w:rPr>
          <w:rStyle w:val="Emphasis"/>
          <w:rFonts w:cstheme="minorHAnsi"/>
        </w:rPr>
        <w:t>Parmelina tiliacea</w:t>
      </w:r>
      <w:r w:rsidRPr="00675182">
        <w:rPr>
          <w:rFonts w:cstheme="minorHAnsi"/>
        </w:rPr>
        <w:t xml:space="preserve"> un brūngalvainā henotēka </w:t>
      </w:r>
      <w:r w:rsidRPr="00675182">
        <w:rPr>
          <w:rStyle w:val="Emphasis"/>
          <w:rFonts w:cstheme="minorHAnsi"/>
        </w:rPr>
        <w:t>Chaenotheca phaeocephala</w:t>
      </w:r>
      <w:r w:rsidRPr="00675182">
        <w:rPr>
          <w:rFonts w:cstheme="minorHAnsi"/>
        </w:rPr>
        <w:t xml:space="preserve">, katrai no </w:t>
      </w:r>
      <w:r w:rsidR="008B59D0">
        <w:rPr>
          <w:rFonts w:cstheme="minorHAnsi"/>
        </w:rPr>
        <w:t>ĪA</w:t>
      </w:r>
      <w:r w:rsidR="008B59D0" w:rsidRPr="00675182">
        <w:rPr>
          <w:rFonts w:cstheme="minorHAnsi"/>
        </w:rPr>
        <w:t xml:space="preserve"> </w:t>
      </w:r>
      <w:r w:rsidRPr="00675182">
        <w:rPr>
          <w:rFonts w:cstheme="minorHAnsi"/>
        </w:rPr>
        <w:t>ķērpju sugām alejā atzīmēta viena atradne.</w:t>
      </w:r>
    </w:p>
    <w:p w14:paraId="4586E5D5" w14:textId="77777777" w:rsidR="00C30EB7" w:rsidRPr="00675182" w:rsidRDefault="00C30EB7" w:rsidP="008F7EB1">
      <w:pPr>
        <w:jc w:val="both"/>
        <w:rPr>
          <w:rFonts w:cstheme="minorHAnsi"/>
          <w:bCs/>
        </w:rPr>
      </w:pPr>
    </w:p>
    <w:p w14:paraId="42B2A92F" w14:textId="5EC84FEE" w:rsidR="00C30EB7" w:rsidRPr="00675182" w:rsidRDefault="00C30EB7" w:rsidP="008F7EB1">
      <w:pPr>
        <w:jc w:val="both"/>
        <w:rPr>
          <w:rFonts w:cstheme="minorHAnsi"/>
          <w:b/>
        </w:rPr>
      </w:pPr>
      <w:r w:rsidRPr="00675182">
        <w:rPr>
          <w:rFonts w:cstheme="minorHAnsi"/>
          <w:b/>
        </w:rPr>
        <w:t>Ieriķu muižas aleja</w:t>
      </w:r>
      <w:r w:rsidR="009A43FE" w:rsidRPr="00675182">
        <w:rPr>
          <w:rFonts w:cstheme="minorHAnsi"/>
          <w:b/>
        </w:rPr>
        <w:t xml:space="preserve">. </w:t>
      </w:r>
      <w:r w:rsidR="009A43FE" w:rsidRPr="00675182">
        <w:rPr>
          <w:rFonts w:cstheme="minorHAnsi"/>
          <w:bCs/>
        </w:rPr>
        <w:t>Ainavisk</w:t>
      </w:r>
      <w:r w:rsidR="009A43FE" w:rsidRPr="00675182">
        <w:rPr>
          <w:rFonts w:cstheme="minorHAnsi"/>
        </w:rPr>
        <w:t>a, bioloģiski vecu, vidēju līdz lielu dimensiju ozolu aleja. Inventarizācijas laikā konstatēti dažādi bezmugurkaulniekiem būtiski mikrobiotopi – koki ar sēnēm, izplūstoša sula, atmirusi koksne zaros, atsevišķi nokaltuši koki. Alejā konstatētas divas aizsargājamas ķērpju sugas – brūngalvainā henotēka </w:t>
      </w:r>
      <w:r w:rsidR="009A43FE" w:rsidRPr="00675182">
        <w:rPr>
          <w:rStyle w:val="Emphasis"/>
          <w:rFonts w:cstheme="minorHAnsi"/>
        </w:rPr>
        <w:t>Chaenotheca phaeocephala</w:t>
      </w:r>
      <w:r w:rsidR="009A43FE" w:rsidRPr="00675182">
        <w:rPr>
          <w:rFonts w:cstheme="minorHAnsi"/>
        </w:rPr>
        <w:t> un kausveida pleurostikta</w:t>
      </w:r>
      <w:r w:rsidR="008B59D0">
        <w:rPr>
          <w:rFonts w:cstheme="minorHAnsi"/>
        </w:rPr>
        <w:t xml:space="preserve"> </w:t>
      </w:r>
      <w:r w:rsidR="009A43FE" w:rsidRPr="00675182">
        <w:rPr>
          <w:rStyle w:val="Emphasis"/>
          <w:rFonts w:cstheme="minorHAnsi"/>
        </w:rPr>
        <w:t>Pleurosticta acetabulum</w:t>
      </w:r>
      <w:r w:rsidR="009A43FE" w:rsidRPr="00675182">
        <w:rPr>
          <w:rFonts w:cstheme="minorHAnsi"/>
        </w:rPr>
        <w:t>.</w:t>
      </w:r>
    </w:p>
    <w:p w14:paraId="25CE73D5" w14:textId="7C3E75BC" w:rsidR="00C30EB7" w:rsidRPr="00675182" w:rsidRDefault="00C30EB7" w:rsidP="008F7EB1">
      <w:pPr>
        <w:jc w:val="both"/>
        <w:rPr>
          <w:rFonts w:cstheme="minorHAnsi"/>
          <w:bCs/>
        </w:rPr>
      </w:pPr>
    </w:p>
    <w:p w14:paraId="0337B8D1" w14:textId="198903B6" w:rsidR="00C30EB7" w:rsidRPr="00675182" w:rsidRDefault="00C30EB7" w:rsidP="003E60AC">
      <w:pPr>
        <w:keepNext/>
        <w:keepLines/>
        <w:jc w:val="both"/>
        <w:rPr>
          <w:rFonts w:cstheme="minorHAnsi"/>
          <w:b/>
          <w:u w:val="single"/>
        </w:rPr>
      </w:pPr>
      <w:r w:rsidRPr="00675182">
        <w:rPr>
          <w:rFonts w:cstheme="minorHAnsi"/>
          <w:b/>
          <w:u w:val="single"/>
        </w:rPr>
        <w:lastRenderedPageBreak/>
        <w:t>Dendroloģiskie stādījumi</w:t>
      </w:r>
    </w:p>
    <w:p w14:paraId="1550144B" w14:textId="0594F1C7" w:rsidR="008F7EB1" w:rsidRPr="00675182" w:rsidRDefault="00165118" w:rsidP="003E60AC">
      <w:pPr>
        <w:keepNext/>
        <w:keepLines/>
        <w:jc w:val="both"/>
        <w:rPr>
          <w:rFonts w:cstheme="minorHAnsi"/>
        </w:rPr>
      </w:pPr>
      <w:r w:rsidRPr="00675182">
        <w:rPr>
          <w:rFonts w:cstheme="minorHAnsi"/>
          <w:lang w:eastAsia="ja-JP"/>
        </w:rPr>
        <w:t xml:space="preserve">GNP teritorijā saskaņā ar </w:t>
      </w:r>
      <w:r w:rsidR="008F7EB1" w:rsidRPr="00675182">
        <w:rPr>
          <w:rFonts w:cstheme="minorHAnsi"/>
        </w:rPr>
        <w:t>MK 2001. gada 20. novembra noteikumi</w:t>
      </w:r>
      <w:r w:rsidRPr="00675182">
        <w:rPr>
          <w:rFonts w:cstheme="minorHAnsi"/>
        </w:rPr>
        <w:t>em</w:t>
      </w:r>
      <w:r w:rsidR="008F7EB1" w:rsidRPr="00675182">
        <w:rPr>
          <w:rFonts w:cstheme="minorHAnsi"/>
        </w:rPr>
        <w:t xml:space="preserve"> Nr. 131 </w:t>
      </w:r>
      <w:r w:rsidR="008F7EB1" w:rsidRPr="00675182">
        <w:rPr>
          <w:rFonts w:cstheme="minorHAnsi"/>
          <w:szCs w:val="24"/>
        </w:rPr>
        <w:t xml:space="preserve">„Noteikumi par aizsargājamiem dendroloģiskiem stādījumiem” </w:t>
      </w:r>
      <w:r w:rsidR="00B01896" w:rsidRPr="00675182">
        <w:rPr>
          <w:rFonts w:cstheme="minorHAnsi"/>
        </w:rPr>
        <w:t>4</w:t>
      </w:r>
      <w:r w:rsidR="008F7EB1" w:rsidRPr="00675182">
        <w:rPr>
          <w:rFonts w:cstheme="minorHAnsi"/>
        </w:rPr>
        <w:t xml:space="preserve"> aizsargājamie dendroloģiskie stādījumi – Priekuļu parks, Nurmižu parks, Indrānu parks</w:t>
      </w:r>
      <w:r w:rsidR="00B01896" w:rsidRPr="00675182">
        <w:rPr>
          <w:rFonts w:cstheme="minorHAnsi"/>
        </w:rPr>
        <w:t xml:space="preserve"> un Briežmuižas </w:t>
      </w:r>
      <w:r w:rsidR="0097417F" w:rsidRPr="00675182">
        <w:rPr>
          <w:rFonts w:cstheme="minorHAnsi"/>
        </w:rPr>
        <w:t xml:space="preserve">lapegļu </w:t>
      </w:r>
      <w:r w:rsidR="00B01896" w:rsidRPr="00675182">
        <w:rPr>
          <w:rFonts w:cstheme="minorHAnsi"/>
        </w:rPr>
        <w:t>stādījumi</w:t>
      </w:r>
      <w:r w:rsidR="008F7EB1" w:rsidRPr="00675182">
        <w:rPr>
          <w:rFonts w:cstheme="minorHAnsi"/>
        </w:rPr>
        <w:t xml:space="preserve">. </w:t>
      </w:r>
    </w:p>
    <w:p w14:paraId="76070A96" w14:textId="072E14C2" w:rsidR="003E60AC" w:rsidRPr="00675182" w:rsidRDefault="003E60AC" w:rsidP="003E60AC">
      <w:pPr>
        <w:jc w:val="both"/>
        <w:rPr>
          <w:rFonts w:cstheme="minorHAnsi"/>
        </w:rPr>
      </w:pPr>
    </w:p>
    <w:p w14:paraId="0DDEF81F" w14:textId="4D54943C" w:rsidR="003E60AC" w:rsidRPr="00675182" w:rsidRDefault="003E60AC" w:rsidP="003E60AC">
      <w:pPr>
        <w:jc w:val="both"/>
        <w:rPr>
          <w:rFonts w:cstheme="minorHAnsi"/>
          <w:b/>
          <w:bCs/>
        </w:rPr>
      </w:pPr>
      <w:r w:rsidRPr="00675182">
        <w:rPr>
          <w:rFonts w:cstheme="minorHAnsi"/>
          <w:b/>
          <w:bCs/>
        </w:rPr>
        <w:t>Priekuļu parks</w:t>
      </w:r>
      <w:r w:rsidR="00F740AA">
        <w:rPr>
          <w:rFonts w:cstheme="minorHAnsi"/>
          <w:b/>
          <w:bCs/>
        </w:rPr>
        <w:t xml:space="preserve">. </w:t>
      </w:r>
      <w:r w:rsidR="00F740AA" w:rsidRPr="00F740AA">
        <w:rPr>
          <w:rFonts w:cstheme="minorHAnsi"/>
        </w:rPr>
        <w:t>Parks atrodas Priekuļu ciema teritorijā, kā arī daļēji tas ietilpst Vidzemes Tehnoloģiju un dizaina tehnikuma teritorijā. Parka centrālo daļu veido aizsargājamā aleja “Priekuļu aleja”, kuras kopējais garums ir 360 m un kurā ietilpst vidēju dimensiju lapegles, kas stādītas vienā rindā katrā Egļu gatves malā.</w:t>
      </w:r>
      <w:r w:rsidR="00F740AA">
        <w:rPr>
          <w:rFonts w:cstheme="minorHAnsi"/>
          <w:b/>
          <w:bCs/>
        </w:rPr>
        <w:t xml:space="preserve"> </w:t>
      </w:r>
    </w:p>
    <w:p w14:paraId="50246E9C" w14:textId="20B441AC" w:rsidR="003E60AC" w:rsidRPr="00675182" w:rsidRDefault="003E60AC" w:rsidP="003E60AC">
      <w:pPr>
        <w:jc w:val="both"/>
        <w:rPr>
          <w:rFonts w:cstheme="minorHAnsi"/>
          <w:b/>
          <w:bCs/>
        </w:rPr>
      </w:pPr>
    </w:p>
    <w:p w14:paraId="3E4825A6" w14:textId="71D1B278" w:rsidR="003E60AC" w:rsidRPr="00675182" w:rsidRDefault="003E60AC" w:rsidP="003E60AC">
      <w:pPr>
        <w:jc w:val="both"/>
        <w:rPr>
          <w:rFonts w:cstheme="minorHAnsi"/>
          <w:b/>
          <w:bCs/>
        </w:rPr>
      </w:pPr>
      <w:r w:rsidRPr="00675182">
        <w:rPr>
          <w:rFonts w:cstheme="minorHAnsi"/>
          <w:b/>
          <w:bCs/>
        </w:rPr>
        <w:t>Nurmižu parks</w:t>
      </w:r>
      <w:r w:rsidR="00D71E01" w:rsidRPr="00675182">
        <w:rPr>
          <w:rFonts w:cstheme="minorHAnsi"/>
          <w:b/>
          <w:bCs/>
        </w:rPr>
        <w:t xml:space="preserve">. </w:t>
      </w:r>
      <w:r w:rsidR="00C70692" w:rsidRPr="006068C3">
        <w:rPr>
          <w:rFonts w:cstheme="minorHAnsi"/>
        </w:rPr>
        <w:t xml:space="preserve">Parks atrodas </w:t>
      </w:r>
      <w:r w:rsidR="002B0FCC" w:rsidRPr="006068C3">
        <w:rPr>
          <w:rFonts w:cstheme="minorHAnsi"/>
        </w:rPr>
        <w:t xml:space="preserve">Siguldas novada Nurmižos. Parks izveidots netālu no valsts nozīmes </w:t>
      </w:r>
      <w:r w:rsidR="006068C3" w:rsidRPr="006068C3">
        <w:rPr>
          <w:rFonts w:cstheme="minorHAnsi"/>
        </w:rPr>
        <w:t>aizsargājama kultūras pieminekļa “Nurmižu muižas apbūve” (Valsts aizsardzības Nr. 6710).</w:t>
      </w:r>
      <w:r w:rsidR="006068C3">
        <w:rPr>
          <w:rFonts w:cstheme="minorHAnsi"/>
          <w:b/>
          <w:bCs/>
        </w:rPr>
        <w:t xml:space="preserve"> </w:t>
      </w:r>
    </w:p>
    <w:p w14:paraId="5C7C5EF2" w14:textId="2A53475A" w:rsidR="003E60AC" w:rsidRPr="00675182" w:rsidRDefault="003E60AC" w:rsidP="003E60AC">
      <w:pPr>
        <w:jc w:val="both"/>
        <w:rPr>
          <w:rFonts w:cstheme="minorHAnsi"/>
          <w:b/>
          <w:bCs/>
        </w:rPr>
      </w:pPr>
    </w:p>
    <w:p w14:paraId="57E50E94" w14:textId="048D7AA6" w:rsidR="003E60AC" w:rsidRPr="00675182" w:rsidRDefault="003E60AC" w:rsidP="003E60AC">
      <w:pPr>
        <w:jc w:val="both"/>
        <w:rPr>
          <w:rFonts w:cstheme="minorHAnsi"/>
        </w:rPr>
      </w:pPr>
      <w:r w:rsidRPr="00675182">
        <w:rPr>
          <w:rFonts w:cstheme="minorHAnsi"/>
          <w:b/>
          <w:bCs/>
        </w:rPr>
        <w:t xml:space="preserve">Indrānu parks. </w:t>
      </w:r>
      <w:r w:rsidRPr="00675182">
        <w:rPr>
          <w:rFonts w:cstheme="minorHAnsi"/>
        </w:rPr>
        <w:t xml:space="preserve">Indrānu parka dendroloģiskie stādījumi aizņem daļu no kādreizējās Hincenbergas muižas teritorijas. Parka teritorijā sastopamas </w:t>
      </w:r>
      <w:r w:rsidR="002510E3">
        <w:rPr>
          <w:rFonts w:cstheme="minorHAnsi"/>
        </w:rPr>
        <w:t>5</w:t>
      </w:r>
      <w:r w:rsidR="002510E3" w:rsidRPr="00675182">
        <w:rPr>
          <w:rFonts w:cstheme="minorHAnsi"/>
        </w:rPr>
        <w:t xml:space="preserve"> </w:t>
      </w:r>
      <w:r w:rsidRPr="00675182">
        <w:rPr>
          <w:rFonts w:cstheme="minorHAnsi"/>
        </w:rPr>
        <w:t xml:space="preserve">svešzemju koku sugas - riekstkoka suga </w:t>
      </w:r>
      <w:r w:rsidRPr="00675182">
        <w:rPr>
          <w:rStyle w:val="Emphasis"/>
          <w:rFonts w:cstheme="minorHAnsi"/>
        </w:rPr>
        <w:t>Juglans </w:t>
      </w:r>
      <w:r w:rsidRPr="00675182">
        <w:rPr>
          <w:rFonts w:cstheme="minorHAnsi"/>
        </w:rPr>
        <w:t xml:space="preserve">spp., Krievijas lapegle </w:t>
      </w:r>
      <w:r w:rsidRPr="00675182">
        <w:rPr>
          <w:rStyle w:val="Emphasis"/>
          <w:rFonts w:cstheme="minorHAnsi"/>
        </w:rPr>
        <w:t>Larix russica</w:t>
      </w:r>
      <w:r w:rsidRPr="00675182">
        <w:rPr>
          <w:rFonts w:cstheme="minorHAnsi"/>
        </w:rPr>
        <w:t xml:space="preserve">, lapegles suga </w:t>
      </w:r>
      <w:r w:rsidRPr="00675182">
        <w:rPr>
          <w:rStyle w:val="Emphasis"/>
          <w:rFonts w:cstheme="minorHAnsi"/>
        </w:rPr>
        <w:t>Larix </w:t>
      </w:r>
      <w:r w:rsidRPr="00675182">
        <w:rPr>
          <w:rFonts w:cstheme="minorHAnsi"/>
        </w:rPr>
        <w:t xml:space="preserve">spp., Menzīsa duglāzija </w:t>
      </w:r>
      <w:r w:rsidRPr="00675182">
        <w:rPr>
          <w:rStyle w:val="Emphasis"/>
          <w:rFonts w:cstheme="minorHAnsi"/>
        </w:rPr>
        <w:t>Pseudotsuga menziesii</w:t>
      </w:r>
      <w:r w:rsidRPr="00675182">
        <w:rPr>
          <w:rFonts w:cstheme="minorHAnsi"/>
        </w:rPr>
        <w:t xml:space="preserve">, Holandes liepa </w:t>
      </w:r>
      <w:r w:rsidRPr="00675182">
        <w:rPr>
          <w:rStyle w:val="Emphasis"/>
          <w:rFonts w:cstheme="minorHAnsi"/>
        </w:rPr>
        <w:t>Tilia </w:t>
      </w:r>
      <w:r w:rsidRPr="00675182">
        <w:rPr>
          <w:rFonts w:cstheme="minorHAnsi"/>
        </w:rPr>
        <w:t>x </w:t>
      </w:r>
      <w:r w:rsidRPr="00675182">
        <w:rPr>
          <w:rStyle w:val="Emphasis"/>
          <w:rFonts w:cstheme="minorHAnsi"/>
        </w:rPr>
        <w:t>europaea</w:t>
      </w:r>
      <w:r w:rsidRPr="00675182">
        <w:rPr>
          <w:rFonts w:cstheme="minorHAnsi"/>
        </w:rPr>
        <w:t xml:space="preserve">, dažas no tām ir sasniegušas dižkoka statusu. Būtiskākā dabas vērtība parka teritorijā ir veci, lielu dimensiju koki. Īpaši nozīmīgas ir vecās Holandes liepas parka rietumu daļā. Parkā sastopamas četras dažādas </w:t>
      </w:r>
      <w:r w:rsidR="006179B9">
        <w:rPr>
          <w:rFonts w:cstheme="minorHAnsi"/>
        </w:rPr>
        <w:t>ĪA</w:t>
      </w:r>
      <w:r w:rsidRPr="00675182">
        <w:rPr>
          <w:rFonts w:cstheme="minorHAnsi"/>
        </w:rPr>
        <w:t xml:space="preserve"> sugas: lapkoku prauglrauzis </w:t>
      </w:r>
      <w:r w:rsidRPr="00675182">
        <w:rPr>
          <w:rStyle w:val="Emphasis"/>
          <w:rFonts w:cstheme="minorHAnsi"/>
        </w:rPr>
        <w:t xml:space="preserve">Osmoderma </w:t>
      </w:r>
      <w:r w:rsidR="002510E3">
        <w:rPr>
          <w:rStyle w:val="Emphasis"/>
          <w:rFonts w:cstheme="minorHAnsi"/>
        </w:rPr>
        <w:t>barnabita</w:t>
      </w:r>
      <w:r w:rsidRPr="00675182">
        <w:rPr>
          <w:rFonts w:cstheme="minorHAnsi"/>
        </w:rPr>
        <w:t xml:space="preserve">, sīkpunktainā artonija </w:t>
      </w:r>
      <w:r w:rsidRPr="00675182">
        <w:rPr>
          <w:rStyle w:val="Emphasis"/>
          <w:rFonts w:cstheme="minorHAnsi"/>
        </w:rPr>
        <w:t>Arthonia byssace</w:t>
      </w:r>
      <w:r w:rsidRPr="00675182">
        <w:rPr>
          <w:rFonts w:cstheme="minorHAnsi"/>
        </w:rPr>
        <w:t xml:space="preserve">, brūngalvainā henotēka </w:t>
      </w:r>
      <w:r w:rsidRPr="00675182">
        <w:rPr>
          <w:rStyle w:val="Emphasis"/>
          <w:rFonts w:cstheme="minorHAnsi"/>
        </w:rPr>
        <w:t>Chaenotheca phaeocephala</w:t>
      </w:r>
      <w:r w:rsidRPr="00675182">
        <w:rPr>
          <w:rFonts w:cstheme="minorHAnsi"/>
        </w:rPr>
        <w:t xml:space="preserve"> un spožā skudra </w:t>
      </w:r>
      <w:r w:rsidRPr="00675182">
        <w:rPr>
          <w:rStyle w:val="Emphasis"/>
          <w:rFonts w:cstheme="minorHAnsi"/>
        </w:rPr>
        <w:t>Lasius fuliginosus</w:t>
      </w:r>
      <w:r w:rsidRPr="00675182">
        <w:rPr>
          <w:rFonts w:cstheme="minorHAnsi"/>
        </w:rPr>
        <w:t xml:space="preserve">, kā arī baltā stārķa </w:t>
      </w:r>
      <w:r w:rsidRPr="00675182">
        <w:rPr>
          <w:rStyle w:val="Emphasis"/>
          <w:rFonts w:cstheme="minorHAnsi"/>
        </w:rPr>
        <w:t>Cyconia cyconia</w:t>
      </w:r>
      <w:r w:rsidRPr="00675182">
        <w:rPr>
          <w:rFonts w:cstheme="minorHAnsi"/>
        </w:rPr>
        <w:t xml:space="preserve"> ligzda liepu audzē. Parka teritorijā konstatēti </w:t>
      </w:r>
      <w:r w:rsidR="002510E3">
        <w:rPr>
          <w:rFonts w:cstheme="minorHAnsi"/>
        </w:rPr>
        <w:t>9</w:t>
      </w:r>
      <w:r w:rsidR="002510E3" w:rsidRPr="00675182">
        <w:rPr>
          <w:rFonts w:cstheme="minorHAnsi"/>
        </w:rPr>
        <w:t xml:space="preserve"> </w:t>
      </w:r>
      <w:r w:rsidRPr="00675182">
        <w:rPr>
          <w:rFonts w:cstheme="minorHAnsi"/>
        </w:rPr>
        <w:t xml:space="preserve">dižkoki, no kuriem </w:t>
      </w:r>
      <w:r w:rsidR="002510E3">
        <w:rPr>
          <w:rFonts w:cstheme="minorHAnsi"/>
        </w:rPr>
        <w:t>7</w:t>
      </w:r>
      <w:r w:rsidR="002510E3" w:rsidRPr="00675182">
        <w:rPr>
          <w:rFonts w:cstheme="minorHAnsi"/>
        </w:rPr>
        <w:t xml:space="preserve"> </w:t>
      </w:r>
      <w:r w:rsidRPr="00675182">
        <w:rPr>
          <w:rFonts w:cstheme="minorHAnsi"/>
        </w:rPr>
        <w:t xml:space="preserve">ir Holandes liepas </w:t>
      </w:r>
      <w:r w:rsidRPr="00675182">
        <w:rPr>
          <w:rStyle w:val="Emphasis"/>
          <w:rFonts w:cstheme="minorHAnsi"/>
        </w:rPr>
        <w:t>Tilia </w:t>
      </w:r>
      <w:r w:rsidRPr="00675182">
        <w:rPr>
          <w:rFonts w:cstheme="minorHAnsi"/>
        </w:rPr>
        <w:t>x </w:t>
      </w:r>
      <w:r w:rsidRPr="00675182">
        <w:rPr>
          <w:rStyle w:val="Emphasis"/>
          <w:rFonts w:cstheme="minorHAnsi"/>
        </w:rPr>
        <w:t>europaea</w:t>
      </w:r>
      <w:r w:rsidRPr="00675182">
        <w:rPr>
          <w:rFonts w:cstheme="minorHAnsi"/>
        </w:rPr>
        <w:t>. Viena no tām sasniedza vislielāko apkārtmēru - 4,96 m.</w:t>
      </w:r>
    </w:p>
    <w:p w14:paraId="5EDDAD03" w14:textId="79432B8C" w:rsidR="00B01896" w:rsidRPr="00675182" w:rsidRDefault="00B01896" w:rsidP="003E60AC">
      <w:pPr>
        <w:jc w:val="both"/>
        <w:rPr>
          <w:rFonts w:cstheme="minorHAnsi"/>
        </w:rPr>
      </w:pPr>
    </w:p>
    <w:p w14:paraId="519B211A" w14:textId="0BCF9524" w:rsidR="005B4141" w:rsidRPr="00675182" w:rsidRDefault="00345910" w:rsidP="005B4141">
      <w:pPr>
        <w:jc w:val="both"/>
        <w:rPr>
          <w:rFonts w:cstheme="minorHAnsi"/>
          <w:b/>
          <w:bCs/>
        </w:rPr>
      </w:pPr>
      <w:r w:rsidRPr="00675182">
        <w:rPr>
          <w:rFonts w:cstheme="minorHAnsi"/>
          <w:b/>
          <w:bCs/>
        </w:rPr>
        <w:t xml:space="preserve">Briežmuižas </w:t>
      </w:r>
      <w:r w:rsidR="0097417F" w:rsidRPr="00675182">
        <w:rPr>
          <w:rFonts w:cstheme="minorHAnsi"/>
          <w:b/>
          <w:bCs/>
        </w:rPr>
        <w:t>lapegļu stādījumi</w:t>
      </w:r>
      <w:r w:rsidR="009F5103" w:rsidRPr="00675182">
        <w:rPr>
          <w:rStyle w:val="FootnoteReference"/>
          <w:rFonts w:cstheme="minorHAnsi"/>
          <w:b/>
          <w:bCs/>
        </w:rPr>
        <w:footnoteReference w:id="29"/>
      </w:r>
      <w:r w:rsidR="000E1E8B" w:rsidRPr="00675182">
        <w:rPr>
          <w:rFonts w:cstheme="minorHAnsi"/>
          <w:b/>
          <w:bCs/>
        </w:rPr>
        <w:t>.</w:t>
      </w:r>
      <w:r w:rsidR="005B4141" w:rsidRPr="00675182">
        <w:rPr>
          <w:rFonts w:cstheme="minorHAnsi"/>
          <w:b/>
          <w:bCs/>
        </w:rPr>
        <w:t xml:space="preserve"> </w:t>
      </w:r>
      <w:r w:rsidR="006C0CB6" w:rsidRPr="006B6DC0">
        <w:rPr>
          <w:rFonts w:cstheme="minorHAnsi"/>
        </w:rPr>
        <w:t>Dendroloģiskie stādījumi atrodas Valmieras novada Vaidavas pagastā, blakus mājām “Palmēni”</w:t>
      </w:r>
      <w:r w:rsidR="006B6DC0" w:rsidRPr="006B6DC0">
        <w:rPr>
          <w:rFonts w:cstheme="minorHAnsi"/>
        </w:rPr>
        <w:t>.</w:t>
      </w:r>
      <w:r w:rsidR="006B6DC0" w:rsidRPr="006B6DC0">
        <w:t xml:space="preserve"> </w:t>
      </w:r>
      <w:r w:rsidR="006B6DC0" w:rsidRPr="006B6DC0">
        <w:rPr>
          <w:rFonts w:cstheme="minorHAnsi"/>
        </w:rPr>
        <w:t>Stādījumu teritorijā sastopami tikai divi svešzemju sugu taksoni Eiropas lapegle (</w:t>
      </w:r>
      <w:r w:rsidR="006B6DC0" w:rsidRPr="006B6DC0">
        <w:rPr>
          <w:rFonts w:cstheme="minorHAnsi"/>
          <w:i/>
          <w:iCs/>
        </w:rPr>
        <w:t>Larix decidua</w:t>
      </w:r>
      <w:r w:rsidR="006B6DC0" w:rsidRPr="006B6DC0">
        <w:rPr>
          <w:rFonts w:cstheme="minorHAnsi"/>
        </w:rPr>
        <w:t>) un Ledebūra lapegle (</w:t>
      </w:r>
      <w:r w:rsidR="006B6DC0" w:rsidRPr="006B6DC0">
        <w:rPr>
          <w:rFonts w:cstheme="minorHAnsi"/>
          <w:i/>
          <w:iCs/>
        </w:rPr>
        <w:t>Larix ledebourii</w:t>
      </w:r>
      <w:r w:rsidR="006B6DC0" w:rsidRPr="006B6DC0">
        <w:rPr>
          <w:rFonts w:cstheme="minorHAnsi"/>
        </w:rPr>
        <w:t>), kā arī faktiski dabā dendroloģiskais stādījums sastāv no alejas un bioloģiski vērtīga meža. Aleja ir dendroloģiski ļoti vērtīga, savukārt mežaudzē starp āra bērziem, parastajām priedēm, parastajām eglēm aug liela izmēra, nobriedušas un ievērības cienīgas ļoti vērtīgas un izcilas lapegles.  Dendroloģiskajā stādījumā sastopamas trīs īpaši aizsargājamas sugas - tumšbrūnā cietpiepe (Phellinus ferrugineofuscus), sēne rožainā piepe (Fomitopsis rosea), gada staipeknis (Lycopodium annotinum). Rožainā piepe ir suga, kam veidojams mikroliegums, tādēļ šis atradums uzskatāms par īpaši nozīmīgu dabas vērtību. Abas īpaši aizsargājamās piepju sugas, kā arī piepe centrbēdzes flēbija (Phlebia centrifuga) ir definētas kā dabisku meža biotopu (DMB) speciālistu sugas. Teritorijā tās sastopamas vienā vietā, uz blakus esošām kritalām. Stādījumos konstatēti trīs potenciāli dižkoki un trīs valsts nozīmes dižkoki, no kuriem lielāka lapegle sasniedz 4,40 m stumbra apkārtmēru</w:t>
      </w:r>
      <w:r w:rsidR="006B6DC0">
        <w:rPr>
          <w:rFonts w:cstheme="minorHAnsi"/>
        </w:rPr>
        <w:t xml:space="preserve">. </w:t>
      </w:r>
    </w:p>
    <w:p w14:paraId="2AE87F22" w14:textId="77777777" w:rsidR="003176B0" w:rsidRPr="00675182" w:rsidRDefault="003176B0" w:rsidP="00D115E7">
      <w:pPr>
        <w:rPr>
          <w:rFonts w:cstheme="minorHAnsi"/>
          <w:szCs w:val="24"/>
        </w:rPr>
      </w:pPr>
    </w:p>
    <w:p w14:paraId="43BC3EBE" w14:textId="52B2A17A" w:rsidR="00165118" w:rsidRPr="00675182" w:rsidRDefault="00165118" w:rsidP="00D115E7">
      <w:pPr>
        <w:rPr>
          <w:rFonts w:cstheme="minorHAnsi"/>
          <w:b/>
          <w:bCs/>
          <w:szCs w:val="24"/>
          <w:u w:val="single"/>
        </w:rPr>
      </w:pPr>
      <w:r w:rsidRPr="00675182">
        <w:rPr>
          <w:rFonts w:cstheme="minorHAnsi"/>
          <w:b/>
          <w:bCs/>
          <w:szCs w:val="24"/>
          <w:u w:val="single"/>
        </w:rPr>
        <w:t>Kultūrvēsturiskie pieminekļi</w:t>
      </w:r>
    </w:p>
    <w:p w14:paraId="38A476C2" w14:textId="74CE96DA" w:rsidR="00D432AA" w:rsidRPr="00675182" w:rsidRDefault="00D432AA" w:rsidP="00000D9F">
      <w:pPr>
        <w:jc w:val="both"/>
        <w:rPr>
          <w:rFonts w:cstheme="minorHAnsi"/>
          <w:szCs w:val="24"/>
        </w:rPr>
      </w:pPr>
      <w:r w:rsidRPr="00675182">
        <w:rPr>
          <w:rFonts w:cstheme="minorHAnsi"/>
          <w:szCs w:val="24"/>
        </w:rPr>
        <w:t>Pēc NKMP datiem GNP teritorijā atrodas 124 valsts nozīmes aizsargājamie kultūras pieminekļi un 55 vietējas nozīmes kultūrvēsturiskie objekti (skat. 1.1.6. attēlu DA plāna 22. pielikumā ir iekļauta detalizēta informācija ar kultūrvēsturisko pieminekļu aprakstiem.</w:t>
      </w:r>
    </w:p>
    <w:p w14:paraId="28703C86" w14:textId="77777777" w:rsidR="00D432AA" w:rsidRPr="00675182" w:rsidRDefault="00D432AA" w:rsidP="00000D9F">
      <w:pPr>
        <w:jc w:val="both"/>
        <w:rPr>
          <w:rFonts w:cstheme="minorHAnsi"/>
          <w:szCs w:val="24"/>
        </w:rPr>
      </w:pPr>
    </w:p>
    <w:p w14:paraId="6E5B8EF1" w14:textId="164037AC" w:rsidR="00D432AA" w:rsidRPr="00675182" w:rsidRDefault="00D432AA" w:rsidP="00000D9F">
      <w:pPr>
        <w:jc w:val="both"/>
        <w:rPr>
          <w:rFonts w:cstheme="minorHAnsi"/>
        </w:rPr>
        <w:sectPr w:rsidR="00D432AA" w:rsidRPr="00675182" w:rsidSect="00D70F48">
          <w:headerReference w:type="default" r:id="rId254"/>
          <w:pgSz w:w="11905" w:h="16837" w:code="9"/>
          <w:pgMar w:top="1440" w:right="1797" w:bottom="1440" w:left="1797" w:header="720" w:footer="720" w:gutter="0"/>
          <w:cols w:space="720"/>
          <w:docGrid w:linePitch="360"/>
        </w:sectPr>
      </w:pPr>
    </w:p>
    <w:p w14:paraId="61FE297C" w14:textId="1F1813ED" w:rsidR="00FB044B" w:rsidRPr="00675182" w:rsidRDefault="00011E51" w:rsidP="002B3341">
      <w:pPr>
        <w:pStyle w:val="Heading2"/>
        <w:keepNext w:val="0"/>
        <w:rPr>
          <w:rFonts w:cstheme="minorHAnsi"/>
          <w:i w:val="0"/>
          <w:lang w:val="lv-LV"/>
        </w:rPr>
      </w:pPr>
      <w:bookmarkStart w:id="105" w:name="_Toc116938412"/>
      <w:r w:rsidRPr="00675182">
        <w:rPr>
          <w:rFonts w:cstheme="minorHAnsi"/>
          <w:i w:val="0"/>
          <w:lang w:val="lv-LV"/>
        </w:rPr>
        <w:lastRenderedPageBreak/>
        <w:t>2.</w:t>
      </w:r>
      <w:r w:rsidR="00116F32" w:rsidRPr="00675182">
        <w:rPr>
          <w:rFonts w:cstheme="minorHAnsi"/>
          <w:i w:val="0"/>
          <w:lang w:val="lv-LV"/>
        </w:rPr>
        <w:t>6</w:t>
      </w:r>
      <w:r w:rsidRPr="00675182">
        <w:rPr>
          <w:rFonts w:cstheme="minorHAnsi"/>
          <w:i w:val="0"/>
          <w:lang w:val="lv-LV"/>
        </w:rPr>
        <w:t>. Aizsargājamās teritorijas vērtību apkopojums un pretnostatījums</w:t>
      </w:r>
      <w:bookmarkEnd w:id="105"/>
      <w:r w:rsidRPr="00675182">
        <w:rPr>
          <w:rFonts w:cstheme="minorHAnsi"/>
          <w:i w:val="0"/>
          <w:lang w:val="lv-LV"/>
        </w:rPr>
        <w:t xml:space="preserve"> </w:t>
      </w:r>
    </w:p>
    <w:p w14:paraId="6E8A57B4" w14:textId="77777777" w:rsidR="00E9713A" w:rsidRPr="00675182" w:rsidRDefault="00E9713A" w:rsidP="002B3341">
      <w:pPr>
        <w:pStyle w:val="Footer"/>
        <w:tabs>
          <w:tab w:val="clear" w:pos="4153"/>
          <w:tab w:val="clear" w:pos="8306"/>
        </w:tabs>
        <w:suppressAutoHyphens w:val="0"/>
        <w:rPr>
          <w:rFonts w:cstheme="minorHAnsi"/>
          <w:sz w:val="22"/>
          <w:szCs w:val="22"/>
          <w:lang w:val="lv-LV"/>
        </w:rPr>
      </w:pPr>
    </w:p>
    <w:p w14:paraId="67F943B3" w14:textId="6AF46390" w:rsidR="00E0622E" w:rsidRPr="00675182" w:rsidRDefault="00922A9E" w:rsidP="00E0622E">
      <w:pPr>
        <w:rPr>
          <w:rFonts w:cstheme="minorHAnsi"/>
          <w:b/>
          <w:bCs/>
          <w:i/>
          <w:iCs/>
        </w:rPr>
      </w:pPr>
      <w:r w:rsidRPr="00675182">
        <w:rPr>
          <w:rFonts w:cstheme="minorHAnsi"/>
          <w:b/>
          <w:bCs/>
          <w:i/>
          <w:iCs/>
        </w:rPr>
        <w:t>2.6.1. tabula. GNP vērtību kopsavilkums un pretnostatījums</w:t>
      </w:r>
    </w:p>
    <w:tbl>
      <w:tblPr>
        <w:tblW w:w="5000" w:type="pct"/>
        <w:tblLook w:val="04A0" w:firstRow="1" w:lastRow="0" w:firstColumn="1" w:lastColumn="0" w:noHBand="0" w:noVBand="1"/>
      </w:tblPr>
      <w:tblGrid>
        <w:gridCol w:w="1980"/>
        <w:gridCol w:w="2692"/>
        <w:gridCol w:w="3688"/>
        <w:gridCol w:w="5587"/>
      </w:tblGrid>
      <w:tr w:rsidR="002E1AAF" w:rsidRPr="00675182" w14:paraId="0982D1A6" w14:textId="77777777" w:rsidTr="009D399A">
        <w:trPr>
          <w:tblHeader/>
        </w:trPr>
        <w:tc>
          <w:tcPr>
            <w:tcW w:w="710" w:type="pct"/>
            <w:tcBorders>
              <w:top w:val="single" w:sz="4" w:space="0" w:color="000000"/>
              <w:left w:val="single" w:sz="4" w:space="0" w:color="000000"/>
              <w:bottom w:val="single" w:sz="4" w:space="0" w:color="000000"/>
              <w:right w:val="nil"/>
            </w:tcBorders>
            <w:shd w:val="clear" w:color="auto" w:fill="D6E3BC" w:themeFill="accent3" w:themeFillTint="66"/>
            <w:vAlign w:val="center"/>
            <w:hideMark/>
          </w:tcPr>
          <w:p w14:paraId="60A71C84" w14:textId="730A04A9" w:rsidR="002E1AAF" w:rsidRPr="00675182" w:rsidRDefault="002E1AAF">
            <w:pPr>
              <w:keepNext/>
              <w:snapToGrid w:val="0"/>
              <w:rPr>
                <w:rFonts w:cstheme="minorHAnsi"/>
                <w:b/>
                <w:sz w:val="22"/>
                <w:szCs w:val="22"/>
              </w:rPr>
            </w:pPr>
            <w:r w:rsidRPr="00675182">
              <w:rPr>
                <w:rFonts w:cstheme="minorHAnsi"/>
                <w:b/>
                <w:sz w:val="22"/>
                <w:szCs w:val="22"/>
              </w:rPr>
              <w:t>Teritorijas vērtības</w:t>
            </w:r>
          </w:p>
        </w:tc>
        <w:tc>
          <w:tcPr>
            <w:tcW w:w="965"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4425484" w14:textId="411EE1AF" w:rsidR="002E1AAF" w:rsidRPr="00675182" w:rsidRDefault="002E1AAF" w:rsidP="00347126">
            <w:pPr>
              <w:keepNext/>
              <w:snapToGrid w:val="0"/>
              <w:rPr>
                <w:rFonts w:cstheme="minorHAnsi"/>
                <w:b/>
                <w:sz w:val="22"/>
                <w:szCs w:val="22"/>
              </w:rPr>
            </w:pPr>
            <w:r w:rsidRPr="00675182">
              <w:rPr>
                <w:rFonts w:cstheme="minorHAnsi"/>
                <w:b/>
                <w:sz w:val="22"/>
                <w:szCs w:val="22"/>
              </w:rPr>
              <w:t>Dabas vērtības</w:t>
            </w:r>
          </w:p>
        </w:tc>
        <w:tc>
          <w:tcPr>
            <w:tcW w:w="1322" w:type="pct"/>
            <w:tcBorders>
              <w:top w:val="single" w:sz="4" w:space="0" w:color="000000"/>
              <w:left w:val="single" w:sz="4" w:space="0" w:color="000000"/>
              <w:bottom w:val="single" w:sz="4" w:space="0" w:color="000000"/>
              <w:right w:val="nil"/>
            </w:tcBorders>
            <w:shd w:val="clear" w:color="auto" w:fill="D6E3BC" w:themeFill="accent3" w:themeFillTint="66"/>
            <w:vAlign w:val="center"/>
            <w:hideMark/>
          </w:tcPr>
          <w:p w14:paraId="05FDE2C7" w14:textId="5B22B1B0" w:rsidR="002E1AAF" w:rsidRPr="00675182" w:rsidRDefault="002E1AAF" w:rsidP="00347126">
            <w:pPr>
              <w:keepNext/>
              <w:snapToGrid w:val="0"/>
              <w:rPr>
                <w:rFonts w:cstheme="minorHAnsi"/>
                <w:b/>
                <w:sz w:val="22"/>
                <w:szCs w:val="22"/>
              </w:rPr>
            </w:pPr>
            <w:r w:rsidRPr="00675182">
              <w:rPr>
                <w:rFonts w:cstheme="minorHAnsi"/>
                <w:b/>
                <w:sz w:val="22"/>
                <w:szCs w:val="22"/>
              </w:rPr>
              <w:t>Sociālekonomiskā nozīme</w:t>
            </w:r>
          </w:p>
        </w:tc>
        <w:tc>
          <w:tcPr>
            <w:tcW w:w="2003" w:type="pct"/>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14:paraId="77F19234" w14:textId="77777777" w:rsidR="002E1AAF" w:rsidRPr="00675182" w:rsidRDefault="002E1AAF" w:rsidP="00347126">
            <w:pPr>
              <w:keepNext/>
              <w:snapToGrid w:val="0"/>
              <w:rPr>
                <w:rFonts w:cstheme="minorHAnsi"/>
                <w:b/>
                <w:sz w:val="22"/>
                <w:szCs w:val="22"/>
              </w:rPr>
            </w:pPr>
            <w:r w:rsidRPr="00675182">
              <w:rPr>
                <w:rFonts w:cstheme="minorHAnsi"/>
                <w:b/>
                <w:sz w:val="22"/>
                <w:szCs w:val="22"/>
              </w:rPr>
              <w:t>Vērtību pretnostatījums un ietekmējošie faktori</w:t>
            </w:r>
          </w:p>
        </w:tc>
      </w:tr>
      <w:tr w:rsidR="002E1AAF" w:rsidRPr="00675182" w14:paraId="66E11364" w14:textId="77777777" w:rsidTr="009D399A">
        <w:tc>
          <w:tcPr>
            <w:tcW w:w="710" w:type="pct"/>
            <w:tcBorders>
              <w:top w:val="single" w:sz="4" w:space="0" w:color="000000"/>
              <w:left w:val="single" w:sz="4" w:space="0" w:color="000000"/>
              <w:bottom w:val="single" w:sz="4" w:space="0" w:color="000000"/>
              <w:right w:val="nil"/>
            </w:tcBorders>
            <w:hideMark/>
          </w:tcPr>
          <w:p w14:paraId="7AB19169" w14:textId="15743612" w:rsidR="002E1AAF" w:rsidRPr="00675182" w:rsidRDefault="002E1AAF" w:rsidP="00FB5C32">
            <w:pPr>
              <w:pStyle w:val="BodyText"/>
              <w:snapToGrid w:val="0"/>
              <w:spacing w:after="0"/>
              <w:rPr>
                <w:rFonts w:cstheme="minorHAnsi"/>
                <w:sz w:val="22"/>
                <w:szCs w:val="22"/>
                <w:lang w:val="lv-LV"/>
              </w:rPr>
            </w:pPr>
            <w:r w:rsidRPr="00675182">
              <w:rPr>
                <w:rFonts w:cstheme="minorHAnsi"/>
                <w:sz w:val="22"/>
                <w:szCs w:val="22"/>
                <w:lang w:val="lv-LV"/>
              </w:rPr>
              <w:t>Ainavas</w:t>
            </w:r>
          </w:p>
        </w:tc>
        <w:tc>
          <w:tcPr>
            <w:tcW w:w="965" w:type="pct"/>
            <w:tcBorders>
              <w:top w:val="single" w:sz="4" w:space="0" w:color="000000"/>
              <w:left w:val="single" w:sz="4" w:space="0" w:color="000000"/>
              <w:bottom w:val="single" w:sz="4" w:space="0" w:color="000000"/>
              <w:right w:val="single" w:sz="4" w:space="0" w:color="000000"/>
            </w:tcBorders>
          </w:tcPr>
          <w:p w14:paraId="1D0EAB60" w14:textId="6E469A96" w:rsidR="002E1AAF" w:rsidRPr="00675182" w:rsidRDefault="002E1AAF" w:rsidP="00FB5C32">
            <w:pPr>
              <w:snapToGrid w:val="0"/>
              <w:rPr>
                <w:rFonts w:cstheme="minorHAnsi"/>
                <w:sz w:val="22"/>
                <w:szCs w:val="22"/>
              </w:rPr>
            </w:pPr>
          </w:p>
        </w:tc>
        <w:tc>
          <w:tcPr>
            <w:tcW w:w="1322" w:type="pct"/>
            <w:tcBorders>
              <w:top w:val="single" w:sz="4" w:space="0" w:color="000000"/>
              <w:left w:val="single" w:sz="4" w:space="0" w:color="000000"/>
              <w:bottom w:val="single" w:sz="4" w:space="0" w:color="000000"/>
              <w:right w:val="nil"/>
            </w:tcBorders>
            <w:hideMark/>
          </w:tcPr>
          <w:p w14:paraId="09246D9F" w14:textId="0FB13A1A" w:rsidR="002E1AAF" w:rsidRPr="00675182" w:rsidRDefault="002E1AAF" w:rsidP="00FB5C32">
            <w:pPr>
              <w:snapToGrid w:val="0"/>
              <w:rPr>
                <w:rFonts w:cstheme="minorHAnsi"/>
                <w:sz w:val="22"/>
                <w:szCs w:val="22"/>
              </w:rPr>
            </w:pPr>
            <w:r w:rsidRPr="00675182">
              <w:rPr>
                <w:rFonts w:cstheme="minorHAnsi"/>
                <w:sz w:val="22"/>
                <w:szCs w:val="22"/>
              </w:rPr>
              <w:t>Lauksaimniecība, mežsaimniecība, tūrisms, rekreācija, iedzīvotāju dzīves vide, apbūve.</w:t>
            </w:r>
          </w:p>
        </w:tc>
        <w:tc>
          <w:tcPr>
            <w:tcW w:w="2003" w:type="pct"/>
            <w:tcBorders>
              <w:top w:val="single" w:sz="4" w:space="0" w:color="000000"/>
              <w:left w:val="single" w:sz="4" w:space="0" w:color="000000"/>
              <w:bottom w:val="single" w:sz="4" w:space="0" w:color="000000"/>
              <w:right w:val="single" w:sz="4" w:space="0" w:color="000000"/>
            </w:tcBorders>
            <w:hideMark/>
          </w:tcPr>
          <w:p w14:paraId="21C996B3" w14:textId="77777777" w:rsidR="002E1AAF" w:rsidRPr="00675182" w:rsidRDefault="002E1AAF" w:rsidP="00FB5C32">
            <w:pPr>
              <w:rPr>
                <w:rFonts w:cstheme="minorHAnsi"/>
                <w:sz w:val="22"/>
                <w:szCs w:val="22"/>
              </w:rPr>
            </w:pPr>
            <w:r w:rsidRPr="00675182">
              <w:rPr>
                <w:rFonts w:cstheme="minorHAnsi"/>
                <w:color w:val="000000" w:themeColor="text1"/>
                <w:sz w:val="22"/>
                <w:szCs w:val="22"/>
              </w:rPr>
              <w:t xml:space="preserve">LIZ platību samazināšanās, apdzīvojuma struktūras izmaiņas, mežu un krūmāju platību palielināšanās, </w:t>
            </w:r>
            <w:r w:rsidRPr="00675182">
              <w:rPr>
                <w:rFonts w:cstheme="minorHAnsi"/>
                <w:sz w:val="22"/>
                <w:szCs w:val="22"/>
              </w:rPr>
              <w:t xml:space="preserve">pazeminājusies ainavu pieejamība un saskatāmība. </w:t>
            </w:r>
          </w:p>
          <w:p w14:paraId="4DA71FED" w14:textId="77777777" w:rsidR="002E1AAF" w:rsidRPr="00675182" w:rsidRDefault="002E1AAF" w:rsidP="00FB5C32">
            <w:pPr>
              <w:rPr>
                <w:rFonts w:cstheme="minorHAnsi"/>
                <w:sz w:val="22"/>
                <w:szCs w:val="22"/>
              </w:rPr>
            </w:pPr>
          </w:p>
          <w:p w14:paraId="3289ADE6" w14:textId="1F80AB34" w:rsidR="002E1AAF" w:rsidRPr="00675182" w:rsidRDefault="002E1AAF" w:rsidP="00FB5C32">
            <w:pPr>
              <w:rPr>
                <w:rFonts w:cstheme="minorHAnsi"/>
                <w:sz w:val="22"/>
                <w:szCs w:val="22"/>
              </w:rPr>
            </w:pPr>
            <w:r w:rsidRPr="00675182">
              <w:rPr>
                <w:rFonts w:cstheme="minorHAnsi"/>
                <w:sz w:val="22"/>
                <w:szCs w:val="22"/>
              </w:rPr>
              <w:t xml:space="preserve">Tūrisma un rekreācijas infrastruktūras attīstība nodrošina ainavisko vērtību pieejamību un saglabāšanu. </w:t>
            </w:r>
          </w:p>
        </w:tc>
      </w:tr>
      <w:tr w:rsidR="002E1AAF" w:rsidRPr="00675182" w14:paraId="12D8CCB2" w14:textId="77777777" w:rsidTr="009D399A">
        <w:tc>
          <w:tcPr>
            <w:tcW w:w="710" w:type="pct"/>
            <w:tcBorders>
              <w:top w:val="single" w:sz="4" w:space="0" w:color="000000"/>
              <w:left w:val="single" w:sz="4" w:space="0" w:color="000000"/>
              <w:bottom w:val="single" w:sz="4" w:space="0" w:color="000000"/>
              <w:right w:val="nil"/>
            </w:tcBorders>
            <w:hideMark/>
          </w:tcPr>
          <w:p w14:paraId="63B1BE10" w14:textId="4E422138" w:rsidR="002E1AAF" w:rsidRPr="00675182" w:rsidRDefault="002E1AAF" w:rsidP="00FB5C32">
            <w:pPr>
              <w:pStyle w:val="BodyText"/>
              <w:snapToGrid w:val="0"/>
              <w:spacing w:after="0"/>
              <w:rPr>
                <w:rFonts w:cstheme="minorHAnsi"/>
                <w:sz w:val="22"/>
                <w:szCs w:val="22"/>
                <w:lang w:val="lv-LV"/>
              </w:rPr>
            </w:pPr>
            <w:r w:rsidRPr="00675182">
              <w:rPr>
                <w:rFonts w:cstheme="minorHAnsi"/>
                <w:sz w:val="22"/>
                <w:szCs w:val="22"/>
                <w:lang w:val="lv-LV"/>
              </w:rPr>
              <w:t>Upes un ezeri</w:t>
            </w:r>
          </w:p>
        </w:tc>
        <w:tc>
          <w:tcPr>
            <w:tcW w:w="965" w:type="pct"/>
            <w:tcBorders>
              <w:top w:val="single" w:sz="4" w:space="0" w:color="000000"/>
              <w:left w:val="single" w:sz="4" w:space="0" w:color="000000"/>
              <w:bottom w:val="single" w:sz="4" w:space="0" w:color="000000"/>
              <w:right w:val="single" w:sz="4" w:space="0" w:color="000000"/>
            </w:tcBorders>
          </w:tcPr>
          <w:p w14:paraId="4E7F263B" w14:textId="42A6E601" w:rsidR="002E1AAF" w:rsidRPr="00675182" w:rsidRDefault="00053B60" w:rsidP="002E1AAF">
            <w:pPr>
              <w:pStyle w:val="BodyText"/>
              <w:snapToGrid w:val="0"/>
              <w:spacing w:after="0"/>
              <w:rPr>
                <w:rFonts w:cstheme="minorHAnsi"/>
                <w:sz w:val="22"/>
                <w:szCs w:val="22"/>
                <w:lang w:val="lv-LV"/>
              </w:rPr>
            </w:pPr>
            <w:r>
              <w:rPr>
                <w:rFonts w:cstheme="minorHAnsi"/>
                <w:sz w:val="22"/>
                <w:szCs w:val="22"/>
                <w:lang w:val="lv-LV"/>
              </w:rPr>
              <w:t>ĪA</w:t>
            </w:r>
            <w:r w:rsidR="002E1AAF" w:rsidRPr="00675182">
              <w:rPr>
                <w:rFonts w:cstheme="minorHAnsi"/>
                <w:sz w:val="22"/>
                <w:szCs w:val="22"/>
                <w:lang w:val="lv-LV"/>
              </w:rPr>
              <w:t xml:space="preserve"> biotopi. </w:t>
            </w:r>
          </w:p>
          <w:p w14:paraId="520FB4F8" w14:textId="77777777" w:rsidR="00F413A0" w:rsidRPr="00675182" w:rsidRDefault="00F413A0" w:rsidP="002E1AAF">
            <w:pPr>
              <w:pStyle w:val="BodyText"/>
              <w:snapToGrid w:val="0"/>
              <w:spacing w:after="0"/>
              <w:rPr>
                <w:rFonts w:cstheme="minorHAnsi"/>
                <w:sz w:val="22"/>
                <w:szCs w:val="22"/>
                <w:lang w:val="lv-LV"/>
              </w:rPr>
            </w:pPr>
          </w:p>
          <w:p w14:paraId="309D8F7B" w14:textId="058EDC95" w:rsidR="002E1AAF" w:rsidRPr="00675182" w:rsidRDefault="002E1AAF" w:rsidP="002E1AAF">
            <w:pPr>
              <w:pStyle w:val="BodyText"/>
              <w:snapToGrid w:val="0"/>
              <w:spacing w:after="0"/>
              <w:rPr>
                <w:rFonts w:cstheme="minorHAnsi"/>
                <w:sz w:val="22"/>
                <w:szCs w:val="22"/>
                <w:lang w:val="lv-LV"/>
              </w:rPr>
            </w:pPr>
            <w:r w:rsidRPr="00675182">
              <w:rPr>
                <w:rFonts w:cstheme="minorHAnsi"/>
                <w:sz w:val="22"/>
                <w:szCs w:val="22"/>
                <w:lang w:val="lv-LV"/>
              </w:rPr>
              <w:t>Dzīvotne gan tipiskām, gan daudzām ret</w:t>
            </w:r>
            <w:r w:rsidR="00FA0FF1" w:rsidRPr="00675182">
              <w:rPr>
                <w:rFonts w:cstheme="minorHAnsi"/>
                <w:sz w:val="22"/>
                <w:szCs w:val="22"/>
                <w:lang w:val="lv-LV"/>
              </w:rPr>
              <w:t>ām</w:t>
            </w:r>
            <w:r w:rsidRPr="00675182">
              <w:rPr>
                <w:rFonts w:cstheme="minorHAnsi"/>
                <w:sz w:val="22"/>
                <w:szCs w:val="22"/>
                <w:lang w:val="lv-LV"/>
              </w:rPr>
              <w:t xml:space="preserve"> un </w:t>
            </w:r>
            <w:r w:rsidR="00053B60">
              <w:rPr>
                <w:rFonts w:cstheme="minorHAnsi"/>
                <w:sz w:val="22"/>
                <w:szCs w:val="22"/>
                <w:lang w:val="lv-LV"/>
              </w:rPr>
              <w:t>ĪA</w:t>
            </w:r>
            <w:r w:rsidRPr="00675182">
              <w:rPr>
                <w:rFonts w:cstheme="minorHAnsi"/>
                <w:sz w:val="22"/>
                <w:szCs w:val="22"/>
                <w:lang w:val="lv-LV"/>
              </w:rPr>
              <w:t xml:space="preserve"> vaskulāro augu, sporaugu, sūnu, bezmugurkaulnieku un zīdītājdzīvnieku sugām.</w:t>
            </w:r>
          </w:p>
          <w:p w14:paraId="32437784" w14:textId="77777777" w:rsidR="002E1AAF" w:rsidRPr="00675182" w:rsidRDefault="002E1AAF" w:rsidP="00FB5C32">
            <w:pPr>
              <w:snapToGrid w:val="0"/>
              <w:rPr>
                <w:rFonts w:cstheme="minorHAnsi"/>
                <w:sz w:val="22"/>
                <w:szCs w:val="22"/>
              </w:rPr>
            </w:pPr>
          </w:p>
        </w:tc>
        <w:tc>
          <w:tcPr>
            <w:tcW w:w="1322" w:type="pct"/>
            <w:tcBorders>
              <w:top w:val="single" w:sz="4" w:space="0" w:color="000000"/>
              <w:left w:val="single" w:sz="4" w:space="0" w:color="000000"/>
              <w:bottom w:val="single" w:sz="4" w:space="0" w:color="000000"/>
              <w:right w:val="nil"/>
            </w:tcBorders>
            <w:hideMark/>
          </w:tcPr>
          <w:p w14:paraId="7A5EDEDC" w14:textId="36B50022" w:rsidR="002E1AAF" w:rsidRPr="00675182" w:rsidRDefault="002E1AAF" w:rsidP="00FB5C32">
            <w:pPr>
              <w:snapToGrid w:val="0"/>
              <w:rPr>
                <w:rFonts w:cstheme="minorHAnsi"/>
                <w:sz w:val="22"/>
                <w:szCs w:val="22"/>
              </w:rPr>
            </w:pPr>
            <w:r w:rsidRPr="00675182">
              <w:rPr>
                <w:rFonts w:cstheme="minorHAnsi"/>
                <w:sz w:val="22"/>
                <w:szCs w:val="22"/>
              </w:rPr>
              <w:t xml:space="preserve">Dzīves vide un barošanās vietas daudzām bezmugurkaulnieku, zivju, abinieku, putnu un zīdītāju sugām. Tūrisms un rekreācija. </w:t>
            </w:r>
          </w:p>
          <w:p w14:paraId="58D2E2AE" w14:textId="77777777" w:rsidR="002E1AAF" w:rsidRPr="00675182" w:rsidRDefault="002E1AAF" w:rsidP="00FB5C32">
            <w:pPr>
              <w:snapToGrid w:val="0"/>
              <w:rPr>
                <w:rFonts w:cstheme="minorHAnsi"/>
                <w:sz w:val="22"/>
                <w:szCs w:val="22"/>
              </w:rPr>
            </w:pPr>
          </w:p>
          <w:p w14:paraId="34D56ABE" w14:textId="2D0C101B" w:rsidR="002E1AAF" w:rsidRPr="00675182" w:rsidRDefault="002E1AAF" w:rsidP="00FB5C32">
            <w:pPr>
              <w:snapToGrid w:val="0"/>
              <w:rPr>
                <w:rFonts w:cstheme="minorHAnsi"/>
                <w:sz w:val="22"/>
                <w:szCs w:val="22"/>
              </w:rPr>
            </w:pPr>
            <w:r w:rsidRPr="00675182">
              <w:rPr>
                <w:rFonts w:cstheme="minorHAnsi"/>
                <w:sz w:val="22"/>
                <w:szCs w:val="22"/>
                <w:shd w:val="clear" w:color="auto" w:fill="FFFFFF"/>
              </w:rPr>
              <w:t>Vizuāli augstvērtīga ainava.</w:t>
            </w:r>
          </w:p>
        </w:tc>
        <w:tc>
          <w:tcPr>
            <w:tcW w:w="2003" w:type="pct"/>
            <w:tcBorders>
              <w:top w:val="single" w:sz="4" w:space="0" w:color="000000"/>
              <w:left w:val="single" w:sz="4" w:space="0" w:color="000000"/>
              <w:bottom w:val="single" w:sz="4" w:space="0" w:color="000000"/>
              <w:right w:val="single" w:sz="4" w:space="0" w:color="000000"/>
            </w:tcBorders>
            <w:hideMark/>
          </w:tcPr>
          <w:p w14:paraId="7CF094D7" w14:textId="570B99AB" w:rsidR="002E1AAF" w:rsidRPr="00675182" w:rsidRDefault="002E1AAF" w:rsidP="00FB5C32">
            <w:pPr>
              <w:suppressAutoHyphens w:val="0"/>
              <w:rPr>
                <w:rFonts w:cstheme="minorHAnsi"/>
                <w:sz w:val="22"/>
                <w:szCs w:val="22"/>
              </w:rPr>
            </w:pPr>
            <w:r w:rsidRPr="00675182">
              <w:rPr>
                <w:rFonts w:cstheme="minorHAnsi"/>
                <w:sz w:val="22"/>
                <w:szCs w:val="22"/>
              </w:rPr>
              <w:t>Eitrofikācija, ko rada biogēn</w:t>
            </w:r>
            <w:r w:rsidR="00FA0FF1" w:rsidRPr="00675182">
              <w:rPr>
                <w:rFonts w:cstheme="minorHAnsi"/>
                <w:sz w:val="22"/>
                <w:szCs w:val="22"/>
              </w:rPr>
              <w:t>i jeb barības vielas</w:t>
            </w:r>
            <w:r w:rsidRPr="00675182">
              <w:rPr>
                <w:rFonts w:cstheme="minorHAnsi"/>
                <w:sz w:val="22"/>
                <w:szCs w:val="22"/>
              </w:rPr>
              <w:t xml:space="preserve"> no notekūdeņu ieplūdes no apdzīvotām vietām, privātmājām, fermām un ražotņu teritorijām, kā arī noplūdes no lauksaimniecības zemēm</w:t>
            </w:r>
            <w:r w:rsidR="00F413A0" w:rsidRPr="00675182">
              <w:rPr>
                <w:rFonts w:cstheme="minorHAnsi"/>
                <w:sz w:val="22"/>
                <w:szCs w:val="22"/>
              </w:rPr>
              <w:t>.</w:t>
            </w:r>
          </w:p>
          <w:p w14:paraId="3B4E0B7D" w14:textId="77777777" w:rsidR="00F413A0" w:rsidRPr="00675182" w:rsidRDefault="00F413A0" w:rsidP="00FB5C32">
            <w:pPr>
              <w:suppressAutoHyphens w:val="0"/>
              <w:rPr>
                <w:rFonts w:cstheme="minorHAnsi"/>
                <w:sz w:val="22"/>
                <w:szCs w:val="22"/>
              </w:rPr>
            </w:pPr>
          </w:p>
          <w:p w14:paraId="348AFB8F" w14:textId="54B0E91D" w:rsidR="002E1AAF" w:rsidRPr="00675182" w:rsidRDefault="002E1AAF" w:rsidP="00FB5C32">
            <w:pPr>
              <w:suppressAutoHyphens w:val="0"/>
              <w:rPr>
                <w:rFonts w:cstheme="minorHAnsi"/>
                <w:sz w:val="22"/>
                <w:szCs w:val="22"/>
              </w:rPr>
            </w:pPr>
            <w:r w:rsidRPr="00675182">
              <w:rPr>
                <w:rFonts w:cstheme="minorHAnsi"/>
                <w:sz w:val="22"/>
                <w:szCs w:val="22"/>
              </w:rPr>
              <w:t xml:space="preserve">Ezeru un upju piekrastēs atrodas atpūtas vietas, kas rada būtisku slodzi uz </w:t>
            </w:r>
            <w:r w:rsidR="00DB58E4">
              <w:rPr>
                <w:rFonts w:cstheme="minorHAnsi"/>
                <w:sz w:val="22"/>
                <w:szCs w:val="22"/>
              </w:rPr>
              <w:t>ŪO</w:t>
            </w:r>
            <w:r w:rsidR="00872649" w:rsidRPr="00675182">
              <w:rPr>
                <w:rFonts w:cstheme="minorHAnsi"/>
                <w:sz w:val="22"/>
                <w:szCs w:val="22"/>
              </w:rPr>
              <w:t>.</w:t>
            </w:r>
            <w:r w:rsidRPr="00675182">
              <w:rPr>
                <w:rFonts w:cstheme="minorHAnsi"/>
                <w:sz w:val="22"/>
                <w:szCs w:val="22"/>
              </w:rPr>
              <w:t xml:space="preserve"> </w:t>
            </w:r>
          </w:p>
          <w:p w14:paraId="52E175BD" w14:textId="5712E520" w:rsidR="002E1AAF" w:rsidRPr="00675182" w:rsidRDefault="002E1AAF" w:rsidP="00FB5C32">
            <w:pPr>
              <w:suppressAutoHyphens w:val="0"/>
              <w:rPr>
                <w:rFonts w:cstheme="minorHAnsi"/>
                <w:sz w:val="22"/>
                <w:szCs w:val="22"/>
              </w:rPr>
            </w:pPr>
            <w:r w:rsidRPr="00675182">
              <w:rPr>
                <w:rFonts w:cstheme="minorHAnsi"/>
                <w:sz w:val="22"/>
                <w:szCs w:val="22"/>
              </w:rPr>
              <w:t>Invazīvo un svešzemju sugu izplatība</w:t>
            </w:r>
            <w:r w:rsidR="00872649" w:rsidRPr="00675182">
              <w:rPr>
                <w:rFonts w:cstheme="minorHAnsi"/>
                <w:sz w:val="22"/>
                <w:szCs w:val="22"/>
              </w:rPr>
              <w:t>.</w:t>
            </w:r>
          </w:p>
          <w:p w14:paraId="3E41989B" w14:textId="4A9E74F0" w:rsidR="00872649" w:rsidRPr="00675182" w:rsidRDefault="002E1AAF" w:rsidP="00FB5C32">
            <w:pPr>
              <w:suppressAutoHyphens w:val="0"/>
              <w:rPr>
                <w:rFonts w:cstheme="minorHAnsi"/>
                <w:sz w:val="22"/>
                <w:szCs w:val="22"/>
              </w:rPr>
            </w:pPr>
            <w:r w:rsidRPr="00675182">
              <w:rPr>
                <w:rFonts w:cstheme="minorHAnsi"/>
                <w:sz w:val="22"/>
                <w:szCs w:val="22"/>
              </w:rPr>
              <w:t>Bebru darbība un koku sagāzum</w:t>
            </w:r>
            <w:r w:rsidR="00FA0FF1" w:rsidRPr="00675182">
              <w:rPr>
                <w:rFonts w:cstheme="minorHAnsi"/>
                <w:sz w:val="22"/>
                <w:szCs w:val="22"/>
              </w:rPr>
              <w:t>i</w:t>
            </w:r>
            <w:r w:rsidR="00872649" w:rsidRPr="00675182">
              <w:rPr>
                <w:rFonts w:cstheme="minorHAnsi"/>
                <w:sz w:val="22"/>
                <w:szCs w:val="22"/>
              </w:rPr>
              <w:t>.</w:t>
            </w:r>
          </w:p>
          <w:p w14:paraId="19F6243C" w14:textId="75884D91" w:rsidR="002E1AAF" w:rsidRPr="00675182" w:rsidRDefault="002E1AAF" w:rsidP="00FB5C32">
            <w:pPr>
              <w:suppressAutoHyphens w:val="0"/>
              <w:rPr>
                <w:rFonts w:cstheme="minorHAnsi"/>
                <w:sz w:val="22"/>
                <w:szCs w:val="22"/>
              </w:rPr>
            </w:pPr>
            <w:r w:rsidRPr="00675182">
              <w:rPr>
                <w:rFonts w:cstheme="minorHAnsi"/>
                <w:sz w:val="22"/>
                <w:szCs w:val="22"/>
              </w:rPr>
              <w:t xml:space="preserve">Meliorācijas ietekme. </w:t>
            </w:r>
          </w:p>
        </w:tc>
      </w:tr>
      <w:tr w:rsidR="002E1AAF" w:rsidRPr="00675182" w14:paraId="16B33F67" w14:textId="77777777" w:rsidTr="009D399A">
        <w:tc>
          <w:tcPr>
            <w:tcW w:w="710" w:type="pct"/>
            <w:tcBorders>
              <w:top w:val="single" w:sz="4" w:space="0" w:color="000000"/>
              <w:left w:val="single" w:sz="4" w:space="0" w:color="000000"/>
              <w:bottom w:val="single" w:sz="4" w:space="0" w:color="000000"/>
              <w:right w:val="nil"/>
            </w:tcBorders>
          </w:tcPr>
          <w:p w14:paraId="466B375D" w14:textId="190F9FBB" w:rsidR="002E1AAF" w:rsidRPr="00675182" w:rsidRDefault="002E1AAF" w:rsidP="00FB5C32">
            <w:pPr>
              <w:pStyle w:val="BodyText"/>
              <w:snapToGrid w:val="0"/>
              <w:spacing w:after="0"/>
              <w:rPr>
                <w:rFonts w:cstheme="minorHAnsi"/>
                <w:sz w:val="22"/>
                <w:szCs w:val="22"/>
                <w:lang w:val="lv-LV"/>
              </w:rPr>
            </w:pPr>
            <w:r w:rsidRPr="00675182">
              <w:rPr>
                <w:rFonts w:cstheme="minorHAnsi"/>
                <w:sz w:val="22"/>
                <w:szCs w:val="22"/>
                <w:lang w:val="lv-LV"/>
              </w:rPr>
              <w:t>Iežu atsegumi un al</w:t>
            </w:r>
            <w:r w:rsidR="00F413A0" w:rsidRPr="00675182">
              <w:rPr>
                <w:rFonts w:cstheme="minorHAnsi"/>
                <w:sz w:val="22"/>
                <w:szCs w:val="22"/>
                <w:lang w:val="lv-LV"/>
              </w:rPr>
              <w:t>as</w:t>
            </w:r>
            <w:r w:rsidRPr="00675182">
              <w:rPr>
                <w:rFonts w:cstheme="minorHAnsi"/>
                <w:sz w:val="22"/>
                <w:szCs w:val="22"/>
                <w:lang w:val="lv-LV"/>
              </w:rPr>
              <w:t xml:space="preserve"> </w:t>
            </w:r>
          </w:p>
        </w:tc>
        <w:tc>
          <w:tcPr>
            <w:tcW w:w="965" w:type="pct"/>
            <w:tcBorders>
              <w:top w:val="single" w:sz="4" w:space="0" w:color="000000"/>
              <w:left w:val="single" w:sz="4" w:space="0" w:color="000000"/>
              <w:bottom w:val="single" w:sz="4" w:space="0" w:color="000000"/>
              <w:right w:val="single" w:sz="4" w:space="0" w:color="000000"/>
            </w:tcBorders>
          </w:tcPr>
          <w:p w14:paraId="076F954A" w14:textId="21EBE517" w:rsidR="00F413A0" w:rsidRPr="00675182" w:rsidRDefault="001367BC" w:rsidP="00F413A0">
            <w:pPr>
              <w:pStyle w:val="BodyText"/>
              <w:snapToGrid w:val="0"/>
              <w:spacing w:after="0"/>
              <w:rPr>
                <w:rFonts w:cstheme="minorHAnsi"/>
                <w:sz w:val="22"/>
                <w:szCs w:val="22"/>
                <w:lang w:val="lv-LV"/>
              </w:rPr>
            </w:pPr>
            <w:r>
              <w:rPr>
                <w:rFonts w:cstheme="minorHAnsi"/>
                <w:sz w:val="22"/>
                <w:szCs w:val="22"/>
                <w:lang w:val="lv-LV"/>
              </w:rPr>
              <w:t>ĪA</w:t>
            </w:r>
            <w:r w:rsidR="00F413A0" w:rsidRPr="00675182">
              <w:rPr>
                <w:rFonts w:cstheme="minorHAnsi"/>
                <w:sz w:val="22"/>
                <w:szCs w:val="22"/>
                <w:lang w:val="lv-LV"/>
              </w:rPr>
              <w:t xml:space="preserve"> biotopi. </w:t>
            </w:r>
          </w:p>
          <w:p w14:paraId="5B57D995" w14:textId="71C057E1" w:rsidR="002E1AAF" w:rsidRPr="00675182" w:rsidRDefault="00F413A0" w:rsidP="00FB5C32">
            <w:pPr>
              <w:snapToGrid w:val="0"/>
              <w:rPr>
                <w:rFonts w:cstheme="minorHAnsi"/>
                <w:sz w:val="22"/>
                <w:szCs w:val="22"/>
              </w:rPr>
            </w:pPr>
            <w:r w:rsidRPr="00675182">
              <w:rPr>
                <w:rFonts w:cstheme="minorHAnsi"/>
                <w:sz w:val="22"/>
                <w:szCs w:val="22"/>
              </w:rPr>
              <w:t xml:space="preserve">Dzīvotne daudzām retām un </w:t>
            </w:r>
            <w:r w:rsidR="001367BC">
              <w:rPr>
                <w:rFonts w:cstheme="minorHAnsi"/>
                <w:sz w:val="22"/>
                <w:szCs w:val="22"/>
              </w:rPr>
              <w:t>ĪA</w:t>
            </w:r>
            <w:r w:rsidRPr="00675182">
              <w:rPr>
                <w:rFonts w:cstheme="minorHAnsi"/>
                <w:sz w:val="22"/>
                <w:szCs w:val="22"/>
              </w:rPr>
              <w:t xml:space="preserve"> sugām.</w:t>
            </w:r>
          </w:p>
        </w:tc>
        <w:tc>
          <w:tcPr>
            <w:tcW w:w="1322" w:type="pct"/>
            <w:tcBorders>
              <w:top w:val="single" w:sz="4" w:space="0" w:color="000000"/>
              <w:left w:val="single" w:sz="4" w:space="0" w:color="000000"/>
              <w:bottom w:val="single" w:sz="4" w:space="0" w:color="000000"/>
              <w:right w:val="nil"/>
            </w:tcBorders>
          </w:tcPr>
          <w:p w14:paraId="2A68EF61" w14:textId="614CD36D" w:rsidR="002E1AAF" w:rsidRPr="00675182" w:rsidRDefault="002E1AAF" w:rsidP="00FB5C32">
            <w:pPr>
              <w:snapToGrid w:val="0"/>
              <w:rPr>
                <w:rFonts w:cstheme="minorHAnsi"/>
                <w:sz w:val="22"/>
                <w:szCs w:val="22"/>
              </w:rPr>
            </w:pPr>
            <w:r w:rsidRPr="00675182">
              <w:rPr>
                <w:rFonts w:cstheme="minorHAnsi"/>
                <w:sz w:val="22"/>
                <w:szCs w:val="22"/>
              </w:rPr>
              <w:t xml:space="preserve">Izziņas vērtība. </w:t>
            </w:r>
          </w:p>
          <w:p w14:paraId="771C84B5" w14:textId="7AF8393D" w:rsidR="002E1AAF" w:rsidRPr="00675182" w:rsidRDefault="002E1AAF" w:rsidP="00FB5C32">
            <w:pPr>
              <w:snapToGrid w:val="0"/>
              <w:rPr>
                <w:rFonts w:cstheme="minorHAnsi"/>
                <w:sz w:val="22"/>
                <w:szCs w:val="22"/>
              </w:rPr>
            </w:pPr>
            <w:r w:rsidRPr="00675182">
              <w:rPr>
                <w:rFonts w:cstheme="minorHAnsi"/>
                <w:sz w:val="22"/>
                <w:szCs w:val="22"/>
              </w:rPr>
              <w:t xml:space="preserve">Tūrisms un rekreācija. </w:t>
            </w:r>
          </w:p>
          <w:p w14:paraId="1A37BBC9" w14:textId="1C1C141C" w:rsidR="002E1AAF" w:rsidRPr="00675182" w:rsidRDefault="002E1AAF" w:rsidP="00FB5C32">
            <w:pPr>
              <w:snapToGrid w:val="0"/>
              <w:rPr>
                <w:rFonts w:cstheme="minorHAnsi"/>
                <w:sz w:val="22"/>
                <w:szCs w:val="22"/>
              </w:rPr>
            </w:pPr>
            <w:r w:rsidRPr="00675182">
              <w:rPr>
                <w:rFonts w:cstheme="minorHAnsi"/>
                <w:sz w:val="22"/>
                <w:szCs w:val="22"/>
                <w:shd w:val="clear" w:color="auto" w:fill="FFFFFF"/>
              </w:rPr>
              <w:t>Vizuāli augstvērtīga ainava.</w:t>
            </w:r>
          </w:p>
        </w:tc>
        <w:tc>
          <w:tcPr>
            <w:tcW w:w="2003" w:type="pct"/>
            <w:tcBorders>
              <w:top w:val="single" w:sz="4" w:space="0" w:color="000000"/>
              <w:left w:val="single" w:sz="4" w:space="0" w:color="000000"/>
              <w:bottom w:val="single" w:sz="4" w:space="0" w:color="000000"/>
              <w:right w:val="single" w:sz="4" w:space="0" w:color="000000"/>
            </w:tcBorders>
          </w:tcPr>
          <w:p w14:paraId="672BCF0E" w14:textId="076B563F" w:rsidR="002E1AAF" w:rsidRPr="00675182" w:rsidRDefault="002E1AAF" w:rsidP="00F413A0">
            <w:pPr>
              <w:suppressAutoHyphens w:val="0"/>
              <w:rPr>
                <w:rFonts w:cstheme="minorHAnsi"/>
                <w:sz w:val="22"/>
                <w:szCs w:val="22"/>
              </w:rPr>
            </w:pPr>
            <w:r w:rsidRPr="00675182">
              <w:rPr>
                <w:rFonts w:cstheme="minorHAnsi"/>
                <w:sz w:val="22"/>
                <w:szCs w:val="22"/>
              </w:rPr>
              <w:t>Antropogēna ietekme – pārāk intensīvu apmeklējumu rezultātā notiek dzīvotņu izmīdīšana, atsegumu pastiprināta erozija, traucējums alās ziemojošām sugām</w:t>
            </w:r>
            <w:r w:rsidR="00F413A0" w:rsidRPr="00675182">
              <w:rPr>
                <w:rFonts w:cstheme="minorHAnsi"/>
                <w:sz w:val="22"/>
                <w:szCs w:val="22"/>
              </w:rPr>
              <w:t>.</w:t>
            </w:r>
          </w:p>
        </w:tc>
      </w:tr>
      <w:tr w:rsidR="002E1AAF" w:rsidRPr="00675182" w14:paraId="269FD061" w14:textId="77777777" w:rsidTr="009D399A">
        <w:tc>
          <w:tcPr>
            <w:tcW w:w="710" w:type="pct"/>
            <w:tcBorders>
              <w:top w:val="single" w:sz="4" w:space="0" w:color="000000"/>
              <w:left w:val="single" w:sz="4" w:space="0" w:color="000000"/>
              <w:bottom w:val="single" w:sz="4" w:space="0" w:color="000000"/>
              <w:right w:val="nil"/>
            </w:tcBorders>
            <w:hideMark/>
          </w:tcPr>
          <w:p w14:paraId="2231734D" w14:textId="4FD96904" w:rsidR="002E1AAF" w:rsidRPr="00675182" w:rsidRDefault="00F413A0" w:rsidP="00FB5C32">
            <w:pPr>
              <w:pStyle w:val="BodyText"/>
              <w:snapToGrid w:val="0"/>
              <w:spacing w:after="0"/>
              <w:rPr>
                <w:rFonts w:cstheme="minorHAnsi"/>
                <w:sz w:val="22"/>
                <w:szCs w:val="22"/>
                <w:lang w:val="lv-LV"/>
              </w:rPr>
            </w:pPr>
            <w:r w:rsidRPr="00675182">
              <w:rPr>
                <w:rFonts w:cstheme="minorHAnsi"/>
                <w:sz w:val="22"/>
                <w:szCs w:val="22"/>
                <w:lang w:val="lv-LV"/>
              </w:rPr>
              <w:t>Zālāji</w:t>
            </w:r>
          </w:p>
        </w:tc>
        <w:tc>
          <w:tcPr>
            <w:tcW w:w="965" w:type="pct"/>
            <w:tcBorders>
              <w:top w:val="single" w:sz="4" w:space="0" w:color="000000"/>
              <w:left w:val="single" w:sz="4" w:space="0" w:color="000000"/>
              <w:bottom w:val="single" w:sz="4" w:space="0" w:color="000000"/>
              <w:right w:val="single" w:sz="4" w:space="0" w:color="000000"/>
            </w:tcBorders>
          </w:tcPr>
          <w:p w14:paraId="338C7A89" w14:textId="1FB8C595" w:rsidR="00F413A0" w:rsidRPr="00675182" w:rsidRDefault="005D63E3" w:rsidP="00F413A0">
            <w:pPr>
              <w:pStyle w:val="BodyText"/>
              <w:snapToGrid w:val="0"/>
              <w:spacing w:after="0"/>
              <w:rPr>
                <w:rFonts w:cstheme="minorHAnsi"/>
                <w:sz w:val="22"/>
                <w:szCs w:val="22"/>
                <w:lang w:val="lv-LV"/>
              </w:rPr>
            </w:pPr>
            <w:r>
              <w:rPr>
                <w:rFonts w:cstheme="minorHAnsi"/>
                <w:sz w:val="22"/>
                <w:szCs w:val="22"/>
                <w:lang w:val="lv-LV"/>
              </w:rPr>
              <w:t>ĪA</w:t>
            </w:r>
            <w:r w:rsidR="00F413A0" w:rsidRPr="00675182">
              <w:rPr>
                <w:rFonts w:cstheme="minorHAnsi"/>
                <w:sz w:val="22"/>
                <w:szCs w:val="22"/>
                <w:lang w:val="lv-LV"/>
              </w:rPr>
              <w:t xml:space="preserve"> biotopi. </w:t>
            </w:r>
          </w:p>
          <w:p w14:paraId="2C39FA39" w14:textId="0E80B8AD" w:rsidR="002E1AAF" w:rsidRPr="00675182" w:rsidRDefault="00F413A0" w:rsidP="00F413A0">
            <w:pPr>
              <w:snapToGrid w:val="0"/>
              <w:rPr>
                <w:rFonts w:cstheme="minorHAnsi"/>
                <w:sz w:val="22"/>
                <w:szCs w:val="22"/>
              </w:rPr>
            </w:pPr>
            <w:r w:rsidRPr="00675182">
              <w:rPr>
                <w:rFonts w:cstheme="minorHAnsi"/>
                <w:sz w:val="22"/>
                <w:szCs w:val="22"/>
              </w:rPr>
              <w:t xml:space="preserve">Dzīvotne gan tipiskām, gan daudzām retām un </w:t>
            </w:r>
            <w:r w:rsidR="005D63E3">
              <w:rPr>
                <w:rFonts w:cstheme="minorHAnsi"/>
                <w:sz w:val="22"/>
                <w:szCs w:val="22"/>
              </w:rPr>
              <w:t>ĪA</w:t>
            </w:r>
            <w:r w:rsidRPr="00675182">
              <w:rPr>
                <w:rFonts w:cstheme="minorHAnsi"/>
                <w:sz w:val="22"/>
                <w:szCs w:val="22"/>
              </w:rPr>
              <w:t xml:space="preserve"> sugām.</w:t>
            </w:r>
          </w:p>
        </w:tc>
        <w:tc>
          <w:tcPr>
            <w:tcW w:w="1322" w:type="pct"/>
            <w:tcBorders>
              <w:top w:val="single" w:sz="4" w:space="0" w:color="000000"/>
              <w:left w:val="single" w:sz="4" w:space="0" w:color="000000"/>
              <w:bottom w:val="single" w:sz="4" w:space="0" w:color="000000"/>
              <w:right w:val="nil"/>
            </w:tcBorders>
            <w:hideMark/>
          </w:tcPr>
          <w:p w14:paraId="63808206" w14:textId="77777777" w:rsidR="002E1AAF" w:rsidRPr="00675182" w:rsidRDefault="002E1AAF" w:rsidP="00FB5C32">
            <w:pPr>
              <w:snapToGrid w:val="0"/>
              <w:rPr>
                <w:rFonts w:cstheme="minorHAnsi"/>
                <w:sz w:val="22"/>
                <w:szCs w:val="22"/>
              </w:rPr>
            </w:pPr>
            <w:r w:rsidRPr="00675182">
              <w:rPr>
                <w:rFonts w:cstheme="minorHAnsi"/>
                <w:sz w:val="22"/>
                <w:szCs w:val="22"/>
              </w:rPr>
              <w:t xml:space="preserve">Zālāju apsaimniekošana – lopbarības iegūšana, platībmaksājumi. Ārstniecības augu vākšana. Tūrisms un rekreācija. </w:t>
            </w:r>
          </w:p>
          <w:p w14:paraId="79D387CF" w14:textId="77777777" w:rsidR="00F413A0" w:rsidRPr="00675182" w:rsidRDefault="00F413A0" w:rsidP="00FB5C32">
            <w:pPr>
              <w:snapToGrid w:val="0"/>
              <w:rPr>
                <w:rFonts w:cstheme="minorHAnsi"/>
                <w:sz w:val="22"/>
                <w:szCs w:val="22"/>
              </w:rPr>
            </w:pPr>
          </w:p>
          <w:p w14:paraId="5E211202" w14:textId="430E1067" w:rsidR="00F413A0" w:rsidRPr="00675182" w:rsidRDefault="00F413A0" w:rsidP="00FB5C32">
            <w:pPr>
              <w:snapToGrid w:val="0"/>
              <w:rPr>
                <w:rFonts w:cstheme="minorHAnsi"/>
                <w:sz w:val="22"/>
                <w:szCs w:val="22"/>
              </w:rPr>
            </w:pPr>
            <w:r w:rsidRPr="00675182">
              <w:rPr>
                <w:rFonts w:cstheme="minorHAnsi"/>
                <w:sz w:val="22"/>
                <w:szCs w:val="22"/>
                <w:shd w:val="clear" w:color="auto" w:fill="FFFFFF"/>
              </w:rPr>
              <w:t>Vizuāli augstvērtīga ainava.</w:t>
            </w:r>
          </w:p>
        </w:tc>
        <w:tc>
          <w:tcPr>
            <w:tcW w:w="2003" w:type="pct"/>
            <w:tcBorders>
              <w:top w:val="single" w:sz="4" w:space="0" w:color="000000"/>
              <w:left w:val="single" w:sz="4" w:space="0" w:color="000000"/>
              <w:bottom w:val="single" w:sz="4" w:space="0" w:color="000000"/>
              <w:right w:val="single" w:sz="4" w:space="0" w:color="000000"/>
            </w:tcBorders>
            <w:hideMark/>
          </w:tcPr>
          <w:p w14:paraId="616D71ED" w14:textId="7F34299F" w:rsidR="002E1AAF" w:rsidRPr="00675182" w:rsidRDefault="002E1AAF" w:rsidP="00FB5C32">
            <w:pPr>
              <w:rPr>
                <w:rFonts w:cstheme="minorHAnsi"/>
                <w:sz w:val="22"/>
                <w:szCs w:val="22"/>
              </w:rPr>
            </w:pPr>
            <w:r w:rsidRPr="00675182">
              <w:rPr>
                <w:rFonts w:cstheme="minorHAnsi"/>
                <w:sz w:val="22"/>
                <w:szCs w:val="22"/>
              </w:rPr>
              <w:t>Nepiemērota zālāju apsaimniekošana, kas noved pie augu sabiedrības izmaiņām un bioloģiskās daudzveidības samazināšanās</w:t>
            </w:r>
            <w:r w:rsidR="00872649" w:rsidRPr="00675182">
              <w:rPr>
                <w:rFonts w:cstheme="minorHAnsi"/>
                <w:sz w:val="22"/>
                <w:szCs w:val="22"/>
              </w:rPr>
              <w:t>.</w:t>
            </w:r>
          </w:p>
          <w:p w14:paraId="2D287563" w14:textId="77777777" w:rsidR="00872649" w:rsidRPr="00675182" w:rsidRDefault="002E1AAF" w:rsidP="00FB5C32">
            <w:pPr>
              <w:rPr>
                <w:rFonts w:cstheme="minorHAnsi"/>
                <w:sz w:val="22"/>
                <w:szCs w:val="22"/>
              </w:rPr>
            </w:pPr>
            <w:r w:rsidRPr="00675182">
              <w:rPr>
                <w:rFonts w:cstheme="minorHAnsi"/>
                <w:sz w:val="22"/>
                <w:szCs w:val="22"/>
              </w:rPr>
              <w:t>Zālāju apsaimniekošanas trūkums</w:t>
            </w:r>
            <w:r w:rsidR="00872649" w:rsidRPr="00675182">
              <w:rPr>
                <w:rFonts w:cstheme="minorHAnsi"/>
                <w:sz w:val="22"/>
                <w:szCs w:val="22"/>
              </w:rPr>
              <w:t>.</w:t>
            </w:r>
          </w:p>
          <w:p w14:paraId="12BF5A6C" w14:textId="3B6F053B" w:rsidR="00872649" w:rsidRPr="00675182" w:rsidRDefault="002E1AAF" w:rsidP="00FB5C32">
            <w:pPr>
              <w:rPr>
                <w:rFonts w:cstheme="minorHAnsi"/>
                <w:sz w:val="22"/>
                <w:szCs w:val="22"/>
              </w:rPr>
            </w:pPr>
            <w:r w:rsidRPr="00675182">
              <w:rPr>
                <w:rFonts w:cstheme="minorHAnsi"/>
                <w:sz w:val="22"/>
                <w:szCs w:val="22"/>
              </w:rPr>
              <w:t>Invazīvo un ekspansīvo sugu izplatība</w:t>
            </w:r>
            <w:r w:rsidR="00872649" w:rsidRPr="00675182">
              <w:rPr>
                <w:rFonts w:cstheme="minorHAnsi"/>
                <w:sz w:val="22"/>
                <w:szCs w:val="22"/>
              </w:rPr>
              <w:t>.</w:t>
            </w:r>
          </w:p>
          <w:p w14:paraId="462A30FE" w14:textId="042C1F59" w:rsidR="002E1AAF" w:rsidRPr="00675182" w:rsidRDefault="002E1AAF" w:rsidP="00FB5C32">
            <w:pPr>
              <w:rPr>
                <w:rFonts w:cstheme="minorHAnsi"/>
                <w:sz w:val="22"/>
                <w:szCs w:val="22"/>
              </w:rPr>
            </w:pPr>
            <w:r w:rsidRPr="00675182">
              <w:rPr>
                <w:rFonts w:cstheme="minorHAnsi"/>
                <w:sz w:val="22"/>
                <w:szCs w:val="22"/>
              </w:rPr>
              <w:t>Zālāju agrotehniska apstrāde, apbūve un hidroloģiskā režīma izmaiņas</w:t>
            </w:r>
            <w:r w:rsidR="00872649" w:rsidRPr="00675182">
              <w:rPr>
                <w:rFonts w:cstheme="minorHAnsi"/>
                <w:sz w:val="22"/>
                <w:szCs w:val="22"/>
              </w:rPr>
              <w:t>.</w:t>
            </w:r>
          </w:p>
          <w:p w14:paraId="35BCCA0B" w14:textId="1AC17AD8" w:rsidR="002E1AAF" w:rsidRPr="00675182" w:rsidRDefault="002E1AAF" w:rsidP="00FB5C32">
            <w:pPr>
              <w:rPr>
                <w:rFonts w:cstheme="minorHAnsi"/>
                <w:sz w:val="22"/>
                <w:szCs w:val="22"/>
              </w:rPr>
            </w:pPr>
            <w:r w:rsidRPr="00675182">
              <w:rPr>
                <w:rFonts w:cstheme="minorHAnsi"/>
                <w:sz w:val="22"/>
                <w:szCs w:val="22"/>
              </w:rPr>
              <w:lastRenderedPageBreak/>
              <w:t xml:space="preserve">Līdz 2023. gadam ir plānots atjaunot dabiskos zālājus ~40 ha platībā dažādās vietās visā GNP teritorijā, ka atstās viennozīmīgi pozitīvu ietekmi. </w:t>
            </w:r>
          </w:p>
        </w:tc>
      </w:tr>
      <w:tr w:rsidR="002E1AAF" w:rsidRPr="00675182" w14:paraId="70D37290" w14:textId="77777777" w:rsidTr="009D399A">
        <w:tc>
          <w:tcPr>
            <w:tcW w:w="710" w:type="pct"/>
            <w:tcBorders>
              <w:top w:val="single" w:sz="4" w:space="0" w:color="000000"/>
              <w:left w:val="single" w:sz="4" w:space="0" w:color="000000"/>
              <w:bottom w:val="single" w:sz="4" w:space="0" w:color="000000"/>
              <w:right w:val="nil"/>
            </w:tcBorders>
          </w:tcPr>
          <w:p w14:paraId="70A40963" w14:textId="14848E2A" w:rsidR="002E1AAF" w:rsidRPr="00675182" w:rsidRDefault="002E1AAF" w:rsidP="00FB5C32">
            <w:pPr>
              <w:pStyle w:val="BodyText"/>
              <w:snapToGrid w:val="0"/>
              <w:spacing w:after="0"/>
              <w:rPr>
                <w:rFonts w:cstheme="minorHAnsi"/>
                <w:sz w:val="22"/>
                <w:szCs w:val="22"/>
                <w:lang w:val="lv-LV"/>
              </w:rPr>
            </w:pPr>
            <w:r w:rsidRPr="00675182">
              <w:rPr>
                <w:rFonts w:cstheme="minorHAnsi"/>
                <w:sz w:val="22"/>
                <w:szCs w:val="22"/>
                <w:lang w:val="lv-LV"/>
              </w:rPr>
              <w:lastRenderedPageBreak/>
              <w:t xml:space="preserve">Purvi </w:t>
            </w:r>
          </w:p>
        </w:tc>
        <w:tc>
          <w:tcPr>
            <w:tcW w:w="965" w:type="pct"/>
            <w:tcBorders>
              <w:top w:val="single" w:sz="4" w:space="0" w:color="000000"/>
              <w:left w:val="single" w:sz="4" w:space="0" w:color="000000"/>
              <w:bottom w:val="single" w:sz="4" w:space="0" w:color="000000"/>
              <w:right w:val="single" w:sz="4" w:space="0" w:color="000000"/>
            </w:tcBorders>
          </w:tcPr>
          <w:p w14:paraId="13739ACF" w14:textId="7B398CA0" w:rsidR="00F413A0" w:rsidRPr="00675182" w:rsidRDefault="00B2731C" w:rsidP="00F413A0">
            <w:pPr>
              <w:pStyle w:val="BodyText"/>
              <w:snapToGrid w:val="0"/>
              <w:spacing w:after="0"/>
              <w:rPr>
                <w:rFonts w:cstheme="minorHAnsi"/>
                <w:sz w:val="22"/>
                <w:szCs w:val="22"/>
                <w:lang w:val="lv-LV"/>
              </w:rPr>
            </w:pPr>
            <w:r>
              <w:rPr>
                <w:rFonts w:cstheme="minorHAnsi"/>
                <w:sz w:val="22"/>
                <w:szCs w:val="22"/>
                <w:lang w:val="lv-LV"/>
              </w:rPr>
              <w:t>ĪA</w:t>
            </w:r>
            <w:r w:rsidR="00F413A0" w:rsidRPr="00675182">
              <w:rPr>
                <w:rFonts w:cstheme="minorHAnsi"/>
                <w:sz w:val="22"/>
                <w:szCs w:val="22"/>
                <w:lang w:val="lv-LV"/>
              </w:rPr>
              <w:t xml:space="preserve"> biotopi. </w:t>
            </w:r>
          </w:p>
          <w:p w14:paraId="26B4C5A3" w14:textId="69D4D6C6" w:rsidR="002E1AAF" w:rsidRPr="00675182" w:rsidRDefault="00F413A0" w:rsidP="00FB5C32">
            <w:pPr>
              <w:snapToGrid w:val="0"/>
              <w:rPr>
                <w:rFonts w:cstheme="minorHAnsi"/>
                <w:sz w:val="22"/>
                <w:szCs w:val="22"/>
              </w:rPr>
            </w:pPr>
            <w:r w:rsidRPr="00675182">
              <w:rPr>
                <w:rFonts w:cstheme="minorHAnsi"/>
                <w:sz w:val="22"/>
                <w:szCs w:val="22"/>
              </w:rPr>
              <w:t xml:space="preserve">Dzīvotne gan tipiskām, gan daudzām retām un </w:t>
            </w:r>
            <w:r w:rsidR="00B2731C">
              <w:rPr>
                <w:rFonts w:cstheme="minorHAnsi"/>
                <w:sz w:val="22"/>
                <w:szCs w:val="22"/>
              </w:rPr>
              <w:t>ĪA</w:t>
            </w:r>
            <w:r w:rsidRPr="00675182">
              <w:rPr>
                <w:rFonts w:cstheme="minorHAnsi"/>
                <w:sz w:val="22"/>
                <w:szCs w:val="22"/>
              </w:rPr>
              <w:t xml:space="preserve"> sugām.</w:t>
            </w:r>
          </w:p>
        </w:tc>
        <w:tc>
          <w:tcPr>
            <w:tcW w:w="1322" w:type="pct"/>
            <w:tcBorders>
              <w:top w:val="single" w:sz="4" w:space="0" w:color="000000"/>
              <w:left w:val="single" w:sz="4" w:space="0" w:color="000000"/>
              <w:bottom w:val="single" w:sz="4" w:space="0" w:color="000000"/>
              <w:right w:val="nil"/>
            </w:tcBorders>
          </w:tcPr>
          <w:p w14:paraId="1CE1BB42" w14:textId="4741144E" w:rsidR="002E1AAF" w:rsidRPr="00675182" w:rsidRDefault="002E1AAF" w:rsidP="00FB5C32">
            <w:pPr>
              <w:snapToGrid w:val="0"/>
              <w:rPr>
                <w:rFonts w:cstheme="minorHAnsi"/>
                <w:sz w:val="22"/>
                <w:szCs w:val="22"/>
              </w:rPr>
            </w:pPr>
            <w:r w:rsidRPr="00675182">
              <w:rPr>
                <w:rFonts w:cstheme="minorHAnsi"/>
                <w:sz w:val="22"/>
                <w:szCs w:val="22"/>
              </w:rPr>
              <w:t xml:space="preserve">Kūdras resursi. Rekreācija (ogošana). </w:t>
            </w:r>
          </w:p>
          <w:p w14:paraId="60091446" w14:textId="0E3EDE45" w:rsidR="002E1AAF" w:rsidRPr="00675182" w:rsidRDefault="002E1AAF" w:rsidP="00FB5C32">
            <w:pPr>
              <w:snapToGrid w:val="0"/>
              <w:rPr>
                <w:rFonts w:cstheme="minorHAnsi"/>
                <w:sz w:val="22"/>
                <w:szCs w:val="22"/>
              </w:rPr>
            </w:pPr>
            <w:r w:rsidRPr="00675182">
              <w:rPr>
                <w:rFonts w:cstheme="minorHAnsi"/>
                <w:sz w:val="22"/>
                <w:szCs w:val="22"/>
              </w:rPr>
              <w:t>Zinātniskā un dabas izziņas vērtība</w:t>
            </w:r>
          </w:p>
        </w:tc>
        <w:tc>
          <w:tcPr>
            <w:tcW w:w="2003" w:type="pct"/>
            <w:tcBorders>
              <w:top w:val="single" w:sz="4" w:space="0" w:color="000000"/>
              <w:left w:val="single" w:sz="4" w:space="0" w:color="000000"/>
              <w:bottom w:val="single" w:sz="4" w:space="0" w:color="000000"/>
              <w:right w:val="single" w:sz="4" w:space="0" w:color="000000"/>
            </w:tcBorders>
          </w:tcPr>
          <w:p w14:paraId="575B9E44" w14:textId="0DB0CB06" w:rsidR="002E1AAF" w:rsidRPr="00675182" w:rsidRDefault="002E1AAF" w:rsidP="00FB5C32">
            <w:pPr>
              <w:pStyle w:val="Index"/>
              <w:suppressLineNumbers w:val="0"/>
              <w:snapToGrid w:val="0"/>
              <w:rPr>
                <w:rFonts w:cstheme="minorHAnsi"/>
                <w:sz w:val="22"/>
                <w:szCs w:val="22"/>
              </w:rPr>
            </w:pPr>
            <w:r w:rsidRPr="00675182">
              <w:rPr>
                <w:rFonts w:cstheme="minorHAnsi"/>
                <w:sz w:val="22"/>
                <w:szCs w:val="22"/>
              </w:rPr>
              <w:t>Hidroloģisko apstākļu izmaiņas vēsturisko susināšanas (melioratīvo) darbu rezultātā.</w:t>
            </w:r>
          </w:p>
        </w:tc>
      </w:tr>
      <w:tr w:rsidR="002E1AAF" w:rsidRPr="00675182" w14:paraId="2A14C370" w14:textId="77777777" w:rsidTr="009D399A">
        <w:tc>
          <w:tcPr>
            <w:tcW w:w="710" w:type="pct"/>
            <w:tcBorders>
              <w:top w:val="single" w:sz="4" w:space="0" w:color="000000"/>
              <w:left w:val="single" w:sz="4" w:space="0" w:color="000000"/>
              <w:bottom w:val="single" w:sz="4" w:space="0" w:color="000000"/>
              <w:right w:val="nil"/>
            </w:tcBorders>
            <w:hideMark/>
          </w:tcPr>
          <w:p w14:paraId="5C09DE8C" w14:textId="4D064959" w:rsidR="002E1AAF" w:rsidRPr="00675182" w:rsidRDefault="002E1AAF" w:rsidP="00FB5C32">
            <w:pPr>
              <w:pStyle w:val="BodyText"/>
              <w:snapToGrid w:val="0"/>
              <w:spacing w:after="0"/>
              <w:rPr>
                <w:rFonts w:cstheme="minorHAnsi"/>
                <w:sz w:val="22"/>
                <w:szCs w:val="22"/>
                <w:lang w:val="lv-LV"/>
              </w:rPr>
            </w:pPr>
            <w:r w:rsidRPr="00675182">
              <w:rPr>
                <w:rFonts w:cstheme="minorHAnsi"/>
                <w:sz w:val="22"/>
                <w:szCs w:val="22"/>
                <w:lang w:val="lv-LV"/>
              </w:rPr>
              <w:t>Mež</w:t>
            </w:r>
            <w:r w:rsidR="00F413A0" w:rsidRPr="00675182">
              <w:rPr>
                <w:rFonts w:cstheme="minorHAnsi"/>
                <w:sz w:val="22"/>
                <w:szCs w:val="22"/>
                <w:lang w:val="lv-LV"/>
              </w:rPr>
              <w:t xml:space="preserve">i </w:t>
            </w:r>
          </w:p>
        </w:tc>
        <w:tc>
          <w:tcPr>
            <w:tcW w:w="965" w:type="pct"/>
            <w:tcBorders>
              <w:top w:val="single" w:sz="4" w:space="0" w:color="000000"/>
              <w:left w:val="single" w:sz="4" w:space="0" w:color="000000"/>
              <w:bottom w:val="single" w:sz="4" w:space="0" w:color="000000"/>
              <w:right w:val="single" w:sz="4" w:space="0" w:color="000000"/>
            </w:tcBorders>
          </w:tcPr>
          <w:p w14:paraId="7432FC51" w14:textId="2540657D" w:rsidR="00F413A0" w:rsidRPr="00675182" w:rsidRDefault="00CA338D" w:rsidP="00F413A0">
            <w:pPr>
              <w:pStyle w:val="BodyText"/>
              <w:snapToGrid w:val="0"/>
              <w:spacing w:after="0"/>
              <w:rPr>
                <w:rFonts w:cstheme="minorHAnsi"/>
                <w:sz w:val="22"/>
                <w:szCs w:val="22"/>
                <w:lang w:val="lv-LV"/>
              </w:rPr>
            </w:pPr>
            <w:r>
              <w:rPr>
                <w:rFonts w:cstheme="minorHAnsi"/>
                <w:sz w:val="22"/>
                <w:szCs w:val="22"/>
                <w:lang w:val="lv-LV"/>
              </w:rPr>
              <w:t>ĪA</w:t>
            </w:r>
            <w:r w:rsidR="00F413A0" w:rsidRPr="00675182">
              <w:rPr>
                <w:rFonts w:cstheme="minorHAnsi"/>
                <w:sz w:val="22"/>
                <w:szCs w:val="22"/>
                <w:lang w:val="lv-LV"/>
              </w:rPr>
              <w:t xml:space="preserve"> biotopi. </w:t>
            </w:r>
          </w:p>
          <w:p w14:paraId="4F397FAB" w14:textId="3282340B" w:rsidR="002E1AAF" w:rsidRPr="00675182" w:rsidRDefault="00F413A0" w:rsidP="00F413A0">
            <w:pPr>
              <w:snapToGrid w:val="0"/>
              <w:rPr>
                <w:rFonts w:cstheme="minorHAnsi"/>
                <w:sz w:val="22"/>
                <w:szCs w:val="22"/>
              </w:rPr>
            </w:pPr>
            <w:r w:rsidRPr="00675182">
              <w:rPr>
                <w:rFonts w:cstheme="minorHAnsi"/>
                <w:sz w:val="22"/>
                <w:szCs w:val="22"/>
              </w:rPr>
              <w:t xml:space="preserve">Dzīvotne gan tipiskām, gan daudzām retām un </w:t>
            </w:r>
            <w:r w:rsidR="00CA338D">
              <w:rPr>
                <w:rFonts w:cstheme="minorHAnsi"/>
                <w:sz w:val="22"/>
                <w:szCs w:val="22"/>
              </w:rPr>
              <w:t>ĪA</w:t>
            </w:r>
            <w:r w:rsidRPr="00675182">
              <w:rPr>
                <w:rFonts w:cstheme="minorHAnsi"/>
                <w:sz w:val="22"/>
                <w:szCs w:val="22"/>
              </w:rPr>
              <w:t xml:space="preserve"> sugām.</w:t>
            </w:r>
          </w:p>
        </w:tc>
        <w:tc>
          <w:tcPr>
            <w:tcW w:w="1322" w:type="pct"/>
            <w:tcBorders>
              <w:top w:val="single" w:sz="4" w:space="0" w:color="000000"/>
              <w:left w:val="single" w:sz="4" w:space="0" w:color="000000"/>
              <w:bottom w:val="single" w:sz="4" w:space="0" w:color="000000"/>
              <w:right w:val="nil"/>
            </w:tcBorders>
            <w:hideMark/>
          </w:tcPr>
          <w:p w14:paraId="05AB7BC5" w14:textId="000EB4C4" w:rsidR="002E1AAF" w:rsidRPr="00675182" w:rsidRDefault="002E1AAF" w:rsidP="00FB5C32">
            <w:pPr>
              <w:snapToGrid w:val="0"/>
              <w:rPr>
                <w:rFonts w:cstheme="minorHAnsi"/>
                <w:sz w:val="22"/>
                <w:szCs w:val="22"/>
              </w:rPr>
            </w:pPr>
            <w:r w:rsidRPr="00675182">
              <w:rPr>
                <w:rFonts w:cstheme="minorHAnsi"/>
                <w:sz w:val="22"/>
                <w:szCs w:val="22"/>
              </w:rPr>
              <w:t>Koksnes resursi. Tūrisms un rekreācija, tai skaitā nekoksnes resursu ieguvei un (ogas, sēnes) medībām.</w:t>
            </w:r>
          </w:p>
          <w:p w14:paraId="01AB7B60" w14:textId="1EB7EEDD" w:rsidR="002E1AAF" w:rsidRPr="00675182" w:rsidRDefault="002E1AAF" w:rsidP="00FB5C32">
            <w:pPr>
              <w:snapToGrid w:val="0"/>
              <w:rPr>
                <w:rFonts w:cstheme="minorHAnsi"/>
                <w:sz w:val="22"/>
                <w:szCs w:val="22"/>
              </w:rPr>
            </w:pPr>
            <w:r w:rsidRPr="00675182">
              <w:rPr>
                <w:rFonts w:cstheme="minorHAnsi"/>
                <w:sz w:val="22"/>
                <w:szCs w:val="22"/>
              </w:rPr>
              <w:t>Zinātniskā un dabas izziņas vērtība</w:t>
            </w:r>
          </w:p>
        </w:tc>
        <w:tc>
          <w:tcPr>
            <w:tcW w:w="2003" w:type="pct"/>
            <w:tcBorders>
              <w:top w:val="single" w:sz="4" w:space="0" w:color="000000"/>
              <w:left w:val="single" w:sz="4" w:space="0" w:color="000000"/>
              <w:bottom w:val="single" w:sz="4" w:space="0" w:color="000000"/>
              <w:right w:val="single" w:sz="4" w:space="0" w:color="000000"/>
            </w:tcBorders>
            <w:hideMark/>
          </w:tcPr>
          <w:p w14:paraId="2AA8D589" w14:textId="44C68090" w:rsidR="002E1AAF" w:rsidRPr="00675182" w:rsidRDefault="002E1AAF" w:rsidP="00FB5C32">
            <w:pPr>
              <w:pStyle w:val="Index"/>
              <w:suppressLineNumbers w:val="0"/>
              <w:snapToGrid w:val="0"/>
              <w:rPr>
                <w:rFonts w:cstheme="minorHAnsi"/>
                <w:sz w:val="22"/>
                <w:szCs w:val="22"/>
              </w:rPr>
            </w:pPr>
            <w:r w:rsidRPr="00675182">
              <w:rPr>
                <w:rFonts w:cstheme="minorHAnsi"/>
                <w:sz w:val="22"/>
                <w:szCs w:val="22"/>
              </w:rPr>
              <w:t xml:space="preserve">Meža biotopus visvairāk apdraud saimnieciskā darbība (izciršana, hidroloģiskā režīma regulēšana), jo vairumam meža biotopu labvēlīga aizsardzības statusa sasniegšanai nepieciešams pilnīgs neiejaukšanās režīms. </w:t>
            </w:r>
          </w:p>
        </w:tc>
      </w:tr>
      <w:tr w:rsidR="002E1AAF" w:rsidRPr="00675182" w14:paraId="5484433C" w14:textId="77777777" w:rsidTr="009D399A">
        <w:tc>
          <w:tcPr>
            <w:tcW w:w="710" w:type="pct"/>
            <w:tcBorders>
              <w:top w:val="single" w:sz="4" w:space="0" w:color="000000"/>
              <w:left w:val="single" w:sz="4" w:space="0" w:color="000000"/>
              <w:bottom w:val="single" w:sz="4" w:space="0" w:color="000000"/>
              <w:right w:val="nil"/>
            </w:tcBorders>
            <w:hideMark/>
          </w:tcPr>
          <w:p w14:paraId="799A61EC" w14:textId="48135659" w:rsidR="002E1AAF" w:rsidRPr="00675182" w:rsidRDefault="002E1AAF">
            <w:pPr>
              <w:pStyle w:val="BodyText"/>
              <w:snapToGrid w:val="0"/>
              <w:spacing w:after="0"/>
              <w:rPr>
                <w:rFonts w:cstheme="minorHAnsi"/>
                <w:sz w:val="22"/>
                <w:szCs w:val="22"/>
                <w:lang w:val="lv-LV"/>
              </w:rPr>
            </w:pPr>
            <w:r w:rsidRPr="00675182">
              <w:rPr>
                <w:rFonts w:cstheme="minorHAnsi"/>
                <w:sz w:val="22"/>
                <w:szCs w:val="22"/>
                <w:lang w:val="lv-LV"/>
              </w:rPr>
              <w:t xml:space="preserve">Retās un </w:t>
            </w:r>
            <w:r w:rsidR="00CA338D">
              <w:rPr>
                <w:rFonts w:cstheme="minorHAnsi"/>
                <w:sz w:val="22"/>
                <w:szCs w:val="22"/>
                <w:lang w:val="lv-LV"/>
              </w:rPr>
              <w:t>ĪA</w:t>
            </w:r>
            <w:r w:rsidRPr="00675182">
              <w:rPr>
                <w:rFonts w:cstheme="minorHAnsi"/>
                <w:sz w:val="22"/>
                <w:szCs w:val="22"/>
                <w:lang w:val="lv-LV"/>
              </w:rPr>
              <w:t xml:space="preserve"> augu un dzīvnieku sugas</w:t>
            </w:r>
          </w:p>
        </w:tc>
        <w:tc>
          <w:tcPr>
            <w:tcW w:w="965" w:type="pct"/>
            <w:tcBorders>
              <w:top w:val="single" w:sz="4" w:space="0" w:color="000000"/>
              <w:left w:val="single" w:sz="4" w:space="0" w:color="000000"/>
              <w:bottom w:val="single" w:sz="4" w:space="0" w:color="000000"/>
              <w:right w:val="single" w:sz="4" w:space="0" w:color="000000"/>
            </w:tcBorders>
          </w:tcPr>
          <w:p w14:paraId="1964E203" w14:textId="349BF9FE" w:rsidR="002E1AAF" w:rsidRPr="00675182" w:rsidRDefault="00F413A0" w:rsidP="00347126">
            <w:pPr>
              <w:snapToGrid w:val="0"/>
              <w:rPr>
                <w:rFonts w:cstheme="minorHAnsi"/>
                <w:sz w:val="22"/>
                <w:szCs w:val="22"/>
              </w:rPr>
            </w:pPr>
            <w:r w:rsidRPr="00675182">
              <w:rPr>
                <w:rFonts w:cstheme="minorHAnsi"/>
                <w:sz w:val="22"/>
                <w:szCs w:val="22"/>
              </w:rPr>
              <w:t>Zinātniska un aizsardzības vērtība</w:t>
            </w:r>
          </w:p>
        </w:tc>
        <w:tc>
          <w:tcPr>
            <w:tcW w:w="1322" w:type="pct"/>
            <w:tcBorders>
              <w:top w:val="single" w:sz="4" w:space="0" w:color="000000"/>
              <w:left w:val="single" w:sz="4" w:space="0" w:color="000000"/>
              <w:bottom w:val="single" w:sz="4" w:space="0" w:color="000000"/>
              <w:right w:val="nil"/>
            </w:tcBorders>
            <w:hideMark/>
          </w:tcPr>
          <w:p w14:paraId="3E8734EB" w14:textId="28E471B2" w:rsidR="002E1AAF" w:rsidRPr="00675182" w:rsidRDefault="002E1AAF" w:rsidP="00347126">
            <w:pPr>
              <w:snapToGrid w:val="0"/>
              <w:rPr>
                <w:rFonts w:cstheme="minorHAnsi"/>
                <w:sz w:val="22"/>
                <w:szCs w:val="22"/>
              </w:rPr>
            </w:pPr>
            <w:r w:rsidRPr="00675182">
              <w:rPr>
                <w:rFonts w:cstheme="minorHAnsi"/>
                <w:sz w:val="22"/>
                <w:szCs w:val="22"/>
              </w:rPr>
              <w:t xml:space="preserve">Sugas kā ekosistēmas sastāvdaļa, kas nodrošina tās pilnvērtīgu funkcionēšanu un cilvēkiem svarīgus </w:t>
            </w:r>
            <w:r w:rsidR="00CA338D">
              <w:rPr>
                <w:rFonts w:cstheme="minorHAnsi"/>
                <w:sz w:val="22"/>
                <w:szCs w:val="22"/>
              </w:rPr>
              <w:t>EP</w:t>
            </w:r>
            <w:r w:rsidRPr="00675182">
              <w:rPr>
                <w:rFonts w:cstheme="minorHAnsi"/>
                <w:sz w:val="22"/>
                <w:szCs w:val="22"/>
              </w:rPr>
              <w:t>.</w:t>
            </w:r>
          </w:p>
          <w:p w14:paraId="32AB8A74" w14:textId="6405FF19" w:rsidR="002E1AAF" w:rsidRPr="00675182" w:rsidRDefault="002E1AAF" w:rsidP="00347126">
            <w:pPr>
              <w:snapToGrid w:val="0"/>
              <w:rPr>
                <w:rFonts w:cstheme="minorHAnsi"/>
                <w:sz w:val="22"/>
                <w:szCs w:val="22"/>
              </w:rPr>
            </w:pPr>
            <w:r w:rsidRPr="00675182">
              <w:rPr>
                <w:rFonts w:cstheme="minorHAnsi"/>
                <w:sz w:val="22"/>
                <w:szCs w:val="22"/>
              </w:rPr>
              <w:t>Zinātniskā un dabas izziņas vērtība</w:t>
            </w:r>
          </w:p>
        </w:tc>
        <w:tc>
          <w:tcPr>
            <w:tcW w:w="2003" w:type="pct"/>
            <w:tcBorders>
              <w:top w:val="single" w:sz="4" w:space="0" w:color="000000"/>
              <w:left w:val="single" w:sz="4" w:space="0" w:color="000000"/>
              <w:bottom w:val="single" w:sz="4" w:space="0" w:color="000000"/>
              <w:right w:val="single" w:sz="4" w:space="0" w:color="000000"/>
            </w:tcBorders>
            <w:hideMark/>
          </w:tcPr>
          <w:p w14:paraId="6F4AA08E" w14:textId="1AFE714F" w:rsidR="002E1AAF" w:rsidRPr="00675182" w:rsidRDefault="009D399A" w:rsidP="00347126">
            <w:pPr>
              <w:pStyle w:val="Index"/>
              <w:suppressLineNumbers w:val="0"/>
              <w:snapToGrid w:val="0"/>
              <w:rPr>
                <w:rFonts w:cstheme="minorHAnsi"/>
                <w:sz w:val="22"/>
                <w:szCs w:val="22"/>
              </w:rPr>
            </w:pPr>
            <w:r w:rsidRPr="00675182">
              <w:rPr>
                <w:rFonts w:cstheme="minorHAnsi"/>
                <w:sz w:val="22"/>
                <w:szCs w:val="22"/>
              </w:rPr>
              <w:t xml:space="preserve">Vaskulāro augu sugu daudzveidībai nozīmīgākie ietekmējošie faktori ir piemērotu dzīvotņu izzušana, dabisko traucējumu trūkums boreālajos sausajos priežu mežos, kā arī dažādu ūdens režīma izmaiņu sekas. </w:t>
            </w:r>
          </w:p>
          <w:p w14:paraId="2E4DB6B9" w14:textId="77777777" w:rsidR="00330373" w:rsidRPr="00675182" w:rsidRDefault="00330373" w:rsidP="00347126">
            <w:pPr>
              <w:pStyle w:val="Index"/>
              <w:suppressLineNumbers w:val="0"/>
              <w:snapToGrid w:val="0"/>
              <w:rPr>
                <w:rFonts w:cstheme="minorHAnsi"/>
                <w:sz w:val="22"/>
                <w:szCs w:val="22"/>
              </w:rPr>
            </w:pPr>
          </w:p>
          <w:p w14:paraId="7EBB9C2C" w14:textId="5EEA7994" w:rsidR="00330373" w:rsidRPr="00675182" w:rsidRDefault="00330373" w:rsidP="00347126">
            <w:pPr>
              <w:pStyle w:val="Index"/>
              <w:suppressLineNumbers w:val="0"/>
              <w:snapToGrid w:val="0"/>
              <w:rPr>
                <w:rFonts w:cstheme="minorHAnsi"/>
                <w:sz w:val="22"/>
                <w:szCs w:val="22"/>
              </w:rPr>
            </w:pPr>
            <w:r w:rsidRPr="00675182">
              <w:rPr>
                <w:rFonts w:cstheme="minorHAnsi"/>
                <w:sz w:val="22"/>
                <w:szCs w:val="22"/>
              </w:rPr>
              <w:t xml:space="preserve">DA plāna izstrādes laikā </w:t>
            </w:r>
            <w:r w:rsidR="00CA338D">
              <w:rPr>
                <w:rFonts w:cstheme="minorHAnsi"/>
                <w:sz w:val="22"/>
                <w:szCs w:val="22"/>
              </w:rPr>
              <w:t>ĪA</w:t>
            </w:r>
            <w:r w:rsidRPr="00675182">
              <w:rPr>
                <w:rFonts w:cstheme="minorHAnsi"/>
                <w:sz w:val="22"/>
                <w:szCs w:val="22"/>
              </w:rPr>
              <w:t xml:space="preserve"> ķērpju populāciju negatīvi ietekmējošie faktori tika identificēti tūrisms, dabiskā sukcesija, gaisa piesārņojums, kā arī mežsaimniecība. </w:t>
            </w:r>
          </w:p>
          <w:p w14:paraId="4027C39A" w14:textId="77777777" w:rsidR="00330373" w:rsidRPr="00675182" w:rsidRDefault="00330373" w:rsidP="00347126">
            <w:pPr>
              <w:pStyle w:val="Index"/>
              <w:suppressLineNumbers w:val="0"/>
              <w:snapToGrid w:val="0"/>
              <w:rPr>
                <w:rFonts w:cstheme="minorHAnsi"/>
                <w:sz w:val="22"/>
                <w:szCs w:val="22"/>
              </w:rPr>
            </w:pPr>
          </w:p>
          <w:p w14:paraId="6988767A" w14:textId="2BBB5EA4" w:rsidR="00330373" w:rsidRPr="00675182" w:rsidRDefault="00330373" w:rsidP="00347126">
            <w:pPr>
              <w:pStyle w:val="Index"/>
              <w:suppressLineNumbers w:val="0"/>
              <w:snapToGrid w:val="0"/>
              <w:rPr>
                <w:rFonts w:cstheme="minorHAnsi"/>
                <w:sz w:val="22"/>
                <w:szCs w:val="22"/>
              </w:rPr>
            </w:pPr>
            <w:r w:rsidRPr="00675182">
              <w:rPr>
                <w:rFonts w:cstheme="minorHAnsi"/>
                <w:sz w:val="22"/>
                <w:szCs w:val="22"/>
              </w:rPr>
              <w:t xml:space="preserve">Sūnu sugas negatīvi ietekmē purvos un avotainās vietās izmīdīšana, bet mežos – mirušās koksnes izvākšana. </w:t>
            </w:r>
          </w:p>
          <w:p w14:paraId="7133FC51" w14:textId="77777777" w:rsidR="00330373" w:rsidRPr="00675182" w:rsidRDefault="00330373" w:rsidP="00347126">
            <w:pPr>
              <w:pStyle w:val="Index"/>
              <w:suppressLineNumbers w:val="0"/>
              <w:snapToGrid w:val="0"/>
              <w:rPr>
                <w:rFonts w:cstheme="minorHAnsi"/>
                <w:sz w:val="22"/>
                <w:szCs w:val="22"/>
              </w:rPr>
            </w:pPr>
            <w:r w:rsidRPr="00675182">
              <w:rPr>
                <w:rFonts w:cstheme="minorHAnsi"/>
                <w:sz w:val="22"/>
                <w:szCs w:val="22"/>
              </w:rPr>
              <w:t>Zālāju biotopos ligzdojošas putnu sugas apdraud lauksaimniecības intensifikācija, pesticīdu lietošana, agra platību pļauja. Visā GNP teritorijā putnu sugām ir salīdzinoši augsts antropogēnā traucējuma līmenis.</w:t>
            </w:r>
          </w:p>
          <w:p w14:paraId="74A90CFE" w14:textId="77777777" w:rsidR="00330373" w:rsidRPr="00675182" w:rsidRDefault="00330373" w:rsidP="00347126">
            <w:pPr>
              <w:pStyle w:val="Index"/>
              <w:suppressLineNumbers w:val="0"/>
              <w:snapToGrid w:val="0"/>
              <w:rPr>
                <w:rFonts w:cstheme="minorHAnsi"/>
                <w:sz w:val="22"/>
                <w:szCs w:val="22"/>
              </w:rPr>
            </w:pPr>
          </w:p>
          <w:p w14:paraId="72CE3020" w14:textId="77777777" w:rsidR="00330373" w:rsidRPr="00675182" w:rsidRDefault="00330373" w:rsidP="00330373">
            <w:pPr>
              <w:pStyle w:val="Index"/>
              <w:snapToGrid w:val="0"/>
              <w:rPr>
                <w:rFonts w:cstheme="minorHAnsi"/>
                <w:sz w:val="22"/>
                <w:szCs w:val="22"/>
              </w:rPr>
            </w:pPr>
            <w:r w:rsidRPr="00675182">
              <w:rPr>
                <w:rFonts w:cstheme="minorHAnsi"/>
                <w:sz w:val="22"/>
                <w:szCs w:val="22"/>
              </w:rPr>
              <w:t xml:space="preserve">Abinieku un rāpuļu izplatību ietekmē nārsta biotopu dabiskā aizaugšana, apēnošana un degradācija, rāpuļu </w:t>
            </w:r>
            <w:r w:rsidRPr="00675182">
              <w:rPr>
                <w:rFonts w:cstheme="minorHAnsi"/>
                <w:sz w:val="22"/>
                <w:szCs w:val="22"/>
              </w:rPr>
              <w:lastRenderedPageBreak/>
              <w:t xml:space="preserve">barošanās un vairošanās biotopu aizēnošana, dabiskā aizaugšana, abinieku un rāpuļu bojāeja uz autoceļiem, pļavu uzaršana, kā arī </w:t>
            </w:r>
            <w:r w:rsidRPr="00675182">
              <w:rPr>
                <w:rFonts w:cstheme="minorHAnsi"/>
                <w:sz w:val="22"/>
                <w:szCs w:val="22"/>
              </w:rPr>
              <w:tab/>
              <w:t>meliorācija.</w:t>
            </w:r>
          </w:p>
          <w:p w14:paraId="3DAC78B8" w14:textId="77777777" w:rsidR="00C22B26" w:rsidRPr="00675182" w:rsidRDefault="00C22B26" w:rsidP="00330373">
            <w:pPr>
              <w:pStyle w:val="Index"/>
              <w:snapToGrid w:val="0"/>
              <w:rPr>
                <w:rFonts w:cstheme="minorHAnsi"/>
                <w:sz w:val="22"/>
                <w:szCs w:val="22"/>
              </w:rPr>
            </w:pPr>
          </w:p>
          <w:p w14:paraId="71768BA2" w14:textId="77777777" w:rsidR="00872649" w:rsidRPr="00675182" w:rsidRDefault="00872649" w:rsidP="00330373">
            <w:pPr>
              <w:pStyle w:val="Index"/>
              <w:snapToGrid w:val="0"/>
              <w:rPr>
                <w:rFonts w:cstheme="minorHAnsi"/>
                <w:sz w:val="22"/>
                <w:szCs w:val="22"/>
              </w:rPr>
            </w:pPr>
            <w:r w:rsidRPr="00675182">
              <w:rPr>
                <w:rFonts w:cstheme="minorHAnsi"/>
                <w:sz w:val="22"/>
                <w:szCs w:val="22"/>
              </w:rPr>
              <w:t xml:space="preserve">Zivju sugas ietekmē antropogēnie šķēršļi (HES un ūdensdzirnavu aizsprosti), zveja un makšķerēšana, bebru darbība, invazīvās sugas, ūdens kvalitāte, klimata izmaiņas. </w:t>
            </w:r>
          </w:p>
          <w:p w14:paraId="4F8B1C32" w14:textId="77777777" w:rsidR="00872649" w:rsidRPr="00675182" w:rsidRDefault="00872649" w:rsidP="00330373">
            <w:pPr>
              <w:pStyle w:val="Index"/>
              <w:snapToGrid w:val="0"/>
              <w:rPr>
                <w:rFonts w:cstheme="minorHAnsi"/>
                <w:sz w:val="22"/>
                <w:szCs w:val="22"/>
              </w:rPr>
            </w:pPr>
          </w:p>
          <w:p w14:paraId="79EB5762" w14:textId="4E4438D1" w:rsidR="00C22B26" w:rsidRPr="00675182" w:rsidRDefault="00872649" w:rsidP="00330373">
            <w:pPr>
              <w:pStyle w:val="Index"/>
              <w:snapToGrid w:val="0"/>
              <w:rPr>
                <w:rFonts w:cstheme="minorHAnsi"/>
                <w:sz w:val="22"/>
                <w:szCs w:val="22"/>
              </w:rPr>
            </w:pPr>
            <w:r w:rsidRPr="00675182">
              <w:rPr>
                <w:rFonts w:cstheme="minorHAnsi"/>
                <w:sz w:val="22"/>
                <w:szCs w:val="22"/>
              </w:rPr>
              <w:t xml:space="preserve">Saproksīlās kukaiņu sugas negatīvi ietekmē meža biotopu kvalitātes nodrošināšanai būtisku dabisko struktūru (kritalu, sausokņu, stumbeņu) daudzuma samazināšanās. Dabisko upju straujtecēs mītošos bezmugurkaulniekus negatīvi ietekmē upēs iekritušie koki, kā arī bebru darbība. </w:t>
            </w:r>
          </w:p>
        </w:tc>
      </w:tr>
    </w:tbl>
    <w:p w14:paraId="5AAA4432" w14:textId="77777777" w:rsidR="00E0622E" w:rsidRPr="00675182" w:rsidRDefault="00E0622E" w:rsidP="002B3341">
      <w:pPr>
        <w:rPr>
          <w:rFonts w:cstheme="minorHAnsi"/>
          <w:szCs w:val="24"/>
        </w:rPr>
      </w:pPr>
    </w:p>
    <w:p w14:paraId="19B16E04" w14:textId="77777777" w:rsidR="00E0622E" w:rsidRPr="00675182" w:rsidRDefault="00E0622E" w:rsidP="002B3341">
      <w:pPr>
        <w:rPr>
          <w:rFonts w:cstheme="minorHAnsi"/>
          <w:szCs w:val="24"/>
        </w:rPr>
      </w:pPr>
    </w:p>
    <w:p w14:paraId="660E1AEA" w14:textId="51072208" w:rsidR="00E0622E" w:rsidRPr="00675182" w:rsidRDefault="00E0622E" w:rsidP="002B3341">
      <w:pPr>
        <w:rPr>
          <w:rFonts w:cstheme="minorHAnsi"/>
        </w:rPr>
        <w:sectPr w:rsidR="00E0622E" w:rsidRPr="00675182" w:rsidSect="00000D9F">
          <w:headerReference w:type="default" r:id="rId255"/>
          <w:pgSz w:w="16837" w:h="11905" w:orient="landscape" w:code="9"/>
          <w:pgMar w:top="1797" w:right="1440" w:bottom="1797" w:left="1440" w:header="720" w:footer="720" w:gutter="0"/>
          <w:cols w:space="720"/>
          <w:docGrid w:linePitch="360"/>
        </w:sectPr>
      </w:pPr>
    </w:p>
    <w:p w14:paraId="462B5D5F" w14:textId="4DBEF31D" w:rsidR="00011E51" w:rsidRPr="00675182" w:rsidRDefault="00371D44" w:rsidP="00A176D9">
      <w:pPr>
        <w:pStyle w:val="Heading1"/>
      </w:pPr>
      <w:bookmarkStart w:id="106" w:name="_Hlk6242691"/>
      <w:bookmarkStart w:id="107" w:name="_Toc116938413"/>
      <w:bookmarkStart w:id="108" w:name="OLE_LINK1"/>
      <w:r w:rsidRPr="00675182">
        <w:lastRenderedPageBreak/>
        <w:t xml:space="preserve">3. </w:t>
      </w:r>
      <w:r w:rsidR="00011E51" w:rsidRPr="00675182">
        <w:t>Informācija par aizsargājamās teritorijas apsaimniekošanu</w:t>
      </w:r>
      <w:bookmarkEnd w:id="106"/>
      <w:bookmarkEnd w:id="107"/>
    </w:p>
    <w:p w14:paraId="08A9E19A" w14:textId="0B611961" w:rsidR="000F2336" w:rsidRPr="00675182" w:rsidRDefault="000F2336" w:rsidP="002B3341">
      <w:pPr>
        <w:rPr>
          <w:rFonts w:cstheme="minorHAnsi"/>
        </w:rPr>
      </w:pPr>
    </w:p>
    <w:p w14:paraId="78408D7C" w14:textId="2E19CB35" w:rsidR="00011E51" w:rsidRPr="00675182" w:rsidRDefault="00011E51" w:rsidP="002B3341">
      <w:pPr>
        <w:pStyle w:val="Heading2"/>
        <w:keepNext w:val="0"/>
        <w:rPr>
          <w:rFonts w:cstheme="minorHAnsi"/>
          <w:i w:val="0"/>
          <w:lang w:val="lv-LV"/>
        </w:rPr>
      </w:pPr>
      <w:bookmarkStart w:id="109" w:name="_Hlk82505850"/>
      <w:bookmarkStart w:id="110" w:name="_Toc116938414"/>
      <w:r w:rsidRPr="00675182">
        <w:rPr>
          <w:rFonts w:cstheme="minorHAnsi"/>
          <w:i w:val="0"/>
          <w:lang w:val="lv-LV"/>
        </w:rPr>
        <w:t>3.</w:t>
      </w:r>
      <w:bookmarkEnd w:id="109"/>
      <w:r w:rsidR="00650D57" w:rsidRPr="00675182">
        <w:rPr>
          <w:rFonts w:cstheme="minorHAnsi"/>
          <w:i w:val="0"/>
          <w:lang w:val="lv-LV"/>
        </w:rPr>
        <w:t>1</w:t>
      </w:r>
      <w:r w:rsidRPr="00675182">
        <w:rPr>
          <w:rFonts w:cstheme="minorHAnsi"/>
          <w:i w:val="0"/>
          <w:lang w:val="lv-LV"/>
        </w:rPr>
        <w:t xml:space="preserve">. </w:t>
      </w:r>
      <w:r w:rsidR="00650D57" w:rsidRPr="00675182">
        <w:rPr>
          <w:rFonts w:cstheme="minorHAnsi"/>
          <w:i w:val="0"/>
          <w:lang w:val="lv-LV"/>
        </w:rPr>
        <w:t>Iepriekšējā DA plāna periodā veikto apsaimniekošanas pasākumu izvērtējums</w:t>
      </w:r>
      <w:bookmarkEnd w:id="110"/>
    </w:p>
    <w:p w14:paraId="1A05E524" w14:textId="77777777" w:rsidR="00650D57" w:rsidRPr="00675182" w:rsidRDefault="00650D57" w:rsidP="00650D57">
      <w:pPr>
        <w:jc w:val="both"/>
        <w:rPr>
          <w:rFonts w:cstheme="minorHAnsi"/>
          <w:szCs w:val="24"/>
        </w:rPr>
      </w:pPr>
    </w:p>
    <w:p w14:paraId="03EABB9C" w14:textId="6446FA48" w:rsidR="00731F6C" w:rsidRPr="00675182" w:rsidRDefault="00650D57" w:rsidP="00650D57">
      <w:pPr>
        <w:jc w:val="both"/>
        <w:rPr>
          <w:rFonts w:cstheme="minorHAnsi"/>
          <w:bCs/>
        </w:rPr>
      </w:pPr>
      <w:r w:rsidRPr="00675182">
        <w:rPr>
          <w:rFonts w:cstheme="minorHAnsi"/>
          <w:szCs w:val="24"/>
        </w:rPr>
        <w:t xml:space="preserve">1998. gadā tika uzsākta GNP DA plāna izstrāde, kuru izstrādāja GNP administrācija sadarbībā ar Dānijas uzņēmumu Holsteinborg Consult. </w:t>
      </w:r>
      <w:r w:rsidRPr="00675182">
        <w:rPr>
          <w:rFonts w:cstheme="minorHAnsi"/>
          <w:bCs/>
        </w:rPr>
        <w:t xml:space="preserve">DA plāns tika izstrādāts laika periodam no 2004. līdz 2013. gadam, tomēr 2014. gada 27. februāri ar rīkojumu Nr.102 „Par dabas aizsardzības plānu darbības termiņa pagarināšanu” GNP </w:t>
      </w:r>
      <w:r w:rsidR="00604527">
        <w:rPr>
          <w:rFonts w:cstheme="minorHAnsi"/>
          <w:bCs/>
        </w:rPr>
        <w:t>DA</w:t>
      </w:r>
      <w:r w:rsidRPr="00675182">
        <w:rPr>
          <w:rFonts w:cstheme="minorHAnsi"/>
          <w:bCs/>
        </w:rPr>
        <w:t xml:space="preserve"> plāna darbības termiņš tika pagarināts līdz 2018. gada 31. decembrim.</w:t>
      </w:r>
      <w:r w:rsidR="00731F6C" w:rsidRPr="00675182">
        <w:rPr>
          <w:rFonts w:cstheme="minorHAnsi"/>
          <w:bCs/>
        </w:rPr>
        <w:t xml:space="preserve"> </w:t>
      </w:r>
    </w:p>
    <w:p w14:paraId="352854C4" w14:textId="6748BA0B" w:rsidR="00731F6C" w:rsidRPr="00675182" w:rsidRDefault="00731F6C" w:rsidP="00650D57">
      <w:pPr>
        <w:jc w:val="both"/>
        <w:rPr>
          <w:rFonts w:cstheme="minorHAnsi"/>
          <w:bCs/>
        </w:rPr>
      </w:pPr>
    </w:p>
    <w:p w14:paraId="6C1625D7" w14:textId="69CB65C6" w:rsidR="00731F6C" w:rsidRPr="00675182" w:rsidRDefault="00731F6C" w:rsidP="00650D57">
      <w:pPr>
        <w:jc w:val="both"/>
        <w:rPr>
          <w:rFonts w:cstheme="minorHAnsi"/>
          <w:bCs/>
        </w:rPr>
      </w:pPr>
      <w:r w:rsidRPr="00675182">
        <w:rPr>
          <w:rFonts w:cstheme="minorHAnsi"/>
          <w:bCs/>
        </w:rPr>
        <w:t xml:space="preserve">DA plāna </w:t>
      </w:r>
      <w:r w:rsidR="00764645" w:rsidRPr="00675182">
        <w:rPr>
          <w:rFonts w:cstheme="minorHAnsi"/>
          <w:bCs/>
        </w:rPr>
        <w:t>5</w:t>
      </w:r>
      <w:r w:rsidRPr="00675182">
        <w:rPr>
          <w:rFonts w:cstheme="minorHAnsi"/>
          <w:bCs/>
        </w:rPr>
        <w:t xml:space="preserve">. nodaļā </w:t>
      </w:r>
      <w:r w:rsidR="00764645" w:rsidRPr="00675182">
        <w:rPr>
          <w:rFonts w:cstheme="minorHAnsi"/>
          <w:bCs/>
        </w:rPr>
        <w:t xml:space="preserve">tika izvirzīti </w:t>
      </w:r>
      <w:r w:rsidR="007726AD" w:rsidRPr="00675182">
        <w:rPr>
          <w:rFonts w:cstheme="minorHAnsi"/>
          <w:bCs/>
        </w:rPr>
        <w:t>šādi</w:t>
      </w:r>
      <w:r w:rsidR="00764645" w:rsidRPr="00675182">
        <w:rPr>
          <w:rFonts w:cstheme="minorHAnsi"/>
          <w:bCs/>
        </w:rPr>
        <w:t xml:space="preserve"> ilgtermiņa mērķi:</w:t>
      </w:r>
    </w:p>
    <w:p w14:paraId="6AE0CC77" w14:textId="11FC7BFE" w:rsidR="00557A17" w:rsidRPr="00675182" w:rsidRDefault="00604527" w:rsidP="00F91227">
      <w:pPr>
        <w:pStyle w:val="ListParagraph"/>
        <w:numPr>
          <w:ilvl w:val="0"/>
          <w:numId w:val="7"/>
        </w:numPr>
        <w:jc w:val="both"/>
        <w:rPr>
          <w:rFonts w:cstheme="minorHAnsi"/>
          <w:bCs/>
        </w:rPr>
      </w:pPr>
      <w:r>
        <w:rPr>
          <w:rFonts w:cstheme="minorHAnsi"/>
        </w:rPr>
        <w:t>n</w:t>
      </w:r>
      <w:r w:rsidRPr="00675182">
        <w:rPr>
          <w:rFonts w:cstheme="minorHAnsi"/>
        </w:rPr>
        <w:t xml:space="preserve">odrošināt </w:t>
      </w:r>
      <w:r w:rsidR="00557A17" w:rsidRPr="00675182">
        <w:rPr>
          <w:rFonts w:cstheme="minorHAnsi"/>
        </w:rPr>
        <w:t>dabas daudzveidības saglabāšanu un atjaunošanu, samazinot antropogēno ietekmi uz dabiskajām ekosistēmām;</w:t>
      </w:r>
    </w:p>
    <w:p w14:paraId="35C48D3A" w14:textId="1E2D7EF7" w:rsidR="00557A17" w:rsidRPr="00675182" w:rsidRDefault="00604527" w:rsidP="00F91227">
      <w:pPr>
        <w:pStyle w:val="ListParagraph"/>
        <w:numPr>
          <w:ilvl w:val="0"/>
          <w:numId w:val="7"/>
        </w:numPr>
        <w:jc w:val="both"/>
        <w:rPr>
          <w:rFonts w:cstheme="minorHAnsi"/>
          <w:bCs/>
        </w:rPr>
      </w:pPr>
      <w:r>
        <w:rPr>
          <w:rFonts w:cstheme="minorHAnsi"/>
        </w:rPr>
        <w:t>n</w:t>
      </w:r>
      <w:r w:rsidRPr="00675182">
        <w:rPr>
          <w:rFonts w:cstheme="minorHAnsi"/>
        </w:rPr>
        <w:t xml:space="preserve">odrošināt </w:t>
      </w:r>
      <w:r w:rsidR="00557A17" w:rsidRPr="00675182">
        <w:rPr>
          <w:rFonts w:cstheme="minorHAnsi"/>
        </w:rPr>
        <w:t>vides (gaisa, ūdens, augsnes) kvalitātes uzlabošanos un nepasliktināšanos;</w:t>
      </w:r>
    </w:p>
    <w:p w14:paraId="65738379" w14:textId="526C8C57" w:rsidR="00E046E6" w:rsidRPr="00675182" w:rsidRDefault="00604527" w:rsidP="00F91227">
      <w:pPr>
        <w:pStyle w:val="ListParagraph"/>
        <w:numPr>
          <w:ilvl w:val="0"/>
          <w:numId w:val="7"/>
        </w:numPr>
        <w:jc w:val="both"/>
        <w:rPr>
          <w:rFonts w:cstheme="minorHAnsi"/>
          <w:bCs/>
        </w:rPr>
      </w:pPr>
      <w:r>
        <w:rPr>
          <w:rFonts w:cstheme="minorHAnsi"/>
        </w:rPr>
        <w:t>s</w:t>
      </w:r>
      <w:r w:rsidRPr="00675182">
        <w:rPr>
          <w:rFonts w:cstheme="minorHAnsi"/>
        </w:rPr>
        <w:t xml:space="preserve">aglabāt </w:t>
      </w:r>
      <w:r w:rsidR="00557A17" w:rsidRPr="00675182">
        <w:rPr>
          <w:rFonts w:cstheme="minorHAnsi"/>
        </w:rPr>
        <w:t xml:space="preserve">un restaurēt kultūrvēsturiskos pieminekļus un objektus, senos amatus un tradīcijas. Atbalstīt tradicionālo būvniecību. Veicināt vēsturisko būvju </w:t>
      </w:r>
      <w:r w:rsidR="00E046E6" w:rsidRPr="00675182">
        <w:rPr>
          <w:rFonts w:cstheme="minorHAnsi"/>
        </w:rPr>
        <w:t>izmantošanu</w:t>
      </w:r>
      <w:r w:rsidR="00557A17" w:rsidRPr="00675182">
        <w:rPr>
          <w:rFonts w:cstheme="minorHAnsi"/>
        </w:rPr>
        <w:t xml:space="preserve"> </w:t>
      </w:r>
      <w:r w:rsidR="00E046E6" w:rsidRPr="00675182">
        <w:rPr>
          <w:rFonts w:cstheme="minorHAnsi"/>
        </w:rPr>
        <w:t>atbilstoši</w:t>
      </w:r>
      <w:r w:rsidR="00557A17" w:rsidRPr="00675182">
        <w:rPr>
          <w:rFonts w:cstheme="minorHAnsi"/>
        </w:rPr>
        <w:t xml:space="preserve"> to sākotnējai funkcijai. Izveidot darbnīcas - seno amatu </w:t>
      </w:r>
      <w:r w:rsidR="00E046E6" w:rsidRPr="00675182">
        <w:rPr>
          <w:rFonts w:cstheme="minorHAnsi"/>
        </w:rPr>
        <w:t>demonstrēšanas</w:t>
      </w:r>
      <w:r w:rsidR="00557A17" w:rsidRPr="00675182">
        <w:rPr>
          <w:rFonts w:cstheme="minorHAnsi"/>
        </w:rPr>
        <w:t xml:space="preserve"> un apmācības vietas</w:t>
      </w:r>
      <w:r w:rsidR="00E046E6" w:rsidRPr="00675182">
        <w:rPr>
          <w:rFonts w:cstheme="minorHAnsi"/>
        </w:rPr>
        <w:t>;</w:t>
      </w:r>
    </w:p>
    <w:p w14:paraId="4AF2BF56" w14:textId="2950D1CE" w:rsidR="00E046E6" w:rsidRPr="00675182" w:rsidRDefault="00604527" w:rsidP="00F91227">
      <w:pPr>
        <w:pStyle w:val="ListParagraph"/>
        <w:numPr>
          <w:ilvl w:val="0"/>
          <w:numId w:val="7"/>
        </w:numPr>
        <w:jc w:val="both"/>
        <w:rPr>
          <w:rFonts w:cstheme="minorHAnsi"/>
          <w:bCs/>
        </w:rPr>
      </w:pPr>
      <w:r>
        <w:rPr>
          <w:rFonts w:cstheme="minorHAnsi"/>
        </w:rPr>
        <w:t>s</w:t>
      </w:r>
      <w:r w:rsidRPr="00675182">
        <w:rPr>
          <w:rFonts w:cstheme="minorHAnsi"/>
        </w:rPr>
        <w:t xml:space="preserve">aglabāt </w:t>
      </w:r>
      <w:r w:rsidR="00557A17" w:rsidRPr="00675182">
        <w:rPr>
          <w:rFonts w:cstheme="minorHAnsi"/>
        </w:rPr>
        <w:t>augstvērtīgu dabisko un tradicionālo lauku kultūrainavu</w:t>
      </w:r>
      <w:r w:rsidR="00E046E6" w:rsidRPr="00675182">
        <w:rPr>
          <w:rFonts w:cstheme="minorHAnsi"/>
        </w:rPr>
        <w:t>;</w:t>
      </w:r>
    </w:p>
    <w:p w14:paraId="44A0964A" w14:textId="7D035E97" w:rsidR="00E046E6" w:rsidRPr="00675182" w:rsidRDefault="00604527" w:rsidP="00F91227">
      <w:pPr>
        <w:pStyle w:val="ListParagraph"/>
        <w:numPr>
          <w:ilvl w:val="0"/>
          <w:numId w:val="7"/>
        </w:numPr>
        <w:jc w:val="both"/>
        <w:rPr>
          <w:rFonts w:cstheme="minorHAnsi"/>
          <w:bCs/>
        </w:rPr>
      </w:pPr>
      <w:r>
        <w:rPr>
          <w:rFonts w:cstheme="minorHAnsi"/>
        </w:rPr>
        <w:t>n</w:t>
      </w:r>
      <w:r w:rsidRPr="00675182">
        <w:rPr>
          <w:rFonts w:cstheme="minorHAnsi"/>
        </w:rPr>
        <w:t xml:space="preserve">odrošināt </w:t>
      </w:r>
      <w:r w:rsidR="00557A17" w:rsidRPr="00675182">
        <w:rPr>
          <w:rFonts w:cstheme="minorHAnsi"/>
        </w:rPr>
        <w:t xml:space="preserve">dabas resursu </w:t>
      </w:r>
      <w:r w:rsidR="00E046E6" w:rsidRPr="00675182">
        <w:rPr>
          <w:rFonts w:cstheme="minorHAnsi"/>
        </w:rPr>
        <w:t>saglabāšanu</w:t>
      </w:r>
      <w:r w:rsidR="00557A17" w:rsidRPr="00675182">
        <w:rPr>
          <w:rFonts w:cstheme="minorHAnsi"/>
        </w:rPr>
        <w:t xml:space="preserve"> un ilglaicīgu </w:t>
      </w:r>
      <w:r w:rsidR="00E046E6" w:rsidRPr="00675182">
        <w:rPr>
          <w:rFonts w:cstheme="minorHAnsi"/>
        </w:rPr>
        <w:t>izmantošanu</w:t>
      </w:r>
      <w:r w:rsidR="00557A17" w:rsidRPr="00675182">
        <w:rPr>
          <w:rFonts w:cstheme="minorHAnsi"/>
        </w:rPr>
        <w:t>, veicinot reģiona ilgtspējīgu attīstību</w:t>
      </w:r>
      <w:r w:rsidR="00E046E6" w:rsidRPr="00675182">
        <w:rPr>
          <w:rFonts w:cstheme="minorHAnsi"/>
        </w:rPr>
        <w:t>;</w:t>
      </w:r>
    </w:p>
    <w:p w14:paraId="16D95F7E" w14:textId="07759640" w:rsidR="00E046E6" w:rsidRPr="00675182" w:rsidRDefault="00604527" w:rsidP="00F91227">
      <w:pPr>
        <w:pStyle w:val="ListParagraph"/>
        <w:numPr>
          <w:ilvl w:val="0"/>
          <w:numId w:val="7"/>
        </w:numPr>
        <w:jc w:val="both"/>
        <w:rPr>
          <w:rFonts w:cstheme="minorHAnsi"/>
          <w:bCs/>
        </w:rPr>
      </w:pPr>
      <w:r>
        <w:rPr>
          <w:rFonts w:cstheme="minorHAnsi"/>
        </w:rPr>
        <w:t>n</w:t>
      </w:r>
      <w:r w:rsidRPr="00675182">
        <w:rPr>
          <w:rFonts w:cstheme="minorHAnsi"/>
        </w:rPr>
        <w:t xml:space="preserve">odrošināt </w:t>
      </w:r>
      <w:r w:rsidR="00557A17" w:rsidRPr="00675182">
        <w:rPr>
          <w:rFonts w:cstheme="minorHAnsi"/>
        </w:rPr>
        <w:t xml:space="preserve">vidi </w:t>
      </w:r>
      <w:r w:rsidR="00E046E6" w:rsidRPr="00675182">
        <w:rPr>
          <w:rFonts w:cstheme="minorHAnsi"/>
        </w:rPr>
        <w:t>nenoplicinoša</w:t>
      </w:r>
      <w:r w:rsidR="00557A17" w:rsidRPr="00675182">
        <w:rPr>
          <w:rFonts w:cstheme="minorHAnsi"/>
        </w:rPr>
        <w:t xml:space="preserve"> tūrisma attīstību, radot iespējas sabiedrības atpūtai un vietējo iedzīvotāju nodarbinātībai ar tūrismu saistītās jomās</w:t>
      </w:r>
      <w:r w:rsidR="00E046E6" w:rsidRPr="00675182">
        <w:rPr>
          <w:rFonts w:cstheme="minorHAnsi"/>
        </w:rPr>
        <w:t>;</w:t>
      </w:r>
    </w:p>
    <w:p w14:paraId="64B43C68" w14:textId="4511D17E" w:rsidR="00E046E6" w:rsidRPr="00675182" w:rsidRDefault="00604527" w:rsidP="00F91227">
      <w:pPr>
        <w:pStyle w:val="ListParagraph"/>
        <w:numPr>
          <w:ilvl w:val="0"/>
          <w:numId w:val="7"/>
        </w:numPr>
        <w:jc w:val="both"/>
        <w:rPr>
          <w:rFonts w:cstheme="minorHAnsi"/>
          <w:bCs/>
        </w:rPr>
      </w:pPr>
      <w:r>
        <w:rPr>
          <w:rFonts w:cstheme="minorHAnsi"/>
        </w:rPr>
        <w:t>a</w:t>
      </w:r>
      <w:r w:rsidRPr="00675182">
        <w:rPr>
          <w:rFonts w:cstheme="minorHAnsi"/>
        </w:rPr>
        <w:t xml:space="preserve">tbalstīt </w:t>
      </w:r>
      <w:r w:rsidR="00E046E6" w:rsidRPr="00675182">
        <w:rPr>
          <w:rFonts w:cstheme="minorHAnsi"/>
        </w:rPr>
        <w:t>pašvaldību</w:t>
      </w:r>
      <w:r w:rsidR="00557A17" w:rsidRPr="00675182">
        <w:rPr>
          <w:rFonts w:cstheme="minorHAnsi"/>
        </w:rPr>
        <w:t xml:space="preserve"> centienus lielāko apdzīvoto vietu tuvumā attīstīt sporta aktivitātes un iekārtot atpūtas vietas to līdzsvarojot ar dabas aizsardzības prasībām</w:t>
      </w:r>
      <w:r w:rsidR="00E046E6" w:rsidRPr="00675182">
        <w:rPr>
          <w:rFonts w:cstheme="minorHAnsi"/>
        </w:rPr>
        <w:t>;</w:t>
      </w:r>
    </w:p>
    <w:p w14:paraId="16E902C1" w14:textId="3F861EF5" w:rsidR="00E046E6" w:rsidRPr="00675182" w:rsidRDefault="00604527" w:rsidP="00F91227">
      <w:pPr>
        <w:pStyle w:val="ListParagraph"/>
        <w:numPr>
          <w:ilvl w:val="0"/>
          <w:numId w:val="7"/>
        </w:numPr>
        <w:jc w:val="both"/>
        <w:rPr>
          <w:rFonts w:cstheme="minorHAnsi"/>
          <w:bCs/>
        </w:rPr>
      </w:pPr>
      <w:r>
        <w:rPr>
          <w:rFonts w:cstheme="minorHAnsi"/>
        </w:rPr>
        <w:t>n</w:t>
      </w:r>
      <w:r w:rsidRPr="00675182">
        <w:rPr>
          <w:rFonts w:cstheme="minorHAnsi"/>
        </w:rPr>
        <w:t xml:space="preserve">odrošināt </w:t>
      </w:r>
      <w:r w:rsidR="00557A17" w:rsidRPr="00675182">
        <w:rPr>
          <w:rFonts w:cstheme="minorHAnsi"/>
        </w:rPr>
        <w:t xml:space="preserve">informācijas </w:t>
      </w:r>
      <w:r w:rsidR="00E046E6" w:rsidRPr="00675182">
        <w:rPr>
          <w:rFonts w:cstheme="minorHAnsi"/>
        </w:rPr>
        <w:t>uzkrāšanu</w:t>
      </w:r>
      <w:r w:rsidR="00557A17" w:rsidRPr="00675182">
        <w:rPr>
          <w:rFonts w:cstheme="minorHAnsi"/>
        </w:rPr>
        <w:t xml:space="preserve"> un </w:t>
      </w:r>
      <w:r w:rsidR="00E046E6" w:rsidRPr="00675182">
        <w:rPr>
          <w:rFonts w:cstheme="minorHAnsi"/>
        </w:rPr>
        <w:t>sistematizēšanu</w:t>
      </w:r>
      <w:r w:rsidR="00557A17" w:rsidRPr="00675182">
        <w:rPr>
          <w:rFonts w:cstheme="minorHAnsi"/>
        </w:rPr>
        <w:t xml:space="preserve"> par dabas vērtībām un resursiem, kultūrvēsturisko mantojumu, procesiem dabā un pilsētvidē, kā arī par vides aizsardzības normatīvo aktu un vides politikas izmaiņām Latvijā un pasaulē</w:t>
      </w:r>
      <w:r w:rsidR="00E046E6" w:rsidRPr="00675182">
        <w:rPr>
          <w:rFonts w:cstheme="minorHAnsi"/>
        </w:rPr>
        <w:t>;</w:t>
      </w:r>
    </w:p>
    <w:p w14:paraId="5BB1C12B" w14:textId="175E72CD" w:rsidR="00E046E6" w:rsidRPr="00675182" w:rsidRDefault="00604527" w:rsidP="00F91227">
      <w:pPr>
        <w:pStyle w:val="ListParagraph"/>
        <w:numPr>
          <w:ilvl w:val="0"/>
          <w:numId w:val="7"/>
        </w:numPr>
        <w:jc w:val="both"/>
        <w:rPr>
          <w:rFonts w:cstheme="minorHAnsi"/>
          <w:bCs/>
        </w:rPr>
      </w:pPr>
      <w:r>
        <w:rPr>
          <w:rFonts w:cstheme="minorHAnsi"/>
        </w:rPr>
        <w:t>v</w:t>
      </w:r>
      <w:r w:rsidRPr="00675182">
        <w:rPr>
          <w:rFonts w:cstheme="minorHAnsi"/>
        </w:rPr>
        <w:t xml:space="preserve">eicināt </w:t>
      </w:r>
      <w:r w:rsidR="009C04BC" w:rsidRPr="00675182">
        <w:rPr>
          <w:rFonts w:cstheme="minorHAnsi"/>
        </w:rPr>
        <w:t>GNP</w:t>
      </w:r>
      <w:r w:rsidR="00557A17" w:rsidRPr="00675182">
        <w:rPr>
          <w:rFonts w:cstheme="minorHAnsi"/>
        </w:rPr>
        <w:t xml:space="preserve"> administrācijas sadarbību ar vietējiem iedzīvotājiem, pa</w:t>
      </w:r>
      <w:r w:rsidR="00E046E6" w:rsidRPr="00675182">
        <w:rPr>
          <w:rFonts w:cstheme="minorHAnsi"/>
        </w:rPr>
        <w:t>š</w:t>
      </w:r>
      <w:r w:rsidR="00557A17" w:rsidRPr="00675182">
        <w:rPr>
          <w:rFonts w:cstheme="minorHAnsi"/>
        </w:rPr>
        <w:t>valdībām un valsts pārvaldes institūcijām</w:t>
      </w:r>
      <w:r w:rsidR="00E046E6" w:rsidRPr="00675182">
        <w:rPr>
          <w:rFonts w:cstheme="minorHAnsi"/>
        </w:rPr>
        <w:t>;</w:t>
      </w:r>
    </w:p>
    <w:p w14:paraId="6FAB5DB0" w14:textId="79CD62DE" w:rsidR="00E046E6" w:rsidRPr="00675182" w:rsidRDefault="008603D5" w:rsidP="00F91227">
      <w:pPr>
        <w:pStyle w:val="ListParagraph"/>
        <w:numPr>
          <w:ilvl w:val="0"/>
          <w:numId w:val="7"/>
        </w:numPr>
        <w:jc w:val="both"/>
        <w:rPr>
          <w:rFonts w:cstheme="minorHAnsi"/>
          <w:bCs/>
        </w:rPr>
      </w:pPr>
      <w:r>
        <w:rPr>
          <w:rFonts w:cstheme="minorHAnsi"/>
        </w:rPr>
        <w:t>n</w:t>
      </w:r>
      <w:r w:rsidRPr="00675182">
        <w:rPr>
          <w:rFonts w:cstheme="minorHAnsi"/>
        </w:rPr>
        <w:t xml:space="preserve">odrošināt </w:t>
      </w:r>
      <w:r w:rsidR="00557A17" w:rsidRPr="00675182">
        <w:rPr>
          <w:rFonts w:cstheme="minorHAnsi"/>
        </w:rPr>
        <w:t xml:space="preserve">sabiedrības informētību par </w:t>
      </w:r>
      <w:r w:rsidR="009C04BC" w:rsidRPr="00675182">
        <w:rPr>
          <w:rFonts w:cstheme="minorHAnsi"/>
        </w:rPr>
        <w:t>GNP</w:t>
      </w:r>
      <w:r w:rsidR="00557A17" w:rsidRPr="00675182">
        <w:rPr>
          <w:rFonts w:cstheme="minorHAnsi"/>
        </w:rPr>
        <w:t xml:space="preserve"> mērķiem, kā arī par </w:t>
      </w:r>
      <w:r w:rsidR="009C04BC" w:rsidRPr="00675182">
        <w:rPr>
          <w:rFonts w:cstheme="minorHAnsi"/>
        </w:rPr>
        <w:t>GNP</w:t>
      </w:r>
      <w:r w:rsidR="00557A17" w:rsidRPr="00675182">
        <w:rPr>
          <w:rFonts w:cstheme="minorHAnsi"/>
        </w:rPr>
        <w:t xml:space="preserve"> administrācijas un citu institūciju darbības lomu </w:t>
      </w:r>
      <w:r w:rsidR="00E046E6" w:rsidRPr="00675182">
        <w:rPr>
          <w:rFonts w:cstheme="minorHAnsi"/>
        </w:rPr>
        <w:t>š</w:t>
      </w:r>
      <w:r w:rsidR="00557A17" w:rsidRPr="00675182">
        <w:rPr>
          <w:rFonts w:cstheme="minorHAnsi"/>
        </w:rPr>
        <w:t xml:space="preserve">o mērķu </w:t>
      </w:r>
      <w:r w:rsidR="00E046E6" w:rsidRPr="00675182">
        <w:rPr>
          <w:rFonts w:cstheme="minorHAnsi"/>
        </w:rPr>
        <w:t>sasniegšanā</w:t>
      </w:r>
      <w:r w:rsidR="00557A17" w:rsidRPr="00675182">
        <w:rPr>
          <w:rFonts w:cstheme="minorHAnsi"/>
        </w:rPr>
        <w:t>. Palielināt sabiedrības sapratni par dabas un kultūrvēsturiskajām vērtībām un to aizsardzību</w:t>
      </w:r>
      <w:r>
        <w:rPr>
          <w:rFonts w:cstheme="minorHAnsi"/>
        </w:rPr>
        <w:t>;</w:t>
      </w:r>
    </w:p>
    <w:p w14:paraId="26DF234E" w14:textId="5756CF1D" w:rsidR="00E046E6" w:rsidRPr="00675182" w:rsidRDefault="008603D5" w:rsidP="00F91227">
      <w:pPr>
        <w:pStyle w:val="ListParagraph"/>
        <w:numPr>
          <w:ilvl w:val="0"/>
          <w:numId w:val="7"/>
        </w:numPr>
        <w:jc w:val="both"/>
        <w:rPr>
          <w:rFonts w:cstheme="minorHAnsi"/>
          <w:bCs/>
        </w:rPr>
      </w:pPr>
      <w:r>
        <w:rPr>
          <w:rFonts w:cstheme="minorHAnsi"/>
        </w:rPr>
        <w:t>p</w:t>
      </w:r>
      <w:r w:rsidRPr="00675182">
        <w:rPr>
          <w:rFonts w:cstheme="minorHAnsi"/>
        </w:rPr>
        <w:t xml:space="preserve">anākt </w:t>
      </w:r>
      <w:r w:rsidR="009C04BC" w:rsidRPr="00675182">
        <w:rPr>
          <w:rFonts w:cstheme="minorHAnsi"/>
        </w:rPr>
        <w:t>GNP</w:t>
      </w:r>
      <w:r w:rsidR="00557A17" w:rsidRPr="00675182">
        <w:rPr>
          <w:rFonts w:cstheme="minorHAnsi"/>
        </w:rPr>
        <w:t xml:space="preserve"> dabas un kultūrvēsturisko vērtību starptautisku </w:t>
      </w:r>
      <w:r w:rsidR="006A289D" w:rsidRPr="00675182">
        <w:rPr>
          <w:rFonts w:cstheme="minorHAnsi"/>
        </w:rPr>
        <w:t>atzīšanu</w:t>
      </w:r>
      <w:r w:rsidR="00557A17" w:rsidRPr="00675182">
        <w:rPr>
          <w:rFonts w:cstheme="minorHAnsi"/>
        </w:rPr>
        <w:t xml:space="preserve"> un </w:t>
      </w:r>
      <w:r w:rsidR="006A289D" w:rsidRPr="00675182">
        <w:rPr>
          <w:rFonts w:cstheme="minorHAnsi"/>
        </w:rPr>
        <w:t>novērtēšanu</w:t>
      </w:r>
      <w:r w:rsidR="00E046E6" w:rsidRPr="00675182">
        <w:rPr>
          <w:rFonts w:cstheme="minorHAnsi"/>
        </w:rPr>
        <w:t>;</w:t>
      </w:r>
    </w:p>
    <w:p w14:paraId="089E4F02" w14:textId="1C767ADF" w:rsidR="006A289D" w:rsidRPr="00675182" w:rsidRDefault="008603D5" w:rsidP="00F91227">
      <w:pPr>
        <w:pStyle w:val="ListParagraph"/>
        <w:numPr>
          <w:ilvl w:val="0"/>
          <w:numId w:val="7"/>
        </w:numPr>
        <w:jc w:val="both"/>
        <w:rPr>
          <w:rFonts w:cstheme="minorHAnsi"/>
          <w:bCs/>
        </w:rPr>
      </w:pPr>
      <w:r>
        <w:rPr>
          <w:rFonts w:cstheme="minorHAnsi"/>
        </w:rPr>
        <w:t>p</w:t>
      </w:r>
      <w:r w:rsidRPr="00675182">
        <w:rPr>
          <w:rFonts w:cstheme="minorHAnsi"/>
        </w:rPr>
        <w:t>anākt</w:t>
      </w:r>
      <w:r w:rsidR="00557A17" w:rsidRPr="00675182">
        <w:rPr>
          <w:rFonts w:cstheme="minorHAnsi"/>
        </w:rPr>
        <w:t xml:space="preserve">, lai dabas rezervāta un </w:t>
      </w:r>
      <w:r>
        <w:rPr>
          <w:rFonts w:cstheme="minorHAnsi"/>
        </w:rPr>
        <w:t>DLZ</w:t>
      </w:r>
      <w:r w:rsidR="00557A17" w:rsidRPr="00675182">
        <w:rPr>
          <w:rFonts w:cstheme="minorHAnsi"/>
        </w:rPr>
        <w:t xml:space="preserve"> </w:t>
      </w:r>
      <w:r w:rsidR="006A289D" w:rsidRPr="00675182">
        <w:rPr>
          <w:rFonts w:cstheme="minorHAnsi"/>
        </w:rPr>
        <w:t>apsaimniekošana</w:t>
      </w:r>
      <w:r w:rsidR="00557A17" w:rsidRPr="00675182">
        <w:rPr>
          <w:rFonts w:cstheme="minorHAnsi"/>
        </w:rPr>
        <w:t xml:space="preserve"> notiktu </w:t>
      </w:r>
      <w:r w:rsidR="006A289D" w:rsidRPr="00675182">
        <w:rPr>
          <w:rFonts w:cstheme="minorHAnsi"/>
        </w:rPr>
        <w:t>atbilstoši</w:t>
      </w:r>
      <w:r w:rsidR="00557A17" w:rsidRPr="00675182">
        <w:rPr>
          <w:rFonts w:cstheme="minorHAnsi"/>
        </w:rPr>
        <w:t xml:space="preserve"> IUCN ieteikto aizsargājamo dabas teritoriju klasifikācijas II kategorijai, ar kuru noteikta nacionālo parku teritoriju ekosistēmu aizsardzība</w:t>
      </w:r>
      <w:r w:rsidR="006A289D" w:rsidRPr="00675182">
        <w:rPr>
          <w:rFonts w:cstheme="minorHAnsi"/>
        </w:rPr>
        <w:t>;</w:t>
      </w:r>
    </w:p>
    <w:p w14:paraId="17120ADF" w14:textId="0854852C" w:rsidR="00764645" w:rsidRPr="00675182" w:rsidRDefault="00557A17" w:rsidP="00F91227">
      <w:pPr>
        <w:pStyle w:val="ListParagraph"/>
        <w:numPr>
          <w:ilvl w:val="0"/>
          <w:numId w:val="7"/>
        </w:numPr>
        <w:jc w:val="both"/>
        <w:rPr>
          <w:rFonts w:cstheme="minorHAnsi"/>
          <w:bCs/>
        </w:rPr>
      </w:pPr>
      <w:r w:rsidRPr="00675182">
        <w:rPr>
          <w:rFonts w:cstheme="minorHAnsi"/>
        </w:rPr>
        <w:t xml:space="preserve"> </w:t>
      </w:r>
      <w:r w:rsidR="008603D5">
        <w:rPr>
          <w:rFonts w:cstheme="minorHAnsi"/>
        </w:rPr>
        <w:t>p</w:t>
      </w:r>
      <w:r w:rsidRPr="00675182">
        <w:rPr>
          <w:rFonts w:cstheme="minorHAnsi"/>
        </w:rPr>
        <w:t xml:space="preserve">anākt Gaujas senielejas nozīmīgākās daļas </w:t>
      </w:r>
      <w:r w:rsidR="006A289D" w:rsidRPr="00675182">
        <w:rPr>
          <w:rFonts w:cstheme="minorHAnsi"/>
        </w:rPr>
        <w:t>iekļaušanu</w:t>
      </w:r>
      <w:r w:rsidRPr="00675182">
        <w:rPr>
          <w:rFonts w:cstheme="minorHAnsi"/>
        </w:rPr>
        <w:t xml:space="preserve"> UNESCO Pasaules mantojuma sarakstā.</w:t>
      </w:r>
    </w:p>
    <w:p w14:paraId="1E7EB0A2" w14:textId="7D4B006D" w:rsidR="006A289D" w:rsidRPr="00675182" w:rsidRDefault="006A289D" w:rsidP="006A289D">
      <w:pPr>
        <w:pStyle w:val="ListParagraph"/>
        <w:jc w:val="both"/>
        <w:rPr>
          <w:rFonts w:cstheme="minorHAnsi"/>
        </w:rPr>
      </w:pPr>
    </w:p>
    <w:p w14:paraId="415C6409" w14:textId="7EA9FFE1" w:rsidR="006A289D" w:rsidRPr="00675182" w:rsidRDefault="006A289D" w:rsidP="006A289D">
      <w:pPr>
        <w:jc w:val="both"/>
        <w:rPr>
          <w:rFonts w:cstheme="minorHAnsi"/>
          <w:bCs/>
        </w:rPr>
      </w:pPr>
      <w:r w:rsidRPr="00675182">
        <w:rPr>
          <w:rFonts w:cstheme="minorHAnsi"/>
        </w:rPr>
        <w:lastRenderedPageBreak/>
        <w:t xml:space="preserve">Informācija par DA plānā no </w:t>
      </w:r>
      <w:r w:rsidRPr="00675182">
        <w:rPr>
          <w:rFonts w:cstheme="minorHAnsi"/>
          <w:bCs/>
        </w:rPr>
        <w:t>2004. līdz 2013. gadam tika iekļauti vispārīgie apsaimniekošanas pasākumi</w:t>
      </w:r>
      <w:r w:rsidR="00DD497E" w:rsidRPr="00675182">
        <w:rPr>
          <w:rFonts w:cstheme="minorHAnsi"/>
          <w:bCs/>
        </w:rPr>
        <w:t xml:space="preserve"> (piemēram, izmaiņas normatīvajos aktos vai to pilnveidošana)</w:t>
      </w:r>
      <w:r w:rsidRPr="00675182">
        <w:rPr>
          <w:rFonts w:cstheme="minorHAnsi"/>
          <w:bCs/>
        </w:rPr>
        <w:t>,</w:t>
      </w:r>
      <w:r w:rsidR="00DD497E" w:rsidRPr="00675182">
        <w:rPr>
          <w:rFonts w:cstheme="minorHAnsi"/>
          <w:bCs/>
        </w:rPr>
        <w:t xml:space="preserve"> pasākumi dabas vērtību saglabāšanai, pasākumi kultūrvēsturisko vērtību saglabāšanai, ainavu vērtību saglabāšanai, </w:t>
      </w:r>
      <w:r w:rsidR="00372237" w:rsidRPr="00675182">
        <w:rPr>
          <w:rFonts w:cstheme="minorHAnsi"/>
          <w:bCs/>
        </w:rPr>
        <w:t xml:space="preserve">dabas </w:t>
      </w:r>
      <w:r w:rsidR="00DD497E" w:rsidRPr="00675182">
        <w:rPr>
          <w:rFonts w:cstheme="minorHAnsi"/>
          <w:bCs/>
        </w:rPr>
        <w:t>resursu ilgtspējības saglabāšanai</w:t>
      </w:r>
      <w:r w:rsidR="00372237" w:rsidRPr="00675182">
        <w:rPr>
          <w:rFonts w:cstheme="minorHAnsi"/>
          <w:bCs/>
        </w:rPr>
        <w:t xml:space="preserve">, rekreācijas iespēju saglabāšanai un pilnveidošanai, informācijas uzkrāšanai un aktualizēšanai, kā arī sabiedrības izglītošanai. </w:t>
      </w:r>
      <w:r w:rsidRPr="00675182">
        <w:rPr>
          <w:rFonts w:cstheme="minorHAnsi"/>
          <w:bCs/>
        </w:rPr>
        <w:t xml:space="preserve">Informācija par apsaimniekošanas pasākumiem un to izpildi ir apkopota </w:t>
      </w:r>
      <w:r w:rsidR="00B9097B" w:rsidRPr="00675182">
        <w:rPr>
          <w:rFonts w:cstheme="minorHAnsi"/>
          <w:bCs/>
        </w:rPr>
        <w:t>14</w:t>
      </w:r>
      <w:r w:rsidRPr="00675182">
        <w:rPr>
          <w:rFonts w:cstheme="minorHAnsi"/>
          <w:bCs/>
        </w:rPr>
        <w:t xml:space="preserve">. pielikumā. </w:t>
      </w:r>
    </w:p>
    <w:p w14:paraId="5ACA49C8" w14:textId="1D7D5EFE" w:rsidR="00FE084A" w:rsidRPr="00675182" w:rsidRDefault="00FE084A" w:rsidP="006A289D">
      <w:pPr>
        <w:jc w:val="both"/>
        <w:rPr>
          <w:rFonts w:cstheme="minorHAnsi"/>
          <w:bCs/>
        </w:rPr>
      </w:pPr>
    </w:p>
    <w:p w14:paraId="5D195FA7" w14:textId="2D859964" w:rsidR="00FE084A" w:rsidRPr="00675182" w:rsidRDefault="00FE084A" w:rsidP="00FE084A">
      <w:pPr>
        <w:jc w:val="both"/>
        <w:rPr>
          <w:rFonts w:cstheme="minorHAnsi"/>
          <w:bCs/>
        </w:rPr>
      </w:pPr>
      <w:r w:rsidRPr="00675182">
        <w:rPr>
          <w:rFonts w:cstheme="minorHAnsi"/>
          <w:bCs/>
        </w:rPr>
        <w:t xml:space="preserve">Vērtējot DA plānā </w:t>
      </w:r>
      <w:r w:rsidRPr="00675182">
        <w:rPr>
          <w:rFonts w:cstheme="minorHAnsi"/>
        </w:rPr>
        <w:t xml:space="preserve">no </w:t>
      </w:r>
      <w:r w:rsidRPr="00675182">
        <w:rPr>
          <w:rFonts w:cstheme="minorHAnsi"/>
          <w:bCs/>
        </w:rPr>
        <w:t xml:space="preserve">2004. līdz 2013. gadam definētos mērķus un apsaimniekošanas pasākumus, secināms, ka savulaik ilgtermiņa mērķi noteikti pārāk daudz un sadrumstaloti. Definēto mērķu un no tiem izrietošo pasākumu novērtēšanu problemātisku padara fakts, ka apsaimniekošanas pasākumiem nav bijuši definētie rezultatīvie rādītāji un sasniedzamās vērtības, kuru analīze ļautu ne tikai kvalitatīvi, bet arī kvantitatīvi novērtēt mērķu sasniegšanu un apsaimniekošanas pasākumu īstenošanu ietekmējošos faktorus. Apkopojot informāciju secināms, ka daļa no plānotajiem apsaimniekošanas pasākumiem tiek realizēti tikai pēdējos 5 gados, t.i., faktiski pēc </w:t>
      </w:r>
      <w:r w:rsidR="00DC6938">
        <w:rPr>
          <w:rFonts w:cstheme="minorHAnsi"/>
          <w:bCs/>
        </w:rPr>
        <w:t>DA</w:t>
      </w:r>
      <w:r w:rsidRPr="00675182">
        <w:rPr>
          <w:rFonts w:cstheme="minorHAnsi"/>
          <w:bCs/>
        </w:rPr>
        <w:t xml:space="preserve"> plāna termiņa beigām.</w:t>
      </w:r>
    </w:p>
    <w:p w14:paraId="5DA1D89C" w14:textId="77777777" w:rsidR="00650D57" w:rsidRPr="00675182" w:rsidRDefault="00650D57" w:rsidP="00650D57">
      <w:pPr>
        <w:rPr>
          <w:rFonts w:cstheme="minorHAnsi"/>
        </w:rPr>
      </w:pPr>
    </w:p>
    <w:p w14:paraId="6ADFDE3D" w14:textId="77777777" w:rsidR="00650D57" w:rsidRPr="00675182" w:rsidRDefault="00650D57" w:rsidP="00650D57">
      <w:pPr>
        <w:pStyle w:val="Heading2"/>
        <w:keepNext w:val="0"/>
        <w:rPr>
          <w:rFonts w:cstheme="minorHAnsi"/>
          <w:i w:val="0"/>
          <w:lang w:val="lv-LV"/>
        </w:rPr>
      </w:pPr>
      <w:bookmarkStart w:id="111" w:name="_Toc116938415"/>
      <w:r w:rsidRPr="00675182">
        <w:rPr>
          <w:rFonts w:cstheme="minorHAnsi"/>
          <w:i w:val="0"/>
          <w:lang w:val="lv-LV"/>
        </w:rPr>
        <w:t>3.2. Aizsargājamās teritorijas apsaimniekošanas ilgtermiņa un īstermiņa mērķi</w:t>
      </w:r>
      <w:bookmarkEnd w:id="111"/>
      <w:r w:rsidRPr="00675182">
        <w:rPr>
          <w:rFonts w:cstheme="minorHAnsi"/>
          <w:i w:val="0"/>
          <w:lang w:val="lv-LV"/>
        </w:rPr>
        <w:t xml:space="preserve"> </w:t>
      </w:r>
    </w:p>
    <w:p w14:paraId="5F80C542" w14:textId="77777777" w:rsidR="00011E51" w:rsidRPr="00675182" w:rsidRDefault="00011E51" w:rsidP="002B3341">
      <w:pPr>
        <w:rPr>
          <w:rFonts w:cstheme="minorHAnsi"/>
        </w:rPr>
      </w:pPr>
    </w:p>
    <w:p w14:paraId="6A1C4E83" w14:textId="20975319" w:rsidR="003068AA" w:rsidRPr="00675182" w:rsidRDefault="003068AA" w:rsidP="002B3341">
      <w:pPr>
        <w:jc w:val="both"/>
        <w:rPr>
          <w:rFonts w:cstheme="minorHAnsi"/>
          <w:b/>
          <w:u w:val="single"/>
        </w:rPr>
      </w:pPr>
      <w:bookmarkStart w:id="112" w:name="_Hlk107948495"/>
      <w:r w:rsidRPr="00675182">
        <w:rPr>
          <w:rFonts w:cstheme="minorHAnsi"/>
          <w:b/>
          <w:u w:val="single"/>
        </w:rPr>
        <w:t>Ilgtermiņa mērķi</w:t>
      </w:r>
    </w:p>
    <w:p w14:paraId="18CE0CFF" w14:textId="77777777" w:rsidR="00516BD3" w:rsidRPr="00675182" w:rsidRDefault="00516BD3" w:rsidP="002B3341">
      <w:pPr>
        <w:jc w:val="both"/>
        <w:rPr>
          <w:rFonts w:cstheme="minorHAnsi"/>
          <w:b/>
          <w:u w:val="single"/>
        </w:rPr>
      </w:pPr>
    </w:p>
    <w:p w14:paraId="1E78949F" w14:textId="1F25FE10" w:rsidR="001D439A" w:rsidRPr="00675182" w:rsidRDefault="001D439A" w:rsidP="00F91227">
      <w:pPr>
        <w:pStyle w:val="ListParagraph"/>
        <w:numPr>
          <w:ilvl w:val="3"/>
          <w:numId w:val="8"/>
        </w:numPr>
        <w:ind w:left="426"/>
        <w:jc w:val="both"/>
        <w:rPr>
          <w:rFonts w:cstheme="minorHAnsi"/>
        </w:rPr>
      </w:pPr>
      <w:r w:rsidRPr="00675182">
        <w:rPr>
          <w:rFonts w:cstheme="minorHAnsi"/>
        </w:rPr>
        <w:t xml:space="preserve">Saglabāt GNP dabas, ainaviskās un kultūrvēsturiskās vērtības – sugu un biotopu daudzveidību, teritorijas unikālās ģeoloģiskās vērtības (iežu atsegumus un alas, reljefa formu un cilvēka mijiedarbības veidoto ainavu kompleksus), kultūrvēsturisko objektus, kā arī vēsturiski iecienītos teritorijas rekreācijas resursus. </w:t>
      </w:r>
    </w:p>
    <w:p w14:paraId="43212024" w14:textId="77777777" w:rsidR="001D439A" w:rsidRPr="00675182" w:rsidRDefault="001D439A" w:rsidP="00FE084A">
      <w:pPr>
        <w:ind w:left="426"/>
        <w:jc w:val="both"/>
        <w:rPr>
          <w:rFonts w:cstheme="minorHAnsi"/>
        </w:rPr>
      </w:pPr>
    </w:p>
    <w:p w14:paraId="16FD0EDC" w14:textId="3383F39F" w:rsidR="00B2132F" w:rsidRPr="00675182" w:rsidRDefault="001D439A" w:rsidP="00F91227">
      <w:pPr>
        <w:pStyle w:val="ListParagraph"/>
        <w:numPr>
          <w:ilvl w:val="3"/>
          <w:numId w:val="8"/>
        </w:numPr>
        <w:ind w:left="426"/>
        <w:jc w:val="both"/>
        <w:rPr>
          <w:rFonts w:cstheme="minorHAnsi"/>
        </w:rPr>
      </w:pPr>
      <w:r w:rsidRPr="00675182">
        <w:rPr>
          <w:rFonts w:cstheme="minorHAnsi"/>
        </w:rPr>
        <w:t>Veicināt dabas tūrisma attīstību un teritorijas vispusīgu un sabalansētu pārvaldību, vienlaikus veicinot teritorijas ilgtspējīgu attīstīb</w:t>
      </w:r>
      <w:r w:rsidR="000D242A" w:rsidRPr="00675182">
        <w:rPr>
          <w:rFonts w:cstheme="minorHAnsi"/>
        </w:rPr>
        <w:t xml:space="preserve">u, </w:t>
      </w:r>
      <w:r w:rsidRPr="00675182">
        <w:rPr>
          <w:rFonts w:cstheme="minorHAnsi"/>
        </w:rPr>
        <w:t>līdzsvarojot dabas aizsardzības, kultūrvēsturisko vērtību aizsardzības un sociālekonomiskās intereses un dodot ieguldījumu kopējā Eiropas attīstības vīzijas īstenošanā.</w:t>
      </w:r>
    </w:p>
    <w:p w14:paraId="6D68F84E" w14:textId="77777777" w:rsidR="00AF0A29" w:rsidRPr="00675182" w:rsidRDefault="00AF0A29" w:rsidP="008D7744">
      <w:pPr>
        <w:jc w:val="both"/>
        <w:rPr>
          <w:rFonts w:cstheme="minorHAnsi"/>
        </w:rPr>
      </w:pPr>
    </w:p>
    <w:p w14:paraId="654360D9" w14:textId="77777777" w:rsidR="003068AA" w:rsidRPr="00675182" w:rsidRDefault="003068AA" w:rsidP="002B3341">
      <w:pPr>
        <w:jc w:val="both"/>
        <w:rPr>
          <w:rFonts w:cstheme="minorHAnsi"/>
          <w:b/>
          <w:u w:val="single"/>
        </w:rPr>
      </w:pPr>
      <w:r w:rsidRPr="00675182">
        <w:rPr>
          <w:rFonts w:cstheme="minorHAnsi"/>
          <w:b/>
          <w:u w:val="single"/>
        </w:rPr>
        <w:t>Īstermiņa mērķi</w:t>
      </w:r>
    </w:p>
    <w:p w14:paraId="64E75CDD" w14:textId="77777777" w:rsidR="003068AA" w:rsidRPr="00675182" w:rsidRDefault="003068AA" w:rsidP="002B3341">
      <w:pPr>
        <w:jc w:val="both"/>
        <w:rPr>
          <w:rFonts w:cstheme="minorHAnsi"/>
        </w:rPr>
      </w:pPr>
    </w:p>
    <w:p w14:paraId="5159DA68" w14:textId="1C8F2FF2" w:rsidR="00363F4D" w:rsidRPr="00675182" w:rsidRDefault="003068AA" w:rsidP="002B3341">
      <w:pPr>
        <w:jc w:val="both"/>
        <w:rPr>
          <w:rFonts w:cstheme="minorHAnsi"/>
        </w:rPr>
      </w:pPr>
      <w:r w:rsidRPr="00675182">
        <w:rPr>
          <w:rFonts w:cstheme="minorHAnsi"/>
          <w:szCs w:val="24"/>
        </w:rPr>
        <w:t xml:space="preserve">Šajā nodaļā </w:t>
      </w:r>
      <w:r w:rsidR="006F79CC" w:rsidRPr="00675182">
        <w:rPr>
          <w:rFonts w:cstheme="minorHAnsi"/>
          <w:szCs w:val="24"/>
        </w:rPr>
        <w:t>ir</w:t>
      </w:r>
      <w:r w:rsidRPr="00675182">
        <w:rPr>
          <w:rFonts w:cstheme="minorHAnsi"/>
          <w:szCs w:val="24"/>
        </w:rPr>
        <w:t xml:space="preserve"> uzskaitīti </w:t>
      </w:r>
      <w:r w:rsidR="00DD71C3" w:rsidRPr="00675182">
        <w:rPr>
          <w:rFonts w:cstheme="minorHAnsi"/>
          <w:szCs w:val="24"/>
        </w:rPr>
        <w:t xml:space="preserve">īstermiņa </w:t>
      </w:r>
      <w:r w:rsidRPr="00675182">
        <w:rPr>
          <w:rFonts w:cstheme="minorHAnsi"/>
          <w:szCs w:val="24"/>
        </w:rPr>
        <w:t xml:space="preserve">mērķi turpmākajiem </w:t>
      </w:r>
      <w:r w:rsidR="00BC7819" w:rsidRPr="00675182">
        <w:rPr>
          <w:rFonts w:cstheme="minorHAnsi"/>
          <w:szCs w:val="24"/>
        </w:rPr>
        <w:t>12</w:t>
      </w:r>
      <w:r w:rsidRPr="00675182">
        <w:rPr>
          <w:rFonts w:cstheme="minorHAnsi"/>
          <w:szCs w:val="24"/>
        </w:rPr>
        <w:t xml:space="preserve"> gadiem, kurus ir </w:t>
      </w:r>
      <w:r w:rsidR="00DD2AE0" w:rsidRPr="00675182">
        <w:rPr>
          <w:rFonts w:cstheme="minorHAnsi"/>
          <w:szCs w:val="24"/>
        </w:rPr>
        <w:t xml:space="preserve">nepieciešams </w:t>
      </w:r>
      <w:r w:rsidRPr="00675182">
        <w:rPr>
          <w:rFonts w:cstheme="minorHAnsi"/>
          <w:szCs w:val="24"/>
        </w:rPr>
        <w:t xml:space="preserve">sasniegt </w:t>
      </w:r>
      <w:r w:rsidR="00363F4D" w:rsidRPr="00675182">
        <w:rPr>
          <w:rFonts w:cstheme="minorHAnsi"/>
          <w:szCs w:val="24"/>
        </w:rPr>
        <w:t>DA</w:t>
      </w:r>
      <w:r w:rsidRPr="00675182">
        <w:rPr>
          <w:rFonts w:cstheme="minorHAnsi"/>
          <w:szCs w:val="24"/>
        </w:rPr>
        <w:t xml:space="preserve"> plāna darbības laikā un kas kalpo kā nosacījums, lai sasniegtu ideālos teritorijas apsaimniekošanas mērķus vai tuvotos to sasniegšanai</w:t>
      </w:r>
      <w:r w:rsidR="00DD2AE0" w:rsidRPr="00675182">
        <w:rPr>
          <w:rFonts w:cstheme="minorHAnsi"/>
          <w:szCs w:val="24"/>
        </w:rPr>
        <w:t>, jo tie ir būtiski, lai sasniegtu ilgtermiņa teritorijas apsaimniekošanas mērķus vai tuvotos to sasniegšanai</w:t>
      </w:r>
      <w:r w:rsidRPr="00675182">
        <w:rPr>
          <w:rFonts w:cstheme="minorHAnsi"/>
          <w:szCs w:val="24"/>
        </w:rPr>
        <w:t>.</w:t>
      </w:r>
      <w:r w:rsidR="00363F4D" w:rsidRPr="00675182">
        <w:rPr>
          <w:rFonts w:cstheme="minorHAnsi"/>
        </w:rPr>
        <w:t xml:space="preserve"> </w:t>
      </w:r>
    </w:p>
    <w:p w14:paraId="5E564CDC" w14:textId="600E97AF" w:rsidR="00DD2AE0" w:rsidRPr="00675182" w:rsidRDefault="00DD2AE0" w:rsidP="00DD2AE0">
      <w:pPr>
        <w:jc w:val="both"/>
        <w:rPr>
          <w:rFonts w:cstheme="minorHAnsi"/>
        </w:rPr>
      </w:pPr>
    </w:p>
    <w:p w14:paraId="41979EE0" w14:textId="33F5FEE1" w:rsidR="00363F4D" w:rsidRPr="00675182" w:rsidRDefault="006F79CC" w:rsidP="00363F4D">
      <w:pPr>
        <w:jc w:val="both"/>
        <w:rPr>
          <w:rFonts w:cstheme="minorHAnsi"/>
          <w:szCs w:val="24"/>
        </w:rPr>
      </w:pPr>
      <w:r w:rsidRPr="00675182">
        <w:rPr>
          <w:rFonts w:cstheme="minorHAnsi"/>
          <w:szCs w:val="24"/>
        </w:rPr>
        <w:t>Plānošanas periodā galvenie īstermiņa mērķi tiek sadalīti vairākās grupās</w:t>
      </w:r>
      <w:r w:rsidR="00363F4D" w:rsidRPr="00675182">
        <w:rPr>
          <w:rFonts w:cstheme="minorHAnsi"/>
          <w:szCs w:val="24"/>
        </w:rPr>
        <w:t>:</w:t>
      </w:r>
    </w:p>
    <w:p w14:paraId="70B6D22F" w14:textId="77777777" w:rsidR="00363F4D" w:rsidRPr="00675182" w:rsidRDefault="00363F4D" w:rsidP="00363F4D">
      <w:pPr>
        <w:jc w:val="both"/>
        <w:rPr>
          <w:rFonts w:cstheme="minorHAnsi"/>
          <w:szCs w:val="24"/>
        </w:rPr>
      </w:pPr>
    </w:p>
    <w:p w14:paraId="707B7235" w14:textId="77777777" w:rsidR="006F79CC" w:rsidRPr="00675182" w:rsidRDefault="006F79CC" w:rsidP="006F79CC">
      <w:pPr>
        <w:jc w:val="both"/>
        <w:rPr>
          <w:rFonts w:cstheme="minorHAnsi"/>
          <w:b/>
          <w:szCs w:val="24"/>
        </w:rPr>
      </w:pPr>
      <w:r w:rsidRPr="00675182">
        <w:rPr>
          <w:rFonts w:cstheme="minorHAnsi"/>
          <w:b/>
          <w:szCs w:val="24"/>
        </w:rPr>
        <w:t>A. Administratīvie un organizatoriskie mērķi</w:t>
      </w:r>
    </w:p>
    <w:p w14:paraId="4AD94B59" w14:textId="77777777" w:rsidR="006F79CC" w:rsidRPr="00675182" w:rsidRDefault="006F79CC" w:rsidP="006F79CC">
      <w:pPr>
        <w:jc w:val="both"/>
        <w:rPr>
          <w:rFonts w:cstheme="minorHAnsi"/>
          <w:szCs w:val="24"/>
        </w:rPr>
      </w:pPr>
      <w:r w:rsidRPr="00675182">
        <w:rPr>
          <w:rFonts w:cstheme="minorHAnsi"/>
          <w:b/>
          <w:szCs w:val="24"/>
        </w:rPr>
        <w:t>B. Dabas vērtību aizsardzība un apsaimniekošana</w:t>
      </w:r>
    </w:p>
    <w:p w14:paraId="0D2C64FC" w14:textId="78C98228" w:rsidR="006F79CC" w:rsidRPr="00675182" w:rsidRDefault="006F79CC" w:rsidP="006F79CC">
      <w:pPr>
        <w:jc w:val="both"/>
        <w:rPr>
          <w:rFonts w:cstheme="minorHAnsi"/>
          <w:b/>
          <w:bCs/>
          <w:szCs w:val="24"/>
        </w:rPr>
      </w:pPr>
      <w:r w:rsidRPr="00675182">
        <w:rPr>
          <w:rFonts w:cstheme="minorHAnsi"/>
          <w:b/>
          <w:bCs/>
          <w:szCs w:val="24"/>
        </w:rPr>
        <w:t xml:space="preserve">C. Ainavisko </w:t>
      </w:r>
      <w:r w:rsidR="00C542E6" w:rsidRPr="00675182">
        <w:rPr>
          <w:rFonts w:cstheme="minorHAnsi"/>
          <w:b/>
          <w:bCs/>
          <w:szCs w:val="24"/>
        </w:rPr>
        <w:t xml:space="preserve">un kultūrvēsturisko </w:t>
      </w:r>
      <w:r w:rsidRPr="00675182">
        <w:rPr>
          <w:rFonts w:cstheme="minorHAnsi"/>
          <w:b/>
          <w:bCs/>
          <w:szCs w:val="24"/>
        </w:rPr>
        <w:t xml:space="preserve">vērtību </w:t>
      </w:r>
      <w:r w:rsidR="00C542E6" w:rsidRPr="00675182">
        <w:rPr>
          <w:rFonts w:cstheme="minorHAnsi"/>
          <w:b/>
          <w:bCs/>
          <w:szCs w:val="24"/>
        </w:rPr>
        <w:t>uzturēšana un saglabāšana</w:t>
      </w:r>
    </w:p>
    <w:p w14:paraId="7B2ACE3E" w14:textId="77777777" w:rsidR="006F79CC" w:rsidRPr="00675182" w:rsidRDefault="006F79CC" w:rsidP="006F79CC">
      <w:pPr>
        <w:keepNext/>
        <w:jc w:val="both"/>
        <w:rPr>
          <w:rFonts w:cstheme="minorHAnsi"/>
          <w:b/>
          <w:szCs w:val="24"/>
        </w:rPr>
      </w:pPr>
      <w:r w:rsidRPr="00675182">
        <w:rPr>
          <w:rFonts w:cstheme="minorHAnsi"/>
          <w:b/>
          <w:szCs w:val="24"/>
        </w:rPr>
        <w:lastRenderedPageBreak/>
        <w:t>D. Rekreācija un tūrisms</w:t>
      </w:r>
    </w:p>
    <w:p w14:paraId="3437114B" w14:textId="77777777" w:rsidR="006F79CC" w:rsidRPr="00675182" w:rsidRDefault="006F79CC" w:rsidP="006F79CC">
      <w:pPr>
        <w:keepNext/>
        <w:jc w:val="both"/>
        <w:rPr>
          <w:rFonts w:cstheme="minorHAnsi"/>
          <w:b/>
          <w:szCs w:val="24"/>
        </w:rPr>
      </w:pPr>
      <w:r w:rsidRPr="00675182">
        <w:rPr>
          <w:rFonts w:cstheme="minorHAnsi"/>
          <w:b/>
          <w:szCs w:val="24"/>
        </w:rPr>
        <w:t>E. Sabiedrības informēšana un izglītošana</w:t>
      </w:r>
    </w:p>
    <w:p w14:paraId="3F9F2BF5" w14:textId="77777777" w:rsidR="006F79CC" w:rsidRPr="00675182" w:rsidRDefault="006F79CC" w:rsidP="006F79CC">
      <w:pPr>
        <w:jc w:val="both"/>
        <w:rPr>
          <w:rFonts w:cstheme="minorHAnsi"/>
          <w:b/>
          <w:szCs w:val="24"/>
        </w:rPr>
      </w:pPr>
      <w:r w:rsidRPr="00675182">
        <w:rPr>
          <w:rFonts w:cstheme="minorHAnsi"/>
          <w:b/>
          <w:szCs w:val="24"/>
        </w:rPr>
        <w:t>F. Izpēte un monitorings</w:t>
      </w:r>
    </w:p>
    <w:p w14:paraId="63C0FCEF" w14:textId="77777777" w:rsidR="00363F4D" w:rsidRPr="00675182" w:rsidRDefault="00363F4D" w:rsidP="002B3341">
      <w:pPr>
        <w:jc w:val="both"/>
        <w:rPr>
          <w:rFonts w:cstheme="minorHAnsi"/>
        </w:rPr>
      </w:pPr>
    </w:p>
    <w:p w14:paraId="77D2B4B4" w14:textId="77777777" w:rsidR="006F79CC" w:rsidRPr="00675182" w:rsidRDefault="006F79CC" w:rsidP="006F79CC">
      <w:pPr>
        <w:jc w:val="both"/>
        <w:rPr>
          <w:rFonts w:cstheme="minorHAnsi"/>
          <w:b/>
          <w:i/>
          <w:szCs w:val="24"/>
          <w:u w:val="single"/>
        </w:rPr>
      </w:pPr>
      <w:r w:rsidRPr="00675182">
        <w:rPr>
          <w:rFonts w:cstheme="minorHAnsi"/>
          <w:b/>
          <w:i/>
          <w:szCs w:val="24"/>
          <w:u w:val="single"/>
        </w:rPr>
        <w:t>A. Administratīvie un organizatoriskie mērķi</w:t>
      </w:r>
    </w:p>
    <w:p w14:paraId="696B63F6" w14:textId="16BA1960" w:rsidR="006F79CC" w:rsidRPr="00675182" w:rsidRDefault="006F79CC" w:rsidP="00DB5E31">
      <w:pPr>
        <w:ind w:left="426" w:hanging="426"/>
        <w:jc w:val="both"/>
        <w:rPr>
          <w:rFonts w:cstheme="minorHAnsi"/>
        </w:rPr>
      </w:pPr>
      <w:r w:rsidRPr="00675182">
        <w:rPr>
          <w:rFonts w:cstheme="minorHAnsi"/>
        </w:rPr>
        <w:t>A.1.</w:t>
      </w:r>
      <w:r w:rsidR="00DB5E31" w:rsidRPr="00675182">
        <w:rPr>
          <w:rFonts w:cstheme="minorHAnsi"/>
        </w:rPr>
        <w:t xml:space="preserve"> </w:t>
      </w:r>
      <w:r w:rsidR="002A2943" w:rsidRPr="00675182">
        <w:rPr>
          <w:rFonts w:cstheme="minorHAnsi"/>
        </w:rPr>
        <w:t>GNP aizsardzības normatīvā ietvara precizēšana un uzlabošana atbilstoši jaunākajiem datiem un atziņām par teritorijai nepieciešamo aizsardzības režīmu</w:t>
      </w:r>
      <w:r w:rsidR="00C542E6" w:rsidRPr="00675182">
        <w:rPr>
          <w:rFonts w:cstheme="minorHAnsi"/>
        </w:rPr>
        <w:t>;</w:t>
      </w:r>
    </w:p>
    <w:p w14:paraId="57E6B6E6" w14:textId="469E503D" w:rsidR="006F79CC" w:rsidRPr="00675182" w:rsidRDefault="006F79CC" w:rsidP="00DB5E31">
      <w:pPr>
        <w:ind w:left="426" w:hanging="426"/>
        <w:jc w:val="both"/>
        <w:rPr>
          <w:rFonts w:cstheme="minorHAnsi"/>
        </w:rPr>
      </w:pPr>
      <w:r w:rsidRPr="00675182">
        <w:rPr>
          <w:rFonts w:cstheme="minorHAnsi"/>
        </w:rPr>
        <w:t xml:space="preserve">A.2. </w:t>
      </w:r>
      <w:r w:rsidR="002A2943" w:rsidRPr="00675182">
        <w:rPr>
          <w:rFonts w:cstheme="minorHAnsi"/>
        </w:rPr>
        <w:t>GNP robežas atbilstības nodrošināšana kadastra robežām vai dabiskajiem orientieriem iespējami precīzā mērogā</w:t>
      </w:r>
      <w:r w:rsidR="00C542E6" w:rsidRPr="00675182">
        <w:rPr>
          <w:rFonts w:cstheme="minorHAnsi"/>
        </w:rPr>
        <w:t>;</w:t>
      </w:r>
    </w:p>
    <w:p w14:paraId="37A9D8AE" w14:textId="39D2DF65" w:rsidR="00C84535" w:rsidRPr="00675182" w:rsidRDefault="00C84535" w:rsidP="00DB5E31">
      <w:pPr>
        <w:ind w:left="426" w:hanging="426"/>
        <w:jc w:val="both"/>
        <w:rPr>
          <w:rFonts w:cstheme="minorHAnsi"/>
        </w:rPr>
      </w:pPr>
      <w:r w:rsidRPr="00675182">
        <w:rPr>
          <w:rFonts w:cstheme="minorHAnsi"/>
        </w:rPr>
        <w:t xml:space="preserve">A3. </w:t>
      </w:r>
      <w:r w:rsidR="002A2943" w:rsidRPr="00675182">
        <w:rPr>
          <w:rFonts w:cstheme="minorHAnsi"/>
        </w:rPr>
        <w:t>GNP ekoloģiskās un kultūrvēsturiskās integritātes nodrošināšanai būtisku platību iekļaušana GNP teritorijā</w:t>
      </w:r>
      <w:r w:rsidR="00C542E6" w:rsidRPr="00675182">
        <w:rPr>
          <w:rFonts w:cstheme="minorHAnsi"/>
        </w:rPr>
        <w:t>;</w:t>
      </w:r>
    </w:p>
    <w:p w14:paraId="68C0AC15" w14:textId="31EA3459" w:rsidR="00D96356" w:rsidRPr="00675182" w:rsidRDefault="00D96356" w:rsidP="00DB5E31">
      <w:pPr>
        <w:ind w:left="426" w:hanging="426"/>
        <w:jc w:val="both"/>
        <w:rPr>
          <w:rFonts w:cstheme="minorHAnsi"/>
        </w:rPr>
      </w:pPr>
      <w:r w:rsidRPr="00675182">
        <w:rPr>
          <w:rFonts w:cstheme="minorHAnsi"/>
        </w:rPr>
        <w:t xml:space="preserve">A.4. </w:t>
      </w:r>
      <w:r w:rsidR="002A2943" w:rsidRPr="00675182">
        <w:rPr>
          <w:rFonts w:cstheme="minorHAnsi"/>
        </w:rPr>
        <w:t xml:space="preserve">Aktuālas informācijas nodrošināšana par </w:t>
      </w:r>
      <w:r w:rsidR="008F11D9" w:rsidRPr="00675182">
        <w:rPr>
          <w:rFonts w:cstheme="minorHAnsi"/>
        </w:rPr>
        <w:t xml:space="preserve">purvu platībās un </w:t>
      </w:r>
      <w:r w:rsidR="002A2943" w:rsidRPr="00675182">
        <w:rPr>
          <w:rFonts w:cstheme="minorHAnsi"/>
        </w:rPr>
        <w:t>mežaudzēs sastopamajām dabas vērtībām un apsaimniekošanas plānošana atbilstoši GNP aizsardzības mērķiem</w:t>
      </w:r>
      <w:r w:rsidR="00C542E6" w:rsidRPr="00675182">
        <w:rPr>
          <w:rFonts w:cstheme="minorHAnsi"/>
        </w:rPr>
        <w:t>;</w:t>
      </w:r>
    </w:p>
    <w:p w14:paraId="755844CC" w14:textId="6CE83984" w:rsidR="00D96356" w:rsidRPr="00675182" w:rsidRDefault="00D96356" w:rsidP="00DB5E31">
      <w:pPr>
        <w:ind w:left="426" w:hanging="426"/>
        <w:jc w:val="both"/>
        <w:rPr>
          <w:rFonts w:cstheme="minorHAnsi"/>
        </w:rPr>
      </w:pPr>
      <w:r w:rsidRPr="00675182">
        <w:rPr>
          <w:rFonts w:cstheme="minorHAnsi"/>
        </w:rPr>
        <w:t>A.5. Mežsaimnieciskās darbības ierobežojum</w:t>
      </w:r>
      <w:r w:rsidR="00F014B8" w:rsidRPr="00675182">
        <w:rPr>
          <w:rFonts w:cstheme="minorHAnsi"/>
        </w:rPr>
        <w:t>u precizēšana IAIN un to ievērošanas kontrole</w:t>
      </w:r>
      <w:r w:rsidR="00C65EFC" w:rsidRPr="00675182">
        <w:rPr>
          <w:rFonts w:cstheme="minorHAnsi"/>
        </w:rPr>
        <w:t>;</w:t>
      </w:r>
    </w:p>
    <w:p w14:paraId="6B46A504" w14:textId="7E61226C" w:rsidR="00C542E6" w:rsidRPr="00675182" w:rsidRDefault="00C542E6" w:rsidP="00BF7348">
      <w:pPr>
        <w:jc w:val="both"/>
        <w:rPr>
          <w:rFonts w:cstheme="minorHAnsi"/>
        </w:rPr>
      </w:pPr>
      <w:r w:rsidRPr="00675182">
        <w:rPr>
          <w:rFonts w:cstheme="minorHAnsi"/>
        </w:rPr>
        <w:t xml:space="preserve">A.6. </w:t>
      </w:r>
      <w:r w:rsidR="00657B78" w:rsidRPr="00675182">
        <w:rPr>
          <w:rFonts w:cstheme="minorHAnsi"/>
        </w:rPr>
        <w:t>Bioloģiskās lauksaimniecības platību un saimniecību skaita palielināšana</w:t>
      </w:r>
      <w:r w:rsidR="000D242A" w:rsidRPr="00675182">
        <w:rPr>
          <w:rFonts w:cstheme="minorHAnsi"/>
        </w:rPr>
        <w:t>, bioloģiskās lauksaimniecības popularitātes un bioloģiskās pārtikas patēriņa pieaugums GNP teritorijā</w:t>
      </w:r>
      <w:r w:rsidR="00657B78" w:rsidRPr="00675182">
        <w:rPr>
          <w:rFonts w:cstheme="minorHAnsi"/>
        </w:rPr>
        <w:t xml:space="preserve">, </w:t>
      </w:r>
      <w:r w:rsidR="00BD6E98" w:rsidRPr="00675182">
        <w:rPr>
          <w:rFonts w:cstheme="minorHAnsi"/>
          <w:szCs w:val="24"/>
        </w:rPr>
        <w:t>bioloģiskā reģiona izveide GNP teritorijā, kas balstīts bioloģiskās saimniekošanas principos;</w:t>
      </w:r>
    </w:p>
    <w:p w14:paraId="1FD798AB" w14:textId="23F37B96" w:rsidR="00A209E5" w:rsidRPr="00675182" w:rsidRDefault="00C542E6" w:rsidP="00BF7348">
      <w:pPr>
        <w:jc w:val="both"/>
        <w:rPr>
          <w:rFonts w:cstheme="minorHAnsi"/>
        </w:rPr>
      </w:pPr>
      <w:r w:rsidRPr="00675182">
        <w:rPr>
          <w:rFonts w:cstheme="minorHAnsi"/>
        </w:rPr>
        <w:t xml:space="preserve">A.7. </w:t>
      </w:r>
      <w:r w:rsidR="00A209E5" w:rsidRPr="00675182">
        <w:rPr>
          <w:rFonts w:cstheme="minorHAnsi"/>
        </w:rPr>
        <w:t>Mērķtiecīgas ainavu (t.sk. kultūrvēsturisko vērtību) pārvaldības sistēmas iedzīvināšana</w:t>
      </w:r>
      <w:r w:rsidR="00C65EFC" w:rsidRPr="00675182">
        <w:rPr>
          <w:rFonts w:cstheme="minorHAnsi"/>
        </w:rPr>
        <w:t>;</w:t>
      </w:r>
    </w:p>
    <w:p w14:paraId="298CEC75" w14:textId="50E499AC" w:rsidR="006124B9" w:rsidRPr="00675182" w:rsidRDefault="006124B9" w:rsidP="006124B9">
      <w:pPr>
        <w:ind w:left="426" w:hanging="426"/>
        <w:jc w:val="both"/>
        <w:rPr>
          <w:rFonts w:cstheme="minorHAnsi"/>
        </w:rPr>
      </w:pPr>
      <w:r w:rsidRPr="00675182">
        <w:rPr>
          <w:rFonts w:cstheme="minorHAnsi"/>
        </w:rPr>
        <w:t xml:space="preserve">A.8. </w:t>
      </w:r>
      <w:r w:rsidR="00C65EFC" w:rsidRPr="00675182">
        <w:rPr>
          <w:rFonts w:cstheme="minorHAnsi"/>
        </w:rPr>
        <w:t>Vienota tūrisma galamērķa pārvaldība un iesaistīto pušu dialoga nodrošināšana.</w:t>
      </w:r>
    </w:p>
    <w:p w14:paraId="48E04238" w14:textId="5E593F60" w:rsidR="006F79CC" w:rsidRPr="00675182" w:rsidRDefault="006F79CC" w:rsidP="006F79CC">
      <w:pPr>
        <w:rPr>
          <w:rFonts w:cstheme="minorHAnsi"/>
        </w:rPr>
      </w:pPr>
    </w:p>
    <w:p w14:paraId="11EDBCD6" w14:textId="77777777" w:rsidR="006263F8" w:rsidRPr="00675182" w:rsidRDefault="006263F8" w:rsidP="006263F8">
      <w:pPr>
        <w:jc w:val="both"/>
        <w:rPr>
          <w:rFonts w:cstheme="minorHAnsi"/>
          <w:i/>
          <w:sz w:val="22"/>
          <w:szCs w:val="22"/>
          <w:u w:val="single"/>
        </w:rPr>
      </w:pPr>
      <w:r w:rsidRPr="00675182">
        <w:rPr>
          <w:rFonts w:cstheme="minorHAnsi"/>
          <w:b/>
          <w:i/>
          <w:szCs w:val="24"/>
          <w:u w:val="single"/>
        </w:rPr>
        <w:t>B. Dabas vērtību aizsardzība un apsaimniekošana</w:t>
      </w:r>
      <w:r w:rsidRPr="00675182">
        <w:rPr>
          <w:rFonts w:cstheme="minorHAnsi"/>
          <w:i/>
          <w:sz w:val="22"/>
          <w:szCs w:val="22"/>
          <w:u w:val="single"/>
        </w:rPr>
        <w:t xml:space="preserve"> </w:t>
      </w:r>
    </w:p>
    <w:p w14:paraId="68721377" w14:textId="17E73D14" w:rsidR="006263F8" w:rsidRPr="00675182" w:rsidRDefault="006263F8" w:rsidP="00BF7348">
      <w:pPr>
        <w:pStyle w:val="Footer"/>
        <w:suppressAutoHyphens w:val="0"/>
        <w:ind w:left="426" w:hanging="426"/>
        <w:jc w:val="both"/>
        <w:rPr>
          <w:rFonts w:cstheme="minorHAnsi"/>
          <w:szCs w:val="24"/>
          <w:lang w:val="lv-LV"/>
        </w:rPr>
      </w:pPr>
      <w:r w:rsidRPr="00675182">
        <w:rPr>
          <w:rFonts w:cstheme="minorHAnsi"/>
          <w:szCs w:val="24"/>
          <w:lang w:val="lv-LV"/>
        </w:rPr>
        <w:t>B.1</w:t>
      </w:r>
      <w:r w:rsidRPr="00675182">
        <w:rPr>
          <w:rFonts w:cstheme="minorHAnsi"/>
          <w:lang w:val="lv-LV"/>
        </w:rPr>
        <w:t xml:space="preserve"> </w:t>
      </w:r>
      <w:r w:rsidRPr="00675182">
        <w:rPr>
          <w:rFonts w:cstheme="minorHAnsi"/>
          <w:szCs w:val="24"/>
          <w:lang w:val="lv-LV"/>
        </w:rPr>
        <w:t xml:space="preserve">Sekmēt saldūdeņu biotopu kvalitātes uzlabošanos </w:t>
      </w:r>
      <w:r w:rsidR="00516BD3" w:rsidRPr="00675182">
        <w:rPr>
          <w:rFonts w:cstheme="minorHAnsi"/>
          <w:szCs w:val="24"/>
          <w:lang w:val="lv-LV"/>
        </w:rPr>
        <w:t>18</w:t>
      </w:r>
      <w:r w:rsidR="007624AA" w:rsidRPr="00675182">
        <w:rPr>
          <w:rFonts w:cstheme="minorHAnsi"/>
          <w:szCs w:val="24"/>
          <w:lang w:val="lv-LV"/>
        </w:rPr>
        <w:t>75</w:t>
      </w:r>
      <w:r w:rsidRPr="00675182">
        <w:rPr>
          <w:rFonts w:cstheme="minorHAnsi"/>
          <w:szCs w:val="24"/>
          <w:lang w:val="lv-LV"/>
        </w:rPr>
        <w:t xml:space="preserve"> ha platībā, īstenojot apsaimniekošanas pasākumus;</w:t>
      </w:r>
    </w:p>
    <w:p w14:paraId="64E7BD5C" w14:textId="08C40727" w:rsidR="006263F8" w:rsidRPr="00675182" w:rsidRDefault="006263F8" w:rsidP="00BF7348">
      <w:pPr>
        <w:pStyle w:val="Footer"/>
        <w:suppressAutoHyphens w:val="0"/>
        <w:ind w:left="426" w:hanging="426"/>
        <w:jc w:val="both"/>
        <w:rPr>
          <w:rFonts w:cstheme="minorHAnsi"/>
          <w:szCs w:val="24"/>
          <w:lang w:val="lv-LV"/>
        </w:rPr>
      </w:pPr>
      <w:r w:rsidRPr="00675182">
        <w:rPr>
          <w:rFonts w:cstheme="minorHAnsi"/>
          <w:szCs w:val="24"/>
          <w:lang w:val="lv-LV"/>
        </w:rPr>
        <w:t xml:space="preserve">B.2. </w:t>
      </w:r>
      <w:r w:rsidR="00033740" w:rsidRPr="00675182">
        <w:rPr>
          <w:rFonts w:cstheme="minorHAnsi"/>
          <w:szCs w:val="24"/>
          <w:lang w:val="lv-LV"/>
        </w:rPr>
        <w:t>Sekmēt i</w:t>
      </w:r>
      <w:r w:rsidRPr="00675182">
        <w:rPr>
          <w:rFonts w:cstheme="minorHAnsi"/>
          <w:szCs w:val="24"/>
          <w:lang w:val="lv-LV"/>
        </w:rPr>
        <w:t xml:space="preserve">ežu atsegumu un alu </w:t>
      </w:r>
      <w:r w:rsidR="00033740" w:rsidRPr="00675182">
        <w:rPr>
          <w:rFonts w:cstheme="minorHAnsi"/>
          <w:szCs w:val="24"/>
          <w:lang w:val="lv-LV"/>
        </w:rPr>
        <w:t xml:space="preserve">biotopu apsaimniekošanu </w:t>
      </w:r>
      <w:r w:rsidR="007624AA" w:rsidRPr="00675182">
        <w:rPr>
          <w:rFonts w:cstheme="minorHAnsi"/>
          <w:szCs w:val="24"/>
          <w:lang w:val="lv-LV"/>
        </w:rPr>
        <w:t>36</w:t>
      </w:r>
      <w:r w:rsidR="00516BD3" w:rsidRPr="00675182">
        <w:rPr>
          <w:rFonts w:cstheme="minorHAnsi"/>
          <w:szCs w:val="24"/>
          <w:lang w:val="lv-LV"/>
        </w:rPr>
        <w:t>,</w:t>
      </w:r>
      <w:r w:rsidR="007624AA" w:rsidRPr="00675182">
        <w:rPr>
          <w:rFonts w:cstheme="minorHAnsi"/>
          <w:szCs w:val="24"/>
          <w:lang w:val="lv-LV"/>
        </w:rPr>
        <w:t>3</w:t>
      </w:r>
      <w:r w:rsidR="00373F29" w:rsidRPr="00675182">
        <w:rPr>
          <w:rFonts w:cstheme="minorHAnsi"/>
          <w:szCs w:val="24"/>
          <w:lang w:val="lv-LV"/>
        </w:rPr>
        <w:t xml:space="preserve"> ha</w:t>
      </w:r>
      <w:r w:rsidR="00033740" w:rsidRPr="00675182">
        <w:rPr>
          <w:rFonts w:cstheme="minorHAnsi"/>
          <w:szCs w:val="24"/>
          <w:lang w:val="lv-LV"/>
        </w:rPr>
        <w:t xml:space="preserve"> platībā, īstenojot apsaimniekošanas pasākumus</w:t>
      </w:r>
    </w:p>
    <w:p w14:paraId="7B619F22" w14:textId="1A721076" w:rsidR="006263F8" w:rsidRPr="00675182" w:rsidRDefault="006263F8" w:rsidP="00BF7348">
      <w:pPr>
        <w:pStyle w:val="Footer"/>
        <w:suppressAutoHyphens w:val="0"/>
        <w:ind w:left="426" w:hanging="426"/>
        <w:jc w:val="both"/>
        <w:rPr>
          <w:rFonts w:cstheme="minorHAnsi"/>
          <w:szCs w:val="24"/>
          <w:lang w:val="lv-LV"/>
        </w:rPr>
      </w:pPr>
      <w:r w:rsidRPr="00675182">
        <w:rPr>
          <w:rFonts w:cstheme="minorHAnsi"/>
          <w:szCs w:val="24"/>
          <w:lang w:val="lv-LV"/>
        </w:rPr>
        <w:t xml:space="preserve">B.3. Sekmēt zālāju biotopu apsaimniekošanu </w:t>
      </w:r>
      <w:r w:rsidR="00516BD3" w:rsidRPr="00675182">
        <w:rPr>
          <w:rFonts w:cstheme="minorHAnsi"/>
          <w:szCs w:val="24"/>
          <w:lang w:val="lv-LV"/>
        </w:rPr>
        <w:t>8</w:t>
      </w:r>
      <w:r w:rsidR="007624AA" w:rsidRPr="00675182">
        <w:rPr>
          <w:rFonts w:cstheme="minorHAnsi"/>
          <w:szCs w:val="24"/>
          <w:lang w:val="lv-LV"/>
        </w:rPr>
        <w:t>33</w:t>
      </w:r>
      <w:r w:rsidRPr="00675182">
        <w:rPr>
          <w:rFonts w:cstheme="minorHAnsi"/>
          <w:szCs w:val="24"/>
          <w:lang w:val="lv-LV"/>
        </w:rPr>
        <w:t xml:space="preserve"> ha platībā, tādējādi uzlabojot zālāju kvalitāti un nodrošinot to platību nesamazināšanos</w:t>
      </w:r>
      <w:r w:rsidR="004D0C9C" w:rsidRPr="00675182">
        <w:rPr>
          <w:rFonts w:cstheme="minorHAnsi"/>
          <w:szCs w:val="24"/>
          <w:lang w:val="lv-LV"/>
        </w:rPr>
        <w:t>, palielināt aizsargājamo zālāju biotopu platību par 390 ha</w:t>
      </w:r>
      <w:r w:rsidRPr="00675182">
        <w:rPr>
          <w:rFonts w:cstheme="minorHAnsi"/>
          <w:szCs w:val="24"/>
          <w:lang w:val="lv-LV"/>
        </w:rPr>
        <w:t>;</w:t>
      </w:r>
    </w:p>
    <w:p w14:paraId="6B22D28F" w14:textId="4D352009" w:rsidR="006263F8" w:rsidRPr="00675182" w:rsidRDefault="006263F8" w:rsidP="00BF7348">
      <w:pPr>
        <w:pStyle w:val="Footer"/>
        <w:suppressAutoHyphens w:val="0"/>
        <w:ind w:left="426" w:hanging="426"/>
        <w:jc w:val="both"/>
        <w:rPr>
          <w:rFonts w:cstheme="minorHAnsi"/>
          <w:szCs w:val="24"/>
          <w:lang w:val="lv-LV"/>
        </w:rPr>
      </w:pPr>
      <w:r w:rsidRPr="00675182">
        <w:rPr>
          <w:rFonts w:cstheme="minorHAnsi"/>
          <w:szCs w:val="24"/>
          <w:lang w:val="lv-LV"/>
        </w:rPr>
        <w:t xml:space="preserve">B.4. </w:t>
      </w:r>
      <w:r w:rsidR="00300FDE" w:rsidRPr="00675182">
        <w:rPr>
          <w:rFonts w:cstheme="minorHAnsi"/>
          <w:szCs w:val="24"/>
          <w:lang w:val="lv-LV"/>
        </w:rPr>
        <w:t>Sekmēt purvu biotopu kvalitātes uzlabošanos vismaz 450 ha platībā, uzlabojot to hidroloģiskos apstākļus;</w:t>
      </w:r>
    </w:p>
    <w:p w14:paraId="31F4B7DA" w14:textId="2885D59E" w:rsidR="006263F8" w:rsidRPr="00675182" w:rsidRDefault="006263F8" w:rsidP="00BF7348">
      <w:pPr>
        <w:pStyle w:val="Footer"/>
        <w:suppressAutoHyphens w:val="0"/>
        <w:ind w:left="426" w:hanging="426"/>
        <w:jc w:val="both"/>
        <w:rPr>
          <w:rFonts w:cstheme="minorHAnsi"/>
          <w:szCs w:val="24"/>
          <w:lang w:val="lv-LV"/>
        </w:rPr>
      </w:pPr>
      <w:r w:rsidRPr="00675182">
        <w:rPr>
          <w:rFonts w:cstheme="minorHAnsi"/>
          <w:szCs w:val="24"/>
          <w:lang w:val="lv-LV"/>
        </w:rPr>
        <w:t xml:space="preserve">B.5. Sekmēt meža biotopu kvalitātes uzlabošanos </w:t>
      </w:r>
      <w:r w:rsidR="007624AA" w:rsidRPr="00675182">
        <w:rPr>
          <w:rFonts w:cstheme="minorHAnsi"/>
          <w:szCs w:val="24"/>
          <w:lang w:val="lv-LV"/>
        </w:rPr>
        <w:t>12087</w:t>
      </w:r>
      <w:r w:rsidRPr="00675182">
        <w:rPr>
          <w:rFonts w:cstheme="minorHAnsi"/>
          <w:szCs w:val="24"/>
          <w:lang w:val="lv-LV"/>
        </w:rPr>
        <w:t xml:space="preserve"> ha platībā, īstenojot apsaimniekošanas pasākumus;</w:t>
      </w:r>
    </w:p>
    <w:p w14:paraId="39182566" w14:textId="4F17FFE2" w:rsidR="006263F8" w:rsidRPr="00675182" w:rsidRDefault="006263F8" w:rsidP="00BF7348">
      <w:pPr>
        <w:pStyle w:val="Footer"/>
        <w:suppressAutoHyphens w:val="0"/>
        <w:ind w:left="426" w:hanging="426"/>
        <w:jc w:val="both"/>
        <w:rPr>
          <w:rFonts w:cstheme="minorHAnsi"/>
          <w:szCs w:val="24"/>
          <w:lang w:val="lv-LV"/>
        </w:rPr>
      </w:pPr>
      <w:r w:rsidRPr="00675182">
        <w:rPr>
          <w:rFonts w:cstheme="minorHAnsi"/>
          <w:szCs w:val="24"/>
          <w:lang w:val="lv-LV"/>
        </w:rPr>
        <w:t>B.6. Uzturēt un palielināt retajām un aizsargājamajām sugām piemērotas dzīvotnes platības</w:t>
      </w:r>
      <w:r w:rsidR="00994911" w:rsidRPr="00675182">
        <w:rPr>
          <w:rFonts w:cstheme="minorHAnsi"/>
          <w:szCs w:val="24"/>
          <w:lang w:val="lv-LV"/>
        </w:rPr>
        <w:t>;</w:t>
      </w:r>
    </w:p>
    <w:p w14:paraId="66C05E63" w14:textId="7F64A1CA" w:rsidR="00994911" w:rsidRPr="00675182" w:rsidRDefault="00994911" w:rsidP="00BF7348">
      <w:pPr>
        <w:pStyle w:val="Footer"/>
        <w:suppressAutoHyphens w:val="0"/>
        <w:ind w:left="426" w:hanging="426"/>
        <w:jc w:val="both"/>
        <w:rPr>
          <w:rFonts w:cstheme="minorHAnsi"/>
          <w:szCs w:val="24"/>
          <w:lang w:val="lv-LV"/>
        </w:rPr>
      </w:pPr>
      <w:r w:rsidRPr="00675182">
        <w:rPr>
          <w:rFonts w:cstheme="minorHAnsi"/>
          <w:szCs w:val="24"/>
          <w:lang w:val="lv-LV"/>
        </w:rPr>
        <w:t>B.7. Ierobežot invazīvo sugu izplatību, novēršot ainavas un biotopu degradāciju.</w:t>
      </w:r>
    </w:p>
    <w:p w14:paraId="28735E29" w14:textId="77777777" w:rsidR="006263F8" w:rsidRPr="00675182" w:rsidRDefault="006263F8" w:rsidP="006263F8">
      <w:pPr>
        <w:pStyle w:val="Footer"/>
        <w:suppressAutoHyphens w:val="0"/>
        <w:ind w:left="426" w:hanging="426"/>
        <w:rPr>
          <w:rFonts w:cstheme="minorHAnsi"/>
          <w:szCs w:val="24"/>
          <w:lang w:val="lv-LV"/>
        </w:rPr>
      </w:pPr>
    </w:p>
    <w:p w14:paraId="5233D1C1" w14:textId="7C6C2594" w:rsidR="00C542E6" w:rsidRPr="00675182" w:rsidRDefault="00C542E6" w:rsidP="00C542E6">
      <w:pPr>
        <w:rPr>
          <w:rFonts w:cstheme="minorHAnsi"/>
          <w:b/>
          <w:i/>
          <w:szCs w:val="24"/>
          <w:u w:val="single"/>
        </w:rPr>
      </w:pPr>
      <w:r w:rsidRPr="00675182">
        <w:rPr>
          <w:rFonts w:cstheme="minorHAnsi"/>
          <w:b/>
          <w:i/>
          <w:szCs w:val="24"/>
          <w:u w:val="single"/>
        </w:rPr>
        <w:t>C. Ainavisko un kultūrvēsturisko vērtību uzturēšana un saglabāšana</w:t>
      </w:r>
    </w:p>
    <w:p w14:paraId="05360516" w14:textId="2C24C0FF" w:rsidR="000F039A" w:rsidRPr="00675182" w:rsidRDefault="00C542E6" w:rsidP="00BF7348">
      <w:pPr>
        <w:jc w:val="both"/>
        <w:rPr>
          <w:rFonts w:cstheme="minorHAnsi"/>
          <w:bCs/>
          <w:iCs/>
          <w:szCs w:val="24"/>
        </w:rPr>
      </w:pPr>
      <w:r w:rsidRPr="00675182">
        <w:rPr>
          <w:rFonts w:cstheme="minorHAnsi"/>
          <w:bCs/>
          <w:iCs/>
          <w:szCs w:val="24"/>
        </w:rPr>
        <w:t>C.1.</w:t>
      </w:r>
      <w:r w:rsidR="00DB5E31" w:rsidRPr="00675182">
        <w:rPr>
          <w:rFonts w:cstheme="minorHAnsi"/>
          <w:bCs/>
          <w:iCs/>
          <w:szCs w:val="24"/>
        </w:rPr>
        <w:t xml:space="preserve"> </w:t>
      </w:r>
      <w:r w:rsidR="000F039A" w:rsidRPr="00675182">
        <w:rPr>
          <w:rFonts w:cstheme="minorHAnsi"/>
          <w:bCs/>
          <w:iCs/>
          <w:szCs w:val="24"/>
        </w:rPr>
        <w:t>GNP raksturīgās ainavas saglabāšana un attīstība, veicot izpētes, apsaimniekošanas un popularizēšanas pasākumus</w:t>
      </w:r>
      <w:r w:rsidR="00136094" w:rsidRPr="00675182">
        <w:rPr>
          <w:rFonts w:cstheme="minorHAnsi"/>
          <w:bCs/>
          <w:iCs/>
          <w:szCs w:val="24"/>
        </w:rPr>
        <w:t>;</w:t>
      </w:r>
    </w:p>
    <w:p w14:paraId="43F3CCD7" w14:textId="190CB428" w:rsidR="000F039A" w:rsidRPr="00675182" w:rsidRDefault="000F039A" w:rsidP="00BF7348">
      <w:pPr>
        <w:jc w:val="both"/>
        <w:rPr>
          <w:rFonts w:cstheme="minorHAnsi"/>
          <w:bCs/>
          <w:iCs/>
          <w:szCs w:val="24"/>
        </w:rPr>
      </w:pPr>
      <w:r w:rsidRPr="00675182">
        <w:rPr>
          <w:rFonts w:cstheme="minorHAnsi"/>
          <w:bCs/>
          <w:iCs/>
          <w:szCs w:val="24"/>
        </w:rPr>
        <w:t>C.2. Kultūrvēsturiskā mantojuma saglabāšana un attīstība</w:t>
      </w:r>
      <w:r w:rsidR="00136094" w:rsidRPr="00675182">
        <w:rPr>
          <w:rFonts w:cstheme="minorHAnsi"/>
          <w:bCs/>
          <w:iCs/>
          <w:szCs w:val="24"/>
        </w:rPr>
        <w:t>.</w:t>
      </w:r>
    </w:p>
    <w:p w14:paraId="74C16F82" w14:textId="77777777" w:rsidR="00DB5E31" w:rsidRPr="00675182" w:rsidRDefault="00DB5E31" w:rsidP="00C542E6">
      <w:pPr>
        <w:rPr>
          <w:rFonts w:cstheme="minorHAnsi"/>
          <w:bCs/>
          <w:iCs/>
        </w:rPr>
      </w:pPr>
    </w:p>
    <w:p w14:paraId="0DB2C99A" w14:textId="77777777" w:rsidR="006263F8" w:rsidRPr="00675182" w:rsidRDefault="006263F8" w:rsidP="00C65EFC">
      <w:pPr>
        <w:keepNext/>
        <w:keepLines/>
        <w:rPr>
          <w:rFonts w:cstheme="minorHAnsi"/>
          <w:b/>
          <w:i/>
          <w:szCs w:val="24"/>
          <w:u w:val="single"/>
        </w:rPr>
      </w:pPr>
      <w:r w:rsidRPr="00675182">
        <w:rPr>
          <w:rFonts w:cstheme="minorHAnsi"/>
          <w:b/>
          <w:i/>
          <w:szCs w:val="24"/>
          <w:u w:val="single"/>
        </w:rPr>
        <w:lastRenderedPageBreak/>
        <w:t>D. Rekreācija un tūrisms</w:t>
      </w:r>
    </w:p>
    <w:p w14:paraId="6DD1EAFC" w14:textId="77777777" w:rsidR="00834C33" w:rsidRPr="00675182" w:rsidRDefault="00834C33" w:rsidP="00C65EFC">
      <w:pPr>
        <w:keepNext/>
        <w:keepLines/>
        <w:ind w:left="567" w:hanging="567"/>
        <w:jc w:val="both"/>
        <w:rPr>
          <w:rFonts w:cstheme="minorHAnsi"/>
          <w:szCs w:val="24"/>
        </w:rPr>
      </w:pPr>
      <w:r w:rsidRPr="00675182">
        <w:rPr>
          <w:rFonts w:cstheme="minorHAnsi"/>
          <w:szCs w:val="24"/>
        </w:rPr>
        <w:t>D.1. Ierīkot, pilnveidot un uzturēt dabas un kultūrvēsturisko vietu apmeklēšanai vajadzīgo infrastruktūru;</w:t>
      </w:r>
    </w:p>
    <w:p w14:paraId="2930C5D3" w14:textId="77777777" w:rsidR="00834C33" w:rsidRPr="00675182" w:rsidRDefault="00834C33" w:rsidP="00834C33">
      <w:pPr>
        <w:ind w:left="567" w:hanging="567"/>
        <w:jc w:val="both"/>
        <w:rPr>
          <w:rFonts w:cstheme="minorHAnsi"/>
          <w:szCs w:val="24"/>
        </w:rPr>
      </w:pPr>
      <w:r w:rsidRPr="00675182">
        <w:rPr>
          <w:rFonts w:cstheme="minorHAnsi"/>
          <w:szCs w:val="24"/>
        </w:rPr>
        <w:t>D.2. Ierīkot, pilnveidot un uzturēt citu saistīto tūrisma un rekreācijas infrastruktūru;</w:t>
      </w:r>
    </w:p>
    <w:p w14:paraId="4F22084B" w14:textId="77777777" w:rsidR="00834C33" w:rsidRPr="00675182" w:rsidRDefault="00834C33" w:rsidP="00834C33">
      <w:pPr>
        <w:ind w:left="567" w:hanging="567"/>
        <w:jc w:val="both"/>
        <w:rPr>
          <w:rFonts w:cstheme="minorHAnsi"/>
          <w:szCs w:val="24"/>
        </w:rPr>
      </w:pPr>
      <w:r w:rsidRPr="00675182">
        <w:rPr>
          <w:rFonts w:cstheme="minorHAnsi"/>
          <w:szCs w:val="24"/>
        </w:rPr>
        <w:t>D.3. Veicināt ilgtspējīgu un ekonomiski dzīvotspējīgu tūrisma piedāvājuma attīstību, sniedzot jēgpilnu un kvalitatīvu pieredzējumu, aizsargājot dabas un kultūras vērtības, atbalstot vietējo kopienu dzīves kvalitāti.</w:t>
      </w:r>
    </w:p>
    <w:p w14:paraId="4608B6E6" w14:textId="0B48D321" w:rsidR="003068AA" w:rsidRPr="00675182" w:rsidRDefault="003068AA" w:rsidP="002B3341">
      <w:pPr>
        <w:jc w:val="both"/>
        <w:rPr>
          <w:rFonts w:cstheme="minorHAnsi"/>
          <w:szCs w:val="24"/>
        </w:rPr>
      </w:pPr>
    </w:p>
    <w:p w14:paraId="4B41802F" w14:textId="529FD192" w:rsidR="006263F8" w:rsidRPr="00675182" w:rsidRDefault="006263F8" w:rsidP="006263F8">
      <w:pPr>
        <w:keepNext/>
        <w:jc w:val="both"/>
        <w:rPr>
          <w:rFonts w:cstheme="minorHAnsi"/>
          <w:b/>
          <w:i/>
          <w:szCs w:val="24"/>
          <w:u w:val="single"/>
        </w:rPr>
      </w:pPr>
      <w:r w:rsidRPr="00675182">
        <w:rPr>
          <w:rFonts w:cstheme="minorHAnsi"/>
          <w:b/>
          <w:i/>
          <w:szCs w:val="24"/>
          <w:u w:val="single"/>
        </w:rPr>
        <w:t>E. Sabiedrības informēšana un izglītošana</w:t>
      </w:r>
    </w:p>
    <w:p w14:paraId="7EBDD0A2" w14:textId="77777777" w:rsidR="00033740" w:rsidRPr="00675182" w:rsidRDefault="00033740" w:rsidP="00033740">
      <w:pPr>
        <w:jc w:val="both"/>
        <w:rPr>
          <w:rFonts w:cstheme="minorHAnsi"/>
          <w:szCs w:val="24"/>
        </w:rPr>
      </w:pPr>
      <w:r w:rsidRPr="00675182">
        <w:rPr>
          <w:rFonts w:cstheme="minorHAnsi"/>
          <w:szCs w:val="24"/>
        </w:rPr>
        <w:t>E.1. Nodrošināt GNP robežu atpazīstamību dabā;</w:t>
      </w:r>
    </w:p>
    <w:p w14:paraId="5837AC5F" w14:textId="57C16E8E" w:rsidR="00994911" w:rsidRPr="00675182" w:rsidRDefault="00994911" w:rsidP="006263F8">
      <w:pPr>
        <w:keepNext/>
        <w:jc w:val="both"/>
        <w:rPr>
          <w:rFonts w:cstheme="minorHAnsi"/>
          <w:bCs/>
          <w:iCs/>
          <w:szCs w:val="24"/>
        </w:rPr>
      </w:pPr>
      <w:r w:rsidRPr="00675182">
        <w:rPr>
          <w:rFonts w:cstheme="minorHAnsi"/>
          <w:bCs/>
          <w:iCs/>
          <w:szCs w:val="24"/>
        </w:rPr>
        <w:t>E.</w:t>
      </w:r>
      <w:r w:rsidR="00033740" w:rsidRPr="00675182">
        <w:rPr>
          <w:rFonts w:cstheme="minorHAnsi"/>
          <w:bCs/>
          <w:iCs/>
          <w:szCs w:val="24"/>
        </w:rPr>
        <w:t>2</w:t>
      </w:r>
      <w:r w:rsidRPr="00675182">
        <w:rPr>
          <w:rFonts w:cstheme="minorHAnsi"/>
          <w:bCs/>
          <w:iCs/>
          <w:szCs w:val="24"/>
        </w:rPr>
        <w:t>. Atjaunot, izvietot un uzturēt informācijas stendus un norādes</w:t>
      </w:r>
      <w:r w:rsidR="00033740" w:rsidRPr="00675182">
        <w:rPr>
          <w:rFonts w:cstheme="minorHAnsi"/>
          <w:bCs/>
          <w:iCs/>
          <w:szCs w:val="24"/>
        </w:rPr>
        <w:t>;</w:t>
      </w:r>
    </w:p>
    <w:p w14:paraId="2D79EEA3" w14:textId="5F96650C" w:rsidR="006263F8" w:rsidRPr="00675182" w:rsidRDefault="006263F8" w:rsidP="006263F8">
      <w:pPr>
        <w:ind w:left="426" w:hanging="426"/>
        <w:jc w:val="both"/>
        <w:rPr>
          <w:rFonts w:cstheme="minorHAnsi"/>
          <w:szCs w:val="24"/>
        </w:rPr>
      </w:pPr>
      <w:r w:rsidRPr="00675182">
        <w:rPr>
          <w:rFonts w:cstheme="minorHAnsi"/>
          <w:szCs w:val="24"/>
        </w:rPr>
        <w:t xml:space="preserve">E.3. Veicināt sabiedrības </w:t>
      </w:r>
      <w:r w:rsidR="00F07009" w:rsidRPr="00675182">
        <w:rPr>
          <w:rFonts w:cstheme="minorHAnsi"/>
          <w:szCs w:val="24"/>
        </w:rPr>
        <w:t>vides apziņu, informējot un izglītojot par ilgtspējīgu dzīvesveidu, vides un aizsargājamās teritorijas vērtībām</w:t>
      </w:r>
      <w:r w:rsidR="00033740" w:rsidRPr="00675182">
        <w:rPr>
          <w:rFonts w:cstheme="minorHAnsi"/>
          <w:szCs w:val="24"/>
        </w:rPr>
        <w:t xml:space="preserve"> un </w:t>
      </w:r>
      <w:r w:rsidRPr="00675182">
        <w:rPr>
          <w:rFonts w:cstheme="minorHAnsi"/>
          <w:szCs w:val="24"/>
        </w:rPr>
        <w:t xml:space="preserve">veicamajiem apsaimniekošanas pasākumiem. </w:t>
      </w:r>
    </w:p>
    <w:p w14:paraId="25C4BD5F" w14:textId="77777777" w:rsidR="006263F8" w:rsidRPr="00675182" w:rsidRDefault="006263F8" w:rsidP="003060C4">
      <w:pPr>
        <w:tabs>
          <w:tab w:val="left" w:pos="3147"/>
        </w:tabs>
        <w:jc w:val="both"/>
        <w:rPr>
          <w:rFonts w:cstheme="minorHAnsi"/>
        </w:rPr>
      </w:pPr>
    </w:p>
    <w:p w14:paraId="46888CC7" w14:textId="77777777" w:rsidR="006263F8" w:rsidRPr="00675182" w:rsidRDefault="006263F8" w:rsidP="002A2943">
      <w:pPr>
        <w:keepNext/>
        <w:keepLines/>
        <w:rPr>
          <w:rFonts w:cstheme="minorHAnsi"/>
          <w:b/>
          <w:i/>
          <w:szCs w:val="24"/>
          <w:u w:val="single"/>
        </w:rPr>
      </w:pPr>
      <w:r w:rsidRPr="00675182">
        <w:rPr>
          <w:rFonts w:cstheme="minorHAnsi"/>
          <w:b/>
          <w:i/>
          <w:szCs w:val="24"/>
          <w:u w:val="single"/>
        </w:rPr>
        <w:t>F. Izpēte un monitorings</w:t>
      </w:r>
    </w:p>
    <w:p w14:paraId="7F8D93AB" w14:textId="4347F74E" w:rsidR="006263F8" w:rsidRPr="00675182" w:rsidRDefault="006263F8" w:rsidP="002A2943">
      <w:pPr>
        <w:keepNext/>
        <w:keepLines/>
        <w:ind w:left="426" w:hanging="426"/>
        <w:jc w:val="both"/>
        <w:rPr>
          <w:rFonts w:cstheme="minorHAnsi"/>
        </w:rPr>
      </w:pPr>
      <w:bookmarkStart w:id="113" w:name="_Hlk99371900"/>
      <w:r w:rsidRPr="00675182">
        <w:rPr>
          <w:rFonts w:cstheme="minorHAnsi"/>
        </w:rPr>
        <w:t>F.1. Nodrošināt</w:t>
      </w:r>
      <w:r w:rsidR="002A2943" w:rsidRPr="00675182">
        <w:rPr>
          <w:rFonts w:cstheme="minorHAnsi"/>
        </w:rPr>
        <w:t xml:space="preserve"> aizsargājamo biotopu stāvokļa un to</w:t>
      </w:r>
      <w:r w:rsidRPr="00675182">
        <w:rPr>
          <w:rFonts w:cstheme="minorHAnsi"/>
        </w:rPr>
        <w:t xml:space="preserve"> apsaimniekošanas pasākumu efektivitātes monitoringu;</w:t>
      </w:r>
    </w:p>
    <w:p w14:paraId="7566FE1B" w14:textId="795A51D7" w:rsidR="006263F8" w:rsidRPr="00675182" w:rsidRDefault="006263F8" w:rsidP="006263F8">
      <w:pPr>
        <w:ind w:left="426" w:hanging="426"/>
        <w:jc w:val="both"/>
        <w:rPr>
          <w:rFonts w:cstheme="minorHAnsi"/>
        </w:rPr>
      </w:pPr>
      <w:r w:rsidRPr="00675182">
        <w:rPr>
          <w:rFonts w:cstheme="minorHAnsi"/>
        </w:rPr>
        <w:t xml:space="preserve">F.2. Nodrošināt reto un </w:t>
      </w:r>
      <w:r w:rsidR="00327C6F">
        <w:rPr>
          <w:rFonts w:cstheme="minorHAnsi"/>
        </w:rPr>
        <w:t>ĪA</w:t>
      </w:r>
      <w:r w:rsidR="00994911" w:rsidRPr="00675182">
        <w:rPr>
          <w:rFonts w:cstheme="minorHAnsi"/>
        </w:rPr>
        <w:t xml:space="preserve"> sugu </w:t>
      </w:r>
      <w:r w:rsidRPr="00675182">
        <w:rPr>
          <w:rFonts w:cstheme="minorHAnsi"/>
        </w:rPr>
        <w:t>monitoringu</w:t>
      </w:r>
      <w:r w:rsidR="00015E35" w:rsidRPr="00675182">
        <w:rPr>
          <w:rFonts w:cstheme="minorHAnsi"/>
        </w:rPr>
        <w:t xml:space="preserve"> un izpēti</w:t>
      </w:r>
      <w:r w:rsidR="002A2943" w:rsidRPr="00675182">
        <w:rPr>
          <w:rFonts w:cstheme="minorHAnsi"/>
        </w:rPr>
        <w:t xml:space="preserve"> un to dzīvotņu apsaimniekošanas pasākumu efektivitātes monitoringu</w:t>
      </w:r>
      <w:r w:rsidRPr="00675182">
        <w:rPr>
          <w:rFonts w:cstheme="minorHAnsi"/>
        </w:rPr>
        <w:t>;</w:t>
      </w:r>
    </w:p>
    <w:p w14:paraId="1345BA5C" w14:textId="61ED4A28" w:rsidR="00994911" w:rsidRPr="00675182" w:rsidRDefault="00994911" w:rsidP="00994911">
      <w:pPr>
        <w:tabs>
          <w:tab w:val="left" w:pos="3147"/>
        </w:tabs>
        <w:jc w:val="both"/>
        <w:rPr>
          <w:rFonts w:cstheme="minorHAnsi"/>
        </w:rPr>
      </w:pPr>
      <w:r w:rsidRPr="00675182">
        <w:rPr>
          <w:rFonts w:cstheme="minorHAnsi"/>
        </w:rPr>
        <w:t>F.3. Nodrošināt ainavu izmaiņu monitoringu</w:t>
      </w:r>
      <w:r w:rsidR="00033740" w:rsidRPr="00675182">
        <w:rPr>
          <w:rFonts w:cstheme="minorHAnsi"/>
        </w:rPr>
        <w:t>;</w:t>
      </w:r>
    </w:p>
    <w:p w14:paraId="61AA0336" w14:textId="66BA3E8A" w:rsidR="006263F8" w:rsidRPr="00675182" w:rsidRDefault="00994911" w:rsidP="00994911">
      <w:pPr>
        <w:tabs>
          <w:tab w:val="left" w:pos="3147"/>
        </w:tabs>
        <w:jc w:val="both"/>
        <w:rPr>
          <w:rFonts w:cstheme="minorHAnsi"/>
        </w:rPr>
      </w:pPr>
      <w:r w:rsidRPr="00675182">
        <w:rPr>
          <w:rFonts w:cstheme="minorHAnsi"/>
        </w:rPr>
        <w:t>F.4. Nodrošināt tūrisma un atpūtas ietekmju monitoringu</w:t>
      </w:r>
      <w:r w:rsidR="00F56705" w:rsidRPr="00675182">
        <w:rPr>
          <w:rFonts w:cstheme="minorHAnsi"/>
        </w:rPr>
        <w:t>;</w:t>
      </w:r>
    </w:p>
    <w:p w14:paraId="04CA1B6D" w14:textId="77777777" w:rsidR="00F56705" w:rsidRPr="00675182" w:rsidRDefault="00F56705" w:rsidP="00F56705">
      <w:pPr>
        <w:ind w:left="426" w:hanging="426"/>
        <w:jc w:val="both"/>
        <w:rPr>
          <w:rFonts w:cstheme="minorHAnsi"/>
        </w:rPr>
      </w:pPr>
      <w:r w:rsidRPr="00675182">
        <w:rPr>
          <w:rFonts w:cstheme="minorHAnsi"/>
        </w:rPr>
        <w:t xml:space="preserve">F.5. </w:t>
      </w:r>
      <w:bookmarkStart w:id="114" w:name="_Hlk22647281"/>
      <w:r w:rsidRPr="00675182">
        <w:rPr>
          <w:rFonts w:cstheme="minorHAnsi"/>
        </w:rPr>
        <w:t>Īstenot meža ekosistēmu attīstības procesu un meža apsaimniekošanas pasākumu ietekmes zinātnisko izpēti.</w:t>
      </w:r>
      <w:bookmarkEnd w:id="114"/>
      <w:r w:rsidRPr="00675182">
        <w:rPr>
          <w:rFonts w:cstheme="minorHAnsi"/>
        </w:rPr>
        <w:t xml:space="preserve"> </w:t>
      </w:r>
    </w:p>
    <w:p w14:paraId="07F4619A" w14:textId="1F199D93" w:rsidR="00F56705" w:rsidRPr="00675182" w:rsidRDefault="00F56705" w:rsidP="00F56705">
      <w:pPr>
        <w:ind w:left="426" w:hanging="426"/>
        <w:jc w:val="both"/>
        <w:rPr>
          <w:rFonts w:cstheme="minorHAnsi"/>
        </w:rPr>
      </w:pPr>
      <w:r w:rsidRPr="00675182">
        <w:rPr>
          <w:rFonts w:cstheme="minorHAnsi"/>
        </w:rPr>
        <w:t>F.6. Veikt purvu teritoriju un meža biotopu, kurus ietekmējusi susināšana, hidroloģisko izpēti.</w:t>
      </w:r>
    </w:p>
    <w:p w14:paraId="34BEC800" w14:textId="1BE45497" w:rsidR="002A2943" w:rsidRPr="00675182" w:rsidRDefault="002A2943" w:rsidP="00F56705">
      <w:pPr>
        <w:ind w:left="426" w:hanging="426"/>
        <w:jc w:val="both"/>
        <w:rPr>
          <w:rFonts w:cstheme="minorHAnsi"/>
        </w:rPr>
      </w:pPr>
      <w:r w:rsidRPr="00675182">
        <w:rPr>
          <w:rFonts w:cstheme="minorHAnsi"/>
        </w:rPr>
        <w:t>F.</w:t>
      </w:r>
      <w:r w:rsidR="00DB5E31" w:rsidRPr="00675182">
        <w:rPr>
          <w:rFonts w:cstheme="minorHAnsi"/>
        </w:rPr>
        <w:t>7</w:t>
      </w:r>
      <w:r w:rsidRPr="00675182">
        <w:rPr>
          <w:rFonts w:cstheme="minorHAnsi"/>
        </w:rPr>
        <w:t>. Iegūt informāciju par invazīvo sugu izplatību, plānot un koordinēt invazīvo sugu apkarošanas pasākumus</w:t>
      </w:r>
      <w:bookmarkEnd w:id="112"/>
    </w:p>
    <w:p w14:paraId="1C9F6797" w14:textId="77777777" w:rsidR="00F56705" w:rsidRPr="00675182" w:rsidRDefault="00F56705" w:rsidP="00F56705">
      <w:pPr>
        <w:rPr>
          <w:rFonts w:cstheme="minorHAnsi"/>
        </w:rPr>
      </w:pPr>
      <w:bookmarkStart w:id="115" w:name="_Toc424661713"/>
      <w:bookmarkEnd w:id="113"/>
    </w:p>
    <w:p w14:paraId="14DD0EA3" w14:textId="00CE24E1" w:rsidR="003068AA" w:rsidRPr="00675182" w:rsidRDefault="003068AA" w:rsidP="008F68CC">
      <w:pPr>
        <w:pStyle w:val="Heading2"/>
        <w:keepLines/>
        <w:rPr>
          <w:rFonts w:cstheme="minorHAnsi"/>
          <w:i w:val="0"/>
          <w:lang w:val="lv-LV"/>
        </w:rPr>
      </w:pPr>
      <w:bookmarkStart w:id="116" w:name="_Toc116938416"/>
      <w:r w:rsidRPr="00675182">
        <w:rPr>
          <w:rFonts w:cstheme="minorHAnsi"/>
          <w:i w:val="0"/>
          <w:lang w:val="lv-LV"/>
        </w:rPr>
        <w:t>3.</w:t>
      </w:r>
      <w:r w:rsidR="00080F2D" w:rsidRPr="00675182">
        <w:rPr>
          <w:rFonts w:cstheme="minorHAnsi"/>
          <w:i w:val="0"/>
          <w:lang w:val="lv-LV"/>
        </w:rPr>
        <w:t>3</w:t>
      </w:r>
      <w:r w:rsidRPr="00675182">
        <w:rPr>
          <w:rFonts w:cstheme="minorHAnsi"/>
          <w:i w:val="0"/>
          <w:lang w:val="lv-LV"/>
        </w:rPr>
        <w:t>. Apsaimniekošanas pasākumi</w:t>
      </w:r>
      <w:bookmarkEnd w:id="115"/>
      <w:bookmarkEnd w:id="116"/>
    </w:p>
    <w:p w14:paraId="7F874500" w14:textId="6AFBD864" w:rsidR="00FB044B" w:rsidRPr="00675182" w:rsidRDefault="00FB044B" w:rsidP="008F68CC">
      <w:pPr>
        <w:keepNext/>
        <w:keepLines/>
        <w:rPr>
          <w:rFonts w:cstheme="minorHAnsi"/>
        </w:rPr>
      </w:pPr>
    </w:p>
    <w:p w14:paraId="036EFD47" w14:textId="78B155B0" w:rsidR="00B268F2" w:rsidRPr="00675182" w:rsidRDefault="00B268F2" w:rsidP="008F68CC">
      <w:pPr>
        <w:keepNext/>
        <w:keepLines/>
        <w:jc w:val="both"/>
        <w:rPr>
          <w:rFonts w:cstheme="minorHAnsi"/>
          <w:szCs w:val="24"/>
        </w:rPr>
      </w:pPr>
      <w:r w:rsidRPr="00675182">
        <w:rPr>
          <w:rFonts w:cstheme="minorHAnsi"/>
          <w:szCs w:val="24"/>
        </w:rPr>
        <w:t xml:space="preserve">Lai nodrošinātu izvirzītos ilgtermiņa un īstermiņa mērķus, </w:t>
      </w:r>
      <w:r w:rsidR="00267058" w:rsidRPr="00675182">
        <w:rPr>
          <w:rFonts w:cstheme="minorHAnsi"/>
          <w:szCs w:val="24"/>
        </w:rPr>
        <w:t>ir</w:t>
      </w:r>
      <w:r w:rsidR="00363F4D" w:rsidRPr="00675182">
        <w:rPr>
          <w:rFonts w:cstheme="minorHAnsi"/>
          <w:szCs w:val="24"/>
        </w:rPr>
        <w:t xml:space="preserve"> </w:t>
      </w:r>
      <w:r w:rsidRPr="00675182">
        <w:rPr>
          <w:rFonts w:cstheme="minorHAnsi"/>
          <w:szCs w:val="24"/>
        </w:rPr>
        <w:t xml:space="preserve">izstrādāts </w:t>
      </w:r>
      <w:r w:rsidR="00363F4D" w:rsidRPr="00675182">
        <w:rPr>
          <w:rFonts w:cstheme="minorHAnsi"/>
          <w:szCs w:val="24"/>
        </w:rPr>
        <w:t>GNP</w:t>
      </w:r>
      <w:r w:rsidRPr="00675182">
        <w:rPr>
          <w:rFonts w:cstheme="minorHAnsi"/>
          <w:szCs w:val="24"/>
        </w:rPr>
        <w:t xml:space="preserve"> apsaimniekošanas pasākumu plāns, kas paredz pasākumus dabas</w:t>
      </w:r>
      <w:r w:rsidR="00267058" w:rsidRPr="00675182">
        <w:rPr>
          <w:rFonts w:cstheme="minorHAnsi"/>
          <w:szCs w:val="24"/>
        </w:rPr>
        <w:t>, kultūrvēsturisko un ainavisko</w:t>
      </w:r>
      <w:r w:rsidRPr="00675182">
        <w:rPr>
          <w:rFonts w:cstheme="minorHAnsi"/>
          <w:szCs w:val="24"/>
        </w:rPr>
        <w:t xml:space="preserve"> vērtību aizsardzībai un saglabāšanai. </w:t>
      </w:r>
      <w:r w:rsidR="008F5A65" w:rsidRPr="00675182">
        <w:rPr>
          <w:rFonts w:cstheme="minorHAnsi"/>
          <w:szCs w:val="24"/>
        </w:rPr>
        <w:t xml:space="preserve">Apsaimniekošanas pasākumi </w:t>
      </w:r>
      <w:r w:rsidR="00267058" w:rsidRPr="00675182">
        <w:rPr>
          <w:rFonts w:cstheme="minorHAnsi"/>
          <w:szCs w:val="24"/>
        </w:rPr>
        <w:t>ir</w:t>
      </w:r>
      <w:r w:rsidR="008F5A65" w:rsidRPr="00675182">
        <w:rPr>
          <w:rFonts w:cstheme="minorHAnsi"/>
          <w:szCs w:val="24"/>
        </w:rPr>
        <w:t xml:space="preserve"> plānoti laika periodam </w:t>
      </w:r>
      <w:r w:rsidR="003060C4" w:rsidRPr="00675182">
        <w:rPr>
          <w:rFonts w:cstheme="minorHAnsi"/>
          <w:szCs w:val="24"/>
        </w:rPr>
        <w:t>no 2023. gada līdz 2035. gadam</w:t>
      </w:r>
      <w:r w:rsidR="006263F8" w:rsidRPr="00675182">
        <w:rPr>
          <w:rFonts w:cstheme="minorHAnsi"/>
          <w:szCs w:val="24"/>
        </w:rPr>
        <w:t xml:space="preserve">, taču tie ir pārskatāmi un maināmi, </w:t>
      </w:r>
      <w:r w:rsidR="00C37D8D" w:rsidRPr="00675182">
        <w:rPr>
          <w:rFonts w:cstheme="minorHAnsi"/>
          <w:szCs w:val="24"/>
        </w:rPr>
        <w:t>ņemot vērā</w:t>
      </w:r>
      <w:r w:rsidR="006263F8" w:rsidRPr="00675182">
        <w:rPr>
          <w:rFonts w:cstheme="minorHAnsi"/>
          <w:szCs w:val="24"/>
        </w:rPr>
        <w:t xml:space="preserve"> monitoringa rezultāt</w:t>
      </w:r>
      <w:r w:rsidR="00C37D8D" w:rsidRPr="00675182">
        <w:rPr>
          <w:rFonts w:cstheme="minorHAnsi"/>
          <w:szCs w:val="24"/>
        </w:rPr>
        <w:t>us</w:t>
      </w:r>
      <w:r w:rsidR="008F68CC" w:rsidRPr="00675182">
        <w:rPr>
          <w:rFonts w:cstheme="minorHAnsi"/>
          <w:szCs w:val="24"/>
        </w:rPr>
        <w:t>,</w:t>
      </w:r>
      <w:r w:rsidR="006263F8" w:rsidRPr="00675182">
        <w:rPr>
          <w:rFonts w:cstheme="minorHAnsi"/>
          <w:szCs w:val="24"/>
        </w:rPr>
        <w:t xml:space="preserve"> kā arī, ja rodas neparedzēti apstākļi, tos</w:t>
      </w:r>
      <w:r w:rsidR="00C37D8D" w:rsidRPr="00675182">
        <w:rPr>
          <w:rFonts w:cstheme="minorHAnsi"/>
          <w:szCs w:val="24"/>
        </w:rPr>
        <w:t xml:space="preserve"> var </w:t>
      </w:r>
      <w:r w:rsidR="006263F8" w:rsidRPr="00675182">
        <w:rPr>
          <w:rFonts w:cstheme="minorHAnsi"/>
          <w:szCs w:val="24"/>
        </w:rPr>
        <w:t xml:space="preserve">mainīt un to nepieciešamību var zinātniski pamatot. </w:t>
      </w:r>
      <w:r w:rsidR="00B86EBE" w:rsidRPr="00675182">
        <w:rPr>
          <w:rFonts w:cstheme="minorHAnsi"/>
          <w:szCs w:val="24"/>
        </w:rPr>
        <w:t xml:space="preserve">Apsaimniekošanas pasākumu maiņu vajadzības gadījumā veic DAP sadarbībā ar GNP teritoriju apsaimniekotājiem savas kompetences ietvaros vai piesaistot attiecīgās nozares speciālistus. </w:t>
      </w:r>
      <w:r w:rsidR="006263F8" w:rsidRPr="00675182">
        <w:rPr>
          <w:rFonts w:cstheme="minorHAnsi"/>
          <w:szCs w:val="24"/>
        </w:rPr>
        <w:t>Pasākumu maiņa ir jādokumentē.</w:t>
      </w:r>
    </w:p>
    <w:p w14:paraId="53F72C0A" w14:textId="77777777" w:rsidR="00B268F2" w:rsidRPr="00675182" w:rsidRDefault="00B268F2" w:rsidP="002B3341">
      <w:pPr>
        <w:jc w:val="both"/>
        <w:rPr>
          <w:rFonts w:cstheme="minorHAnsi"/>
          <w:szCs w:val="24"/>
        </w:rPr>
      </w:pPr>
    </w:p>
    <w:p w14:paraId="4C614BA8" w14:textId="63342440" w:rsidR="00B268F2" w:rsidRPr="00675182" w:rsidRDefault="00B268F2" w:rsidP="002B3341">
      <w:pPr>
        <w:jc w:val="both"/>
        <w:rPr>
          <w:rFonts w:cstheme="minorHAnsi"/>
          <w:szCs w:val="24"/>
        </w:rPr>
      </w:pPr>
      <w:r w:rsidRPr="00675182">
        <w:rPr>
          <w:rFonts w:cstheme="minorHAnsi"/>
          <w:szCs w:val="24"/>
        </w:rPr>
        <w:t xml:space="preserve">Apsaimniekošanas pasākumi </w:t>
      </w:r>
      <w:r w:rsidR="008F68CC" w:rsidRPr="00675182">
        <w:rPr>
          <w:rFonts w:cstheme="minorHAnsi"/>
          <w:szCs w:val="24"/>
        </w:rPr>
        <w:t>ir</w:t>
      </w:r>
      <w:r w:rsidRPr="00675182">
        <w:rPr>
          <w:rFonts w:cstheme="minorHAnsi"/>
          <w:szCs w:val="24"/>
        </w:rPr>
        <w:t xml:space="preserve"> </w:t>
      </w:r>
      <w:r w:rsidR="00B86EBE" w:rsidRPr="00675182">
        <w:rPr>
          <w:rFonts w:cstheme="minorHAnsi"/>
          <w:szCs w:val="24"/>
        </w:rPr>
        <w:t>apkopoti</w:t>
      </w:r>
      <w:r w:rsidRPr="00675182">
        <w:rPr>
          <w:rFonts w:cstheme="minorHAnsi"/>
          <w:szCs w:val="24"/>
        </w:rPr>
        <w:t xml:space="preserve"> 3.1. tabulā, kura </w:t>
      </w:r>
      <w:r w:rsidR="00267058" w:rsidRPr="00675182">
        <w:rPr>
          <w:rFonts w:cstheme="minorHAnsi"/>
          <w:szCs w:val="24"/>
        </w:rPr>
        <w:t>ir</w:t>
      </w:r>
      <w:r w:rsidRPr="00675182">
        <w:rPr>
          <w:rFonts w:cstheme="minorHAnsi"/>
          <w:szCs w:val="24"/>
        </w:rPr>
        <w:t xml:space="preserve"> lietojama kopā ar apsaimniekošanas pasākumu aprakstu un detalizēto infrastruktūras objektu un apsaimniekošanas pasākumu karti</w:t>
      </w:r>
      <w:r w:rsidR="00363F4D" w:rsidRPr="00675182">
        <w:rPr>
          <w:rFonts w:cstheme="minorHAnsi"/>
          <w:szCs w:val="24"/>
        </w:rPr>
        <w:t xml:space="preserve">, kas </w:t>
      </w:r>
      <w:r w:rsidR="001A46A1" w:rsidRPr="00675182">
        <w:rPr>
          <w:rFonts w:cstheme="minorHAnsi"/>
          <w:szCs w:val="24"/>
        </w:rPr>
        <w:t>ir pievienota</w:t>
      </w:r>
      <w:r w:rsidR="00363F4D" w:rsidRPr="00675182">
        <w:rPr>
          <w:rFonts w:cstheme="minorHAnsi"/>
          <w:szCs w:val="24"/>
        </w:rPr>
        <w:t xml:space="preserve"> </w:t>
      </w:r>
      <w:r w:rsidR="001A46A1" w:rsidRPr="00675182">
        <w:rPr>
          <w:rFonts w:cstheme="minorHAnsi"/>
          <w:szCs w:val="24"/>
        </w:rPr>
        <w:t xml:space="preserve">DA plāna </w:t>
      </w:r>
      <w:r w:rsidR="00B1628B" w:rsidRPr="00675182">
        <w:rPr>
          <w:rFonts w:cstheme="minorHAnsi"/>
          <w:szCs w:val="24"/>
        </w:rPr>
        <w:t>25</w:t>
      </w:r>
      <w:r w:rsidR="001A46A1" w:rsidRPr="00675182">
        <w:rPr>
          <w:rFonts w:cstheme="minorHAnsi"/>
          <w:szCs w:val="24"/>
        </w:rPr>
        <w:t xml:space="preserve">. </w:t>
      </w:r>
      <w:r w:rsidR="00363F4D" w:rsidRPr="00675182">
        <w:rPr>
          <w:rFonts w:cstheme="minorHAnsi"/>
          <w:szCs w:val="24"/>
        </w:rPr>
        <w:t>pielikumā</w:t>
      </w:r>
      <w:r w:rsidR="001A46A1" w:rsidRPr="00675182">
        <w:rPr>
          <w:rFonts w:cstheme="minorHAnsi"/>
          <w:szCs w:val="24"/>
        </w:rPr>
        <w:t>.</w:t>
      </w:r>
    </w:p>
    <w:p w14:paraId="4BA04592" w14:textId="77777777" w:rsidR="00B268F2" w:rsidRPr="00675182" w:rsidRDefault="00B268F2" w:rsidP="002B3341">
      <w:pPr>
        <w:jc w:val="both"/>
        <w:rPr>
          <w:rFonts w:cstheme="minorHAnsi"/>
          <w:szCs w:val="24"/>
        </w:rPr>
      </w:pPr>
    </w:p>
    <w:p w14:paraId="5B49B8A5" w14:textId="53ABBEA7" w:rsidR="00746D6E" w:rsidRPr="00675182" w:rsidRDefault="00B268F2" w:rsidP="006263F8">
      <w:pPr>
        <w:jc w:val="both"/>
        <w:rPr>
          <w:rFonts w:cstheme="minorHAnsi"/>
          <w:szCs w:val="24"/>
        </w:rPr>
      </w:pPr>
      <w:r w:rsidRPr="00675182">
        <w:rPr>
          <w:rFonts w:cstheme="minorHAnsi"/>
          <w:szCs w:val="24"/>
        </w:rPr>
        <w:t xml:space="preserve">3.1. tabulā </w:t>
      </w:r>
      <w:r w:rsidR="004A72D6" w:rsidRPr="00675182">
        <w:rPr>
          <w:rFonts w:cstheme="minorHAnsi"/>
          <w:szCs w:val="24"/>
        </w:rPr>
        <w:t>ir</w:t>
      </w:r>
      <w:r w:rsidRPr="00675182">
        <w:rPr>
          <w:rFonts w:cstheme="minorHAnsi"/>
          <w:szCs w:val="24"/>
        </w:rPr>
        <w:t xml:space="preserve"> sniegta </w:t>
      </w:r>
      <w:r w:rsidR="00363F4D" w:rsidRPr="00675182">
        <w:rPr>
          <w:rFonts w:cstheme="minorHAnsi"/>
          <w:szCs w:val="24"/>
        </w:rPr>
        <w:t xml:space="preserve">informācija par </w:t>
      </w:r>
      <w:r w:rsidRPr="00675182">
        <w:rPr>
          <w:rFonts w:cstheme="minorHAnsi"/>
          <w:szCs w:val="24"/>
        </w:rPr>
        <w:t>katra pasākuma prioritāt</w:t>
      </w:r>
      <w:r w:rsidR="00363F4D" w:rsidRPr="00675182">
        <w:rPr>
          <w:rFonts w:cstheme="minorHAnsi"/>
          <w:szCs w:val="24"/>
        </w:rPr>
        <w:t>i</w:t>
      </w:r>
      <w:r w:rsidRPr="00675182">
        <w:rPr>
          <w:rFonts w:cstheme="minorHAnsi"/>
          <w:szCs w:val="24"/>
        </w:rPr>
        <w:t>, izpildes termiņ</w:t>
      </w:r>
      <w:r w:rsidR="00363F4D" w:rsidRPr="00675182">
        <w:rPr>
          <w:rFonts w:cstheme="minorHAnsi"/>
          <w:szCs w:val="24"/>
        </w:rPr>
        <w:t>u</w:t>
      </w:r>
      <w:r w:rsidRPr="00675182">
        <w:rPr>
          <w:rFonts w:cstheme="minorHAnsi"/>
          <w:szCs w:val="24"/>
        </w:rPr>
        <w:t>, iespējam</w:t>
      </w:r>
      <w:r w:rsidR="00363F4D" w:rsidRPr="00675182">
        <w:rPr>
          <w:rFonts w:cstheme="minorHAnsi"/>
          <w:szCs w:val="24"/>
        </w:rPr>
        <w:t>o</w:t>
      </w:r>
      <w:r w:rsidRPr="00675182">
        <w:rPr>
          <w:rFonts w:cstheme="minorHAnsi"/>
          <w:szCs w:val="24"/>
        </w:rPr>
        <w:t xml:space="preserve"> finansējuma avot</w:t>
      </w:r>
      <w:r w:rsidR="00363F4D" w:rsidRPr="00675182">
        <w:rPr>
          <w:rFonts w:cstheme="minorHAnsi"/>
          <w:szCs w:val="24"/>
        </w:rPr>
        <w:t>u</w:t>
      </w:r>
      <w:r w:rsidRPr="00675182">
        <w:rPr>
          <w:rFonts w:cstheme="minorHAnsi"/>
          <w:szCs w:val="24"/>
        </w:rPr>
        <w:t>, aptuven</w:t>
      </w:r>
      <w:r w:rsidR="00363F4D" w:rsidRPr="00675182">
        <w:rPr>
          <w:rFonts w:cstheme="minorHAnsi"/>
          <w:szCs w:val="24"/>
        </w:rPr>
        <w:t>o</w:t>
      </w:r>
      <w:r w:rsidRPr="00675182">
        <w:rPr>
          <w:rFonts w:cstheme="minorHAnsi"/>
          <w:szCs w:val="24"/>
        </w:rPr>
        <w:t xml:space="preserve"> finansējuma apjom</w:t>
      </w:r>
      <w:r w:rsidR="00363F4D" w:rsidRPr="00675182">
        <w:rPr>
          <w:rFonts w:cstheme="minorHAnsi"/>
          <w:szCs w:val="24"/>
        </w:rPr>
        <w:t>u</w:t>
      </w:r>
      <w:r w:rsidRPr="00675182">
        <w:rPr>
          <w:rFonts w:cstheme="minorHAnsi"/>
          <w:szCs w:val="24"/>
        </w:rPr>
        <w:t xml:space="preserve">, ja tāds ir nepieciešams un </w:t>
      </w:r>
      <w:r w:rsidRPr="00675182">
        <w:rPr>
          <w:rFonts w:cstheme="minorHAnsi"/>
          <w:szCs w:val="24"/>
        </w:rPr>
        <w:lastRenderedPageBreak/>
        <w:t xml:space="preserve">ja to var aprēķināt. Katrs pasākums </w:t>
      </w:r>
      <w:r w:rsidR="004A72D6" w:rsidRPr="00675182">
        <w:rPr>
          <w:rFonts w:cstheme="minorHAnsi"/>
          <w:szCs w:val="24"/>
        </w:rPr>
        <w:t>ir</w:t>
      </w:r>
      <w:r w:rsidRPr="00675182">
        <w:rPr>
          <w:rFonts w:cstheme="minorHAnsi"/>
          <w:szCs w:val="24"/>
        </w:rPr>
        <w:t xml:space="preserve"> attiecināts uz konkrētu īstermiņa mērķi, un </w:t>
      </w:r>
      <w:r w:rsidR="004A72D6" w:rsidRPr="00675182">
        <w:rPr>
          <w:rFonts w:cstheme="minorHAnsi"/>
          <w:szCs w:val="24"/>
        </w:rPr>
        <w:t>ir</w:t>
      </w:r>
      <w:r w:rsidRPr="00675182">
        <w:rPr>
          <w:rFonts w:cstheme="minorHAnsi"/>
          <w:szCs w:val="24"/>
        </w:rPr>
        <w:t xml:space="preserve"> norādīti tā izpildes rādītāji.</w:t>
      </w:r>
      <w:r w:rsidR="008F5A65" w:rsidRPr="00675182">
        <w:rPr>
          <w:rFonts w:cstheme="minorHAnsi"/>
          <w:szCs w:val="24"/>
        </w:rPr>
        <w:t xml:space="preserve"> </w:t>
      </w:r>
    </w:p>
    <w:p w14:paraId="0E46F273" w14:textId="52CFD50E" w:rsidR="004A72D6" w:rsidRPr="00675182" w:rsidRDefault="004A72D6" w:rsidP="006263F8">
      <w:pPr>
        <w:jc w:val="both"/>
        <w:rPr>
          <w:rFonts w:cstheme="minorHAnsi"/>
          <w:szCs w:val="24"/>
        </w:rPr>
      </w:pPr>
    </w:p>
    <w:p w14:paraId="29CACF52" w14:textId="19028E02" w:rsidR="006263F8" w:rsidRPr="00675182" w:rsidRDefault="00B667D8" w:rsidP="006263F8">
      <w:pPr>
        <w:jc w:val="both"/>
        <w:rPr>
          <w:rFonts w:cstheme="minorHAnsi"/>
          <w:szCs w:val="24"/>
        </w:rPr>
      </w:pPr>
      <w:r w:rsidRPr="00675182">
        <w:rPr>
          <w:rFonts w:cstheme="minorHAnsi"/>
          <w:szCs w:val="24"/>
        </w:rPr>
        <w:t xml:space="preserve">DA plāna izstrādes laikā ir saņemti pašvaldību, fizisku personu, juridisku personu, kā arī </w:t>
      </w:r>
      <w:r w:rsidR="002734BD">
        <w:rPr>
          <w:rFonts w:cstheme="minorHAnsi"/>
          <w:szCs w:val="24"/>
        </w:rPr>
        <w:t>DAP</w:t>
      </w:r>
      <w:r w:rsidRPr="00675182">
        <w:rPr>
          <w:rFonts w:cstheme="minorHAnsi"/>
          <w:szCs w:val="24"/>
        </w:rPr>
        <w:t xml:space="preserve"> priekšlikumi jaunu tūrisma vai rekreācijas objektu izveidei. DA plāna izstrādē iesaistītie eksperti ir izvērtējuši gan katras ierosinātās ieceres, gan plānoto apsaimniekošanas pasākumu iespējamo ietekmi un slodzi uz dabas, kultūrvēsturiskajām un ainaviskajām vērtībām. DA plāna apsaimniekošanas pasākumu sadaļā un 13. pielikumā tik</w:t>
      </w:r>
      <w:r w:rsidR="009D7715" w:rsidRPr="00675182">
        <w:rPr>
          <w:rFonts w:cstheme="minorHAnsi"/>
          <w:szCs w:val="24"/>
        </w:rPr>
        <w:t>s</w:t>
      </w:r>
      <w:r w:rsidRPr="00675182">
        <w:rPr>
          <w:rFonts w:cstheme="minorHAnsi"/>
          <w:szCs w:val="24"/>
        </w:rPr>
        <w:t xml:space="preserve"> ieļauti tie pasākumi, kuri saņēma pozitīvu kopējo novērtējumu no plāna izstrādē iesaistītajiem ekspertiem.</w:t>
      </w:r>
    </w:p>
    <w:p w14:paraId="6A710582" w14:textId="77777777" w:rsidR="00B667D8" w:rsidRPr="00675182" w:rsidRDefault="00B667D8" w:rsidP="006263F8">
      <w:pPr>
        <w:jc w:val="both"/>
        <w:rPr>
          <w:rFonts w:cstheme="minorHAnsi"/>
          <w:szCs w:val="24"/>
        </w:rPr>
      </w:pPr>
    </w:p>
    <w:p w14:paraId="310C2B69" w14:textId="77777777" w:rsidR="006263F8" w:rsidRPr="00675182" w:rsidRDefault="006263F8" w:rsidP="006263F8">
      <w:pPr>
        <w:keepNext/>
        <w:keepLines/>
        <w:jc w:val="both"/>
        <w:rPr>
          <w:rFonts w:cstheme="minorHAnsi"/>
          <w:szCs w:val="24"/>
        </w:rPr>
      </w:pPr>
      <w:r w:rsidRPr="00675182">
        <w:rPr>
          <w:rFonts w:cstheme="minorHAnsi"/>
          <w:szCs w:val="24"/>
        </w:rPr>
        <w:t>Katrs plānotais apsaimniekošanas pasākums novērtēts pēc to būtiskuma, izmantojot sekojošas vērtības:</w:t>
      </w:r>
    </w:p>
    <w:p w14:paraId="3AEA25EC" w14:textId="77777777" w:rsidR="006263F8" w:rsidRPr="00675182" w:rsidRDefault="006263F8" w:rsidP="006263F8">
      <w:pPr>
        <w:keepNext/>
        <w:keepLines/>
        <w:jc w:val="both"/>
        <w:rPr>
          <w:rFonts w:cstheme="minorHAnsi"/>
          <w:szCs w:val="24"/>
        </w:rPr>
      </w:pPr>
    </w:p>
    <w:p w14:paraId="43BDB337" w14:textId="6125A4CD" w:rsidR="006263F8" w:rsidRPr="00675182" w:rsidRDefault="006263F8" w:rsidP="006263F8">
      <w:pPr>
        <w:keepNext/>
        <w:keepLines/>
        <w:jc w:val="both"/>
        <w:rPr>
          <w:rFonts w:cstheme="minorHAnsi"/>
          <w:szCs w:val="24"/>
        </w:rPr>
      </w:pPr>
      <w:r w:rsidRPr="00675182">
        <w:rPr>
          <w:rFonts w:cstheme="minorHAnsi"/>
          <w:b/>
          <w:bCs/>
          <w:szCs w:val="24"/>
        </w:rPr>
        <w:t>I</w:t>
      </w:r>
      <w:r w:rsidRPr="00675182">
        <w:rPr>
          <w:rFonts w:cstheme="minorHAnsi"/>
          <w:szCs w:val="24"/>
        </w:rPr>
        <w:t xml:space="preserve"> – prioritāri veicams pasākums, kas ir būtisks </w:t>
      </w:r>
      <w:r w:rsidR="000A13F3" w:rsidRPr="00675182">
        <w:rPr>
          <w:rFonts w:cstheme="minorHAnsi"/>
          <w:szCs w:val="24"/>
        </w:rPr>
        <w:t>GNP</w:t>
      </w:r>
      <w:r w:rsidRPr="00675182">
        <w:rPr>
          <w:rFonts w:cstheme="minorHAnsi"/>
          <w:szCs w:val="24"/>
        </w:rPr>
        <w:t xml:space="preserve"> konstatēto sugu un biotopu saglabāšanā un kvalitātes uzlabošanā un kura nerealizēšana var novest pie šo sugu un biotopu kvantitatīvo vai kvalitatīvo parametru samazināšanās; </w:t>
      </w:r>
    </w:p>
    <w:p w14:paraId="5F910EB5" w14:textId="6D128D85" w:rsidR="006263F8" w:rsidRPr="00675182" w:rsidRDefault="006263F8" w:rsidP="006263F8">
      <w:pPr>
        <w:keepNext/>
        <w:keepLines/>
        <w:jc w:val="both"/>
        <w:rPr>
          <w:rFonts w:cstheme="minorHAnsi"/>
          <w:szCs w:val="24"/>
        </w:rPr>
      </w:pPr>
      <w:r w:rsidRPr="00675182">
        <w:rPr>
          <w:rFonts w:cstheme="minorHAnsi"/>
          <w:b/>
          <w:bCs/>
          <w:szCs w:val="24"/>
        </w:rPr>
        <w:t xml:space="preserve">II </w:t>
      </w:r>
      <w:r w:rsidRPr="00675182">
        <w:rPr>
          <w:rFonts w:cstheme="minorHAnsi"/>
          <w:szCs w:val="24"/>
        </w:rPr>
        <w:t>– vajadzīgs pasākums, kura īstenošana pozitīvi ietekmē dabas vērtību saglabāšanos</w:t>
      </w:r>
      <w:r w:rsidR="000A13F3" w:rsidRPr="00675182">
        <w:rPr>
          <w:rFonts w:cstheme="minorHAnsi"/>
          <w:szCs w:val="24"/>
        </w:rPr>
        <w:t xml:space="preserve"> vai citu sabiedrībai nozīmīgu interešu nodrošināšanu GNP teritorijā, vai ir prioritāri veicamo pasākumu priekšnoteikums</w:t>
      </w:r>
      <w:r w:rsidRPr="00675182">
        <w:rPr>
          <w:rFonts w:cstheme="minorHAnsi"/>
          <w:szCs w:val="24"/>
        </w:rPr>
        <w:t>;</w:t>
      </w:r>
    </w:p>
    <w:p w14:paraId="5326B548" w14:textId="7D93FA0F" w:rsidR="006263F8" w:rsidRPr="00675182" w:rsidRDefault="00C30E98" w:rsidP="006263F8">
      <w:pPr>
        <w:jc w:val="both"/>
        <w:rPr>
          <w:rFonts w:cstheme="minorHAnsi"/>
          <w:szCs w:val="24"/>
        </w:rPr>
        <w:sectPr w:rsidR="006263F8" w:rsidRPr="00675182" w:rsidSect="00CD74B1">
          <w:headerReference w:type="even" r:id="rId256"/>
          <w:headerReference w:type="default" r:id="rId257"/>
          <w:footerReference w:type="even" r:id="rId258"/>
          <w:footerReference w:type="default" r:id="rId259"/>
          <w:headerReference w:type="first" r:id="rId260"/>
          <w:footerReference w:type="first" r:id="rId261"/>
          <w:pgSz w:w="11905" w:h="16837"/>
          <w:pgMar w:top="1440" w:right="1701" w:bottom="1440" w:left="1701" w:header="720" w:footer="720" w:gutter="0"/>
          <w:cols w:space="720"/>
          <w:docGrid w:linePitch="360"/>
        </w:sectPr>
      </w:pPr>
      <w:r w:rsidRPr="00675182">
        <w:rPr>
          <w:rFonts w:cstheme="minorHAnsi"/>
          <w:b/>
          <w:bCs/>
          <w:szCs w:val="24"/>
        </w:rPr>
        <w:t>III</w:t>
      </w:r>
      <w:r w:rsidR="006263F8" w:rsidRPr="00675182">
        <w:rPr>
          <w:rFonts w:cstheme="minorHAnsi"/>
          <w:b/>
          <w:bCs/>
          <w:szCs w:val="24"/>
        </w:rPr>
        <w:t xml:space="preserve"> </w:t>
      </w:r>
      <w:r w:rsidR="006263F8" w:rsidRPr="00675182">
        <w:rPr>
          <w:rFonts w:cstheme="minorHAnsi"/>
          <w:szCs w:val="24"/>
        </w:rPr>
        <w:t>– pasākumam nav būtiskas tiešas pozitīvas ietekmes uz dabas vērtību saglabāšanos un tas nav tieši saistīts ar citu sabiedrībai nozīmīgu interešu ievērošanu, taču tā realizācija sekmē citu pasākumu īstenošanu</w:t>
      </w:r>
      <w:r w:rsidR="000339ED" w:rsidRPr="00675182">
        <w:rPr>
          <w:rFonts w:cstheme="minorHAnsi"/>
          <w:szCs w:val="24"/>
        </w:rPr>
        <w:t>.</w:t>
      </w:r>
    </w:p>
    <w:p w14:paraId="0F055CD5" w14:textId="374E66ED" w:rsidR="00011E51" w:rsidRPr="00675182" w:rsidRDefault="00011E51" w:rsidP="002B3341">
      <w:pPr>
        <w:pStyle w:val="naisf"/>
        <w:spacing w:before="0" w:after="0"/>
        <w:ind w:firstLine="0"/>
        <w:jc w:val="left"/>
        <w:rPr>
          <w:rFonts w:cstheme="minorHAnsi"/>
          <w:b/>
          <w:i/>
          <w:szCs w:val="24"/>
          <w:lang w:val="lv-LV"/>
        </w:rPr>
      </w:pPr>
      <w:r w:rsidRPr="00675182">
        <w:rPr>
          <w:rFonts w:cstheme="minorHAnsi"/>
          <w:b/>
          <w:i/>
          <w:szCs w:val="24"/>
          <w:lang w:val="lv-LV"/>
        </w:rPr>
        <w:lastRenderedPageBreak/>
        <w:t>3.1. tabula. P</w:t>
      </w:r>
      <w:r w:rsidR="00B1628B" w:rsidRPr="00675182">
        <w:rPr>
          <w:rFonts w:cstheme="minorHAnsi"/>
          <w:b/>
          <w:i/>
          <w:szCs w:val="24"/>
          <w:lang w:val="lv-LV"/>
        </w:rPr>
        <w:t>l</w:t>
      </w:r>
      <w:r w:rsidRPr="00675182">
        <w:rPr>
          <w:rFonts w:cstheme="minorHAnsi"/>
          <w:b/>
          <w:i/>
          <w:szCs w:val="24"/>
          <w:lang w:val="lv-LV"/>
        </w:rPr>
        <w:t xml:space="preserve">ānotie apsaimniekošanas pasākumi </w:t>
      </w:r>
      <w:r w:rsidR="00C327F3" w:rsidRPr="00675182">
        <w:rPr>
          <w:rFonts w:cstheme="minorHAnsi"/>
          <w:b/>
          <w:i/>
          <w:szCs w:val="24"/>
          <w:lang w:val="lv-LV"/>
        </w:rPr>
        <w:t>GNP</w:t>
      </w:r>
      <w:r w:rsidR="00C87ECF" w:rsidRPr="00675182">
        <w:rPr>
          <w:rFonts w:cstheme="minorHAnsi"/>
          <w:b/>
          <w:i/>
          <w:szCs w:val="24"/>
          <w:lang w:val="lv-LV"/>
        </w:rPr>
        <w:t xml:space="preserve"> </w:t>
      </w:r>
    </w:p>
    <w:tbl>
      <w:tblPr>
        <w:tblW w:w="14211" w:type="dxa"/>
        <w:tblInd w:w="-26" w:type="dxa"/>
        <w:tblLayout w:type="fixed"/>
        <w:tblLook w:val="0000" w:firstRow="0" w:lastRow="0" w:firstColumn="0" w:lastColumn="0" w:noHBand="0" w:noVBand="0"/>
      </w:tblPr>
      <w:tblGrid>
        <w:gridCol w:w="872"/>
        <w:gridCol w:w="850"/>
        <w:gridCol w:w="2670"/>
        <w:gridCol w:w="1699"/>
        <w:gridCol w:w="2124"/>
        <w:gridCol w:w="1991"/>
        <w:gridCol w:w="1577"/>
        <w:gridCol w:w="2428"/>
      </w:tblGrid>
      <w:tr w:rsidR="00B1628B" w:rsidRPr="00675182" w14:paraId="5FBE1688" w14:textId="77777777" w:rsidTr="00E21287">
        <w:trPr>
          <w:tblHeader/>
        </w:trPr>
        <w:tc>
          <w:tcPr>
            <w:tcW w:w="872" w:type="dxa"/>
            <w:tcBorders>
              <w:top w:val="single" w:sz="4" w:space="0" w:color="000000"/>
              <w:left w:val="single" w:sz="4" w:space="0" w:color="000000"/>
              <w:bottom w:val="single" w:sz="4" w:space="0" w:color="000000"/>
            </w:tcBorders>
            <w:shd w:val="clear" w:color="auto" w:fill="D6E3BC"/>
          </w:tcPr>
          <w:p w14:paraId="549130F6" w14:textId="77777777" w:rsidR="00B1628B" w:rsidRPr="00675182" w:rsidRDefault="00B1628B" w:rsidP="0041526E">
            <w:pPr>
              <w:pStyle w:val="naisf"/>
              <w:snapToGrid w:val="0"/>
              <w:spacing w:before="0" w:after="0"/>
              <w:ind w:firstLine="0"/>
              <w:jc w:val="left"/>
              <w:rPr>
                <w:rFonts w:cstheme="minorHAnsi"/>
                <w:b/>
                <w:sz w:val="20"/>
                <w:lang w:val="lv-LV"/>
              </w:rPr>
            </w:pPr>
            <w:r w:rsidRPr="00675182">
              <w:rPr>
                <w:rFonts w:cstheme="minorHAnsi"/>
                <w:b/>
                <w:sz w:val="20"/>
                <w:lang w:val="lv-LV"/>
              </w:rPr>
              <w:t>N. p. k.</w:t>
            </w:r>
          </w:p>
        </w:tc>
        <w:tc>
          <w:tcPr>
            <w:tcW w:w="850" w:type="dxa"/>
            <w:tcBorders>
              <w:top w:val="single" w:sz="4" w:space="0" w:color="000000"/>
              <w:left w:val="single" w:sz="4" w:space="0" w:color="000000"/>
              <w:bottom w:val="single" w:sz="4" w:space="0" w:color="000000"/>
            </w:tcBorders>
            <w:shd w:val="clear" w:color="auto" w:fill="D6E3BC"/>
          </w:tcPr>
          <w:p w14:paraId="611040C1" w14:textId="77777777" w:rsidR="00B1628B" w:rsidRPr="00675182" w:rsidRDefault="00B1628B" w:rsidP="0041526E">
            <w:pPr>
              <w:pStyle w:val="naisf"/>
              <w:snapToGrid w:val="0"/>
              <w:spacing w:before="0" w:after="0"/>
              <w:ind w:firstLine="0"/>
              <w:jc w:val="left"/>
              <w:rPr>
                <w:rFonts w:cstheme="minorHAnsi"/>
                <w:b/>
                <w:sz w:val="20"/>
                <w:lang w:val="lv-LV"/>
              </w:rPr>
            </w:pPr>
            <w:r w:rsidRPr="00675182">
              <w:rPr>
                <w:rFonts w:cstheme="minorHAnsi"/>
                <w:b/>
                <w:sz w:val="20"/>
                <w:lang w:val="lv-LV"/>
              </w:rPr>
              <w:t>Mērķis</w:t>
            </w:r>
          </w:p>
        </w:tc>
        <w:tc>
          <w:tcPr>
            <w:tcW w:w="2670" w:type="dxa"/>
            <w:tcBorders>
              <w:top w:val="single" w:sz="4" w:space="0" w:color="000000"/>
              <w:left w:val="single" w:sz="4" w:space="0" w:color="000000"/>
              <w:bottom w:val="single" w:sz="4" w:space="0" w:color="000000"/>
            </w:tcBorders>
            <w:shd w:val="clear" w:color="auto" w:fill="D6E3BC"/>
          </w:tcPr>
          <w:p w14:paraId="479121D3" w14:textId="77777777" w:rsidR="00B1628B" w:rsidRPr="00675182" w:rsidRDefault="00B1628B" w:rsidP="0041526E">
            <w:pPr>
              <w:pStyle w:val="naisf"/>
              <w:snapToGrid w:val="0"/>
              <w:spacing w:before="0" w:after="0"/>
              <w:ind w:firstLine="0"/>
              <w:jc w:val="left"/>
              <w:rPr>
                <w:rFonts w:cstheme="minorHAnsi"/>
                <w:b/>
                <w:sz w:val="20"/>
                <w:lang w:val="lv-LV"/>
              </w:rPr>
            </w:pPr>
            <w:r w:rsidRPr="00675182">
              <w:rPr>
                <w:rFonts w:cstheme="minorHAnsi"/>
                <w:b/>
                <w:sz w:val="20"/>
                <w:lang w:val="lv-LV"/>
              </w:rPr>
              <w:t>Pasākums</w:t>
            </w:r>
          </w:p>
        </w:tc>
        <w:tc>
          <w:tcPr>
            <w:tcW w:w="1699" w:type="dxa"/>
            <w:tcBorders>
              <w:top w:val="single" w:sz="4" w:space="0" w:color="000000"/>
              <w:left w:val="single" w:sz="4" w:space="0" w:color="000000"/>
              <w:bottom w:val="single" w:sz="4" w:space="0" w:color="000000"/>
            </w:tcBorders>
            <w:shd w:val="clear" w:color="auto" w:fill="D6E3BC"/>
          </w:tcPr>
          <w:p w14:paraId="25CB8335" w14:textId="77777777" w:rsidR="00B1628B" w:rsidRPr="00675182" w:rsidRDefault="00B1628B" w:rsidP="0041526E">
            <w:pPr>
              <w:pStyle w:val="naisf"/>
              <w:snapToGrid w:val="0"/>
              <w:spacing w:before="0" w:after="0"/>
              <w:ind w:firstLine="0"/>
              <w:jc w:val="left"/>
              <w:rPr>
                <w:rFonts w:cstheme="minorHAnsi"/>
                <w:b/>
                <w:sz w:val="20"/>
                <w:lang w:val="lv-LV"/>
              </w:rPr>
            </w:pPr>
            <w:r w:rsidRPr="00675182">
              <w:rPr>
                <w:rFonts w:cstheme="minorHAnsi"/>
                <w:b/>
                <w:sz w:val="20"/>
                <w:lang w:val="lv-LV"/>
              </w:rPr>
              <w:t xml:space="preserve">Prioritāte, izpildes termiņš </w:t>
            </w:r>
          </w:p>
        </w:tc>
        <w:tc>
          <w:tcPr>
            <w:tcW w:w="2124" w:type="dxa"/>
            <w:tcBorders>
              <w:top w:val="single" w:sz="4" w:space="0" w:color="000000"/>
              <w:left w:val="single" w:sz="4" w:space="0" w:color="000000"/>
              <w:bottom w:val="single" w:sz="4" w:space="0" w:color="000000"/>
            </w:tcBorders>
            <w:shd w:val="clear" w:color="auto" w:fill="D6E3BC"/>
          </w:tcPr>
          <w:p w14:paraId="0B753CC8" w14:textId="77777777" w:rsidR="00B1628B" w:rsidRPr="00675182" w:rsidRDefault="00B1628B" w:rsidP="0041526E">
            <w:pPr>
              <w:pStyle w:val="naisf"/>
              <w:snapToGrid w:val="0"/>
              <w:spacing w:before="0" w:after="0"/>
              <w:ind w:firstLine="0"/>
              <w:jc w:val="left"/>
              <w:rPr>
                <w:rFonts w:cstheme="minorHAnsi"/>
                <w:b/>
                <w:sz w:val="20"/>
                <w:lang w:val="lv-LV"/>
              </w:rPr>
            </w:pPr>
            <w:r w:rsidRPr="00675182">
              <w:rPr>
                <w:rFonts w:cstheme="minorHAnsi"/>
                <w:b/>
                <w:sz w:val="20"/>
                <w:lang w:val="lv-LV"/>
              </w:rPr>
              <w:t>Iespējamais finansētājs</w:t>
            </w:r>
          </w:p>
        </w:tc>
        <w:tc>
          <w:tcPr>
            <w:tcW w:w="1991" w:type="dxa"/>
            <w:tcBorders>
              <w:top w:val="single" w:sz="4" w:space="0" w:color="000000"/>
              <w:left w:val="single" w:sz="4" w:space="0" w:color="000000"/>
              <w:bottom w:val="single" w:sz="4" w:space="0" w:color="000000"/>
            </w:tcBorders>
            <w:shd w:val="clear" w:color="auto" w:fill="D6E3BC"/>
          </w:tcPr>
          <w:p w14:paraId="2BA984CC" w14:textId="77777777" w:rsidR="00B1628B" w:rsidRPr="00675182" w:rsidRDefault="00B1628B" w:rsidP="0041526E">
            <w:pPr>
              <w:pStyle w:val="naisf"/>
              <w:snapToGrid w:val="0"/>
              <w:spacing w:before="0" w:after="0"/>
              <w:ind w:firstLine="0"/>
              <w:jc w:val="left"/>
              <w:rPr>
                <w:rFonts w:cstheme="minorHAnsi"/>
                <w:b/>
                <w:sz w:val="20"/>
                <w:lang w:val="lv-LV"/>
              </w:rPr>
            </w:pPr>
            <w:r w:rsidRPr="00675182">
              <w:rPr>
                <w:rFonts w:cstheme="minorHAnsi"/>
                <w:b/>
                <w:sz w:val="20"/>
                <w:lang w:val="lv-LV"/>
              </w:rPr>
              <w:t>Iespējamais izpildītājs</w:t>
            </w:r>
          </w:p>
        </w:tc>
        <w:tc>
          <w:tcPr>
            <w:tcW w:w="1577" w:type="dxa"/>
            <w:tcBorders>
              <w:top w:val="single" w:sz="4" w:space="0" w:color="000000"/>
              <w:left w:val="single" w:sz="4" w:space="0" w:color="000000"/>
              <w:bottom w:val="single" w:sz="4" w:space="0" w:color="000000"/>
            </w:tcBorders>
            <w:shd w:val="clear" w:color="auto" w:fill="D6E3BC"/>
          </w:tcPr>
          <w:p w14:paraId="21584C2B" w14:textId="77777777" w:rsidR="00B1628B" w:rsidRPr="00675182" w:rsidRDefault="00B1628B" w:rsidP="0041526E">
            <w:pPr>
              <w:pStyle w:val="naisf"/>
              <w:snapToGrid w:val="0"/>
              <w:spacing w:before="0" w:after="0"/>
              <w:ind w:firstLine="0"/>
              <w:jc w:val="left"/>
              <w:rPr>
                <w:rFonts w:cstheme="minorHAnsi"/>
                <w:b/>
                <w:sz w:val="20"/>
                <w:lang w:val="lv-LV"/>
              </w:rPr>
            </w:pPr>
            <w:r w:rsidRPr="00675182">
              <w:rPr>
                <w:rFonts w:cstheme="minorHAnsi"/>
                <w:b/>
                <w:sz w:val="20"/>
                <w:lang w:val="lv-LV"/>
              </w:rPr>
              <w:t>Iespējamās izmaksas</w:t>
            </w:r>
          </w:p>
        </w:tc>
        <w:tc>
          <w:tcPr>
            <w:tcW w:w="2428" w:type="dxa"/>
            <w:tcBorders>
              <w:top w:val="single" w:sz="4" w:space="0" w:color="000000"/>
              <w:left w:val="single" w:sz="4" w:space="0" w:color="000000"/>
              <w:bottom w:val="single" w:sz="4" w:space="0" w:color="000000"/>
              <w:right w:val="single" w:sz="4" w:space="0" w:color="000000"/>
            </w:tcBorders>
            <w:shd w:val="clear" w:color="auto" w:fill="D6E3BC"/>
          </w:tcPr>
          <w:p w14:paraId="536EE117" w14:textId="77777777" w:rsidR="00B1628B" w:rsidRPr="00675182" w:rsidRDefault="00B1628B" w:rsidP="0041526E">
            <w:pPr>
              <w:pStyle w:val="naisf"/>
              <w:snapToGrid w:val="0"/>
              <w:spacing w:before="0" w:after="0"/>
              <w:ind w:firstLine="0"/>
              <w:jc w:val="left"/>
              <w:rPr>
                <w:rFonts w:cstheme="minorHAnsi"/>
                <w:b/>
                <w:sz w:val="20"/>
                <w:lang w:val="lv-LV"/>
              </w:rPr>
            </w:pPr>
            <w:r w:rsidRPr="00675182">
              <w:rPr>
                <w:rFonts w:cstheme="minorHAnsi"/>
                <w:b/>
                <w:sz w:val="20"/>
                <w:lang w:val="lv-LV"/>
              </w:rPr>
              <w:t>Izpildes rādītāji</w:t>
            </w:r>
          </w:p>
        </w:tc>
      </w:tr>
      <w:tr w:rsidR="00B1628B" w:rsidRPr="00675182" w14:paraId="52174FAB" w14:textId="77777777" w:rsidTr="0041526E">
        <w:tc>
          <w:tcPr>
            <w:tcW w:w="14211" w:type="dxa"/>
            <w:gridSpan w:val="8"/>
            <w:tcBorders>
              <w:top w:val="single" w:sz="4" w:space="0" w:color="000000"/>
              <w:left w:val="single" w:sz="4" w:space="0" w:color="000000"/>
              <w:bottom w:val="single" w:sz="4" w:space="0" w:color="000000"/>
              <w:right w:val="single" w:sz="4" w:space="0" w:color="auto"/>
            </w:tcBorders>
            <w:shd w:val="clear" w:color="auto" w:fill="FDE9D9" w:themeFill="accent6" w:themeFillTint="33"/>
          </w:tcPr>
          <w:p w14:paraId="1A733DD2" w14:textId="77777777" w:rsidR="00B1628B" w:rsidRPr="00675182" w:rsidRDefault="00B1628B" w:rsidP="0041526E">
            <w:pPr>
              <w:pStyle w:val="naisf"/>
              <w:snapToGrid w:val="0"/>
              <w:spacing w:before="0" w:after="0"/>
              <w:ind w:firstLine="0"/>
              <w:jc w:val="center"/>
              <w:rPr>
                <w:rFonts w:cstheme="minorHAnsi"/>
                <w:b/>
                <w:bCs/>
                <w:sz w:val="20"/>
                <w:lang w:val="lv-LV"/>
              </w:rPr>
            </w:pPr>
            <w:r w:rsidRPr="00675182">
              <w:rPr>
                <w:rFonts w:cstheme="minorHAnsi"/>
                <w:b/>
                <w:bCs/>
                <w:sz w:val="20"/>
                <w:lang w:val="lv-LV"/>
              </w:rPr>
              <w:t>Administratīvie pasākumi</w:t>
            </w:r>
          </w:p>
        </w:tc>
      </w:tr>
      <w:tr w:rsidR="00B1628B" w:rsidRPr="00675182" w14:paraId="72E0C80C" w14:textId="77777777" w:rsidTr="00E21287">
        <w:tc>
          <w:tcPr>
            <w:tcW w:w="872" w:type="dxa"/>
            <w:tcBorders>
              <w:top w:val="single" w:sz="4" w:space="0" w:color="000000"/>
              <w:left w:val="single" w:sz="4" w:space="0" w:color="000000"/>
              <w:bottom w:val="single" w:sz="4" w:space="0" w:color="000000"/>
              <w:right w:val="nil"/>
            </w:tcBorders>
          </w:tcPr>
          <w:p w14:paraId="63583DAB" w14:textId="77777777" w:rsidR="00B1628B" w:rsidRPr="00675182" w:rsidRDefault="00B1628B" w:rsidP="0041526E">
            <w:pPr>
              <w:pStyle w:val="naisf"/>
              <w:snapToGrid w:val="0"/>
              <w:spacing w:before="0" w:after="0"/>
              <w:ind w:left="52" w:firstLine="0"/>
              <w:jc w:val="left"/>
              <w:rPr>
                <w:rFonts w:cstheme="minorHAnsi"/>
                <w:sz w:val="20"/>
                <w:lang w:val="lv-LV"/>
              </w:rPr>
            </w:pPr>
            <w:r w:rsidRPr="00675182">
              <w:rPr>
                <w:rFonts w:cstheme="minorHAnsi"/>
                <w:sz w:val="20"/>
                <w:lang w:val="lv-LV"/>
              </w:rPr>
              <w:t>A.1.</w:t>
            </w:r>
          </w:p>
        </w:tc>
        <w:tc>
          <w:tcPr>
            <w:tcW w:w="850" w:type="dxa"/>
            <w:tcBorders>
              <w:top w:val="single" w:sz="4" w:space="0" w:color="000000"/>
              <w:left w:val="single" w:sz="4" w:space="0" w:color="000000"/>
              <w:bottom w:val="single" w:sz="4" w:space="0" w:color="000000"/>
              <w:right w:val="nil"/>
            </w:tcBorders>
          </w:tcPr>
          <w:p w14:paraId="4B42AE33"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A.1.</w:t>
            </w:r>
          </w:p>
        </w:tc>
        <w:tc>
          <w:tcPr>
            <w:tcW w:w="2670" w:type="dxa"/>
            <w:tcBorders>
              <w:top w:val="single" w:sz="4" w:space="0" w:color="000000"/>
              <w:left w:val="single" w:sz="4" w:space="0" w:color="000000"/>
              <w:bottom w:val="single" w:sz="4" w:space="0" w:color="000000"/>
              <w:right w:val="nil"/>
            </w:tcBorders>
          </w:tcPr>
          <w:p w14:paraId="5821B5A4" w14:textId="120EA198" w:rsidR="00B1628B" w:rsidRPr="00675182" w:rsidRDefault="00B1628B" w:rsidP="0041526E">
            <w:pPr>
              <w:pStyle w:val="naisf"/>
              <w:snapToGrid w:val="0"/>
              <w:ind w:firstLine="0"/>
              <w:jc w:val="left"/>
              <w:rPr>
                <w:rFonts w:cstheme="minorHAnsi"/>
                <w:bCs/>
                <w:sz w:val="20"/>
                <w:lang w:val="lv-LV"/>
              </w:rPr>
            </w:pPr>
            <w:r w:rsidRPr="00675182">
              <w:rPr>
                <w:rFonts w:cstheme="minorHAnsi"/>
                <w:bCs/>
                <w:sz w:val="20"/>
                <w:lang w:val="lv-LV"/>
              </w:rPr>
              <w:t>GNP IAIN un likuma apstiprināšana</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204229A0"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I, 2024</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254398D2"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VARAM, DAP</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2D4A84E2"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VARAM, DAP</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1ED8AEB7" w14:textId="77777777" w:rsidR="00B1628B" w:rsidRPr="00675182" w:rsidRDefault="00B1628B" w:rsidP="0041526E">
            <w:pPr>
              <w:autoSpaceDE w:val="0"/>
              <w:snapToGrid w:val="0"/>
              <w:rPr>
                <w:rFonts w:cstheme="minorHAnsi"/>
                <w:sz w:val="20"/>
              </w:rPr>
            </w:pPr>
            <w:r w:rsidRPr="00675182">
              <w:rPr>
                <w:rFonts w:cstheme="minorHAnsi"/>
                <w:sz w:val="20"/>
              </w:rPr>
              <w:t>Administratīvās izmaksas</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79B3696F" w14:textId="28C294BC" w:rsidR="00427823"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Apstiprināt</w:t>
            </w:r>
            <w:r w:rsidR="00025BA9">
              <w:rPr>
                <w:rFonts w:cstheme="minorHAnsi"/>
                <w:sz w:val="20"/>
                <w:lang w:val="lv-LV"/>
              </w:rPr>
              <w:t>as izmaiņas GNP</w:t>
            </w:r>
            <w:r w:rsidRPr="00675182">
              <w:rPr>
                <w:rFonts w:cstheme="minorHAnsi"/>
                <w:sz w:val="20"/>
                <w:lang w:val="lv-LV"/>
              </w:rPr>
              <w:t xml:space="preserve"> IAIN un GNP </w:t>
            </w:r>
            <w:r w:rsidR="00025BA9" w:rsidRPr="00675182">
              <w:rPr>
                <w:rFonts w:cstheme="minorHAnsi"/>
                <w:sz w:val="20"/>
                <w:lang w:val="lv-LV"/>
              </w:rPr>
              <w:t>likum</w:t>
            </w:r>
            <w:r w:rsidR="00025BA9">
              <w:rPr>
                <w:rFonts w:cstheme="minorHAnsi"/>
                <w:sz w:val="20"/>
                <w:lang w:val="lv-LV"/>
              </w:rPr>
              <w:t>ā</w:t>
            </w:r>
            <w:r w:rsidR="00427823" w:rsidRPr="00675182">
              <w:rPr>
                <w:rFonts w:cstheme="minorHAnsi"/>
                <w:sz w:val="20"/>
                <w:lang w:val="lv-LV"/>
              </w:rPr>
              <w:t>,</w:t>
            </w:r>
            <w:r w:rsidR="00025BA9">
              <w:rPr>
                <w:rFonts w:cstheme="minorHAnsi"/>
                <w:sz w:val="20"/>
                <w:lang w:val="lv-LV"/>
              </w:rPr>
              <w:t xml:space="preserve"> aizstājot</w:t>
            </w:r>
            <w:r w:rsidR="00427823" w:rsidRPr="00675182">
              <w:rPr>
                <w:rFonts w:cstheme="minorHAnsi"/>
                <w:sz w:val="20"/>
                <w:lang w:val="lv-LV"/>
              </w:rPr>
              <w:t xml:space="preserve"> spēkā esošo </w:t>
            </w:r>
            <w:r w:rsidR="00025BA9">
              <w:rPr>
                <w:rFonts w:cstheme="minorHAnsi"/>
                <w:sz w:val="20"/>
                <w:lang w:val="lv-LV"/>
              </w:rPr>
              <w:t>normatīvo regulējumu</w:t>
            </w:r>
            <w:r w:rsidR="00427823" w:rsidRPr="00675182">
              <w:rPr>
                <w:rFonts w:cstheme="minorHAnsi"/>
                <w:sz w:val="20"/>
                <w:lang w:val="lv-LV"/>
              </w:rPr>
              <w:t>.</w:t>
            </w:r>
          </w:p>
        </w:tc>
      </w:tr>
      <w:tr w:rsidR="00B1628B" w:rsidRPr="00675182" w14:paraId="58FC64AF" w14:textId="77777777" w:rsidTr="00E21287">
        <w:tc>
          <w:tcPr>
            <w:tcW w:w="872" w:type="dxa"/>
            <w:tcBorders>
              <w:top w:val="single" w:sz="4" w:space="0" w:color="000000"/>
              <w:left w:val="single" w:sz="4" w:space="0" w:color="000000"/>
              <w:bottom w:val="single" w:sz="4" w:space="0" w:color="000000"/>
              <w:right w:val="nil"/>
            </w:tcBorders>
          </w:tcPr>
          <w:p w14:paraId="346776F6" w14:textId="77777777" w:rsidR="00B1628B" w:rsidRPr="00675182" w:rsidRDefault="00B1628B" w:rsidP="0041526E">
            <w:pPr>
              <w:pStyle w:val="naisf"/>
              <w:snapToGrid w:val="0"/>
              <w:spacing w:before="0" w:after="0"/>
              <w:ind w:left="52" w:firstLine="0"/>
              <w:jc w:val="left"/>
              <w:rPr>
                <w:rFonts w:cstheme="minorHAnsi"/>
                <w:sz w:val="20"/>
                <w:lang w:val="lv-LV"/>
              </w:rPr>
            </w:pPr>
            <w:r w:rsidRPr="00675182">
              <w:rPr>
                <w:rFonts w:cstheme="minorHAnsi"/>
                <w:sz w:val="20"/>
                <w:lang w:val="lv-LV"/>
              </w:rPr>
              <w:t>A.2.</w:t>
            </w:r>
          </w:p>
        </w:tc>
        <w:tc>
          <w:tcPr>
            <w:tcW w:w="850" w:type="dxa"/>
            <w:tcBorders>
              <w:top w:val="single" w:sz="4" w:space="0" w:color="000000"/>
              <w:left w:val="single" w:sz="4" w:space="0" w:color="000000"/>
              <w:bottom w:val="single" w:sz="4" w:space="0" w:color="000000"/>
              <w:right w:val="nil"/>
            </w:tcBorders>
          </w:tcPr>
          <w:p w14:paraId="004B85ED"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A.1.</w:t>
            </w:r>
          </w:p>
          <w:p w14:paraId="6C5D7E4E"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A.2.</w:t>
            </w:r>
          </w:p>
        </w:tc>
        <w:tc>
          <w:tcPr>
            <w:tcW w:w="2670" w:type="dxa"/>
            <w:tcBorders>
              <w:top w:val="single" w:sz="4" w:space="0" w:color="000000"/>
              <w:left w:val="single" w:sz="4" w:space="0" w:color="000000"/>
              <w:bottom w:val="single" w:sz="4" w:space="0" w:color="000000"/>
              <w:right w:val="nil"/>
            </w:tcBorders>
          </w:tcPr>
          <w:p w14:paraId="59C372CB" w14:textId="77777777" w:rsidR="00B1628B" w:rsidRPr="00675182" w:rsidRDefault="00B1628B" w:rsidP="0041526E">
            <w:pPr>
              <w:rPr>
                <w:rFonts w:cstheme="minorHAnsi"/>
                <w:bCs/>
                <w:sz w:val="20"/>
              </w:rPr>
            </w:pPr>
            <w:r w:rsidRPr="00675182">
              <w:rPr>
                <w:rFonts w:cstheme="minorHAnsi"/>
                <w:bCs/>
                <w:sz w:val="20"/>
              </w:rPr>
              <w:t>GNP robežu precizēšana</w:t>
            </w:r>
          </w:p>
        </w:tc>
        <w:tc>
          <w:tcPr>
            <w:tcW w:w="1699" w:type="dxa"/>
            <w:tcBorders>
              <w:top w:val="single" w:sz="4" w:space="0" w:color="000000"/>
              <w:left w:val="single" w:sz="4" w:space="0" w:color="000000"/>
              <w:bottom w:val="single" w:sz="4" w:space="0" w:color="000000"/>
              <w:right w:val="nil"/>
            </w:tcBorders>
          </w:tcPr>
          <w:p w14:paraId="3A17B2BC"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I, 2024</w:t>
            </w:r>
          </w:p>
        </w:tc>
        <w:tc>
          <w:tcPr>
            <w:tcW w:w="2124" w:type="dxa"/>
            <w:tcBorders>
              <w:top w:val="single" w:sz="4" w:space="0" w:color="000000"/>
              <w:left w:val="single" w:sz="4" w:space="0" w:color="000000"/>
              <w:bottom w:val="single" w:sz="4" w:space="0" w:color="000000"/>
              <w:right w:val="nil"/>
            </w:tcBorders>
          </w:tcPr>
          <w:p w14:paraId="3A3099BC"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VARAM, DAP</w:t>
            </w:r>
          </w:p>
        </w:tc>
        <w:tc>
          <w:tcPr>
            <w:tcW w:w="1991" w:type="dxa"/>
            <w:tcBorders>
              <w:top w:val="single" w:sz="4" w:space="0" w:color="000000"/>
              <w:left w:val="single" w:sz="4" w:space="0" w:color="000000"/>
              <w:bottom w:val="single" w:sz="4" w:space="0" w:color="000000"/>
              <w:right w:val="nil"/>
            </w:tcBorders>
          </w:tcPr>
          <w:p w14:paraId="7586870D"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VARAM, DAP</w:t>
            </w:r>
          </w:p>
        </w:tc>
        <w:tc>
          <w:tcPr>
            <w:tcW w:w="1577" w:type="dxa"/>
            <w:tcBorders>
              <w:top w:val="single" w:sz="4" w:space="0" w:color="000000"/>
              <w:left w:val="single" w:sz="4" w:space="0" w:color="000000"/>
              <w:bottom w:val="single" w:sz="4" w:space="0" w:color="000000"/>
              <w:right w:val="nil"/>
            </w:tcBorders>
          </w:tcPr>
          <w:p w14:paraId="44F8020C" w14:textId="77777777" w:rsidR="00B1628B" w:rsidRPr="00675182" w:rsidRDefault="00B1628B" w:rsidP="0041526E">
            <w:pPr>
              <w:autoSpaceDE w:val="0"/>
              <w:snapToGrid w:val="0"/>
              <w:rPr>
                <w:rFonts w:cstheme="minorHAnsi"/>
                <w:sz w:val="20"/>
              </w:rPr>
            </w:pPr>
            <w:r w:rsidRPr="00675182">
              <w:rPr>
                <w:rFonts w:cstheme="minorHAnsi"/>
                <w:sz w:val="20"/>
              </w:rPr>
              <w:t>Administratīvās izmaksas</w:t>
            </w:r>
          </w:p>
        </w:tc>
        <w:tc>
          <w:tcPr>
            <w:tcW w:w="2428" w:type="dxa"/>
            <w:tcBorders>
              <w:top w:val="single" w:sz="4" w:space="0" w:color="000000"/>
              <w:left w:val="single" w:sz="4" w:space="0" w:color="000000"/>
              <w:bottom w:val="single" w:sz="4" w:space="0" w:color="000000"/>
              <w:right w:val="single" w:sz="4" w:space="0" w:color="000000"/>
            </w:tcBorders>
          </w:tcPr>
          <w:p w14:paraId="797357CE" w14:textId="23DBF2E8"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Apstiprināt</w:t>
            </w:r>
            <w:r w:rsidR="00025BA9">
              <w:rPr>
                <w:rFonts w:cstheme="minorHAnsi"/>
                <w:sz w:val="20"/>
                <w:lang w:val="lv-LV"/>
              </w:rPr>
              <w:t>as izmaiņas</w:t>
            </w:r>
            <w:r w:rsidRPr="00675182">
              <w:rPr>
                <w:rFonts w:cstheme="minorHAnsi"/>
                <w:sz w:val="20"/>
                <w:lang w:val="lv-LV"/>
              </w:rPr>
              <w:t xml:space="preserve"> GNP </w:t>
            </w:r>
            <w:r w:rsidR="00025BA9" w:rsidRPr="00675182">
              <w:rPr>
                <w:rFonts w:cstheme="minorHAnsi"/>
                <w:sz w:val="20"/>
                <w:lang w:val="lv-LV"/>
              </w:rPr>
              <w:t>likum</w:t>
            </w:r>
            <w:r w:rsidR="00025BA9">
              <w:rPr>
                <w:rFonts w:cstheme="minorHAnsi"/>
                <w:sz w:val="20"/>
                <w:lang w:val="lv-LV"/>
              </w:rPr>
              <w:t>ā</w:t>
            </w:r>
            <w:r w:rsidR="00427823" w:rsidRPr="00675182">
              <w:rPr>
                <w:rFonts w:cstheme="minorHAnsi"/>
                <w:sz w:val="20"/>
                <w:lang w:val="lv-LV"/>
              </w:rPr>
              <w:t>, kurā ir aprakstīta GNP robeža.</w:t>
            </w:r>
          </w:p>
        </w:tc>
      </w:tr>
      <w:tr w:rsidR="00B1628B" w:rsidRPr="00675182" w14:paraId="4ED103A9" w14:textId="77777777" w:rsidTr="00E21287">
        <w:tc>
          <w:tcPr>
            <w:tcW w:w="872" w:type="dxa"/>
            <w:tcBorders>
              <w:top w:val="single" w:sz="4" w:space="0" w:color="000000"/>
              <w:left w:val="single" w:sz="4" w:space="0" w:color="000000"/>
              <w:bottom w:val="single" w:sz="4" w:space="0" w:color="000000"/>
              <w:right w:val="nil"/>
            </w:tcBorders>
          </w:tcPr>
          <w:p w14:paraId="65AF684F" w14:textId="77777777" w:rsidR="00B1628B" w:rsidRPr="00675182" w:rsidRDefault="00B1628B" w:rsidP="0041526E">
            <w:pPr>
              <w:pStyle w:val="naisf"/>
              <w:snapToGrid w:val="0"/>
              <w:spacing w:before="0" w:after="0"/>
              <w:ind w:left="52" w:firstLine="0"/>
              <w:jc w:val="left"/>
              <w:rPr>
                <w:rFonts w:cstheme="minorHAnsi"/>
                <w:sz w:val="20"/>
                <w:lang w:val="lv-LV"/>
              </w:rPr>
            </w:pPr>
            <w:r w:rsidRPr="00675182">
              <w:rPr>
                <w:rFonts w:cstheme="minorHAnsi"/>
                <w:sz w:val="20"/>
                <w:lang w:val="lv-LV"/>
              </w:rPr>
              <w:t>A.3</w:t>
            </w:r>
          </w:p>
        </w:tc>
        <w:tc>
          <w:tcPr>
            <w:tcW w:w="850" w:type="dxa"/>
            <w:tcBorders>
              <w:top w:val="single" w:sz="4" w:space="0" w:color="000000"/>
              <w:left w:val="single" w:sz="4" w:space="0" w:color="000000"/>
              <w:bottom w:val="single" w:sz="4" w:space="0" w:color="000000"/>
              <w:right w:val="nil"/>
            </w:tcBorders>
          </w:tcPr>
          <w:p w14:paraId="15419DA1"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A.3.</w:t>
            </w:r>
          </w:p>
        </w:tc>
        <w:tc>
          <w:tcPr>
            <w:tcW w:w="2670" w:type="dxa"/>
            <w:tcBorders>
              <w:top w:val="single" w:sz="4" w:space="0" w:color="000000"/>
              <w:left w:val="single" w:sz="4" w:space="0" w:color="000000"/>
              <w:bottom w:val="single" w:sz="4" w:space="0" w:color="000000"/>
              <w:right w:val="nil"/>
            </w:tcBorders>
          </w:tcPr>
          <w:p w14:paraId="1148F7CB" w14:textId="77777777" w:rsidR="00B1628B" w:rsidRPr="00675182" w:rsidRDefault="00B1628B" w:rsidP="0041526E">
            <w:pPr>
              <w:pStyle w:val="naisf"/>
              <w:snapToGrid w:val="0"/>
              <w:ind w:firstLine="0"/>
              <w:jc w:val="left"/>
              <w:rPr>
                <w:rFonts w:cstheme="minorHAnsi"/>
                <w:bCs/>
                <w:sz w:val="20"/>
                <w:lang w:val="lv-LV"/>
              </w:rPr>
            </w:pPr>
            <w:r w:rsidRPr="00675182">
              <w:rPr>
                <w:rFonts w:cstheme="minorHAnsi"/>
                <w:bCs/>
                <w:sz w:val="20"/>
                <w:lang w:val="lv-LV"/>
              </w:rPr>
              <w:t>GNP teritorijas paplašināšana</w:t>
            </w:r>
          </w:p>
        </w:tc>
        <w:tc>
          <w:tcPr>
            <w:tcW w:w="1699" w:type="dxa"/>
            <w:tcBorders>
              <w:top w:val="single" w:sz="4" w:space="0" w:color="000000"/>
              <w:left w:val="single" w:sz="4" w:space="0" w:color="000000"/>
              <w:bottom w:val="single" w:sz="4" w:space="0" w:color="000000"/>
              <w:right w:val="nil"/>
            </w:tcBorders>
          </w:tcPr>
          <w:p w14:paraId="3756D31B"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I, 2024</w:t>
            </w:r>
          </w:p>
        </w:tc>
        <w:tc>
          <w:tcPr>
            <w:tcW w:w="2124" w:type="dxa"/>
            <w:tcBorders>
              <w:top w:val="single" w:sz="4" w:space="0" w:color="000000"/>
              <w:left w:val="single" w:sz="4" w:space="0" w:color="000000"/>
              <w:bottom w:val="single" w:sz="4" w:space="0" w:color="000000"/>
              <w:right w:val="nil"/>
            </w:tcBorders>
          </w:tcPr>
          <w:p w14:paraId="18ED7AAB"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VARAM, DAP</w:t>
            </w:r>
          </w:p>
        </w:tc>
        <w:tc>
          <w:tcPr>
            <w:tcW w:w="1991" w:type="dxa"/>
            <w:tcBorders>
              <w:top w:val="single" w:sz="4" w:space="0" w:color="000000"/>
              <w:left w:val="single" w:sz="4" w:space="0" w:color="000000"/>
              <w:bottom w:val="single" w:sz="4" w:space="0" w:color="000000"/>
              <w:right w:val="nil"/>
            </w:tcBorders>
          </w:tcPr>
          <w:p w14:paraId="6987AD03"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VARAM, DAP</w:t>
            </w:r>
          </w:p>
        </w:tc>
        <w:tc>
          <w:tcPr>
            <w:tcW w:w="1577" w:type="dxa"/>
            <w:tcBorders>
              <w:top w:val="single" w:sz="4" w:space="0" w:color="000000"/>
              <w:left w:val="single" w:sz="4" w:space="0" w:color="000000"/>
              <w:bottom w:val="single" w:sz="4" w:space="0" w:color="000000"/>
              <w:right w:val="nil"/>
            </w:tcBorders>
          </w:tcPr>
          <w:p w14:paraId="15054374" w14:textId="77777777" w:rsidR="00B1628B" w:rsidRPr="00675182" w:rsidRDefault="00B1628B" w:rsidP="0041526E">
            <w:pPr>
              <w:autoSpaceDE w:val="0"/>
              <w:snapToGrid w:val="0"/>
              <w:rPr>
                <w:rFonts w:cstheme="minorHAnsi"/>
                <w:sz w:val="20"/>
              </w:rPr>
            </w:pPr>
            <w:r w:rsidRPr="00675182">
              <w:rPr>
                <w:rFonts w:cstheme="minorHAnsi"/>
                <w:sz w:val="20"/>
              </w:rPr>
              <w:t>Administratīvās izmaksas</w:t>
            </w:r>
          </w:p>
        </w:tc>
        <w:tc>
          <w:tcPr>
            <w:tcW w:w="2428" w:type="dxa"/>
            <w:tcBorders>
              <w:top w:val="single" w:sz="4" w:space="0" w:color="000000"/>
              <w:left w:val="single" w:sz="4" w:space="0" w:color="000000"/>
              <w:bottom w:val="single" w:sz="4" w:space="0" w:color="000000"/>
              <w:right w:val="single" w:sz="4" w:space="0" w:color="000000"/>
            </w:tcBorders>
          </w:tcPr>
          <w:p w14:paraId="05F97A2F" w14:textId="20D4457A" w:rsidR="00B1628B" w:rsidRPr="00675182" w:rsidRDefault="00025BA9" w:rsidP="0041526E">
            <w:pPr>
              <w:pStyle w:val="naisf"/>
              <w:snapToGrid w:val="0"/>
              <w:spacing w:before="0" w:after="0"/>
              <w:ind w:firstLine="0"/>
              <w:jc w:val="left"/>
              <w:rPr>
                <w:rFonts w:cstheme="minorHAnsi"/>
                <w:sz w:val="20"/>
                <w:lang w:val="lv-LV"/>
              </w:rPr>
            </w:pPr>
            <w:r w:rsidRPr="00675182">
              <w:rPr>
                <w:rFonts w:cstheme="minorHAnsi"/>
                <w:sz w:val="20"/>
                <w:lang w:val="lv-LV"/>
              </w:rPr>
              <w:t>Apstiprināt</w:t>
            </w:r>
            <w:r>
              <w:rPr>
                <w:rFonts w:cstheme="minorHAnsi"/>
                <w:sz w:val="20"/>
                <w:lang w:val="lv-LV"/>
              </w:rPr>
              <w:t>as izmaiņas GNP</w:t>
            </w:r>
            <w:r w:rsidRPr="00675182">
              <w:rPr>
                <w:rFonts w:cstheme="minorHAnsi"/>
                <w:sz w:val="20"/>
                <w:lang w:val="lv-LV"/>
              </w:rPr>
              <w:t xml:space="preserve"> </w:t>
            </w:r>
            <w:r w:rsidR="00B1628B" w:rsidRPr="00675182">
              <w:rPr>
                <w:rFonts w:cstheme="minorHAnsi"/>
                <w:sz w:val="20"/>
                <w:lang w:val="lv-LV"/>
              </w:rPr>
              <w:t>IAIN un GNP likum</w:t>
            </w:r>
            <w:r>
              <w:rPr>
                <w:rFonts w:cstheme="minorHAnsi"/>
                <w:sz w:val="20"/>
                <w:lang w:val="lv-LV"/>
              </w:rPr>
              <w:t>ā</w:t>
            </w:r>
          </w:p>
        </w:tc>
      </w:tr>
      <w:tr w:rsidR="00B1628B" w:rsidRPr="00675182" w14:paraId="3928BFC1" w14:textId="77777777" w:rsidTr="00E21287">
        <w:tc>
          <w:tcPr>
            <w:tcW w:w="872" w:type="dxa"/>
            <w:tcBorders>
              <w:top w:val="single" w:sz="4" w:space="0" w:color="000000"/>
              <w:left w:val="single" w:sz="4" w:space="0" w:color="000000"/>
              <w:bottom w:val="single" w:sz="4" w:space="0" w:color="000000"/>
              <w:right w:val="nil"/>
            </w:tcBorders>
          </w:tcPr>
          <w:p w14:paraId="43865923" w14:textId="77777777" w:rsidR="00B1628B" w:rsidRPr="00675182" w:rsidRDefault="00B1628B" w:rsidP="0041526E">
            <w:pPr>
              <w:pStyle w:val="naisf"/>
              <w:snapToGrid w:val="0"/>
              <w:spacing w:before="0" w:after="0"/>
              <w:ind w:left="52" w:firstLine="0"/>
              <w:jc w:val="left"/>
              <w:rPr>
                <w:rFonts w:cstheme="minorHAnsi"/>
                <w:sz w:val="20"/>
                <w:lang w:val="lv-LV"/>
              </w:rPr>
            </w:pPr>
            <w:r w:rsidRPr="00675182">
              <w:rPr>
                <w:rFonts w:cstheme="minorHAnsi"/>
                <w:sz w:val="20"/>
                <w:lang w:val="lv-LV"/>
              </w:rPr>
              <w:t xml:space="preserve">A.4. </w:t>
            </w:r>
          </w:p>
        </w:tc>
        <w:tc>
          <w:tcPr>
            <w:tcW w:w="850" w:type="dxa"/>
            <w:tcBorders>
              <w:top w:val="single" w:sz="4" w:space="0" w:color="000000"/>
              <w:left w:val="single" w:sz="4" w:space="0" w:color="000000"/>
              <w:bottom w:val="single" w:sz="4" w:space="0" w:color="000000"/>
              <w:right w:val="nil"/>
            </w:tcBorders>
          </w:tcPr>
          <w:p w14:paraId="14167F64"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A.4.</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3E21D37B" w14:textId="0A7A0CCD" w:rsidR="00B1628B" w:rsidRPr="00675182" w:rsidRDefault="007C5CD0" w:rsidP="0041526E">
            <w:pPr>
              <w:rPr>
                <w:rFonts w:cstheme="minorHAnsi"/>
                <w:bCs/>
                <w:sz w:val="20"/>
              </w:rPr>
            </w:pPr>
            <w:bookmarkStart w:id="117" w:name="_Hlk83205681"/>
            <w:r>
              <w:rPr>
                <w:rFonts w:cstheme="minorHAnsi"/>
                <w:sz w:val="20"/>
              </w:rPr>
              <w:t>MAP</w:t>
            </w:r>
            <w:r w:rsidR="00B1628B" w:rsidRPr="00675182">
              <w:rPr>
                <w:rFonts w:cstheme="minorHAnsi"/>
                <w:sz w:val="20"/>
              </w:rPr>
              <w:t xml:space="preserve"> sagatavošana atbilstoši teritorijas IAIN nosacījumiem </w:t>
            </w:r>
            <w:bookmarkEnd w:id="117"/>
          </w:p>
        </w:tc>
        <w:tc>
          <w:tcPr>
            <w:tcW w:w="1699" w:type="dxa"/>
            <w:tcBorders>
              <w:top w:val="single" w:sz="4" w:space="0" w:color="000000" w:themeColor="text1"/>
              <w:left w:val="single" w:sz="4" w:space="0" w:color="000000" w:themeColor="text1"/>
              <w:bottom w:val="single" w:sz="4" w:space="0" w:color="000000" w:themeColor="text1"/>
              <w:right w:val="nil"/>
            </w:tcBorders>
          </w:tcPr>
          <w:p w14:paraId="32BAD958"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I, visā plāna darbības laikā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4530DFA2"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DAP, īpašumu apsaimniekotāji, 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7F001B72"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DAP, īpašumu apsaimniekotāji</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4229DD33" w14:textId="77777777" w:rsidR="00B1628B" w:rsidRPr="00675182" w:rsidRDefault="00B1628B" w:rsidP="0041526E">
            <w:pPr>
              <w:autoSpaceDE w:val="0"/>
              <w:snapToGrid w:val="0"/>
              <w:rPr>
                <w:rFonts w:cstheme="minorHAnsi"/>
                <w:sz w:val="20"/>
              </w:rPr>
            </w:pPr>
            <w:r w:rsidRPr="00675182">
              <w:rPr>
                <w:rFonts w:cstheme="minorHAnsi"/>
                <w:sz w:val="20"/>
              </w:rPr>
              <w:t xml:space="preserve">MAP izstrādes un meža inventarizācijas izmaksas </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7BFDF" w14:textId="0749BFC9" w:rsidR="00B1628B" w:rsidRPr="00675182" w:rsidRDefault="00B1628B" w:rsidP="0041526E">
            <w:pPr>
              <w:pStyle w:val="naisf"/>
              <w:snapToGrid w:val="0"/>
              <w:spacing w:before="0" w:after="0"/>
              <w:ind w:firstLine="0"/>
              <w:jc w:val="left"/>
              <w:rPr>
                <w:rFonts w:cstheme="minorHAnsi"/>
                <w:sz w:val="20"/>
                <w:highlight w:val="lightGray"/>
                <w:lang w:val="lv-LV"/>
              </w:rPr>
            </w:pPr>
            <w:r w:rsidRPr="00675182">
              <w:rPr>
                <w:rFonts w:cstheme="minorHAnsi"/>
                <w:sz w:val="20"/>
                <w:lang w:val="lv-LV"/>
              </w:rPr>
              <w:t xml:space="preserve">Izstrādāti un apstiprināti </w:t>
            </w:r>
            <w:r w:rsidR="007C5CD0">
              <w:rPr>
                <w:rFonts w:cstheme="minorHAnsi"/>
                <w:sz w:val="20"/>
                <w:lang w:val="lv-LV"/>
              </w:rPr>
              <w:t>MAP</w:t>
            </w:r>
            <w:r w:rsidRPr="00675182">
              <w:rPr>
                <w:rFonts w:cstheme="minorHAnsi"/>
                <w:sz w:val="20"/>
                <w:lang w:val="lv-LV"/>
              </w:rPr>
              <w:t xml:space="preserve"> DAP un citu </w:t>
            </w:r>
            <w:r w:rsidR="00A545C5" w:rsidRPr="00675182">
              <w:rPr>
                <w:rFonts w:cstheme="minorHAnsi"/>
                <w:sz w:val="20"/>
                <w:lang w:val="lv-LV"/>
              </w:rPr>
              <w:t>īpašnieku</w:t>
            </w:r>
            <w:r w:rsidRPr="00675182">
              <w:rPr>
                <w:rFonts w:cstheme="minorHAnsi"/>
                <w:sz w:val="20"/>
                <w:lang w:val="lv-LV"/>
              </w:rPr>
              <w:t xml:space="preserve"> apsaimniekotām meža platībām IAIN paredzētos gadījumos.</w:t>
            </w:r>
          </w:p>
        </w:tc>
      </w:tr>
      <w:tr w:rsidR="00B1628B" w:rsidRPr="00675182" w14:paraId="0D6385EE" w14:textId="77777777" w:rsidTr="00E21287">
        <w:tc>
          <w:tcPr>
            <w:tcW w:w="872" w:type="dxa"/>
            <w:tcBorders>
              <w:top w:val="single" w:sz="4" w:space="0" w:color="000000"/>
              <w:left w:val="single" w:sz="4" w:space="0" w:color="000000"/>
              <w:bottom w:val="single" w:sz="4" w:space="0" w:color="000000"/>
              <w:right w:val="nil"/>
            </w:tcBorders>
          </w:tcPr>
          <w:p w14:paraId="6B511E9C" w14:textId="77777777" w:rsidR="00B1628B" w:rsidRPr="00675182" w:rsidRDefault="00B1628B" w:rsidP="0041526E">
            <w:pPr>
              <w:pStyle w:val="naisf"/>
              <w:snapToGrid w:val="0"/>
              <w:spacing w:before="0" w:after="0"/>
              <w:ind w:left="52" w:firstLine="0"/>
              <w:jc w:val="left"/>
              <w:rPr>
                <w:rFonts w:cstheme="minorHAnsi"/>
                <w:sz w:val="20"/>
                <w:lang w:val="lv-LV"/>
              </w:rPr>
            </w:pPr>
            <w:r w:rsidRPr="00675182">
              <w:rPr>
                <w:rFonts w:cstheme="minorHAnsi"/>
                <w:sz w:val="20"/>
                <w:lang w:val="lv-LV"/>
              </w:rPr>
              <w:t xml:space="preserve">A.5. </w:t>
            </w:r>
          </w:p>
        </w:tc>
        <w:tc>
          <w:tcPr>
            <w:tcW w:w="850" w:type="dxa"/>
            <w:tcBorders>
              <w:top w:val="single" w:sz="4" w:space="0" w:color="000000"/>
              <w:left w:val="single" w:sz="4" w:space="0" w:color="000000"/>
              <w:bottom w:val="single" w:sz="4" w:space="0" w:color="000000"/>
              <w:right w:val="nil"/>
            </w:tcBorders>
          </w:tcPr>
          <w:p w14:paraId="22103C29"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A.5.</w:t>
            </w:r>
          </w:p>
        </w:tc>
        <w:tc>
          <w:tcPr>
            <w:tcW w:w="2670" w:type="dxa"/>
            <w:tcBorders>
              <w:top w:val="single" w:sz="4" w:space="0" w:color="000000"/>
              <w:left w:val="single" w:sz="4" w:space="0" w:color="000000"/>
              <w:bottom w:val="single" w:sz="4" w:space="0" w:color="000000"/>
              <w:right w:val="nil"/>
            </w:tcBorders>
          </w:tcPr>
          <w:p w14:paraId="63E0C38A" w14:textId="77777777" w:rsidR="00B1628B" w:rsidRPr="00675182" w:rsidRDefault="00B1628B" w:rsidP="0041526E">
            <w:pPr>
              <w:rPr>
                <w:rFonts w:cstheme="minorHAnsi"/>
                <w:bCs/>
                <w:sz w:val="20"/>
              </w:rPr>
            </w:pPr>
            <w:r w:rsidRPr="00675182">
              <w:rPr>
                <w:rFonts w:cstheme="minorHAnsi"/>
                <w:bCs/>
                <w:sz w:val="20"/>
              </w:rPr>
              <w:t>Mežsaimnieciskās darbības ierobežojumi</w:t>
            </w:r>
          </w:p>
        </w:tc>
        <w:tc>
          <w:tcPr>
            <w:tcW w:w="1699" w:type="dxa"/>
            <w:tcBorders>
              <w:top w:val="single" w:sz="4" w:space="0" w:color="000000"/>
              <w:left w:val="single" w:sz="4" w:space="0" w:color="000000"/>
              <w:bottom w:val="single" w:sz="4" w:space="0" w:color="000000"/>
              <w:right w:val="nil"/>
            </w:tcBorders>
          </w:tcPr>
          <w:p w14:paraId="40BA6C62"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4ADCD0FB"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VARAM, DAP</w:t>
            </w:r>
          </w:p>
        </w:tc>
        <w:tc>
          <w:tcPr>
            <w:tcW w:w="1991" w:type="dxa"/>
            <w:tcBorders>
              <w:top w:val="single" w:sz="4" w:space="0" w:color="000000"/>
              <w:left w:val="single" w:sz="4" w:space="0" w:color="000000"/>
              <w:bottom w:val="single" w:sz="4" w:space="0" w:color="000000"/>
              <w:right w:val="nil"/>
            </w:tcBorders>
          </w:tcPr>
          <w:p w14:paraId="1449FDCF"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Nekustamā īpašuma īpašnieki</w:t>
            </w:r>
          </w:p>
        </w:tc>
        <w:tc>
          <w:tcPr>
            <w:tcW w:w="1577" w:type="dxa"/>
            <w:tcBorders>
              <w:top w:val="single" w:sz="4" w:space="0" w:color="000000"/>
              <w:left w:val="single" w:sz="4" w:space="0" w:color="000000"/>
              <w:bottom w:val="single" w:sz="4" w:space="0" w:color="000000"/>
              <w:right w:val="nil"/>
            </w:tcBorders>
          </w:tcPr>
          <w:p w14:paraId="759AB2C1" w14:textId="77777777" w:rsidR="00B1628B" w:rsidRPr="00675182" w:rsidRDefault="00B1628B" w:rsidP="0041526E">
            <w:pPr>
              <w:autoSpaceDE w:val="0"/>
              <w:snapToGrid w:val="0"/>
              <w:rPr>
                <w:rFonts w:cstheme="minorHAnsi"/>
                <w:sz w:val="20"/>
              </w:rPr>
            </w:pPr>
            <w:r w:rsidRPr="00675182">
              <w:rPr>
                <w:rFonts w:cstheme="minorHAnsi"/>
                <w:sz w:val="20"/>
              </w:rPr>
              <w:t>Administratīvās izmaksas</w:t>
            </w:r>
          </w:p>
        </w:tc>
        <w:tc>
          <w:tcPr>
            <w:tcW w:w="2428" w:type="dxa"/>
            <w:tcBorders>
              <w:top w:val="single" w:sz="4" w:space="0" w:color="000000"/>
              <w:left w:val="single" w:sz="4" w:space="0" w:color="000000"/>
              <w:bottom w:val="single" w:sz="4" w:space="0" w:color="000000"/>
              <w:right w:val="single" w:sz="4" w:space="0" w:color="000000"/>
            </w:tcBorders>
          </w:tcPr>
          <w:p w14:paraId="4AC89E08" w14:textId="739DFA5A"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Apstiprināt</w:t>
            </w:r>
            <w:r w:rsidR="00025BA9">
              <w:rPr>
                <w:rFonts w:cstheme="minorHAnsi"/>
                <w:sz w:val="20"/>
                <w:lang w:val="lv-LV"/>
              </w:rPr>
              <w:t xml:space="preserve">as izmaiņas </w:t>
            </w:r>
            <w:r w:rsidRPr="00675182">
              <w:rPr>
                <w:rFonts w:cstheme="minorHAnsi"/>
                <w:sz w:val="20"/>
                <w:lang w:val="lv-LV"/>
              </w:rPr>
              <w:t>IAIN un GNP likum</w:t>
            </w:r>
            <w:r w:rsidR="00025BA9">
              <w:rPr>
                <w:rFonts w:cstheme="minorHAnsi"/>
                <w:sz w:val="20"/>
                <w:lang w:val="lv-LV"/>
              </w:rPr>
              <w:t>ā</w:t>
            </w:r>
            <w:r w:rsidRPr="00675182">
              <w:rPr>
                <w:rFonts w:cstheme="minorHAnsi"/>
                <w:sz w:val="20"/>
                <w:lang w:val="lv-LV"/>
              </w:rPr>
              <w:t xml:space="preserve">. Tiek ievērotas normatīvo aktu prasības attiecībā uz meža nogabaliem ~ 11944 ha platībā, kas novērtēti kā Biotopu direktīvas I pielikuma </w:t>
            </w:r>
            <w:r w:rsidR="00025BA9">
              <w:rPr>
                <w:rFonts w:cstheme="minorHAnsi"/>
                <w:sz w:val="20"/>
                <w:lang w:val="lv-LV"/>
              </w:rPr>
              <w:t xml:space="preserve">ES nozīmes </w:t>
            </w:r>
            <w:r w:rsidRPr="00675182">
              <w:rPr>
                <w:rFonts w:cstheme="minorHAnsi"/>
                <w:sz w:val="20"/>
                <w:lang w:val="lv-LV"/>
              </w:rPr>
              <w:t xml:space="preserve">biotopi. </w:t>
            </w:r>
          </w:p>
        </w:tc>
      </w:tr>
      <w:tr w:rsidR="00B1628B" w:rsidRPr="00675182" w14:paraId="24103DA5" w14:textId="77777777" w:rsidTr="00E21287">
        <w:tc>
          <w:tcPr>
            <w:tcW w:w="872" w:type="dxa"/>
            <w:tcBorders>
              <w:top w:val="single" w:sz="4" w:space="0" w:color="000000"/>
              <w:left w:val="single" w:sz="4" w:space="0" w:color="000000"/>
              <w:bottom w:val="single" w:sz="4" w:space="0" w:color="000000"/>
              <w:right w:val="nil"/>
            </w:tcBorders>
          </w:tcPr>
          <w:p w14:paraId="3E15B9F4" w14:textId="77777777" w:rsidR="00B1628B" w:rsidRPr="00675182" w:rsidRDefault="00B1628B" w:rsidP="0041526E">
            <w:pPr>
              <w:pStyle w:val="naisf"/>
              <w:snapToGrid w:val="0"/>
              <w:spacing w:before="0" w:after="0"/>
              <w:ind w:left="52" w:firstLine="0"/>
              <w:jc w:val="left"/>
              <w:rPr>
                <w:rFonts w:cstheme="minorHAnsi"/>
                <w:sz w:val="20"/>
                <w:lang w:val="lv-LV"/>
              </w:rPr>
            </w:pPr>
            <w:r w:rsidRPr="00675182">
              <w:rPr>
                <w:rFonts w:cstheme="minorHAnsi"/>
                <w:sz w:val="20"/>
                <w:lang w:val="lv-LV"/>
              </w:rPr>
              <w:t>A.6.</w:t>
            </w:r>
          </w:p>
        </w:tc>
        <w:tc>
          <w:tcPr>
            <w:tcW w:w="850" w:type="dxa"/>
            <w:tcBorders>
              <w:top w:val="single" w:sz="4" w:space="0" w:color="000000"/>
              <w:left w:val="single" w:sz="4" w:space="0" w:color="000000"/>
              <w:bottom w:val="single" w:sz="4" w:space="0" w:color="000000"/>
              <w:right w:val="nil"/>
            </w:tcBorders>
          </w:tcPr>
          <w:p w14:paraId="628B8BD9"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A.6.</w:t>
            </w:r>
          </w:p>
        </w:tc>
        <w:tc>
          <w:tcPr>
            <w:tcW w:w="2670" w:type="dxa"/>
            <w:tcBorders>
              <w:top w:val="single" w:sz="4" w:space="0" w:color="000000"/>
              <w:left w:val="single" w:sz="4" w:space="0" w:color="000000"/>
              <w:bottom w:val="single" w:sz="4" w:space="0" w:color="000000"/>
              <w:right w:val="nil"/>
            </w:tcBorders>
          </w:tcPr>
          <w:p w14:paraId="1E80E53E" w14:textId="242DBA4D" w:rsidR="00B1628B" w:rsidRPr="00675182" w:rsidRDefault="00B1628B" w:rsidP="0041526E">
            <w:pPr>
              <w:rPr>
                <w:rFonts w:cstheme="minorHAnsi"/>
                <w:bCs/>
                <w:sz w:val="20"/>
              </w:rPr>
            </w:pPr>
            <w:r w:rsidRPr="00675182">
              <w:rPr>
                <w:rFonts w:ascii="Calibri" w:hAnsi="Calibri"/>
                <w:sz w:val="20"/>
              </w:rPr>
              <w:t>Veicināt teritorijā bioloģiskās lauksaimniecības attīstību</w:t>
            </w:r>
            <w:r w:rsidR="00F07009" w:rsidRPr="00675182">
              <w:rPr>
                <w:rFonts w:ascii="Calibri" w:hAnsi="Calibri"/>
                <w:sz w:val="20"/>
              </w:rPr>
              <w:t>, veicināt bioloģiski apsaimniekoto platību pieaugumu valsts un pašvaldību īpašumos</w:t>
            </w:r>
          </w:p>
        </w:tc>
        <w:tc>
          <w:tcPr>
            <w:tcW w:w="1699" w:type="dxa"/>
            <w:tcBorders>
              <w:top w:val="single" w:sz="4" w:space="0" w:color="000000"/>
              <w:left w:val="single" w:sz="4" w:space="0" w:color="000000"/>
              <w:bottom w:val="single" w:sz="4" w:space="0" w:color="000000"/>
              <w:right w:val="nil"/>
            </w:tcBorders>
          </w:tcPr>
          <w:p w14:paraId="51E73418" w14:textId="38968EE0"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r w:rsidR="001970F0" w:rsidRPr="00675182">
              <w:rPr>
                <w:rFonts w:cstheme="minorHAnsi"/>
                <w:sz w:val="20"/>
                <w:lang w:val="lv-LV"/>
              </w:rPr>
              <w:t>, 2035</w:t>
            </w:r>
          </w:p>
        </w:tc>
        <w:tc>
          <w:tcPr>
            <w:tcW w:w="2124" w:type="dxa"/>
            <w:tcBorders>
              <w:top w:val="single" w:sz="4" w:space="0" w:color="000000"/>
              <w:left w:val="single" w:sz="4" w:space="0" w:color="000000"/>
              <w:bottom w:val="single" w:sz="4" w:space="0" w:color="000000"/>
              <w:right w:val="nil"/>
            </w:tcBorders>
          </w:tcPr>
          <w:p w14:paraId="2DC65BE1"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projektu finansējums, ELFLA</w:t>
            </w:r>
          </w:p>
        </w:tc>
        <w:tc>
          <w:tcPr>
            <w:tcW w:w="1991" w:type="dxa"/>
            <w:tcBorders>
              <w:top w:val="single" w:sz="4" w:space="0" w:color="000000"/>
              <w:left w:val="single" w:sz="4" w:space="0" w:color="000000"/>
              <w:bottom w:val="single" w:sz="4" w:space="0" w:color="000000"/>
              <w:right w:val="nil"/>
            </w:tcBorders>
          </w:tcPr>
          <w:p w14:paraId="2DBF9471"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NVO, pašvaldības, DAP, ZM, VARAM</w:t>
            </w:r>
          </w:p>
        </w:tc>
        <w:tc>
          <w:tcPr>
            <w:tcW w:w="1577" w:type="dxa"/>
            <w:tcBorders>
              <w:top w:val="single" w:sz="4" w:space="0" w:color="000000"/>
              <w:left w:val="single" w:sz="4" w:space="0" w:color="000000"/>
              <w:bottom w:val="single" w:sz="4" w:space="0" w:color="000000"/>
              <w:right w:val="nil"/>
            </w:tcBorders>
          </w:tcPr>
          <w:p w14:paraId="29AE7464" w14:textId="77777777" w:rsidR="00B1628B" w:rsidRPr="00675182" w:rsidRDefault="00B1628B" w:rsidP="0041526E">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24B3E2CB" w14:textId="5091C810"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30% no atbalsttiesīgajām LIZ veido bioloģiski apsaimniekotās platības</w:t>
            </w:r>
            <w:r w:rsidR="00F07009" w:rsidRPr="00675182">
              <w:rPr>
                <w:rFonts w:cstheme="minorHAnsi"/>
                <w:sz w:val="20"/>
                <w:lang w:val="lv-LV"/>
              </w:rPr>
              <w:t>; valsts un pašvaldību īpašumos lielākā daļa apsaimniekoto platību tiek apsaimniekotas bioloģiski.</w:t>
            </w:r>
          </w:p>
        </w:tc>
      </w:tr>
      <w:tr w:rsidR="00B1628B" w:rsidRPr="00675182" w14:paraId="4F496194" w14:textId="77777777" w:rsidTr="00E21287">
        <w:tc>
          <w:tcPr>
            <w:tcW w:w="872" w:type="dxa"/>
            <w:tcBorders>
              <w:top w:val="single" w:sz="4" w:space="0" w:color="000000"/>
              <w:left w:val="single" w:sz="4" w:space="0" w:color="000000"/>
              <w:bottom w:val="single" w:sz="4" w:space="0" w:color="000000"/>
              <w:right w:val="nil"/>
            </w:tcBorders>
          </w:tcPr>
          <w:p w14:paraId="1E19A9C0" w14:textId="77777777" w:rsidR="00B1628B" w:rsidRPr="00675182" w:rsidRDefault="00B1628B" w:rsidP="0041526E">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A.7.</w:t>
            </w:r>
          </w:p>
        </w:tc>
        <w:tc>
          <w:tcPr>
            <w:tcW w:w="850" w:type="dxa"/>
            <w:tcBorders>
              <w:top w:val="single" w:sz="4" w:space="0" w:color="000000"/>
              <w:left w:val="single" w:sz="4" w:space="0" w:color="000000"/>
              <w:bottom w:val="single" w:sz="4" w:space="0" w:color="000000"/>
              <w:right w:val="nil"/>
            </w:tcBorders>
          </w:tcPr>
          <w:p w14:paraId="5991F72D"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A.7.</w:t>
            </w:r>
          </w:p>
          <w:p w14:paraId="4FC45DAD"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3B4A9801" w14:textId="77777777" w:rsidR="00B1628B" w:rsidRPr="00675182" w:rsidRDefault="00B1628B" w:rsidP="0041526E">
            <w:pPr>
              <w:rPr>
                <w:rFonts w:cstheme="minorHAnsi"/>
                <w:bCs/>
                <w:sz w:val="20"/>
              </w:rPr>
            </w:pPr>
            <w:r w:rsidRPr="00675182">
              <w:rPr>
                <w:rFonts w:ascii="Calibri" w:hAnsi="Calibri"/>
                <w:sz w:val="20"/>
              </w:rPr>
              <w:t>Ainavu pārvaldības īstenošana</w:t>
            </w:r>
          </w:p>
        </w:tc>
        <w:tc>
          <w:tcPr>
            <w:tcW w:w="1699" w:type="dxa"/>
            <w:tcBorders>
              <w:top w:val="single" w:sz="4" w:space="0" w:color="000000"/>
              <w:left w:val="single" w:sz="4" w:space="0" w:color="000000"/>
              <w:bottom w:val="single" w:sz="4" w:space="0" w:color="000000"/>
              <w:right w:val="nil"/>
            </w:tcBorders>
          </w:tcPr>
          <w:p w14:paraId="37B63641"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644C37EC"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VARAM, pašvaldības, DAP</w:t>
            </w:r>
          </w:p>
        </w:tc>
        <w:tc>
          <w:tcPr>
            <w:tcW w:w="1991" w:type="dxa"/>
            <w:tcBorders>
              <w:top w:val="single" w:sz="4" w:space="0" w:color="000000"/>
              <w:left w:val="single" w:sz="4" w:space="0" w:color="000000"/>
              <w:bottom w:val="single" w:sz="4" w:space="0" w:color="000000"/>
              <w:right w:val="nil"/>
            </w:tcBorders>
          </w:tcPr>
          <w:p w14:paraId="5B0A508B"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VARAM, pašvaldības, DAP</w:t>
            </w:r>
          </w:p>
        </w:tc>
        <w:tc>
          <w:tcPr>
            <w:tcW w:w="1577" w:type="dxa"/>
            <w:tcBorders>
              <w:top w:val="single" w:sz="4" w:space="0" w:color="000000"/>
              <w:left w:val="single" w:sz="4" w:space="0" w:color="000000"/>
              <w:bottom w:val="single" w:sz="4" w:space="0" w:color="000000"/>
              <w:right w:val="nil"/>
            </w:tcBorders>
          </w:tcPr>
          <w:p w14:paraId="35C0CF58" w14:textId="77777777" w:rsidR="00B1628B" w:rsidRPr="00675182" w:rsidRDefault="00B1628B" w:rsidP="0041526E">
            <w:pPr>
              <w:autoSpaceDE w:val="0"/>
              <w:snapToGrid w:val="0"/>
              <w:rPr>
                <w:rFonts w:cstheme="minorHAnsi"/>
                <w:sz w:val="20"/>
              </w:rPr>
            </w:pPr>
            <w:r w:rsidRPr="00675182">
              <w:rPr>
                <w:rFonts w:cstheme="minorHAnsi"/>
                <w:sz w:val="20"/>
              </w:rPr>
              <w:t>Administratīvās izmaksas</w:t>
            </w:r>
          </w:p>
        </w:tc>
        <w:tc>
          <w:tcPr>
            <w:tcW w:w="2428" w:type="dxa"/>
            <w:tcBorders>
              <w:top w:val="single" w:sz="4" w:space="0" w:color="000000"/>
              <w:left w:val="single" w:sz="4" w:space="0" w:color="000000"/>
              <w:bottom w:val="single" w:sz="4" w:space="0" w:color="000000"/>
              <w:right w:val="single" w:sz="4" w:space="0" w:color="000000"/>
            </w:tcBorders>
          </w:tcPr>
          <w:p w14:paraId="7BCFAC3D" w14:textId="6618E5F6" w:rsidR="00427823" w:rsidRPr="00675182" w:rsidRDefault="00025BA9" w:rsidP="0041526E">
            <w:pPr>
              <w:pStyle w:val="naisf"/>
              <w:snapToGrid w:val="0"/>
              <w:spacing w:before="0" w:after="0"/>
              <w:ind w:firstLine="0"/>
              <w:jc w:val="left"/>
              <w:rPr>
                <w:rFonts w:cstheme="minorHAnsi"/>
                <w:sz w:val="20"/>
                <w:lang w:val="lv-LV"/>
              </w:rPr>
            </w:pPr>
            <w:r w:rsidRPr="00675182">
              <w:rPr>
                <w:rFonts w:cstheme="minorHAnsi"/>
                <w:sz w:val="20"/>
                <w:lang w:val="lv-LV"/>
              </w:rPr>
              <w:t>Pieņemt</w:t>
            </w:r>
            <w:r>
              <w:rPr>
                <w:rFonts w:cstheme="minorHAnsi"/>
                <w:sz w:val="20"/>
                <w:lang w:val="lv-LV"/>
              </w:rPr>
              <w:t>as izmaiņas</w:t>
            </w:r>
            <w:r w:rsidRPr="00675182">
              <w:rPr>
                <w:rFonts w:cstheme="minorHAnsi"/>
                <w:sz w:val="20"/>
                <w:lang w:val="lv-LV"/>
              </w:rPr>
              <w:t xml:space="preserve"> </w:t>
            </w:r>
            <w:r w:rsidR="00427823" w:rsidRPr="00675182">
              <w:rPr>
                <w:rFonts w:cstheme="minorHAnsi"/>
                <w:sz w:val="20"/>
                <w:lang w:val="lv-LV"/>
              </w:rPr>
              <w:t xml:space="preserve">GNP IAIN, </w:t>
            </w:r>
            <w:r>
              <w:rPr>
                <w:rFonts w:cstheme="minorHAnsi"/>
                <w:sz w:val="20"/>
                <w:lang w:val="lv-LV"/>
              </w:rPr>
              <w:t>paredzot</w:t>
            </w:r>
            <w:r w:rsidR="00427823" w:rsidRPr="00675182">
              <w:rPr>
                <w:rFonts w:cstheme="minorHAnsi"/>
                <w:sz w:val="20"/>
                <w:lang w:val="lv-LV"/>
              </w:rPr>
              <w:t xml:space="preserve"> ainavu aizsardzību.</w:t>
            </w:r>
          </w:p>
          <w:p w14:paraId="40DF3D8F" w14:textId="1CE0EC23"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Izstrādāti un tiek īstenoti vismaz 5 ainavu tematiskie plānojumi lokālām ainavu telpām.</w:t>
            </w:r>
          </w:p>
        </w:tc>
      </w:tr>
      <w:tr w:rsidR="00C11107" w:rsidRPr="00675182" w14:paraId="37AC4B61" w14:textId="77777777" w:rsidTr="00E21287">
        <w:tc>
          <w:tcPr>
            <w:tcW w:w="872" w:type="dxa"/>
            <w:tcBorders>
              <w:top w:val="single" w:sz="4" w:space="0" w:color="000000"/>
              <w:left w:val="single" w:sz="4" w:space="0" w:color="000000"/>
              <w:bottom w:val="single" w:sz="4" w:space="0" w:color="000000"/>
              <w:right w:val="nil"/>
            </w:tcBorders>
          </w:tcPr>
          <w:p w14:paraId="4D31414F" w14:textId="77777777" w:rsidR="00C11107" w:rsidRPr="00675182" w:rsidRDefault="00C11107" w:rsidP="00C11107">
            <w:pPr>
              <w:pStyle w:val="naisf"/>
              <w:snapToGrid w:val="0"/>
              <w:spacing w:before="0" w:after="0"/>
              <w:ind w:left="52" w:firstLine="0"/>
              <w:jc w:val="left"/>
              <w:rPr>
                <w:rFonts w:cstheme="minorHAnsi"/>
                <w:sz w:val="20"/>
                <w:lang w:val="lv-LV"/>
              </w:rPr>
            </w:pPr>
            <w:r w:rsidRPr="00675182">
              <w:rPr>
                <w:rFonts w:cstheme="minorHAnsi"/>
                <w:sz w:val="20"/>
                <w:lang w:val="lv-LV"/>
              </w:rPr>
              <w:t xml:space="preserve">A.8. </w:t>
            </w:r>
          </w:p>
        </w:tc>
        <w:tc>
          <w:tcPr>
            <w:tcW w:w="850" w:type="dxa"/>
            <w:tcBorders>
              <w:top w:val="single" w:sz="4" w:space="0" w:color="000000"/>
              <w:left w:val="single" w:sz="4" w:space="0" w:color="000000"/>
              <w:bottom w:val="single" w:sz="4" w:space="0" w:color="000000"/>
              <w:right w:val="nil"/>
            </w:tcBorders>
          </w:tcPr>
          <w:p w14:paraId="75A345AB"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A.8.</w:t>
            </w:r>
          </w:p>
          <w:p w14:paraId="13B4A663" w14:textId="77777777" w:rsidR="00C11107" w:rsidRPr="00675182" w:rsidRDefault="00C11107" w:rsidP="00C11107">
            <w:pPr>
              <w:pStyle w:val="naisf"/>
              <w:snapToGrid w:val="0"/>
              <w:spacing w:before="0" w:after="0"/>
              <w:ind w:firstLine="0"/>
              <w:jc w:val="left"/>
              <w:rPr>
                <w:rFonts w:cstheme="minorHAnsi"/>
                <w:sz w:val="20"/>
                <w:lang w:val="lv-LV"/>
              </w:rPr>
            </w:pPr>
          </w:p>
        </w:tc>
        <w:tc>
          <w:tcPr>
            <w:tcW w:w="2670" w:type="dxa"/>
            <w:tcBorders>
              <w:top w:val="single" w:sz="8" w:space="0" w:color="000000"/>
              <w:left w:val="single" w:sz="8" w:space="0" w:color="000000"/>
              <w:bottom w:val="single" w:sz="8" w:space="0" w:color="000000"/>
              <w:right w:val="nil"/>
            </w:tcBorders>
            <w:shd w:val="clear" w:color="auto" w:fill="FFFFFF"/>
          </w:tcPr>
          <w:p w14:paraId="145FE1C9" w14:textId="60C313E3" w:rsidR="00C11107" w:rsidRPr="00675182" w:rsidRDefault="00C11107" w:rsidP="00C11107">
            <w:pPr>
              <w:rPr>
                <w:rFonts w:cstheme="minorHAnsi"/>
                <w:sz w:val="20"/>
              </w:rPr>
            </w:pPr>
            <w:r w:rsidRPr="00675182">
              <w:rPr>
                <w:rFonts w:cstheme="minorHAnsi"/>
                <w:sz w:val="20"/>
              </w:rPr>
              <w:t>GNP vienota tūrisma galamērķa pārvaldība, iesaistīto pušu koordinēšana tūrisma klastera ietvaros</w:t>
            </w:r>
          </w:p>
        </w:tc>
        <w:tc>
          <w:tcPr>
            <w:tcW w:w="1699" w:type="dxa"/>
            <w:tcBorders>
              <w:top w:val="single" w:sz="8" w:space="0" w:color="000000"/>
              <w:left w:val="single" w:sz="8" w:space="0" w:color="000000"/>
              <w:bottom w:val="single" w:sz="8" w:space="0" w:color="000000"/>
              <w:right w:val="nil"/>
            </w:tcBorders>
            <w:shd w:val="clear" w:color="auto" w:fill="FFFFFF"/>
          </w:tcPr>
          <w:p w14:paraId="3D6589E0" w14:textId="1DB0F713"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8" w:space="0" w:color="000000"/>
              <w:left w:val="single" w:sz="8" w:space="0" w:color="000000"/>
              <w:bottom w:val="single" w:sz="8" w:space="0" w:color="000000"/>
              <w:right w:val="nil"/>
            </w:tcBorders>
            <w:shd w:val="clear" w:color="auto" w:fill="FFFFFF"/>
          </w:tcPr>
          <w:p w14:paraId="7B673681" w14:textId="0259B1ED"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Pašvaldības, DAP, privātpersonas</w:t>
            </w:r>
          </w:p>
        </w:tc>
        <w:tc>
          <w:tcPr>
            <w:tcW w:w="1991" w:type="dxa"/>
            <w:tcBorders>
              <w:top w:val="single" w:sz="8" w:space="0" w:color="000000"/>
              <w:left w:val="single" w:sz="8" w:space="0" w:color="000000"/>
              <w:bottom w:val="single" w:sz="8" w:space="0" w:color="000000"/>
              <w:right w:val="nil"/>
            </w:tcBorders>
            <w:shd w:val="clear" w:color="auto" w:fill="FFFFFF"/>
          </w:tcPr>
          <w:p w14:paraId="41A2F4CA" w14:textId="41CA5A02"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Pašvaldības, DAP, privātpersonas</w:t>
            </w:r>
          </w:p>
        </w:tc>
        <w:tc>
          <w:tcPr>
            <w:tcW w:w="1577" w:type="dxa"/>
            <w:tcBorders>
              <w:top w:val="single" w:sz="8" w:space="0" w:color="000000"/>
              <w:left w:val="single" w:sz="8" w:space="0" w:color="000000"/>
              <w:bottom w:val="single" w:sz="8" w:space="0" w:color="000000"/>
              <w:right w:val="nil"/>
            </w:tcBorders>
            <w:shd w:val="clear" w:color="auto" w:fill="FFFFFF"/>
          </w:tcPr>
          <w:p w14:paraId="2395C206" w14:textId="5FCE6E59" w:rsidR="00C11107" w:rsidRPr="00675182" w:rsidRDefault="00C11107" w:rsidP="00C11107">
            <w:pPr>
              <w:autoSpaceDE w:val="0"/>
              <w:snapToGrid w:val="0"/>
              <w:rPr>
                <w:rFonts w:cstheme="minorHAnsi"/>
                <w:sz w:val="20"/>
              </w:rPr>
            </w:pPr>
            <w:r w:rsidRPr="00675182">
              <w:rPr>
                <w:rFonts w:cstheme="minorHAnsi"/>
                <w:sz w:val="20"/>
              </w:rPr>
              <w:t>Klastera biroja darbība minimāli izmaksā divu pilnu darba slodžu atalgojumu kvalificētam tūrisma speciālistam</w:t>
            </w:r>
          </w:p>
        </w:tc>
        <w:tc>
          <w:tcPr>
            <w:tcW w:w="2428" w:type="dxa"/>
            <w:tcBorders>
              <w:top w:val="single" w:sz="8" w:space="0" w:color="000000"/>
              <w:left w:val="single" w:sz="8" w:space="0" w:color="000000"/>
              <w:bottom w:val="single" w:sz="8" w:space="0" w:color="000000"/>
              <w:right w:val="single" w:sz="8" w:space="0" w:color="000000"/>
            </w:tcBorders>
            <w:shd w:val="clear" w:color="auto" w:fill="FFFFFF"/>
          </w:tcPr>
          <w:p w14:paraId="43413573" w14:textId="08D059DC"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Tiek nodrošināta regulāra klastera biroja darbība ar vismaz diviem darbiniekiem. Klastera vadības grupa sanāk vismaz sešas reizes gadā.</w:t>
            </w:r>
          </w:p>
        </w:tc>
      </w:tr>
      <w:tr w:rsidR="00B1628B" w:rsidRPr="00675182" w14:paraId="17EB0FA9" w14:textId="77777777" w:rsidTr="00E21287">
        <w:tc>
          <w:tcPr>
            <w:tcW w:w="872" w:type="dxa"/>
            <w:tcBorders>
              <w:top w:val="single" w:sz="4" w:space="0" w:color="000000"/>
              <w:left w:val="single" w:sz="4" w:space="0" w:color="000000"/>
              <w:bottom w:val="single" w:sz="4" w:space="0" w:color="000000"/>
              <w:right w:val="nil"/>
            </w:tcBorders>
          </w:tcPr>
          <w:p w14:paraId="67D49078" w14:textId="77777777" w:rsidR="00B1628B" w:rsidRPr="00675182" w:rsidRDefault="00B1628B" w:rsidP="0041526E">
            <w:pPr>
              <w:pStyle w:val="naisf"/>
              <w:snapToGrid w:val="0"/>
              <w:spacing w:before="0" w:after="0"/>
              <w:ind w:left="52" w:firstLine="0"/>
              <w:jc w:val="left"/>
              <w:rPr>
                <w:rFonts w:cstheme="minorHAnsi"/>
                <w:sz w:val="20"/>
                <w:lang w:val="lv-LV"/>
              </w:rPr>
            </w:pPr>
            <w:r w:rsidRPr="00675182">
              <w:rPr>
                <w:rFonts w:cstheme="minorHAnsi"/>
                <w:sz w:val="20"/>
                <w:lang w:val="lv-LV"/>
              </w:rPr>
              <w:t>A.9.</w:t>
            </w:r>
          </w:p>
        </w:tc>
        <w:tc>
          <w:tcPr>
            <w:tcW w:w="850" w:type="dxa"/>
            <w:tcBorders>
              <w:top w:val="single" w:sz="4" w:space="0" w:color="000000"/>
              <w:left w:val="single" w:sz="4" w:space="0" w:color="000000"/>
              <w:bottom w:val="single" w:sz="4" w:space="0" w:color="000000"/>
              <w:right w:val="nil"/>
            </w:tcBorders>
          </w:tcPr>
          <w:p w14:paraId="60B72954"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A.4.</w:t>
            </w:r>
          </w:p>
          <w:p w14:paraId="6DB95E45"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F.1.</w:t>
            </w:r>
          </w:p>
          <w:p w14:paraId="7B626656"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F.6.</w:t>
            </w:r>
          </w:p>
        </w:tc>
        <w:tc>
          <w:tcPr>
            <w:tcW w:w="2670" w:type="dxa"/>
            <w:tcBorders>
              <w:top w:val="single" w:sz="4" w:space="0" w:color="000000"/>
              <w:left w:val="single" w:sz="4" w:space="0" w:color="000000"/>
              <w:bottom w:val="single" w:sz="4" w:space="0" w:color="000000"/>
              <w:right w:val="nil"/>
            </w:tcBorders>
          </w:tcPr>
          <w:p w14:paraId="08FCF964" w14:textId="77777777" w:rsidR="00B1628B" w:rsidRPr="00675182" w:rsidRDefault="00B1628B" w:rsidP="0041526E">
            <w:pPr>
              <w:rPr>
                <w:rFonts w:ascii="Calibri" w:hAnsi="Calibri"/>
                <w:sz w:val="20"/>
              </w:rPr>
            </w:pPr>
            <w:r w:rsidRPr="00675182">
              <w:rPr>
                <w:rFonts w:ascii="Calibri" w:hAnsi="Calibri"/>
                <w:sz w:val="20"/>
              </w:rPr>
              <w:t>Rekultivācijas plāna sagatavošana kūdras ieguves teritorijai Unguru purvā</w:t>
            </w:r>
          </w:p>
        </w:tc>
        <w:tc>
          <w:tcPr>
            <w:tcW w:w="1699" w:type="dxa"/>
            <w:tcBorders>
              <w:top w:val="single" w:sz="4" w:space="0" w:color="000000"/>
              <w:left w:val="single" w:sz="4" w:space="0" w:color="000000"/>
              <w:bottom w:val="single" w:sz="4" w:space="0" w:color="000000"/>
              <w:right w:val="nil"/>
            </w:tcBorders>
          </w:tcPr>
          <w:p w14:paraId="6BF82673" w14:textId="70BB58DB"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 xml:space="preserve">II, </w:t>
            </w:r>
            <w:r w:rsidR="00CC7B1F" w:rsidRPr="00675182">
              <w:rPr>
                <w:rFonts w:cstheme="minorHAnsi"/>
                <w:sz w:val="20"/>
                <w:lang w:val="lv-LV"/>
              </w:rPr>
              <w:t>visā plāna darbības periodā</w:t>
            </w:r>
          </w:p>
        </w:tc>
        <w:tc>
          <w:tcPr>
            <w:tcW w:w="2124" w:type="dxa"/>
            <w:tcBorders>
              <w:top w:val="single" w:sz="4" w:space="0" w:color="000000"/>
              <w:left w:val="single" w:sz="4" w:space="0" w:color="000000"/>
              <w:bottom w:val="single" w:sz="4" w:space="0" w:color="000000"/>
              <w:right w:val="nil"/>
            </w:tcBorders>
          </w:tcPr>
          <w:p w14:paraId="29E801AA"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Teritorijas apsaimniekotājs</w:t>
            </w:r>
          </w:p>
        </w:tc>
        <w:tc>
          <w:tcPr>
            <w:tcW w:w="1991" w:type="dxa"/>
            <w:tcBorders>
              <w:top w:val="single" w:sz="4" w:space="0" w:color="000000"/>
              <w:left w:val="single" w:sz="4" w:space="0" w:color="000000"/>
              <w:bottom w:val="single" w:sz="4" w:space="0" w:color="000000"/>
              <w:right w:val="nil"/>
            </w:tcBorders>
          </w:tcPr>
          <w:p w14:paraId="4494A236" w14:textId="77777777" w:rsidR="00B1628B" w:rsidRPr="00675182" w:rsidRDefault="00B1628B" w:rsidP="0041526E">
            <w:pPr>
              <w:pStyle w:val="naisf"/>
              <w:snapToGrid w:val="0"/>
              <w:spacing w:before="0" w:after="0"/>
              <w:ind w:firstLine="0"/>
              <w:jc w:val="left"/>
              <w:rPr>
                <w:rFonts w:cstheme="minorHAnsi"/>
                <w:sz w:val="20"/>
                <w:lang w:val="lv-LV"/>
              </w:rPr>
            </w:pPr>
            <w:r w:rsidRPr="00675182">
              <w:rPr>
                <w:rFonts w:cstheme="minorHAnsi"/>
                <w:sz w:val="20"/>
                <w:lang w:val="lv-LV"/>
              </w:rPr>
              <w:t>Teritorijas apsaimniekotājs</w:t>
            </w:r>
          </w:p>
        </w:tc>
        <w:tc>
          <w:tcPr>
            <w:tcW w:w="1577" w:type="dxa"/>
            <w:tcBorders>
              <w:top w:val="single" w:sz="4" w:space="0" w:color="000000"/>
              <w:left w:val="single" w:sz="4" w:space="0" w:color="000000"/>
              <w:bottom w:val="single" w:sz="4" w:space="0" w:color="000000"/>
              <w:right w:val="nil"/>
            </w:tcBorders>
          </w:tcPr>
          <w:p w14:paraId="151FC816" w14:textId="77777777" w:rsidR="00B1628B" w:rsidRPr="00675182" w:rsidRDefault="00B1628B" w:rsidP="0041526E">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7F4BBEFE" w14:textId="77777777" w:rsidR="00B1628B" w:rsidRPr="00675182" w:rsidRDefault="00B1628B" w:rsidP="0041526E">
            <w:pPr>
              <w:pStyle w:val="naisf"/>
              <w:snapToGrid w:val="0"/>
              <w:spacing w:before="0" w:after="0"/>
              <w:ind w:firstLine="0"/>
              <w:jc w:val="left"/>
              <w:rPr>
                <w:rFonts w:cstheme="minorHAnsi"/>
                <w:sz w:val="20"/>
                <w:highlight w:val="lightGray"/>
                <w:lang w:val="lv-LV"/>
              </w:rPr>
            </w:pPr>
            <w:r w:rsidRPr="00675182">
              <w:rPr>
                <w:rFonts w:cstheme="minorHAnsi"/>
                <w:sz w:val="20"/>
                <w:lang w:val="lv-LV"/>
              </w:rPr>
              <w:t>Sagatavots un ar DAP saskaņots rekultivācijas plāns kūdras ieguves teritorijai Unguru purvā</w:t>
            </w:r>
          </w:p>
        </w:tc>
      </w:tr>
      <w:tr w:rsidR="00864E55" w:rsidRPr="00675182" w14:paraId="5B9CB7AE" w14:textId="77777777" w:rsidTr="00E21287">
        <w:tc>
          <w:tcPr>
            <w:tcW w:w="872" w:type="dxa"/>
            <w:tcBorders>
              <w:top w:val="single" w:sz="4" w:space="0" w:color="000000"/>
              <w:left w:val="single" w:sz="4" w:space="0" w:color="000000"/>
              <w:bottom w:val="single" w:sz="4" w:space="0" w:color="000000"/>
              <w:right w:val="nil"/>
            </w:tcBorders>
          </w:tcPr>
          <w:p w14:paraId="1BA70BD3" w14:textId="584FABA6"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A.10.</w:t>
            </w:r>
          </w:p>
        </w:tc>
        <w:tc>
          <w:tcPr>
            <w:tcW w:w="850" w:type="dxa"/>
            <w:tcBorders>
              <w:top w:val="single" w:sz="4" w:space="0" w:color="000000"/>
              <w:left w:val="single" w:sz="4" w:space="0" w:color="000000"/>
              <w:bottom w:val="single" w:sz="4" w:space="0" w:color="000000"/>
              <w:right w:val="nil"/>
            </w:tcBorders>
          </w:tcPr>
          <w:p w14:paraId="727D515A" w14:textId="0378ED61"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B.7.</w:t>
            </w:r>
          </w:p>
        </w:tc>
        <w:tc>
          <w:tcPr>
            <w:tcW w:w="2670" w:type="dxa"/>
            <w:tcBorders>
              <w:top w:val="single" w:sz="4" w:space="0" w:color="000000"/>
              <w:left w:val="single" w:sz="4" w:space="0" w:color="000000"/>
              <w:bottom w:val="single" w:sz="4" w:space="0" w:color="000000"/>
              <w:right w:val="nil"/>
            </w:tcBorders>
          </w:tcPr>
          <w:p w14:paraId="4CA6D046" w14:textId="1844BBAC" w:rsidR="00864E55" w:rsidRPr="00675182" w:rsidRDefault="00C65EFC" w:rsidP="00864E55">
            <w:pPr>
              <w:rPr>
                <w:rFonts w:ascii="Calibri" w:hAnsi="Calibri"/>
                <w:sz w:val="20"/>
              </w:rPr>
            </w:pPr>
            <w:r w:rsidRPr="00675182">
              <w:rPr>
                <w:rFonts w:ascii="Calibri" w:hAnsi="Calibri"/>
                <w:sz w:val="20"/>
              </w:rPr>
              <w:t>Izmaiņas citos normatīvajos aktos</w:t>
            </w:r>
          </w:p>
        </w:tc>
        <w:tc>
          <w:tcPr>
            <w:tcW w:w="1699" w:type="dxa"/>
            <w:tcBorders>
              <w:top w:val="single" w:sz="4" w:space="0" w:color="000000"/>
              <w:left w:val="single" w:sz="4" w:space="0" w:color="000000"/>
              <w:bottom w:val="single" w:sz="4" w:space="0" w:color="000000"/>
              <w:right w:val="nil"/>
            </w:tcBorders>
          </w:tcPr>
          <w:p w14:paraId="3690DA88" w14:textId="51E60A6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2025</w:t>
            </w:r>
          </w:p>
        </w:tc>
        <w:tc>
          <w:tcPr>
            <w:tcW w:w="2124" w:type="dxa"/>
            <w:tcBorders>
              <w:top w:val="single" w:sz="4" w:space="0" w:color="000000"/>
              <w:left w:val="single" w:sz="4" w:space="0" w:color="000000"/>
              <w:bottom w:val="single" w:sz="4" w:space="0" w:color="000000"/>
              <w:right w:val="nil"/>
            </w:tcBorders>
          </w:tcPr>
          <w:p w14:paraId="6E1C69B9" w14:textId="48DC0E4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VARAM, Zemkopības ministrija</w:t>
            </w:r>
            <w:r w:rsidR="00925992" w:rsidRPr="00675182">
              <w:rPr>
                <w:rFonts w:cstheme="minorHAnsi"/>
                <w:sz w:val="20"/>
                <w:lang w:val="lv-LV"/>
              </w:rPr>
              <w:t>, Ekonomikas ministrija</w:t>
            </w:r>
          </w:p>
        </w:tc>
        <w:tc>
          <w:tcPr>
            <w:tcW w:w="1991" w:type="dxa"/>
            <w:tcBorders>
              <w:top w:val="single" w:sz="4" w:space="0" w:color="000000"/>
              <w:left w:val="single" w:sz="4" w:space="0" w:color="000000"/>
              <w:bottom w:val="single" w:sz="4" w:space="0" w:color="000000"/>
              <w:right w:val="nil"/>
            </w:tcBorders>
          </w:tcPr>
          <w:p w14:paraId="5310C1A3" w14:textId="5644467A"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VARAM, Zemkopības ministrija</w:t>
            </w:r>
            <w:r w:rsidR="00925992" w:rsidRPr="00675182">
              <w:rPr>
                <w:rFonts w:cstheme="minorHAnsi"/>
                <w:sz w:val="20"/>
                <w:lang w:val="lv-LV"/>
              </w:rPr>
              <w:t>, Ekonomijas ministrija</w:t>
            </w:r>
          </w:p>
        </w:tc>
        <w:tc>
          <w:tcPr>
            <w:tcW w:w="1577" w:type="dxa"/>
            <w:tcBorders>
              <w:top w:val="single" w:sz="4" w:space="0" w:color="000000"/>
              <w:left w:val="single" w:sz="4" w:space="0" w:color="000000"/>
              <w:bottom w:val="single" w:sz="4" w:space="0" w:color="000000"/>
              <w:right w:val="nil"/>
            </w:tcBorders>
          </w:tcPr>
          <w:p w14:paraId="44E1658D" w14:textId="2BB4B900" w:rsidR="00864E55" w:rsidRPr="00675182" w:rsidRDefault="00864E55" w:rsidP="00864E55">
            <w:pPr>
              <w:autoSpaceDE w:val="0"/>
              <w:snapToGrid w:val="0"/>
              <w:rPr>
                <w:rFonts w:cstheme="minorHAnsi"/>
                <w:sz w:val="20"/>
              </w:rPr>
            </w:pPr>
            <w:r w:rsidRPr="00675182">
              <w:rPr>
                <w:rFonts w:cstheme="minorHAnsi"/>
                <w:sz w:val="20"/>
              </w:rPr>
              <w:t>Administratīvās izmaksas</w:t>
            </w:r>
          </w:p>
        </w:tc>
        <w:tc>
          <w:tcPr>
            <w:tcW w:w="2428" w:type="dxa"/>
            <w:tcBorders>
              <w:top w:val="single" w:sz="4" w:space="0" w:color="000000"/>
              <w:left w:val="single" w:sz="4" w:space="0" w:color="000000"/>
              <w:bottom w:val="single" w:sz="4" w:space="0" w:color="000000"/>
              <w:right w:val="single" w:sz="4" w:space="0" w:color="000000"/>
            </w:tcBorders>
          </w:tcPr>
          <w:p w14:paraId="7412EB68" w14:textId="7EEAD34C" w:rsidR="00925992" w:rsidRPr="00675182" w:rsidRDefault="00925992"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Veikti grozījumi normatīvajos aktos, </w:t>
            </w:r>
            <w:r w:rsidR="00025BA9">
              <w:rPr>
                <w:rFonts w:cstheme="minorHAnsi"/>
                <w:sz w:val="20"/>
                <w:lang w:val="lv-LV"/>
              </w:rPr>
              <w:t xml:space="preserve">lai </w:t>
            </w:r>
            <w:r w:rsidRPr="00675182">
              <w:rPr>
                <w:rFonts w:cstheme="minorHAnsi"/>
                <w:sz w:val="20"/>
                <w:lang w:val="lv-LV"/>
              </w:rPr>
              <w:t>nodrošinātu iespēju izmantot zemes maiņu kā vienu no kompensāciju veidiem</w:t>
            </w:r>
          </w:p>
          <w:p w14:paraId="1EC4DF0F" w14:textId="77777777" w:rsidR="00925992" w:rsidRPr="00675182" w:rsidRDefault="00925992" w:rsidP="00864E55">
            <w:pPr>
              <w:pStyle w:val="naisf"/>
              <w:snapToGrid w:val="0"/>
              <w:spacing w:before="0" w:after="0"/>
              <w:ind w:firstLine="0"/>
              <w:jc w:val="left"/>
              <w:rPr>
                <w:rFonts w:cstheme="minorHAnsi"/>
                <w:sz w:val="20"/>
                <w:lang w:val="lv-LV"/>
              </w:rPr>
            </w:pPr>
          </w:p>
          <w:p w14:paraId="1601BC2D" w14:textId="14DDDF1C"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Normatīvie akti par invazīvo sugu apkarošanu papildināti ar izplatītākajām sugām; visi </w:t>
            </w:r>
            <w:r w:rsidRPr="00675182">
              <w:rPr>
                <w:rFonts w:cstheme="minorHAnsi"/>
                <w:sz w:val="20"/>
                <w:lang w:val="lv-LV"/>
              </w:rPr>
              <w:lastRenderedPageBreak/>
              <w:t>zemes tiesiskie valdītāji veic apkarošanas pasākumus</w:t>
            </w:r>
          </w:p>
        </w:tc>
      </w:tr>
      <w:tr w:rsidR="00864E55" w:rsidRPr="00675182" w14:paraId="20FFA09D" w14:textId="77777777" w:rsidTr="0041526E">
        <w:tc>
          <w:tcPr>
            <w:tcW w:w="14211" w:type="dxa"/>
            <w:gridSpan w:val="8"/>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14:paraId="2FC483C3" w14:textId="77777777" w:rsidR="00864E55" w:rsidRPr="00675182" w:rsidRDefault="00864E55" w:rsidP="00864E55">
            <w:pPr>
              <w:pStyle w:val="naisf"/>
              <w:snapToGrid w:val="0"/>
              <w:spacing w:before="0" w:after="0" w:line="256" w:lineRule="auto"/>
              <w:ind w:firstLine="0"/>
              <w:jc w:val="center"/>
              <w:rPr>
                <w:rFonts w:cstheme="minorHAnsi"/>
                <w:b/>
                <w:bCs/>
                <w:sz w:val="20"/>
                <w:lang w:val="lv-LV"/>
              </w:rPr>
            </w:pPr>
            <w:r w:rsidRPr="00675182">
              <w:rPr>
                <w:rFonts w:cstheme="minorHAnsi"/>
                <w:b/>
                <w:bCs/>
                <w:sz w:val="20"/>
                <w:lang w:val="lv-LV"/>
              </w:rPr>
              <w:lastRenderedPageBreak/>
              <w:t>Dabas vērtību aizsardzība un apsaimniekošana</w:t>
            </w:r>
          </w:p>
        </w:tc>
      </w:tr>
      <w:tr w:rsidR="00864E55" w:rsidRPr="00675182" w14:paraId="2D9AFB89" w14:textId="77777777" w:rsidTr="00E21287">
        <w:tc>
          <w:tcPr>
            <w:tcW w:w="872" w:type="dxa"/>
            <w:tcBorders>
              <w:top w:val="single" w:sz="4" w:space="0" w:color="000000"/>
              <w:left w:val="single" w:sz="4" w:space="0" w:color="000000"/>
              <w:bottom w:val="single" w:sz="4" w:space="0" w:color="000000"/>
              <w:right w:val="nil"/>
            </w:tcBorders>
          </w:tcPr>
          <w:p w14:paraId="09C17989"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B.1.1.</w:t>
            </w:r>
          </w:p>
        </w:tc>
        <w:tc>
          <w:tcPr>
            <w:tcW w:w="850" w:type="dxa"/>
            <w:tcBorders>
              <w:top w:val="single" w:sz="4" w:space="0" w:color="000000"/>
              <w:left w:val="single" w:sz="4" w:space="0" w:color="000000"/>
              <w:bottom w:val="single" w:sz="4" w:space="0" w:color="000000"/>
              <w:right w:val="nil"/>
            </w:tcBorders>
          </w:tcPr>
          <w:p w14:paraId="5E602FB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B.1.</w:t>
            </w:r>
          </w:p>
          <w:p w14:paraId="2B13937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B.6. </w:t>
            </w:r>
          </w:p>
        </w:tc>
        <w:tc>
          <w:tcPr>
            <w:tcW w:w="2670" w:type="dxa"/>
            <w:tcBorders>
              <w:top w:val="single" w:sz="4" w:space="0" w:color="000000"/>
              <w:left w:val="single" w:sz="4" w:space="0" w:color="000000"/>
              <w:bottom w:val="single" w:sz="4" w:space="0" w:color="000000"/>
              <w:right w:val="nil"/>
            </w:tcBorders>
          </w:tcPr>
          <w:p w14:paraId="290D0C1B" w14:textId="77777777" w:rsidR="00864E55" w:rsidRPr="00675182" w:rsidRDefault="00864E55" w:rsidP="00864E55">
            <w:pPr>
              <w:pStyle w:val="naisf"/>
              <w:snapToGrid w:val="0"/>
              <w:ind w:firstLine="0"/>
              <w:jc w:val="left"/>
              <w:rPr>
                <w:rFonts w:cstheme="minorHAnsi"/>
                <w:sz w:val="20"/>
                <w:lang w:val="lv-LV"/>
              </w:rPr>
            </w:pPr>
            <w:bookmarkStart w:id="118" w:name="_Hlk83132852"/>
            <w:r w:rsidRPr="00675182">
              <w:rPr>
                <w:rFonts w:cstheme="minorHAnsi"/>
                <w:bCs/>
                <w:sz w:val="20"/>
                <w:lang w:val="lv-LV"/>
              </w:rPr>
              <w:t>Bebru darbības ietekmes samazināšana, bebru skaita regulēšana</w:t>
            </w:r>
            <w:bookmarkEnd w:id="118"/>
          </w:p>
        </w:tc>
        <w:tc>
          <w:tcPr>
            <w:tcW w:w="1699" w:type="dxa"/>
            <w:tcBorders>
              <w:top w:val="single" w:sz="4" w:space="0" w:color="000000"/>
              <w:left w:val="single" w:sz="4" w:space="0" w:color="000000"/>
              <w:bottom w:val="single" w:sz="4" w:space="0" w:color="000000"/>
              <w:right w:val="nil"/>
            </w:tcBorders>
          </w:tcPr>
          <w:p w14:paraId="7496336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413F278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projektu finansējums</w:t>
            </w:r>
          </w:p>
        </w:tc>
        <w:tc>
          <w:tcPr>
            <w:tcW w:w="1991" w:type="dxa"/>
            <w:tcBorders>
              <w:top w:val="single" w:sz="4" w:space="0" w:color="000000"/>
              <w:left w:val="single" w:sz="4" w:space="0" w:color="000000"/>
              <w:bottom w:val="single" w:sz="4" w:space="0" w:color="000000"/>
              <w:right w:val="nil"/>
            </w:tcBorders>
          </w:tcPr>
          <w:p w14:paraId="2EDD0EF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mednieku tiesību izmantotāji</w:t>
            </w:r>
          </w:p>
        </w:tc>
        <w:tc>
          <w:tcPr>
            <w:tcW w:w="1577" w:type="dxa"/>
            <w:tcBorders>
              <w:top w:val="single" w:sz="4" w:space="0" w:color="000000"/>
              <w:left w:val="single" w:sz="4" w:space="0" w:color="000000"/>
              <w:bottom w:val="single" w:sz="4" w:space="0" w:color="000000"/>
              <w:right w:val="nil"/>
            </w:tcBorders>
          </w:tcPr>
          <w:p w14:paraId="7194AD50"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6FC9D91C" w14:textId="5825510A"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Teritorijā tiek uzturēts optimāls bebru skaits, kā arī netiek pieļauta bebru aizsprostu izveide uz upju straujtecēm un dabiskiem upju posmiem</w:t>
            </w:r>
            <w:r w:rsidR="00A2257B">
              <w:rPr>
                <w:rFonts w:cstheme="minorHAnsi"/>
                <w:sz w:val="20"/>
                <w:lang w:val="lv-LV"/>
              </w:rPr>
              <w:t xml:space="preserve"> ar kopējo garumu 20,6 km</w:t>
            </w:r>
            <w:r w:rsidRPr="00675182">
              <w:rPr>
                <w:rFonts w:cstheme="minorHAnsi"/>
                <w:sz w:val="20"/>
                <w:lang w:val="lv-LV"/>
              </w:rPr>
              <w:t>. Lapkoku praulgrauža apdzīvoti koki apvilkti ar metāla sietu pie pamatnes</w:t>
            </w:r>
            <w:r w:rsidR="00C94A95">
              <w:rPr>
                <w:rFonts w:cstheme="minorHAnsi"/>
                <w:sz w:val="20"/>
                <w:lang w:val="lv-LV"/>
              </w:rPr>
              <w:t xml:space="preserve"> (skaits un novietne tiks precizēti atsevišķā projektā)</w:t>
            </w:r>
            <w:r w:rsidRPr="00675182">
              <w:rPr>
                <w:rFonts w:cstheme="minorHAnsi"/>
                <w:sz w:val="20"/>
                <w:lang w:val="lv-LV"/>
              </w:rPr>
              <w:t xml:space="preserve">. </w:t>
            </w:r>
          </w:p>
        </w:tc>
      </w:tr>
      <w:tr w:rsidR="00864E55" w:rsidRPr="00675182" w14:paraId="1F2CAD1B" w14:textId="77777777" w:rsidTr="00E21287">
        <w:tc>
          <w:tcPr>
            <w:tcW w:w="872" w:type="dxa"/>
            <w:tcBorders>
              <w:top w:val="single" w:sz="4" w:space="0" w:color="000000"/>
              <w:left w:val="single" w:sz="4" w:space="0" w:color="000000"/>
              <w:bottom w:val="single" w:sz="4" w:space="0" w:color="000000"/>
              <w:right w:val="nil"/>
            </w:tcBorders>
          </w:tcPr>
          <w:p w14:paraId="2DB0940F"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B.1.2.</w:t>
            </w:r>
          </w:p>
        </w:tc>
        <w:tc>
          <w:tcPr>
            <w:tcW w:w="850" w:type="dxa"/>
            <w:tcBorders>
              <w:top w:val="single" w:sz="4" w:space="0" w:color="000000"/>
              <w:left w:val="single" w:sz="4" w:space="0" w:color="000000"/>
              <w:bottom w:val="single" w:sz="4" w:space="0" w:color="000000"/>
              <w:right w:val="nil"/>
            </w:tcBorders>
          </w:tcPr>
          <w:p w14:paraId="6A2CBC6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B.1. </w:t>
            </w:r>
          </w:p>
          <w:p w14:paraId="51444A5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B.6. </w:t>
            </w:r>
          </w:p>
          <w:p w14:paraId="43E457F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2A0FD508"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Koku sagāzumu izvākšana upēs</w:t>
            </w:r>
          </w:p>
        </w:tc>
        <w:tc>
          <w:tcPr>
            <w:tcW w:w="1699" w:type="dxa"/>
            <w:tcBorders>
              <w:top w:val="single" w:sz="4" w:space="0" w:color="000000"/>
              <w:left w:val="single" w:sz="4" w:space="0" w:color="000000"/>
              <w:bottom w:val="single" w:sz="4" w:space="0" w:color="000000"/>
              <w:right w:val="nil"/>
            </w:tcBorders>
          </w:tcPr>
          <w:p w14:paraId="3C6C6B2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26566E9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right w:val="nil"/>
            </w:tcBorders>
          </w:tcPr>
          <w:p w14:paraId="5CDD40A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NVO, zemes īpašnieki</w:t>
            </w:r>
          </w:p>
        </w:tc>
        <w:tc>
          <w:tcPr>
            <w:tcW w:w="1577" w:type="dxa"/>
            <w:tcBorders>
              <w:top w:val="single" w:sz="4" w:space="0" w:color="000000"/>
              <w:left w:val="single" w:sz="4" w:space="0" w:color="000000"/>
              <w:bottom w:val="single" w:sz="4" w:space="0" w:color="000000"/>
              <w:right w:val="nil"/>
            </w:tcBorders>
          </w:tcPr>
          <w:p w14:paraId="2F06A13C" w14:textId="6FC2ABAB" w:rsidR="00864E55" w:rsidRPr="00675182" w:rsidRDefault="00A3421A" w:rsidP="00864E55">
            <w:pPr>
              <w:autoSpaceDE w:val="0"/>
              <w:snapToGrid w:val="0"/>
              <w:rPr>
                <w:rFonts w:cstheme="minorHAnsi"/>
                <w:sz w:val="20"/>
              </w:rPr>
            </w:pPr>
            <w:r w:rsidRPr="00675182">
              <w:rPr>
                <w:rFonts w:cstheme="minorHAnsi"/>
                <w:sz w:val="20"/>
              </w:rPr>
              <w:t>No 800 EUR/1 km upes posms</w:t>
            </w:r>
          </w:p>
        </w:tc>
        <w:tc>
          <w:tcPr>
            <w:tcW w:w="2428" w:type="dxa"/>
            <w:tcBorders>
              <w:top w:val="single" w:sz="4" w:space="0" w:color="000000"/>
              <w:left w:val="single" w:sz="4" w:space="0" w:color="000000"/>
              <w:bottom w:val="single" w:sz="4" w:space="0" w:color="000000"/>
              <w:right w:val="single" w:sz="4" w:space="0" w:color="000000"/>
            </w:tcBorders>
          </w:tcPr>
          <w:p w14:paraId="2C644EB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bCs/>
                <w:sz w:val="20"/>
                <w:lang w:val="lv-LV"/>
              </w:rPr>
              <w:t xml:space="preserve">Atjaunots upju straujteču tecējums vietās, kur straumi kavē koku sagāzumi (~49 km garumā). Turpināta sagāzumu izvākšana upēs, kur pirmreizējā izvākšana veikta KF projekta ietvaros (~70 km garumā). </w:t>
            </w:r>
          </w:p>
        </w:tc>
      </w:tr>
      <w:tr w:rsidR="00864E55" w:rsidRPr="00675182" w14:paraId="39EF1FD9" w14:textId="77777777" w:rsidTr="00E21287">
        <w:tc>
          <w:tcPr>
            <w:tcW w:w="872" w:type="dxa"/>
            <w:tcBorders>
              <w:top w:val="single" w:sz="4" w:space="0" w:color="000000"/>
              <w:left w:val="single" w:sz="4" w:space="0" w:color="000000"/>
              <w:bottom w:val="single" w:sz="4" w:space="0" w:color="000000"/>
              <w:right w:val="nil"/>
            </w:tcBorders>
          </w:tcPr>
          <w:p w14:paraId="0FF9AA7F"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B.1.3.</w:t>
            </w:r>
          </w:p>
        </w:tc>
        <w:tc>
          <w:tcPr>
            <w:tcW w:w="850" w:type="dxa"/>
            <w:tcBorders>
              <w:top w:val="single" w:sz="4" w:space="0" w:color="000000"/>
              <w:left w:val="single" w:sz="4" w:space="0" w:color="000000"/>
              <w:bottom w:val="single" w:sz="4" w:space="0" w:color="000000"/>
              <w:right w:val="nil"/>
            </w:tcBorders>
          </w:tcPr>
          <w:p w14:paraId="780E7AC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B.1.</w:t>
            </w:r>
          </w:p>
          <w:p w14:paraId="5E88869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36A15E4D"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Niedru (virsūdens augu) pļaušana ezeros, sapropeļa slāņa samazināšana</w:t>
            </w:r>
          </w:p>
        </w:tc>
        <w:tc>
          <w:tcPr>
            <w:tcW w:w="1699" w:type="dxa"/>
            <w:tcBorders>
              <w:top w:val="single" w:sz="4" w:space="0" w:color="000000"/>
              <w:left w:val="single" w:sz="4" w:space="0" w:color="000000"/>
              <w:bottom w:val="single" w:sz="4" w:space="0" w:color="000000"/>
              <w:right w:val="nil"/>
            </w:tcBorders>
          </w:tcPr>
          <w:p w14:paraId="67AB6FF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36F30ED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right w:val="nil"/>
            </w:tcBorders>
          </w:tcPr>
          <w:p w14:paraId="258D9CE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NVO, zemes īpašnieki</w:t>
            </w:r>
          </w:p>
        </w:tc>
        <w:tc>
          <w:tcPr>
            <w:tcW w:w="1577" w:type="dxa"/>
            <w:tcBorders>
              <w:top w:val="single" w:sz="4" w:space="0" w:color="000000"/>
              <w:left w:val="single" w:sz="4" w:space="0" w:color="000000"/>
              <w:bottom w:val="single" w:sz="4" w:space="0" w:color="000000"/>
              <w:right w:val="nil"/>
            </w:tcBorders>
          </w:tcPr>
          <w:p w14:paraId="44C956B5" w14:textId="41107FB7" w:rsidR="00864E55" w:rsidRPr="00675182" w:rsidRDefault="00A3421A" w:rsidP="00864E55">
            <w:pPr>
              <w:autoSpaceDE w:val="0"/>
              <w:snapToGrid w:val="0"/>
              <w:rPr>
                <w:rFonts w:cstheme="minorHAnsi"/>
                <w:sz w:val="20"/>
              </w:rPr>
            </w:pPr>
            <w:r w:rsidRPr="00675182">
              <w:rPr>
                <w:rFonts w:cstheme="minorHAnsi"/>
                <w:sz w:val="20"/>
              </w:rPr>
              <w:t>No 700 EUR/ha pļaušana ar izvākšanu, 4500 EUR/ha sedimentu izvākšana</w:t>
            </w:r>
          </w:p>
        </w:tc>
        <w:tc>
          <w:tcPr>
            <w:tcW w:w="2428" w:type="dxa"/>
            <w:tcBorders>
              <w:top w:val="single" w:sz="4" w:space="0" w:color="000000"/>
              <w:left w:val="single" w:sz="4" w:space="0" w:color="000000"/>
              <w:bottom w:val="single" w:sz="4" w:space="0" w:color="000000"/>
              <w:right w:val="single" w:sz="4" w:space="0" w:color="000000"/>
            </w:tcBorders>
          </w:tcPr>
          <w:p w14:paraId="7B104334" w14:textId="4DDB7E04"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Samazināts aizaugums ar niedrēm (niedru audžu platība un blīvums) vismaz 5 ezeros</w:t>
            </w:r>
            <w:r w:rsidR="00693153">
              <w:rPr>
                <w:rFonts w:cstheme="minorHAnsi"/>
                <w:sz w:val="20"/>
                <w:lang w:val="lv-LV"/>
              </w:rPr>
              <w:t xml:space="preserve"> (</w:t>
            </w:r>
            <w:r w:rsidR="000579CE">
              <w:rPr>
                <w:rFonts w:cstheme="minorHAnsi"/>
                <w:sz w:val="20"/>
                <w:lang w:val="lv-LV"/>
              </w:rPr>
              <w:t xml:space="preserve">Āraišu, </w:t>
            </w:r>
            <w:r w:rsidR="00693153">
              <w:rPr>
                <w:rFonts w:cstheme="minorHAnsi"/>
                <w:sz w:val="20"/>
                <w:lang w:val="lv-LV"/>
              </w:rPr>
              <w:t xml:space="preserve">Auciema, Plaužu, Vaidavas, Vīņaudu, </w:t>
            </w:r>
            <w:r w:rsidR="00693153">
              <w:rPr>
                <w:rFonts w:cstheme="minorHAnsi"/>
                <w:sz w:val="20"/>
                <w:lang w:val="lv-LV"/>
              </w:rPr>
              <w:lastRenderedPageBreak/>
              <w:t>Driškina)</w:t>
            </w:r>
            <w:r w:rsidR="0039394A">
              <w:rPr>
                <w:rFonts w:cstheme="minorHAnsi"/>
                <w:sz w:val="20"/>
                <w:lang w:val="lv-LV"/>
              </w:rPr>
              <w:t xml:space="preserve"> vismaz 20 ha platībā</w:t>
            </w:r>
            <w:r w:rsidR="000579CE">
              <w:rPr>
                <w:rFonts w:cstheme="minorHAnsi"/>
                <w:sz w:val="20"/>
                <w:lang w:val="lv-LV"/>
              </w:rPr>
              <w:t>.</w:t>
            </w:r>
          </w:p>
        </w:tc>
      </w:tr>
      <w:tr w:rsidR="00864E55" w:rsidRPr="00675182" w14:paraId="1919948C" w14:textId="77777777" w:rsidTr="00E21287">
        <w:tc>
          <w:tcPr>
            <w:tcW w:w="872" w:type="dxa"/>
            <w:tcBorders>
              <w:top w:val="single" w:sz="4" w:space="0" w:color="000000"/>
              <w:left w:val="single" w:sz="4" w:space="0" w:color="000000"/>
              <w:bottom w:val="single" w:sz="4" w:space="0" w:color="000000"/>
              <w:right w:val="nil"/>
            </w:tcBorders>
          </w:tcPr>
          <w:p w14:paraId="25A58859"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B.1.4.</w:t>
            </w:r>
          </w:p>
        </w:tc>
        <w:tc>
          <w:tcPr>
            <w:tcW w:w="850" w:type="dxa"/>
            <w:tcBorders>
              <w:top w:val="single" w:sz="4" w:space="0" w:color="000000"/>
              <w:left w:val="single" w:sz="4" w:space="0" w:color="000000"/>
              <w:bottom w:val="single" w:sz="4" w:space="0" w:color="000000"/>
              <w:right w:val="nil"/>
            </w:tcBorders>
          </w:tcPr>
          <w:p w14:paraId="5A6C80D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B.1.</w:t>
            </w:r>
          </w:p>
          <w:p w14:paraId="0F98A9E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6EB9DF6C"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Piesārņoto vecupju tīrīšana</w:t>
            </w:r>
          </w:p>
        </w:tc>
        <w:tc>
          <w:tcPr>
            <w:tcW w:w="1699" w:type="dxa"/>
            <w:tcBorders>
              <w:top w:val="single" w:sz="4" w:space="0" w:color="000000"/>
              <w:left w:val="single" w:sz="4" w:space="0" w:color="000000"/>
              <w:bottom w:val="single" w:sz="4" w:space="0" w:color="000000"/>
              <w:right w:val="nil"/>
            </w:tcBorders>
          </w:tcPr>
          <w:p w14:paraId="6BBD256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plāna darbības laikā</w:t>
            </w:r>
          </w:p>
        </w:tc>
        <w:tc>
          <w:tcPr>
            <w:tcW w:w="2124" w:type="dxa"/>
            <w:tcBorders>
              <w:top w:val="single" w:sz="4" w:space="0" w:color="000000"/>
              <w:left w:val="single" w:sz="4" w:space="0" w:color="000000"/>
              <w:bottom w:val="single" w:sz="4" w:space="0" w:color="000000"/>
              <w:right w:val="nil"/>
            </w:tcBorders>
          </w:tcPr>
          <w:p w14:paraId="52509AF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right w:val="nil"/>
            </w:tcBorders>
          </w:tcPr>
          <w:p w14:paraId="7954BDC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577" w:type="dxa"/>
            <w:tcBorders>
              <w:top w:val="single" w:sz="4" w:space="0" w:color="000000"/>
              <w:left w:val="single" w:sz="4" w:space="0" w:color="000000"/>
              <w:bottom w:val="single" w:sz="4" w:space="0" w:color="000000"/>
              <w:right w:val="nil"/>
            </w:tcBorders>
          </w:tcPr>
          <w:p w14:paraId="43017E45" w14:textId="5635DD04" w:rsidR="00864E55" w:rsidRPr="00675182" w:rsidRDefault="00A3421A" w:rsidP="00864E55">
            <w:pPr>
              <w:autoSpaceDE w:val="0"/>
              <w:snapToGrid w:val="0"/>
              <w:rPr>
                <w:rFonts w:cstheme="minorHAnsi"/>
                <w:sz w:val="20"/>
              </w:rPr>
            </w:pPr>
            <w:r w:rsidRPr="00675182">
              <w:rPr>
                <w:rFonts w:cstheme="minorHAnsi"/>
                <w:sz w:val="20"/>
              </w:rPr>
              <w:t>5000 EUR/ha tīrīšana ar materiāla aizvākšanu un deponēšanu</w:t>
            </w:r>
          </w:p>
        </w:tc>
        <w:tc>
          <w:tcPr>
            <w:tcW w:w="2428" w:type="dxa"/>
            <w:tcBorders>
              <w:top w:val="single" w:sz="4" w:space="0" w:color="000000"/>
              <w:left w:val="single" w:sz="4" w:space="0" w:color="000000"/>
              <w:bottom w:val="single" w:sz="4" w:space="0" w:color="000000"/>
              <w:right w:val="single" w:sz="4" w:space="0" w:color="000000"/>
            </w:tcBorders>
          </w:tcPr>
          <w:p w14:paraId="2B55E40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Attīrītas 2 vecupes –pie Jāņmuižas NAI un Gaujas ciema Kauguru pagastā Valmieras novadā</w:t>
            </w:r>
          </w:p>
        </w:tc>
      </w:tr>
      <w:tr w:rsidR="00C65EFC" w:rsidRPr="00675182" w14:paraId="03DBDEE0" w14:textId="77777777" w:rsidTr="00E21287">
        <w:tc>
          <w:tcPr>
            <w:tcW w:w="872" w:type="dxa"/>
            <w:tcBorders>
              <w:top w:val="single" w:sz="4" w:space="0" w:color="000000"/>
              <w:left w:val="single" w:sz="4" w:space="0" w:color="000000"/>
              <w:bottom w:val="single" w:sz="4" w:space="0" w:color="000000"/>
              <w:right w:val="nil"/>
            </w:tcBorders>
          </w:tcPr>
          <w:p w14:paraId="44A6CEEF" w14:textId="3BD65C5F" w:rsidR="00C65EFC" w:rsidRPr="00675182" w:rsidRDefault="00C65EFC" w:rsidP="00864E55">
            <w:pPr>
              <w:pStyle w:val="naisf"/>
              <w:snapToGrid w:val="0"/>
              <w:spacing w:before="0" w:after="0"/>
              <w:ind w:left="52" w:firstLine="0"/>
              <w:jc w:val="left"/>
              <w:rPr>
                <w:rFonts w:cstheme="minorHAnsi"/>
                <w:sz w:val="20"/>
                <w:lang w:val="lv-LV"/>
              </w:rPr>
            </w:pPr>
            <w:r w:rsidRPr="00675182">
              <w:rPr>
                <w:rFonts w:cstheme="minorHAnsi"/>
                <w:sz w:val="20"/>
                <w:lang w:val="lv-LV"/>
              </w:rPr>
              <w:t>B.1.5.</w:t>
            </w:r>
          </w:p>
        </w:tc>
        <w:tc>
          <w:tcPr>
            <w:tcW w:w="850" w:type="dxa"/>
            <w:tcBorders>
              <w:top w:val="single" w:sz="4" w:space="0" w:color="000000"/>
              <w:left w:val="single" w:sz="4" w:space="0" w:color="000000"/>
              <w:bottom w:val="single" w:sz="4" w:space="0" w:color="000000"/>
              <w:right w:val="nil"/>
            </w:tcBorders>
          </w:tcPr>
          <w:p w14:paraId="4E5D76C6" w14:textId="145E8FC4" w:rsidR="00C65EFC" w:rsidRPr="00675182" w:rsidRDefault="00CE699B" w:rsidP="00864E55">
            <w:pPr>
              <w:pStyle w:val="naisf"/>
              <w:snapToGrid w:val="0"/>
              <w:spacing w:before="0" w:after="0"/>
              <w:ind w:firstLine="0"/>
              <w:jc w:val="left"/>
              <w:rPr>
                <w:rFonts w:cstheme="minorHAnsi"/>
                <w:sz w:val="20"/>
                <w:lang w:val="lv-LV"/>
              </w:rPr>
            </w:pPr>
            <w:r>
              <w:rPr>
                <w:rFonts w:cstheme="minorHAnsi"/>
                <w:sz w:val="20"/>
                <w:lang w:val="lv-LV"/>
              </w:rPr>
              <w:t>B.1.</w:t>
            </w:r>
          </w:p>
        </w:tc>
        <w:tc>
          <w:tcPr>
            <w:tcW w:w="2670" w:type="dxa"/>
            <w:tcBorders>
              <w:top w:val="single" w:sz="4" w:space="0" w:color="000000"/>
              <w:left w:val="single" w:sz="4" w:space="0" w:color="000000"/>
              <w:bottom w:val="single" w:sz="4" w:space="0" w:color="000000"/>
              <w:right w:val="nil"/>
            </w:tcBorders>
          </w:tcPr>
          <w:p w14:paraId="72A25C7F" w14:textId="4571DA74" w:rsidR="00C65EFC" w:rsidRPr="00675182" w:rsidRDefault="00C65EFC" w:rsidP="00864E55">
            <w:pPr>
              <w:pStyle w:val="naisf"/>
              <w:snapToGrid w:val="0"/>
              <w:ind w:firstLine="0"/>
              <w:jc w:val="left"/>
              <w:rPr>
                <w:rFonts w:cstheme="minorHAnsi"/>
                <w:sz w:val="20"/>
                <w:lang w:val="lv-LV"/>
              </w:rPr>
            </w:pPr>
            <w:r w:rsidRPr="00675182">
              <w:rPr>
                <w:rFonts w:cstheme="minorHAnsi"/>
                <w:sz w:val="20"/>
                <w:lang w:val="lv-LV"/>
              </w:rPr>
              <w:t>Notekūdeņu apsaimniekošanas risinājumu pārvaldība DLZ platībās upju ielejās</w:t>
            </w:r>
          </w:p>
        </w:tc>
        <w:tc>
          <w:tcPr>
            <w:tcW w:w="1699" w:type="dxa"/>
            <w:tcBorders>
              <w:top w:val="single" w:sz="4" w:space="0" w:color="000000"/>
              <w:left w:val="single" w:sz="4" w:space="0" w:color="000000"/>
              <w:bottom w:val="single" w:sz="4" w:space="0" w:color="000000"/>
              <w:right w:val="nil"/>
            </w:tcBorders>
          </w:tcPr>
          <w:p w14:paraId="59C37AC8" w14:textId="7233749F" w:rsidR="00C65EFC" w:rsidRPr="00675182" w:rsidRDefault="00C65EFC" w:rsidP="00864E55">
            <w:pPr>
              <w:pStyle w:val="naisf"/>
              <w:snapToGrid w:val="0"/>
              <w:spacing w:before="0" w:after="0"/>
              <w:ind w:firstLine="0"/>
              <w:jc w:val="left"/>
              <w:rPr>
                <w:rFonts w:cstheme="minorHAnsi"/>
                <w:sz w:val="20"/>
                <w:lang w:val="lv-LV"/>
              </w:rPr>
            </w:pPr>
            <w:r w:rsidRPr="00675182">
              <w:rPr>
                <w:rFonts w:cstheme="minorHAnsi"/>
                <w:sz w:val="20"/>
                <w:lang w:val="lv-LV"/>
              </w:rPr>
              <w:t>I, plāna darbības laikā</w:t>
            </w:r>
          </w:p>
        </w:tc>
        <w:tc>
          <w:tcPr>
            <w:tcW w:w="2124" w:type="dxa"/>
            <w:tcBorders>
              <w:top w:val="single" w:sz="4" w:space="0" w:color="000000"/>
              <w:left w:val="single" w:sz="4" w:space="0" w:color="000000"/>
              <w:bottom w:val="single" w:sz="4" w:space="0" w:color="000000"/>
              <w:right w:val="nil"/>
            </w:tcBorders>
          </w:tcPr>
          <w:p w14:paraId="3B4A343B" w14:textId="562097A3" w:rsidR="00C65EFC" w:rsidRPr="00675182" w:rsidRDefault="00C65EFC"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projektu finansējums</w:t>
            </w:r>
          </w:p>
        </w:tc>
        <w:tc>
          <w:tcPr>
            <w:tcW w:w="1991" w:type="dxa"/>
            <w:tcBorders>
              <w:top w:val="single" w:sz="4" w:space="0" w:color="000000"/>
              <w:left w:val="single" w:sz="4" w:space="0" w:color="000000"/>
              <w:bottom w:val="single" w:sz="4" w:space="0" w:color="000000"/>
              <w:right w:val="nil"/>
            </w:tcBorders>
          </w:tcPr>
          <w:p w14:paraId="28C292A7" w14:textId="3B66214E" w:rsidR="00C65EFC" w:rsidRPr="00675182" w:rsidRDefault="00C65EFC"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projektu finansējums</w:t>
            </w:r>
          </w:p>
        </w:tc>
        <w:tc>
          <w:tcPr>
            <w:tcW w:w="1577" w:type="dxa"/>
            <w:tcBorders>
              <w:top w:val="single" w:sz="4" w:space="0" w:color="000000"/>
              <w:left w:val="single" w:sz="4" w:space="0" w:color="000000"/>
              <w:bottom w:val="single" w:sz="4" w:space="0" w:color="000000"/>
              <w:right w:val="nil"/>
            </w:tcBorders>
          </w:tcPr>
          <w:p w14:paraId="4B80D4A1" w14:textId="6255B3D8" w:rsidR="00C65EFC" w:rsidRPr="00675182" w:rsidRDefault="00C65EFC"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2869F4AA" w14:textId="643B0D85" w:rsidR="00C65EFC" w:rsidRPr="00675182" w:rsidRDefault="00C65EFC"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Attīstot jaunu apbūvi DLZ platībās upju ielejās, </w:t>
            </w:r>
            <w:r w:rsidR="00B81886">
              <w:rPr>
                <w:rFonts w:cstheme="minorHAnsi"/>
                <w:sz w:val="20"/>
                <w:lang w:val="lv-LV"/>
              </w:rPr>
              <w:t>ne</w:t>
            </w:r>
            <w:r w:rsidRPr="00675182">
              <w:rPr>
                <w:rFonts w:cstheme="minorHAnsi"/>
                <w:sz w:val="20"/>
                <w:lang w:val="lv-LV"/>
              </w:rPr>
              <w:t xml:space="preserve">tiek radīta papildus biogēno elementu </w:t>
            </w:r>
            <w:r w:rsidR="00B81886" w:rsidRPr="00675182">
              <w:rPr>
                <w:rFonts w:cstheme="minorHAnsi"/>
                <w:sz w:val="20"/>
                <w:lang w:val="lv-LV"/>
              </w:rPr>
              <w:t>ienes</w:t>
            </w:r>
            <w:r w:rsidR="00B81886">
              <w:rPr>
                <w:rFonts w:cstheme="minorHAnsi"/>
                <w:sz w:val="20"/>
                <w:lang w:val="lv-LV"/>
              </w:rPr>
              <w:t>e</w:t>
            </w:r>
            <w:r w:rsidR="00B81886" w:rsidRPr="00675182">
              <w:rPr>
                <w:rFonts w:cstheme="minorHAnsi"/>
                <w:sz w:val="20"/>
                <w:lang w:val="lv-LV"/>
              </w:rPr>
              <w:t xml:space="preserve"> </w:t>
            </w:r>
            <w:r w:rsidRPr="00675182">
              <w:rPr>
                <w:rFonts w:cstheme="minorHAnsi"/>
                <w:sz w:val="20"/>
                <w:lang w:val="lv-LV"/>
              </w:rPr>
              <w:t>ūdeņu ekosistēmās vai gruntsūdeņos</w:t>
            </w:r>
            <w:r w:rsidR="00B81886">
              <w:rPr>
                <w:rFonts w:cstheme="minorHAnsi"/>
                <w:sz w:val="20"/>
                <w:lang w:val="lv-LV"/>
              </w:rPr>
              <w:t xml:space="preserve"> (noteiktas prasības tehniskajos noteikumos, būvatļaujās)</w:t>
            </w:r>
          </w:p>
        </w:tc>
      </w:tr>
      <w:tr w:rsidR="00864E55" w:rsidRPr="00675182" w14:paraId="7315EF15" w14:textId="77777777" w:rsidTr="00E21287">
        <w:tc>
          <w:tcPr>
            <w:tcW w:w="872" w:type="dxa"/>
            <w:tcBorders>
              <w:top w:val="single" w:sz="4" w:space="0" w:color="000000"/>
              <w:left w:val="single" w:sz="4" w:space="0" w:color="000000"/>
              <w:bottom w:val="single" w:sz="4" w:space="0" w:color="000000"/>
            </w:tcBorders>
          </w:tcPr>
          <w:p w14:paraId="05647496" w14:textId="12CE8050"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B.2.1.</w:t>
            </w:r>
          </w:p>
        </w:tc>
        <w:tc>
          <w:tcPr>
            <w:tcW w:w="850" w:type="dxa"/>
            <w:tcBorders>
              <w:top w:val="single" w:sz="4" w:space="0" w:color="000000"/>
              <w:left w:val="single" w:sz="4" w:space="0" w:color="000000"/>
              <w:bottom w:val="single" w:sz="4" w:space="0" w:color="000000"/>
            </w:tcBorders>
          </w:tcPr>
          <w:p w14:paraId="79D95B0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B.2.</w:t>
            </w:r>
          </w:p>
          <w:p w14:paraId="2286391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124A0D71" w14:textId="77777777" w:rsidR="00864E55" w:rsidRPr="00675182" w:rsidRDefault="00864E55" w:rsidP="00864E55">
            <w:pPr>
              <w:pStyle w:val="naisf"/>
              <w:snapToGrid w:val="0"/>
              <w:ind w:firstLine="0"/>
              <w:jc w:val="left"/>
              <w:rPr>
                <w:rFonts w:cstheme="minorHAnsi"/>
                <w:sz w:val="20"/>
                <w:lang w:val="lv-LV"/>
              </w:rPr>
            </w:pPr>
            <w:bookmarkStart w:id="119" w:name="_Hlk83205839"/>
            <w:r w:rsidRPr="00675182">
              <w:rPr>
                <w:rFonts w:cstheme="minorHAnsi"/>
                <w:sz w:val="20"/>
                <w:lang w:val="lv-LV"/>
              </w:rPr>
              <w:t>Ģeoloģisko objektu aizsardzība un kvalitātes uzlabošana</w:t>
            </w:r>
            <w:bookmarkEnd w:id="119"/>
            <w:r w:rsidRPr="00675182">
              <w:rPr>
                <w:rFonts w:cstheme="minorHAnsi"/>
                <w:sz w:val="20"/>
                <w:lang w:val="lv-LV"/>
              </w:rPr>
              <w:t xml:space="preserve"> (atkritumu novākšana, esošās tūrisma infrastruktūras uzturēšana)</w:t>
            </w:r>
          </w:p>
        </w:tc>
        <w:tc>
          <w:tcPr>
            <w:tcW w:w="1699" w:type="dxa"/>
            <w:tcBorders>
              <w:top w:val="single" w:sz="4" w:space="0" w:color="000000"/>
              <w:left w:val="single" w:sz="4" w:space="0" w:color="000000"/>
              <w:bottom w:val="single" w:sz="4" w:space="0" w:color="000000"/>
            </w:tcBorders>
          </w:tcPr>
          <w:p w14:paraId="3DF25DD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160737B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DAP, projektu finansējums, zemes īpašnieki, pašvaldības. </w:t>
            </w:r>
          </w:p>
        </w:tc>
        <w:tc>
          <w:tcPr>
            <w:tcW w:w="1991" w:type="dxa"/>
            <w:tcBorders>
              <w:top w:val="single" w:sz="4" w:space="0" w:color="000000"/>
              <w:left w:val="single" w:sz="4" w:space="0" w:color="000000"/>
              <w:bottom w:val="single" w:sz="4" w:space="0" w:color="000000"/>
            </w:tcBorders>
          </w:tcPr>
          <w:p w14:paraId="2DF0E77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NVO, zemes īpašnieki</w:t>
            </w:r>
          </w:p>
        </w:tc>
        <w:tc>
          <w:tcPr>
            <w:tcW w:w="1577" w:type="dxa"/>
            <w:tcBorders>
              <w:top w:val="single" w:sz="4" w:space="0" w:color="000000"/>
              <w:left w:val="single" w:sz="4" w:space="0" w:color="000000"/>
              <w:bottom w:val="single" w:sz="4" w:space="0" w:color="000000"/>
            </w:tcBorders>
          </w:tcPr>
          <w:p w14:paraId="0DED3387"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5FDE6D5A" w14:textId="6061C380"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Pie visiem ģeoloģiskajiem objektiem tiek uzturēta esošā infrastruktūra un nodrošināta atkritumu novākšana, kā arī jau esošo ainavisko atvērumu uzturēšana</w:t>
            </w:r>
            <w:r w:rsidR="00BA3D0B">
              <w:rPr>
                <w:rFonts w:cstheme="minorHAnsi"/>
                <w:sz w:val="20"/>
                <w:lang w:val="lv-LV"/>
              </w:rPr>
              <w:t xml:space="preserve"> vismaz 1 ha platībā </w:t>
            </w:r>
          </w:p>
        </w:tc>
      </w:tr>
      <w:tr w:rsidR="00864E55" w:rsidRPr="00675182" w14:paraId="56D50BA8" w14:textId="77777777" w:rsidTr="00E21287">
        <w:tc>
          <w:tcPr>
            <w:tcW w:w="872" w:type="dxa"/>
            <w:tcBorders>
              <w:top w:val="single" w:sz="4" w:space="0" w:color="000000"/>
              <w:left w:val="single" w:sz="4" w:space="0" w:color="000000"/>
              <w:bottom w:val="single" w:sz="4" w:space="0" w:color="000000"/>
            </w:tcBorders>
          </w:tcPr>
          <w:p w14:paraId="2B81ED38"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B.2.2.</w:t>
            </w:r>
          </w:p>
        </w:tc>
        <w:tc>
          <w:tcPr>
            <w:tcW w:w="850" w:type="dxa"/>
            <w:tcBorders>
              <w:top w:val="single" w:sz="4" w:space="0" w:color="000000"/>
              <w:left w:val="single" w:sz="4" w:space="0" w:color="000000"/>
              <w:bottom w:val="single" w:sz="4" w:space="0" w:color="000000"/>
            </w:tcBorders>
          </w:tcPr>
          <w:p w14:paraId="3276491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B.2.</w:t>
            </w:r>
          </w:p>
          <w:p w14:paraId="7EDF100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4E77F055"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Aizbrukušo alu ieeju atrakšana, dabisko avotu erozijas procesu veicināšana (Leimaņu ala, Simtēnu ala, Kalējala, Līdumnieku avota ala)</w:t>
            </w:r>
          </w:p>
        </w:tc>
        <w:tc>
          <w:tcPr>
            <w:tcW w:w="1699" w:type="dxa"/>
            <w:tcBorders>
              <w:top w:val="single" w:sz="4" w:space="0" w:color="000000"/>
              <w:left w:val="single" w:sz="4" w:space="0" w:color="000000"/>
              <w:bottom w:val="single" w:sz="4" w:space="0" w:color="000000"/>
            </w:tcBorders>
          </w:tcPr>
          <w:p w14:paraId="6A4BC17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III, plāna darbības laikā</w:t>
            </w:r>
          </w:p>
        </w:tc>
        <w:tc>
          <w:tcPr>
            <w:tcW w:w="2124" w:type="dxa"/>
            <w:tcBorders>
              <w:top w:val="single" w:sz="4" w:space="0" w:color="000000"/>
              <w:left w:val="single" w:sz="4" w:space="0" w:color="000000"/>
              <w:bottom w:val="single" w:sz="4" w:space="0" w:color="000000"/>
            </w:tcBorders>
          </w:tcPr>
          <w:p w14:paraId="774A1B9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pašvaldības</w:t>
            </w:r>
          </w:p>
        </w:tc>
        <w:tc>
          <w:tcPr>
            <w:tcW w:w="1991" w:type="dxa"/>
            <w:tcBorders>
              <w:top w:val="single" w:sz="4" w:space="0" w:color="000000"/>
              <w:left w:val="single" w:sz="4" w:space="0" w:color="000000"/>
              <w:bottom w:val="single" w:sz="4" w:space="0" w:color="000000"/>
            </w:tcBorders>
          </w:tcPr>
          <w:p w14:paraId="711076F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NVO, pašvaldības, zemes īpašnieki</w:t>
            </w:r>
          </w:p>
        </w:tc>
        <w:tc>
          <w:tcPr>
            <w:tcW w:w="1577" w:type="dxa"/>
            <w:tcBorders>
              <w:top w:val="single" w:sz="4" w:space="0" w:color="000000"/>
              <w:left w:val="single" w:sz="4" w:space="0" w:color="000000"/>
              <w:bottom w:val="single" w:sz="4" w:space="0" w:color="000000"/>
            </w:tcBorders>
          </w:tcPr>
          <w:p w14:paraId="1FB1EF14"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082D8F0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Leimaņu alas un Simtēnu alas atrakšana, nodrošinot to saglabāšanu, bet nepopularizējot tūrismam; pastāvīga avotu erozijas darbība Līdumnieku avota alā un Kalējalā</w:t>
            </w:r>
          </w:p>
        </w:tc>
      </w:tr>
      <w:tr w:rsidR="00864E55" w:rsidRPr="00675182" w14:paraId="640EC53A" w14:textId="77777777" w:rsidTr="00E21287">
        <w:tc>
          <w:tcPr>
            <w:tcW w:w="872" w:type="dxa"/>
            <w:tcBorders>
              <w:top w:val="single" w:sz="4" w:space="0" w:color="000000"/>
              <w:left w:val="single" w:sz="4" w:space="0" w:color="000000"/>
              <w:bottom w:val="single" w:sz="4" w:space="0" w:color="000000"/>
            </w:tcBorders>
          </w:tcPr>
          <w:p w14:paraId="462D1F7F"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B.2.3.</w:t>
            </w:r>
          </w:p>
        </w:tc>
        <w:tc>
          <w:tcPr>
            <w:tcW w:w="850" w:type="dxa"/>
            <w:tcBorders>
              <w:top w:val="single" w:sz="4" w:space="0" w:color="000000"/>
              <w:left w:val="single" w:sz="4" w:space="0" w:color="000000"/>
              <w:bottom w:val="single" w:sz="4" w:space="0" w:color="000000"/>
            </w:tcBorders>
          </w:tcPr>
          <w:p w14:paraId="4C1E217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B.2.</w:t>
            </w:r>
          </w:p>
          <w:p w14:paraId="3AF6429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1464B64E"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Apauguma un noslīdējušās grunts noņemšana Stūķu iezī</w:t>
            </w:r>
          </w:p>
        </w:tc>
        <w:tc>
          <w:tcPr>
            <w:tcW w:w="1699" w:type="dxa"/>
            <w:tcBorders>
              <w:top w:val="single" w:sz="4" w:space="0" w:color="000000"/>
              <w:left w:val="single" w:sz="4" w:space="0" w:color="000000"/>
              <w:bottom w:val="single" w:sz="4" w:space="0" w:color="000000"/>
            </w:tcBorders>
          </w:tcPr>
          <w:p w14:paraId="76B28AF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III, plāna darbības laikā</w:t>
            </w:r>
          </w:p>
        </w:tc>
        <w:tc>
          <w:tcPr>
            <w:tcW w:w="2124" w:type="dxa"/>
            <w:tcBorders>
              <w:top w:val="single" w:sz="4" w:space="0" w:color="000000"/>
              <w:left w:val="single" w:sz="4" w:space="0" w:color="000000"/>
              <w:bottom w:val="single" w:sz="4" w:space="0" w:color="000000"/>
            </w:tcBorders>
          </w:tcPr>
          <w:p w14:paraId="3A898A7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49917FD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577" w:type="dxa"/>
            <w:tcBorders>
              <w:top w:val="single" w:sz="4" w:space="0" w:color="000000"/>
              <w:left w:val="single" w:sz="4" w:space="0" w:color="000000"/>
              <w:bottom w:val="single" w:sz="4" w:space="0" w:color="000000"/>
            </w:tcBorders>
          </w:tcPr>
          <w:p w14:paraId="6DE27D66"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24F19C8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Veikta izpēte par optimālo darbu apjomu un veikšanas veidu, realizēta ģeoloģiskā pieminekļa apsaimniekošana</w:t>
            </w:r>
          </w:p>
        </w:tc>
      </w:tr>
      <w:tr w:rsidR="00864E55" w:rsidRPr="00675182" w14:paraId="5D9917E3" w14:textId="77777777" w:rsidTr="00E21287">
        <w:tc>
          <w:tcPr>
            <w:tcW w:w="872" w:type="dxa"/>
            <w:tcBorders>
              <w:top w:val="single" w:sz="4" w:space="0" w:color="000000"/>
              <w:left w:val="single" w:sz="4" w:space="0" w:color="000000"/>
              <w:bottom w:val="single" w:sz="4" w:space="0" w:color="000000"/>
            </w:tcBorders>
          </w:tcPr>
          <w:p w14:paraId="25B12846"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B.2.4.</w:t>
            </w:r>
          </w:p>
        </w:tc>
        <w:tc>
          <w:tcPr>
            <w:tcW w:w="850" w:type="dxa"/>
            <w:tcBorders>
              <w:top w:val="single" w:sz="4" w:space="0" w:color="000000"/>
              <w:left w:val="single" w:sz="4" w:space="0" w:color="000000"/>
              <w:bottom w:val="single" w:sz="4" w:space="0" w:color="000000"/>
            </w:tcBorders>
          </w:tcPr>
          <w:p w14:paraId="1862D5F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B.2.</w:t>
            </w:r>
          </w:p>
          <w:p w14:paraId="22B7BBC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7DAB809B"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Kritalu novākšana atsegumu priekšā</w:t>
            </w:r>
          </w:p>
        </w:tc>
        <w:tc>
          <w:tcPr>
            <w:tcW w:w="1699" w:type="dxa"/>
            <w:tcBorders>
              <w:top w:val="single" w:sz="4" w:space="0" w:color="000000"/>
              <w:left w:val="single" w:sz="4" w:space="0" w:color="000000"/>
              <w:bottom w:val="single" w:sz="4" w:space="0" w:color="000000"/>
            </w:tcBorders>
          </w:tcPr>
          <w:p w14:paraId="3771A6C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III, plāna darbības laikā</w:t>
            </w:r>
          </w:p>
        </w:tc>
        <w:tc>
          <w:tcPr>
            <w:tcW w:w="2124" w:type="dxa"/>
            <w:tcBorders>
              <w:top w:val="single" w:sz="4" w:space="0" w:color="000000"/>
              <w:left w:val="single" w:sz="4" w:space="0" w:color="000000"/>
              <w:bottom w:val="single" w:sz="4" w:space="0" w:color="000000"/>
            </w:tcBorders>
          </w:tcPr>
          <w:p w14:paraId="1E19074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pašvaldība</w:t>
            </w:r>
          </w:p>
        </w:tc>
        <w:tc>
          <w:tcPr>
            <w:tcW w:w="1991" w:type="dxa"/>
            <w:tcBorders>
              <w:top w:val="single" w:sz="4" w:space="0" w:color="000000"/>
              <w:left w:val="single" w:sz="4" w:space="0" w:color="000000"/>
              <w:bottom w:val="single" w:sz="4" w:space="0" w:color="000000"/>
            </w:tcBorders>
          </w:tcPr>
          <w:p w14:paraId="4138EB7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 tūrisma uzņēmēji</w:t>
            </w:r>
          </w:p>
        </w:tc>
        <w:tc>
          <w:tcPr>
            <w:tcW w:w="1577" w:type="dxa"/>
            <w:tcBorders>
              <w:top w:val="single" w:sz="4" w:space="0" w:color="000000"/>
              <w:left w:val="single" w:sz="4" w:space="0" w:color="000000"/>
              <w:bottom w:val="single" w:sz="4" w:space="0" w:color="000000"/>
            </w:tcBorders>
          </w:tcPr>
          <w:p w14:paraId="3FAED2D5" w14:textId="69CF72B4" w:rsidR="00864E55" w:rsidRPr="00675182" w:rsidRDefault="00A3421A" w:rsidP="00864E55">
            <w:pPr>
              <w:autoSpaceDE w:val="0"/>
              <w:snapToGrid w:val="0"/>
              <w:rPr>
                <w:rFonts w:cstheme="minorHAnsi"/>
                <w:sz w:val="20"/>
              </w:rPr>
            </w:pPr>
            <w:r w:rsidRPr="00675182">
              <w:rPr>
                <w:rFonts w:cstheme="minorHAnsi"/>
                <w:sz w:val="20"/>
              </w:rPr>
              <w:t>No 300 EUR/sagāzums</w:t>
            </w:r>
          </w:p>
        </w:tc>
        <w:tc>
          <w:tcPr>
            <w:tcW w:w="2428" w:type="dxa"/>
            <w:tcBorders>
              <w:top w:val="single" w:sz="4" w:space="0" w:color="000000"/>
              <w:left w:val="single" w:sz="4" w:space="0" w:color="000000"/>
              <w:bottom w:val="single" w:sz="4" w:space="0" w:color="000000"/>
              <w:right w:val="single" w:sz="4" w:space="0" w:color="000000"/>
            </w:tcBorders>
          </w:tcPr>
          <w:p w14:paraId="30DB069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Atsegumu teritorijas atbrīvotas no kritalām, kas traucē apskati vai dabiskos erozijas procesus (~6 atsegumi)</w:t>
            </w:r>
          </w:p>
        </w:tc>
      </w:tr>
      <w:tr w:rsidR="00864E55" w:rsidRPr="00675182" w14:paraId="70F87A9E" w14:textId="77777777" w:rsidTr="00E21287">
        <w:tc>
          <w:tcPr>
            <w:tcW w:w="872" w:type="dxa"/>
            <w:tcBorders>
              <w:top w:val="single" w:sz="4" w:space="0" w:color="000000"/>
              <w:left w:val="single" w:sz="4" w:space="0" w:color="000000"/>
              <w:bottom w:val="single" w:sz="4" w:space="0" w:color="000000"/>
            </w:tcBorders>
          </w:tcPr>
          <w:p w14:paraId="5536466A"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B.2.5.</w:t>
            </w:r>
          </w:p>
        </w:tc>
        <w:tc>
          <w:tcPr>
            <w:tcW w:w="850" w:type="dxa"/>
            <w:tcBorders>
              <w:top w:val="single" w:sz="4" w:space="0" w:color="000000"/>
              <w:left w:val="single" w:sz="4" w:space="0" w:color="000000"/>
              <w:bottom w:val="single" w:sz="4" w:space="0" w:color="000000"/>
            </w:tcBorders>
          </w:tcPr>
          <w:p w14:paraId="1E38406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B.2.</w:t>
            </w:r>
          </w:p>
        </w:tc>
        <w:tc>
          <w:tcPr>
            <w:tcW w:w="2670" w:type="dxa"/>
            <w:tcBorders>
              <w:top w:val="single" w:sz="4" w:space="0" w:color="000000"/>
              <w:left w:val="single" w:sz="4" w:space="0" w:color="000000"/>
              <w:bottom w:val="single" w:sz="4" w:space="0" w:color="000000"/>
            </w:tcBorders>
          </w:tcPr>
          <w:p w14:paraId="6F0A83FB" w14:textId="77777777" w:rsidR="00864E55" w:rsidRPr="00675182" w:rsidRDefault="00864E55" w:rsidP="00864E55">
            <w:pPr>
              <w:pStyle w:val="naisf"/>
              <w:snapToGrid w:val="0"/>
              <w:ind w:firstLine="0"/>
              <w:jc w:val="left"/>
              <w:rPr>
                <w:rFonts w:cstheme="minorHAnsi"/>
                <w:sz w:val="20"/>
                <w:lang w:val="lv-LV"/>
              </w:rPr>
            </w:pPr>
            <w:bookmarkStart w:id="120" w:name="_Hlk98411998"/>
            <w:r w:rsidRPr="00675182">
              <w:rPr>
                <w:rFonts w:cstheme="minorHAnsi"/>
                <w:sz w:val="20"/>
                <w:lang w:val="lv-LV"/>
              </w:rPr>
              <w:t>Lodes bruņuzivju iegulas robežu nospraušana dabā</w:t>
            </w:r>
            <w:bookmarkEnd w:id="120"/>
          </w:p>
        </w:tc>
        <w:tc>
          <w:tcPr>
            <w:tcW w:w="1699" w:type="dxa"/>
            <w:tcBorders>
              <w:top w:val="single" w:sz="4" w:space="0" w:color="000000"/>
              <w:left w:val="single" w:sz="4" w:space="0" w:color="000000"/>
              <w:bottom w:val="single" w:sz="4" w:space="0" w:color="000000"/>
            </w:tcBorders>
          </w:tcPr>
          <w:p w14:paraId="01761D9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III, plāna darbības laikā</w:t>
            </w:r>
          </w:p>
        </w:tc>
        <w:tc>
          <w:tcPr>
            <w:tcW w:w="2124" w:type="dxa"/>
            <w:tcBorders>
              <w:top w:val="single" w:sz="4" w:space="0" w:color="000000"/>
              <w:left w:val="single" w:sz="4" w:space="0" w:color="000000"/>
              <w:bottom w:val="single" w:sz="4" w:space="0" w:color="000000"/>
            </w:tcBorders>
          </w:tcPr>
          <w:p w14:paraId="2B5AB30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991" w:type="dxa"/>
            <w:tcBorders>
              <w:top w:val="single" w:sz="4" w:space="0" w:color="000000"/>
              <w:left w:val="single" w:sz="4" w:space="0" w:color="000000"/>
              <w:bottom w:val="single" w:sz="4" w:space="0" w:color="000000"/>
            </w:tcBorders>
          </w:tcPr>
          <w:p w14:paraId="5192E6B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577" w:type="dxa"/>
            <w:tcBorders>
              <w:top w:val="single" w:sz="4" w:space="0" w:color="000000"/>
              <w:left w:val="single" w:sz="4" w:space="0" w:color="000000"/>
              <w:bottom w:val="single" w:sz="4" w:space="0" w:color="000000"/>
            </w:tcBorders>
          </w:tcPr>
          <w:p w14:paraId="0BA9D14A"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0CCEB4B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Dabā nostiprināta ģeoloģiskā un ģeomorfoloģiskā pieminekļa "Lodes bruņuzivju iegula” robeža</w:t>
            </w:r>
          </w:p>
        </w:tc>
      </w:tr>
      <w:tr w:rsidR="00864E55" w:rsidRPr="00675182" w14:paraId="32330234" w14:textId="77777777" w:rsidTr="00E21287">
        <w:tc>
          <w:tcPr>
            <w:tcW w:w="872" w:type="dxa"/>
            <w:tcBorders>
              <w:top w:val="single" w:sz="4" w:space="0" w:color="000000"/>
              <w:left w:val="single" w:sz="4" w:space="0" w:color="000000"/>
              <w:bottom w:val="single" w:sz="4" w:space="0" w:color="000000"/>
            </w:tcBorders>
          </w:tcPr>
          <w:p w14:paraId="0784F5F0"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B.2.6.</w:t>
            </w:r>
          </w:p>
        </w:tc>
        <w:tc>
          <w:tcPr>
            <w:tcW w:w="850" w:type="dxa"/>
            <w:tcBorders>
              <w:top w:val="single" w:sz="4" w:space="0" w:color="000000"/>
              <w:left w:val="single" w:sz="4" w:space="0" w:color="000000"/>
              <w:bottom w:val="single" w:sz="4" w:space="0" w:color="000000"/>
            </w:tcBorders>
          </w:tcPr>
          <w:p w14:paraId="12DBB97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B.2.</w:t>
            </w:r>
          </w:p>
        </w:tc>
        <w:tc>
          <w:tcPr>
            <w:tcW w:w="2670" w:type="dxa"/>
            <w:tcBorders>
              <w:top w:val="single" w:sz="4" w:space="0" w:color="000000"/>
              <w:left w:val="single" w:sz="4" w:space="0" w:color="000000"/>
              <w:bottom w:val="single" w:sz="4" w:space="0" w:color="000000"/>
            </w:tcBorders>
          </w:tcPr>
          <w:p w14:paraId="126652A3" w14:textId="77777777" w:rsidR="00864E55" w:rsidRPr="00675182" w:rsidRDefault="00864E55" w:rsidP="00864E55">
            <w:pPr>
              <w:pStyle w:val="naisf"/>
              <w:snapToGrid w:val="0"/>
              <w:ind w:firstLine="0"/>
              <w:jc w:val="left"/>
              <w:rPr>
                <w:rFonts w:cstheme="minorHAnsi"/>
                <w:sz w:val="20"/>
                <w:lang w:val="lv-LV"/>
              </w:rPr>
            </w:pPr>
            <w:bookmarkStart w:id="121" w:name="_Hlk98412079"/>
            <w:r w:rsidRPr="00675182">
              <w:rPr>
                <w:rFonts w:cstheme="minorHAnsi"/>
                <w:sz w:val="20"/>
                <w:lang w:val="lv-LV"/>
              </w:rPr>
              <w:t>Žoga izbūvēšana ap Sikspārņu alām</w:t>
            </w:r>
            <w:bookmarkEnd w:id="121"/>
          </w:p>
        </w:tc>
        <w:tc>
          <w:tcPr>
            <w:tcW w:w="1699" w:type="dxa"/>
            <w:tcBorders>
              <w:top w:val="single" w:sz="4" w:space="0" w:color="000000"/>
              <w:left w:val="single" w:sz="4" w:space="0" w:color="000000"/>
              <w:bottom w:val="single" w:sz="4" w:space="0" w:color="000000"/>
            </w:tcBorders>
          </w:tcPr>
          <w:p w14:paraId="7A7CF33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2025.</w:t>
            </w:r>
          </w:p>
        </w:tc>
        <w:tc>
          <w:tcPr>
            <w:tcW w:w="2124" w:type="dxa"/>
            <w:tcBorders>
              <w:top w:val="single" w:sz="4" w:space="0" w:color="000000"/>
              <w:left w:val="single" w:sz="4" w:space="0" w:color="000000"/>
              <w:bottom w:val="single" w:sz="4" w:space="0" w:color="000000"/>
            </w:tcBorders>
          </w:tcPr>
          <w:p w14:paraId="268C0B3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6597A66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zemes īpašnieks</w:t>
            </w:r>
          </w:p>
        </w:tc>
        <w:tc>
          <w:tcPr>
            <w:tcW w:w="1577" w:type="dxa"/>
            <w:tcBorders>
              <w:top w:val="single" w:sz="4" w:space="0" w:color="000000"/>
              <w:left w:val="single" w:sz="4" w:space="0" w:color="000000"/>
              <w:bottom w:val="single" w:sz="4" w:space="0" w:color="000000"/>
            </w:tcBorders>
          </w:tcPr>
          <w:p w14:paraId="05D6D02D"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1CFD084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Ierīkots nožogojums ap Sikspārņu alām, novērsta alu apmeklēšana (izņemot zinātniskiem nolūkiem)</w:t>
            </w:r>
          </w:p>
        </w:tc>
      </w:tr>
      <w:tr w:rsidR="00864E55" w:rsidRPr="00675182" w14:paraId="00640620" w14:textId="77777777" w:rsidTr="00E21287">
        <w:tc>
          <w:tcPr>
            <w:tcW w:w="872" w:type="dxa"/>
            <w:tcBorders>
              <w:top w:val="single" w:sz="4" w:space="0" w:color="000000"/>
              <w:left w:val="single" w:sz="4" w:space="0" w:color="000000"/>
              <w:bottom w:val="single" w:sz="4" w:space="0" w:color="000000"/>
            </w:tcBorders>
          </w:tcPr>
          <w:p w14:paraId="69E85523"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B.2.7.</w:t>
            </w:r>
          </w:p>
        </w:tc>
        <w:tc>
          <w:tcPr>
            <w:tcW w:w="850" w:type="dxa"/>
            <w:tcBorders>
              <w:top w:val="single" w:sz="4" w:space="0" w:color="000000"/>
              <w:left w:val="single" w:sz="4" w:space="0" w:color="000000"/>
              <w:bottom w:val="single" w:sz="4" w:space="0" w:color="000000"/>
            </w:tcBorders>
          </w:tcPr>
          <w:p w14:paraId="11170E2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B.2.</w:t>
            </w:r>
          </w:p>
        </w:tc>
        <w:tc>
          <w:tcPr>
            <w:tcW w:w="2670" w:type="dxa"/>
            <w:tcBorders>
              <w:top w:val="single" w:sz="4" w:space="0" w:color="000000"/>
              <w:left w:val="single" w:sz="4" w:space="0" w:color="000000"/>
              <w:bottom w:val="single" w:sz="4" w:space="0" w:color="000000"/>
            </w:tcBorders>
          </w:tcPr>
          <w:p w14:paraId="3C870AB2" w14:textId="77777777" w:rsidR="00864E55" w:rsidRPr="00675182" w:rsidRDefault="00864E55" w:rsidP="00864E55">
            <w:pPr>
              <w:pStyle w:val="naisf"/>
              <w:snapToGrid w:val="0"/>
              <w:ind w:firstLine="0"/>
              <w:jc w:val="left"/>
              <w:rPr>
                <w:rFonts w:cstheme="minorHAnsi"/>
                <w:sz w:val="20"/>
                <w:lang w:val="lv-LV"/>
              </w:rPr>
            </w:pPr>
            <w:bookmarkStart w:id="122" w:name="_Hlk98412588"/>
            <w:r w:rsidRPr="00675182">
              <w:rPr>
                <w:rFonts w:cstheme="minorHAnsi"/>
                <w:sz w:val="20"/>
                <w:lang w:val="lv-LV"/>
              </w:rPr>
              <w:t>Tūrisma infrastruktūras pārbūve, novirzot apmeklētāju plūsmu no alām un atsegumiem (Kraukļa aiza, Pētera ala, Lielā Ellīte)</w:t>
            </w:r>
            <w:bookmarkEnd w:id="122"/>
          </w:p>
        </w:tc>
        <w:tc>
          <w:tcPr>
            <w:tcW w:w="1699" w:type="dxa"/>
            <w:tcBorders>
              <w:top w:val="single" w:sz="4" w:space="0" w:color="000000"/>
              <w:left w:val="single" w:sz="4" w:space="0" w:color="000000"/>
              <w:bottom w:val="single" w:sz="4" w:space="0" w:color="000000"/>
            </w:tcBorders>
          </w:tcPr>
          <w:p w14:paraId="23B2134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2027</w:t>
            </w:r>
          </w:p>
        </w:tc>
        <w:tc>
          <w:tcPr>
            <w:tcW w:w="2124" w:type="dxa"/>
            <w:tcBorders>
              <w:top w:val="single" w:sz="4" w:space="0" w:color="000000"/>
              <w:left w:val="single" w:sz="4" w:space="0" w:color="000000"/>
              <w:bottom w:val="single" w:sz="4" w:space="0" w:color="000000"/>
            </w:tcBorders>
          </w:tcPr>
          <w:p w14:paraId="019B332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3A05881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w:t>
            </w:r>
          </w:p>
        </w:tc>
        <w:tc>
          <w:tcPr>
            <w:tcW w:w="1577" w:type="dxa"/>
            <w:tcBorders>
              <w:top w:val="single" w:sz="4" w:space="0" w:color="000000"/>
              <w:left w:val="single" w:sz="4" w:space="0" w:color="000000"/>
              <w:bottom w:val="single" w:sz="4" w:space="0" w:color="000000"/>
            </w:tcBorders>
          </w:tcPr>
          <w:p w14:paraId="014324BE"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07E53D0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Pārbūvēta infrastruktūra un novērsta antropogēnā slodze uz reto sugu atradnēm un sikspārņu ziemošanas vietām</w:t>
            </w:r>
          </w:p>
        </w:tc>
      </w:tr>
      <w:tr w:rsidR="00864E55" w:rsidRPr="00675182" w14:paraId="710F67E9" w14:textId="77777777" w:rsidTr="00E21287">
        <w:trPr>
          <w:trHeight w:val="1723"/>
        </w:trPr>
        <w:tc>
          <w:tcPr>
            <w:tcW w:w="872" w:type="dxa"/>
            <w:tcBorders>
              <w:top w:val="single" w:sz="4" w:space="0" w:color="000000"/>
              <w:left w:val="single" w:sz="4" w:space="0" w:color="000000"/>
              <w:bottom w:val="single" w:sz="4" w:space="0" w:color="000000"/>
            </w:tcBorders>
          </w:tcPr>
          <w:p w14:paraId="184BB5E8"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B.2.8.</w:t>
            </w:r>
          </w:p>
        </w:tc>
        <w:tc>
          <w:tcPr>
            <w:tcW w:w="850" w:type="dxa"/>
            <w:tcBorders>
              <w:top w:val="single" w:sz="4" w:space="0" w:color="000000"/>
              <w:left w:val="single" w:sz="4" w:space="0" w:color="000000"/>
              <w:bottom w:val="single" w:sz="4" w:space="0" w:color="000000"/>
            </w:tcBorders>
          </w:tcPr>
          <w:p w14:paraId="2B8E50E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B.2.</w:t>
            </w:r>
          </w:p>
        </w:tc>
        <w:tc>
          <w:tcPr>
            <w:tcW w:w="2670" w:type="dxa"/>
            <w:tcBorders>
              <w:top w:val="single" w:sz="4" w:space="0" w:color="000000"/>
              <w:left w:val="single" w:sz="4" w:space="0" w:color="000000"/>
              <w:bottom w:val="single" w:sz="4" w:space="0" w:color="000000"/>
            </w:tcBorders>
          </w:tcPr>
          <w:p w14:paraId="0DC350D0" w14:textId="77777777" w:rsidR="00864E55" w:rsidRPr="00675182" w:rsidRDefault="00864E55" w:rsidP="00864E55">
            <w:pPr>
              <w:pStyle w:val="naisf"/>
              <w:snapToGrid w:val="0"/>
              <w:ind w:firstLine="0"/>
              <w:jc w:val="left"/>
              <w:rPr>
                <w:rFonts w:cstheme="minorHAnsi"/>
                <w:sz w:val="20"/>
                <w:lang w:val="lv-LV"/>
              </w:rPr>
            </w:pPr>
            <w:bookmarkStart w:id="123" w:name="_Hlk98413802"/>
            <w:r w:rsidRPr="00675182">
              <w:rPr>
                <w:rFonts w:cstheme="minorHAnsi"/>
                <w:sz w:val="20"/>
                <w:lang w:val="lv-LV"/>
              </w:rPr>
              <w:t xml:space="preserve">Preventīvi pasākumi tūristu plūsmas novirzīšanai no atsegumiem un alām (Grīviņu atsegumi, Tītmaņu iezis, Ramātu klintis, Rampu ala un </w:t>
            </w:r>
            <w:r w:rsidRPr="00675182">
              <w:rPr>
                <w:rFonts w:cstheme="minorHAnsi"/>
                <w:sz w:val="20"/>
                <w:lang w:val="lv-LV"/>
              </w:rPr>
              <w:lastRenderedPageBreak/>
              <w:t>ieži, Vaives Kalējiezis, Daudas ūdenskritums</w:t>
            </w:r>
            <w:bookmarkEnd w:id="123"/>
            <w:r w:rsidRPr="00675182">
              <w:rPr>
                <w:rFonts w:cstheme="minorHAnsi"/>
                <w:sz w:val="20"/>
                <w:lang w:val="lv-LV"/>
              </w:rPr>
              <w:t>)</w:t>
            </w:r>
          </w:p>
        </w:tc>
        <w:tc>
          <w:tcPr>
            <w:tcW w:w="1699" w:type="dxa"/>
            <w:tcBorders>
              <w:top w:val="single" w:sz="4" w:space="0" w:color="000000"/>
              <w:left w:val="single" w:sz="4" w:space="0" w:color="000000"/>
              <w:bottom w:val="single" w:sz="4" w:space="0" w:color="000000"/>
            </w:tcBorders>
          </w:tcPr>
          <w:p w14:paraId="18FFEC1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lastRenderedPageBreak/>
              <w:t>I, visā plāna darbības laikā</w:t>
            </w:r>
          </w:p>
        </w:tc>
        <w:tc>
          <w:tcPr>
            <w:tcW w:w="2124" w:type="dxa"/>
            <w:tcBorders>
              <w:top w:val="single" w:sz="4" w:space="0" w:color="000000"/>
              <w:left w:val="single" w:sz="4" w:space="0" w:color="000000"/>
              <w:bottom w:val="single" w:sz="4" w:space="0" w:color="000000"/>
            </w:tcBorders>
          </w:tcPr>
          <w:p w14:paraId="2D12095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27FD7BF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DAP, NVO, pašvaldība, zemes īpašnieki </w:t>
            </w:r>
          </w:p>
        </w:tc>
        <w:tc>
          <w:tcPr>
            <w:tcW w:w="1577" w:type="dxa"/>
            <w:tcBorders>
              <w:top w:val="single" w:sz="4" w:space="0" w:color="000000"/>
              <w:left w:val="single" w:sz="4" w:space="0" w:color="000000"/>
              <w:bottom w:val="single" w:sz="4" w:space="0" w:color="000000"/>
            </w:tcBorders>
          </w:tcPr>
          <w:p w14:paraId="428A7EE3"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5632AC7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Nepieaug apmeklējumu intensitāte jutīgajos objektos</w:t>
            </w:r>
          </w:p>
        </w:tc>
      </w:tr>
      <w:tr w:rsidR="00864E55" w:rsidRPr="00675182" w14:paraId="4B744F24" w14:textId="77777777" w:rsidTr="00E21287">
        <w:tc>
          <w:tcPr>
            <w:tcW w:w="872" w:type="dxa"/>
            <w:tcBorders>
              <w:top w:val="single" w:sz="4" w:space="0" w:color="000000"/>
              <w:left w:val="single" w:sz="4" w:space="0" w:color="000000"/>
              <w:bottom w:val="single" w:sz="4" w:space="0" w:color="000000"/>
            </w:tcBorders>
          </w:tcPr>
          <w:p w14:paraId="77123A32"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B.3.1.</w:t>
            </w:r>
          </w:p>
        </w:tc>
        <w:tc>
          <w:tcPr>
            <w:tcW w:w="850" w:type="dxa"/>
            <w:tcBorders>
              <w:top w:val="single" w:sz="4" w:space="0" w:color="000000"/>
              <w:left w:val="single" w:sz="4" w:space="0" w:color="000000"/>
              <w:bottom w:val="single" w:sz="4" w:space="0" w:color="000000"/>
            </w:tcBorders>
          </w:tcPr>
          <w:p w14:paraId="114F876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B.3.</w:t>
            </w:r>
          </w:p>
          <w:p w14:paraId="3309476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060589A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1D7F4EFF"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Zālāju pļaušana ar siena vai zāles savākšanu un vai/ganīšana</w:t>
            </w:r>
          </w:p>
          <w:p w14:paraId="3806595D" w14:textId="77777777" w:rsidR="00864E55" w:rsidRPr="00675182" w:rsidRDefault="00864E55" w:rsidP="00864E55">
            <w:pPr>
              <w:pStyle w:val="naisf"/>
              <w:snapToGrid w:val="0"/>
              <w:ind w:firstLine="0"/>
              <w:jc w:val="left"/>
              <w:rPr>
                <w:rFonts w:cstheme="minorHAnsi"/>
                <w:sz w:val="20"/>
                <w:lang w:val="lv-LV"/>
              </w:rPr>
            </w:pPr>
          </w:p>
        </w:tc>
        <w:tc>
          <w:tcPr>
            <w:tcW w:w="1699" w:type="dxa"/>
            <w:tcBorders>
              <w:top w:val="single" w:sz="4" w:space="0" w:color="000000"/>
              <w:left w:val="single" w:sz="4" w:space="0" w:color="000000"/>
              <w:bottom w:val="single" w:sz="4" w:space="0" w:color="000000"/>
            </w:tcBorders>
          </w:tcPr>
          <w:p w14:paraId="669F1E9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I, regulāri sākot no 2023. gada </w:t>
            </w:r>
          </w:p>
        </w:tc>
        <w:tc>
          <w:tcPr>
            <w:tcW w:w="2124" w:type="dxa"/>
            <w:tcBorders>
              <w:top w:val="single" w:sz="4" w:space="0" w:color="000000"/>
              <w:left w:val="single" w:sz="4" w:space="0" w:color="000000"/>
              <w:bottom w:val="single" w:sz="4" w:space="0" w:color="000000"/>
            </w:tcBorders>
          </w:tcPr>
          <w:p w14:paraId="0166B1C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Zālāju īpašnieki (privātīpašnieki, pašvaldības, valsts iestādes), LAD Agrovides BDUZ (biodaudzveidības saglabāšana zālājos) maksājumi</w:t>
            </w:r>
          </w:p>
          <w:p w14:paraId="5BBFB87F" w14:textId="77777777" w:rsidR="00864E55" w:rsidRPr="00675182" w:rsidRDefault="00864E55" w:rsidP="00864E55">
            <w:pPr>
              <w:pStyle w:val="naisf"/>
              <w:snapToGrid w:val="0"/>
              <w:spacing w:before="0" w:after="0"/>
              <w:ind w:firstLine="0"/>
              <w:jc w:val="left"/>
              <w:rPr>
                <w:rFonts w:cstheme="minorHAnsi"/>
                <w:sz w:val="20"/>
                <w:lang w:val="lv-LV"/>
              </w:rPr>
            </w:pPr>
          </w:p>
        </w:tc>
        <w:tc>
          <w:tcPr>
            <w:tcW w:w="1991" w:type="dxa"/>
            <w:tcBorders>
              <w:top w:val="single" w:sz="4" w:space="0" w:color="000000"/>
              <w:left w:val="single" w:sz="4" w:space="0" w:color="000000"/>
              <w:bottom w:val="single" w:sz="4" w:space="0" w:color="000000"/>
            </w:tcBorders>
          </w:tcPr>
          <w:p w14:paraId="6515D4B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Zālāju īpašnieki vai zemes nomnieki (privātīpašnieki, pašvaldības, valsts iestādes).</w:t>
            </w:r>
          </w:p>
        </w:tc>
        <w:tc>
          <w:tcPr>
            <w:tcW w:w="1577" w:type="dxa"/>
            <w:tcBorders>
              <w:top w:val="single" w:sz="4" w:space="0" w:color="000000"/>
              <w:left w:val="single" w:sz="4" w:space="0" w:color="000000"/>
              <w:bottom w:val="single" w:sz="4" w:space="0" w:color="000000"/>
            </w:tcBorders>
          </w:tcPr>
          <w:p w14:paraId="118EBACA" w14:textId="10075F1D" w:rsidR="00864E55" w:rsidRPr="00675182" w:rsidRDefault="00864E55" w:rsidP="00864E55">
            <w:pPr>
              <w:autoSpaceDE w:val="0"/>
              <w:snapToGrid w:val="0"/>
              <w:rPr>
                <w:rFonts w:cstheme="minorHAnsi"/>
                <w:sz w:val="20"/>
              </w:rPr>
            </w:pPr>
            <w:r w:rsidRPr="00675182">
              <w:rPr>
                <w:rFonts w:cstheme="minorHAnsi"/>
                <w:sz w:val="20"/>
              </w:rPr>
              <w:t>Precīzi nav nosakāmas</w:t>
            </w:r>
            <w:r w:rsidR="003C3EC0" w:rsidRPr="00675182">
              <w:rPr>
                <w:rFonts w:cstheme="minorHAnsi"/>
                <w:sz w:val="20"/>
              </w:rPr>
              <w:t>, no ~</w:t>
            </w:r>
            <w:r w:rsidR="005C0879">
              <w:rPr>
                <w:rFonts w:cstheme="minorHAnsi"/>
                <w:sz w:val="20"/>
              </w:rPr>
              <w:t>2</w:t>
            </w:r>
            <w:r w:rsidR="003C3EC0" w:rsidRPr="00675182">
              <w:rPr>
                <w:rFonts w:cstheme="minorHAnsi"/>
                <w:sz w:val="20"/>
              </w:rPr>
              <w:t>00 eur/ha gadā</w:t>
            </w:r>
          </w:p>
        </w:tc>
        <w:tc>
          <w:tcPr>
            <w:tcW w:w="2428" w:type="dxa"/>
            <w:tcBorders>
              <w:top w:val="single" w:sz="4" w:space="0" w:color="000000"/>
              <w:left w:val="single" w:sz="4" w:space="0" w:color="000000"/>
              <w:bottom w:val="single" w:sz="4" w:space="0" w:color="000000"/>
              <w:right w:val="single" w:sz="4" w:space="0" w:color="000000"/>
            </w:tcBorders>
          </w:tcPr>
          <w:p w14:paraId="2BA09B5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Palielināts indikatorsugu daudzums aizsargājamajos zālāju biotopos. Zālāja strukturālā kvalitāte (invazīvās, ekspansīvās sugas, raksturīgās augu sabiedrības, daudzveidīgs stāvojums, labs lauksaimniecības stāvoklis) uzlabota vismaz 90,1 ha platībā (esošajos zālāju biotopos)</w:t>
            </w:r>
          </w:p>
        </w:tc>
      </w:tr>
      <w:tr w:rsidR="00864E55" w:rsidRPr="00675182" w14:paraId="28C75CA7" w14:textId="77777777" w:rsidTr="00E21287">
        <w:tc>
          <w:tcPr>
            <w:tcW w:w="872" w:type="dxa"/>
            <w:tcBorders>
              <w:top w:val="single" w:sz="4" w:space="0" w:color="000000"/>
              <w:left w:val="single" w:sz="4" w:space="0" w:color="000000"/>
              <w:bottom w:val="single" w:sz="4" w:space="0" w:color="000000"/>
            </w:tcBorders>
          </w:tcPr>
          <w:p w14:paraId="480CFF8E"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B.3.2.</w:t>
            </w:r>
          </w:p>
        </w:tc>
        <w:tc>
          <w:tcPr>
            <w:tcW w:w="850" w:type="dxa"/>
            <w:tcBorders>
              <w:top w:val="single" w:sz="4" w:space="0" w:color="000000"/>
              <w:left w:val="single" w:sz="4" w:space="0" w:color="000000"/>
              <w:bottom w:val="single" w:sz="4" w:space="0" w:color="000000"/>
            </w:tcBorders>
          </w:tcPr>
          <w:p w14:paraId="35B4BE82"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B.3.</w:t>
            </w:r>
          </w:p>
          <w:p w14:paraId="71FD457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1C5F921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197479DD" w14:textId="77777777" w:rsidR="00864E55" w:rsidRPr="00675182" w:rsidRDefault="00864E55" w:rsidP="00864E55">
            <w:pPr>
              <w:pStyle w:val="naisf"/>
              <w:snapToGrid w:val="0"/>
              <w:ind w:firstLine="0"/>
              <w:jc w:val="left"/>
              <w:rPr>
                <w:rFonts w:cstheme="minorHAnsi"/>
                <w:sz w:val="20"/>
                <w:lang w:val="lv-LV"/>
              </w:rPr>
            </w:pPr>
            <w:r w:rsidRPr="00675182">
              <w:rPr>
                <w:rFonts w:ascii="Calibri" w:hAnsi="Calibri"/>
                <w:color w:val="000000"/>
                <w:sz w:val="20"/>
                <w:lang w:val="lv-LV"/>
              </w:rPr>
              <w:t>Atjaunojoša pļaušana un ganīšana zālāju biotopiem</w:t>
            </w:r>
          </w:p>
        </w:tc>
        <w:tc>
          <w:tcPr>
            <w:tcW w:w="1699" w:type="dxa"/>
            <w:tcBorders>
              <w:top w:val="single" w:sz="4" w:space="0" w:color="000000"/>
              <w:left w:val="single" w:sz="4" w:space="0" w:color="000000"/>
              <w:bottom w:val="single" w:sz="4" w:space="0" w:color="000000"/>
            </w:tcBorders>
          </w:tcPr>
          <w:p w14:paraId="2473D04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0A0A081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LAP finansējums, privāti līdzekļi</w:t>
            </w:r>
          </w:p>
        </w:tc>
        <w:tc>
          <w:tcPr>
            <w:tcW w:w="1991" w:type="dxa"/>
            <w:tcBorders>
              <w:top w:val="single" w:sz="4" w:space="0" w:color="000000"/>
              <w:left w:val="single" w:sz="4" w:space="0" w:color="000000"/>
              <w:bottom w:val="single" w:sz="4" w:space="0" w:color="000000"/>
            </w:tcBorders>
          </w:tcPr>
          <w:p w14:paraId="3DE51B1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pašvaldības, zemes īpašnieki</w:t>
            </w:r>
          </w:p>
        </w:tc>
        <w:tc>
          <w:tcPr>
            <w:tcW w:w="1577" w:type="dxa"/>
            <w:tcBorders>
              <w:top w:val="single" w:sz="4" w:space="0" w:color="000000"/>
              <w:left w:val="single" w:sz="4" w:space="0" w:color="000000"/>
              <w:bottom w:val="single" w:sz="4" w:space="0" w:color="000000"/>
            </w:tcBorders>
          </w:tcPr>
          <w:p w14:paraId="194D3F2A" w14:textId="02DD25C9" w:rsidR="00864E55" w:rsidRPr="00675182" w:rsidRDefault="00864E55" w:rsidP="00864E55">
            <w:pPr>
              <w:autoSpaceDE w:val="0"/>
              <w:snapToGrid w:val="0"/>
              <w:rPr>
                <w:rFonts w:cstheme="minorHAnsi"/>
                <w:sz w:val="20"/>
              </w:rPr>
            </w:pPr>
            <w:r w:rsidRPr="00675182">
              <w:rPr>
                <w:rFonts w:cstheme="minorHAnsi"/>
                <w:sz w:val="20"/>
              </w:rPr>
              <w:t>Nav precīzi nosakāmas, atkarīgs no situācijas konkrētā zālājā</w:t>
            </w:r>
            <w:r w:rsidR="003C3EC0" w:rsidRPr="00675182">
              <w:rPr>
                <w:rFonts w:cstheme="minorHAnsi"/>
                <w:sz w:val="20"/>
              </w:rPr>
              <w:t>, no ~</w:t>
            </w:r>
            <w:r w:rsidR="00636B41">
              <w:rPr>
                <w:rFonts w:cstheme="minorHAnsi"/>
                <w:sz w:val="20"/>
              </w:rPr>
              <w:t>25</w:t>
            </w:r>
            <w:r w:rsidR="003C3EC0" w:rsidRPr="00675182">
              <w:rPr>
                <w:rFonts w:cstheme="minorHAnsi"/>
                <w:sz w:val="20"/>
              </w:rPr>
              <w:t>0 eur/ha gadā</w:t>
            </w:r>
            <w:r w:rsidRPr="00675182">
              <w:rPr>
                <w:rFonts w:cstheme="minorHAnsi"/>
                <w:sz w:val="20"/>
              </w:rPr>
              <w:t xml:space="preserve"> </w:t>
            </w:r>
          </w:p>
        </w:tc>
        <w:tc>
          <w:tcPr>
            <w:tcW w:w="2428" w:type="dxa"/>
            <w:tcBorders>
              <w:top w:val="single" w:sz="4" w:space="0" w:color="000000"/>
              <w:left w:val="single" w:sz="4" w:space="0" w:color="000000"/>
              <w:bottom w:val="single" w:sz="4" w:space="0" w:color="000000"/>
              <w:right w:val="single" w:sz="4" w:space="0" w:color="000000"/>
            </w:tcBorders>
          </w:tcPr>
          <w:p w14:paraId="437CE0C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Uzlabota zālāju biotopu strukturālā un botāniskā kvalitāte </w:t>
            </w:r>
            <w:r w:rsidRPr="00675182">
              <w:rPr>
                <w:rFonts w:ascii="Calibri" w:hAnsi="Calibri"/>
                <w:color w:val="000000"/>
                <w:sz w:val="20"/>
                <w:lang w:val="lv-LV"/>
              </w:rPr>
              <w:t>412,3 ha platībā.</w:t>
            </w:r>
          </w:p>
        </w:tc>
      </w:tr>
      <w:tr w:rsidR="00864E55" w:rsidRPr="00675182" w14:paraId="74099989" w14:textId="77777777" w:rsidTr="00E21287">
        <w:tc>
          <w:tcPr>
            <w:tcW w:w="872" w:type="dxa"/>
            <w:tcBorders>
              <w:top w:val="single" w:sz="4" w:space="0" w:color="000000"/>
              <w:left w:val="single" w:sz="4" w:space="0" w:color="000000"/>
              <w:bottom w:val="single" w:sz="4" w:space="0" w:color="000000"/>
            </w:tcBorders>
          </w:tcPr>
          <w:p w14:paraId="033A34E9"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B.3.3.</w:t>
            </w:r>
          </w:p>
        </w:tc>
        <w:tc>
          <w:tcPr>
            <w:tcW w:w="850" w:type="dxa"/>
            <w:tcBorders>
              <w:top w:val="single" w:sz="4" w:space="0" w:color="000000"/>
              <w:left w:val="single" w:sz="4" w:space="0" w:color="000000"/>
              <w:bottom w:val="single" w:sz="4" w:space="0" w:color="000000"/>
            </w:tcBorders>
          </w:tcPr>
          <w:p w14:paraId="6B0C71A2"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B.3.</w:t>
            </w:r>
          </w:p>
          <w:p w14:paraId="57704D6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0A55B15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148169C5" w14:textId="77777777" w:rsidR="00864E55" w:rsidRPr="00675182" w:rsidRDefault="00864E55" w:rsidP="00864E55">
            <w:pPr>
              <w:pStyle w:val="naisf"/>
              <w:snapToGrid w:val="0"/>
              <w:ind w:firstLine="0"/>
              <w:jc w:val="left"/>
              <w:rPr>
                <w:rFonts w:cstheme="minorHAnsi"/>
                <w:sz w:val="20"/>
                <w:lang w:val="lv-LV"/>
              </w:rPr>
            </w:pPr>
            <w:r w:rsidRPr="00675182">
              <w:rPr>
                <w:rFonts w:ascii="Calibri" w:hAnsi="Calibri"/>
                <w:color w:val="000000"/>
                <w:sz w:val="20"/>
                <w:lang w:val="lv-LV"/>
              </w:rPr>
              <w:t>Kūlas un sūnu ierobežošana zālāju biotopos</w:t>
            </w:r>
          </w:p>
        </w:tc>
        <w:tc>
          <w:tcPr>
            <w:tcW w:w="1699" w:type="dxa"/>
            <w:tcBorders>
              <w:top w:val="single" w:sz="4" w:space="0" w:color="000000"/>
              <w:left w:val="single" w:sz="4" w:space="0" w:color="000000"/>
              <w:bottom w:val="single" w:sz="4" w:space="0" w:color="000000"/>
            </w:tcBorders>
          </w:tcPr>
          <w:p w14:paraId="43C3542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37802EB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LAP finansējums, privāti līdzekļi</w:t>
            </w:r>
          </w:p>
        </w:tc>
        <w:tc>
          <w:tcPr>
            <w:tcW w:w="1991" w:type="dxa"/>
            <w:tcBorders>
              <w:top w:val="single" w:sz="4" w:space="0" w:color="000000"/>
              <w:left w:val="single" w:sz="4" w:space="0" w:color="000000"/>
              <w:bottom w:val="single" w:sz="4" w:space="0" w:color="000000"/>
            </w:tcBorders>
          </w:tcPr>
          <w:p w14:paraId="4B8DE8F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pašvaldības, zemes īpašnieki</w:t>
            </w:r>
          </w:p>
        </w:tc>
        <w:tc>
          <w:tcPr>
            <w:tcW w:w="1577" w:type="dxa"/>
            <w:tcBorders>
              <w:top w:val="single" w:sz="4" w:space="0" w:color="000000"/>
              <w:left w:val="single" w:sz="4" w:space="0" w:color="000000"/>
              <w:bottom w:val="single" w:sz="4" w:space="0" w:color="000000"/>
            </w:tcBorders>
          </w:tcPr>
          <w:p w14:paraId="1E2E4F0D" w14:textId="607AB3F7" w:rsidR="00864E55" w:rsidRPr="00675182" w:rsidRDefault="00A3421A" w:rsidP="00864E55">
            <w:pPr>
              <w:autoSpaceDE w:val="0"/>
              <w:snapToGrid w:val="0"/>
              <w:rPr>
                <w:rFonts w:cstheme="minorHAnsi"/>
                <w:sz w:val="20"/>
              </w:rPr>
            </w:pPr>
            <w:r w:rsidRPr="00675182">
              <w:rPr>
                <w:rFonts w:cstheme="minorHAnsi"/>
                <w:sz w:val="20"/>
              </w:rPr>
              <w:t>A</w:t>
            </w:r>
            <w:r w:rsidR="00864E55" w:rsidRPr="00675182">
              <w:rPr>
                <w:rFonts w:cstheme="minorHAnsi"/>
                <w:sz w:val="20"/>
              </w:rPr>
              <w:t>tkarīgs no situācijas konkrētā zālājā</w:t>
            </w:r>
            <w:r w:rsidR="003C3EC0" w:rsidRPr="00675182">
              <w:rPr>
                <w:rFonts w:cstheme="minorHAnsi"/>
                <w:sz w:val="20"/>
              </w:rPr>
              <w:t xml:space="preserve">, </w:t>
            </w:r>
            <w:r w:rsidRPr="00675182">
              <w:rPr>
                <w:rFonts w:cstheme="minorHAnsi"/>
                <w:sz w:val="20"/>
              </w:rPr>
              <w:t>~800 EUR/ha zālāja virsmas apstrāde</w:t>
            </w:r>
          </w:p>
        </w:tc>
        <w:tc>
          <w:tcPr>
            <w:tcW w:w="2428" w:type="dxa"/>
            <w:tcBorders>
              <w:top w:val="single" w:sz="4" w:space="0" w:color="000000"/>
              <w:left w:val="single" w:sz="4" w:space="0" w:color="000000"/>
              <w:bottom w:val="single" w:sz="4" w:space="0" w:color="000000"/>
              <w:right w:val="single" w:sz="4" w:space="0" w:color="000000"/>
            </w:tcBorders>
          </w:tcPr>
          <w:p w14:paraId="719B75F8" w14:textId="05F27DD4"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Uzlabota zālāju biotopu strukturālā un botāniskā kvalitāte </w:t>
            </w:r>
            <w:r w:rsidRPr="00675182">
              <w:rPr>
                <w:rFonts w:ascii="Calibri" w:hAnsi="Calibri"/>
                <w:color w:val="000000"/>
                <w:sz w:val="20"/>
                <w:lang w:val="lv-LV"/>
              </w:rPr>
              <w:t>167,5 ha platībā.</w:t>
            </w:r>
          </w:p>
        </w:tc>
      </w:tr>
      <w:tr w:rsidR="00864E55" w:rsidRPr="00675182" w14:paraId="765CA9AA" w14:textId="77777777" w:rsidTr="00E21287">
        <w:tc>
          <w:tcPr>
            <w:tcW w:w="872" w:type="dxa"/>
            <w:tcBorders>
              <w:top w:val="single" w:sz="4" w:space="0" w:color="000000"/>
              <w:left w:val="single" w:sz="4" w:space="0" w:color="000000"/>
              <w:bottom w:val="single" w:sz="4" w:space="0" w:color="000000"/>
            </w:tcBorders>
          </w:tcPr>
          <w:p w14:paraId="2F541315"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B.3.4.</w:t>
            </w:r>
          </w:p>
        </w:tc>
        <w:tc>
          <w:tcPr>
            <w:tcW w:w="850" w:type="dxa"/>
            <w:tcBorders>
              <w:top w:val="single" w:sz="4" w:space="0" w:color="000000"/>
              <w:left w:val="single" w:sz="4" w:space="0" w:color="000000"/>
              <w:bottom w:val="single" w:sz="4" w:space="0" w:color="000000"/>
            </w:tcBorders>
          </w:tcPr>
          <w:p w14:paraId="476CDF46"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B.3.</w:t>
            </w:r>
          </w:p>
          <w:p w14:paraId="36BE67A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419C639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27A5687B"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Zālāju virsmas nolīdzināšana</w:t>
            </w:r>
          </w:p>
        </w:tc>
        <w:tc>
          <w:tcPr>
            <w:tcW w:w="1699" w:type="dxa"/>
            <w:tcBorders>
              <w:top w:val="single" w:sz="4" w:space="0" w:color="000000"/>
              <w:left w:val="single" w:sz="4" w:space="0" w:color="000000"/>
              <w:bottom w:val="single" w:sz="4" w:space="0" w:color="000000"/>
            </w:tcBorders>
          </w:tcPr>
          <w:p w14:paraId="0FA5FB3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6DA45B1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LAP finansējums, privāti līdzekļi</w:t>
            </w:r>
          </w:p>
        </w:tc>
        <w:tc>
          <w:tcPr>
            <w:tcW w:w="1991" w:type="dxa"/>
            <w:tcBorders>
              <w:top w:val="single" w:sz="4" w:space="0" w:color="000000"/>
              <w:left w:val="single" w:sz="4" w:space="0" w:color="000000"/>
              <w:bottom w:val="single" w:sz="4" w:space="0" w:color="000000"/>
            </w:tcBorders>
          </w:tcPr>
          <w:p w14:paraId="5546FB2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pašvaldības, zemes īpašnieki</w:t>
            </w:r>
          </w:p>
        </w:tc>
        <w:tc>
          <w:tcPr>
            <w:tcW w:w="1577" w:type="dxa"/>
            <w:tcBorders>
              <w:top w:val="single" w:sz="4" w:space="0" w:color="000000"/>
              <w:left w:val="single" w:sz="4" w:space="0" w:color="000000"/>
              <w:bottom w:val="single" w:sz="4" w:space="0" w:color="000000"/>
            </w:tcBorders>
          </w:tcPr>
          <w:p w14:paraId="1F1D44B5" w14:textId="20A81937" w:rsidR="00864E55" w:rsidRPr="00675182" w:rsidRDefault="00A3421A" w:rsidP="00864E55">
            <w:pPr>
              <w:autoSpaceDE w:val="0"/>
              <w:snapToGrid w:val="0"/>
              <w:rPr>
                <w:rFonts w:cstheme="minorHAnsi"/>
                <w:sz w:val="20"/>
              </w:rPr>
            </w:pPr>
            <w:r w:rsidRPr="00675182">
              <w:rPr>
                <w:rFonts w:cstheme="minorHAnsi"/>
                <w:sz w:val="20"/>
              </w:rPr>
              <w:t>A</w:t>
            </w:r>
            <w:r w:rsidR="00864E55" w:rsidRPr="00675182">
              <w:rPr>
                <w:rFonts w:cstheme="minorHAnsi"/>
                <w:sz w:val="20"/>
              </w:rPr>
              <w:t>tkarīgs no situācijas konkrētā zālājā</w:t>
            </w:r>
            <w:r w:rsidR="003C3EC0" w:rsidRPr="00675182">
              <w:rPr>
                <w:rFonts w:cstheme="minorHAnsi"/>
                <w:sz w:val="20"/>
              </w:rPr>
              <w:t xml:space="preserve">, </w:t>
            </w:r>
            <w:r w:rsidRPr="00675182">
              <w:rPr>
                <w:rFonts w:cstheme="minorHAnsi"/>
                <w:sz w:val="20"/>
              </w:rPr>
              <w:t>~800 EUR/ha viegla frēzēšana un diskošana</w:t>
            </w:r>
          </w:p>
        </w:tc>
        <w:tc>
          <w:tcPr>
            <w:tcW w:w="2428" w:type="dxa"/>
            <w:tcBorders>
              <w:top w:val="single" w:sz="4" w:space="0" w:color="000000"/>
              <w:left w:val="single" w:sz="4" w:space="0" w:color="000000"/>
              <w:bottom w:val="single" w:sz="4" w:space="0" w:color="000000"/>
              <w:right w:val="single" w:sz="4" w:space="0" w:color="000000"/>
            </w:tcBorders>
          </w:tcPr>
          <w:p w14:paraId="40E1A92C"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 xml:space="preserve">Uzlabotas zālāju apsaimniekošanas iespējas, sasniegts labs lauksaimniecības stāvoklis </w:t>
            </w:r>
          </w:p>
          <w:p w14:paraId="2C23D98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ascii="Calibri" w:hAnsi="Calibri"/>
                <w:color w:val="000000"/>
                <w:sz w:val="20"/>
                <w:lang w:val="lv-LV"/>
              </w:rPr>
              <w:t xml:space="preserve">134,9 ha platībā. </w:t>
            </w:r>
          </w:p>
        </w:tc>
      </w:tr>
      <w:tr w:rsidR="00864E55" w:rsidRPr="00675182" w14:paraId="29397995" w14:textId="77777777" w:rsidTr="00E21287">
        <w:tc>
          <w:tcPr>
            <w:tcW w:w="872" w:type="dxa"/>
            <w:tcBorders>
              <w:top w:val="single" w:sz="4" w:space="0" w:color="000000"/>
              <w:left w:val="single" w:sz="4" w:space="0" w:color="000000"/>
              <w:bottom w:val="single" w:sz="4" w:space="0" w:color="000000"/>
            </w:tcBorders>
          </w:tcPr>
          <w:p w14:paraId="5BE5E39B"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B.3.5.</w:t>
            </w:r>
          </w:p>
        </w:tc>
        <w:tc>
          <w:tcPr>
            <w:tcW w:w="850" w:type="dxa"/>
            <w:tcBorders>
              <w:top w:val="single" w:sz="4" w:space="0" w:color="000000"/>
              <w:left w:val="single" w:sz="4" w:space="0" w:color="000000"/>
              <w:bottom w:val="single" w:sz="4" w:space="0" w:color="000000"/>
            </w:tcBorders>
          </w:tcPr>
          <w:p w14:paraId="1D598D19"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B.3.</w:t>
            </w:r>
          </w:p>
          <w:p w14:paraId="0F86BF1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3F5E9CD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2BB4C89E"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Koku un krūmu apauguma novākšana</w:t>
            </w:r>
          </w:p>
        </w:tc>
        <w:tc>
          <w:tcPr>
            <w:tcW w:w="1699" w:type="dxa"/>
            <w:tcBorders>
              <w:top w:val="single" w:sz="4" w:space="0" w:color="000000"/>
              <w:left w:val="single" w:sz="4" w:space="0" w:color="000000"/>
              <w:bottom w:val="single" w:sz="4" w:space="0" w:color="000000"/>
            </w:tcBorders>
          </w:tcPr>
          <w:p w14:paraId="5181125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5FA87AC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LAP finansējums, privāti līdzekļi</w:t>
            </w:r>
          </w:p>
        </w:tc>
        <w:tc>
          <w:tcPr>
            <w:tcW w:w="1991" w:type="dxa"/>
            <w:tcBorders>
              <w:top w:val="single" w:sz="4" w:space="0" w:color="000000"/>
              <w:left w:val="single" w:sz="4" w:space="0" w:color="000000"/>
              <w:bottom w:val="single" w:sz="4" w:space="0" w:color="000000"/>
            </w:tcBorders>
          </w:tcPr>
          <w:p w14:paraId="5D7A02F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pašvaldības, zemes īpašnieki</w:t>
            </w:r>
          </w:p>
        </w:tc>
        <w:tc>
          <w:tcPr>
            <w:tcW w:w="1577" w:type="dxa"/>
            <w:tcBorders>
              <w:top w:val="single" w:sz="4" w:space="0" w:color="000000"/>
              <w:left w:val="single" w:sz="4" w:space="0" w:color="000000"/>
              <w:bottom w:val="single" w:sz="4" w:space="0" w:color="000000"/>
            </w:tcBorders>
          </w:tcPr>
          <w:p w14:paraId="2CD0E186" w14:textId="34B4B561" w:rsidR="00864E55" w:rsidRPr="00675182" w:rsidRDefault="00A3421A" w:rsidP="00864E55">
            <w:pPr>
              <w:autoSpaceDE w:val="0"/>
              <w:snapToGrid w:val="0"/>
              <w:rPr>
                <w:rFonts w:cstheme="minorHAnsi"/>
                <w:sz w:val="20"/>
              </w:rPr>
            </w:pPr>
            <w:r w:rsidRPr="00675182">
              <w:rPr>
                <w:rFonts w:cstheme="minorHAnsi"/>
                <w:sz w:val="20"/>
              </w:rPr>
              <w:t>A</w:t>
            </w:r>
            <w:r w:rsidR="00864E55" w:rsidRPr="00675182">
              <w:rPr>
                <w:rFonts w:cstheme="minorHAnsi"/>
                <w:sz w:val="20"/>
              </w:rPr>
              <w:t>tkarīgs no situācijas konkrētā zālājā</w:t>
            </w:r>
            <w:r w:rsidR="003C3EC0" w:rsidRPr="00675182">
              <w:rPr>
                <w:rFonts w:cstheme="minorHAnsi"/>
                <w:sz w:val="20"/>
              </w:rPr>
              <w:t xml:space="preserve">, </w:t>
            </w:r>
            <w:r w:rsidR="00532137" w:rsidRPr="00675182">
              <w:rPr>
                <w:rFonts w:cstheme="minorHAnsi"/>
                <w:sz w:val="20"/>
              </w:rPr>
              <w:t xml:space="preserve">celmu un sakņu frēzēšana </w:t>
            </w:r>
            <w:r w:rsidR="003C3EC0" w:rsidRPr="00675182">
              <w:rPr>
                <w:rFonts w:cstheme="minorHAnsi"/>
                <w:sz w:val="20"/>
              </w:rPr>
              <w:t xml:space="preserve">no </w:t>
            </w:r>
            <w:r w:rsidRPr="00675182">
              <w:rPr>
                <w:rFonts w:cstheme="minorHAnsi"/>
                <w:sz w:val="20"/>
              </w:rPr>
              <w:t>~</w:t>
            </w:r>
            <w:r w:rsidR="00532137" w:rsidRPr="00675182">
              <w:rPr>
                <w:rFonts w:cstheme="minorHAnsi"/>
                <w:sz w:val="20"/>
              </w:rPr>
              <w:t xml:space="preserve">400 EUR/ha ar </w:t>
            </w:r>
          </w:p>
        </w:tc>
        <w:tc>
          <w:tcPr>
            <w:tcW w:w="2428" w:type="dxa"/>
            <w:tcBorders>
              <w:top w:val="single" w:sz="4" w:space="0" w:color="000000"/>
              <w:left w:val="single" w:sz="4" w:space="0" w:color="000000"/>
              <w:bottom w:val="single" w:sz="4" w:space="0" w:color="000000"/>
              <w:right w:val="single" w:sz="4" w:space="0" w:color="000000"/>
            </w:tcBorders>
          </w:tcPr>
          <w:p w14:paraId="6468AE10" w14:textId="77777777" w:rsidR="00864E55" w:rsidRPr="00675182" w:rsidRDefault="00864E55" w:rsidP="00864E55">
            <w:pPr>
              <w:pStyle w:val="naisf"/>
              <w:snapToGrid w:val="0"/>
              <w:spacing w:before="0" w:after="0" w:line="256" w:lineRule="auto"/>
              <w:ind w:firstLine="0"/>
              <w:jc w:val="left"/>
              <w:rPr>
                <w:rFonts w:ascii="Calibri" w:hAnsi="Calibri"/>
                <w:color w:val="000000"/>
                <w:sz w:val="20"/>
                <w:lang w:val="lv-LV"/>
              </w:rPr>
            </w:pPr>
            <w:r w:rsidRPr="00675182">
              <w:rPr>
                <w:rFonts w:cstheme="minorHAnsi"/>
                <w:sz w:val="20"/>
                <w:lang w:val="lv-LV"/>
              </w:rPr>
              <w:t xml:space="preserve">Uzlabota zālāju biotopu strukturālā un botāniskā kvalitāte </w:t>
            </w:r>
          </w:p>
          <w:p w14:paraId="1EEA9A9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ascii="Calibri" w:hAnsi="Calibri"/>
                <w:color w:val="000000"/>
                <w:sz w:val="20"/>
                <w:lang w:val="lv-LV"/>
              </w:rPr>
              <w:t>186,4 ha platībā.</w:t>
            </w:r>
          </w:p>
        </w:tc>
      </w:tr>
      <w:tr w:rsidR="00864E55" w:rsidRPr="00675182" w14:paraId="6E06103E" w14:textId="77777777" w:rsidTr="00E21287">
        <w:tc>
          <w:tcPr>
            <w:tcW w:w="872" w:type="dxa"/>
            <w:tcBorders>
              <w:top w:val="single" w:sz="4" w:space="0" w:color="000000"/>
              <w:left w:val="single" w:sz="4" w:space="0" w:color="000000"/>
              <w:bottom w:val="single" w:sz="4" w:space="0" w:color="000000"/>
            </w:tcBorders>
          </w:tcPr>
          <w:p w14:paraId="1CFA2418"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B.3.6.</w:t>
            </w:r>
          </w:p>
        </w:tc>
        <w:tc>
          <w:tcPr>
            <w:tcW w:w="850" w:type="dxa"/>
            <w:tcBorders>
              <w:top w:val="single" w:sz="4" w:space="0" w:color="000000"/>
              <w:left w:val="single" w:sz="4" w:space="0" w:color="000000"/>
              <w:bottom w:val="single" w:sz="4" w:space="0" w:color="000000"/>
            </w:tcBorders>
          </w:tcPr>
          <w:p w14:paraId="434773D3"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B.3.</w:t>
            </w:r>
          </w:p>
          <w:p w14:paraId="27334DF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76425D7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6B0941B3"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Mitruma režīma atjaunošana zālāju biotopos</w:t>
            </w:r>
          </w:p>
        </w:tc>
        <w:tc>
          <w:tcPr>
            <w:tcW w:w="1699" w:type="dxa"/>
            <w:tcBorders>
              <w:top w:val="single" w:sz="4" w:space="0" w:color="000000"/>
              <w:left w:val="single" w:sz="4" w:space="0" w:color="000000"/>
              <w:bottom w:val="single" w:sz="4" w:space="0" w:color="000000"/>
            </w:tcBorders>
          </w:tcPr>
          <w:p w14:paraId="5D2A605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3DBEF49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LAP finansējums, privāti līdzekļi</w:t>
            </w:r>
          </w:p>
        </w:tc>
        <w:tc>
          <w:tcPr>
            <w:tcW w:w="1991" w:type="dxa"/>
            <w:tcBorders>
              <w:top w:val="single" w:sz="4" w:space="0" w:color="000000"/>
              <w:left w:val="single" w:sz="4" w:space="0" w:color="000000"/>
              <w:bottom w:val="single" w:sz="4" w:space="0" w:color="000000"/>
            </w:tcBorders>
          </w:tcPr>
          <w:p w14:paraId="61BA693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pašvaldības, zemes īpašnieki</w:t>
            </w:r>
          </w:p>
        </w:tc>
        <w:tc>
          <w:tcPr>
            <w:tcW w:w="1577" w:type="dxa"/>
            <w:tcBorders>
              <w:top w:val="single" w:sz="4" w:space="0" w:color="000000"/>
              <w:left w:val="single" w:sz="4" w:space="0" w:color="000000"/>
              <w:bottom w:val="single" w:sz="4" w:space="0" w:color="000000"/>
            </w:tcBorders>
          </w:tcPr>
          <w:p w14:paraId="476483A8" w14:textId="23B8D2A4" w:rsidR="00864E55" w:rsidRPr="00675182" w:rsidRDefault="00E6402A" w:rsidP="00864E55">
            <w:pPr>
              <w:autoSpaceDE w:val="0"/>
              <w:snapToGrid w:val="0"/>
              <w:rPr>
                <w:rFonts w:cstheme="minorHAnsi"/>
                <w:sz w:val="20"/>
              </w:rPr>
            </w:pPr>
            <w:r w:rsidRPr="00675182">
              <w:rPr>
                <w:rFonts w:cstheme="minorHAnsi"/>
                <w:sz w:val="20"/>
              </w:rPr>
              <w:t>A</w:t>
            </w:r>
            <w:r w:rsidR="00864E55" w:rsidRPr="00675182">
              <w:rPr>
                <w:rFonts w:cstheme="minorHAnsi"/>
                <w:sz w:val="20"/>
              </w:rPr>
              <w:t>tkarīgs no situācijas konkrētā zālājā</w:t>
            </w:r>
            <w:r w:rsidRPr="00675182">
              <w:rPr>
                <w:rFonts w:cstheme="minorHAnsi"/>
                <w:sz w:val="20"/>
              </w:rPr>
              <w:t xml:space="preserve"> un platības, indikatīvi no ~2750 EUR/ha</w:t>
            </w:r>
          </w:p>
        </w:tc>
        <w:tc>
          <w:tcPr>
            <w:tcW w:w="2428" w:type="dxa"/>
            <w:tcBorders>
              <w:top w:val="single" w:sz="4" w:space="0" w:color="000000"/>
              <w:left w:val="single" w:sz="4" w:space="0" w:color="000000"/>
              <w:bottom w:val="single" w:sz="4" w:space="0" w:color="000000"/>
              <w:right w:val="single" w:sz="4" w:space="0" w:color="000000"/>
            </w:tcBorders>
          </w:tcPr>
          <w:p w14:paraId="761BA1D7"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 xml:space="preserve">Uzlabota zālāju strukturālā un botāniskā kvalitāte, atjaunots labs lauksaimniecības stāvoklis </w:t>
            </w:r>
          </w:p>
          <w:p w14:paraId="1D1C9ED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ascii="Calibri" w:hAnsi="Calibri"/>
                <w:color w:val="000000"/>
                <w:sz w:val="20"/>
                <w:lang w:val="lv-LV"/>
              </w:rPr>
              <w:t>15,8 ha platībā</w:t>
            </w:r>
          </w:p>
        </w:tc>
      </w:tr>
      <w:tr w:rsidR="00864E55" w:rsidRPr="00675182" w14:paraId="262AACED" w14:textId="77777777" w:rsidTr="00E21287">
        <w:tc>
          <w:tcPr>
            <w:tcW w:w="872" w:type="dxa"/>
            <w:tcBorders>
              <w:top w:val="single" w:sz="4" w:space="0" w:color="000000"/>
              <w:left w:val="single" w:sz="4" w:space="0" w:color="000000"/>
              <w:bottom w:val="single" w:sz="4" w:space="0" w:color="000000"/>
            </w:tcBorders>
          </w:tcPr>
          <w:p w14:paraId="79AA0392"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B.3.7.</w:t>
            </w:r>
          </w:p>
        </w:tc>
        <w:tc>
          <w:tcPr>
            <w:tcW w:w="850" w:type="dxa"/>
            <w:tcBorders>
              <w:top w:val="single" w:sz="4" w:space="0" w:color="000000"/>
              <w:left w:val="single" w:sz="4" w:space="0" w:color="000000"/>
              <w:bottom w:val="single" w:sz="4" w:space="0" w:color="000000"/>
            </w:tcBorders>
          </w:tcPr>
          <w:p w14:paraId="0A57EB5B"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B.3.</w:t>
            </w:r>
          </w:p>
          <w:p w14:paraId="69ECCA8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3C21F63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7DF00BD3"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Augsnes auglības samazināšana zālāju biotopos</w:t>
            </w:r>
          </w:p>
        </w:tc>
        <w:tc>
          <w:tcPr>
            <w:tcW w:w="1699" w:type="dxa"/>
            <w:tcBorders>
              <w:top w:val="single" w:sz="4" w:space="0" w:color="000000"/>
              <w:left w:val="single" w:sz="4" w:space="0" w:color="000000"/>
              <w:bottom w:val="single" w:sz="4" w:space="0" w:color="000000"/>
            </w:tcBorders>
          </w:tcPr>
          <w:p w14:paraId="7D02880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652A31D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LAP finansējums, privāti līdzekļi</w:t>
            </w:r>
          </w:p>
        </w:tc>
        <w:tc>
          <w:tcPr>
            <w:tcW w:w="1991" w:type="dxa"/>
            <w:tcBorders>
              <w:top w:val="single" w:sz="4" w:space="0" w:color="000000"/>
              <w:left w:val="single" w:sz="4" w:space="0" w:color="000000"/>
              <w:bottom w:val="single" w:sz="4" w:space="0" w:color="000000"/>
            </w:tcBorders>
          </w:tcPr>
          <w:p w14:paraId="1EC7CEB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pašvaldības, zemes īpašnieki</w:t>
            </w:r>
          </w:p>
        </w:tc>
        <w:tc>
          <w:tcPr>
            <w:tcW w:w="1577" w:type="dxa"/>
            <w:tcBorders>
              <w:top w:val="single" w:sz="4" w:space="0" w:color="000000"/>
              <w:left w:val="single" w:sz="4" w:space="0" w:color="000000"/>
              <w:bottom w:val="single" w:sz="4" w:space="0" w:color="000000"/>
            </w:tcBorders>
          </w:tcPr>
          <w:p w14:paraId="72521DBE" w14:textId="77777777" w:rsidR="00864E55" w:rsidRPr="00675182" w:rsidRDefault="00864E55" w:rsidP="00864E55">
            <w:pPr>
              <w:autoSpaceDE w:val="0"/>
              <w:snapToGrid w:val="0"/>
              <w:rPr>
                <w:rFonts w:cstheme="minorHAnsi"/>
                <w:sz w:val="20"/>
              </w:rPr>
            </w:pPr>
            <w:r w:rsidRPr="00675182">
              <w:rPr>
                <w:rFonts w:cstheme="minorHAnsi"/>
                <w:sz w:val="20"/>
              </w:rPr>
              <w:t>Nav precīzi nosakāmas, atkarīgs no situācijas konkrētā zālājā.</w:t>
            </w:r>
          </w:p>
        </w:tc>
        <w:tc>
          <w:tcPr>
            <w:tcW w:w="2428" w:type="dxa"/>
            <w:tcBorders>
              <w:top w:val="single" w:sz="4" w:space="0" w:color="000000"/>
              <w:left w:val="single" w:sz="4" w:space="0" w:color="000000"/>
              <w:bottom w:val="single" w:sz="4" w:space="0" w:color="000000"/>
              <w:right w:val="single" w:sz="4" w:space="0" w:color="000000"/>
            </w:tcBorders>
          </w:tcPr>
          <w:p w14:paraId="534BE501" w14:textId="77777777" w:rsidR="00864E55" w:rsidRPr="00675182" w:rsidRDefault="00864E55" w:rsidP="00864E55">
            <w:pPr>
              <w:pStyle w:val="naisf"/>
              <w:snapToGrid w:val="0"/>
              <w:spacing w:before="0" w:after="0" w:line="256" w:lineRule="auto"/>
              <w:ind w:firstLine="0"/>
              <w:jc w:val="left"/>
              <w:rPr>
                <w:rFonts w:ascii="Calibri" w:hAnsi="Calibri"/>
                <w:color w:val="000000"/>
                <w:sz w:val="20"/>
                <w:lang w:val="lv-LV"/>
              </w:rPr>
            </w:pPr>
            <w:r w:rsidRPr="00675182">
              <w:rPr>
                <w:rFonts w:cstheme="minorHAnsi"/>
                <w:sz w:val="20"/>
                <w:lang w:val="lv-LV"/>
              </w:rPr>
              <w:t xml:space="preserve">Uzlabota zālāju biotopu strukturālā un botāniskā kvalitāte </w:t>
            </w:r>
          </w:p>
          <w:p w14:paraId="219D2F4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ascii="Calibri" w:hAnsi="Calibri"/>
                <w:color w:val="000000"/>
                <w:sz w:val="20"/>
                <w:lang w:val="lv-LV"/>
              </w:rPr>
              <w:t>73,1 ha platībā.</w:t>
            </w:r>
          </w:p>
        </w:tc>
      </w:tr>
      <w:tr w:rsidR="00864E55" w:rsidRPr="00675182" w14:paraId="03EC3A83" w14:textId="77777777" w:rsidTr="00E21287">
        <w:tc>
          <w:tcPr>
            <w:tcW w:w="872" w:type="dxa"/>
            <w:tcBorders>
              <w:top w:val="single" w:sz="4" w:space="0" w:color="000000"/>
              <w:left w:val="single" w:sz="4" w:space="0" w:color="000000"/>
              <w:bottom w:val="single" w:sz="4" w:space="0" w:color="000000"/>
            </w:tcBorders>
          </w:tcPr>
          <w:p w14:paraId="4E38D18B"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B.3.8.</w:t>
            </w:r>
          </w:p>
        </w:tc>
        <w:tc>
          <w:tcPr>
            <w:tcW w:w="850" w:type="dxa"/>
            <w:tcBorders>
              <w:top w:val="single" w:sz="4" w:space="0" w:color="000000"/>
              <w:left w:val="single" w:sz="4" w:space="0" w:color="000000"/>
              <w:bottom w:val="single" w:sz="4" w:space="0" w:color="000000"/>
            </w:tcBorders>
          </w:tcPr>
          <w:p w14:paraId="74CBAC57"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B.3.</w:t>
            </w:r>
          </w:p>
          <w:p w14:paraId="449F868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36F9E6A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2C12722E"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Sugu sastāva mērķtiecīga veidošana</w:t>
            </w:r>
          </w:p>
        </w:tc>
        <w:tc>
          <w:tcPr>
            <w:tcW w:w="1699" w:type="dxa"/>
            <w:tcBorders>
              <w:top w:val="single" w:sz="4" w:space="0" w:color="000000"/>
              <w:left w:val="single" w:sz="4" w:space="0" w:color="000000"/>
              <w:bottom w:val="single" w:sz="4" w:space="0" w:color="000000"/>
            </w:tcBorders>
          </w:tcPr>
          <w:p w14:paraId="5AB31C8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245B8F9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LAP finansējums, privāti līdzekļi</w:t>
            </w:r>
          </w:p>
        </w:tc>
        <w:tc>
          <w:tcPr>
            <w:tcW w:w="1991" w:type="dxa"/>
            <w:tcBorders>
              <w:top w:val="single" w:sz="4" w:space="0" w:color="000000"/>
              <w:left w:val="single" w:sz="4" w:space="0" w:color="000000"/>
              <w:bottom w:val="single" w:sz="4" w:space="0" w:color="000000"/>
            </w:tcBorders>
          </w:tcPr>
          <w:p w14:paraId="67A04E1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pašvaldības, zemes īpašnieki</w:t>
            </w:r>
          </w:p>
        </w:tc>
        <w:tc>
          <w:tcPr>
            <w:tcW w:w="1577" w:type="dxa"/>
            <w:tcBorders>
              <w:top w:val="single" w:sz="4" w:space="0" w:color="000000"/>
              <w:left w:val="single" w:sz="4" w:space="0" w:color="000000"/>
              <w:bottom w:val="single" w:sz="4" w:space="0" w:color="000000"/>
            </w:tcBorders>
          </w:tcPr>
          <w:p w14:paraId="0BE00DEA" w14:textId="72D4F7FF" w:rsidR="00864E55" w:rsidRPr="00675182" w:rsidRDefault="00532137" w:rsidP="00864E55">
            <w:pPr>
              <w:autoSpaceDE w:val="0"/>
              <w:snapToGrid w:val="0"/>
              <w:rPr>
                <w:rFonts w:cstheme="minorHAnsi"/>
                <w:sz w:val="20"/>
              </w:rPr>
            </w:pPr>
            <w:r w:rsidRPr="00675182">
              <w:rPr>
                <w:rFonts w:cstheme="minorHAnsi"/>
                <w:sz w:val="20"/>
              </w:rPr>
              <w:t>~1700 EUR/ha</w:t>
            </w:r>
          </w:p>
        </w:tc>
        <w:tc>
          <w:tcPr>
            <w:tcW w:w="2428" w:type="dxa"/>
            <w:tcBorders>
              <w:top w:val="single" w:sz="4" w:space="0" w:color="000000"/>
              <w:left w:val="single" w:sz="4" w:space="0" w:color="000000"/>
              <w:bottom w:val="single" w:sz="4" w:space="0" w:color="000000"/>
              <w:right w:val="single" w:sz="4" w:space="0" w:color="000000"/>
            </w:tcBorders>
          </w:tcPr>
          <w:p w14:paraId="2D8289C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Palielināts indikatorsugu un dabiskiem zālājiem raksturīgo sugu daudzums, veicinot zālāju botānisko kvalitāti </w:t>
            </w:r>
            <w:r w:rsidRPr="00675182">
              <w:rPr>
                <w:rFonts w:ascii="Calibri" w:hAnsi="Calibri"/>
                <w:color w:val="000000"/>
                <w:sz w:val="20"/>
                <w:lang w:val="lv-LV"/>
              </w:rPr>
              <w:t xml:space="preserve">58,3 ha platībā. </w:t>
            </w:r>
          </w:p>
        </w:tc>
      </w:tr>
      <w:tr w:rsidR="00864E55" w:rsidRPr="00675182" w14:paraId="24D79C09" w14:textId="77777777" w:rsidTr="00E21287">
        <w:tc>
          <w:tcPr>
            <w:tcW w:w="872" w:type="dxa"/>
            <w:tcBorders>
              <w:top w:val="single" w:sz="4" w:space="0" w:color="000000"/>
              <w:left w:val="single" w:sz="4" w:space="0" w:color="000000"/>
              <w:bottom w:val="single" w:sz="4" w:space="0" w:color="000000"/>
            </w:tcBorders>
          </w:tcPr>
          <w:p w14:paraId="188D754E"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B.3.9.</w:t>
            </w:r>
          </w:p>
        </w:tc>
        <w:tc>
          <w:tcPr>
            <w:tcW w:w="850" w:type="dxa"/>
            <w:tcBorders>
              <w:top w:val="single" w:sz="4" w:space="0" w:color="000000"/>
              <w:left w:val="single" w:sz="4" w:space="0" w:color="000000"/>
              <w:bottom w:val="single" w:sz="4" w:space="0" w:color="000000"/>
            </w:tcBorders>
          </w:tcPr>
          <w:p w14:paraId="05D9F048"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B.3.</w:t>
            </w:r>
          </w:p>
          <w:p w14:paraId="14E39D73"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B.6.</w:t>
            </w:r>
          </w:p>
          <w:p w14:paraId="7B1C0D7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B.7.</w:t>
            </w:r>
          </w:p>
          <w:p w14:paraId="7E3D22A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0A68840C"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Nevēlamu sugu ierobežošana</w:t>
            </w:r>
          </w:p>
        </w:tc>
        <w:tc>
          <w:tcPr>
            <w:tcW w:w="1699" w:type="dxa"/>
            <w:tcBorders>
              <w:top w:val="single" w:sz="4" w:space="0" w:color="000000"/>
              <w:left w:val="single" w:sz="4" w:space="0" w:color="000000"/>
              <w:bottom w:val="single" w:sz="4" w:space="0" w:color="000000"/>
            </w:tcBorders>
          </w:tcPr>
          <w:p w14:paraId="669E663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65C381F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 LAP finansējums, privāti līdzekļi</w:t>
            </w:r>
          </w:p>
        </w:tc>
        <w:tc>
          <w:tcPr>
            <w:tcW w:w="1991" w:type="dxa"/>
            <w:tcBorders>
              <w:top w:val="single" w:sz="4" w:space="0" w:color="000000"/>
              <w:left w:val="single" w:sz="4" w:space="0" w:color="000000"/>
              <w:bottom w:val="single" w:sz="4" w:space="0" w:color="000000"/>
            </w:tcBorders>
          </w:tcPr>
          <w:p w14:paraId="185D35C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pašvaldības, zemes īpašnieki</w:t>
            </w:r>
          </w:p>
        </w:tc>
        <w:tc>
          <w:tcPr>
            <w:tcW w:w="1577" w:type="dxa"/>
            <w:tcBorders>
              <w:top w:val="single" w:sz="4" w:space="0" w:color="000000"/>
              <w:left w:val="single" w:sz="4" w:space="0" w:color="000000"/>
              <w:bottom w:val="single" w:sz="4" w:space="0" w:color="000000"/>
            </w:tcBorders>
          </w:tcPr>
          <w:p w14:paraId="4AE5A9E0" w14:textId="3D2A876C" w:rsidR="00864E55" w:rsidRPr="00675182" w:rsidRDefault="00532137" w:rsidP="00864E55">
            <w:pPr>
              <w:autoSpaceDE w:val="0"/>
              <w:snapToGrid w:val="0"/>
              <w:rPr>
                <w:rFonts w:cstheme="minorHAnsi"/>
                <w:sz w:val="20"/>
              </w:rPr>
            </w:pPr>
            <w:r w:rsidRPr="00675182">
              <w:rPr>
                <w:rFonts w:cstheme="minorHAnsi"/>
                <w:sz w:val="20"/>
              </w:rPr>
              <w:t>A</w:t>
            </w:r>
            <w:r w:rsidR="00864E55" w:rsidRPr="00675182">
              <w:rPr>
                <w:rFonts w:cstheme="minorHAnsi"/>
                <w:sz w:val="20"/>
              </w:rPr>
              <w:t>tkarīgs no situācijas konkrētā zālājā</w:t>
            </w:r>
            <w:r w:rsidR="003C3EC0" w:rsidRPr="00675182">
              <w:rPr>
                <w:rFonts w:cstheme="minorHAnsi"/>
                <w:sz w:val="20"/>
              </w:rPr>
              <w:t xml:space="preserve">, </w:t>
            </w:r>
            <w:r w:rsidRPr="00675182">
              <w:rPr>
                <w:rFonts w:cstheme="minorHAnsi"/>
                <w:sz w:val="20"/>
              </w:rPr>
              <w:t xml:space="preserve">~1200 EUR/ha </w:t>
            </w:r>
            <w:r w:rsidRPr="00675182">
              <w:rPr>
                <w:rFonts w:cstheme="minorHAnsi"/>
                <w:sz w:val="20"/>
              </w:rPr>
              <w:lastRenderedPageBreak/>
              <w:t>gadā vairākkārtēja pļaušana ar novākšanu</w:t>
            </w:r>
          </w:p>
        </w:tc>
        <w:tc>
          <w:tcPr>
            <w:tcW w:w="2428" w:type="dxa"/>
            <w:tcBorders>
              <w:top w:val="single" w:sz="4" w:space="0" w:color="000000"/>
              <w:left w:val="single" w:sz="4" w:space="0" w:color="000000"/>
              <w:bottom w:val="single" w:sz="4" w:space="0" w:color="000000"/>
              <w:right w:val="single" w:sz="4" w:space="0" w:color="000000"/>
            </w:tcBorders>
          </w:tcPr>
          <w:p w14:paraId="67B2DD40" w14:textId="1AE0319E"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lastRenderedPageBreak/>
              <w:t>Ekspansīvo un invazīvo sugu izplatība samazinā</w:t>
            </w:r>
            <w:r w:rsidR="00D70D45">
              <w:rPr>
                <w:rFonts w:cstheme="minorHAnsi"/>
                <w:sz w:val="20"/>
                <w:lang w:val="lv-LV"/>
              </w:rPr>
              <w:t>ta</w:t>
            </w:r>
            <w:r w:rsidRPr="00675182">
              <w:rPr>
                <w:rFonts w:cstheme="minorHAnsi"/>
                <w:sz w:val="20"/>
                <w:lang w:val="lv-LV"/>
              </w:rPr>
              <w:t>, ierobežo</w:t>
            </w:r>
            <w:r w:rsidR="00D70D45">
              <w:rPr>
                <w:rFonts w:cstheme="minorHAnsi"/>
                <w:sz w:val="20"/>
                <w:lang w:val="lv-LV"/>
              </w:rPr>
              <w:t>ta</w:t>
            </w:r>
            <w:r w:rsidRPr="00675182">
              <w:rPr>
                <w:rFonts w:cstheme="minorHAnsi"/>
                <w:sz w:val="20"/>
                <w:lang w:val="lv-LV"/>
              </w:rPr>
              <w:t xml:space="preserve"> </w:t>
            </w:r>
            <w:r w:rsidR="0082362E" w:rsidRPr="00675182">
              <w:rPr>
                <w:rFonts w:cstheme="minorHAnsi"/>
                <w:sz w:val="20"/>
                <w:lang w:val="lv-LV"/>
              </w:rPr>
              <w:t>vismaz</w:t>
            </w:r>
          </w:p>
          <w:p w14:paraId="53DEC92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ascii="Calibri" w:hAnsi="Calibri"/>
                <w:color w:val="000000"/>
                <w:sz w:val="20"/>
                <w:lang w:val="lv-LV"/>
              </w:rPr>
              <w:t xml:space="preserve">481,3 ha platībā. </w:t>
            </w:r>
          </w:p>
        </w:tc>
      </w:tr>
      <w:tr w:rsidR="00864E55" w:rsidRPr="00675182" w14:paraId="65FCB817" w14:textId="77777777" w:rsidTr="00E21287">
        <w:tc>
          <w:tcPr>
            <w:tcW w:w="872" w:type="dxa"/>
            <w:tcBorders>
              <w:top w:val="single" w:sz="4" w:space="0" w:color="000000"/>
              <w:left w:val="single" w:sz="4" w:space="0" w:color="000000"/>
              <w:bottom w:val="single" w:sz="4" w:space="0" w:color="000000"/>
            </w:tcBorders>
          </w:tcPr>
          <w:p w14:paraId="7E89C7F4"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B.3.10.</w:t>
            </w:r>
          </w:p>
        </w:tc>
        <w:tc>
          <w:tcPr>
            <w:tcW w:w="850" w:type="dxa"/>
            <w:tcBorders>
              <w:top w:val="single" w:sz="4" w:space="0" w:color="000000"/>
              <w:left w:val="single" w:sz="4" w:space="0" w:color="000000"/>
              <w:bottom w:val="single" w:sz="4" w:space="0" w:color="000000"/>
            </w:tcBorders>
          </w:tcPr>
          <w:p w14:paraId="06C8CECF"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B.3.</w:t>
            </w:r>
          </w:p>
          <w:p w14:paraId="60B295B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3E26885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674A2D6D"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Aizsargājamo zālāju biotopu un potenciālo aizsargājamo zālāju biotopu apsaimniekošana pēc atjaunošanas pasākumiem</w:t>
            </w:r>
          </w:p>
        </w:tc>
        <w:tc>
          <w:tcPr>
            <w:tcW w:w="1699" w:type="dxa"/>
            <w:tcBorders>
              <w:top w:val="single" w:sz="4" w:space="0" w:color="000000"/>
              <w:left w:val="single" w:sz="4" w:space="0" w:color="000000"/>
              <w:bottom w:val="single" w:sz="4" w:space="0" w:color="000000"/>
            </w:tcBorders>
          </w:tcPr>
          <w:p w14:paraId="23BDA00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3CB1799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finansējums, privāti līdzekļi</w:t>
            </w:r>
          </w:p>
        </w:tc>
        <w:tc>
          <w:tcPr>
            <w:tcW w:w="1991" w:type="dxa"/>
            <w:tcBorders>
              <w:top w:val="single" w:sz="4" w:space="0" w:color="000000"/>
              <w:left w:val="single" w:sz="4" w:space="0" w:color="000000"/>
              <w:bottom w:val="single" w:sz="4" w:space="0" w:color="000000"/>
            </w:tcBorders>
          </w:tcPr>
          <w:p w14:paraId="7F93A85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zemes īpašnieki</w:t>
            </w:r>
          </w:p>
        </w:tc>
        <w:tc>
          <w:tcPr>
            <w:tcW w:w="1577" w:type="dxa"/>
            <w:tcBorders>
              <w:top w:val="single" w:sz="4" w:space="0" w:color="000000"/>
              <w:left w:val="single" w:sz="4" w:space="0" w:color="000000"/>
              <w:bottom w:val="single" w:sz="4" w:space="0" w:color="000000"/>
            </w:tcBorders>
          </w:tcPr>
          <w:p w14:paraId="5EAF15A8" w14:textId="76625310" w:rsidR="00864E55" w:rsidRPr="00675182" w:rsidRDefault="00864E55" w:rsidP="00864E55">
            <w:pPr>
              <w:autoSpaceDE w:val="0"/>
              <w:snapToGrid w:val="0"/>
              <w:rPr>
                <w:rFonts w:cstheme="minorHAnsi"/>
                <w:sz w:val="20"/>
              </w:rPr>
            </w:pPr>
            <w:r w:rsidRPr="00675182">
              <w:rPr>
                <w:rFonts w:cstheme="minorHAnsi"/>
                <w:sz w:val="20"/>
              </w:rPr>
              <w:t>Nav precīzi nosakāmas, atkarīgs no situācijas konkrētā zālājā</w:t>
            </w:r>
            <w:r w:rsidR="003C3EC0" w:rsidRPr="00675182">
              <w:rPr>
                <w:rFonts w:cstheme="minorHAnsi"/>
                <w:sz w:val="20"/>
              </w:rPr>
              <w:t>, no ~</w:t>
            </w:r>
            <w:r w:rsidR="00636B41">
              <w:rPr>
                <w:rFonts w:cstheme="minorHAnsi"/>
                <w:sz w:val="20"/>
              </w:rPr>
              <w:t>2</w:t>
            </w:r>
            <w:r w:rsidR="003C3EC0" w:rsidRPr="00675182">
              <w:rPr>
                <w:rFonts w:cstheme="minorHAnsi"/>
                <w:sz w:val="20"/>
              </w:rPr>
              <w:t>00 eur/ha gadā</w:t>
            </w:r>
          </w:p>
        </w:tc>
        <w:tc>
          <w:tcPr>
            <w:tcW w:w="2428" w:type="dxa"/>
            <w:tcBorders>
              <w:top w:val="single" w:sz="4" w:space="0" w:color="000000"/>
              <w:left w:val="single" w:sz="4" w:space="0" w:color="000000"/>
              <w:bottom w:val="single" w:sz="4" w:space="0" w:color="000000"/>
              <w:right w:val="single" w:sz="4" w:space="0" w:color="000000"/>
            </w:tcBorders>
          </w:tcPr>
          <w:p w14:paraId="7DDEC37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Notiek uzturošā apsaimniekošana zālājos, kuros veikti atjaunošanas pasākumi 50 ha platībā</w:t>
            </w:r>
          </w:p>
        </w:tc>
      </w:tr>
      <w:tr w:rsidR="00864E55" w:rsidRPr="00675182" w14:paraId="196FF025" w14:textId="77777777" w:rsidTr="00E21287">
        <w:tc>
          <w:tcPr>
            <w:tcW w:w="872" w:type="dxa"/>
            <w:tcBorders>
              <w:top w:val="single" w:sz="4" w:space="0" w:color="000000"/>
              <w:left w:val="single" w:sz="4" w:space="0" w:color="000000"/>
              <w:bottom w:val="single" w:sz="4" w:space="0" w:color="000000"/>
              <w:right w:val="nil"/>
            </w:tcBorders>
          </w:tcPr>
          <w:p w14:paraId="2B2F35E1"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B.3.11.</w:t>
            </w:r>
          </w:p>
        </w:tc>
        <w:tc>
          <w:tcPr>
            <w:tcW w:w="850" w:type="dxa"/>
            <w:tcBorders>
              <w:top w:val="single" w:sz="4" w:space="0" w:color="000000"/>
              <w:left w:val="single" w:sz="4" w:space="0" w:color="000000"/>
              <w:bottom w:val="single" w:sz="4" w:space="0" w:color="000000"/>
              <w:right w:val="nil"/>
            </w:tcBorders>
          </w:tcPr>
          <w:p w14:paraId="4D32C55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B.3.</w:t>
            </w:r>
          </w:p>
          <w:p w14:paraId="2FC88054"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B.6.</w:t>
            </w:r>
          </w:p>
          <w:p w14:paraId="39EFF06E"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44E7849A"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Pastāvīgo zālāju apsaimniekošana aizsargājamo zālāju biotopu platības palielināšanai, sugu dzīvotņu, ekoloģisko koridoru un ainavisko vērtību uzturēšanai</w:t>
            </w:r>
          </w:p>
        </w:tc>
        <w:tc>
          <w:tcPr>
            <w:tcW w:w="1699" w:type="dxa"/>
            <w:tcBorders>
              <w:top w:val="single" w:sz="4" w:space="0" w:color="000000"/>
              <w:left w:val="single" w:sz="4" w:space="0" w:color="000000"/>
              <w:bottom w:val="single" w:sz="4" w:space="0" w:color="000000"/>
              <w:right w:val="nil"/>
            </w:tcBorders>
          </w:tcPr>
          <w:p w14:paraId="00D6DD3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4DF1559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LAD administrētie platībmaksājumi, projektu finansējums</w:t>
            </w:r>
          </w:p>
        </w:tc>
        <w:tc>
          <w:tcPr>
            <w:tcW w:w="1991" w:type="dxa"/>
            <w:tcBorders>
              <w:top w:val="single" w:sz="4" w:space="0" w:color="000000"/>
              <w:left w:val="single" w:sz="4" w:space="0" w:color="000000"/>
              <w:bottom w:val="single" w:sz="4" w:space="0" w:color="000000"/>
              <w:right w:val="nil"/>
            </w:tcBorders>
          </w:tcPr>
          <w:p w14:paraId="3E6CFD5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DAP, NVO</w:t>
            </w:r>
          </w:p>
        </w:tc>
        <w:tc>
          <w:tcPr>
            <w:tcW w:w="1577" w:type="dxa"/>
            <w:tcBorders>
              <w:top w:val="single" w:sz="4" w:space="0" w:color="000000"/>
              <w:left w:val="single" w:sz="4" w:space="0" w:color="000000"/>
              <w:bottom w:val="single" w:sz="4" w:space="0" w:color="000000"/>
              <w:right w:val="nil"/>
            </w:tcBorders>
          </w:tcPr>
          <w:p w14:paraId="76409B9E" w14:textId="2F972BF6" w:rsidR="00864E55" w:rsidRPr="00675182" w:rsidRDefault="00864E55" w:rsidP="00864E55">
            <w:pPr>
              <w:autoSpaceDE w:val="0"/>
              <w:snapToGrid w:val="0"/>
              <w:rPr>
                <w:rFonts w:cstheme="minorHAnsi"/>
                <w:sz w:val="20"/>
              </w:rPr>
            </w:pPr>
            <w:r w:rsidRPr="00675182">
              <w:rPr>
                <w:rFonts w:cstheme="minorHAnsi"/>
                <w:sz w:val="20"/>
              </w:rPr>
              <w:t>Precīzi nav nosakāmas, atkarīgas no pieejamo platībmaksājumu veida</w:t>
            </w:r>
            <w:r w:rsidR="003C3EC0" w:rsidRPr="00675182">
              <w:rPr>
                <w:rFonts w:cstheme="minorHAnsi"/>
                <w:sz w:val="20"/>
              </w:rPr>
              <w:t>, no ~</w:t>
            </w:r>
            <w:r w:rsidR="00636B41">
              <w:rPr>
                <w:rFonts w:cstheme="minorHAnsi"/>
                <w:sz w:val="20"/>
              </w:rPr>
              <w:t>2</w:t>
            </w:r>
            <w:r w:rsidR="003C3EC0" w:rsidRPr="00675182">
              <w:rPr>
                <w:rFonts w:cstheme="minorHAnsi"/>
                <w:sz w:val="20"/>
              </w:rPr>
              <w:t>00 eur/ha gadā</w:t>
            </w:r>
          </w:p>
        </w:tc>
        <w:tc>
          <w:tcPr>
            <w:tcW w:w="2428" w:type="dxa"/>
            <w:tcBorders>
              <w:top w:val="single" w:sz="4" w:space="0" w:color="000000"/>
              <w:left w:val="single" w:sz="4" w:space="0" w:color="000000"/>
              <w:bottom w:val="single" w:sz="4" w:space="0" w:color="000000"/>
              <w:right w:val="single" w:sz="4" w:space="0" w:color="000000"/>
            </w:tcBorders>
          </w:tcPr>
          <w:p w14:paraId="279EFD80" w14:textId="200DFA15" w:rsidR="00864E55" w:rsidRPr="00675182" w:rsidRDefault="0082362E"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Vismaz </w:t>
            </w:r>
            <w:r w:rsidR="00864E55" w:rsidRPr="00675182">
              <w:rPr>
                <w:rFonts w:cstheme="minorHAnsi"/>
                <w:sz w:val="20"/>
                <w:lang w:val="lv-LV"/>
              </w:rPr>
              <w:t>390,6 ha potenciālo zālāju biotopu sasnieguši aizsargājamā biotopa minimālos kvalitātes kritērijus. Tiek saglabāti un apsaimniekoti vismaz 1562 ha prioritāri apsaimniekojamo pastāvīgo zālāju.</w:t>
            </w:r>
          </w:p>
        </w:tc>
      </w:tr>
      <w:tr w:rsidR="00864E55" w:rsidRPr="00675182" w14:paraId="4BD8C936" w14:textId="77777777" w:rsidTr="00E21287">
        <w:tc>
          <w:tcPr>
            <w:tcW w:w="872" w:type="dxa"/>
            <w:tcBorders>
              <w:top w:val="single" w:sz="4" w:space="0" w:color="000000"/>
              <w:left w:val="single" w:sz="4" w:space="0" w:color="000000"/>
              <w:bottom w:val="single" w:sz="4" w:space="0" w:color="000000"/>
              <w:right w:val="nil"/>
            </w:tcBorders>
          </w:tcPr>
          <w:p w14:paraId="765C6A58"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B.3.12.</w:t>
            </w:r>
          </w:p>
        </w:tc>
        <w:tc>
          <w:tcPr>
            <w:tcW w:w="850" w:type="dxa"/>
            <w:tcBorders>
              <w:top w:val="single" w:sz="4" w:space="0" w:color="000000"/>
              <w:left w:val="single" w:sz="4" w:space="0" w:color="000000"/>
              <w:bottom w:val="single" w:sz="4" w:space="0" w:color="000000"/>
              <w:right w:val="nil"/>
            </w:tcBorders>
          </w:tcPr>
          <w:p w14:paraId="5268A6E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B.3., C.1.</w:t>
            </w:r>
          </w:p>
        </w:tc>
        <w:tc>
          <w:tcPr>
            <w:tcW w:w="2670" w:type="dxa"/>
            <w:tcBorders>
              <w:top w:val="single" w:sz="4" w:space="0" w:color="000000"/>
              <w:left w:val="single" w:sz="4" w:space="0" w:color="000000"/>
              <w:bottom w:val="single" w:sz="4" w:space="0" w:color="000000"/>
              <w:right w:val="nil"/>
            </w:tcBorders>
          </w:tcPr>
          <w:p w14:paraId="13D8E722" w14:textId="77777777" w:rsidR="00864E55" w:rsidRPr="00675182" w:rsidRDefault="00864E55" w:rsidP="00864E55">
            <w:pPr>
              <w:pStyle w:val="naisf"/>
              <w:snapToGrid w:val="0"/>
              <w:ind w:firstLine="0"/>
              <w:jc w:val="left"/>
              <w:rPr>
                <w:rFonts w:cstheme="minorHAnsi"/>
                <w:sz w:val="20"/>
                <w:lang w:val="lv-LV"/>
              </w:rPr>
            </w:pPr>
            <w:bookmarkStart w:id="124" w:name="_Hlk107925546"/>
            <w:r w:rsidRPr="00675182">
              <w:rPr>
                <w:rFonts w:cstheme="minorHAnsi"/>
                <w:sz w:val="20"/>
                <w:lang w:val="lv-LV"/>
              </w:rPr>
              <w:t>Atklātu zālāju platību veidošana īpašumā “Ziedlejas Gaujmaļi”, zālāju biotopu platības palielināšana, noganīšana</w:t>
            </w:r>
            <w:bookmarkEnd w:id="124"/>
          </w:p>
        </w:tc>
        <w:tc>
          <w:tcPr>
            <w:tcW w:w="1699" w:type="dxa"/>
            <w:tcBorders>
              <w:top w:val="single" w:sz="4" w:space="0" w:color="000000"/>
              <w:left w:val="single" w:sz="4" w:space="0" w:color="000000"/>
              <w:bottom w:val="single" w:sz="4" w:space="0" w:color="000000"/>
              <w:right w:val="nil"/>
            </w:tcBorders>
          </w:tcPr>
          <w:p w14:paraId="0327C1B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273E81F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īpašnieks, LAD maksājumi</w:t>
            </w:r>
          </w:p>
        </w:tc>
        <w:tc>
          <w:tcPr>
            <w:tcW w:w="1991" w:type="dxa"/>
            <w:tcBorders>
              <w:top w:val="single" w:sz="4" w:space="0" w:color="000000"/>
              <w:left w:val="single" w:sz="4" w:space="0" w:color="000000"/>
              <w:bottom w:val="single" w:sz="4" w:space="0" w:color="000000"/>
              <w:right w:val="nil"/>
            </w:tcBorders>
          </w:tcPr>
          <w:p w14:paraId="240B977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577" w:type="dxa"/>
            <w:tcBorders>
              <w:top w:val="single" w:sz="4" w:space="0" w:color="000000"/>
              <w:left w:val="single" w:sz="4" w:space="0" w:color="000000"/>
              <w:bottom w:val="single" w:sz="4" w:space="0" w:color="000000"/>
              <w:right w:val="nil"/>
            </w:tcBorders>
          </w:tcPr>
          <w:p w14:paraId="6BBEF224" w14:textId="58A2304E" w:rsidR="00864E55" w:rsidRPr="00675182" w:rsidRDefault="00864E55" w:rsidP="00864E55">
            <w:pPr>
              <w:autoSpaceDE w:val="0"/>
              <w:snapToGrid w:val="0"/>
              <w:rPr>
                <w:rFonts w:cstheme="minorHAnsi"/>
                <w:sz w:val="20"/>
              </w:rPr>
            </w:pPr>
            <w:r w:rsidRPr="00675182">
              <w:rPr>
                <w:rFonts w:cstheme="minorHAnsi"/>
                <w:sz w:val="20"/>
              </w:rPr>
              <w:t xml:space="preserve">Precīzi nav nosakāmas, atkarīgas no </w:t>
            </w:r>
            <w:r w:rsidR="00F926CE" w:rsidRPr="00675182">
              <w:rPr>
                <w:rFonts w:cstheme="minorHAnsi"/>
                <w:sz w:val="20"/>
              </w:rPr>
              <w:t>veikto pasākumu apjoma un veida</w:t>
            </w:r>
          </w:p>
        </w:tc>
        <w:tc>
          <w:tcPr>
            <w:tcW w:w="2428" w:type="dxa"/>
            <w:tcBorders>
              <w:top w:val="single" w:sz="4" w:space="0" w:color="000000"/>
              <w:left w:val="single" w:sz="4" w:space="0" w:color="000000"/>
              <w:bottom w:val="single" w:sz="4" w:space="0" w:color="000000"/>
              <w:right w:val="single" w:sz="4" w:space="0" w:color="000000"/>
            </w:tcBorders>
          </w:tcPr>
          <w:p w14:paraId="175C5295" w14:textId="2377FD23"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Izveidota ganību infrastruktūra, palielinājušās atklāto zālāju un zālāju biotopu platības </w:t>
            </w:r>
            <w:r w:rsidR="00A2257B">
              <w:rPr>
                <w:rFonts w:cstheme="minorHAnsi"/>
                <w:sz w:val="20"/>
                <w:lang w:val="lv-LV"/>
              </w:rPr>
              <w:t>vismaz 7 ha platībā</w:t>
            </w:r>
          </w:p>
        </w:tc>
      </w:tr>
      <w:tr w:rsidR="00864E55" w:rsidRPr="00675182" w14:paraId="710F4A68" w14:textId="77777777" w:rsidTr="00E21287">
        <w:tc>
          <w:tcPr>
            <w:tcW w:w="872" w:type="dxa"/>
            <w:tcBorders>
              <w:top w:val="single" w:sz="4" w:space="0" w:color="000000"/>
              <w:left w:val="single" w:sz="4" w:space="0" w:color="000000"/>
              <w:bottom w:val="single" w:sz="4" w:space="0" w:color="000000"/>
            </w:tcBorders>
          </w:tcPr>
          <w:p w14:paraId="56AC0777"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B.4.1.</w:t>
            </w:r>
          </w:p>
        </w:tc>
        <w:tc>
          <w:tcPr>
            <w:tcW w:w="850" w:type="dxa"/>
            <w:tcBorders>
              <w:top w:val="single" w:sz="4" w:space="0" w:color="000000"/>
              <w:left w:val="single" w:sz="4" w:space="0" w:color="000000"/>
              <w:bottom w:val="single" w:sz="4" w:space="0" w:color="000000"/>
            </w:tcBorders>
          </w:tcPr>
          <w:p w14:paraId="20A73AD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B.4.</w:t>
            </w:r>
          </w:p>
        </w:tc>
        <w:tc>
          <w:tcPr>
            <w:tcW w:w="2670" w:type="dxa"/>
            <w:tcBorders>
              <w:top w:val="single" w:sz="4" w:space="0" w:color="000000"/>
              <w:left w:val="single" w:sz="4" w:space="0" w:color="000000"/>
              <w:bottom w:val="single" w:sz="4" w:space="0" w:color="000000"/>
            </w:tcBorders>
          </w:tcPr>
          <w:p w14:paraId="4A8854EB" w14:textId="25DC2ABB" w:rsidR="00864E55" w:rsidRPr="00675182" w:rsidRDefault="00864E55" w:rsidP="00864E55">
            <w:pPr>
              <w:pStyle w:val="naisf"/>
              <w:snapToGrid w:val="0"/>
              <w:ind w:firstLine="0"/>
              <w:jc w:val="left"/>
              <w:rPr>
                <w:rFonts w:cstheme="minorHAnsi"/>
                <w:sz w:val="20"/>
                <w:lang w:val="lv-LV"/>
              </w:rPr>
            </w:pPr>
            <w:bookmarkStart w:id="125" w:name="_Hlk83183591"/>
            <w:r w:rsidRPr="00675182">
              <w:rPr>
                <w:rFonts w:cstheme="minorHAnsi"/>
                <w:sz w:val="20"/>
                <w:lang w:val="lv-LV"/>
              </w:rPr>
              <w:t xml:space="preserve">Degradētu augsto purvu (7120 Degradēti augstie purvi, kuros iespējama vai noris dabiskā atjaunošanās) un nosusināšanas ietekmētu augsto purvu (7110* Aktīvi </w:t>
            </w:r>
            <w:r w:rsidRPr="00675182">
              <w:rPr>
                <w:rFonts w:cstheme="minorHAnsi"/>
                <w:sz w:val="20"/>
                <w:lang w:val="lv-LV"/>
              </w:rPr>
              <w:lastRenderedPageBreak/>
              <w:t>augstie purvi) hidroloģiskā režīma atjaunošana</w:t>
            </w:r>
            <w:bookmarkEnd w:id="125"/>
          </w:p>
        </w:tc>
        <w:tc>
          <w:tcPr>
            <w:tcW w:w="1699" w:type="dxa"/>
            <w:tcBorders>
              <w:top w:val="single" w:sz="4" w:space="0" w:color="000000"/>
              <w:left w:val="single" w:sz="4" w:space="0" w:color="000000"/>
              <w:bottom w:val="single" w:sz="4" w:space="0" w:color="000000"/>
            </w:tcBorders>
          </w:tcPr>
          <w:p w14:paraId="6B2E91E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lastRenderedPageBreak/>
              <w:t>I, visā plāna darbības periodā</w:t>
            </w:r>
          </w:p>
        </w:tc>
        <w:tc>
          <w:tcPr>
            <w:tcW w:w="2124" w:type="dxa"/>
            <w:tcBorders>
              <w:top w:val="single" w:sz="4" w:space="0" w:color="000000"/>
              <w:left w:val="single" w:sz="4" w:space="0" w:color="000000"/>
              <w:bottom w:val="single" w:sz="4" w:space="0" w:color="000000"/>
            </w:tcBorders>
          </w:tcPr>
          <w:p w14:paraId="74A08FFA" w14:textId="54EDCB99" w:rsidR="00864E55" w:rsidRPr="00675182" w:rsidRDefault="00816438" w:rsidP="00864E55">
            <w:pPr>
              <w:pStyle w:val="naisf"/>
              <w:snapToGrid w:val="0"/>
              <w:spacing w:before="0" w:after="0"/>
              <w:ind w:firstLine="0"/>
              <w:jc w:val="left"/>
              <w:rPr>
                <w:rFonts w:cstheme="minorHAnsi"/>
                <w:sz w:val="20"/>
                <w:lang w:val="lv-LV"/>
              </w:rPr>
            </w:pPr>
            <w:r w:rsidRPr="00675182">
              <w:rPr>
                <w:rFonts w:cstheme="minorHAnsi"/>
                <w:sz w:val="20"/>
                <w:lang w:val="lv-LV"/>
              </w:rPr>
              <w:t>P</w:t>
            </w:r>
            <w:r w:rsidR="00864E55" w:rsidRPr="00675182">
              <w:rPr>
                <w:rFonts w:cstheme="minorHAnsi"/>
                <w:sz w:val="20"/>
                <w:lang w:val="lv-LV"/>
              </w:rPr>
              <w:t>rojektu finansējums</w:t>
            </w:r>
          </w:p>
        </w:tc>
        <w:tc>
          <w:tcPr>
            <w:tcW w:w="1991" w:type="dxa"/>
            <w:tcBorders>
              <w:top w:val="single" w:sz="4" w:space="0" w:color="000000"/>
              <w:left w:val="single" w:sz="4" w:space="0" w:color="000000"/>
              <w:bottom w:val="single" w:sz="4" w:space="0" w:color="000000"/>
            </w:tcBorders>
          </w:tcPr>
          <w:p w14:paraId="4EC05F3B" w14:textId="53043218" w:rsidR="00864E55" w:rsidRPr="00675182" w:rsidRDefault="00816438"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DAP, NVO</w:t>
            </w:r>
            <w:r w:rsidR="00744484" w:rsidRPr="00675182">
              <w:rPr>
                <w:rFonts w:cstheme="minorHAnsi"/>
                <w:sz w:val="20"/>
                <w:lang w:val="lv-LV"/>
              </w:rPr>
              <w:t>, privātuzņēmumi</w:t>
            </w:r>
          </w:p>
        </w:tc>
        <w:tc>
          <w:tcPr>
            <w:tcW w:w="1577" w:type="dxa"/>
            <w:tcBorders>
              <w:top w:val="single" w:sz="4" w:space="0" w:color="000000"/>
              <w:left w:val="single" w:sz="4" w:space="0" w:color="000000"/>
              <w:bottom w:val="single" w:sz="4" w:space="0" w:color="000000"/>
            </w:tcBorders>
          </w:tcPr>
          <w:p w14:paraId="37F79863" w14:textId="0EF046A6" w:rsidR="002537CA" w:rsidRPr="00675182" w:rsidRDefault="00864E55" w:rsidP="00864E55">
            <w:pPr>
              <w:autoSpaceDE w:val="0"/>
              <w:snapToGrid w:val="0"/>
              <w:rPr>
                <w:rFonts w:cstheme="minorHAnsi"/>
                <w:sz w:val="20"/>
              </w:rPr>
            </w:pPr>
            <w:r w:rsidRPr="00675182">
              <w:rPr>
                <w:rFonts w:cstheme="minorHAnsi"/>
                <w:sz w:val="20"/>
              </w:rPr>
              <w:t xml:space="preserve">Atšķirīgas dažādos objektos, atkarīgas no pasākumu īstenošanas </w:t>
            </w:r>
            <w:r w:rsidRPr="00675182">
              <w:rPr>
                <w:rFonts w:cstheme="minorHAnsi"/>
                <w:sz w:val="20"/>
              </w:rPr>
              <w:lastRenderedPageBreak/>
              <w:t>platības un tehniskā risinājuma</w:t>
            </w:r>
            <w:r w:rsidR="002537CA" w:rsidRPr="00675182">
              <w:rPr>
                <w:rFonts w:cstheme="minorHAnsi"/>
                <w:sz w:val="20"/>
              </w:rPr>
              <w:t>.</w:t>
            </w:r>
          </w:p>
          <w:p w14:paraId="32D307ED" w14:textId="77777777" w:rsidR="00A06978" w:rsidRPr="00675182" w:rsidRDefault="00A06978" w:rsidP="00864E55">
            <w:pPr>
              <w:autoSpaceDE w:val="0"/>
              <w:snapToGrid w:val="0"/>
              <w:rPr>
                <w:rFonts w:cstheme="minorHAnsi"/>
                <w:sz w:val="20"/>
              </w:rPr>
            </w:pPr>
          </w:p>
          <w:p w14:paraId="28D395BB" w14:textId="49B7905F" w:rsidR="002537CA" w:rsidRPr="00675182" w:rsidRDefault="002537CA" w:rsidP="00864E55">
            <w:pPr>
              <w:autoSpaceDE w:val="0"/>
              <w:snapToGrid w:val="0"/>
              <w:rPr>
                <w:rFonts w:cstheme="minorHAnsi"/>
                <w:sz w:val="20"/>
              </w:rPr>
            </w:pPr>
            <w:r w:rsidRPr="00675182">
              <w:rPr>
                <w:rFonts w:cstheme="minorHAnsi"/>
                <w:sz w:val="20"/>
              </w:rPr>
              <w:t>300 – 360 eur/ha</w:t>
            </w:r>
            <w:r w:rsidR="00A06978" w:rsidRPr="00675182">
              <w:rPr>
                <w:rFonts w:cstheme="minorHAnsi"/>
                <w:sz w:val="20"/>
              </w:rPr>
              <w:t xml:space="preserve"> (grāvju aizbēršana, dambju ierīkošana)</w:t>
            </w:r>
          </w:p>
          <w:p w14:paraId="222A77D0" w14:textId="6BD1ECF0" w:rsidR="00A06978" w:rsidRPr="00675182" w:rsidRDefault="00A06978" w:rsidP="00864E55">
            <w:pPr>
              <w:autoSpaceDE w:val="0"/>
              <w:snapToGrid w:val="0"/>
              <w:rPr>
                <w:rFonts w:cstheme="minorHAnsi"/>
                <w:sz w:val="20"/>
              </w:rPr>
            </w:pPr>
            <w:r w:rsidRPr="00675182">
              <w:rPr>
                <w:rFonts w:cstheme="minorHAnsi"/>
                <w:sz w:val="20"/>
              </w:rPr>
              <w:t>750 – 850 eur/ha (koku un krūmu izciršana un aizvākšana)</w:t>
            </w:r>
          </w:p>
          <w:p w14:paraId="45124C8D" w14:textId="4DF12A7B" w:rsidR="00864E55" w:rsidRPr="00675182" w:rsidRDefault="00864E55" w:rsidP="00864E55">
            <w:pPr>
              <w:autoSpaceDE w:val="0"/>
              <w:snapToGrid w:val="0"/>
              <w:rPr>
                <w:rFonts w:cstheme="minorHAnsi"/>
                <w:sz w:val="20"/>
              </w:rPr>
            </w:pPr>
            <w:r w:rsidRPr="00675182">
              <w:rPr>
                <w:rFonts w:cstheme="minorHAnsi"/>
                <w:sz w:val="20"/>
              </w:rPr>
              <w:t xml:space="preserve"> </w:t>
            </w:r>
          </w:p>
        </w:tc>
        <w:tc>
          <w:tcPr>
            <w:tcW w:w="2428" w:type="dxa"/>
            <w:tcBorders>
              <w:top w:val="single" w:sz="4" w:space="0" w:color="000000"/>
              <w:left w:val="single" w:sz="4" w:space="0" w:color="000000"/>
              <w:bottom w:val="single" w:sz="4" w:space="0" w:color="000000"/>
              <w:right w:val="single" w:sz="4" w:space="0" w:color="000000"/>
            </w:tcBorders>
          </w:tcPr>
          <w:p w14:paraId="6A0F8933"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lastRenderedPageBreak/>
              <w:t>Samazināta hidroloģijas izmaiņu negatīvā ietekme uz biotopiem 7110* un 7120 aptuveni 450 ha platībā</w:t>
            </w:r>
          </w:p>
        </w:tc>
      </w:tr>
      <w:tr w:rsidR="00864E55" w:rsidRPr="00675182" w14:paraId="5D6A1E4B" w14:textId="77777777" w:rsidTr="00E21287">
        <w:tc>
          <w:tcPr>
            <w:tcW w:w="872" w:type="dxa"/>
            <w:tcBorders>
              <w:top w:val="single" w:sz="4" w:space="0" w:color="000000"/>
              <w:left w:val="single" w:sz="4" w:space="0" w:color="000000"/>
              <w:bottom w:val="single" w:sz="4" w:space="0" w:color="000000"/>
            </w:tcBorders>
          </w:tcPr>
          <w:p w14:paraId="72A672A9"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B.4.2.</w:t>
            </w:r>
          </w:p>
        </w:tc>
        <w:tc>
          <w:tcPr>
            <w:tcW w:w="850" w:type="dxa"/>
            <w:tcBorders>
              <w:top w:val="single" w:sz="4" w:space="0" w:color="000000"/>
              <w:left w:val="single" w:sz="4" w:space="0" w:color="000000"/>
              <w:bottom w:val="single" w:sz="4" w:space="0" w:color="000000"/>
            </w:tcBorders>
          </w:tcPr>
          <w:p w14:paraId="7689B96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B.4.</w:t>
            </w:r>
          </w:p>
          <w:p w14:paraId="1C9A6F9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tcBorders>
          </w:tcPr>
          <w:p w14:paraId="6BB71512"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Biotopu veidu 7160 Minerālvielām bagāti avoti un avotu purvi, 7220*Avoti, kas izgulsnē avotkaļķus un 7230 Kaļķaini zāļu purvi apsaimniekošana un atjaunošana (krūmu apauguma novākšana, niedru pļaušana, regulāra pļaušana aizaugšanas novēršanai)</w:t>
            </w:r>
          </w:p>
        </w:tc>
        <w:tc>
          <w:tcPr>
            <w:tcW w:w="1699" w:type="dxa"/>
            <w:tcBorders>
              <w:top w:val="single" w:sz="4" w:space="0" w:color="000000"/>
              <w:left w:val="single" w:sz="4" w:space="0" w:color="000000"/>
              <w:bottom w:val="single" w:sz="4" w:space="0" w:color="000000"/>
            </w:tcBorders>
          </w:tcPr>
          <w:p w14:paraId="69B035F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2814453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000000"/>
              <w:left w:val="single" w:sz="4" w:space="0" w:color="000000"/>
              <w:bottom w:val="single" w:sz="4" w:space="0" w:color="000000"/>
            </w:tcBorders>
          </w:tcPr>
          <w:p w14:paraId="2CAF1C34" w14:textId="3E3F7D9A" w:rsidR="00864E55" w:rsidRPr="00675182" w:rsidRDefault="00744484"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DAP, NVO, privātuzņēmumi</w:t>
            </w:r>
          </w:p>
        </w:tc>
        <w:tc>
          <w:tcPr>
            <w:tcW w:w="1577" w:type="dxa"/>
            <w:tcBorders>
              <w:top w:val="single" w:sz="4" w:space="0" w:color="000000"/>
              <w:left w:val="single" w:sz="4" w:space="0" w:color="000000"/>
              <w:bottom w:val="single" w:sz="4" w:space="0" w:color="000000"/>
            </w:tcBorders>
          </w:tcPr>
          <w:p w14:paraId="75A10C0A" w14:textId="13FA3523" w:rsidR="00864E55" w:rsidRPr="00675182" w:rsidRDefault="00864E55" w:rsidP="00864E55">
            <w:pPr>
              <w:autoSpaceDE w:val="0"/>
              <w:snapToGrid w:val="0"/>
              <w:rPr>
                <w:rFonts w:cstheme="minorHAnsi"/>
                <w:sz w:val="20"/>
              </w:rPr>
            </w:pPr>
            <w:r w:rsidRPr="00675182">
              <w:rPr>
                <w:rFonts w:cstheme="minorHAnsi"/>
                <w:sz w:val="20"/>
              </w:rPr>
              <w:t>Atšķirīgas dažādos objektos, atkarīgas no pasākumu īstenošanas platības un tehniskā risinājuma</w:t>
            </w:r>
            <w:r w:rsidR="00A06978" w:rsidRPr="00675182">
              <w:rPr>
                <w:rFonts w:cstheme="minorHAnsi"/>
                <w:sz w:val="20"/>
              </w:rPr>
              <w:t>.</w:t>
            </w:r>
          </w:p>
          <w:p w14:paraId="149785F1" w14:textId="77777777" w:rsidR="00A06978" w:rsidRPr="00675182" w:rsidRDefault="00A06978" w:rsidP="00864E55">
            <w:pPr>
              <w:autoSpaceDE w:val="0"/>
              <w:snapToGrid w:val="0"/>
              <w:rPr>
                <w:rFonts w:cstheme="minorHAnsi"/>
                <w:sz w:val="20"/>
              </w:rPr>
            </w:pPr>
          </w:p>
          <w:p w14:paraId="54D9C198" w14:textId="64EDB972" w:rsidR="00A06978" w:rsidRPr="00675182" w:rsidRDefault="00A06978" w:rsidP="00864E55">
            <w:pPr>
              <w:autoSpaceDE w:val="0"/>
              <w:snapToGrid w:val="0"/>
              <w:rPr>
                <w:rFonts w:cstheme="minorHAnsi"/>
                <w:sz w:val="20"/>
              </w:rPr>
            </w:pPr>
            <w:r w:rsidRPr="00675182">
              <w:rPr>
                <w:rFonts w:cstheme="minorHAnsi"/>
                <w:sz w:val="20"/>
              </w:rPr>
              <w:t>1500 – 1800 eur/ha</w:t>
            </w:r>
          </w:p>
        </w:tc>
        <w:tc>
          <w:tcPr>
            <w:tcW w:w="2428" w:type="dxa"/>
            <w:tcBorders>
              <w:top w:val="single" w:sz="4" w:space="0" w:color="000000"/>
              <w:left w:val="single" w:sz="4" w:space="0" w:color="000000"/>
              <w:bottom w:val="single" w:sz="4" w:space="0" w:color="000000"/>
              <w:right w:val="single" w:sz="4" w:space="0" w:color="000000"/>
            </w:tcBorders>
          </w:tcPr>
          <w:p w14:paraId="40E4C1B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Uzlabota biotopu kvalitāte vismaz 1,5 ha platībā</w:t>
            </w:r>
          </w:p>
          <w:p w14:paraId="22E8F0C9" w14:textId="77777777" w:rsidR="00864E55" w:rsidRPr="00675182" w:rsidRDefault="00864E55" w:rsidP="00864E55">
            <w:pPr>
              <w:pStyle w:val="naisf"/>
              <w:snapToGrid w:val="0"/>
              <w:spacing w:before="0" w:after="0"/>
              <w:ind w:firstLine="0"/>
              <w:jc w:val="left"/>
              <w:rPr>
                <w:rFonts w:cstheme="minorHAnsi"/>
                <w:sz w:val="20"/>
                <w:lang w:val="lv-LV"/>
              </w:rPr>
            </w:pPr>
          </w:p>
        </w:tc>
      </w:tr>
      <w:tr w:rsidR="00864E55" w:rsidRPr="00675182" w14:paraId="614EDB34" w14:textId="77777777" w:rsidTr="00E21287">
        <w:tc>
          <w:tcPr>
            <w:tcW w:w="872" w:type="dxa"/>
            <w:tcBorders>
              <w:top w:val="single" w:sz="4" w:space="0" w:color="000000"/>
              <w:left w:val="single" w:sz="4" w:space="0" w:color="000000"/>
              <w:bottom w:val="single" w:sz="4" w:space="0" w:color="000000"/>
            </w:tcBorders>
          </w:tcPr>
          <w:p w14:paraId="4B1903D4"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B.4.3.</w:t>
            </w:r>
          </w:p>
        </w:tc>
        <w:tc>
          <w:tcPr>
            <w:tcW w:w="850" w:type="dxa"/>
            <w:tcBorders>
              <w:top w:val="single" w:sz="4" w:space="0" w:color="000000"/>
              <w:left w:val="single" w:sz="4" w:space="0" w:color="000000"/>
              <w:bottom w:val="single" w:sz="4" w:space="0" w:color="000000"/>
            </w:tcBorders>
          </w:tcPr>
          <w:p w14:paraId="19B4BB0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B.4.</w:t>
            </w:r>
          </w:p>
          <w:p w14:paraId="4577BB4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tcBorders>
          </w:tcPr>
          <w:p w14:paraId="1D598F48" w14:textId="77777777" w:rsidR="00864E55" w:rsidRPr="00675182" w:rsidRDefault="00864E55" w:rsidP="00864E55">
            <w:pPr>
              <w:pStyle w:val="naisf"/>
              <w:snapToGrid w:val="0"/>
              <w:ind w:firstLine="0"/>
              <w:jc w:val="left"/>
              <w:rPr>
                <w:rFonts w:cstheme="minorHAnsi"/>
                <w:sz w:val="20"/>
                <w:lang w:val="lv-LV"/>
              </w:rPr>
            </w:pPr>
            <w:bookmarkStart w:id="126" w:name="_Hlk98949343"/>
            <w:r w:rsidRPr="00675182">
              <w:rPr>
                <w:rFonts w:cstheme="minorHAnsi"/>
                <w:sz w:val="20"/>
                <w:lang w:val="lv-LV"/>
              </w:rPr>
              <w:t>Purvu biotopu uzturēšana labvēlīgā aizsardzības stāvoklī pēc atjaunošanas pasākumu veikšanas</w:t>
            </w:r>
            <w:bookmarkEnd w:id="126"/>
          </w:p>
        </w:tc>
        <w:tc>
          <w:tcPr>
            <w:tcW w:w="1699" w:type="dxa"/>
            <w:tcBorders>
              <w:top w:val="single" w:sz="4" w:space="0" w:color="000000"/>
              <w:left w:val="single" w:sz="4" w:space="0" w:color="000000"/>
              <w:bottom w:val="single" w:sz="4" w:space="0" w:color="000000"/>
            </w:tcBorders>
          </w:tcPr>
          <w:p w14:paraId="0FDA7ED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4C41EFF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finansējums, projektu finansējums</w:t>
            </w:r>
          </w:p>
        </w:tc>
        <w:tc>
          <w:tcPr>
            <w:tcW w:w="1991" w:type="dxa"/>
            <w:tcBorders>
              <w:top w:val="single" w:sz="4" w:space="0" w:color="000000"/>
              <w:left w:val="single" w:sz="4" w:space="0" w:color="000000"/>
              <w:bottom w:val="single" w:sz="4" w:space="0" w:color="000000"/>
            </w:tcBorders>
          </w:tcPr>
          <w:p w14:paraId="189F2D4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zemes īpašnieki</w:t>
            </w:r>
          </w:p>
        </w:tc>
        <w:tc>
          <w:tcPr>
            <w:tcW w:w="1577" w:type="dxa"/>
            <w:tcBorders>
              <w:top w:val="single" w:sz="4" w:space="0" w:color="000000"/>
              <w:left w:val="single" w:sz="4" w:space="0" w:color="000000"/>
              <w:bottom w:val="single" w:sz="4" w:space="0" w:color="000000"/>
            </w:tcBorders>
          </w:tcPr>
          <w:p w14:paraId="4D6E4171" w14:textId="5BC2DE5F" w:rsidR="00864E55" w:rsidRPr="00675182" w:rsidRDefault="00864E55" w:rsidP="00864E55">
            <w:pPr>
              <w:autoSpaceDE w:val="0"/>
              <w:snapToGrid w:val="0"/>
              <w:rPr>
                <w:rFonts w:cstheme="minorHAnsi"/>
                <w:sz w:val="20"/>
              </w:rPr>
            </w:pPr>
            <w:r w:rsidRPr="00675182">
              <w:rPr>
                <w:rFonts w:cstheme="minorHAnsi"/>
                <w:sz w:val="20"/>
              </w:rPr>
              <w:t>Precīzi nav nosakāmas</w:t>
            </w:r>
            <w:r w:rsidR="00A06978" w:rsidRPr="00675182">
              <w:rPr>
                <w:rFonts w:cstheme="minorHAnsi"/>
                <w:sz w:val="20"/>
              </w:rPr>
              <w:t>.</w:t>
            </w:r>
            <w:r w:rsidR="00A06978" w:rsidRPr="00675182">
              <w:t xml:space="preserve"> </w:t>
            </w:r>
            <w:r w:rsidR="00A06978" w:rsidRPr="00675182">
              <w:rPr>
                <w:rFonts w:cstheme="minorHAnsi"/>
                <w:sz w:val="20"/>
              </w:rPr>
              <w:t>Atšķirīgas dažādos objektos.</w:t>
            </w:r>
          </w:p>
          <w:p w14:paraId="5DD9BD40" w14:textId="77777777" w:rsidR="00A06978" w:rsidRPr="00675182" w:rsidRDefault="00A06978" w:rsidP="00864E55">
            <w:pPr>
              <w:autoSpaceDE w:val="0"/>
              <w:snapToGrid w:val="0"/>
              <w:rPr>
                <w:rFonts w:cstheme="minorHAnsi"/>
                <w:sz w:val="20"/>
              </w:rPr>
            </w:pPr>
          </w:p>
          <w:p w14:paraId="14427ABE" w14:textId="1DA6A640" w:rsidR="00A06978" w:rsidRPr="00675182" w:rsidRDefault="00A06978" w:rsidP="00864E55">
            <w:pPr>
              <w:autoSpaceDE w:val="0"/>
              <w:snapToGrid w:val="0"/>
              <w:rPr>
                <w:rFonts w:cstheme="minorHAnsi"/>
                <w:sz w:val="20"/>
              </w:rPr>
            </w:pPr>
            <w:r w:rsidRPr="00675182">
              <w:rPr>
                <w:rFonts w:cstheme="minorHAnsi"/>
                <w:sz w:val="20"/>
              </w:rPr>
              <w:lastRenderedPageBreak/>
              <w:t>500 – 600 eur/ha, ik katrus 3 – 5 gadus</w:t>
            </w:r>
          </w:p>
          <w:p w14:paraId="2D99854B" w14:textId="19D17A03" w:rsidR="00A06978" w:rsidRPr="00675182" w:rsidRDefault="00A06978" w:rsidP="00864E55">
            <w:pPr>
              <w:autoSpaceDE w:val="0"/>
              <w:snapToGrid w:val="0"/>
              <w:rPr>
                <w:rFonts w:cstheme="minorHAnsi"/>
                <w:sz w:val="20"/>
              </w:rPr>
            </w:pPr>
          </w:p>
        </w:tc>
        <w:tc>
          <w:tcPr>
            <w:tcW w:w="2428" w:type="dxa"/>
            <w:tcBorders>
              <w:top w:val="single" w:sz="4" w:space="0" w:color="000000"/>
              <w:left w:val="single" w:sz="4" w:space="0" w:color="000000"/>
              <w:bottom w:val="single" w:sz="4" w:space="0" w:color="000000"/>
              <w:right w:val="single" w:sz="4" w:space="0" w:color="000000"/>
            </w:tcBorders>
          </w:tcPr>
          <w:p w14:paraId="759B4910"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lastRenderedPageBreak/>
              <w:t>Bez apauguma uzturētas biotopu platības vismaz 2,3 ha apjomā (Rakšu purvs, zālāju komplekss pie Sveķupītes)</w:t>
            </w:r>
          </w:p>
        </w:tc>
      </w:tr>
      <w:tr w:rsidR="00864E55" w:rsidRPr="00675182" w14:paraId="4CC27F54" w14:textId="77777777" w:rsidTr="00E21287">
        <w:tc>
          <w:tcPr>
            <w:tcW w:w="872" w:type="dxa"/>
            <w:tcBorders>
              <w:top w:val="single" w:sz="4" w:space="0" w:color="000000"/>
              <w:left w:val="single" w:sz="4" w:space="0" w:color="000000"/>
              <w:bottom w:val="single" w:sz="4" w:space="0" w:color="000000"/>
            </w:tcBorders>
          </w:tcPr>
          <w:p w14:paraId="293C456A"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B.5.1.</w:t>
            </w:r>
          </w:p>
        </w:tc>
        <w:tc>
          <w:tcPr>
            <w:tcW w:w="850" w:type="dxa"/>
            <w:tcBorders>
              <w:top w:val="single" w:sz="4" w:space="0" w:color="000000"/>
              <w:left w:val="single" w:sz="4" w:space="0" w:color="000000"/>
              <w:bottom w:val="single" w:sz="4" w:space="0" w:color="000000"/>
            </w:tcBorders>
          </w:tcPr>
          <w:p w14:paraId="083FC01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B.5.</w:t>
            </w:r>
          </w:p>
          <w:p w14:paraId="10B8D7E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tcBorders>
          </w:tcPr>
          <w:p w14:paraId="1E3F461C"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 xml:space="preserve">Hidroloģiskā režīma atjaunošana nosusināšanas ietekmētajās biotopa veida 91D0* </w:t>
            </w:r>
            <w:r w:rsidRPr="00BF7348">
              <w:rPr>
                <w:rFonts w:cstheme="minorHAnsi"/>
                <w:sz w:val="20"/>
                <w:lang w:val="lv-LV"/>
              </w:rPr>
              <w:t>Purvaini meži</w:t>
            </w:r>
            <w:r w:rsidRPr="00675182">
              <w:rPr>
                <w:rFonts w:cstheme="minorHAnsi"/>
                <w:sz w:val="20"/>
                <w:lang w:val="lv-LV"/>
              </w:rPr>
              <w:t xml:space="preserve"> platībās.</w:t>
            </w:r>
          </w:p>
        </w:tc>
        <w:tc>
          <w:tcPr>
            <w:tcW w:w="1699" w:type="dxa"/>
            <w:tcBorders>
              <w:top w:val="single" w:sz="4" w:space="0" w:color="000000"/>
              <w:left w:val="single" w:sz="4" w:space="0" w:color="000000"/>
              <w:bottom w:val="single" w:sz="4" w:space="0" w:color="000000"/>
            </w:tcBorders>
          </w:tcPr>
          <w:p w14:paraId="7C71527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2274DB0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000000"/>
              <w:left w:val="single" w:sz="4" w:space="0" w:color="000000"/>
              <w:bottom w:val="single" w:sz="4" w:space="0" w:color="000000"/>
            </w:tcBorders>
          </w:tcPr>
          <w:p w14:paraId="78042A1B" w14:textId="4EA20D87" w:rsidR="00864E55" w:rsidRPr="00675182" w:rsidRDefault="00744484"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DAP, NVO, privātuzņēmumi</w:t>
            </w:r>
          </w:p>
        </w:tc>
        <w:tc>
          <w:tcPr>
            <w:tcW w:w="1577" w:type="dxa"/>
            <w:tcBorders>
              <w:top w:val="single" w:sz="4" w:space="0" w:color="000000"/>
              <w:left w:val="single" w:sz="4" w:space="0" w:color="000000"/>
              <w:bottom w:val="single" w:sz="4" w:space="0" w:color="000000"/>
            </w:tcBorders>
          </w:tcPr>
          <w:p w14:paraId="2D6FC913" w14:textId="77777777" w:rsidR="00864E55" w:rsidRPr="00675182" w:rsidRDefault="00864E55" w:rsidP="00864E55">
            <w:pPr>
              <w:autoSpaceDE w:val="0"/>
              <w:snapToGrid w:val="0"/>
              <w:rPr>
                <w:rFonts w:cstheme="minorHAnsi"/>
                <w:sz w:val="20"/>
              </w:rPr>
            </w:pPr>
            <w:r w:rsidRPr="00675182">
              <w:rPr>
                <w:rFonts w:cstheme="minorHAnsi"/>
                <w:sz w:val="20"/>
              </w:rPr>
              <w:t>Atšķirīgas dažādos objektos, atkarīgas no pasākumu īstenošanas platības un tehniskā risinājuma</w:t>
            </w:r>
            <w:r w:rsidR="00A06978" w:rsidRPr="00675182">
              <w:rPr>
                <w:rFonts w:cstheme="minorHAnsi"/>
                <w:sz w:val="20"/>
              </w:rPr>
              <w:t>.</w:t>
            </w:r>
          </w:p>
          <w:p w14:paraId="6C734839" w14:textId="77777777" w:rsidR="00A06978" w:rsidRPr="00675182" w:rsidRDefault="00A06978" w:rsidP="00864E55">
            <w:pPr>
              <w:autoSpaceDE w:val="0"/>
              <w:snapToGrid w:val="0"/>
              <w:rPr>
                <w:rFonts w:cstheme="minorHAnsi"/>
                <w:sz w:val="20"/>
              </w:rPr>
            </w:pPr>
          </w:p>
          <w:p w14:paraId="52D04A57" w14:textId="229E16D7" w:rsidR="00A06978" w:rsidRPr="00675182" w:rsidRDefault="00A06978" w:rsidP="00864E55">
            <w:pPr>
              <w:autoSpaceDE w:val="0"/>
              <w:snapToGrid w:val="0"/>
              <w:rPr>
                <w:rFonts w:cstheme="minorHAnsi"/>
                <w:sz w:val="20"/>
              </w:rPr>
            </w:pPr>
            <w:r w:rsidRPr="00675182">
              <w:rPr>
                <w:rFonts w:cstheme="minorHAnsi"/>
                <w:sz w:val="20"/>
              </w:rPr>
              <w:t>800 – 960 eur/ha</w:t>
            </w:r>
          </w:p>
        </w:tc>
        <w:tc>
          <w:tcPr>
            <w:tcW w:w="2428" w:type="dxa"/>
            <w:tcBorders>
              <w:top w:val="single" w:sz="4" w:space="0" w:color="000000"/>
              <w:left w:val="single" w:sz="4" w:space="0" w:color="000000"/>
              <w:bottom w:val="single" w:sz="4" w:space="0" w:color="000000"/>
              <w:right w:val="single" w:sz="4" w:space="0" w:color="000000"/>
            </w:tcBorders>
          </w:tcPr>
          <w:p w14:paraId="1BC0C14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Atjaunots dabiskais hidroloģiskais režīms meža masīvos ar augstu biotopa 91D0* īpatsvaru, aptuveni 150 ha platībā</w:t>
            </w:r>
          </w:p>
        </w:tc>
      </w:tr>
      <w:tr w:rsidR="00864E55" w:rsidRPr="00675182" w14:paraId="11D4BFCA" w14:textId="77777777" w:rsidTr="00E21287">
        <w:tc>
          <w:tcPr>
            <w:tcW w:w="872" w:type="dxa"/>
            <w:tcBorders>
              <w:top w:val="single" w:sz="4" w:space="0" w:color="000000"/>
              <w:left w:val="single" w:sz="4" w:space="0" w:color="000000"/>
              <w:bottom w:val="single" w:sz="4" w:space="0" w:color="000000"/>
            </w:tcBorders>
          </w:tcPr>
          <w:p w14:paraId="5C9B9381"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B.5.2.</w:t>
            </w:r>
          </w:p>
        </w:tc>
        <w:tc>
          <w:tcPr>
            <w:tcW w:w="850" w:type="dxa"/>
            <w:tcBorders>
              <w:top w:val="single" w:sz="4" w:space="0" w:color="000000"/>
              <w:left w:val="single" w:sz="4" w:space="0" w:color="000000"/>
              <w:bottom w:val="single" w:sz="4" w:space="0" w:color="000000"/>
            </w:tcBorders>
          </w:tcPr>
          <w:p w14:paraId="57769B7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B.5.</w:t>
            </w:r>
          </w:p>
          <w:p w14:paraId="7C37421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6EEFD4C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01C2E7E2"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Aizsargājamu meža biotopu kvalitātes uzlabošana</w:t>
            </w:r>
          </w:p>
        </w:tc>
        <w:tc>
          <w:tcPr>
            <w:tcW w:w="1699" w:type="dxa"/>
            <w:tcBorders>
              <w:top w:val="single" w:sz="4" w:space="0" w:color="000000"/>
              <w:left w:val="single" w:sz="4" w:space="0" w:color="000000"/>
              <w:bottom w:val="single" w:sz="4" w:space="0" w:color="000000"/>
            </w:tcBorders>
          </w:tcPr>
          <w:p w14:paraId="2D4679E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03BE901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40AAD40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577" w:type="dxa"/>
            <w:tcBorders>
              <w:top w:val="single" w:sz="4" w:space="0" w:color="000000"/>
              <w:left w:val="single" w:sz="4" w:space="0" w:color="000000"/>
              <w:bottom w:val="single" w:sz="4" w:space="0" w:color="000000"/>
            </w:tcBorders>
          </w:tcPr>
          <w:p w14:paraId="0DDCEDF5" w14:textId="3A5D7321" w:rsidR="00864E55" w:rsidRPr="00675182" w:rsidRDefault="00864E55" w:rsidP="00864E55">
            <w:pPr>
              <w:autoSpaceDE w:val="0"/>
              <w:snapToGrid w:val="0"/>
              <w:rPr>
                <w:rFonts w:cstheme="minorHAnsi"/>
                <w:sz w:val="20"/>
              </w:rPr>
            </w:pPr>
            <w:r w:rsidRPr="00675182">
              <w:rPr>
                <w:rFonts w:cstheme="minorHAnsi"/>
                <w:sz w:val="20"/>
              </w:rPr>
              <w:t>Precīzi nav nosakāmas</w:t>
            </w:r>
            <w:r w:rsidR="00A06978" w:rsidRPr="00675182">
              <w:rPr>
                <w:rFonts w:cstheme="minorHAnsi"/>
                <w:sz w:val="20"/>
              </w:rPr>
              <w:t>.</w:t>
            </w:r>
          </w:p>
          <w:p w14:paraId="2E169BBF" w14:textId="0102CDC6" w:rsidR="009B3B62" w:rsidRPr="00675182" w:rsidRDefault="009B3B62" w:rsidP="00864E55">
            <w:pPr>
              <w:autoSpaceDE w:val="0"/>
              <w:snapToGrid w:val="0"/>
              <w:rPr>
                <w:rFonts w:cstheme="minorHAnsi"/>
                <w:sz w:val="20"/>
              </w:rPr>
            </w:pPr>
            <w:r w:rsidRPr="00675182">
              <w:rPr>
                <w:rFonts w:cstheme="minorHAnsi"/>
                <w:sz w:val="20"/>
              </w:rPr>
              <w:t>Atšķirīgas dažādos objektos, atkarīgas no pasākumu īstenošanas platības un veicamajiem pasākumiem.</w:t>
            </w:r>
          </w:p>
          <w:p w14:paraId="23C4C5C5" w14:textId="77777777" w:rsidR="00A06978" w:rsidRPr="00675182" w:rsidRDefault="00A06978" w:rsidP="00864E55">
            <w:pPr>
              <w:autoSpaceDE w:val="0"/>
              <w:snapToGrid w:val="0"/>
              <w:rPr>
                <w:rFonts w:cstheme="minorHAnsi"/>
                <w:sz w:val="20"/>
              </w:rPr>
            </w:pPr>
          </w:p>
          <w:p w14:paraId="74947B7C" w14:textId="1FD32B7A" w:rsidR="00A06978" w:rsidRPr="00675182" w:rsidRDefault="009B3B62" w:rsidP="00864E55">
            <w:pPr>
              <w:autoSpaceDE w:val="0"/>
              <w:snapToGrid w:val="0"/>
              <w:rPr>
                <w:rFonts w:cstheme="minorHAnsi"/>
                <w:sz w:val="20"/>
              </w:rPr>
            </w:pPr>
            <w:r w:rsidRPr="00675182">
              <w:rPr>
                <w:rFonts w:cstheme="minorHAnsi"/>
                <w:sz w:val="20"/>
              </w:rPr>
              <w:t>200 – 2500 eur/ha</w:t>
            </w:r>
          </w:p>
        </w:tc>
        <w:tc>
          <w:tcPr>
            <w:tcW w:w="2428" w:type="dxa"/>
            <w:tcBorders>
              <w:top w:val="single" w:sz="4" w:space="0" w:color="000000"/>
              <w:left w:val="single" w:sz="4" w:space="0" w:color="000000"/>
              <w:bottom w:val="single" w:sz="4" w:space="0" w:color="000000"/>
              <w:right w:val="single" w:sz="4" w:space="0" w:color="000000"/>
            </w:tcBorders>
          </w:tcPr>
          <w:p w14:paraId="7F5242A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Uzlabota meža biotopu kvalitāte vismaz 31,5 ha platībā</w:t>
            </w:r>
          </w:p>
        </w:tc>
      </w:tr>
      <w:tr w:rsidR="00864E55" w:rsidRPr="00675182" w14:paraId="32035CCD" w14:textId="77777777" w:rsidTr="00E21287">
        <w:tc>
          <w:tcPr>
            <w:tcW w:w="872" w:type="dxa"/>
            <w:tcBorders>
              <w:top w:val="single" w:sz="4" w:space="0" w:color="000000"/>
              <w:left w:val="single" w:sz="4" w:space="0" w:color="000000"/>
              <w:bottom w:val="single" w:sz="4" w:space="0" w:color="000000"/>
            </w:tcBorders>
          </w:tcPr>
          <w:p w14:paraId="29CE733D"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B.5.3.</w:t>
            </w:r>
          </w:p>
        </w:tc>
        <w:tc>
          <w:tcPr>
            <w:tcW w:w="850" w:type="dxa"/>
            <w:tcBorders>
              <w:top w:val="single" w:sz="4" w:space="0" w:color="000000"/>
              <w:left w:val="single" w:sz="4" w:space="0" w:color="000000"/>
              <w:bottom w:val="single" w:sz="4" w:space="0" w:color="000000"/>
            </w:tcBorders>
          </w:tcPr>
          <w:p w14:paraId="7027B03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B.5.</w:t>
            </w:r>
          </w:p>
          <w:p w14:paraId="3DA1267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6A4EA63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lastRenderedPageBreak/>
              <w:t>C.1.</w:t>
            </w:r>
          </w:p>
        </w:tc>
        <w:tc>
          <w:tcPr>
            <w:tcW w:w="2670" w:type="dxa"/>
            <w:tcBorders>
              <w:top w:val="single" w:sz="4" w:space="0" w:color="000000"/>
              <w:left w:val="single" w:sz="4" w:space="0" w:color="000000"/>
              <w:bottom w:val="single" w:sz="4" w:space="0" w:color="000000"/>
            </w:tcBorders>
          </w:tcPr>
          <w:p w14:paraId="664C2C4D"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lastRenderedPageBreak/>
              <w:t xml:space="preserve">Mežaudzes struktūras dabiskošana mākslīgi ierīkotās </w:t>
            </w:r>
            <w:r w:rsidRPr="00675182">
              <w:rPr>
                <w:rFonts w:cstheme="minorHAnsi"/>
                <w:sz w:val="20"/>
                <w:lang w:val="lv-LV"/>
              </w:rPr>
              <w:lastRenderedPageBreak/>
              <w:t>un koptās mežaudzēs, mirušās koksnes daudzuma palielināšana</w:t>
            </w:r>
          </w:p>
        </w:tc>
        <w:tc>
          <w:tcPr>
            <w:tcW w:w="1699" w:type="dxa"/>
            <w:tcBorders>
              <w:top w:val="single" w:sz="4" w:space="0" w:color="000000"/>
              <w:left w:val="single" w:sz="4" w:space="0" w:color="000000"/>
              <w:bottom w:val="single" w:sz="4" w:space="0" w:color="000000"/>
            </w:tcBorders>
          </w:tcPr>
          <w:p w14:paraId="134C846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lastRenderedPageBreak/>
              <w:t>II, visā plāna darbības periodā</w:t>
            </w:r>
          </w:p>
        </w:tc>
        <w:tc>
          <w:tcPr>
            <w:tcW w:w="2124" w:type="dxa"/>
            <w:tcBorders>
              <w:top w:val="single" w:sz="4" w:space="0" w:color="000000"/>
              <w:left w:val="single" w:sz="4" w:space="0" w:color="000000"/>
              <w:bottom w:val="single" w:sz="4" w:space="0" w:color="000000"/>
            </w:tcBorders>
          </w:tcPr>
          <w:p w14:paraId="797F411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21F231D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577" w:type="dxa"/>
            <w:tcBorders>
              <w:top w:val="single" w:sz="4" w:space="0" w:color="000000"/>
              <w:left w:val="single" w:sz="4" w:space="0" w:color="000000"/>
              <w:bottom w:val="single" w:sz="4" w:space="0" w:color="000000"/>
            </w:tcBorders>
          </w:tcPr>
          <w:p w14:paraId="4C4D3688" w14:textId="3802E2F1" w:rsidR="00864E55" w:rsidRPr="00675182" w:rsidRDefault="00864E55" w:rsidP="00864E55">
            <w:pPr>
              <w:autoSpaceDE w:val="0"/>
              <w:snapToGrid w:val="0"/>
              <w:rPr>
                <w:rFonts w:cstheme="minorHAnsi"/>
                <w:sz w:val="20"/>
              </w:rPr>
            </w:pPr>
            <w:r w:rsidRPr="00675182">
              <w:rPr>
                <w:rFonts w:cstheme="minorHAnsi"/>
                <w:sz w:val="20"/>
              </w:rPr>
              <w:t>Precīzi nav nosakāmas</w:t>
            </w:r>
            <w:r w:rsidR="009B3B62" w:rsidRPr="00675182">
              <w:rPr>
                <w:rFonts w:cstheme="minorHAnsi"/>
                <w:sz w:val="20"/>
              </w:rPr>
              <w:t>.</w:t>
            </w:r>
          </w:p>
          <w:p w14:paraId="61C8FEBB" w14:textId="163127B0" w:rsidR="009B3B62" w:rsidRPr="00675182" w:rsidRDefault="009B3B62" w:rsidP="00864E55">
            <w:pPr>
              <w:autoSpaceDE w:val="0"/>
              <w:snapToGrid w:val="0"/>
              <w:rPr>
                <w:rFonts w:cstheme="minorHAnsi"/>
                <w:sz w:val="20"/>
              </w:rPr>
            </w:pPr>
            <w:r w:rsidRPr="00675182">
              <w:rPr>
                <w:rFonts w:cstheme="minorHAnsi"/>
                <w:sz w:val="20"/>
              </w:rPr>
              <w:lastRenderedPageBreak/>
              <w:t>Atšķirīgas dažādos objektos, atkarīgas no pasākumu īstenošanas platības un veicamajiem pasākumiem.</w:t>
            </w:r>
          </w:p>
          <w:p w14:paraId="1B673905" w14:textId="77777777" w:rsidR="009B3B62" w:rsidRPr="00675182" w:rsidRDefault="009B3B62" w:rsidP="00864E55">
            <w:pPr>
              <w:autoSpaceDE w:val="0"/>
              <w:snapToGrid w:val="0"/>
              <w:rPr>
                <w:rFonts w:cstheme="minorHAnsi"/>
                <w:sz w:val="20"/>
              </w:rPr>
            </w:pPr>
          </w:p>
          <w:p w14:paraId="636E7DB0" w14:textId="12CA623C" w:rsidR="009B3B62" w:rsidRPr="00675182" w:rsidRDefault="009B3B62" w:rsidP="00864E55">
            <w:pPr>
              <w:autoSpaceDE w:val="0"/>
              <w:snapToGrid w:val="0"/>
              <w:rPr>
                <w:rFonts w:cstheme="minorHAnsi"/>
                <w:sz w:val="20"/>
              </w:rPr>
            </w:pPr>
            <w:r w:rsidRPr="00675182">
              <w:rPr>
                <w:rFonts w:cstheme="minorHAnsi"/>
                <w:sz w:val="20"/>
              </w:rPr>
              <w:t>450 – 2500 eur/ha</w:t>
            </w:r>
          </w:p>
        </w:tc>
        <w:tc>
          <w:tcPr>
            <w:tcW w:w="2428" w:type="dxa"/>
            <w:tcBorders>
              <w:top w:val="single" w:sz="4" w:space="0" w:color="000000"/>
              <w:left w:val="single" w:sz="4" w:space="0" w:color="000000"/>
              <w:bottom w:val="single" w:sz="4" w:space="0" w:color="000000"/>
              <w:right w:val="single" w:sz="4" w:space="0" w:color="000000"/>
            </w:tcBorders>
          </w:tcPr>
          <w:p w14:paraId="20D8A37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lastRenderedPageBreak/>
              <w:t xml:space="preserve">Veicot dabiskošanas pasākumus, uzlabota meža </w:t>
            </w:r>
            <w:r w:rsidRPr="00675182">
              <w:rPr>
                <w:rFonts w:cstheme="minorHAnsi"/>
                <w:sz w:val="20"/>
                <w:lang w:val="lv-LV"/>
              </w:rPr>
              <w:lastRenderedPageBreak/>
              <w:t>dzīvotņu kvalitāte vismaz 650 ha platībā</w:t>
            </w:r>
          </w:p>
        </w:tc>
      </w:tr>
      <w:tr w:rsidR="00864E55" w:rsidRPr="00675182" w14:paraId="46F2A67A" w14:textId="77777777" w:rsidTr="00E21287">
        <w:tc>
          <w:tcPr>
            <w:tcW w:w="872" w:type="dxa"/>
            <w:tcBorders>
              <w:top w:val="single" w:sz="4" w:space="0" w:color="000000"/>
              <w:left w:val="single" w:sz="4" w:space="0" w:color="000000"/>
              <w:bottom w:val="single" w:sz="4" w:space="0" w:color="000000"/>
            </w:tcBorders>
          </w:tcPr>
          <w:p w14:paraId="460BFF23"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B.5.4.</w:t>
            </w:r>
          </w:p>
        </w:tc>
        <w:tc>
          <w:tcPr>
            <w:tcW w:w="850" w:type="dxa"/>
            <w:tcBorders>
              <w:top w:val="single" w:sz="4" w:space="0" w:color="000000"/>
              <w:left w:val="single" w:sz="4" w:space="0" w:color="000000"/>
              <w:bottom w:val="single" w:sz="4" w:space="0" w:color="000000"/>
            </w:tcBorders>
          </w:tcPr>
          <w:p w14:paraId="5547B35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B.5.</w:t>
            </w:r>
          </w:p>
          <w:p w14:paraId="3AB6D67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134F256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5E5A5F11" w14:textId="6A87EEB5"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 xml:space="preserve">Neiejaukšanās meža dabiskajos attīstības procesos </w:t>
            </w:r>
            <w:r w:rsidR="006F2429" w:rsidRPr="00675182">
              <w:rPr>
                <w:rFonts w:cstheme="minorHAnsi"/>
                <w:sz w:val="20"/>
                <w:lang w:val="lv-LV"/>
              </w:rPr>
              <w:t>13879</w:t>
            </w:r>
            <w:r w:rsidRPr="00675182">
              <w:rPr>
                <w:rFonts w:cstheme="minorHAnsi"/>
                <w:sz w:val="20"/>
                <w:lang w:val="lv-LV"/>
              </w:rPr>
              <w:t xml:space="preserve"> ha platībā</w:t>
            </w:r>
          </w:p>
        </w:tc>
        <w:tc>
          <w:tcPr>
            <w:tcW w:w="1699" w:type="dxa"/>
            <w:tcBorders>
              <w:top w:val="single" w:sz="4" w:space="0" w:color="000000"/>
              <w:left w:val="single" w:sz="4" w:space="0" w:color="000000"/>
              <w:bottom w:val="single" w:sz="4" w:space="0" w:color="000000"/>
            </w:tcBorders>
          </w:tcPr>
          <w:p w14:paraId="4BFE050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6B141FC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Nav papildus izdevumi</w:t>
            </w:r>
          </w:p>
        </w:tc>
        <w:tc>
          <w:tcPr>
            <w:tcW w:w="1991" w:type="dxa"/>
            <w:tcBorders>
              <w:top w:val="single" w:sz="4" w:space="0" w:color="000000"/>
              <w:left w:val="single" w:sz="4" w:space="0" w:color="000000"/>
              <w:bottom w:val="single" w:sz="4" w:space="0" w:color="000000"/>
            </w:tcBorders>
          </w:tcPr>
          <w:p w14:paraId="7E13281E" w14:textId="1BC477B8" w:rsidR="00864E55" w:rsidRPr="00675182" w:rsidRDefault="00AF4D6C"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īpašnieks, DAP, VMD</w:t>
            </w:r>
          </w:p>
        </w:tc>
        <w:tc>
          <w:tcPr>
            <w:tcW w:w="1577" w:type="dxa"/>
            <w:tcBorders>
              <w:top w:val="single" w:sz="4" w:space="0" w:color="000000"/>
              <w:left w:val="single" w:sz="4" w:space="0" w:color="000000"/>
              <w:bottom w:val="single" w:sz="4" w:space="0" w:color="000000"/>
            </w:tcBorders>
          </w:tcPr>
          <w:p w14:paraId="377EEAA8" w14:textId="77777777" w:rsidR="00864E55" w:rsidRPr="00675182" w:rsidRDefault="00864E55" w:rsidP="00864E55">
            <w:pPr>
              <w:autoSpaceDE w:val="0"/>
              <w:snapToGrid w:val="0"/>
              <w:rPr>
                <w:rFonts w:cstheme="minorHAnsi"/>
                <w:sz w:val="20"/>
              </w:rPr>
            </w:pPr>
            <w:r w:rsidRPr="00675182">
              <w:rPr>
                <w:rFonts w:cstheme="minorHAnsi"/>
                <w:sz w:val="20"/>
              </w:rPr>
              <w:t>Kompensāciju maksājumi privāto īpašnieku mežos, citi kompensāciju par saimnieciskās darbības ierobežojumiem veidi</w:t>
            </w:r>
            <w:r w:rsidR="009B3B62" w:rsidRPr="00675182">
              <w:rPr>
                <w:rFonts w:cstheme="minorHAnsi"/>
                <w:sz w:val="20"/>
              </w:rPr>
              <w:t>.</w:t>
            </w:r>
          </w:p>
          <w:p w14:paraId="780AE787" w14:textId="77777777" w:rsidR="009B3B62" w:rsidRPr="00675182" w:rsidRDefault="009B3B62" w:rsidP="00864E55">
            <w:pPr>
              <w:autoSpaceDE w:val="0"/>
              <w:snapToGrid w:val="0"/>
              <w:rPr>
                <w:rFonts w:cstheme="minorHAnsi"/>
                <w:sz w:val="20"/>
              </w:rPr>
            </w:pPr>
          </w:p>
          <w:p w14:paraId="3FF71497" w14:textId="75F2EF70" w:rsidR="009B3B62" w:rsidRPr="00675182" w:rsidRDefault="009B3B62" w:rsidP="00864E55">
            <w:pPr>
              <w:autoSpaceDE w:val="0"/>
              <w:snapToGrid w:val="0"/>
              <w:rPr>
                <w:rFonts w:cstheme="minorHAnsi"/>
                <w:sz w:val="20"/>
              </w:rPr>
            </w:pPr>
            <w:r w:rsidRPr="00675182">
              <w:rPr>
                <w:rFonts w:cstheme="minorHAnsi"/>
                <w:sz w:val="20"/>
              </w:rPr>
              <w:t>250 – 350 eur/ ha gadā</w:t>
            </w:r>
          </w:p>
        </w:tc>
        <w:tc>
          <w:tcPr>
            <w:tcW w:w="2428" w:type="dxa"/>
            <w:tcBorders>
              <w:top w:val="single" w:sz="4" w:space="0" w:color="000000"/>
              <w:left w:val="single" w:sz="4" w:space="0" w:color="000000"/>
              <w:bottom w:val="single" w:sz="4" w:space="0" w:color="000000"/>
              <w:right w:val="single" w:sz="4" w:space="0" w:color="000000"/>
            </w:tcBorders>
          </w:tcPr>
          <w:p w14:paraId="04DDAAEB" w14:textId="5C6BF875"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Biotopu Direktīvas I pielikuma </w:t>
            </w:r>
            <w:r w:rsidR="00906883">
              <w:rPr>
                <w:rFonts w:cstheme="minorHAnsi"/>
                <w:sz w:val="20"/>
                <w:lang w:val="lv-LV"/>
              </w:rPr>
              <w:t>ES nozīmes</w:t>
            </w:r>
            <w:r w:rsidR="00DE3C5F">
              <w:rPr>
                <w:rFonts w:cstheme="minorHAnsi"/>
                <w:sz w:val="20"/>
                <w:lang w:val="lv-LV"/>
              </w:rPr>
              <w:t xml:space="preserve"> </w:t>
            </w:r>
            <w:r w:rsidRPr="00675182">
              <w:rPr>
                <w:rFonts w:cstheme="minorHAnsi"/>
                <w:sz w:val="20"/>
                <w:lang w:val="lv-LV"/>
              </w:rPr>
              <w:t>biotopu platība palielinājusies par 2500 ha vai 5 % no meža platībām GNP teritorijā</w:t>
            </w:r>
          </w:p>
        </w:tc>
      </w:tr>
      <w:tr w:rsidR="00864E55" w:rsidRPr="00675182" w14:paraId="0C099D52" w14:textId="77777777" w:rsidTr="00E21287">
        <w:tc>
          <w:tcPr>
            <w:tcW w:w="872" w:type="dxa"/>
            <w:tcBorders>
              <w:top w:val="single" w:sz="4" w:space="0" w:color="000000"/>
              <w:left w:val="single" w:sz="4" w:space="0" w:color="000000"/>
              <w:bottom w:val="single" w:sz="4" w:space="0" w:color="000000"/>
            </w:tcBorders>
          </w:tcPr>
          <w:p w14:paraId="65E97D7F" w14:textId="58FA7749"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B.6.1</w:t>
            </w:r>
            <w:r w:rsidR="00666942" w:rsidRPr="00675182">
              <w:rPr>
                <w:rFonts w:cstheme="minorHAnsi"/>
                <w:sz w:val="20"/>
                <w:lang w:val="lv-LV"/>
              </w:rPr>
              <w:t>.</w:t>
            </w:r>
          </w:p>
        </w:tc>
        <w:tc>
          <w:tcPr>
            <w:tcW w:w="850" w:type="dxa"/>
            <w:tcBorders>
              <w:top w:val="single" w:sz="4" w:space="0" w:color="000000" w:themeColor="text1"/>
              <w:left w:val="single" w:sz="4" w:space="0" w:color="000000" w:themeColor="text1"/>
              <w:bottom w:val="single" w:sz="4" w:space="0" w:color="000000" w:themeColor="text1"/>
              <w:right w:val="nil"/>
            </w:tcBorders>
          </w:tcPr>
          <w:p w14:paraId="49804F8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5A78829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5C37387E" w14:textId="77777777" w:rsidR="00864E55" w:rsidRPr="00675182" w:rsidRDefault="00864E55" w:rsidP="00864E55">
            <w:pPr>
              <w:pStyle w:val="naisf"/>
              <w:snapToGrid w:val="0"/>
              <w:ind w:firstLine="0"/>
              <w:jc w:val="left"/>
              <w:rPr>
                <w:rFonts w:cstheme="minorHAnsi"/>
                <w:sz w:val="20"/>
                <w:lang w:val="lv-LV"/>
              </w:rPr>
            </w:pPr>
            <w:bookmarkStart w:id="127" w:name="_Hlk98520335"/>
            <w:r w:rsidRPr="00675182">
              <w:rPr>
                <w:rFonts w:cstheme="minorHAnsi"/>
                <w:sz w:val="20"/>
                <w:lang w:val="lv-LV"/>
              </w:rPr>
              <w:t xml:space="preserve">Lapkoku praulgrauža apdzīvoto koku atēnošana </w:t>
            </w:r>
            <w:bookmarkEnd w:id="127"/>
          </w:p>
        </w:tc>
        <w:tc>
          <w:tcPr>
            <w:tcW w:w="1699" w:type="dxa"/>
            <w:tcBorders>
              <w:top w:val="single" w:sz="4" w:space="0" w:color="000000" w:themeColor="text1"/>
              <w:left w:val="single" w:sz="4" w:space="0" w:color="000000" w:themeColor="text1"/>
              <w:bottom w:val="single" w:sz="4" w:space="0" w:color="000000" w:themeColor="text1"/>
              <w:right w:val="nil"/>
            </w:tcBorders>
          </w:tcPr>
          <w:p w14:paraId="4D7F1ED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20CF6C4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507AE7BE"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DAP, NVO</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16194416" w14:textId="09DC1533" w:rsidR="00864E55" w:rsidRPr="00675182" w:rsidRDefault="00E6402A" w:rsidP="00864E55">
            <w:pPr>
              <w:autoSpaceDE w:val="0"/>
              <w:snapToGrid w:val="0"/>
              <w:rPr>
                <w:rFonts w:cstheme="minorHAnsi"/>
                <w:sz w:val="20"/>
              </w:rPr>
            </w:pPr>
            <w:r w:rsidRPr="00675182">
              <w:rPr>
                <w:rFonts w:cstheme="minorHAnsi"/>
                <w:sz w:val="20"/>
              </w:rPr>
              <w:t>No ~700 EUR/ha ar materiāla izvākšanu</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5AE39" w14:textId="548F5B2C"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Atēnoti vismaz 20 lapkoku praulgrauža apdzīvotie koki.</w:t>
            </w:r>
            <w:r w:rsidR="005D0F74" w:rsidRPr="00675182">
              <w:rPr>
                <w:rFonts w:cstheme="minorHAnsi"/>
                <w:sz w:val="20"/>
                <w:lang w:val="lv-LV"/>
              </w:rPr>
              <w:t xml:space="preserve"> Uzlabota lapkoku praulgrauža dzīvotnes kvalitāte</w:t>
            </w:r>
            <w:r w:rsidR="005D0F74">
              <w:rPr>
                <w:rFonts w:cstheme="minorHAnsi"/>
                <w:sz w:val="20"/>
                <w:lang w:val="lv-LV"/>
              </w:rPr>
              <w:t>.</w:t>
            </w:r>
          </w:p>
        </w:tc>
      </w:tr>
      <w:tr w:rsidR="00864E55" w:rsidRPr="00675182" w14:paraId="4B72113B" w14:textId="77777777" w:rsidTr="00E21287">
        <w:tc>
          <w:tcPr>
            <w:tcW w:w="872" w:type="dxa"/>
            <w:tcBorders>
              <w:top w:val="single" w:sz="4" w:space="0" w:color="000000"/>
              <w:left w:val="single" w:sz="4" w:space="0" w:color="000000"/>
              <w:bottom w:val="single" w:sz="4" w:space="0" w:color="000000"/>
            </w:tcBorders>
          </w:tcPr>
          <w:p w14:paraId="67E519BE" w14:textId="1BBF1133"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B.6.2</w:t>
            </w:r>
            <w:r w:rsidR="00666942" w:rsidRPr="00675182">
              <w:rPr>
                <w:rFonts w:cstheme="minorHAnsi"/>
                <w:sz w:val="20"/>
                <w:lang w:val="lv-LV"/>
              </w:rPr>
              <w:t>.</w:t>
            </w:r>
          </w:p>
        </w:tc>
        <w:tc>
          <w:tcPr>
            <w:tcW w:w="850" w:type="dxa"/>
            <w:tcBorders>
              <w:top w:val="single" w:sz="4" w:space="0" w:color="000000" w:themeColor="text1"/>
              <w:left w:val="single" w:sz="4" w:space="0" w:color="000000" w:themeColor="text1"/>
              <w:bottom w:val="single" w:sz="4" w:space="0" w:color="000000" w:themeColor="text1"/>
              <w:right w:val="nil"/>
            </w:tcBorders>
          </w:tcPr>
          <w:p w14:paraId="5B198EC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7E8637D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7E18EFA5"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Lapkoku praulgrauža atradņu savienošana (Auciems – Raiskums – Ungurmuiža)</w:t>
            </w:r>
          </w:p>
        </w:tc>
        <w:tc>
          <w:tcPr>
            <w:tcW w:w="1699" w:type="dxa"/>
            <w:tcBorders>
              <w:top w:val="single" w:sz="4" w:space="0" w:color="000000" w:themeColor="text1"/>
              <w:left w:val="single" w:sz="4" w:space="0" w:color="000000" w:themeColor="text1"/>
              <w:bottom w:val="single" w:sz="4" w:space="0" w:color="000000" w:themeColor="text1"/>
              <w:right w:val="nil"/>
            </w:tcBorders>
          </w:tcPr>
          <w:p w14:paraId="1DAE842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4B10A5B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58B1ECEA"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DAP, NVO</w:t>
            </w:r>
          </w:p>
          <w:p w14:paraId="3CDAB6E2" w14:textId="77777777" w:rsidR="00864E55" w:rsidRPr="00675182" w:rsidRDefault="00864E55" w:rsidP="00864E55">
            <w:pPr>
              <w:pStyle w:val="naisf"/>
              <w:snapToGrid w:val="0"/>
              <w:spacing w:before="0" w:after="0"/>
              <w:ind w:firstLine="0"/>
              <w:jc w:val="left"/>
              <w:rPr>
                <w:rFonts w:cstheme="minorHAnsi"/>
                <w:sz w:val="20"/>
                <w:lang w:val="lv-LV"/>
              </w:rPr>
            </w:pPr>
          </w:p>
        </w:tc>
        <w:tc>
          <w:tcPr>
            <w:tcW w:w="1577" w:type="dxa"/>
            <w:tcBorders>
              <w:top w:val="single" w:sz="4" w:space="0" w:color="000000" w:themeColor="text1"/>
              <w:left w:val="single" w:sz="4" w:space="0" w:color="000000" w:themeColor="text1"/>
              <w:bottom w:val="single" w:sz="4" w:space="0" w:color="000000" w:themeColor="text1"/>
              <w:right w:val="nil"/>
            </w:tcBorders>
          </w:tcPr>
          <w:p w14:paraId="2DA6C8D4"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346DA" w14:textId="4D742179"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Izveidoti koridori populāciju savienošanai, izmantojot mākslīgus dobumus un stādot jaunus kokus.</w:t>
            </w:r>
            <w:r w:rsidR="005D0F74">
              <w:rPr>
                <w:rFonts w:cstheme="minorHAnsi"/>
                <w:sz w:val="20"/>
                <w:lang w:val="lv-LV"/>
              </w:rPr>
              <w:t xml:space="preserve"> </w:t>
            </w:r>
            <w:r w:rsidR="005D0F74" w:rsidRPr="00675182">
              <w:rPr>
                <w:rFonts w:cstheme="minorHAnsi"/>
                <w:sz w:val="20"/>
                <w:lang w:val="lv-LV"/>
              </w:rPr>
              <w:t>Uzlabota lapkoku praulgrauža dzīvotnes kvalitāte</w:t>
            </w:r>
            <w:r w:rsidR="005D0F74">
              <w:rPr>
                <w:rFonts w:cstheme="minorHAnsi"/>
                <w:sz w:val="20"/>
                <w:lang w:val="lv-LV"/>
              </w:rPr>
              <w:t>.</w:t>
            </w:r>
          </w:p>
        </w:tc>
      </w:tr>
      <w:tr w:rsidR="00864E55" w:rsidRPr="00675182" w14:paraId="7EFA4F1E" w14:textId="77777777" w:rsidTr="00E21287">
        <w:tc>
          <w:tcPr>
            <w:tcW w:w="872" w:type="dxa"/>
            <w:tcBorders>
              <w:top w:val="single" w:sz="4" w:space="0" w:color="000000"/>
              <w:left w:val="single" w:sz="4" w:space="0" w:color="000000"/>
              <w:bottom w:val="single" w:sz="4" w:space="0" w:color="000000"/>
            </w:tcBorders>
          </w:tcPr>
          <w:p w14:paraId="720BDDF8"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B.6.3</w:t>
            </w:r>
          </w:p>
        </w:tc>
        <w:tc>
          <w:tcPr>
            <w:tcW w:w="850" w:type="dxa"/>
            <w:tcBorders>
              <w:top w:val="single" w:sz="4" w:space="0" w:color="000000" w:themeColor="text1"/>
              <w:left w:val="single" w:sz="4" w:space="0" w:color="000000" w:themeColor="text1"/>
              <w:bottom w:val="single" w:sz="4" w:space="0" w:color="000000" w:themeColor="text1"/>
              <w:right w:val="nil"/>
            </w:tcBorders>
          </w:tcPr>
          <w:p w14:paraId="4C4F759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1F60186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4495C1E6"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Aizaugušas parkveida pļavas atēnošana Ungurmuižā un atjaunošana Turaidas apkārtnē, apsaimniekošanas nodrošināšana atjaunotajās parkveida platībās Ungurmuižā un Siguldas-Turaidas apkārtnē.</w:t>
            </w:r>
          </w:p>
        </w:tc>
        <w:tc>
          <w:tcPr>
            <w:tcW w:w="1699" w:type="dxa"/>
            <w:tcBorders>
              <w:top w:val="single" w:sz="4" w:space="0" w:color="000000" w:themeColor="text1"/>
              <w:left w:val="single" w:sz="4" w:space="0" w:color="000000" w:themeColor="text1"/>
              <w:bottom w:val="single" w:sz="4" w:space="0" w:color="000000" w:themeColor="text1"/>
              <w:right w:val="nil"/>
            </w:tcBorders>
          </w:tcPr>
          <w:p w14:paraId="403C662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2028</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6827B89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56E14B33" w14:textId="2CE98578"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DAP, NVO</w:t>
            </w:r>
            <w:r w:rsidR="00906883">
              <w:rPr>
                <w:rFonts w:cstheme="minorHAnsi"/>
                <w:sz w:val="20"/>
                <w:lang w:val="lv-LV"/>
              </w:rPr>
              <w:t>, zemes īpašnieki</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1C0ED545" w14:textId="4F6F0361" w:rsidR="00864E55" w:rsidRPr="00675182" w:rsidRDefault="00E6402A" w:rsidP="00864E55">
            <w:pPr>
              <w:autoSpaceDE w:val="0"/>
              <w:snapToGrid w:val="0"/>
              <w:rPr>
                <w:rFonts w:cstheme="minorHAnsi"/>
                <w:sz w:val="20"/>
              </w:rPr>
            </w:pPr>
            <w:r w:rsidRPr="00675182">
              <w:rPr>
                <w:rFonts w:cstheme="minorHAnsi"/>
                <w:sz w:val="20"/>
              </w:rPr>
              <w:t>Precīzi nav nosakāmas, atkarīgas no pasākuma platības un izpildes veida. No ~700 EUR/ha atēnošana un materiāla izvākšana, ~600-900 EUR/ha gadā apsaimniekošana ar ganīšanu vai pļaušanu un materiāla izvākšanu</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8879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Uzlabota lapkoku praulgrauža dzīvotnes kvalitāte, atēnoti ~ 15 parkveida koki Ungurmuižā. Atjaunota parkveida pļava pie Turaidas 3,5 ha platībā.</w:t>
            </w:r>
          </w:p>
          <w:p w14:paraId="481594C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Tiek apsaimniekotas un uzturētas parkveida pļavas vismaz 55,7 ha platībā.</w:t>
            </w:r>
          </w:p>
        </w:tc>
      </w:tr>
      <w:tr w:rsidR="00864E55" w:rsidRPr="00675182" w14:paraId="0A5062E1" w14:textId="77777777" w:rsidTr="00E21287">
        <w:tc>
          <w:tcPr>
            <w:tcW w:w="872" w:type="dxa"/>
            <w:tcBorders>
              <w:top w:val="single" w:sz="4" w:space="0" w:color="000000"/>
              <w:left w:val="single" w:sz="4" w:space="0" w:color="000000"/>
              <w:bottom w:val="single" w:sz="4" w:space="0" w:color="000000"/>
            </w:tcBorders>
          </w:tcPr>
          <w:p w14:paraId="63BA26C9"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B.6.4</w:t>
            </w:r>
          </w:p>
        </w:tc>
        <w:tc>
          <w:tcPr>
            <w:tcW w:w="850" w:type="dxa"/>
            <w:tcBorders>
              <w:top w:val="single" w:sz="4" w:space="0" w:color="000000" w:themeColor="text1"/>
              <w:left w:val="single" w:sz="4" w:space="0" w:color="000000" w:themeColor="text1"/>
              <w:bottom w:val="single" w:sz="4" w:space="0" w:color="000000" w:themeColor="text1"/>
              <w:right w:val="nil"/>
            </w:tcBorders>
          </w:tcPr>
          <w:p w14:paraId="776ED4A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71E09FC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515F37A4"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Koku alejas labvēlīga statusa nodrošināšana, ceļa posmā Kārļi – Zvārtes iezis</w:t>
            </w:r>
          </w:p>
        </w:tc>
        <w:tc>
          <w:tcPr>
            <w:tcW w:w="1699" w:type="dxa"/>
            <w:tcBorders>
              <w:top w:val="single" w:sz="4" w:space="0" w:color="000000" w:themeColor="text1"/>
              <w:left w:val="single" w:sz="4" w:space="0" w:color="000000" w:themeColor="text1"/>
              <w:bottom w:val="single" w:sz="4" w:space="0" w:color="000000" w:themeColor="text1"/>
              <w:right w:val="nil"/>
            </w:tcBorders>
          </w:tcPr>
          <w:p w14:paraId="4CE6630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2028</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3D71ABD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 pašvaldība</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4CDABFC2" w14:textId="7144954F" w:rsidR="00864E55" w:rsidRPr="00675182" w:rsidRDefault="00744484" w:rsidP="00864E55">
            <w:pPr>
              <w:pStyle w:val="naisf"/>
              <w:snapToGrid w:val="0"/>
              <w:spacing w:before="0" w:after="0"/>
              <w:ind w:firstLine="0"/>
              <w:jc w:val="left"/>
              <w:rPr>
                <w:rFonts w:cstheme="minorHAnsi"/>
                <w:sz w:val="20"/>
                <w:lang w:val="lv-LV"/>
              </w:rPr>
            </w:pPr>
            <w:r w:rsidRPr="00675182">
              <w:rPr>
                <w:rFonts w:cstheme="minorHAnsi"/>
                <w:sz w:val="20"/>
                <w:lang w:val="lv-LV"/>
              </w:rPr>
              <w:t>Pašvaldība, NVO, privātuzņēmumi</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7EFB4F16"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6087D" w14:textId="37439E58"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Uzlabots ceļa segums un brauktuve alejas ceļa posmā ~1 km garumā. </w:t>
            </w:r>
            <w:r w:rsidR="00906883">
              <w:rPr>
                <w:rFonts w:cstheme="minorHAnsi"/>
                <w:sz w:val="20"/>
                <w:lang w:val="lv-LV"/>
              </w:rPr>
              <w:t xml:space="preserve">Nodrošināts labvēlīgs stāvoklis </w:t>
            </w:r>
            <w:r w:rsidR="00D10AE9">
              <w:rPr>
                <w:rFonts w:cstheme="minorHAnsi"/>
                <w:sz w:val="20"/>
                <w:lang w:val="lv-LV"/>
              </w:rPr>
              <w:t>lapkoku praulgrauzim</w:t>
            </w:r>
            <w:r w:rsidR="00906883">
              <w:rPr>
                <w:rFonts w:cstheme="minorHAnsi"/>
                <w:sz w:val="20"/>
                <w:lang w:val="lv-LV"/>
              </w:rPr>
              <w:t>.</w:t>
            </w:r>
          </w:p>
        </w:tc>
      </w:tr>
      <w:tr w:rsidR="00864E55" w:rsidRPr="00675182" w14:paraId="45505595" w14:textId="77777777" w:rsidTr="00E21287">
        <w:tc>
          <w:tcPr>
            <w:tcW w:w="872" w:type="dxa"/>
            <w:tcBorders>
              <w:top w:val="single" w:sz="4" w:space="0" w:color="000000"/>
              <w:left w:val="single" w:sz="4" w:space="0" w:color="000000"/>
              <w:bottom w:val="single" w:sz="4" w:space="0" w:color="000000"/>
            </w:tcBorders>
          </w:tcPr>
          <w:p w14:paraId="48EDFF72"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B.6.5.</w:t>
            </w:r>
          </w:p>
        </w:tc>
        <w:tc>
          <w:tcPr>
            <w:tcW w:w="850" w:type="dxa"/>
            <w:tcBorders>
              <w:top w:val="single" w:sz="4" w:space="0" w:color="000000" w:themeColor="text1"/>
              <w:left w:val="single" w:sz="4" w:space="0" w:color="000000" w:themeColor="text1"/>
              <w:bottom w:val="single" w:sz="4" w:space="0" w:color="000000" w:themeColor="text1"/>
              <w:right w:val="nil"/>
            </w:tcBorders>
          </w:tcPr>
          <w:p w14:paraId="6D6D8A9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1E6B667B"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Tītmaņu vecupes ūdens spoguļa platības palielināšana</w:t>
            </w:r>
          </w:p>
        </w:tc>
        <w:tc>
          <w:tcPr>
            <w:tcW w:w="1699" w:type="dxa"/>
            <w:tcBorders>
              <w:top w:val="single" w:sz="4" w:space="0" w:color="000000" w:themeColor="text1"/>
              <w:left w:val="single" w:sz="4" w:space="0" w:color="000000" w:themeColor="text1"/>
              <w:bottom w:val="single" w:sz="4" w:space="0" w:color="000000" w:themeColor="text1"/>
              <w:right w:val="nil"/>
            </w:tcBorders>
          </w:tcPr>
          <w:p w14:paraId="19472E1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5ABEEA3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692B0D20" w14:textId="5BFBEB75" w:rsidR="00864E55" w:rsidRPr="00675182" w:rsidRDefault="00744484"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DAP, NVO, privātuzņēmumi</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33A36EB9"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B90D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Palielināta </w:t>
            </w:r>
            <w:r w:rsidRPr="00675182">
              <w:rPr>
                <w:rFonts w:cstheme="minorHAnsi"/>
                <w:i/>
                <w:sz w:val="20"/>
                <w:lang w:val="lv-LV"/>
              </w:rPr>
              <w:t>Distichus latissimus</w:t>
            </w:r>
            <w:r w:rsidRPr="00675182">
              <w:rPr>
                <w:rFonts w:cstheme="minorHAnsi"/>
                <w:sz w:val="20"/>
                <w:lang w:val="lv-LV"/>
              </w:rPr>
              <w:t xml:space="preserve"> un </w:t>
            </w:r>
            <w:r w:rsidRPr="00675182">
              <w:rPr>
                <w:rFonts w:cstheme="minorHAnsi"/>
                <w:i/>
                <w:sz w:val="20"/>
                <w:lang w:val="lv-LV"/>
              </w:rPr>
              <w:t>Graphoderus bilineatus</w:t>
            </w:r>
            <w:r w:rsidRPr="00675182">
              <w:rPr>
                <w:rFonts w:cstheme="minorHAnsi"/>
                <w:sz w:val="20"/>
                <w:lang w:val="lv-LV"/>
              </w:rPr>
              <w:t xml:space="preserve"> dzīvotnes platība (1,75 ha) </w:t>
            </w:r>
          </w:p>
        </w:tc>
      </w:tr>
      <w:tr w:rsidR="00864E55" w:rsidRPr="00675182" w14:paraId="1A8F8FEB" w14:textId="77777777" w:rsidTr="00E21287">
        <w:tc>
          <w:tcPr>
            <w:tcW w:w="872" w:type="dxa"/>
            <w:tcBorders>
              <w:top w:val="single" w:sz="4" w:space="0" w:color="000000"/>
              <w:left w:val="single" w:sz="4" w:space="0" w:color="000000"/>
              <w:bottom w:val="single" w:sz="4" w:space="0" w:color="000000"/>
            </w:tcBorders>
          </w:tcPr>
          <w:p w14:paraId="35F007ED"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B.6.6.</w:t>
            </w:r>
          </w:p>
        </w:tc>
        <w:tc>
          <w:tcPr>
            <w:tcW w:w="850" w:type="dxa"/>
            <w:tcBorders>
              <w:top w:val="single" w:sz="4" w:space="0" w:color="000000" w:themeColor="text1"/>
              <w:left w:val="single" w:sz="4" w:space="0" w:color="000000" w:themeColor="text1"/>
              <w:bottom w:val="single" w:sz="4" w:space="0" w:color="000000" w:themeColor="text1"/>
              <w:right w:val="nil"/>
            </w:tcBorders>
          </w:tcPr>
          <w:p w14:paraId="546CDDE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6F8A83DE" w14:textId="77777777" w:rsidR="00864E55" w:rsidRPr="00675182" w:rsidRDefault="00864E55" w:rsidP="00864E55">
            <w:pPr>
              <w:pStyle w:val="naisf"/>
              <w:snapToGrid w:val="0"/>
              <w:ind w:firstLine="0"/>
              <w:jc w:val="left"/>
              <w:rPr>
                <w:rFonts w:cstheme="minorHAnsi"/>
                <w:sz w:val="20"/>
                <w:lang w:val="lv-LV"/>
              </w:rPr>
            </w:pPr>
            <w:bookmarkStart w:id="128" w:name="_Hlk98521943"/>
            <w:r w:rsidRPr="00675182">
              <w:rPr>
                <w:rFonts w:cstheme="minorHAnsi"/>
                <w:i/>
                <w:sz w:val="20"/>
                <w:lang w:val="lv-LV"/>
              </w:rPr>
              <w:t xml:space="preserve">Vertigo angustior, V.geyeri </w:t>
            </w:r>
            <w:r w:rsidRPr="00675182">
              <w:rPr>
                <w:rFonts w:cstheme="minorHAnsi"/>
                <w:sz w:val="20"/>
                <w:lang w:val="lv-LV"/>
              </w:rPr>
              <w:t>biotopu kvalitātes uzlabošana, veicot krūmu un invazīvo augu ierobežošanu.</w:t>
            </w:r>
            <w:bookmarkEnd w:id="128"/>
          </w:p>
        </w:tc>
        <w:tc>
          <w:tcPr>
            <w:tcW w:w="1699" w:type="dxa"/>
            <w:tcBorders>
              <w:top w:val="single" w:sz="4" w:space="0" w:color="000000" w:themeColor="text1"/>
              <w:left w:val="single" w:sz="4" w:space="0" w:color="000000" w:themeColor="text1"/>
              <w:bottom w:val="single" w:sz="4" w:space="0" w:color="000000" w:themeColor="text1"/>
              <w:right w:val="nil"/>
            </w:tcBorders>
          </w:tcPr>
          <w:p w14:paraId="2FF1D36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6B473AA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26A11F2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NVO, zemes īpašnieki</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0E3443E1"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CD12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Palielināta mērķsugām piemērota biotopa platība 5,2 ha platībā.</w:t>
            </w:r>
          </w:p>
        </w:tc>
      </w:tr>
      <w:tr w:rsidR="00864E55" w:rsidRPr="00675182" w14:paraId="4561185C" w14:textId="77777777" w:rsidTr="00E21287">
        <w:tc>
          <w:tcPr>
            <w:tcW w:w="872" w:type="dxa"/>
            <w:tcBorders>
              <w:top w:val="single" w:sz="4" w:space="0" w:color="000000"/>
              <w:left w:val="single" w:sz="4" w:space="0" w:color="000000"/>
              <w:bottom w:val="single" w:sz="4" w:space="0" w:color="000000"/>
            </w:tcBorders>
          </w:tcPr>
          <w:p w14:paraId="1090F54D" w14:textId="42F00442"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B.6.7.</w:t>
            </w:r>
          </w:p>
        </w:tc>
        <w:tc>
          <w:tcPr>
            <w:tcW w:w="850" w:type="dxa"/>
            <w:tcBorders>
              <w:top w:val="single" w:sz="4" w:space="0" w:color="000000" w:themeColor="text1"/>
              <w:left w:val="single" w:sz="4" w:space="0" w:color="000000" w:themeColor="text1"/>
              <w:bottom w:val="single" w:sz="4" w:space="0" w:color="000000" w:themeColor="text1"/>
              <w:right w:val="nil"/>
            </w:tcBorders>
          </w:tcPr>
          <w:p w14:paraId="241F570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615A6907" w14:textId="77777777" w:rsidR="00864E55" w:rsidRPr="00675182" w:rsidRDefault="00864E55" w:rsidP="00864E55">
            <w:pPr>
              <w:pStyle w:val="naisf"/>
              <w:snapToGrid w:val="0"/>
              <w:ind w:firstLine="0"/>
              <w:jc w:val="left"/>
              <w:rPr>
                <w:rFonts w:cstheme="minorHAnsi"/>
                <w:sz w:val="20"/>
                <w:lang w:val="lv-LV"/>
              </w:rPr>
            </w:pPr>
            <w:bookmarkStart w:id="129" w:name="_Hlk98522882"/>
            <w:r w:rsidRPr="00675182">
              <w:rPr>
                <w:rFonts w:cstheme="minorHAnsi"/>
                <w:sz w:val="20"/>
                <w:lang w:val="lv-LV"/>
              </w:rPr>
              <w:t xml:space="preserve">Svītrainainā kapucķirmja </w:t>
            </w:r>
            <w:r w:rsidRPr="00675182">
              <w:rPr>
                <w:rFonts w:cstheme="minorHAnsi"/>
                <w:i/>
                <w:sz w:val="20"/>
                <w:lang w:val="lv-LV"/>
              </w:rPr>
              <w:t>Stephanopachys linearis</w:t>
            </w:r>
            <w:r w:rsidRPr="00675182">
              <w:rPr>
                <w:rFonts w:cstheme="minorHAnsi"/>
                <w:sz w:val="20"/>
                <w:lang w:val="lv-LV"/>
              </w:rPr>
              <w:t>, potenciālo dzīvotņu identificēšana un labvēlīgas dzīvotnes stāvokļa nodrošināšana</w:t>
            </w:r>
            <w:bookmarkEnd w:id="129"/>
          </w:p>
        </w:tc>
        <w:tc>
          <w:tcPr>
            <w:tcW w:w="1699" w:type="dxa"/>
            <w:tcBorders>
              <w:top w:val="single" w:sz="4" w:space="0" w:color="000000" w:themeColor="text1"/>
              <w:left w:val="single" w:sz="4" w:space="0" w:color="000000" w:themeColor="text1"/>
              <w:bottom w:val="single" w:sz="4" w:space="0" w:color="000000" w:themeColor="text1"/>
              <w:right w:val="nil"/>
            </w:tcBorders>
          </w:tcPr>
          <w:p w14:paraId="647C284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0A230E5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VARAM, 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7DEA809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NVO</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2854F2C9"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2C449" w14:textId="25E5CA9A"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Nodrošināti </w:t>
            </w:r>
            <w:bookmarkStart w:id="130" w:name="_Hlk112075714"/>
            <w:r w:rsidRPr="00675182">
              <w:rPr>
                <w:rFonts w:cstheme="minorHAnsi"/>
                <w:i/>
                <w:sz w:val="20"/>
                <w:lang w:val="lv-LV"/>
              </w:rPr>
              <w:t xml:space="preserve">Stephanopachys </w:t>
            </w:r>
            <w:bookmarkEnd w:id="130"/>
            <w:r w:rsidRPr="00675182">
              <w:rPr>
                <w:rFonts w:cstheme="minorHAnsi"/>
                <w:i/>
                <w:sz w:val="20"/>
                <w:lang w:val="lv-LV"/>
              </w:rPr>
              <w:t xml:space="preserve">linearis </w:t>
            </w:r>
            <w:r w:rsidRPr="00675182">
              <w:rPr>
                <w:rFonts w:cstheme="minorHAnsi"/>
                <w:sz w:val="20"/>
                <w:lang w:val="lv-LV"/>
              </w:rPr>
              <w:t>mikrobiotopi atbilstoši izpētē identificētajām platībām</w:t>
            </w:r>
          </w:p>
        </w:tc>
      </w:tr>
      <w:tr w:rsidR="00864E55" w:rsidRPr="00675182" w14:paraId="37C99379" w14:textId="77777777" w:rsidTr="00E21287">
        <w:tc>
          <w:tcPr>
            <w:tcW w:w="872" w:type="dxa"/>
            <w:tcBorders>
              <w:top w:val="single" w:sz="4" w:space="0" w:color="000000"/>
              <w:left w:val="single" w:sz="4" w:space="0" w:color="000000"/>
              <w:bottom w:val="single" w:sz="4" w:space="0" w:color="000000"/>
            </w:tcBorders>
          </w:tcPr>
          <w:p w14:paraId="38F05438" w14:textId="0CE02F45"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B.6.8.</w:t>
            </w:r>
          </w:p>
        </w:tc>
        <w:tc>
          <w:tcPr>
            <w:tcW w:w="850" w:type="dxa"/>
            <w:tcBorders>
              <w:top w:val="single" w:sz="4" w:space="0" w:color="000000" w:themeColor="text1"/>
              <w:left w:val="single" w:sz="4" w:space="0" w:color="000000" w:themeColor="text1"/>
              <w:bottom w:val="single" w:sz="4" w:space="0" w:color="000000" w:themeColor="text1"/>
              <w:right w:val="nil"/>
            </w:tcBorders>
          </w:tcPr>
          <w:p w14:paraId="76DBB72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660EC9C1"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 xml:space="preserve">Kontrolētā dedzināšana Svītrainainā kapucķirmja </w:t>
            </w:r>
            <w:r w:rsidRPr="00675182">
              <w:rPr>
                <w:rFonts w:cstheme="minorHAnsi"/>
                <w:i/>
                <w:sz w:val="20"/>
                <w:lang w:val="lv-LV"/>
              </w:rPr>
              <w:t>Stephanopachys linearis</w:t>
            </w:r>
            <w:r w:rsidRPr="00675182">
              <w:rPr>
                <w:rFonts w:cstheme="minorHAnsi"/>
                <w:sz w:val="20"/>
                <w:lang w:val="lv-LV"/>
              </w:rPr>
              <w:t xml:space="preserve"> dzīvotņu nodrošināšanai</w:t>
            </w:r>
          </w:p>
        </w:tc>
        <w:tc>
          <w:tcPr>
            <w:tcW w:w="1699" w:type="dxa"/>
            <w:tcBorders>
              <w:top w:val="single" w:sz="4" w:space="0" w:color="000000" w:themeColor="text1"/>
              <w:left w:val="single" w:sz="4" w:space="0" w:color="000000" w:themeColor="text1"/>
              <w:bottom w:val="single" w:sz="4" w:space="0" w:color="000000" w:themeColor="text1"/>
              <w:right w:val="nil"/>
            </w:tcBorders>
          </w:tcPr>
          <w:p w14:paraId="605EE8E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341A9095" w14:textId="15E419A1" w:rsidR="00864E55" w:rsidRPr="00675182" w:rsidRDefault="00E6402A" w:rsidP="00864E55">
            <w:pPr>
              <w:pStyle w:val="naisf"/>
              <w:snapToGrid w:val="0"/>
              <w:spacing w:before="0" w:after="0"/>
              <w:ind w:firstLine="0"/>
              <w:jc w:val="left"/>
              <w:rPr>
                <w:rFonts w:cstheme="minorHAnsi"/>
                <w:sz w:val="20"/>
                <w:lang w:val="lv-LV"/>
              </w:rPr>
            </w:pPr>
            <w:r w:rsidRPr="00675182">
              <w:rPr>
                <w:rFonts w:cstheme="minorHAnsi"/>
                <w:sz w:val="20"/>
                <w:lang w:val="lv-LV"/>
              </w:rPr>
              <w:t>P</w:t>
            </w:r>
            <w:r w:rsidR="00864E55" w:rsidRPr="00675182">
              <w:rPr>
                <w:rFonts w:cstheme="minorHAnsi"/>
                <w:sz w:val="20"/>
                <w:lang w:val="lv-LV"/>
              </w:rPr>
              <w:t>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7A297EB7" w14:textId="1E6EF979" w:rsidR="00864E55" w:rsidRPr="00675182" w:rsidRDefault="00744484"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Zemes īpašnieki, DAP, NVO, privātuzņēmumi </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14E3961E"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r w:rsidR="009B3B62" w:rsidRPr="00675182">
              <w:rPr>
                <w:rFonts w:cstheme="minorHAnsi"/>
                <w:sz w:val="20"/>
              </w:rPr>
              <w:t>.</w:t>
            </w:r>
          </w:p>
          <w:p w14:paraId="301E8C8E" w14:textId="77777777" w:rsidR="009B3B62" w:rsidRPr="00675182" w:rsidRDefault="009B3B62" w:rsidP="00864E55">
            <w:pPr>
              <w:autoSpaceDE w:val="0"/>
              <w:snapToGrid w:val="0"/>
              <w:rPr>
                <w:rFonts w:cstheme="minorHAnsi"/>
                <w:sz w:val="20"/>
              </w:rPr>
            </w:pPr>
            <w:r w:rsidRPr="00675182">
              <w:rPr>
                <w:rFonts w:cstheme="minorHAnsi"/>
                <w:sz w:val="20"/>
              </w:rPr>
              <w:t>Atšķirīgas dažādos objektos, atkarīgas no pasākumu īstenošanas platības un veicamajiem pasākumiem.</w:t>
            </w:r>
          </w:p>
          <w:p w14:paraId="4FC6FB85" w14:textId="77777777" w:rsidR="009B3B62" w:rsidRPr="00675182" w:rsidRDefault="009B3B62" w:rsidP="00864E55">
            <w:pPr>
              <w:autoSpaceDE w:val="0"/>
              <w:snapToGrid w:val="0"/>
              <w:rPr>
                <w:rFonts w:cstheme="minorHAnsi"/>
                <w:sz w:val="20"/>
              </w:rPr>
            </w:pPr>
          </w:p>
          <w:p w14:paraId="24EF2379" w14:textId="59DA5AA3" w:rsidR="009B3B62" w:rsidRPr="00675182" w:rsidRDefault="009B3B62" w:rsidP="00864E55">
            <w:pPr>
              <w:autoSpaceDE w:val="0"/>
              <w:snapToGrid w:val="0"/>
              <w:rPr>
                <w:rFonts w:cstheme="minorHAnsi"/>
                <w:sz w:val="20"/>
              </w:rPr>
            </w:pPr>
            <w:r w:rsidRPr="00675182">
              <w:rPr>
                <w:rFonts w:cstheme="minorHAnsi"/>
                <w:sz w:val="20"/>
              </w:rPr>
              <w:t>2000 – 2500 eur/ha</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0AF81" w14:textId="1A874103"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Nodrošināti </w:t>
            </w:r>
            <w:r w:rsidRPr="00675182">
              <w:rPr>
                <w:rFonts w:cstheme="minorHAnsi"/>
                <w:i/>
                <w:sz w:val="20"/>
                <w:lang w:val="lv-LV"/>
              </w:rPr>
              <w:t xml:space="preserve">Stephanopachys linearis </w:t>
            </w:r>
            <w:r w:rsidRPr="00675182">
              <w:rPr>
                <w:rFonts w:cstheme="minorHAnsi"/>
                <w:sz w:val="20"/>
                <w:lang w:val="lv-LV"/>
              </w:rPr>
              <w:t>mikrobiotopi atbilstoši izpētē identificētajām platībām</w:t>
            </w:r>
          </w:p>
        </w:tc>
      </w:tr>
      <w:tr w:rsidR="00864E55" w:rsidRPr="00675182" w14:paraId="63A95EA2" w14:textId="77777777" w:rsidTr="00E21287">
        <w:tc>
          <w:tcPr>
            <w:tcW w:w="872" w:type="dxa"/>
            <w:tcBorders>
              <w:top w:val="single" w:sz="4" w:space="0" w:color="000000"/>
              <w:left w:val="single" w:sz="4" w:space="0" w:color="000000"/>
              <w:bottom w:val="single" w:sz="4" w:space="0" w:color="000000"/>
            </w:tcBorders>
          </w:tcPr>
          <w:p w14:paraId="4B2B57DB"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B.6.9.</w:t>
            </w:r>
          </w:p>
        </w:tc>
        <w:tc>
          <w:tcPr>
            <w:tcW w:w="850" w:type="dxa"/>
            <w:tcBorders>
              <w:top w:val="single" w:sz="4" w:space="0" w:color="000000" w:themeColor="text1"/>
              <w:left w:val="single" w:sz="4" w:space="0" w:color="000000" w:themeColor="text1"/>
              <w:bottom w:val="single" w:sz="4" w:space="0" w:color="000000" w:themeColor="text1"/>
              <w:right w:val="nil"/>
            </w:tcBorders>
          </w:tcPr>
          <w:p w14:paraId="58D650A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30E1570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4FD3CBFB" w14:textId="77777777" w:rsidR="00864E55" w:rsidRPr="00675182" w:rsidRDefault="00864E55" w:rsidP="00864E55">
            <w:pPr>
              <w:pStyle w:val="naisf"/>
              <w:snapToGrid w:val="0"/>
              <w:ind w:firstLine="0"/>
              <w:jc w:val="left"/>
              <w:rPr>
                <w:rFonts w:cstheme="minorHAnsi"/>
                <w:sz w:val="20"/>
                <w:lang w:val="lv-LV"/>
              </w:rPr>
            </w:pPr>
            <w:bookmarkStart w:id="131" w:name="_Hlk98523528"/>
            <w:r w:rsidRPr="00675182">
              <w:rPr>
                <w:rFonts w:cstheme="minorHAnsi"/>
                <w:sz w:val="20"/>
                <w:lang w:val="lv-LV"/>
              </w:rPr>
              <w:t xml:space="preserve">Ošu pļavraibeņa </w:t>
            </w:r>
            <w:r w:rsidRPr="00675182">
              <w:rPr>
                <w:rFonts w:cstheme="minorHAnsi"/>
                <w:i/>
                <w:iCs/>
                <w:sz w:val="20"/>
                <w:lang w:val="lv-LV"/>
              </w:rPr>
              <w:t>Hypodrias maturna</w:t>
            </w:r>
            <w:r w:rsidRPr="00675182">
              <w:rPr>
                <w:rFonts w:cstheme="minorHAnsi"/>
                <w:sz w:val="20"/>
                <w:lang w:val="lv-LV"/>
              </w:rPr>
              <w:t xml:space="preserve"> dzīvotņu apsaimniekošana</w:t>
            </w:r>
            <w:bookmarkEnd w:id="131"/>
          </w:p>
        </w:tc>
        <w:tc>
          <w:tcPr>
            <w:tcW w:w="1699" w:type="dxa"/>
            <w:tcBorders>
              <w:top w:val="single" w:sz="4" w:space="0" w:color="000000" w:themeColor="text1"/>
              <w:left w:val="single" w:sz="4" w:space="0" w:color="000000" w:themeColor="text1"/>
              <w:bottom w:val="single" w:sz="4" w:space="0" w:color="000000" w:themeColor="text1"/>
              <w:right w:val="nil"/>
            </w:tcBorders>
          </w:tcPr>
          <w:p w14:paraId="0B45376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796A138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 LAD maksājumi</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757BD79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2B0B9D72"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3D82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Apsaimniekoti zālāji perspektīvajās ošu pļavraibeņa dzīvotnēs 729 ha platībā</w:t>
            </w:r>
          </w:p>
        </w:tc>
      </w:tr>
      <w:tr w:rsidR="00864E55" w:rsidRPr="00675182" w14:paraId="5311871C" w14:textId="77777777" w:rsidTr="00E21287">
        <w:tc>
          <w:tcPr>
            <w:tcW w:w="872" w:type="dxa"/>
            <w:tcBorders>
              <w:top w:val="single" w:sz="4" w:space="0" w:color="000000"/>
              <w:left w:val="single" w:sz="4" w:space="0" w:color="000000"/>
              <w:bottom w:val="single" w:sz="4" w:space="0" w:color="000000"/>
            </w:tcBorders>
          </w:tcPr>
          <w:p w14:paraId="73A06BDA"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B.6.10.</w:t>
            </w:r>
          </w:p>
        </w:tc>
        <w:tc>
          <w:tcPr>
            <w:tcW w:w="850" w:type="dxa"/>
            <w:tcBorders>
              <w:top w:val="single" w:sz="4" w:space="0" w:color="000000" w:themeColor="text1"/>
              <w:left w:val="single" w:sz="4" w:space="0" w:color="000000" w:themeColor="text1"/>
              <w:bottom w:val="single" w:sz="4" w:space="0" w:color="000000" w:themeColor="text1"/>
              <w:right w:val="nil"/>
            </w:tcBorders>
          </w:tcPr>
          <w:p w14:paraId="6C5685D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4E58E4C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434D0972" w14:textId="77777777" w:rsidR="00864E55" w:rsidRPr="00675182" w:rsidRDefault="00864E55" w:rsidP="00864E55">
            <w:pPr>
              <w:pStyle w:val="naisf"/>
              <w:snapToGrid w:val="0"/>
              <w:ind w:firstLine="0"/>
              <w:jc w:val="left"/>
              <w:rPr>
                <w:rFonts w:cstheme="minorHAnsi"/>
                <w:sz w:val="20"/>
                <w:lang w:val="lv-LV"/>
              </w:rPr>
            </w:pPr>
            <w:bookmarkStart w:id="132" w:name="_Hlk98525873"/>
            <w:r w:rsidRPr="00675182">
              <w:rPr>
                <w:rFonts w:cstheme="minorHAnsi"/>
                <w:sz w:val="20"/>
                <w:lang w:val="lv-LV"/>
              </w:rPr>
              <w:t xml:space="preserve">Skabiozu pļavraibeņa </w:t>
            </w:r>
            <w:r w:rsidRPr="00675182">
              <w:rPr>
                <w:rFonts w:cstheme="minorHAnsi"/>
                <w:i/>
                <w:iCs/>
                <w:sz w:val="20"/>
                <w:lang w:val="lv-LV"/>
              </w:rPr>
              <w:t>Euphydrias aurinia</w:t>
            </w:r>
            <w:r w:rsidRPr="00675182">
              <w:rPr>
                <w:rFonts w:cstheme="minorHAnsi"/>
                <w:sz w:val="20"/>
                <w:lang w:val="lv-LV"/>
              </w:rPr>
              <w:t xml:space="preserve"> dzīvotņu apsaimniekošana</w:t>
            </w:r>
            <w:bookmarkEnd w:id="132"/>
          </w:p>
        </w:tc>
        <w:tc>
          <w:tcPr>
            <w:tcW w:w="1699" w:type="dxa"/>
            <w:tcBorders>
              <w:top w:val="single" w:sz="4" w:space="0" w:color="000000" w:themeColor="text1"/>
              <w:left w:val="single" w:sz="4" w:space="0" w:color="000000" w:themeColor="text1"/>
              <w:bottom w:val="single" w:sz="4" w:space="0" w:color="000000" w:themeColor="text1"/>
              <w:right w:val="nil"/>
            </w:tcBorders>
          </w:tcPr>
          <w:p w14:paraId="7D7036D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54F60EC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 LAD maksājumi</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7EA10B2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0335DFD7"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8FA9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Apsaimniekoti zālāji perspektīvajās skabiozu pļavraibeņa dzīvotnēs 8,5 ha platībā</w:t>
            </w:r>
          </w:p>
        </w:tc>
      </w:tr>
      <w:tr w:rsidR="00864E55" w:rsidRPr="00675182" w14:paraId="640BDA53" w14:textId="77777777" w:rsidTr="00E21287">
        <w:tc>
          <w:tcPr>
            <w:tcW w:w="872" w:type="dxa"/>
            <w:tcBorders>
              <w:top w:val="single" w:sz="4" w:space="0" w:color="000000"/>
              <w:left w:val="single" w:sz="4" w:space="0" w:color="000000"/>
              <w:bottom w:val="single" w:sz="4" w:space="0" w:color="000000"/>
            </w:tcBorders>
          </w:tcPr>
          <w:p w14:paraId="6279265F"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B.6.11.</w:t>
            </w:r>
          </w:p>
        </w:tc>
        <w:tc>
          <w:tcPr>
            <w:tcW w:w="850" w:type="dxa"/>
            <w:tcBorders>
              <w:top w:val="single" w:sz="4" w:space="0" w:color="000000" w:themeColor="text1"/>
              <w:left w:val="single" w:sz="4" w:space="0" w:color="000000" w:themeColor="text1"/>
              <w:bottom w:val="single" w:sz="4" w:space="0" w:color="000000" w:themeColor="text1"/>
              <w:right w:val="nil"/>
            </w:tcBorders>
          </w:tcPr>
          <w:p w14:paraId="5CC1E54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1584A0D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1C1A403A"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 xml:space="preserve">Ziemeļu upespērlenes </w:t>
            </w:r>
            <w:r w:rsidRPr="00675182">
              <w:rPr>
                <w:rFonts w:cstheme="minorHAnsi"/>
                <w:i/>
                <w:iCs/>
                <w:sz w:val="20"/>
                <w:lang w:val="lv-LV"/>
              </w:rPr>
              <w:t>Margaritifera margaritifera</w:t>
            </w:r>
            <w:r w:rsidRPr="00675182">
              <w:rPr>
                <w:rFonts w:cstheme="minorHAnsi"/>
                <w:sz w:val="20"/>
                <w:lang w:val="lv-LV"/>
              </w:rPr>
              <w:t xml:space="preserve"> dzīvotņu regulāra apsekošana un uzturēšana</w:t>
            </w:r>
          </w:p>
        </w:tc>
        <w:tc>
          <w:tcPr>
            <w:tcW w:w="1699" w:type="dxa"/>
            <w:tcBorders>
              <w:top w:val="single" w:sz="4" w:space="0" w:color="000000" w:themeColor="text1"/>
              <w:left w:val="single" w:sz="4" w:space="0" w:color="000000" w:themeColor="text1"/>
              <w:bottom w:val="single" w:sz="4" w:space="0" w:color="000000" w:themeColor="text1"/>
              <w:right w:val="nil"/>
            </w:tcBorders>
          </w:tcPr>
          <w:p w14:paraId="361EC3C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554A0A9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640676E3" w14:textId="0F8234FF"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NVO</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670BC9DD" w14:textId="77777777" w:rsidR="00864E55" w:rsidRPr="00675182" w:rsidRDefault="00864E55" w:rsidP="00864E55">
            <w:pPr>
              <w:autoSpaceDE w:val="0"/>
              <w:snapToGrid w:val="0"/>
              <w:rPr>
                <w:rFonts w:eastAsia="Arial Unicode M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C1699" w14:textId="42385174"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Uzturēti sugas apdzīvoti </w:t>
            </w:r>
            <w:r w:rsidR="00906883">
              <w:rPr>
                <w:rFonts w:cstheme="minorHAnsi"/>
                <w:sz w:val="20"/>
                <w:lang w:val="lv-LV"/>
              </w:rPr>
              <w:t xml:space="preserve">upju </w:t>
            </w:r>
            <w:r w:rsidRPr="00675182">
              <w:rPr>
                <w:rFonts w:cstheme="minorHAnsi"/>
                <w:sz w:val="20"/>
                <w:lang w:val="lv-LV"/>
              </w:rPr>
              <w:t>posmi</w:t>
            </w:r>
            <w:r w:rsidR="00A2257B">
              <w:rPr>
                <w:rFonts w:cstheme="minorHAnsi"/>
                <w:sz w:val="20"/>
                <w:lang w:val="lv-LV"/>
              </w:rPr>
              <w:t xml:space="preserve"> (līdz 15 km garumā)</w:t>
            </w:r>
            <w:r w:rsidRPr="00675182">
              <w:rPr>
                <w:rFonts w:cstheme="minorHAnsi"/>
                <w:sz w:val="20"/>
                <w:lang w:val="lv-LV"/>
              </w:rPr>
              <w:t>, saglabājot dzīvotni optimālā kvalitātē, izvācot iekritušus kokus un nepieļaujot biotopu degradējošās bebru darbības</w:t>
            </w:r>
          </w:p>
        </w:tc>
      </w:tr>
      <w:tr w:rsidR="00864E55" w:rsidRPr="00675182" w14:paraId="3245B30D" w14:textId="77777777" w:rsidTr="00E21287">
        <w:tc>
          <w:tcPr>
            <w:tcW w:w="872" w:type="dxa"/>
            <w:tcBorders>
              <w:top w:val="single" w:sz="4" w:space="0" w:color="000000"/>
              <w:left w:val="single" w:sz="4" w:space="0" w:color="000000"/>
              <w:bottom w:val="single" w:sz="4" w:space="0" w:color="000000"/>
            </w:tcBorders>
          </w:tcPr>
          <w:p w14:paraId="35C38DD3"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B.6.12.</w:t>
            </w:r>
          </w:p>
        </w:tc>
        <w:tc>
          <w:tcPr>
            <w:tcW w:w="850" w:type="dxa"/>
            <w:tcBorders>
              <w:top w:val="single" w:sz="4" w:space="0" w:color="000000"/>
              <w:left w:val="single" w:sz="4" w:space="0" w:color="000000"/>
              <w:bottom w:val="single" w:sz="4" w:space="0" w:color="000000"/>
            </w:tcBorders>
          </w:tcPr>
          <w:p w14:paraId="2A24B22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tcBorders>
          </w:tcPr>
          <w:p w14:paraId="5CD3DF48"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 xml:space="preserve">Tūrisma infrastuktūras uzlabošana daudzlapu umbilikārijai </w:t>
            </w:r>
            <w:r w:rsidRPr="00675182">
              <w:rPr>
                <w:rFonts w:cstheme="minorHAnsi"/>
                <w:i/>
                <w:sz w:val="20"/>
                <w:lang w:val="lv-LV"/>
              </w:rPr>
              <w:t>Umbilicaria polyphylla</w:t>
            </w:r>
          </w:p>
        </w:tc>
        <w:tc>
          <w:tcPr>
            <w:tcW w:w="1699" w:type="dxa"/>
            <w:tcBorders>
              <w:top w:val="single" w:sz="4" w:space="0" w:color="000000"/>
              <w:left w:val="single" w:sz="4" w:space="0" w:color="000000"/>
              <w:bottom w:val="single" w:sz="4" w:space="0" w:color="000000"/>
            </w:tcBorders>
          </w:tcPr>
          <w:p w14:paraId="4729A7D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2025</w:t>
            </w:r>
          </w:p>
        </w:tc>
        <w:tc>
          <w:tcPr>
            <w:tcW w:w="2124" w:type="dxa"/>
            <w:tcBorders>
              <w:top w:val="single" w:sz="4" w:space="0" w:color="000000"/>
              <w:left w:val="single" w:sz="4" w:space="0" w:color="000000"/>
              <w:bottom w:val="single" w:sz="4" w:space="0" w:color="000000"/>
            </w:tcBorders>
          </w:tcPr>
          <w:p w14:paraId="2417F4E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461A7AE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NVO, zemes īpašnieki</w:t>
            </w:r>
          </w:p>
        </w:tc>
        <w:tc>
          <w:tcPr>
            <w:tcW w:w="1577" w:type="dxa"/>
            <w:tcBorders>
              <w:top w:val="single" w:sz="4" w:space="0" w:color="000000"/>
              <w:left w:val="single" w:sz="4" w:space="0" w:color="000000"/>
              <w:bottom w:val="single" w:sz="4" w:space="0" w:color="000000"/>
            </w:tcBorders>
          </w:tcPr>
          <w:p w14:paraId="00E928D1"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0BCF7EF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Izbūvēta un uzturēta infrastruktūra, kas pārvirza tūristu plūsmu atradnes tuvumā (2m). </w:t>
            </w:r>
          </w:p>
        </w:tc>
      </w:tr>
      <w:tr w:rsidR="00864E55" w:rsidRPr="00675182" w14:paraId="204DF650" w14:textId="77777777" w:rsidTr="00E21287">
        <w:tc>
          <w:tcPr>
            <w:tcW w:w="872" w:type="dxa"/>
            <w:tcBorders>
              <w:top w:val="single" w:sz="4" w:space="0" w:color="000000"/>
              <w:left w:val="single" w:sz="4" w:space="0" w:color="000000"/>
              <w:bottom w:val="single" w:sz="4" w:space="0" w:color="000000"/>
            </w:tcBorders>
          </w:tcPr>
          <w:p w14:paraId="36F2D459"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B.6.13.</w:t>
            </w:r>
          </w:p>
        </w:tc>
        <w:tc>
          <w:tcPr>
            <w:tcW w:w="850" w:type="dxa"/>
            <w:tcBorders>
              <w:top w:val="single" w:sz="4" w:space="0" w:color="000000"/>
              <w:left w:val="single" w:sz="4" w:space="0" w:color="000000"/>
              <w:bottom w:val="single" w:sz="4" w:space="0" w:color="000000"/>
            </w:tcBorders>
          </w:tcPr>
          <w:p w14:paraId="1CC93BA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tcBorders>
          </w:tcPr>
          <w:p w14:paraId="6F0150D3"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 xml:space="preserve">Maisveida solorīnas </w:t>
            </w:r>
            <w:r w:rsidRPr="00675182">
              <w:rPr>
                <w:rFonts w:cstheme="minorHAnsi"/>
                <w:i/>
                <w:sz w:val="20"/>
                <w:lang w:val="lv-LV"/>
              </w:rPr>
              <w:t>Solorina saccata</w:t>
            </w:r>
            <w:r w:rsidRPr="00675182">
              <w:rPr>
                <w:rFonts w:cstheme="minorHAnsi"/>
                <w:sz w:val="20"/>
                <w:lang w:val="lv-LV"/>
              </w:rPr>
              <w:t xml:space="preserve"> un daudzlapu umbilikārijai </w:t>
            </w:r>
            <w:r w:rsidRPr="00675182">
              <w:rPr>
                <w:rFonts w:cstheme="minorHAnsi"/>
                <w:i/>
                <w:sz w:val="20"/>
                <w:lang w:val="lv-LV"/>
              </w:rPr>
              <w:t>Umbilicaria polyphylla</w:t>
            </w:r>
            <w:r w:rsidRPr="00675182">
              <w:rPr>
                <w:rFonts w:cstheme="minorHAnsi"/>
                <w:sz w:val="20"/>
                <w:lang w:val="lv-LV"/>
              </w:rPr>
              <w:t xml:space="preserve"> sugu lapoņu fragmentu transplantācija uz potenciāli piemērotiem substrātiem</w:t>
            </w:r>
          </w:p>
        </w:tc>
        <w:tc>
          <w:tcPr>
            <w:tcW w:w="1699" w:type="dxa"/>
            <w:tcBorders>
              <w:top w:val="single" w:sz="4" w:space="0" w:color="000000"/>
              <w:left w:val="single" w:sz="4" w:space="0" w:color="000000"/>
              <w:bottom w:val="single" w:sz="4" w:space="0" w:color="000000"/>
            </w:tcBorders>
          </w:tcPr>
          <w:p w14:paraId="2086977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2025</w:t>
            </w:r>
          </w:p>
        </w:tc>
        <w:tc>
          <w:tcPr>
            <w:tcW w:w="2124" w:type="dxa"/>
            <w:tcBorders>
              <w:top w:val="single" w:sz="4" w:space="0" w:color="000000"/>
              <w:left w:val="single" w:sz="4" w:space="0" w:color="000000"/>
              <w:bottom w:val="single" w:sz="4" w:space="0" w:color="000000"/>
            </w:tcBorders>
          </w:tcPr>
          <w:p w14:paraId="666E01A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254257CF" w14:textId="77777777" w:rsidR="00864E55" w:rsidRPr="00675182" w:rsidRDefault="00864E55" w:rsidP="00864E55">
            <w:pPr>
              <w:pStyle w:val="naisf"/>
              <w:snapToGrid w:val="0"/>
              <w:spacing w:before="0" w:after="0" w:line="256" w:lineRule="auto"/>
              <w:ind w:firstLine="0"/>
              <w:jc w:val="left"/>
              <w:rPr>
                <w:rFonts w:cstheme="minorHAnsi"/>
                <w:sz w:val="20"/>
                <w:lang w:val="lv-LV"/>
              </w:rPr>
            </w:pPr>
            <w:r w:rsidRPr="00675182">
              <w:rPr>
                <w:rFonts w:cstheme="minorHAnsi"/>
                <w:sz w:val="20"/>
                <w:lang w:val="lv-LV"/>
              </w:rPr>
              <w:t>DAP, NVO, zinātniskās institūcijas</w:t>
            </w:r>
          </w:p>
        </w:tc>
        <w:tc>
          <w:tcPr>
            <w:tcW w:w="1577" w:type="dxa"/>
            <w:tcBorders>
              <w:top w:val="single" w:sz="4" w:space="0" w:color="000000"/>
              <w:left w:val="single" w:sz="4" w:space="0" w:color="000000"/>
              <w:bottom w:val="single" w:sz="4" w:space="0" w:color="000000"/>
            </w:tcBorders>
          </w:tcPr>
          <w:p w14:paraId="7D2F6880" w14:textId="77777777" w:rsidR="00864E55" w:rsidRPr="00675182" w:rsidRDefault="00864E55" w:rsidP="00864E55">
            <w:pPr>
              <w:autoSpaceDE w:val="0"/>
              <w:snapToGrid w:val="0"/>
              <w:rPr>
                <w:rFonts w:cstheme="minorHAnsi"/>
                <w:sz w:val="20"/>
              </w:rPr>
            </w:pPr>
            <w:r w:rsidRPr="00675182">
              <w:rPr>
                <w:rFonts w:cstheme="minorHAnsi"/>
                <w:sz w:val="20"/>
              </w:rPr>
              <w:t>Aptuveni 5000 EUR</w:t>
            </w:r>
          </w:p>
        </w:tc>
        <w:tc>
          <w:tcPr>
            <w:tcW w:w="2428" w:type="dxa"/>
            <w:tcBorders>
              <w:top w:val="single" w:sz="4" w:space="0" w:color="000000"/>
              <w:left w:val="single" w:sz="4" w:space="0" w:color="000000"/>
              <w:bottom w:val="single" w:sz="4" w:space="0" w:color="000000"/>
              <w:right w:val="single" w:sz="4" w:space="0" w:color="000000"/>
            </w:tcBorders>
          </w:tcPr>
          <w:p w14:paraId="1EC9019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Transplantēti vismaz 20 maisveida solorīnas </w:t>
            </w:r>
            <w:r w:rsidRPr="00675182">
              <w:rPr>
                <w:rFonts w:cstheme="minorHAnsi"/>
                <w:i/>
                <w:sz w:val="20"/>
                <w:lang w:val="lv-LV"/>
              </w:rPr>
              <w:t>Solorina saccata</w:t>
            </w:r>
            <w:r w:rsidRPr="00675182">
              <w:rPr>
                <w:rFonts w:cstheme="minorHAnsi"/>
                <w:sz w:val="20"/>
                <w:lang w:val="lv-LV"/>
              </w:rPr>
              <w:t xml:space="preserve"> sugas lapoņu fragmenti uz vismaz 5 potenciāli piemērotiem substrātiem, un 10 daudzlapu umbilikārijas </w:t>
            </w:r>
            <w:r w:rsidRPr="00675182">
              <w:rPr>
                <w:rFonts w:cstheme="minorHAnsi"/>
                <w:i/>
                <w:sz w:val="20"/>
                <w:lang w:val="lv-LV"/>
              </w:rPr>
              <w:t>Umbilicaria polyphylla</w:t>
            </w:r>
            <w:r w:rsidRPr="00675182">
              <w:rPr>
                <w:rFonts w:cstheme="minorHAnsi"/>
                <w:sz w:val="20"/>
                <w:lang w:val="lv-LV"/>
              </w:rPr>
              <w:t xml:space="preserve"> sugu lapoņu fragmenti. </w:t>
            </w:r>
          </w:p>
        </w:tc>
      </w:tr>
      <w:tr w:rsidR="00864E55" w:rsidRPr="00675182" w14:paraId="70782946" w14:textId="77777777" w:rsidTr="00E21287">
        <w:tc>
          <w:tcPr>
            <w:tcW w:w="872" w:type="dxa"/>
            <w:tcBorders>
              <w:top w:val="single" w:sz="4" w:space="0" w:color="000000"/>
              <w:left w:val="single" w:sz="4" w:space="0" w:color="000000"/>
              <w:bottom w:val="single" w:sz="4" w:space="0" w:color="000000"/>
            </w:tcBorders>
          </w:tcPr>
          <w:p w14:paraId="69EF1E59"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B.6.14.</w:t>
            </w:r>
          </w:p>
        </w:tc>
        <w:tc>
          <w:tcPr>
            <w:tcW w:w="850" w:type="dxa"/>
            <w:tcBorders>
              <w:top w:val="single" w:sz="4" w:space="0" w:color="000000"/>
              <w:left w:val="single" w:sz="4" w:space="0" w:color="000000"/>
              <w:bottom w:val="single" w:sz="4" w:space="0" w:color="000000"/>
            </w:tcBorders>
          </w:tcPr>
          <w:p w14:paraId="156C1A8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6F42202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56D86F14"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 xml:space="preserve">Putekļu piesārņojuma mazināšana gar alejām, kurās ir veci platlapju koki, ķērpju sugu dzīvotņu labvēlīga stāvokļa uzturēšanai. </w:t>
            </w:r>
          </w:p>
        </w:tc>
        <w:tc>
          <w:tcPr>
            <w:tcW w:w="1699" w:type="dxa"/>
            <w:tcBorders>
              <w:top w:val="single" w:sz="4" w:space="0" w:color="000000"/>
              <w:left w:val="single" w:sz="4" w:space="0" w:color="000000"/>
              <w:bottom w:val="single" w:sz="4" w:space="0" w:color="000000"/>
            </w:tcBorders>
          </w:tcPr>
          <w:p w14:paraId="482A364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2028</w:t>
            </w:r>
          </w:p>
        </w:tc>
        <w:tc>
          <w:tcPr>
            <w:tcW w:w="2124" w:type="dxa"/>
            <w:tcBorders>
              <w:top w:val="single" w:sz="4" w:space="0" w:color="000000"/>
              <w:left w:val="single" w:sz="4" w:space="0" w:color="000000"/>
              <w:bottom w:val="single" w:sz="4" w:space="0" w:color="000000"/>
            </w:tcBorders>
          </w:tcPr>
          <w:p w14:paraId="1671C7E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 pašvaldība</w:t>
            </w:r>
          </w:p>
        </w:tc>
        <w:tc>
          <w:tcPr>
            <w:tcW w:w="1991" w:type="dxa"/>
            <w:tcBorders>
              <w:top w:val="single" w:sz="4" w:space="0" w:color="000000"/>
              <w:left w:val="single" w:sz="4" w:space="0" w:color="000000"/>
              <w:bottom w:val="single" w:sz="4" w:space="0" w:color="000000"/>
            </w:tcBorders>
          </w:tcPr>
          <w:p w14:paraId="260E5E35" w14:textId="7AA7FD37" w:rsidR="00864E55" w:rsidRPr="00675182" w:rsidRDefault="00744484" w:rsidP="00864E55">
            <w:pPr>
              <w:pStyle w:val="naisf"/>
              <w:snapToGrid w:val="0"/>
              <w:spacing w:before="0" w:after="0"/>
              <w:ind w:firstLine="0"/>
              <w:jc w:val="left"/>
              <w:rPr>
                <w:rFonts w:cstheme="minorHAnsi"/>
                <w:sz w:val="20"/>
                <w:lang w:val="lv-LV"/>
              </w:rPr>
            </w:pPr>
            <w:r w:rsidRPr="00675182">
              <w:rPr>
                <w:rFonts w:cstheme="minorHAnsi"/>
                <w:sz w:val="20"/>
                <w:lang w:val="lv-LV"/>
              </w:rPr>
              <w:t>Pašvaldība, NVO, privātuzņēmumi</w:t>
            </w:r>
          </w:p>
        </w:tc>
        <w:tc>
          <w:tcPr>
            <w:tcW w:w="1577" w:type="dxa"/>
            <w:tcBorders>
              <w:top w:val="single" w:sz="4" w:space="0" w:color="000000"/>
              <w:left w:val="single" w:sz="4" w:space="0" w:color="000000"/>
              <w:bottom w:val="single" w:sz="4" w:space="0" w:color="000000"/>
            </w:tcBorders>
          </w:tcPr>
          <w:p w14:paraId="1040CBB5"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20D397E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Ceļa segums gar alejām vismaz 30% no visām alejām neveido putekļu piesārņojumu.</w:t>
            </w:r>
          </w:p>
        </w:tc>
      </w:tr>
      <w:tr w:rsidR="00864E55" w:rsidRPr="00675182" w14:paraId="76D90A43" w14:textId="77777777" w:rsidTr="00E21287">
        <w:tc>
          <w:tcPr>
            <w:tcW w:w="872" w:type="dxa"/>
            <w:tcBorders>
              <w:top w:val="single" w:sz="4" w:space="0" w:color="000000"/>
              <w:left w:val="single" w:sz="4" w:space="0" w:color="000000"/>
              <w:bottom w:val="single" w:sz="4" w:space="0" w:color="000000"/>
            </w:tcBorders>
          </w:tcPr>
          <w:p w14:paraId="4CD45BE3" w14:textId="77777777" w:rsidR="00864E55" w:rsidRPr="00675182" w:rsidRDefault="00864E55" w:rsidP="00864E55">
            <w:pPr>
              <w:pStyle w:val="naisf"/>
              <w:snapToGrid w:val="0"/>
              <w:spacing w:before="0" w:after="0"/>
              <w:ind w:left="52" w:firstLine="0"/>
              <w:jc w:val="left"/>
              <w:rPr>
                <w:rFonts w:cstheme="minorHAnsi"/>
                <w:sz w:val="20"/>
                <w:lang w:val="lv-LV"/>
              </w:rPr>
            </w:pPr>
            <w:bookmarkStart w:id="133" w:name="_Hlk107839828"/>
            <w:r w:rsidRPr="00675182">
              <w:rPr>
                <w:rFonts w:cstheme="minorHAnsi"/>
                <w:sz w:val="20"/>
                <w:lang w:val="lv-LV"/>
              </w:rPr>
              <w:t>B.6.15</w:t>
            </w:r>
          </w:p>
        </w:tc>
        <w:tc>
          <w:tcPr>
            <w:tcW w:w="850" w:type="dxa"/>
            <w:tcBorders>
              <w:top w:val="single" w:sz="4" w:space="0" w:color="000000"/>
              <w:left w:val="single" w:sz="4" w:space="0" w:color="000000"/>
              <w:bottom w:val="single" w:sz="4" w:space="0" w:color="000000"/>
            </w:tcBorders>
          </w:tcPr>
          <w:p w14:paraId="09D5FE3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71873DC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C.2</w:t>
            </w:r>
          </w:p>
          <w:p w14:paraId="6C59F06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D.2</w:t>
            </w:r>
          </w:p>
        </w:tc>
        <w:tc>
          <w:tcPr>
            <w:tcW w:w="2670" w:type="dxa"/>
            <w:tcBorders>
              <w:top w:val="single" w:sz="4" w:space="0" w:color="000000"/>
              <w:left w:val="single" w:sz="4" w:space="0" w:color="000000"/>
              <w:bottom w:val="single" w:sz="4" w:space="0" w:color="000000"/>
            </w:tcBorders>
          </w:tcPr>
          <w:p w14:paraId="51689C06"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 xml:space="preserve">Vaives dzirnavu aizsprosta nojaukšana </w:t>
            </w:r>
            <w:bookmarkStart w:id="134" w:name="_Hlk107839841"/>
            <w:r w:rsidRPr="00675182">
              <w:rPr>
                <w:rFonts w:cstheme="minorHAnsi"/>
                <w:sz w:val="20"/>
                <w:lang w:val="lv-LV"/>
              </w:rPr>
              <w:t>vai pārbūvēšana par zivju ceļu, kopā ar bijušā dzirnavezera atjaunošanu un apsaimniekošanu</w:t>
            </w:r>
            <w:bookmarkEnd w:id="134"/>
          </w:p>
        </w:tc>
        <w:tc>
          <w:tcPr>
            <w:tcW w:w="1699" w:type="dxa"/>
            <w:tcBorders>
              <w:top w:val="single" w:sz="4" w:space="0" w:color="000000"/>
              <w:left w:val="single" w:sz="4" w:space="0" w:color="000000"/>
              <w:bottom w:val="single" w:sz="4" w:space="0" w:color="000000"/>
            </w:tcBorders>
          </w:tcPr>
          <w:p w14:paraId="35366EB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2025</w:t>
            </w:r>
          </w:p>
        </w:tc>
        <w:tc>
          <w:tcPr>
            <w:tcW w:w="2124" w:type="dxa"/>
            <w:tcBorders>
              <w:top w:val="single" w:sz="4" w:space="0" w:color="000000"/>
              <w:left w:val="single" w:sz="4" w:space="0" w:color="000000"/>
              <w:bottom w:val="single" w:sz="4" w:space="0" w:color="000000"/>
            </w:tcBorders>
          </w:tcPr>
          <w:p w14:paraId="044248D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 DAP, zemes īpašnieki</w:t>
            </w:r>
          </w:p>
        </w:tc>
        <w:tc>
          <w:tcPr>
            <w:tcW w:w="1991" w:type="dxa"/>
            <w:tcBorders>
              <w:top w:val="single" w:sz="4" w:space="0" w:color="000000"/>
              <w:left w:val="single" w:sz="4" w:space="0" w:color="000000"/>
              <w:bottom w:val="single" w:sz="4" w:space="0" w:color="000000"/>
            </w:tcBorders>
          </w:tcPr>
          <w:p w14:paraId="7DF0F1DC" w14:textId="4C16FA8D" w:rsidR="00864E55" w:rsidRPr="00675182" w:rsidRDefault="00744484"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īpašnieks, DAP, NVO, privātuzņēmumi</w:t>
            </w:r>
          </w:p>
        </w:tc>
        <w:tc>
          <w:tcPr>
            <w:tcW w:w="1577" w:type="dxa"/>
            <w:tcBorders>
              <w:top w:val="single" w:sz="4" w:space="0" w:color="000000"/>
              <w:left w:val="single" w:sz="4" w:space="0" w:color="000000"/>
              <w:bottom w:val="single" w:sz="4" w:space="0" w:color="000000"/>
            </w:tcBorders>
          </w:tcPr>
          <w:p w14:paraId="1F7B8700"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60F6CB1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Nojaukts vai par zivju ceļu pārbūvēts Vaives dzirnavu aizsprosts, atjaunota Vaives upes ekoloģiskā kapacitāte visā tās garumā.</w:t>
            </w:r>
          </w:p>
        </w:tc>
      </w:tr>
      <w:bookmarkEnd w:id="133"/>
      <w:tr w:rsidR="00864E55" w:rsidRPr="00675182" w14:paraId="79AED440" w14:textId="77777777" w:rsidTr="00E21287">
        <w:tc>
          <w:tcPr>
            <w:tcW w:w="872" w:type="dxa"/>
            <w:tcBorders>
              <w:top w:val="single" w:sz="4" w:space="0" w:color="000000"/>
              <w:left w:val="single" w:sz="4" w:space="0" w:color="000000"/>
              <w:bottom w:val="single" w:sz="4" w:space="0" w:color="000000"/>
            </w:tcBorders>
          </w:tcPr>
          <w:p w14:paraId="7F6BAA4A"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B.6.16.</w:t>
            </w:r>
          </w:p>
        </w:tc>
        <w:tc>
          <w:tcPr>
            <w:tcW w:w="850" w:type="dxa"/>
            <w:tcBorders>
              <w:top w:val="single" w:sz="4" w:space="0" w:color="000000"/>
              <w:left w:val="single" w:sz="4" w:space="0" w:color="000000"/>
              <w:bottom w:val="single" w:sz="4" w:space="0" w:color="000000"/>
            </w:tcBorders>
          </w:tcPr>
          <w:p w14:paraId="6070E61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66391C3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37FD15FF"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Aleju uzturēšana labvēlīgā aizsardzības stāvoklī</w:t>
            </w:r>
          </w:p>
        </w:tc>
        <w:tc>
          <w:tcPr>
            <w:tcW w:w="1699" w:type="dxa"/>
            <w:tcBorders>
              <w:top w:val="single" w:sz="4" w:space="0" w:color="000000"/>
              <w:left w:val="single" w:sz="4" w:space="0" w:color="000000"/>
              <w:bottom w:val="single" w:sz="4" w:space="0" w:color="000000"/>
            </w:tcBorders>
          </w:tcPr>
          <w:p w14:paraId="0341963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laikā</w:t>
            </w:r>
          </w:p>
        </w:tc>
        <w:tc>
          <w:tcPr>
            <w:tcW w:w="2124" w:type="dxa"/>
            <w:tcBorders>
              <w:top w:val="single" w:sz="4" w:space="0" w:color="000000"/>
              <w:left w:val="single" w:sz="4" w:space="0" w:color="000000"/>
              <w:bottom w:val="single" w:sz="4" w:space="0" w:color="000000"/>
            </w:tcBorders>
          </w:tcPr>
          <w:p w14:paraId="062C161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 pašvaldības, DAP, VSIA “Latvijas Valsts ceļi”</w:t>
            </w:r>
          </w:p>
        </w:tc>
        <w:tc>
          <w:tcPr>
            <w:tcW w:w="1991" w:type="dxa"/>
            <w:tcBorders>
              <w:top w:val="single" w:sz="4" w:space="0" w:color="000000"/>
              <w:left w:val="single" w:sz="4" w:space="0" w:color="000000"/>
              <w:bottom w:val="single" w:sz="4" w:space="0" w:color="000000"/>
            </w:tcBorders>
          </w:tcPr>
          <w:p w14:paraId="6457677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Pašvaldības, DAP, VSIA “Latvijas valsts ceļi”</w:t>
            </w:r>
          </w:p>
        </w:tc>
        <w:tc>
          <w:tcPr>
            <w:tcW w:w="1577" w:type="dxa"/>
            <w:tcBorders>
              <w:top w:val="single" w:sz="4" w:space="0" w:color="000000"/>
              <w:left w:val="single" w:sz="4" w:space="0" w:color="000000"/>
              <w:bottom w:val="single" w:sz="4" w:space="0" w:color="000000"/>
            </w:tcBorders>
          </w:tcPr>
          <w:p w14:paraId="0829102C"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2A5E2B4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Labvēlīgā aizsardzības stāvoklī uzturētas sugu dzīvotnēm un ainavām nozīmīgās alejas</w:t>
            </w:r>
          </w:p>
        </w:tc>
      </w:tr>
      <w:tr w:rsidR="00864E55" w:rsidRPr="00675182" w14:paraId="08AFEC89" w14:textId="77777777" w:rsidTr="00E21287">
        <w:tc>
          <w:tcPr>
            <w:tcW w:w="872" w:type="dxa"/>
            <w:tcBorders>
              <w:top w:val="single" w:sz="4" w:space="0" w:color="000000"/>
              <w:left w:val="single" w:sz="4" w:space="0" w:color="000000"/>
              <w:bottom w:val="single" w:sz="4" w:space="0" w:color="000000"/>
            </w:tcBorders>
          </w:tcPr>
          <w:p w14:paraId="43118174"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B.6.17.</w:t>
            </w:r>
          </w:p>
        </w:tc>
        <w:tc>
          <w:tcPr>
            <w:tcW w:w="850" w:type="dxa"/>
            <w:tcBorders>
              <w:top w:val="single" w:sz="4" w:space="0" w:color="000000"/>
              <w:left w:val="single" w:sz="4" w:space="0" w:color="000000"/>
              <w:bottom w:val="single" w:sz="4" w:space="0" w:color="000000"/>
            </w:tcBorders>
          </w:tcPr>
          <w:p w14:paraId="11A00FB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tcBorders>
          </w:tcPr>
          <w:p w14:paraId="4486B6E4" w14:textId="77777777" w:rsidR="00864E55" w:rsidRPr="00675182" w:rsidRDefault="00864E55" w:rsidP="00864E55">
            <w:pPr>
              <w:pStyle w:val="naisf"/>
              <w:snapToGrid w:val="0"/>
              <w:ind w:firstLine="0"/>
              <w:jc w:val="left"/>
              <w:rPr>
                <w:rFonts w:cstheme="minorHAnsi"/>
                <w:b/>
                <w:bCs/>
                <w:szCs w:val="24"/>
                <w:lang w:val="lv-LV"/>
              </w:rPr>
            </w:pPr>
            <w:r w:rsidRPr="00675182">
              <w:rPr>
                <w:rFonts w:cstheme="minorHAnsi"/>
                <w:sz w:val="20"/>
                <w:lang w:val="lv-LV"/>
              </w:rPr>
              <w:t>Rekomendācijas sikspārņu sugām labvēlīgo dzīvotņu apsaimniekošanai</w:t>
            </w:r>
          </w:p>
        </w:tc>
        <w:tc>
          <w:tcPr>
            <w:tcW w:w="1699" w:type="dxa"/>
            <w:tcBorders>
              <w:top w:val="single" w:sz="4" w:space="0" w:color="000000"/>
              <w:left w:val="single" w:sz="4" w:space="0" w:color="000000"/>
              <w:bottom w:val="single" w:sz="4" w:space="0" w:color="000000"/>
            </w:tcBorders>
          </w:tcPr>
          <w:p w14:paraId="7F232E8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laikā</w:t>
            </w:r>
          </w:p>
        </w:tc>
        <w:tc>
          <w:tcPr>
            <w:tcW w:w="2124" w:type="dxa"/>
            <w:tcBorders>
              <w:top w:val="single" w:sz="4" w:space="0" w:color="000000"/>
              <w:left w:val="single" w:sz="4" w:space="0" w:color="000000"/>
              <w:bottom w:val="single" w:sz="4" w:space="0" w:color="000000"/>
            </w:tcBorders>
          </w:tcPr>
          <w:p w14:paraId="03BBF75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Projektu finansējums, DAP pašvaldības</w:t>
            </w:r>
          </w:p>
        </w:tc>
        <w:tc>
          <w:tcPr>
            <w:tcW w:w="1991" w:type="dxa"/>
            <w:tcBorders>
              <w:top w:val="single" w:sz="4" w:space="0" w:color="000000"/>
              <w:left w:val="single" w:sz="4" w:space="0" w:color="000000"/>
              <w:bottom w:val="single" w:sz="4" w:space="0" w:color="000000"/>
            </w:tcBorders>
          </w:tcPr>
          <w:p w14:paraId="5D0D5ED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pašvaldības, NVO</w:t>
            </w:r>
          </w:p>
        </w:tc>
        <w:tc>
          <w:tcPr>
            <w:tcW w:w="1577" w:type="dxa"/>
            <w:tcBorders>
              <w:top w:val="single" w:sz="4" w:space="0" w:color="000000"/>
              <w:left w:val="single" w:sz="4" w:space="0" w:color="000000"/>
              <w:bottom w:val="single" w:sz="4" w:space="0" w:color="000000"/>
            </w:tcBorders>
          </w:tcPr>
          <w:p w14:paraId="64FD00FA"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591B559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Visā GNP teritorijā, plānojot pasākumus un veicot potenciāli sikspārņus ietekmējošas darbības, tiek ņemtas vērā rekomendācijas sikspārņu sugu aizsardzībai</w:t>
            </w:r>
          </w:p>
        </w:tc>
      </w:tr>
      <w:tr w:rsidR="00864E55" w:rsidRPr="00675182" w14:paraId="24FCBD8F" w14:textId="77777777" w:rsidTr="00E21287">
        <w:tc>
          <w:tcPr>
            <w:tcW w:w="872" w:type="dxa"/>
            <w:tcBorders>
              <w:top w:val="single" w:sz="4" w:space="0" w:color="000000"/>
              <w:left w:val="single" w:sz="4" w:space="0" w:color="000000"/>
              <w:bottom w:val="single" w:sz="4" w:space="0" w:color="000000"/>
            </w:tcBorders>
          </w:tcPr>
          <w:p w14:paraId="6011F359"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sz w:val="20"/>
                <w:lang w:val="lv-LV"/>
              </w:rPr>
              <w:t>B.6.18.</w:t>
            </w:r>
          </w:p>
        </w:tc>
        <w:tc>
          <w:tcPr>
            <w:tcW w:w="850" w:type="dxa"/>
            <w:tcBorders>
              <w:top w:val="single" w:sz="4" w:space="0" w:color="000000"/>
              <w:left w:val="single" w:sz="4" w:space="0" w:color="000000"/>
              <w:bottom w:val="single" w:sz="4" w:space="0" w:color="000000"/>
            </w:tcBorders>
          </w:tcPr>
          <w:p w14:paraId="2BB1844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sz w:val="20"/>
                <w:lang w:val="lv-LV"/>
              </w:rPr>
              <w:t>B.6.</w:t>
            </w:r>
          </w:p>
        </w:tc>
        <w:tc>
          <w:tcPr>
            <w:tcW w:w="2670" w:type="dxa"/>
            <w:tcBorders>
              <w:top w:val="single" w:sz="4" w:space="0" w:color="000000"/>
              <w:left w:val="single" w:sz="4" w:space="0" w:color="000000"/>
              <w:bottom w:val="single" w:sz="4" w:space="0" w:color="000000"/>
            </w:tcBorders>
          </w:tcPr>
          <w:p w14:paraId="542CAE06" w14:textId="77777777" w:rsidR="00864E55" w:rsidRPr="00675182" w:rsidRDefault="00864E55" w:rsidP="00864E55">
            <w:pPr>
              <w:pStyle w:val="naisf"/>
              <w:snapToGrid w:val="0"/>
              <w:ind w:firstLine="0"/>
              <w:jc w:val="left"/>
              <w:rPr>
                <w:rFonts w:cstheme="minorHAnsi"/>
                <w:sz w:val="20"/>
                <w:lang w:val="lv-LV"/>
              </w:rPr>
            </w:pPr>
            <w:r w:rsidRPr="00675182">
              <w:rPr>
                <w:sz w:val="20"/>
                <w:lang w:val="lv-LV"/>
              </w:rPr>
              <w:t>Vairošanās ūdenstilpņu izveide/atjaunošana lielajam tritonam</w:t>
            </w:r>
          </w:p>
        </w:tc>
        <w:tc>
          <w:tcPr>
            <w:tcW w:w="1699" w:type="dxa"/>
            <w:tcBorders>
              <w:top w:val="single" w:sz="4" w:space="0" w:color="000000"/>
              <w:left w:val="single" w:sz="4" w:space="0" w:color="000000"/>
              <w:bottom w:val="single" w:sz="4" w:space="0" w:color="000000"/>
            </w:tcBorders>
          </w:tcPr>
          <w:p w14:paraId="511CFD4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602DC2F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sz w:val="20"/>
                <w:lang w:val="lv-LV"/>
              </w:rPr>
              <w:t>Projektu finansējums</w:t>
            </w:r>
          </w:p>
        </w:tc>
        <w:tc>
          <w:tcPr>
            <w:tcW w:w="1991" w:type="dxa"/>
            <w:tcBorders>
              <w:top w:val="single" w:sz="4" w:space="0" w:color="000000"/>
              <w:left w:val="single" w:sz="4" w:space="0" w:color="000000"/>
              <w:bottom w:val="single" w:sz="4" w:space="0" w:color="000000"/>
            </w:tcBorders>
          </w:tcPr>
          <w:p w14:paraId="569C873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sz w:val="20"/>
                <w:lang w:val="lv-LV"/>
              </w:rPr>
              <w:t>DAP, NVO, zinātniskā institūcija</w:t>
            </w:r>
          </w:p>
        </w:tc>
        <w:tc>
          <w:tcPr>
            <w:tcW w:w="1577" w:type="dxa"/>
            <w:tcBorders>
              <w:top w:val="single" w:sz="4" w:space="0" w:color="000000"/>
              <w:left w:val="single" w:sz="4" w:space="0" w:color="000000"/>
              <w:bottom w:val="single" w:sz="4" w:space="0" w:color="000000"/>
            </w:tcBorders>
          </w:tcPr>
          <w:p w14:paraId="4DFB555E" w14:textId="77777777" w:rsidR="00864E55" w:rsidRPr="00675182" w:rsidRDefault="00864E55" w:rsidP="00864E55">
            <w:pPr>
              <w:autoSpaceDE w:val="0"/>
              <w:snapToGrid w:val="0"/>
              <w:rPr>
                <w:rFonts w:cstheme="minorHAnsi"/>
                <w:sz w:val="20"/>
              </w:rPr>
            </w:pPr>
            <w:r w:rsidRPr="00675182">
              <w:rPr>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3E06C69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sz w:val="20"/>
                <w:lang w:val="lv-LV"/>
              </w:rPr>
              <w:t>Izveidoti vai atjaunoti 20-50 dīķi; izpētē apstiprināta lielā tritona klātbūtne jaunizraktajos dīķos.</w:t>
            </w:r>
          </w:p>
        </w:tc>
      </w:tr>
      <w:tr w:rsidR="00864E55" w:rsidRPr="00675182" w14:paraId="6E25D5C0" w14:textId="77777777" w:rsidTr="00E21287">
        <w:tc>
          <w:tcPr>
            <w:tcW w:w="872" w:type="dxa"/>
            <w:tcBorders>
              <w:top w:val="single" w:sz="4" w:space="0" w:color="000000"/>
              <w:left w:val="single" w:sz="4" w:space="0" w:color="000000"/>
              <w:bottom w:val="single" w:sz="4" w:space="0" w:color="000000"/>
            </w:tcBorders>
          </w:tcPr>
          <w:p w14:paraId="0F00EDB8"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sz w:val="20"/>
                <w:lang w:val="lv-LV"/>
              </w:rPr>
              <w:t>B.6.19.</w:t>
            </w:r>
          </w:p>
        </w:tc>
        <w:tc>
          <w:tcPr>
            <w:tcW w:w="850" w:type="dxa"/>
            <w:tcBorders>
              <w:top w:val="single" w:sz="4" w:space="0" w:color="000000"/>
              <w:left w:val="single" w:sz="4" w:space="0" w:color="000000"/>
              <w:bottom w:val="single" w:sz="4" w:space="0" w:color="000000"/>
            </w:tcBorders>
          </w:tcPr>
          <w:p w14:paraId="31AC6C5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sz w:val="20"/>
                <w:lang w:val="lv-LV"/>
              </w:rPr>
              <w:t>B.6.</w:t>
            </w:r>
          </w:p>
        </w:tc>
        <w:tc>
          <w:tcPr>
            <w:tcW w:w="2670" w:type="dxa"/>
            <w:tcBorders>
              <w:top w:val="single" w:sz="4" w:space="0" w:color="000000"/>
              <w:left w:val="single" w:sz="4" w:space="0" w:color="000000"/>
              <w:bottom w:val="single" w:sz="4" w:space="0" w:color="000000"/>
            </w:tcBorders>
          </w:tcPr>
          <w:p w14:paraId="3EC5C7F5" w14:textId="77777777" w:rsidR="00864E55" w:rsidRPr="00675182" w:rsidRDefault="00864E55" w:rsidP="00864E55">
            <w:pPr>
              <w:pStyle w:val="naisf"/>
              <w:snapToGrid w:val="0"/>
              <w:ind w:firstLine="0"/>
              <w:jc w:val="left"/>
              <w:rPr>
                <w:rFonts w:cstheme="minorHAnsi"/>
                <w:sz w:val="20"/>
                <w:lang w:val="lv-LV"/>
              </w:rPr>
            </w:pPr>
            <w:r w:rsidRPr="00675182">
              <w:rPr>
                <w:sz w:val="20"/>
                <w:lang w:val="lv-LV"/>
              </w:rPr>
              <w:t>Izplānot un ieviest drošas dzīvnieku pārejas šoseju šķērsošanai</w:t>
            </w:r>
          </w:p>
        </w:tc>
        <w:tc>
          <w:tcPr>
            <w:tcW w:w="1699" w:type="dxa"/>
            <w:tcBorders>
              <w:top w:val="single" w:sz="4" w:space="0" w:color="000000"/>
              <w:left w:val="single" w:sz="4" w:space="0" w:color="000000"/>
              <w:bottom w:val="single" w:sz="4" w:space="0" w:color="000000"/>
            </w:tcBorders>
          </w:tcPr>
          <w:p w14:paraId="4494E73B" w14:textId="77777777" w:rsidR="00864E55" w:rsidRPr="00675182" w:rsidRDefault="00864E55" w:rsidP="00864E55">
            <w:pPr>
              <w:pStyle w:val="naisf"/>
              <w:snapToGrid w:val="0"/>
              <w:spacing w:before="0" w:after="0"/>
              <w:ind w:firstLine="0"/>
              <w:jc w:val="left"/>
              <w:rPr>
                <w:rFonts w:cstheme="minorHAnsi"/>
                <w:sz w:val="20"/>
                <w:lang w:val="lv-LV"/>
              </w:rPr>
            </w:pPr>
            <w:r w:rsidRPr="00675182">
              <w:rPr>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1F77AB7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sz w:val="20"/>
                <w:lang w:val="lv-LV"/>
              </w:rPr>
              <w:t>Projektu finansējums</w:t>
            </w:r>
          </w:p>
        </w:tc>
        <w:tc>
          <w:tcPr>
            <w:tcW w:w="1991" w:type="dxa"/>
            <w:tcBorders>
              <w:top w:val="single" w:sz="4" w:space="0" w:color="000000"/>
              <w:left w:val="single" w:sz="4" w:space="0" w:color="000000"/>
              <w:bottom w:val="single" w:sz="4" w:space="0" w:color="000000"/>
            </w:tcBorders>
          </w:tcPr>
          <w:p w14:paraId="4CFA80D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sz w:val="20"/>
                <w:lang w:val="lv-LV"/>
              </w:rPr>
              <w:t>DAP, NVO, zinātniskā institūcija</w:t>
            </w:r>
          </w:p>
        </w:tc>
        <w:tc>
          <w:tcPr>
            <w:tcW w:w="1577" w:type="dxa"/>
            <w:tcBorders>
              <w:top w:val="single" w:sz="4" w:space="0" w:color="000000"/>
              <w:left w:val="single" w:sz="4" w:space="0" w:color="000000"/>
              <w:bottom w:val="single" w:sz="4" w:space="0" w:color="000000"/>
            </w:tcBorders>
          </w:tcPr>
          <w:p w14:paraId="412DE5A4" w14:textId="5537C86E" w:rsidR="00864E55" w:rsidRPr="00675182" w:rsidRDefault="00864E55" w:rsidP="00864E55">
            <w:pPr>
              <w:autoSpaceDE w:val="0"/>
              <w:snapToGrid w:val="0"/>
              <w:rPr>
                <w:rFonts w:cstheme="minorHAnsi"/>
                <w:sz w:val="20"/>
              </w:rPr>
            </w:pPr>
            <w:r w:rsidRPr="00675182">
              <w:rPr>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18CF9222" w14:textId="4D2E4F94" w:rsidR="00864E55" w:rsidRPr="00675182" w:rsidRDefault="00BA3D0B" w:rsidP="00864E55">
            <w:pPr>
              <w:pStyle w:val="naisf"/>
              <w:snapToGrid w:val="0"/>
              <w:spacing w:before="0" w:after="0"/>
              <w:ind w:firstLine="0"/>
              <w:jc w:val="left"/>
              <w:rPr>
                <w:rFonts w:cstheme="minorHAnsi"/>
                <w:sz w:val="20"/>
                <w:lang w:val="lv-LV"/>
              </w:rPr>
            </w:pPr>
            <w:r w:rsidRPr="00BA3D0B">
              <w:rPr>
                <w:rFonts w:cstheme="minorHAnsi"/>
                <w:sz w:val="20"/>
                <w:lang w:val="lv-LV"/>
              </w:rPr>
              <w:t>Izplānotas vismaz 3 drošas dzīvnieku pārejas šoseju šķērsošanai</w:t>
            </w:r>
          </w:p>
        </w:tc>
      </w:tr>
      <w:tr w:rsidR="00864E55" w:rsidRPr="00675182" w14:paraId="02A64FBE" w14:textId="77777777" w:rsidTr="00E21287">
        <w:tc>
          <w:tcPr>
            <w:tcW w:w="872" w:type="dxa"/>
            <w:tcBorders>
              <w:top w:val="single" w:sz="4" w:space="0" w:color="000000"/>
              <w:left w:val="single" w:sz="4" w:space="0" w:color="000000"/>
              <w:bottom w:val="single" w:sz="4" w:space="0" w:color="000000"/>
            </w:tcBorders>
          </w:tcPr>
          <w:p w14:paraId="3C8617D1"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B.7.1.</w:t>
            </w:r>
          </w:p>
        </w:tc>
        <w:tc>
          <w:tcPr>
            <w:tcW w:w="850" w:type="dxa"/>
            <w:tcBorders>
              <w:top w:val="single" w:sz="4" w:space="0" w:color="000000"/>
              <w:left w:val="single" w:sz="4" w:space="0" w:color="000000"/>
              <w:bottom w:val="single" w:sz="4" w:space="0" w:color="000000"/>
            </w:tcBorders>
          </w:tcPr>
          <w:p w14:paraId="7F4C8A8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B.7.</w:t>
            </w:r>
          </w:p>
          <w:p w14:paraId="366A986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p w14:paraId="3265BF4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B.3.</w:t>
            </w:r>
          </w:p>
          <w:p w14:paraId="0468A79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3DF1412A"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Invazīvo augu sugu izplatības ierobežošana</w:t>
            </w:r>
          </w:p>
        </w:tc>
        <w:tc>
          <w:tcPr>
            <w:tcW w:w="1699" w:type="dxa"/>
            <w:tcBorders>
              <w:top w:val="single" w:sz="4" w:space="0" w:color="000000"/>
              <w:left w:val="single" w:sz="4" w:space="0" w:color="000000"/>
              <w:bottom w:val="single" w:sz="4" w:space="0" w:color="000000"/>
            </w:tcBorders>
          </w:tcPr>
          <w:p w14:paraId="6B5DB9C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05ACF91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Zemes īpašnieki, projektu finansējums, VAAD, LAD</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57DD7DB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eastAsia="Calibri" w:cstheme="minorHAnsi"/>
                <w:bCs/>
                <w:sz w:val="20"/>
                <w:lang w:val="lv-LV"/>
              </w:rPr>
              <w:t>Zemes īpašnieki</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672CA773" w14:textId="48838090" w:rsidR="009B3B62" w:rsidRPr="00675182" w:rsidRDefault="009B3B62" w:rsidP="00864E55">
            <w:pPr>
              <w:autoSpaceDE w:val="0"/>
              <w:snapToGrid w:val="0"/>
              <w:rPr>
                <w:rFonts w:cstheme="minorHAnsi"/>
                <w:sz w:val="20"/>
              </w:rPr>
            </w:pPr>
            <w:r w:rsidRPr="00675182">
              <w:rPr>
                <w:rFonts w:cstheme="minorHAnsi"/>
                <w:sz w:val="20"/>
              </w:rPr>
              <w:t>700 – 850 eur/ha</w:t>
            </w:r>
          </w:p>
        </w:tc>
        <w:tc>
          <w:tcPr>
            <w:tcW w:w="2428" w:type="dxa"/>
            <w:tcBorders>
              <w:top w:val="single" w:sz="4" w:space="0" w:color="000000"/>
              <w:left w:val="single" w:sz="4" w:space="0" w:color="000000"/>
              <w:bottom w:val="single" w:sz="4" w:space="0" w:color="000000"/>
              <w:right w:val="single" w:sz="4" w:space="0" w:color="000000"/>
            </w:tcBorders>
          </w:tcPr>
          <w:p w14:paraId="3720DC0A" w14:textId="23888C85" w:rsidR="00864E55" w:rsidRPr="00675182" w:rsidRDefault="00864E55" w:rsidP="00864E55">
            <w:pPr>
              <w:pStyle w:val="naisf"/>
              <w:snapToGrid w:val="0"/>
              <w:spacing w:before="0" w:after="0"/>
              <w:ind w:firstLine="0"/>
              <w:jc w:val="left"/>
              <w:rPr>
                <w:rFonts w:cstheme="minorHAnsi"/>
                <w:sz w:val="20"/>
                <w:lang w:val="lv-LV"/>
              </w:rPr>
            </w:pPr>
            <w:r w:rsidRPr="00675182">
              <w:rPr>
                <w:rFonts w:eastAsia="Calibri" w:cstheme="minorHAnsi"/>
                <w:bCs/>
                <w:sz w:val="20"/>
                <w:lang w:val="lv-LV"/>
              </w:rPr>
              <w:t xml:space="preserve">Ierobežota invazīvo sugu izplatīšanās vismaz </w:t>
            </w:r>
            <w:r w:rsidR="0028287C" w:rsidRPr="00675182">
              <w:rPr>
                <w:rFonts w:eastAsia="Calibri" w:cstheme="minorHAnsi"/>
                <w:bCs/>
                <w:sz w:val="20"/>
                <w:lang w:val="lv-LV"/>
              </w:rPr>
              <w:t>500</w:t>
            </w:r>
            <w:r w:rsidRPr="00675182">
              <w:rPr>
                <w:rFonts w:eastAsia="Calibri" w:cstheme="minorHAnsi"/>
                <w:bCs/>
                <w:sz w:val="20"/>
                <w:lang w:val="lv-LV"/>
              </w:rPr>
              <w:t xml:space="preserve"> ha platīb</w:t>
            </w:r>
            <w:r w:rsidR="0028287C" w:rsidRPr="00675182">
              <w:rPr>
                <w:rFonts w:eastAsia="Calibri" w:cstheme="minorHAnsi"/>
                <w:bCs/>
                <w:sz w:val="20"/>
                <w:lang w:val="lv-LV"/>
              </w:rPr>
              <w:t>ā</w:t>
            </w:r>
          </w:p>
        </w:tc>
      </w:tr>
      <w:tr w:rsidR="00864E55" w:rsidRPr="00675182" w14:paraId="40D116DB" w14:textId="77777777" w:rsidTr="00E21287">
        <w:tc>
          <w:tcPr>
            <w:tcW w:w="872" w:type="dxa"/>
            <w:tcBorders>
              <w:top w:val="single" w:sz="4" w:space="0" w:color="000000"/>
              <w:left w:val="single" w:sz="4" w:space="0" w:color="000000"/>
              <w:bottom w:val="single" w:sz="4" w:space="0" w:color="000000"/>
            </w:tcBorders>
          </w:tcPr>
          <w:p w14:paraId="414DD2E9"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B.7.2.</w:t>
            </w:r>
          </w:p>
        </w:tc>
        <w:tc>
          <w:tcPr>
            <w:tcW w:w="850" w:type="dxa"/>
            <w:tcBorders>
              <w:top w:val="single" w:sz="4" w:space="0" w:color="000000"/>
              <w:left w:val="single" w:sz="4" w:space="0" w:color="000000"/>
              <w:bottom w:val="single" w:sz="4" w:space="0" w:color="000000"/>
            </w:tcBorders>
          </w:tcPr>
          <w:p w14:paraId="61A118E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B.7.</w:t>
            </w:r>
          </w:p>
          <w:p w14:paraId="7C4521B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tcBorders>
          </w:tcPr>
          <w:p w14:paraId="032C6F56"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Invazīvo vēžu sugu izplatības ierobežošana</w:t>
            </w:r>
          </w:p>
        </w:tc>
        <w:tc>
          <w:tcPr>
            <w:tcW w:w="1699" w:type="dxa"/>
            <w:tcBorders>
              <w:top w:val="single" w:sz="4" w:space="0" w:color="000000"/>
              <w:left w:val="single" w:sz="4" w:space="0" w:color="000000"/>
              <w:bottom w:val="single" w:sz="4" w:space="0" w:color="000000"/>
            </w:tcBorders>
          </w:tcPr>
          <w:p w14:paraId="5AB7ECB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5D01045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B1088FA" w14:textId="77777777" w:rsidR="00864E55" w:rsidRPr="00675182" w:rsidRDefault="00864E55" w:rsidP="00864E55">
            <w:pPr>
              <w:pStyle w:val="naisf"/>
              <w:snapToGrid w:val="0"/>
              <w:spacing w:before="0" w:after="0"/>
              <w:ind w:firstLine="0"/>
              <w:jc w:val="left"/>
              <w:rPr>
                <w:rFonts w:eastAsia="Calibri" w:cstheme="minorHAnsi"/>
                <w:bCs/>
                <w:sz w:val="20"/>
                <w:lang w:val="lv-LV"/>
              </w:rPr>
            </w:pPr>
            <w:r w:rsidRPr="00675182">
              <w:rPr>
                <w:rFonts w:eastAsia="Calibri" w:cstheme="minorHAnsi"/>
                <w:bCs/>
                <w:sz w:val="20"/>
                <w:lang w:val="lv-LV"/>
              </w:rPr>
              <w:t>DAP, BIOR</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14638C9B"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4A15C91C" w14:textId="5F3F0BA3" w:rsidR="00864E55" w:rsidRPr="00675182" w:rsidRDefault="00864E55" w:rsidP="00864E55">
            <w:pPr>
              <w:pStyle w:val="naisf"/>
              <w:snapToGrid w:val="0"/>
              <w:spacing w:before="0" w:after="0"/>
              <w:ind w:firstLine="0"/>
              <w:jc w:val="left"/>
              <w:rPr>
                <w:rFonts w:eastAsia="Calibri" w:cstheme="minorHAnsi"/>
                <w:bCs/>
                <w:sz w:val="20"/>
                <w:lang w:val="lv-LV"/>
              </w:rPr>
            </w:pPr>
            <w:r w:rsidRPr="00675182">
              <w:rPr>
                <w:rFonts w:cstheme="minorHAnsi"/>
                <w:sz w:val="20"/>
                <w:lang w:val="lv-LV"/>
              </w:rPr>
              <w:t>Invazīvo vēžu izplatība nepalielinās vai samazinās</w:t>
            </w:r>
          </w:p>
        </w:tc>
      </w:tr>
      <w:tr w:rsidR="00864E55" w:rsidRPr="00675182" w14:paraId="0C1FBCDC" w14:textId="77777777" w:rsidTr="00E21287">
        <w:tc>
          <w:tcPr>
            <w:tcW w:w="872" w:type="dxa"/>
            <w:tcBorders>
              <w:top w:val="single" w:sz="4" w:space="0" w:color="000000"/>
              <w:left w:val="single" w:sz="4" w:space="0" w:color="000000"/>
              <w:bottom w:val="single" w:sz="4" w:space="0" w:color="000000"/>
            </w:tcBorders>
          </w:tcPr>
          <w:p w14:paraId="3066A7AD"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B.7.3.</w:t>
            </w:r>
          </w:p>
        </w:tc>
        <w:tc>
          <w:tcPr>
            <w:tcW w:w="850" w:type="dxa"/>
            <w:tcBorders>
              <w:top w:val="single" w:sz="4" w:space="0" w:color="000000" w:themeColor="text1"/>
              <w:left w:val="single" w:sz="4" w:space="0" w:color="000000" w:themeColor="text1"/>
              <w:bottom w:val="single" w:sz="4" w:space="0" w:color="000000" w:themeColor="text1"/>
              <w:right w:val="nil"/>
            </w:tcBorders>
          </w:tcPr>
          <w:p w14:paraId="6D3B62B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B.7.</w:t>
            </w:r>
          </w:p>
          <w:p w14:paraId="1A46587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17BD0615"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 xml:space="preserve">Invazīvās sugas Spānijas kailgliemeža </w:t>
            </w:r>
            <w:r w:rsidRPr="00675182">
              <w:rPr>
                <w:rFonts w:cstheme="minorHAnsi"/>
                <w:i/>
                <w:iCs/>
                <w:sz w:val="20"/>
                <w:lang w:val="lv-LV"/>
              </w:rPr>
              <w:t xml:space="preserve">Arion vulgaris </w:t>
            </w:r>
            <w:r w:rsidRPr="00675182">
              <w:rPr>
                <w:rFonts w:cstheme="minorHAnsi"/>
                <w:sz w:val="20"/>
                <w:lang w:val="lv-LV"/>
              </w:rPr>
              <w:t>ierobežošana</w:t>
            </w:r>
          </w:p>
        </w:tc>
        <w:tc>
          <w:tcPr>
            <w:tcW w:w="1699" w:type="dxa"/>
            <w:tcBorders>
              <w:top w:val="single" w:sz="4" w:space="0" w:color="000000" w:themeColor="text1"/>
              <w:left w:val="single" w:sz="4" w:space="0" w:color="000000" w:themeColor="text1"/>
              <w:bottom w:val="single" w:sz="4" w:space="0" w:color="000000" w:themeColor="text1"/>
              <w:right w:val="nil"/>
            </w:tcBorders>
          </w:tcPr>
          <w:p w14:paraId="499F0B3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757E815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VARAM, 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1135D010"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NVO, pašvaldība, zemes īpašnieki</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587BB247" w14:textId="77777777" w:rsidR="00864E55" w:rsidRPr="00675182" w:rsidRDefault="00864E55" w:rsidP="00864E55">
            <w:pPr>
              <w:autoSpaceDE w:val="0"/>
              <w:snapToGrid w:val="0"/>
              <w:rPr>
                <w:rFonts w:eastAsia="Arial Unicode M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33E0A" w14:textId="339466F8" w:rsidR="00864E55" w:rsidRPr="00675182" w:rsidRDefault="000579CE" w:rsidP="00864E55">
            <w:pPr>
              <w:pStyle w:val="naisf"/>
              <w:snapToGrid w:val="0"/>
              <w:spacing w:before="0" w:after="0"/>
              <w:ind w:firstLine="0"/>
              <w:jc w:val="left"/>
              <w:rPr>
                <w:rFonts w:cstheme="minorHAnsi"/>
                <w:sz w:val="20"/>
                <w:lang w:val="lv-LV"/>
              </w:rPr>
            </w:pPr>
            <w:r>
              <w:rPr>
                <w:rFonts w:cstheme="minorHAnsi"/>
                <w:sz w:val="20"/>
                <w:lang w:val="lv-LV"/>
              </w:rPr>
              <w:t>Pastāvīgi tiek veikti pasākumi Spānijas kailgliemeža izplatības ierobežošanai.</w:t>
            </w:r>
          </w:p>
        </w:tc>
      </w:tr>
      <w:tr w:rsidR="00864E55" w:rsidRPr="00675182" w14:paraId="3CBA7BA0" w14:textId="77777777" w:rsidTr="00E21287">
        <w:tc>
          <w:tcPr>
            <w:tcW w:w="872" w:type="dxa"/>
            <w:tcBorders>
              <w:top w:val="single" w:sz="4" w:space="0" w:color="000000"/>
              <w:left w:val="single" w:sz="4" w:space="0" w:color="000000"/>
              <w:bottom w:val="single" w:sz="4" w:space="0" w:color="000000"/>
            </w:tcBorders>
          </w:tcPr>
          <w:p w14:paraId="389CF261"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B.8.1</w:t>
            </w:r>
          </w:p>
        </w:tc>
        <w:tc>
          <w:tcPr>
            <w:tcW w:w="850" w:type="dxa"/>
            <w:tcBorders>
              <w:top w:val="single" w:sz="4" w:space="0" w:color="000000" w:themeColor="text1"/>
              <w:left w:val="single" w:sz="4" w:space="0" w:color="000000" w:themeColor="text1"/>
              <w:bottom w:val="single" w:sz="4" w:space="0" w:color="000000" w:themeColor="text1"/>
              <w:right w:val="nil"/>
            </w:tcBorders>
          </w:tcPr>
          <w:p w14:paraId="780B3E6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B.1.</w:t>
            </w:r>
          </w:p>
          <w:p w14:paraId="6265634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B.3.</w:t>
            </w:r>
          </w:p>
          <w:p w14:paraId="669EC32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73B1B4FD"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Apsaimniekošanas pasākumi iespējamajā GNP paplašinājumā “Melturu sils” (zālāju atjaunošana un apsaimniekošana, ūdensteču un grāvju uzturēšana)</w:t>
            </w:r>
          </w:p>
        </w:tc>
        <w:tc>
          <w:tcPr>
            <w:tcW w:w="1699" w:type="dxa"/>
            <w:tcBorders>
              <w:top w:val="single" w:sz="4" w:space="0" w:color="000000" w:themeColor="text1"/>
              <w:left w:val="single" w:sz="4" w:space="0" w:color="000000" w:themeColor="text1"/>
              <w:bottom w:val="single" w:sz="4" w:space="0" w:color="000000" w:themeColor="text1"/>
              <w:right w:val="nil"/>
            </w:tcBorders>
          </w:tcPr>
          <w:p w14:paraId="0379377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5C52675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LVM, 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60533F88"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LVM, zemes īpašnieki</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74B936D2" w14:textId="2FB6ED31"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8FE2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Pastāvīgi tiek apsaimniekoti 23,6 ha zālāju biotopu, uzturēts piemērots hidroloģiskais režīms ~12 km upju un grāvju tīklā</w:t>
            </w:r>
          </w:p>
        </w:tc>
      </w:tr>
      <w:tr w:rsidR="00864E55" w:rsidRPr="00675182" w14:paraId="5315BB02" w14:textId="77777777" w:rsidTr="00E21287">
        <w:tc>
          <w:tcPr>
            <w:tcW w:w="872" w:type="dxa"/>
            <w:tcBorders>
              <w:top w:val="single" w:sz="4" w:space="0" w:color="000000"/>
              <w:left w:val="single" w:sz="4" w:space="0" w:color="000000"/>
              <w:bottom w:val="single" w:sz="4" w:space="0" w:color="000000"/>
            </w:tcBorders>
          </w:tcPr>
          <w:p w14:paraId="59258D14"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B.8.2.</w:t>
            </w:r>
          </w:p>
        </w:tc>
        <w:tc>
          <w:tcPr>
            <w:tcW w:w="850" w:type="dxa"/>
            <w:tcBorders>
              <w:top w:val="single" w:sz="4" w:space="0" w:color="000000" w:themeColor="text1"/>
              <w:left w:val="single" w:sz="4" w:space="0" w:color="000000" w:themeColor="text1"/>
              <w:bottom w:val="single" w:sz="4" w:space="0" w:color="000000" w:themeColor="text1"/>
              <w:right w:val="nil"/>
            </w:tcBorders>
          </w:tcPr>
          <w:p w14:paraId="10A2296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B.3.</w:t>
            </w:r>
          </w:p>
          <w:p w14:paraId="381B5F4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themeColor="text1"/>
              <w:left w:val="single" w:sz="4" w:space="0" w:color="000000" w:themeColor="text1"/>
              <w:bottom w:val="single" w:sz="4" w:space="0" w:color="000000" w:themeColor="text1"/>
              <w:right w:val="nil"/>
            </w:tcBorders>
          </w:tcPr>
          <w:p w14:paraId="0D225713"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Apsaimniekošanas pasākumi iespējamajā GNP paplašinājumā “Zušu-Staiņu sēravoti” (zālāju atjaunošana un uzturēšana, reto augu sugu atradņu apsaimniekošana)</w:t>
            </w:r>
          </w:p>
        </w:tc>
        <w:tc>
          <w:tcPr>
            <w:tcW w:w="1699" w:type="dxa"/>
            <w:tcBorders>
              <w:top w:val="single" w:sz="4" w:space="0" w:color="000000" w:themeColor="text1"/>
              <w:left w:val="single" w:sz="4" w:space="0" w:color="000000" w:themeColor="text1"/>
              <w:bottom w:val="single" w:sz="4" w:space="0" w:color="000000" w:themeColor="text1"/>
              <w:right w:val="nil"/>
            </w:tcBorders>
          </w:tcPr>
          <w:p w14:paraId="79731D2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themeColor="text1"/>
              <w:left w:val="single" w:sz="4" w:space="0" w:color="000000" w:themeColor="text1"/>
              <w:bottom w:val="single" w:sz="4" w:space="0" w:color="000000" w:themeColor="text1"/>
              <w:right w:val="nil"/>
            </w:tcBorders>
          </w:tcPr>
          <w:p w14:paraId="5033977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themeColor="text1"/>
              <w:left w:val="single" w:sz="4" w:space="0" w:color="000000" w:themeColor="text1"/>
              <w:bottom w:val="single" w:sz="4" w:space="0" w:color="000000" w:themeColor="text1"/>
              <w:right w:val="nil"/>
            </w:tcBorders>
          </w:tcPr>
          <w:p w14:paraId="6647D40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zemes īpašnieki, pašvaldība</w:t>
            </w:r>
          </w:p>
        </w:tc>
        <w:tc>
          <w:tcPr>
            <w:tcW w:w="1577" w:type="dxa"/>
            <w:tcBorders>
              <w:top w:val="single" w:sz="4" w:space="0" w:color="000000" w:themeColor="text1"/>
              <w:left w:val="single" w:sz="4" w:space="0" w:color="000000" w:themeColor="text1"/>
              <w:bottom w:val="single" w:sz="4" w:space="0" w:color="000000" w:themeColor="text1"/>
              <w:right w:val="nil"/>
            </w:tcBorders>
          </w:tcPr>
          <w:p w14:paraId="6C9EECA8" w14:textId="721D7690" w:rsidR="00864E55" w:rsidRPr="00675182" w:rsidRDefault="00864E55" w:rsidP="00864E55">
            <w:pPr>
              <w:autoSpaceDE w:val="0"/>
              <w:snapToGrid w:val="0"/>
              <w:rPr>
                <w:rFonts w:cstheme="minorHAnsi"/>
                <w:sz w:val="20"/>
              </w:rPr>
            </w:pPr>
            <w:r w:rsidRPr="00675182">
              <w:rPr>
                <w:rFonts w:cstheme="minorHAnsi"/>
                <w:sz w:val="20"/>
              </w:rPr>
              <w:t>Precīzi nav nosakāmas</w:t>
            </w:r>
            <w:r w:rsidR="000E2CA6">
              <w:rPr>
                <w:rFonts w:cstheme="minorHAnsi"/>
                <w:sz w:val="20"/>
              </w:rPr>
              <w:t>, sākot no 700 euro/ha</w:t>
            </w:r>
          </w:p>
        </w:tc>
        <w:tc>
          <w:tcPr>
            <w:tcW w:w="24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9E57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Atjaunots zālājs 1,16 ha platībā, apsaimniekoti zālāji 23,4 ha platībā, uzturēts piemērots izgaismojuma režīms sugu atradnēs ~3 ha platībā, ierobežota bebru darbība ~2km m grāvju tīklā.</w:t>
            </w:r>
          </w:p>
        </w:tc>
      </w:tr>
      <w:tr w:rsidR="00864E55" w:rsidRPr="00675182" w14:paraId="31C86987" w14:textId="77777777" w:rsidTr="0041526E">
        <w:tc>
          <w:tcPr>
            <w:tcW w:w="14211" w:type="dxa"/>
            <w:gridSpan w:val="8"/>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14:paraId="03B42A53" w14:textId="77777777" w:rsidR="00864E55" w:rsidRPr="00675182" w:rsidRDefault="00864E55" w:rsidP="00864E55">
            <w:pPr>
              <w:pStyle w:val="naisf"/>
              <w:snapToGrid w:val="0"/>
              <w:spacing w:before="0" w:after="0"/>
              <w:ind w:firstLine="0"/>
              <w:jc w:val="center"/>
              <w:rPr>
                <w:rFonts w:cstheme="minorHAnsi"/>
                <w:b/>
                <w:bCs/>
                <w:sz w:val="20"/>
                <w:highlight w:val="lightGray"/>
                <w:lang w:val="lv-LV"/>
              </w:rPr>
            </w:pPr>
            <w:r w:rsidRPr="00675182">
              <w:rPr>
                <w:rFonts w:cstheme="minorHAnsi"/>
                <w:b/>
                <w:bCs/>
                <w:sz w:val="20"/>
                <w:lang w:val="lv-LV"/>
              </w:rPr>
              <w:t>Ainavisko un kultūrvēsturisko vērtību uzturēšana un saglabāšana</w:t>
            </w:r>
          </w:p>
        </w:tc>
      </w:tr>
      <w:tr w:rsidR="00864E55" w:rsidRPr="00675182" w14:paraId="1EA8F802" w14:textId="77777777" w:rsidTr="00E21287">
        <w:tc>
          <w:tcPr>
            <w:tcW w:w="872" w:type="dxa"/>
            <w:tcBorders>
              <w:top w:val="single" w:sz="4" w:space="0" w:color="000000"/>
              <w:left w:val="single" w:sz="4" w:space="0" w:color="000000"/>
              <w:bottom w:val="single" w:sz="4" w:space="0" w:color="000000"/>
            </w:tcBorders>
          </w:tcPr>
          <w:p w14:paraId="70851C6F"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C.1.1.</w:t>
            </w:r>
          </w:p>
        </w:tc>
        <w:tc>
          <w:tcPr>
            <w:tcW w:w="850" w:type="dxa"/>
            <w:tcBorders>
              <w:top w:val="single" w:sz="4" w:space="0" w:color="000000"/>
              <w:left w:val="single" w:sz="4" w:space="0" w:color="000000"/>
              <w:bottom w:val="single" w:sz="4" w:space="0" w:color="000000"/>
            </w:tcBorders>
          </w:tcPr>
          <w:p w14:paraId="3DA0B79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p w14:paraId="59B04A5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C.2.</w:t>
            </w:r>
          </w:p>
        </w:tc>
        <w:tc>
          <w:tcPr>
            <w:tcW w:w="2670" w:type="dxa"/>
            <w:tcBorders>
              <w:top w:val="single" w:sz="4" w:space="0" w:color="000000"/>
              <w:left w:val="single" w:sz="4" w:space="0" w:color="000000"/>
              <w:bottom w:val="single" w:sz="4" w:space="0" w:color="000000"/>
            </w:tcBorders>
          </w:tcPr>
          <w:p w14:paraId="5B21AD32"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Ainavisko un kultūrvēsturisko vērtību popularizēšana un kartēšana</w:t>
            </w:r>
          </w:p>
        </w:tc>
        <w:tc>
          <w:tcPr>
            <w:tcW w:w="1699" w:type="dxa"/>
            <w:tcBorders>
              <w:top w:val="single" w:sz="4" w:space="0" w:color="000000"/>
              <w:left w:val="single" w:sz="4" w:space="0" w:color="000000"/>
              <w:bottom w:val="single" w:sz="4" w:space="0" w:color="000000"/>
              <w:right w:val="nil"/>
            </w:tcBorders>
          </w:tcPr>
          <w:p w14:paraId="35FE481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77201D33" w14:textId="4366C97C"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Pašvaldības,</w:t>
            </w:r>
            <w:r w:rsidRPr="00675182">
              <w:rPr>
                <w:rFonts w:cstheme="minorHAnsi"/>
                <w:sz w:val="20"/>
                <w:lang w:val="lv-LV"/>
              </w:rPr>
              <w:t xml:space="preserve"> Vidzemes plānošanas reģions</w:t>
            </w:r>
            <w:r w:rsidRPr="00675182">
              <w:rPr>
                <w:rFonts w:cstheme="minorHAnsi"/>
                <w:b/>
                <w:sz w:val="20"/>
                <w:lang w:val="lv-LV"/>
              </w:rPr>
              <w:t xml:space="preserve">, </w:t>
            </w:r>
            <w:r w:rsidRPr="00675182">
              <w:rPr>
                <w:rFonts w:cstheme="minorHAnsi"/>
                <w:sz w:val="20"/>
                <w:lang w:val="lv-LV"/>
              </w:rPr>
              <w:t>projektu finansējums,</w:t>
            </w:r>
          </w:p>
        </w:tc>
        <w:tc>
          <w:tcPr>
            <w:tcW w:w="1991" w:type="dxa"/>
            <w:tcBorders>
              <w:top w:val="single" w:sz="4" w:space="0" w:color="000000"/>
              <w:left w:val="single" w:sz="4" w:space="0" w:color="000000"/>
              <w:bottom w:val="single" w:sz="4" w:space="0" w:color="000000"/>
              <w:right w:val="nil"/>
            </w:tcBorders>
          </w:tcPr>
          <w:p w14:paraId="260D29FC" w14:textId="2A33A01F"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Pašvaldības,</w:t>
            </w:r>
            <w:r w:rsidRPr="00675182">
              <w:rPr>
                <w:rFonts w:cstheme="minorHAnsi"/>
                <w:sz w:val="20"/>
                <w:lang w:val="lv-LV"/>
              </w:rPr>
              <w:t xml:space="preserve"> Vidzemes plānošanas reģions</w:t>
            </w:r>
          </w:p>
        </w:tc>
        <w:tc>
          <w:tcPr>
            <w:tcW w:w="1577" w:type="dxa"/>
            <w:tcBorders>
              <w:top w:val="single" w:sz="4" w:space="0" w:color="000000"/>
              <w:left w:val="single" w:sz="4" w:space="0" w:color="000000"/>
              <w:bottom w:val="single" w:sz="4" w:space="0" w:color="000000"/>
              <w:right w:val="nil"/>
            </w:tcBorders>
          </w:tcPr>
          <w:p w14:paraId="62107725" w14:textId="77777777" w:rsidR="00864E55" w:rsidRPr="00675182" w:rsidRDefault="00864E55" w:rsidP="00864E55">
            <w:pPr>
              <w:autoSpaceDE w:val="0"/>
              <w:snapToGrid w:val="0"/>
              <w:rPr>
                <w:rFonts w:cstheme="minorHAnsi"/>
                <w:sz w:val="20"/>
              </w:rPr>
            </w:pPr>
            <w:r w:rsidRPr="00675182">
              <w:rPr>
                <w:rFonts w:cstheme="minorHAnsi"/>
                <w:sz w:val="20"/>
              </w:rPr>
              <w:t>Atkarīgs no aktivitāšu skaita un apjoma</w:t>
            </w:r>
          </w:p>
        </w:tc>
        <w:tc>
          <w:tcPr>
            <w:tcW w:w="2428" w:type="dxa"/>
            <w:tcBorders>
              <w:top w:val="single" w:sz="4" w:space="0" w:color="000000"/>
              <w:left w:val="single" w:sz="4" w:space="0" w:color="000000"/>
              <w:bottom w:val="single" w:sz="4" w:space="0" w:color="000000"/>
              <w:right w:val="single" w:sz="4" w:space="0" w:color="000000"/>
            </w:tcBorders>
          </w:tcPr>
          <w:p w14:paraId="2CB7B509" w14:textId="77777777"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sz w:val="20"/>
                <w:lang w:val="lv-LV"/>
              </w:rPr>
              <w:t xml:space="preserve">Izveidota publiska informācijas apmaiņas platforma ar aktivitātēm par teritoriju, organizēts pasākums (reizi gadā) </w:t>
            </w:r>
            <w:r w:rsidRPr="00675182">
              <w:rPr>
                <w:rFonts w:cstheme="minorHAnsi"/>
                <w:sz w:val="20"/>
                <w:lang w:val="lv-LV"/>
              </w:rPr>
              <w:lastRenderedPageBreak/>
              <w:t xml:space="preserve">saistībā ar ainavisko un kultūrvēsturisko vērtību pārvaldību. </w:t>
            </w:r>
          </w:p>
        </w:tc>
      </w:tr>
      <w:tr w:rsidR="00864E55" w:rsidRPr="00675182" w14:paraId="3AB412CA" w14:textId="77777777" w:rsidTr="00E21287">
        <w:tc>
          <w:tcPr>
            <w:tcW w:w="872" w:type="dxa"/>
            <w:tcBorders>
              <w:top w:val="single" w:sz="4" w:space="0" w:color="000000"/>
              <w:left w:val="single" w:sz="4" w:space="0" w:color="000000"/>
              <w:bottom w:val="single" w:sz="4" w:space="0" w:color="000000"/>
            </w:tcBorders>
          </w:tcPr>
          <w:p w14:paraId="533F211E"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C.2.1.</w:t>
            </w:r>
          </w:p>
        </w:tc>
        <w:tc>
          <w:tcPr>
            <w:tcW w:w="850" w:type="dxa"/>
            <w:tcBorders>
              <w:top w:val="single" w:sz="4" w:space="0" w:color="000000"/>
              <w:left w:val="single" w:sz="4" w:space="0" w:color="000000"/>
              <w:bottom w:val="single" w:sz="4" w:space="0" w:color="000000"/>
            </w:tcBorders>
          </w:tcPr>
          <w:p w14:paraId="37E6652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1CC42AB1" w14:textId="77777777" w:rsidR="00864E55" w:rsidRPr="00675182" w:rsidRDefault="00864E55" w:rsidP="00864E55">
            <w:pPr>
              <w:pStyle w:val="naisf"/>
              <w:snapToGrid w:val="0"/>
              <w:ind w:firstLine="0"/>
              <w:jc w:val="left"/>
              <w:rPr>
                <w:rFonts w:cstheme="minorHAnsi"/>
                <w:sz w:val="20"/>
                <w:lang w:val="lv-LV"/>
              </w:rPr>
            </w:pPr>
            <w:r w:rsidRPr="00675182">
              <w:rPr>
                <w:rFonts w:ascii="Calibri" w:hAnsi="Calibri"/>
                <w:bCs/>
                <w:sz w:val="20"/>
                <w:lang w:val="lv-LV"/>
              </w:rPr>
              <w:t>Skatu vietu ierīkošana</w:t>
            </w:r>
          </w:p>
        </w:tc>
        <w:tc>
          <w:tcPr>
            <w:tcW w:w="1699" w:type="dxa"/>
            <w:tcBorders>
              <w:top w:val="single" w:sz="4" w:space="0" w:color="000000"/>
              <w:left w:val="single" w:sz="4" w:space="0" w:color="000000"/>
              <w:bottom w:val="single" w:sz="4" w:space="0" w:color="000000"/>
              <w:right w:val="nil"/>
            </w:tcBorders>
          </w:tcPr>
          <w:p w14:paraId="2CA69CB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right w:val="nil"/>
            </w:tcBorders>
          </w:tcPr>
          <w:p w14:paraId="0ED81A11" w14:textId="74D5FA8D"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Pašvaldības,</w:t>
            </w:r>
            <w:r w:rsidRPr="00675182">
              <w:rPr>
                <w:rFonts w:cstheme="minorHAnsi"/>
                <w:sz w:val="20"/>
                <w:lang w:val="lv-LV"/>
              </w:rPr>
              <w:t xml:space="preserve"> īpašnieki</w:t>
            </w:r>
            <w:r w:rsidRPr="00675182">
              <w:rPr>
                <w:rFonts w:cstheme="minorHAnsi"/>
                <w:b/>
                <w:sz w:val="20"/>
                <w:lang w:val="lv-LV"/>
              </w:rPr>
              <w:t xml:space="preserve">, </w:t>
            </w:r>
            <w:r w:rsidRPr="00675182">
              <w:rPr>
                <w:rFonts w:cstheme="minorHAnsi"/>
                <w:sz w:val="20"/>
                <w:lang w:val="lv-LV"/>
              </w:rPr>
              <w:t>Vidzemes plānošanas reģions</w:t>
            </w:r>
            <w:r w:rsidRPr="00675182">
              <w:rPr>
                <w:rFonts w:cstheme="minorHAnsi"/>
                <w:b/>
                <w:sz w:val="20"/>
                <w:lang w:val="lv-LV"/>
              </w:rPr>
              <w:t xml:space="preserve">, </w:t>
            </w:r>
            <w:r w:rsidRPr="00675182">
              <w:rPr>
                <w:rFonts w:cstheme="minorHAnsi"/>
                <w:sz w:val="20"/>
                <w:lang w:val="lv-LV"/>
              </w:rPr>
              <w:t>projektu finansējums</w:t>
            </w:r>
          </w:p>
        </w:tc>
        <w:tc>
          <w:tcPr>
            <w:tcW w:w="1991" w:type="dxa"/>
            <w:tcBorders>
              <w:top w:val="single" w:sz="4" w:space="0" w:color="000000"/>
              <w:left w:val="single" w:sz="4" w:space="0" w:color="000000"/>
              <w:bottom w:val="single" w:sz="4" w:space="0" w:color="000000"/>
              <w:right w:val="nil"/>
            </w:tcBorders>
          </w:tcPr>
          <w:p w14:paraId="136CA704" w14:textId="651ABC3B"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Pašvaldības,</w:t>
            </w:r>
            <w:r w:rsidRPr="00675182">
              <w:rPr>
                <w:rFonts w:cstheme="minorHAnsi"/>
                <w:sz w:val="20"/>
                <w:lang w:val="lv-LV"/>
              </w:rPr>
              <w:t xml:space="preserve"> īpašnieki</w:t>
            </w:r>
            <w:r w:rsidRPr="00675182">
              <w:rPr>
                <w:rFonts w:cstheme="minorHAnsi"/>
                <w:b/>
                <w:sz w:val="20"/>
                <w:lang w:val="lv-LV"/>
              </w:rPr>
              <w:t xml:space="preserve">, </w:t>
            </w:r>
            <w:r w:rsidRPr="00675182">
              <w:rPr>
                <w:rFonts w:cstheme="minorHAnsi"/>
                <w:sz w:val="20"/>
                <w:lang w:val="lv-LV"/>
              </w:rPr>
              <w:t>Vidzemes plānošanas reģions</w:t>
            </w:r>
          </w:p>
        </w:tc>
        <w:tc>
          <w:tcPr>
            <w:tcW w:w="1577" w:type="dxa"/>
            <w:tcBorders>
              <w:top w:val="single" w:sz="4" w:space="0" w:color="000000"/>
              <w:left w:val="single" w:sz="4" w:space="0" w:color="000000"/>
              <w:bottom w:val="single" w:sz="4" w:space="0" w:color="000000"/>
              <w:right w:val="nil"/>
            </w:tcBorders>
          </w:tcPr>
          <w:p w14:paraId="4A4FF7B4" w14:textId="77777777" w:rsidR="00864E55" w:rsidRPr="00675182" w:rsidRDefault="00864E55" w:rsidP="00864E55">
            <w:pPr>
              <w:autoSpaceDE w:val="0"/>
              <w:snapToGrid w:val="0"/>
              <w:rPr>
                <w:rFonts w:cstheme="minorHAnsi"/>
                <w:sz w:val="20"/>
              </w:rPr>
            </w:pPr>
            <w:r w:rsidRPr="00675182">
              <w:rPr>
                <w:rFonts w:cstheme="minorHAnsi"/>
                <w:sz w:val="20"/>
              </w:rPr>
              <w:t>Atkarīgs no skatu vietu skaita un veida</w:t>
            </w:r>
          </w:p>
        </w:tc>
        <w:tc>
          <w:tcPr>
            <w:tcW w:w="2428" w:type="dxa"/>
            <w:tcBorders>
              <w:top w:val="single" w:sz="4" w:space="0" w:color="000000"/>
              <w:left w:val="single" w:sz="4" w:space="0" w:color="000000"/>
              <w:bottom w:val="single" w:sz="4" w:space="0" w:color="000000"/>
              <w:right w:val="single" w:sz="4" w:space="0" w:color="000000"/>
            </w:tcBorders>
          </w:tcPr>
          <w:p w14:paraId="78DE9785" w14:textId="35278D13"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Izveidots publiski pieejams skatu tornis vai skatu platforma Gaujas senielejas vērošanai, optimāli 1-3 nākamajam 12 gadu periodam. Ierīkotas jaunas skatu vietas</w:t>
            </w:r>
            <w:r w:rsidR="00330D1E">
              <w:rPr>
                <w:rFonts w:cstheme="minorHAnsi"/>
                <w:sz w:val="20"/>
                <w:lang w:val="lv-LV"/>
              </w:rPr>
              <w:t xml:space="preserve"> -</w:t>
            </w:r>
            <w:r w:rsidRPr="00675182">
              <w:rPr>
                <w:rFonts w:cstheme="minorHAnsi"/>
                <w:sz w:val="20"/>
                <w:lang w:val="lv-LV"/>
              </w:rPr>
              <w:t xml:space="preserve"> 3-5 saskaņā ar ainavu arhitektu novērtējumu, saskaņojot dabas vērtīb</w:t>
            </w:r>
            <w:r w:rsidR="00330D1E">
              <w:rPr>
                <w:rFonts w:cstheme="minorHAnsi"/>
                <w:sz w:val="20"/>
                <w:lang w:val="lv-LV"/>
              </w:rPr>
              <w:t>u un ainavas saglabāšanu</w:t>
            </w:r>
            <w:r w:rsidRPr="00675182">
              <w:rPr>
                <w:rFonts w:cstheme="minorHAnsi"/>
                <w:sz w:val="20"/>
                <w:lang w:val="lv-LV"/>
              </w:rPr>
              <w:t>.</w:t>
            </w:r>
          </w:p>
          <w:p w14:paraId="0E67AF13" w14:textId="77777777"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sz w:val="20"/>
                <w:lang w:val="lv-LV"/>
              </w:rPr>
              <w:t>Ierīkotas ainavu skatu vietas ainaviskajos ceļos.</w:t>
            </w:r>
          </w:p>
        </w:tc>
      </w:tr>
      <w:tr w:rsidR="00864E55" w:rsidRPr="00675182" w14:paraId="7831B6E7" w14:textId="77777777" w:rsidTr="00E21287">
        <w:tc>
          <w:tcPr>
            <w:tcW w:w="872" w:type="dxa"/>
            <w:tcBorders>
              <w:top w:val="single" w:sz="4" w:space="0" w:color="000000"/>
              <w:left w:val="single" w:sz="4" w:space="0" w:color="000000"/>
              <w:bottom w:val="single" w:sz="4" w:space="0" w:color="000000"/>
            </w:tcBorders>
          </w:tcPr>
          <w:p w14:paraId="2941B3A3"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C.2.2.</w:t>
            </w:r>
          </w:p>
        </w:tc>
        <w:tc>
          <w:tcPr>
            <w:tcW w:w="850" w:type="dxa"/>
            <w:tcBorders>
              <w:top w:val="single" w:sz="4" w:space="0" w:color="000000"/>
              <w:left w:val="single" w:sz="4" w:space="0" w:color="000000"/>
              <w:bottom w:val="single" w:sz="4" w:space="0" w:color="000000"/>
            </w:tcBorders>
          </w:tcPr>
          <w:p w14:paraId="58954F67"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7313FE6D" w14:textId="77777777" w:rsidR="00864E55" w:rsidRPr="00675182" w:rsidRDefault="00864E55" w:rsidP="00864E55">
            <w:pPr>
              <w:pStyle w:val="naisf"/>
              <w:snapToGrid w:val="0"/>
              <w:ind w:firstLine="0"/>
              <w:jc w:val="left"/>
              <w:rPr>
                <w:rFonts w:cstheme="minorHAnsi"/>
                <w:sz w:val="20"/>
                <w:lang w:val="lv-LV"/>
              </w:rPr>
            </w:pPr>
            <w:r w:rsidRPr="00675182">
              <w:rPr>
                <w:rFonts w:ascii="Calibri" w:hAnsi="Calibri"/>
                <w:bCs/>
                <w:sz w:val="20"/>
                <w:lang w:val="lv-LV"/>
              </w:rPr>
              <w:t>Skatu vietu uzturēšana, skatu atvērumu izveidošanas plāna izstrāde Gaujas krastiem</w:t>
            </w:r>
          </w:p>
        </w:tc>
        <w:tc>
          <w:tcPr>
            <w:tcW w:w="1699" w:type="dxa"/>
            <w:tcBorders>
              <w:top w:val="single" w:sz="4" w:space="0" w:color="000000"/>
              <w:left w:val="single" w:sz="4" w:space="0" w:color="000000"/>
              <w:bottom w:val="single" w:sz="4" w:space="0" w:color="000000"/>
              <w:right w:val="nil"/>
            </w:tcBorders>
          </w:tcPr>
          <w:p w14:paraId="61149DE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 skatu vietas ar augstu prioritāti;</w:t>
            </w:r>
          </w:p>
          <w:p w14:paraId="6EFA559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III, visā plāna darbības periodā skatu vietas ar zemāku prioritāti;</w:t>
            </w:r>
          </w:p>
        </w:tc>
        <w:tc>
          <w:tcPr>
            <w:tcW w:w="2124" w:type="dxa"/>
            <w:tcBorders>
              <w:top w:val="single" w:sz="4" w:space="0" w:color="000000"/>
              <w:left w:val="single" w:sz="4" w:space="0" w:color="000000"/>
              <w:bottom w:val="single" w:sz="4" w:space="0" w:color="000000"/>
              <w:right w:val="nil"/>
            </w:tcBorders>
          </w:tcPr>
          <w:p w14:paraId="14B2AEA5" w14:textId="77777777"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Pašvaldības,</w:t>
            </w:r>
            <w:r w:rsidRPr="00675182">
              <w:rPr>
                <w:rFonts w:cstheme="minorHAnsi"/>
                <w:sz w:val="20"/>
                <w:lang w:val="lv-LV"/>
              </w:rPr>
              <w:t xml:space="preserve"> īpašnieki/apsaimniekotāji,</w:t>
            </w:r>
            <w:r w:rsidRPr="00675182">
              <w:rPr>
                <w:rFonts w:cstheme="minorHAnsi"/>
                <w:b/>
                <w:sz w:val="20"/>
                <w:lang w:val="lv-LV"/>
              </w:rPr>
              <w:t xml:space="preserve"> </w:t>
            </w:r>
            <w:r w:rsidRPr="00675182">
              <w:rPr>
                <w:rFonts w:cstheme="minorHAnsi"/>
                <w:sz w:val="20"/>
                <w:lang w:val="lv-LV"/>
              </w:rPr>
              <w:t>projektu finansējums</w:t>
            </w:r>
          </w:p>
        </w:tc>
        <w:tc>
          <w:tcPr>
            <w:tcW w:w="1991" w:type="dxa"/>
            <w:tcBorders>
              <w:top w:val="single" w:sz="4" w:space="0" w:color="000000"/>
              <w:left w:val="single" w:sz="4" w:space="0" w:color="000000"/>
              <w:bottom w:val="single" w:sz="4" w:space="0" w:color="000000"/>
              <w:right w:val="nil"/>
            </w:tcBorders>
          </w:tcPr>
          <w:p w14:paraId="21896644" w14:textId="16E11635"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bCs/>
                <w:sz w:val="20"/>
                <w:lang w:val="lv-LV"/>
              </w:rPr>
              <w:t>1) Pašvaldības,</w:t>
            </w:r>
            <w:r w:rsidRPr="00675182">
              <w:rPr>
                <w:rFonts w:cstheme="minorHAnsi"/>
                <w:sz w:val="20"/>
                <w:lang w:val="lv-LV"/>
              </w:rPr>
              <w:t xml:space="preserve"> īpašnieki/apsaimniekotāji</w:t>
            </w:r>
          </w:p>
          <w:p w14:paraId="5E6A1D14" w14:textId="77777777" w:rsidR="00864E55" w:rsidRPr="00675182" w:rsidRDefault="00864E55" w:rsidP="00864E55">
            <w:pPr>
              <w:pStyle w:val="naisf"/>
              <w:snapToGrid w:val="0"/>
              <w:spacing w:before="0" w:after="0"/>
              <w:ind w:firstLine="0"/>
              <w:jc w:val="left"/>
              <w:rPr>
                <w:rFonts w:cstheme="minorHAnsi"/>
                <w:sz w:val="20"/>
                <w:lang w:val="lv-LV"/>
              </w:rPr>
            </w:pPr>
          </w:p>
          <w:p w14:paraId="25E29E53" w14:textId="4277731C"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sz w:val="20"/>
                <w:lang w:val="lv-LV"/>
              </w:rPr>
              <w:t>2)Vidzemes plānošanas reģions</w:t>
            </w:r>
          </w:p>
        </w:tc>
        <w:tc>
          <w:tcPr>
            <w:tcW w:w="1577" w:type="dxa"/>
            <w:tcBorders>
              <w:top w:val="single" w:sz="4" w:space="0" w:color="000000"/>
              <w:left w:val="single" w:sz="4" w:space="0" w:color="000000"/>
              <w:bottom w:val="single" w:sz="4" w:space="0" w:color="000000"/>
              <w:right w:val="nil"/>
            </w:tcBorders>
          </w:tcPr>
          <w:p w14:paraId="01E09A57"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7C306925" w14:textId="0D42E4D2"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1) Uzturētas skatu vietas  ar skatu atvērumiem.</w:t>
            </w:r>
          </w:p>
          <w:p w14:paraId="363BE328" w14:textId="77777777" w:rsidR="00864E55" w:rsidRPr="00675182" w:rsidRDefault="00864E55" w:rsidP="00864E55">
            <w:pPr>
              <w:pStyle w:val="naisf"/>
              <w:snapToGrid w:val="0"/>
              <w:spacing w:before="0" w:after="0"/>
              <w:ind w:firstLine="0"/>
              <w:jc w:val="left"/>
              <w:rPr>
                <w:rFonts w:cstheme="minorHAnsi"/>
                <w:sz w:val="20"/>
                <w:lang w:val="lv-LV"/>
              </w:rPr>
            </w:pPr>
          </w:p>
          <w:p w14:paraId="208DBA53" w14:textId="50864743"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iCs/>
                <w:sz w:val="20"/>
                <w:lang w:val="lv-LV"/>
              </w:rPr>
              <w:t>2) Sagatavots Gaujas krastu ainavas uzturēšanas plāns.</w:t>
            </w:r>
          </w:p>
        </w:tc>
      </w:tr>
      <w:tr w:rsidR="00864E55" w:rsidRPr="00675182" w14:paraId="7106299D" w14:textId="77777777" w:rsidTr="00E21287">
        <w:tc>
          <w:tcPr>
            <w:tcW w:w="872" w:type="dxa"/>
            <w:tcBorders>
              <w:top w:val="single" w:sz="4" w:space="0" w:color="000000"/>
              <w:left w:val="single" w:sz="4" w:space="0" w:color="000000"/>
              <w:bottom w:val="single" w:sz="4" w:space="0" w:color="000000"/>
            </w:tcBorders>
          </w:tcPr>
          <w:p w14:paraId="2642A7F7"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C.2.3.</w:t>
            </w:r>
          </w:p>
        </w:tc>
        <w:tc>
          <w:tcPr>
            <w:tcW w:w="850" w:type="dxa"/>
            <w:tcBorders>
              <w:top w:val="single" w:sz="4" w:space="0" w:color="000000"/>
              <w:left w:val="single" w:sz="4" w:space="0" w:color="000000"/>
              <w:bottom w:val="single" w:sz="4" w:space="0" w:color="000000"/>
            </w:tcBorders>
          </w:tcPr>
          <w:p w14:paraId="663285D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3B469F5E"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Ainavas negatīvi ietekmējošo faktoru novēršana/mazināšana</w:t>
            </w:r>
          </w:p>
        </w:tc>
        <w:tc>
          <w:tcPr>
            <w:tcW w:w="1699" w:type="dxa"/>
            <w:tcBorders>
              <w:top w:val="single" w:sz="4" w:space="0" w:color="000000"/>
              <w:left w:val="single" w:sz="4" w:space="0" w:color="000000"/>
              <w:bottom w:val="single" w:sz="4" w:space="0" w:color="000000"/>
              <w:right w:val="nil"/>
            </w:tcBorders>
          </w:tcPr>
          <w:p w14:paraId="1F5CAD72"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4176AF27" w14:textId="77777777"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Pašvaldības,</w:t>
            </w:r>
            <w:r w:rsidRPr="00675182">
              <w:rPr>
                <w:rFonts w:cstheme="minorHAnsi"/>
                <w:sz w:val="20"/>
                <w:lang w:val="lv-LV"/>
              </w:rPr>
              <w:t xml:space="preserve"> īpašnieki/apsaimniekotāji,</w:t>
            </w:r>
            <w:r w:rsidRPr="00675182">
              <w:rPr>
                <w:rFonts w:cstheme="minorHAnsi"/>
                <w:b/>
                <w:sz w:val="20"/>
                <w:lang w:val="lv-LV"/>
              </w:rPr>
              <w:t xml:space="preserve"> </w:t>
            </w:r>
            <w:r w:rsidRPr="00675182">
              <w:rPr>
                <w:rFonts w:cstheme="minorHAnsi"/>
                <w:sz w:val="20"/>
                <w:lang w:val="lv-LV"/>
              </w:rPr>
              <w:t>projektu finansējums</w:t>
            </w:r>
          </w:p>
        </w:tc>
        <w:tc>
          <w:tcPr>
            <w:tcW w:w="1991" w:type="dxa"/>
            <w:tcBorders>
              <w:top w:val="single" w:sz="4" w:space="0" w:color="000000"/>
              <w:left w:val="single" w:sz="4" w:space="0" w:color="000000"/>
              <w:bottom w:val="single" w:sz="4" w:space="0" w:color="000000"/>
              <w:right w:val="nil"/>
            </w:tcBorders>
          </w:tcPr>
          <w:p w14:paraId="012A429D" w14:textId="77777777"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Pašvaldības,</w:t>
            </w:r>
            <w:r w:rsidRPr="00675182">
              <w:rPr>
                <w:rFonts w:cstheme="minorHAnsi"/>
                <w:sz w:val="20"/>
                <w:lang w:val="lv-LV"/>
              </w:rPr>
              <w:t xml:space="preserve"> īpašnieki/apsaimniekotāji</w:t>
            </w:r>
          </w:p>
        </w:tc>
        <w:tc>
          <w:tcPr>
            <w:tcW w:w="1577" w:type="dxa"/>
            <w:tcBorders>
              <w:top w:val="single" w:sz="4" w:space="0" w:color="000000"/>
              <w:left w:val="single" w:sz="4" w:space="0" w:color="000000"/>
              <w:bottom w:val="single" w:sz="4" w:space="0" w:color="000000"/>
              <w:right w:val="nil"/>
            </w:tcBorders>
          </w:tcPr>
          <w:p w14:paraId="4D4A3389"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32A7F8F2" w14:textId="77777777"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sz w:val="20"/>
                <w:lang w:val="lv-LV"/>
              </w:rPr>
              <w:t>Gaujas senielejā atbalsttiesīgās platības palielinās (2035. gadā +19% no 2020. gada platībām)</w:t>
            </w:r>
          </w:p>
        </w:tc>
      </w:tr>
      <w:tr w:rsidR="00864E55" w:rsidRPr="00675182" w14:paraId="2149408F" w14:textId="77777777" w:rsidTr="00E21287">
        <w:tc>
          <w:tcPr>
            <w:tcW w:w="872" w:type="dxa"/>
            <w:tcBorders>
              <w:top w:val="single" w:sz="4" w:space="0" w:color="000000"/>
              <w:left w:val="single" w:sz="4" w:space="0" w:color="000000"/>
              <w:bottom w:val="single" w:sz="4" w:space="0" w:color="000000"/>
              <w:right w:val="nil"/>
            </w:tcBorders>
          </w:tcPr>
          <w:p w14:paraId="06B71850" w14:textId="788FD0FF"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C.2.4.</w:t>
            </w:r>
          </w:p>
        </w:tc>
        <w:tc>
          <w:tcPr>
            <w:tcW w:w="850" w:type="dxa"/>
            <w:tcBorders>
              <w:top w:val="single" w:sz="4" w:space="0" w:color="000000"/>
              <w:left w:val="single" w:sz="4" w:space="0" w:color="000000"/>
              <w:bottom w:val="single" w:sz="4" w:space="0" w:color="000000"/>
              <w:right w:val="nil"/>
            </w:tcBorders>
          </w:tcPr>
          <w:p w14:paraId="392C6BFC" w14:textId="4051B7DB"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783781DA" w14:textId="1A0711B8"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Finansējuma piesaiste meža atjaunošanai ar priedi</w:t>
            </w:r>
          </w:p>
        </w:tc>
        <w:tc>
          <w:tcPr>
            <w:tcW w:w="1699" w:type="dxa"/>
            <w:tcBorders>
              <w:top w:val="single" w:sz="4" w:space="0" w:color="000000"/>
              <w:left w:val="single" w:sz="4" w:space="0" w:color="000000"/>
              <w:bottom w:val="single" w:sz="4" w:space="0" w:color="000000"/>
              <w:right w:val="nil"/>
            </w:tcBorders>
          </w:tcPr>
          <w:p w14:paraId="047D8A33" w14:textId="1C3F8C6C"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right w:val="nil"/>
            </w:tcBorders>
          </w:tcPr>
          <w:p w14:paraId="5F2B7FB2" w14:textId="4CFAD723"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Projektu finansējums</w:t>
            </w:r>
          </w:p>
        </w:tc>
        <w:tc>
          <w:tcPr>
            <w:tcW w:w="1991" w:type="dxa"/>
            <w:tcBorders>
              <w:top w:val="single" w:sz="4" w:space="0" w:color="000000"/>
              <w:left w:val="single" w:sz="4" w:space="0" w:color="000000"/>
              <w:bottom w:val="single" w:sz="4" w:space="0" w:color="000000"/>
              <w:right w:val="nil"/>
            </w:tcBorders>
          </w:tcPr>
          <w:p w14:paraId="22CEC035" w14:textId="4E1C33A1"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Zemes īpašnieki/apsaimniekotāji</w:t>
            </w:r>
          </w:p>
        </w:tc>
        <w:tc>
          <w:tcPr>
            <w:tcW w:w="1577" w:type="dxa"/>
            <w:tcBorders>
              <w:top w:val="single" w:sz="4" w:space="0" w:color="000000"/>
              <w:left w:val="single" w:sz="4" w:space="0" w:color="000000"/>
              <w:bottom w:val="single" w:sz="4" w:space="0" w:color="000000"/>
              <w:right w:val="nil"/>
            </w:tcBorders>
          </w:tcPr>
          <w:p w14:paraId="70B08459" w14:textId="2AF58021" w:rsidR="00864E55" w:rsidRPr="00675182" w:rsidRDefault="00864E55" w:rsidP="00864E55">
            <w:pPr>
              <w:autoSpaceDE w:val="0"/>
              <w:snapToGrid w:val="0"/>
              <w:rPr>
                <w:rFonts w:cstheme="minorHAnsi"/>
                <w:sz w:val="20"/>
              </w:rPr>
            </w:pPr>
            <w:r w:rsidRPr="00675182">
              <w:rPr>
                <w:rFonts w:cstheme="minorHAnsi"/>
                <w:sz w:val="20"/>
              </w:rPr>
              <w:t>No ~1320 EUR/ha (780 EUR stādi, 205 EUR stādīšana, 150 EUR augsnes sagatavošana, 185 EUR agrotehniskā kopšana; cenas 2022. gadā)</w:t>
            </w:r>
          </w:p>
        </w:tc>
        <w:tc>
          <w:tcPr>
            <w:tcW w:w="2428" w:type="dxa"/>
            <w:tcBorders>
              <w:top w:val="single" w:sz="4" w:space="0" w:color="000000"/>
              <w:left w:val="single" w:sz="4" w:space="0" w:color="000000"/>
              <w:bottom w:val="single" w:sz="4" w:space="0" w:color="000000"/>
              <w:right w:val="single" w:sz="4" w:space="0" w:color="000000"/>
            </w:tcBorders>
          </w:tcPr>
          <w:p w14:paraId="3ED23508" w14:textId="27414742"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Nocirstajās priežu audzēs vismaz 50% platību tiek veiksmīgi atjaunotas ar priedi</w:t>
            </w:r>
          </w:p>
        </w:tc>
      </w:tr>
      <w:tr w:rsidR="00864E55" w:rsidRPr="00675182" w14:paraId="7604C6E5" w14:textId="77777777" w:rsidTr="00E21287">
        <w:tc>
          <w:tcPr>
            <w:tcW w:w="872" w:type="dxa"/>
            <w:tcBorders>
              <w:top w:val="single" w:sz="4" w:space="0" w:color="000000"/>
              <w:left w:val="single" w:sz="4" w:space="0" w:color="000000"/>
              <w:bottom w:val="single" w:sz="4" w:space="0" w:color="000000"/>
            </w:tcBorders>
          </w:tcPr>
          <w:p w14:paraId="147753BD"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C.3.</w:t>
            </w:r>
          </w:p>
        </w:tc>
        <w:tc>
          <w:tcPr>
            <w:tcW w:w="850" w:type="dxa"/>
            <w:tcBorders>
              <w:top w:val="single" w:sz="4" w:space="0" w:color="000000"/>
              <w:left w:val="single" w:sz="4" w:space="0" w:color="000000"/>
              <w:bottom w:val="single" w:sz="4" w:space="0" w:color="000000"/>
            </w:tcBorders>
          </w:tcPr>
          <w:p w14:paraId="40D43C1F"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C.2.</w:t>
            </w:r>
          </w:p>
        </w:tc>
        <w:tc>
          <w:tcPr>
            <w:tcW w:w="2670" w:type="dxa"/>
            <w:tcBorders>
              <w:top w:val="single" w:sz="4" w:space="0" w:color="000000"/>
              <w:left w:val="single" w:sz="4" w:space="0" w:color="000000"/>
              <w:bottom w:val="single" w:sz="4" w:space="0" w:color="000000"/>
            </w:tcBorders>
          </w:tcPr>
          <w:p w14:paraId="29134F86"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sz w:val="20"/>
                <w:lang w:val="lv-LV"/>
              </w:rPr>
              <w:t>Investīciju piesaiste materiālā kultūras mantojuma (valsts aizsargājamo kultūras pieminekļu) un nemateriālā kultūras mantojuma tradīciju atjaunošanai un uzturēšanai</w:t>
            </w:r>
          </w:p>
        </w:tc>
        <w:tc>
          <w:tcPr>
            <w:tcW w:w="1699" w:type="dxa"/>
            <w:tcBorders>
              <w:top w:val="single" w:sz="4" w:space="0" w:color="000000"/>
              <w:left w:val="single" w:sz="4" w:space="0" w:color="000000"/>
              <w:bottom w:val="single" w:sz="4" w:space="0" w:color="000000"/>
              <w:right w:val="nil"/>
            </w:tcBorders>
          </w:tcPr>
          <w:p w14:paraId="64DE8E7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regulāri plāna darbības laikā</w:t>
            </w:r>
          </w:p>
        </w:tc>
        <w:tc>
          <w:tcPr>
            <w:tcW w:w="2124" w:type="dxa"/>
            <w:tcBorders>
              <w:top w:val="single" w:sz="4" w:space="0" w:color="000000"/>
              <w:left w:val="single" w:sz="4" w:space="0" w:color="000000"/>
              <w:bottom w:val="single" w:sz="4" w:space="0" w:color="000000"/>
              <w:right w:val="nil"/>
            </w:tcBorders>
          </w:tcPr>
          <w:p w14:paraId="490D1DD6"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bCs/>
                <w:sz w:val="20"/>
                <w:lang w:val="lv-LV"/>
              </w:rPr>
              <w:t>Pašvaldības,</w:t>
            </w:r>
            <w:r w:rsidRPr="00675182">
              <w:rPr>
                <w:rFonts w:cstheme="minorHAnsi"/>
                <w:b/>
                <w:sz w:val="20"/>
                <w:lang w:val="lv-LV"/>
              </w:rPr>
              <w:t xml:space="preserve"> </w:t>
            </w:r>
            <w:r w:rsidRPr="00675182">
              <w:rPr>
                <w:rFonts w:cstheme="minorHAnsi"/>
                <w:sz w:val="20"/>
                <w:lang w:val="lv-LV"/>
              </w:rPr>
              <w:t>projektu finansējums, Vidzemes plānošanas reģions</w:t>
            </w:r>
          </w:p>
        </w:tc>
        <w:tc>
          <w:tcPr>
            <w:tcW w:w="1991" w:type="dxa"/>
            <w:tcBorders>
              <w:top w:val="single" w:sz="4" w:space="0" w:color="000000"/>
              <w:left w:val="single" w:sz="4" w:space="0" w:color="000000"/>
              <w:bottom w:val="single" w:sz="4" w:space="0" w:color="000000"/>
              <w:right w:val="nil"/>
            </w:tcBorders>
          </w:tcPr>
          <w:p w14:paraId="173E7F13"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bCs/>
                <w:sz w:val="20"/>
                <w:lang w:val="lv-LV"/>
              </w:rPr>
              <w:t>Pašvaldība, īpašnieki</w:t>
            </w:r>
          </w:p>
        </w:tc>
        <w:tc>
          <w:tcPr>
            <w:tcW w:w="1577" w:type="dxa"/>
            <w:tcBorders>
              <w:top w:val="single" w:sz="4" w:space="0" w:color="000000"/>
              <w:left w:val="single" w:sz="4" w:space="0" w:color="000000"/>
              <w:bottom w:val="single" w:sz="4" w:space="0" w:color="000000"/>
              <w:right w:val="nil"/>
            </w:tcBorders>
          </w:tcPr>
          <w:p w14:paraId="539DB7B2" w14:textId="77777777" w:rsidR="00864E55" w:rsidRPr="00675182" w:rsidRDefault="00864E55" w:rsidP="00864E55">
            <w:pPr>
              <w:autoSpaceDE w:val="0"/>
              <w:snapToGrid w:val="0"/>
              <w:rPr>
                <w:rFonts w:cstheme="minorHAnsi"/>
                <w:sz w:val="20"/>
              </w:rPr>
            </w:pPr>
            <w:r w:rsidRPr="00675182">
              <w:rPr>
                <w:rFonts w:cstheme="minorHAnsi"/>
                <w:sz w:val="20"/>
              </w:rPr>
              <w:t>Nav limitējams</w:t>
            </w:r>
          </w:p>
        </w:tc>
        <w:tc>
          <w:tcPr>
            <w:tcW w:w="2428" w:type="dxa"/>
            <w:tcBorders>
              <w:top w:val="single" w:sz="4" w:space="0" w:color="000000"/>
              <w:left w:val="single" w:sz="4" w:space="0" w:color="000000"/>
              <w:bottom w:val="single" w:sz="4" w:space="0" w:color="000000"/>
              <w:right w:val="single" w:sz="4" w:space="0" w:color="000000"/>
            </w:tcBorders>
          </w:tcPr>
          <w:p w14:paraId="649CFF8E"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bCs/>
                <w:sz w:val="20"/>
                <w:lang w:val="lv-LV"/>
              </w:rPr>
              <w:t xml:space="preserve">Kopējais </w:t>
            </w:r>
            <w:r w:rsidRPr="00675182">
              <w:rPr>
                <w:rFonts w:cstheme="minorHAnsi"/>
                <w:sz w:val="20"/>
                <w:lang w:val="lv-LV"/>
              </w:rPr>
              <w:t>materiālā kultūras mantojuma (valsts aizsargājamo kultūras pieminekļu) un nemateriālā kultūras mantojuma stāvokļa vērtējums; piesaistīto investīciju apjoms, atjaunoto materiālā mantojuma vienību vai tradīciju skaits</w:t>
            </w:r>
          </w:p>
        </w:tc>
      </w:tr>
      <w:tr w:rsidR="00864E55" w:rsidRPr="00675182" w14:paraId="14E6FE83" w14:textId="77777777" w:rsidTr="00E21287">
        <w:tc>
          <w:tcPr>
            <w:tcW w:w="872" w:type="dxa"/>
            <w:tcBorders>
              <w:top w:val="single" w:sz="4" w:space="0" w:color="000000"/>
              <w:left w:val="single" w:sz="4" w:space="0" w:color="000000"/>
              <w:bottom w:val="single" w:sz="4" w:space="0" w:color="000000"/>
            </w:tcBorders>
          </w:tcPr>
          <w:p w14:paraId="304F3701"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C.4.</w:t>
            </w:r>
          </w:p>
        </w:tc>
        <w:tc>
          <w:tcPr>
            <w:tcW w:w="850" w:type="dxa"/>
            <w:tcBorders>
              <w:top w:val="single" w:sz="4" w:space="0" w:color="000000"/>
              <w:left w:val="single" w:sz="4" w:space="0" w:color="000000"/>
              <w:bottom w:val="single" w:sz="4" w:space="0" w:color="000000"/>
            </w:tcBorders>
          </w:tcPr>
          <w:p w14:paraId="69FDE5E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C.2.</w:t>
            </w:r>
          </w:p>
        </w:tc>
        <w:tc>
          <w:tcPr>
            <w:tcW w:w="2670" w:type="dxa"/>
            <w:tcBorders>
              <w:top w:val="single" w:sz="4" w:space="0" w:color="000000"/>
              <w:left w:val="single" w:sz="4" w:space="0" w:color="000000"/>
              <w:bottom w:val="single" w:sz="4" w:space="0" w:color="000000"/>
            </w:tcBorders>
          </w:tcPr>
          <w:p w14:paraId="4C6A704A" w14:textId="77777777" w:rsidR="00864E55" w:rsidRPr="00675182" w:rsidRDefault="00864E55" w:rsidP="00864E55">
            <w:pPr>
              <w:pStyle w:val="naisf"/>
              <w:snapToGrid w:val="0"/>
              <w:ind w:firstLine="0"/>
              <w:jc w:val="left"/>
              <w:rPr>
                <w:rFonts w:cstheme="minorHAnsi"/>
                <w:sz w:val="20"/>
                <w:lang w:val="lv-LV"/>
              </w:rPr>
            </w:pPr>
            <w:r w:rsidRPr="00675182">
              <w:rPr>
                <w:rFonts w:ascii="Calibri" w:hAnsi="Calibri"/>
                <w:bCs/>
                <w:sz w:val="20"/>
                <w:lang w:val="lv-LV"/>
              </w:rPr>
              <w:t>Individuālo kultūras pieminekļu aizsardzības zonu projektu izstrāde</w:t>
            </w:r>
          </w:p>
        </w:tc>
        <w:tc>
          <w:tcPr>
            <w:tcW w:w="1699" w:type="dxa"/>
            <w:tcBorders>
              <w:top w:val="single" w:sz="4" w:space="0" w:color="000000"/>
              <w:left w:val="single" w:sz="4" w:space="0" w:color="000000"/>
              <w:bottom w:val="single" w:sz="4" w:space="0" w:color="000000"/>
              <w:right w:val="nil"/>
            </w:tcBorders>
          </w:tcPr>
          <w:p w14:paraId="2A62B3C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 xml:space="preserve">I, līdz 2027. gadam </w:t>
            </w:r>
          </w:p>
        </w:tc>
        <w:tc>
          <w:tcPr>
            <w:tcW w:w="2124" w:type="dxa"/>
            <w:tcBorders>
              <w:top w:val="single" w:sz="4" w:space="0" w:color="000000"/>
              <w:left w:val="single" w:sz="4" w:space="0" w:color="000000"/>
              <w:bottom w:val="single" w:sz="4" w:space="0" w:color="000000"/>
              <w:right w:val="nil"/>
            </w:tcBorders>
          </w:tcPr>
          <w:p w14:paraId="2796CA08" w14:textId="76ABB39E"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NKMP, pašvaldības, Vidzemes plānošanas reģions, projektu finansējums</w:t>
            </w:r>
          </w:p>
        </w:tc>
        <w:tc>
          <w:tcPr>
            <w:tcW w:w="1991" w:type="dxa"/>
            <w:tcBorders>
              <w:top w:val="single" w:sz="4" w:space="0" w:color="000000"/>
              <w:left w:val="single" w:sz="4" w:space="0" w:color="000000"/>
              <w:bottom w:val="single" w:sz="4" w:space="0" w:color="000000"/>
              <w:right w:val="nil"/>
            </w:tcBorders>
          </w:tcPr>
          <w:p w14:paraId="5ED1635B" w14:textId="64C53901"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 xml:space="preserve">NKMP, pašvaldības, </w:t>
            </w:r>
            <w:r w:rsidRPr="00675182">
              <w:rPr>
                <w:rFonts w:cstheme="minorHAnsi"/>
                <w:sz w:val="20"/>
                <w:lang w:val="lv-LV"/>
              </w:rPr>
              <w:t>Vidzemes plānošanas reģions</w:t>
            </w:r>
          </w:p>
        </w:tc>
        <w:tc>
          <w:tcPr>
            <w:tcW w:w="1577" w:type="dxa"/>
            <w:tcBorders>
              <w:top w:val="single" w:sz="4" w:space="0" w:color="000000"/>
              <w:left w:val="single" w:sz="4" w:space="0" w:color="000000"/>
              <w:bottom w:val="single" w:sz="4" w:space="0" w:color="000000"/>
              <w:right w:val="nil"/>
            </w:tcBorders>
          </w:tcPr>
          <w:p w14:paraId="21DD7AB8"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48B9A475" w14:textId="3A0879FE"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 xml:space="preserve">Izstrādātas individuālās aizsardzības zonas vismaz 30 kultūras pieminekļiem. </w:t>
            </w:r>
          </w:p>
        </w:tc>
      </w:tr>
      <w:tr w:rsidR="00864E55" w:rsidRPr="00675182" w14:paraId="2FB06DC6" w14:textId="77777777" w:rsidTr="00E21287">
        <w:tc>
          <w:tcPr>
            <w:tcW w:w="872" w:type="dxa"/>
            <w:tcBorders>
              <w:top w:val="single" w:sz="4" w:space="0" w:color="000000"/>
              <w:left w:val="single" w:sz="4" w:space="0" w:color="000000"/>
              <w:bottom w:val="single" w:sz="4" w:space="0" w:color="000000"/>
            </w:tcBorders>
          </w:tcPr>
          <w:p w14:paraId="7CBEB18A"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t>C.5.</w:t>
            </w:r>
          </w:p>
        </w:tc>
        <w:tc>
          <w:tcPr>
            <w:tcW w:w="850" w:type="dxa"/>
            <w:tcBorders>
              <w:top w:val="single" w:sz="4" w:space="0" w:color="000000"/>
              <w:left w:val="single" w:sz="4" w:space="0" w:color="000000"/>
              <w:bottom w:val="single" w:sz="4" w:space="0" w:color="000000"/>
            </w:tcBorders>
          </w:tcPr>
          <w:p w14:paraId="3AAE060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412AF192" w14:textId="77777777" w:rsidR="00864E55" w:rsidRPr="00675182" w:rsidRDefault="00864E55" w:rsidP="00864E55">
            <w:pPr>
              <w:pStyle w:val="naisf"/>
              <w:snapToGrid w:val="0"/>
              <w:ind w:firstLine="0"/>
              <w:jc w:val="left"/>
              <w:rPr>
                <w:rFonts w:ascii="Calibri" w:hAnsi="Calibri"/>
                <w:bCs/>
                <w:sz w:val="20"/>
                <w:lang w:val="lv-LV"/>
              </w:rPr>
            </w:pPr>
            <w:r w:rsidRPr="00675182">
              <w:rPr>
                <w:rFonts w:ascii="Calibri" w:hAnsi="Calibri"/>
                <w:bCs/>
                <w:sz w:val="20"/>
                <w:lang w:val="lv-LV"/>
              </w:rPr>
              <w:t>Ainavu apsaimniekošana atbilstoši izstrādātai ainavu koncepcijai</w:t>
            </w:r>
          </w:p>
        </w:tc>
        <w:tc>
          <w:tcPr>
            <w:tcW w:w="1699" w:type="dxa"/>
            <w:tcBorders>
              <w:top w:val="single" w:sz="4" w:space="0" w:color="000000"/>
              <w:left w:val="single" w:sz="4" w:space="0" w:color="000000"/>
              <w:bottom w:val="single" w:sz="4" w:space="0" w:color="000000"/>
              <w:right w:val="nil"/>
            </w:tcBorders>
          </w:tcPr>
          <w:p w14:paraId="27824781"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II, plāna darbības periodā</w:t>
            </w:r>
          </w:p>
        </w:tc>
        <w:tc>
          <w:tcPr>
            <w:tcW w:w="2124" w:type="dxa"/>
            <w:tcBorders>
              <w:top w:val="single" w:sz="4" w:space="0" w:color="000000"/>
              <w:left w:val="single" w:sz="4" w:space="0" w:color="000000"/>
              <w:bottom w:val="single" w:sz="4" w:space="0" w:color="000000"/>
              <w:right w:val="nil"/>
            </w:tcBorders>
          </w:tcPr>
          <w:p w14:paraId="4BFDF50E" w14:textId="77777777"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Zemes īpašnieki</w:t>
            </w:r>
          </w:p>
        </w:tc>
        <w:tc>
          <w:tcPr>
            <w:tcW w:w="1991" w:type="dxa"/>
            <w:tcBorders>
              <w:top w:val="single" w:sz="4" w:space="0" w:color="000000"/>
              <w:left w:val="single" w:sz="4" w:space="0" w:color="000000"/>
              <w:bottom w:val="single" w:sz="4" w:space="0" w:color="000000"/>
              <w:right w:val="nil"/>
            </w:tcBorders>
          </w:tcPr>
          <w:p w14:paraId="68AF0814" w14:textId="77777777"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Zemes īpašnieks</w:t>
            </w:r>
          </w:p>
        </w:tc>
        <w:tc>
          <w:tcPr>
            <w:tcW w:w="1577" w:type="dxa"/>
            <w:tcBorders>
              <w:top w:val="single" w:sz="4" w:space="0" w:color="000000"/>
              <w:left w:val="single" w:sz="4" w:space="0" w:color="000000"/>
              <w:bottom w:val="single" w:sz="4" w:space="0" w:color="000000"/>
              <w:right w:val="nil"/>
            </w:tcBorders>
          </w:tcPr>
          <w:p w14:paraId="1DD5D9FC" w14:textId="77777777" w:rsidR="00864E55" w:rsidRPr="00675182" w:rsidRDefault="00864E55" w:rsidP="00864E55">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30184F8C" w14:textId="77777777" w:rsidR="00864E55" w:rsidRPr="00675182" w:rsidRDefault="00864E55" w:rsidP="00864E55">
            <w:pPr>
              <w:pStyle w:val="naisf"/>
              <w:snapToGrid w:val="0"/>
              <w:spacing w:before="0" w:after="0"/>
              <w:ind w:firstLine="0"/>
              <w:jc w:val="left"/>
              <w:rPr>
                <w:rFonts w:cstheme="minorHAnsi"/>
                <w:bCs/>
                <w:sz w:val="20"/>
                <w:lang w:val="lv-LV"/>
              </w:rPr>
            </w:pPr>
            <w:r w:rsidRPr="00675182">
              <w:rPr>
                <w:rFonts w:cstheme="minorHAnsi"/>
                <w:bCs/>
                <w:sz w:val="20"/>
                <w:lang w:val="lv-LV"/>
              </w:rPr>
              <w:t>Notiek teritorijas apsaimniekošana atbilstoši ainavu koncepcijai un dabas aizsardzības nosacījumiem</w:t>
            </w:r>
          </w:p>
        </w:tc>
      </w:tr>
      <w:tr w:rsidR="00864E55" w:rsidRPr="00675182" w14:paraId="4E00213F" w14:textId="77777777" w:rsidTr="0041526E">
        <w:tc>
          <w:tcPr>
            <w:tcW w:w="14211" w:type="dxa"/>
            <w:gridSpan w:val="8"/>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14:paraId="1E701C73" w14:textId="77777777" w:rsidR="00864E55" w:rsidRPr="00675182" w:rsidRDefault="00864E55" w:rsidP="00864E55">
            <w:pPr>
              <w:pStyle w:val="naisf"/>
              <w:snapToGrid w:val="0"/>
              <w:spacing w:before="0" w:after="0"/>
              <w:ind w:firstLine="0"/>
              <w:jc w:val="center"/>
              <w:rPr>
                <w:rFonts w:cstheme="minorHAnsi"/>
                <w:bCs/>
                <w:sz w:val="20"/>
                <w:lang w:val="lv-LV"/>
              </w:rPr>
            </w:pPr>
            <w:r w:rsidRPr="00675182">
              <w:rPr>
                <w:rFonts w:cstheme="minorHAnsi"/>
                <w:b/>
                <w:sz w:val="20"/>
                <w:lang w:val="lv-LV"/>
              </w:rPr>
              <w:t>Rekreācija un tūrisms</w:t>
            </w:r>
          </w:p>
        </w:tc>
      </w:tr>
      <w:tr w:rsidR="00652586" w:rsidRPr="00675182" w14:paraId="67C7B26C" w14:textId="77777777" w:rsidTr="00E21287">
        <w:tc>
          <w:tcPr>
            <w:tcW w:w="872" w:type="dxa"/>
            <w:tcBorders>
              <w:top w:val="single" w:sz="4" w:space="0" w:color="000000"/>
              <w:left w:val="single" w:sz="4" w:space="0" w:color="000000"/>
              <w:bottom w:val="single" w:sz="4" w:space="0" w:color="000000"/>
            </w:tcBorders>
            <w:shd w:val="clear" w:color="auto" w:fill="auto"/>
          </w:tcPr>
          <w:p w14:paraId="760853F0"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bCs/>
                <w:sz w:val="20"/>
                <w:lang w:val="lv-LV"/>
              </w:rPr>
              <w:lastRenderedPageBreak/>
              <w:t>D.1.1.</w:t>
            </w:r>
          </w:p>
        </w:tc>
        <w:tc>
          <w:tcPr>
            <w:tcW w:w="850" w:type="dxa"/>
            <w:tcBorders>
              <w:top w:val="single" w:sz="4" w:space="0" w:color="000000"/>
              <w:left w:val="single" w:sz="4" w:space="0" w:color="000000"/>
              <w:bottom w:val="single" w:sz="4" w:space="0" w:color="000000"/>
            </w:tcBorders>
            <w:shd w:val="clear" w:color="auto" w:fill="auto"/>
          </w:tcPr>
          <w:p w14:paraId="3889072A"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B.6.</w:t>
            </w:r>
          </w:p>
          <w:p w14:paraId="7BE49C2A"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shd w:val="clear" w:color="auto" w:fill="auto"/>
          </w:tcPr>
          <w:p w14:paraId="0C47E328" w14:textId="495BF34F"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 xml:space="preserve">Antropogēnās ietekmes uz floru un faunu uzraudzīšana, kontrolējot tūrismu dabas aizsardzībai jutīgās vietās – stingrā režīma un </w:t>
            </w:r>
            <w:r w:rsidR="002A5B43">
              <w:rPr>
                <w:rFonts w:ascii="Calibri" w:hAnsi="Calibri"/>
                <w:sz w:val="20"/>
                <w:lang w:val="lv-LV"/>
              </w:rPr>
              <w:t>DLZ</w:t>
            </w:r>
          </w:p>
        </w:tc>
        <w:tc>
          <w:tcPr>
            <w:tcW w:w="1699" w:type="dxa"/>
            <w:tcBorders>
              <w:top w:val="single" w:sz="4" w:space="0" w:color="000000"/>
              <w:left w:val="single" w:sz="4" w:space="0" w:color="000000"/>
              <w:bottom w:val="single" w:sz="4" w:space="0" w:color="000000"/>
            </w:tcBorders>
            <w:shd w:val="clear" w:color="auto" w:fill="auto"/>
          </w:tcPr>
          <w:p w14:paraId="3CE23E96" w14:textId="234746E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regulāri plāna darbības laikā</w:t>
            </w:r>
          </w:p>
        </w:tc>
        <w:tc>
          <w:tcPr>
            <w:tcW w:w="2124" w:type="dxa"/>
            <w:tcBorders>
              <w:top w:val="single" w:sz="4" w:space="0" w:color="000000"/>
              <w:left w:val="single" w:sz="4" w:space="0" w:color="000000"/>
              <w:bottom w:val="single" w:sz="4" w:space="0" w:color="000000"/>
            </w:tcBorders>
            <w:shd w:val="clear" w:color="auto" w:fill="auto"/>
          </w:tcPr>
          <w:p w14:paraId="4E87DE27" w14:textId="335FFCF1"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w:t>
            </w:r>
          </w:p>
        </w:tc>
        <w:tc>
          <w:tcPr>
            <w:tcW w:w="1991" w:type="dxa"/>
            <w:tcBorders>
              <w:top w:val="single" w:sz="4" w:space="0" w:color="000000"/>
              <w:left w:val="single" w:sz="4" w:space="0" w:color="000000"/>
              <w:bottom w:val="single" w:sz="4" w:space="0" w:color="000000"/>
            </w:tcBorders>
            <w:shd w:val="clear" w:color="auto" w:fill="auto"/>
          </w:tcPr>
          <w:p w14:paraId="4D6259F4" w14:textId="7515B1B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Vidzemes augstskola sadarbībā ar DAP, dabas eksperti, dabas inspektori</w:t>
            </w:r>
          </w:p>
        </w:tc>
        <w:tc>
          <w:tcPr>
            <w:tcW w:w="1577" w:type="dxa"/>
            <w:tcBorders>
              <w:top w:val="single" w:sz="4" w:space="0" w:color="000000"/>
              <w:left w:val="single" w:sz="4" w:space="0" w:color="000000"/>
              <w:bottom w:val="single" w:sz="4" w:space="0" w:color="000000"/>
            </w:tcBorders>
            <w:shd w:val="clear" w:color="auto" w:fill="auto"/>
          </w:tcPr>
          <w:p w14:paraId="5121D309" w14:textId="5C5078A3" w:rsidR="00652586" w:rsidRPr="00675182" w:rsidRDefault="00652586" w:rsidP="00652586">
            <w:pPr>
              <w:autoSpaceDE w:val="0"/>
              <w:snapToGrid w:val="0"/>
              <w:rPr>
                <w:rFonts w:cstheme="minorHAnsi"/>
                <w:sz w:val="20"/>
              </w:rPr>
            </w:pPr>
            <w:r w:rsidRPr="00675182">
              <w:rPr>
                <w:rFonts w:ascii="Calibri" w:hAnsi="Calibri"/>
                <w:sz w:val="20"/>
              </w:rPr>
              <w:t>Darbinieku kapacitātes ietvaros. Sadarbības līgums starp DAP un VIA par monitoringa veikšanu</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C9CD5ED" w14:textId="0A8601B1" w:rsidR="00652586" w:rsidRPr="003B7F6F" w:rsidRDefault="00652586" w:rsidP="00652586">
            <w:pPr>
              <w:pStyle w:val="naisf"/>
              <w:snapToGrid w:val="0"/>
              <w:spacing w:before="0" w:after="0"/>
              <w:ind w:firstLine="0"/>
              <w:jc w:val="left"/>
              <w:rPr>
                <w:rFonts w:cstheme="minorHAnsi"/>
                <w:sz w:val="20"/>
                <w:lang w:val="lv-LV"/>
              </w:rPr>
            </w:pPr>
            <w:r w:rsidRPr="003B7F6F">
              <w:rPr>
                <w:rFonts w:ascii="Calibri" w:hAnsi="Calibri"/>
                <w:bCs/>
                <w:sz w:val="20"/>
                <w:lang w:val="lv-LV"/>
              </w:rPr>
              <w:t xml:space="preserve">Samazināta antropogēnā ietekme jutīgajās teritorijās. </w:t>
            </w:r>
            <w:r w:rsidR="003B7F6F" w:rsidRPr="003B7F6F">
              <w:rPr>
                <w:rFonts w:ascii="Calibri" w:hAnsi="Calibri"/>
                <w:bCs/>
                <w:sz w:val="20"/>
                <w:lang w:val="lv-LV"/>
              </w:rPr>
              <w:t xml:space="preserve">Produktu skaits jutīgajās zonās (&lt;10% no kopējā galamērķa piedāvājuma atrodas </w:t>
            </w:r>
            <w:r w:rsidR="003B7F6F">
              <w:rPr>
                <w:rFonts w:ascii="Calibri" w:hAnsi="Calibri"/>
                <w:bCs/>
                <w:sz w:val="20"/>
                <w:lang w:val="lv-LV"/>
              </w:rPr>
              <w:t>DLZ</w:t>
            </w:r>
            <w:r w:rsidR="003B7F6F" w:rsidRPr="003B7F6F">
              <w:rPr>
                <w:rFonts w:ascii="Calibri" w:hAnsi="Calibri"/>
                <w:bCs/>
                <w:sz w:val="20"/>
                <w:lang w:val="lv-LV"/>
              </w:rPr>
              <w:t>, tūrisms stingrā režīma aizsardzības zonā netiek popularizēts).</w:t>
            </w:r>
            <w:r w:rsidR="003B7F6F" w:rsidRPr="003B7F6F">
              <w:rPr>
                <w:lang w:val="lv-LV"/>
              </w:rPr>
              <w:t xml:space="preserve"> </w:t>
            </w:r>
            <w:r w:rsidR="003B7F6F" w:rsidRPr="003B7F6F">
              <w:rPr>
                <w:rFonts w:ascii="Calibri" w:hAnsi="Calibri"/>
                <w:bCs/>
                <w:sz w:val="20"/>
                <w:lang w:val="lv-LV"/>
              </w:rPr>
              <w:t>Tiek veikta apmeklējumu uzraudzība dabas lieguma zonā (t.sk. Mežtakā, Sv.Jēkaba ceļā, ūdenstūrisms Gaujā). Apmeklētība dabas lieguma zonā kopumā nepārsniedz 20% no kopējās galamērķa apmeklētības.</w:t>
            </w:r>
          </w:p>
        </w:tc>
      </w:tr>
      <w:tr w:rsidR="00652586" w:rsidRPr="00675182" w14:paraId="14C8D995" w14:textId="77777777" w:rsidTr="00E21287">
        <w:tc>
          <w:tcPr>
            <w:tcW w:w="872" w:type="dxa"/>
            <w:tcBorders>
              <w:top w:val="single" w:sz="4" w:space="0" w:color="000000"/>
              <w:left w:val="single" w:sz="4" w:space="0" w:color="000000"/>
              <w:bottom w:val="single" w:sz="4" w:space="0" w:color="000000"/>
            </w:tcBorders>
            <w:shd w:val="clear" w:color="auto" w:fill="auto"/>
          </w:tcPr>
          <w:p w14:paraId="7314C474"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bCs/>
                <w:sz w:val="20"/>
                <w:lang w:val="lv-LV"/>
              </w:rPr>
              <w:t>D.1.2.</w:t>
            </w:r>
          </w:p>
        </w:tc>
        <w:tc>
          <w:tcPr>
            <w:tcW w:w="850" w:type="dxa"/>
            <w:tcBorders>
              <w:top w:val="single" w:sz="4" w:space="0" w:color="000000"/>
              <w:left w:val="single" w:sz="4" w:space="0" w:color="000000"/>
              <w:bottom w:val="single" w:sz="4" w:space="0" w:color="000000"/>
            </w:tcBorders>
            <w:shd w:val="clear" w:color="auto" w:fill="auto"/>
          </w:tcPr>
          <w:p w14:paraId="7EC19391"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tcBorders>
            <w:shd w:val="clear" w:color="auto" w:fill="auto"/>
          </w:tcPr>
          <w:p w14:paraId="63472493" w14:textId="44567BA1"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Tematisku ētikas kodeksu izstrāde dabas resursus saudzīgai izmantošanai un integrēšana āra aktīvo norišu (āra sporta veidi, zirgu izjādes, ūdenstūrisms, MTB velobraukšana, publiskie pasākumi u.c.) saziņas kanālos</w:t>
            </w:r>
          </w:p>
        </w:tc>
        <w:tc>
          <w:tcPr>
            <w:tcW w:w="1699" w:type="dxa"/>
            <w:tcBorders>
              <w:top w:val="single" w:sz="4" w:space="0" w:color="000000"/>
              <w:left w:val="single" w:sz="4" w:space="0" w:color="000000"/>
              <w:bottom w:val="single" w:sz="4" w:space="0" w:color="000000"/>
            </w:tcBorders>
            <w:shd w:val="clear" w:color="auto" w:fill="auto"/>
          </w:tcPr>
          <w:p w14:paraId="3B5301D4" w14:textId="3CF4AF2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2022 un uzturēt regulāri plāna darbības laikā</w:t>
            </w:r>
          </w:p>
        </w:tc>
        <w:tc>
          <w:tcPr>
            <w:tcW w:w="2124" w:type="dxa"/>
            <w:tcBorders>
              <w:top w:val="single" w:sz="4" w:space="0" w:color="000000"/>
              <w:left w:val="single" w:sz="4" w:space="0" w:color="000000"/>
              <w:bottom w:val="single" w:sz="4" w:space="0" w:color="000000"/>
            </w:tcBorders>
            <w:shd w:val="clear" w:color="auto" w:fill="auto"/>
          </w:tcPr>
          <w:p w14:paraId="7A7A0777" w14:textId="77F3D948"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VARAM, IZM, DAP, projektu finansējums</w:t>
            </w:r>
          </w:p>
        </w:tc>
        <w:tc>
          <w:tcPr>
            <w:tcW w:w="1991" w:type="dxa"/>
            <w:tcBorders>
              <w:top w:val="single" w:sz="4" w:space="0" w:color="000000"/>
              <w:left w:val="single" w:sz="4" w:space="0" w:color="000000"/>
              <w:bottom w:val="single" w:sz="4" w:space="0" w:color="000000"/>
            </w:tcBorders>
            <w:shd w:val="clear" w:color="auto" w:fill="auto"/>
          </w:tcPr>
          <w:p w14:paraId="367D5E30" w14:textId="13940A24"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DAP sadarbībā ar GNP tūrisma attīstības biedrību, pašvaldībām, tūrisma pakalpojumu sniedzējiem</w:t>
            </w:r>
          </w:p>
        </w:tc>
        <w:tc>
          <w:tcPr>
            <w:tcW w:w="1577" w:type="dxa"/>
            <w:tcBorders>
              <w:top w:val="single" w:sz="4" w:space="0" w:color="000000"/>
              <w:left w:val="single" w:sz="4" w:space="0" w:color="000000"/>
              <w:bottom w:val="single" w:sz="4" w:space="0" w:color="000000"/>
            </w:tcBorders>
            <w:shd w:val="clear" w:color="auto" w:fill="auto"/>
          </w:tcPr>
          <w:p w14:paraId="029317F4" w14:textId="44DF1D59" w:rsidR="00652586" w:rsidRPr="00675182" w:rsidRDefault="00652586" w:rsidP="00652586">
            <w:pPr>
              <w:autoSpaceDE w:val="0"/>
              <w:snapToGrid w:val="0"/>
              <w:rPr>
                <w:rFonts w:cstheme="minorHAnsi"/>
                <w:sz w:val="20"/>
              </w:rPr>
            </w:pPr>
            <w:r w:rsidRPr="00675182">
              <w:rPr>
                <w:rFonts w:ascii="Calibri" w:hAnsi="Calibri"/>
                <w:sz w:val="20"/>
              </w:rPr>
              <w:t xml:space="preserve">Tiek izstrādāts GNP tūrisma biedrības – GNP tūrisma klastera ilgtermiņa stratēģijas ietvaros (kopējās sadaļas izmaksas līdz 500 EUR) </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00AAE2D" w14:textId="4476085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Izstrādāti ētikas tematiskie kodeksi āra pasākumu organizēšanai un ir integrēti sniegto pakalpojumu saturā. Kodeksi publicēti pakalpojumu sniedzēju tīmekļa vietnēs. Attiecīgi pakalpojumu sniedzēju skaits/proporcija, kas to veic.</w:t>
            </w:r>
          </w:p>
        </w:tc>
      </w:tr>
      <w:tr w:rsidR="00652586" w:rsidRPr="00675182" w14:paraId="40907E76" w14:textId="77777777" w:rsidTr="00E21287">
        <w:tc>
          <w:tcPr>
            <w:tcW w:w="872" w:type="dxa"/>
            <w:tcBorders>
              <w:top w:val="single" w:sz="4" w:space="0" w:color="000000"/>
              <w:left w:val="single" w:sz="4" w:space="0" w:color="000000"/>
              <w:bottom w:val="single" w:sz="4" w:space="0" w:color="000000"/>
            </w:tcBorders>
            <w:shd w:val="clear" w:color="auto" w:fill="auto"/>
          </w:tcPr>
          <w:p w14:paraId="784FDC74"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bCs/>
                <w:sz w:val="20"/>
                <w:lang w:val="lv-LV"/>
              </w:rPr>
              <w:t>D.1.3.</w:t>
            </w:r>
          </w:p>
        </w:tc>
        <w:tc>
          <w:tcPr>
            <w:tcW w:w="850" w:type="dxa"/>
            <w:tcBorders>
              <w:top w:val="single" w:sz="4" w:space="0" w:color="000000"/>
              <w:left w:val="single" w:sz="4" w:space="0" w:color="000000"/>
              <w:bottom w:val="single" w:sz="4" w:space="0" w:color="000000"/>
            </w:tcBorders>
            <w:shd w:val="clear" w:color="auto" w:fill="auto"/>
          </w:tcPr>
          <w:p w14:paraId="2AC9383E"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tcBorders>
            <w:shd w:val="clear" w:color="auto" w:fill="auto"/>
          </w:tcPr>
          <w:p w14:paraId="047F5DCC" w14:textId="24C6CF61"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 xml:space="preserve">Uzņēmēju, iedzīvotāju (t.sk. senioru), NVO un citu ieinteresēto pušu brīvprātīgo </w:t>
            </w:r>
            <w:r w:rsidRPr="00675182">
              <w:rPr>
                <w:rFonts w:ascii="Calibri" w:hAnsi="Calibri"/>
                <w:sz w:val="20"/>
                <w:lang w:val="lv-LV"/>
              </w:rPr>
              <w:lastRenderedPageBreak/>
              <w:t>iniciatīvu veicināšana dabas un kultūras mantojuma aizsardzībai un stāvokļa uzlabošanai</w:t>
            </w:r>
          </w:p>
        </w:tc>
        <w:tc>
          <w:tcPr>
            <w:tcW w:w="1699" w:type="dxa"/>
            <w:tcBorders>
              <w:top w:val="single" w:sz="4" w:space="0" w:color="000000"/>
              <w:left w:val="single" w:sz="4" w:space="0" w:color="000000"/>
              <w:bottom w:val="single" w:sz="4" w:space="0" w:color="000000"/>
            </w:tcBorders>
            <w:shd w:val="clear" w:color="auto" w:fill="auto"/>
          </w:tcPr>
          <w:p w14:paraId="253E0239" w14:textId="1C3E935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lastRenderedPageBreak/>
              <w:t>II, regulāri plāna darbības laikā</w:t>
            </w:r>
          </w:p>
        </w:tc>
        <w:tc>
          <w:tcPr>
            <w:tcW w:w="2124" w:type="dxa"/>
            <w:tcBorders>
              <w:top w:val="single" w:sz="4" w:space="0" w:color="000000"/>
              <w:left w:val="single" w:sz="4" w:space="0" w:color="000000"/>
              <w:bottom w:val="single" w:sz="4" w:space="0" w:color="000000"/>
            </w:tcBorders>
            <w:shd w:val="clear" w:color="auto" w:fill="auto"/>
          </w:tcPr>
          <w:p w14:paraId="56E81780" w14:textId="500F2319"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 xml:space="preserve">Brīvprātīgajās iniciatīvās iesaistīto pušu resursi. </w:t>
            </w:r>
            <w:r w:rsidRPr="00675182">
              <w:rPr>
                <w:rFonts w:ascii="Calibri" w:hAnsi="Calibri"/>
                <w:bCs/>
                <w:sz w:val="20"/>
                <w:lang w:val="lv-LV"/>
              </w:rPr>
              <w:lastRenderedPageBreak/>
              <w:t>Sponsorējums, ziedojumi. Sociāla rakstura projektu finansējums</w:t>
            </w:r>
          </w:p>
        </w:tc>
        <w:tc>
          <w:tcPr>
            <w:tcW w:w="1991" w:type="dxa"/>
            <w:tcBorders>
              <w:top w:val="single" w:sz="4" w:space="0" w:color="000000"/>
              <w:left w:val="single" w:sz="4" w:space="0" w:color="000000"/>
              <w:bottom w:val="single" w:sz="4" w:space="0" w:color="000000"/>
            </w:tcBorders>
            <w:shd w:val="clear" w:color="auto" w:fill="auto"/>
          </w:tcPr>
          <w:p w14:paraId="20DA7EB1" w14:textId="0B16B2B4"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lastRenderedPageBreak/>
              <w:t>Brīvprātīgajās iniciatīvās iesaistītās puses</w:t>
            </w:r>
          </w:p>
        </w:tc>
        <w:tc>
          <w:tcPr>
            <w:tcW w:w="1577" w:type="dxa"/>
            <w:tcBorders>
              <w:top w:val="single" w:sz="4" w:space="0" w:color="000000"/>
              <w:left w:val="single" w:sz="4" w:space="0" w:color="000000"/>
              <w:bottom w:val="single" w:sz="4" w:space="0" w:color="000000"/>
            </w:tcBorders>
            <w:shd w:val="clear" w:color="auto" w:fill="auto"/>
          </w:tcPr>
          <w:p w14:paraId="793B0312" w14:textId="235DB1AA" w:rsidR="00652586" w:rsidRPr="00675182" w:rsidRDefault="00652586" w:rsidP="00652586">
            <w:pPr>
              <w:autoSpaceDE w:val="0"/>
              <w:snapToGrid w:val="0"/>
              <w:rPr>
                <w:rFonts w:cstheme="minorHAnsi"/>
                <w:sz w:val="20"/>
              </w:rPr>
            </w:pPr>
            <w:r w:rsidRPr="00675182">
              <w:rPr>
                <w:rFonts w:ascii="Calibri" w:hAnsi="Calibri"/>
                <w:sz w:val="20"/>
              </w:rPr>
              <w:t xml:space="preserve">Viena brīvprātīgo iniciatīvi </w:t>
            </w:r>
            <w:r w:rsidRPr="00675182">
              <w:rPr>
                <w:rFonts w:ascii="Calibri" w:hAnsi="Calibri"/>
                <w:sz w:val="20"/>
              </w:rPr>
              <w:lastRenderedPageBreak/>
              <w:t>koordinatora pilnas slodzes alga, kas atbilst komunikācijas speciālista kvalifikācijai</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7F1C146" w14:textId="23045FC8"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lastRenderedPageBreak/>
              <w:t xml:space="preserve">Brīvprātīgo skaits un brīvprātīgi veikto iniciatīvu skaits, (darba dienu skaits </w:t>
            </w:r>
            <w:r w:rsidRPr="00675182">
              <w:rPr>
                <w:rFonts w:ascii="Calibri" w:hAnsi="Calibri"/>
                <w:bCs/>
                <w:sz w:val="20"/>
                <w:lang w:val="lv-LV"/>
              </w:rPr>
              <w:lastRenderedPageBreak/>
              <w:t>gadā). No ārvalstīm piesaistīto brīvprātīgo darbinieku skaits.</w:t>
            </w:r>
          </w:p>
        </w:tc>
      </w:tr>
      <w:tr w:rsidR="00652586" w:rsidRPr="00675182" w14:paraId="3F623264" w14:textId="77777777" w:rsidTr="00E21287">
        <w:tc>
          <w:tcPr>
            <w:tcW w:w="872" w:type="dxa"/>
            <w:tcBorders>
              <w:top w:val="single" w:sz="4" w:space="0" w:color="000000"/>
              <w:left w:val="single" w:sz="4" w:space="0" w:color="000000"/>
              <w:bottom w:val="single" w:sz="4" w:space="0" w:color="000000"/>
            </w:tcBorders>
            <w:shd w:val="clear" w:color="auto" w:fill="auto"/>
          </w:tcPr>
          <w:p w14:paraId="02503B27"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bCs/>
                <w:sz w:val="20"/>
                <w:lang w:val="lv-LV"/>
              </w:rPr>
              <w:lastRenderedPageBreak/>
              <w:t>D.1.4.</w:t>
            </w:r>
          </w:p>
        </w:tc>
        <w:tc>
          <w:tcPr>
            <w:tcW w:w="850" w:type="dxa"/>
            <w:tcBorders>
              <w:top w:val="single" w:sz="4" w:space="0" w:color="000000"/>
              <w:left w:val="single" w:sz="4" w:space="0" w:color="000000"/>
              <w:bottom w:val="single" w:sz="4" w:space="0" w:color="000000"/>
            </w:tcBorders>
            <w:shd w:val="clear" w:color="auto" w:fill="auto"/>
          </w:tcPr>
          <w:p w14:paraId="5AFA092E"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tcBorders>
            <w:shd w:val="clear" w:color="auto" w:fill="auto"/>
          </w:tcPr>
          <w:p w14:paraId="453F0487" w14:textId="6B0A81BC"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Brīvprātīgo darbu koordinatora amata izveide</w:t>
            </w:r>
          </w:p>
        </w:tc>
        <w:tc>
          <w:tcPr>
            <w:tcW w:w="1699" w:type="dxa"/>
            <w:tcBorders>
              <w:top w:val="single" w:sz="4" w:space="0" w:color="000000"/>
              <w:left w:val="single" w:sz="4" w:space="0" w:color="000000"/>
              <w:bottom w:val="single" w:sz="4" w:space="0" w:color="000000"/>
            </w:tcBorders>
            <w:shd w:val="clear" w:color="auto" w:fill="auto"/>
          </w:tcPr>
          <w:p w14:paraId="1D9D7F38" w14:textId="1D36B1F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II, 2023</w:t>
            </w:r>
          </w:p>
        </w:tc>
        <w:tc>
          <w:tcPr>
            <w:tcW w:w="2124" w:type="dxa"/>
            <w:tcBorders>
              <w:top w:val="single" w:sz="4" w:space="0" w:color="000000"/>
              <w:left w:val="single" w:sz="4" w:space="0" w:color="000000"/>
              <w:bottom w:val="single" w:sz="4" w:space="0" w:color="000000"/>
            </w:tcBorders>
            <w:shd w:val="clear" w:color="auto" w:fill="auto"/>
          </w:tcPr>
          <w:p w14:paraId="3E264875" w14:textId="6CDB6ED5"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Dalīti: DAP, ziedojumi</w:t>
            </w:r>
          </w:p>
        </w:tc>
        <w:tc>
          <w:tcPr>
            <w:tcW w:w="1991" w:type="dxa"/>
            <w:tcBorders>
              <w:top w:val="single" w:sz="4" w:space="0" w:color="000000"/>
              <w:left w:val="single" w:sz="4" w:space="0" w:color="000000"/>
              <w:bottom w:val="single" w:sz="4" w:space="0" w:color="000000"/>
            </w:tcBorders>
            <w:shd w:val="clear" w:color="auto" w:fill="auto"/>
          </w:tcPr>
          <w:p w14:paraId="5DB6846C" w14:textId="2C692A6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DAP sadarbībā ar GNP tūrisma attīstības biedrību, citiem NVO</w:t>
            </w:r>
          </w:p>
        </w:tc>
        <w:tc>
          <w:tcPr>
            <w:tcW w:w="1577" w:type="dxa"/>
            <w:tcBorders>
              <w:top w:val="single" w:sz="4" w:space="0" w:color="000000"/>
              <w:left w:val="single" w:sz="4" w:space="0" w:color="000000"/>
              <w:bottom w:val="single" w:sz="4" w:space="0" w:color="000000"/>
            </w:tcBorders>
            <w:shd w:val="clear" w:color="auto" w:fill="auto"/>
          </w:tcPr>
          <w:p w14:paraId="3E030DDC" w14:textId="74F15172" w:rsidR="00652586" w:rsidRPr="00675182" w:rsidRDefault="00652586" w:rsidP="00652586">
            <w:pPr>
              <w:autoSpaceDE w:val="0"/>
              <w:snapToGrid w:val="0"/>
              <w:rPr>
                <w:rFonts w:cstheme="minorHAnsi"/>
                <w:sz w:val="20"/>
              </w:rPr>
            </w:pPr>
            <w:r w:rsidRPr="00675182">
              <w:rPr>
                <w:rFonts w:ascii="Calibri" w:hAnsi="Calibri"/>
                <w:sz w:val="20"/>
              </w:rPr>
              <w:t>Viena brīvprātīgo iniciatīvi koordinatora pilnas slodzes alga, kas atbilst komunikācijas speciālista kvalifikācijai</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3733038" w14:textId="77777777" w:rsidR="00652586" w:rsidRPr="00675182" w:rsidRDefault="00652586" w:rsidP="00652586">
            <w:pPr>
              <w:snapToGrid w:val="0"/>
              <w:rPr>
                <w:rFonts w:ascii="Calibri" w:eastAsia="Arial Unicode MS" w:hAnsi="Calibri"/>
                <w:bCs/>
                <w:sz w:val="20"/>
              </w:rPr>
            </w:pPr>
            <w:r w:rsidRPr="00675182">
              <w:rPr>
                <w:rFonts w:ascii="Calibri" w:eastAsia="Arial Unicode MS" w:hAnsi="Calibri"/>
                <w:bCs/>
                <w:sz w:val="20"/>
              </w:rPr>
              <w:t>Izveidota amata vieta DAP vai NVO,</w:t>
            </w:r>
          </w:p>
          <w:p w14:paraId="68CDEF4C" w14:textId="050DB681"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 xml:space="preserve"> piesaistīto brīvprātīgo un paveikto iniciatīvu apjoms</w:t>
            </w:r>
          </w:p>
        </w:tc>
      </w:tr>
      <w:tr w:rsidR="00652586" w:rsidRPr="00675182" w14:paraId="64E0B1D8" w14:textId="77777777" w:rsidTr="00E21287">
        <w:tc>
          <w:tcPr>
            <w:tcW w:w="872" w:type="dxa"/>
            <w:tcBorders>
              <w:top w:val="single" w:sz="4" w:space="0" w:color="000000"/>
              <w:left w:val="single" w:sz="4" w:space="0" w:color="000000"/>
              <w:bottom w:val="single" w:sz="4" w:space="0" w:color="000000"/>
            </w:tcBorders>
            <w:shd w:val="clear" w:color="auto" w:fill="auto"/>
          </w:tcPr>
          <w:p w14:paraId="353402DE"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bCs/>
                <w:sz w:val="20"/>
                <w:lang w:val="lv-LV"/>
              </w:rPr>
              <w:t>D.1.5.</w:t>
            </w:r>
          </w:p>
        </w:tc>
        <w:tc>
          <w:tcPr>
            <w:tcW w:w="850" w:type="dxa"/>
            <w:tcBorders>
              <w:top w:val="single" w:sz="4" w:space="0" w:color="000000"/>
              <w:left w:val="single" w:sz="4" w:space="0" w:color="000000"/>
              <w:bottom w:val="single" w:sz="4" w:space="0" w:color="000000"/>
            </w:tcBorders>
            <w:shd w:val="clear" w:color="auto" w:fill="auto"/>
          </w:tcPr>
          <w:p w14:paraId="275EBEA4"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78C451B2"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D.2.</w:t>
            </w:r>
          </w:p>
          <w:p w14:paraId="1E7F1BBE"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tcBorders>
            <w:shd w:val="clear" w:color="auto" w:fill="auto"/>
          </w:tcPr>
          <w:p w14:paraId="0D580817" w14:textId="17C3ECA4"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Sabiedrības un korporatīvā segmenta ziedojumu veicināšana GNP dabas un kultūras mantojuma aizsardzībai un stāvokļa uzlabošanai</w:t>
            </w:r>
          </w:p>
        </w:tc>
        <w:tc>
          <w:tcPr>
            <w:tcW w:w="1699" w:type="dxa"/>
            <w:tcBorders>
              <w:top w:val="single" w:sz="4" w:space="0" w:color="000000"/>
              <w:left w:val="single" w:sz="4" w:space="0" w:color="000000"/>
              <w:bottom w:val="single" w:sz="4" w:space="0" w:color="000000"/>
            </w:tcBorders>
            <w:shd w:val="clear" w:color="auto" w:fill="auto"/>
          </w:tcPr>
          <w:p w14:paraId="053B1973" w14:textId="66B1CE07"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II, regulāri plāna darbības laikā</w:t>
            </w:r>
          </w:p>
        </w:tc>
        <w:tc>
          <w:tcPr>
            <w:tcW w:w="2124" w:type="dxa"/>
            <w:tcBorders>
              <w:top w:val="single" w:sz="4" w:space="0" w:color="000000"/>
              <w:left w:val="single" w:sz="4" w:space="0" w:color="000000"/>
              <w:bottom w:val="single" w:sz="4" w:space="0" w:color="000000"/>
            </w:tcBorders>
            <w:shd w:val="clear" w:color="auto" w:fill="auto"/>
          </w:tcPr>
          <w:p w14:paraId="474C0201" w14:textId="18198BF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Ziedotāji</w:t>
            </w:r>
          </w:p>
        </w:tc>
        <w:tc>
          <w:tcPr>
            <w:tcW w:w="1991" w:type="dxa"/>
            <w:tcBorders>
              <w:top w:val="single" w:sz="4" w:space="0" w:color="000000"/>
              <w:left w:val="single" w:sz="4" w:space="0" w:color="000000"/>
              <w:bottom w:val="single" w:sz="4" w:space="0" w:color="000000"/>
            </w:tcBorders>
            <w:shd w:val="clear" w:color="auto" w:fill="auto"/>
          </w:tcPr>
          <w:p w14:paraId="49F5C72A" w14:textId="763B9B8A"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bCs/>
                <w:sz w:val="20"/>
                <w:lang w:val="lv-LV"/>
              </w:rPr>
              <w:t>GNP fonds</w:t>
            </w:r>
          </w:p>
        </w:tc>
        <w:tc>
          <w:tcPr>
            <w:tcW w:w="1577" w:type="dxa"/>
            <w:tcBorders>
              <w:top w:val="single" w:sz="4" w:space="0" w:color="000000"/>
              <w:left w:val="single" w:sz="4" w:space="0" w:color="000000"/>
              <w:bottom w:val="single" w:sz="4" w:space="0" w:color="000000"/>
            </w:tcBorders>
            <w:shd w:val="clear" w:color="auto" w:fill="auto"/>
          </w:tcPr>
          <w:p w14:paraId="74E67830" w14:textId="6FC1F0DE" w:rsidR="00652586" w:rsidRPr="00675182" w:rsidRDefault="00652586" w:rsidP="00652586">
            <w:pPr>
              <w:autoSpaceDE w:val="0"/>
              <w:snapToGrid w:val="0"/>
              <w:rPr>
                <w:rFonts w:cstheme="minorHAnsi"/>
                <w:sz w:val="20"/>
                <w:highlight w:val="magenta"/>
              </w:rPr>
            </w:pPr>
            <w:r w:rsidRPr="00675182">
              <w:rPr>
                <w:rFonts w:ascii="Calibri" w:hAnsi="Calibri"/>
                <w:sz w:val="20"/>
              </w:rPr>
              <w:t>Nav limitējams</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89DB2C9" w14:textId="55B20A91" w:rsidR="00652586" w:rsidRPr="00675182" w:rsidRDefault="00652586" w:rsidP="00652586">
            <w:pPr>
              <w:pStyle w:val="naisf"/>
              <w:snapToGrid w:val="0"/>
              <w:spacing w:before="0" w:after="0"/>
              <w:ind w:firstLine="0"/>
              <w:jc w:val="left"/>
              <w:rPr>
                <w:rFonts w:cstheme="minorHAnsi"/>
                <w:sz w:val="20"/>
                <w:highlight w:val="magenta"/>
                <w:lang w:val="lv-LV"/>
              </w:rPr>
            </w:pPr>
            <w:r w:rsidRPr="00675182">
              <w:rPr>
                <w:rFonts w:ascii="Calibri" w:hAnsi="Calibri"/>
                <w:bCs/>
                <w:sz w:val="20"/>
                <w:lang w:val="lv-LV"/>
              </w:rPr>
              <w:t>EUR/gadā un iniciatīvu skaits, kas par šiem resursiem īstenots</w:t>
            </w:r>
          </w:p>
        </w:tc>
      </w:tr>
      <w:tr w:rsidR="00652586" w:rsidRPr="00675182" w14:paraId="5D218E93" w14:textId="77777777" w:rsidTr="00E21287">
        <w:tc>
          <w:tcPr>
            <w:tcW w:w="872" w:type="dxa"/>
            <w:tcBorders>
              <w:top w:val="single" w:sz="4" w:space="0" w:color="000000"/>
              <w:left w:val="single" w:sz="4" w:space="0" w:color="000000"/>
              <w:bottom w:val="single" w:sz="4" w:space="0" w:color="000000"/>
              <w:right w:val="nil"/>
            </w:tcBorders>
          </w:tcPr>
          <w:p w14:paraId="1B1389BB" w14:textId="65E64102"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D.2.1</w:t>
            </w:r>
            <w:r w:rsidR="006A2230" w:rsidRPr="00675182">
              <w:rPr>
                <w:rFonts w:cstheme="minorHAnsi"/>
                <w:sz w:val="20"/>
                <w:lang w:val="lv-LV"/>
              </w:rPr>
              <w:t>.</w:t>
            </w:r>
          </w:p>
        </w:tc>
        <w:tc>
          <w:tcPr>
            <w:tcW w:w="850" w:type="dxa"/>
            <w:tcBorders>
              <w:top w:val="single" w:sz="4" w:space="0" w:color="000000"/>
              <w:left w:val="single" w:sz="4" w:space="0" w:color="000000"/>
              <w:bottom w:val="single" w:sz="4" w:space="0" w:color="000000"/>
              <w:right w:val="nil"/>
            </w:tcBorders>
          </w:tcPr>
          <w:p w14:paraId="579791BD"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6CBEF273"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74680A1A" w14:textId="49193485"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 xml:space="preserve">Antropogēnās slodzes samazināšana pie Niniera ezera </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5658900A" w14:textId="2234F10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2023</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E9AAE92" w14:textId="5941A2F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sadarbībā ar citām iesaistītajām pusēm (LEADER, LVAF…)</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2F27CFD6" w14:textId="467B9863"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saskaņo ar zemes īpašniekiem, LEADER VRG</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255D1272" w14:textId="10FA7E8B" w:rsidR="00652586" w:rsidRPr="00675182" w:rsidRDefault="00652586" w:rsidP="00652586">
            <w:pPr>
              <w:autoSpaceDE w:val="0"/>
              <w:snapToGrid w:val="0"/>
              <w:rPr>
                <w:rFonts w:cstheme="minorHAnsi"/>
                <w:sz w:val="20"/>
              </w:rPr>
            </w:pPr>
            <w:r w:rsidRPr="00675182">
              <w:rPr>
                <w:rFonts w:ascii="Calibri" w:hAnsi="Calibri"/>
                <w:sz w:val="20"/>
              </w:rPr>
              <w:t>Līdz 100 tk. EUR, taču īstenojams pa kārtām</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7E9960BF" w14:textId="35AFE00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Samazināta antropogēnā slodze uz Niniera ezeru 6,9 ha platībā, apmeklētāju plūsma novirzīta atbilstoši infrastruktūras izveidei</w:t>
            </w:r>
          </w:p>
        </w:tc>
      </w:tr>
      <w:tr w:rsidR="00652586" w:rsidRPr="00675182" w14:paraId="63554458" w14:textId="77777777" w:rsidTr="00E21287">
        <w:tc>
          <w:tcPr>
            <w:tcW w:w="872" w:type="dxa"/>
            <w:tcBorders>
              <w:top w:val="single" w:sz="4" w:space="0" w:color="000000"/>
              <w:left w:val="single" w:sz="4" w:space="0" w:color="000000"/>
              <w:bottom w:val="single" w:sz="4" w:space="0" w:color="000000"/>
              <w:right w:val="nil"/>
            </w:tcBorders>
          </w:tcPr>
          <w:p w14:paraId="6B677BBC" w14:textId="4D58D95F"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w:t>
            </w:r>
            <w:r w:rsidR="006A2230" w:rsidRPr="00675182">
              <w:rPr>
                <w:rFonts w:cstheme="minorHAnsi"/>
                <w:sz w:val="20"/>
                <w:lang w:val="lv-LV"/>
              </w:rPr>
              <w:t>.</w:t>
            </w:r>
          </w:p>
        </w:tc>
        <w:tc>
          <w:tcPr>
            <w:tcW w:w="850" w:type="dxa"/>
            <w:tcBorders>
              <w:top w:val="single" w:sz="4" w:space="0" w:color="000000"/>
              <w:left w:val="single" w:sz="4" w:space="0" w:color="000000"/>
              <w:bottom w:val="single" w:sz="4" w:space="0" w:color="000000"/>
              <w:right w:val="nil"/>
            </w:tcBorders>
          </w:tcPr>
          <w:p w14:paraId="7C02CF6F"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12DCC425"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3A5D8BCB" w14:textId="362961C2" w:rsidR="00652586" w:rsidRPr="00675182" w:rsidRDefault="00652586" w:rsidP="00652586">
            <w:pPr>
              <w:pStyle w:val="naisf"/>
              <w:snapToGrid w:val="0"/>
              <w:ind w:firstLine="0"/>
              <w:jc w:val="left"/>
              <w:rPr>
                <w:rFonts w:cstheme="minorHAnsi"/>
                <w:sz w:val="20"/>
                <w:lang w:val="lv-LV"/>
              </w:rPr>
            </w:pPr>
            <w:bookmarkStart w:id="135" w:name="_Hlk83299923"/>
            <w:bookmarkStart w:id="136" w:name="_Hlk83299899"/>
            <w:r w:rsidRPr="00675182">
              <w:rPr>
                <w:rFonts w:ascii="Calibri" w:hAnsi="Calibri"/>
                <w:bCs/>
                <w:sz w:val="20"/>
                <w:lang w:val="lv-LV"/>
              </w:rPr>
              <w:t xml:space="preserve">Antropogēnās slodzes samazināšana </w:t>
            </w:r>
            <w:bookmarkEnd w:id="135"/>
            <w:r w:rsidRPr="00675182">
              <w:rPr>
                <w:rFonts w:ascii="Calibri" w:hAnsi="Calibri"/>
                <w:bCs/>
                <w:sz w:val="20"/>
                <w:lang w:val="lv-LV"/>
              </w:rPr>
              <w:t xml:space="preserve">pie </w:t>
            </w:r>
            <w:bookmarkEnd w:id="136"/>
            <w:r w:rsidRPr="00675182">
              <w:rPr>
                <w:rFonts w:ascii="Calibri" w:hAnsi="Calibri"/>
                <w:bCs/>
                <w:sz w:val="20"/>
                <w:lang w:val="lv-LV"/>
              </w:rPr>
              <w:t xml:space="preserve">Kazugravas Lībānu-Jaunzemju šūnakmens kraujas un ūdenskritumiem </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31C8C81C" w14:textId="25281215"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EB19A15" w14:textId="7BABBEC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Privātīpašnieki sadarbībā ar pašvaldību, iespējams 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7E711581" w14:textId="5363E544"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Privātīpašnieki sadarbībā ar pašvaldību</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5352FC0F" w14:textId="74BDDB2C" w:rsidR="00652586" w:rsidRPr="00675182" w:rsidRDefault="00652586" w:rsidP="00652586">
            <w:pPr>
              <w:autoSpaceDE w:val="0"/>
              <w:snapToGrid w:val="0"/>
              <w:rPr>
                <w:rFonts w:cstheme="minorHAnsi"/>
                <w:sz w:val="20"/>
              </w:rPr>
            </w:pPr>
            <w:r w:rsidRPr="00675182">
              <w:rPr>
                <w:rFonts w:ascii="Calibri" w:hAnsi="Calibri"/>
                <w:sz w:val="20"/>
              </w:rPr>
              <w:t>&gt;50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319CB194" w14:textId="0F09F639"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 xml:space="preserve">Izveidota antropogēno slodzi mazinoša dabas taka 800 m garumā ar saistīto infrastruktūru </w:t>
            </w:r>
          </w:p>
        </w:tc>
      </w:tr>
      <w:tr w:rsidR="00652586" w:rsidRPr="00675182" w14:paraId="3525DB1E" w14:textId="77777777" w:rsidTr="00E21287">
        <w:tc>
          <w:tcPr>
            <w:tcW w:w="872" w:type="dxa"/>
            <w:tcBorders>
              <w:top w:val="single" w:sz="4" w:space="0" w:color="000000"/>
              <w:left w:val="single" w:sz="4" w:space="0" w:color="000000"/>
              <w:bottom w:val="single" w:sz="4" w:space="0" w:color="000000"/>
              <w:right w:val="nil"/>
            </w:tcBorders>
          </w:tcPr>
          <w:p w14:paraId="592BCC0B" w14:textId="6497DDB6"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D.2.3</w:t>
            </w:r>
            <w:r w:rsidR="006A2230" w:rsidRPr="00675182">
              <w:rPr>
                <w:rFonts w:cstheme="minorHAnsi"/>
                <w:sz w:val="20"/>
                <w:lang w:val="lv-LV"/>
              </w:rPr>
              <w:t>.</w:t>
            </w:r>
          </w:p>
        </w:tc>
        <w:tc>
          <w:tcPr>
            <w:tcW w:w="850" w:type="dxa"/>
            <w:tcBorders>
              <w:top w:val="single" w:sz="4" w:space="0" w:color="000000"/>
              <w:left w:val="single" w:sz="4" w:space="0" w:color="000000"/>
              <w:bottom w:val="single" w:sz="4" w:space="0" w:color="000000"/>
              <w:right w:val="nil"/>
            </w:tcBorders>
          </w:tcPr>
          <w:p w14:paraId="003FA74E"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2501FEA1"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58922F2B" w14:textId="4F9184AA"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Dāvida dzirnavu avotu piekļuves labiekārtojums</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7B287430" w14:textId="0C306918"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9FE4109" w14:textId="01EEFB6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Latvijas Lauksaimniecības universitāte</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A11C9D1" w14:textId="7047F3C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Latvijas Lauksaimniecības universitāte</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67781EB4" w14:textId="1244D0A4" w:rsidR="00652586" w:rsidRPr="00675182" w:rsidRDefault="00652586" w:rsidP="00652586">
            <w:pPr>
              <w:autoSpaceDE w:val="0"/>
              <w:snapToGrid w:val="0"/>
              <w:rPr>
                <w:rFonts w:cstheme="minorHAnsi"/>
                <w:sz w:val="20"/>
              </w:rPr>
            </w:pPr>
            <w:r w:rsidRPr="00675182">
              <w:rPr>
                <w:rFonts w:ascii="Calibri" w:hAnsi="Calibri"/>
                <w:sz w:val="20"/>
              </w:rPr>
              <w:t>Līdz 20 tk. EUR, taču īstenojams pa kārtām</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063EE00C" w14:textId="554AEAC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Izveidota antropogēno slodzi mazinoša infrastruktūra 0,46 ha platībā - izvietotas informatīvās zīmes, labiekārtota skatu platforma, uzstādītas laipas pie avotiem</w:t>
            </w:r>
          </w:p>
        </w:tc>
      </w:tr>
      <w:tr w:rsidR="00652586" w:rsidRPr="00675182" w14:paraId="58115439" w14:textId="77777777" w:rsidTr="00E21287">
        <w:tc>
          <w:tcPr>
            <w:tcW w:w="872" w:type="dxa"/>
            <w:tcBorders>
              <w:top w:val="single" w:sz="4" w:space="0" w:color="000000"/>
              <w:left w:val="single" w:sz="4" w:space="0" w:color="000000"/>
              <w:bottom w:val="single" w:sz="4" w:space="0" w:color="000000"/>
              <w:right w:val="nil"/>
            </w:tcBorders>
          </w:tcPr>
          <w:p w14:paraId="0853CE91" w14:textId="312184E8"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D.2.4</w:t>
            </w:r>
            <w:r w:rsidR="006A2230" w:rsidRPr="00675182">
              <w:rPr>
                <w:rFonts w:cstheme="minorHAnsi"/>
                <w:sz w:val="20"/>
                <w:lang w:val="lv-LV"/>
              </w:rPr>
              <w:t>.</w:t>
            </w:r>
          </w:p>
        </w:tc>
        <w:tc>
          <w:tcPr>
            <w:tcW w:w="850" w:type="dxa"/>
            <w:tcBorders>
              <w:top w:val="single" w:sz="4" w:space="0" w:color="000000"/>
              <w:left w:val="single" w:sz="4" w:space="0" w:color="000000"/>
              <w:bottom w:val="single" w:sz="4" w:space="0" w:color="000000"/>
              <w:right w:val="nil"/>
            </w:tcBorders>
          </w:tcPr>
          <w:p w14:paraId="12283ACA"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2C640E02"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157A262A" w14:textId="4F3506D6" w:rsidR="00652586" w:rsidRPr="00675182" w:rsidRDefault="00652586" w:rsidP="00652586">
            <w:pPr>
              <w:pStyle w:val="naisf"/>
              <w:snapToGrid w:val="0"/>
              <w:ind w:firstLine="0"/>
              <w:jc w:val="left"/>
              <w:rPr>
                <w:rFonts w:cstheme="minorHAnsi"/>
                <w:sz w:val="20"/>
                <w:lang w:val="lv-LV"/>
              </w:rPr>
            </w:pPr>
            <w:bookmarkStart w:id="137" w:name="_Hlk99466088"/>
            <w:r w:rsidRPr="00675182">
              <w:rPr>
                <w:rFonts w:ascii="Calibri" w:hAnsi="Calibri"/>
                <w:bCs/>
                <w:sz w:val="20"/>
                <w:lang w:val="lv-LV"/>
              </w:rPr>
              <w:t>Tūrisma infrastruktūras uzlabošana pie Ērgļu klintīm</w:t>
            </w:r>
            <w:bookmarkEnd w:id="137"/>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0A16DF05" w14:textId="760173D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2A767A6A" w14:textId="0FB60E8A"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1E4305CF" w14:textId="1A1F96CA"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0C428CC0" w14:textId="182A92D9" w:rsidR="00652586" w:rsidRPr="00675182" w:rsidRDefault="00652586" w:rsidP="00652586">
            <w:pPr>
              <w:autoSpaceDE w:val="0"/>
              <w:snapToGrid w:val="0"/>
              <w:rPr>
                <w:rFonts w:cstheme="minorHAnsi"/>
                <w:sz w:val="20"/>
              </w:rPr>
            </w:pPr>
            <w:r w:rsidRPr="00675182">
              <w:rPr>
                <w:rFonts w:ascii="Calibri" w:hAnsi="Calibri"/>
                <w:sz w:val="20"/>
              </w:rPr>
              <w:t>Līdz 30 tk. EUR, īstenojams pa kārtām</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701E5E37" w14:textId="07F82C43"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Labiekārtots 100 m posms no stāvlaukuma līdz meža ceļam, kur novērojama lielākā antropogēnā slodze uz zemsedzes izmīdīšanu, labiekārtota stāvlaukumam pieguļošā teritorija</w:t>
            </w:r>
          </w:p>
        </w:tc>
      </w:tr>
      <w:tr w:rsidR="00652586" w:rsidRPr="00675182" w14:paraId="4F69D2D4" w14:textId="77777777" w:rsidTr="00E21287">
        <w:tc>
          <w:tcPr>
            <w:tcW w:w="872" w:type="dxa"/>
            <w:tcBorders>
              <w:top w:val="single" w:sz="4" w:space="0" w:color="000000"/>
              <w:left w:val="single" w:sz="4" w:space="0" w:color="000000"/>
              <w:bottom w:val="single" w:sz="4" w:space="0" w:color="000000"/>
              <w:right w:val="nil"/>
            </w:tcBorders>
          </w:tcPr>
          <w:p w14:paraId="2BD8EC72" w14:textId="6DF4806F"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D.2.5</w:t>
            </w:r>
            <w:r w:rsidR="006A2230" w:rsidRPr="00675182">
              <w:rPr>
                <w:rFonts w:cstheme="minorHAnsi"/>
                <w:sz w:val="20"/>
                <w:lang w:val="lv-LV"/>
              </w:rPr>
              <w:t>.</w:t>
            </w:r>
          </w:p>
        </w:tc>
        <w:tc>
          <w:tcPr>
            <w:tcW w:w="850" w:type="dxa"/>
            <w:tcBorders>
              <w:top w:val="single" w:sz="4" w:space="0" w:color="000000"/>
              <w:left w:val="single" w:sz="4" w:space="0" w:color="000000"/>
              <w:bottom w:val="single" w:sz="4" w:space="0" w:color="000000"/>
              <w:right w:val="nil"/>
            </w:tcBorders>
          </w:tcPr>
          <w:p w14:paraId="3BF38DCF"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0994011D"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B.2.</w:t>
            </w:r>
          </w:p>
          <w:p w14:paraId="0DFB70E2"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02263C30" w14:textId="1EA2D1D2"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Takas posma virs Sietiņieža labiekārtošana</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0FDFA5C1" w14:textId="395C0D25"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1E685F4" w14:textId="5AF480B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53ADABE5" w14:textId="0024328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48A84A41" w14:textId="1CCC46E5" w:rsidR="00652586" w:rsidRPr="00675182" w:rsidRDefault="00652586" w:rsidP="00652586">
            <w:pPr>
              <w:autoSpaceDE w:val="0"/>
              <w:snapToGrid w:val="0"/>
              <w:rPr>
                <w:rFonts w:cstheme="minorHAnsi"/>
                <w:sz w:val="20"/>
              </w:rPr>
            </w:pPr>
            <w:r w:rsidRPr="00675182">
              <w:rPr>
                <w:rFonts w:ascii="Calibri" w:hAnsi="Calibri"/>
                <w:sz w:val="20"/>
              </w:rPr>
              <w:t>Līdz 30 tk. EUR, īstenojams pa kārtām</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7B358630" w14:textId="6330C717"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Labiekārtots~  415 m posms kalna galā virs Sietiņieža, kur novērojama lielākā antropogēnā slodze uz zemsedzes izmīdīšanu</w:t>
            </w:r>
            <w:r w:rsidR="00C74E47" w:rsidRPr="00675182">
              <w:rPr>
                <w:rFonts w:ascii="Calibri" w:hAnsi="Calibri"/>
                <w:sz w:val="20"/>
                <w:lang w:val="lv-LV"/>
              </w:rPr>
              <w:t>. Uzturēta Sietiņieža piekļuve no upes puses, izvietota norāde “Sietiņiezis”, uzturētas kāpnes, ieviests risinājums laivu piesiešanai.</w:t>
            </w:r>
          </w:p>
        </w:tc>
      </w:tr>
      <w:tr w:rsidR="00652586" w:rsidRPr="00675182" w14:paraId="4B0A9D33" w14:textId="77777777" w:rsidTr="00E21287">
        <w:tc>
          <w:tcPr>
            <w:tcW w:w="872" w:type="dxa"/>
            <w:tcBorders>
              <w:top w:val="single" w:sz="4" w:space="0" w:color="000000"/>
              <w:left w:val="single" w:sz="4" w:space="0" w:color="000000"/>
              <w:bottom w:val="single" w:sz="4" w:space="0" w:color="000000"/>
              <w:right w:val="nil"/>
            </w:tcBorders>
          </w:tcPr>
          <w:p w14:paraId="29C9DE5E"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D.2.6</w:t>
            </w:r>
          </w:p>
        </w:tc>
        <w:tc>
          <w:tcPr>
            <w:tcW w:w="850" w:type="dxa"/>
            <w:tcBorders>
              <w:top w:val="single" w:sz="4" w:space="0" w:color="000000"/>
              <w:left w:val="single" w:sz="4" w:space="0" w:color="000000"/>
              <w:bottom w:val="single" w:sz="4" w:space="0" w:color="000000"/>
              <w:right w:val="nil"/>
            </w:tcBorders>
          </w:tcPr>
          <w:p w14:paraId="40647D56"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6A292721"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47CF037D" w14:textId="4E3C1531"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 xml:space="preserve">Takas posma Līču-Laņģu klinšu takā labiekārtojums, mālu karjera posma pārvirzīšana, taku tīkla </w:t>
            </w:r>
            <w:r w:rsidRPr="00675182">
              <w:rPr>
                <w:rFonts w:ascii="Calibri" w:hAnsi="Calibri"/>
                <w:bCs/>
                <w:sz w:val="20"/>
                <w:lang w:val="lv-LV"/>
              </w:rPr>
              <w:lastRenderedPageBreak/>
              <w:t>papildināšana Lielās Ellītes virzienā</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6BC5BED4" w14:textId="6693B68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lastRenderedPageBreak/>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C36C4DA" w14:textId="5FF92F67"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Gaujas NP fonds (iespējamais piesaistītais finansējums no stāvvietu maksas)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7C2AA028" w14:textId="0A80A22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0A4F0AE2" w14:textId="5F8917D1" w:rsidR="00652586" w:rsidRPr="00675182" w:rsidRDefault="00652586" w:rsidP="00652586">
            <w:pPr>
              <w:autoSpaceDE w:val="0"/>
              <w:snapToGrid w:val="0"/>
              <w:rPr>
                <w:rFonts w:cstheme="minorHAnsi"/>
                <w:sz w:val="20"/>
              </w:rPr>
            </w:pPr>
            <w:r w:rsidRPr="00675182">
              <w:rPr>
                <w:rFonts w:ascii="Calibri" w:hAnsi="Calibri"/>
                <w:sz w:val="20"/>
              </w:rPr>
              <w:t>Līdz 30 tk. EUR, īstenojams pa kārtām</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15612665" w14:textId="6EB96AE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 xml:space="preserve">Pārvirzīta takas daļa 490 m garumā pie mālu karjera nogāzes, ierīkots labiekārtojums stāvākajās un dubļainākajās nogāzēs </w:t>
            </w:r>
            <w:r w:rsidRPr="00675182">
              <w:rPr>
                <w:rFonts w:ascii="Calibri" w:hAnsi="Calibri"/>
                <w:sz w:val="20"/>
                <w:lang w:val="lv-LV"/>
              </w:rPr>
              <w:lastRenderedPageBreak/>
              <w:t>līdz klintīm, taka savienota ar Lielo Ellīti</w:t>
            </w:r>
          </w:p>
        </w:tc>
      </w:tr>
      <w:tr w:rsidR="00864E55" w:rsidRPr="00675182" w14:paraId="74EBFE26" w14:textId="77777777" w:rsidTr="00E21287">
        <w:tc>
          <w:tcPr>
            <w:tcW w:w="872" w:type="dxa"/>
            <w:tcBorders>
              <w:top w:val="single" w:sz="4" w:space="0" w:color="000000"/>
              <w:left w:val="single" w:sz="4" w:space="0" w:color="000000"/>
              <w:bottom w:val="single" w:sz="4" w:space="0" w:color="000000"/>
              <w:right w:val="nil"/>
            </w:tcBorders>
          </w:tcPr>
          <w:p w14:paraId="713D8351" w14:textId="77777777" w:rsidR="00864E55" w:rsidRPr="00675182" w:rsidRDefault="00864E55" w:rsidP="00864E5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D.2.7</w:t>
            </w:r>
          </w:p>
        </w:tc>
        <w:tc>
          <w:tcPr>
            <w:tcW w:w="850" w:type="dxa"/>
            <w:tcBorders>
              <w:top w:val="single" w:sz="4" w:space="0" w:color="000000"/>
              <w:left w:val="single" w:sz="4" w:space="0" w:color="000000"/>
              <w:bottom w:val="single" w:sz="4" w:space="0" w:color="000000"/>
              <w:right w:val="nil"/>
            </w:tcBorders>
          </w:tcPr>
          <w:p w14:paraId="5FE3B9CD"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D.1.</w:t>
            </w:r>
          </w:p>
          <w:p w14:paraId="3E5BE59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B.2.</w:t>
            </w:r>
          </w:p>
          <w:p w14:paraId="6683657C"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59D93683" w14:textId="77777777" w:rsidR="00864E55" w:rsidRPr="00675182" w:rsidRDefault="00864E55" w:rsidP="00864E55">
            <w:pPr>
              <w:pStyle w:val="naisf"/>
              <w:snapToGrid w:val="0"/>
              <w:ind w:firstLine="0"/>
              <w:jc w:val="left"/>
              <w:rPr>
                <w:rFonts w:cstheme="minorHAnsi"/>
                <w:sz w:val="20"/>
                <w:lang w:val="lv-LV"/>
              </w:rPr>
            </w:pPr>
            <w:r w:rsidRPr="00675182">
              <w:rPr>
                <w:rFonts w:cstheme="minorHAnsi"/>
                <w:bCs/>
                <w:sz w:val="20"/>
                <w:lang w:val="lv-LV"/>
              </w:rPr>
              <w:t>Takas atjaunošana Ainavu kraujā</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7D0D3214"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E471815"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873D059"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5E0C9D67" w14:textId="1800A3C0" w:rsidR="00864E55" w:rsidRPr="00675182" w:rsidRDefault="00652586" w:rsidP="00864E55">
            <w:pPr>
              <w:autoSpaceDE w:val="0"/>
              <w:snapToGrid w:val="0"/>
              <w:rPr>
                <w:rFonts w:cstheme="minorHAnsi"/>
                <w:sz w:val="20"/>
              </w:rPr>
            </w:pPr>
            <w:r w:rsidRPr="00675182">
              <w:rPr>
                <w:rFonts w:ascii="Calibri" w:hAnsi="Calibri"/>
                <w:sz w:val="20"/>
              </w:rPr>
              <w:t>Līdz 20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24FF65AA" w14:textId="77777777" w:rsidR="00864E55" w:rsidRPr="00675182" w:rsidRDefault="00864E55" w:rsidP="00864E55">
            <w:pPr>
              <w:pStyle w:val="naisf"/>
              <w:snapToGrid w:val="0"/>
              <w:spacing w:before="0" w:after="0"/>
              <w:ind w:firstLine="0"/>
              <w:jc w:val="left"/>
              <w:rPr>
                <w:rFonts w:cstheme="minorHAnsi"/>
                <w:sz w:val="20"/>
                <w:lang w:val="lv-LV"/>
              </w:rPr>
            </w:pPr>
            <w:r w:rsidRPr="00675182">
              <w:rPr>
                <w:rFonts w:cstheme="minorHAnsi"/>
                <w:sz w:val="20"/>
                <w:lang w:val="lv-LV"/>
              </w:rPr>
              <w:t>Izvākti nolietotie takas infrastruktūras elementi, atjaunoti antropogēnās slodzes ietekmē vairāk cietušie takas posmi. Kopējais takas posms, kur nepieciešama atjaunošana – 315 m</w:t>
            </w:r>
          </w:p>
        </w:tc>
      </w:tr>
      <w:tr w:rsidR="00652586" w:rsidRPr="00675182" w14:paraId="48668210" w14:textId="77777777" w:rsidTr="00E21287">
        <w:tc>
          <w:tcPr>
            <w:tcW w:w="872" w:type="dxa"/>
            <w:tcBorders>
              <w:top w:val="single" w:sz="4" w:space="0" w:color="000000"/>
              <w:left w:val="single" w:sz="4" w:space="0" w:color="000000"/>
              <w:bottom w:val="single" w:sz="4" w:space="0" w:color="000000"/>
              <w:right w:val="nil"/>
            </w:tcBorders>
          </w:tcPr>
          <w:p w14:paraId="1C81FE61"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D.2.8.</w:t>
            </w:r>
          </w:p>
        </w:tc>
        <w:tc>
          <w:tcPr>
            <w:tcW w:w="850" w:type="dxa"/>
            <w:tcBorders>
              <w:top w:val="single" w:sz="4" w:space="0" w:color="000000"/>
              <w:left w:val="single" w:sz="4" w:space="0" w:color="000000"/>
              <w:bottom w:val="single" w:sz="4" w:space="0" w:color="000000"/>
              <w:right w:val="nil"/>
            </w:tcBorders>
          </w:tcPr>
          <w:p w14:paraId="42088B68"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 B.2.</w:t>
            </w:r>
          </w:p>
          <w:p w14:paraId="5CD8E926"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087544E1" w14:textId="5CA8ACC7" w:rsidR="00652586" w:rsidRPr="00675182" w:rsidRDefault="00652586" w:rsidP="00652586">
            <w:pPr>
              <w:pStyle w:val="naisf"/>
              <w:snapToGrid w:val="0"/>
              <w:ind w:firstLine="0"/>
              <w:jc w:val="left"/>
              <w:rPr>
                <w:rFonts w:cstheme="minorHAnsi"/>
                <w:bCs/>
                <w:sz w:val="20"/>
                <w:lang w:val="lv-LV"/>
              </w:rPr>
            </w:pPr>
            <w:r w:rsidRPr="00675182">
              <w:rPr>
                <w:rFonts w:ascii="Calibri" w:hAnsi="Calibri"/>
                <w:bCs/>
                <w:sz w:val="20"/>
                <w:lang w:val="lv-LV"/>
              </w:rPr>
              <w:t>Vējupītes gravas šķērsojuma sakārtošana starp televīzijas torni un Daudas ielu</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15E018B3" w14:textId="6A32213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51203DE7" w14:textId="37DBC7A8"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CF3AD91" w14:textId="322637A7"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0B568E0A" w14:textId="3463370F" w:rsidR="00652586" w:rsidRPr="00675182" w:rsidRDefault="00652586" w:rsidP="00652586">
            <w:pPr>
              <w:autoSpaceDE w:val="0"/>
              <w:snapToGrid w:val="0"/>
              <w:rPr>
                <w:rFonts w:cstheme="minorHAnsi"/>
                <w:sz w:val="20"/>
              </w:rPr>
            </w:pPr>
            <w:r w:rsidRPr="00675182">
              <w:rPr>
                <w:rFonts w:ascii="Calibri" w:hAnsi="Calibri"/>
                <w:sz w:val="20"/>
              </w:rPr>
              <w:t>Līdz 15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1293BA80" w14:textId="15304A9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Izveidota infrastruktūra stihiskās takas vietā, infrastruktūra tiek uzturēta kompleksi ar Vējupītes ūdenskrituma takām ārpus GNP robežas.</w:t>
            </w:r>
          </w:p>
        </w:tc>
      </w:tr>
      <w:tr w:rsidR="00652586" w:rsidRPr="00675182" w14:paraId="2AE48788" w14:textId="77777777" w:rsidTr="00E21287">
        <w:tc>
          <w:tcPr>
            <w:tcW w:w="872" w:type="dxa"/>
            <w:tcBorders>
              <w:top w:val="single" w:sz="4" w:space="0" w:color="000000"/>
              <w:left w:val="single" w:sz="4" w:space="0" w:color="000000"/>
              <w:bottom w:val="single" w:sz="4" w:space="0" w:color="000000"/>
              <w:right w:val="nil"/>
            </w:tcBorders>
          </w:tcPr>
          <w:p w14:paraId="1F98772E"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D.2.9</w:t>
            </w:r>
          </w:p>
        </w:tc>
        <w:tc>
          <w:tcPr>
            <w:tcW w:w="850" w:type="dxa"/>
            <w:tcBorders>
              <w:top w:val="single" w:sz="4" w:space="0" w:color="000000"/>
              <w:left w:val="single" w:sz="4" w:space="0" w:color="000000"/>
              <w:bottom w:val="single" w:sz="4" w:space="0" w:color="000000"/>
              <w:right w:val="nil"/>
            </w:tcBorders>
          </w:tcPr>
          <w:p w14:paraId="3720F19C"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 B.2.</w:t>
            </w:r>
          </w:p>
          <w:p w14:paraId="05E1B59B"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3F00BD2C" w14:textId="0C30C202"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Antropogēnās slodzes samazināšana pie Daudas ūdenskrituma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1A660DDD" w14:textId="2BE87338"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582E98B2" w14:textId="7B93F75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Privātie īpašnieki,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0EA4D476" w14:textId="35E4DE97"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Privātie īpašnieki,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47766A4" w14:textId="23803834" w:rsidR="00652586" w:rsidRPr="00675182" w:rsidRDefault="00652586" w:rsidP="00652586">
            <w:pPr>
              <w:autoSpaceDE w:val="0"/>
              <w:snapToGrid w:val="0"/>
              <w:rPr>
                <w:rFonts w:cstheme="minorHAnsi"/>
                <w:sz w:val="20"/>
              </w:rPr>
            </w:pPr>
            <w:r w:rsidRPr="00675182">
              <w:rPr>
                <w:rFonts w:ascii="Calibri" w:hAnsi="Calibri"/>
                <w:sz w:val="20"/>
              </w:rPr>
              <w:t>Līdz 15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53A98F1F" w14:textId="4FFC468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Labiekārtota teritorija 0,45 ha platībā, nodrošinot pieeju līdz ūdenskritumam, izbūvēta droša kabatas veida autostāvvieta V83 ceļa malā</w:t>
            </w:r>
          </w:p>
        </w:tc>
      </w:tr>
      <w:tr w:rsidR="00652586" w:rsidRPr="00675182" w14:paraId="41B9519A" w14:textId="77777777" w:rsidTr="00E21287">
        <w:tc>
          <w:tcPr>
            <w:tcW w:w="872" w:type="dxa"/>
            <w:tcBorders>
              <w:top w:val="single" w:sz="4" w:space="0" w:color="000000"/>
              <w:left w:val="single" w:sz="4" w:space="0" w:color="000000"/>
              <w:bottom w:val="single" w:sz="4" w:space="0" w:color="000000"/>
              <w:right w:val="nil"/>
            </w:tcBorders>
          </w:tcPr>
          <w:p w14:paraId="1C303C22"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D.2.10</w:t>
            </w:r>
          </w:p>
        </w:tc>
        <w:tc>
          <w:tcPr>
            <w:tcW w:w="850" w:type="dxa"/>
            <w:tcBorders>
              <w:top w:val="single" w:sz="4" w:space="0" w:color="000000"/>
              <w:left w:val="single" w:sz="4" w:space="0" w:color="000000"/>
              <w:bottom w:val="single" w:sz="4" w:space="0" w:color="000000"/>
              <w:right w:val="nil"/>
            </w:tcBorders>
          </w:tcPr>
          <w:p w14:paraId="017FA206"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1877601A"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B.2.</w:t>
            </w:r>
          </w:p>
        </w:tc>
        <w:tc>
          <w:tcPr>
            <w:tcW w:w="2670" w:type="dxa"/>
            <w:tcBorders>
              <w:top w:val="single" w:sz="4" w:space="0" w:color="000000"/>
              <w:left w:val="single" w:sz="4" w:space="0" w:color="000000"/>
              <w:bottom w:val="single" w:sz="4" w:space="0" w:color="000000"/>
              <w:right w:val="nil"/>
            </w:tcBorders>
          </w:tcPr>
          <w:p w14:paraId="36AE8776" w14:textId="2020AC82"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Antropogēnās slodzes samazināšana pie Mazās Ellītes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608F79D1" w14:textId="6BB6B16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7B413511" w14:textId="12523C9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Privātie īpašnieki,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0F9DCDD5" w14:textId="0D7E8585"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Privātie īpašnieki,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33EE1336" w14:textId="0767FEF6" w:rsidR="00652586" w:rsidRPr="00675182" w:rsidRDefault="00652586" w:rsidP="00652586">
            <w:pPr>
              <w:autoSpaceDE w:val="0"/>
              <w:snapToGrid w:val="0"/>
              <w:rPr>
                <w:rFonts w:cstheme="minorHAnsi"/>
                <w:sz w:val="20"/>
              </w:rPr>
            </w:pPr>
            <w:r w:rsidRPr="00675182">
              <w:rPr>
                <w:rFonts w:ascii="Calibri" w:hAnsi="Calibri"/>
                <w:sz w:val="20"/>
              </w:rPr>
              <w:t>Līdz 20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F63C63F" w14:textId="6E148CA9"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Labiekārtota stāvā noeja līdz alai/avotam, izveidota neliela atpūtas vieta. Labiekārtojamā teritorija – 1,4 ha platībā. Marķēta un uzturēta taka starp stāvvietu un Mazo Ellīti, savienojums ar Liepasmuižu ~0,5 km garumā.</w:t>
            </w:r>
          </w:p>
        </w:tc>
      </w:tr>
      <w:tr w:rsidR="00652586" w:rsidRPr="00675182" w14:paraId="688B3816" w14:textId="77777777" w:rsidTr="00E21287">
        <w:tc>
          <w:tcPr>
            <w:tcW w:w="872" w:type="dxa"/>
            <w:tcBorders>
              <w:top w:val="single" w:sz="4" w:space="0" w:color="000000"/>
              <w:left w:val="single" w:sz="4" w:space="0" w:color="000000"/>
              <w:bottom w:val="single" w:sz="4" w:space="0" w:color="000000"/>
              <w:right w:val="nil"/>
            </w:tcBorders>
          </w:tcPr>
          <w:p w14:paraId="7D7C5E4D"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D.2.11</w:t>
            </w:r>
          </w:p>
        </w:tc>
        <w:tc>
          <w:tcPr>
            <w:tcW w:w="850" w:type="dxa"/>
            <w:tcBorders>
              <w:top w:val="single" w:sz="4" w:space="0" w:color="000000"/>
              <w:left w:val="single" w:sz="4" w:space="0" w:color="000000"/>
              <w:bottom w:val="single" w:sz="4" w:space="0" w:color="000000"/>
              <w:right w:val="nil"/>
            </w:tcBorders>
          </w:tcPr>
          <w:p w14:paraId="273ABC9D"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1362AAA1"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right w:val="nil"/>
            </w:tcBorders>
          </w:tcPr>
          <w:p w14:paraId="4B38A2ED" w14:textId="32143E0B"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Infrastruktūras pilnveide ūdenstūristu apmetņu tīklojumā (piekļuves, laivu ielaišanas un izvilkšanas vietas, atpūtas vietas) pie Gaujas un tās pietekām, kas piemērotas (tiek izmantotas) ūdenstūrismam (sk. plūsmu plānu)</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56CF4007" w14:textId="18F636F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67D835E4" w14:textId="6D97E2A4"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6C985480" w14:textId="52CFBC1A"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 iesaistītie laivu nomas pakalpojumu sniedzēji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AEEA930" w14:textId="1448375E" w:rsidR="00652586" w:rsidRPr="00675182" w:rsidRDefault="00652586" w:rsidP="00652586">
            <w:pPr>
              <w:autoSpaceDE w:val="0"/>
              <w:snapToGrid w:val="0"/>
              <w:rPr>
                <w:rFonts w:cstheme="minorHAnsi"/>
                <w:sz w:val="20"/>
              </w:rPr>
            </w:pPr>
            <w:r w:rsidRPr="00675182">
              <w:rPr>
                <w:rFonts w:ascii="Calibri" w:hAnsi="Calibri"/>
                <w:sz w:val="20"/>
              </w:rPr>
              <w:t>Līdz 100 tk. EUR, īstenojams pa kārtām</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20DD657D" w14:textId="33014B7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Nodrošināta optimāla ūdenstūrisma infrastruktūra atbilstoši sezonālajai noslodzei</w:t>
            </w:r>
          </w:p>
        </w:tc>
      </w:tr>
      <w:tr w:rsidR="00652586" w:rsidRPr="00675182" w14:paraId="74EA3548" w14:textId="77777777" w:rsidTr="00E21287">
        <w:tc>
          <w:tcPr>
            <w:tcW w:w="872" w:type="dxa"/>
            <w:tcBorders>
              <w:top w:val="single" w:sz="4" w:space="0" w:color="000000"/>
              <w:left w:val="single" w:sz="4" w:space="0" w:color="000000"/>
              <w:bottom w:val="single" w:sz="4" w:space="0" w:color="000000"/>
              <w:right w:val="nil"/>
            </w:tcBorders>
          </w:tcPr>
          <w:p w14:paraId="3FF38F5D"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D.2.12</w:t>
            </w:r>
          </w:p>
        </w:tc>
        <w:tc>
          <w:tcPr>
            <w:tcW w:w="850" w:type="dxa"/>
            <w:tcBorders>
              <w:top w:val="single" w:sz="4" w:space="0" w:color="000000"/>
              <w:left w:val="single" w:sz="4" w:space="0" w:color="000000"/>
              <w:bottom w:val="single" w:sz="4" w:space="0" w:color="000000"/>
              <w:right w:val="nil"/>
            </w:tcBorders>
          </w:tcPr>
          <w:p w14:paraId="7DCFC7C9"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27306487"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C.2.</w:t>
            </w:r>
          </w:p>
        </w:tc>
        <w:tc>
          <w:tcPr>
            <w:tcW w:w="2670" w:type="dxa"/>
            <w:tcBorders>
              <w:top w:val="single" w:sz="4" w:space="0" w:color="000000"/>
              <w:left w:val="single" w:sz="4" w:space="0" w:color="000000"/>
              <w:bottom w:val="single" w:sz="4" w:space="0" w:color="000000"/>
              <w:right w:val="nil"/>
            </w:tcBorders>
          </w:tcPr>
          <w:p w14:paraId="068D6849" w14:textId="4E59E07A"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Kubeseles dabas un vēstures takas labiekārtošana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79E678CE" w14:textId="12C3F78E"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19B57132" w14:textId="32AAE374"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60C45677" w14:textId="3E578B04"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736021F" w14:textId="3931045B" w:rsidR="00652586" w:rsidRPr="00675182" w:rsidRDefault="00652586" w:rsidP="00652586">
            <w:pPr>
              <w:autoSpaceDE w:val="0"/>
              <w:snapToGrid w:val="0"/>
              <w:rPr>
                <w:rFonts w:cstheme="minorHAnsi"/>
                <w:sz w:val="20"/>
              </w:rPr>
            </w:pPr>
            <w:r w:rsidRPr="00675182">
              <w:rPr>
                <w:rFonts w:ascii="Calibri" w:hAnsi="Calibri"/>
                <w:sz w:val="20"/>
              </w:rPr>
              <w:t>Līdz 30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1DFC58DF" w14:textId="751F5F4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Mazināta antropogēnā slodze, uzlabojot labiekārtojumu kritiskajās vietās</w:t>
            </w:r>
          </w:p>
        </w:tc>
      </w:tr>
      <w:tr w:rsidR="00652586" w:rsidRPr="00675182" w14:paraId="4103F66E" w14:textId="77777777" w:rsidTr="00E21287">
        <w:tc>
          <w:tcPr>
            <w:tcW w:w="872" w:type="dxa"/>
            <w:tcBorders>
              <w:top w:val="single" w:sz="4" w:space="0" w:color="000000"/>
              <w:left w:val="single" w:sz="4" w:space="0" w:color="000000"/>
              <w:bottom w:val="single" w:sz="4" w:space="0" w:color="000000"/>
              <w:right w:val="nil"/>
            </w:tcBorders>
          </w:tcPr>
          <w:p w14:paraId="580AF5EE"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D.2.13</w:t>
            </w:r>
          </w:p>
        </w:tc>
        <w:tc>
          <w:tcPr>
            <w:tcW w:w="850" w:type="dxa"/>
            <w:tcBorders>
              <w:top w:val="single" w:sz="4" w:space="0" w:color="000000"/>
              <w:left w:val="single" w:sz="4" w:space="0" w:color="000000"/>
              <w:bottom w:val="single" w:sz="4" w:space="0" w:color="000000"/>
              <w:right w:val="nil"/>
            </w:tcBorders>
          </w:tcPr>
          <w:p w14:paraId="37897F28"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30DFF740"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D.2.</w:t>
            </w:r>
          </w:p>
        </w:tc>
        <w:tc>
          <w:tcPr>
            <w:tcW w:w="2670" w:type="dxa"/>
            <w:tcBorders>
              <w:top w:val="single" w:sz="4" w:space="0" w:color="000000"/>
              <w:left w:val="single" w:sz="4" w:space="0" w:color="000000"/>
              <w:bottom w:val="single" w:sz="4" w:space="0" w:color="000000"/>
              <w:right w:val="nil"/>
            </w:tcBorders>
          </w:tcPr>
          <w:p w14:paraId="1B1D244D" w14:textId="1774E6B7"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Zirgu taku tīklojuma izveide Augšlīgatnē un pie Jumaras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8064D7A" w14:textId="41BE6D1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34D7214E" w14:textId="053EB98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C257AF6" w14:textId="2499CB2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04EB101B" w14:textId="6D4EB72E" w:rsidR="00652586" w:rsidRPr="00675182" w:rsidRDefault="00652586" w:rsidP="00652586">
            <w:pPr>
              <w:autoSpaceDE w:val="0"/>
              <w:snapToGrid w:val="0"/>
              <w:rPr>
                <w:rFonts w:cstheme="minorHAnsi"/>
                <w:sz w:val="20"/>
              </w:rPr>
            </w:pPr>
            <w:r w:rsidRPr="00675182">
              <w:rPr>
                <w:rFonts w:ascii="Calibri" w:hAnsi="Calibri"/>
                <w:sz w:val="20"/>
              </w:rPr>
              <w:t>~16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8D57C07" w14:textId="5DCE69E4"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Izveidotas un marķētas takas ~7,4 km garumā</w:t>
            </w:r>
          </w:p>
        </w:tc>
      </w:tr>
      <w:tr w:rsidR="00652586" w:rsidRPr="00675182" w14:paraId="0359815E" w14:textId="77777777" w:rsidTr="00E21287">
        <w:tc>
          <w:tcPr>
            <w:tcW w:w="872" w:type="dxa"/>
            <w:tcBorders>
              <w:top w:val="single" w:sz="4" w:space="0" w:color="000000"/>
              <w:left w:val="single" w:sz="4" w:space="0" w:color="000000"/>
              <w:bottom w:val="single" w:sz="4" w:space="0" w:color="000000"/>
              <w:right w:val="nil"/>
            </w:tcBorders>
          </w:tcPr>
          <w:p w14:paraId="5011A44A"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D.2.14</w:t>
            </w:r>
          </w:p>
        </w:tc>
        <w:tc>
          <w:tcPr>
            <w:tcW w:w="850" w:type="dxa"/>
            <w:tcBorders>
              <w:top w:val="single" w:sz="4" w:space="0" w:color="000000"/>
              <w:left w:val="single" w:sz="4" w:space="0" w:color="000000"/>
              <w:bottom w:val="single" w:sz="4" w:space="0" w:color="000000"/>
              <w:right w:val="nil"/>
            </w:tcBorders>
          </w:tcPr>
          <w:p w14:paraId="4FD88BEA"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417C7277"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D.2.</w:t>
            </w:r>
          </w:p>
        </w:tc>
        <w:tc>
          <w:tcPr>
            <w:tcW w:w="2670" w:type="dxa"/>
            <w:tcBorders>
              <w:top w:val="single" w:sz="4" w:space="0" w:color="000000"/>
              <w:left w:val="single" w:sz="4" w:space="0" w:color="000000"/>
              <w:bottom w:val="single" w:sz="4" w:space="0" w:color="000000"/>
              <w:right w:val="nil"/>
            </w:tcBorders>
          </w:tcPr>
          <w:p w14:paraId="5E400CA1" w14:textId="5AE92E71"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Līgatnes dabas taku koncepcijas izveide, labiekārtojuma pilnveide</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5A316EAD" w14:textId="3D736334"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356FDC28" w14:textId="4EA4A71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1F5DC74B" w14:textId="733F1D7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BB35D23" w14:textId="18A76994" w:rsidR="00652586" w:rsidRPr="00675182" w:rsidRDefault="00652586" w:rsidP="00652586">
            <w:pPr>
              <w:autoSpaceDE w:val="0"/>
              <w:snapToGrid w:val="0"/>
              <w:rPr>
                <w:rFonts w:cstheme="minorHAnsi"/>
                <w:sz w:val="20"/>
              </w:rPr>
            </w:pPr>
            <w:r w:rsidRPr="00675182">
              <w:rPr>
                <w:rFonts w:ascii="Calibri" w:hAnsi="Calibri"/>
                <w:sz w:val="20"/>
              </w:rPr>
              <w:t>Līdz 80 tk. EUR, īstenojams pa kārtām</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5B090033" w14:textId="70185EF1"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Izstrādāta Līgatnes dabas taku koncepcija, veikti uzlabojumi infrastruktūrā</w:t>
            </w:r>
          </w:p>
        </w:tc>
      </w:tr>
      <w:tr w:rsidR="00652586" w:rsidRPr="00675182" w14:paraId="0B4928CF" w14:textId="77777777" w:rsidTr="00E21287">
        <w:tc>
          <w:tcPr>
            <w:tcW w:w="872" w:type="dxa"/>
            <w:tcBorders>
              <w:top w:val="single" w:sz="4" w:space="0" w:color="000000"/>
              <w:left w:val="single" w:sz="4" w:space="0" w:color="000000"/>
              <w:bottom w:val="single" w:sz="4" w:space="0" w:color="000000"/>
              <w:right w:val="nil"/>
            </w:tcBorders>
          </w:tcPr>
          <w:p w14:paraId="1BC4A8A6"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D.2.15</w:t>
            </w:r>
          </w:p>
        </w:tc>
        <w:tc>
          <w:tcPr>
            <w:tcW w:w="850" w:type="dxa"/>
            <w:tcBorders>
              <w:top w:val="single" w:sz="4" w:space="0" w:color="000000"/>
              <w:left w:val="single" w:sz="4" w:space="0" w:color="000000"/>
              <w:bottom w:val="single" w:sz="4" w:space="0" w:color="000000"/>
              <w:right w:val="nil"/>
            </w:tcBorders>
          </w:tcPr>
          <w:p w14:paraId="6286B64E"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650CAB8B"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right w:val="nil"/>
            </w:tcBorders>
          </w:tcPr>
          <w:p w14:paraId="321DF233" w14:textId="66C90C73"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Līgatnes upes krastu un stihiski izveidoto taku tīklojuma optimizēšana Līgatnē antropogēnās slodzes mazināšanai</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1E16E49" w14:textId="05A0E123"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0050C59C" w14:textId="2CCFE70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5B9920B" w14:textId="637AF137"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B247575" w14:textId="43F883D6" w:rsidR="00652586" w:rsidRPr="00675182" w:rsidRDefault="00652586" w:rsidP="00652586">
            <w:pPr>
              <w:autoSpaceDE w:val="0"/>
              <w:snapToGrid w:val="0"/>
              <w:rPr>
                <w:rFonts w:cstheme="minorHAnsi"/>
                <w:sz w:val="20"/>
              </w:rPr>
            </w:pPr>
            <w:r w:rsidRPr="00675182">
              <w:rPr>
                <w:rFonts w:ascii="Calibri" w:hAnsi="Calibri"/>
                <w:sz w:val="20"/>
              </w:rPr>
              <w:t>Līdz 30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30BAD9FA" w14:textId="3AD5CCA9"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Izveidota un marķēta taka Lejaslīgatnē ~4,4 km garumā, sakārtota infrastruktūra pie Skaļupes avota</w:t>
            </w:r>
          </w:p>
        </w:tc>
      </w:tr>
      <w:tr w:rsidR="00652586" w:rsidRPr="00675182" w14:paraId="0627C26A" w14:textId="77777777" w:rsidTr="00E21287">
        <w:tc>
          <w:tcPr>
            <w:tcW w:w="872" w:type="dxa"/>
            <w:tcBorders>
              <w:top w:val="single" w:sz="4" w:space="0" w:color="000000"/>
              <w:left w:val="single" w:sz="4" w:space="0" w:color="000000"/>
              <w:bottom w:val="single" w:sz="4" w:space="0" w:color="000000"/>
              <w:right w:val="nil"/>
            </w:tcBorders>
          </w:tcPr>
          <w:p w14:paraId="10AF50A3"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D.2.16</w:t>
            </w:r>
          </w:p>
        </w:tc>
        <w:tc>
          <w:tcPr>
            <w:tcW w:w="850" w:type="dxa"/>
            <w:tcBorders>
              <w:top w:val="single" w:sz="4" w:space="0" w:color="000000"/>
              <w:left w:val="single" w:sz="4" w:space="0" w:color="000000"/>
              <w:bottom w:val="single" w:sz="4" w:space="0" w:color="000000"/>
              <w:right w:val="nil"/>
            </w:tcBorders>
          </w:tcPr>
          <w:p w14:paraId="30B542F9"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34D7286B"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right w:val="nil"/>
            </w:tcBorders>
          </w:tcPr>
          <w:p w14:paraId="3D36622B" w14:textId="609F8E85"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Braslas upes krastu un stihiski izveidoto taku tīklojuma optimizēšana antropogēnās slodzes mazināšanai</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6A60E888" w14:textId="6F0CF319"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22C58C3D" w14:textId="76B4D75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0FA1CA0B" w14:textId="51B42FAE"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4CD0BF38" w14:textId="7FA64C35" w:rsidR="00652586" w:rsidRPr="00675182" w:rsidRDefault="00652586" w:rsidP="00652586">
            <w:pPr>
              <w:autoSpaceDE w:val="0"/>
              <w:snapToGrid w:val="0"/>
              <w:rPr>
                <w:rFonts w:cstheme="minorHAnsi"/>
                <w:sz w:val="20"/>
              </w:rPr>
            </w:pPr>
            <w:r w:rsidRPr="00675182">
              <w:rPr>
                <w:rFonts w:ascii="Calibri" w:hAnsi="Calibri"/>
                <w:sz w:val="20"/>
              </w:rPr>
              <w:t>Līdz 100 tk. EUR. īstenojams pa kārtām</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7F449C29" w14:textId="409AF9C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 xml:space="preserve">Marķēta un uzturēta (bez papildus reklamēšanas) taka ~5 km km garumā, samazināta tūristu plūsma ārpus marķētās takas, </w:t>
            </w:r>
            <w:r w:rsidRPr="00675182">
              <w:rPr>
                <w:rFonts w:ascii="Calibri" w:hAnsi="Calibri"/>
                <w:sz w:val="20"/>
                <w:lang w:val="lv-LV"/>
              </w:rPr>
              <w:lastRenderedPageBreak/>
              <w:t>izveidota norobežojošā infrastruktūra</w:t>
            </w:r>
          </w:p>
        </w:tc>
      </w:tr>
      <w:tr w:rsidR="00652586" w:rsidRPr="00675182" w14:paraId="41A16DC9" w14:textId="77777777" w:rsidTr="00E21287">
        <w:tc>
          <w:tcPr>
            <w:tcW w:w="872" w:type="dxa"/>
            <w:tcBorders>
              <w:top w:val="single" w:sz="4" w:space="0" w:color="000000"/>
              <w:left w:val="single" w:sz="4" w:space="0" w:color="000000"/>
              <w:bottom w:val="single" w:sz="4" w:space="0" w:color="000000"/>
              <w:right w:val="nil"/>
            </w:tcBorders>
          </w:tcPr>
          <w:p w14:paraId="3E5A172D"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D.2.17</w:t>
            </w:r>
          </w:p>
        </w:tc>
        <w:tc>
          <w:tcPr>
            <w:tcW w:w="850" w:type="dxa"/>
            <w:tcBorders>
              <w:top w:val="single" w:sz="4" w:space="0" w:color="000000"/>
              <w:left w:val="single" w:sz="4" w:space="0" w:color="000000"/>
              <w:bottom w:val="single" w:sz="4" w:space="0" w:color="000000"/>
              <w:right w:val="nil"/>
            </w:tcBorders>
          </w:tcPr>
          <w:p w14:paraId="2137FBCE"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7BC3DB3C"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D.2.</w:t>
            </w:r>
          </w:p>
          <w:p w14:paraId="23BE7EFD"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5E1A82DB" w14:textId="30CC6C8C" w:rsidR="00652586" w:rsidRPr="00675182" w:rsidRDefault="00652586" w:rsidP="00652586">
            <w:pPr>
              <w:pStyle w:val="naisf"/>
              <w:snapToGrid w:val="0"/>
              <w:ind w:firstLine="0"/>
              <w:jc w:val="left"/>
              <w:rPr>
                <w:rFonts w:cstheme="minorHAnsi"/>
                <w:sz w:val="20"/>
                <w:lang w:val="lv-LV"/>
              </w:rPr>
            </w:pPr>
            <w:r w:rsidRPr="00675182">
              <w:rPr>
                <w:rFonts w:ascii="Calibri" w:hAnsi="Calibri"/>
                <w:bCs/>
                <w:sz w:val="20"/>
                <w:lang w:val="lv-LV"/>
              </w:rPr>
              <w:t>Mežtakas un vienota taku tīklojuma, prioritāro posmu labiekārtošana, uzturēšana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3A1AE852" w14:textId="48358218"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354F66AF" w14:textId="10416FEE"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pašvaldības, iesaistītās puses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422319B2" w14:textId="0C0C229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Lauku Ceļotājs, Vidzemes plānošanas reģions, AS “Latvijas valsts meži”, DAP, pašvaldība, iesaistītās puses no tūrisma nozares</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579D9E80" w14:textId="560BB114" w:rsidR="00652586" w:rsidRPr="00675182" w:rsidRDefault="00652586" w:rsidP="00652586">
            <w:pPr>
              <w:autoSpaceDE w:val="0"/>
              <w:snapToGrid w:val="0"/>
              <w:rPr>
                <w:rFonts w:cstheme="minorHAnsi"/>
                <w:sz w:val="20"/>
              </w:rPr>
            </w:pPr>
            <w:r w:rsidRPr="00675182">
              <w:rPr>
                <w:rFonts w:ascii="Calibri" w:hAnsi="Calibri"/>
                <w:sz w:val="20"/>
              </w:rPr>
              <w:t>Līdz 200 tk. EUR. īstenojams pa kārtām</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54D6705C" w14:textId="0CDD693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Ieviests funkcionāls un precīzi segmentēts dabas taku tīklojums ar mērķtiecīgāku apmeklētāju plūsmas vadību</w:t>
            </w:r>
          </w:p>
        </w:tc>
      </w:tr>
      <w:tr w:rsidR="00652586" w:rsidRPr="00675182" w14:paraId="3DBF9D8C" w14:textId="77777777" w:rsidTr="00E21287">
        <w:tc>
          <w:tcPr>
            <w:tcW w:w="872" w:type="dxa"/>
            <w:tcBorders>
              <w:top w:val="single" w:sz="4" w:space="0" w:color="000000"/>
              <w:left w:val="single" w:sz="4" w:space="0" w:color="000000"/>
              <w:bottom w:val="single" w:sz="4" w:space="0" w:color="000000"/>
              <w:right w:val="nil"/>
            </w:tcBorders>
          </w:tcPr>
          <w:p w14:paraId="68FD953A"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D.2.18</w:t>
            </w:r>
          </w:p>
        </w:tc>
        <w:tc>
          <w:tcPr>
            <w:tcW w:w="850" w:type="dxa"/>
            <w:tcBorders>
              <w:top w:val="single" w:sz="4" w:space="0" w:color="000000"/>
              <w:left w:val="single" w:sz="4" w:space="0" w:color="000000"/>
              <w:bottom w:val="single" w:sz="4" w:space="0" w:color="000000"/>
              <w:right w:val="nil"/>
            </w:tcBorders>
          </w:tcPr>
          <w:p w14:paraId="6352D0C6"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7B201BAF"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right w:val="nil"/>
            </w:tcBorders>
          </w:tcPr>
          <w:p w14:paraId="19D30E06" w14:textId="721C17DC" w:rsidR="00652586" w:rsidRPr="00675182" w:rsidRDefault="00652586" w:rsidP="00652586">
            <w:pPr>
              <w:pStyle w:val="naisf"/>
              <w:snapToGrid w:val="0"/>
              <w:ind w:firstLine="0"/>
              <w:jc w:val="left"/>
              <w:rPr>
                <w:rFonts w:cstheme="minorHAnsi"/>
                <w:bCs/>
                <w:i/>
                <w:iCs/>
                <w:sz w:val="20"/>
                <w:lang w:val="lv-LV"/>
              </w:rPr>
            </w:pPr>
            <w:r w:rsidRPr="00675182">
              <w:rPr>
                <w:rFonts w:ascii="Calibri" w:hAnsi="Calibri"/>
                <w:sz w:val="20"/>
                <w:lang w:val="lv-LV"/>
              </w:rPr>
              <w:t>Laipu un cita veida antropogēno slodzi samazinošas infrastruktūras izveidošana pie Silzemnieku avotiem</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50CDC2FC" w14:textId="47A15235"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00BE3057" w14:textId="0DA8A33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projektu finansējums,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1B513793" w14:textId="1381A1D9"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15CDBE33" w14:textId="539D1354" w:rsidR="00652586" w:rsidRPr="00675182" w:rsidRDefault="00652586" w:rsidP="00652586">
            <w:pPr>
              <w:autoSpaceDE w:val="0"/>
              <w:snapToGrid w:val="0"/>
              <w:rPr>
                <w:rFonts w:cstheme="minorHAnsi"/>
                <w:sz w:val="20"/>
              </w:rPr>
            </w:pPr>
            <w:r w:rsidRPr="00675182">
              <w:rPr>
                <w:rFonts w:ascii="Calibri" w:hAnsi="Calibri"/>
                <w:sz w:val="20"/>
              </w:rPr>
              <w:t>Līdz 10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1106678F" w14:textId="05D43E68" w:rsidR="00652586" w:rsidRPr="00675182" w:rsidRDefault="00652586" w:rsidP="00652586">
            <w:pPr>
              <w:pStyle w:val="naisf"/>
              <w:snapToGrid w:val="0"/>
              <w:ind w:firstLine="0"/>
              <w:rPr>
                <w:rFonts w:cstheme="minorHAnsi"/>
                <w:sz w:val="20"/>
                <w:lang w:val="lv-LV"/>
              </w:rPr>
            </w:pPr>
            <w:r w:rsidRPr="00675182">
              <w:rPr>
                <w:rFonts w:ascii="Calibri" w:hAnsi="Calibri"/>
                <w:sz w:val="20"/>
                <w:lang w:val="lv-LV"/>
              </w:rPr>
              <w:t>Samazināta izmīdīšanas ietekme uz ģeoloģiskais un ģeomorfoloģisko piemineklis ‘’Silzemnieku avoti’’</w:t>
            </w:r>
          </w:p>
        </w:tc>
      </w:tr>
      <w:tr w:rsidR="00652586" w:rsidRPr="00675182" w14:paraId="4BABB247" w14:textId="77777777" w:rsidTr="00E21287">
        <w:tc>
          <w:tcPr>
            <w:tcW w:w="872" w:type="dxa"/>
            <w:tcBorders>
              <w:top w:val="single" w:sz="4" w:space="0" w:color="000000"/>
              <w:left w:val="single" w:sz="4" w:space="0" w:color="000000"/>
              <w:bottom w:val="single" w:sz="4" w:space="0" w:color="000000"/>
              <w:right w:val="nil"/>
            </w:tcBorders>
          </w:tcPr>
          <w:p w14:paraId="7B0BD5B7"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D.2.19</w:t>
            </w:r>
          </w:p>
        </w:tc>
        <w:tc>
          <w:tcPr>
            <w:tcW w:w="850" w:type="dxa"/>
            <w:tcBorders>
              <w:top w:val="single" w:sz="4" w:space="0" w:color="000000"/>
              <w:left w:val="single" w:sz="4" w:space="0" w:color="000000"/>
              <w:bottom w:val="single" w:sz="4" w:space="0" w:color="000000"/>
              <w:right w:val="nil"/>
            </w:tcBorders>
          </w:tcPr>
          <w:p w14:paraId="1012CB83"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3C162826"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B.2.</w:t>
            </w:r>
          </w:p>
          <w:p w14:paraId="390EFF30"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right w:val="nil"/>
            </w:tcBorders>
          </w:tcPr>
          <w:p w14:paraId="0F60B5EC" w14:textId="2C48038D" w:rsidR="00652586" w:rsidRPr="00675182" w:rsidRDefault="00652586" w:rsidP="00652586">
            <w:pPr>
              <w:pStyle w:val="naisf"/>
              <w:snapToGrid w:val="0"/>
              <w:ind w:firstLine="0"/>
              <w:jc w:val="left"/>
              <w:rPr>
                <w:rFonts w:cstheme="minorHAnsi"/>
                <w:bCs/>
                <w:i/>
                <w:iCs/>
                <w:sz w:val="20"/>
                <w:lang w:val="lv-LV"/>
              </w:rPr>
            </w:pPr>
            <w:r w:rsidRPr="00675182">
              <w:rPr>
                <w:rFonts w:ascii="Calibri" w:hAnsi="Calibri"/>
                <w:sz w:val="20"/>
                <w:lang w:val="lv-LV"/>
              </w:rPr>
              <w:t>Amatas takas marķējuma uzlabošana gar Dolomīta krauju</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61BCF86F" w14:textId="77777777" w:rsidR="00652586" w:rsidRPr="00675182" w:rsidRDefault="00652586" w:rsidP="00652586">
            <w:pPr>
              <w:snapToGrid w:val="0"/>
              <w:rPr>
                <w:rFonts w:ascii="Calibri" w:eastAsia="Arial Unicode MS" w:hAnsi="Calibri"/>
                <w:sz w:val="20"/>
              </w:rPr>
            </w:pPr>
            <w:r w:rsidRPr="00675182">
              <w:rPr>
                <w:rFonts w:ascii="Calibri" w:eastAsia="Arial Unicode MS" w:hAnsi="Calibri"/>
                <w:sz w:val="20"/>
              </w:rPr>
              <w:t>I, 2025</w:t>
            </w:r>
          </w:p>
          <w:p w14:paraId="236EFE78" w14:textId="77777777" w:rsidR="00652586" w:rsidRPr="00675182" w:rsidRDefault="00652586" w:rsidP="00652586">
            <w:pPr>
              <w:pStyle w:val="naisf"/>
              <w:snapToGrid w:val="0"/>
              <w:spacing w:before="0" w:after="0"/>
              <w:ind w:firstLine="0"/>
              <w:jc w:val="left"/>
              <w:rPr>
                <w:rFonts w:cstheme="minorHAnsi"/>
                <w:sz w:val="20"/>
                <w:lang w:val="lv-LV"/>
              </w:rPr>
            </w:pP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74250FAB" w14:textId="217C14D5"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4CD6F74D" w14:textId="6D14C59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DDA1944" w14:textId="0A8E16FD" w:rsidR="00652586" w:rsidRPr="00675182" w:rsidRDefault="00652586" w:rsidP="00652586">
            <w:pPr>
              <w:autoSpaceDE w:val="0"/>
              <w:snapToGrid w:val="0"/>
              <w:rPr>
                <w:rFonts w:cstheme="minorHAnsi"/>
                <w:sz w:val="20"/>
              </w:rPr>
            </w:pPr>
            <w:r w:rsidRPr="00675182">
              <w:rPr>
                <w:rFonts w:ascii="Calibri" w:hAnsi="Calibri"/>
                <w:sz w:val="20"/>
              </w:rPr>
              <w:t>Līdz 500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3082CCD" w14:textId="18A5A1A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Uzlabots takas marķējums un nenotiek stihiska izbradāšana ārpus takas</w:t>
            </w:r>
          </w:p>
        </w:tc>
      </w:tr>
      <w:tr w:rsidR="00652586" w:rsidRPr="00675182" w14:paraId="6DDD7C98" w14:textId="77777777" w:rsidTr="00E21287">
        <w:tc>
          <w:tcPr>
            <w:tcW w:w="872" w:type="dxa"/>
            <w:tcBorders>
              <w:top w:val="single" w:sz="4" w:space="0" w:color="000000"/>
              <w:left w:val="single" w:sz="4" w:space="0" w:color="000000"/>
              <w:bottom w:val="single" w:sz="4" w:space="0" w:color="000000"/>
              <w:right w:val="nil"/>
            </w:tcBorders>
          </w:tcPr>
          <w:p w14:paraId="14E326A9"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D.2.20.</w:t>
            </w:r>
          </w:p>
        </w:tc>
        <w:tc>
          <w:tcPr>
            <w:tcW w:w="850" w:type="dxa"/>
            <w:tcBorders>
              <w:top w:val="single" w:sz="4" w:space="0" w:color="000000"/>
              <w:left w:val="single" w:sz="4" w:space="0" w:color="000000"/>
              <w:bottom w:val="single" w:sz="4" w:space="0" w:color="000000"/>
              <w:right w:val="nil"/>
            </w:tcBorders>
          </w:tcPr>
          <w:p w14:paraId="694EE534"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p w14:paraId="12BBE47E"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B.2.</w:t>
            </w:r>
          </w:p>
        </w:tc>
        <w:tc>
          <w:tcPr>
            <w:tcW w:w="2670" w:type="dxa"/>
            <w:tcBorders>
              <w:top w:val="single" w:sz="4" w:space="0" w:color="000000"/>
              <w:left w:val="single" w:sz="4" w:space="0" w:color="000000"/>
              <w:bottom w:val="single" w:sz="4" w:space="0" w:color="000000"/>
              <w:right w:val="nil"/>
            </w:tcBorders>
          </w:tcPr>
          <w:p w14:paraId="4D397F21" w14:textId="363BFB4D" w:rsidR="00652586" w:rsidRPr="00675182" w:rsidRDefault="00652586" w:rsidP="00652586">
            <w:pPr>
              <w:pStyle w:val="naisf"/>
              <w:snapToGrid w:val="0"/>
              <w:ind w:firstLine="0"/>
              <w:jc w:val="left"/>
              <w:rPr>
                <w:rFonts w:cstheme="minorHAnsi"/>
                <w:bCs/>
                <w:i/>
                <w:iCs/>
                <w:sz w:val="20"/>
                <w:lang w:val="lv-LV"/>
              </w:rPr>
            </w:pPr>
            <w:r w:rsidRPr="00675182">
              <w:rPr>
                <w:rFonts w:ascii="Calibri" w:hAnsi="Calibri"/>
                <w:sz w:val="20"/>
                <w:lang w:val="lv-LV"/>
              </w:rPr>
              <w:t>Tūrisma infrastruktūras ierīkošana antropogēnās slodzes kontrolei un samazināšanai pie alām un atsegumiem (Viesulēnu slāņi, Līgatnes pagrabalas)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31CEE829" w14:textId="30E24C9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69AD3832" w14:textId="7FE00F0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zemes īpašnieki, 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551C50F" w14:textId="36F9F78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DAP, pašvaldība, zemes īpašnieki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1D01A3B2" w14:textId="011EEBCA" w:rsidR="00652586" w:rsidRPr="00675182" w:rsidRDefault="00652586" w:rsidP="00652586">
            <w:pPr>
              <w:autoSpaceDE w:val="0"/>
              <w:snapToGrid w:val="0"/>
              <w:rPr>
                <w:rFonts w:cstheme="minorHAnsi"/>
                <w:sz w:val="20"/>
              </w:rPr>
            </w:pPr>
            <w:r w:rsidRPr="00675182">
              <w:rPr>
                <w:rFonts w:ascii="Calibri" w:hAnsi="Calibri"/>
                <w:sz w:val="20"/>
              </w:rPr>
              <w:t>Līdz 15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2F1B5EF" w14:textId="63FAC91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Ierīkota infrastruktūra ģeoloģiskā pieminekļa “Viesulēnu slāņi”  aizsardzībai.</w:t>
            </w:r>
          </w:p>
        </w:tc>
      </w:tr>
      <w:tr w:rsidR="00652586" w:rsidRPr="00675182" w14:paraId="1B47C405" w14:textId="77777777" w:rsidTr="00E21287">
        <w:tc>
          <w:tcPr>
            <w:tcW w:w="872" w:type="dxa"/>
            <w:tcBorders>
              <w:top w:val="single" w:sz="4" w:space="0" w:color="000000"/>
              <w:left w:val="single" w:sz="4" w:space="0" w:color="000000"/>
              <w:bottom w:val="single" w:sz="4" w:space="0" w:color="000000"/>
              <w:right w:val="nil"/>
            </w:tcBorders>
          </w:tcPr>
          <w:p w14:paraId="6501CD33"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D.2.21.</w:t>
            </w:r>
          </w:p>
        </w:tc>
        <w:tc>
          <w:tcPr>
            <w:tcW w:w="850" w:type="dxa"/>
            <w:tcBorders>
              <w:top w:val="single" w:sz="4" w:space="0" w:color="000000"/>
              <w:left w:val="single" w:sz="4" w:space="0" w:color="000000"/>
              <w:bottom w:val="single" w:sz="4" w:space="0" w:color="000000"/>
              <w:right w:val="nil"/>
            </w:tcBorders>
          </w:tcPr>
          <w:p w14:paraId="112A12A5"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1619F3C0" w14:textId="26D917EA" w:rsidR="00652586" w:rsidRPr="00675182" w:rsidRDefault="00652586" w:rsidP="00652586">
            <w:pPr>
              <w:pStyle w:val="naisf"/>
              <w:snapToGrid w:val="0"/>
              <w:ind w:firstLine="0"/>
              <w:jc w:val="left"/>
              <w:rPr>
                <w:rFonts w:cstheme="minorHAnsi"/>
                <w:sz w:val="20"/>
                <w:lang w:val="lv-LV"/>
              </w:rPr>
            </w:pPr>
            <w:bookmarkStart w:id="138" w:name="_Hlk107855010"/>
            <w:r w:rsidRPr="00675182">
              <w:rPr>
                <w:rFonts w:ascii="Calibri" w:hAnsi="Calibri"/>
                <w:sz w:val="20"/>
                <w:lang w:val="lv-LV"/>
              </w:rPr>
              <w:t>Veloceļu un velomaršrutu izveide esošā tīkla papildināšanai un savienojumu nodrošināšanai</w:t>
            </w:r>
            <w:bookmarkEnd w:id="138"/>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7CA8BBE0" w14:textId="0386982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703C8A3E" w14:textId="21DE1457"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Satiksmes Ministrija, pašvaldības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D904EC1" w14:textId="42F7567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Pašvaldības, Latvijas valsts ceļi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042A210D" w14:textId="768D69EE" w:rsidR="00652586" w:rsidRPr="00675182" w:rsidRDefault="00652586" w:rsidP="00652586">
            <w:pPr>
              <w:autoSpaceDE w:val="0"/>
              <w:snapToGrid w:val="0"/>
              <w:rPr>
                <w:rFonts w:cstheme="minorHAnsi"/>
                <w:sz w:val="20"/>
              </w:rPr>
            </w:pPr>
            <w:r w:rsidRPr="00675182">
              <w:rPr>
                <w:rFonts w:ascii="Calibri" w:hAnsi="Calibri"/>
                <w:sz w:val="20"/>
              </w:rPr>
              <w:t xml:space="preserve">Izmaksas precizējamas atbilstoši valsts iepirkumam un projekta sadalīšanai vairākās </w:t>
            </w:r>
            <w:r w:rsidRPr="00675182">
              <w:rPr>
                <w:rFonts w:ascii="Calibri" w:hAnsi="Calibri"/>
                <w:sz w:val="20"/>
              </w:rPr>
              <w:lastRenderedPageBreak/>
              <w:t>īstenošanas kārtās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5F42A884" w14:textId="61A128EA"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lastRenderedPageBreak/>
              <w:t>Izbūvēti jauni veloceļi 78,3 km garumā un marķēti velo maršruti 53 km garumā</w:t>
            </w:r>
          </w:p>
        </w:tc>
      </w:tr>
      <w:tr w:rsidR="00652586" w:rsidRPr="00675182" w14:paraId="6A675330" w14:textId="77777777" w:rsidTr="00E21287">
        <w:tc>
          <w:tcPr>
            <w:tcW w:w="872" w:type="dxa"/>
            <w:tcBorders>
              <w:top w:val="single" w:sz="4" w:space="0" w:color="000000"/>
              <w:left w:val="single" w:sz="4" w:space="0" w:color="000000"/>
              <w:bottom w:val="single" w:sz="4" w:space="0" w:color="000000"/>
              <w:right w:val="nil"/>
            </w:tcBorders>
          </w:tcPr>
          <w:p w14:paraId="2B37B528"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D.2.22.</w:t>
            </w:r>
          </w:p>
        </w:tc>
        <w:tc>
          <w:tcPr>
            <w:tcW w:w="850" w:type="dxa"/>
            <w:tcBorders>
              <w:top w:val="single" w:sz="4" w:space="0" w:color="000000"/>
              <w:left w:val="single" w:sz="4" w:space="0" w:color="000000"/>
              <w:bottom w:val="single" w:sz="4" w:space="0" w:color="000000"/>
              <w:right w:val="nil"/>
            </w:tcBorders>
          </w:tcPr>
          <w:p w14:paraId="132D81FF"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53E0CB88" w14:textId="22FC0A44"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Tūrisma un rekreācijas infrastruktūras izveide un papildināšana Cēsu apkārtnē</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71ED0D93" w14:textId="5AB5F68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2E2EB332" w14:textId="127D5033"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 uzņēmēji, 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09D4321" w14:textId="2DDDEC95"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uzņēmēji, 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3C252B25" w14:textId="1ABD87D3" w:rsidR="00652586" w:rsidRPr="00675182" w:rsidRDefault="00652586" w:rsidP="00652586">
            <w:pPr>
              <w:autoSpaceDE w:val="0"/>
              <w:snapToGrid w:val="0"/>
              <w:rPr>
                <w:rFonts w:cstheme="minorHAnsi"/>
                <w:sz w:val="20"/>
              </w:rPr>
            </w:pPr>
            <w:r w:rsidRPr="00675182">
              <w:rPr>
                <w:rFonts w:ascii="Calibri" w:hAnsi="Calibri"/>
                <w:sz w:val="20"/>
              </w:rPr>
              <w:t>Kompleksu pasākumu kopums ar kopējo tāmi &gt;500tk EUR, tāpēc īstenojams pa kārtām, atbilstoši prioritātēm</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78F50254" w14:textId="3549F03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Izveidots un uzturēts taku tīkls augšpus Cēsu-Stalbes ceļa tilta, papildināta infrastruktūra esošajos tūrisma un rekreācijas objektos</w:t>
            </w:r>
          </w:p>
        </w:tc>
      </w:tr>
      <w:tr w:rsidR="00652586" w:rsidRPr="00675182" w14:paraId="03C9D146" w14:textId="77777777" w:rsidTr="00E21287">
        <w:tc>
          <w:tcPr>
            <w:tcW w:w="872" w:type="dxa"/>
            <w:tcBorders>
              <w:top w:val="single" w:sz="4" w:space="0" w:color="000000"/>
              <w:left w:val="single" w:sz="4" w:space="0" w:color="000000"/>
              <w:bottom w:val="single" w:sz="4" w:space="0" w:color="000000"/>
              <w:right w:val="nil"/>
            </w:tcBorders>
          </w:tcPr>
          <w:p w14:paraId="18EF5040"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D.2.23.</w:t>
            </w:r>
          </w:p>
        </w:tc>
        <w:tc>
          <w:tcPr>
            <w:tcW w:w="850" w:type="dxa"/>
            <w:tcBorders>
              <w:top w:val="single" w:sz="4" w:space="0" w:color="000000"/>
              <w:left w:val="single" w:sz="4" w:space="0" w:color="000000"/>
              <w:bottom w:val="single" w:sz="4" w:space="0" w:color="000000"/>
              <w:right w:val="nil"/>
            </w:tcBorders>
          </w:tcPr>
          <w:p w14:paraId="2FE66BBC"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B.1.</w:t>
            </w:r>
          </w:p>
          <w:p w14:paraId="35BFE5E3"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1DE30019" w14:textId="070E8199" w:rsidR="00652586" w:rsidRPr="00675182" w:rsidRDefault="00652586" w:rsidP="00652586">
            <w:pPr>
              <w:pStyle w:val="naisf"/>
              <w:snapToGrid w:val="0"/>
              <w:ind w:firstLine="0"/>
              <w:jc w:val="left"/>
              <w:rPr>
                <w:rFonts w:cstheme="minorHAnsi"/>
                <w:b/>
                <w:bCs/>
                <w:szCs w:val="24"/>
                <w:lang w:val="lv-LV"/>
              </w:rPr>
            </w:pPr>
            <w:r w:rsidRPr="00675182">
              <w:rPr>
                <w:rFonts w:ascii="Calibri" w:hAnsi="Calibri"/>
                <w:sz w:val="20"/>
                <w:lang w:val="lv-LV"/>
              </w:rPr>
              <w:t>Rekreācijas infrastruktūras izveide Vaidavas ezeram pieguļošajā teritorijā</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28876F43" w14:textId="40D4481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6EC42F4F" w14:textId="4A7570E4" w:rsidR="00652586" w:rsidRPr="00675182" w:rsidRDefault="00944817"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 uzņēmēji, 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7757DEF5" w14:textId="5E62C16A"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0111678D" w14:textId="3B61FE0A" w:rsidR="00652586" w:rsidRPr="00675182" w:rsidRDefault="00652586" w:rsidP="00652586">
            <w:pPr>
              <w:autoSpaceDE w:val="0"/>
              <w:snapToGrid w:val="0"/>
              <w:rPr>
                <w:rFonts w:cstheme="minorHAnsi"/>
                <w:b/>
                <w:bCs/>
                <w:sz w:val="20"/>
              </w:rPr>
            </w:pPr>
            <w:r w:rsidRPr="00675182">
              <w:rPr>
                <w:rFonts w:ascii="Calibri" w:hAnsi="Calibri"/>
                <w:sz w:val="20"/>
              </w:rPr>
              <w:t>&gt;100 tk EUR atkarībā no īstenojamo pasākumu kopuma</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13BE3A28" w14:textId="1A6ADC54" w:rsidR="00652586" w:rsidRPr="00675182" w:rsidRDefault="00C74E47" w:rsidP="00652586">
            <w:pPr>
              <w:pStyle w:val="naisf"/>
              <w:snapToGrid w:val="0"/>
              <w:spacing w:before="0" w:after="0"/>
              <w:ind w:firstLine="0"/>
              <w:jc w:val="left"/>
              <w:rPr>
                <w:rFonts w:cstheme="minorHAnsi"/>
                <w:sz w:val="20"/>
                <w:lang w:val="lv-LV"/>
              </w:rPr>
            </w:pPr>
            <w:r w:rsidRPr="00675182">
              <w:rPr>
                <w:rFonts w:ascii="Calibri" w:hAnsi="Calibri"/>
                <w:sz w:val="20"/>
                <w:lang w:val="lv-LV"/>
              </w:rPr>
              <w:t>Vaidavas ciema pludmalē izveidota teritorijā iederīga laipa ezerā ar atbilstošu nestspēju, drošību un vizuāli estētisko risinājumu, kas ir iederīgs ainavā, ņemot vērā apmeklētāju skaitu; ezera Rubenes ciema pusē labiekārtota piekļuve ezeram, uzturēta infrastruktūra Vaidavas pilskalnā, atjaunota un uzturēta Vaidavas muiža un savienojoša taka ar Rubeni, un "Mīlestības taka" Vaidavas ciema teritorijā.</w:t>
            </w:r>
          </w:p>
        </w:tc>
      </w:tr>
      <w:tr w:rsidR="00652586" w:rsidRPr="00675182" w14:paraId="57D0C3FE" w14:textId="77777777" w:rsidTr="00E21287">
        <w:tc>
          <w:tcPr>
            <w:tcW w:w="872" w:type="dxa"/>
            <w:tcBorders>
              <w:top w:val="single" w:sz="4" w:space="0" w:color="000000"/>
              <w:left w:val="single" w:sz="4" w:space="0" w:color="000000"/>
              <w:bottom w:val="single" w:sz="4" w:space="0" w:color="000000"/>
              <w:right w:val="nil"/>
            </w:tcBorders>
          </w:tcPr>
          <w:p w14:paraId="706E2702"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D.2.24.</w:t>
            </w:r>
          </w:p>
        </w:tc>
        <w:tc>
          <w:tcPr>
            <w:tcW w:w="850" w:type="dxa"/>
            <w:tcBorders>
              <w:top w:val="single" w:sz="4" w:space="0" w:color="000000"/>
              <w:left w:val="single" w:sz="4" w:space="0" w:color="000000"/>
              <w:bottom w:val="single" w:sz="4" w:space="0" w:color="000000"/>
              <w:right w:val="nil"/>
            </w:tcBorders>
          </w:tcPr>
          <w:p w14:paraId="4CDB5F3D"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16E191C9" w14:textId="25087126"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Tūrisma taku tīkla un infrastruktūras papildināšana Siguldas apkārtnē</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66A291B3" w14:textId="4E61115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05BC7D63" w14:textId="1363E955"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 uzņēmēji, 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2B22EE05" w14:textId="0F8B7D6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uzņēmēji, 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7612125A" w14:textId="2FD5643E" w:rsidR="00652586" w:rsidRPr="00675182" w:rsidRDefault="00652586" w:rsidP="00652586">
            <w:pPr>
              <w:autoSpaceDE w:val="0"/>
              <w:snapToGrid w:val="0"/>
              <w:rPr>
                <w:rFonts w:cstheme="minorHAnsi"/>
                <w:sz w:val="20"/>
              </w:rPr>
            </w:pPr>
            <w:r w:rsidRPr="00675182">
              <w:rPr>
                <w:rFonts w:ascii="Calibri" w:hAnsi="Calibri"/>
                <w:sz w:val="20"/>
              </w:rPr>
              <w:t>&gt;200 tk EUR. taču kompleksas iniciatīvas ar dažādiem īstenotājiem.  Precīzas izmaksas atkarīgas no īstenotajām aktivitātēm,</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2E56ED0C" w14:textId="6C0F10CE"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Attīstītas un uzturētas jaunas takas līdz 8,6 km garumā, izveidota pārceltuve tūristu vajadzībām.</w:t>
            </w:r>
          </w:p>
        </w:tc>
      </w:tr>
      <w:tr w:rsidR="00652586" w:rsidRPr="00675182" w14:paraId="6B0AD728" w14:textId="77777777" w:rsidTr="00E21287">
        <w:tc>
          <w:tcPr>
            <w:tcW w:w="872" w:type="dxa"/>
            <w:tcBorders>
              <w:top w:val="single" w:sz="4" w:space="0" w:color="000000"/>
              <w:left w:val="single" w:sz="4" w:space="0" w:color="000000"/>
              <w:bottom w:val="single" w:sz="4" w:space="0" w:color="000000"/>
              <w:right w:val="nil"/>
            </w:tcBorders>
          </w:tcPr>
          <w:p w14:paraId="7EFBD0EB"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D.2.25.</w:t>
            </w:r>
          </w:p>
        </w:tc>
        <w:tc>
          <w:tcPr>
            <w:tcW w:w="850" w:type="dxa"/>
            <w:tcBorders>
              <w:top w:val="single" w:sz="4" w:space="0" w:color="000000"/>
              <w:left w:val="single" w:sz="4" w:space="0" w:color="000000"/>
              <w:bottom w:val="single" w:sz="4" w:space="0" w:color="000000"/>
              <w:right w:val="nil"/>
            </w:tcBorders>
          </w:tcPr>
          <w:p w14:paraId="1D8ACBEC"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70BDDCA5" w14:textId="638826B5"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Tūrisma taku tīkla papildināšana Murjāņos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3EC6A3D2" w14:textId="1319C643"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 xml:space="preserve">I, </w:t>
            </w:r>
            <w:r w:rsidR="00467319" w:rsidRPr="00675182">
              <w:rPr>
                <w:rFonts w:ascii="Calibri" w:hAnsi="Calibri"/>
                <w:sz w:val="20"/>
                <w:lang w:val="lv-LV"/>
              </w:rPr>
              <w:t>plāna</w:t>
            </w:r>
            <w:r w:rsidRPr="00675182">
              <w:rPr>
                <w:rFonts w:ascii="Calibri" w:hAnsi="Calibri"/>
                <w:sz w:val="20"/>
                <w:lang w:val="lv-LV"/>
              </w:rPr>
              <w:t xml:space="preserve">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65878F1F" w14:textId="697C5C4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 uzņēmēji, 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1C8A7E51" w14:textId="1DE3F0D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uzņēmēji, 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081CAC0A" w14:textId="16335C14" w:rsidR="00652586" w:rsidRPr="00675182" w:rsidRDefault="00652586" w:rsidP="00652586">
            <w:pPr>
              <w:autoSpaceDE w:val="0"/>
              <w:snapToGrid w:val="0"/>
              <w:rPr>
                <w:rFonts w:cstheme="minorHAnsi"/>
                <w:sz w:val="20"/>
              </w:rPr>
            </w:pPr>
            <w:r w:rsidRPr="00675182">
              <w:rPr>
                <w:rFonts w:ascii="Calibri" w:hAnsi="Calibri"/>
                <w:sz w:val="20"/>
              </w:rPr>
              <w:t>Līdz 50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F00C177" w14:textId="41ECCC2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Marķēts un uzturēts taku tīkls līdz 5 km garumā, integrēts kopējā tūrisma piedāvājumā un esošajos objektos</w:t>
            </w:r>
          </w:p>
        </w:tc>
      </w:tr>
      <w:tr w:rsidR="00652586" w:rsidRPr="00675182" w14:paraId="010BF96B" w14:textId="77777777" w:rsidTr="00E21287">
        <w:tc>
          <w:tcPr>
            <w:tcW w:w="872" w:type="dxa"/>
            <w:tcBorders>
              <w:top w:val="single" w:sz="4" w:space="0" w:color="000000"/>
              <w:left w:val="single" w:sz="4" w:space="0" w:color="000000"/>
              <w:bottom w:val="single" w:sz="4" w:space="0" w:color="000000"/>
              <w:right w:val="nil"/>
            </w:tcBorders>
          </w:tcPr>
          <w:p w14:paraId="19ED0D13"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D.2.26.</w:t>
            </w:r>
          </w:p>
        </w:tc>
        <w:tc>
          <w:tcPr>
            <w:tcW w:w="850" w:type="dxa"/>
            <w:tcBorders>
              <w:top w:val="single" w:sz="4" w:space="0" w:color="000000"/>
              <w:left w:val="single" w:sz="4" w:space="0" w:color="000000"/>
              <w:bottom w:val="single" w:sz="4" w:space="0" w:color="000000"/>
              <w:right w:val="nil"/>
            </w:tcBorders>
          </w:tcPr>
          <w:p w14:paraId="361B48FA"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4FCB65B4" w14:textId="191B3C69"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Tūrisma taku tīkla papildināšana Gaujas ciemā</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9097DC9" w14:textId="15CA015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 xml:space="preserve">I, </w:t>
            </w:r>
            <w:r w:rsidR="00467319" w:rsidRPr="00675182">
              <w:rPr>
                <w:rFonts w:ascii="Calibri" w:hAnsi="Calibri"/>
                <w:sz w:val="20"/>
                <w:lang w:val="lv-LV"/>
              </w:rPr>
              <w:t>plāna</w:t>
            </w:r>
            <w:r w:rsidRPr="00675182">
              <w:rPr>
                <w:rFonts w:ascii="Calibri" w:hAnsi="Calibri"/>
                <w:sz w:val="20"/>
                <w:lang w:val="lv-LV"/>
              </w:rPr>
              <w:t xml:space="preserve">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0C2B683B" w14:textId="4273F94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 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784A5B99" w14:textId="24051C17"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57A8F750" w14:textId="4B253CC9" w:rsidR="00652586" w:rsidRPr="00675182" w:rsidRDefault="00652586" w:rsidP="00652586">
            <w:pPr>
              <w:autoSpaceDE w:val="0"/>
              <w:snapToGrid w:val="0"/>
              <w:rPr>
                <w:rFonts w:cstheme="minorHAnsi"/>
                <w:sz w:val="20"/>
              </w:rPr>
            </w:pPr>
            <w:r w:rsidRPr="00675182">
              <w:rPr>
                <w:rFonts w:ascii="Calibri" w:hAnsi="Calibri"/>
                <w:sz w:val="20"/>
              </w:rPr>
              <w:t>Līdz 50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0824A649" w14:textId="1E60E3B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Marķēts un uzturēts taku tīkls līdz 5,1 km garumā</w:t>
            </w:r>
          </w:p>
        </w:tc>
      </w:tr>
      <w:tr w:rsidR="00652586" w:rsidRPr="00675182" w14:paraId="20B2AD44" w14:textId="77777777" w:rsidTr="00E21287">
        <w:tc>
          <w:tcPr>
            <w:tcW w:w="872" w:type="dxa"/>
            <w:tcBorders>
              <w:top w:val="single" w:sz="4" w:space="0" w:color="000000"/>
              <w:left w:val="single" w:sz="4" w:space="0" w:color="000000"/>
              <w:bottom w:val="single" w:sz="4" w:space="0" w:color="000000"/>
              <w:right w:val="nil"/>
            </w:tcBorders>
          </w:tcPr>
          <w:p w14:paraId="436C2881"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D.2.27.</w:t>
            </w:r>
          </w:p>
        </w:tc>
        <w:tc>
          <w:tcPr>
            <w:tcW w:w="850" w:type="dxa"/>
            <w:tcBorders>
              <w:top w:val="single" w:sz="4" w:space="0" w:color="000000"/>
              <w:left w:val="single" w:sz="4" w:space="0" w:color="000000"/>
              <w:bottom w:val="single" w:sz="4" w:space="0" w:color="000000"/>
              <w:right w:val="nil"/>
            </w:tcBorders>
          </w:tcPr>
          <w:p w14:paraId="275AC444"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60283D1E" w14:textId="45F25C31"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Kājnieku maršruta marķēšana Āraišu ezerpils apkārtnē</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2BD8EA1" w14:textId="677E62C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 xml:space="preserve">I, </w:t>
            </w:r>
            <w:r w:rsidR="00467319" w:rsidRPr="00675182">
              <w:rPr>
                <w:rFonts w:ascii="Calibri" w:hAnsi="Calibri"/>
                <w:sz w:val="20"/>
                <w:lang w:val="lv-LV"/>
              </w:rPr>
              <w:t>plāna</w:t>
            </w:r>
            <w:r w:rsidRPr="00675182">
              <w:rPr>
                <w:rFonts w:ascii="Calibri" w:hAnsi="Calibri"/>
                <w:sz w:val="20"/>
                <w:lang w:val="lv-LV"/>
              </w:rPr>
              <w:t xml:space="preserve">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3D156B17" w14:textId="3F58D5F6"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 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79BA1876" w14:textId="1AA796E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7349662B" w14:textId="2D6CD2EC" w:rsidR="00652586" w:rsidRPr="00675182" w:rsidRDefault="00652586" w:rsidP="00652586">
            <w:pPr>
              <w:autoSpaceDE w:val="0"/>
              <w:snapToGrid w:val="0"/>
              <w:rPr>
                <w:rFonts w:cstheme="minorHAnsi"/>
                <w:sz w:val="20"/>
              </w:rPr>
            </w:pPr>
            <w:r w:rsidRPr="00675182">
              <w:rPr>
                <w:rFonts w:ascii="Calibri" w:hAnsi="Calibri"/>
                <w:sz w:val="20"/>
              </w:rPr>
              <w:t>Līdz 1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1E170D6" w14:textId="5212642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Marķēta un uzturēta taka ~3,6 km garumā</w:t>
            </w:r>
          </w:p>
        </w:tc>
      </w:tr>
      <w:tr w:rsidR="00652586" w:rsidRPr="00675182" w14:paraId="0864D2F0" w14:textId="77777777" w:rsidTr="00E21287">
        <w:tc>
          <w:tcPr>
            <w:tcW w:w="872" w:type="dxa"/>
            <w:tcBorders>
              <w:top w:val="single" w:sz="4" w:space="0" w:color="000000"/>
              <w:left w:val="single" w:sz="4" w:space="0" w:color="000000"/>
              <w:bottom w:val="single" w:sz="4" w:space="0" w:color="000000"/>
              <w:right w:val="nil"/>
            </w:tcBorders>
          </w:tcPr>
          <w:p w14:paraId="01ADD649"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D.2.28.</w:t>
            </w:r>
          </w:p>
        </w:tc>
        <w:tc>
          <w:tcPr>
            <w:tcW w:w="850" w:type="dxa"/>
            <w:tcBorders>
              <w:top w:val="single" w:sz="4" w:space="0" w:color="000000"/>
              <w:left w:val="single" w:sz="4" w:space="0" w:color="000000"/>
              <w:bottom w:val="single" w:sz="4" w:space="0" w:color="000000"/>
              <w:right w:val="nil"/>
            </w:tcBorders>
          </w:tcPr>
          <w:p w14:paraId="05025410"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455F9D5E" w14:textId="7289755E"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Kājnieku maršrutu marķēšana un taku izveide Vaives un Rauņa lejtecē</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024E86C" w14:textId="14EAB7EA"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 xml:space="preserve">I, </w:t>
            </w:r>
            <w:r w:rsidR="00467319" w:rsidRPr="00675182">
              <w:rPr>
                <w:rFonts w:ascii="Calibri" w:hAnsi="Calibri"/>
                <w:sz w:val="20"/>
                <w:lang w:val="lv-LV"/>
              </w:rPr>
              <w:t>plāna</w:t>
            </w:r>
            <w:r w:rsidRPr="00675182">
              <w:rPr>
                <w:rFonts w:ascii="Calibri" w:hAnsi="Calibri"/>
                <w:sz w:val="20"/>
                <w:lang w:val="lv-LV"/>
              </w:rPr>
              <w:t xml:space="preserve">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22F53427" w14:textId="160B5EA1"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 DAP, uzņēmēji</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3DE897F" w14:textId="47E0603E"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uzņēmēji, 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7B4DA061" w14:textId="715B3786" w:rsidR="00652586" w:rsidRPr="00675182" w:rsidRDefault="00652586" w:rsidP="00652586">
            <w:pPr>
              <w:autoSpaceDE w:val="0"/>
              <w:snapToGrid w:val="0"/>
              <w:rPr>
                <w:rFonts w:cstheme="minorHAnsi"/>
                <w:sz w:val="20"/>
              </w:rPr>
            </w:pPr>
            <w:r w:rsidRPr="00675182">
              <w:rPr>
                <w:rFonts w:ascii="Calibri" w:hAnsi="Calibri"/>
                <w:sz w:val="20"/>
              </w:rPr>
              <w:t>Līdz 20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C0EA1DF" w14:textId="3EB4F63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Izveidotas takas ~2,1 km garumā, marķēti maršruti ~ 5,3 km garumā</w:t>
            </w:r>
          </w:p>
        </w:tc>
      </w:tr>
      <w:tr w:rsidR="00652586" w:rsidRPr="00675182" w14:paraId="64676E50" w14:textId="77777777" w:rsidTr="00E21287">
        <w:tc>
          <w:tcPr>
            <w:tcW w:w="872" w:type="dxa"/>
            <w:tcBorders>
              <w:top w:val="single" w:sz="4" w:space="0" w:color="000000"/>
              <w:left w:val="single" w:sz="4" w:space="0" w:color="000000"/>
              <w:bottom w:val="single" w:sz="4" w:space="0" w:color="000000"/>
              <w:right w:val="nil"/>
            </w:tcBorders>
          </w:tcPr>
          <w:p w14:paraId="1EFCFC75"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D.2.29.</w:t>
            </w:r>
          </w:p>
        </w:tc>
        <w:tc>
          <w:tcPr>
            <w:tcW w:w="850" w:type="dxa"/>
            <w:tcBorders>
              <w:top w:val="single" w:sz="4" w:space="0" w:color="000000"/>
              <w:left w:val="single" w:sz="4" w:space="0" w:color="000000"/>
              <w:bottom w:val="single" w:sz="4" w:space="0" w:color="000000"/>
              <w:right w:val="nil"/>
            </w:tcBorders>
          </w:tcPr>
          <w:p w14:paraId="6A6DE1FA"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14832CFB" w14:textId="2291867E"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Kājnieku maršruta marķēšana Raunas lejtecē</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7616803" w14:textId="53F8A70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 xml:space="preserve">I, </w:t>
            </w:r>
            <w:r w:rsidR="00467319" w:rsidRPr="00675182">
              <w:rPr>
                <w:rFonts w:ascii="Calibri" w:hAnsi="Calibri"/>
                <w:sz w:val="20"/>
                <w:lang w:val="lv-LV"/>
              </w:rPr>
              <w:t>plāna</w:t>
            </w:r>
            <w:r w:rsidRPr="00675182">
              <w:rPr>
                <w:rFonts w:ascii="Calibri" w:hAnsi="Calibri"/>
                <w:sz w:val="20"/>
                <w:lang w:val="lv-LV"/>
              </w:rPr>
              <w:t xml:space="preserve">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3EDFF1DD" w14:textId="4BC3A6A2"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 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04E7CA9" w14:textId="44135C84"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4E111CE9" w14:textId="2D16F86F" w:rsidR="00652586" w:rsidRPr="00675182" w:rsidRDefault="00652586" w:rsidP="00652586">
            <w:pPr>
              <w:autoSpaceDE w:val="0"/>
              <w:snapToGrid w:val="0"/>
              <w:rPr>
                <w:rFonts w:cstheme="minorHAnsi"/>
                <w:sz w:val="20"/>
              </w:rPr>
            </w:pPr>
            <w:r w:rsidRPr="00675182">
              <w:rPr>
                <w:rFonts w:ascii="Calibri" w:hAnsi="Calibri"/>
                <w:sz w:val="20"/>
              </w:rPr>
              <w:t>Līdz 1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018EF55C" w14:textId="34F3B33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Marķēts kājnieku maršruts ~2,6 km garumā</w:t>
            </w:r>
          </w:p>
        </w:tc>
      </w:tr>
      <w:tr w:rsidR="00652586" w:rsidRPr="00675182" w14:paraId="4AD05DE9" w14:textId="77777777" w:rsidTr="00E21287">
        <w:tc>
          <w:tcPr>
            <w:tcW w:w="872" w:type="dxa"/>
            <w:tcBorders>
              <w:top w:val="single" w:sz="4" w:space="0" w:color="000000"/>
              <w:left w:val="single" w:sz="4" w:space="0" w:color="000000"/>
              <w:bottom w:val="single" w:sz="4" w:space="0" w:color="000000"/>
              <w:right w:val="nil"/>
            </w:tcBorders>
          </w:tcPr>
          <w:p w14:paraId="6EFFCD20"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D.2.30.</w:t>
            </w:r>
          </w:p>
        </w:tc>
        <w:tc>
          <w:tcPr>
            <w:tcW w:w="850" w:type="dxa"/>
            <w:tcBorders>
              <w:top w:val="single" w:sz="4" w:space="0" w:color="000000"/>
              <w:left w:val="single" w:sz="4" w:space="0" w:color="000000"/>
              <w:bottom w:val="single" w:sz="4" w:space="0" w:color="000000"/>
              <w:right w:val="nil"/>
            </w:tcBorders>
          </w:tcPr>
          <w:p w14:paraId="666D36AA"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06D70349" w14:textId="3FF2118B"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Takas un stāvvietas uzturēšana Pekas kalna apmeklēšanai</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1A5ADBD" w14:textId="48F54F5D"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 xml:space="preserve">I, </w:t>
            </w:r>
            <w:r w:rsidR="00467319" w:rsidRPr="00675182">
              <w:rPr>
                <w:rFonts w:ascii="Calibri" w:hAnsi="Calibri"/>
                <w:sz w:val="20"/>
                <w:lang w:val="lv-LV"/>
              </w:rPr>
              <w:t>plāna</w:t>
            </w:r>
            <w:r w:rsidRPr="00675182">
              <w:rPr>
                <w:rFonts w:ascii="Calibri" w:hAnsi="Calibri"/>
                <w:sz w:val="20"/>
                <w:lang w:val="lv-LV"/>
              </w:rPr>
              <w:t xml:space="preserve">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4C06D133" w14:textId="618C87C3"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C946B71" w14:textId="4B60FF4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4EAB228" w14:textId="563CE770" w:rsidR="00652586" w:rsidRPr="00675182" w:rsidRDefault="00652586" w:rsidP="00652586">
            <w:pPr>
              <w:autoSpaceDE w:val="0"/>
              <w:snapToGrid w:val="0"/>
              <w:rPr>
                <w:rFonts w:cstheme="minorHAnsi"/>
                <w:sz w:val="20"/>
              </w:rPr>
            </w:pPr>
            <w:r w:rsidRPr="00675182">
              <w:rPr>
                <w:rFonts w:ascii="Calibri" w:hAnsi="Calibri"/>
                <w:sz w:val="20"/>
              </w:rPr>
              <w:t>Līdz 8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5AC175C8" w14:textId="5FD48B25"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Izveidota kabatas veida stāvvieta, uzturēta taka ~0,6 km garumā</w:t>
            </w:r>
          </w:p>
        </w:tc>
      </w:tr>
      <w:tr w:rsidR="00652586" w:rsidRPr="00675182" w14:paraId="5C7787C5" w14:textId="77777777" w:rsidTr="00E21287">
        <w:tc>
          <w:tcPr>
            <w:tcW w:w="872" w:type="dxa"/>
            <w:tcBorders>
              <w:top w:val="single" w:sz="4" w:space="0" w:color="000000"/>
              <w:left w:val="single" w:sz="4" w:space="0" w:color="000000"/>
              <w:bottom w:val="single" w:sz="4" w:space="0" w:color="000000"/>
              <w:right w:val="nil"/>
            </w:tcBorders>
          </w:tcPr>
          <w:p w14:paraId="36AF8ED5"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D.2.31.</w:t>
            </w:r>
          </w:p>
        </w:tc>
        <w:tc>
          <w:tcPr>
            <w:tcW w:w="850" w:type="dxa"/>
            <w:tcBorders>
              <w:top w:val="single" w:sz="4" w:space="0" w:color="000000"/>
              <w:left w:val="single" w:sz="4" w:space="0" w:color="000000"/>
              <w:bottom w:val="single" w:sz="4" w:space="0" w:color="000000"/>
              <w:right w:val="nil"/>
            </w:tcBorders>
          </w:tcPr>
          <w:p w14:paraId="08075D65"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1D96A144" w14:textId="0C244EB9" w:rsidR="00652586" w:rsidRPr="00675182" w:rsidRDefault="00652586" w:rsidP="00652586">
            <w:pPr>
              <w:pStyle w:val="naisf"/>
              <w:snapToGrid w:val="0"/>
              <w:ind w:firstLine="0"/>
              <w:jc w:val="left"/>
              <w:rPr>
                <w:rFonts w:cstheme="minorHAnsi"/>
                <w:sz w:val="20"/>
                <w:lang w:val="lv-LV"/>
              </w:rPr>
            </w:pPr>
            <w:bookmarkStart w:id="139" w:name="_Hlk107922357"/>
            <w:r w:rsidRPr="00675182">
              <w:rPr>
                <w:rFonts w:ascii="Calibri" w:hAnsi="Calibri"/>
                <w:sz w:val="20"/>
                <w:lang w:val="lv-LV"/>
              </w:rPr>
              <w:t>Takas Lejas Ozoli-Liepas iezis marķēšana</w:t>
            </w:r>
            <w:bookmarkEnd w:id="139"/>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36B582AC" w14:textId="03C9E4A9"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6C62D992" w14:textId="3F41B41E"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uzņēmēji, pašvaldība, 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2741B51F" w14:textId="79209170"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Uzņēmēji, pašvaldība, 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1ECE1C23" w14:textId="325E5F76" w:rsidR="00652586" w:rsidRPr="00675182" w:rsidRDefault="00652586" w:rsidP="00652586">
            <w:pPr>
              <w:autoSpaceDE w:val="0"/>
              <w:snapToGrid w:val="0"/>
              <w:rPr>
                <w:rFonts w:cstheme="minorHAnsi"/>
                <w:sz w:val="20"/>
              </w:rPr>
            </w:pPr>
            <w:r w:rsidRPr="00675182">
              <w:rPr>
                <w:rFonts w:ascii="Calibri" w:hAnsi="Calibri"/>
                <w:sz w:val="20"/>
              </w:rPr>
              <w:t>&lt;500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41A3531" w14:textId="12BCDDB1" w:rsidR="00652586" w:rsidRPr="00675182" w:rsidRDefault="00652586" w:rsidP="00652586">
            <w:pPr>
              <w:pStyle w:val="naisf"/>
              <w:snapToGrid w:val="0"/>
              <w:spacing w:before="0" w:after="0"/>
              <w:ind w:firstLine="0"/>
              <w:jc w:val="left"/>
              <w:rPr>
                <w:rFonts w:cstheme="minorHAnsi"/>
                <w:sz w:val="20"/>
                <w:lang w:val="lv-LV"/>
              </w:rPr>
            </w:pPr>
            <w:bookmarkStart w:id="140" w:name="_Hlk116547066"/>
            <w:r w:rsidRPr="00675182">
              <w:rPr>
                <w:rFonts w:ascii="Calibri" w:hAnsi="Calibri"/>
                <w:sz w:val="20"/>
                <w:lang w:val="lv-LV"/>
              </w:rPr>
              <w:t>Marķēta taka uz Liepas iezi ~1,4 km garumā</w:t>
            </w:r>
            <w:bookmarkEnd w:id="140"/>
          </w:p>
        </w:tc>
      </w:tr>
      <w:tr w:rsidR="00652586" w:rsidRPr="00675182" w14:paraId="7E1E6022" w14:textId="77777777" w:rsidTr="00E21287">
        <w:tc>
          <w:tcPr>
            <w:tcW w:w="872" w:type="dxa"/>
            <w:tcBorders>
              <w:top w:val="single" w:sz="4" w:space="0" w:color="000000"/>
              <w:left w:val="single" w:sz="4" w:space="0" w:color="000000"/>
              <w:bottom w:val="single" w:sz="4" w:space="0" w:color="000000"/>
              <w:right w:val="nil"/>
            </w:tcBorders>
          </w:tcPr>
          <w:p w14:paraId="70A06AC7" w14:textId="77777777" w:rsidR="00652586" w:rsidRPr="00675182" w:rsidRDefault="00652586" w:rsidP="00652586">
            <w:pPr>
              <w:pStyle w:val="naisf"/>
              <w:snapToGrid w:val="0"/>
              <w:spacing w:before="0" w:after="0"/>
              <w:ind w:left="52" w:firstLine="0"/>
              <w:jc w:val="left"/>
              <w:rPr>
                <w:rFonts w:cstheme="minorHAnsi"/>
                <w:sz w:val="20"/>
                <w:lang w:val="lv-LV"/>
              </w:rPr>
            </w:pPr>
            <w:r w:rsidRPr="00675182">
              <w:rPr>
                <w:rFonts w:cstheme="minorHAnsi"/>
                <w:sz w:val="20"/>
                <w:lang w:val="lv-LV"/>
              </w:rPr>
              <w:t>D.2.32.</w:t>
            </w:r>
          </w:p>
        </w:tc>
        <w:tc>
          <w:tcPr>
            <w:tcW w:w="850" w:type="dxa"/>
            <w:tcBorders>
              <w:top w:val="single" w:sz="4" w:space="0" w:color="000000"/>
              <w:left w:val="single" w:sz="4" w:space="0" w:color="000000"/>
              <w:bottom w:val="single" w:sz="4" w:space="0" w:color="000000"/>
              <w:right w:val="nil"/>
            </w:tcBorders>
          </w:tcPr>
          <w:p w14:paraId="552D48CE" w14:textId="77777777" w:rsidR="00652586" w:rsidRPr="00675182" w:rsidRDefault="00652586" w:rsidP="00652586">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454EF20F" w14:textId="56B1372A" w:rsidR="00652586" w:rsidRPr="00675182" w:rsidRDefault="00652586" w:rsidP="00652586">
            <w:pPr>
              <w:pStyle w:val="naisf"/>
              <w:snapToGrid w:val="0"/>
              <w:ind w:firstLine="0"/>
              <w:jc w:val="left"/>
              <w:rPr>
                <w:rFonts w:cstheme="minorHAnsi"/>
                <w:sz w:val="20"/>
                <w:lang w:val="lv-LV"/>
              </w:rPr>
            </w:pPr>
            <w:r w:rsidRPr="00675182">
              <w:rPr>
                <w:rFonts w:ascii="Calibri" w:hAnsi="Calibri"/>
                <w:sz w:val="20"/>
                <w:lang w:val="lv-LV"/>
              </w:rPr>
              <w:t>Tilts pār Gauju Līgatnē</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0A90085" w14:textId="3CA8FE0F"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6E85A456" w14:textId="04B5104C"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Projektu finansējums, pašvaldība, Satiksmes ministrija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17FE7606" w14:textId="65F024BB"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Pašvaldība, Satiksmes ministrija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18029016" w14:textId="23515064" w:rsidR="00652586" w:rsidRPr="00675182" w:rsidRDefault="00652586" w:rsidP="00652586">
            <w:pPr>
              <w:autoSpaceDE w:val="0"/>
              <w:snapToGrid w:val="0"/>
              <w:rPr>
                <w:rFonts w:cstheme="minorHAnsi"/>
                <w:sz w:val="20"/>
              </w:rPr>
            </w:pPr>
            <w:r w:rsidRPr="00675182">
              <w:rPr>
                <w:rFonts w:ascii="Calibri" w:hAnsi="Calibri"/>
                <w:sz w:val="20"/>
              </w:rPr>
              <w:t>Precīzi nav nosakāmas šobrīd; &gt;1mil.EUR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355E4F8B" w14:textId="050D5D23" w:rsidR="00652586" w:rsidRPr="00675182" w:rsidRDefault="00652586" w:rsidP="00652586">
            <w:pPr>
              <w:pStyle w:val="naisf"/>
              <w:snapToGrid w:val="0"/>
              <w:spacing w:before="0" w:after="0"/>
              <w:ind w:firstLine="0"/>
              <w:jc w:val="left"/>
              <w:rPr>
                <w:rFonts w:cstheme="minorHAnsi"/>
                <w:sz w:val="20"/>
                <w:lang w:val="lv-LV"/>
              </w:rPr>
            </w:pPr>
            <w:r w:rsidRPr="00675182">
              <w:rPr>
                <w:rFonts w:ascii="Calibri" w:hAnsi="Calibri"/>
                <w:sz w:val="20"/>
                <w:lang w:val="lv-LV"/>
              </w:rPr>
              <w:t>Veikts detalizēts izvērtējums par būvniecības risinājumiem un izbūvēts tilts</w:t>
            </w:r>
          </w:p>
        </w:tc>
      </w:tr>
      <w:tr w:rsidR="00032115" w:rsidRPr="00675182" w14:paraId="4147A186" w14:textId="77777777" w:rsidTr="00E21287">
        <w:tc>
          <w:tcPr>
            <w:tcW w:w="872" w:type="dxa"/>
            <w:tcBorders>
              <w:top w:val="single" w:sz="4" w:space="0" w:color="000000"/>
              <w:left w:val="single" w:sz="4" w:space="0" w:color="000000"/>
              <w:bottom w:val="single" w:sz="4" w:space="0" w:color="000000"/>
              <w:right w:val="nil"/>
            </w:tcBorders>
          </w:tcPr>
          <w:p w14:paraId="1A1F6B13" w14:textId="6C00A392" w:rsidR="00032115" w:rsidRPr="00675182" w:rsidRDefault="00032115" w:rsidP="00032115">
            <w:pPr>
              <w:pStyle w:val="naisf"/>
              <w:snapToGrid w:val="0"/>
              <w:spacing w:before="0" w:after="0"/>
              <w:ind w:left="52" w:firstLine="0"/>
              <w:jc w:val="left"/>
              <w:rPr>
                <w:rFonts w:cstheme="minorHAnsi"/>
                <w:sz w:val="20"/>
                <w:lang w:val="lv-LV"/>
              </w:rPr>
            </w:pPr>
            <w:r w:rsidRPr="00675182">
              <w:rPr>
                <w:rFonts w:cstheme="minorHAnsi"/>
                <w:sz w:val="20"/>
                <w:lang w:val="lv-LV"/>
              </w:rPr>
              <w:t>D.2.33.</w:t>
            </w:r>
          </w:p>
        </w:tc>
        <w:tc>
          <w:tcPr>
            <w:tcW w:w="850" w:type="dxa"/>
            <w:tcBorders>
              <w:top w:val="single" w:sz="4" w:space="0" w:color="000000"/>
              <w:left w:val="single" w:sz="4" w:space="0" w:color="000000"/>
              <w:bottom w:val="single" w:sz="4" w:space="0" w:color="000000"/>
              <w:right w:val="nil"/>
            </w:tcBorders>
          </w:tcPr>
          <w:p w14:paraId="425B7CC3" w14:textId="6F8FFCF7"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4ACE1BE8" w14:textId="01E88359" w:rsidR="00032115" w:rsidRPr="00675182" w:rsidRDefault="00032115" w:rsidP="00032115">
            <w:pPr>
              <w:pStyle w:val="naisf"/>
              <w:snapToGrid w:val="0"/>
              <w:ind w:firstLine="0"/>
              <w:jc w:val="left"/>
              <w:rPr>
                <w:rFonts w:cstheme="minorHAnsi"/>
                <w:sz w:val="20"/>
                <w:lang w:val="lv-LV"/>
              </w:rPr>
            </w:pPr>
            <w:r w:rsidRPr="00675182">
              <w:rPr>
                <w:rFonts w:cstheme="minorHAnsi"/>
                <w:sz w:val="20"/>
                <w:lang w:val="lv-LV"/>
              </w:rPr>
              <w:t>Stihisko atpūtas vietu labiekārtošana un uzturēšana pie Auciema ezera, ezera ūdens kvalitātes kontrole</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60116FAB" w14:textId="5003AB4C"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7F5CB8A" w14:textId="37CF64C5"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Projektu finansējums,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4B8E2D7F" w14:textId="2A59A219"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DAP, 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28743C1A" w14:textId="47000681" w:rsidR="00032115" w:rsidRPr="00675182" w:rsidRDefault="00C11107" w:rsidP="00032115">
            <w:pPr>
              <w:autoSpaceDE w:val="0"/>
              <w:snapToGrid w:val="0"/>
              <w:rPr>
                <w:rFonts w:cstheme="minorHAnsi"/>
                <w:sz w:val="20"/>
              </w:rPr>
            </w:pPr>
            <w:r w:rsidRPr="00675182">
              <w:rPr>
                <w:rFonts w:ascii="Calibri" w:hAnsi="Calibri"/>
                <w:sz w:val="20"/>
              </w:rPr>
              <w:t>&gt;100 tk EUR atkarībā no īstenojamo pasākumu kopuma</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0E32788E" w14:textId="30C4A4CA"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Izveidota un uzturēta infrastruktūra 2-3 atpūtas vietās, notiek ezera ūdens kvalitātes kontrole</w:t>
            </w:r>
          </w:p>
        </w:tc>
      </w:tr>
      <w:tr w:rsidR="00032115" w:rsidRPr="00675182" w14:paraId="75683E0F" w14:textId="77777777" w:rsidTr="00E21287">
        <w:tc>
          <w:tcPr>
            <w:tcW w:w="872" w:type="dxa"/>
            <w:tcBorders>
              <w:top w:val="single" w:sz="4" w:space="0" w:color="000000"/>
              <w:left w:val="single" w:sz="4" w:space="0" w:color="000000"/>
              <w:bottom w:val="single" w:sz="4" w:space="0" w:color="000000"/>
              <w:right w:val="nil"/>
            </w:tcBorders>
          </w:tcPr>
          <w:p w14:paraId="6E5AF3FB" w14:textId="25F66C13" w:rsidR="00032115" w:rsidRPr="00675182" w:rsidRDefault="00032115" w:rsidP="00032115">
            <w:pPr>
              <w:pStyle w:val="naisf"/>
              <w:snapToGrid w:val="0"/>
              <w:spacing w:before="0" w:after="0"/>
              <w:ind w:left="52" w:firstLine="0"/>
              <w:jc w:val="left"/>
              <w:rPr>
                <w:rFonts w:cstheme="minorHAnsi"/>
                <w:sz w:val="20"/>
                <w:lang w:val="lv-LV"/>
              </w:rPr>
            </w:pPr>
            <w:r w:rsidRPr="00675182">
              <w:rPr>
                <w:rFonts w:cstheme="minorHAnsi"/>
                <w:sz w:val="20"/>
                <w:lang w:val="lv-LV"/>
              </w:rPr>
              <w:t>D.2.34.</w:t>
            </w:r>
          </w:p>
        </w:tc>
        <w:tc>
          <w:tcPr>
            <w:tcW w:w="850" w:type="dxa"/>
            <w:tcBorders>
              <w:top w:val="single" w:sz="4" w:space="0" w:color="000000"/>
              <w:left w:val="single" w:sz="4" w:space="0" w:color="000000"/>
              <w:bottom w:val="single" w:sz="4" w:space="0" w:color="000000"/>
              <w:right w:val="nil"/>
            </w:tcBorders>
          </w:tcPr>
          <w:p w14:paraId="324ED94C" w14:textId="77777777"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15F30EDB" w14:textId="77777777" w:rsidR="00032115" w:rsidRPr="00675182" w:rsidRDefault="00032115" w:rsidP="00032115">
            <w:pPr>
              <w:pStyle w:val="naisf"/>
              <w:snapToGrid w:val="0"/>
              <w:ind w:firstLine="0"/>
              <w:jc w:val="left"/>
              <w:rPr>
                <w:rFonts w:cstheme="minorHAnsi"/>
                <w:sz w:val="20"/>
                <w:lang w:val="lv-LV"/>
              </w:rPr>
            </w:pPr>
            <w:r w:rsidRPr="00675182">
              <w:rPr>
                <w:rFonts w:cstheme="minorHAnsi"/>
                <w:sz w:val="20"/>
                <w:lang w:val="lv-LV"/>
              </w:rPr>
              <w:t>Infrastruktūras papildināšana kempingā “Jenča laivas”</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288D9DA9" w14:textId="77777777"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BE6156A" w14:textId="77777777"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24D0661E" w14:textId="77777777"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69EA41DF" w14:textId="348765D4" w:rsidR="00032115" w:rsidRPr="00675182" w:rsidRDefault="00652586" w:rsidP="00032115">
            <w:pPr>
              <w:autoSpaceDE w:val="0"/>
              <w:snapToGrid w:val="0"/>
              <w:rPr>
                <w:rFonts w:cstheme="minorHAnsi"/>
                <w:sz w:val="20"/>
              </w:rPr>
            </w:pPr>
            <w:r w:rsidRPr="00675182">
              <w:rPr>
                <w:rFonts w:ascii="Calibri" w:hAnsi="Calibri"/>
                <w:sz w:val="20"/>
              </w:rPr>
              <w:t>Atbilstoši plānotajam un īstenošanas kārtām &gt; 20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5AEDF1F6" w14:textId="77777777"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Izveidota infrastruktūra un integrēta kopīgajā tūrisma piedāvājumā</w:t>
            </w:r>
          </w:p>
        </w:tc>
      </w:tr>
      <w:tr w:rsidR="00C11107" w:rsidRPr="00675182" w14:paraId="51269B92" w14:textId="77777777" w:rsidTr="00E21287">
        <w:tc>
          <w:tcPr>
            <w:tcW w:w="872" w:type="dxa"/>
            <w:tcBorders>
              <w:top w:val="single" w:sz="4" w:space="0" w:color="000000"/>
              <w:left w:val="single" w:sz="4" w:space="0" w:color="000000"/>
              <w:bottom w:val="single" w:sz="4" w:space="0" w:color="000000"/>
              <w:right w:val="nil"/>
            </w:tcBorders>
          </w:tcPr>
          <w:p w14:paraId="3B21C188" w14:textId="115DC4C8" w:rsidR="00C11107" w:rsidRPr="00675182" w:rsidRDefault="00C11107" w:rsidP="00C11107">
            <w:pPr>
              <w:pStyle w:val="naisf"/>
              <w:snapToGrid w:val="0"/>
              <w:spacing w:before="0" w:after="0"/>
              <w:ind w:left="52" w:firstLine="0"/>
              <w:jc w:val="left"/>
              <w:rPr>
                <w:rFonts w:cstheme="minorHAnsi"/>
                <w:sz w:val="20"/>
                <w:lang w:val="lv-LV"/>
              </w:rPr>
            </w:pPr>
            <w:r w:rsidRPr="00675182">
              <w:rPr>
                <w:rFonts w:cstheme="minorHAnsi"/>
                <w:sz w:val="20"/>
                <w:lang w:val="lv-LV"/>
              </w:rPr>
              <w:t>D.2.35.</w:t>
            </w:r>
          </w:p>
        </w:tc>
        <w:tc>
          <w:tcPr>
            <w:tcW w:w="850" w:type="dxa"/>
            <w:tcBorders>
              <w:top w:val="single" w:sz="4" w:space="0" w:color="000000"/>
              <w:left w:val="single" w:sz="4" w:space="0" w:color="000000"/>
              <w:bottom w:val="single" w:sz="4" w:space="0" w:color="000000"/>
              <w:right w:val="nil"/>
            </w:tcBorders>
          </w:tcPr>
          <w:p w14:paraId="190A5075"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3BBD4802" w14:textId="77777777" w:rsidR="00C11107" w:rsidRPr="00675182" w:rsidRDefault="00C11107" w:rsidP="00C11107">
            <w:pPr>
              <w:pStyle w:val="naisf"/>
              <w:snapToGrid w:val="0"/>
              <w:ind w:firstLine="0"/>
              <w:jc w:val="left"/>
              <w:rPr>
                <w:rFonts w:cstheme="minorHAnsi"/>
                <w:sz w:val="20"/>
                <w:lang w:val="lv-LV"/>
              </w:rPr>
            </w:pPr>
            <w:r w:rsidRPr="00675182">
              <w:rPr>
                <w:rFonts w:cstheme="minorHAnsi"/>
                <w:sz w:val="20"/>
                <w:lang w:val="lv-LV"/>
              </w:rPr>
              <w:t>Kempinga izveide un apsaimniekošana bijušajā glābšanas stacijā Cēsīs</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678054B5"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413E97BE"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195034C2"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3504BD0F" w14:textId="5B39F582" w:rsidR="00C11107" w:rsidRPr="00675182" w:rsidRDefault="00C11107" w:rsidP="00C11107">
            <w:pPr>
              <w:autoSpaceDE w:val="0"/>
              <w:snapToGrid w:val="0"/>
              <w:rPr>
                <w:rFonts w:cstheme="minorHAnsi"/>
                <w:sz w:val="20"/>
              </w:rPr>
            </w:pPr>
            <w:r w:rsidRPr="00675182">
              <w:rPr>
                <w:rFonts w:ascii="Calibri" w:hAnsi="Calibri"/>
                <w:sz w:val="20"/>
              </w:rPr>
              <w:t>Atbilstoši plānotajam un īstenošanas kārtām &gt;150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11D5C656" w14:textId="21A4ECCB"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Izveidota jauna kempinga vieta  un integrēta kopīgajā tūrisma piedāvājumā un taku tīklā</w:t>
            </w:r>
          </w:p>
        </w:tc>
      </w:tr>
      <w:tr w:rsidR="00C11107" w:rsidRPr="00675182" w14:paraId="5C1AD3E3" w14:textId="77777777" w:rsidTr="00E21287">
        <w:tc>
          <w:tcPr>
            <w:tcW w:w="872" w:type="dxa"/>
            <w:tcBorders>
              <w:top w:val="single" w:sz="4" w:space="0" w:color="000000"/>
              <w:left w:val="single" w:sz="4" w:space="0" w:color="000000"/>
              <w:bottom w:val="single" w:sz="4" w:space="0" w:color="000000"/>
              <w:right w:val="nil"/>
            </w:tcBorders>
          </w:tcPr>
          <w:p w14:paraId="512B1112" w14:textId="6733CC9C" w:rsidR="00C11107" w:rsidRPr="00675182" w:rsidRDefault="00C11107" w:rsidP="00C11107">
            <w:pPr>
              <w:pStyle w:val="naisf"/>
              <w:snapToGrid w:val="0"/>
              <w:spacing w:before="0" w:after="0"/>
              <w:ind w:left="52" w:firstLine="0"/>
              <w:jc w:val="left"/>
              <w:rPr>
                <w:rFonts w:cstheme="minorHAnsi"/>
                <w:sz w:val="20"/>
                <w:lang w:val="lv-LV"/>
              </w:rPr>
            </w:pPr>
            <w:r w:rsidRPr="00675182">
              <w:rPr>
                <w:rFonts w:cstheme="minorHAnsi"/>
                <w:sz w:val="20"/>
                <w:lang w:val="lv-LV"/>
              </w:rPr>
              <w:t>D.2.36</w:t>
            </w:r>
          </w:p>
        </w:tc>
        <w:tc>
          <w:tcPr>
            <w:tcW w:w="850" w:type="dxa"/>
            <w:tcBorders>
              <w:top w:val="single" w:sz="4" w:space="0" w:color="000000"/>
              <w:left w:val="single" w:sz="4" w:space="0" w:color="000000"/>
              <w:bottom w:val="single" w:sz="4" w:space="0" w:color="000000"/>
              <w:right w:val="nil"/>
            </w:tcBorders>
          </w:tcPr>
          <w:p w14:paraId="7C3AC1FE"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75312109" w14:textId="6F6A43EB" w:rsidR="00C11107" w:rsidRPr="00675182" w:rsidRDefault="00C11107" w:rsidP="00C11107">
            <w:pPr>
              <w:pStyle w:val="naisf"/>
              <w:snapToGrid w:val="0"/>
              <w:ind w:firstLine="0"/>
              <w:jc w:val="left"/>
              <w:rPr>
                <w:rFonts w:cstheme="minorHAnsi"/>
                <w:sz w:val="20"/>
                <w:lang w:val="lv-LV"/>
              </w:rPr>
            </w:pPr>
            <w:r w:rsidRPr="00675182">
              <w:rPr>
                <w:rFonts w:cstheme="minorHAnsi"/>
                <w:sz w:val="20"/>
                <w:lang w:val="lv-LV"/>
              </w:rPr>
              <w:t>Atpūtas namiņu un dabas takas izveide pie “Klinšu” mājām un Draņķupītes</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78CD4888"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66489C1"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A05B72A"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18507816" w14:textId="78A91204" w:rsidR="00C11107" w:rsidRPr="00675182" w:rsidRDefault="00C11107" w:rsidP="00C11107">
            <w:pPr>
              <w:autoSpaceDE w:val="0"/>
              <w:snapToGrid w:val="0"/>
              <w:rPr>
                <w:rFonts w:cstheme="minorHAnsi"/>
                <w:sz w:val="20"/>
              </w:rPr>
            </w:pPr>
            <w:r w:rsidRPr="00675182">
              <w:rPr>
                <w:rFonts w:ascii="Calibri" w:hAnsi="Calibri"/>
                <w:sz w:val="20"/>
              </w:rPr>
              <w:t>Atbilstoši plānotajam un īstenošanas kārtām &gt;100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621BB5D0"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Izveidota infrastruktūra, apsaimniekošana notiek atbilstoši rekomendācijām par tūristu plūsmas ierobežošanu</w:t>
            </w:r>
          </w:p>
        </w:tc>
      </w:tr>
      <w:tr w:rsidR="00C11107" w:rsidRPr="00675182" w14:paraId="0637228C" w14:textId="77777777" w:rsidTr="00E21287">
        <w:tc>
          <w:tcPr>
            <w:tcW w:w="872" w:type="dxa"/>
            <w:tcBorders>
              <w:top w:val="single" w:sz="4" w:space="0" w:color="000000"/>
              <w:left w:val="single" w:sz="4" w:space="0" w:color="000000"/>
              <w:bottom w:val="single" w:sz="4" w:space="0" w:color="000000"/>
              <w:right w:val="nil"/>
            </w:tcBorders>
          </w:tcPr>
          <w:p w14:paraId="0C3F97D1" w14:textId="0B079992" w:rsidR="00C11107" w:rsidRPr="00675182" w:rsidRDefault="00C11107" w:rsidP="00C11107">
            <w:pPr>
              <w:pStyle w:val="naisf"/>
              <w:snapToGrid w:val="0"/>
              <w:spacing w:before="0" w:after="0"/>
              <w:ind w:left="52" w:firstLine="0"/>
              <w:jc w:val="left"/>
              <w:rPr>
                <w:rFonts w:cstheme="minorHAnsi"/>
                <w:sz w:val="20"/>
                <w:lang w:val="lv-LV"/>
              </w:rPr>
            </w:pPr>
            <w:r w:rsidRPr="00675182">
              <w:rPr>
                <w:rFonts w:cstheme="minorHAnsi"/>
                <w:sz w:val="20"/>
                <w:lang w:val="lv-LV"/>
              </w:rPr>
              <w:t>D.2.37.</w:t>
            </w:r>
          </w:p>
        </w:tc>
        <w:tc>
          <w:tcPr>
            <w:tcW w:w="850" w:type="dxa"/>
            <w:tcBorders>
              <w:top w:val="single" w:sz="4" w:space="0" w:color="000000"/>
              <w:left w:val="single" w:sz="4" w:space="0" w:color="000000"/>
              <w:bottom w:val="single" w:sz="4" w:space="0" w:color="000000"/>
              <w:right w:val="nil"/>
            </w:tcBorders>
          </w:tcPr>
          <w:p w14:paraId="7EAFD310"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3A40F81C" w14:textId="77777777" w:rsidR="00C11107" w:rsidRPr="00675182" w:rsidRDefault="00C11107" w:rsidP="00C11107">
            <w:pPr>
              <w:pStyle w:val="naisf"/>
              <w:snapToGrid w:val="0"/>
              <w:ind w:firstLine="0"/>
              <w:jc w:val="left"/>
              <w:rPr>
                <w:rFonts w:cstheme="minorHAnsi"/>
                <w:sz w:val="20"/>
                <w:lang w:val="lv-LV"/>
              </w:rPr>
            </w:pPr>
            <w:r w:rsidRPr="00675182">
              <w:rPr>
                <w:rFonts w:cstheme="minorHAnsi"/>
                <w:sz w:val="20"/>
                <w:lang w:val="lv-LV"/>
              </w:rPr>
              <w:t>Tūrisma un rekreācijas infrastruktūras izveide “Viesulēnos”</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697B2834"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34C25185"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1DBE341C"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24E1D304" w14:textId="6FD3016A" w:rsidR="00C11107" w:rsidRPr="00675182" w:rsidRDefault="00C11107" w:rsidP="00C11107">
            <w:pPr>
              <w:autoSpaceDE w:val="0"/>
              <w:snapToGrid w:val="0"/>
              <w:rPr>
                <w:rFonts w:cstheme="minorHAnsi"/>
                <w:sz w:val="20"/>
              </w:rPr>
            </w:pPr>
            <w:r w:rsidRPr="00675182">
              <w:rPr>
                <w:rFonts w:ascii="Calibri" w:hAnsi="Calibri"/>
                <w:sz w:val="20"/>
              </w:rPr>
              <w:t>Līdz 10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066906D1" w14:textId="77777777" w:rsidR="00C11107" w:rsidRPr="00675182" w:rsidRDefault="00C11107" w:rsidP="00C11107">
            <w:pPr>
              <w:pStyle w:val="naisf"/>
              <w:snapToGrid w:val="0"/>
              <w:spacing w:before="0" w:after="0"/>
              <w:ind w:firstLine="0"/>
              <w:jc w:val="left"/>
              <w:rPr>
                <w:rFonts w:cstheme="minorHAnsi"/>
                <w:sz w:val="20"/>
                <w:lang w:val="lv-LV"/>
              </w:rPr>
            </w:pPr>
            <w:r w:rsidRPr="00675182">
              <w:rPr>
                <w:rFonts w:cstheme="minorHAnsi"/>
                <w:sz w:val="20"/>
                <w:lang w:val="lv-LV"/>
              </w:rPr>
              <w:t>Izveidota infrastruktūra un integrēta kopīgajā tūrisma piedāvājumā un taku tīklā</w:t>
            </w:r>
          </w:p>
        </w:tc>
      </w:tr>
      <w:tr w:rsidR="00032115" w:rsidRPr="00675182" w14:paraId="0C0C71B4" w14:textId="77777777" w:rsidTr="00E21287">
        <w:tc>
          <w:tcPr>
            <w:tcW w:w="872" w:type="dxa"/>
            <w:tcBorders>
              <w:top w:val="single" w:sz="4" w:space="0" w:color="000000"/>
              <w:left w:val="single" w:sz="4" w:space="0" w:color="000000"/>
              <w:bottom w:val="single" w:sz="4" w:space="0" w:color="000000"/>
              <w:right w:val="nil"/>
            </w:tcBorders>
          </w:tcPr>
          <w:p w14:paraId="3C49E7F6" w14:textId="720E000C" w:rsidR="00032115" w:rsidRPr="00675182" w:rsidRDefault="00032115" w:rsidP="00032115">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D.2.38.</w:t>
            </w:r>
          </w:p>
        </w:tc>
        <w:tc>
          <w:tcPr>
            <w:tcW w:w="850" w:type="dxa"/>
            <w:tcBorders>
              <w:top w:val="single" w:sz="4" w:space="0" w:color="000000"/>
              <w:left w:val="single" w:sz="4" w:space="0" w:color="000000"/>
              <w:bottom w:val="single" w:sz="4" w:space="0" w:color="000000"/>
              <w:right w:val="nil"/>
            </w:tcBorders>
          </w:tcPr>
          <w:p w14:paraId="7A549371" w14:textId="1E24CF30"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19A95668" w14:textId="052D1D9D" w:rsidR="00032115" w:rsidRPr="00675182" w:rsidRDefault="00032115" w:rsidP="00032115">
            <w:pPr>
              <w:pStyle w:val="naisf"/>
              <w:snapToGrid w:val="0"/>
              <w:ind w:firstLine="0"/>
              <w:jc w:val="left"/>
              <w:rPr>
                <w:rFonts w:cstheme="minorHAnsi"/>
                <w:sz w:val="20"/>
                <w:lang w:val="lv-LV"/>
              </w:rPr>
            </w:pPr>
            <w:r w:rsidRPr="00675182">
              <w:rPr>
                <w:rFonts w:cstheme="minorHAnsi"/>
                <w:sz w:val="20"/>
                <w:lang w:val="lv-LV"/>
              </w:rPr>
              <w:t>Atpūtas namiņu izveide īpašumā “Katrīnas”</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10648D1B" w14:textId="2ED5B3DA"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C85F68F" w14:textId="5761854A"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3A50BD2B" w14:textId="53435294"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4675DFC8" w14:textId="762B3D05" w:rsidR="00032115" w:rsidRPr="00675182" w:rsidRDefault="00C11107" w:rsidP="00032115">
            <w:pPr>
              <w:autoSpaceDE w:val="0"/>
              <w:snapToGrid w:val="0"/>
              <w:rPr>
                <w:rFonts w:cstheme="minorHAnsi"/>
                <w:sz w:val="20"/>
              </w:rPr>
            </w:pPr>
            <w:r w:rsidRPr="00675182">
              <w:rPr>
                <w:rFonts w:ascii="Calibri" w:hAnsi="Calibri"/>
                <w:sz w:val="20"/>
              </w:rPr>
              <w:t>Līdz 10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3316C83C" w14:textId="6F12CD86" w:rsidR="00032115" w:rsidRPr="00675182" w:rsidRDefault="00032115" w:rsidP="00032115">
            <w:pPr>
              <w:pStyle w:val="naisf"/>
              <w:snapToGrid w:val="0"/>
              <w:spacing w:before="0" w:after="0"/>
              <w:ind w:firstLine="0"/>
              <w:jc w:val="left"/>
              <w:rPr>
                <w:rFonts w:cstheme="minorHAnsi"/>
                <w:sz w:val="20"/>
                <w:lang w:val="lv-LV"/>
              </w:rPr>
            </w:pPr>
            <w:r w:rsidRPr="00675182">
              <w:rPr>
                <w:rFonts w:cstheme="minorHAnsi"/>
                <w:sz w:val="20"/>
                <w:lang w:val="lv-LV"/>
              </w:rPr>
              <w:t>Izveidota infrastruktūra, apsaimniekošana notiek atbilstoši rekomendācijām par tūristu plūsmas ierobežošanu</w:t>
            </w:r>
          </w:p>
        </w:tc>
      </w:tr>
      <w:tr w:rsidR="00CE699B" w:rsidRPr="00675182" w14:paraId="5453ED16" w14:textId="77777777" w:rsidTr="005C7AF4">
        <w:tc>
          <w:tcPr>
            <w:tcW w:w="872" w:type="dxa"/>
            <w:tcBorders>
              <w:top w:val="single" w:sz="4" w:space="0" w:color="000000"/>
              <w:left w:val="single" w:sz="4" w:space="0" w:color="000000"/>
              <w:bottom w:val="single" w:sz="4" w:space="0" w:color="000000"/>
              <w:right w:val="nil"/>
            </w:tcBorders>
          </w:tcPr>
          <w:p w14:paraId="3FC670F8" w14:textId="2F0C0C50"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D.2.40.</w:t>
            </w:r>
          </w:p>
        </w:tc>
        <w:tc>
          <w:tcPr>
            <w:tcW w:w="850" w:type="dxa"/>
            <w:tcBorders>
              <w:top w:val="single" w:sz="4" w:space="0" w:color="000000"/>
              <w:left w:val="single" w:sz="4" w:space="0" w:color="000000"/>
              <w:bottom w:val="single" w:sz="4" w:space="0" w:color="000000"/>
              <w:right w:val="nil"/>
            </w:tcBorders>
          </w:tcPr>
          <w:p w14:paraId="3AE8ABA7" w14:textId="6C841700"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0B0E07D4" w14:textId="22735536"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Tūrisma infrastruktūras atjaunošana un uzturēšana “Vecupītēs”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344F018B" w14:textId="3D98B5FC"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2025</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55FB0DCF" w14:textId="268A5552"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pašvaldība, 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1B4D8FA6" w14:textId="23F7FD4A"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pašvaldība, NVO</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098C97CB" w14:textId="7BBCB2D5" w:rsidR="00CE699B" w:rsidRPr="00675182" w:rsidRDefault="00CE699B" w:rsidP="00CE699B">
            <w:pPr>
              <w:autoSpaceDE w:val="0"/>
              <w:snapToGrid w:val="0"/>
              <w:rPr>
                <w:rFonts w:ascii="Calibri" w:hAnsi="Calibri"/>
                <w:sz w:val="20"/>
              </w:rPr>
            </w:pPr>
            <w:r w:rsidRPr="00675182">
              <w:rPr>
                <w:rFonts w:cstheme="minorHAns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71A7FAF8" w14:textId="11258301"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Atjaunota un uzturēta infrastruktūra un tiek apsaimniekots un atbilstoši GNP mērķiem izmantots kādreizējais dabas izglītības centrs “Vecupītēs”</w:t>
            </w:r>
          </w:p>
        </w:tc>
      </w:tr>
      <w:tr w:rsidR="00CE699B" w:rsidRPr="00675182" w14:paraId="084FBCC0" w14:textId="77777777" w:rsidTr="00E21287">
        <w:tc>
          <w:tcPr>
            <w:tcW w:w="872" w:type="dxa"/>
            <w:tcBorders>
              <w:top w:val="single" w:sz="4" w:space="0" w:color="000000"/>
              <w:left w:val="single" w:sz="4" w:space="0" w:color="000000"/>
              <w:bottom w:val="single" w:sz="4" w:space="0" w:color="000000"/>
              <w:right w:val="nil"/>
            </w:tcBorders>
          </w:tcPr>
          <w:p w14:paraId="6F8FDED6" w14:textId="3F6389D6"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D.2.39</w:t>
            </w:r>
          </w:p>
        </w:tc>
        <w:tc>
          <w:tcPr>
            <w:tcW w:w="850" w:type="dxa"/>
            <w:tcBorders>
              <w:top w:val="single" w:sz="4" w:space="0" w:color="000000"/>
              <w:left w:val="single" w:sz="4" w:space="0" w:color="000000"/>
              <w:bottom w:val="single" w:sz="4" w:space="0" w:color="000000"/>
              <w:right w:val="nil"/>
            </w:tcBorders>
          </w:tcPr>
          <w:p w14:paraId="7D64B28C" w14:textId="68ABAFD4"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D.1.</w:t>
            </w:r>
          </w:p>
        </w:tc>
        <w:tc>
          <w:tcPr>
            <w:tcW w:w="2670" w:type="dxa"/>
            <w:tcBorders>
              <w:top w:val="single" w:sz="4" w:space="0" w:color="000000"/>
              <w:left w:val="single" w:sz="4" w:space="0" w:color="000000"/>
              <w:bottom w:val="single" w:sz="4" w:space="0" w:color="000000"/>
              <w:right w:val="nil"/>
            </w:tcBorders>
          </w:tcPr>
          <w:p w14:paraId="1B2299FA" w14:textId="1D855719" w:rsidR="00CE699B" w:rsidRPr="00675182" w:rsidRDefault="00CE699B" w:rsidP="00CE699B">
            <w:pPr>
              <w:pStyle w:val="naisf"/>
              <w:snapToGrid w:val="0"/>
              <w:ind w:firstLine="0"/>
              <w:jc w:val="left"/>
              <w:rPr>
                <w:rFonts w:cstheme="minorHAnsi"/>
                <w:sz w:val="20"/>
                <w:lang w:val="lv-LV"/>
              </w:rPr>
            </w:pPr>
            <w:bookmarkStart w:id="141" w:name="_Hlk116557571"/>
            <w:r w:rsidRPr="00675182">
              <w:rPr>
                <w:rFonts w:cstheme="minorHAnsi"/>
                <w:sz w:val="20"/>
                <w:lang w:val="lv-LV"/>
              </w:rPr>
              <w:t>Tūrisma infrastruktūras izveide īpašumā “Viļņi”</w:t>
            </w:r>
            <w:bookmarkEnd w:id="141"/>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1979BBB4" w14:textId="1F6B0FF5"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6E229E7D" w14:textId="694FF47B"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412700CB" w14:textId="3B6301A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Zemes īpašnieks</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10564E6E" w14:textId="14E02420" w:rsidR="00CE699B" w:rsidRPr="00675182" w:rsidRDefault="00CE699B" w:rsidP="00CE699B">
            <w:pPr>
              <w:autoSpaceDE w:val="0"/>
              <w:snapToGrid w:val="0"/>
              <w:rPr>
                <w:rFonts w:cstheme="minorHAnsi"/>
                <w:sz w:val="20"/>
              </w:rPr>
            </w:pPr>
            <w:r w:rsidRPr="00675182">
              <w:rPr>
                <w:rFonts w:ascii="Calibri" w:hAnsi="Calibri"/>
                <w:sz w:val="20"/>
              </w:rPr>
              <w:t>Līdz 10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5A0B8DE7" w14:textId="0EA9D541"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Izveidota infrastruktūra un integrēta kopīgajā tūrisma piedāvājumā un taku tīklā</w:t>
            </w:r>
          </w:p>
        </w:tc>
      </w:tr>
      <w:tr w:rsidR="00CE699B" w:rsidRPr="00675182" w14:paraId="2B15DF01" w14:textId="77777777" w:rsidTr="00E21287">
        <w:tc>
          <w:tcPr>
            <w:tcW w:w="872" w:type="dxa"/>
            <w:tcBorders>
              <w:top w:val="single" w:sz="4" w:space="0" w:color="000000"/>
              <w:left w:val="single" w:sz="4" w:space="0" w:color="000000"/>
              <w:bottom w:val="single" w:sz="4" w:space="0" w:color="000000"/>
              <w:right w:val="nil"/>
            </w:tcBorders>
          </w:tcPr>
          <w:p w14:paraId="0C350531"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42" w:name="_Hlk83239433"/>
            <w:r w:rsidRPr="00675182">
              <w:rPr>
                <w:rFonts w:cstheme="minorHAnsi"/>
                <w:sz w:val="20"/>
                <w:lang w:val="lv-LV"/>
              </w:rPr>
              <w:t>D.3.1</w:t>
            </w:r>
          </w:p>
        </w:tc>
        <w:tc>
          <w:tcPr>
            <w:tcW w:w="850" w:type="dxa"/>
            <w:tcBorders>
              <w:top w:val="single" w:sz="4" w:space="0" w:color="000000"/>
              <w:left w:val="single" w:sz="4" w:space="0" w:color="000000"/>
              <w:bottom w:val="single" w:sz="4" w:space="0" w:color="000000"/>
              <w:right w:val="nil"/>
            </w:tcBorders>
          </w:tcPr>
          <w:p w14:paraId="6914E25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613C36FD" w14:textId="1E9107B0" w:rsidR="00CE699B" w:rsidRPr="00675182" w:rsidRDefault="00CE699B" w:rsidP="00CE699B">
            <w:pPr>
              <w:pStyle w:val="naisf"/>
              <w:snapToGrid w:val="0"/>
              <w:ind w:firstLine="0"/>
              <w:jc w:val="left"/>
              <w:rPr>
                <w:rFonts w:cstheme="minorHAnsi"/>
                <w:sz w:val="20"/>
                <w:lang w:val="lv-LV"/>
              </w:rPr>
            </w:pPr>
            <w:r w:rsidRPr="00675182">
              <w:rPr>
                <w:rFonts w:ascii="Calibri" w:hAnsi="Calibri"/>
                <w:bCs/>
                <w:i/>
                <w:iCs/>
                <w:sz w:val="20"/>
                <w:lang w:val="lv-LV"/>
              </w:rPr>
              <w:t xml:space="preserve">EUROPARC </w:t>
            </w:r>
            <w:r w:rsidRPr="00675182">
              <w:rPr>
                <w:rFonts w:ascii="Calibri" w:hAnsi="Calibri"/>
                <w:bCs/>
                <w:sz w:val="20"/>
                <w:lang w:val="lv-LV"/>
              </w:rPr>
              <w:t>ilgtspējīgas tūrisma hartas nosacījumu izpilde un sertificēšanās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5E166CC3" w14:textId="101E9AB3"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2023</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1D57616A" w14:textId="7E7FE2D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Projekta finansējums, pašvaldības, Gaujas NP tūrisma attīstības biedrība, Vidzemes plānošanas reģions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C40DA8D" w14:textId="22177521"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GNP tūrisma attīstības biedrība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1F0D3229" w14:textId="70A34B75" w:rsidR="00CE699B" w:rsidRPr="00675182" w:rsidRDefault="00CE699B" w:rsidP="00CE699B">
            <w:pPr>
              <w:autoSpaceDE w:val="0"/>
              <w:snapToGrid w:val="0"/>
              <w:rPr>
                <w:rFonts w:cstheme="minorHAnsi"/>
                <w:sz w:val="20"/>
              </w:rPr>
            </w:pPr>
            <w:r w:rsidRPr="00675182">
              <w:rPr>
                <w:rFonts w:ascii="Calibri" w:hAnsi="Calibri"/>
                <w:sz w:val="20"/>
              </w:rPr>
              <w:t>~6000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584A07B0" w14:textId="71DEB2A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 xml:space="preserve">Ieviesta </w:t>
            </w:r>
            <w:r w:rsidRPr="00675182">
              <w:rPr>
                <w:rFonts w:ascii="Calibri" w:hAnsi="Calibri"/>
                <w:bCs/>
                <w:i/>
                <w:iCs/>
                <w:sz w:val="20"/>
                <w:lang w:val="lv-LV"/>
              </w:rPr>
              <w:t xml:space="preserve">EUROPARC </w:t>
            </w:r>
            <w:r w:rsidRPr="00675182">
              <w:rPr>
                <w:rFonts w:ascii="Calibri" w:hAnsi="Calibri"/>
                <w:bCs/>
                <w:sz w:val="20"/>
                <w:lang w:val="lv-LV"/>
              </w:rPr>
              <w:t>ilgtspējīgas tūrisma harta, iegūts sertifikāts</w:t>
            </w:r>
          </w:p>
        </w:tc>
      </w:tr>
      <w:tr w:rsidR="00CE699B" w:rsidRPr="00675182" w14:paraId="723D766C" w14:textId="77777777" w:rsidTr="00E21287">
        <w:tc>
          <w:tcPr>
            <w:tcW w:w="872" w:type="dxa"/>
            <w:tcBorders>
              <w:top w:val="single" w:sz="4" w:space="0" w:color="000000"/>
              <w:left w:val="single" w:sz="4" w:space="0" w:color="000000"/>
              <w:bottom w:val="single" w:sz="4" w:space="0" w:color="000000"/>
              <w:right w:val="nil"/>
            </w:tcBorders>
          </w:tcPr>
          <w:p w14:paraId="0118EAB4"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D.3.2</w:t>
            </w:r>
          </w:p>
        </w:tc>
        <w:tc>
          <w:tcPr>
            <w:tcW w:w="850" w:type="dxa"/>
            <w:tcBorders>
              <w:top w:val="single" w:sz="4" w:space="0" w:color="000000"/>
              <w:left w:val="single" w:sz="4" w:space="0" w:color="000000"/>
              <w:bottom w:val="single" w:sz="4" w:space="0" w:color="000000"/>
              <w:right w:val="nil"/>
            </w:tcBorders>
          </w:tcPr>
          <w:p w14:paraId="33F0BDDA"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35B03275" w14:textId="532DC396" w:rsidR="00CE699B" w:rsidRPr="00675182" w:rsidRDefault="00CE699B" w:rsidP="00CE699B">
            <w:pPr>
              <w:pStyle w:val="naisf"/>
              <w:snapToGrid w:val="0"/>
              <w:ind w:firstLine="0"/>
              <w:jc w:val="left"/>
              <w:rPr>
                <w:rFonts w:cstheme="minorHAnsi"/>
                <w:sz w:val="20"/>
                <w:lang w:val="lv-LV"/>
              </w:rPr>
            </w:pPr>
            <w:r w:rsidRPr="00675182">
              <w:rPr>
                <w:rFonts w:ascii="Calibri" w:hAnsi="Calibri"/>
                <w:bCs/>
                <w:sz w:val="20"/>
                <w:lang w:val="lv-LV"/>
              </w:rPr>
              <w:t>Iesaistīto pušu dialoga par dabas aizsardzībai nozīmīgiem mērķiem uzturēšana Gaujas NP tūrisma klāstera ietvaros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38C84D0" w14:textId="4A774B9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00CFFAAE" w14:textId="59192F4D"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uzņēmēju finansējums, piesaistīto projektu resursi</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45D093E4" w14:textId="30AB6A4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GNP tūrisma attīstības biedrība un visas iesaistītās puses, t.sk. 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DC671E3" w14:textId="5F971839" w:rsidR="00CE699B" w:rsidRPr="00675182" w:rsidRDefault="00CE699B" w:rsidP="00CE699B">
            <w:pPr>
              <w:autoSpaceDE w:val="0"/>
              <w:snapToGrid w:val="0"/>
              <w:rPr>
                <w:rFonts w:cstheme="minorHAnsi"/>
                <w:sz w:val="20"/>
              </w:rPr>
            </w:pPr>
            <w:r w:rsidRPr="00675182">
              <w:rPr>
                <w:rFonts w:ascii="Calibri" w:hAnsi="Calibri"/>
                <w:sz w:val="20"/>
              </w:rPr>
              <w:t>Administratīvās izmaksas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710BF185" w14:textId="2496F050"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Ir notikušas regulāras  Gaujas NP tūrisma klastera vadības grupu sanāksmes</w:t>
            </w:r>
          </w:p>
        </w:tc>
      </w:tr>
      <w:tr w:rsidR="00CE699B" w:rsidRPr="00675182" w14:paraId="3B7ED3F2" w14:textId="77777777" w:rsidTr="00E21287">
        <w:tc>
          <w:tcPr>
            <w:tcW w:w="872" w:type="dxa"/>
            <w:tcBorders>
              <w:top w:val="single" w:sz="4" w:space="0" w:color="000000"/>
              <w:left w:val="single" w:sz="4" w:space="0" w:color="000000"/>
              <w:bottom w:val="single" w:sz="4" w:space="0" w:color="000000"/>
              <w:right w:val="nil"/>
            </w:tcBorders>
          </w:tcPr>
          <w:p w14:paraId="3AF4F7DC"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D.3.3</w:t>
            </w:r>
          </w:p>
        </w:tc>
        <w:tc>
          <w:tcPr>
            <w:tcW w:w="850" w:type="dxa"/>
            <w:tcBorders>
              <w:top w:val="single" w:sz="4" w:space="0" w:color="000000"/>
              <w:left w:val="single" w:sz="4" w:space="0" w:color="000000"/>
              <w:bottom w:val="single" w:sz="4" w:space="0" w:color="000000"/>
              <w:right w:val="nil"/>
            </w:tcBorders>
          </w:tcPr>
          <w:p w14:paraId="62D578A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D.1.</w:t>
            </w:r>
          </w:p>
          <w:p w14:paraId="3283892C"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p w14:paraId="7B322E4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4F265D11" w14:textId="5A419965" w:rsidR="00CE699B" w:rsidRPr="00675182" w:rsidRDefault="00CE699B" w:rsidP="00CE699B">
            <w:pPr>
              <w:pStyle w:val="naisf"/>
              <w:snapToGrid w:val="0"/>
              <w:ind w:firstLine="0"/>
              <w:jc w:val="left"/>
              <w:rPr>
                <w:rFonts w:cstheme="minorHAnsi"/>
                <w:sz w:val="20"/>
                <w:lang w:val="lv-LV"/>
              </w:rPr>
            </w:pPr>
            <w:r w:rsidRPr="00675182">
              <w:rPr>
                <w:rFonts w:ascii="Calibri" w:hAnsi="Calibri"/>
                <w:bCs/>
                <w:sz w:val="20"/>
                <w:lang w:val="lv-LV"/>
              </w:rPr>
              <w:t xml:space="preserve">Apsaimniekošanas līgumu slēgšana par infrastruktūras uzturēšanu sadarbībā ar iesaistītajām ieinteresētajām pusēm (NVO, uzņēmēji) </w:t>
            </w:r>
            <w:r w:rsidRPr="00675182">
              <w:rPr>
                <w:rFonts w:ascii="Calibri" w:hAnsi="Calibri"/>
                <w:bCs/>
                <w:sz w:val="20"/>
                <w:lang w:val="lv-LV"/>
              </w:rPr>
              <w:lastRenderedPageBreak/>
              <w:t>apsaimniekošanas kapacitātes stiprināšanai</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DCD3802" w14:textId="0EA57A85"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lastRenderedPageBreak/>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14EA6E9C" w14:textId="0109CBF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Korporatīvais finansējums, piesaistītie ziedojumi u.c.</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00A20DE6" w14:textId="7310ACC2"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GNP fonds, DAP un iesaistītās ieinteresētās puses (NVO, iedzīvotāju iniciatīvu grupas, uzņēmēji…)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3FBDF02" w14:textId="302C1D9E"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50A7413E" w14:textId="6A34688C" w:rsidR="00CE699B" w:rsidRPr="00FD3D19" w:rsidRDefault="00CE699B" w:rsidP="00CE699B">
            <w:pPr>
              <w:pStyle w:val="naisf"/>
              <w:snapToGrid w:val="0"/>
              <w:spacing w:before="0" w:after="0"/>
              <w:ind w:firstLine="0"/>
              <w:jc w:val="left"/>
              <w:rPr>
                <w:rFonts w:cstheme="minorHAnsi"/>
                <w:sz w:val="20"/>
                <w:lang w:val="lv-LV"/>
              </w:rPr>
            </w:pPr>
            <w:r w:rsidRPr="00BF7348">
              <w:rPr>
                <w:rFonts w:ascii="Calibri" w:hAnsi="Calibri"/>
                <w:sz w:val="20"/>
                <w:lang w:val="lv-LV"/>
              </w:rPr>
              <w:t>Noslēgti atbilstoši līgumi ar apsaimniekotājiem  vismaz par piecu infrastruktūras vietu apsaimniekošanu gadā</w:t>
            </w:r>
          </w:p>
        </w:tc>
      </w:tr>
      <w:tr w:rsidR="00CE699B" w:rsidRPr="00675182" w14:paraId="21885D6A" w14:textId="77777777" w:rsidTr="00E21287">
        <w:tc>
          <w:tcPr>
            <w:tcW w:w="872" w:type="dxa"/>
            <w:tcBorders>
              <w:top w:val="single" w:sz="4" w:space="0" w:color="000000"/>
              <w:left w:val="single" w:sz="4" w:space="0" w:color="000000"/>
              <w:bottom w:val="single" w:sz="4" w:space="0" w:color="000000"/>
              <w:right w:val="nil"/>
            </w:tcBorders>
          </w:tcPr>
          <w:p w14:paraId="0B95BE63"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D.3.4</w:t>
            </w:r>
          </w:p>
        </w:tc>
        <w:tc>
          <w:tcPr>
            <w:tcW w:w="850" w:type="dxa"/>
            <w:tcBorders>
              <w:top w:val="single" w:sz="4" w:space="0" w:color="000000"/>
              <w:left w:val="single" w:sz="4" w:space="0" w:color="000000"/>
              <w:bottom w:val="single" w:sz="4" w:space="0" w:color="000000"/>
              <w:right w:val="nil"/>
            </w:tcBorders>
          </w:tcPr>
          <w:p w14:paraId="0AB59CC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D.1.</w:t>
            </w:r>
          </w:p>
          <w:p w14:paraId="744C5CB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308D3A23" w14:textId="293EA089" w:rsidR="00CE699B" w:rsidRPr="00675182" w:rsidRDefault="00CE699B" w:rsidP="00CE699B">
            <w:pPr>
              <w:pStyle w:val="naisf"/>
              <w:snapToGrid w:val="0"/>
              <w:ind w:firstLine="0"/>
              <w:jc w:val="left"/>
              <w:rPr>
                <w:rFonts w:cstheme="minorHAnsi"/>
                <w:sz w:val="20"/>
                <w:lang w:val="lv-LV"/>
              </w:rPr>
            </w:pPr>
            <w:r w:rsidRPr="00675182">
              <w:rPr>
                <w:rFonts w:ascii="Calibri" w:hAnsi="Calibri"/>
                <w:bCs/>
                <w:sz w:val="20"/>
                <w:lang w:val="lv-LV"/>
              </w:rPr>
              <w:t>Zilā karoga peldvietu izveide (Vaidavas ezers, Ungura ezers, Niniera ezers u.c.) un esošo kvalitatīva uzturēšana (Siguldas pludmale), oficiālo peldvietu iniciēšana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34FC14FA" w14:textId="084ECB94"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45BD8081" w14:textId="07C30A6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LVAF, 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11F7ABDC" w14:textId="229CF763"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588C5FA" w14:textId="647D642B" w:rsidR="00CE699B" w:rsidRPr="00675182" w:rsidRDefault="00CE699B" w:rsidP="00CE699B">
            <w:pPr>
              <w:autoSpaceDE w:val="0"/>
              <w:snapToGrid w:val="0"/>
              <w:rPr>
                <w:rFonts w:cstheme="minorHAnsi"/>
                <w:sz w:val="20"/>
              </w:rPr>
            </w:pPr>
            <w:r w:rsidRPr="00675182">
              <w:rPr>
                <w:rFonts w:ascii="Calibri" w:hAnsi="Calibri"/>
                <w:sz w:val="20"/>
              </w:rPr>
              <w:t>Izmaksas izveidei un ieviešanai līdz 10000 EUR + administratīvā kapacitāte drošības nodrošināšanai</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B1FE45B" w14:textId="64EEB380"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Izveidotas vismaz 3 zilā karoga pludmales ar nodrošinātu ūdens kvalitātes monitoringu un apmeklētāju drošību. Zilā karoga sertifikāts katrai pludmalei</w:t>
            </w:r>
          </w:p>
        </w:tc>
      </w:tr>
      <w:tr w:rsidR="00CE699B" w:rsidRPr="00675182" w14:paraId="3E7AC886" w14:textId="77777777" w:rsidTr="00E21287">
        <w:tc>
          <w:tcPr>
            <w:tcW w:w="872" w:type="dxa"/>
            <w:tcBorders>
              <w:top w:val="single" w:sz="4" w:space="0" w:color="000000"/>
              <w:left w:val="single" w:sz="4" w:space="0" w:color="000000"/>
              <w:bottom w:val="single" w:sz="4" w:space="0" w:color="000000"/>
              <w:right w:val="nil"/>
            </w:tcBorders>
          </w:tcPr>
          <w:p w14:paraId="077463A2"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D.3.5</w:t>
            </w:r>
          </w:p>
        </w:tc>
        <w:tc>
          <w:tcPr>
            <w:tcW w:w="850" w:type="dxa"/>
            <w:tcBorders>
              <w:top w:val="single" w:sz="4" w:space="0" w:color="000000"/>
              <w:left w:val="single" w:sz="4" w:space="0" w:color="000000"/>
              <w:bottom w:val="single" w:sz="4" w:space="0" w:color="000000"/>
              <w:right w:val="nil"/>
            </w:tcBorders>
          </w:tcPr>
          <w:p w14:paraId="171EF334"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D.2.</w:t>
            </w:r>
          </w:p>
        </w:tc>
        <w:tc>
          <w:tcPr>
            <w:tcW w:w="2670" w:type="dxa"/>
            <w:tcBorders>
              <w:top w:val="single" w:sz="4" w:space="0" w:color="000000"/>
              <w:left w:val="single" w:sz="4" w:space="0" w:color="000000"/>
              <w:bottom w:val="single" w:sz="4" w:space="0" w:color="000000"/>
              <w:right w:val="nil"/>
            </w:tcBorders>
          </w:tcPr>
          <w:p w14:paraId="1964D1F5" w14:textId="4155620C" w:rsidR="00CE699B" w:rsidRPr="00675182" w:rsidRDefault="00CE699B" w:rsidP="00CE699B">
            <w:pPr>
              <w:pStyle w:val="naisf"/>
              <w:snapToGrid w:val="0"/>
              <w:ind w:firstLine="0"/>
              <w:jc w:val="left"/>
              <w:rPr>
                <w:rFonts w:cstheme="minorHAnsi"/>
                <w:sz w:val="20"/>
                <w:lang w:val="lv-LV"/>
              </w:rPr>
            </w:pPr>
            <w:r w:rsidRPr="00675182">
              <w:rPr>
                <w:rFonts w:ascii="Calibri" w:hAnsi="Calibri"/>
                <w:bCs/>
                <w:sz w:val="20"/>
                <w:lang w:val="lv-LV"/>
              </w:rPr>
              <w:t>Oficiālo peldvietu statusa noteikšana populārākajām piekļuves vietām ūdenim</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BD76318" w14:textId="10DEA5A6"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21016750" w14:textId="46A26E8D"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 LEADER u.c. piesaistītais 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4DE52880" w14:textId="73BB4C3E"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 Valsts veselības inspekcija kā kontrolējošā iestāde ūdens monitoringam</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B4F986E" w14:textId="1726A4D3" w:rsidR="00CE699B" w:rsidRPr="00675182" w:rsidRDefault="00CE699B" w:rsidP="00CE699B">
            <w:pPr>
              <w:autoSpaceDE w:val="0"/>
              <w:snapToGrid w:val="0"/>
              <w:rPr>
                <w:rFonts w:cstheme="minorHAnsi"/>
                <w:sz w:val="20"/>
              </w:rPr>
            </w:pPr>
            <w:r w:rsidRPr="00675182">
              <w:rPr>
                <w:rFonts w:ascii="Calibri" w:hAnsi="Calibri"/>
                <w:sz w:val="20"/>
              </w:rPr>
              <w:t>Izmaksas izveidei un ieviešanai līdz 5000 EUR + administratīvā kapacitāte drošības nodrošināšanai</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7979D4F" w14:textId="209F7C32"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Palielināts oficiālo peldvietu skaits</w:t>
            </w:r>
          </w:p>
        </w:tc>
      </w:tr>
      <w:tr w:rsidR="00CE699B" w:rsidRPr="00675182" w14:paraId="6CDCB7E1" w14:textId="77777777" w:rsidTr="00E21287">
        <w:tc>
          <w:tcPr>
            <w:tcW w:w="872" w:type="dxa"/>
            <w:tcBorders>
              <w:top w:val="single" w:sz="4" w:space="0" w:color="000000"/>
              <w:left w:val="single" w:sz="4" w:space="0" w:color="000000"/>
              <w:bottom w:val="single" w:sz="4" w:space="0" w:color="000000"/>
              <w:right w:val="nil"/>
            </w:tcBorders>
          </w:tcPr>
          <w:p w14:paraId="076B9AF1"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D.3.6</w:t>
            </w:r>
          </w:p>
        </w:tc>
        <w:tc>
          <w:tcPr>
            <w:tcW w:w="850" w:type="dxa"/>
            <w:tcBorders>
              <w:top w:val="single" w:sz="4" w:space="0" w:color="000000"/>
              <w:left w:val="single" w:sz="4" w:space="0" w:color="000000"/>
              <w:bottom w:val="single" w:sz="4" w:space="0" w:color="000000"/>
              <w:right w:val="nil"/>
            </w:tcBorders>
          </w:tcPr>
          <w:p w14:paraId="4623D65C"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D.1</w:t>
            </w:r>
          </w:p>
          <w:p w14:paraId="67E353D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1714902A" w14:textId="516B83E7" w:rsidR="00CE699B" w:rsidRPr="00675182" w:rsidRDefault="00CE699B" w:rsidP="00CE699B">
            <w:pPr>
              <w:pStyle w:val="naisf"/>
              <w:snapToGrid w:val="0"/>
              <w:ind w:firstLine="0"/>
              <w:jc w:val="left"/>
              <w:rPr>
                <w:rFonts w:cstheme="minorHAnsi"/>
                <w:sz w:val="20"/>
                <w:lang w:val="lv-LV"/>
              </w:rPr>
            </w:pPr>
            <w:r w:rsidRPr="00675182">
              <w:rPr>
                <w:rFonts w:ascii="Calibri" w:hAnsi="Calibri"/>
                <w:bCs/>
                <w:sz w:val="20"/>
                <w:lang w:val="lv-LV"/>
              </w:rPr>
              <w:t>Maksas ieviešana populārākajās tūristu apmeklētajās vietās par stāvvietām ar attālinātām/mobilām norēķinu iespējām un izvērstu skaidrojumu par ieguldījumu infrastruktūras nodrošināšanā. (Konkrēta sadarbība Līču-Laņģu dabas takai ar Liepas kopu u.c.)</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AEB570E" w14:textId="1377A00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2022 un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0177659E" w14:textId="6791FCA2" w:rsidR="00CE699B" w:rsidRPr="00675182" w:rsidRDefault="00CE699B" w:rsidP="00CE699B">
            <w:pPr>
              <w:pStyle w:val="naisf"/>
              <w:snapToGrid w:val="0"/>
              <w:spacing w:before="0" w:after="0"/>
              <w:ind w:firstLine="0"/>
              <w:jc w:val="left"/>
              <w:rPr>
                <w:rFonts w:cstheme="minorHAnsi"/>
                <w:sz w:val="20"/>
                <w:lang w:val="lv-LV"/>
              </w:rPr>
            </w:pPr>
            <w:r>
              <w:rPr>
                <w:rFonts w:ascii="Calibri" w:hAnsi="Calibri"/>
                <w:sz w:val="20"/>
                <w:lang w:val="lv-LV"/>
              </w:rPr>
              <w:t>,Zemes īpašnieki, pašvaldības, DAP, NVO</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C821458" w14:textId="6695B202" w:rsidR="00CE699B" w:rsidRPr="00675182" w:rsidRDefault="00CE699B" w:rsidP="00CE699B">
            <w:pPr>
              <w:pStyle w:val="naisf"/>
              <w:snapToGrid w:val="0"/>
              <w:spacing w:before="0" w:after="0"/>
              <w:ind w:firstLine="0"/>
              <w:jc w:val="left"/>
              <w:rPr>
                <w:rFonts w:cstheme="minorHAnsi"/>
                <w:sz w:val="20"/>
                <w:lang w:val="lv-LV"/>
              </w:rPr>
            </w:pPr>
            <w:r w:rsidRPr="00330D1E">
              <w:rPr>
                <w:rFonts w:ascii="Calibri" w:hAnsi="Calibri"/>
                <w:sz w:val="20"/>
                <w:lang w:val="lv-LV"/>
              </w:rPr>
              <w:t>Zemes īpašnieki, pašvaldības, DAP, NVO</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05536BC9" w14:textId="532CBE15" w:rsidR="00CE699B" w:rsidRPr="00675182" w:rsidRDefault="00CE699B" w:rsidP="00CE699B">
            <w:pPr>
              <w:autoSpaceDE w:val="0"/>
              <w:snapToGrid w:val="0"/>
              <w:rPr>
                <w:rFonts w:cstheme="minorHAnsi"/>
                <w:sz w:val="20"/>
              </w:rPr>
            </w:pPr>
            <w:r w:rsidRPr="00675182">
              <w:rPr>
                <w:rFonts w:ascii="Calibri" w:hAnsi="Calibri"/>
                <w:sz w:val="20"/>
              </w:rPr>
              <w:t>Uzstādīšanas izmaksas un administrēšana sadarbībā ar risinātāja piedāvājumu; &lt;5% no apgrozījuma maksa par uzturēšanu.</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C5AA79A" w14:textId="698B6E9D"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Ieviesti maksas automāti. Izdarot secinājumus par pirmo darbības gadu, starpvērtējums pasākuma turpmākai (plašākai) veikšanai</w:t>
            </w:r>
          </w:p>
        </w:tc>
      </w:tr>
      <w:tr w:rsidR="00CE699B" w:rsidRPr="00675182" w14:paraId="444FA286" w14:textId="77777777" w:rsidTr="00E21287">
        <w:tc>
          <w:tcPr>
            <w:tcW w:w="872" w:type="dxa"/>
            <w:tcBorders>
              <w:top w:val="single" w:sz="4" w:space="0" w:color="000000"/>
              <w:left w:val="single" w:sz="4" w:space="0" w:color="000000"/>
              <w:bottom w:val="single" w:sz="4" w:space="0" w:color="000000"/>
              <w:right w:val="nil"/>
            </w:tcBorders>
          </w:tcPr>
          <w:p w14:paraId="6A87132B"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D.3.7</w:t>
            </w:r>
          </w:p>
        </w:tc>
        <w:tc>
          <w:tcPr>
            <w:tcW w:w="850" w:type="dxa"/>
            <w:tcBorders>
              <w:top w:val="single" w:sz="4" w:space="0" w:color="000000"/>
              <w:left w:val="single" w:sz="4" w:space="0" w:color="000000"/>
              <w:bottom w:val="single" w:sz="4" w:space="0" w:color="000000"/>
              <w:right w:val="nil"/>
            </w:tcBorders>
          </w:tcPr>
          <w:p w14:paraId="5AF7502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5CC9F753" w14:textId="4408DF59"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Brīvprātīgās sertifikācijas / vai zīmolu sistēmu ieviešanas veicināšana komercsektorā, kas izceļ kvalitāti / vides draudzīgumu / ilgtspēju un / vai korporatīvo sociālo atbildību</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B221639" w14:textId="31B814F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75BB7833" w14:textId="5658A6DA"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Privātais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3FF2128" w14:textId="54725275"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GNP tūrisma attīstības biedrība, uzņēmēji, tūrisma pakalpojumu sniedzēji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5DA7D345" w14:textId="5C6321F7" w:rsidR="00CE699B" w:rsidRPr="00675182" w:rsidRDefault="00CE699B" w:rsidP="00CE699B">
            <w:pPr>
              <w:autoSpaceDE w:val="0"/>
              <w:snapToGrid w:val="0"/>
              <w:rPr>
                <w:rFonts w:cstheme="minorHAnsi"/>
                <w:sz w:val="20"/>
              </w:rPr>
            </w:pPr>
            <w:r w:rsidRPr="00675182">
              <w:rPr>
                <w:rFonts w:ascii="Calibri" w:hAnsi="Calibri"/>
                <w:sz w:val="20"/>
              </w:rPr>
              <w:t>Izdevumi kritēriju izpildei un atbilstības sertificēšanai</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0A60F2CF" w14:textId="3B3FE4B6"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Tūrisma uzņēmumu un organizāciju proporcija Gaujas NP galamērķī, kas izmanto brīvprātīgās sertifikācijas / vai zīmolu sistēmas, kas izceļ kvalitāti / vides draudzīgumu / ilgtspēju un / vai korporatīvo sociālo atbildību</w:t>
            </w:r>
          </w:p>
        </w:tc>
      </w:tr>
      <w:tr w:rsidR="00CE699B" w:rsidRPr="00675182" w14:paraId="0E14A204" w14:textId="77777777" w:rsidTr="00E21287">
        <w:tc>
          <w:tcPr>
            <w:tcW w:w="872" w:type="dxa"/>
            <w:tcBorders>
              <w:top w:val="single" w:sz="4" w:space="0" w:color="000000"/>
              <w:left w:val="single" w:sz="4" w:space="0" w:color="000000"/>
              <w:bottom w:val="single" w:sz="4" w:space="0" w:color="000000"/>
              <w:right w:val="nil"/>
            </w:tcBorders>
          </w:tcPr>
          <w:p w14:paraId="3E1AD8C7"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 xml:space="preserve">D.3.8. </w:t>
            </w:r>
          </w:p>
        </w:tc>
        <w:tc>
          <w:tcPr>
            <w:tcW w:w="850" w:type="dxa"/>
            <w:tcBorders>
              <w:top w:val="single" w:sz="4" w:space="0" w:color="000000"/>
              <w:left w:val="single" w:sz="4" w:space="0" w:color="000000"/>
              <w:bottom w:val="single" w:sz="4" w:space="0" w:color="000000"/>
              <w:right w:val="nil"/>
            </w:tcBorders>
          </w:tcPr>
          <w:p w14:paraId="26FB2BE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0CD0F094" w14:textId="39CB9074"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Licencētās makšķerēšanas ieviešana Ungura ezerā</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6AA0A33" w14:textId="09F7862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II, līdz 2026. gadam</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0456155B" w14:textId="5A972962"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 NVO iniciatīvas, LAP valsts Zivju fonda finansējums konkrētām aktivitātēm</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757DFAD4" w14:textId="5AC7BDF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Ungura ezera apsaimniekošanas biedrības izveide. Ieinteresēto pušu kopīga iniciatīva. Pašvaldības atbalsts un ieinteresētība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7D0C8EBF" w14:textId="2375E032" w:rsidR="00CE699B" w:rsidRPr="00675182" w:rsidRDefault="00CE699B" w:rsidP="00CE699B">
            <w:pPr>
              <w:autoSpaceDE w:val="0"/>
              <w:snapToGrid w:val="0"/>
              <w:rPr>
                <w:rFonts w:cstheme="minorHAnsi"/>
                <w:sz w:val="20"/>
              </w:rPr>
            </w:pPr>
            <w:r w:rsidRPr="00675182">
              <w:rPr>
                <w:rFonts w:ascii="Calibri" w:hAnsi="Calibri"/>
                <w:sz w:val="20"/>
              </w:rPr>
              <w:t>Licencēšanas ieviešana saistīta ar administratīvajiem resursiem, koordinēšanas, komunicēšanas un kontroles izmaksām. Sākot no 30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5CD3FC7" w14:textId="2E7801E1"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Nodibināta Ungura ezera apsaimniekošanas biedrība, ieviesta licencēšanas sistēma, palielinās mērķtiecīga makšķernieku piesaiste, mazinās maluzvejniecība, Cēsu novada un Gaujas NP viesu mājās / restorānos pieejamas zivis no Ungura ezera. Pārdotas ~3000 makšķerēšanas licences otrajā pilnajā licenču darbības gadā. Piesaistīti resursi plēsīgo zivju resursu atražošanai.</w:t>
            </w:r>
          </w:p>
        </w:tc>
      </w:tr>
      <w:tr w:rsidR="00CE699B" w:rsidRPr="00675182" w14:paraId="28188774" w14:textId="77777777" w:rsidTr="00E21287">
        <w:tc>
          <w:tcPr>
            <w:tcW w:w="872" w:type="dxa"/>
            <w:tcBorders>
              <w:top w:val="single" w:sz="4" w:space="0" w:color="000000"/>
              <w:left w:val="single" w:sz="4" w:space="0" w:color="000000"/>
              <w:bottom w:val="single" w:sz="4" w:space="0" w:color="000000"/>
              <w:right w:val="nil"/>
            </w:tcBorders>
          </w:tcPr>
          <w:p w14:paraId="48983C6F"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43" w:name="_Hlk83239650"/>
            <w:bookmarkEnd w:id="142"/>
            <w:r w:rsidRPr="00675182">
              <w:rPr>
                <w:rFonts w:cstheme="minorHAnsi"/>
                <w:sz w:val="20"/>
                <w:lang w:val="lv-LV"/>
              </w:rPr>
              <w:t>D.4.1</w:t>
            </w:r>
          </w:p>
        </w:tc>
        <w:tc>
          <w:tcPr>
            <w:tcW w:w="850" w:type="dxa"/>
            <w:tcBorders>
              <w:top w:val="single" w:sz="4" w:space="0" w:color="000000"/>
              <w:left w:val="single" w:sz="4" w:space="0" w:color="000000"/>
              <w:bottom w:val="single" w:sz="4" w:space="0" w:color="000000"/>
              <w:right w:val="nil"/>
            </w:tcBorders>
          </w:tcPr>
          <w:p w14:paraId="13534505"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7C8B8A5C" w14:textId="4E23CDDE"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Vietējo kopienu un iniciatīvas grupu iesaistīšana tūrisma attīstības plānošanā un norisēs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1047D872" w14:textId="120262F8"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2F474BFB" w14:textId="682FC33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Publisko pasākumu organizatori, pašvaldības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D3AA95C" w14:textId="3F1C0D5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Publisko pasākumu organizatori, pašvaldības un vietējās iniciatīvu grupas kopienās</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E800BB6" w14:textId="40C553DD" w:rsidR="00CE699B" w:rsidRPr="00675182" w:rsidRDefault="00CE699B" w:rsidP="00CE699B">
            <w:pPr>
              <w:autoSpaceDE w:val="0"/>
              <w:snapToGrid w:val="0"/>
              <w:rPr>
                <w:rFonts w:cstheme="minorHAnsi"/>
                <w:sz w:val="20"/>
              </w:rPr>
            </w:pPr>
            <w:r w:rsidRPr="00675182">
              <w:rPr>
                <w:rFonts w:ascii="Calibri" w:hAnsi="Calibri"/>
                <w:sz w:val="20"/>
              </w:rPr>
              <w:t>Administratīvie izdevumi</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014DFE11" w14:textId="41AD789C" w:rsidR="00CE699B" w:rsidRPr="00675182" w:rsidRDefault="00CE699B" w:rsidP="00CE699B">
            <w:pPr>
              <w:pStyle w:val="naisf"/>
              <w:snapToGrid w:val="0"/>
              <w:spacing w:before="0" w:after="0"/>
              <w:ind w:firstLine="0"/>
              <w:jc w:val="left"/>
              <w:rPr>
                <w:rFonts w:cstheme="minorHAnsi"/>
                <w:sz w:val="20"/>
                <w:highlight w:val="magenta"/>
                <w:lang w:val="lv-LV"/>
              </w:rPr>
            </w:pPr>
            <w:r w:rsidRPr="00675182">
              <w:rPr>
                <w:rFonts w:ascii="Calibri" w:hAnsi="Calibri"/>
                <w:sz w:val="20"/>
                <w:lang w:val="lv-LV"/>
              </w:rPr>
              <w:t>Mazinājies vietējo iedzīvotāju skaits GNP, kuri no tūrisma jūt negatīvu ietekmi (&lt;15%)</w:t>
            </w:r>
          </w:p>
        </w:tc>
      </w:tr>
      <w:tr w:rsidR="00CE699B" w:rsidRPr="00675182" w14:paraId="4631E44B" w14:textId="77777777" w:rsidTr="00E21287">
        <w:tc>
          <w:tcPr>
            <w:tcW w:w="872" w:type="dxa"/>
            <w:tcBorders>
              <w:top w:val="single" w:sz="4" w:space="0" w:color="000000"/>
              <w:left w:val="single" w:sz="4" w:space="0" w:color="000000"/>
              <w:bottom w:val="single" w:sz="4" w:space="0" w:color="000000"/>
              <w:right w:val="nil"/>
            </w:tcBorders>
          </w:tcPr>
          <w:p w14:paraId="5011263D"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D.4.2</w:t>
            </w:r>
          </w:p>
        </w:tc>
        <w:tc>
          <w:tcPr>
            <w:tcW w:w="850" w:type="dxa"/>
            <w:tcBorders>
              <w:top w:val="single" w:sz="4" w:space="0" w:color="000000"/>
              <w:left w:val="single" w:sz="4" w:space="0" w:color="000000"/>
              <w:bottom w:val="single" w:sz="4" w:space="0" w:color="000000"/>
              <w:right w:val="nil"/>
            </w:tcBorders>
          </w:tcPr>
          <w:p w14:paraId="3CF4C0D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149810EB" w14:textId="03C4B0DA"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Regulāras un izglītojošas komunikācijas uzturēšana starp GNP pārstāvjiem, vietējiem iedzīvotājiem un nacionālā parka apmeklētājiem</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28CDBC0C" w14:textId="3016C3A0"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77B3E66E" w14:textId="7AB2234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u.c. iesaistītās puses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4B9C1481" w14:textId="07B6779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u.c. iesaistītās puses</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3DCB6D28" w14:textId="42C79E94" w:rsidR="00CE699B" w:rsidRPr="00675182" w:rsidRDefault="00CE699B" w:rsidP="00CE699B">
            <w:pPr>
              <w:autoSpaceDE w:val="0"/>
              <w:snapToGrid w:val="0"/>
              <w:rPr>
                <w:rFonts w:cstheme="minorHAnsi"/>
                <w:sz w:val="20"/>
              </w:rPr>
            </w:pPr>
            <w:r w:rsidRPr="00675182">
              <w:rPr>
                <w:rFonts w:ascii="Calibri" w:hAnsi="Calibri"/>
                <w:sz w:val="20"/>
              </w:rPr>
              <w:t>Administratīvie izdevumi</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0277EA2" w14:textId="578584C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 xml:space="preserve">Digitālo resursu apmeklētības mērījumi, komunikācijas metrika. </w:t>
            </w:r>
          </w:p>
        </w:tc>
      </w:tr>
      <w:bookmarkEnd w:id="143"/>
      <w:tr w:rsidR="00CE699B" w:rsidRPr="00675182" w14:paraId="47450E5E" w14:textId="77777777" w:rsidTr="00E21287">
        <w:trPr>
          <w:trHeight w:val="2782"/>
        </w:trPr>
        <w:tc>
          <w:tcPr>
            <w:tcW w:w="872" w:type="dxa"/>
            <w:tcBorders>
              <w:top w:val="single" w:sz="4" w:space="0" w:color="000000"/>
              <w:left w:val="single" w:sz="4" w:space="0" w:color="000000"/>
              <w:bottom w:val="single" w:sz="4" w:space="0" w:color="000000"/>
              <w:right w:val="nil"/>
            </w:tcBorders>
          </w:tcPr>
          <w:p w14:paraId="030FEA1D"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D.4.3</w:t>
            </w:r>
          </w:p>
        </w:tc>
        <w:tc>
          <w:tcPr>
            <w:tcW w:w="850" w:type="dxa"/>
            <w:tcBorders>
              <w:top w:val="single" w:sz="4" w:space="0" w:color="000000"/>
              <w:left w:val="single" w:sz="4" w:space="0" w:color="000000"/>
              <w:bottom w:val="single" w:sz="4" w:space="0" w:color="000000"/>
              <w:right w:val="nil"/>
            </w:tcBorders>
          </w:tcPr>
          <w:p w14:paraId="14951E5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37B9FE92" w14:textId="2EC365C0"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Iespējamo konfliktu identificēšana, preventīvi samazinot to izpausmes (no tūrisma un rekreācijas – apmeklētāju plūsmas ietekmes)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75680765" w14:textId="7653F683"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32F09E29" w14:textId="3D72D51D"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sadarbībā ar pašvaldībām</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3F05719" w14:textId="6D8FCE4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pašvaldības, Vidzemes Augstskola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464A2982" w14:textId="723A8F04" w:rsidR="00CE699B" w:rsidRPr="00675182" w:rsidRDefault="00CE699B" w:rsidP="00CE699B">
            <w:pPr>
              <w:autoSpaceDE w:val="0"/>
              <w:snapToGrid w:val="0"/>
              <w:rPr>
                <w:rFonts w:cstheme="minorHAnsi"/>
                <w:sz w:val="20"/>
              </w:rPr>
            </w:pPr>
            <w:r w:rsidRPr="00675182">
              <w:rPr>
                <w:rFonts w:ascii="Calibri" w:hAnsi="Calibri"/>
                <w:sz w:val="20"/>
              </w:rPr>
              <w:t>Administratīvie izdevumi</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26272862" w14:textId="1073B98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Mazinājies vietējo iedzīvotāju skaits GNP, kuri no tūrisma jūt negatīvu ietekmi (&lt;15%)</w:t>
            </w:r>
          </w:p>
        </w:tc>
      </w:tr>
      <w:tr w:rsidR="00CE699B" w:rsidRPr="00675182" w14:paraId="0A096D21" w14:textId="77777777" w:rsidTr="00E21287">
        <w:tc>
          <w:tcPr>
            <w:tcW w:w="872" w:type="dxa"/>
            <w:tcBorders>
              <w:top w:val="single" w:sz="4" w:space="0" w:color="000000"/>
              <w:left w:val="single" w:sz="4" w:space="0" w:color="000000"/>
              <w:bottom w:val="single" w:sz="4" w:space="0" w:color="000000"/>
              <w:right w:val="nil"/>
            </w:tcBorders>
          </w:tcPr>
          <w:p w14:paraId="3F451306"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D.4.4</w:t>
            </w:r>
          </w:p>
        </w:tc>
        <w:tc>
          <w:tcPr>
            <w:tcW w:w="850" w:type="dxa"/>
            <w:tcBorders>
              <w:top w:val="single" w:sz="4" w:space="0" w:color="000000"/>
              <w:left w:val="single" w:sz="4" w:space="0" w:color="000000"/>
              <w:bottom w:val="single" w:sz="4" w:space="0" w:color="000000"/>
              <w:right w:val="nil"/>
            </w:tcBorders>
          </w:tcPr>
          <w:p w14:paraId="57F7B614"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D.1.</w:t>
            </w:r>
          </w:p>
          <w:p w14:paraId="5511027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D.2.</w:t>
            </w:r>
          </w:p>
          <w:p w14:paraId="089984D4"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p w14:paraId="04895F75"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251FC5F3" w14:textId="51FB0CB5"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Tūrisma publiskās vides pieejamības veicināšana cilvēkiem ar kustību traucējumiem, universālā dizaina ieviešana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EF9C8D4" w14:textId="107AE6B2"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5F9A46C7" w14:textId="1A81A37F"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Tūrisma infrastruktūras un labiekārtojuma veidotāji (publiskas un privātas personas)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C9A315C" w14:textId="51B1F2F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Tūrisma infrastruktūras un labiekārtojuma veidotāji (publiskas un privātas personas)</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026473F0" w14:textId="14331B5C"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2C065AC" w14:textId="22059D0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To istabu un tūrisma objektu procentuālā daļa, kas komerciālajās izmitināšanas iestādēs vai publisko pakalpojumu sniegšanas vietās ir pieejamas cilvēkiem ar invaliditāti. Indikators</w:t>
            </w:r>
          </w:p>
        </w:tc>
      </w:tr>
      <w:tr w:rsidR="00CE699B" w:rsidRPr="00675182" w14:paraId="442AE2F0" w14:textId="77777777" w:rsidTr="00E21287">
        <w:tc>
          <w:tcPr>
            <w:tcW w:w="872" w:type="dxa"/>
            <w:tcBorders>
              <w:top w:val="single" w:sz="4" w:space="0" w:color="000000"/>
              <w:left w:val="single" w:sz="4" w:space="0" w:color="000000"/>
              <w:bottom w:val="single" w:sz="4" w:space="0" w:color="000000"/>
              <w:right w:val="nil"/>
            </w:tcBorders>
          </w:tcPr>
          <w:p w14:paraId="26AC35D9"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44" w:name="_Hlk83240746"/>
            <w:r w:rsidRPr="00675182">
              <w:rPr>
                <w:rFonts w:cstheme="minorHAnsi"/>
                <w:sz w:val="20"/>
                <w:lang w:val="lv-LV"/>
              </w:rPr>
              <w:t>D.5.1</w:t>
            </w:r>
          </w:p>
        </w:tc>
        <w:tc>
          <w:tcPr>
            <w:tcW w:w="850" w:type="dxa"/>
            <w:tcBorders>
              <w:top w:val="single" w:sz="4" w:space="0" w:color="000000"/>
              <w:left w:val="single" w:sz="4" w:space="0" w:color="000000"/>
              <w:bottom w:val="single" w:sz="4" w:space="0" w:color="000000"/>
              <w:right w:val="nil"/>
            </w:tcBorders>
          </w:tcPr>
          <w:p w14:paraId="379A9BC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p w14:paraId="4156E1E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p w14:paraId="3D24649B" w14:textId="77777777" w:rsidR="00CE699B" w:rsidRPr="00675182" w:rsidRDefault="00CE699B" w:rsidP="00CE699B">
            <w:pPr>
              <w:pStyle w:val="naisf"/>
              <w:snapToGrid w:val="0"/>
              <w:spacing w:before="0" w:after="0"/>
              <w:ind w:firstLine="0"/>
              <w:jc w:val="left"/>
              <w:rPr>
                <w:rFonts w:cstheme="minorHAnsi"/>
                <w:sz w:val="20"/>
                <w:lang w:val="lv-LV"/>
              </w:rPr>
            </w:pPr>
          </w:p>
        </w:tc>
        <w:tc>
          <w:tcPr>
            <w:tcW w:w="2670" w:type="dxa"/>
            <w:tcBorders>
              <w:top w:val="single" w:sz="4" w:space="0" w:color="000000"/>
              <w:left w:val="single" w:sz="4" w:space="0" w:color="000000"/>
              <w:bottom w:val="single" w:sz="4" w:space="0" w:color="000000"/>
              <w:right w:val="nil"/>
            </w:tcBorders>
          </w:tcPr>
          <w:p w14:paraId="38346F6B" w14:textId="03FE0AD2"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 xml:space="preserve">GNP tūrisma iespēju atbildīga popularizēšana (izceļot autentisku saturu, respektējot dažādu vietu kapacitāti un iespējas dažādās sezonās, </w:t>
            </w:r>
            <w:r w:rsidRPr="00675182">
              <w:rPr>
                <w:rFonts w:ascii="Calibri" w:hAnsi="Calibri"/>
                <w:sz w:val="20"/>
                <w:lang w:val="lv-LV"/>
              </w:rPr>
              <w:lastRenderedPageBreak/>
              <w:t>lielāko slodzi plānojot ārpus jutīgākajām zonām, nepopularizējot vietas, kuras nav piemērotas apmeklēšanai)</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EA31EEE" w14:textId="2E476BB0"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lastRenderedPageBreak/>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62E6801A" w14:textId="2D06FD9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Tūrisma infrastruktūras un labiekārtojuma veidotāji (publiskas un privātas personas), DAP, VARAM, KM</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FCD5803" w14:textId="00F3BAC6"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GNP tūrisma attīstības biedrība, DAP u.c. iesaistītās puses</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43B63A84" w14:textId="2150DE3A" w:rsidR="00CE699B" w:rsidRPr="00675182" w:rsidRDefault="00CE699B" w:rsidP="00CE699B">
            <w:pPr>
              <w:autoSpaceDE w:val="0"/>
              <w:snapToGrid w:val="0"/>
              <w:rPr>
                <w:rFonts w:cstheme="minorHAnsi"/>
                <w:sz w:val="20"/>
              </w:rPr>
            </w:pPr>
            <w:r w:rsidRPr="00675182">
              <w:rPr>
                <w:rFonts w:ascii="Calibri" w:hAnsi="Calibri"/>
                <w:sz w:val="20"/>
              </w:rPr>
              <w:t xml:space="preserve">Līdz 10000 EUR gadā, kā sadaļa iekļaujama GNP tūrisma klastera ilgtermiņa </w:t>
            </w:r>
            <w:r w:rsidRPr="00675182">
              <w:rPr>
                <w:rFonts w:ascii="Calibri" w:hAnsi="Calibri"/>
                <w:sz w:val="20"/>
              </w:rPr>
              <w:lastRenderedPageBreak/>
              <w:t>stratēģijas ietvaros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0EFA21C" w14:textId="20F1643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lastRenderedPageBreak/>
              <w:t>Digitālais apmeklējums dažādām saistītajām mājas lapu sadaļām</w:t>
            </w:r>
          </w:p>
        </w:tc>
      </w:tr>
      <w:tr w:rsidR="00CE699B" w:rsidRPr="00675182" w14:paraId="40CFACA6" w14:textId="77777777" w:rsidTr="00E21287">
        <w:tc>
          <w:tcPr>
            <w:tcW w:w="872" w:type="dxa"/>
            <w:tcBorders>
              <w:top w:val="single" w:sz="4" w:space="0" w:color="000000"/>
              <w:left w:val="single" w:sz="4" w:space="0" w:color="000000"/>
              <w:bottom w:val="single" w:sz="4" w:space="0" w:color="000000"/>
              <w:right w:val="nil"/>
            </w:tcBorders>
          </w:tcPr>
          <w:p w14:paraId="3C50F811"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D.5.2</w:t>
            </w:r>
          </w:p>
        </w:tc>
        <w:tc>
          <w:tcPr>
            <w:tcW w:w="850" w:type="dxa"/>
            <w:tcBorders>
              <w:top w:val="single" w:sz="4" w:space="0" w:color="000000"/>
              <w:left w:val="single" w:sz="4" w:space="0" w:color="000000"/>
              <w:bottom w:val="single" w:sz="4" w:space="0" w:color="000000"/>
              <w:right w:val="nil"/>
            </w:tcBorders>
          </w:tcPr>
          <w:p w14:paraId="094966B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5FF63958" w14:textId="3DA4CDA2"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Integrētās komunikācijas rīcību plāna izveide un ieviešana, segmentējot prioritārās mērķgrupas un tām nododamo vēstījumu</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402CE06" w14:textId="7F4D0B0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2023 un uzturēšana/ieviešana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7AA6629D" w14:textId="10D6170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C222834" w14:textId="0843DF90"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56D46CE" w14:textId="0621B26E" w:rsidR="00CE699B" w:rsidRPr="00675182" w:rsidRDefault="00CE699B" w:rsidP="00CE699B">
            <w:pPr>
              <w:autoSpaceDE w:val="0"/>
              <w:snapToGrid w:val="0"/>
              <w:rPr>
                <w:rFonts w:cstheme="minorHAnsi"/>
                <w:sz w:val="20"/>
              </w:rPr>
            </w:pPr>
            <w:r w:rsidRPr="00675182">
              <w:rPr>
                <w:rFonts w:ascii="Calibri" w:hAnsi="Calibri"/>
                <w:sz w:val="20"/>
              </w:rPr>
              <w:t>Līdz 2000 EUR, kā sadaļa iekļaujama GNP tūrisma klastera ilgtermiņa stratēģijas ietvaros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C422699" w14:textId="463EDA11"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Izveidots un ieviests komunikācijas plāns; Digitālais pieprasījums</w:t>
            </w:r>
          </w:p>
        </w:tc>
      </w:tr>
      <w:tr w:rsidR="00CE699B" w:rsidRPr="00675182" w14:paraId="34CD0426" w14:textId="77777777" w:rsidTr="00E21287">
        <w:tc>
          <w:tcPr>
            <w:tcW w:w="872" w:type="dxa"/>
            <w:tcBorders>
              <w:top w:val="single" w:sz="4" w:space="0" w:color="000000"/>
              <w:left w:val="single" w:sz="4" w:space="0" w:color="000000"/>
              <w:bottom w:val="single" w:sz="4" w:space="0" w:color="000000"/>
              <w:right w:val="nil"/>
            </w:tcBorders>
          </w:tcPr>
          <w:p w14:paraId="7A1F39E3"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45" w:name="_Hlk83241165"/>
            <w:bookmarkEnd w:id="144"/>
            <w:r w:rsidRPr="00675182">
              <w:rPr>
                <w:rFonts w:cstheme="minorHAnsi"/>
                <w:sz w:val="20"/>
                <w:lang w:val="lv-LV"/>
              </w:rPr>
              <w:t>D.6.1</w:t>
            </w:r>
          </w:p>
        </w:tc>
        <w:tc>
          <w:tcPr>
            <w:tcW w:w="850" w:type="dxa"/>
            <w:tcBorders>
              <w:top w:val="single" w:sz="4" w:space="0" w:color="000000"/>
              <w:left w:val="single" w:sz="4" w:space="0" w:color="000000"/>
              <w:bottom w:val="single" w:sz="4" w:space="0" w:color="000000"/>
              <w:right w:val="nil"/>
            </w:tcBorders>
          </w:tcPr>
          <w:p w14:paraId="1AFCB4A6"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6BAB0F75" w14:textId="6B2ED8FB"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Jaunu tūrisma attīstības iniciatīvu konsultēšana un atbildīga attīstīšana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1C7CDC77" w14:textId="6021415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7D227680" w14:textId="69970F7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Iniciatīvu veidotāji, Biznesa inkubators, pašvaldība, LEADER VRG u.c.</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D202435" w14:textId="77777777" w:rsidR="00CE699B" w:rsidRPr="00675182" w:rsidRDefault="00CE699B" w:rsidP="00CE699B">
            <w:pPr>
              <w:snapToGrid w:val="0"/>
              <w:rPr>
                <w:rFonts w:ascii="Calibri" w:eastAsia="Arial Unicode MS" w:hAnsi="Calibri"/>
                <w:sz w:val="20"/>
              </w:rPr>
            </w:pPr>
            <w:r w:rsidRPr="00675182">
              <w:rPr>
                <w:rFonts w:ascii="Calibri" w:eastAsia="Arial Unicode MS" w:hAnsi="Calibri"/>
                <w:sz w:val="20"/>
              </w:rPr>
              <w:t>Tūrisma eksperti, DAP eksperti</w:t>
            </w:r>
          </w:p>
          <w:p w14:paraId="78B0BD82" w14:textId="1519E58A"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VVD</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77690150" w14:textId="77777777" w:rsidR="00CE699B" w:rsidRPr="00675182" w:rsidRDefault="00CE699B" w:rsidP="00CE699B">
            <w:pPr>
              <w:autoSpaceDE w:val="0"/>
              <w:snapToGrid w:val="0"/>
              <w:rPr>
                <w:rFonts w:ascii="Calibri" w:hAnsi="Calibri"/>
                <w:sz w:val="20"/>
              </w:rPr>
            </w:pPr>
            <w:r w:rsidRPr="00675182">
              <w:rPr>
                <w:rFonts w:ascii="Calibri" w:hAnsi="Calibri"/>
                <w:sz w:val="20"/>
              </w:rPr>
              <w:t>Otrajā pakāpē - ietekmes uz vidi izvērtējums</w:t>
            </w:r>
          </w:p>
          <w:p w14:paraId="0B2B6E42" w14:textId="12644883" w:rsidR="00CE699B" w:rsidRPr="00675182" w:rsidRDefault="00CE699B" w:rsidP="00CE699B">
            <w:pPr>
              <w:autoSpaceDE w:val="0"/>
              <w:snapToGrid w:val="0"/>
              <w:rPr>
                <w:rFonts w:cstheme="minorHAnsi"/>
                <w:sz w:val="20"/>
              </w:rPr>
            </w:pPr>
            <w:r w:rsidRPr="00675182">
              <w:rPr>
                <w:rFonts w:ascii="Calibri" w:hAnsi="Calibri"/>
                <w:sz w:val="20"/>
              </w:rPr>
              <w:t>20- 30 tk EUR</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1C31927A" w14:textId="2C3E732D"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Mazinās antropogēnā slodze no ekonomiski ilgtspējīgu risinājumu darbības</w:t>
            </w:r>
          </w:p>
        </w:tc>
      </w:tr>
      <w:tr w:rsidR="00CE699B" w:rsidRPr="00675182" w14:paraId="32583CA4" w14:textId="77777777" w:rsidTr="00E21287">
        <w:tc>
          <w:tcPr>
            <w:tcW w:w="872" w:type="dxa"/>
            <w:tcBorders>
              <w:top w:val="single" w:sz="4" w:space="0" w:color="000000"/>
              <w:left w:val="single" w:sz="4" w:space="0" w:color="000000"/>
              <w:bottom w:val="single" w:sz="4" w:space="0" w:color="000000"/>
              <w:right w:val="nil"/>
            </w:tcBorders>
          </w:tcPr>
          <w:p w14:paraId="3824F7A1"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D.6.2</w:t>
            </w:r>
          </w:p>
        </w:tc>
        <w:tc>
          <w:tcPr>
            <w:tcW w:w="850" w:type="dxa"/>
            <w:tcBorders>
              <w:top w:val="single" w:sz="4" w:space="0" w:color="000000"/>
              <w:left w:val="single" w:sz="4" w:space="0" w:color="000000"/>
              <w:bottom w:val="single" w:sz="4" w:space="0" w:color="000000"/>
              <w:right w:val="nil"/>
            </w:tcBorders>
          </w:tcPr>
          <w:p w14:paraId="7D3C9C7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194AD420" w14:textId="7D9AB2A7"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Dabas izglītību veicinošu tūrisma pakalpojumu attīstīšana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66B89C46" w14:textId="3B5E13D1"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535022AA" w14:textId="443FB49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NVO, projektu resursi, uzņēmēju līdzfinansējums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444EA98D" w14:textId="43E76114"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Uzņēmēji, tūrisma pakalpojumu sniedzēji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18CB5F3D" w14:textId="4BBE4213"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D1178E8" w14:textId="7413C7C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Dabas izglītību veicinošu tūrisma pakalpojumu skaits</w:t>
            </w:r>
          </w:p>
        </w:tc>
      </w:tr>
      <w:tr w:rsidR="00CE699B" w:rsidRPr="00675182" w14:paraId="6D00EA14" w14:textId="77777777" w:rsidTr="00E21287">
        <w:tc>
          <w:tcPr>
            <w:tcW w:w="872" w:type="dxa"/>
            <w:tcBorders>
              <w:top w:val="single" w:sz="4" w:space="0" w:color="000000"/>
              <w:left w:val="single" w:sz="4" w:space="0" w:color="000000"/>
              <w:bottom w:val="single" w:sz="4" w:space="0" w:color="000000"/>
              <w:right w:val="nil"/>
            </w:tcBorders>
          </w:tcPr>
          <w:p w14:paraId="7E1B29AE"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D.6.3</w:t>
            </w:r>
          </w:p>
        </w:tc>
        <w:tc>
          <w:tcPr>
            <w:tcW w:w="850" w:type="dxa"/>
            <w:tcBorders>
              <w:top w:val="single" w:sz="4" w:space="0" w:color="000000"/>
              <w:left w:val="single" w:sz="4" w:space="0" w:color="000000"/>
              <w:bottom w:val="single" w:sz="4" w:space="0" w:color="000000"/>
              <w:right w:val="nil"/>
            </w:tcBorders>
          </w:tcPr>
          <w:p w14:paraId="731AEAB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6AAAC3D8" w14:textId="12DAEBC6" w:rsidR="00CE699B" w:rsidRPr="00675182" w:rsidRDefault="00CE699B" w:rsidP="00CE699B">
            <w:pPr>
              <w:pStyle w:val="naisf"/>
              <w:snapToGrid w:val="0"/>
              <w:ind w:firstLine="0"/>
              <w:jc w:val="left"/>
              <w:rPr>
                <w:rFonts w:cstheme="minorHAnsi"/>
                <w:sz w:val="20"/>
                <w:lang w:val="lv-LV"/>
              </w:rPr>
            </w:pPr>
            <w:bookmarkStart w:id="146" w:name="_Hlk83321442"/>
            <w:r w:rsidRPr="00675182">
              <w:rPr>
                <w:rFonts w:ascii="Calibri" w:hAnsi="Calibri"/>
                <w:sz w:val="20"/>
                <w:lang w:val="lv-LV"/>
              </w:rPr>
              <w:t>Ekoinovāciju veicināšana tūrisma, sporta un rekreācijas pakalpojumu attīstīšana</w:t>
            </w:r>
            <w:bookmarkEnd w:id="146"/>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3428282F" w14:textId="09F8DF8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039A7070" w14:textId="675F4B7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VARAM, EM, uzņēmēju līdzfinansējums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6D8389A" w14:textId="18C2B34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Uzņēmēji, tūrisma pakalpojumu sniedzēji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40004376" w14:textId="27F3F28C"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528E5B3" w14:textId="7FA4558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Ieviesto ekoinovāciju ~ skaits, to efektivitāte</w:t>
            </w:r>
          </w:p>
        </w:tc>
      </w:tr>
      <w:tr w:rsidR="00CE699B" w:rsidRPr="00675182" w14:paraId="407FD1A1" w14:textId="77777777" w:rsidTr="00E21287">
        <w:tc>
          <w:tcPr>
            <w:tcW w:w="872" w:type="dxa"/>
            <w:tcBorders>
              <w:top w:val="single" w:sz="4" w:space="0" w:color="000000"/>
              <w:left w:val="single" w:sz="4" w:space="0" w:color="000000"/>
              <w:bottom w:val="single" w:sz="4" w:space="0" w:color="000000"/>
              <w:right w:val="nil"/>
            </w:tcBorders>
          </w:tcPr>
          <w:p w14:paraId="5720EA3D"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D.6.4</w:t>
            </w:r>
          </w:p>
        </w:tc>
        <w:tc>
          <w:tcPr>
            <w:tcW w:w="850" w:type="dxa"/>
            <w:tcBorders>
              <w:top w:val="single" w:sz="4" w:space="0" w:color="000000"/>
              <w:left w:val="single" w:sz="4" w:space="0" w:color="000000"/>
              <w:bottom w:val="single" w:sz="4" w:space="0" w:color="000000"/>
              <w:right w:val="nil"/>
            </w:tcBorders>
          </w:tcPr>
          <w:p w14:paraId="24C7126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p w14:paraId="041AF1D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B.</w:t>
            </w:r>
          </w:p>
          <w:p w14:paraId="18BD4DFB"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31654D7B" w14:textId="634C4B91"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Pasākumi apmeklētāju radīto sadzīves atkritumu sloga mazināšanai, atkritumu problēmas mazināšanai dabas takās vai grūti apsaimniekojamās vietās dabā</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165A4379" w14:textId="5D04660A"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1FDB3FFE" w14:textId="742D747E"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ZAAO, LVM, DAP; pašvaldība; 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932AE3E" w14:textId="0295642D"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Uzņēmēji, tūrisma pakalpojumu sniedzēji, ZAAO, publisko vietu apsaimniekotāji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853587D" w14:textId="420262C0"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07696B0" w14:textId="59C1F6C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Tūrisma uzņēmumu proporcija, kas iesaistās dažādu atkritumu veidu šķirošanā</w:t>
            </w:r>
          </w:p>
        </w:tc>
      </w:tr>
      <w:tr w:rsidR="00CE699B" w:rsidRPr="00675182" w14:paraId="313F0537" w14:textId="77777777" w:rsidTr="00E21287">
        <w:tc>
          <w:tcPr>
            <w:tcW w:w="872" w:type="dxa"/>
            <w:tcBorders>
              <w:top w:val="single" w:sz="4" w:space="0" w:color="000000"/>
              <w:left w:val="single" w:sz="4" w:space="0" w:color="000000"/>
              <w:bottom w:val="single" w:sz="4" w:space="0" w:color="000000"/>
              <w:right w:val="nil"/>
            </w:tcBorders>
          </w:tcPr>
          <w:p w14:paraId="0299D25A"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D.6.5</w:t>
            </w:r>
          </w:p>
        </w:tc>
        <w:tc>
          <w:tcPr>
            <w:tcW w:w="850" w:type="dxa"/>
            <w:tcBorders>
              <w:top w:val="single" w:sz="4" w:space="0" w:color="000000"/>
              <w:left w:val="single" w:sz="4" w:space="0" w:color="000000"/>
              <w:bottom w:val="single" w:sz="4" w:space="0" w:color="000000"/>
              <w:right w:val="nil"/>
            </w:tcBorders>
          </w:tcPr>
          <w:p w14:paraId="62277766"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1F1C6072" w14:textId="14535BA0"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Enerģijas patēriņa saudzīga lietošanas veicināšana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1EACBE79" w14:textId="50725E5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6413DF41" w14:textId="0546D92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VARAM, EM, uzņēmēju līdzfinansējums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69689C66" w14:textId="0A6AD65A"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Uzņēmēji, tūrisma pakalpojumu sniedzēji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D44E273" w14:textId="0E0A05FF"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06B0371D" w14:textId="334DE886"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Tūrisma uzņēmumu proporcija, kas iesaistās enerģijas patēriņa samazināšanas aktivitātēs</w:t>
            </w:r>
          </w:p>
        </w:tc>
      </w:tr>
      <w:tr w:rsidR="00CE699B" w:rsidRPr="00675182" w14:paraId="0868FC20" w14:textId="77777777" w:rsidTr="00E21287">
        <w:tc>
          <w:tcPr>
            <w:tcW w:w="872" w:type="dxa"/>
            <w:tcBorders>
              <w:top w:val="single" w:sz="4" w:space="0" w:color="000000"/>
              <w:left w:val="single" w:sz="4" w:space="0" w:color="000000"/>
              <w:bottom w:val="single" w:sz="4" w:space="0" w:color="000000"/>
              <w:right w:val="nil"/>
            </w:tcBorders>
          </w:tcPr>
          <w:p w14:paraId="59B7D2DD"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D.6.6</w:t>
            </w:r>
          </w:p>
        </w:tc>
        <w:tc>
          <w:tcPr>
            <w:tcW w:w="850" w:type="dxa"/>
            <w:tcBorders>
              <w:top w:val="single" w:sz="4" w:space="0" w:color="000000"/>
              <w:left w:val="single" w:sz="4" w:space="0" w:color="000000"/>
              <w:bottom w:val="single" w:sz="4" w:space="0" w:color="000000"/>
              <w:right w:val="nil"/>
            </w:tcBorders>
          </w:tcPr>
          <w:p w14:paraId="7C2157DA"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p w14:paraId="263431CB"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B.1.</w:t>
            </w:r>
          </w:p>
        </w:tc>
        <w:tc>
          <w:tcPr>
            <w:tcW w:w="2670" w:type="dxa"/>
            <w:tcBorders>
              <w:top w:val="single" w:sz="4" w:space="0" w:color="000000"/>
              <w:left w:val="single" w:sz="4" w:space="0" w:color="000000"/>
              <w:bottom w:val="single" w:sz="4" w:space="0" w:color="000000"/>
              <w:right w:val="nil"/>
            </w:tcBorders>
          </w:tcPr>
          <w:p w14:paraId="3B670C4B" w14:textId="3E9EF553"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Publisko vietu un tūrisma pakalpojumu sniedzēju notekūdeņu (kanalizācijas) attīrīšanas veicināšana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7B4F6106" w14:textId="03B431CA"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2F4A23D5" w14:textId="574A7CB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VARAM, publisko vietu apsaimniekotāji un tūrisma pakalpojumu sniedzēji</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4A4D7792" w14:textId="1CE4435F"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Uzņēmēji, tūrisma pakalpojumu sniedzēji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18F10A09" w14:textId="2461B261"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721AC79E" w14:textId="7FC8B87E"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GNP radušos notekūdeņu procentuālais daudzums, kas pirms novadīšanas ir vismaz vidējā līmenī attīrīts</w:t>
            </w:r>
          </w:p>
        </w:tc>
      </w:tr>
      <w:tr w:rsidR="00CE699B" w:rsidRPr="00675182" w14:paraId="4F2D7DCF" w14:textId="77777777" w:rsidTr="00E21287">
        <w:tc>
          <w:tcPr>
            <w:tcW w:w="872" w:type="dxa"/>
            <w:tcBorders>
              <w:top w:val="single" w:sz="4" w:space="0" w:color="000000"/>
              <w:left w:val="single" w:sz="4" w:space="0" w:color="000000"/>
              <w:bottom w:val="single" w:sz="4" w:space="0" w:color="000000"/>
              <w:right w:val="nil"/>
            </w:tcBorders>
          </w:tcPr>
          <w:p w14:paraId="3E9D17B0"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47" w:name="_Hlk83241553"/>
            <w:bookmarkEnd w:id="145"/>
            <w:r w:rsidRPr="00675182">
              <w:rPr>
                <w:rFonts w:cstheme="minorHAnsi"/>
                <w:sz w:val="20"/>
                <w:lang w:val="lv-LV"/>
              </w:rPr>
              <w:t>D.7.1</w:t>
            </w:r>
          </w:p>
        </w:tc>
        <w:tc>
          <w:tcPr>
            <w:tcW w:w="850" w:type="dxa"/>
            <w:tcBorders>
              <w:top w:val="single" w:sz="4" w:space="0" w:color="000000"/>
              <w:left w:val="single" w:sz="4" w:space="0" w:color="000000"/>
              <w:bottom w:val="single" w:sz="4" w:space="0" w:color="000000"/>
              <w:right w:val="nil"/>
            </w:tcBorders>
          </w:tcPr>
          <w:p w14:paraId="2BA2A064"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18EFF3EC" w14:textId="7BA95411"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Apmeklētāju apmierinātības monitoringa ieviešana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86D652C" w14:textId="04B4141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2022; nodrošināts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27CF2AEB" w14:textId="6EF9171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VIA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1AE3C5B" w14:textId="1832CC73"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VIA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44E57BC" w14:textId="1F0D7ED3"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C88979E" w14:textId="6B37162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Apmeklētāju apmierinātības vērtējums (1-5 balles)</w:t>
            </w:r>
          </w:p>
        </w:tc>
      </w:tr>
      <w:tr w:rsidR="00CE699B" w:rsidRPr="00675182" w14:paraId="57643B97" w14:textId="77777777" w:rsidTr="00E21287">
        <w:tc>
          <w:tcPr>
            <w:tcW w:w="872" w:type="dxa"/>
            <w:tcBorders>
              <w:top w:val="single" w:sz="4" w:space="0" w:color="000000"/>
              <w:left w:val="single" w:sz="4" w:space="0" w:color="000000"/>
              <w:bottom w:val="single" w:sz="4" w:space="0" w:color="000000"/>
              <w:right w:val="nil"/>
            </w:tcBorders>
          </w:tcPr>
          <w:p w14:paraId="1F406051"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D.7.2</w:t>
            </w:r>
          </w:p>
        </w:tc>
        <w:tc>
          <w:tcPr>
            <w:tcW w:w="850" w:type="dxa"/>
            <w:tcBorders>
              <w:top w:val="single" w:sz="4" w:space="0" w:color="000000"/>
              <w:left w:val="single" w:sz="4" w:space="0" w:color="000000"/>
              <w:bottom w:val="single" w:sz="4" w:space="0" w:color="000000"/>
              <w:right w:val="nil"/>
            </w:tcBorders>
          </w:tcPr>
          <w:p w14:paraId="03BBCF6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D.2.</w:t>
            </w:r>
          </w:p>
          <w:p w14:paraId="5710834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2F89F57E" w14:textId="7F90571E"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Pakalpojuma dizaina pieejas ieviešana publiski apmeklējamās vietās, trūkumu operatīva novēršana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5A9BB86A" w14:textId="2BF1BC7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2022; nodrošināts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22FEABF4" w14:textId="3E26E5F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publisko vietu apsaimniekotāji</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1F176345" w14:textId="3F2AA56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publisko vietu apsaimniekotāji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5F48074F" w14:textId="724D076F"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94D5935" w14:textId="30A7A504"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Apmeklētāju apmierinātības vērtējums (1-5 balles)</w:t>
            </w:r>
          </w:p>
        </w:tc>
      </w:tr>
      <w:tr w:rsidR="00CE699B" w:rsidRPr="00675182" w14:paraId="003262E0" w14:textId="77777777" w:rsidTr="00E21287">
        <w:tc>
          <w:tcPr>
            <w:tcW w:w="872" w:type="dxa"/>
            <w:tcBorders>
              <w:top w:val="single" w:sz="4" w:space="0" w:color="000000"/>
              <w:left w:val="single" w:sz="4" w:space="0" w:color="000000"/>
              <w:bottom w:val="single" w:sz="4" w:space="0" w:color="000000"/>
              <w:right w:val="nil"/>
            </w:tcBorders>
          </w:tcPr>
          <w:p w14:paraId="3B4EFAEE"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D.7.3</w:t>
            </w:r>
          </w:p>
        </w:tc>
        <w:tc>
          <w:tcPr>
            <w:tcW w:w="850" w:type="dxa"/>
            <w:tcBorders>
              <w:top w:val="single" w:sz="4" w:space="0" w:color="000000"/>
              <w:left w:val="single" w:sz="4" w:space="0" w:color="000000"/>
              <w:bottom w:val="single" w:sz="4" w:space="0" w:color="000000"/>
              <w:right w:val="nil"/>
            </w:tcBorders>
          </w:tcPr>
          <w:p w14:paraId="5FFD459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1263967D" w14:textId="7EC3E257"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Pasākumi tūrisma pakalpojumu pieredzējuma kvalitātes uzlabošanai</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1190EAB7" w14:textId="1524A7F2"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7F8935E2" w14:textId="045F33F5"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citas iesaistītās puses, tūrisma pakalpojumu sniedzēji</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4DE52346" w14:textId="182616F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citas iesaistītās puses, tūrisma pakalpojumu sniedzēji</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6A871E27" w14:textId="7A853E14"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5C9CA352" w14:textId="21BF0EB1"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Ieviesto iniciatīvu skaits un efektivitāte</w:t>
            </w:r>
          </w:p>
        </w:tc>
      </w:tr>
      <w:bookmarkEnd w:id="147"/>
      <w:tr w:rsidR="00CE699B" w:rsidRPr="00675182" w14:paraId="1B31273E" w14:textId="77777777" w:rsidTr="00E21287">
        <w:tc>
          <w:tcPr>
            <w:tcW w:w="872" w:type="dxa"/>
            <w:tcBorders>
              <w:top w:val="single" w:sz="4" w:space="0" w:color="000000"/>
              <w:left w:val="single" w:sz="4" w:space="0" w:color="000000"/>
              <w:bottom w:val="single" w:sz="4" w:space="0" w:color="000000"/>
              <w:right w:val="nil"/>
            </w:tcBorders>
          </w:tcPr>
          <w:p w14:paraId="2807D5F0"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D.8.1</w:t>
            </w:r>
          </w:p>
        </w:tc>
        <w:tc>
          <w:tcPr>
            <w:tcW w:w="850" w:type="dxa"/>
            <w:tcBorders>
              <w:top w:val="single" w:sz="4" w:space="0" w:color="000000"/>
              <w:left w:val="single" w:sz="4" w:space="0" w:color="000000"/>
              <w:bottom w:val="single" w:sz="4" w:space="0" w:color="000000"/>
              <w:right w:val="nil"/>
            </w:tcBorders>
          </w:tcPr>
          <w:p w14:paraId="4FA7124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57744D6F" w14:textId="4CD8CD31"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Vienota tūristu gidu tīkla izveide un regulāru kvalifikācijas stiprināšanas nodarbību īstenošana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23CB84E6" w14:textId="4AFF73FB"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2023 un uzturēšana/ieviešana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51B642C5" w14:textId="416B5F04"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82C69E3" w14:textId="713B4FE4"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 (izmantojot līdzšinējās Valmieras, Cēsu un Siguldas novada gidu kursu iestrādnes), sadarbībā ar VIA u.c.</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3AE72001" w14:textId="1A5A6E8E" w:rsidR="00CE699B" w:rsidRPr="00675182" w:rsidRDefault="00CE699B" w:rsidP="00CE699B">
            <w:pPr>
              <w:autoSpaceDE w:val="0"/>
              <w:snapToGrid w:val="0"/>
              <w:rPr>
                <w:rFonts w:cstheme="minorHAnsi"/>
                <w:sz w:val="20"/>
              </w:rPr>
            </w:pPr>
            <w:r w:rsidRPr="00675182">
              <w:rPr>
                <w:rFonts w:ascii="Calibri" w:hAnsi="Calibri"/>
                <w:sz w:val="20"/>
              </w:rPr>
              <w:t>Administratīvās izmaksas + ārpakalpojums satura nodrošināšanai</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FC3877A" w14:textId="087DDD60"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Sertificēto gidu skaits, sertificēto gidu ar izcilību skaits. Kursa nodarbību apjoms stundās</w:t>
            </w:r>
          </w:p>
        </w:tc>
      </w:tr>
      <w:tr w:rsidR="00CE699B" w:rsidRPr="00675182" w14:paraId="5006E30B" w14:textId="77777777" w:rsidTr="00E21287">
        <w:tc>
          <w:tcPr>
            <w:tcW w:w="872" w:type="dxa"/>
            <w:tcBorders>
              <w:top w:val="single" w:sz="4" w:space="0" w:color="000000"/>
              <w:left w:val="single" w:sz="4" w:space="0" w:color="000000"/>
              <w:bottom w:val="single" w:sz="4" w:space="0" w:color="000000"/>
              <w:right w:val="nil"/>
            </w:tcBorders>
          </w:tcPr>
          <w:p w14:paraId="47BB39C8"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D.8.2</w:t>
            </w:r>
          </w:p>
        </w:tc>
        <w:tc>
          <w:tcPr>
            <w:tcW w:w="850" w:type="dxa"/>
            <w:tcBorders>
              <w:top w:val="single" w:sz="4" w:space="0" w:color="000000"/>
              <w:left w:val="single" w:sz="4" w:space="0" w:color="000000"/>
              <w:bottom w:val="single" w:sz="4" w:space="0" w:color="000000"/>
              <w:right w:val="nil"/>
            </w:tcBorders>
          </w:tcPr>
          <w:p w14:paraId="74A499B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69A96561" w14:textId="73A6AC10"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 xml:space="preserve">Korporatīvās atbildības un GNP mērķiem atbilstošas uzņēmējdarbības stiprināšana </w:t>
            </w:r>
            <w:r w:rsidRPr="00675182">
              <w:rPr>
                <w:rFonts w:ascii="Calibri" w:hAnsi="Calibri"/>
                <w:sz w:val="20"/>
                <w:lang w:val="lv-LV"/>
              </w:rPr>
              <w:lastRenderedPageBreak/>
              <w:t>(Tematisko ētikas kodeksu ieviešana u.c.)</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22A33619" w14:textId="653E40D2"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lastRenderedPageBreak/>
              <w:t>I, 2022 un uzturēšana/ieviešana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6A5F1A39" w14:textId="42CDDE45"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GNP tūrisma attīstības biedrība, pašvaldības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D7DDEF0" w14:textId="7773265F"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GNP tūrisma attīstības biedrība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40DE7C0C" w14:textId="23C2735F"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3249B08D" w14:textId="636D750E"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 xml:space="preserve">Sagatavoti tematiskie ētikas kodeksi, apmācībās esošo uzņēmēju skaits. Uzņēmēju skaits, kas ievieš </w:t>
            </w:r>
            <w:r w:rsidRPr="00675182">
              <w:rPr>
                <w:rFonts w:ascii="Calibri" w:hAnsi="Calibri"/>
                <w:sz w:val="20"/>
                <w:lang w:val="lv-LV"/>
              </w:rPr>
              <w:lastRenderedPageBreak/>
              <w:t>dabai draudzīgu praksi uzņēmējdarbībā</w:t>
            </w:r>
          </w:p>
        </w:tc>
      </w:tr>
      <w:tr w:rsidR="00CE699B" w:rsidRPr="00675182" w14:paraId="55E2249E" w14:textId="77777777" w:rsidTr="00E21287">
        <w:tc>
          <w:tcPr>
            <w:tcW w:w="872" w:type="dxa"/>
            <w:tcBorders>
              <w:top w:val="single" w:sz="4" w:space="0" w:color="000000"/>
              <w:left w:val="single" w:sz="4" w:space="0" w:color="000000"/>
              <w:bottom w:val="single" w:sz="4" w:space="0" w:color="000000"/>
              <w:right w:val="nil"/>
            </w:tcBorders>
          </w:tcPr>
          <w:p w14:paraId="33410453"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D.8.3</w:t>
            </w:r>
          </w:p>
        </w:tc>
        <w:tc>
          <w:tcPr>
            <w:tcW w:w="850" w:type="dxa"/>
            <w:tcBorders>
              <w:top w:val="single" w:sz="4" w:space="0" w:color="000000"/>
              <w:left w:val="single" w:sz="4" w:space="0" w:color="000000"/>
              <w:bottom w:val="single" w:sz="4" w:space="0" w:color="000000"/>
              <w:right w:val="nil"/>
            </w:tcBorders>
          </w:tcPr>
          <w:p w14:paraId="604FAA2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6B3ECD37" w14:textId="542F4D82"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Vadlīnijas publisko pasākumu organizētājiem GNP</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6353A247" w14:textId="3C349F28"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2023 ieviešana un uzturēšana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1A855BD5" w14:textId="7B922A5F"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VARAM, DAP, KM, IZM</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0920AC49" w14:textId="436987D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DAP, NVO, pašvaldības, GNP tūrisma attīstības biedrība</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457E1EF2" w14:textId="47215163" w:rsidR="00CE699B" w:rsidRPr="00675182" w:rsidRDefault="00CE699B" w:rsidP="00CE699B">
            <w:pPr>
              <w:autoSpaceDE w:val="0"/>
              <w:snapToGrid w:val="0"/>
              <w:rPr>
                <w:rFonts w:cstheme="minorHAnsi"/>
                <w:sz w:val="20"/>
              </w:rPr>
            </w:pPr>
            <w:r w:rsidRPr="00675182">
              <w:rPr>
                <w:rFonts w:ascii="Calibri" w:hAnsi="Calibri"/>
                <w:sz w:val="20"/>
              </w:rPr>
              <w:t>Līdz 500 EUR, iekļaujams GNP tūrisma klastera ilgtermiņa stratēģijas ietvaros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12760D1F" w14:textId="72632E6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Izdotas un apmācībās iesaistītas vadlīnijas. Dalībnieku skaits apmācību laikā.</w:t>
            </w:r>
          </w:p>
        </w:tc>
      </w:tr>
      <w:tr w:rsidR="00CE699B" w:rsidRPr="00675182" w14:paraId="4A457DC4" w14:textId="77777777" w:rsidTr="00E21287">
        <w:tc>
          <w:tcPr>
            <w:tcW w:w="872" w:type="dxa"/>
            <w:tcBorders>
              <w:top w:val="single" w:sz="4" w:space="0" w:color="000000"/>
              <w:left w:val="single" w:sz="4" w:space="0" w:color="000000"/>
              <w:bottom w:val="single" w:sz="4" w:space="0" w:color="000000"/>
              <w:right w:val="nil"/>
            </w:tcBorders>
          </w:tcPr>
          <w:p w14:paraId="5FA3B0BE"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D.8.4</w:t>
            </w:r>
          </w:p>
        </w:tc>
        <w:tc>
          <w:tcPr>
            <w:tcW w:w="850" w:type="dxa"/>
            <w:tcBorders>
              <w:top w:val="single" w:sz="4" w:space="0" w:color="000000"/>
              <w:left w:val="single" w:sz="4" w:space="0" w:color="000000"/>
              <w:bottom w:val="single" w:sz="4" w:space="0" w:color="000000"/>
              <w:right w:val="nil"/>
            </w:tcBorders>
          </w:tcPr>
          <w:p w14:paraId="25C03FB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5B592F63" w14:textId="0F22E1E1"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GNP ilgtspējīgas attīstības piemēru analīze un integrēšana mācību / studiju vidē</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77BD5FD" w14:textId="6045384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34CD0967" w14:textId="07B06BAA"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Iestāžu budžets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38EE7AA0" w14:textId="40AC4564"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Izglītības iestādes, Vidzemes Augstskola, Valmieras tehnikums u.c.</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FE32D88" w14:textId="06CE124E" w:rsidR="00CE699B" w:rsidRPr="00675182" w:rsidRDefault="00CE699B" w:rsidP="00CE699B">
            <w:pPr>
              <w:autoSpaceDE w:val="0"/>
              <w:snapToGrid w:val="0"/>
              <w:rPr>
                <w:rFonts w:cstheme="minorHAnsi"/>
                <w:sz w:val="20"/>
              </w:rPr>
            </w:pPr>
            <w:r w:rsidRPr="00675182">
              <w:rPr>
                <w:rFonts w:ascii="Calibri" w:hAnsi="Calibri"/>
                <w:sz w:val="20"/>
              </w:rPr>
              <w:t>Administratīvās izmaksas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39569957" w14:textId="720CDE48" w:rsidR="00CE699B" w:rsidRPr="003B7F6F" w:rsidRDefault="003B7F6F" w:rsidP="00CE699B">
            <w:pPr>
              <w:pStyle w:val="naisf"/>
              <w:snapToGrid w:val="0"/>
              <w:spacing w:before="0" w:after="0"/>
              <w:ind w:firstLine="0"/>
              <w:jc w:val="left"/>
              <w:rPr>
                <w:rFonts w:cstheme="minorHAnsi"/>
                <w:sz w:val="20"/>
                <w:lang w:val="lv-LV"/>
              </w:rPr>
            </w:pPr>
            <w:r>
              <w:rPr>
                <w:rFonts w:cstheme="minorHAnsi"/>
                <w:sz w:val="20"/>
                <w:lang w:val="lv-LV"/>
              </w:rPr>
              <w:t>I</w:t>
            </w:r>
            <w:r w:rsidRPr="003B7F6F">
              <w:rPr>
                <w:rFonts w:cstheme="minorHAnsi"/>
                <w:sz w:val="20"/>
                <w:lang w:val="lv-LV"/>
              </w:rPr>
              <w:t>ntegrēts vismaz 2 (divos) mācību kursos ik gadu; ik gadu piedāvāta vismaz viena aktuālā tēma studējošo pētnieciskajiem darbiem.</w:t>
            </w:r>
          </w:p>
        </w:tc>
      </w:tr>
      <w:tr w:rsidR="00CE699B" w:rsidRPr="00675182" w14:paraId="07EC69F8" w14:textId="77777777" w:rsidTr="00E21287">
        <w:tc>
          <w:tcPr>
            <w:tcW w:w="872" w:type="dxa"/>
            <w:tcBorders>
              <w:top w:val="single" w:sz="4" w:space="0" w:color="000000"/>
              <w:left w:val="single" w:sz="4" w:space="0" w:color="000000"/>
              <w:bottom w:val="single" w:sz="4" w:space="0" w:color="000000"/>
              <w:right w:val="nil"/>
            </w:tcBorders>
          </w:tcPr>
          <w:p w14:paraId="66F695E7"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D.9.1</w:t>
            </w:r>
          </w:p>
        </w:tc>
        <w:tc>
          <w:tcPr>
            <w:tcW w:w="850" w:type="dxa"/>
            <w:tcBorders>
              <w:top w:val="single" w:sz="4" w:space="0" w:color="000000"/>
              <w:left w:val="single" w:sz="4" w:space="0" w:color="000000"/>
              <w:bottom w:val="single" w:sz="4" w:space="0" w:color="000000"/>
              <w:right w:val="nil"/>
            </w:tcBorders>
          </w:tcPr>
          <w:p w14:paraId="1CE1A69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17C1E43A" w14:textId="7CA4A127"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Dabas vērtības respektējošu vietējo produktu iegādes veicināšana starp tūrisma uzņēmējiem (produktu vērtību ķēdes ietvaros) un apmeklētājiem</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045D3CF9" w14:textId="412371B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07F8BCE8" w14:textId="0F797852"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GNP tūrisma attīstības biedrība, NVO, Vidzemes plānošanas reģions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6C73B658" w14:textId="0581F9F0"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GNP tūrisma attīstības biedrība, NVO, Vidzemes plānošanas reģions</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E27324D" w14:textId="44C924BB"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30C16FD7" w14:textId="673A2920"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Vietējo produktu proporcija kompleksajos tūrisma pakalpojumos (viesmīlības sektors)</w:t>
            </w:r>
          </w:p>
        </w:tc>
      </w:tr>
      <w:tr w:rsidR="00CE699B" w:rsidRPr="00675182" w14:paraId="014E159A" w14:textId="77777777" w:rsidTr="00E21287">
        <w:tc>
          <w:tcPr>
            <w:tcW w:w="872" w:type="dxa"/>
            <w:tcBorders>
              <w:top w:val="single" w:sz="4" w:space="0" w:color="000000"/>
              <w:left w:val="single" w:sz="4" w:space="0" w:color="000000"/>
              <w:bottom w:val="single" w:sz="4" w:space="0" w:color="000000"/>
              <w:right w:val="nil"/>
            </w:tcBorders>
          </w:tcPr>
          <w:p w14:paraId="13AA00ED"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D.9.2</w:t>
            </w:r>
          </w:p>
        </w:tc>
        <w:tc>
          <w:tcPr>
            <w:tcW w:w="850" w:type="dxa"/>
            <w:tcBorders>
              <w:top w:val="single" w:sz="4" w:space="0" w:color="000000"/>
              <w:left w:val="single" w:sz="4" w:space="0" w:color="000000"/>
              <w:bottom w:val="single" w:sz="4" w:space="0" w:color="000000"/>
              <w:right w:val="nil"/>
            </w:tcBorders>
          </w:tcPr>
          <w:p w14:paraId="7BF22F8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151741EA" w14:textId="2744973E"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Vietējo iedzīvotāju nodarbinātības tūrismā veicināšana</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38487411" w14:textId="5B5235C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4E9983A5" w14:textId="4C79E53F"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GNP tūrisma attīstības biedrība, NVO, Vidzemes plānošanas reģions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725C381D" w14:textId="25A76462"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GNP tūrisma attīstības biedrība, NVO, Vidzemes plānošanas reģions</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56E1B54F" w14:textId="486EAF7C"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2BF56C72" w14:textId="49135B9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Vietējo proporcionāla nodarbinātība tūrisma nozarē</w:t>
            </w:r>
          </w:p>
        </w:tc>
      </w:tr>
      <w:tr w:rsidR="00CE699B" w:rsidRPr="00675182" w14:paraId="4F02020B" w14:textId="77777777" w:rsidTr="00E21287">
        <w:tc>
          <w:tcPr>
            <w:tcW w:w="872" w:type="dxa"/>
            <w:tcBorders>
              <w:top w:val="single" w:sz="4" w:space="0" w:color="000000"/>
              <w:left w:val="single" w:sz="4" w:space="0" w:color="000000"/>
              <w:bottom w:val="single" w:sz="4" w:space="0" w:color="000000"/>
              <w:right w:val="nil"/>
            </w:tcBorders>
          </w:tcPr>
          <w:p w14:paraId="2B9F73A9"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D.9.3</w:t>
            </w:r>
          </w:p>
        </w:tc>
        <w:tc>
          <w:tcPr>
            <w:tcW w:w="850" w:type="dxa"/>
            <w:tcBorders>
              <w:top w:val="single" w:sz="4" w:space="0" w:color="000000"/>
              <w:left w:val="single" w:sz="4" w:space="0" w:color="000000"/>
              <w:bottom w:val="single" w:sz="4" w:space="0" w:color="000000"/>
              <w:right w:val="nil"/>
            </w:tcBorders>
          </w:tcPr>
          <w:p w14:paraId="1F24F58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67EB5CC5" w14:textId="588BA1F0"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Reģiona ekonomiskās attīstības veicināšana, atbalstot ilgtspējīgas uzņēmējdarbības prakses</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B52E046" w14:textId="74E0F920"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4572B266" w14:textId="38A5521C"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GNP tūrisma attīstības biedrība, NVO, Vidzemes plānošanas reģions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5C32CC25" w14:textId="295EB0CE"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GNP tūrisma attīstības biedrība, NVO, Vidzemes plānošanas reģions</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3CE8029" w14:textId="2634397A" w:rsidR="00CE699B" w:rsidRPr="00675182" w:rsidRDefault="00CE699B" w:rsidP="00CE699B">
            <w:pPr>
              <w:autoSpaceDE w:val="0"/>
              <w:snapToGrid w:val="0"/>
              <w:rPr>
                <w:rFonts w:cstheme="minorHAnsi"/>
                <w:sz w:val="20"/>
              </w:rPr>
            </w:pPr>
            <w:r w:rsidRPr="00675182">
              <w:rPr>
                <w:rFonts w:ascii="Calibri" w:hAnsi="Calibr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4175AC5" w14:textId="24903F1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Viendienas ceļotāju daudzums, nakšņojumu rādītāji, tēriņi</w:t>
            </w:r>
          </w:p>
        </w:tc>
      </w:tr>
      <w:tr w:rsidR="00CE699B" w:rsidRPr="00675182" w14:paraId="3AEEB6DF" w14:textId="77777777" w:rsidTr="00E21287">
        <w:tc>
          <w:tcPr>
            <w:tcW w:w="872" w:type="dxa"/>
            <w:tcBorders>
              <w:top w:val="single" w:sz="4" w:space="0" w:color="000000"/>
              <w:left w:val="single" w:sz="4" w:space="0" w:color="000000"/>
              <w:bottom w:val="single" w:sz="4" w:space="0" w:color="000000"/>
              <w:right w:val="nil"/>
            </w:tcBorders>
          </w:tcPr>
          <w:p w14:paraId="1B154EF8"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D.9.4</w:t>
            </w:r>
          </w:p>
        </w:tc>
        <w:tc>
          <w:tcPr>
            <w:tcW w:w="850" w:type="dxa"/>
            <w:tcBorders>
              <w:top w:val="single" w:sz="4" w:space="0" w:color="000000"/>
              <w:left w:val="single" w:sz="4" w:space="0" w:color="000000"/>
              <w:bottom w:val="single" w:sz="4" w:space="0" w:color="000000"/>
              <w:right w:val="nil"/>
            </w:tcBorders>
          </w:tcPr>
          <w:p w14:paraId="1B8333F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D.3.</w:t>
            </w:r>
          </w:p>
        </w:tc>
        <w:tc>
          <w:tcPr>
            <w:tcW w:w="2670" w:type="dxa"/>
            <w:tcBorders>
              <w:top w:val="single" w:sz="4" w:space="0" w:color="000000"/>
              <w:left w:val="single" w:sz="4" w:space="0" w:color="000000"/>
              <w:bottom w:val="single" w:sz="4" w:space="0" w:color="000000"/>
              <w:right w:val="nil"/>
            </w:tcBorders>
          </w:tcPr>
          <w:p w14:paraId="136C9911" w14:textId="0EE73008" w:rsidR="00CE699B" w:rsidRPr="00675182" w:rsidRDefault="00CE699B" w:rsidP="00CE699B">
            <w:pPr>
              <w:pStyle w:val="naisf"/>
              <w:snapToGrid w:val="0"/>
              <w:ind w:firstLine="0"/>
              <w:jc w:val="left"/>
              <w:rPr>
                <w:rFonts w:cstheme="minorHAnsi"/>
                <w:sz w:val="20"/>
                <w:lang w:val="lv-LV"/>
              </w:rPr>
            </w:pPr>
            <w:r w:rsidRPr="00675182">
              <w:rPr>
                <w:rFonts w:ascii="Calibri" w:hAnsi="Calibri"/>
                <w:sz w:val="20"/>
                <w:lang w:val="lv-LV"/>
              </w:rPr>
              <w:t>GNP zīmola izmantošana, lai veicinātu tuvākās apkārtnes attīstību ārpus ĪADT robežām</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14:paraId="4838E5F6" w14:textId="30F042E5"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14:paraId="49DADE77" w14:textId="06EAB5D7"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GNP tūrisma attīstības biedrība, NVO, Vidzemes plānošanas reģions</w:t>
            </w:r>
          </w:p>
        </w:tc>
        <w:tc>
          <w:tcPr>
            <w:tcW w:w="1991" w:type="dxa"/>
            <w:tcBorders>
              <w:top w:val="single" w:sz="4" w:space="0" w:color="auto"/>
              <w:left w:val="single" w:sz="4" w:space="0" w:color="auto"/>
              <w:bottom w:val="single" w:sz="4" w:space="0" w:color="auto"/>
              <w:right w:val="single" w:sz="4" w:space="0" w:color="auto"/>
            </w:tcBorders>
            <w:shd w:val="clear" w:color="auto" w:fill="FFFFFF"/>
          </w:tcPr>
          <w:p w14:paraId="6C955BBC" w14:textId="676A9459"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Pašvaldības, GNP tūrisma attīstības biedrība, NVO, Vidzemes plānošanas reģions</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38ED39B4" w14:textId="29605757" w:rsidR="00CE699B" w:rsidRPr="00675182" w:rsidRDefault="00CE699B" w:rsidP="00CE699B">
            <w:pPr>
              <w:autoSpaceDE w:val="0"/>
              <w:snapToGrid w:val="0"/>
              <w:rPr>
                <w:rFonts w:cstheme="minorHAnsi"/>
                <w:sz w:val="20"/>
              </w:rPr>
            </w:pPr>
            <w:r w:rsidRPr="00675182">
              <w:rPr>
                <w:rFonts w:ascii="Calibri" w:hAnsi="Calibri"/>
                <w:sz w:val="20"/>
              </w:rPr>
              <w:t>Administratīvās izmaksas</w:t>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7FCB7259" w14:textId="505EB55D" w:rsidR="00CE699B" w:rsidRPr="00675182" w:rsidRDefault="00CE699B" w:rsidP="00CE699B">
            <w:pPr>
              <w:pStyle w:val="naisf"/>
              <w:snapToGrid w:val="0"/>
              <w:spacing w:before="0" w:after="0"/>
              <w:ind w:firstLine="0"/>
              <w:jc w:val="left"/>
              <w:rPr>
                <w:rFonts w:cstheme="minorHAnsi"/>
                <w:sz w:val="20"/>
                <w:lang w:val="lv-LV"/>
              </w:rPr>
            </w:pPr>
            <w:r w:rsidRPr="00675182">
              <w:rPr>
                <w:rFonts w:ascii="Calibri" w:hAnsi="Calibri"/>
                <w:sz w:val="20"/>
                <w:lang w:val="lv-LV"/>
              </w:rPr>
              <w:t>Viendienas ceļotāju daudzums, nakšņojumu rādītāji, tēriņi</w:t>
            </w:r>
          </w:p>
        </w:tc>
      </w:tr>
      <w:tr w:rsidR="00CE699B" w:rsidRPr="00675182" w14:paraId="2130414A" w14:textId="77777777" w:rsidTr="0041526E">
        <w:tc>
          <w:tcPr>
            <w:tcW w:w="14211" w:type="dxa"/>
            <w:gridSpan w:val="8"/>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14:paraId="72EA4A45" w14:textId="77777777" w:rsidR="00CE699B" w:rsidRPr="00675182" w:rsidRDefault="00CE699B" w:rsidP="00CE699B">
            <w:pPr>
              <w:pStyle w:val="naisf"/>
              <w:snapToGrid w:val="0"/>
              <w:spacing w:before="0" w:after="0"/>
              <w:ind w:firstLine="0"/>
              <w:jc w:val="center"/>
              <w:rPr>
                <w:rFonts w:cstheme="minorHAnsi"/>
                <w:b/>
                <w:bCs/>
                <w:sz w:val="20"/>
                <w:lang w:val="lv-LV"/>
              </w:rPr>
            </w:pPr>
            <w:r w:rsidRPr="00675182">
              <w:rPr>
                <w:rFonts w:cstheme="minorHAnsi"/>
                <w:b/>
                <w:bCs/>
                <w:sz w:val="20"/>
                <w:lang w:val="lv-LV"/>
              </w:rPr>
              <w:t>Sabiedrības informēšana un izglītošana</w:t>
            </w:r>
          </w:p>
        </w:tc>
      </w:tr>
      <w:tr w:rsidR="00CE699B" w:rsidRPr="00675182" w14:paraId="78FA85D4" w14:textId="77777777" w:rsidTr="00E21287">
        <w:tc>
          <w:tcPr>
            <w:tcW w:w="872" w:type="dxa"/>
            <w:tcBorders>
              <w:top w:val="single" w:sz="4" w:space="0" w:color="000000"/>
              <w:left w:val="single" w:sz="4" w:space="0" w:color="000000"/>
              <w:bottom w:val="single" w:sz="4" w:space="0" w:color="000000"/>
            </w:tcBorders>
          </w:tcPr>
          <w:p w14:paraId="5345700D"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E.1.</w:t>
            </w:r>
          </w:p>
        </w:tc>
        <w:tc>
          <w:tcPr>
            <w:tcW w:w="850" w:type="dxa"/>
            <w:tcBorders>
              <w:top w:val="single" w:sz="4" w:space="0" w:color="000000"/>
              <w:left w:val="single" w:sz="4" w:space="0" w:color="000000"/>
              <w:bottom w:val="single" w:sz="4" w:space="0" w:color="000000"/>
            </w:tcBorders>
          </w:tcPr>
          <w:p w14:paraId="29E8771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E.1.</w:t>
            </w:r>
          </w:p>
        </w:tc>
        <w:tc>
          <w:tcPr>
            <w:tcW w:w="2670" w:type="dxa"/>
            <w:tcBorders>
              <w:top w:val="single" w:sz="4" w:space="0" w:color="000000"/>
              <w:left w:val="single" w:sz="4" w:space="0" w:color="000000"/>
              <w:bottom w:val="single" w:sz="4" w:space="0" w:color="000000"/>
            </w:tcBorders>
          </w:tcPr>
          <w:p w14:paraId="562D9B6D"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Teritorijas robežzīmju izvietošana</w:t>
            </w:r>
          </w:p>
        </w:tc>
        <w:tc>
          <w:tcPr>
            <w:tcW w:w="1699" w:type="dxa"/>
            <w:tcBorders>
              <w:top w:val="single" w:sz="4" w:space="0" w:color="000000"/>
              <w:left w:val="single" w:sz="4" w:space="0" w:color="000000"/>
              <w:bottom w:val="single" w:sz="4" w:space="0" w:color="000000"/>
              <w:right w:val="nil"/>
            </w:tcBorders>
          </w:tcPr>
          <w:p w14:paraId="2EB077EB"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2023. gads</w:t>
            </w:r>
          </w:p>
        </w:tc>
        <w:tc>
          <w:tcPr>
            <w:tcW w:w="2124" w:type="dxa"/>
            <w:tcBorders>
              <w:top w:val="single" w:sz="4" w:space="0" w:color="000000"/>
              <w:left w:val="single" w:sz="4" w:space="0" w:color="000000"/>
              <w:bottom w:val="single" w:sz="4" w:space="0" w:color="000000"/>
              <w:right w:val="nil"/>
            </w:tcBorders>
          </w:tcPr>
          <w:p w14:paraId="42F54B9C" w14:textId="0CAE648E"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w:t>
            </w:r>
            <w:r>
              <w:rPr>
                <w:rFonts w:cstheme="minorHAnsi"/>
                <w:sz w:val="20"/>
                <w:lang w:val="lv-LV"/>
              </w:rPr>
              <w:t>, pašvaldība</w:t>
            </w:r>
          </w:p>
        </w:tc>
        <w:tc>
          <w:tcPr>
            <w:tcW w:w="1991" w:type="dxa"/>
            <w:tcBorders>
              <w:top w:val="single" w:sz="4" w:space="0" w:color="000000"/>
              <w:left w:val="single" w:sz="4" w:space="0" w:color="000000"/>
              <w:bottom w:val="single" w:sz="4" w:space="0" w:color="000000"/>
              <w:right w:val="nil"/>
            </w:tcBorders>
          </w:tcPr>
          <w:p w14:paraId="57628653" w14:textId="1B9630AB"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w:t>
            </w:r>
            <w:r>
              <w:rPr>
                <w:rFonts w:cstheme="minorHAnsi"/>
                <w:sz w:val="20"/>
                <w:lang w:val="lv-LV"/>
              </w:rPr>
              <w:t>, pašvaldība</w:t>
            </w:r>
          </w:p>
        </w:tc>
        <w:tc>
          <w:tcPr>
            <w:tcW w:w="1577" w:type="dxa"/>
            <w:tcBorders>
              <w:top w:val="single" w:sz="4" w:space="0" w:color="000000"/>
              <w:left w:val="single" w:sz="4" w:space="0" w:color="000000"/>
              <w:bottom w:val="single" w:sz="4" w:space="0" w:color="000000"/>
              <w:right w:val="nil"/>
            </w:tcBorders>
          </w:tcPr>
          <w:p w14:paraId="79C7F225" w14:textId="17DAEACB" w:rsidR="00CE699B" w:rsidRPr="00675182" w:rsidRDefault="00CE699B" w:rsidP="00CE699B">
            <w:pPr>
              <w:autoSpaceDE w:val="0"/>
              <w:snapToGrid w:val="0"/>
              <w:rPr>
                <w:rFonts w:cstheme="minorHAnsi"/>
                <w:sz w:val="20"/>
              </w:rPr>
            </w:pPr>
            <w:r>
              <w:rPr>
                <w:rFonts w:cstheme="minorHAnsi"/>
                <w:sz w:val="20"/>
              </w:rPr>
              <w:t>sākot no 50 euro/robežzīme</w:t>
            </w:r>
          </w:p>
        </w:tc>
        <w:tc>
          <w:tcPr>
            <w:tcW w:w="2428" w:type="dxa"/>
            <w:tcBorders>
              <w:top w:val="single" w:sz="4" w:space="0" w:color="000000"/>
              <w:left w:val="single" w:sz="4" w:space="0" w:color="000000"/>
              <w:bottom w:val="single" w:sz="4" w:space="0" w:color="000000"/>
              <w:right w:val="single" w:sz="4" w:space="0" w:color="000000"/>
            </w:tcBorders>
          </w:tcPr>
          <w:p w14:paraId="06A16709" w14:textId="797DE3BD"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 xml:space="preserve">Izvietotas papildus </w:t>
            </w:r>
            <w:r>
              <w:rPr>
                <w:rFonts w:cstheme="minorHAnsi"/>
                <w:sz w:val="20"/>
                <w:lang w:val="lv-LV"/>
              </w:rPr>
              <w:t>G</w:t>
            </w:r>
            <w:r w:rsidRPr="00675182">
              <w:rPr>
                <w:rFonts w:cstheme="minorHAnsi"/>
                <w:sz w:val="20"/>
                <w:lang w:val="lv-LV"/>
              </w:rPr>
              <w:t>NP robežzīmes</w:t>
            </w:r>
          </w:p>
        </w:tc>
      </w:tr>
      <w:tr w:rsidR="00CE699B" w:rsidRPr="00675182" w14:paraId="3D694F94" w14:textId="77777777" w:rsidTr="00E21287">
        <w:tc>
          <w:tcPr>
            <w:tcW w:w="872" w:type="dxa"/>
            <w:tcBorders>
              <w:top w:val="single" w:sz="4" w:space="0" w:color="000000"/>
              <w:left w:val="single" w:sz="4" w:space="0" w:color="000000"/>
              <w:bottom w:val="single" w:sz="4" w:space="0" w:color="000000"/>
            </w:tcBorders>
          </w:tcPr>
          <w:p w14:paraId="3DED13BF"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 xml:space="preserve">E.2. </w:t>
            </w:r>
          </w:p>
        </w:tc>
        <w:tc>
          <w:tcPr>
            <w:tcW w:w="850" w:type="dxa"/>
            <w:tcBorders>
              <w:top w:val="single" w:sz="4" w:space="0" w:color="000000"/>
              <w:left w:val="single" w:sz="4" w:space="0" w:color="000000"/>
              <w:bottom w:val="single" w:sz="4" w:space="0" w:color="000000"/>
            </w:tcBorders>
          </w:tcPr>
          <w:p w14:paraId="4B1B586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 xml:space="preserve">E.2. </w:t>
            </w:r>
          </w:p>
          <w:p w14:paraId="731C7030"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p w14:paraId="2508E7C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C.2.</w:t>
            </w:r>
          </w:p>
        </w:tc>
        <w:tc>
          <w:tcPr>
            <w:tcW w:w="2670" w:type="dxa"/>
            <w:tcBorders>
              <w:top w:val="single" w:sz="4" w:space="0" w:color="000000"/>
              <w:left w:val="single" w:sz="4" w:space="0" w:color="000000"/>
              <w:bottom w:val="single" w:sz="4" w:space="0" w:color="000000"/>
            </w:tcBorders>
          </w:tcPr>
          <w:p w14:paraId="61B0D7B8"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Informācijas stendu izvietošana un atjaunošana</w:t>
            </w:r>
          </w:p>
        </w:tc>
        <w:tc>
          <w:tcPr>
            <w:tcW w:w="1699" w:type="dxa"/>
            <w:tcBorders>
              <w:top w:val="single" w:sz="4" w:space="0" w:color="000000"/>
              <w:left w:val="single" w:sz="4" w:space="0" w:color="000000"/>
              <w:bottom w:val="single" w:sz="4" w:space="0" w:color="000000"/>
              <w:right w:val="nil"/>
            </w:tcBorders>
          </w:tcPr>
          <w:p w14:paraId="5850958B"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right w:val="nil"/>
            </w:tcBorders>
          </w:tcPr>
          <w:p w14:paraId="2685DE5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Pašvaldība, projektu finansējums, DAP</w:t>
            </w:r>
          </w:p>
        </w:tc>
        <w:tc>
          <w:tcPr>
            <w:tcW w:w="1991" w:type="dxa"/>
            <w:tcBorders>
              <w:top w:val="single" w:sz="4" w:space="0" w:color="000000"/>
              <w:left w:val="single" w:sz="4" w:space="0" w:color="000000"/>
              <w:bottom w:val="single" w:sz="4" w:space="0" w:color="000000"/>
              <w:right w:val="nil"/>
            </w:tcBorders>
          </w:tcPr>
          <w:p w14:paraId="78AECE0C"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Pašvaldība, DAP</w:t>
            </w:r>
          </w:p>
        </w:tc>
        <w:tc>
          <w:tcPr>
            <w:tcW w:w="1577" w:type="dxa"/>
            <w:tcBorders>
              <w:top w:val="single" w:sz="4" w:space="0" w:color="000000"/>
              <w:left w:val="single" w:sz="4" w:space="0" w:color="000000"/>
              <w:bottom w:val="single" w:sz="4" w:space="0" w:color="000000"/>
              <w:right w:val="nil"/>
            </w:tcBorders>
          </w:tcPr>
          <w:p w14:paraId="65238F87" w14:textId="446E2F15" w:rsidR="00CE699B" w:rsidRPr="00675182" w:rsidRDefault="00CE699B" w:rsidP="00CE699B">
            <w:pPr>
              <w:autoSpaceDE w:val="0"/>
              <w:snapToGrid w:val="0"/>
              <w:rPr>
                <w:rFonts w:cstheme="minorHAnsi"/>
                <w:sz w:val="20"/>
              </w:rPr>
            </w:pPr>
            <w:r>
              <w:rPr>
                <w:rFonts w:cstheme="minorHAnsi"/>
                <w:sz w:val="20"/>
              </w:rPr>
              <w:t>jauns stends – sākot no 500 euro/gab.</w:t>
            </w:r>
          </w:p>
        </w:tc>
        <w:tc>
          <w:tcPr>
            <w:tcW w:w="2428" w:type="dxa"/>
            <w:tcBorders>
              <w:top w:val="single" w:sz="4" w:space="0" w:color="000000"/>
              <w:left w:val="single" w:sz="4" w:space="0" w:color="000000"/>
              <w:bottom w:val="single" w:sz="4" w:space="0" w:color="000000"/>
              <w:right w:val="single" w:sz="4" w:space="0" w:color="000000"/>
            </w:tcBorders>
          </w:tcPr>
          <w:p w14:paraId="204620E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 xml:space="preserve">Pieejama informācija par GNP vērtībām, ierobežojumiem un apsaimniekošanas pasākumiem. </w:t>
            </w:r>
          </w:p>
        </w:tc>
      </w:tr>
      <w:tr w:rsidR="00CE699B" w:rsidRPr="00675182" w14:paraId="3281D564" w14:textId="77777777" w:rsidTr="00E21287">
        <w:tc>
          <w:tcPr>
            <w:tcW w:w="872" w:type="dxa"/>
            <w:tcBorders>
              <w:top w:val="single" w:sz="4" w:space="0" w:color="000000"/>
              <w:left w:val="single" w:sz="4" w:space="0" w:color="000000"/>
              <w:bottom w:val="single" w:sz="4" w:space="0" w:color="000000"/>
            </w:tcBorders>
          </w:tcPr>
          <w:p w14:paraId="0C1EBECE"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E.2.1.</w:t>
            </w:r>
          </w:p>
        </w:tc>
        <w:tc>
          <w:tcPr>
            <w:tcW w:w="850" w:type="dxa"/>
            <w:tcBorders>
              <w:top w:val="single" w:sz="4" w:space="0" w:color="000000"/>
              <w:left w:val="single" w:sz="4" w:space="0" w:color="000000"/>
              <w:bottom w:val="single" w:sz="4" w:space="0" w:color="000000"/>
            </w:tcBorders>
          </w:tcPr>
          <w:p w14:paraId="128A96B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E.2.</w:t>
            </w:r>
          </w:p>
          <w:p w14:paraId="69C5A97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B.2.</w:t>
            </w:r>
          </w:p>
        </w:tc>
        <w:tc>
          <w:tcPr>
            <w:tcW w:w="2670" w:type="dxa"/>
            <w:tcBorders>
              <w:top w:val="single" w:sz="4" w:space="0" w:color="000000"/>
              <w:left w:val="single" w:sz="4" w:space="0" w:color="000000"/>
              <w:bottom w:val="single" w:sz="4" w:space="0" w:color="000000"/>
            </w:tcBorders>
          </w:tcPr>
          <w:p w14:paraId="5F0283FB" w14:textId="77777777" w:rsidR="00CE699B" w:rsidRPr="00675182" w:rsidRDefault="00CE699B" w:rsidP="00CE699B">
            <w:pPr>
              <w:pStyle w:val="naisf"/>
              <w:snapToGrid w:val="0"/>
              <w:ind w:firstLine="0"/>
              <w:jc w:val="left"/>
              <w:rPr>
                <w:rFonts w:cstheme="minorHAnsi"/>
                <w:sz w:val="20"/>
                <w:highlight w:val="darkYellow"/>
                <w:lang w:val="lv-LV"/>
              </w:rPr>
            </w:pPr>
            <w:r w:rsidRPr="00675182">
              <w:rPr>
                <w:rFonts w:cstheme="minorHAnsi"/>
                <w:sz w:val="20"/>
                <w:lang w:val="lv-LV"/>
              </w:rPr>
              <w:t>Ģeoloģisko un ģeomorfoloģisko pieminekļu informatīvās zīmes uzstādīšana</w:t>
            </w:r>
          </w:p>
        </w:tc>
        <w:tc>
          <w:tcPr>
            <w:tcW w:w="1699" w:type="dxa"/>
            <w:tcBorders>
              <w:top w:val="single" w:sz="4" w:space="0" w:color="000000"/>
              <w:left w:val="single" w:sz="4" w:space="0" w:color="000000"/>
              <w:bottom w:val="single" w:sz="4" w:space="0" w:color="000000"/>
              <w:right w:val="nil"/>
            </w:tcBorders>
          </w:tcPr>
          <w:p w14:paraId="7E8E20E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right w:val="nil"/>
            </w:tcBorders>
          </w:tcPr>
          <w:p w14:paraId="2D912D4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991" w:type="dxa"/>
            <w:tcBorders>
              <w:top w:val="single" w:sz="4" w:space="0" w:color="000000"/>
              <w:left w:val="single" w:sz="4" w:space="0" w:color="000000"/>
              <w:bottom w:val="single" w:sz="4" w:space="0" w:color="000000"/>
              <w:right w:val="nil"/>
            </w:tcBorders>
          </w:tcPr>
          <w:p w14:paraId="35823A2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577" w:type="dxa"/>
            <w:tcBorders>
              <w:top w:val="single" w:sz="4" w:space="0" w:color="000000"/>
              <w:left w:val="single" w:sz="4" w:space="0" w:color="000000"/>
              <w:bottom w:val="single" w:sz="4" w:space="0" w:color="000000"/>
              <w:right w:val="nil"/>
            </w:tcBorders>
          </w:tcPr>
          <w:p w14:paraId="5FFEE48E" w14:textId="52112174" w:rsidR="00CE699B" w:rsidRPr="00675182" w:rsidRDefault="00CE699B" w:rsidP="00CE699B">
            <w:pPr>
              <w:autoSpaceDE w:val="0"/>
              <w:snapToGrid w:val="0"/>
              <w:rPr>
                <w:rFonts w:cstheme="minorHAnsi"/>
                <w:sz w:val="20"/>
              </w:rPr>
            </w:pPr>
            <w:r>
              <w:rPr>
                <w:rFonts w:cstheme="minorHAnsi"/>
                <w:sz w:val="20"/>
              </w:rPr>
              <w:t>jaunas informatīvās zīmes – sākot no 250 euro/gab.</w:t>
            </w:r>
          </w:p>
        </w:tc>
        <w:tc>
          <w:tcPr>
            <w:tcW w:w="2428" w:type="dxa"/>
            <w:tcBorders>
              <w:top w:val="single" w:sz="4" w:space="0" w:color="000000"/>
              <w:left w:val="single" w:sz="4" w:space="0" w:color="000000"/>
              <w:bottom w:val="single" w:sz="4" w:space="0" w:color="000000"/>
              <w:right w:val="single" w:sz="4" w:space="0" w:color="000000"/>
            </w:tcBorders>
          </w:tcPr>
          <w:p w14:paraId="5093005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Pie visiem ģeoloģiskajiem un ģeomorfoloģiskajiem pieminekļiem uzstādīta informatīvā zīme (35 gab.)</w:t>
            </w:r>
          </w:p>
        </w:tc>
      </w:tr>
      <w:tr w:rsidR="00CE699B" w:rsidRPr="00675182" w14:paraId="13529FA2" w14:textId="77777777" w:rsidTr="00E21287">
        <w:tc>
          <w:tcPr>
            <w:tcW w:w="872" w:type="dxa"/>
            <w:tcBorders>
              <w:top w:val="single" w:sz="4" w:space="0" w:color="000000"/>
              <w:left w:val="single" w:sz="4" w:space="0" w:color="000000"/>
              <w:bottom w:val="single" w:sz="4" w:space="0" w:color="000000"/>
            </w:tcBorders>
          </w:tcPr>
          <w:p w14:paraId="39E41C7E"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E.2.2.</w:t>
            </w:r>
          </w:p>
        </w:tc>
        <w:tc>
          <w:tcPr>
            <w:tcW w:w="850" w:type="dxa"/>
            <w:tcBorders>
              <w:top w:val="single" w:sz="4" w:space="0" w:color="000000"/>
              <w:left w:val="single" w:sz="4" w:space="0" w:color="000000"/>
              <w:bottom w:val="single" w:sz="4" w:space="0" w:color="000000"/>
            </w:tcBorders>
          </w:tcPr>
          <w:p w14:paraId="7F25EC54"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E.2.</w:t>
            </w:r>
          </w:p>
          <w:p w14:paraId="6CE85B8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B.6.</w:t>
            </w:r>
          </w:p>
        </w:tc>
        <w:tc>
          <w:tcPr>
            <w:tcW w:w="2670" w:type="dxa"/>
            <w:tcBorders>
              <w:top w:val="single" w:sz="4" w:space="0" w:color="000000"/>
              <w:left w:val="single" w:sz="4" w:space="0" w:color="000000"/>
              <w:bottom w:val="single" w:sz="4" w:space="0" w:color="000000"/>
            </w:tcBorders>
          </w:tcPr>
          <w:p w14:paraId="290D5F55" w14:textId="77777777" w:rsidR="00CE699B" w:rsidRPr="00675182" w:rsidRDefault="00CE699B" w:rsidP="00CE699B">
            <w:pPr>
              <w:pStyle w:val="naisf"/>
              <w:snapToGrid w:val="0"/>
              <w:ind w:firstLine="0"/>
              <w:jc w:val="left"/>
              <w:rPr>
                <w:rFonts w:cstheme="minorHAnsi"/>
                <w:sz w:val="20"/>
                <w:highlight w:val="darkYellow"/>
                <w:lang w:val="lv-LV"/>
              </w:rPr>
            </w:pPr>
            <w:r w:rsidRPr="00675182">
              <w:rPr>
                <w:rFonts w:cstheme="minorHAnsi"/>
                <w:sz w:val="20"/>
                <w:lang w:val="lv-LV"/>
              </w:rPr>
              <w:t>Informācijas stendi un zīmes par aizliegumu ziemas sezonā apmeklēt alas, kurās ziemo sikspārņi</w:t>
            </w:r>
          </w:p>
        </w:tc>
        <w:tc>
          <w:tcPr>
            <w:tcW w:w="1699" w:type="dxa"/>
            <w:tcBorders>
              <w:top w:val="single" w:sz="4" w:space="0" w:color="000000"/>
              <w:left w:val="single" w:sz="4" w:space="0" w:color="000000"/>
              <w:bottom w:val="single" w:sz="4" w:space="0" w:color="000000"/>
              <w:right w:val="nil"/>
            </w:tcBorders>
          </w:tcPr>
          <w:p w14:paraId="010F0664"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3874DAE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991" w:type="dxa"/>
            <w:tcBorders>
              <w:top w:val="single" w:sz="4" w:space="0" w:color="000000"/>
              <w:left w:val="single" w:sz="4" w:space="0" w:color="000000"/>
              <w:bottom w:val="single" w:sz="4" w:space="0" w:color="000000"/>
              <w:right w:val="nil"/>
            </w:tcBorders>
          </w:tcPr>
          <w:p w14:paraId="75FDDE8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w:t>
            </w:r>
          </w:p>
        </w:tc>
        <w:tc>
          <w:tcPr>
            <w:tcW w:w="1577" w:type="dxa"/>
            <w:tcBorders>
              <w:top w:val="single" w:sz="4" w:space="0" w:color="000000"/>
              <w:left w:val="single" w:sz="4" w:space="0" w:color="000000"/>
              <w:bottom w:val="single" w:sz="4" w:space="0" w:color="000000"/>
              <w:right w:val="nil"/>
            </w:tcBorders>
          </w:tcPr>
          <w:p w14:paraId="274FB359" w14:textId="763D3D66" w:rsidR="00CE699B" w:rsidRPr="00675182" w:rsidRDefault="00CE699B" w:rsidP="00CE699B">
            <w:pPr>
              <w:autoSpaceDE w:val="0"/>
              <w:snapToGrid w:val="0"/>
              <w:rPr>
                <w:rFonts w:cstheme="minorHAnsi"/>
                <w:sz w:val="20"/>
              </w:rPr>
            </w:pPr>
            <w:r>
              <w:rPr>
                <w:rFonts w:cstheme="minorHAnsi"/>
                <w:sz w:val="20"/>
              </w:rPr>
              <w:t>jaunas</w:t>
            </w:r>
            <w:r w:rsidRPr="00836492">
              <w:rPr>
                <w:rFonts w:cstheme="minorHAnsi"/>
                <w:sz w:val="20"/>
              </w:rPr>
              <w:t xml:space="preserve"> informatīvās zīmes – sākot no 250 euro/gab.</w:t>
            </w:r>
          </w:p>
        </w:tc>
        <w:tc>
          <w:tcPr>
            <w:tcW w:w="2428" w:type="dxa"/>
            <w:tcBorders>
              <w:top w:val="single" w:sz="4" w:space="0" w:color="000000"/>
              <w:left w:val="single" w:sz="4" w:space="0" w:color="000000"/>
              <w:bottom w:val="single" w:sz="4" w:space="0" w:color="000000"/>
              <w:right w:val="single" w:sz="4" w:space="0" w:color="000000"/>
            </w:tcBorders>
          </w:tcPr>
          <w:p w14:paraId="37A0150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 xml:space="preserve">Papildināti informācijas stendi </w:t>
            </w:r>
          </w:p>
        </w:tc>
      </w:tr>
      <w:tr w:rsidR="00CE699B" w:rsidRPr="00675182" w14:paraId="24622516" w14:textId="77777777" w:rsidTr="00E21287">
        <w:tc>
          <w:tcPr>
            <w:tcW w:w="872" w:type="dxa"/>
            <w:tcBorders>
              <w:top w:val="single" w:sz="4" w:space="0" w:color="000000"/>
              <w:left w:val="single" w:sz="4" w:space="0" w:color="000000"/>
              <w:bottom w:val="single" w:sz="4" w:space="0" w:color="000000"/>
            </w:tcBorders>
          </w:tcPr>
          <w:p w14:paraId="63C2BC47"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E.3.</w:t>
            </w:r>
          </w:p>
        </w:tc>
        <w:tc>
          <w:tcPr>
            <w:tcW w:w="850" w:type="dxa"/>
            <w:tcBorders>
              <w:top w:val="single" w:sz="4" w:space="0" w:color="000000"/>
              <w:left w:val="single" w:sz="4" w:space="0" w:color="000000"/>
              <w:bottom w:val="single" w:sz="4" w:space="0" w:color="000000"/>
            </w:tcBorders>
          </w:tcPr>
          <w:p w14:paraId="40BDD300"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E.3.</w:t>
            </w:r>
          </w:p>
        </w:tc>
        <w:tc>
          <w:tcPr>
            <w:tcW w:w="2670" w:type="dxa"/>
            <w:tcBorders>
              <w:top w:val="single" w:sz="4" w:space="0" w:color="000000"/>
              <w:left w:val="single" w:sz="4" w:space="0" w:color="000000"/>
              <w:bottom w:val="single" w:sz="4" w:space="0" w:color="000000"/>
            </w:tcBorders>
          </w:tcPr>
          <w:p w14:paraId="4D546D5B"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Izglītojošs pasākums “Dabā ar ekspertu”</w:t>
            </w:r>
          </w:p>
        </w:tc>
        <w:tc>
          <w:tcPr>
            <w:tcW w:w="1699" w:type="dxa"/>
            <w:tcBorders>
              <w:top w:val="single" w:sz="4" w:space="0" w:color="000000"/>
              <w:left w:val="single" w:sz="4" w:space="0" w:color="000000"/>
              <w:bottom w:val="single" w:sz="4" w:space="0" w:color="000000"/>
            </w:tcBorders>
          </w:tcPr>
          <w:p w14:paraId="3AF42B6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4431E51C"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Pašvaldība, projektu finansējums, DAP</w:t>
            </w:r>
          </w:p>
        </w:tc>
        <w:tc>
          <w:tcPr>
            <w:tcW w:w="1991" w:type="dxa"/>
            <w:tcBorders>
              <w:top w:val="single" w:sz="4" w:space="0" w:color="000000"/>
              <w:left w:val="single" w:sz="4" w:space="0" w:color="000000"/>
              <w:bottom w:val="single" w:sz="4" w:space="0" w:color="000000"/>
            </w:tcBorders>
          </w:tcPr>
          <w:p w14:paraId="492F4314"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Pašvaldība, DAP</w:t>
            </w:r>
          </w:p>
        </w:tc>
        <w:tc>
          <w:tcPr>
            <w:tcW w:w="1577" w:type="dxa"/>
            <w:tcBorders>
              <w:top w:val="single" w:sz="4" w:space="0" w:color="000000"/>
              <w:left w:val="single" w:sz="4" w:space="0" w:color="000000"/>
              <w:bottom w:val="single" w:sz="4" w:space="0" w:color="000000"/>
            </w:tcBorders>
          </w:tcPr>
          <w:p w14:paraId="352D434A"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247B2C60"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Pasākumu apmeklētāju skaits</w:t>
            </w:r>
          </w:p>
        </w:tc>
      </w:tr>
      <w:tr w:rsidR="00CE699B" w:rsidRPr="00675182" w14:paraId="73199D55" w14:textId="77777777" w:rsidTr="00E21287">
        <w:tc>
          <w:tcPr>
            <w:tcW w:w="872" w:type="dxa"/>
            <w:tcBorders>
              <w:top w:val="single" w:sz="4" w:space="0" w:color="000000"/>
              <w:left w:val="single" w:sz="4" w:space="0" w:color="000000"/>
              <w:bottom w:val="single" w:sz="4" w:space="0" w:color="000000"/>
            </w:tcBorders>
            <w:shd w:val="clear" w:color="auto" w:fill="auto"/>
          </w:tcPr>
          <w:p w14:paraId="64357809"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48" w:name="_Hlk83323672"/>
            <w:r w:rsidRPr="00675182">
              <w:rPr>
                <w:rFonts w:cstheme="minorHAnsi"/>
                <w:bCs/>
                <w:sz w:val="20"/>
                <w:lang w:val="lv-LV"/>
              </w:rPr>
              <w:t>E.4.</w:t>
            </w:r>
          </w:p>
        </w:tc>
        <w:tc>
          <w:tcPr>
            <w:tcW w:w="850" w:type="dxa"/>
            <w:tcBorders>
              <w:top w:val="single" w:sz="4" w:space="0" w:color="000000"/>
              <w:left w:val="single" w:sz="4" w:space="0" w:color="000000"/>
              <w:bottom w:val="single" w:sz="4" w:space="0" w:color="000000"/>
            </w:tcBorders>
            <w:shd w:val="clear" w:color="auto" w:fill="auto"/>
          </w:tcPr>
          <w:p w14:paraId="724AD03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E.3.</w:t>
            </w:r>
          </w:p>
          <w:p w14:paraId="3B223A0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p w14:paraId="2B19D29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C.2.</w:t>
            </w:r>
          </w:p>
          <w:p w14:paraId="18B020AE" w14:textId="77777777" w:rsidR="00CE699B" w:rsidRPr="00675182" w:rsidRDefault="00CE699B" w:rsidP="00CE699B">
            <w:pPr>
              <w:pStyle w:val="naisf"/>
              <w:snapToGrid w:val="0"/>
              <w:spacing w:before="0" w:after="0"/>
              <w:ind w:firstLine="0"/>
              <w:jc w:val="left"/>
              <w:rPr>
                <w:rFonts w:cstheme="minorHAnsi"/>
                <w:sz w:val="20"/>
                <w:lang w:val="lv-LV"/>
              </w:rPr>
            </w:pPr>
          </w:p>
        </w:tc>
        <w:tc>
          <w:tcPr>
            <w:tcW w:w="2670" w:type="dxa"/>
            <w:tcBorders>
              <w:top w:val="single" w:sz="4" w:space="0" w:color="000000"/>
              <w:left w:val="single" w:sz="4" w:space="0" w:color="000000"/>
              <w:bottom w:val="single" w:sz="4" w:space="0" w:color="000000"/>
            </w:tcBorders>
            <w:shd w:val="clear" w:color="auto" w:fill="auto"/>
          </w:tcPr>
          <w:p w14:paraId="37E26D6E"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 xml:space="preserve">Izglītību iekļaujoša satura izstrāde un integrēšana tūrismu veicinošās aktivitātes, kas atbalsta dabas un kultūras mantojuma, nemateriālā </w:t>
            </w:r>
            <w:r w:rsidRPr="00675182">
              <w:rPr>
                <w:rFonts w:cstheme="minorHAnsi"/>
                <w:sz w:val="20"/>
                <w:lang w:val="lv-LV"/>
              </w:rPr>
              <w:lastRenderedPageBreak/>
              <w:t>mantojuma tradīciju saglabāšanu</w:t>
            </w:r>
          </w:p>
        </w:tc>
        <w:tc>
          <w:tcPr>
            <w:tcW w:w="1699" w:type="dxa"/>
            <w:tcBorders>
              <w:top w:val="single" w:sz="4" w:space="0" w:color="000000"/>
              <w:left w:val="single" w:sz="4" w:space="0" w:color="000000"/>
              <w:bottom w:val="single" w:sz="4" w:space="0" w:color="000000"/>
            </w:tcBorders>
            <w:shd w:val="clear" w:color="auto" w:fill="auto"/>
          </w:tcPr>
          <w:p w14:paraId="048CF3F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lastRenderedPageBreak/>
              <w:t>I, regulāri plāna darbības laikā</w:t>
            </w:r>
          </w:p>
        </w:tc>
        <w:tc>
          <w:tcPr>
            <w:tcW w:w="2124" w:type="dxa"/>
            <w:tcBorders>
              <w:top w:val="single" w:sz="4" w:space="0" w:color="000000"/>
              <w:left w:val="single" w:sz="4" w:space="0" w:color="000000"/>
              <w:bottom w:val="single" w:sz="4" w:space="0" w:color="000000"/>
            </w:tcBorders>
            <w:shd w:val="clear" w:color="auto" w:fill="auto"/>
          </w:tcPr>
          <w:p w14:paraId="2E78573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bCs/>
                <w:sz w:val="20"/>
                <w:lang w:val="lv-LV"/>
              </w:rPr>
              <w:t>Pašvaldības,</w:t>
            </w:r>
            <w:r w:rsidRPr="00675182">
              <w:rPr>
                <w:rFonts w:cstheme="minorHAnsi"/>
                <w:b/>
                <w:sz w:val="20"/>
                <w:lang w:val="lv-LV"/>
              </w:rPr>
              <w:t xml:space="preserve"> </w:t>
            </w:r>
            <w:r w:rsidRPr="00675182">
              <w:rPr>
                <w:rFonts w:cstheme="minorHAnsi"/>
                <w:sz w:val="20"/>
                <w:lang w:val="lv-LV"/>
              </w:rPr>
              <w:t>projektu finansējums, Vidzemes plānošanas reģions</w:t>
            </w:r>
          </w:p>
        </w:tc>
        <w:tc>
          <w:tcPr>
            <w:tcW w:w="1991" w:type="dxa"/>
            <w:tcBorders>
              <w:top w:val="single" w:sz="4" w:space="0" w:color="000000"/>
              <w:left w:val="single" w:sz="4" w:space="0" w:color="000000"/>
              <w:bottom w:val="single" w:sz="4" w:space="0" w:color="000000"/>
            </w:tcBorders>
            <w:shd w:val="clear" w:color="auto" w:fill="auto"/>
          </w:tcPr>
          <w:p w14:paraId="59B6EF4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bCs/>
                <w:sz w:val="20"/>
                <w:lang w:val="lv-LV"/>
              </w:rPr>
              <w:t>GNP tūrisma biedrība</w:t>
            </w:r>
          </w:p>
        </w:tc>
        <w:tc>
          <w:tcPr>
            <w:tcW w:w="1577" w:type="dxa"/>
            <w:tcBorders>
              <w:top w:val="single" w:sz="4" w:space="0" w:color="000000"/>
              <w:left w:val="single" w:sz="4" w:space="0" w:color="000000"/>
              <w:bottom w:val="single" w:sz="4" w:space="0" w:color="000000"/>
            </w:tcBorders>
            <w:shd w:val="clear" w:color="auto" w:fill="auto"/>
          </w:tcPr>
          <w:p w14:paraId="5A06AB98" w14:textId="77777777" w:rsidR="00CE699B" w:rsidRPr="00675182" w:rsidRDefault="00CE699B" w:rsidP="00CE699B">
            <w:pPr>
              <w:autoSpaceDE w:val="0"/>
              <w:snapToGrid w:val="0"/>
              <w:rPr>
                <w:rFonts w:cstheme="minorHAnsi"/>
                <w:sz w:val="20"/>
              </w:rPr>
            </w:pPr>
            <w:r w:rsidRPr="00675182">
              <w:rPr>
                <w:rFonts w:cstheme="minorHAnsi"/>
                <w:sz w:val="20"/>
              </w:rPr>
              <w:t>Esošās darbības ietvaros</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CF1CB85"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bCs/>
                <w:sz w:val="20"/>
                <w:lang w:val="lv-LV"/>
              </w:rPr>
              <w:t>Iestrādāta kvalitatīva izglītojoša satura komponente GNP teritorijā sniegtajos tūrisma pakalpojumos</w:t>
            </w:r>
          </w:p>
        </w:tc>
      </w:tr>
      <w:bookmarkEnd w:id="148"/>
      <w:tr w:rsidR="00CE699B" w:rsidRPr="00675182" w14:paraId="2C8BCEDD" w14:textId="77777777" w:rsidTr="00E21287">
        <w:tc>
          <w:tcPr>
            <w:tcW w:w="872" w:type="dxa"/>
            <w:tcBorders>
              <w:top w:val="single" w:sz="4" w:space="0" w:color="000000"/>
              <w:left w:val="single" w:sz="4" w:space="0" w:color="000000"/>
              <w:bottom w:val="single" w:sz="4" w:space="0" w:color="000000"/>
              <w:right w:val="nil"/>
            </w:tcBorders>
          </w:tcPr>
          <w:p w14:paraId="38B5B4EC" w14:textId="77777777" w:rsidR="00CE699B" w:rsidRPr="00675182" w:rsidRDefault="00CE699B" w:rsidP="00CE699B">
            <w:pPr>
              <w:pStyle w:val="naisf"/>
              <w:snapToGrid w:val="0"/>
              <w:spacing w:before="0" w:after="0"/>
              <w:ind w:left="52" w:firstLine="0"/>
              <w:jc w:val="left"/>
              <w:rPr>
                <w:rFonts w:cstheme="minorHAnsi"/>
                <w:bCs/>
                <w:sz w:val="20"/>
                <w:lang w:val="lv-LV"/>
              </w:rPr>
            </w:pPr>
            <w:r w:rsidRPr="00675182">
              <w:rPr>
                <w:rFonts w:cstheme="minorHAnsi"/>
                <w:sz w:val="20"/>
                <w:lang w:val="lv-LV"/>
              </w:rPr>
              <w:t>E.5.</w:t>
            </w:r>
          </w:p>
        </w:tc>
        <w:tc>
          <w:tcPr>
            <w:tcW w:w="850" w:type="dxa"/>
            <w:tcBorders>
              <w:top w:val="single" w:sz="4" w:space="0" w:color="000000"/>
              <w:left w:val="single" w:sz="4" w:space="0" w:color="000000"/>
              <w:bottom w:val="single" w:sz="4" w:space="0" w:color="000000"/>
              <w:right w:val="nil"/>
            </w:tcBorders>
          </w:tcPr>
          <w:p w14:paraId="2DEAA31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E.3.</w:t>
            </w:r>
          </w:p>
          <w:p w14:paraId="1D7E9B25"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1D12975C"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Izglītojoša satura nodrošināšana (materiāli un pakalpojumi), iekļaujot kvalitatīvu interpretāciju par nacionālā parka kultūras, dabas un ainavas vērtībām, integrējot to trešo pušu pakalpojumos</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6D4571B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C29979D"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DAP, NVO, pašvaldības; piesaistīto 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2AA12D1"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DAP, NVO</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51A098EB"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191743AC"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Izglītojošo pasākumu skaits. Apmeklētāju un iedzīvotāju zināšanu līmenis par dabu un ekoloģiskajiem procesiem.</w:t>
            </w:r>
          </w:p>
        </w:tc>
      </w:tr>
      <w:tr w:rsidR="00CE699B" w:rsidRPr="00675182" w14:paraId="7BC7C58F" w14:textId="77777777" w:rsidTr="00E21287">
        <w:tc>
          <w:tcPr>
            <w:tcW w:w="872" w:type="dxa"/>
            <w:tcBorders>
              <w:top w:val="single" w:sz="4" w:space="0" w:color="000000"/>
              <w:left w:val="single" w:sz="4" w:space="0" w:color="000000"/>
              <w:bottom w:val="single" w:sz="4" w:space="0" w:color="000000"/>
              <w:right w:val="nil"/>
            </w:tcBorders>
          </w:tcPr>
          <w:p w14:paraId="0A8BC2AA" w14:textId="77777777" w:rsidR="00CE699B" w:rsidRPr="00675182" w:rsidRDefault="00CE699B" w:rsidP="00CE699B">
            <w:pPr>
              <w:pStyle w:val="naisf"/>
              <w:snapToGrid w:val="0"/>
              <w:spacing w:before="0" w:after="0"/>
              <w:ind w:left="52" w:firstLine="0"/>
              <w:jc w:val="left"/>
              <w:rPr>
                <w:rFonts w:cstheme="minorHAnsi"/>
                <w:bCs/>
                <w:sz w:val="20"/>
                <w:lang w:val="lv-LV"/>
              </w:rPr>
            </w:pPr>
            <w:r w:rsidRPr="00675182">
              <w:rPr>
                <w:rFonts w:cstheme="minorHAnsi"/>
                <w:sz w:val="20"/>
                <w:lang w:val="lv-LV"/>
              </w:rPr>
              <w:t>E.6.</w:t>
            </w:r>
          </w:p>
        </w:tc>
        <w:tc>
          <w:tcPr>
            <w:tcW w:w="850" w:type="dxa"/>
            <w:tcBorders>
              <w:top w:val="single" w:sz="4" w:space="0" w:color="000000"/>
              <w:left w:val="single" w:sz="4" w:space="0" w:color="000000"/>
              <w:bottom w:val="single" w:sz="4" w:space="0" w:color="000000"/>
              <w:right w:val="nil"/>
            </w:tcBorders>
          </w:tcPr>
          <w:p w14:paraId="2EB7A716"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E.3.</w:t>
            </w:r>
          </w:p>
          <w:p w14:paraId="5691BABA"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right w:val="nil"/>
            </w:tcBorders>
          </w:tcPr>
          <w:p w14:paraId="2FB55334"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Tematiska, uz iedzīvotājiem, zemju īpašniekiem, apsaimniekotājiem vērstas informācijas nodrošināšana, aicinot uz aktīvām rīcībām (par invazīvo sugu izskaušanu u.tml.)</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5A45BF5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40CB4BF2"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DAP, NVO, pašvaldības; piesaistīto 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522D51BD"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DAP, NVO</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2FA59CCC"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7F7D0F7A"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Informatīvo kampaņu skaits gadā un to efektivitātes mērījumi</w:t>
            </w:r>
          </w:p>
        </w:tc>
      </w:tr>
      <w:tr w:rsidR="00CE699B" w:rsidRPr="00675182" w14:paraId="1B3B8FC4" w14:textId="77777777" w:rsidTr="00E21287">
        <w:tc>
          <w:tcPr>
            <w:tcW w:w="872" w:type="dxa"/>
            <w:tcBorders>
              <w:top w:val="single" w:sz="4" w:space="0" w:color="000000"/>
              <w:left w:val="single" w:sz="4" w:space="0" w:color="000000"/>
              <w:bottom w:val="single" w:sz="4" w:space="0" w:color="000000"/>
              <w:right w:val="nil"/>
            </w:tcBorders>
          </w:tcPr>
          <w:p w14:paraId="39F30419" w14:textId="77777777" w:rsidR="00CE699B" w:rsidRPr="00675182" w:rsidRDefault="00CE699B" w:rsidP="00CE699B">
            <w:pPr>
              <w:pStyle w:val="naisf"/>
              <w:snapToGrid w:val="0"/>
              <w:spacing w:before="0" w:after="0"/>
              <w:ind w:left="52" w:firstLine="0"/>
              <w:jc w:val="left"/>
              <w:rPr>
                <w:rFonts w:cstheme="minorHAnsi"/>
                <w:bCs/>
                <w:sz w:val="20"/>
                <w:lang w:val="lv-LV"/>
              </w:rPr>
            </w:pPr>
            <w:r w:rsidRPr="00675182">
              <w:rPr>
                <w:rFonts w:cstheme="minorHAnsi"/>
                <w:sz w:val="20"/>
                <w:lang w:val="lv-LV"/>
              </w:rPr>
              <w:t>E.7.</w:t>
            </w:r>
          </w:p>
        </w:tc>
        <w:tc>
          <w:tcPr>
            <w:tcW w:w="850" w:type="dxa"/>
            <w:tcBorders>
              <w:top w:val="single" w:sz="4" w:space="0" w:color="000000"/>
              <w:left w:val="single" w:sz="4" w:space="0" w:color="000000"/>
              <w:bottom w:val="single" w:sz="4" w:space="0" w:color="000000"/>
              <w:right w:val="nil"/>
            </w:tcBorders>
          </w:tcPr>
          <w:p w14:paraId="3AF1046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E.3.</w:t>
            </w:r>
          </w:p>
        </w:tc>
        <w:tc>
          <w:tcPr>
            <w:tcW w:w="2670" w:type="dxa"/>
            <w:tcBorders>
              <w:top w:val="single" w:sz="4" w:space="0" w:color="000000"/>
              <w:left w:val="single" w:sz="4" w:space="0" w:color="000000"/>
              <w:bottom w:val="single" w:sz="4" w:space="0" w:color="000000"/>
              <w:right w:val="nil"/>
            </w:tcBorders>
          </w:tcPr>
          <w:p w14:paraId="4B41DA26"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Informācijas ierobežošana publiskajā vidē par vietām, kuru apmeklēšana nav popularizējama dabas aizsardzības nolūkos</w:t>
            </w:r>
          </w:p>
          <w:p w14:paraId="385AC6A3"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(piemēram, Ramātu klintis, Paparžu grava, Patkulu ala, Stoķu klintis, Kautraka gravas, Roču piramīda, Raganu katls)</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0D83251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B32E74D"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DAP, NVO, pašvaldības; piesaistīto 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6AE07027"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DAP, NVO, citas iesaistītās puses – informatīvo resursu īpašnieki / satura nodrošinātāji</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3F3B79AF" w14:textId="77777777" w:rsidR="00CE699B" w:rsidRPr="00675182" w:rsidRDefault="00CE699B" w:rsidP="00CE699B">
            <w:pPr>
              <w:autoSpaceDE w:val="0"/>
              <w:snapToGrid w:val="0"/>
              <w:rPr>
                <w:rFonts w:cstheme="minorHAnsi"/>
                <w:sz w:val="20"/>
              </w:rPr>
            </w:pPr>
            <w:r w:rsidRPr="00675182">
              <w:rPr>
                <w:rFonts w:cstheme="minorHAnsi"/>
                <w:sz w:val="20"/>
              </w:rPr>
              <w:t>Administratīvās izmaksas</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67B80F9B"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Ierobežota informācija par jutīgiem dabas objektiem.</w:t>
            </w:r>
          </w:p>
        </w:tc>
      </w:tr>
      <w:tr w:rsidR="00CE699B" w:rsidRPr="00675182" w14:paraId="0F4F9CC7" w14:textId="77777777" w:rsidTr="00E21287">
        <w:tc>
          <w:tcPr>
            <w:tcW w:w="872" w:type="dxa"/>
            <w:tcBorders>
              <w:top w:val="single" w:sz="4" w:space="0" w:color="000000"/>
              <w:left w:val="single" w:sz="4" w:space="0" w:color="000000"/>
              <w:bottom w:val="single" w:sz="4" w:space="0" w:color="000000"/>
              <w:right w:val="nil"/>
            </w:tcBorders>
          </w:tcPr>
          <w:p w14:paraId="57071F9A" w14:textId="77777777" w:rsidR="00CE699B" w:rsidRPr="00675182" w:rsidRDefault="00CE699B" w:rsidP="00CE699B">
            <w:pPr>
              <w:pStyle w:val="naisf"/>
              <w:snapToGrid w:val="0"/>
              <w:spacing w:before="0" w:after="0"/>
              <w:ind w:left="52" w:firstLine="0"/>
              <w:jc w:val="left"/>
              <w:rPr>
                <w:rFonts w:cstheme="minorHAnsi"/>
                <w:bCs/>
                <w:sz w:val="20"/>
                <w:lang w:val="lv-LV"/>
              </w:rPr>
            </w:pPr>
            <w:r w:rsidRPr="00675182">
              <w:rPr>
                <w:rFonts w:cstheme="minorHAnsi"/>
                <w:sz w:val="20"/>
                <w:lang w:val="lv-LV"/>
              </w:rPr>
              <w:t>E.8.</w:t>
            </w:r>
          </w:p>
        </w:tc>
        <w:tc>
          <w:tcPr>
            <w:tcW w:w="850" w:type="dxa"/>
            <w:tcBorders>
              <w:top w:val="single" w:sz="4" w:space="0" w:color="000000"/>
              <w:left w:val="single" w:sz="4" w:space="0" w:color="000000"/>
              <w:bottom w:val="single" w:sz="4" w:space="0" w:color="000000"/>
              <w:right w:val="nil"/>
            </w:tcBorders>
          </w:tcPr>
          <w:p w14:paraId="4754492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E.3.</w:t>
            </w:r>
          </w:p>
        </w:tc>
        <w:tc>
          <w:tcPr>
            <w:tcW w:w="2670" w:type="dxa"/>
            <w:tcBorders>
              <w:top w:val="single" w:sz="4" w:space="0" w:color="000000"/>
              <w:left w:val="single" w:sz="4" w:space="0" w:color="000000"/>
              <w:bottom w:val="single" w:sz="4" w:space="0" w:color="000000"/>
              <w:right w:val="nil"/>
            </w:tcBorders>
          </w:tcPr>
          <w:p w14:paraId="078696AA"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 xml:space="preserve">Klimata pārmaiņu mazināšanas iniciatīvu </w:t>
            </w:r>
            <w:r w:rsidRPr="00675182">
              <w:rPr>
                <w:rFonts w:cstheme="minorHAnsi"/>
                <w:sz w:val="20"/>
                <w:lang w:val="lv-LV"/>
              </w:rPr>
              <w:lastRenderedPageBreak/>
              <w:t>iesaiste tūrisma pakalpojumu sniedzēju ikdienas darbībā</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514EAE2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lastRenderedPageBreak/>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27C096D"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VARAM, EM, uzņēmēju līdzfinansējums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7B826CB7"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Uzņēmēji, tūrisma pakalpojumu sniedzēji</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5591ABAE"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50740E26" w14:textId="77777777" w:rsidR="00CE699B" w:rsidRPr="00675182" w:rsidRDefault="00CE699B" w:rsidP="00CE699B">
            <w:pPr>
              <w:pStyle w:val="naisf"/>
              <w:snapToGrid w:val="0"/>
              <w:spacing w:before="0" w:after="0"/>
              <w:ind w:firstLine="0"/>
              <w:jc w:val="left"/>
              <w:rPr>
                <w:rFonts w:cstheme="minorHAnsi"/>
                <w:bCs/>
                <w:sz w:val="20"/>
                <w:lang w:val="lv-LV"/>
              </w:rPr>
            </w:pPr>
            <w:r w:rsidRPr="00675182">
              <w:rPr>
                <w:rFonts w:cstheme="minorHAnsi"/>
                <w:sz w:val="20"/>
                <w:lang w:val="lv-LV"/>
              </w:rPr>
              <w:t xml:space="preserve">To tūrisma uzņēmumu procentuālā daļa ir pieaugusi par %, kas </w:t>
            </w:r>
            <w:r w:rsidRPr="00675182">
              <w:rPr>
                <w:rFonts w:cstheme="minorHAnsi"/>
                <w:sz w:val="20"/>
                <w:lang w:val="lv-LV"/>
              </w:rPr>
              <w:lastRenderedPageBreak/>
              <w:t>iesaistīti klimata pārmaiņu mazināšanas iniciatīvās un/vai īsteno “pielāgošanās” rīcības</w:t>
            </w:r>
          </w:p>
        </w:tc>
      </w:tr>
      <w:tr w:rsidR="00CE699B" w:rsidRPr="00675182" w14:paraId="7CD7D968" w14:textId="77777777" w:rsidTr="00E21287">
        <w:tc>
          <w:tcPr>
            <w:tcW w:w="872" w:type="dxa"/>
            <w:tcBorders>
              <w:top w:val="single" w:sz="4" w:space="0" w:color="000000"/>
              <w:left w:val="single" w:sz="4" w:space="0" w:color="000000"/>
              <w:bottom w:val="single" w:sz="4" w:space="0" w:color="000000"/>
              <w:right w:val="nil"/>
            </w:tcBorders>
          </w:tcPr>
          <w:p w14:paraId="62CAA830" w14:textId="77864371"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E.9.</w:t>
            </w:r>
          </w:p>
        </w:tc>
        <w:tc>
          <w:tcPr>
            <w:tcW w:w="850" w:type="dxa"/>
            <w:tcBorders>
              <w:top w:val="single" w:sz="4" w:space="0" w:color="000000"/>
              <w:left w:val="single" w:sz="4" w:space="0" w:color="000000"/>
              <w:bottom w:val="single" w:sz="4" w:space="0" w:color="000000"/>
              <w:right w:val="nil"/>
            </w:tcBorders>
          </w:tcPr>
          <w:p w14:paraId="13A313BB" w14:textId="74D635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E.3</w:t>
            </w:r>
          </w:p>
        </w:tc>
        <w:tc>
          <w:tcPr>
            <w:tcW w:w="2670" w:type="dxa"/>
            <w:tcBorders>
              <w:top w:val="single" w:sz="4" w:space="0" w:color="000000"/>
              <w:left w:val="single" w:sz="4" w:space="0" w:color="000000"/>
              <w:bottom w:val="single" w:sz="4" w:space="0" w:color="000000"/>
              <w:right w:val="nil"/>
            </w:tcBorders>
          </w:tcPr>
          <w:p w14:paraId="58CE1A54"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Zemes īpašnieku un apsaimniekotāju informēšanas sistēmas izstrāde un ieviešana par dabas vērtībām un saimnieciskās darbības ierobežojumiem un to izmaiņām īpašumos</w:t>
            </w:r>
          </w:p>
          <w:p w14:paraId="72389BB0" w14:textId="77777777" w:rsidR="00CE699B" w:rsidRPr="00675182" w:rsidRDefault="00CE699B" w:rsidP="00CE699B">
            <w:pPr>
              <w:pStyle w:val="naisf"/>
              <w:snapToGrid w:val="0"/>
              <w:ind w:firstLine="0"/>
              <w:jc w:val="left"/>
              <w:rPr>
                <w:rFonts w:cstheme="minorHAnsi"/>
                <w:sz w:val="20"/>
                <w:lang w:val="lv-LV"/>
              </w:rPr>
            </w:pP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00B995F8" w14:textId="75D4EB58"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6ABAF547" w14:textId="04557F3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VARAM, DAP, 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216088C0" w14:textId="5EFE185A"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valsts institūcijas un pašvaldības</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0F6AF888" w14:textId="54F91773"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15CD3786" w14:textId="7305800C"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Zemes īpašnieki un apsaimniekotāji saņem operatīvu informāciju par DDPS “Ozols” atzīmētiem objektiem un to izmaiņām uz savu e-adresi, pašvaldībās un valsts institūcijās var nodrošināt īpašniekam pielāgotu un uztveramu informāciju par dabas vērtībām un to aizsardzību un apsaimniekošanu</w:t>
            </w:r>
          </w:p>
        </w:tc>
      </w:tr>
      <w:tr w:rsidR="00CE699B" w:rsidRPr="00675182" w14:paraId="74198ABF" w14:textId="77777777" w:rsidTr="00E21287">
        <w:tc>
          <w:tcPr>
            <w:tcW w:w="872" w:type="dxa"/>
            <w:tcBorders>
              <w:top w:val="single" w:sz="4" w:space="0" w:color="000000"/>
              <w:left w:val="single" w:sz="4" w:space="0" w:color="000000"/>
              <w:bottom w:val="single" w:sz="4" w:space="0" w:color="000000"/>
              <w:right w:val="nil"/>
            </w:tcBorders>
          </w:tcPr>
          <w:p w14:paraId="2DF45C51" w14:textId="368365A2"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E.10.</w:t>
            </w:r>
          </w:p>
        </w:tc>
        <w:tc>
          <w:tcPr>
            <w:tcW w:w="850" w:type="dxa"/>
            <w:tcBorders>
              <w:top w:val="single" w:sz="4" w:space="0" w:color="000000"/>
              <w:left w:val="single" w:sz="4" w:space="0" w:color="000000"/>
              <w:bottom w:val="single" w:sz="4" w:space="0" w:color="000000"/>
              <w:right w:val="nil"/>
            </w:tcBorders>
          </w:tcPr>
          <w:p w14:paraId="128658EF" w14:textId="3DEB5084"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E.3</w:t>
            </w:r>
          </w:p>
        </w:tc>
        <w:tc>
          <w:tcPr>
            <w:tcW w:w="2670" w:type="dxa"/>
            <w:tcBorders>
              <w:top w:val="single" w:sz="4" w:space="0" w:color="000000"/>
              <w:left w:val="single" w:sz="4" w:space="0" w:color="000000"/>
              <w:bottom w:val="single" w:sz="4" w:space="0" w:color="000000"/>
              <w:right w:val="nil"/>
            </w:tcBorders>
          </w:tcPr>
          <w:p w14:paraId="470E8391" w14:textId="543CE3C0"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Veicināt pilsētas parku un dārzu, kā arī mazdārziņos un privātmāju teritoriju apsaimniekošanu saskaņā ar bioloģiskās saimniekošanas principiem.</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12DA3B1A" w14:textId="01415525"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91A1DB9" w14:textId="689F3136"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59F334C5" w14:textId="65C58412"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Pašvaldības, NVO</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623C5F5A" w14:textId="774AF09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4122EE37" w14:textId="2BF55361"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GNP pašvaldībām un iedzīvotājiem pieejami informatīvie materiāli, pasākumi un praktiskais atbalsts bioloģiskās saimniekošanas principu ieviešanai</w:t>
            </w:r>
          </w:p>
        </w:tc>
      </w:tr>
      <w:tr w:rsidR="00CE699B" w:rsidRPr="00675182" w14:paraId="196D657D" w14:textId="77777777" w:rsidTr="00E21287">
        <w:tc>
          <w:tcPr>
            <w:tcW w:w="872" w:type="dxa"/>
            <w:tcBorders>
              <w:top w:val="single" w:sz="4" w:space="0" w:color="000000"/>
              <w:left w:val="single" w:sz="4" w:space="0" w:color="000000"/>
              <w:bottom w:val="single" w:sz="4" w:space="0" w:color="000000"/>
              <w:right w:val="nil"/>
            </w:tcBorders>
          </w:tcPr>
          <w:p w14:paraId="7C6106BD" w14:textId="6598EB2F"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E.11.</w:t>
            </w:r>
          </w:p>
        </w:tc>
        <w:tc>
          <w:tcPr>
            <w:tcW w:w="850" w:type="dxa"/>
            <w:tcBorders>
              <w:top w:val="single" w:sz="4" w:space="0" w:color="000000"/>
              <w:left w:val="single" w:sz="4" w:space="0" w:color="000000"/>
              <w:bottom w:val="single" w:sz="4" w:space="0" w:color="000000"/>
              <w:right w:val="nil"/>
            </w:tcBorders>
          </w:tcPr>
          <w:p w14:paraId="314C7759" w14:textId="7ACC7AC8"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E.3.</w:t>
            </w:r>
          </w:p>
        </w:tc>
        <w:tc>
          <w:tcPr>
            <w:tcW w:w="2670" w:type="dxa"/>
            <w:tcBorders>
              <w:top w:val="single" w:sz="4" w:space="0" w:color="000000"/>
              <w:left w:val="single" w:sz="4" w:space="0" w:color="000000"/>
              <w:bottom w:val="single" w:sz="4" w:space="0" w:color="000000"/>
              <w:right w:val="nil"/>
            </w:tcBorders>
          </w:tcPr>
          <w:p w14:paraId="5D8B6061" w14:textId="61495C0E"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Rīcības plāna izstrāde sabiedrības izglītošanai un iesaistei lašu un taimiņu nārstošanas laikā</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tcPr>
          <w:p w14:paraId="46FD5B47" w14:textId="40DE8F9A"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plāna darbības laikā</w:t>
            </w:r>
          </w:p>
        </w:tc>
        <w:tc>
          <w:tcPr>
            <w:tcW w:w="2124" w:type="dxa"/>
            <w:tcBorders>
              <w:top w:val="single" w:sz="4" w:space="0" w:color="auto"/>
              <w:left w:val="single" w:sz="4" w:space="0" w:color="auto"/>
              <w:bottom w:val="single" w:sz="4" w:space="0" w:color="auto"/>
              <w:right w:val="single" w:sz="4" w:space="0" w:color="auto"/>
            </w:tcBorders>
            <w:shd w:val="clear" w:color="auto" w:fill="FFFFFF" w:themeFill="background1"/>
          </w:tcPr>
          <w:p w14:paraId="00A39E2B" w14:textId="712DA8AE"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tcPr>
          <w:p w14:paraId="1FF79643" w14:textId="38CB348B"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Gaujas ilgtspējīgas attīstības biedrība</w:t>
            </w:r>
          </w:p>
        </w:tc>
        <w:tc>
          <w:tcPr>
            <w:tcW w:w="1577" w:type="dxa"/>
            <w:tcBorders>
              <w:top w:val="single" w:sz="4" w:space="0" w:color="auto"/>
              <w:left w:val="single" w:sz="4" w:space="0" w:color="auto"/>
              <w:bottom w:val="single" w:sz="4" w:space="0" w:color="auto"/>
              <w:right w:val="single" w:sz="4" w:space="0" w:color="auto"/>
            </w:tcBorders>
            <w:shd w:val="clear" w:color="auto" w:fill="FFFFFF" w:themeFill="background1"/>
          </w:tcPr>
          <w:p w14:paraId="784C5C7B" w14:textId="31007A0F"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auto"/>
              <w:left w:val="single" w:sz="4" w:space="0" w:color="auto"/>
              <w:bottom w:val="single" w:sz="4" w:space="0" w:color="auto"/>
              <w:right w:val="single" w:sz="4" w:space="0" w:color="auto"/>
            </w:tcBorders>
            <w:shd w:val="clear" w:color="auto" w:fill="FFFFFF" w:themeFill="background1"/>
          </w:tcPr>
          <w:p w14:paraId="2484E5B7" w14:textId="5EAF97B0"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Izstrādāts rīcības plāns sabiedrības izglītošanai un iesaistei lašu un taimiņu nārstošanas laikā</w:t>
            </w:r>
          </w:p>
        </w:tc>
      </w:tr>
      <w:tr w:rsidR="00CE699B" w:rsidRPr="00675182" w14:paraId="78EB6587" w14:textId="77777777" w:rsidTr="0041526E">
        <w:tc>
          <w:tcPr>
            <w:tcW w:w="14211" w:type="dxa"/>
            <w:gridSpan w:val="8"/>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14:paraId="7C3E3104" w14:textId="77777777" w:rsidR="00CE699B" w:rsidRPr="00675182" w:rsidRDefault="00CE699B" w:rsidP="00CE699B">
            <w:pPr>
              <w:pStyle w:val="naisf"/>
              <w:keepNext/>
              <w:keepLines/>
              <w:snapToGrid w:val="0"/>
              <w:spacing w:before="0" w:after="0"/>
              <w:ind w:firstLine="0"/>
              <w:jc w:val="center"/>
              <w:rPr>
                <w:rFonts w:cstheme="minorHAnsi"/>
                <w:b/>
                <w:bCs/>
                <w:sz w:val="20"/>
                <w:lang w:val="lv-LV"/>
              </w:rPr>
            </w:pPr>
            <w:r w:rsidRPr="00675182">
              <w:rPr>
                <w:rFonts w:cstheme="minorHAnsi"/>
                <w:b/>
                <w:bCs/>
                <w:sz w:val="20"/>
                <w:lang w:val="lv-LV"/>
              </w:rPr>
              <w:lastRenderedPageBreak/>
              <w:t>Monitorings un izpēte</w:t>
            </w:r>
          </w:p>
        </w:tc>
      </w:tr>
      <w:tr w:rsidR="00CE699B" w:rsidRPr="00675182" w14:paraId="0055E5FF" w14:textId="77777777" w:rsidTr="00E21287">
        <w:tc>
          <w:tcPr>
            <w:tcW w:w="872" w:type="dxa"/>
            <w:tcBorders>
              <w:top w:val="single" w:sz="4" w:space="0" w:color="000000"/>
              <w:left w:val="single" w:sz="4" w:space="0" w:color="000000"/>
              <w:bottom w:val="single" w:sz="4" w:space="0" w:color="000000"/>
            </w:tcBorders>
          </w:tcPr>
          <w:p w14:paraId="79A2EEA4"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F.1.</w:t>
            </w:r>
          </w:p>
        </w:tc>
        <w:tc>
          <w:tcPr>
            <w:tcW w:w="850" w:type="dxa"/>
            <w:tcBorders>
              <w:top w:val="single" w:sz="4" w:space="0" w:color="000000"/>
              <w:left w:val="single" w:sz="4" w:space="0" w:color="000000"/>
              <w:bottom w:val="single" w:sz="4" w:space="0" w:color="000000"/>
            </w:tcBorders>
          </w:tcPr>
          <w:p w14:paraId="7AA9FA7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F.1.</w:t>
            </w:r>
          </w:p>
        </w:tc>
        <w:tc>
          <w:tcPr>
            <w:tcW w:w="2670" w:type="dxa"/>
            <w:tcBorders>
              <w:top w:val="single" w:sz="4" w:space="0" w:color="000000"/>
              <w:left w:val="single" w:sz="4" w:space="0" w:color="000000"/>
              <w:bottom w:val="single" w:sz="4" w:space="0" w:color="000000"/>
            </w:tcBorders>
          </w:tcPr>
          <w:p w14:paraId="65FBA9C9"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Aizsargājamo biotopu un to pasākumu efektivitātes monitorings</w:t>
            </w:r>
          </w:p>
        </w:tc>
        <w:tc>
          <w:tcPr>
            <w:tcW w:w="1699" w:type="dxa"/>
            <w:tcBorders>
              <w:top w:val="single" w:sz="4" w:space="0" w:color="000000"/>
              <w:left w:val="single" w:sz="4" w:space="0" w:color="000000"/>
              <w:bottom w:val="single" w:sz="4" w:space="0" w:color="000000"/>
            </w:tcBorders>
          </w:tcPr>
          <w:p w14:paraId="02AD612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 pirms un pēc apsaimniekošanas pasākumu veikšanas</w:t>
            </w:r>
          </w:p>
        </w:tc>
        <w:tc>
          <w:tcPr>
            <w:tcW w:w="2124" w:type="dxa"/>
            <w:tcBorders>
              <w:top w:val="single" w:sz="4" w:space="0" w:color="000000"/>
              <w:left w:val="single" w:sz="4" w:space="0" w:color="000000"/>
              <w:bottom w:val="single" w:sz="4" w:space="0" w:color="000000"/>
            </w:tcBorders>
          </w:tcPr>
          <w:p w14:paraId="50750CE7" w14:textId="77777777" w:rsidR="00CE699B" w:rsidRPr="00675182" w:rsidRDefault="00CE699B" w:rsidP="00CE699B">
            <w:pPr>
              <w:pStyle w:val="naisf"/>
              <w:keepNext/>
              <w:keepLines/>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357CDDC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NVO, zinātniskās institūcijas</w:t>
            </w:r>
          </w:p>
        </w:tc>
        <w:tc>
          <w:tcPr>
            <w:tcW w:w="1577" w:type="dxa"/>
            <w:tcBorders>
              <w:top w:val="single" w:sz="4" w:space="0" w:color="000000"/>
              <w:left w:val="single" w:sz="4" w:space="0" w:color="000000"/>
              <w:bottom w:val="single" w:sz="4" w:space="0" w:color="000000"/>
            </w:tcBorders>
          </w:tcPr>
          <w:p w14:paraId="1255D0D3"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0138EFD8" w14:textId="33770093"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 xml:space="preserve">Tiek nodrošināts </w:t>
            </w:r>
            <w:r>
              <w:rPr>
                <w:rFonts w:cstheme="minorHAnsi"/>
                <w:sz w:val="20"/>
                <w:lang w:val="lv-LV"/>
              </w:rPr>
              <w:t>ES nozīmes</w:t>
            </w:r>
            <w:r w:rsidRPr="00675182">
              <w:rPr>
                <w:rFonts w:cstheme="minorHAnsi"/>
                <w:sz w:val="20"/>
                <w:lang w:val="lv-LV"/>
              </w:rPr>
              <w:t xml:space="preserve"> biotopu un to apsaimniekošanas pasākumu efektivitātes monitorings</w:t>
            </w:r>
          </w:p>
        </w:tc>
      </w:tr>
      <w:tr w:rsidR="00CE699B" w:rsidRPr="00675182" w14:paraId="70D1C906" w14:textId="77777777" w:rsidTr="00E21287">
        <w:tc>
          <w:tcPr>
            <w:tcW w:w="872" w:type="dxa"/>
            <w:tcBorders>
              <w:top w:val="single" w:sz="4" w:space="0" w:color="000000"/>
              <w:left w:val="single" w:sz="4" w:space="0" w:color="000000"/>
              <w:bottom w:val="single" w:sz="4" w:space="0" w:color="000000"/>
            </w:tcBorders>
          </w:tcPr>
          <w:p w14:paraId="7A6527C6"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F.2.1.</w:t>
            </w:r>
          </w:p>
        </w:tc>
        <w:tc>
          <w:tcPr>
            <w:tcW w:w="850" w:type="dxa"/>
            <w:tcBorders>
              <w:top w:val="single" w:sz="4" w:space="0" w:color="000000"/>
              <w:left w:val="single" w:sz="4" w:space="0" w:color="000000"/>
              <w:bottom w:val="single" w:sz="4" w:space="0" w:color="000000"/>
            </w:tcBorders>
          </w:tcPr>
          <w:p w14:paraId="15B3CEDA" w14:textId="77777777" w:rsidR="00CE699B" w:rsidRPr="00675182" w:rsidRDefault="00CE699B" w:rsidP="00CE699B">
            <w:pPr>
              <w:pStyle w:val="naisf"/>
              <w:snapToGrid w:val="0"/>
              <w:spacing w:before="0" w:after="0" w:line="256" w:lineRule="auto"/>
              <w:ind w:firstLine="0"/>
              <w:jc w:val="left"/>
              <w:rPr>
                <w:rFonts w:cstheme="minorHAnsi"/>
                <w:sz w:val="20"/>
                <w:lang w:val="lv-LV"/>
              </w:rPr>
            </w:pPr>
            <w:r w:rsidRPr="00675182">
              <w:rPr>
                <w:rFonts w:cstheme="minorHAnsi"/>
                <w:sz w:val="20"/>
                <w:lang w:val="lv-LV"/>
              </w:rPr>
              <w:t>F.2.</w:t>
            </w:r>
          </w:p>
          <w:p w14:paraId="2E134F3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F.1.</w:t>
            </w:r>
          </w:p>
        </w:tc>
        <w:tc>
          <w:tcPr>
            <w:tcW w:w="2670" w:type="dxa"/>
            <w:tcBorders>
              <w:top w:val="single" w:sz="4" w:space="0" w:color="000000"/>
              <w:left w:val="single" w:sz="4" w:space="0" w:color="000000"/>
              <w:bottom w:val="single" w:sz="4" w:space="0" w:color="000000"/>
            </w:tcBorders>
          </w:tcPr>
          <w:p w14:paraId="35D20E60" w14:textId="77777777" w:rsidR="00CE699B" w:rsidRPr="00675182" w:rsidRDefault="00CE699B" w:rsidP="00CE699B">
            <w:pPr>
              <w:pStyle w:val="naisf"/>
              <w:snapToGrid w:val="0"/>
              <w:spacing w:line="256" w:lineRule="auto"/>
              <w:ind w:firstLine="0"/>
              <w:jc w:val="left"/>
              <w:rPr>
                <w:rFonts w:cstheme="minorHAnsi"/>
                <w:sz w:val="20"/>
                <w:lang w:val="lv-LV"/>
              </w:rPr>
            </w:pPr>
            <w:r w:rsidRPr="00675182">
              <w:rPr>
                <w:rFonts w:cstheme="minorHAnsi"/>
                <w:sz w:val="20"/>
                <w:lang w:val="lv-LV"/>
              </w:rPr>
              <w:t>Sugu monitorings esošo monitoringa programmu ietvaros</w:t>
            </w:r>
          </w:p>
          <w:p w14:paraId="567E5137" w14:textId="77777777" w:rsidR="00CE699B" w:rsidRPr="00675182" w:rsidRDefault="00CE699B" w:rsidP="00CE699B">
            <w:pPr>
              <w:pStyle w:val="naisf"/>
              <w:snapToGrid w:val="0"/>
              <w:ind w:firstLine="0"/>
              <w:jc w:val="left"/>
              <w:rPr>
                <w:rFonts w:cstheme="minorHAnsi"/>
                <w:sz w:val="20"/>
                <w:lang w:val="lv-LV"/>
              </w:rPr>
            </w:pPr>
          </w:p>
        </w:tc>
        <w:tc>
          <w:tcPr>
            <w:tcW w:w="1699" w:type="dxa"/>
            <w:tcBorders>
              <w:top w:val="single" w:sz="4" w:space="0" w:color="000000"/>
              <w:left w:val="single" w:sz="4" w:space="0" w:color="000000"/>
              <w:bottom w:val="single" w:sz="4" w:space="0" w:color="000000"/>
            </w:tcBorders>
          </w:tcPr>
          <w:p w14:paraId="46FE8AB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2E1D53B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36228D1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zinātniskās institūcijas</w:t>
            </w:r>
          </w:p>
        </w:tc>
        <w:tc>
          <w:tcPr>
            <w:tcW w:w="1577" w:type="dxa"/>
            <w:tcBorders>
              <w:top w:val="single" w:sz="4" w:space="0" w:color="000000"/>
              <w:left w:val="single" w:sz="4" w:space="0" w:color="000000"/>
              <w:bottom w:val="single" w:sz="4" w:space="0" w:color="000000"/>
            </w:tcBorders>
          </w:tcPr>
          <w:p w14:paraId="668CA3B8"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3C71B24B"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Ilgtermiņā uzturēts monitorings, iegūti ilggadīgi dati</w:t>
            </w:r>
          </w:p>
        </w:tc>
      </w:tr>
      <w:tr w:rsidR="00CE699B" w:rsidRPr="00675182" w14:paraId="4210B3FE" w14:textId="77777777" w:rsidTr="00E21287">
        <w:tc>
          <w:tcPr>
            <w:tcW w:w="872" w:type="dxa"/>
            <w:tcBorders>
              <w:top w:val="single" w:sz="4" w:space="0" w:color="000000"/>
              <w:left w:val="single" w:sz="4" w:space="0" w:color="000000"/>
              <w:bottom w:val="single" w:sz="4" w:space="0" w:color="000000"/>
            </w:tcBorders>
          </w:tcPr>
          <w:p w14:paraId="3B19ECF5"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F.2.2.</w:t>
            </w:r>
          </w:p>
        </w:tc>
        <w:tc>
          <w:tcPr>
            <w:tcW w:w="850" w:type="dxa"/>
            <w:tcBorders>
              <w:top w:val="single" w:sz="4" w:space="0" w:color="000000"/>
              <w:left w:val="single" w:sz="4" w:space="0" w:color="000000"/>
              <w:bottom w:val="single" w:sz="4" w:space="0" w:color="000000"/>
            </w:tcBorders>
          </w:tcPr>
          <w:p w14:paraId="6CA43D8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F.2. F.1</w:t>
            </w:r>
          </w:p>
        </w:tc>
        <w:tc>
          <w:tcPr>
            <w:tcW w:w="2670" w:type="dxa"/>
            <w:tcBorders>
              <w:top w:val="single" w:sz="4" w:space="0" w:color="000000"/>
              <w:left w:val="single" w:sz="4" w:space="0" w:color="000000"/>
              <w:bottom w:val="single" w:sz="4" w:space="0" w:color="000000"/>
            </w:tcBorders>
          </w:tcPr>
          <w:p w14:paraId="73DA6685"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Reto un aizsargājamo sugu speciālais monitorings</w:t>
            </w:r>
          </w:p>
        </w:tc>
        <w:tc>
          <w:tcPr>
            <w:tcW w:w="1699" w:type="dxa"/>
            <w:tcBorders>
              <w:top w:val="single" w:sz="4" w:space="0" w:color="000000"/>
              <w:left w:val="single" w:sz="4" w:space="0" w:color="000000"/>
              <w:bottom w:val="single" w:sz="4" w:space="0" w:color="000000"/>
            </w:tcBorders>
          </w:tcPr>
          <w:p w14:paraId="1C9BF8E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26A95246"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48C6076B"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zinātniskās institūcijas</w:t>
            </w:r>
          </w:p>
        </w:tc>
        <w:tc>
          <w:tcPr>
            <w:tcW w:w="1577" w:type="dxa"/>
            <w:tcBorders>
              <w:top w:val="single" w:sz="4" w:space="0" w:color="000000"/>
              <w:left w:val="single" w:sz="4" w:space="0" w:color="000000"/>
              <w:bottom w:val="single" w:sz="4" w:space="0" w:color="000000"/>
            </w:tcBorders>
          </w:tcPr>
          <w:p w14:paraId="7017725A"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4E8AE8C5"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Ilgtermiņā uzturēts monitorings, iegūti ilggadīgi dati</w:t>
            </w:r>
          </w:p>
        </w:tc>
      </w:tr>
      <w:tr w:rsidR="00CE699B" w:rsidRPr="00675182" w14:paraId="4C601477" w14:textId="77777777" w:rsidTr="00E21287">
        <w:tc>
          <w:tcPr>
            <w:tcW w:w="872" w:type="dxa"/>
            <w:tcBorders>
              <w:top w:val="single" w:sz="4" w:space="0" w:color="000000"/>
              <w:left w:val="single" w:sz="4" w:space="0" w:color="000000"/>
              <w:bottom w:val="single" w:sz="4" w:space="0" w:color="000000"/>
            </w:tcBorders>
          </w:tcPr>
          <w:p w14:paraId="15D5FCBB"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F.2.3.</w:t>
            </w:r>
          </w:p>
        </w:tc>
        <w:tc>
          <w:tcPr>
            <w:tcW w:w="850" w:type="dxa"/>
            <w:tcBorders>
              <w:top w:val="single" w:sz="4" w:space="0" w:color="000000"/>
              <w:left w:val="single" w:sz="4" w:space="0" w:color="000000"/>
              <w:bottom w:val="single" w:sz="4" w:space="0" w:color="000000"/>
            </w:tcBorders>
          </w:tcPr>
          <w:p w14:paraId="4D4D4329" w14:textId="77777777" w:rsidR="00CE699B" w:rsidRPr="00675182" w:rsidRDefault="00CE699B" w:rsidP="00CE699B">
            <w:pPr>
              <w:pStyle w:val="naisf"/>
              <w:snapToGrid w:val="0"/>
              <w:spacing w:before="0" w:after="0" w:line="256" w:lineRule="auto"/>
              <w:ind w:firstLine="0"/>
              <w:jc w:val="left"/>
              <w:rPr>
                <w:rFonts w:cstheme="minorHAnsi"/>
                <w:sz w:val="20"/>
                <w:lang w:val="lv-LV"/>
              </w:rPr>
            </w:pPr>
            <w:r w:rsidRPr="00675182">
              <w:rPr>
                <w:rFonts w:cstheme="minorHAnsi"/>
                <w:sz w:val="20"/>
                <w:lang w:val="lv-LV"/>
              </w:rPr>
              <w:t>F.2.</w:t>
            </w:r>
          </w:p>
          <w:p w14:paraId="281662B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F.1</w:t>
            </w:r>
          </w:p>
        </w:tc>
        <w:tc>
          <w:tcPr>
            <w:tcW w:w="2670" w:type="dxa"/>
            <w:tcBorders>
              <w:top w:val="single" w:sz="4" w:space="0" w:color="000000"/>
              <w:left w:val="single" w:sz="4" w:space="0" w:color="000000"/>
              <w:bottom w:val="single" w:sz="4" w:space="0" w:color="000000"/>
            </w:tcBorders>
          </w:tcPr>
          <w:p w14:paraId="7DD52898"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Sugu dzīvotņu apsaimniekošanas pasākumu efektivitātes monitorings</w:t>
            </w:r>
          </w:p>
        </w:tc>
        <w:tc>
          <w:tcPr>
            <w:tcW w:w="1699" w:type="dxa"/>
            <w:tcBorders>
              <w:top w:val="single" w:sz="4" w:space="0" w:color="000000"/>
              <w:left w:val="single" w:sz="4" w:space="0" w:color="000000"/>
              <w:bottom w:val="single" w:sz="4" w:space="0" w:color="000000"/>
            </w:tcBorders>
          </w:tcPr>
          <w:p w14:paraId="7583389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461DFB80"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07463BD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zinātniskās institūcijas, apsaimniekošanas pasākumu īstenotāji</w:t>
            </w:r>
          </w:p>
        </w:tc>
        <w:tc>
          <w:tcPr>
            <w:tcW w:w="1577" w:type="dxa"/>
            <w:tcBorders>
              <w:top w:val="single" w:sz="4" w:space="0" w:color="000000"/>
              <w:left w:val="single" w:sz="4" w:space="0" w:color="000000"/>
              <w:bottom w:val="single" w:sz="4" w:space="0" w:color="000000"/>
            </w:tcBorders>
          </w:tcPr>
          <w:p w14:paraId="2C724E85"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383B0C9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Iegūti dati par apsaimniekošanas pasākumu rezultātiem</w:t>
            </w:r>
          </w:p>
        </w:tc>
      </w:tr>
      <w:tr w:rsidR="00CE699B" w:rsidRPr="00675182" w14:paraId="355345CE" w14:textId="77777777" w:rsidTr="00E21287">
        <w:tc>
          <w:tcPr>
            <w:tcW w:w="872" w:type="dxa"/>
            <w:tcBorders>
              <w:top w:val="single" w:sz="4" w:space="0" w:color="000000"/>
              <w:left w:val="single" w:sz="4" w:space="0" w:color="000000"/>
              <w:bottom w:val="single" w:sz="4" w:space="0" w:color="000000"/>
            </w:tcBorders>
          </w:tcPr>
          <w:p w14:paraId="1CFDF7DE"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49" w:name="_Hlk83156938"/>
            <w:r w:rsidRPr="00675182">
              <w:rPr>
                <w:rFonts w:cstheme="minorHAnsi"/>
                <w:sz w:val="20"/>
                <w:lang w:val="lv-LV"/>
              </w:rPr>
              <w:t>F.2.4.</w:t>
            </w:r>
          </w:p>
        </w:tc>
        <w:tc>
          <w:tcPr>
            <w:tcW w:w="850" w:type="dxa"/>
            <w:tcBorders>
              <w:top w:val="single" w:sz="4" w:space="0" w:color="000000"/>
              <w:left w:val="single" w:sz="4" w:space="0" w:color="000000"/>
              <w:bottom w:val="single" w:sz="4" w:space="0" w:color="000000"/>
            </w:tcBorders>
          </w:tcPr>
          <w:p w14:paraId="561AC2E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F.2.</w:t>
            </w:r>
          </w:p>
        </w:tc>
        <w:tc>
          <w:tcPr>
            <w:tcW w:w="2670" w:type="dxa"/>
            <w:tcBorders>
              <w:top w:val="single" w:sz="4" w:space="0" w:color="000000"/>
              <w:left w:val="single" w:sz="4" w:space="0" w:color="000000"/>
              <w:bottom w:val="single" w:sz="4" w:space="0" w:color="000000"/>
            </w:tcBorders>
          </w:tcPr>
          <w:p w14:paraId="5BB52902" w14:textId="77777777" w:rsidR="00CE699B" w:rsidRPr="00675182" w:rsidRDefault="00CE699B" w:rsidP="00CE699B">
            <w:pPr>
              <w:pStyle w:val="naisf"/>
              <w:snapToGrid w:val="0"/>
              <w:ind w:firstLine="0"/>
              <w:jc w:val="left"/>
              <w:rPr>
                <w:rFonts w:cstheme="minorHAnsi"/>
                <w:color w:val="000000"/>
                <w:sz w:val="20"/>
                <w:shd w:val="clear" w:color="auto" w:fill="FFFFFF"/>
                <w:lang w:val="lv-LV"/>
              </w:rPr>
            </w:pPr>
            <w:r w:rsidRPr="00675182">
              <w:rPr>
                <w:rFonts w:cstheme="minorHAnsi"/>
                <w:i/>
                <w:sz w:val="20"/>
                <w:lang w:val="lv-LV"/>
              </w:rPr>
              <w:t>Unio crassus</w:t>
            </w:r>
            <w:r w:rsidRPr="00675182">
              <w:rPr>
                <w:rFonts w:cstheme="minorHAnsi"/>
                <w:sz w:val="20"/>
                <w:lang w:val="lv-LV"/>
              </w:rPr>
              <w:t xml:space="preserve"> populācijas stāvokļa un reprodukcijas sekmju izvērtējums </w:t>
            </w:r>
          </w:p>
        </w:tc>
        <w:tc>
          <w:tcPr>
            <w:tcW w:w="1699" w:type="dxa"/>
            <w:tcBorders>
              <w:top w:val="single" w:sz="4" w:space="0" w:color="000000"/>
              <w:left w:val="single" w:sz="4" w:space="0" w:color="000000"/>
              <w:bottom w:val="single" w:sz="4" w:space="0" w:color="000000"/>
            </w:tcBorders>
          </w:tcPr>
          <w:p w14:paraId="4FF317E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3BE9D60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14C3EEA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zinātniskās institūcijas</w:t>
            </w:r>
          </w:p>
        </w:tc>
        <w:tc>
          <w:tcPr>
            <w:tcW w:w="1577" w:type="dxa"/>
            <w:tcBorders>
              <w:top w:val="single" w:sz="4" w:space="0" w:color="000000"/>
              <w:left w:val="single" w:sz="4" w:space="0" w:color="000000"/>
              <w:bottom w:val="single" w:sz="4" w:space="0" w:color="000000"/>
            </w:tcBorders>
          </w:tcPr>
          <w:p w14:paraId="3BA86EE4"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47B2E6F6"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Papildinātas zināšanas ar mērķi veikt praktiskus sugas aizsardzības pasākumus.</w:t>
            </w:r>
          </w:p>
        </w:tc>
      </w:tr>
      <w:tr w:rsidR="00CE699B" w:rsidRPr="00675182" w14:paraId="75C3FB5B" w14:textId="77777777" w:rsidTr="00E21287">
        <w:tc>
          <w:tcPr>
            <w:tcW w:w="872" w:type="dxa"/>
            <w:tcBorders>
              <w:top w:val="single" w:sz="4" w:space="0" w:color="000000"/>
              <w:left w:val="single" w:sz="4" w:space="0" w:color="000000"/>
              <w:bottom w:val="single" w:sz="4" w:space="0" w:color="000000"/>
            </w:tcBorders>
          </w:tcPr>
          <w:p w14:paraId="56A9D2E4"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50" w:name="_Hlk83156958"/>
            <w:bookmarkEnd w:id="149"/>
            <w:r w:rsidRPr="00675182">
              <w:rPr>
                <w:rFonts w:cstheme="minorHAnsi"/>
                <w:sz w:val="20"/>
                <w:lang w:val="lv-LV"/>
              </w:rPr>
              <w:t>F.2.5.</w:t>
            </w:r>
          </w:p>
        </w:tc>
        <w:tc>
          <w:tcPr>
            <w:tcW w:w="850" w:type="dxa"/>
            <w:tcBorders>
              <w:top w:val="single" w:sz="4" w:space="0" w:color="000000"/>
              <w:left w:val="single" w:sz="4" w:space="0" w:color="000000"/>
              <w:bottom w:val="single" w:sz="4" w:space="0" w:color="000000"/>
            </w:tcBorders>
          </w:tcPr>
          <w:p w14:paraId="4C0C539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F.2.</w:t>
            </w:r>
          </w:p>
        </w:tc>
        <w:tc>
          <w:tcPr>
            <w:tcW w:w="2670" w:type="dxa"/>
            <w:tcBorders>
              <w:top w:val="single" w:sz="4" w:space="0" w:color="000000"/>
              <w:left w:val="single" w:sz="4" w:space="0" w:color="000000"/>
              <w:bottom w:val="single" w:sz="4" w:space="0" w:color="000000"/>
            </w:tcBorders>
          </w:tcPr>
          <w:p w14:paraId="0FF07F43"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color w:val="000000"/>
                <w:sz w:val="20"/>
                <w:shd w:val="clear" w:color="auto" w:fill="FFFFFF"/>
                <w:lang w:val="lv-LV"/>
              </w:rPr>
              <w:t xml:space="preserve">Tumšās pūcītes </w:t>
            </w:r>
            <w:r w:rsidRPr="00675182">
              <w:rPr>
                <w:rFonts w:cstheme="minorHAnsi"/>
                <w:i/>
                <w:color w:val="000000"/>
                <w:sz w:val="20"/>
                <w:shd w:val="clear" w:color="auto" w:fill="FFFFFF"/>
                <w:lang w:val="lv-LV"/>
              </w:rPr>
              <w:t xml:space="preserve">Xylomoia strix, </w:t>
            </w:r>
            <w:r w:rsidRPr="00675182">
              <w:rPr>
                <w:rFonts w:cstheme="minorHAnsi"/>
                <w:sz w:val="20"/>
                <w:lang w:val="lv-LV"/>
              </w:rPr>
              <w:t xml:space="preserve">Austrumu koksngrauža </w:t>
            </w:r>
            <w:r w:rsidRPr="00675182">
              <w:rPr>
                <w:rFonts w:cstheme="minorHAnsi"/>
                <w:i/>
                <w:sz w:val="20"/>
                <w:lang w:val="lv-LV"/>
              </w:rPr>
              <w:t>Mesosa myops</w:t>
            </w:r>
            <w:r w:rsidRPr="00675182">
              <w:rPr>
                <w:rFonts w:cstheme="minorHAnsi"/>
                <w:sz w:val="20"/>
                <w:lang w:val="lv-LV"/>
              </w:rPr>
              <w:t xml:space="preserve">, lapkoku praulgrauža </w:t>
            </w:r>
            <w:r w:rsidRPr="00675182">
              <w:rPr>
                <w:rFonts w:cstheme="minorHAnsi"/>
                <w:i/>
                <w:sz w:val="20"/>
                <w:lang w:val="lv-LV"/>
              </w:rPr>
              <w:t>Osmoderma barnabita</w:t>
            </w:r>
            <w:r w:rsidRPr="00675182">
              <w:rPr>
                <w:rFonts w:cstheme="minorHAnsi"/>
                <w:sz w:val="20"/>
                <w:lang w:val="lv-LV"/>
              </w:rPr>
              <w:t xml:space="preserve"> un Ziemeļu upespērlenes </w:t>
            </w:r>
            <w:r w:rsidRPr="00675182">
              <w:rPr>
                <w:rFonts w:cstheme="minorHAnsi"/>
                <w:i/>
                <w:sz w:val="20"/>
                <w:lang w:val="lv-LV"/>
              </w:rPr>
              <w:t>Margaritifera margaritifera</w:t>
            </w:r>
            <w:r w:rsidRPr="00675182">
              <w:rPr>
                <w:rFonts w:cstheme="minorHAnsi"/>
                <w:sz w:val="20"/>
                <w:lang w:val="lv-LV"/>
              </w:rPr>
              <w:t xml:space="preserve">, skabiozu pļavraibeņa izpēte </w:t>
            </w:r>
          </w:p>
        </w:tc>
        <w:tc>
          <w:tcPr>
            <w:tcW w:w="1699" w:type="dxa"/>
            <w:tcBorders>
              <w:top w:val="single" w:sz="4" w:space="0" w:color="000000"/>
              <w:left w:val="single" w:sz="4" w:space="0" w:color="000000"/>
              <w:bottom w:val="single" w:sz="4" w:space="0" w:color="000000"/>
            </w:tcBorders>
          </w:tcPr>
          <w:p w14:paraId="184EDCEC"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247E0A5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tcBorders>
          </w:tcPr>
          <w:p w14:paraId="125EDBA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zinātniskās institūcijas</w:t>
            </w:r>
          </w:p>
        </w:tc>
        <w:tc>
          <w:tcPr>
            <w:tcW w:w="1577" w:type="dxa"/>
            <w:tcBorders>
              <w:top w:val="single" w:sz="4" w:space="0" w:color="000000"/>
              <w:left w:val="single" w:sz="4" w:space="0" w:color="000000"/>
              <w:bottom w:val="single" w:sz="4" w:space="0" w:color="000000"/>
            </w:tcBorders>
          </w:tcPr>
          <w:p w14:paraId="5C1D9D23"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7722312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Papildinātas zināšanas ar mērķi veikt praktiskus sugas aizsardzības pasākumus.</w:t>
            </w:r>
          </w:p>
        </w:tc>
      </w:tr>
      <w:bookmarkEnd w:id="150"/>
      <w:tr w:rsidR="00CE699B" w:rsidRPr="00675182" w14:paraId="25B4948A" w14:textId="77777777" w:rsidTr="00E21287">
        <w:tc>
          <w:tcPr>
            <w:tcW w:w="872" w:type="dxa"/>
            <w:tcBorders>
              <w:top w:val="single" w:sz="4" w:space="0" w:color="000000"/>
              <w:left w:val="single" w:sz="4" w:space="0" w:color="000000"/>
              <w:bottom w:val="single" w:sz="4" w:space="0" w:color="000000"/>
            </w:tcBorders>
          </w:tcPr>
          <w:p w14:paraId="7A8EC4C5"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lastRenderedPageBreak/>
              <w:t>F.2.6</w:t>
            </w:r>
          </w:p>
        </w:tc>
        <w:tc>
          <w:tcPr>
            <w:tcW w:w="850" w:type="dxa"/>
            <w:tcBorders>
              <w:top w:val="single" w:sz="4" w:space="0" w:color="000000"/>
              <w:left w:val="single" w:sz="4" w:space="0" w:color="000000"/>
              <w:bottom w:val="single" w:sz="4" w:space="0" w:color="000000"/>
            </w:tcBorders>
          </w:tcPr>
          <w:p w14:paraId="521FBD5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F.2.</w:t>
            </w:r>
          </w:p>
          <w:p w14:paraId="26B0861B" w14:textId="77777777" w:rsidR="00CE699B" w:rsidRPr="00675182" w:rsidRDefault="00CE699B" w:rsidP="00CE699B">
            <w:pPr>
              <w:pStyle w:val="naisf"/>
              <w:snapToGrid w:val="0"/>
              <w:spacing w:before="0" w:after="0"/>
              <w:ind w:firstLine="0"/>
              <w:jc w:val="left"/>
              <w:rPr>
                <w:rFonts w:cstheme="minorHAnsi"/>
                <w:sz w:val="20"/>
                <w:lang w:val="lv-LV"/>
              </w:rPr>
            </w:pPr>
          </w:p>
        </w:tc>
        <w:tc>
          <w:tcPr>
            <w:tcW w:w="2670" w:type="dxa"/>
            <w:tcBorders>
              <w:top w:val="single" w:sz="4" w:space="0" w:color="000000"/>
              <w:left w:val="single" w:sz="4" w:space="0" w:color="000000"/>
              <w:bottom w:val="single" w:sz="4" w:space="0" w:color="000000"/>
            </w:tcBorders>
          </w:tcPr>
          <w:p w14:paraId="5D15942C" w14:textId="77777777" w:rsidR="00CE699B" w:rsidRPr="00675182" w:rsidRDefault="00CE699B" w:rsidP="00CE699B">
            <w:pPr>
              <w:pStyle w:val="naisf"/>
              <w:snapToGrid w:val="0"/>
              <w:ind w:firstLine="0"/>
              <w:jc w:val="left"/>
              <w:rPr>
                <w:rFonts w:cstheme="minorHAnsi"/>
                <w:color w:val="000000"/>
                <w:sz w:val="20"/>
                <w:shd w:val="clear" w:color="auto" w:fill="FFFFFF"/>
                <w:lang w:val="lv-LV"/>
              </w:rPr>
            </w:pPr>
            <w:r w:rsidRPr="00675182">
              <w:rPr>
                <w:rFonts w:cstheme="minorHAnsi"/>
                <w:sz w:val="20"/>
                <w:lang w:val="lv-LV"/>
              </w:rPr>
              <w:t>Zivju, nēģu un vēžu monitoringa uzlabošana un papildināšana</w:t>
            </w:r>
          </w:p>
        </w:tc>
        <w:tc>
          <w:tcPr>
            <w:tcW w:w="1699" w:type="dxa"/>
            <w:tcBorders>
              <w:top w:val="single" w:sz="4" w:space="0" w:color="000000"/>
              <w:left w:val="single" w:sz="4" w:space="0" w:color="000000"/>
              <w:bottom w:val="single" w:sz="4" w:space="0" w:color="000000"/>
            </w:tcBorders>
          </w:tcPr>
          <w:p w14:paraId="1FE2381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tcBorders>
          </w:tcPr>
          <w:p w14:paraId="448DED7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 xml:space="preserve">ZM, VARAM, projektu finansējums </w:t>
            </w:r>
          </w:p>
        </w:tc>
        <w:tc>
          <w:tcPr>
            <w:tcW w:w="1991" w:type="dxa"/>
            <w:tcBorders>
              <w:top w:val="single" w:sz="4" w:space="0" w:color="000000"/>
              <w:left w:val="single" w:sz="4" w:space="0" w:color="000000"/>
              <w:bottom w:val="single" w:sz="4" w:space="0" w:color="000000"/>
            </w:tcBorders>
          </w:tcPr>
          <w:p w14:paraId="13DAFF44"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zinātniskās institūcijas</w:t>
            </w:r>
          </w:p>
        </w:tc>
        <w:tc>
          <w:tcPr>
            <w:tcW w:w="1577" w:type="dxa"/>
            <w:tcBorders>
              <w:top w:val="single" w:sz="4" w:space="0" w:color="000000"/>
              <w:left w:val="single" w:sz="4" w:space="0" w:color="000000"/>
              <w:bottom w:val="single" w:sz="4" w:space="0" w:color="000000"/>
            </w:tcBorders>
          </w:tcPr>
          <w:p w14:paraId="537F86CE"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5E63620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Nodrošināta sugu populāciju novērtēšana piemērotu datu rinda, visi monitoringa dati apkopoti un pieejami DAP un citām institūcijām</w:t>
            </w:r>
          </w:p>
        </w:tc>
      </w:tr>
      <w:tr w:rsidR="00CE699B" w:rsidRPr="00675182" w14:paraId="294E570E" w14:textId="77777777" w:rsidTr="00E21287">
        <w:tc>
          <w:tcPr>
            <w:tcW w:w="872" w:type="dxa"/>
            <w:tcBorders>
              <w:top w:val="single" w:sz="4" w:space="0" w:color="000000"/>
              <w:left w:val="single" w:sz="4" w:space="0" w:color="000000"/>
              <w:bottom w:val="single" w:sz="4" w:space="0" w:color="000000"/>
            </w:tcBorders>
          </w:tcPr>
          <w:p w14:paraId="1BB33E7D"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F.3.1.</w:t>
            </w:r>
          </w:p>
        </w:tc>
        <w:tc>
          <w:tcPr>
            <w:tcW w:w="850" w:type="dxa"/>
            <w:tcBorders>
              <w:top w:val="single" w:sz="4" w:space="0" w:color="000000"/>
              <w:left w:val="single" w:sz="4" w:space="0" w:color="000000"/>
              <w:bottom w:val="single" w:sz="4" w:space="0" w:color="000000"/>
            </w:tcBorders>
          </w:tcPr>
          <w:p w14:paraId="4670F86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F.3.</w:t>
            </w:r>
          </w:p>
          <w:p w14:paraId="76F6940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C.1.</w:t>
            </w:r>
          </w:p>
        </w:tc>
        <w:tc>
          <w:tcPr>
            <w:tcW w:w="2670" w:type="dxa"/>
            <w:tcBorders>
              <w:top w:val="single" w:sz="4" w:space="0" w:color="000000"/>
              <w:left w:val="single" w:sz="4" w:space="0" w:color="000000"/>
              <w:bottom w:val="single" w:sz="4" w:space="0" w:color="000000"/>
            </w:tcBorders>
          </w:tcPr>
          <w:p w14:paraId="6C9ADAF7"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Ainavu izmaiņu monitorings</w:t>
            </w:r>
          </w:p>
        </w:tc>
        <w:tc>
          <w:tcPr>
            <w:tcW w:w="1699" w:type="dxa"/>
            <w:tcBorders>
              <w:top w:val="single" w:sz="4" w:space="0" w:color="000000"/>
              <w:left w:val="single" w:sz="4" w:space="0" w:color="000000"/>
              <w:bottom w:val="single" w:sz="4" w:space="0" w:color="000000"/>
            </w:tcBorders>
          </w:tcPr>
          <w:p w14:paraId="0BCF159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tcBorders>
          </w:tcPr>
          <w:p w14:paraId="227B1B7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pašvaldības, projektu finansējums</w:t>
            </w:r>
          </w:p>
        </w:tc>
        <w:tc>
          <w:tcPr>
            <w:tcW w:w="1991" w:type="dxa"/>
            <w:tcBorders>
              <w:top w:val="single" w:sz="4" w:space="0" w:color="000000"/>
              <w:left w:val="single" w:sz="4" w:space="0" w:color="000000"/>
              <w:bottom w:val="single" w:sz="4" w:space="0" w:color="000000"/>
            </w:tcBorders>
          </w:tcPr>
          <w:p w14:paraId="67D887A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sabiedrība, zinātniskās institūcijas</w:t>
            </w:r>
          </w:p>
        </w:tc>
        <w:tc>
          <w:tcPr>
            <w:tcW w:w="1577" w:type="dxa"/>
            <w:tcBorders>
              <w:top w:val="single" w:sz="4" w:space="0" w:color="000000"/>
              <w:left w:val="single" w:sz="4" w:space="0" w:color="000000"/>
              <w:bottom w:val="single" w:sz="4" w:space="0" w:color="000000"/>
            </w:tcBorders>
          </w:tcPr>
          <w:p w14:paraId="78D8138F"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1473609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Organizēts ainavu fotomonitorings ar dažādiem tematiskajiem uzdevumiem vismaz reizi 2 gados; 2025. un 2031. gadā veikta zemes seguma veidu izmaiņu analīze; Reizi 3 gados veikta LIZ struktūras analīze.</w:t>
            </w:r>
          </w:p>
        </w:tc>
      </w:tr>
      <w:tr w:rsidR="00CE699B" w:rsidRPr="00675182" w14:paraId="179D6EDA" w14:textId="77777777" w:rsidTr="00E21287">
        <w:tc>
          <w:tcPr>
            <w:tcW w:w="872" w:type="dxa"/>
            <w:tcBorders>
              <w:top w:val="single" w:sz="4" w:space="0" w:color="000000"/>
              <w:left w:val="single" w:sz="4" w:space="0" w:color="000000"/>
              <w:bottom w:val="single" w:sz="4" w:space="0" w:color="000000"/>
            </w:tcBorders>
          </w:tcPr>
          <w:p w14:paraId="3D6E7CC4"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51" w:name="_Hlk83241806"/>
            <w:r w:rsidRPr="00675182">
              <w:rPr>
                <w:rFonts w:cstheme="minorHAnsi"/>
                <w:sz w:val="20"/>
                <w:lang w:val="lv-LV"/>
              </w:rPr>
              <w:t>F.4.1</w:t>
            </w:r>
          </w:p>
        </w:tc>
        <w:tc>
          <w:tcPr>
            <w:tcW w:w="850" w:type="dxa"/>
            <w:tcBorders>
              <w:top w:val="single" w:sz="4" w:space="0" w:color="000000"/>
              <w:left w:val="single" w:sz="4" w:space="0" w:color="000000"/>
              <w:bottom w:val="single" w:sz="4" w:space="0" w:color="000000"/>
            </w:tcBorders>
          </w:tcPr>
          <w:p w14:paraId="52B54C6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F.4.</w:t>
            </w:r>
          </w:p>
        </w:tc>
        <w:tc>
          <w:tcPr>
            <w:tcW w:w="2670" w:type="dxa"/>
            <w:tcBorders>
              <w:top w:val="single" w:sz="4" w:space="0" w:color="000000"/>
              <w:left w:val="single" w:sz="4" w:space="0" w:color="000000"/>
              <w:bottom w:val="single" w:sz="4" w:space="0" w:color="000000"/>
            </w:tcBorders>
          </w:tcPr>
          <w:p w14:paraId="10403BFF"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Apmeklējumu skaita reģistrēšana dažādās vietās un sezonāli (apmeklētāju skaitītāju izvietošana)</w:t>
            </w:r>
          </w:p>
        </w:tc>
        <w:tc>
          <w:tcPr>
            <w:tcW w:w="1699" w:type="dxa"/>
            <w:tcBorders>
              <w:top w:val="single" w:sz="4" w:space="0" w:color="000000"/>
              <w:left w:val="single" w:sz="4" w:space="0" w:color="000000"/>
              <w:bottom w:val="single" w:sz="4" w:space="0" w:color="000000"/>
            </w:tcBorders>
          </w:tcPr>
          <w:p w14:paraId="0B4A6AC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plāna darbības laikā</w:t>
            </w:r>
          </w:p>
        </w:tc>
        <w:tc>
          <w:tcPr>
            <w:tcW w:w="2124" w:type="dxa"/>
            <w:tcBorders>
              <w:top w:val="single" w:sz="4" w:space="0" w:color="000000"/>
              <w:left w:val="single" w:sz="4" w:space="0" w:color="000000"/>
              <w:bottom w:val="single" w:sz="4" w:space="0" w:color="000000"/>
            </w:tcBorders>
          </w:tcPr>
          <w:p w14:paraId="40EFE0B0" w14:textId="72F09B21"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VARAM, DAP, Vi</w:t>
            </w:r>
            <w:r w:rsidR="005818C4">
              <w:rPr>
                <w:rFonts w:cstheme="minorHAnsi"/>
                <w:sz w:val="20"/>
                <w:lang w:val="lv-LV"/>
              </w:rPr>
              <w:t>dz</w:t>
            </w:r>
            <w:r w:rsidRPr="00675182">
              <w:rPr>
                <w:rFonts w:cstheme="minorHAnsi"/>
                <w:sz w:val="20"/>
                <w:lang w:val="lv-LV"/>
              </w:rPr>
              <w:t>emes Augstskola</w:t>
            </w:r>
          </w:p>
        </w:tc>
        <w:tc>
          <w:tcPr>
            <w:tcW w:w="1991" w:type="dxa"/>
            <w:tcBorders>
              <w:top w:val="single" w:sz="4" w:space="0" w:color="000000"/>
              <w:left w:val="single" w:sz="4" w:space="0" w:color="000000"/>
              <w:bottom w:val="single" w:sz="4" w:space="0" w:color="000000"/>
            </w:tcBorders>
          </w:tcPr>
          <w:p w14:paraId="4D8B8BD7" w14:textId="56A3C23D"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pašvaldības, tūrisma pakalpojumu sniedzēji, Vi</w:t>
            </w:r>
            <w:r w:rsidR="005818C4">
              <w:rPr>
                <w:rFonts w:cstheme="minorHAnsi"/>
                <w:sz w:val="20"/>
                <w:lang w:val="lv-LV"/>
              </w:rPr>
              <w:t>dz</w:t>
            </w:r>
            <w:r w:rsidRPr="00675182">
              <w:rPr>
                <w:rFonts w:cstheme="minorHAnsi"/>
                <w:sz w:val="20"/>
                <w:lang w:val="lv-LV"/>
              </w:rPr>
              <w:t>emes Augstskola, citi datu avotu turētāji</w:t>
            </w:r>
          </w:p>
        </w:tc>
        <w:tc>
          <w:tcPr>
            <w:tcW w:w="1577" w:type="dxa"/>
            <w:tcBorders>
              <w:top w:val="single" w:sz="4" w:space="0" w:color="000000"/>
              <w:left w:val="single" w:sz="4" w:space="0" w:color="000000"/>
              <w:bottom w:val="single" w:sz="4" w:space="0" w:color="000000"/>
            </w:tcBorders>
          </w:tcPr>
          <w:p w14:paraId="7D809104" w14:textId="0E260710" w:rsidR="00CE699B" w:rsidRPr="00675182" w:rsidRDefault="005818C4" w:rsidP="00CE699B">
            <w:pPr>
              <w:autoSpaceDE w:val="0"/>
              <w:snapToGrid w:val="0"/>
              <w:rPr>
                <w:rFonts w:cstheme="minorHAnsi"/>
                <w:sz w:val="20"/>
              </w:rPr>
            </w:pPr>
            <w:r w:rsidRPr="005818C4">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48484575"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Ieviesto pastāvīgo vai mobilo apmeklētāju reģistrēšanas vietu skaits</w:t>
            </w:r>
          </w:p>
        </w:tc>
      </w:tr>
      <w:tr w:rsidR="00CE699B" w:rsidRPr="00675182" w14:paraId="59BFFA1E" w14:textId="77777777" w:rsidTr="00E21287">
        <w:tc>
          <w:tcPr>
            <w:tcW w:w="872" w:type="dxa"/>
            <w:tcBorders>
              <w:top w:val="single" w:sz="4" w:space="0" w:color="000000"/>
              <w:left w:val="single" w:sz="4" w:space="0" w:color="000000"/>
              <w:bottom w:val="single" w:sz="4" w:space="0" w:color="000000"/>
            </w:tcBorders>
          </w:tcPr>
          <w:p w14:paraId="0DB25067"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F.4.2</w:t>
            </w:r>
          </w:p>
        </w:tc>
        <w:tc>
          <w:tcPr>
            <w:tcW w:w="850" w:type="dxa"/>
            <w:tcBorders>
              <w:top w:val="single" w:sz="4" w:space="0" w:color="000000"/>
              <w:left w:val="single" w:sz="4" w:space="0" w:color="000000"/>
              <w:bottom w:val="single" w:sz="4" w:space="0" w:color="000000"/>
            </w:tcBorders>
          </w:tcPr>
          <w:p w14:paraId="0CC3438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F.4.</w:t>
            </w:r>
          </w:p>
        </w:tc>
        <w:tc>
          <w:tcPr>
            <w:tcW w:w="2670" w:type="dxa"/>
            <w:tcBorders>
              <w:top w:val="single" w:sz="4" w:space="0" w:color="000000"/>
              <w:left w:val="single" w:sz="4" w:space="0" w:color="000000"/>
              <w:bottom w:val="single" w:sz="4" w:space="0" w:color="000000"/>
            </w:tcBorders>
          </w:tcPr>
          <w:p w14:paraId="3A027027"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Apmeklētāju plūsmas uzraudzības sistēmas izveide un ieviešana</w:t>
            </w:r>
          </w:p>
        </w:tc>
        <w:tc>
          <w:tcPr>
            <w:tcW w:w="1699" w:type="dxa"/>
            <w:tcBorders>
              <w:top w:val="single" w:sz="4" w:space="0" w:color="000000"/>
              <w:left w:val="single" w:sz="4" w:space="0" w:color="000000"/>
              <w:bottom w:val="single" w:sz="4" w:space="0" w:color="000000"/>
            </w:tcBorders>
          </w:tcPr>
          <w:p w14:paraId="0A95676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2022 izveidota un uzturēta plāna darbības laikā</w:t>
            </w:r>
          </w:p>
        </w:tc>
        <w:tc>
          <w:tcPr>
            <w:tcW w:w="2124" w:type="dxa"/>
            <w:tcBorders>
              <w:top w:val="single" w:sz="4" w:space="0" w:color="000000"/>
              <w:left w:val="single" w:sz="4" w:space="0" w:color="000000"/>
              <w:bottom w:val="single" w:sz="4" w:space="0" w:color="000000"/>
            </w:tcBorders>
          </w:tcPr>
          <w:p w14:paraId="20ACAF17" w14:textId="7D36527A"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VARAM, LVAF, DAP, Vi</w:t>
            </w:r>
            <w:r w:rsidR="005818C4">
              <w:rPr>
                <w:rFonts w:cstheme="minorHAnsi"/>
                <w:sz w:val="20"/>
                <w:lang w:val="lv-LV"/>
              </w:rPr>
              <w:t>dz</w:t>
            </w:r>
            <w:r w:rsidRPr="00675182">
              <w:rPr>
                <w:rFonts w:cstheme="minorHAnsi"/>
                <w:sz w:val="20"/>
                <w:lang w:val="lv-LV"/>
              </w:rPr>
              <w:t>emes Augstskola</w:t>
            </w:r>
          </w:p>
        </w:tc>
        <w:tc>
          <w:tcPr>
            <w:tcW w:w="1991" w:type="dxa"/>
            <w:tcBorders>
              <w:top w:val="single" w:sz="4" w:space="0" w:color="000000"/>
              <w:left w:val="single" w:sz="4" w:space="0" w:color="000000"/>
              <w:bottom w:val="single" w:sz="4" w:space="0" w:color="000000"/>
            </w:tcBorders>
          </w:tcPr>
          <w:p w14:paraId="1BC5C293" w14:textId="63C28384"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Vi</w:t>
            </w:r>
            <w:r w:rsidR="005818C4">
              <w:rPr>
                <w:rFonts w:cstheme="minorHAnsi"/>
                <w:sz w:val="20"/>
                <w:lang w:val="lv-LV"/>
              </w:rPr>
              <w:t>dz</w:t>
            </w:r>
            <w:r w:rsidRPr="00675182">
              <w:rPr>
                <w:rFonts w:cstheme="minorHAnsi"/>
                <w:sz w:val="20"/>
                <w:lang w:val="lv-LV"/>
              </w:rPr>
              <w:t>emes Augstskola sadarbībā ar DAP</w:t>
            </w:r>
          </w:p>
        </w:tc>
        <w:tc>
          <w:tcPr>
            <w:tcW w:w="1577" w:type="dxa"/>
            <w:tcBorders>
              <w:top w:val="single" w:sz="4" w:space="0" w:color="000000"/>
              <w:left w:val="single" w:sz="4" w:space="0" w:color="000000"/>
              <w:bottom w:val="single" w:sz="4" w:space="0" w:color="000000"/>
            </w:tcBorders>
          </w:tcPr>
          <w:p w14:paraId="0CC6443E" w14:textId="4FD2ACF0" w:rsidR="00CE699B" w:rsidRPr="00675182" w:rsidRDefault="00D45A10" w:rsidP="00CE699B">
            <w:pPr>
              <w:autoSpaceDE w:val="0"/>
              <w:snapToGrid w:val="0"/>
              <w:rPr>
                <w:rFonts w:cstheme="minorHAnsi"/>
                <w:sz w:val="20"/>
              </w:rPr>
            </w:pPr>
            <w:r w:rsidRPr="00D45A10">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2D34B2E6"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Izveidota un uzturēta apmeklētāju plūsmas uzraudzības sistēma ar aktuālajiem datiem, kas tiek izmantoti stratēģiskajā plānošanā un lēmumu pieņemšanā</w:t>
            </w:r>
          </w:p>
        </w:tc>
      </w:tr>
      <w:tr w:rsidR="00CE699B" w:rsidRPr="00675182" w14:paraId="729E78E8" w14:textId="77777777" w:rsidTr="00E21287">
        <w:tc>
          <w:tcPr>
            <w:tcW w:w="872" w:type="dxa"/>
            <w:tcBorders>
              <w:top w:val="single" w:sz="4" w:space="0" w:color="000000"/>
              <w:left w:val="single" w:sz="4" w:space="0" w:color="000000"/>
              <w:bottom w:val="single" w:sz="4" w:space="0" w:color="000000"/>
            </w:tcBorders>
          </w:tcPr>
          <w:p w14:paraId="34EB4590"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F.4.3</w:t>
            </w:r>
          </w:p>
        </w:tc>
        <w:tc>
          <w:tcPr>
            <w:tcW w:w="850" w:type="dxa"/>
            <w:tcBorders>
              <w:top w:val="single" w:sz="4" w:space="0" w:color="000000"/>
              <w:left w:val="single" w:sz="4" w:space="0" w:color="000000"/>
              <w:bottom w:val="single" w:sz="4" w:space="0" w:color="000000"/>
            </w:tcBorders>
          </w:tcPr>
          <w:p w14:paraId="40D8780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F.4.</w:t>
            </w:r>
          </w:p>
        </w:tc>
        <w:tc>
          <w:tcPr>
            <w:tcW w:w="2670" w:type="dxa"/>
            <w:tcBorders>
              <w:top w:val="single" w:sz="4" w:space="0" w:color="000000"/>
              <w:left w:val="single" w:sz="4" w:space="0" w:color="000000"/>
              <w:bottom w:val="single" w:sz="4" w:space="0" w:color="000000"/>
            </w:tcBorders>
          </w:tcPr>
          <w:p w14:paraId="4B81B920" w14:textId="775DCC55"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Apmeklētāju plūsmas pārvaldības plāna izveide un koriģē</w:t>
            </w:r>
            <w:r>
              <w:rPr>
                <w:rFonts w:cstheme="minorHAnsi"/>
                <w:sz w:val="20"/>
                <w:lang w:val="lv-LV"/>
              </w:rPr>
              <w:t>š</w:t>
            </w:r>
            <w:r w:rsidRPr="00675182">
              <w:rPr>
                <w:rFonts w:cstheme="minorHAnsi"/>
                <w:sz w:val="20"/>
                <w:lang w:val="lv-LV"/>
              </w:rPr>
              <w:t>ana atbilstoši situācijai</w:t>
            </w:r>
          </w:p>
        </w:tc>
        <w:tc>
          <w:tcPr>
            <w:tcW w:w="1699" w:type="dxa"/>
            <w:tcBorders>
              <w:top w:val="single" w:sz="4" w:space="0" w:color="000000"/>
              <w:left w:val="single" w:sz="4" w:space="0" w:color="000000"/>
              <w:bottom w:val="single" w:sz="4" w:space="0" w:color="000000"/>
            </w:tcBorders>
          </w:tcPr>
          <w:p w14:paraId="4AA7E1E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 xml:space="preserve">Izveidots kā pielikums plānam 2021.gadā, ieviests un </w:t>
            </w:r>
            <w:r w:rsidRPr="00675182">
              <w:rPr>
                <w:rFonts w:cstheme="minorHAnsi"/>
                <w:sz w:val="20"/>
                <w:lang w:val="lv-LV"/>
              </w:rPr>
              <w:lastRenderedPageBreak/>
              <w:t>uzturēts plāna darbības laikā</w:t>
            </w:r>
          </w:p>
        </w:tc>
        <w:tc>
          <w:tcPr>
            <w:tcW w:w="2124" w:type="dxa"/>
            <w:tcBorders>
              <w:top w:val="single" w:sz="4" w:space="0" w:color="000000"/>
              <w:left w:val="single" w:sz="4" w:space="0" w:color="000000"/>
              <w:bottom w:val="single" w:sz="4" w:space="0" w:color="000000"/>
            </w:tcBorders>
          </w:tcPr>
          <w:p w14:paraId="25916C1A" w14:textId="77777777" w:rsidR="00CE699B" w:rsidRPr="00675182" w:rsidRDefault="00CE699B" w:rsidP="00CE699B">
            <w:pPr>
              <w:pStyle w:val="naisf"/>
              <w:snapToGrid w:val="0"/>
              <w:spacing w:before="0" w:after="0"/>
              <w:ind w:firstLine="0"/>
              <w:jc w:val="left"/>
              <w:rPr>
                <w:rFonts w:cstheme="minorHAnsi"/>
                <w:sz w:val="20"/>
                <w:lang w:val="lv-LV"/>
              </w:rPr>
            </w:pPr>
          </w:p>
        </w:tc>
        <w:tc>
          <w:tcPr>
            <w:tcW w:w="1991" w:type="dxa"/>
            <w:tcBorders>
              <w:top w:val="single" w:sz="4" w:space="0" w:color="000000"/>
              <w:left w:val="single" w:sz="4" w:space="0" w:color="000000"/>
              <w:bottom w:val="single" w:sz="4" w:space="0" w:color="000000"/>
            </w:tcBorders>
          </w:tcPr>
          <w:p w14:paraId="56ECE27B"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Plāna izstrādātāji, tālāk DAP, iesaistītās puses</w:t>
            </w:r>
          </w:p>
        </w:tc>
        <w:tc>
          <w:tcPr>
            <w:tcW w:w="1577" w:type="dxa"/>
            <w:tcBorders>
              <w:top w:val="single" w:sz="4" w:space="0" w:color="000000"/>
              <w:left w:val="single" w:sz="4" w:space="0" w:color="000000"/>
              <w:bottom w:val="single" w:sz="4" w:space="0" w:color="000000"/>
            </w:tcBorders>
          </w:tcPr>
          <w:p w14:paraId="58B97BFF" w14:textId="67488557" w:rsidR="00CE699B" w:rsidRPr="00675182" w:rsidRDefault="00D45A10" w:rsidP="00CE699B">
            <w:pPr>
              <w:autoSpaceDE w:val="0"/>
              <w:snapToGrid w:val="0"/>
              <w:rPr>
                <w:rFonts w:cstheme="minorHAnsi"/>
                <w:sz w:val="20"/>
              </w:rPr>
            </w:pPr>
            <w:r w:rsidRPr="00D45A10">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5ED6D46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ROS metodiskās pieejas ģeotelpijas datu izpildījums</w:t>
            </w:r>
          </w:p>
        </w:tc>
      </w:tr>
      <w:tr w:rsidR="00CE699B" w:rsidRPr="00675182" w14:paraId="39E46255" w14:textId="77777777" w:rsidTr="00E21287">
        <w:tc>
          <w:tcPr>
            <w:tcW w:w="872" w:type="dxa"/>
            <w:tcBorders>
              <w:top w:val="single" w:sz="4" w:space="0" w:color="000000"/>
              <w:left w:val="single" w:sz="4" w:space="0" w:color="000000"/>
              <w:bottom w:val="single" w:sz="4" w:space="0" w:color="000000"/>
            </w:tcBorders>
          </w:tcPr>
          <w:p w14:paraId="44915D28"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F.4.4</w:t>
            </w:r>
          </w:p>
        </w:tc>
        <w:tc>
          <w:tcPr>
            <w:tcW w:w="850" w:type="dxa"/>
            <w:tcBorders>
              <w:top w:val="single" w:sz="4" w:space="0" w:color="000000"/>
              <w:left w:val="single" w:sz="4" w:space="0" w:color="000000"/>
              <w:bottom w:val="single" w:sz="4" w:space="0" w:color="000000"/>
            </w:tcBorders>
          </w:tcPr>
          <w:p w14:paraId="17AFB18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F.4.</w:t>
            </w:r>
          </w:p>
        </w:tc>
        <w:tc>
          <w:tcPr>
            <w:tcW w:w="2670" w:type="dxa"/>
            <w:tcBorders>
              <w:top w:val="single" w:sz="4" w:space="0" w:color="000000"/>
              <w:left w:val="single" w:sz="4" w:space="0" w:color="000000"/>
              <w:bottom w:val="single" w:sz="4" w:space="0" w:color="000000"/>
            </w:tcBorders>
          </w:tcPr>
          <w:p w14:paraId="4A3B6F40"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Galveno sporta, tūrisma un rekreācijas izpildes rādītāju identificēšana un uzraudzība</w:t>
            </w:r>
          </w:p>
        </w:tc>
        <w:tc>
          <w:tcPr>
            <w:tcW w:w="1699" w:type="dxa"/>
            <w:tcBorders>
              <w:top w:val="single" w:sz="4" w:space="0" w:color="000000"/>
              <w:left w:val="single" w:sz="4" w:space="0" w:color="000000"/>
              <w:bottom w:val="single" w:sz="4" w:space="0" w:color="000000"/>
            </w:tcBorders>
          </w:tcPr>
          <w:p w14:paraId="6527BBD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Izveidots kā pielikums plānam 2021.gadā, ieviests un uzturēts plāna darbības laikā</w:t>
            </w:r>
          </w:p>
        </w:tc>
        <w:tc>
          <w:tcPr>
            <w:tcW w:w="2124" w:type="dxa"/>
            <w:tcBorders>
              <w:top w:val="single" w:sz="4" w:space="0" w:color="000000"/>
              <w:left w:val="single" w:sz="4" w:space="0" w:color="000000"/>
              <w:bottom w:val="single" w:sz="4" w:space="0" w:color="000000"/>
            </w:tcBorders>
          </w:tcPr>
          <w:p w14:paraId="405E4641" w14:textId="77777777" w:rsidR="00CE699B" w:rsidRPr="00675182" w:rsidRDefault="00CE699B" w:rsidP="00CE699B">
            <w:pPr>
              <w:pStyle w:val="naisf"/>
              <w:snapToGrid w:val="0"/>
              <w:spacing w:before="0" w:after="0"/>
              <w:ind w:firstLine="0"/>
              <w:jc w:val="left"/>
              <w:rPr>
                <w:rFonts w:cstheme="minorHAnsi"/>
                <w:sz w:val="20"/>
                <w:lang w:val="lv-LV"/>
              </w:rPr>
            </w:pPr>
          </w:p>
        </w:tc>
        <w:tc>
          <w:tcPr>
            <w:tcW w:w="1991" w:type="dxa"/>
            <w:tcBorders>
              <w:top w:val="single" w:sz="4" w:space="0" w:color="000000"/>
              <w:left w:val="single" w:sz="4" w:space="0" w:color="000000"/>
              <w:bottom w:val="single" w:sz="4" w:space="0" w:color="000000"/>
            </w:tcBorders>
          </w:tcPr>
          <w:p w14:paraId="7BB9FDF5" w14:textId="02D4F4DD" w:rsidR="00CE699B" w:rsidRPr="00675182" w:rsidRDefault="00D82015" w:rsidP="00CE699B">
            <w:pPr>
              <w:pStyle w:val="naisf"/>
              <w:snapToGrid w:val="0"/>
              <w:spacing w:before="0" w:after="0"/>
              <w:ind w:firstLine="0"/>
              <w:jc w:val="left"/>
              <w:rPr>
                <w:rFonts w:cstheme="minorHAnsi"/>
                <w:sz w:val="20"/>
                <w:lang w:val="lv-LV"/>
              </w:rPr>
            </w:pPr>
            <w:r w:rsidRPr="00675182">
              <w:rPr>
                <w:rFonts w:cstheme="minorHAnsi"/>
                <w:sz w:val="20"/>
                <w:lang w:val="lv-LV"/>
              </w:rPr>
              <w:t>Vidzemes</w:t>
            </w:r>
            <w:r w:rsidR="00CE699B" w:rsidRPr="00675182">
              <w:rPr>
                <w:rFonts w:cstheme="minorHAnsi"/>
                <w:sz w:val="20"/>
                <w:lang w:val="lv-LV"/>
              </w:rPr>
              <w:t xml:space="preserve"> Augstskola, pašvaldības sadarbībā ar DAP</w:t>
            </w:r>
          </w:p>
        </w:tc>
        <w:tc>
          <w:tcPr>
            <w:tcW w:w="1577" w:type="dxa"/>
            <w:tcBorders>
              <w:top w:val="single" w:sz="4" w:space="0" w:color="000000"/>
              <w:left w:val="single" w:sz="4" w:space="0" w:color="000000"/>
              <w:bottom w:val="single" w:sz="4" w:space="0" w:color="000000"/>
            </w:tcBorders>
          </w:tcPr>
          <w:p w14:paraId="295091BF" w14:textId="644D76EA" w:rsidR="00CE699B" w:rsidRPr="00675182" w:rsidRDefault="00D45A10" w:rsidP="00CE699B">
            <w:pPr>
              <w:autoSpaceDE w:val="0"/>
              <w:snapToGrid w:val="0"/>
              <w:rPr>
                <w:rFonts w:cstheme="minorHAnsi"/>
                <w:sz w:val="20"/>
              </w:rPr>
            </w:pPr>
            <w:r w:rsidRPr="00D45A10">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12F41C0A"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Izpildes rādītāju uzraudzības sistēma atbilstoši ETIS rekomendācijām un speciāli pielāgotiem kritērijiem</w:t>
            </w:r>
          </w:p>
        </w:tc>
      </w:tr>
      <w:tr w:rsidR="00CE699B" w:rsidRPr="00675182" w14:paraId="0737A11B" w14:textId="77777777" w:rsidTr="00E21287">
        <w:tc>
          <w:tcPr>
            <w:tcW w:w="872" w:type="dxa"/>
            <w:tcBorders>
              <w:top w:val="single" w:sz="4" w:space="0" w:color="000000"/>
              <w:left w:val="single" w:sz="4" w:space="0" w:color="000000"/>
              <w:bottom w:val="single" w:sz="4" w:space="0" w:color="000000"/>
            </w:tcBorders>
          </w:tcPr>
          <w:p w14:paraId="099D2149" w14:textId="77777777" w:rsidR="00CE699B" w:rsidRPr="00675182" w:rsidRDefault="00CE699B" w:rsidP="00CE699B">
            <w:pPr>
              <w:pStyle w:val="naisf"/>
              <w:snapToGrid w:val="0"/>
              <w:spacing w:before="0" w:after="0"/>
              <w:ind w:left="52" w:firstLine="0"/>
              <w:jc w:val="left"/>
              <w:rPr>
                <w:rFonts w:cstheme="minorHAnsi"/>
                <w:sz w:val="20"/>
                <w:lang w:val="lv-LV"/>
              </w:rPr>
            </w:pPr>
            <w:bookmarkStart w:id="152" w:name="_Hlk83217777"/>
            <w:bookmarkEnd w:id="151"/>
            <w:r w:rsidRPr="00675182">
              <w:rPr>
                <w:rFonts w:cstheme="minorHAnsi"/>
                <w:sz w:val="20"/>
                <w:lang w:val="lv-LV"/>
              </w:rPr>
              <w:t>F.5.</w:t>
            </w:r>
          </w:p>
        </w:tc>
        <w:tc>
          <w:tcPr>
            <w:tcW w:w="850" w:type="dxa"/>
            <w:tcBorders>
              <w:top w:val="single" w:sz="4" w:space="0" w:color="000000"/>
              <w:left w:val="single" w:sz="4" w:space="0" w:color="000000"/>
              <w:bottom w:val="single" w:sz="4" w:space="0" w:color="000000"/>
            </w:tcBorders>
          </w:tcPr>
          <w:p w14:paraId="6C12AF2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F.5.</w:t>
            </w:r>
          </w:p>
        </w:tc>
        <w:tc>
          <w:tcPr>
            <w:tcW w:w="2670" w:type="dxa"/>
            <w:tcBorders>
              <w:top w:val="single" w:sz="4" w:space="0" w:color="000000"/>
              <w:left w:val="single" w:sz="4" w:space="0" w:color="000000"/>
              <w:bottom w:val="single" w:sz="4" w:space="0" w:color="000000"/>
              <w:right w:val="nil"/>
            </w:tcBorders>
          </w:tcPr>
          <w:p w14:paraId="23D66FDE"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Mežu un purvu ekosistēmu attīstības procesu un meža apsaimniekošanas pasākumu ietekmes zinātniskā izpēte</w:t>
            </w:r>
          </w:p>
        </w:tc>
        <w:tc>
          <w:tcPr>
            <w:tcW w:w="1699" w:type="dxa"/>
            <w:tcBorders>
              <w:top w:val="single" w:sz="4" w:space="0" w:color="000000"/>
              <w:left w:val="single" w:sz="4" w:space="0" w:color="000000"/>
              <w:bottom w:val="single" w:sz="4" w:space="0" w:color="000000"/>
              <w:right w:val="nil"/>
            </w:tcBorders>
          </w:tcPr>
          <w:p w14:paraId="748E657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15D8AEC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000000"/>
              <w:left w:val="single" w:sz="4" w:space="0" w:color="000000"/>
              <w:bottom w:val="single" w:sz="4" w:space="0" w:color="000000"/>
              <w:right w:val="nil"/>
            </w:tcBorders>
          </w:tcPr>
          <w:p w14:paraId="34B5C2AA"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zinātniskās institūcijas</w:t>
            </w:r>
          </w:p>
        </w:tc>
        <w:tc>
          <w:tcPr>
            <w:tcW w:w="1577" w:type="dxa"/>
            <w:tcBorders>
              <w:top w:val="single" w:sz="4" w:space="0" w:color="000000"/>
              <w:left w:val="single" w:sz="4" w:space="0" w:color="000000"/>
              <w:bottom w:val="single" w:sz="4" w:space="0" w:color="000000"/>
              <w:right w:val="nil"/>
            </w:tcBorders>
          </w:tcPr>
          <w:p w14:paraId="3BF9BA57"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766E797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 xml:space="preserve">GNP teritorijā tiek īstenoti zinātniskie pētījumi, tiek publicēti pētījumu rezultāti. </w:t>
            </w:r>
          </w:p>
        </w:tc>
      </w:tr>
      <w:tr w:rsidR="00CE699B" w:rsidRPr="00675182" w14:paraId="3E1DD32E" w14:textId="77777777" w:rsidTr="00E21287">
        <w:tc>
          <w:tcPr>
            <w:tcW w:w="872" w:type="dxa"/>
            <w:tcBorders>
              <w:top w:val="single" w:sz="4" w:space="0" w:color="000000"/>
              <w:left w:val="single" w:sz="4" w:space="0" w:color="000000"/>
              <w:bottom w:val="single" w:sz="4" w:space="0" w:color="000000"/>
            </w:tcBorders>
          </w:tcPr>
          <w:p w14:paraId="7C2C4379"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F.6.</w:t>
            </w:r>
          </w:p>
        </w:tc>
        <w:tc>
          <w:tcPr>
            <w:tcW w:w="850" w:type="dxa"/>
            <w:tcBorders>
              <w:top w:val="single" w:sz="4" w:space="0" w:color="000000"/>
              <w:left w:val="single" w:sz="4" w:space="0" w:color="000000"/>
              <w:bottom w:val="single" w:sz="4" w:space="0" w:color="000000"/>
            </w:tcBorders>
          </w:tcPr>
          <w:p w14:paraId="492581C7"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F.6.</w:t>
            </w:r>
          </w:p>
        </w:tc>
        <w:tc>
          <w:tcPr>
            <w:tcW w:w="2670" w:type="dxa"/>
            <w:tcBorders>
              <w:top w:val="single" w:sz="4" w:space="0" w:color="000000"/>
              <w:left w:val="single" w:sz="4" w:space="0" w:color="000000"/>
              <w:bottom w:val="single" w:sz="4" w:space="0" w:color="000000"/>
              <w:right w:val="nil"/>
            </w:tcBorders>
          </w:tcPr>
          <w:p w14:paraId="3EF07CD8" w14:textId="7B479426"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Detalizēta hidroloģiskā režīma atjaunošanas plānu un būvprojektu sagatavošana</w:t>
            </w:r>
          </w:p>
        </w:tc>
        <w:tc>
          <w:tcPr>
            <w:tcW w:w="1699" w:type="dxa"/>
            <w:tcBorders>
              <w:top w:val="single" w:sz="4" w:space="0" w:color="000000"/>
              <w:left w:val="single" w:sz="4" w:space="0" w:color="000000"/>
              <w:bottom w:val="single" w:sz="4" w:space="0" w:color="000000"/>
              <w:right w:val="nil"/>
            </w:tcBorders>
          </w:tcPr>
          <w:p w14:paraId="2AF2443C"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right w:val="nil"/>
            </w:tcBorders>
          </w:tcPr>
          <w:p w14:paraId="2B307C81"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right w:val="nil"/>
            </w:tcBorders>
          </w:tcPr>
          <w:p w14:paraId="7E251802"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NVO, zinātniskās institūcijas</w:t>
            </w:r>
          </w:p>
        </w:tc>
        <w:tc>
          <w:tcPr>
            <w:tcW w:w="1577" w:type="dxa"/>
            <w:tcBorders>
              <w:top w:val="single" w:sz="4" w:space="0" w:color="000000"/>
              <w:left w:val="single" w:sz="4" w:space="0" w:color="000000"/>
              <w:bottom w:val="single" w:sz="4" w:space="0" w:color="000000"/>
              <w:right w:val="nil"/>
            </w:tcBorders>
          </w:tcPr>
          <w:p w14:paraId="7016F8F0"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3C5904E7" w14:textId="64E81C38"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Veikta detalizēta susināšanas ietekmēto biotopu platību hidroloģiskā izpēte un sagatavoti detalizēti hidroloģiskā režīma atjaunošanas plāni 4 teritorijām, sagatavoti tehniskie projekti un būvprojekti hidroloģiskā režīma atjaunošanas darbu veikšanai 2 teritorijām</w:t>
            </w:r>
            <w:r>
              <w:rPr>
                <w:rFonts w:cstheme="minorHAnsi"/>
                <w:sz w:val="20"/>
                <w:lang w:val="lv-LV"/>
              </w:rPr>
              <w:t>.</w:t>
            </w:r>
          </w:p>
        </w:tc>
      </w:tr>
      <w:tr w:rsidR="00CE699B" w:rsidRPr="00675182" w14:paraId="16E97BC9" w14:textId="77777777" w:rsidTr="00E21287">
        <w:tc>
          <w:tcPr>
            <w:tcW w:w="872" w:type="dxa"/>
            <w:tcBorders>
              <w:top w:val="single" w:sz="4" w:space="0" w:color="000000"/>
              <w:left w:val="single" w:sz="4" w:space="0" w:color="000000"/>
              <w:bottom w:val="single" w:sz="4" w:space="0" w:color="000000"/>
            </w:tcBorders>
          </w:tcPr>
          <w:p w14:paraId="193B6D92" w14:textId="77777777" w:rsidR="00CE699B" w:rsidRPr="00675182" w:rsidRDefault="00CE699B" w:rsidP="00CE699B">
            <w:pPr>
              <w:pStyle w:val="naisf"/>
              <w:snapToGrid w:val="0"/>
              <w:spacing w:before="0" w:after="0"/>
              <w:ind w:left="52" w:firstLine="0"/>
              <w:jc w:val="left"/>
              <w:rPr>
                <w:rFonts w:cstheme="minorHAnsi"/>
                <w:sz w:val="20"/>
                <w:lang w:val="lv-LV"/>
              </w:rPr>
            </w:pPr>
            <w:r w:rsidRPr="00675182">
              <w:rPr>
                <w:rFonts w:cstheme="minorHAnsi"/>
                <w:sz w:val="20"/>
                <w:lang w:val="lv-LV"/>
              </w:rPr>
              <w:t>F.7.</w:t>
            </w:r>
          </w:p>
        </w:tc>
        <w:tc>
          <w:tcPr>
            <w:tcW w:w="850" w:type="dxa"/>
            <w:tcBorders>
              <w:top w:val="single" w:sz="4" w:space="0" w:color="000000"/>
              <w:left w:val="single" w:sz="4" w:space="0" w:color="000000"/>
              <w:bottom w:val="single" w:sz="4" w:space="0" w:color="000000"/>
            </w:tcBorders>
          </w:tcPr>
          <w:p w14:paraId="17E7360F"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F.5.</w:t>
            </w:r>
          </w:p>
        </w:tc>
        <w:tc>
          <w:tcPr>
            <w:tcW w:w="2670" w:type="dxa"/>
            <w:tcBorders>
              <w:top w:val="single" w:sz="4" w:space="0" w:color="000000"/>
              <w:left w:val="single" w:sz="4" w:space="0" w:color="000000"/>
              <w:bottom w:val="single" w:sz="4" w:space="0" w:color="000000"/>
              <w:right w:val="nil"/>
            </w:tcBorders>
          </w:tcPr>
          <w:p w14:paraId="1C11A3E2" w14:textId="7259C521"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 xml:space="preserve">Aizsargājamo meža biotopu apsaimniekošanas un atjaunošanas programmu sagatavošana </w:t>
            </w:r>
            <w:r>
              <w:rPr>
                <w:rFonts w:cstheme="minorHAnsi"/>
                <w:sz w:val="20"/>
                <w:lang w:val="lv-LV"/>
              </w:rPr>
              <w:t>GNP</w:t>
            </w:r>
          </w:p>
        </w:tc>
        <w:tc>
          <w:tcPr>
            <w:tcW w:w="1699" w:type="dxa"/>
            <w:tcBorders>
              <w:top w:val="single" w:sz="4" w:space="0" w:color="000000"/>
              <w:left w:val="single" w:sz="4" w:space="0" w:color="000000"/>
              <w:bottom w:val="single" w:sz="4" w:space="0" w:color="000000"/>
              <w:right w:val="nil"/>
            </w:tcBorders>
          </w:tcPr>
          <w:p w14:paraId="6BC8E50C"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1507F64C"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projektu finansējums</w:t>
            </w:r>
          </w:p>
        </w:tc>
        <w:tc>
          <w:tcPr>
            <w:tcW w:w="1991" w:type="dxa"/>
            <w:tcBorders>
              <w:top w:val="single" w:sz="4" w:space="0" w:color="000000"/>
              <w:left w:val="single" w:sz="4" w:space="0" w:color="000000"/>
              <w:bottom w:val="single" w:sz="4" w:space="0" w:color="000000"/>
              <w:right w:val="nil"/>
            </w:tcBorders>
          </w:tcPr>
          <w:p w14:paraId="6D807BAD"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NVO, zinātniskās institūcijas</w:t>
            </w:r>
          </w:p>
        </w:tc>
        <w:tc>
          <w:tcPr>
            <w:tcW w:w="1577" w:type="dxa"/>
            <w:tcBorders>
              <w:top w:val="single" w:sz="4" w:space="0" w:color="000000"/>
              <w:left w:val="single" w:sz="4" w:space="0" w:color="000000"/>
              <w:bottom w:val="single" w:sz="4" w:space="0" w:color="000000"/>
              <w:right w:val="nil"/>
            </w:tcBorders>
          </w:tcPr>
          <w:p w14:paraId="75159348"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57C01FAD" w14:textId="77777777" w:rsidR="00CE699B" w:rsidRPr="000D63AE"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 xml:space="preserve">Aktualizēta programma </w:t>
            </w:r>
            <w:r w:rsidRPr="000D63AE">
              <w:rPr>
                <w:rFonts w:cstheme="minorHAnsi"/>
                <w:sz w:val="20"/>
                <w:lang w:val="lv-LV"/>
              </w:rPr>
              <w:t>biotopa 9010* apsaimniekošanai GNP.</w:t>
            </w:r>
          </w:p>
          <w:p w14:paraId="008C06B2" w14:textId="384B2DCF" w:rsidR="00CE699B" w:rsidRPr="00675182" w:rsidRDefault="00CE699B" w:rsidP="00CE699B">
            <w:pPr>
              <w:pStyle w:val="naisf"/>
              <w:snapToGrid w:val="0"/>
              <w:ind w:firstLine="0"/>
              <w:jc w:val="left"/>
              <w:rPr>
                <w:rFonts w:cstheme="minorHAnsi"/>
                <w:sz w:val="20"/>
                <w:lang w:val="lv-LV"/>
              </w:rPr>
            </w:pPr>
            <w:r w:rsidRPr="000D63AE">
              <w:rPr>
                <w:rFonts w:cstheme="minorHAnsi"/>
                <w:sz w:val="20"/>
                <w:lang w:val="lv-LV"/>
              </w:rPr>
              <w:t xml:space="preserve">Izvērtēta nepieciešamība sagatavot meža biotopu apsaimniekošanas programmas biotopiem </w:t>
            </w:r>
            <w:r w:rsidRPr="000D63AE">
              <w:rPr>
                <w:rFonts w:cstheme="minorHAnsi"/>
                <w:sz w:val="20"/>
                <w:lang w:val="lv-LV"/>
              </w:rPr>
              <w:lastRenderedPageBreak/>
              <w:t xml:space="preserve">9050 </w:t>
            </w:r>
            <w:r w:rsidRPr="00BF7348">
              <w:rPr>
                <w:rFonts w:cstheme="minorHAnsi"/>
                <w:sz w:val="20"/>
                <w:lang w:val="lv-LV"/>
              </w:rPr>
              <w:t xml:space="preserve">Lakstaugiem bagāti egļu meži </w:t>
            </w:r>
            <w:r w:rsidRPr="000D63AE">
              <w:rPr>
                <w:rFonts w:cstheme="minorHAnsi"/>
                <w:sz w:val="20"/>
                <w:lang w:val="lv-LV"/>
              </w:rPr>
              <w:t xml:space="preserve">un 9180* </w:t>
            </w:r>
            <w:r w:rsidRPr="00BF7348">
              <w:rPr>
                <w:rFonts w:cstheme="minorHAnsi"/>
                <w:sz w:val="20"/>
                <w:lang w:val="lv-LV"/>
              </w:rPr>
              <w:t>Nogāžu un gravu meži</w:t>
            </w:r>
            <w:r>
              <w:rPr>
                <w:rFonts w:cstheme="minorHAnsi"/>
                <w:i/>
                <w:iCs/>
                <w:sz w:val="20"/>
                <w:lang w:val="lv-LV"/>
              </w:rPr>
              <w:t>.</w:t>
            </w:r>
          </w:p>
        </w:tc>
      </w:tr>
      <w:tr w:rsidR="00CE699B" w:rsidRPr="00675182" w14:paraId="2E4FC234" w14:textId="77777777" w:rsidTr="00E21287">
        <w:tc>
          <w:tcPr>
            <w:tcW w:w="872" w:type="dxa"/>
            <w:tcBorders>
              <w:top w:val="single" w:sz="4" w:space="0" w:color="000000"/>
              <w:left w:val="single" w:sz="4" w:space="0" w:color="000000"/>
              <w:bottom w:val="single" w:sz="4" w:space="0" w:color="000000"/>
            </w:tcBorders>
          </w:tcPr>
          <w:p w14:paraId="163E8C70"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lastRenderedPageBreak/>
              <w:t>F.8.1.</w:t>
            </w:r>
          </w:p>
        </w:tc>
        <w:tc>
          <w:tcPr>
            <w:tcW w:w="850" w:type="dxa"/>
            <w:tcBorders>
              <w:top w:val="single" w:sz="4" w:space="0" w:color="000000"/>
              <w:left w:val="single" w:sz="4" w:space="0" w:color="000000"/>
              <w:bottom w:val="single" w:sz="4" w:space="0" w:color="000000"/>
            </w:tcBorders>
          </w:tcPr>
          <w:p w14:paraId="789E6F6D"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F.7.</w:t>
            </w:r>
          </w:p>
        </w:tc>
        <w:tc>
          <w:tcPr>
            <w:tcW w:w="2670" w:type="dxa"/>
            <w:tcBorders>
              <w:top w:val="single" w:sz="4" w:space="0" w:color="000000"/>
              <w:left w:val="single" w:sz="4" w:space="0" w:color="000000"/>
              <w:bottom w:val="single" w:sz="4" w:space="0" w:color="000000"/>
              <w:right w:val="nil"/>
            </w:tcBorders>
          </w:tcPr>
          <w:p w14:paraId="71259CC5" w14:textId="77777777" w:rsidR="00CE699B" w:rsidRPr="00675182" w:rsidRDefault="00CE699B" w:rsidP="00CE699B">
            <w:pPr>
              <w:spacing w:before="100" w:after="100"/>
              <w:jc w:val="both"/>
              <w:rPr>
                <w:rFonts w:eastAsia="Arial Unicode MS" w:cstheme="minorHAnsi"/>
                <w:sz w:val="20"/>
              </w:rPr>
            </w:pPr>
            <w:r w:rsidRPr="00675182">
              <w:rPr>
                <w:rFonts w:eastAsia="Arial Unicode MS" w:cstheme="minorHAnsi"/>
                <w:sz w:val="20"/>
              </w:rPr>
              <w:t>Invazīvo vēžu sugu izplatības ierobežošanas plāna izstrāde</w:t>
            </w:r>
          </w:p>
          <w:p w14:paraId="4AFC3703" w14:textId="77777777" w:rsidR="00CE699B" w:rsidRPr="00675182" w:rsidRDefault="00CE699B" w:rsidP="00CE699B">
            <w:pPr>
              <w:pStyle w:val="naisf"/>
              <w:snapToGrid w:val="0"/>
              <w:ind w:firstLine="0"/>
              <w:jc w:val="left"/>
              <w:rPr>
                <w:rFonts w:cstheme="minorHAnsi"/>
                <w:sz w:val="20"/>
                <w:lang w:val="lv-LV"/>
              </w:rPr>
            </w:pPr>
          </w:p>
        </w:tc>
        <w:tc>
          <w:tcPr>
            <w:tcW w:w="1699" w:type="dxa"/>
            <w:tcBorders>
              <w:top w:val="single" w:sz="4" w:space="0" w:color="000000"/>
              <w:left w:val="single" w:sz="4" w:space="0" w:color="000000"/>
              <w:bottom w:val="single" w:sz="4" w:space="0" w:color="000000"/>
              <w:right w:val="nil"/>
            </w:tcBorders>
          </w:tcPr>
          <w:p w14:paraId="48D75B43"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2025</w:t>
            </w:r>
          </w:p>
        </w:tc>
        <w:tc>
          <w:tcPr>
            <w:tcW w:w="2124" w:type="dxa"/>
            <w:tcBorders>
              <w:top w:val="single" w:sz="4" w:space="0" w:color="000000"/>
              <w:left w:val="single" w:sz="4" w:space="0" w:color="000000"/>
              <w:bottom w:val="single" w:sz="4" w:space="0" w:color="000000"/>
              <w:right w:val="nil"/>
            </w:tcBorders>
          </w:tcPr>
          <w:p w14:paraId="08D4E5C5"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VARAM, DAP, projektu finansējums</w:t>
            </w:r>
          </w:p>
        </w:tc>
        <w:tc>
          <w:tcPr>
            <w:tcW w:w="1991" w:type="dxa"/>
            <w:tcBorders>
              <w:top w:val="single" w:sz="4" w:space="0" w:color="000000"/>
              <w:left w:val="single" w:sz="4" w:space="0" w:color="000000"/>
              <w:bottom w:val="single" w:sz="4" w:space="0" w:color="000000"/>
              <w:right w:val="nil"/>
            </w:tcBorders>
          </w:tcPr>
          <w:p w14:paraId="6A7F748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NVO, pašvaldības, zinātniskās institūcijas</w:t>
            </w:r>
          </w:p>
        </w:tc>
        <w:tc>
          <w:tcPr>
            <w:tcW w:w="1577" w:type="dxa"/>
            <w:tcBorders>
              <w:top w:val="single" w:sz="4" w:space="0" w:color="000000"/>
              <w:left w:val="single" w:sz="4" w:space="0" w:color="000000"/>
              <w:bottom w:val="single" w:sz="4" w:space="0" w:color="000000"/>
              <w:right w:val="nil"/>
            </w:tcBorders>
          </w:tcPr>
          <w:p w14:paraId="36A66790"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28DFD735"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Izstrādāts invazīvo vēžu sugu izplatības ierobežošanas plāns, sākta tā īstenošana, notiek koordinēta sadarbība starp iestādēm, pašvaldībām un zemes īpašniekiem</w:t>
            </w:r>
          </w:p>
        </w:tc>
      </w:tr>
      <w:tr w:rsidR="00CE699B" w:rsidRPr="00675182" w14:paraId="1E5EF919" w14:textId="77777777" w:rsidTr="00E21287">
        <w:tc>
          <w:tcPr>
            <w:tcW w:w="872" w:type="dxa"/>
            <w:tcBorders>
              <w:top w:val="single" w:sz="4" w:space="0" w:color="000000"/>
              <w:left w:val="single" w:sz="4" w:space="0" w:color="000000"/>
              <w:bottom w:val="single" w:sz="4" w:space="0" w:color="000000"/>
            </w:tcBorders>
          </w:tcPr>
          <w:p w14:paraId="44DA1656"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F.8.2.</w:t>
            </w:r>
          </w:p>
        </w:tc>
        <w:tc>
          <w:tcPr>
            <w:tcW w:w="850" w:type="dxa"/>
            <w:tcBorders>
              <w:top w:val="single" w:sz="4" w:space="0" w:color="000000"/>
              <w:left w:val="single" w:sz="4" w:space="0" w:color="000000"/>
              <w:bottom w:val="single" w:sz="4" w:space="0" w:color="000000"/>
            </w:tcBorders>
          </w:tcPr>
          <w:p w14:paraId="7D97CC16"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F.7.</w:t>
            </w:r>
          </w:p>
        </w:tc>
        <w:tc>
          <w:tcPr>
            <w:tcW w:w="2670" w:type="dxa"/>
            <w:tcBorders>
              <w:top w:val="single" w:sz="4" w:space="0" w:color="000000"/>
              <w:left w:val="single" w:sz="4" w:space="0" w:color="000000"/>
              <w:bottom w:val="single" w:sz="4" w:space="0" w:color="000000"/>
              <w:right w:val="nil"/>
            </w:tcBorders>
          </w:tcPr>
          <w:p w14:paraId="437D68F2" w14:textId="77777777" w:rsidR="00CE699B" w:rsidRPr="00675182" w:rsidRDefault="00CE699B" w:rsidP="00CE699B">
            <w:pPr>
              <w:suppressAutoHyphens w:val="0"/>
              <w:spacing w:before="100" w:after="100"/>
              <w:rPr>
                <w:rFonts w:eastAsia="Arial Unicode MS" w:cstheme="minorHAnsi"/>
                <w:sz w:val="20"/>
              </w:rPr>
            </w:pPr>
            <w:r w:rsidRPr="00675182">
              <w:rPr>
                <w:rFonts w:eastAsia="Arial Unicode MS" w:cstheme="minorHAnsi"/>
                <w:sz w:val="20"/>
              </w:rPr>
              <w:t>Invazīvo augu sugu monitorings un to apkarošanas pasākumu rezultātu novērtējums</w:t>
            </w:r>
          </w:p>
          <w:p w14:paraId="3D2FD69E" w14:textId="77777777" w:rsidR="00CE699B" w:rsidRPr="00675182" w:rsidRDefault="00CE699B" w:rsidP="00CE699B">
            <w:pPr>
              <w:pStyle w:val="naisf"/>
              <w:snapToGrid w:val="0"/>
              <w:ind w:firstLine="0"/>
              <w:jc w:val="left"/>
              <w:rPr>
                <w:rFonts w:cstheme="minorHAnsi"/>
                <w:sz w:val="20"/>
                <w:lang w:val="lv-LV"/>
              </w:rPr>
            </w:pPr>
          </w:p>
        </w:tc>
        <w:tc>
          <w:tcPr>
            <w:tcW w:w="1699" w:type="dxa"/>
            <w:tcBorders>
              <w:top w:val="single" w:sz="4" w:space="0" w:color="000000"/>
              <w:left w:val="single" w:sz="4" w:space="0" w:color="000000"/>
              <w:bottom w:val="single" w:sz="4" w:space="0" w:color="000000"/>
              <w:right w:val="nil"/>
            </w:tcBorders>
          </w:tcPr>
          <w:p w14:paraId="6F4948E8"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 visā plāna darbības periodā</w:t>
            </w:r>
          </w:p>
        </w:tc>
        <w:tc>
          <w:tcPr>
            <w:tcW w:w="2124" w:type="dxa"/>
            <w:tcBorders>
              <w:top w:val="single" w:sz="4" w:space="0" w:color="000000"/>
              <w:left w:val="single" w:sz="4" w:space="0" w:color="000000"/>
              <w:bottom w:val="single" w:sz="4" w:space="0" w:color="000000"/>
              <w:right w:val="nil"/>
            </w:tcBorders>
          </w:tcPr>
          <w:p w14:paraId="697EE07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VARAM, DAP, projektu finansējums</w:t>
            </w:r>
          </w:p>
        </w:tc>
        <w:tc>
          <w:tcPr>
            <w:tcW w:w="1991" w:type="dxa"/>
            <w:tcBorders>
              <w:top w:val="single" w:sz="4" w:space="0" w:color="000000"/>
              <w:left w:val="single" w:sz="4" w:space="0" w:color="000000"/>
              <w:bottom w:val="single" w:sz="4" w:space="0" w:color="000000"/>
              <w:right w:val="nil"/>
            </w:tcBorders>
          </w:tcPr>
          <w:p w14:paraId="4377377C"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DAP, NVO, pašvaldības, zinātniskās institūcijas</w:t>
            </w:r>
          </w:p>
        </w:tc>
        <w:tc>
          <w:tcPr>
            <w:tcW w:w="1577" w:type="dxa"/>
            <w:tcBorders>
              <w:top w:val="single" w:sz="4" w:space="0" w:color="000000"/>
              <w:left w:val="single" w:sz="4" w:space="0" w:color="000000"/>
              <w:bottom w:val="single" w:sz="4" w:space="0" w:color="000000"/>
              <w:right w:val="nil"/>
            </w:tcBorders>
          </w:tcPr>
          <w:p w14:paraId="4F987799"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27310379"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Uzsākts invazīvo sugu monitorings pēc DAP apstiprinātas metodikas, notiek koordinēta monitoringa datu un apkarošanas pasākumu rezultātu apkopošana un publicēšana.</w:t>
            </w:r>
          </w:p>
        </w:tc>
      </w:tr>
      <w:tr w:rsidR="00CE699B" w:rsidRPr="00675182" w14:paraId="3DF8AB38" w14:textId="77777777" w:rsidTr="00E21287">
        <w:tc>
          <w:tcPr>
            <w:tcW w:w="872" w:type="dxa"/>
            <w:tcBorders>
              <w:top w:val="single" w:sz="4" w:space="0" w:color="000000"/>
              <w:left w:val="single" w:sz="4" w:space="0" w:color="000000"/>
              <w:bottom w:val="single" w:sz="4" w:space="0" w:color="000000"/>
            </w:tcBorders>
          </w:tcPr>
          <w:p w14:paraId="3C86FA24"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F.9.</w:t>
            </w:r>
          </w:p>
        </w:tc>
        <w:tc>
          <w:tcPr>
            <w:tcW w:w="850" w:type="dxa"/>
            <w:tcBorders>
              <w:top w:val="single" w:sz="4" w:space="0" w:color="000000"/>
              <w:left w:val="single" w:sz="4" w:space="0" w:color="000000"/>
              <w:bottom w:val="single" w:sz="4" w:space="0" w:color="000000"/>
            </w:tcBorders>
          </w:tcPr>
          <w:p w14:paraId="21370A8D" w14:textId="77777777" w:rsidR="00CE699B" w:rsidRPr="00675182" w:rsidRDefault="00CE699B" w:rsidP="00CE699B">
            <w:pPr>
              <w:pStyle w:val="naisf"/>
              <w:snapToGrid w:val="0"/>
              <w:ind w:firstLine="0"/>
              <w:jc w:val="left"/>
              <w:rPr>
                <w:rFonts w:cstheme="minorHAnsi"/>
                <w:sz w:val="20"/>
                <w:lang w:val="lv-LV"/>
              </w:rPr>
            </w:pPr>
            <w:r w:rsidRPr="00675182">
              <w:rPr>
                <w:rFonts w:cstheme="minorHAnsi"/>
                <w:sz w:val="20"/>
                <w:lang w:val="lv-LV"/>
              </w:rPr>
              <w:t>F.8</w:t>
            </w:r>
          </w:p>
        </w:tc>
        <w:tc>
          <w:tcPr>
            <w:tcW w:w="2670" w:type="dxa"/>
            <w:tcBorders>
              <w:top w:val="single" w:sz="4" w:space="0" w:color="000000"/>
              <w:left w:val="single" w:sz="4" w:space="0" w:color="000000"/>
              <w:bottom w:val="single" w:sz="4" w:space="0" w:color="000000"/>
              <w:right w:val="nil"/>
            </w:tcBorders>
          </w:tcPr>
          <w:p w14:paraId="579C8409" w14:textId="77777777" w:rsidR="00CE699B" w:rsidRPr="00675182" w:rsidRDefault="00CE699B" w:rsidP="00CE699B">
            <w:pPr>
              <w:suppressAutoHyphens w:val="0"/>
              <w:spacing w:before="100" w:after="100"/>
              <w:rPr>
                <w:rFonts w:eastAsia="Arial Unicode MS" w:cstheme="minorHAnsi"/>
                <w:sz w:val="20"/>
              </w:rPr>
            </w:pPr>
            <w:r w:rsidRPr="00675182">
              <w:rPr>
                <w:rFonts w:eastAsia="Arial Unicode MS" w:cstheme="minorHAnsi"/>
                <w:sz w:val="20"/>
              </w:rPr>
              <w:t>Sudas - Zviedru purva hidroloģiskā režīma atjaunošanas pasākumu monitoringa komplekss</w:t>
            </w:r>
          </w:p>
        </w:tc>
        <w:tc>
          <w:tcPr>
            <w:tcW w:w="1699" w:type="dxa"/>
            <w:tcBorders>
              <w:top w:val="single" w:sz="4" w:space="0" w:color="000000"/>
              <w:left w:val="single" w:sz="4" w:space="0" w:color="000000"/>
              <w:bottom w:val="single" w:sz="4" w:space="0" w:color="000000"/>
              <w:right w:val="nil"/>
            </w:tcBorders>
          </w:tcPr>
          <w:p w14:paraId="2A822BAE"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II, visā plāna darbības periodā</w:t>
            </w:r>
          </w:p>
        </w:tc>
        <w:tc>
          <w:tcPr>
            <w:tcW w:w="2124" w:type="dxa"/>
            <w:tcBorders>
              <w:top w:val="single" w:sz="4" w:space="0" w:color="000000"/>
              <w:left w:val="single" w:sz="4" w:space="0" w:color="000000"/>
              <w:bottom w:val="single" w:sz="4" w:space="0" w:color="000000"/>
              <w:right w:val="nil"/>
            </w:tcBorders>
          </w:tcPr>
          <w:p w14:paraId="5ED286F4"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Projektu finansējums</w:t>
            </w:r>
          </w:p>
        </w:tc>
        <w:tc>
          <w:tcPr>
            <w:tcW w:w="1991" w:type="dxa"/>
            <w:tcBorders>
              <w:top w:val="single" w:sz="4" w:space="0" w:color="000000"/>
              <w:left w:val="single" w:sz="4" w:space="0" w:color="000000"/>
              <w:bottom w:val="single" w:sz="4" w:space="0" w:color="000000"/>
              <w:right w:val="nil"/>
            </w:tcBorders>
          </w:tcPr>
          <w:p w14:paraId="4D902930" w14:textId="77777777" w:rsidR="00CE699B" w:rsidRPr="00675182" w:rsidRDefault="00CE699B" w:rsidP="00CE699B">
            <w:pPr>
              <w:pStyle w:val="naisf"/>
              <w:snapToGrid w:val="0"/>
              <w:spacing w:before="0" w:after="0"/>
              <w:ind w:firstLine="0"/>
              <w:jc w:val="left"/>
              <w:rPr>
                <w:rFonts w:cstheme="minorHAnsi"/>
                <w:sz w:val="20"/>
                <w:lang w:val="lv-LV"/>
              </w:rPr>
            </w:pPr>
            <w:r w:rsidRPr="00675182">
              <w:rPr>
                <w:rFonts w:cstheme="minorHAnsi"/>
                <w:sz w:val="20"/>
                <w:lang w:val="lv-LV"/>
              </w:rPr>
              <w:t>Latvijas Universitāte, LVMI Silava</w:t>
            </w:r>
          </w:p>
        </w:tc>
        <w:tc>
          <w:tcPr>
            <w:tcW w:w="1577" w:type="dxa"/>
            <w:tcBorders>
              <w:top w:val="single" w:sz="4" w:space="0" w:color="000000"/>
              <w:left w:val="single" w:sz="4" w:space="0" w:color="000000"/>
              <w:bottom w:val="single" w:sz="4" w:space="0" w:color="000000"/>
              <w:right w:val="nil"/>
            </w:tcBorders>
          </w:tcPr>
          <w:p w14:paraId="2E88FB84" w14:textId="77777777" w:rsidR="00CE699B" w:rsidRPr="00675182" w:rsidRDefault="00CE699B" w:rsidP="00CE699B">
            <w:pPr>
              <w:autoSpaceDE w:val="0"/>
              <w:snapToGrid w:val="0"/>
              <w:rPr>
                <w:rFonts w:cstheme="minorHAnsi"/>
                <w:sz w:val="20"/>
              </w:rPr>
            </w:pPr>
            <w:r w:rsidRPr="00675182">
              <w:rPr>
                <w:rFonts w:cstheme="minorHAnsi"/>
                <w:sz w:val="20"/>
              </w:rPr>
              <w:t>Precīzi nav nosakāmas</w:t>
            </w:r>
          </w:p>
        </w:tc>
        <w:tc>
          <w:tcPr>
            <w:tcW w:w="2428" w:type="dxa"/>
            <w:tcBorders>
              <w:top w:val="single" w:sz="4" w:space="0" w:color="000000"/>
              <w:left w:val="single" w:sz="4" w:space="0" w:color="000000"/>
              <w:bottom w:val="single" w:sz="4" w:space="0" w:color="000000"/>
              <w:right w:val="single" w:sz="4" w:space="0" w:color="000000"/>
            </w:tcBorders>
          </w:tcPr>
          <w:p w14:paraId="5825D211" w14:textId="2DABD897" w:rsidR="00CE699B" w:rsidRPr="00675182" w:rsidRDefault="00CE699B" w:rsidP="00CE699B">
            <w:pPr>
              <w:pStyle w:val="naisf"/>
              <w:snapToGrid w:val="0"/>
              <w:spacing w:before="0" w:after="0"/>
              <w:ind w:firstLine="0"/>
              <w:jc w:val="left"/>
              <w:rPr>
                <w:rFonts w:cstheme="minorHAnsi"/>
                <w:sz w:val="20"/>
                <w:lang w:val="lv-LV"/>
              </w:rPr>
            </w:pPr>
            <w:r w:rsidRPr="001C4957">
              <w:rPr>
                <w:rFonts w:cstheme="minorHAnsi"/>
                <w:sz w:val="20"/>
                <w:lang w:val="lv-LV"/>
              </w:rPr>
              <w:t>Uzsākts un īstenots</w:t>
            </w:r>
            <w:r w:rsidR="00A65F8B" w:rsidRPr="001C4957">
              <w:rPr>
                <w:rFonts w:cstheme="minorHAnsi"/>
                <w:sz w:val="20"/>
                <w:lang w:val="lv-LV"/>
              </w:rPr>
              <w:t xml:space="preserve"> veģetācijas, hidroloģiskā režīma un siltumnīcas efekta gāzu monitorings</w:t>
            </w:r>
            <w:r w:rsidRPr="001C4957">
              <w:rPr>
                <w:rFonts w:cstheme="minorHAnsi"/>
                <w:sz w:val="20"/>
                <w:lang w:val="lv-LV"/>
              </w:rPr>
              <w:t xml:space="preserve"> </w:t>
            </w:r>
            <w:r w:rsidR="001C4957" w:rsidRPr="001C4957">
              <w:rPr>
                <w:rFonts w:cstheme="minorHAnsi"/>
                <w:sz w:val="20"/>
                <w:lang w:val="lv-LV"/>
              </w:rPr>
              <w:t>Sudas-Zviedru purvā</w:t>
            </w:r>
          </w:p>
        </w:tc>
      </w:tr>
      <w:bookmarkEnd w:id="152"/>
    </w:tbl>
    <w:p w14:paraId="2DEF960B" w14:textId="39D5A7C0" w:rsidR="000629FA" w:rsidRPr="00675182" w:rsidRDefault="000629FA" w:rsidP="002B3341">
      <w:pPr>
        <w:rPr>
          <w:rFonts w:cstheme="minorHAnsi"/>
        </w:rPr>
        <w:sectPr w:rsidR="000629FA" w:rsidRPr="00675182" w:rsidSect="00CD74B1">
          <w:headerReference w:type="even" r:id="rId262"/>
          <w:headerReference w:type="default" r:id="rId263"/>
          <w:footerReference w:type="even" r:id="rId264"/>
          <w:footerReference w:type="default" r:id="rId265"/>
          <w:headerReference w:type="first" r:id="rId266"/>
          <w:footerReference w:type="first" r:id="rId267"/>
          <w:pgSz w:w="16837" w:h="11905" w:orient="landscape"/>
          <w:pgMar w:top="1702" w:right="1440" w:bottom="1702" w:left="1440" w:header="720" w:footer="720" w:gutter="0"/>
          <w:cols w:space="720"/>
          <w:docGrid w:linePitch="360"/>
        </w:sectPr>
      </w:pPr>
    </w:p>
    <w:p w14:paraId="33858B2C" w14:textId="77777777" w:rsidR="0037623E" w:rsidRPr="00675182" w:rsidRDefault="0037623E" w:rsidP="001867C1">
      <w:pPr>
        <w:rPr>
          <w:rFonts w:cstheme="minorHAnsi"/>
          <w:b/>
          <w:i/>
          <w:szCs w:val="24"/>
          <w:u w:val="single"/>
        </w:rPr>
      </w:pPr>
    </w:p>
    <w:p w14:paraId="403CB5BA" w14:textId="7C66E15F" w:rsidR="001867C1" w:rsidRPr="00675182" w:rsidRDefault="001867C1" w:rsidP="001232E1">
      <w:pPr>
        <w:pStyle w:val="Heading3"/>
        <w:rPr>
          <w:lang w:val="lv-LV"/>
        </w:rPr>
      </w:pPr>
      <w:bookmarkStart w:id="153" w:name="_Toc116938417"/>
      <w:r w:rsidRPr="00675182">
        <w:rPr>
          <w:lang w:val="lv-LV"/>
        </w:rPr>
        <w:t>A. Administratīvie un organizatoriskie mērķi</w:t>
      </w:r>
      <w:bookmarkEnd w:id="153"/>
    </w:p>
    <w:p w14:paraId="741484F9" w14:textId="77777777" w:rsidR="001867C1" w:rsidRPr="00675182" w:rsidRDefault="001867C1" w:rsidP="001867C1">
      <w:pPr>
        <w:rPr>
          <w:rFonts w:cstheme="minorHAnsi"/>
        </w:rPr>
      </w:pPr>
    </w:p>
    <w:p w14:paraId="54D3A676" w14:textId="360EA387" w:rsidR="00F908CC" w:rsidRPr="00675182" w:rsidRDefault="001867C1" w:rsidP="001867C1">
      <w:pPr>
        <w:jc w:val="both"/>
        <w:rPr>
          <w:rFonts w:cstheme="minorHAnsi"/>
          <w:szCs w:val="24"/>
        </w:rPr>
      </w:pPr>
      <w:r w:rsidRPr="00675182">
        <w:rPr>
          <w:rFonts w:cstheme="minorHAnsi"/>
          <w:b/>
        </w:rPr>
        <w:t>A.1. GNP</w:t>
      </w:r>
      <w:r w:rsidR="004E0412" w:rsidRPr="00675182">
        <w:rPr>
          <w:rFonts w:cstheme="minorHAnsi"/>
          <w:b/>
        </w:rPr>
        <w:t xml:space="preserve"> likuma un </w:t>
      </w:r>
      <w:r w:rsidRPr="00675182">
        <w:rPr>
          <w:rFonts w:cstheme="minorHAnsi"/>
          <w:b/>
        </w:rPr>
        <w:t>IAIN MK noteikumu apstiprināšana</w:t>
      </w:r>
    </w:p>
    <w:p w14:paraId="74075316" w14:textId="78EC891B" w:rsidR="004104FB" w:rsidRPr="00675182" w:rsidRDefault="00561DD0" w:rsidP="006E35C4">
      <w:pPr>
        <w:jc w:val="both"/>
        <w:rPr>
          <w:rFonts w:cstheme="minorHAnsi"/>
        </w:rPr>
      </w:pPr>
      <w:r w:rsidRPr="00675182">
        <w:rPr>
          <w:rFonts w:cstheme="minorHAnsi"/>
        </w:rPr>
        <w:t xml:space="preserve">Šobrīd spēkā ir </w:t>
      </w:r>
      <w:r w:rsidR="00F44C74" w:rsidRPr="00675182">
        <w:rPr>
          <w:rFonts w:cstheme="minorHAnsi"/>
        </w:rPr>
        <w:t>Gaujas</w:t>
      </w:r>
      <w:r w:rsidRPr="00675182">
        <w:rPr>
          <w:rFonts w:cstheme="minorHAnsi"/>
        </w:rPr>
        <w:t xml:space="preserve"> Nacionālā parka likums</w:t>
      </w:r>
      <w:r w:rsidR="000319F1" w:rsidRPr="00675182">
        <w:rPr>
          <w:rFonts w:cstheme="minorHAnsi"/>
        </w:rPr>
        <w:t xml:space="preserve"> (pieņemts 2009. gada 30. aprīlī)</w:t>
      </w:r>
      <w:r w:rsidR="00F44C74" w:rsidRPr="00675182">
        <w:rPr>
          <w:rFonts w:cstheme="minorHAnsi"/>
        </w:rPr>
        <w:t xml:space="preserve">, kurš nosaka </w:t>
      </w:r>
      <w:r w:rsidR="004104FB" w:rsidRPr="00675182">
        <w:rPr>
          <w:rFonts w:cstheme="minorHAnsi"/>
        </w:rPr>
        <w:t xml:space="preserve">funkcionālās zonas, parka robežu, kā arī definē dažas aizliegtās un atļautās darbības. </w:t>
      </w:r>
      <w:r w:rsidR="00061760">
        <w:rPr>
          <w:rFonts w:cstheme="minorHAnsi"/>
        </w:rPr>
        <w:t>DA</w:t>
      </w:r>
      <w:r w:rsidR="000319F1" w:rsidRPr="00675182">
        <w:rPr>
          <w:rFonts w:cstheme="minorHAnsi"/>
        </w:rPr>
        <w:t xml:space="preserve"> izstrādes laikā tika sagatavots jauns priekšlikums GNP likuma redakcijai, ņemot vērā</w:t>
      </w:r>
      <w:r w:rsidR="001A5677" w:rsidRPr="00675182">
        <w:rPr>
          <w:rFonts w:cstheme="minorHAnsi"/>
        </w:rPr>
        <w:t xml:space="preserve"> piedāvāto </w:t>
      </w:r>
      <w:r w:rsidR="004104FB" w:rsidRPr="00675182">
        <w:rPr>
          <w:rFonts w:cstheme="minorHAnsi"/>
        </w:rPr>
        <w:t xml:space="preserve">zonējumu un sagatavoto IAIN noteikumu projektu. GNP likumā projektā tiek definēti GNP un funkcionālo zonu mērķi, iekļauts GNP un zonu robežu apraksts, kā arī GNP pārvaldība. </w:t>
      </w:r>
    </w:p>
    <w:p w14:paraId="70146474" w14:textId="77777777" w:rsidR="004104FB" w:rsidRPr="00675182" w:rsidRDefault="004104FB" w:rsidP="006E35C4">
      <w:pPr>
        <w:jc w:val="both"/>
        <w:rPr>
          <w:rFonts w:cstheme="minorHAnsi"/>
        </w:rPr>
      </w:pPr>
    </w:p>
    <w:p w14:paraId="460A6985" w14:textId="7DE6DBD2" w:rsidR="002015AE" w:rsidRPr="00675182" w:rsidRDefault="002015AE" w:rsidP="002015AE">
      <w:pPr>
        <w:jc w:val="both"/>
        <w:rPr>
          <w:rFonts w:cstheme="minorHAnsi"/>
        </w:rPr>
      </w:pPr>
      <w:r w:rsidRPr="00675182">
        <w:rPr>
          <w:rFonts w:cstheme="minorHAnsi"/>
        </w:rPr>
        <w:t>Šobrīd spēkā ir arī M</w:t>
      </w:r>
      <w:r w:rsidR="00502D2D">
        <w:rPr>
          <w:rFonts w:cstheme="minorHAnsi"/>
        </w:rPr>
        <w:t>K</w:t>
      </w:r>
      <w:r w:rsidR="0068184E">
        <w:rPr>
          <w:rFonts w:cstheme="minorHAnsi"/>
        </w:rPr>
        <w:t xml:space="preserve"> </w:t>
      </w:r>
      <w:r w:rsidRPr="00675182">
        <w:rPr>
          <w:rFonts w:cstheme="minorHAnsi"/>
        </w:rPr>
        <w:t xml:space="preserve">noteikumi Nr. 317 “Gaujas nacionālā parka individuālie aizsardzības un izmantošanas noteikumi” (pieņemti 2012. gada 2. maijā).  </w:t>
      </w:r>
      <w:r w:rsidR="00061760">
        <w:rPr>
          <w:rFonts w:cstheme="minorHAnsi"/>
        </w:rPr>
        <w:t>DA plāna</w:t>
      </w:r>
      <w:r w:rsidRPr="00675182">
        <w:rPr>
          <w:rFonts w:cstheme="minorHAnsi"/>
        </w:rPr>
        <w:t xml:space="preserve"> izstrādes ietvaros sagatavotais IAIN projekts ( skat. 5.2. nodaļu) iekļauj priekšlikumu individuālai aizsardzības un izmantošanas kārtībai gan visā GNP, gan funkcionālajās zonās, t.sk. aprobežojumus visā GNP teritorijā un konkrētajās zonās.</w:t>
      </w:r>
    </w:p>
    <w:p w14:paraId="5282B609" w14:textId="77777777" w:rsidR="008F2E5E" w:rsidRPr="00675182" w:rsidRDefault="008F2E5E" w:rsidP="00925E28">
      <w:pPr>
        <w:jc w:val="both"/>
        <w:rPr>
          <w:rFonts w:cstheme="minorHAnsi"/>
        </w:rPr>
      </w:pPr>
    </w:p>
    <w:p w14:paraId="470A4A5D" w14:textId="56E2B691" w:rsidR="00925E28" w:rsidRPr="00675182" w:rsidRDefault="001867C1" w:rsidP="00925E28">
      <w:pPr>
        <w:jc w:val="both"/>
        <w:rPr>
          <w:rFonts w:cstheme="minorHAnsi"/>
        </w:rPr>
      </w:pPr>
      <w:r w:rsidRPr="00675182">
        <w:rPr>
          <w:rFonts w:cstheme="minorHAnsi"/>
        </w:rPr>
        <w:t>Līdz ar jaun</w:t>
      </w:r>
      <w:r w:rsidR="00F1317F" w:rsidRPr="00675182">
        <w:rPr>
          <w:rFonts w:cstheme="minorHAnsi"/>
        </w:rPr>
        <w:t>a</w:t>
      </w:r>
      <w:r w:rsidRPr="00675182">
        <w:rPr>
          <w:rFonts w:cstheme="minorHAnsi"/>
        </w:rPr>
        <w:t xml:space="preserve"> </w:t>
      </w:r>
      <w:r w:rsidR="00CD7FFE" w:rsidRPr="00675182">
        <w:rPr>
          <w:rFonts w:cstheme="minorHAnsi"/>
        </w:rPr>
        <w:t>likum</w:t>
      </w:r>
      <w:r w:rsidR="00F1317F" w:rsidRPr="00675182">
        <w:rPr>
          <w:rFonts w:cstheme="minorHAnsi"/>
        </w:rPr>
        <w:t>a</w:t>
      </w:r>
      <w:r w:rsidR="00CD7FFE" w:rsidRPr="00675182">
        <w:rPr>
          <w:rFonts w:cstheme="minorHAnsi"/>
        </w:rPr>
        <w:t xml:space="preserve"> un </w:t>
      </w:r>
      <w:r w:rsidRPr="00675182">
        <w:rPr>
          <w:rFonts w:cstheme="minorHAnsi"/>
        </w:rPr>
        <w:t xml:space="preserve">IAIN stāšanos spēkā, spēku zaudēs </w:t>
      </w:r>
      <w:r w:rsidR="00F1317F" w:rsidRPr="00675182">
        <w:rPr>
          <w:rFonts w:cstheme="minorHAnsi"/>
        </w:rPr>
        <w:t>MK 2012. gada 2. janvāra noteikumi Nr. 317 “Gaujas nacionālā parka individuālie aizsardzības un izmantošanas noteikumi”</w:t>
      </w:r>
      <w:r w:rsidR="00F44C74" w:rsidRPr="00675182">
        <w:rPr>
          <w:rFonts w:cstheme="minorHAnsi"/>
        </w:rPr>
        <w:t xml:space="preserve">, </w:t>
      </w:r>
      <w:r w:rsidR="002D4ECC" w:rsidRPr="00675182">
        <w:rPr>
          <w:rFonts w:cstheme="minorHAnsi"/>
        </w:rPr>
        <w:t xml:space="preserve">kā </w:t>
      </w:r>
      <w:r w:rsidR="00925E28" w:rsidRPr="00675182">
        <w:rPr>
          <w:rFonts w:cstheme="minorHAnsi"/>
        </w:rPr>
        <w:t xml:space="preserve">arī </w:t>
      </w:r>
      <w:r w:rsidR="000944B4" w:rsidRPr="00675182">
        <w:rPr>
          <w:rFonts w:cstheme="minorHAnsi"/>
        </w:rPr>
        <w:t>esošais</w:t>
      </w:r>
      <w:r w:rsidR="00770518" w:rsidRPr="00675182">
        <w:rPr>
          <w:rFonts w:cstheme="minorHAnsi"/>
        </w:rPr>
        <w:t xml:space="preserve"> GNP likum</w:t>
      </w:r>
      <w:r w:rsidR="00735D43" w:rsidRPr="00675182">
        <w:rPr>
          <w:rFonts w:cstheme="minorHAnsi"/>
        </w:rPr>
        <w:t>s</w:t>
      </w:r>
      <w:r w:rsidR="00770518" w:rsidRPr="00675182">
        <w:rPr>
          <w:rFonts w:cstheme="minorHAnsi"/>
        </w:rPr>
        <w:t>.</w:t>
      </w:r>
      <w:r w:rsidR="006A4D91" w:rsidRPr="00675182">
        <w:rPr>
          <w:rFonts w:cstheme="minorHAnsi"/>
        </w:rPr>
        <w:t xml:space="preserve"> </w:t>
      </w:r>
    </w:p>
    <w:p w14:paraId="70D3BB0F" w14:textId="77777777" w:rsidR="00925E28" w:rsidRPr="00675182" w:rsidRDefault="00925E28" w:rsidP="00925E28">
      <w:pPr>
        <w:jc w:val="both"/>
        <w:rPr>
          <w:rFonts w:cstheme="minorHAnsi"/>
          <w:color w:val="FF0000"/>
        </w:rPr>
      </w:pPr>
    </w:p>
    <w:p w14:paraId="015CE814" w14:textId="6E4D660C" w:rsidR="001867C1" w:rsidRPr="00675182" w:rsidRDefault="001867C1" w:rsidP="001867C1">
      <w:pPr>
        <w:rPr>
          <w:rFonts w:cstheme="minorHAnsi"/>
          <w:b/>
          <w:bCs/>
        </w:rPr>
      </w:pPr>
      <w:r w:rsidRPr="00675182">
        <w:rPr>
          <w:rFonts w:cstheme="minorHAnsi"/>
          <w:b/>
          <w:bCs/>
        </w:rPr>
        <w:t xml:space="preserve">A.2. </w:t>
      </w:r>
      <w:r w:rsidR="002D4ECC" w:rsidRPr="00675182">
        <w:rPr>
          <w:rFonts w:cstheme="minorHAnsi"/>
          <w:b/>
          <w:bCs/>
        </w:rPr>
        <w:t>GNP</w:t>
      </w:r>
      <w:r w:rsidRPr="00675182">
        <w:rPr>
          <w:rFonts w:cstheme="minorHAnsi"/>
          <w:b/>
          <w:bCs/>
        </w:rPr>
        <w:t xml:space="preserve"> robežas precizēšana</w:t>
      </w:r>
    </w:p>
    <w:p w14:paraId="1A5FD002" w14:textId="29C1EA08" w:rsidR="002D4ECC" w:rsidRPr="00675182" w:rsidRDefault="002D4ECC" w:rsidP="002D4ECC">
      <w:pPr>
        <w:jc w:val="both"/>
        <w:rPr>
          <w:rFonts w:cstheme="minorHAnsi"/>
          <w:szCs w:val="24"/>
        </w:rPr>
      </w:pPr>
      <w:r w:rsidRPr="00675182">
        <w:rPr>
          <w:rFonts w:cstheme="minorHAnsi"/>
        </w:rPr>
        <w:t xml:space="preserve">GNP </w:t>
      </w:r>
      <w:r w:rsidR="00D86D68" w:rsidRPr="00675182">
        <w:rPr>
          <w:rFonts w:cstheme="minorHAnsi"/>
        </w:rPr>
        <w:t>robežas ir</w:t>
      </w:r>
      <w:r w:rsidRPr="00675182">
        <w:rPr>
          <w:rFonts w:cstheme="minorHAnsi"/>
        </w:rPr>
        <w:t xml:space="preserve"> noteikt</w:t>
      </w:r>
      <w:r w:rsidR="00D86D68" w:rsidRPr="00675182">
        <w:rPr>
          <w:rFonts w:cstheme="minorHAnsi"/>
        </w:rPr>
        <w:t>a</w:t>
      </w:r>
      <w:r w:rsidR="00692FDB" w:rsidRPr="00675182">
        <w:rPr>
          <w:rFonts w:cstheme="minorHAnsi"/>
        </w:rPr>
        <w:t>s</w:t>
      </w:r>
      <w:r w:rsidRPr="00675182">
        <w:rPr>
          <w:rFonts w:cstheme="minorHAnsi"/>
        </w:rPr>
        <w:t xml:space="preserve"> Gaujas </w:t>
      </w:r>
      <w:r w:rsidR="00D86D68" w:rsidRPr="00675182">
        <w:rPr>
          <w:rFonts w:cstheme="minorHAnsi"/>
        </w:rPr>
        <w:t>N</w:t>
      </w:r>
      <w:r w:rsidRPr="00675182">
        <w:rPr>
          <w:rFonts w:cstheme="minorHAnsi"/>
        </w:rPr>
        <w:t xml:space="preserve">acionālā parka likumā (pieņemts 2009. gada 30. aprīlī), kā arī MK 2012. gada 2. maija noteikumos Nr. 317 “Gaujas nacionālā parka individuālie aizsardzības un izmantošanas noteikumi”. </w:t>
      </w:r>
      <w:r w:rsidR="00D86D68" w:rsidRPr="00675182">
        <w:rPr>
          <w:rFonts w:cstheme="minorHAnsi"/>
        </w:rPr>
        <w:t xml:space="preserve">Gaujas Nacionālā parka likumā ietvertais robežapraksts nesatur koordinātes, bet tikai elementus pēc kādiem robežas ir noteiktas, piemēram, zemes vienību numurs, autoceļi, ielas. MK 2012. gada 2. maija noteikumos Nr. 317 “Gaujas nacionālā parka individuālie aizsardzības un izmantošanas noteikumi” </w:t>
      </w:r>
      <w:r w:rsidR="009475D3" w:rsidRPr="00675182">
        <w:rPr>
          <w:rFonts w:cstheme="minorHAnsi"/>
        </w:rPr>
        <w:t>parka robežapraksts ietver koordinātas</w:t>
      </w:r>
      <w:r w:rsidR="00080F2D" w:rsidRPr="00675182">
        <w:rPr>
          <w:rFonts w:cstheme="minorHAnsi"/>
        </w:rPr>
        <w:t>, tomēr atsevišķās vietās robeža</w:t>
      </w:r>
      <w:r w:rsidR="00080F2D" w:rsidRPr="00675182">
        <w:rPr>
          <w:rFonts w:cstheme="minorHAnsi"/>
          <w:szCs w:val="24"/>
        </w:rPr>
        <w:t xml:space="preserve"> iezīmēta bez precīzas piesaistes kadastra robežām, līdz ar GNP teritorijā ietilpst nelielas blakus esošu īpašumu zemes gabalu daļas. Zemes īpašumam būtu reģistrējams apgrūtinājums, lai arī tā ir tikai dažus metrus plata josla</w:t>
      </w:r>
      <w:r w:rsidR="00561DD0" w:rsidRPr="00675182">
        <w:rPr>
          <w:rFonts w:cstheme="minorHAnsi"/>
          <w:szCs w:val="24"/>
        </w:rPr>
        <w:t>.</w:t>
      </w:r>
      <w:r w:rsidR="006A4D91" w:rsidRPr="00675182">
        <w:rPr>
          <w:rFonts w:cstheme="minorHAnsi"/>
          <w:szCs w:val="24"/>
        </w:rPr>
        <w:t xml:space="preserve"> GNP robež</w:t>
      </w:r>
      <w:r w:rsidR="00CB5C3E" w:rsidRPr="00675182">
        <w:rPr>
          <w:rFonts w:cstheme="minorHAnsi"/>
          <w:szCs w:val="24"/>
        </w:rPr>
        <w:t>u a</w:t>
      </w:r>
      <w:r w:rsidR="006A4D91" w:rsidRPr="00675182">
        <w:rPr>
          <w:rFonts w:cstheme="minorHAnsi"/>
          <w:szCs w:val="24"/>
        </w:rPr>
        <w:t>prak</w:t>
      </w:r>
      <w:r w:rsidR="00F1317F" w:rsidRPr="00675182">
        <w:rPr>
          <w:rFonts w:cstheme="minorHAnsi"/>
          <w:szCs w:val="24"/>
        </w:rPr>
        <w:t>s</w:t>
      </w:r>
      <w:r w:rsidR="006A4D91" w:rsidRPr="00675182">
        <w:rPr>
          <w:rFonts w:cstheme="minorHAnsi"/>
          <w:szCs w:val="24"/>
        </w:rPr>
        <w:t xml:space="preserve">ts ar koordinātēm tiks iekļauts jaunajā GNP likumā. </w:t>
      </w:r>
    </w:p>
    <w:p w14:paraId="0F3BEBAF" w14:textId="08CD4396" w:rsidR="00DF63E1" w:rsidRPr="00675182" w:rsidRDefault="00DF63E1" w:rsidP="002D4ECC">
      <w:pPr>
        <w:jc w:val="both"/>
        <w:rPr>
          <w:rFonts w:cstheme="minorHAnsi"/>
          <w:szCs w:val="24"/>
        </w:rPr>
      </w:pPr>
    </w:p>
    <w:p w14:paraId="2B3CE806" w14:textId="29A006D0" w:rsidR="00E52B31" w:rsidRPr="00675182" w:rsidRDefault="00E52B31" w:rsidP="00E52B31">
      <w:pPr>
        <w:jc w:val="both"/>
        <w:rPr>
          <w:rFonts w:cstheme="minorHAnsi"/>
        </w:rPr>
      </w:pPr>
      <w:r w:rsidRPr="00675182">
        <w:rPr>
          <w:rFonts w:cstheme="minorHAnsi"/>
        </w:rPr>
        <w:t xml:space="preserve">Pēc GNP robežu precizēšanas, tā platība būs 91768,44 ha. Precizētas robežas priekšlikums ir attēlots DA plāna </w:t>
      </w:r>
      <w:r w:rsidR="00D3762C" w:rsidRPr="00675182">
        <w:rPr>
          <w:rFonts w:cstheme="minorHAnsi"/>
        </w:rPr>
        <w:t>21</w:t>
      </w:r>
      <w:r w:rsidRPr="00675182">
        <w:rPr>
          <w:rFonts w:cstheme="minorHAnsi"/>
        </w:rPr>
        <w:t>.</w:t>
      </w:r>
      <w:r w:rsidR="00D3762C" w:rsidRPr="00675182">
        <w:rPr>
          <w:rFonts w:cstheme="minorHAnsi"/>
        </w:rPr>
        <w:t xml:space="preserve"> un 25. </w:t>
      </w:r>
      <w:r w:rsidRPr="00675182">
        <w:rPr>
          <w:rFonts w:cstheme="minorHAnsi"/>
        </w:rPr>
        <w:t xml:space="preserve">pielikumā. </w:t>
      </w:r>
    </w:p>
    <w:p w14:paraId="52090EC9" w14:textId="77777777" w:rsidR="00080F2D" w:rsidRPr="00675182" w:rsidRDefault="00080F2D" w:rsidP="00080F2D">
      <w:pPr>
        <w:rPr>
          <w:rFonts w:cstheme="minorHAnsi"/>
          <w:b/>
          <w:bCs/>
        </w:rPr>
      </w:pPr>
    </w:p>
    <w:p w14:paraId="18CC16DC" w14:textId="34D1306F" w:rsidR="00080F2D" w:rsidRPr="00675182" w:rsidRDefault="00080F2D" w:rsidP="00080F2D">
      <w:pPr>
        <w:rPr>
          <w:rFonts w:cstheme="minorHAnsi"/>
          <w:b/>
          <w:bCs/>
        </w:rPr>
      </w:pPr>
      <w:r w:rsidRPr="00675182">
        <w:rPr>
          <w:rFonts w:cstheme="minorHAnsi"/>
          <w:b/>
          <w:bCs/>
        </w:rPr>
        <w:t>A.3. GNP teritorijas paplašināšana</w:t>
      </w:r>
    </w:p>
    <w:p w14:paraId="2D4D242B" w14:textId="77777777" w:rsidR="00792D5A" w:rsidRPr="00675182" w:rsidRDefault="00792D5A" w:rsidP="00792D5A">
      <w:pPr>
        <w:jc w:val="both"/>
        <w:rPr>
          <w:rFonts w:cstheme="minorHAnsi"/>
          <w:szCs w:val="24"/>
        </w:rPr>
      </w:pPr>
      <w:r w:rsidRPr="00675182">
        <w:rPr>
          <w:rFonts w:cstheme="minorHAnsi"/>
          <w:szCs w:val="24"/>
        </w:rPr>
        <w:t xml:space="preserve">Lai nodrošinātu GNP teritorijai pieguļošo dabas un kultūras vērtību pilnīgāku aizsardzību, tiek izvirzīts priekšlikums GNP robežas paplašināšanai. Pēc konsultācijām ar DAP un plāna izstrādē iesaistītajiem ekspertiem, plāna izstrādātāji rekomendē GNP teritorijai pievienot 5 teritorijas: </w:t>
      </w:r>
    </w:p>
    <w:p w14:paraId="03714E15" w14:textId="051409EC" w:rsidR="00792D5A" w:rsidRPr="00675182" w:rsidRDefault="00792D5A" w:rsidP="00A84218">
      <w:pPr>
        <w:pStyle w:val="ListParagraph"/>
        <w:numPr>
          <w:ilvl w:val="0"/>
          <w:numId w:val="30"/>
        </w:numPr>
        <w:jc w:val="both"/>
        <w:rPr>
          <w:rFonts w:cstheme="minorHAnsi"/>
          <w:szCs w:val="24"/>
        </w:rPr>
      </w:pPr>
      <w:r w:rsidRPr="00675182">
        <w:rPr>
          <w:rFonts w:cstheme="minorHAnsi"/>
          <w:szCs w:val="24"/>
        </w:rPr>
        <w:t xml:space="preserve">Gaujas ielejas turpinājumu uz rietumiem no autoceļa A3 </w:t>
      </w:r>
      <w:r w:rsidRPr="00675182">
        <w:rPr>
          <w:rFonts w:cstheme="minorHAnsi"/>
        </w:rPr>
        <w:t>Inčukalns—Valmiera—Igaunijas robeža (Valka) (kopējā platība 126,7 ha)</w:t>
      </w:r>
      <w:r w:rsidRPr="00675182">
        <w:rPr>
          <w:rFonts w:cstheme="minorHAnsi"/>
          <w:szCs w:val="24"/>
        </w:rPr>
        <w:t xml:space="preserve">. Teritorijas pievienošana GNP ļaus paplašināt mazietekmētu mežu platības Gaujas ielejā, kā arī aizsargāt teritorijā esošos atsegumus un alas. Teritoriju būtu nepieciešams iedalīt dažādās funkcionālajās zonās – </w:t>
      </w:r>
      <w:r w:rsidR="00A0279E">
        <w:rPr>
          <w:rFonts w:cstheme="minorHAnsi"/>
          <w:szCs w:val="24"/>
        </w:rPr>
        <w:t>DLZ</w:t>
      </w:r>
      <w:r w:rsidRPr="00675182">
        <w:rPr>
          <w:rFonts w:cstheme="minorHAnsi"/>
          <w:szCs w:val="24"/>
        </w:rPr>
        <w:t xml:space="preserve">, kas ietver Gaujas upi, tās salu un valsts mežu platības </w:t>
      </w:r>
      <w:r w:rsidRPr="00675182">
        <w:rPr>
          <w:rFonts w:cstheme="minorHAnsi"/>
          <w:szCs w:val="24"/>
        </w:rPr>
        <w:lastRenderedPageBreak/>
        <w:t xml:space="preserve">(80,3 ha), </w:t>
      </w:r>
      <w:r w:rsidR="00A0279E">
        <w:rPr>
          <w:rFonts w:cstheme="minorHAnsi"/>
          <w:szCs w:val="24"/>
        </w:rPr>
        <w:t>DPZ</w:t>
      </w:r>
      <w:r w:rsidRPr="00675182">
        <w:rPr>
          <w:rFonts w:cstheme="minorHAnsi"/>
          <w:szCs w:val="24"/>
        </w:rPr>
        <w:t xml:space="preserve">, kas ietver Gaujas kreisā krasta palieņu mežus (21,7 ha) un </w:t>
      </w:r>
      <w:r w:rsidR="00A0279E">
        <w:rPr>
          <w:rFonts w:cstheme="minorHAnsi"/>
          <w:szCs w:val="24"/>
        </w:rPr>
        <w:t>AAZ</w:t>
      </w:r>
      <w:r w:rsidRPr="00675182">
        <w:rPr>
          <w:rFonts w:cstheme="minorHAnsi"/>
          <w:szCs w:val="24"/>
        </w:rPr>
        <w:t>, kas ietver lauksaimniecības zemes, apbūvi un zālāju biotopu teritorijas (24,9 ha).</w:t>
      </w:r>
    </w:p>
    <w:p w14:paraId="2CCD218B" w14:textId="37BE66F3" w:rsidR="00792D5A" w:rsidRPr="00675182" w:rsidRDefault="00A0279E" w:rsidP="00A84218">
      <w:pPr>
        <w:pStyle w:val="ListParagraph"/>
        <w:numPr>
          <w:ilvl w:val="0"/>
          <w:numId w:val="30"/>
        </w:numPr>
        <w:jc w:val="both"/>
        <w:rPr>
          <w:rFonts w:cstheme="minorHAnsi"/>
          <w:szCs w:val="24"/>
        </w:rPr>
      </w:pPr>
      <w:r>
        <w:rPr>
          <w:rFonts w:cstheme="minorHAnsi"/>
          <w:szCs w:val="24"/>
        </w:rPr>
        <w:t>DL</w:t>
      </w:r>
      <w:r w:rsidR="00792D5A" w:rsidRPr="00675182">
        <w:rPr>
          <w:rFonts w:cstheme="minorHAnsi"/>
          <w:szCs w:val="24"/>
        </w:rPr>
        <w:t xml:space="preserve"> "Melturu sils" un tam piegulošās teritorijas. GNP paplašinājums ļaus kompleksi apsaimniekot Pērļupes un tās pieteku baseinu, kurā atrodas ES nozīmes zālāju biotopi un kas nodrošina Pērļupes ūdens kvalitātes saglabāšanos. Kā prioritāra teritorija apvienošanai ar GNP un līdz šim neaizsargātu teritoriju iekļaušanai </w:t>
      </w:r>
      <w:r>
        <w:rPr>
          <w:rFonts w:cstheme="minorHAnsi"/>
          <w:szCs w:val="24"/>
        </w:rPr>
        <w:t>ĪADT</w:t>
      </w:r>
      <w:r w:rsidR="00792D5A" w:rsidRPr="00675182">
        <w:rPr>
          <w:rFonts w:cstheme="minorHAnsi"/>
          <w:szCs w:val="24"/>
        </w:rPr>
        <w:t xml:space="preserve"> izvirzīta DL “Melturu sils” teritorija kopā ar tai pieguļošajiem mežu un zālāju biotopu poligoniem, kas veido 336,3 ha (iekļaujama </w:t>
      </w:r>
      <w:r>
        <w:rPr>
          <w:rFonts w:cstheme="minorHAnsi"/>
          <w:szCs w:val="24"/>
        </w:rPr>
        <w:t>DLZ</w:t>
      </w:r>
      <w:r w:rsidR="00792D5A" w:rsidRPr="00675182">
        <w:rPr>
          <w:rFonts w:cstheme="minorHAnsi"/>
          <w:szCs w:val="24"/>
        </w:rPr>
        <w:t>). Papildus, izvērtējot kontekstā ar Natura</w:t>
      </w:r>
      <w:r>
        <w:rPr>
          <w:rFonts w:cstheme="minorHAnsi"/>
          <w:szCs w:val="24"/>
        </w:rPr>
        <w:t xml:space="preserve"> </w:t>
      </w:r>
      <w:r w:rsidR="00792D5A" w:rsidRPr="00675182">
        <w:rPr>
          <w:rFonts w:cstheme="minorHAnsi"/>
          <w:szCs w:val="24"/>
        </w:rPr>
        <w:t xml:space="preserve">2000 teritoriju tīkla paplašināšanu Latvijā, iespējams GNP pievienot arī plašāku valsts mežu masīvu ap Melturu silu, iekļaujot to </w:t>
      </w:r>
      <w:r>
        <w:rPr>
          <w:rFonts w:cstheme="minorHAnsi"/>
          <w:szCs w:val="24"/>
        </w:rPr>
        <w:t>AAZ</w:t>
      </w:r>
      <w:r w:rsidR="00792D5A" w:rsidRPr="00675182">
        <w:rPr>
          <w:rFonts w:cstheme="minorHAnsi"/>
          <w:szCs w:val="24"/>
        </w:rPr>
        <w:t xml:space="preserve"> un kā apsaimniekošanas prioritāti paredzot sauso, oligotrofo priežu mežu platību saglabāšanu un dzīvotņu nodrošināšanu ar tiem saistītām sugām (425,4 ha, ieskaitot privātīpašuma platības, ko no vienas puses ietver DL “Melturu sils”, no otras – autoceļs A2 un aiz tā esošā GNP teritorija).</w:t>
      </w:r>
    </w:p>
    <w:p w14:paraId="548CA7E3" w14:textId="32443492" w:rsidR="00792D5A" w:rsidRPr="00675182" w:rsidRDefault="00A0279E" w:rsidP="00A84218">
      <w:pPr>
        <w:pStyle w:val="ListParagraph"/>
        <w:numPr>
          <w:ilvl w:val="0"/>
          <w:numId w:val="30"/>
        </w:numPr>
        <w:jc w:val="both"/>
        <w:rPr>
          <w:rFonts w:cstheme="minorHAnsi"/>
          <w:szCs w:val="24"/>
        </w:rPr>
      </w:pPr>
      <w:r>
        <w:rPr>
          <w:rFonts w:cstheme="minorHAnsi"/>
          <w:szCs w:val="24"/>
        </w:rPr>
        <w:t>DL</w:t>
      </w:r>
      <w:r w:rsidR="00792D5A" w:rsidRPr="00675182">
        <w:rPr>
          <w:rFonts w:cstheme="minorHAnsi"/>
          <w:szCs w:val="24"/>
        </w:rPr>
        <w:t xml:space="preserve"> "Zušu-Staiņu sēravoti" un tam pieguļošās platības ar ES nozīmes aizsargājamo zālāju biotopu kompleksiem </w:t>
      </w:r>
      <w:r w:rsidR="00792D5A" w:rsidRPr="00675182">
        <w:rPr>
          <w:rFonts w:cstheme="minorHAnsi"/>
        </w:rPr>
        <w:t xml:space="preserve">(kopējā platība 108,9 ha, t.sk. 53 ha </w:t>
      </w:r>
      <w:r>
        <w:rPr>
          <w:rFonts w:cstheme="minorHAnsi"/>
        </w:rPr>
        <w:t>DLZ</w:t>
      </w:r>
      <w:r w:rsidR="00792D5A" w:rsidRPr="00675182">
        <w:rPr>
          <w:rFonts w:cstheme="minorHAnsi"/>
        </w:rPr>
        <w:t xml:space="preserve">, 55,9 ha </w:t>
      </w:r>
      <w:r>
        <w:rPr>
          <w:rFonts w:cstheme="minorHAnsi"/>
        </w:rPr>
        <w:t>AAZ</w:t>
      </w:r>
      <w:r w:rsidR="00792D5A" w:rsidRPr="00675182">
        <w:rPr>
          <w:rFonts w:cstheme="minorHAnsi"/>
        </w:rPr>
        <w:t>)</w:t>
      </w:r>
      <w:r w:rsidR="00792D5A" w:rsidRPr="00675182">
        <w:rPr>
          <w:rFonts w:cstheme="minorHAnsi"/>
          <w:szCs w:val="24"/>
        </w:rPr>
        <w:t>. Teritorijas iekļaušana GNP turpmāk nodrošinās kopīgu aizsardzības pasākumu plānošanu avotu un avoksnāju biotopiem un tajos esošajām aizsargājamajām sugām; pieguļošajā teritorijā esošo zālāju apsaimniekošanai būs iespējams piesaistīt uz Natura 2000 teritorijām mērķētu pasākumu resursus, tādējādi nodrošinot daudzveidīgu dabas vērtību aizsardzību paplašinājuma teritorijā.</w:t>
      </w:r>
    </w:p>
    <w:p w14:paraId="331199DD" w14:textId="13A47431" w:rsidR="00792D5A" w:rsidRPr="00675182" w:rsidRDefault="00792D5A" w:rsidP="00A84218">
      <w:pPr>
        <w:pStyle w:val="ListParagraph"/>
        <w:numPr>
          <w:ilvl w:val="0"/>
          <w:numId w:val="30"/>
        </w:numPr>
        <w:jc w:val="both"/>
        <w:rPr>
          <w:rFonts w:cstheme="minorHAnsi"/>
          <w:szCs w:val="24"/>
        </w:rPr>
      </w:pPr>
      <w:r w:rsidRPr="00675182">
        <w:rPr>
          <w:rFonts w:cstheme="minorHAnsi"/>
          <w:szCs w:val="24"/>
        </w:rPr>
        <w:t xml:space="preserve">Līgatnes upes un Ratnieku upes posmus un tiem piegulošās teritorijas starp autoceļiem P32 </w:t>
      </w:r>
      <w:r w:rsidRPr="00675182">
        <w:rPr>
          <w:rFonts w:cstheme="minorHAnsi"/>
        </w:rPr>
        <w:t xml:space="preserve">Augšlīgatne–Skrīveri </w:t>
      </w:r>
      <w:r w:rsidRPr="00675182">
        <w:rPr>
          <w:rFonts w:cstheme="minorHAnsi"/>
          <w:szCs w:val="24"/>
        </w:rPr>
        <w:t xml:space="preserve">un A2 </w:t>
      </w:r>
      <w:r w:rsidRPr="00675182">
        <w:rPr>
          <w:rFonts w:cstheme="minorHAnsi"/>
        </w:rPr>
        <w:t xml:space="preserve">Rīga—Sigulda—Igaunijas robeža (Veclaicene) (kopējā platība 283,6 ha, t.sk. 91,6 ha </w:t>
      </w:r>
      <w:r w:rsidR="00A0279E">
        <w:rPr>
          <w:rFonts w:cstheme="minorHAnsi"/>
        </w:rPr>
        <w:t>DLZ</w:t>
      </w:r>
      <w:r w:rsidRPr="00675182">
        <w:rPr>
          <w:rFonts w:cstheme="minorHAnsi"/>
        </w:rPr>
        <w:t xml:space="preserve">, 168,1 ha </w:t>
      </w:r>
      <w:r w:rsidR="00A0279E">
        <w:rPr>
          <w:rFonts w:cstheme="minorHAnsi"/>
        </w:rPr>
        <w:t>AAZ</w:t>
      </w:r>
      <w:r w:rsidRPr="00675182">
        <w:rPr>
          <w:rFonts w:cstheme="minorHAnsi"/>
        </w:rPr>
        <w:t>, 23,9 ha neitrālā zona)</w:t>
      </w:r>
      <w:r w:rsidRPr="00675182">
        <w:rPr>
          <w:rFonts w:cstheme="minorHAnsi"/>
          <w:szCs w:val="24"/>
        </w:rPr>
        <w:t>. Teritorijā atrodas nozīmīgas platības ar avotu un avoksnāju biotopiem, kā arī Līgatnes upes ieleja un kultūrvēsturiski nozīmīgs objekts – Visendorfa kanāls, tā ir perspektīva vieta dabas tūrisma slodzes novirzīšanai no jutīgākām Līgatnes ielejas daļām.</w:t>
      </w:r>
    </w:p>
    <w:p w14:paraId="45488A6D" w14:textId="270A2FCE" w:rsidR="00792D5A" w:rsidRPr="00675182" w:rsidRDefault="00792D5A" w:rsidP="00A84218">
      <w:pPr>
        <w:pStyle w:val="ListParagraph"/>
        <w:numPr>
          <w:ilvl w:val="0"/>
          <w:numId w:val="30"/>
        </w:numPr>
        <w:jc w:val="both"/>
        <w:rPr>
          <w:rFonts w:cstheme="minorHAnsi"/>
          <w:szCs w:val="24"/>
        </w:rPr>
      </w:pPr>
      <w:r w:rsidRPr="00675182">
        <w:rPr>
          <w:rFonts w:cstheme="minorHAnsi"/>
          <w:szCs w:val="24"/>
        </w:rPr>
        <w:t xml:space="preserve">Eduarda Veidenbauma memoriālais muzejs "Kalāči" </w:t>
      </w:r>
      <w:r w:rsidRPr="00675182">
        <w:rPr>
          <w:rFonts w:cstheme="minorHAnsi"/>
        </w:rPr>
        <w:t xml:space="preserve">(kopējā platība 13,1 ha, </w:t>
      </w:r>
      <w:r w:rsidR="00A0279E">
        <w:rPr>
          <w:rFonts w:cstheme="minorHAnsi"/>
        </w:rPr>
        <w:t>AAZ</w:t>
      </w:r>
      <w:r w:rsidRPr="00675182">
        <w:rPr>
          <w:rFonts w:cstheme="minorHAnsi"/>
        </w:rPr>
        <w:t>)</w:t>
      </w:r>
      <w:r w:rsidRPr="00675182">
        <w:rPr>
          <w:rFonts w:cstheme="minorHAnsi"/>
          <w:szCs w:val="24"/>
        </w:rPr>
        <w:t xml:space="preserve">. Teritorijas iekļaušana GNP ļaus efektīvāk iesaistīt muzeju GNP tūrisma piedāvājumā un piesaistīt resursus tās uzturēšanai un attīstībai. </w:t>
      </w:r>
    </w:p>
    <w:p w14:paraId="0AF35AF5" w14:textId="77777777" w:rsidR="00792D5A" w:rsidRPr="00675182" w:rsidRDefault="00792D5A" w:rsidP="00792D5A">
      <w:pPr>
        <w:jc w:val="both"/>
        <w:rPr>
          <w:rFonts w:cstheme="minorHAnsi"/>
          <w:color w:val="FF0000"/>
          <w:szCs w:val="24"/>
        </w:rPr>
      </w:pPr>
    </w:p>
    <w:p w14:paraId="34F516F0" w14:textId="4CD8A78F" w:rsidR="00792D5A" w:rsidRPr="00675182" w:rsidRDefault="00792D5A" w:rsidP="00792D5A">
      <w:pPr>
        <w:jc w:val="both"/>
        <w:rPr>
          <w:rFonts w:cstheme="minorHAnsi"/>
          <w:szCs w:val="24"/>
        </w:rPr>
      </w:pPr>
      <w:r w:rsidRPr="00675182">
        <w:rPr>
          <w:rFonts w:cstheme="minorHAnsi"/>
          <w:szCs w:val="24"/>
        </w:rPr>
        <w:t xml:space="preserve">Kopējā iespējamo paplašinājumu platība ir 1294 ha (visi piedāvātie paplašinājumi) vai 868 ha (ja “Melturu silā” tiek pievienota tikai </w:t>
      </w:r>
      <w:r w:rsidR="00A0279E">
        <w:rPr>
          <w:rFonts w:cstheme="minorHAnsi"/>
          <w:szCs w:val="24"/>
        </w:rPr>
        <w:t>DLZ</w:t>
      </w:r>
      <w:r w:rsidRPr="00675182">
        <w:rPr>
          <w:rFonts w:cstheme="minorHAnsi"/>
          <w:szCs w:val="24"/>
        </w:rPr>
        <w:t>) jeb attiecīgi 1,40 % vai 0,95 % no pašreizējās GNP platības.</w:t>
      </w:r>
    </w:p>
    <w:p w14:paraId="3F9D8A44" w14:textId="32E52C05" w:rsidR="00E6451A" w:rsidRPr="00675182" w:rsidRDefault="00E6451A" w:rsidP="001867C1">
      <w:pPr>
        <w:jc w:val="both"/>
        <w:rPr>
          <w:rFonts w:cstheme="minorHAnsi"/>
          <w:szCs w:val="24"/>
        </w:rPr>
      </w:pPr>
    </w:p>
    <w:p w14:paraId="1CD6821A" w14:textId="11948815" w:rsidR="00FB43A1" w:rsidRPr="00675182" w:rsidRDefault="00FB43A1" w:rsidP="001867C1">
      <w:pPr>
        <w:jc w:val="both"/>
        <w:rPr>
          <w:rFonts w:cstheme="minorHAnsi"/>
          <w:szCs w:val="24"/>
        </w:rPr>
      </w:pPr>
      <w:r w:rsidRPr="00675182">
        <w:rPr>
          <w:rFonts w:cstheme="minorHAnsi"/>
          <w:szCs w:val="24"/>
        </w:rPr>
        <w:t xml:space="preserve">Tika izskatīti perspektīvie paplašinājumi, kuriem par </w:t>
      </w:r>
      <w:r w:rsidR="000B22AF" w:rsidRPr="00675182">
        <w:rPr>
          <w:rFonts w:cstheme="minorHAnsi"/>
          <w:szCs w:val="24"/>
        </w:rPr>
        <w:t>labāku risinājumu aizsardzības nodrošināšanai rekomendēta ģeoloģiskā un ģeomorfoloģiskā pieminekļa statusa nodibināšana – Lojas ieleja augšpus autoceļa A3 Rīga-Valmiera, kā arī Lorupes ieleja augšpus autoceļa A2 Rīga-Sigulda-Veclaicene.</w:t>
      </w:r>
    </w:p>
    <w:p w14:paraId="0A35508B" w14:textId="77777777" w:rsidR="000B22AF" w:rsidRPr="00675182" w:rsidRDefault="000B22AF" w:rsidP="001867C1">
      <w:pPr>
        <w:jc w:val="both"/>
        <w:rPr>
          <w:rFonts w:cstheme="minorHAnsi"/>
          <w:szCs w:val="24"/>
        </w:rPr>
      </w:pPr>
    </w:p>
    <w:p w14:paraId="7504B488" w14:textId="50F6F85F" w:rsidR="006D78BA" w:rsidRPr="00675182" w:rsidRDefault="00AC063F" w:rsidP="00B86A8D">
      <w:pPr>
        <w:jc w:val="both"/>
        <w:rPr>
          <w:rFonts w:cstheme="minorHAnsi"/>
          <w:szCs w:val="24"/>
        </w:rPr>
      </w:pPr>
      <w:r w:rsidRPr="00675182">
        <w:rPr>
          <w:rFonts w:cstheme="minorHAnsi"/>
          <w:szCs w:val="24"/>
        </w:rPr>
        <w:t xml:space="preserve">Līdz </w:t>
      </w:r>
      <w:r w:rsidR="00B86A8D" w:rsidRPr="00675182">
        <w:rPr>
          <w:rFonts w:cstheme="minorHAnsi"/>
          <w:szCs w:val="24"/>
        </w:rPr>
        <w:t xml:space="preserve">ar GNP </w:t>
      </w:r>
      <w:r w:rsidR="00F1317F" w:rsidRPr="00675182">
        <w:rPr>
          <w:rFonts w:cstheme="minorHAnsi"/>
          <w:szCs w:val="24"/>
        </w:rPr>
        <w:t xml:space="preserve">teritorijas </w:t>
      </w:r>
      <w:r w:rsidR="00B86A8D" w:rsidRPr="00675182">
        <w:rPr>
          <w:rFonts w:cstheme="minorHAnsi"/>
          <w:szCs w:val="24"/>
        </w:rPr>
        <w:t xml:space="preserve">paplašināšanu un </w:t>
      </w:r>
      <w:r w:rsidR="00F1317F" w:rsidRPr="00675182">
        <w:rPr>
          <w:rFonts w:cstheme="minorHAnsi"/>
          <w:szCs w:val="24"/>
        </w:rPr>
        <w:t>DL</w:t>
      </w:r>
      <w:r w:rsidR="00B86A8D" w:rsidRPr="00675182">
        <w:rPr>
          <w:rFonts w:cstheme="minorHAnsi"/>
          <w:szCs w:val="24"/>
        </w:rPr>
        <w:t xml:space="preserve"> ‘’Zušu – Staiņu sēravoti’’ iekļaušanu GNP teritorijā, </w:t>
      </w:r>
      <w:r w:rsidR="00F1317F" w:rsidRPr="00675182">
        <w:rPr>
          <w:rFonts w:cstheme="minorHAnsi"/>
          <w:szCs w:val="24"/>
        </w:rPr>
        <w:t>spēku zaudēs</w:t>
      </w:r>
      <w:r w:rsidR="00B86A8D" w:rsidRPr="00675182">
        <w:rPr>
          <w:rFonts w:cstheme="minorHAnsi"/>
          <w:szCs w:val="24"/>
        </w:rPr>
        <w:t xml:space="preserve"> MK </w:t>
      </w:r>
      <w:r w:rsidR="00EF112A" w:rsidRPr="00675182">
        <w:rPr>
          <w:rFonts w:cstheme="minorHAnsi"/>
          <w:szCs w:val="24"/>
        </w:rPr>
        <w:t xml:space="preserve">2013. gada 12. novembra </w:t>
      </w:r>
      <w:r w:rsidR="00B86A8D" w:rsidRPr="00675182">
        <w:rPr>
          <w:rFonts w:cstheme="minorHAnsi"/>
          <w:szCs w:val="24"/>
        </w:rPr>
        <w:t>noteikumi Nr.</w:t>
      </w:r>
      <w:r w:rsidR="00EF112A" w:rsidRPr="00675182">
        <w:rPr>
          <w:rFonts w:cstheme="minorHAnsi"/>
          <w:szCs w:val="24"/>
        </w:rPr>
        <w:t xml:space="preserve"> </w:t>
      </w:r>
      <w:r w:rsidR="00B86A8D" w:rsidRPr="00675182">
        <w:rPr>
          <w:rFonts w:cstheme="minorHAnsi"/>
          <w:szCs w:val="24"/>
        </w:rPr>
        <w:t xml:space="preserve">1314 </w:t>
      </w:r>
      <w:r w:rsidR="00EF112A" w:rsidRPr="00675182">
        <w:rPr>
          <w:rFonts w:cstheme="minorHAnsi"/>
          <w:szCs w:val="24"/>
        </w:rPr>
        <w:t>“</w:t>
      </w:r>
      <w:r w:rsidR="00B86A8D" w:rsidRPr="00675182">
        <w:rPr>
          <w:rFonts w:cstheme="minorHAnsi"/>
          <w:szCs w:val="24"/>
        </w:rPr>
        <w:t>Dabas lieguma "Zušu–Staiņu sēravoti" individuālie aizsardzības un izmantošanas noteikumi</w:t>
      </w:r>
      <w:r w:rsidR="00EF112A" w:rsidRPr="00675182">
        <w:rPr>
          <w:rFonts w:cstheme="minorHAnsi"/>
          <w:szCs w:val="24"/>
        </w:rPr>
        <w:t xml:space="preserve">”. </w:t>
      </w:r>
    </w:p>
    <w:p w14:paraId="50A33512" w14:textId="77777777" w:rsidR="00B86A8D" w:rsidRPr="00675182" w:rsidRDefault="00B86A8D" w:rsidP="00B86A8D">
      <w:pPr>
        <w:jc w:val="both"/>
        <w:rPr>
          <w:rFonts w:cstheme="minorHAnsi"/>
          <w:color w:val="FF0000"/>
          <w:szCs w:val="24"/>
        </w:rPr>
      </w:pPr>
    </w:p>
    <w:p w14:paraId="106DC15A" w14:textId="2EA0FBDB" w:rsidR="006D78BA" w:rsidRPr="00675182" w:rsidRDefault="006D78BA" w:rsidP="001867C1">
      <w:pPr>
        <w:jc w:val="both"/>
        <w:rPr>
          <w:rFonts w:cstheme="minorHAnsi"/>
          <w:szCs w:val="24"/>
        </w:rPr>
      </w:pPr>
      <w:r w:rsidRPr="00675182">
        <w:rPr>
          <w:rFonts w:cstheme="minorHAnsi"/>
          <w:szCs w:val="24"/>
        </w:rPr>
        <w:lastRenderedPageBreak/>
        <w:t xml:space="preserve">DA plāna 16. pielikumā ir </w:t>
      </w:r>
      <w:r w:rsidR="00F73121" w:rsidRPr="00675182">
        <w:rPr>
          <w:rFonts w:cstheme="minorHAnsi"/>
          <w:szCs w:val="24"/>
        </w:rPr>
        <w:t>ietverta detalizēta kartogrāfiskā informācija par paplašināmo teritoriju novietojumu, dabas vērtībām, kā arī piedāvāto funkcionālo zonējumu</w:t>
      </w:r>
      <w:r w:rsidR="001B6764" w:rsidRPr="00675182">
        <w:rPr>
          <w:rFonts w:cstheme="minorHAnsi"/>
          <w:szCs w:val="24"/>
        </w:rPr>
        <w:t xml:space="preserve"> paplašinājumos</w:t>
      </w:r>
      <w:r w:rsidR="00B1628B" w:rsidRPr="00675182">
        <w:rPr>
          <w:rFonts w:cstheme="minorHAnsi"/>
          <w:szCs w:val="24"/>
        </w:rPr>
        <w:t xml:space="preserve">, bet 17. pielikumā – zinātniskais pamatojums teritoriju pievienošanai </w:t>
      </w:r>
      <w:r w:rsidR="00B46FBC">
        <w:rPr>
          <w:rFonts w:cstheme="minorHAnsi"/>
          <w:szCs w:val="24"/>
        </w:rPr>
        <w:t>GNP</w:t>
      </w:r>
      <w:r w:rsidR="00B1628B" w:rsidRPr="00675182">
        <w:rPr>
          <w:rFonts w:cstheme="minorHAnsi"/>
          <w:szCs w:val="24"/>
        </w:rPr>
        <w:t xml:space="preserve">. </w:t>
      </w:r>
    </w:p>
    <w:p w14:paraId="45F864C8" w14:textId="77777777" w:rsidR="006D78BA" w:rsidRPr="00675182" w:rsidRDefault="006D78BA" w:rsidP="001867C1">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1"/>
      </w:tblGrid>
      <w:tr w:rsidR="00080F2D" w:rsidRPr="00675182" w14:paraId="20A3BD2B" w14:textId="77777777" w:rsidTr="00A135FB">
        <w:tc>
          <w:tcPr>
            <w:tcW w:w="8501" w:type="dxa"/>
          </w:tcPr>
          <w:p w14:paraId="5492D936" w14:textId="110A9BA3" w:rsidR="00080F2D" w:rsidRPr="00675182" w:rsidRDefault="00940DD9" w:rsidP="001867C1">
            <w:pPr>
              <w:jc w:val="both"/>
              <w:rPr>
                <w:rFonts w:cstheme="minorHAnsi"/>
                <w:szCs w:val="24"/>
              </w:rPr>
            </w:pPr>
            <w:r w:rsidRPr="00675182">
              <w:rPr>
                <w:noProof/>
              </w:rPr>
              <w:drawing>
                <wp:inline distT="0" distB="0" distL="0" distR="0" wp14:anchorId="65EE1BAD" wp14:editId="369F1C3A">
                  <wp:extent cx="5398135" cy="3820160"/>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398135" cy="3820160"/>
                          </a:xfrm>
                          <a:prstGeom prst="rect">
                            <a:avLst/>
                          </a:prstGeom>
                          <a:noFill/>
                          <a:ln>
                            <a:noFill/>
                          </a:ln>
                        </pic:spPr>
                      </pic:pic>
                    </a:graphicData>
                  </a:graphic>
                </wp:inline>
              </w:drawing>
            </w:r>
          </w:p>
        </w:tc>
      </w:tr>
      <w:tr w:rsidR="00080F2D" w:rsidRPr="00675182" w14:paraId="501F754B" w14:textId="77777777" w:rsidTr="00A135FB">
        <w:tc>
          <w:tcPr>
            <w:tcW w:w="8501" w:type="dxa"/>
          </w:tcPr>
          <w:p w14:paraId="449CD836" w14:textId="26175580" w:rsidR="00080F2D" w:rsidRPr="00675182" w:rsidRDefault="00080F2D" w:rsidP="001867C1">
            <w:pPr>
              <w:jc w:val="both"/>
              <w:rPr>
                <w:rFonts w:cstheme="minorHAnsi"/>
                <w:b/>
                <w:bCs/>
                <w:i/>
                <w:iCs/>
                <w:szCs w:val="24"/>
              </w:rPr>
            </w:pPr>
            <w:r w:rsidRPr="00675182">
              <w:rPr>
                <w:rFonts w:cstheme="minorHAnsi"/>
                <w:b/>
                <w:bCs/>
                <w:i/>
                <w:iCs/>
                <w:szCs w:val="24"/>
              </w:rPr>
              <w:t xml:space="preserve">3.1. attēls. </w:t>
            </w:r>
            <w:r w:rsidR="00495FE9" w:rsidRPr="00675182">
              <w:rPr>
                <w:rFonts w:cstheme="minorHAnsi"/>
                <w:b/>
                <w:bCs/>
                <w:i/>
                <w:iCs/>
                <w:szCs w:val="24"/>
              </w:rPr>
              <w:t>Teritorijas, kur</w:t>
            </w:r>
            <w:r w:rsidR="007F2CDA" w:rsidRPr="00675182">
              <w:rPr>
                <w:rFonts w:cstheme="minorHAnsi"/>
                <w:b/>
                <w:bCs/>
                <w:i/>
                <w:iCs/>
                <w:szCs w:val="24"/>
              </w:rPr>
              <w:t>as</w:t>
            </w:r>
            <w:r w:rsidR="00495FE9" w:rsidRPr="00675182">
              <w:rPr>
                <w:rFonts w:cstheme="minorHAnsi"/>
                <w:b/>
                <w:bCs/>
                <w:i/>
                <w:iCs/>
                <w:szCs w:val="24"/>
              </w:rPr>
              <w:t xml:space="preserve"> ierosināts iekļaut GNP teritorijā, lai </w:t>
            </w:r>
            <w:r w:rsidR="007F2CDA" w:rsidRPr="00675182">
              <w:rPr>
                <w:rFonts w:cstheme="minorHAnsi"/>
                <w:b/>
                <w:bCs/>
                <w:i/>
                <w:iCs/>
                <w:szCs w:val="24"/>
              </w:rPr>
              <w:t xml:space="preserve">nodrošinātu </w:t>
            </w:r>
            <w:r w:rsidR="00495FE9" w:rsidRPr="00675182">
              <w:rPr>
                <w:rFonts w:cstheme="minorHAnsi"/>
                <w:b/>
                <w:bCs/>
                <w:i/>
                <w:iCs/>
                <w:szCs w:val="24"/>
              </w:rPr>
              <w:t>dabas vērtību aizsardzību</w:t>
            </w:r>
          </w:p>
        </w:tc>
      </w:tr>
    </w:tbl>
    <w:p w14:paraId="70313074" w14:textId="77777777" w:rsidR="00080F2D" w:rsidRPr="00675182" w:rsidRDefault="00080F2D" w:rsidP="001867C1">
      <w:pPr>
        <w:jc w:val="both"/>
        <w:rPr>
          <w:rFonts w:cstheme="minorHAnsi"/>
          <w:szCs w:val="24"/>
        </w:rPr>
      </w:pPr>
    </w:p>
    <w:p w14:paraId="41D5AB39" w14:textId="70EAD167" w:rsidR="00EE5BDD" w:rsidRPr="00675182" w:rsidRDefault="00EE5BDD" w:rsidP="00EE5BDD">
      <w:pPr>
        <w:jc w:val="both"/>
        <w:rPr>
          <w:rFonts w:cstheme="minorHAnsi"/>
          <w:b/>
          <w:bCs/>
          <w:szCs w:val="24"/>
        </w:rPr>
      </w:pPr>
      <w:r w:rsidRPr="00675182">
        <w:rPr>
          <w:rFonts w:cstheme="minorHAnsi"/>
          <w:b/>
          <w:bCs/>
          <w:szCs w:val="24"/>
        </w:rPr>
        <w:t xml:space="preserve">A.4. </w:t>
      </w:r>
      <w:r w:rsidR="00B46FBC">
        <w:rPr>
          <w:rFonts w:cstheme="minorHAnsi"/>
          <w:b/>
          <w:bCs/>
          <w:szCs w:val="24"/>
        </w:rPr>
        <w:t>MAP</w:t>
      </w:r>
      <w:r w:rsidRPr="00675182">
        <w:rPr>
          <w:rFonts w:cstheme="minorHAnsi"/>
          <w:b/>
          <w:bCs/>
          <w:szCs w:val="24"/>
        </w:rPr>
        <w:t xml:space="preserve"> sagatavošana atbilstoši teritorijas IAIN nosacījumiem</w:t>
      </w:r>
    </w:p>
    <w:p w14:paraId="7FD08256" w14:textId="7B705C3E" w:rsidR="00EE5BDD" w:rsidRPr="00675182" w:rsidRDefault="00EE5BDD" w:rsidP="00EE5BDD">
      <w:pPr>
        <w:jc w:val="both"/>
        <w:rPr>
          <w:rFonts w:ascii="Calibri" w:hAnsi="Calibri"/>
        </w:rPr>
      </w:pPr>
      <w:r w:rsidRPr="00675182">
        <w:rPr>
          <w:rFonts w:ascii="Calibri" w:hAnsi="Calibri"/>
        </w:rPr>
        <w:t xml:space="preserve">Atbilstoši IAIN nosacījumiem GNP funkcionālajās zonās, kur MAP izstrādi un apstiprināšanu paredz IAIN, pieļaujamās mežsaimnieciskās darbības plānošanai, detalizētai un visu teritoriju aptverošai aizsargājamo sugu dzīvotņu un biotopu apsaimniekošanas plānošanai, mežaudžu dabiskošanas pasākumu plānošanai un veikto pasākumu ietekmes monitoringa plānošanai, nepieciešams sagatavot </w:t>
      </w:r>
      <w:r w:rsidR="00B46FBC">
        <w:rPr>
          <w:rFonts w:ascii="Calibri" w:hAnsi="Calibri"/>
        </w:rPr>
        <w:t>MAP</w:t>
      </w:r>
      <w:r w:rsidRPr="00675182">
        <w:rPr>
          <w:rFonts w:ascii="Calibri" w:hAnsi="Calibri"/>
        </w:rPr>
        <w:t xml:space="preserve">. Tajā būtu jānosaka mežsaimnieciskie un biotopu apsaimniekošanas pasākumi atsevišķu mežaudžu (meža nogabalu) līmenī, tāpat būtu jāsniedz pasākumu mērķa formulējums, detalizēts pasākumu veikšanas apraksts un sasniedzamie rezultāti, kas var būt iekļauti sugu un biotopu aizsardzības jomā sertificēta eksperta atzinumā. </w:t>
      </w:r>
    </w:p>
    <w:p w14:paraId="7D2523F6" w14:textId="77777777" w:rsidR="00EE5BDD" w:rsidRPr="00675182" w:rsidRDefault="00EE5BDD" w:rsidP="00EE5BDD">
      <w:pPr>
        <w:jc w:val="both"/>
        <w:rPr>
          <w:rFonts w:ascii="Calibri" w:hAnsi="Calibri"/>
        </w:rPr>
      </w:pPr>
    </w:p>
    <w:p w14:paraId="14E184FD" w14:textId="07ADE030" w:rsidR="00EE5BDD" w:rsidRPr="00675182" w:rsidRDefault="00EE5BDD" w:rsidP="00EE5BDD">
      <w:pPr>
        <w:jc w:val="both"/>
        <w:rPr>
          <w:rFonts w:ascii="Calibri" w:hAnsi="Calibri"/>
        </w:rPr>
      </w:pPr>
      <w:r w:rsidRPr="00675182">
        <w:rPr>
          <w:rFonts w:ascii="Calibri" w:hAnsi="Calibri"/>
        </w:rPr>
        <w:t xml:space="preserve">Pozitīvs DAP lēmums ir priekšnoteikums </w:t>
      </w:r>
      <w:r w:rsidR="00B46FBC">
        <w:rPr>
          <w:rFonts w:ascii="Calibri" w:hAnsi="Calibri"/>
        </w:rPr>
        <w:t>MAP</w:t>
      </w:r>
      <w:r w:rsidRPr="00675182">
        <w:rPr>
          <w:rFonts w:ascii="Calibri" w:hAnsi="Calibri"/>
        </w:rPr>
        <w:t xml:space="preserve"> ietverto pasākumu īstenošanai. MAP izstrādājams atsevišķai zemes vienībai vai zemes vienību grupai, ņemto vērā aktuālos meža inventarizācijas datus, kā arī </w:t>
      </w:r>
      <w:r w:rsidR="00B46FBC">
        <w:rPr>
          <w:rFonts w:ascii="Calibri" w:hAnsi="Calibri"/>
        </w:rPr>
        <w:t>ĪA</w:t>
      </w:r>
      <w:r w:rsidRPr="00675182">
        <w:rPr>
          <w:rFonts w:ascii="Calibri" w:hAnsi="Calibri"/>
        </w:rPr>
        <w:t xml:space="preserve"> sugu, ES nozīmes un </w:t>
      </w:r>
      <w:r w:rsidR="00B46FBC">
        <w:rPr>
          <w:rFonts w:ascii="Calibri" w:hAnsi="Calibri"/>
        </w:rPr>
        <w:t>ĪA</w:t>
      </w:r>
      <w:r w:rsidRPr="00675182">
        <w:rPr>
          <w:rFonts w:ascii="Calibri" w:hAnsi="Calibri"/>
        </w:rPr>
        <w:t xml:space="preserve"> biotopu un dabas pieminekļu (turpmāk – dabas vērtības) inventarizācijas datus. Dabas vērtību inventarizācija nav jāveic, ja DDPS “Ozols” ir pieejama informācija, kas nav vecāka par 5 gadiem kopš </w:t>
      </w:r>
      <w:r w:rsidR="00B46FBC">
        <w:rPr>
          <w:rFonts w:ascii="Calibri" w:hAnsi="Calibri"/>
        </w:rPr>
        <w:t>MAP</w:t>
      </w:r>
      <w:r w:rsidRPr="00675182">
        <w:rPr>
          <w:rFonts w:ascii="Calibri" w:hAnsi="Calibri"/>
        </w:rPr>
        <w:t xml:space="preserve"> izstrādes uzsākšanas. </w:t>
      </w:r>
    </w:p>
    <w:p w14:paraId="2AB791B0" w14:textId="77777777" w:rsidR="00EE5BDD" w:rsidRPr="00675182" w:rsidRDefault="00EE5BDD" w:rsidP="00EE5BDD">
      <w:pPr>
        <w:jc w:val="both"/>
        <w:rPr>
          <w:rFonts w:ascii="Calibri" w:hAnsi="Calibri"/>
        </w:rPr>
      </w:pPr>
    </w:p>
    <w:p w14:paraId="5F5CD41E" w14:textId="77777777" w:rsidR="00EE5BDD" w:rsidRPr="00675182" w:rsidRDefault="00EE5BDD" w:rsidP="00EE5BDD">
      <w:pPr>
        <w:jc w:val="both"/>
        <w:rPr>
          <w:rFonts w:ascii="Calibri" w:hAnsi="Calibri"/>
        </w:rPr>
      </w:pPr>
      <w:r w:rsidRPr="00675182">
        <w:rPr>
          <w:rFonts w:ascii="Calibri" w:hAnsi="Calibri"/>
        </w:rPr>
        <w:lastRenderedPageBreak/>
        <w:t>Dabas vērtību inventarizāciju veic biotopu jomā sertificēts sugu un biotopu aizsardzības jomas eksperts, kas tiesīgs sniegt atzinumus par purvu, mežu un virsāju biotopu grupām. Eksperts sagatavo atzinumu un kartoshēmu atbilstoši normatīvajiem aktiem par sugu un biotopu aizsardzības jomas ekspertu atzinuma saturu. Atzinumā norāda paredzētos dabas vērtību aizsardzības un apsaimniekošanas pasākumus.</w:t>
      </w:r>
    </w:p>
    <w:p w14:paraId="0742722C" w14:textId="77777777" w:rsidR="00EE5BDD" w:rsidRPr="00675182" w:rsidRDefault="00EE5BDD" w:rsidP="00EE5BDD">
      <w:pPr>
        <w:jc w:val="both"/>
        <w:rPr>
          <w:rFonts w:ascii="Calibri" w:hAnsi="Calibri"/>
        </w:rPr>
      </w:pPr>
    </w:p>
    <w:p w14:paraId="1B22AB59" w14:textId="77777777" w:rsidR="00EE5BDD" w:rsidRPr="00675182" w:rsidRDefault="00EE5BDD" w:rsidP="00EE5BDD">
      <w:pPr>
        <w:jc w:val="both"/>
        <w:rPr>
          <w:rFonts w:ascii="Calibri" w:hAnsi="Calibri"/>
        </w:rPr>
      </w:pPr>
      <w:r w:rsidRPr="00675182">
        <w:rPr>
          <w:rFonts w:ascii="Calibri" w:hAnsi="Calibri"/>
        </w:rPr>
        <w:t>Dabas vērtību inventarizācija ir jāveic laika periodā no 1. maija līdz 1. oktobrim.</w:t>
      </w:r>
    </w:p>
    <w:p w14:paraId="1C143300" w14:textId="77777777" w:rsidR="00EE5BDD" w:rsidRPr="00675182" w:rsidRDefault="00EE5BDD" w:rsidP="00EE5BDD">
      <w:pPr>
        <w:jc w:val="both"/>
        <w:rPr>
          <w:rFonts w:ascii="Calibri" w:hAnsi="Calibri"/>
        </w:rPr>
      </w:pPr>
    </w:p>
    <w:p w14:paraId="4DF54D48" w14:textId="77777777" w:rsidR="00EE5BDD" w:rsidRPr="00675182" w:rsidRDefault="00EE5BDD" w:rsidP="00EE5BDD">
      <w:pPr>
        <w:jc w:val="both"/>
        <w:rPr>
          <w:rFonts w:ascii="Calibri" w:hAnsi="Calibri"/>
        </w:rPr>
      </w:pPr>
      <w:r w:rsidRPr="00675182">
        <w:rPr>
          <w:rFonts w:ascii="Calibri" w:hAnsi="Calibri"/>
        </w:rPr>
        <w:t>Meža apsaimniekošanas pasākumus plāno pa nogabaliem, ņemot vērā eksperta atzinumā norādītos ieteikumus dabas vērtību aizsardzībai un apsaimniekošanai un normatīvajos aktos noteiktās prasības.</w:t>
      </w:r>
    </w:p>
    <w:p w14:paraId="56A2AB88" w14:textId="77777777" w:rsidR="00EE5BDD" w:rsidRPr="00675182" w:rsidRDefault="00EE5BDD" w:rsidP="00EE5BDD">
      <w:pPr>
        <w:jc w:val="both"/>
        <w:rPr>
          <w:rFonts w:ascii="Calibri" w:hAnsi="Calibri"/>
        </w:rPr>
      </w:pPr>
    </w:p>
    <w:p w14:paraId="399B5B38" w14:textId="6985C96E" w:rsidR="00EE5BDD" w:rsidRPr="00675182" w:rsidRDefault="00B46FBC" w:rsidP="00EE5BDD">
      <w:pPr>
        <w:jc w:val="both"/>
        <w:rPr>
          <w:rFonts w:ascii="Calibri" w:hAnsi="Calibri"/>
        </w:rPr>
      </w:pPr>
      <w:r>
        <w:rPr>
          <w:rFonts w:ascii="Calibri" w:hAnsi="Calibri"/>
        </w:rPr>
        <w:t>MAP</w:t>
      </w:r>
      <w:r w:rsidR="00EE5BDD" w:rsidRPr="00675182">
        <w:rPr>
          <w:rFonts w:ascii="Calibri" w:hAnsi="Calibri"/>
        </w:rPr>
        <w:t xml:space="preserve"> iekļauj atļautos cirtes veidus, eksperta atzinumā vai iesniegumā DAP atbilstošā detalizācijā aprakstot cirtes izpildes posmus un rādītājus, un meža apsaimniekošanas pasākumus atbilstoši regulējošiem normatīvajiem aktiem, kā arī dabas vērtību aizsardzības un apsaimniekošanas pasākumus. Tāpat </w:t>
      </w:r>
      <w:r>
        <w:rPr>
          <w:rFonts w:ascii="Calibri" w:hAnsi="Calibri"/>
        </w:rPr>
        <w:t>MAP</w:t>
      </w:r>
      <w:r w:rsidR="00EE5BDD" w:rsidRPr="00675182">
        <w:rPr>
          <w:rFonts w:ascii="Calibri" w:hAnsi="Calibri"/>
        </w:rPr>
        <w:t xml:space="preserve"> var ietvert ainavu apsaimniekošanas pasākumus, kuru ietvaros ir nepieciešami specifiski meža apsaimniekošanas pasākumi (piemēram, mežaudzes retināšana, atsevišķu koku novākšana vai pameža, paaugas izciršana), plānojot atbilstošu cirtes veidu saskaņā ar koku ciršanu regulējošiem normatīvajiem aktiem.</w:t>
      </w:r>
    </w:p>
    <w:p w14:paraId="180752E1" w14:textId="77777777" w:rsidR="00EE5BDD" w:rsidRPr="00675182" w:rsidRDefault="00EE5BDD" w:rsidP="00EE5BDD">
      <w:pPr>
        <w:jc w:val="both"/>
        <w:rPr>
          <w:rFonts w:ascii="Calibri" w:hAnsi="Calibri"/>
        </w:rPr>
      </w:pPr>
    </w:p>
    <w:p w14:paraId="6C034BEA" w14:textId="4C8D7074" w:rsidR="00EE5BDD" w:rsidRPr="00675182" w:rsidRDefault="00EE5BDD" w:rsidP="00EE5BDD">
      <w:pPr>
        <w:jc w:val="both"/>
        <w:rPr>
          <w:rFonts w:ascii="Calibri" w:hAnsi="Calibri"/>
        </w:rPr>
      </w:pPr>
      <w:r w:rsidRPr="00675182">
        <w:rPr>
          <w:rFonts w:ascii="Calibri" w:hAnsi="Calibri"/>
        </w:rPr>
        <w:t xml:space="preserve">Ja pēc dabas vērtību inventarizācijas nepieciešama nogabalu platības vai konfigurācijas maiņa meža starpinventarizācijas periodā, atbilstoši normatīvajiem aktiem par meža inventarizāciju, izdara grozījumus </w:t>
      </w:r>
      <w:r w:rsidR="001D7EE1">
        <w:rPr>
          <w:rFonts w:ascii="Calibri" w:hAnsi="Calibri"/>
        </w:rPr>
        <w:t>MVR</w:t>
      </w:r>
      <w:r w:rsidRPr="00675182">
        <w:rPr>
          <w:rFonts w:ascii="Calibri" w:hAnsi="Calibri"/>
        </w:rPr>
        <w:t xml:space="preserve"> vai veic atkārtotu meža inventarizāciju. Ja dabas vērtību teritorija ir mazāka par minimālo nogabala platību, kas izdalāma atbilstoši normatīvajiem aktiem par meža inventarizāciju, nogabalam pievieno attiecīgu atzīmi par dabas vērtību esību mežaudzē atbilstoši normatīvajiem aktiem par meža inventarizāciju.</w:t>
      </w:r>
    </w:p>
    <w:p w14:paraId="55844977" w14:textId="77777777" w:rsidR="00EE5BDD" w:rsidRPr="00675182" w:rsidRDefault="00EE5BDD" w:rsidP="00EE5BDD">
      <w:pPr>
        <w:jc w:val="both"/>
        <w:rPr>
          <w:rFonts w:ascii="Calibri" w:hAnsi="Calibri"/>
        </w:rPr>
      </w:pPr>
    </w:p>
    <w:p w14:paraId="4F034501" w14:textId="691FF6C4" w:rsidR="00EE5BDD" w:rsidRPr="00675182" w:rsidRDefault="001D7EE1" w:rsidP="00EE5BDD">
      <w:pPr>
        <w:jc w:val="both"/>
        <w:rPr>
          <w:rFonts w:ascii="Calibri" w:hAnsi="Calibri"/>
        </w:rPr>
      </w:pPr>
      <w:r>
        <w:rPr>
          <w:rFonts w:ascii="Calibri" w:hAnsi="Calibri"/>
        </w:rPr>
        <w:t>MAP</w:t>
      </w:r>
      <w:r w:rsidR="00EE5BDD" w:rsidRPr="00675182">
        <w:rPr>
          <w:rFonts w:ascii="Calibri" w:hAnsi="Calibri"/>
        </w:rPr>
        <w:t xml:space="preserve"> izstrādā laika posmam līdz 10 gadiem. </w:t>
      </w:r>
    </w:p>
    <w:p w14:paraId="4B7B0AFC" w14:textId="77777777" w:rsidR="00EE5BDD" w:rsidRPr="00675182" w:rsidRDefault="00EE5BDD" w:rsidP="00EE5BDD">
      <w:pPr>
        <w:jc w:val="both"/>
        <w:rPr>
          <w:rFonts w:ascii="Calibri" w:hAnsi="Calibri"/>
        </w:rPr>
      </w:pPr>
    </w:p>
    <w:p w14:paraId="4A61344C" w14:textId="6FFDB433" w:rsidR="00EE5BDD" w:rsidRPr="00675182" w:rsidRDefault="00EE5BDD" w:rsidP="00EE5BDD">
      <w:pPr>
        <w:jc w:val="both"/>
        <w:rPr>
          <w:rFonts w:ascii="Calibri" w:hAnsi="Calibri"/>
        </w:rPr>
      </w:pPr>
      <w:r w:rsidRPr="00675182">
        <w:rPr>
          <w:rFonts w:ascii="Calibri" w:hAnsi="Calibri"/>
        </w:rPr>
        <w:t xml:space="preserve">Atkārtoti izstrādājot </w:t>
      </w:r>
      <w:r w:rsidR="001D7EE1">
        <w:rPr>
          <w:rFonts w:ascii="Calibri" w:hAnsi="Calibri"/>
        </w:rPr>
        <w:t>MAP</w:t>
      </w:r>
      <w:r w:rsidRPr="00675182">
        <w:rPr>
          <w:rFonts w:ascii="Calibri" w:hAnsi="Calibri"/>
        </w:rPr>
        <w:t>, nogabalos, kuros plāno mežsaimniecisko darbību vai sugu un biotopu aizsardzības un apsaimniekošanas pasākumus, veic atkārtotu dabas vērtību inventarizāciju, ņemot vērā iepriekš minētos nosacījumus.</w:t>
      </w:r>
    </w:p>
    <w:p w14:paraId="0E201DC8" w14:textId="77777777" w:rsidR="00EE5BDD" w:rsidRPr="00675182" w:rsidRDefault="00EE5BDD" w:rsidP="00EE5BDD">
      <w:pPr>
        <w:jc w:val="both"/>
        <w:rPr>
          <w:rFonts w:ascii="Calibri" w:hAnsi="Calibri"/>
        </w:rPr>
      </w:pPr>
    </w:p>
    <w:p w14:paraId="012330CA" w14:textId="0AAF18C1" w:rsidR="00EE5BDD" w:rsidRPr="00675182" w:rsidRDefault="00EE5BDD" w:rsidP="00EE5BDD">
      <w:pPr>
        <w:jc w:val="both"/>
        <w:rPr>
          <w:rFonts w:ascii="Calibri" w:hAnsi="Calibri"/>
        </w:rPr>
      </w:pPr>
      <w:r w:rsidRPr="00675182">
        <w:rPr>
          <w:rFonts w:ascii="Calibri" w:hAnsi="Calibri"/>
        </w:rPr>
        <w:t xml:space="preserve">Dabas vērtību aprakstā eksperta atzinumā un kartē, atbilstoši </w:t>
      </w:r>
      <w:r w:rsidR="001D7EE1">
        <w:rPr>
          <w:rFonts w:ascii="Calibri" w:hAnsi="Calibri"/>
        </w:rPr>
        <w:t>DAP</w:t>
      </w:r>
      <w:r w:rsidRPr="00675182">
        <w:rPr>
          <w:rFonts w:ascii="Calibri" w:hAnsi="Calibri"/>
        </w:rPr>
        <w:t xml:space="preserve"> noteiktai un tīmekļa vietnē publiskotajiem </w:t>
      </w:r>
      <w:r w:rsidR="001D7EE1">
        <w:rPr>
          <w:rFonts w:ascii="Calibri" w:hAnsi="Calibri"/>
        </w:rPr>
        <w:t>MAP</w:t>
      </w:r>
      <w:r w:rsidRPr="00675182">
        <w:rPr>
          <w:rFonts w:ascii="Calibri" w:hAnsi="Calibri"/>
        </w:rPr>
        <w:t xml:space="preserve"> paredzēto apsaimniekošanas pasākumu un dabas vērtību inventarizācijas datu sagatavošanas nosacījumiem (klasifikatorus, struktūras, formātus), norāda šādus objektus:</w:t>
      </w:r>
    </w:p>
    <w:p w14:paraId="3E137286" w14:textId="2AF8ACF7" w:rsidR="00EE5BDD" w:rsidRPr="00675182" w:rsidRDefault="001D7EE1" w:rsidP="00A84218">
      <w:pPr>
        <w:numPr>
          <w:ilvl w:val="0"/>
          <w:numId w:val="45"/>
        </w:numPr>
        <w:jc w:val="both"/>
        <w:rPr>
          <w:rFonts w:ascii="Calibri" w:hAnsi="Calibri"/>
        </w:rPr>
      </w:pPr>
      <w:r>
        <w:rPr>
          <w:rFonts w:ascii="Calibri" w:hAnsi="Calibri"/>
        </w:rPr>
        <w:t>ĪA</w:t>
      </w:r>
      <w:r w:rsidR="00EE5BDD" w:rsidRPr="00675182">
        <w:rPr>
          <w:rFonts w:ascii="Calibri" w:hAnsi="Calibri"/>
        </w:rPr>
        <w:t xml:space="preserve"> sugu atradnes, </w:t>
      </w:r>
      <w:r w:rsidR="00836492">
        <w:rPr>
          <w:rFonts w:ascii="Calibri" w:hAnsi="Calibri"/>
        </w:rPr>
        <w:t>ES nozīmes</w:t>
      </w:r>
      <w:r w:rsidR="00EE5BDD" w:rsidRPr="00675182">
        <w:rPr>
          <w:rFonts w:ascii="Calibri" w:hAnsi="Calibri"/>
        </w:rPr>
        <w:t xml:space="preserve"> biotopus un dabas pieminekļus;</w:t>
      </w:r>
    </w:p>
    <w:p w14:paraId="0B1D60EA" w14:textId="77777777" w:rsidR="00EE5BDD" w:rsidRPr="00675182" w:rsidRDefault="00EE5BDD" w:rsidP="00A84218">
      <w:pPr>
        <w:numPr>
          <w:ilvl w:val="0"/>
          <w:numId w:val="45"/>
        </w:numPr>
        <w:jc w:val="both"/>
        <w:rPr>
          <w:rFonts w:ascii="Calibri" w:hAnsi="Calibri"/>
        </w:rPr>
      </w:pPr>
      <w:r w:rsidRPr="00675182">
        <w:rPr>
          <w:rFonts w:ascii="Calibri" w:hAnsi="Calibri"/>
        </w:rPr>
        <w:t>mikroliegumu un to buferzonu robežas;</w:t>
      </w:r>
    </w:p>
    <w:p w14:paraId="011BB4F9" w14:textId="2110481D" w:rsidR="00EE5BDD" w:rsidRPr="00675182" w:rsidRDefault="00EE5BDD" w:rsidP="00A84218">
      <w:pPr>
        <w:numPr>
          <w:ilvl w:val="0"/>
          <w:numId w:val="45"/>
        </w:numPr>
        <w:jc w:val="both"/>
        <w:rPr>
          <w:rFonts w:ascii="Calibri" w:hAnsi="Calibri"/>
        </w:rPr>
      </w:pPr>
      <w:r w:rsidRPr="00675182">
        <w:rPr>
          <w:rFonts w:ascii="Calibri" w:hAnsi="Calibri"/>
        </w:rPr>
        <w:t xml:space="preserve">citas teritorijas, kurās ar normatīvajiem aktiem noteikti mežsaimnieciskās darbības ierobežojumi, tai skaitā bioloģiski nozīmīgi meža struktūras elementi, vides un dabas resursu aizsargjoslas, pašvaldības </w:t>
      </w:r>
      <w:r w:rsidR="001D7EE1">
        <w:rPr>
          <w:rFonts w:ascii="Calibri" w:hAnsi="Calibri"/>
        </w:rPr>
        <w:t>TP</w:t>
      </w:r>
      <w:r w:rsidRPr="00675182">
        <w:rPr>
          <w:rFonts w:ascii="Calibri" w:hAnsi="Calibri"/>
        </w:rPr>
        <w:t xml:space="preserve"> noteiktās ainaviski vērtīgās teritorijas un mežaparki;</w:t>
      </w:r>
    </w:p>
    <w:p w14:paraId="1EFA5E45" w14:textId="77777777" w:rsidR="00EE5BDD" w:rsidRPr="00675182" w:rsidRDefault="00EE5BDD" w:rsidP="00A84218">
      <w:pPr>
        <w:numPr>
          <w:ilvl w:val="0"/>
          <w:numId w:val="45"/>
        </w:numPr>
        <w:jc w:val="both"/>
        <w:rPr>
          <w:rFonts w:ascii="Calibri" w:hAnsi="Calibri"/>
        </w:rPr>
      </w:pPr>
      <w:r w:rsidRPr="00675182">
        <w:rPr>
          <w:rFonts w:ascii="Calibri" w:hAnsi="Calibri"/>
        </w:rPr>
        <w:t>plānoto biotopu apsaimniekošanas vai mežaudžu dabiskošanas pasākumu platības;</w:t>
      </w:r>
    </w:p>
    <w:p w14:paraId="05FF3E2F" w14:textId="77777777" w:rsidR="00EE5BDD" w:rsidRPr="00675182" w:rsidRDefault="00EE5BDD" w:rsidP="00A84218">
      <w:pPr>
        <w:numPr>
          <w:ilvl w:val="0"/>
          <w:numId w:val="45"/>
        </w:numPr>
        <w:jc w:val="both"/>
        <w:rPr>
          <w:rFonts w:ascii="Calibri" w:hAnsi="Calibri"/>
        </w:rPr>
      </w:pPr>
      <w:r w:rsidRPr="00675182">
        <w:rPr>
          <w:rFonts w:ascii="Calibri" w:hAnsi="Calibri"/>
        </w:rPr>
        <w:lastRenderedPageBreak/>
        <w:t>ainavu apsaimniekošanas pasākumu platības;</w:t>
      </w:r>
    </w:p>
    <w:p w14:paraId="2C014A22" w14:textId="77777777" w:rsidR="00EE5BDD" w:rsidRPr="00675182" w:rsidRDefault="00EE5BDD" w:rsidP="00A84218">
      <w:pPr>
        <w:numPr>
          <w:ilvl w:val="0"/>
          <w:numId w:val="45"/>
        </w:numPr>
        <w:jc w:val="both"/>
        <w:rPr>
          <w:rFonts w:ascii="Calibri" w:hAnsi="Calibri"/>
        </w:rPr>
      </w:pPr>
      <w:r w:rsidRPr="00675182">
        <w:rPr>
          <w:rFonts w:ascii="Calibri" w:hAnsi="Calibri"/>
        </w:rPr>
        <w:t xml:space="preserve">funkcionālo zonu robežas; </w:t>
      </w:r>
    </w:p>
    <w:p w14:paraId="4885CD42" w14:textId="77777777" w:rsidR="00EE5BDD" w:rsidRPr="00675182" w:rsidRDefault="00EE5BDD" w:rsidP="00A84218">
      <w:pPr>
        <w:numPr>
          <w:ilvl w:val="0"/>
          <w:numId w:val="45"/>
        </w:numPr>
        <w:jc w:val="both"/>
        <w:rPr>
          <w:rFonts w:ascii="Calibri" w:hAnsi="Calibri"/>
        </w:rPr>
      </w:pPr>
      <w:r w:rsidRPr="00675182">
        <w:rPr>
          <w:rFonts w:ascii="Calibri" w:hAnsi="Calibri"/>
        </w:rPr>
        <w:t>u.c.</w:t>
      </w:r>
    </w:p>
    <w:p w14:paraId="5020496F" w14:textId="77777777" w:rsidR="00EE5BDD" w:rsidRPr="00675182" w:rsidRDefault="00EE5BDD" w:rsidP="00EE5BDD">
      <w:pPr>
        <w:jc w:val="both"/>
        <w:rPr>
          <w:rFonts w:ascii="Calibri" w:hAnsi="Calibri"/>
        </w:rPr>
      </w:pPr>
    </w:p>
    <w:p w14:paraId="01AE116D" w14:textId="08AB45D9" w:rsidR="00EE5BDD" w:rsidRPr="00675182" w:rsidRDefault="00EE5BDD" w:rsidP="00EE5BDD">
      <w:pPr>
        <w:jc w:val="both"/>
        <w:rPr>
          <w:rFonts w:ascii="Calibri" w:hAnsi="Calibri"/>
        </w:rPr>
      </w:pPr>
      <w:r w:rsidRPr="00675182">
        <w:rPr>
          <w:rFonts w:ascii="Calibri" w:hAnsi="Calibri"/>
        </w:rPr>
        <w:t xml:space="preserve">Iesniegumam, lēmuma par </w:t>
      </w:r>
      <w:r w:rsidR="001D7EE1">
        <w:rPr>
          <w:rFonts w:ascii="Calibri" w:hAnsi="Calibri"/>
        </w:rPr>
        <w:t>MAP</w:t>
      </w:r>
      <w:r w:rsidRPr="00675182">
        <w:rPr>
          <w:rFonts w:ascii="Calibri" w:hAnsi="Calibri"/>
        </w:rPr>
        <w:t xml:space="preserve"> saskaņošanu saņemšanai, pievieno biotopu jomā sertificēta sugu un biotopu aizsardzības jomas eksperta, kas tiesīgs sniegt atzinumus par purvu, mežu un virsāju biotopu grupām, atzinumu, kā arī citu informāciju, ko uzskata par nepieciešamu.</w:t>
      </w:r>
    </w:p>
    <w:p w14:paraId="0DDF3DDF" w14:textId="77777777" w:rsidR="00EE5BDD" w:rsidRPr="00675182" w:rsidRDefault="00EE5BDD" w:rsidP="00EE5BDD">
      <w:pPr>
        <w:jc w:val="both"/>
        <w:rPr>
          <w:rFonts w:ascii="Calibri" w:hAnsi="Calibri"/>
        </w:rPr>
      </w:pPr>
    </w:p>
    <w:p w14:paraId="48553B20" w14:textId="77777777" w:rsidR="00EE5BDD" w:rsidRPr="00675182" w:rsidRDefault="00EE5BDD" w:rsidP="00EE5BDD">
      <w:pPr>
        <w:jc w:val="both"/>
        <w:rPr>
          <w:rFonts w:ascii="Calibri" w:hAnsi="Calibri"/>
        </w:rPr>
      </w:pPr>
      <w:r w:rsidRPr="00675182">
        <w:rPr>
          <w:rFonts w:ascii="Calibri" w:hAnsi="Calibri"/>
        </w:rPr>
        <w:t>Ja MAP ir paredzēti aizsargājamu biotopu apsaimniekošanas pasākumi vai meža dabisko struktūru veicināšanas pasākumi, eksperta atzinumā vai iesniegumā MAP apstiprināšanai ietver pasākumu monitoringa plānu un apraksta veicamā monitoringa metodiku un risinājumus.</w:t>
      </w:r>
    </w:p>
    <w:p w14:paraId="08CA246D" w14:textId="77777777" w:rsidR="00EE5BDD" w:rsidRPr="00675182" w:rsidRDefault="00EE5BDD" w:rsidP="00EE5BDD">
      <w:pPr>
        <w:jc w:val="both"/>
        <w:rPr>
          <w:rFonts w:ascii="Calibri" w:hAnsi="Calibri"/>
        </w:rPr>
      </w:pPr>
    </w:p>
    <w:p w14:paraId="4DE42F5B" w14:textId="2DA349FC" w:rsidR="00EE5BDD" w:rsidRPr="00675182" w:rsidRDefault="00C75947" w:rsidP="00EE5BDD">
      <w:pPr>
        <w:jc w:val="both"/>
        <w:rPr>
          <w:rFonts w:ascii="Calibri" w:hAnsi="Calibri"/>
        </w:rPr>
      </w:pPr>
      <w:r>
        <w:rPr>
          <w:rFonts w:ascii="Calibri" w:hAnsi="Calibri"/>
        </w:rPr>
        <w:t>MAP</w:t>
      </w:r>
      <w:r w:rsidR="00EE5BDD" w:rsidRPr="00675182">
        <w:rPr>
          <w:rFonts w:ascii="Calibri" w:hAnsi="Calibri"/>
        </w:rPr>
        <w:t>, par ko saņemts pozitīvs DAP lēmums, ietvertos meža apsaimniekošanas pasākumus un biotopu apsaimniekošanas pasākumus meža īpašnieks vai tiesiskais valdītājs veic pēc saviem ieskatiem, ievērojot normatīvajos aktos noteiktās prasības.</w:t>
      </w:r>
    </w:p>
    <w:p w14:paraId="45F99405" w14:textId="77777777" w:rsidR="00EE5BDD" w:rsidRPr="00675182" w:rsidRDefault="00EE5BDD" w:rsidP="00EE5BDD">
      <w:pPr>
        <w:jc w:val="both"/>
        <w:rPr>
          <w:rFonts w:ascii="Calibri" w:hAnsi="Calibri"/>
        </w:rPr>
      </w:pPr>
    </w:p>
    <w:p w14:paraId="12B0551E" w14:textId="77777777" w:rsidR="00EE5BDD" w:rsidRPr="00675182" w:rsidRDefault="00EE5BDD" w:rsidP="00EE5BDD">
      <w:pPr>
        <w:jc w:val="both"/>
        <w:rPr>
          <w:rFonts w:ascii="Calibri" w:hAnsi="Calibri"/>
        </w:rPr>
      </w:pPr>
      <w:r w:rsidRPr="00675182">
        <w:rPr>
          <w:rFonts w:ascii="Calibri" w:hAnsi="Calibri"/>
        </w:rPr>
        <w:t xml:space="preserve">Lai mazinātu papildu izmaksu slogu meža īpašniekiem, būtu nepieciešams rast līdzfinansējumu MAP izstrādei. Paredzamā līdzfinansējuma mērķis būtu - dabas vērtību izvērtējuma, sugu un biotopu jomas eksperta piesaistes, aizsargājamo biotopu apsaimniekošanas un mežaudžu dabiskošanas pasākumu plānošanas atbalsts meža īpašumā, tā apmērs būtu nodrošināms tādā apjomā, kas nosegtu minēto izpētes un plānošanas pasākumu sagatavošanu. </w:t>
      </w:r>
    </w:p>
    <w:p w14:paraId="11BE1673" w14:textId="77777777" w:rsidR="00EE5BDD" w:rsidRPr="00675182" w:rsidRDefault="00EE5BDD" w:rsidP="00EE5BDD">
      <w:pPr>
        <w:jc w:val="both"/>
        <w:rPr>
          <w:rFonts w:ascii="Calibri" w:hAnsi="Calibri"/>
        </w:rPr>
      </w:pPr>
    </w:p>
    <w:p w14:paraId="446FF63F" w14:textId="77777777" w:rsidR="00EE5BDD" w:rsidRPr="00675182" w:rsidRDefault="00EE5BDD" w:rsidP="00EE5BDD">
      <w:pPr>
        <w:jc w:val="both"/>
        <w:rPr>
          <w:rFonts w:ascii="Calibri" w:hAnsi="Calibri"/>
        </w:rPr>
      </w:pPr>
      <w:r w:rsidRPr="00675182">
        <w:rPr>
          <w:rFonts w:ascii="Calibri" w:hAnsi="Calibri"/>
        </w:rPr>
        <w:t>Iespējamie finanšu resursu piesaistes risinājumi varētu ietvert papildu budžeta finansējumu no DAP, ilglaicīgu projektu līdzekļu piesaiste vai ES struktūrfondu, piemēram, Lauku attīstības programmas, piesaiste šī atbalsta nodrošināšanai.</w:t>
      </w:r>
    </w:p>
    <w:p w14:paraId="7FB58E04" w14:textId="59A10B42" w:rsidR="00F54771" w:rsidRPr="00675182" w:rsidRDefault="00F54771" w:rsidP="00CF5A4B">
      <w:pPr>
        <w:jc w:val="both"/>
        <w:rPr>
          <w:rFonts w:cstheme="minorHAnsi"/>
        </w:rPr>
      </w:pPr>
    </w:p>
    <w:p w14:paraId="5EB18863" w14:textId="51FDBC0F" w:rsidR="007C12CE" w:rsidRPr="00675182" w:rsidRDefault="007C12CE" w:rsidP="007C12CE">
      <w:pPr>
        <w:rPr>
          <w:rFonts w:cstheme="minorHAnsi"/>
          <w:b/>
        </w:rPr>
      </w:pPr>
      <w:r w:rsidRPr="00675182">
        <w:rPr>
          <w:rFonts w:cstheme="minorHAnsi"/>
          <w:b/>
        </w:rPr>
        <w:t>A.</w:t>
      </w:r>
      <w:r w:rsidR="00A061BC" w:rsidRPr="00675182">
        <w:rPr>
          <w:rFonts w:cstheme="minorHAnsi"/>
          <w:b/>
        </w:rPr>
        <w:t>5</w:t>
      </w:r>
      <w:r w:rsidRPr="00675182">
        <w:rPr>
          <w:rFonts w:cstheme="minorHAnsi"/>
          <w:b/>
        </w:rPr>
        <w:t>. Mežsaimnieciskās darbības ierobežojumi</w:t>
      </w:r>
    </w:p>
    <w:p w14:paraId="7314D8E5" w14:textId="52180E87" w:rsidR="007C12CE" w:rsidRPr="00675182" w:rsidRDefault="004375B4" w:rsidP="001867C1">
      <w:pPr>
        <w:jc w:val="both"/>
        <w:rPr>
          <w:rFonts w:cstheme="minorHAnsi"/>
        </w:rPr>
      </w:pPr>
      <w:r w:rsidRPr="00675182">
        <w:rPr>
          <w:rFonts w:cstheme="minorHAnsi"/>
        </w:rPr>
        <w:t xml:space="preserve">Meža biotopu aizsardzībai būtiski ievērot neiejaukšanās režīmu </w:t>
      </w:r>
      <w:r w:rsidR="00E6451A" w:rsidRPr="00675182">
        <w:rPr>
          <w:rFonts w:cstheme="minorHAnsi"/>
        </w:rPr>
        <w:t xml:space="preserve">stingrā režīma (dabas rezervāta) un dabas lieguma </w:t>
      </w:r>
      <w:r w:rsidRPr="00675182">
        <w:rPr>
          <w:rFonts w:cstheme="minorHAnsi"/>
        </w:rPr>
        <w:t>funkcionālajās zonās</w:t>
      </w:r>
      <w:r w:rsidR="00F33757" w:rsidRPr="00675182">
        <w:rPr>
          <w:rFonts w:cstheme="minorHAnsi"/>
        </w:rPr>
        <w:t xml:space="preserve">. Savukārt </w:t>
      </w:r>
      <w:r w:rsidRPr="00675182">
        <w:rPr>
          <w:rFonts w:cstheme="minorHAnsi"/>
        </w:rPr>
        <w:t xml:space="preserve">teritorijās, kur pieļaujama mežsaimnieciskā darbība, </w:t>
      </w:r>
      <w:r w:rsidR="00F33757" w:rsidRPr="00675182">
        <w:rPr>
          <w:rFonts w:cstheme="minorHAnsi"/>
        </w:rPr>
        <w:t xml:space="preserve">būtiski izslēgt </w:t>
      </w:r>
      <w:r w:rsidRPr="00675182">
        <w:rPr>
          <w:rFonts w:cstheme="minorHAnsi"/>
        </w:rPr>
        <w:t>no apsaimniekošanas bioloģiskās daudzveidības saglabāšanai nozīmīgas teritorijas</w:t>
      </w:r>
      <w:r w:rsidR="00F33757" w:rsidRPr="00675182">
        <w:rPr>
          <w:rFonts w:cstheme="minorHAnsi"/>
        </w:rPr>
        <w:t xml:space="preserve"> (t.sk. ģeoloģiskās un reljefa struktūras)</w:t>
      </w:r>
      <w:r w:rsidRPr="00675182">
        <w:rPr>
          <w:rFonts w:cstheme="minorHAnsi"/>
        </w:rPr>
        <w:t>, kā arī ievērot noteiktās prasības dabiskiem mežiem raksturīgo struktūru saglabāšanai un mežsaimniecības meža apsaimniekošanas paņēmieniem, kas noteikti IAIN</w:t>
      </w:r>
      <w:r w:rsidR="00F33757" w:rsidRPr="00675182">
        <w:rPr>
          <w:rFonts w:cstheme="minorHAnsi"/>
        </w:rPr>
        <w:t xml:space="preserve"> projektā</w:t>
      </w:r>
      <w:r w:rsidRPr="00675182">
        <w:rPr>
          <w:rFonts w:cstheme="minorHAnsi"/>
        </w:rPr>
        <w:t>.</w:t>
      </w:r>
    </w:p>
    <w:p w14:paraId="6F2F4D68" w14:textId="0067C274" w:rsidR="004375B4" w:rsidRPr="00675182" w:rsidRDefault="004375B4" w:rsidP="001867C1">
      <w:pPr>
        <w:jc w:val="both"/>
        <w:rPr>
          <w:rFonts w:cstheme="minorHAnsi"/>
          <w:szCs w:val="24"/>
        </w:rPr>
      </w:pPr>
    </w:p>
    <w:p w14:paraId="6DF79984" w14:textId="77777777" w:rsidR="00BA52FD" w:rsidRPr="00675182" w:rsidRDefault="00BA52FD" w:rsidP="00BA52FD">
      <w:pPr>
        <w:jc w:val="both"/>
        <w:rPr>
          <w:rFonts w:cstheme="minorHAnsi"/>
          <w:b/>
        </w:rPr>
      </w:pPr>
      <w:r w:rsidRPr="00675182">
        <w:rPr>
          <w:rFonts w:cstheme="minorHAnsi"/>
          <w:b/>
        </w:rPr>
        <w:t>A.6. Bioloģiskās lauksaimniecības veicināšana</w:t>
      </w:r>
    </w:p>
    <w:p w14:paraId="30AB7169" w14:textId="6C5A0C34" w:rsidR="007F5F53" w:rsidRPr="00675182" w:rsidRDefault="007F5F53" w:rsidP="007F5F53">
      <w:pPr>
        <w:jc w:val="both"/>
        <w:rPr>
          <w:rFonts w:cstheme="minorHAnsi"/>
        </w:rPr>
      </w:pPr>
      <w:r w:rsidRPr="00675182">
        <w:rPr>
          <w:rFonts w:cstheme="minorHAnsi"/>
        </w:rPr>
        <w:t xml:space="preserve">Plāna izstrādes laikā tika konstatēts, ka 19% no GNP LIZ tiek pieteiktas atbalstam </w:t>
      </w:r>
      <w:r w:rsidR="003102E8">
        <w:rPr>
          <w:rFonts w:cstheme="minorHAnsi"/>
        </w:rPr>
        <w:t>Lauku attīstības programmas</w:t>
      </w:r>
      <w:r w:rsidR="003102E8" w:rsidRPr="00675182">
        <w:rPr>
          <w:rFonts w:cstheme="minorHAnsi"/>
        </w:rPr>
        <w:t xml:space="preserve"> </w:t>
      </w:r>
      <w:r w:rsidRPr="00675182">
        <w:rPr>
          <w:rFonts w:cstheme="minorHAnsi"/>
        </w:rPr>
        <w:t xml:space="preserve">pasākumā “Bioloģiskās lauksaimniecības attīstība”. DA plāna izstrādes laikā vairākkārt aktualizējusies diskusija par bioloģiskās lauksaimniecības attīstību GNP ar mērķi ievērojami palielināt platības. Ņemot vērā GNP novērtējumu, esošās iestrādnes ar aktīvu NVO, pašvaldību un citu organizāciju iesaisti, kā arī to, ka ĪADT pārvaldības juridiskais ietvars nav attiecināms tiešā veidā uz LIZ apsaimniekošanas metodēm, rosināms visām iesaistītajām pusēm turpināt un attīstīt sadarbību caur dažādiem projektiem un aktivitātēm. Kā galvenais mērķis nosakāms bioloģiskās lauksaimniecības attīstība GNP teritorijā, sasniedzot vismaz 30% īpatsvaru no kopējām </w:t>
      </w:r>
      <w:r w:rsidRPr="00675182">
        <w:rPr>
          <w:rFonts w:cstheme="minorHAnsi"/>
        </w:rPr>
        <w:lastRenderedPageBreak/>
        <w:t>atbalstītajām platībām GNP. Līdztekus bioloģiskās lauksaimniecības popularizēšanai un apsaimniekoto platību palielināšanai, veicami dažādi atbalsta pasākumi:</w:t>
      </w:r>
    </w:p>
    <w:p w14:paraId="2DF49FF4" w14:textId="74518E3E" w:rsidR="007F5F53" w:rsidRPr="00675182" w:rsidRDefault="007F5F53" w:rsidP="00A84218">
      <w:pPr>
        <w:pStyle w:val="ListParagraph"/>
        <w:numPr>
          <w:ilvl w:val="4"/>
          <w:numId w:val="13"/>
        </w:numPr>
        <w:ind w:left="284"/>
        <w:jc w:val="both"/>
        <w:rPr>
          <w:rFonts w:cstheme="minorHAnsi"/>
        </w:rPr>
      </w:pPr>
      <w:r w:rsidRPr="00675182">
        <w:rPr>
          <w:rFonts w:cstheme="minorHAnsi"/>
        </w:rPr>
        <w:t>veicināt vietējo bioloģisko produktu pieprasījumu, izmantojot zaļā iepirkuma iespējas;</w:t>
      </w:r>
    </w:p>
    <w:p w14:paraId="1CA92E15" w14:textId="42250E0C" w:rsidR="007F5F53" w:rsidRPr="00675182" w:rsidRDefault="007F5F53" w:rsidP="00A84218">
      <w:pPr>
        <w:pStyle w:val="ListParagraph"/>
        <w:numPr>
          <w:ilvl w:val="4"/>
          <w:numId w:val="13"/>
        </w:numPr>
        <w:ind w:left="284"/>
        <w:jc w:val="both"/>
        <w:rPr>
          <w:rFonts w:cstheme="minorHAnsi"/>
        </w:rPr>
      </w:pPr>
      <w:r w:rsidRPr="00675182">
        <w:rPr>
          <w:rFonts w:cstheme="minorHAnsi"/>
        </w:rPr>
        <w:t>administratīvs un finansiāls atbalsts GNP ražoto bioloģisko produktu mārketingam, t.sk. izveidojot GNP bioreģiona zīmolu un nodrošinot pēc iespējas plašu vietējo ražotāju, tūrisma un rekreācijas uzņēmēju iesaisti;</w:t>
      </w:r>
    </w:p>
    <w:p w14:paraId="05356094" w14:textId="1FEF762F" w:rsidR="007F5F53" w:rsidRPr="00675182" w:rsidRDefault="007F5F53" w:rsidP="00A84218">
      <w:pPr>
        <w:pStyle w:val="ListParagraph"/>
        <w:numPr>
          <w:ilvl w:val="4"/>
          <w:numId w:val="13"/>
        </w:numPr>
        <w:ind w:left="284"/>
        <w:jc w:val="both"/>
        <w:rPr>
          <w:rFonts w:cstheme="minorHAnsi"/>
        </w:rPr>
      </w:pPr>
      <w:r w:rsidRPr="00675182">
        <w:rPr>
          <w:rFonts w:cstheme="minorHAnsi"/>
        </w:rPr>
        <w:t>lauksaimnieku un vietējo ražotāju izglītošana par bioloģisko saimniekošanu, atbalsts bioloģiskajai sertifikācijai un sertifikāta uzturēšanai;</w:t>
      </w:r>
    </w:p>
    <w:p w14:paraId="41A5A811" w14:textId="510BA2E1" w:rsidR="007F5F53" w:rsidRPr="00675182" w:rsidRDefault="007F5F53" w:rsidP="00A84218">
      <w:pPr>
        <w:pStyle w:val="ListParagraph"/>
        <w:numPr>
          <w:ilvl w:val="4"/>
          <w:numId w:val="13"/>
        </w:numPr>
        <w:ind w:left="284"/>
        <w:jc w:val="both"/>
        <w:rPr>
          <w:rFonts w:cstheme="minorHAnsi"/>
        </w:rPr>
      </w:pPr>
      <w:r w:rsidRPr="00675182">
        <w:rPr>
          <w:rFonts w:cstheme="minorHAnsi"/>
        </w:rPr>
        <w:t>sadarbības veicināšana starp bioloģiskās produkcijas ražotājiem, ēdināšanas uzņēmumiem, tūrisma un rekreācijas uzņēmumiem, to organizācijām, veicinot kopīgas aktivitātes bioloģiskās produkcijas un GNP kā bioreģiona popularizēšanai;</w:t>
      </w:r>
    </w:p>
    <w:p w14:paraId="6ADC4A5C" w14:textId="23ECB004" w:rsidR="007F5F53" w:rsidRPr="00675182" w:rsidRDefault="007F5F53" w:rsidP="00A84218">
      <w:pPr>
        <w:pStyle w:val="ListParagraph"/>
        <w:numPr>
          <w:ilvl w:val="4"/>
          <w:numId w:val="13"/>
        </w:numPr>
        <w:ind w:left="284"/>
        <w:jc w:val="both"/>
        <w:rPr>
          <w:rFonts w:cstheme="minorHAnsi"/>
        </w:rPr>
      </w:pPr>
      <w:r w:rsidRPr="00675182">
        <w:rPr>
          <w:rFonts w:cstheme="minorHAnsi"/>
        </w:rPr>
        <w:t>administratīvs un finansiāls atbalsts pieredzes apmaiņai ar citiem Eiropas bioreģioniem, it sevišķi tiem, kas saistīti ar Natura 2000 teritorijām.</w:t>
      </w:r>
    </w:p>
    <w:p w14:paraId="201DAEC6" w14:textId="77777777" w:rsidR="007F5F53" w:rsidRPr="00675182" w:rsidRDefault="007F5F53" w:rsidP="007F5F53">
      <w:pPr>
        <w:jc w:val="both"/>
        <w:rPr>
          <w:rFonts w:cstheme="minorHAnsi"/>
        </w:rPr>
      </w:pPr>
    </w:p>
    <w:p w14:paraId="38C5ACC7" w14:textId="096F341F" w:rsidR="007F5F53" w:rsidRPr="00675182" w:rsidRDefault="001E3612" w:rsidP="007F5F53">
      <w:pPr>
        <w:jc w:val="both"/>
        <w:rPr>
          <w:rFonts w:cstheme="minorHAnsi"/>
        </w:rPr>
      </w:pPr>
      <w:r w:rsidRPr="00675182">
        <w:rPr>
          <w:rFonts w:cstheme="minorHAnsi"/>
        </w:rPr>
        <w:t xml:space="preserve">Kā viens no atbalsta mehānismiem varētu būt nekustamā īpašuma nodokļa likmes samazināšana vai nekustamā īpašuma nodokļa atvieglojuma piemērošana par bioloģiski sertificētām platībām, taču nepieciešams izstrādāt mehānismu, kā administrēt šāda veida atbalstu. Normatīvā ietvara izstrādē jāiesaistās VARAM, </w:t>
      </w:r>
      <w:r w:rsidR="00513CC2">
        <w:rPr>
          <w:rFonts w:cstheme="minorHAnsi"/>
        </w:rPr>
        <w:t>Zemkopības ministrijai,</w:t>
      </w:r>
      <w:r w:rsidRPr="00675182">
        <w:rPr>
          <w:rFonts w:cstheme="minorHAnsi"/>
        </w:rPr>
        <w:t xml:space="preserve"> pašvaldībām un bioloģiskās saimniecības pārstāvošām </w:t>
      </w:r>
      <w:r w:rsidR="00513CC2">
        <w:rPr>
          <w:rFonts w:cstheme="minorHAnsi"/>
        </w:rPr>
        <w:t>NVO</w:t>
      </w:r>
      <w:r w:rsidRPr="00675182">
        <w:rPr>
          <w:rFonts w:cstheme="minorHAnsi"/>
        </w:rPr>
        <w:t>.</w:t>
      </w:r>
    </w:p>
    <w:p w14:paraId="1BE97406" w14:textId="77777777" w:rsidR="001E3612" w:rsidRPr="00675182" w:rsidRDefault="001E3612" w:rsidP="007F5F53">
      <w:pPr>
        <w:jc w:val="both"/>
        <w:rPr>
          <w:rFonts w:cstheme="minorHAnsi"/>
        </w:rPr>
      </w:pPr>
    </w:p>
    <w:p w14:paraId="55F2515E" w14:textId="42A81D62" w:rsidR="006124B9" w:rsidRPr="00675182" w:rsidRDefault="007F5F53" w:rsidP="007F5F53">
      <w:pPr>
        <w:jc w:val="both"/>
        <w:rPr>
          <w:rFonts w:cstheme="minorHAnsi"/>
        </w:rPr>
      </w:pPr>
      <w:r w:rsidRPr="00675182">
        <w:rPr>
          <w:rFonts w:cstheme="minorHAnsi"/>
        </w:rPr>
        <w:t>Valsts īpašumā esošajās platībās, kas nodotas DAP valdījumā un tālāk tiek iznomātas vai apsaimniekotas, jāveicina bioloģiskā saimniekošana. Kopumā aktivitātes var tikt vērstas uz GNP kā bioloģiskā reģiona attīstību, kompleksi veicinot bioloģiskās saimniekošanas prakšu un bioloģiskās pārtikas patēriņa pieaugumu.</w:t>
      </w:r>
    </w:p>
    <w:p w14:paraId="11052993" w14:textId="77777777" w:rsidR="007F5F53" w:rsidRPr="00675182" w:rsidRDefault="007F5F53" w:rsidP="007F5F53">
      <w:pPr>
        <w:jc w:val="both"/>
        <w:rPr>
          <w:rFonts w:cstheme="minorHAnsi"/>
          <w:b/>
        </w:rPr>
      </w:pPr>
    </w:p>
    <w:p w14:paraId="279B8115" w14:textId="6D91CF79" w:rsidR="00BA52FD" w:rsidRPr="00675182" w:rsidRDefault="00BA52FD" w:rsidP="00BA52FD">
      <w:pPr>
        <w:jc w:val="both"/>
        <w:rPr>
          <w:rFonts w:cstheme="minorHAnsi"/>
          <w:b/>
        </w:rPr>
      </w:pPr>
      <w:r w:rsidRPr="00675182">
        <w:rPr>
          <w:rFonts w:cstheme="minorHAnsi"/>
          <w:b/>
        </w:rPr>
        <w:t>A.7. Ainavu pārvaldības īstenošana</w:t>
      </w:r>
    </w:p>
    <w:p w14:paraId="4AE97429" w14:textId="410E9A79" w:rsidR="00F33757" w:rsidRPr="00675182" w:rsidRDefault="00CB5C3E" w:rsidP="00CB5C3E">
      <w:pPr>
        <w:jc w:val="both"/>
        <w:rPr>
          <w:rFonts w:cstheme="minorHAnsi"/>
          <w:szCs w:val="24"/>
        </w:rPr>
      </w:pPr>
      <w:r w:rsidRPr="00675182">
        <w:rPr>
          <w:rFonts w:cstheme="minorHAnsi"/>
          <w:szCs w:val="24"/>
        </w:rPr>
        <w:t>Ainavu pārvaldība Latvijā</w:t>
      </w:r>
      <w:r w:rsidR="00DE2DA5" w:rsidRPr="00675182">
        <w:rPr>
          <w:rFonts w:cstheme="minorHAnsi"/>
          <w:szCs w:val="24"/>
        </w:rPr>
        <w:t>,</w:t>
      </w:r>
      <w:r w:rsidRPr="00675182">
        <w:rPr>
          <w:rFonts w:cstheme="minorHAnsi"/>
          <w:szCs w:val="24"/>
        </w:rPr>
        <w:t xml:space="preserve"> kā tas noteikts “Ainavu konvencijā” un telpiskās plānošanas likumdošanas ietvarā</w:t>
      </w:r>
      <w:r w:rsidR="00DE2DA5" w:rsidRPr="00675182">
        <w:rPr>
          <w:rFonts w:cstheme="minorHAnsi"/>
          <w:szCs w:val="24"/>
        </w:rPr>
        <w:t>,</w:t>
      </w:r>
      <w:r w:rsidRPr="00675182">
        <w:rPr>
          <w:rFonts w:cstheme="minorHAnsi"/>
          <w:szCs w:val="24"/>
        </w:rPr>
        <w:t xml:space="preserve"> galvenokārt realizējama caur pašvaldību teritorijas plānojumiem. GNP ainavu pārvaldībai nozīmīgie ieteikumi aprakstīti plāna 4. nodaļā.</w:t>
      </w:r>
      <w:r w:rsidR="00F33757" w:rsidRPr="00675182">
        <w:rPr>
          <w:rFonts w:cstheme="minorHAnsi"/>
          <w:szCs w:val="24"/>
        </w:rPr>
        <w:t xml:space="preserve"> IAIN projektā ir iekļauti priekšliku</w:t>
      </w:r>
      <w:r w:rsidR="00720BDF" w:rsidRPr="00675182">
        <w:rPr>
          <w:rFonts w:cstheme="minorHAnsi"/>
          <w:szCs w:val="24"/>
        </w:rPr>
        <w:t>m</w:t>
      </w:r>
      <w:r w:rsidR="00F33757" w:rsidRPr="00675182">
        <w:rPr>
          <w:rFonts w:cstheme="minorHAnsi"/>
          <w:szCs w:val="24"/>
        </w:rPr>
        <w:t>i ainavu aizsardzībai ( skat. 5.2. nodaļu), kā piemēram</w:t>
      </w:r>
      <w:r w:rsidR="0065744C" w:rsidRPr="00675182">
        <w:rPr>
          <w:rFonts w:cstheme="minorHAnsi"/>
          <w:szCs w:val="24"/>
        </w:rPr>
        <w:t>, 7., 12.</w:t>
      </w:r>
      <w:r w:rsidR="00E21287" w:rsidRPr="00675182">
        <w:rPr>
          <w:rFonts w:cstheme="minorHAnsi"/>
          <w:szCs w:val="24"/>
        </w:rPr>
        <w:t>36</w:t>
      </w:r>
      <w:r w:rsidR="0065744C" w:rsidRPr="00675182">
        <w:rPr>
          <w:rFonts w:cstheme="minorHAnsi"/>
          <w:szCs w:val="24"/>
        </w:rPr>
        <w:t xml:space="preserve">, </w:t>
      </w:r>
      <w:r w:rsidR="00E21287" w:rsidRPr="00675182">
        <w:rPr>
          <w:rFonts w:cstheme="minorHAnsi"/>
          <w:szCs w:val="24"/>
        </w:rPr>
        <w:t>12.37, 14.4</w:t>
      </w:r>
      <w:r w:rsidR="0065744C" w:rsidRPr="00675182">
        <w:rPr>
          <w:rFonts w:cstheme="minorHAnsi"/>
          <w:szCs w:val="24"/>
        </w:rPr>
        <w:t>.</w:t>
      </w:r>
      <w:r w:rsidR="00E21287" w:rsidRPr="00675182">
        <w:rPr>
          <w:rFonts w:cstheme="minorHAnsi"/>
          <w:szCs w:val="24"/>
        </w:rPr>
        <w:t>4</w:t>
      </w:r>
      <w:r w:rsidR="00AE270C" w:rsidRPr="00675182">
        <w:rPr>
          <w:rFonts w:cstheme="minorHAnsi"/>
          <w:szCs w:val="24"/>
        </w:rPr>
        <w:t xml:space="preserve">., 33., 35.2., 44., 46.1, 46.2., 46.3., 53., 55. punkts. </w:t>
      </w:r>
    </w:p>
    <w:p w14:paraId="18FBE236" w14:textId="1221EE03" w:rsidR="00834C33" w:rsidRPr="00675182" w:rsidRDefault="00834C33" w:rsidP="00BA52FD">
      <w:pPr>
        <w:jc w:val="both"/>
        <w:rPr>
          <w:rFonts w:cstheme="minorHAnsi"/>
          <w:b/>
        </w:rPr>
      </w:pPr>
    </w:p>
    <w:p w14:paraId="4833B2AF" w14:textId="68AFACB7" w:rsidR="00834C33" w:rsidRPr="00675182" w:rsidRDefault="00834C33" w:rsidP="0053624E">
      <w:pPr>
        <w:keepNext/>
        <w:keepLines/>
        <w:rPr>
          <w:rFonts w:cstheme="minorHAnsi"/>
          <w:b/>
          <w:bCs/>
        </w:rPr>
      </w:pPr>
      <w:r w:rsidRPr="00675182">
        <w:rPr>
          <w:rFonts w:cstheme="minorHAnsi"/>
          <w:b/>
          <w:bCs/>
        </w:rPr>
        <w:lastRenderedPageBreak/>
        <w:t>A.</w:t>
      </w:r>
      <w:r w:rsidR="00136094" w:rsidRPr="00675182">
        <w:rPr>
          <w:rFonts w:cstheme="minorHAnsi"/>
          <w:b/>
          <w:bCs/>
        </w:rPr>
        <w:t>8</w:t>
      </w:r>
      <w:r w:rsidRPr="00675182">
        <w:rPr>
          <w:rFonts w:cstheme="minorHAnsi"/>
          <w:b/>
          <w:bCs/>
        </w:rPr>
        <w:t xml:space="preserve">. </w:t>
      </w:r>
      <w:r w:rsidR="00C65EFC" w:rsidRPr="00675182">
        <w:rPr>
          <w:rFonts w:cstheme="minorHAnsi"/>
          <w:b/>
          <w:bCs/>
        </w:rPr>
        <w:t>Vienota tūrisma galamērķa pārvaldība un iesaistīto pušu dialoga nodrošināšana</w:t>
      </w:r>
    </w:p>
    <w:p w14:paraId="31FEF2C6" w14:textId="729A95B1" w:rsidR="000D33A8" w:rsidRPr="00675182" w:rsidRDefault="00E456E7" w:rsidP="0053624E">
      <w:pPr>
        <w:keepNext/>
        <w:keepLines/>
        <w:jc w:val="both"/>
        <w:rPr>
          <w:rFonts w:cstheme="minorHAnsi"/>
        </w:rPr>
      </w:pPr>
      <w:r w:rsidRPr="00675182">
        <w:rPr>
          <w:rFonts w:cstheme="minorHAnsi"/>
        </w:rPr>
        <w:t>Uzturēt vienotu dialogu starp DAP, pašvaldību speciālistiem un tūrisma un rekreācijas uzņēmējiem. Veidot GNP vienotu tūrisma galamērķa pārvaldības un zināšanu pārneses platformu. DA plāna izstrādes laikā spēkā ir GNP tūrisma klastera stratēģija (no 2012. gada un aktualizēta līdz 2022. gadam), kas iekļauj galamērķa attīstības mērķus un rīcības, mērķtiecīgus tirgvedības pasākumus. Uzsākta klastera stratēģijas aktualizēšana, ņemot vērā DA plānā iestrādātos dabas un kultūras mantojuma aizsardzības pasākumus un tūrisma attīstības apsvērumus. Klastera vadības grupā iekļaujas seši uzņēmēji, DAP pārstāvis, vismaz četri pašvaldību pārstāvji un Vidzemes Augstskolas pārstāvis. Tematiski saistītiem jautājumiem var tikt pieaicinātas citas iesaistītās puses. Nozīmīgi uzturēt šo dialoga platformu stratēģisko plānu un ikdienas rīcību apspriešanai, atbilstoši EUROPARC Ilgtspējīgas tūrisma hartas rekomendācijām. Veicināma sadarbība ar vietējām kopienām, īpaši ieskicējot pieaugošu viedo ciemu lomu un kopienu līdzdalību pašvaldību budžeta veidošanā. Klastera vadības grupas sanāksmes notiek ne retāk kā sešas reizes gadā, operatīvas darba grupas aktuālo jautājumu risināšanai biežāk – atbilstoši vajadzībai. Klastera vadības grupas darbu nodrošina klastera biroja administrācija, ko daļēji finansē ar klastera dalībnieku biedru naudu, kā arī piesaistīto attīstības projektu resursiem.</w:t>
      </w:r>
    </w:p>
    <w:p w14:paraId="159E5AEC" w14:textId="77777777" w:rsidR="00E456E7" w:rsidRPr="00675182" w:rsidRDefault="00E456E7" w:rsidP="00834C33">
      <w:pPr>
        <w:jc w:val="both"/>
        <w:rPr>
          <w:rFonts w:cstheme="minorHAnsi"/>
        </w:rPr>
      </w:pPr>
    </w:p>
    <w:p w14:paraId="4F2B4184" w14:textId="70B5A529" w:rsidR="000D33A8" w:rsidRPr="00675182" w:rsidRDefault="000D33A8" w:rsidP="00C65EFC">
      <w:pPr>
        <w:keepNext/>
        <w:keepLines/>
        <w:jc w:val="both"/>
        <w:rPr>
          <w:rFonts w:cstheme="minorHAnsi"/>
          <w:b/>
          <w:bCs/>
        </w:rPr>
      </w:pPr>
      <w:r w:rsidRPr="00675182">
        <w:rPr>
          <w:rFonts w:cstheme="minorHAnsi"/>
          <w:b/>
          <w:bCs/>
        </w:rPr>
        <w:t>A.9. Rekultivācijas plāna sagatavošana kūdras ieguves teritorijai Unguru purvā</w:t>
      </w:r>
    </w:p>
    <w:p w14:paraId="6AA1758F" w14:textId="0A2F4343" w:rsidR="00063A45" w:rsidRPr="00675182" w:rsidRDefault="00883353" w:rsidP="00BF7348">
      <w:pPr>
        <w:keepNext/>
        <w:keepLines/>
        <w:jc w:val="both"/>
        <w:rPr>
          <w:rFonts w:cstheme="minorHAnsi"/>
        </w:rPr>
      </w:pPr>
      <w:r w:rsidRPr="00675182">
        <w:rPr>
          <w:rFonts w:cstheme="minorHAnsi"/>
        </w:rPr>
        <w:t xml:space="preserve">Rekultivācijas plāns izstrādājams ņemot vērā kūdras ieguves teritorijas nomas līguma termiņu. Pašreiz spēkā esošais platības nomas līgums paredz, ka kūdras ieguve purva teritorijā turpinās līdz 2036. gadam. Ja kūdras ieguves platības nomas līgums tiek pagarināts, tad tam attiecīgi pieskaņojams rekultivācijas plāna izstrādes termiņš. </w:t>
      </w:r>
      <w:r w:rsidR="005E7B57" w:rsidRPr="00675182">
        <w:rPr>
          <w:rFonts w:cstheme="minorHAnsi"/>
        </w:rPr>
        <w:t xml:space="preserve">Rekultivācijas plāna sagatavošanā </w:t>
      </w:r>
      <w:r w:rsidR="00580A61" w:rsidRPr="00675182">
        <w:rPr>
          <w:rFonts w:cstheme="minorHAnsi"/>
        </w:rPr>
        <w:t xml:space="preserve">jāņem </w:t>
      </w:r>
      <w:r w:rsidR="005E7B57" w:rsidRPr="00675182">
        <w:rPr>
          <w:rFonts w:cstheme="minorHAnsi"/>
        </w:rPr>
        <w:t xml:space="preserve">vērā </w:t>
      </w:r>
      <w:r w:rsidR="00580A61" w:rsidRPr="00675182">
        <w:rPr>
          <w:rFonts w:cstheme="minorHAnsi"/>
        </w:rPr>
        <w:t xml:space="preserve">šādi </w:t>
      </w:r>
      <w:r w:rsidR="005E7B57" w:rsidRPr="00675182">
        <w:rPr>
          <w:rFonts w:cstheme="minorHAnsi"/>
        </w:rPr>
        <w:t>nosacījumi:</w:t>
      </w:r>
    </w:p>
    <w:p w14:paraId="685F4C06" w14:textId="30B3C2C2" w:rsidR="000D33A8" w:rsidRPr="00675182" w:rsidRDefault="009C1D3E" w:rsidP="00A84218">
      <w:pPr>
        <w:pStyle w:val="ListParagraph"/>
        <w:numPr>
          <w:ilvl w:val="0"/>
          <w:numId w:val="78"/>
        </w:numPr>
        <w:ind w:left="284"/>
        <w:jc w:val="both"/>
        <w:rPr>
          <w:rFonts w:cstheme="minorHAnsi"/>
        </w:rPr>
      </w:pPr>
      <w:r>
        <w:rPr>
          <w:rFonts w:cstheme="minorHAnsi"/>
        </w:rPr>
        <w:t>r</w:t>
      </w:r>
      <w:r w:rsidRPr="00675182">
        <w:rPr>
          <w:rFonts w:cstheme="minorHAnsi"/>
        </w:rPr>
        <w:t xml:space="preserve">ekultivācijas </w:t>
      </w:r>
      <w:r w:rsidR="000D33A8" w:rsidRPr="00675182">
        <w:rPr>
          <w:rFonts w:cstheme="minorHAnsi"/>
        </w:rPr>
        <w:t xml:space="preserve">plāns </w:t>
      </w:r>
      <w:r w:rsidR="00580A61" w:rsidRPr="00675182">
        <w:rPr>
          <w:rFonts w:cstheme="minorHAnsi"/>
        </w:rPr>
        <w:t>ir jāizstrādā</w:t>
      </w:r>
      <w:r w:rsidR="00836492">
        <w:rPr>
          <w:rFonts w:cstheme="minorHAnsi"/>
        </w:rPr>
        <w:t>,</w:t>
      </w:r>
      <w:r w:rsidR="00580A61" w:rsidRPr="00675182">
        <w:rPr>
          <w:rFonts w:cstheme="minorHAnsi"/>
        </w:rPr>
        <w:t xml:space="preserve"> ņemot vērā to, ka </w:t>
      </w:r>
      <w:r w:rsidR="000D33A8" w:rsidRPr="00675182">
        <w:rPr>
          <w:rFonts w:cstheme="minorHAnsi"/>
        </w:rPr>
        <w:t>kūdras ieguve purva teritorijā turpinās līdz 2036. gadam - termiņam, kuru paredz spēkā esošais platības nomas līgums</w:t>
      </w:r>
      <w:r w:rsidR="00836492">
        <w:rPr>
          <w:rFonts w:cstheme="minorHAnsi"/>
        </w:rPr>
        <w:t>, ja vien tas netiek pagarināts</w:t>
      </w:r>
      <w:r>
        <w:rPr>
          <w:rFonts w:cstheme="minorHAnsi"/>
        </w:rPr>
        <w:t>;</w:t>
      </w:r>
    </w:p>
    <w:p w14:paraId="2AF472B9" w14:textId="611E2119" w:rsidR="000D33A8" w:rsidRPr="00675182" w:rsidRDefault="009C1D3E" w:rsidP="00A84218">
      <w:pPr>
        <w:pStyle w:val="ListParagraph"/>
        <w:numPr>
          <w:ilvl w:val="0"/>
          <w:numId w:val="78"/>
        </w:numPr>
        <w:ind w:left="284"/>
        <w:jc w:val="both"/>
        <w:rPr>
          <w:rFonts w:cstheme="minorHAnsi"/>
        </w:rPr>
      </w:pPr>
      <w:r>
        <w:rPr>
          <w:rFonts w:cstheme="minorHAnsi"/>
        </w:rPr>
        <w:t>r</w:t>
      </w:r>
      <w:r w:rsidRPr="00675182">
        <w:rPr>
          <w:rFonts w:cstheme="minorHAnsi"/>
        </w:rPr>
        <w:t xml:space="preserve">ekultivējamās </w:t>
      </w:r>
      <w:r w:rsidR="000D33A8" w:rsidRPr="00675182">
        <w:rPr>
          <w:rFonts w:cstheme="minorHAnsi"/>
        </w:rPr>
        <w:t xml:space="preserve">purva teritorijas atrašanās </w:t>
      </w:r>
      <w:r w:rsidR="00063A45" w:rsidRPr="00675182">
        <w:rPr>
          <w:rFonts w:cstheme="minorHAnsi"/>
        </w:rPr>
        <w:t>GNP</w:t>
      </w:r>
      <w:r w:rsidR="000D33A8" w:rsidRPr="00675182">
        <w:rPr>
          <w:rFonts w:cstheme="minorHAnsi"/>
        </w:rPr>
        <w:t xml:space="preserve"> ir priekšnoteikums, lai purva renaturalizācija </w:t>
      </w:r>
      <w:r w:rsidR="0065017F" w:rsidRPr="00675182">
        <w:rPr>
          <w:rFonts w:cstheme="minorHAnsi"/>
        </w:rPr>
        <w:t>tiktu plānota</w:t>
      </w:r>
      <w:r w:rsidR="000D33A8" w:rsidRPr="00675182">
        <w:rPr>
          <w:rFonts w:cstheme="minorHAnsi"/>
        </w:rPr>
        <w:t xml:space="preserve"> kā galvenais (lielākās platības aptverošais) rekultivācijas</w:t>
      </w:r>
      <w:r w:rsidR="0065017F" w:rsidRPr="00675182">
        <w:rPr>
          <w:rFonts w:cstheme="minorHAnsi"/>
        </w:rPr>
        <w:t xml:space="preserve"> pasākumu veids</w:t>
      </w:r>
      <w:r w:rsidR="000D33A8" w:rsidRPr="00675182">
        <w:rPr>
          <w:rFonts w:cstheme="minorHAnsi"/>
        </w:rPr>
        <w:t>. Citus rekultivācijas</w:t>
      </w:r>
      <w:r w:rsidR="0065017F" w:rsidRPr="00675182">
        <w:rPr>
          <w:rFonts w:cstheme="minorHAnsi"/>
        </w:rPr>
        <w:t xml:space="preserve"> pasākumu</w:t>
      </w:r>
      <w:r w:rsidR="000D33A8" w:rsidRPr="00675182">
        <w:rPr>
          <w:rFonts w:cstheme="minorHAnsi"/>
        </w:rPr>
        <w:t xml:space="preserve"> risinājumus </w:t>
      </w:r>
      <w:r w:rsidR="00580A61" w:rsidRPr="00675182">
        <w:rPr>
          <w:rFonts w:cstheme="minorHAnsi"/>
        </w:rPr>
        <w:t xml:space="preserve">drīkst izvēlēties </w:t>
      </w:r>
      <w:r w:rsidR="0047606E" w:rsidRPr="00675182">
        <w:rPr>
          <w:rFonts w:cstheme="minorHAnsi"/>
        </w:rPr>
        <w:t>t</w:t>
      </w:r>
      <w:r w:rsidR="000D33A8" w:rsidRPr="00675182">
        <w:rPr>
          <w:rFonts w:cstheme="minorHAnsi"/>
        </w:rPr>
        <w:t>ikai gadījumos, ja situācija pamatoti neļauj plānot</w:t>
      </w:r>
      <w:r w:rsidR="0065017F" w:rsidRPr="00675182">
        <w:rPr>
          <w:rFonts w:cstheme="minorHAnsi"/>
        </w:rPr>
        <w:t xml:space="preserve"> purva ekosistēmas</w:t>
      </w:r>
      <w:r w:rsidR="000D33A8" w:rsidRPr="00675182">
        <w:rPr>
          <w:rFonts w:cstheme="minorHAnsi"/>
        </w:rPr>
        <w:t xml:space="preserve"> renaturalizācij</w:t>
      </w:r>
      <w:r w:rsidR="0065017F" w:rsidRPr="00675182">
        <w:rPr>
          <w:rFonts w:cstheme="minorHAnsi"/>
        </w:rPr>
        <w:t>as pasākumus</w:t>
      </w:r>
      <w:r>
        <w:rPr>
          <w:rFonts w:cstheme="minorHAnsi"/>
        </w:rPr>
        <w:t>;</w:t>
      </w:r>
    </w:p>
    <w:p w14:paraId="7EE1F64D" w14:textId="45EF1400" w:rsidR="000D33A8" w:rsidRPr="00675182" w:rsidRDefault="009C1D3E" w:rsidP="00A84218">
      <w:pPr>
        <w:pStyle w:val="ListParagraph"/>
        <w:numPr>
          <w:ilvl w:val="0"/>
          <w:numId w:val="78"/>
        </w:numPr>
        <w:ind w:left="284"/>
        <w:jc w:val="both"/>
        <w:rPr>
          <w:rFonts w:cstheme="minorHAnsi"/>
        </w:rPr>
      </w:pPr>
      <w:r>
        <w:rPr>
          <w:rFonts w:cstheme="minorHAnsi"/>
        </w:rPr>
        <w:t>l</w:t>
      </w:r>
      <w:r w:rsidRPr="00675182">
        <w:rPr>
          <w:rFonts w:cstheme="minorHAnsi"/>
        </w:rPr>
        <w:t xml:space="preserve">ai </w:t>
      </w:r>
      <w:r w:rsidR="000D33A8" w:rsidRPr="00675182">
        <w:rPr>
          <w:rFonts w:cstheme="minorHAnsi"/>
        </w:rPr>
        <w:t xml:space="preserve">nodrošinātu purvu vai pārmitru mežu ekosistēmām atbilstošu hidroloģisko režīmu, </w:t>
      </w:r>
      <w:r w:rsidR="0065017F" w:rsidRPr="00675182">
        <w:rPr>
          <w:rFonts w:cstheme="minorHAnsi"/>
        </w:rPr>
        <w:t xml:space="preserve">pirmkārt </w:t>
      </w:r>
      <w:r w:rsidR="000D33A8" w:rsidRPr="00675182">
        <w:rPr>
          <w:rFonts w:cstheme="minorHAnsi"/>
        </w:rPr>
        <w:t>būtu jāplāno meliorācijas sistēmu likvidēšana/darbības pārtraukšana (prioritāri grāvju sistēmu aizbēršana vai dambju ierīkošana uz grāvjiem) platībās, kur to darbības saglabāšana nav saistīta ar kūdras ieguvei nepieciešamo ūdens līmeņa pazemināšanu</w:t>
      </w:r>
      <w:r w:rsidR="00F91912">
        <w:rPr>
          <w:rFonts w:cstheme="minorHAnsi"/>
        </w:rPr>
        <w:t>;</w:t>
      </w:r>
    </w:p>
    <w:p w14:paraId="3DB2D2AC" w14:textId="2F126110" w:rsidR="000D33A8" w:rsidRPr="00675182" w:rsidRDefault="00F91912" w:rsidP="00A84218">
      <w:pPr>
        <w:pStyle w:val="ListParagraph"/>
        <w:numPr>
          <w:ilvl w:val="0"/>
          <w:numId w:val="78"/>
        </w:numPr>
        <w:ind w:left="284"/>
        <w:jc w:val="both"/>
        <w:rPr>
          <w:rFonts w:cstheme="minorHAnsi"/>
        </w:rPr>
      </w:pPr>
      <w:r>
        <w:rPr>
          <w:rFonts w:cstheme="minorHAnsi"/>
        </w:rPr>
        <w:t>j</w:t>
      </w:r>
      <w:r w:rsidRPr="00675182">
        <w:rPr>
          <w:rFonts w:cstheme="minorHAnsi"/>
        </w:rPr>
        <w:t xml:space="preserve">a </w:t>
      </w:r>
      <w:r w:rsidR="000D33A8" w:rsidRPr="00675182">
        <w:rPr>
          <w:rFonts w:cstheme="minorHAnsi"/>
        </w:rPr>
        <w:t xml:space="preserve">situācijas apstākļi nosaka nepieciešamību plānot meža platību veidošanu – </w:t>
      </w:r>
      <w:r w:rsidR="0065017F" w:rsidRPr="00675182">
        <w:rPr>
          <w:rFonts w:cstheme="minorHAnsi"/>
        </w:rPr>
        <w:t>plānojama</w:t>
      </w:r>
      <w:r w:rsidR="000D33A8" w:rsidRPr="00675182">
        <w:rPr>
          <w:rFonts w:cstheme="minorHAnsi"/>
        </w:rPr>
        <w:t xml:space="preserve"> dabiskiem hidroloģiskajiem apstākļiem atbilstošu (bez meliorācijas/nosusināšanas) meža platību veidošana, kas ilgākā laika posmā var attīstīties par pārmitrām meža dzīvotnēm/ekosistēmām</w:t>
      </w:r>
      <w:r>
        <w:rPr>
          <w:rFonts w:cstheme="minorHAnsi"/>
        </w:rPr>
        <w:t>;</w:t>
      </w:r>
    </w:p>
    <w:p w14:paraId="1048DD24" w14:textId="14E79474" w:rsidR="000D33A8" w:rsidRPr="00675182" w:rsidRDefault="00F91912" w:rsidP="00A84218">
      <w:pPr>
        <w:pStyle w:val="ListParagraph"/>
        <w:numPr>
          <w:ilvl w:val="0"/>
          <w:numId w:val="78"/>
        </w:numPr>
        <w:ind w:left="284"/>
        <w:jc w:val="both"/>
        <w:rPr>
          <w:rFonts w:cstheme="minorHAnsi"/>
        </w:rPr>
      </w:pPr>
      <w:r>
        <w:rPr>
          <w:rFonts w:cstheme="minorHAnsi"/>
        </w:rPr>
        <w:t>p</w:t>
      </w:r>
      <w:r w:rsidRPr="00675182">
        <w:rPr>
          <w:rFonts w:cstheme="minorHAnsi"/>
        </w:rPr>
        <w:t>latībās</w:t>
      </w:r>
      <w:r w:rsidR="000D33A8" w:rsidRPr="00675182">
        <w:rPr>
          <w:rFonts w:cstheme="minorHAnsi"/>
        </w:rPr>
        <w:t>, kur</w:t>
      </w:r>
      <w:r w:rsidR="0065017F" w:rsidRPr="00675182">
        <w:rPr>
          <w:rFonts w:cstheme="minorHAnsi"/>
        </w:rPr>
        <w:t xml:space="preserve">, pēc vispusīga izvērtējuma, ir </w:t>
      </w:r>
      <w:r w:rsidR="000D33A8" w:rsidRPr="00675182">
        <w:rPr>
          <w:rFonts w:cstheme="minorHAnsi"/>
        </w:rPr>
        <w:t>pamatota ūdenstilpju ierīkošana, rekultivācijas ietvaros šis pasākums plānojams tā, lai novērstu vai maksimāli samazinātu zemas pH vērtības, ar humīnvielām piesātināto ūdeņu noplūdi Ungura ezerā</w:t>
      </w:r>
      <w:r w:rsidR="00B62BEB">
        <w:rPr>
          <w:rFonts w:cstheme="minorHAnsi"/>
        </w:rPr>
        <w:t>;</w:t>
      </w:r>
    </w:p>
    <w:p w14:paraId="56585A96" w14:textId="3A02572D" w:rsidR="000D33A8" w:rsidRPr="00675182" w:rsidRDefault="00B62BEB" w:rsidP="00A84218">
      <w:pPr>
        <w:pStyle w:val="ListParagraph"/>
        <w:numPr>
          <w:ilvl w:val="0"/>
          <w:numId w:val="78"/>
        </w:numPr>
        <w:ind w:left="284"/>
        <w:jc w:val="both"/>
        <w:rPr>
          <w:rFonts w:cstheme="minorHAnsi"/>
        </w:rPr>
      </w:pPr>
      <w:r>
        <w:rPr>
          <w:rFonts w:cstheme="minorHAnsi"/>
        </w:rPr>
        <w:lastRenderedPageBreak/>
        <w:t>r</w:t>
      </w:r>
      <w:r w:rsidRPr="00675182">
        <w:rPr>
          <w:rFonts w:cstheme="minorHAnsi"/>
        </w:rPr>
        <w:t xml:space="preserve">ekultivācijas </w:t>
      </w:r>
      <w:r w:rsidR="006000C8" w:rsidRPr="00675182">
        <w:rPr>
          <w:rFonts w:cstheme="minorHAnsi"/>
        </w:rPr>
        <w:t>plāna sagatavošanas ietvaros veicama h</w:t>
      </w:r>
      <w:r w:rsidR="000D33A8" w:rsidRPr="00675182">
        <w:rPr>
          <w:rFonts w:cstheme="minorHAnsi"/>
        </w:rPr>
        <w:t xml:space="preserve">idroloģiskā režīma izmaiņu (gruntsūdeņu līmenis, gruntsūdeņu un virszemes ūdeņu plūsmas) modelēšana pašreizējai situācijai - gan kūdras ieguves teritorijai, gan </w:t>
      </w:r>
      <w:r w:rsidR="00063A45" w:rsidRPr="00675182">
        <w:rPr>
          <w:rFonts w:cstheme="minorHAnsi"/>
        </w:rPr>
        <w:t>pieguļošajām</w:t>
      </w:r>
      <w:r w:rsidR="000D33A8" w:rsidRPr="00675182">
        <w:rPr>
          <w:rFonts w:cstheme="minorHAnsi"/>
        </w:rPr>
        <w:t xml:space="preserve"> platībām, un hidroloģijas situācijas izmaiņu modelēšana turpinot kūdras ieguvi (ar </w:t>
      </w:r>
      <w:r w:rsidR="006000C8" w:rsidRPr="00675182">
        <w:rPr>
          <w:rFonts w:cstheme="minorHAnsi"/>
        </w:rPr>
        <w:t>5</w:t>
      </w:r>
      <w:r w:rsidR="000D33A8" w:rsidRPr="00675182">
        <w:rPr>
          <w:rFonts w:cstheme="minorHAnsi"/>
        </w:rPr>
        <w:t xml:space="preserve"> gadu intervālu + situācijas modelis 2036. gadam). Tāpat ir jāveic hidroloģiskā režīma modelēšana scenārijam pēc rekultivācijas pasākumu realizācijas – dažādu pasākumu platību savstarpējās saskaņotības novērtējumam</w:t>
      </w:r>
      <w:r>
        <w:rPr>
          <w:rFonts w:cstheme="minorHAnsi"/>
        </w:rPr>
        <w:t>;</w:t>
      </w:r>
    </w:p>
    <w:p w14:paraId="1698024A" w14:textId="155659D6" w:rsidR="000D33A8" w:rsidRPr="00675182" w:rsidRDefault="00B62BEB" w:rsidP="00A84218">
      <w:pPr>
        <w:pStyle w:val="ListParagraph"/>
        <w:numPr>
          <w:ilvl w:val="0"/>
          <w:numId w:val="78"/>
        </w:numPr>
        <w:ind w:left="284"/>
        <w:jc w:val="both"/>
        <w:rPr>
          <w:rFonts w:cstheme="minorHAnsi"/>
        </w:rPr>
      </w:pPr>
      <w:r>
        <w:rPr>
          <w:rFonts w:cstheme="minorHAnsi"/>
        </w:rPr>
        <w:t>r</w:t>
      </w:r>
      <w:r w:rsidRPr="00675182">
        <w:rPr>
          <w:rFonts w:cstheme="minorHAnsi"/>
        </w:rPr>
        <w:t xml:space="preserve">ekultivācijas </w:t>
      </w:r>
      <w:r w:rsidR="000D33A8" w:rsidRPr="00675182">
        <w:rPr>
          <w:rFonts w:cstheme="minorHAnsi"/>
        </w:rPr>
        <w:t xml:space="preserve">plānā jāparedz pasākumi ar kūdras ieguves turpināšanu saistīto ietekmju mazināšanai uz Ungura ezeru un kūdras ieguves teritorijai </w:t>
      </w:r>
      <w:r w:rsidR="00063A45" w:rsidRPr="00675182">
        <w:rPr>
          <w:rFonts w:cstheme="minorHAnsi"/>
        </w:rPr>
        <w:t>pieguļošajām</w:t>
      </w:r>
      <w:r w:rsidR="000D33A8" w:rsidRPr="00675182">
        <w:rPr>
          <w:rFonts w:cstheme="minorHAnsi"/>
        </w:rPr>
        <w:t xml:space="preserve"> aizsargājamu </w:t>
      </w:r>
      <w:r w:rsidR="006000C8" w:rsidRPr="00675182">
        <w:rPr>
          <w:rFonts w:cstheme="minorHAnsi"/>
        </w:rPr>
        <w:t xml:space="preserve">mežu un </w:t>
      </w:r>
      <w:r w:rsidR="000D33A8" w:rsidRPr="00675182">
        <w:rPr>
          <w:rFonts w:cstheme="minorHAnsi"/>
        </w:rPr>
        <w:t>purvu biotopu platībām</w:t>
      </w:r>
      <w:r>
        <w:rPr>
          <w:rFonts w:cstheme="minorHAnsi"/>
        </w:rPr>
        <w:t>;</w:t>
      </w:r>
    </w:p>
    <w:p w14:paraId="609C8388" w14:textId="0A22A4F9" w:rsidR="000D33A8" w:rsidRPr="00675182" w:rsidRDefault="00B62BEB" w:rsidP="00A84218">
      <w:pPr>
        <w:pStyle w:val="ListParagraph"/>
        <w:numPr>
          <w:ilvl w:val="0"/>
          <w:numId w:val="78"/>
        </w:numPr>
        <w:ind w:left="284"/>
        <w:jc w:val="both"/>
        <w:rPr>
          <w:rFonts w:cstheme="minorHAnsi"/>
        </w:rPr>
      </w:pPr>
      <w:r>
        <w:rPr>
          <w:rFonts w:cstheme="minorHAnsi"/>
        </w:rPr>
        <w:t>r</w:t>
      </w:r>
      <w:r w:rsidRPr="00675182">
        <w:rPr>
          <w:rFonts w:cstheme="minorHAnsi"/>
        </w:rPr>
        <w:t xml:space="preserve">ekultivācijas </w:t>
      </w:r>
      <w:r w:rsidR="000D33A8" w:rsidRPr="00675182">
        <w:rPr>
          <w:rFonts w:cstheme="minorHAnsi"/>
        </w:rPr>
        <w:t xml:space="preserve">pasākumu uzsākšana būtu jāplāno arī laika posmam līdz 2036. gadam – platībām, kur plānota kūdras ieguves pārtraukšana. Iespēju robežās rekultivācijas pasākumi jau līdz 2036. gadam plānojami platībās, kas samazinātu kūdras ieguves negatīvo ietekmi uz Ungura ezeru un kūdras ieguves teritorijai </w:t>
      </w:r>
      <w:r w:rsidR="00063A45" w:rsidRPr="00675182">
        <w:rPr>
          <w:rFonts w:cstheme="minorHAnsi"/>
        </w:rPr>
        <w:t>pieguļošajām</w:t>
      </w:r>
      <w:r w:rsidR="000D33A8" w:rsidRPr="00675182">
        <w:rPr>
          <w:rFonts w:cstheme="minorHAnsi"/>
        </w:rPr>
        <w:t xml:space="preserve"> aizsargājamo purvu biotopu platībām</w:t>
      </w:r>
      <w:r>
        <w:rPr>
          <w:rFonts w:cstheme="minorHAnsi"/>
        </w:rPr>
        <w:t>;</w:t>
      </w:r>
    </w:p>
    <w:p w14:paraId="6F6EF084" w14:textId="6E1F9336" w:rsidR="000D33A8" w:rsidRPr="00675182" w:rsidRDefault="00B62BEB" w:rsidP="00A84218">
      <w:pPr>
        <w:pStyle w:val="ListParagraph"/>
        <w:numPr>
          <w:ilvl w:val="0"/>
          <w:numId w:val="78"/>
        </w:numPr>
        <w:ind w:left="284"/>
        <w:jc w:val="both"/>
        <w:rPr>
          <w:rFonts w:cstheme="minorHAnsi"/>
        </w:rPr>
      </w:pPr>
      <w:r>
        <w:rPr>
          <w:rFonts w:cstheme="minorHAnsi"/>
        </w:rPr>
        <w:t>r</w:t>
      </w:r>
      <w:r w:rsidRPr="00675182">
        <w:rPr>
          <w:rFonts w:cstheme="minorHAnsi"/>
        </w:rPr>
        <w:t xml:space="preserve">ekultivācijas </w:t>
      </w:r>
      <w:r w:rsidR="000D33A8" w:rsidRPr="00675182">
        <w:rPr>
          <w:rFonts w:cstheme="minorHAnsi"/>
        </w:rPr>
        <w:t>plānā jāietver arī monitoringa plāna (monitoringa metodikas apraksts, monitoringa vietu/lokāciju/punktu plānojums) sagatavošana:</w:t>
      </w:r>
    </w:p>
    <w:p w14:paraId="0E0DD850" w14:textId="47DC0CCC" w:rsidR="000D33A8" w:rsidRPr="00675182" w:rsidRDefault="000D33A8" w:rsidP="00A84218">
      <w:pPr>
        <w:pStyle w:val="ListParagraph"/>
        <w:numPr>
          <w:ilvl w:val="0"/>
          <w:numId w:val="61"/>
        </w:numPr>
        <w:ind w:left="993"/>
        <w:jc w:val="both"/>
        <w:rPr>
          <w:rFonts w:cstheme="minorHAnsi"/>
        </w:rPr>
      </w:pPr>
      <w:r w:rsidRPr="00675182">
        <w:rPr>
          <w:rFonts w:cstheme="minorHAnsi"/>
        </w:rPr>
        <w:t>hidroloģiskā režīma (gruntsūdens līmeņa) izmaiņas kūdras ieguves teritorijai piegulošajās platībās (noteikti aizsargājamos purvu biotopos!),</w:t>
      </w:r>
    </w:p>
    <w:p w14:paraId="44303F51" w14:textId="7A6466C1" w:rsidR="000D33A8" w:rsidRPr="00675182" w:rsidRDefault="000D33A8" w:rsidP="00A84218">
      <w:pPr>
        <w:pStyle w:val="ListParagraph"/>
        <w:numPr>
          <w:ilvl w:val="0"/>
          <w:numId w:val="61"/>
        </w:numPr>
        <w:ind w:left="993"/>
        <w:jc w:val="both"/>
        <w:rPr>
          <w:rFonts w:cstheme="minorHAnsi"/>
        </w:rPr>
      </w:pPr>
      <w:r w:rsidRPr="00675182">
        <w:rPr>
          <w:rFonts w:cstheme="minorHAnsi"/>
        </w:rPr>
        <w:t>hidroloģiskā režīma izmaiņas kūdras ieguves teritorijās, kur plānoti rekultivācijas pasākumi – purva renaturalizācija un mežaudžu attīstība,</w:t>
      </w:r>
    </w:p>
    <w:p w14:paraId="09F9E07E" w14:textId="3EB940FC" w:rsidR="000D33A8" w:rsidRPr="00675182" w:rsidRDefault="000D33A8" w:rsidP="00A84218">
      <w:pPr>
        <w:pStyle w:val="ListParagraph"/>
        <w:numPr>
          <w:ilvl w:val="0"/>
          <w:numId w:val="61"/>
        </w:numPr>
        <w:ind w:left="993"/>
        <w:jc w:val="both"/>
        <w:rPr>
          <w:rFonts w:cstheme="minorHAnsi"/>
        </w:rPr>
      </w:pPr>
      <w:r w:rsidRPr="00675182">
        <w:rPr>
          <w:rFonts w:cstheme="minorHAnsi"/>
        </w:rPr>
        <w:t xml:space="preserve">veģetācijas monitorings kūdras ieguves teritorijai </w:t>
      </w:r>
      <w:r w:rsidR="00063A45" w:rsidRPr="00675182">
        <w:rPr>
          <w:rFonts w:cstheme="minorHAnsi"/>
        </w:rPr>
        <w:t>pieguļošajās</w:t>
      </w:r>
      <w:r w:rsidRPr="00675182">
        <w:rPr>
          <w:rFonts w:cstheme="minorHAnsi"/>
        </w:rPr>
        <w:t xml:space="preserve"> aizsargājamu purvu biotopu platībās,</w:t>
      </w:r>
    </w:p>
    <w:p w14:paraId="522601FC" w14:textId="124C4BE3" w:rsidR="000D33A8" w:rsidRPr="00675182" w:rsidRDefault="000D33A8" w:rsidP="00A84218">
      <w:pPr>
        <w:pStyle w:val="ListParagraph"/>
        <w:numPr>
          <w:ilvl w:val="0"/>
          <w:numId w:val="61"/>
        </w:numPr>
        <w:ind w:left="993"/>
        <w:jc w:val="both"/>
        <w:rPr>
          <w:rFonts w:cstheme="minorHAnsi"/>
        </w:rPr>
      </w:pPr>
      <w:r w:rsidRPr="00675182">
        <w:rPr>
          <w:rFonts w:cstheme="minorHAnsi"/>
        </w:rPr>
        <w:t xml:space="preserve">veģetācijas attīstības monitorings rekultivācijas plānā paredzētajās purva renaturalizācijas un mežaudžu attīstības platībās, </w:t>
      </w:r>
    </w:p>
    <w:p w14:paraId="172713F0" w14:textId="7BEBBEC4" w:rsidR="000D33A8" w:rsidRPr="00675182" w:rsidRDefault="000D33A8" w:rsidP="00A84218">
      <w:pPr>
        <w:pStyle w:val="ListParagraph"/>
        <w:numPr>
          <w:ilvl w:val="0"/>
          <w:numId w:val="61"/>
        </w:numPr>
        <w:ind w:left="993"/>
        <w:jc w:val="both"/>
        <w:rPr>
          <w:rFonts w:cstheme="minorHAnsi"/>
        </w:rPr>
      </w:pPr>
      <w:r w:rsidRPr="00675182">
        <w:rPr>
          <w:rFonts w:cstheme="minorHAnsi"/>
        </w:rPr>
        <w:t>koku seguma attīstība (koku vainagu segums un koku augstums) kūdras ieguves platībai piegulošo aizsargājamu purvu biotopu platībās (izmantojot attālās izpētes datus – datu analīze ar 10 gadu intervālu),</w:t>
      </w:r>
    </w:p>
    <w:p w14:paraId="5134AD89" w14:textId="6F5E7097" w:rsidR="000D33A8" w:rsidRPr="00675182" w:rsidRDefault="000D33A8" w:rsidP="00A84218">
      <w:pPr>
        <w:pStyle w:val="ListParagraph"/>
        <w:numPr>
          <w:ilvl w:val="0"/>
          <w:numId w:val="61"/>
        </w:numPr>
        <w:ind w:left="993"/>
        <w:jc w:val="both"/>
        <w:rPr>
          <w:rFonts w:cstheme="minorHAnsi"/>
        </w:rPr>
      </w:pPr>
      <w:r w:rsidRPr="00675182">
        <w:rPr>
          <w:rFonts w:cstheme="minorHAnsi"/>
        </w:rPr>
        <w:t>Ungura ezerā no kūdras ieguves platības ieplūstošo ūdeņu monitorings (daudzums pastāvīgi, fizikālķīmiskie parametri – vismaz krāsainība un pH vērtība, periodiski – vismaz 4 x gadā aptverot gan mazūdens periodu, gan palielinātas noplūdes sezonu (atbilstoši saldūdeņu biotopu jomas eksperta formulētajiem nosacījumiem)).</w:t>
      </w:r>
    </w:p>
    <w:p w14:paraId="6CF24851" w14:textId="3DA9BB91" w:rsidR="000D33A8" w:rsidRPr="00675182" w:rsidRDefault="000D33A8" w:rsidP="000C24E5">
      <w:pPr>
        <w:jc w:val="both"/>
        <w:rPr>
          <w:rFonts w:cstheme="minorHAnsi"/>
        </w:rPr>
      </w:pPr>
      <w:r w:rsidRPr="00675182">
        <w:rPr>
          <w:rFonts w:cstheme="minorHAnsi"/>
        </w:rPr>
        <w:t>Monitoringa pasākumu telpiskā/lokāciju plāna sagatavošanai jāņem vērā hidroloģiskā režīma izmaiņu modelēšanas rezultāti.</w:t>
      </w:r>
    </w:p>
    <w:p w14:paraId="338D755B" w14:textId="77777777" w:rsidR="00063A45" w:rsidRPr="00675182" w:rsidRDefault="00063A45" w:rsidP="00063A45">
      <w:pPr>
        <w:spacing w:before="120"/>
        <w:jc w:val="both"/>
        <w:rPr>
          <w:rFonts w:cstheme="minorHAnsi"/>
        </w:rPr>
      </w:pPr>
    </w:p>
    <w:p w14:paraId="6FC3A089" w14:textId="1F483531" w:rsidR="00063A45" w:rsidRPr="00675182" w:rsidRDefault="000D33A8" w:rsidP="000D33A8">
      <w:pPr>
        <w:jc w:val="both"/>
        <w:rPr>
          <w:rFonts w:cstheme="minorHAnsi"/>
        </w:rPr>
      </w:pPr>
      <w:r w:rsidRPr="00675182">
        <w:rPr>
          <w:rFonts w:cstheme="minorHAnsi"/>
        </w:rPr>
        <w:t xml:space="preserve">Hidroloģiskā režīma novērtējuma datu ieguvei </w:t>
      </w:r>
      <w:r w:rsidR="006000C8" w:rsidRPr="00675182">
        <w:rPr>
          <w:rFonts w:cstheme="minorHAnsi"/>
        </w:rPr>
        <w:t>plānojama</w:t>
      </w:r>
      <w:r w:rsidRPr="00675182">
        <w:rPr>
          <w:rFonts w:cstheme="minorHAnsi"/>
        </w:rPr>
        <w:t xml:space="preserve"> gruntsūdens mērīšanas </w:t>
      </w:r>
      <w:r w:rsidR="00063A45" w:rsidRPr="00675182">
        <w:rPr>
          <w:rFonts w:cstheme="minorHAnsi"/>
        </w:rPr>
        <w:t>aku</w:t>
      </w:r>
      <w:r w:rsidRPr="00675182">
        <w:rPr>
          <w:rFonts w:cstheme="minorHAnsi"/>
        </w:rPr>
        <w:t xml:space="preserve"> jeb pjezometriskie urbum</w:t>
      </w:r>
      <w:r w:rsidR="006000C8" w:rsidRPr="00675182">
        <w:rPr>
          <w:rFonts w:cstheme="minorHAnsi"/>
        </w:rPr>
        <w:t>u ierīkošana</w:t>
      </w:r>
      <w:r w:rsidRPr="00675182">
        <w:rPr>
          <w:rFonts w:cstheme="minorHAnsi"/>
        </w:rPr>
        <w:t xml:space="preserve">. Aku vai urbumu tehniskā realizācija </w:t>
      </w:r>
      <w:r w:rsidR="006000C8" w:rsidRPr="00675182">
        <w:rPr>
          <w:rFonts w:cstheme="minorHAnsi"/>
        </w:rPr>
        <w:t>jāparedz</w:t>
      </w:r>
      <w:r w:rsidRPr="00675182">
        <w:rPr>
          <w:rFonts w:cstheme="minorHAnsi"/>
        </w:rPr>
        <w:t xml:space="preserve"> saskaņā ar literatūrā aprakstīto un Latvijā aprobēto metodiku, piemēram:</w:t>
      </w:r>
    </w:p>
    <w:p w14:paraId="746B4A79" w14:textId="265DC590" w:rsidR="000D33A8" w:rsidRPr="00675182" w:rsidRDefault="000D33A8" w:rsidP="000D33A8">
      <w:pPr>
        <w:jc w:val="both"/>
        <w:rPr>
          <w:rFonts w:cstheme="minorHAnsi"/>
          <w:i/>
          <w:iCs/>
        </w:rPr>
      </w:pPr>
      <w:r w:rsidRPr="00675182">
        <w:rPr>
          <w:rFonts w:cstheme="minorHAnsi"/>
          <w:i/>
          <w:iCs/>
        </w:rPr>
        <w:t>Aleksāns, O., 2016. Gruntsūdens līmeņa pastāvīgo novērojumu veikšana projekta vietās. Pārskats: gruntsūdens monitoringa tīkla izveide un monitoringa novērojumi. 2016. g. II ceturksnis. Mitrāji: LIFE+ projekts LIFE13 NAT/LV/000578 prioritāro mitrāju biotopu aizsardzība un apsaimniekošana Latvijā. Rīga, Latvijas Universitāte, 46 lpp</w:t>
      </w:r>
      <w:r w:rsidRPr="00675182">
        <w:rPr>
          <w:rFonts w:cstheme="minorHAnsi"/>
        </w:rPr>
        <w:t>. vai</w:t>
      </w:r>
      <w:r w:rsidR="000C24E5" w:rsidRPr="00675182">
        <w:rPr>
          <w:rFonts w:cstheme="minorHAnsi"/>
        </w:rPr>
        <w:t xml:space="preserve"> </w:t>
      </w:r>
      <w:r w:rsidRPr="00675182">
        <w:rPr>
          <w:rFonts w:cstheme="minorHAnsi"/>
          <w:i/>
          <w:iCs/>
        </w:rPr>
        <w:t xml:space="preserve">Purvu biotopu atjaunošanas, apsaimniekošanas pasākumu un ietekmju izvērtēšanas monitoringa (hidroloģiskajam monitoringam un veģetācijas monitoringam) metodika https://www.daba.gov.lv/lv/media/4244/download </w:t>
      </w:r>
      <w:r w:rsidR="00EE0C83">
        <w:rPr>
          <w:rFonts w:cstheme="minorHAnsi"/>
          <w:i/>
          <w:iCs/>
        </w:rPr>
        <w:t>.</w:t>
      </w:r>
    </w:p>
    <w:p w14:paraId="042EA8F6" w14:textId="77777777" w:rsidR="00E14866" w:rsidRPr="00675182" w:rsidRDefault="000D33A8" w:rsidP="006000C8">
      <w:pPr>
        <w:spacing w:before="120"/>
        <w:jc w:val="both"/>
        <w:rPr>
          <w:rFonts w:cstheme="minorHAnsi"/>
        </w:rPr>
      </w:pPr>
      <w:r w:rsidRPr="00675182">
        <w:rPr>
          <w:rFonts w:cstheme="minorHAnsi"/>
        </w:rPr>
        <w:lastRenderedPageBreak/>
        <w:t xml:space="preserve">Hidroloģiskā režīma monitorings un datu ieguve no monitoringa urbumiem </w:t>
      </w:r>
      <w:r w:rsidR="006000C8" w:rsidRPr="00675182">
        <w:rPr>
          <w:rFonts w:cstheme="minorHAnsi"/>
        </w:rPr>
        <w:t xml:space="preserve">plānojama </w:t>
      </w:r>
      <w:r w:rsidR="00E14866" w:rsidRPr="00675182">
        <w:rPr>
          <w:rFonts w:cstheme="minorHAnsi"/>
        </w:rPr>
        <w:t>vienā no sekojošiem</w:t>
      </w:r>
      <w:r w:rsidRPr="00675182">
        <w:rPr>
          <w:rFonts w:cstheme="minorHAnsi"/>
        </w:rPr>
        <w:t xml:space="preserve"> veid</w:t>
      </w:r>
      <w:r w:rsidR="00E14866" w:rsidRPr="00675182">
        <w:rPr>
          <w:rFonts w:cstheme="minorHAnsi"/>
        </w:rPr>
        <w:t>iem</w:t>
      </w:r>
      <w:r w:rsidRPr="00675182">
        <w:rPr>
          <w:rFonts w:cstheme="minorHAnsi"/>
        </w:rPr>
        <w:t xml:space="preserve">: </w:t>
      </w:r>
    </w:p>
    <w:p w14:paraId="04CBE989" w14:textId="5A7FA438" w:rsidR="00E14866" w:rsidRPr="00675182" w:rsidRDefault="000D33A8" w:rsidP="00A84218">
      <w:pPr>
        <w:pStyle w:val="ListParagraph"/>
        <w:numPr>
          <w:ilvl w:val="0"/>
          <w:numId w:val="62"/>
        </w:numPr>
        <w:spacing w:before="120"/>
        <w:ind w:left="567"/>
        <w:jc w:val="both"/>
        <w:rPr>
          <w:rFonts w:cstheme="minorHAnsi"/>
        </w:rPr>
      </w:pPr>
      <w:r w:rsidRPr="00675182">
        <w:rPr>
          <w:rFonts w:cstheme="minorHAnsi"/>
        </w:rPr>
        <w:t>regulāri (vismaz 1x mēnesī) veicot manuālus gruntsūdens līmeņa uzmērījum</w:t>
      </w:r>
      <w:r w:rsidR="000C24E5" w:rsidRPr="00675182">
        <w:rPr>
          <w:rFonts w:cstheme="minorHAnsi"/>
        </w:rPr>
        <w:t>u</w:t>
      </w:r>
      <w:r w:rsidRPr="00675182">
        <w:rPr>
          <w:rFonts w:cstheme="minorHAnsi"/>
        </w:rPr>
        <w:t>s,</w:t>
      </w:r>
    </w:p>
    <w:p w14:paraId="5314EB82" w14:textId="1305637D" w:rsidR="000D33A8" w:rsidRPr="00675182" w:rsidRDefault="000D33A8" w:rsidP="00A84218">
      <w:pPr>
        <w:pStyle w:val="ListParagraph"/>
        <w:numPr>
          <w:ilvl w:val="0"/>
          <w:numId w:val="62"/>
        </w:numPr>
        <w:spacing w:before="120"/>
        <w:ind w:left="567"/>
        <w:jc w:val="both"/>
        <w:rPr>
          <w:rFonts w:cstheme="minorHAnsi"/>
        </w:rPr>
      </w:pPr>
      <w:r w:rsidRPr="00675182">
        <w:rPr>
          <w:rFonts w:cstheme="minorHAnsi"/>
        </w:rPr>
        <w:t xml:space="preserve">ievietojot monitoringa urbumos automātiskos sensorus jeb t.s. datu logerus, piemēram, https://www.environmental-expert.com/products/baro-diver-groundwater-level-measurement-data-loggers-276718 </w:t>
      </w:r>
      <w:r w:rsidR="00EE0C83">
        <w:rPr>
          <w:rFonts w:cstheme="minorHAnsi"/>
        </w:rPr>
        <w:t>.</w:t>
      </w:r>
    </w:p>
    <w:p w14:paraId="1BA71B8B" w14:textId="77777777" w:rsidR="000C24E5" w:rsidRPr="00675182" w:rsidRDefault="000C24E5" w:rsidP="000C24E5">
      <w:pPr>
        <w:jc w:val="both"/>
        <w:rPr>
          <w:rFonts w:cstheme="minorHAnsi"/>
        </w:rPr>
      </w:pPr>
    </w:p>
    <w:p w14:paraId="038E07DD" w14:textId="49B60E5D" w:rsidR="000D33A8" w:rsidRPr="00675182" w:rsidRDefault="000D33A8" w:rsidP="000C24E5">
      <w:pPr>
        <w:jc w:val="both"/>
        <w:rPr>
          <w:rFonts w:cstheme="minorHAnsi"/>
        </w:rPr>
      </w:pPr>
      <w:r w:rsidRPr="00675182">
        <w:rPr>
          <w:rFonts w:cstheme="minorHAnsi"/>
        </w:rPr>
        <w:t xml:space="preserve">Rekultivācijas plāna sagatavošanai </w:t>
      </w:r>
      <w:r w:rsidR="00E14866" w:rsidRPr="00675182">
        <w:rPr>
          <w:rFonts w:cstheme="minorHAnsi"/>
        </w:rPr>
        <w:t>obligāti piesaistāmie</w:t>
      </w:r>
      <w:r w:rsidRPr="00675182">
        <w:rPr>
          <w:rFonts w:cstheme="minorHAnsi"/>
        </w:rPr>
        <w:t xml:space="preserve"> eksperti, kompetences - hidroģeoloģiskās modelēšanas speciālists, </w:t>
      </w:r>
      <w:r w:rsidR="00D10AE9">
        <w:rPr>
          <w:rFonts w:cstheme="minorHAnsi"/>
        </w:rPr>
        <w:t>sugu un biotopu aizsardzības jomā sertificēti eksperti par purvu un saldūdens biotopiem.</w:t>
      </w:r>
    </w:p>
    <w:p w14:paraId="1E863297" w14:textId="77777777" w:rsidR="000C24E5" w:rsidRPr="00675182" w:rsidRDefault="000C24E5" w:rsidP="000C24E5">
      <w:pPr>
        <w:jc w:val="both"/>
        <w:rPr>
          <w:rFonts w:cstheme="minorHAnsi"/>
        </w:rPr>
      </w:pPr>
    </w:p>
    <w:p w14:paraId="0108C3D7" w14:textId="6851EB77" w:rsidR="005E7B57" w:rsidRPr="00675182" w:rsidRDefault="005E7B57" w:rsidP="000C24E5">
      <w:pPr>
        <w:jc w:val="both"/>
        <w:rPr>
          <w:rFonts w:cstheme="minorHAnsi"/>
        </w:rPr>
      </w:pPr>
      <w:r w:rsidRPr="00675182">
        <w:rPr>
          <w:rFonts w:cstheme="minorHAnsi"/>
        </w:rPr>
        <w:t xml:space="preserve">Rekultivācijas plāns, pēc tā sagatavošanas, saskaņojams ar </w:t>
      </w:r>
      <w:r w:rsidR="00EE0C83">
        <w:rPr>
          <w:rFonts w:cstheme="minorHAnsi"/>
        </w:rPr>
        <w:t>DAP</w:t>
      </w:r>
      <w:r w:rsidRPr="00675182">
        <w:rPr>
          <w:rFonts w:cstheme="minorHAnsi"/>
        </w:rPr>
        <w:t>.</w:t>
      </w:r>
    </w:p>
    <w:p w14:paraId="7385C586" w14:textId="29814AB0" w:rsidR="00BA52FD" w:rsidRPr="00675182" w:rsidRDefault="00BA52FD" w:rsidP="001867C1">
      <w:pPr>
        <w:jc w:val="both"/>
        <w:rPr>
          <w:rFonts w:cstheme="minorHAnsi"/>
          <w:szCs w:val="24"/>
        </w:rPr>
      </w:pPr>
    </w:p>
    <w:p w14:paraId="601B17F4" w14:textId="5A530398" w:rsidR="006B5C31" w:rsidRPr="00675182" w:rsidRDefault="006B5C31" w:rsidP="00E456E7">
      <w:pPr>
        <w:keepNext/>
        <w:keepLines/>
        <w:jc w:val="both"/>
        <w:rPr>
          <w:rFonts w:cstheme="minorHAnsi"/>
          <w:b/>
          <w:bCs/>
          <w:szCs w:val="24"/>
        </w:rPr>
      </w:pPr>
      <w:r w:rsidRPr="00675182">
        <w:rPr>
          <w:rFonts w:cstheme="minorHAnsi"/>
          <w:b/>
          <w:bCs/>
          <w:szCs w:val="24"/>
        </w:rPr>
        <w:t xml:space="preserve">A.10. Izmaiņas </w:t>
      </w:r>
      <w:r w:rsidR="0077389C" w:rsidRPr="00675182">
        <w:rPr>
          <w:rFonts w:cstheme="minorHAnsi"/>
          <w:b/>
          <w:bCs/>
          <w:szCs w:val="24"/>
        </w:rPr>
        <w:t>citos normatīvajos aktos</w:t>
      </w:r>
    </w:p>
    <w:p w14:paraId="32732750" w14:textId="78922A47" w:rsidR="0077389C" w:rsidRPr="00675182" w:rsidRDefault="00D340E6" w:rsidP="006B5C31">
      <w:pPr>
        <w:jc w:val="both"/>
      </w:pPr>
      <w:r w:rsidRPr="00675182">
        <w:t>Nepieciešams sagatavot un virzīt apstiprināšanai grozījumus normatīvajos aktos, kas salāgotu spēkā esošos regulējumus un nodrošinātu iespēju izmantot</w:t>
      </w:r>
      <w:r w:rsidR="00720BDF" w:rsidRPr="00675182">
        <w:t xml:space="preserve"> </w:t>
      </w:r>
      <w:r w:rsidRPr="00675182">
        <w:t>zemes maiņu kā vienu no kompensāciju veidiem. Regulējumu salāgošana un papildināšana nepieciešama šādos likumos - likums Par kompensāciju par saimnieciskās darbības ierobežojumiem aizsargājamās teritorijās, Meža likums, Aizsargjoslu likums,  Zemes pārvaldības likums, kā arī šiem likumiem pakārtotajos normatīvajos aktos.</w:t>
      </w:r>
    </w:p>
    <w:p w14:paraId="5E0EFBC4" w14:textId="77777777" w:rsidR="00D340E6" w:rsidRPr="00675182" w:rsidRDefault="00D340E6" w:rsidP="006B5C31">
      <w:pPr>
        <w:jc w:val="both"/>
      </w:pPr>
    </w:p>
    <w:p w14:paraId="5936EEBB" w14:textId="0BB2D366" w:rsidR="0077389C" w:rsidRPr="00675182" w:rsidRDefault="0077389C" w:rsidP="0077389C">
      <w:pPr>
        <w:jc w:val="both"/>
      </w:pPr>
      <w:r w:rsidRPr="00675182">
        <w:t>MK 2012. gada 2. maija noteikumu Nr. 308 “Meža atjaunošanas, meža ieaudzēšanas un plantāciju meža noteikumi” 26.5. apakšpunktā ir notikts, ka “Plantāciju mežu nereģistrē īpaši aizsargājamās dabas teritorijās, izņemot neitrālo zonu;”. Lai nodrošinātu ilgtspējīgu saimniecisko darbību GNP, būtu jāveic grozījumi MK noteikumos, kas paredzētu izņēmumu, ja attiecīgās ĪADT IAIN paredz savādāk.</w:t>
      </w:r>
    </w:p>
    <w:p w14:paraId="63DA5803" w14:textId="66649F55" w:rsidR="00137B3D" w:rsidRPr="00675182" w:rsidRDefault="00137B3D" w:rsidP="006B5C31">
      <w:pPr>
        <w:jc w:val="both"/>
        <w:rPr>
          <w:rFonts w:cstheme="minorHAnsi"/>
          <w:b/>
          <w:bCs/>
          <w:szCs w:val="24"/>
        </w:rPr>
      </w:pPr>
    </w:p>
    <w:p w14:paraId="433492D9" w14:textId="77777777" w:rsidR="000950A8" w:rsidRPr="00675182" w:rsidRDefault="000950A8" w:rsidP="000950A8">
      <w:pPr>
        <w:jc w:val="both"/>
      </w:pPr>
      <w:r w:rsidRPr="00675182">
        <w:t xml:space="preserve">GNP teritorijā invazīvo sugu izplatība ir viens no būtiskiem vidi un aizsargājamās dabas vērtības degradējošiem faktoriem (rekomendācijas apkarošanas pasākumu plānošanai skat. B.7.1 pasākumā), taču to apkarošanu kavē vairāki administratīva rakstura faktori: 1) tikai Sosnovska latvānis iekļauts normatīvajos aktos kā invazīva suga, taču ne mazāku ietekmi uz vidi GNP atstāj arī Kanādas zeltslotiņa un puķu sprigane, mazākā mērā arī citas sugas; 2) normatīvie akti, kas uzliek pienākumu apkarot Sosnovska latvāni, paredz naudas sodus, kuri ir mazāki nekā faktiskās latvāņa apkarošanas izmaksas (Augu aizsardzības likums); pastāv iespēja, ka tie netiek piemēroti attiecībā uz valsts uzņēmumiem piederošām teritorijām (piemēram, infrastruktūras nodalījuma joslām) un pašvaldības zemēm (piem., ceļu nodalījuma joslām). Efektīvai invazīvo sugu apkarošanai nepieciešams 1) invazīvo augu sugu apkarošanas noteikumos iekļaut arī citas sugas atbilstoši zinātniski pamatotām rekomendācijām; 2) izvērtēt par invazīvo sugu neapkarošanu piemērojamos administratīvos sodus, lai tie būtu motivējoši veikt apkarošanas pasākumus; 3) īstenot normatīvo regulējumu par zemes īpašnieku pienākumu apkarot invazīvās sugas vienādā mērā attiecībā uz visiem zemes īpašniekiem, it īpaši attiecībā uz lineāriem infrastruktūras objektiem, kas visvairāk veicina šo sugu izplatību. </w:t>
      </w:r>
    </w:p>
    <w:p w14:paraId="6F3ABBDE" w14:textId="77777777" w:rsidR="0077389C" w:rsidRPr="00675182" w:rsidRDefault="0077389C" w:rsidP="006B5C31">
      <w:pPr>
        <w:jc w:val="both"/>
        <w:rPr>
          <w:rFonts w:cstheme="minorHAnsi"/>
          <w:b/>
          <w:bCs/>
          <w:szCs w:val="24"/>
        </w:rPr>
      </w:pPr>
    </w:p>
    <w:p w14:paraId="7094481D" w14:textId="77777777" w:rsidR="001D164D" w:rsidRPr="00675182" w:rsidRDefault="001D164D" w:rsidP="001232E1">
      <w:pPr>
        <w:pStyle w:val="Heading3"/>
        <w:rPr>
          <w:sz w:val="22"/>
          <w:szCs w:val="22"/>
          <w:lang w:val="lv-LV"/>
        </w:rPr>
      </w:pPr>
      <w:bookmarkStart w:id="154" w:name="_Toc116938418"/>
      <w:r w:rsidRPr="00675182">
        <w:rPr>
          <w:lang w:val="lv-LV"/>
        </w:rPr>
        <w:lastRenderedPageBreak/>
        <w:t>B. Dabas vērtību aizsardzība un apsaimniekošana</w:t>
      </w:r>
      <w:bookmarkEnd w:id="154"/>
      <w:r w:rsidRPr="00675182">
        <w:rPr>
          <w:sz w:val="22"/>
          <w:szCs w:val="22"/>
          <w:lang w:val="lv-LV"/>
        </w:rPr>
        <w:t xml:space="preserve"> </w:t>
      </w:r>
    </w:p>
    <w:p w14:paraId="039F71FB" w14:textId="77777777" w:rsidR="001D164D" w:rsidRPr="00675182" w:rsidRDefault="001D164D" w:rsidP="007C12CE">
      <w:pPr>
        <w:pStyle w:val="Footer"/>
        <w:keepNext/>
        <w:keepLines/>
        <w:suppressAutoHyphens w:val="0"/>
        <w:rPr>
          <w:rFonts w:cstheme="minorHAnsi"/>
          <w:szCs w:val="24"/>
          <w:lang w:val="lv-LV"/>
        </w:rPr>
      </w:pPr>
    </w:p>
    <w:p w14:paraId="16E45DF6" w14:textId="77777777" w:rsidR="001D164D" w:rsidRPr="00675182" w:rsidRDefault="001D164D" w:rsidP="007C12CE">
      <w:pPr>
        <w:pStyle w:val="Footer"/>
        <w:keepNext/>
        <w:keepLines/>
        <w:suppressAutoHyphens w:val="0"/>
        <w:rPr>
          <w:rFonts w:cstheme="minorHAnsi"/>
          <w:szCs w:val="24"/>
          <w:u w:val="single"/>
          <w:lang w:val="lv-LV"/>
        </w:rPr>
      </w:pPr>
      <w:bookmarkStart w:id="155" w:name="_Hlk82095286"/>
      <w:r w:rsidRPr="00675182">
        <w:rPr>
          <w:rFonts w:cstheme="minorHAnsi"/>
          <w:szCs w:val="24"/>
          <w:u w:val="single"/>
          <w:lang w:val="lv-LV"/>
        </w:rPr>
        <w:t>B.1. Saldūdeņu biotopu aizsardzība un kvalitātes uzlabošana</w:t>
      </w:r>
    </w:p>
    <w:p w14:paraId="501FD6B6" w14:textId="77777777" w:rsidR="001F1DFA" w:rsidRPr="00675182" w:rsidRDefault="001F1DFA" w:rsidP="001F1DFA">
      <w:pPr>
        <w:jc w:val="both"/>
        <w:rPr>
          <w:rFonts w:cstheme="minorHAnsi"/>
          <w:szCs w:val="24"/>
        </w:rPr>
      </w:pPr>
    </w:p>
    <w:p w14:paraId="707CF0FC" w14:textId="01BE2F6A" w:rsidR="001F1DFA" w:rsidRPr="00675182" w:rsidRDefault="001D164D" w:rsidP="001F1DFA">
      <w:pPr>
        <w:jc w:val="both"/>
        <w:rPr>
          <w:rFonts w:cstheme="minorHAnsi"/>
          <w:b/>
          <w:bCs/>
          <w:szCs w:val="24"/>
        </w:rPr>
      </w:pPr>
      <w:r w:rsidRPr="00675182">
        <w:rPr>
          <w:rFonts w:cstheme="minorHAnsi"/>
          <w:b/>
          <w:bCs/>
          <w:szCs w:val="24"/>
        </w:rPr>
        <w:t xml:space="preserve">B.1.1. </w:t>
      </w:r>
      <w:r w:rsidR="00E4690D" w:rsidRPr="00675182">
        <w:rPr>
          <w:rFonts w:cstheme="minorHAnsi"/>
          <w:b/>
          <w:bCs/>
          <w:szCs w:val="24"/>
        </w:rPr>
        <w:t>Bebru darbības ietekmes samazināšana, bebru skaita regulēšana</w:t>
      </w:r>
    </w:p>
    <w:p w14:paraId="0435F0D5" w14:textId="73131E9E" w:rsidR="001F1DFA" w:rsidRPr="00675182" w:rsidRDefault="001F1DFA" w:rsidP="001F1DFA">
      <w:pPr>
        <w:jc w:val="both"/>
        <w:rPr>
          <w:rFonts w:cstheme="minorHAnsi"/>
        </w:rPr>
      </w:pPr>
      <w:r w:rsidRPr="00675182">
        <w:rPr>
          <w:rFonts w:cstheme="minorHAnsi"/>
          <w:szCs w:val="24"/>
        </w:rPr>
        <w:t xml:space="preserve">Bebru darbība ietekmē gan saldūdeņu biotopus, gan arī piekrastē esošos aizsargājamos biotopus. Bebru skaits jāregulē saskaņā ar citiem dabas aizsardzības pasākumiem un prioritātēm teritorijā, iepriekš veicot bebru uzskaiti un nosakot, kāds ir optimālais skaits un kur tas tiek pārsniegts. </w:t>
      </w:r>
      <w:r w:rsidR="00A06892" w:rsidRPr="00675182">
        <w:rPr>
          <w:rFonts w:cstheme="minorHAnsi"/>
        </w:rPr>
        <w:t xml:space="preserve">Bebru populācijas lielums teritorijā ir novērtējams, izmantojot Zemkopības ministrijas sagatavoto “Medījamo dzīvnieku populāciju stāvokļa novērtēšanas un pieļaujamā nomedīšanas apjoma metodika”. Bebru skaita regulēšana veicama, piesaistot mednieku kolektīvus, kuriem ir iznomātas medību platības. </w:t>
      </w:r>
    </w:p>
    <w:p w14:paraId="3F8A8A03" w14:textId="40DD5D3F" w:rsidR="00FA0FF1" w:rsidRPr="00675182" w:rsidRDefault="00FA0FF1" w:rsidP="001F1DFA">
      <w:pPr>
        <w:jc w:val="both"/>
        <w:rPr>
          <w:rFonts w:cstheme="minorHAnsi"/>
        </w:rPr>
      </w:pPr>
    </w:p>
    <w:p w14:paraId="188D8940" w14:textId="0F75CF55" w:rsidR="00FA0FF1" w:rsidRPr="00675182" w:rsidRDefault="00FA0FF1" w:rsidP="00FA0FF1">
      <w:pPr>
        <w:jc w:val="both"/>
        <w:rPr>
          <w:rFonts w:cstheme="minorHAnsi"/>
          <w:szCs w:val="24"/>
        </w:rPr>
      </w:pPr>
      <w:r w:rsidRPr="00675182">
        <w:rPr>
          <w:rFonts w:cstheme="minorHAnsi"/>
        </w:rPr>
        <w:t>Atbilstoši metodikai, bebru skaitu ieteicams regulēt visās GNP upēs. 3.2. tabulā ir apkopota informācija par upēm, kurās prioritāri veicama bebru skaita ierobežošana, lai novērstu negatīvu ietekmi uz citiem saldūdens biotopiem un retu sugu atradnēm.</w:t>
      </w:r>
    </w:p>
    <w:p w14:paraId="08D72D1A" w14:textId="77777777" w:rsidR="00FA0FF1" w:rsidRPr="00675182" w:rsidRDefault="00FA0FF1" w:rsidP="00FA0FF1">
      <w:pPr>
        <w:jc w:val="both"/>
        <w:rPr>
          <w:rFonts w:cstheme="minorHAnsi"/>
          <w:szCs w:val="24"/>
        </w:rPr>
      </w:pPr>
    </w:p>
    <w:p w14:paraId="41E9F18C" w14:textId="3520B00F" w:rsidR="00FA0FF1" w:rsidRPr="00675182" w:rsidRDefault="00FA0FF1" w:rsidP="00463574">
      <w:pPr>
        <w:keepNext/>
        <w:keepLines/>
        <w:jc w:val="both"/>
        <w:rPr>
          <w:rFonts w:cstheme="minorHAnsi"/>
          <w:b/>
          <w:bCs/>
          <w:i/>
          <w:iCs/>
          <w:szCs w:val="24"/>
        </w:rPr>
      </w:pPr>
      <w:r w:rsidRPr="00675182">
        <w:rPr>
          <w:rFonts w:cstheme="minorHAnsi"/>
          <w:b/>
          <w:bCs/>
          <w:i/>
          <w:iCs/>
          <w:szCs w:val="24"/>
        </w:rPr>
        <w:t>3.2. tabula. Upes</w:t>
      </w:r>
      <w:r w:rsidR="00237633" w:rsidRPr="00675182">
        <w:rPr>
          <w:rFonts w:cstheme="minorHAnsi"/>
          <w:b/>
          <w:bCs/>
          <w:i/>
          <w:iCs/>
          <w:szCs w:val="24"/>
        </w:rPr>
        <w:t xml:space="preserve"> GNP</w:t>
      </w:r>
      <w:r w:rsidRPr="00675182">
        <w:rPr>
          <w:rFonts w:cstheme="minorHAnsi"/>
          <w:b/>
          <w:bCs/>
          <w:i/>
          <w:iCs/>
          <w:szCs w:val="24"/>
        </w:rPr>
        <w:t>, kur bebru darbība ietekmē citus saldūdens biotopus un retu sugu atradnes</w:t>
      </w:r>
    </w:p>
    <w:tbl>
      <w:tblPr>
        <w:tblStyle w:val="TableGrid"/>
        <w:tblW w:w="5000" w:type="pct"/>
        <w:tblLook w:val="04A0" w:firstRow="1" w:lastRow="0" w:firstColumn="1" w:lastColumn="0" w:noHBand="0" w:noVBand="1"/>
      </w:tblPr>
      <w:tblGrid>
        <w:gridCol w:w="2019"/>
        <w:gridCol w:w="6472"/>
      </w:tblGrid>
      <w:tr w:rsidR="00FA0FF1" w:rsidRPr="00675182" w14:paraId="49C5C432" w14:textId="77777777" w:rsidTr="00FA0FF1">
        <w:tc>
          <w:tcPr>
            <w:tcW w:w="1189"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6E45D0E" w14:textId="77777777" w:rsidR="00FA0FF1" w:rsidRPr="00675182" w:rsidRDefault="00FA0FF1" w:rsidP="00463574">
            <w:pPr>
              <w:keepNext/>
              <w:keepLines/>
              <w:jc w:val="both"/>
              <w:rPr>
                <w:rFonts w:cstheme="minorHAnsi"/>
                <w:b/>
                <w:bCs/>
                <w:szCs w:val="24"/>
              </w:rPr>
            </w:pPr>
            <w:r w:rsidRPr="00675182">
              <w:rPr>
                <w:rFonts w:cstheme="minorHAnsi"/>
                <w:b/>
                <w:bCs/>
                <w:szCs w:val="24"/>
              </w:rPr>
              <w:t>Upes</w:t>
            </w:r>
          </w:p>
        </w:tc>
        <w:tc>
          <w:tcPr>
            <w:tcW w:w="3811" w:type="pct"/>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1D2A9B8" w14:textId="77777777" w:rsidR="00FA0FF1" w:rsidRPr="00675182" w:rsidRDefault="00FA0FF1" w:rsidP="00463574">
            <w:pPr>
              <w:keepNext/>
              <w:keepLines/>
              <w:jc w:val="both"/>
              <w:rPr>
                <w:rFonts w:cstheme="minorHAnsi"/>
                <w:b/>
                <w:bCs/>
                <w:szCs w:val="24"/>
              </w:rPr>
            </w:pPr>
            <w:r w:rsidRPr="00675182">
              <w:rPr>
                <w:rFonts w:cstheme="minorHAnsi"/>
                <w:b/>
                <w:bCs/>
                <w:szCs w:val="24"/>
              </w:rPr>
              <w:t>Ietekmes raksturs</w:t>
            </w:r>
          </w:p>
        </w:tc>
      </w:tr>
      <w:tr w:rsidR="00FA0FF1" w:rsidRPr="00675182" w14:paraId="086FA786" w14:textId="77777777" w:rsidTr="00FA0FF1">
        <w:tc>
          <w:tcPr>
            <w:tcW w:w="1189" w:type="pct"/>
            <w:tcBorders>
              <w:top w:val="single" w:sz="4" w:space="0" w:color="auto"/>
              <w:left w:val="single" w:sz="4" w:space="0" w:color="auto"/>
              <w:bottom w:val="single" w:sz="4" w:space="0" w:color="auto"/>
              <w:right w:val="single" w:sz="4" w:space="0" w:color="auto"/>
            </w:tcBorders>
            <w:hideMark/>
          </w:tcPr>
          <w:p w14:paraId="43048F86" w14:textId="77777777" w:rsidR="00FA0FF1" w:rsidRPr="00675182" w:rsidRDefault="00FA0FF1" w:rsidP="00463574">
            <w:pPr>
              <w:keepNext/>
              <w:keepLines/>
              <w:jc w:val="both"/>
              <w:rPr>
                <w:rFonts w:cstheme="minorHAnsi"/>
                <w:szCs w:val="24"/>
              </w:rPr>
            </w:pPr>
            <w:r w:rsidRPr="00675182">
              <w:rPr>
                <w:rFonts w:cstheme="minorHAnsi"/>
                <w:szCs w:val="24"/>
              </w:rPr>
              <w:t>Pūrica</w:t>
            </w:r>
          </w:p>
        </w:tc>
        <w:tc>
          <w:tcPr>
            <w:tcW w:w="3811" w:type="pct"/>
            <w:tcBorders>
              <w:top w:val="single" w:sz="4" w:space="0" w:color="auto"/>
              <w:left w:val="single" w:sz="4" w:space="0" w:color="auto"/>
              <w:bottom w:val="single" w:sz="4" w:space="0" w:color="auto"/>
              <w:right w:val="single" w:sz="4" w:space="0" w:color="auto"/>
            </w:tcBorders>
            <w:hideMark/>
          </w:tcPr>
          <w:p w14:paraId="2102EDF6" w14:textId="77777777" w:rsidR="00FA0FF1" w:rsidRPr="00675182" w:rsidRDefault="00FA0FF1" w:rsidP="00463574">
            <w:pPr>
              <w:keepNext/>
              <w:keepLines/>
              <w:jc w:val="both"/>
              <w:rPr>
                <w:rFonts w:cstheme="minorHAnsi"/>
                <w:szCs w:val="24"/>
              </w:rPr>
            </w:pPr>
            <w:r w:rsidRPr="00675182">
              <w:rPr>
                <w:rFonts w:cstheme="minorHAnsi"/>
                <w:szCs w:val="24"/>
              </w:rPr>
              <w:t>Iztek no Pūricu ezera. Ezera ūdens līmeni būtiski ietekmē bebru darbība, negatīvi tiek ietekmētas mieturaļģu audzes un ezera kopējais ekoloģiskais stāvoklis.</w:t>
            </w:r>
          </w:p>
        </w:tc>
      </w:tr>
      <w:tr w:rsidR="00FA0FF1" w:rsidRPr="00675182" w14:paraId="73D69688" w14:textId="77777777" w:rsidTr="00FA0FF1">
        <w:tc>
          <w:tcPr>
            <w:tcW w:w="1189" w:type="pct"/>
            <w:tcBorders>
              <w:top w:val="single" w:sz="4" w:space="0" w:color="auto"/>
              <w:left w:val="single" w:sz="4" w:space="0" w:color="auto"/>
              <w:bottom w:val="single" w:sz="4" w:space="0" w:color="auto"/>
              <w:right w:val="single" w:sz="4" w:space="0" w:color="auto"/>
            </w:tcBorders>
            <w:hideMark/>
          </w:tcPr>
          <w:p w14:paraId="3E7A7926" w14:textId="77777777" w:rsidR="00FA0FF1" w:rsidRPr="00675182" w:rsidRDefault="00FA0FF1" w:rsidP="00463574">
            <w:pPr>
              <w:keepNext/>
              <w:keepLines/>
              <w:jc w:val="both"/>
              <w:rPr>
                <w:rFonts w:cstheme="minorHAnsi"/>
                <w:szCs w:val="24"/>
              </w:rPr>
            </w:pPr>
            <w:r w:rsidRPr="00675182">
              <w:rPr>
                <w:rFonts w:cstheme="minorHAnsi"/>
                <w:szCs w:val="24"/>
              </w:rPr>
              <w:t>Simtupe (Rakšupe)</w:t>
            </w:r>
          </w:p>
        </w:tc>
        <w:tc>
          <w:tcPr>
            <w:tcW w:w="3811" w:type="pct"/>
            <w:tcBorders>
              <w:top w:val="single" w:sz="4" w:space="0" w:color="auto"/>
              <w:left w:val="single" w:sz="4" w:space="0" w:color="auto"/>
              <w:bottom w:val="single" w:sz="4" w:space="0" w:color="auto"/>
              <w:right w:val="single" w:sz="4" w:space="0" w:color="auto"/>
            </w:tcBorders>
            <w:hideMark/>
          </w:tcPr>
          <w:p w14:paraId="7B868CDB" w14:textId="77777777" w:rsidR="00FA0FF1" w:rsidRPr="00675182" w:rsidRDefault="00FA0FF1" w:rsidP="00463574">
            <w:pPr>
              <w:keepNext/>
              <w:keepLines/>
              <w:jc w:val="both"/>
              <w:rPr>
                <w:rFonts w:cstheme="minorHAnsi"/>
                <w:szCs w:val="24"/>
              </w:rPr>
            </w:pPr>
            <w:r w:rsidRPr="00675182">
              <w:rPr>
                <w:rFonts w:cstheme="minorHAnsi"/>
                <w:szCs w:val="24"/>
              </w:rPr>
              <w:t>Iztek no Āraišu ezera, jau netālu no iztekas upes taisnotais posms būtiski bebru ietekmēts, noteces kavēšana veicina ezera eitrofikāciju.</w:t>
            </w:r>
          </w:p>
        </w:tc>
      </w:tr>
      <w:tr w:rsidR="00FA0FF1" w:rsidRPr="00675182" w14:paraId="1CB82351" w14:textId="77777777" w:rsidTr="00FA0FF1">
        <w:tc>
          <w:tcPr>
            <w:tcW w:w="1189" w:type="pct"/>
            <w:tcBorders>
              <w:top w:val="single" w:sz="4" w:space="0" w:color="auto"/>
              <w:left w:val="single" w:sz="4" w:space="0" w:color="auto"/>
              <w:bottom w:val="single" w:sz="4" w:space="0" w:color="auto"/>
              <w:right w:val="single" w:sz="4" w:space="0" w:color="auto"/>
            </w:tcBorders>
            <w:hideMark/>
          </w:tcPr>
          <w:p w14:paraId="0A59CBAE" w14:textId="77777777" w:rsidR="00FA0FF1" w:rsidRPr="00675182" w:rsidRDefault="00FA0FF1" w:rsidP="00463574">
            <w:pPr>
              <w:keepNext/>
              <w:keepLines/>
              <w:jc w:val="both"/>
              <w:rPr>
                <w:rFonts w:cstheme="minorHAnsi"/>
                <w:szCs w:val="24"/>
              </w:rPr>
            </w:pPr>
            <w:r w:rsidRPr="00675182">
              <w:rPr>
                <w:rFonts w:cstheme="minorHAnsi"/>
                <w:szCs w:val="24"/>
              </w:rPr>
              <w:t>Plaužupīte</w:t>
            </w:r>
          </w:p>
        </w:tc>
        <w:tc>
          <w:tcPr>
            <w:tcW w:w="3811" w:type="pct"/>
            <w:tcBorders>
              <w:top w:val="single" w:sz="4" w:space="0" w:color="auto"/>
              <w:left w:val="single" w:sz="4" w:space="0" w:color="auto"/>
              <w:bottom w:val="single" w:sz="4" w:space="0" w:color="auto"/>
              <w:right w:val="single" w:sz="4" w:space="0" w:color="auto"/>
            </w:tcBorders>
            <w:hideMark/>
          </w:tcPr>
          <w:p w14:paraId="31E797D2" w14:textId="77777777" w:rsidR="00FA0FF1" w:rsidRPr="00675182" w:rsidRDefault="00FA0FF1" w:rsidP="00463574">
            <w:pPr>
              <w:keepNext/>
              <w:keepLines/>
              <w:jc w:val="both"/>
              <w:rPr>
                <w:rFonts w:cstheme="minorHAnsi"/>
                <w:szCs w:val="24"/>
              </w:rPr>
            </w:pPr>
            <w:r w:rsidRPr="00675182">
              <w:rPr>
                <w:rFonts w:cstheme="minorHAnsi"/>
                <w:szCs w:val="24"/>
              </w:rPr>
              <w:t>Iztek no Plaužu ezera, ezerā izzūd vai jau izzudušas retās augu sugas, pieaug aizaugums ar niedrēm.</w:t>
            </w:r>
          </w:p>
        </w:tc>
      </w:tr>
      <w:tr w:rsidR="00FA0FF1" w:rsidRPr="00675182" w14:paraId="572DDAAE" w14:textId="77777777" w:rsidTr="00FA0FF1">
        <w:tc>
          <w:tcPr>
            <w:tcW w:w="1189" w:type="pct"/>
            <w:tcBorders>
              <w:top w:val="single" w:sz="4" w:space="0" w:color="auto"/>
              <w:left w:val="single" w:sz="4" w:space="0" w:color="auto"/>
              <w:bottom w:val="single" w:sz="4" w:space="0" w:color="auto"/>
              <w:right w:val="single" w:sz="4" w:space="0" w:color="auto"/>
            </w:tcBorders>
            <w:hideMark/>
          </w:tcPr>
          <w:p w14:paraId="5F2F8D9A" w14:textId="77777777" w:rsidR="00FA0FF1" w:rsidRPr="00675182" w:rsidRDefault="00FA0FF1" w:rsidP="00463574">
            <w:pPr>
              <w:keepNext/>
              <w:keepLines/>
              <w:jc w:val="both"/>
              <w:rPr>
                <w:rFonts w:cstheme="minorHAnsi"/>
                <w:szCs w:val="24"/>
              </w:rPr>
            </w:pPr>
            <w:r w:rsidRPr="00675182">
              <w:rPr>
                <w:rFonts w:cstheme="minorHAnsi"/>
                <w:szCs w:val="24"/>
              </w:rPr>
              <w:t>Strīķupe</w:t>
            </w:r>
          </w:p>
        </w:tc>
        <w:tc>
          <w:tcPr>
            <w:tcW w:w="3811" w:type="pct"/>
            <w:tcBorders>
              <w:top w:val="single" w:sz="4" w:space="0" w:color="auto"/>
              <w:left w:val="single" w:sz="4" w:space="0" w:color="auto"/>
              <w:bottom w:val="single" w:sz="4" w:space="0" w:color="auto"/>
              <w:right w:val="single" w:sz="4" w:space="0" w:color="auto"/>
            </w:tcBorders>
            <w:hideMark/>
          </w:tcPr>
          <w:p w14:paraId="3E58291C" w14:textId="77777777" w:rsidR="00FA0FF1" w:rsidRPr="00675182" w:rsidRDefault="00FA0FF1" w:rsidP="00463574">
            <w:pPr>
              <w:keepNext/>
              <w:keepLines/>
              <w:jc w:val="both"/>
              <w:rPr>
                <w:rFonts w:cstheme="minorHAnsi"/>
                <w:szCs w:val="24"/>
              </w:rPr>
            </w:pPr>
            <w:r w:rsidRPr="00675182">
              <w:rPr>
                <w:rFonts w:cstheme="minorHAnsi"/>
                <w:szCs w:val="24"/>
              </w:rPr>
              <w:t>Viena no mazietekmētākajām vidēji lielām upēm GNP, nozīmīgas dažādu sugu bezmugurkaulnieku atradnes.</w:t>
            </w:r>
          </w:p>
        </w:tc>
      </w:tr>
    </w:tbl>
    <w:p w14:paraId="152B384E" w14:textId="57707CAC" w:rsidR="00FA0FF1" w:rsidRPr="00675182" w:rsidRDefault="00FA0FF1" w:rsidP="00FA0FF1">
      <w:pPr>
        <w:jc w:val="both"/>
        <w:rPr>
          <w:rFonts w:cstheme="minorHAnsi"/>
          <w:szCs w:val="24"/>
        </w:rPr>
      </w:pPr>
    </w:p>
    <w:p w14:paraId="116BB372" w14:textId="4FF21D1E" w:rsidR="002C4734" w:rsidRPr="00675182" w:rsidRDefault="002C4734" w:rsidP="00FA0FF1">
      <w:pPr>
        <w:jc w:val="both"/>
        <w:rPr>
          <w:rFonts w:cstheme="minorHAnsi"/>
          <w:szCs w:val="24"/>
        </w:rPr>
      </w:pPr>
      <w:r w:rsidRPr="00675182">
        <w:rPr>
          <w:rFonts w:cstheme="minorHAnsi"/>
          <w:szCs w:val="24"/>
        </w:rPr>
        <w:t xml:space="preserve">Gadījumos, kad tiek konstatēta bebru darbība lapkoku praulgrauža </w:t>
      </w:r>
      <w:r w:rsidRPr="00675182">
        <w:rPr>
          <w:rFonts w:cstheme="minorHAnsi"/>
          <w:i/>
          <w:iCs/>
          <w:szCs w:val="24"/>
        </w:rPr>
        <w:t>Osmoderma barnabita</w:t>
      </w:r>
      <w:r w:rsidRPr="00675182">
        <w:rPr>
          <w:rFonts w:cstheme="minorHAnsi"/>
          <w:szCs w:val="24"/>
        </w:rPr>
        <w:t xml:space="preserve"> apdzīvotu koku tuvumā un pastāv draudi koku graušanai, nepieciešams šādus kokus apvilkt ar metāla sietu (plānots iespējamos apdraudētos kokus identificēt paredzētajā LIFE projektā Biotopu Direktīvas bezmugurkaulnieku sugu izpētei).</w:t>
      </w:r>
    </w:p>
    <w:p w14:paraId="1653DF58" w14:textId="77777777" w:rsidR="002C4734" w:rsidRPr="00675182" w:rsidRDefault="002C4734" w:rsidP="00FA0FF1">
      <w:pPr>
        <w:jc w:val="both"/>
        <w:rPr>
          <w:rFonts w:cstheme="minorHAnsi"/>
          <w:szCs w:val="24"/>
        </w:rPr>
      </w:pPr>
    </w:p>
    <w:p w14:paraId="48AB8CE3" w14:textId="76BDE7C7" w:rsidR="001F1DFA" w:rsidRPr="00675182" w:rsidRDefault="001407BE" w:rsidP="0066183C">
      <w:pPr>
        <w:keepNext/>
        <w:keepLines/>
        <w:jc w:val="both"/>
        <w:rPr>
          <w:rFonts w:cstheme="minorHAnsi"/>
          <w:b/>
          <w:bCs/>
          <w:szCs w:val="24"/>
        </w:rPr>
      </w:pPr>
      <w:r w:rsidRPr="00675182">
        <w:rPr>
          <w:rFonts w:cstheme="minorHAnsi"/>
          <w:b/>
          <w:bCs/>
          <w:szCs w:val="24"/>
        </w:rPr>
        <w:t xml:space="preserve">B.1.2. </w:t>
      </w:r>
      <w:r w:rsidR="001F1DFA" w:rsidRPr="00675182">
        <w:rPr>
          <w:rFonts w:cstheme="minorHAnsi"/>
          <w:b/>
          <w:bCs/>
          <w:szCs w:val="24"/>
        </w:rPr>
        <w:t>Koku sagāzumu izvākšana</w:t>
      </w:r>
      <w:r w:rsidR="00DD078E" w:rsidRPr="00675182">
        <w:rPr>
          <w:rFonts w:cstheme="minorHAnsi"/>
          <w:b/>
          <w:bCs/>
          <w:szCs w:val="24"/>
        </w:rPr>
        <w:t xml:space="preserve"> upēs </w:t>
      </w:r>
    </w:p>
    <w:p w14:paraId="7848C670" w14:textId="09D53525" w:rsidR="001F1DFA" w:rsidRPr="00675182" w:rsidRDefault="00DD078E" w:rsidP="0066183C">
      <w:pPr>
        <w:keepNext/>
        <w:keepLines/>
        <w:jc w:val="both"/>
        <w:rPr>
          <w:rFonts w:cstheme="minorHAnsi"/>
          <w:szCs w:val="24"/>
        </w:rPr>
      </w:pPr>
      <w:r w:rsidRPr="00675182">
        <w:rPr>
          <w:rFonts w:cstheme="minorHAnsi"/>
          <w:szCs w:val="24"/>
        </w:rPr>
        <w:t>Upju posm</w:t>
      </w:r>
      <w:r w:rsidR="00757D8F" w:rsidRPr="00675182">
        <w:rPr>
          <w:rFonts w:cstheme="minorHAnsi"/>
          <w:szCs w:val="24"/>
        </w:rPr>
        <w:t>o</w:t>
      </w:r>
      <w:r w:rsidRPr="00675182">
        <w:rPr>
          <w:rFonts w:cstheme="minorHAnsi"/>
          <w:szCs w:val="24"/>
        </w:rPr>
        <w:t>s</w:t>
      </w:r>
      <w:r w:rsidR="001F1DFA" w:rsidRPr="00675182">
        <w:rPr>
          <w:rFonts w:cstheme="minorHAnsi"/>
          <w:szCs w:val="24"/>
        </w:rPr>
        <w:t xml:space="preserve">, kur sakritušie koki aizsprosto straumi, veidojot uzpludinājumus un detrīta un sedimentu akumulēšanos, būtu rekomendējama daļēja koksnes izvākšana, atjaunojot raksturīgo upes tecējumu, un atstājot pārējo koksni, kas nodrošinātu slēptuves ūdens bezmugurkaulniekiem un zivīm. </w:t>
      </w:r>
    </w:p>
    <w:p w14:paraId="1734494F" w14:textId="4BED1937" w:rsidR="002C426A" w:rsidRPr="00675182" w:rsidRDefault="002C426A" w:rsidP="001F1DFA">
      <w:pPr>
        <w:jc w:val="both"/>
        <w:rPr>
          <w:rFonts w:cstheme="minorHAnsi"/>
          <w:szCs w:val="24"/>
        </w:rPr>
      </w:pPr>
    </w:p>
    <w:p w14:paraId="61ED31B0" w14:textId="2A4988E2" w:rsidR="002C426A" w:rsidRPr="00675182" w:rsidRDefault="002C426A" w:rsidP="001F1DFA">
      <w:pPr>
        <w:jc w:val="both"/>
        <w:rPr>
          <w:rFonts w:cstheme="minorHAnsi"/>
          <w:szCs w:val="24"/>
        </w:rPr>
      </w:pPr>
      <w:r w:rsidRPr="00675182">
        <w:rPr>
          <w:rFonts w:cstheme="minorHAnsi"/>
          <w:color w:val="000000" w:themeColor="text1"/>
          <w:szCs w:val="24"/>
        </w:rPr>
        <w:t xml:space="preserve">Vairākas GNP teritorijā sastopamās aizsargājamās sugas (tajā skaitā biezā perlamutrene un ziemeļu upespērlene) ir saistītas ar dabisko upju straujtecēm un </w:t>
      </w:r>
      <w:r w:rsidRPr="00BF7348">
        <w:rPr>
          <w:rStyle w:val="Emphasis"/>
          <w:rFonts w:cstheme="minorHAnsi"/>
          <w:bCs/>
          <w:i w:val="0"/>
          <w:iCs w:val="0"/>
          <w:color w:val="000000" w:themeColor="text1"/>
          <w:szCs w:val="24"/>
          <w:shd w:val="clear" w:color="auto" w:fill="FFFFFF"/>
        </w:rPr>
        <w:t>dabiskiem upju posmiem</w:t>
      </w:r>
      <w:r w:rsidRPr="00BF7348">
        <w:rPr>
          <w:rFonts w:cstheme="minorHAnsi"/>
          <w:i/>
          <w:color w:val="000000" w:themeColor="text1"/>
          <w:szCs w:val="24"/>
          <w:shd w:val="clear" w:color="auto" w:fill="FFFFFF"/>
        </w:rPr>
        <w:t>.</w:t>
      </w:r>
      <w:r w:rsidRPr="00BF7348">
        <w:rPr>
          <w:rFonts w:cstheme="minorHAnsi"/>
          <w:i/>
          <w:color w:val="000000" w:themeColor="text1"/>
          <w:szCs w:val="24"/>
        </w:rPr>
        <w:t xml:space="preserve"> Šī </w:t>
      </w:r>
      <w:r w:rsidRPr="00BF7348">
        <w:rPr>
          <w:rFonts w:cstheme="minorHAnsi"/>
          <w:i/>
          <w:color w:val="000000" w:themeColor="text1"/>
          <w:szCs w:val="21"/>
          <w:shd w:val="clear" w:color="auto" w:fill="FFFFFF"/>
        </w:rPr>
        <w:t xml:space="preserve">biotopa labvēlīgā aizsardzības </w:t>
      </w:r>
      <w:r w:rsidRPr="00BD60C2">
        <w:rPr>
          <w:rFonts w:cstheme="minorHAnsi"/>
          <w:i/>
          <w:color w:val="000000" w:themeColor="text1"/>
          <w:szCs w:val="21"/>
          <w:shd w:val="clear" w:color="auto" w:fill="FFFFFF"/>
        </w:rPr>
        <w:t>stāvokļa</w:t>
      </w:r>
      <w:r w:rsidRPr="00BF7348">
        <w:rPr>
          <w:rStyle w:val="Emphasis"/>
          <w:rFonts w:cstheme="minorHAnsi"/>
          <w:bCs/>
          <w:i w:val="0"/>
          <w:iCs w:val="0"/>
          <w:color w:val="000000" w:themeColor="text1"/>
          <w:szCs w:val="21"/>
          <w:shd w:val="clear" w:color="auto" w:fill="FFFFFF"/>
        </w:rPr>
        <w:t xml:space="preserve"> nodrošināšanai un sugu dzīvotnes </w:t>
      </w:r>
      <w:r w:rsidRPr="00BF7348">
        <w:rPr>
          <w:rStyle w:val="Emphasis"/>
          <w:rFonts w:cstheme="minorHAnsi"/>
          <w:bCs/>
          <w:i w:val="0"/>
          <w:iCs w:val="0"/>
          <w:color w:val="000000" w:themeColor="text1"/>
          <w:szCs w:val="21"/>
          <w:shd w:val="clear" w:color="auto" w:fill="FFFFFF"/>
        </w:rPr>
        <w:lastRenderedPageBreak/>
        <w:t>saglabāšanai jānodrošina</w:t>
      </w:r>
      <w:r w:rsidRPr="00675182">
        <w:rPr>
          <w:rFonts w:cstheme="minorHAnsi"/>
          <w:szCs w:val="24"/>
        </w:rPr>
        <w:t xml:space="preserve"> vējlaužu rezultātā upēs iekritušu koku, kas ietekmē upes plūsmu, izņemšana. </w:t>
      </w:r>
    </w:p>
    <w:p w14:paraId="03A0F004" w14:textId="77777777" w:rsidR="001407BE" w:rsidRPr="00675182" w:rsidRDefault="001407BE" w:rsidP="001F1DFA">
      <w:pPr>
        <w:jc w:val="both"/>
        <w:rPr>
          <w:rFonts w:cstheme="minorHAnsi"/>
          <w:szCs w:val="24"/>
        </w:rPr>
      </w:pPr>
    </w:p>
    <w:p w14:paraId="1AF1BF0F" w14:textId="56E17DC8" w:rsidR="001F1DFA" w:rsidRPr="00675182" w:rsidRDefault="001F1DFA" w:rsidP="001F1DFA">
      <w:pPr>
        <w:jc w:val="both"/>
        <w:rPr>
          <w:rFonts w:cstheme="minorHAnsi"/>
          <w:szCs w:val="24"/>
        </w:rPr>
      </w:pPr>
      <w:r w:rsidRPr="00675182">
        <w:rPr>
          <w:rFonts w:cstheme="minorHAnsi"/>
          <w:szCs w:val="24"/>
        </w:rPr>
        <w:t>Upēs sakritušie koki jāizvāc</w:t>
      </w:r>
      <w:r w:rsidR="00757D8F" w:rsidRPr="00675182">
        <w:rPr>
          <w:rFonts w:cstheme="minorHAnsi"/>
          <w:szCs w:val="24"/>
        </w:rPr>
        <w:t>, k</w:t>
      </w:r>
      <w:r w:rsidRPr="00675182">
        <w:rPr>
          <w:rFonts w:cstheme="minorHAnsi"/>
          <w:szCs w:val="24"/>
        </w:rPr>
        <w:t>o var darīt gan ar roku darbu, gan izmantojot tehniku. Svarīgi, lai no upes izņemtie koki</w:t>
      </w:r>
      <w:r w:rsidR="00757D8F" w:rsidRPr="00675182">
        <w:rPr>
          <w:rFonts w:cstheme="minorHAnsi"/>
          <w:szCs w:val="24"/>
        </w:rPr>
        <w:t>,</w:t>
      </w:r>
      <w:r w:rsidRPr="00675182">
        <w:rPr>
          <w:rFonts w:cstheme="minorHAnsi"/>
          <w:szCs w:val="24"/>
        </w:rPr>
        <w:t xml:space="preserve"> pie paaugstināta ūdens līmeņa</w:t>
      </w:r>
      <w:r w:rsidR="00757D8F" w:rsidRPr="00675182">
        <w:rPr>
          <w:rFonts w:cstheme="minorHAnsi"/>
          <w:szCs w:val="24"/>
        </w:rPr>
        <w:t>,</w:t>
      </w:r>
      <w:r w:rsidRPr="00675182">
        <w:rPr>
          <w:rFonts w:cstheme="minorHAnsi"/>
          <w:szCs w:val="24"/>
        </w:rPr>
        <w:t xml:space="preserve"> netiktu ieskaloti atpakaļ upē. Tāpēc ir vēlams tos novietot krastā virs palu ūdeņu līmeņa. Izvāktos kokus var arī aizvest vai sadedzināt. Rezultātā atjaunojas ūdens plūsma un sugu migrācijas ceļi. Tiek novērsti izskalojumi un mazināta krastu erozija. Attīrītie posmi ik gadus jāpārskata, vai pasākums nav jāatkārto. </w:t>
      </w:r>
      <w:r w:rsidR="00423BAF" w:rsidRPr="00675182">
        <w:rPr>
          <w:rFonts w:cstheme="minorHAnsi"/>
          <w:szCs w:val="24"/>
        </w:rPr>
        <w:t>Gadījumā, ja attīrāmā posma krastos ir reģistrētas aizsargājamo augu, ķērpju, sēņu, bezmugurkaulnieku u.c. sugu grupu aizsargājamo sugu atradnes, pirms darbu veikšanas jākonsultējas ar attiecīgo sugu grupu ekspertiem, lai plānotie darbi tiktu veikti ar iespējami mazāku ietekmi uz sugu atradnēm.</w:t>
      </w:r>
    </w:p>
    <w:p w14:paraId="507EC3EF" w14:textId="77777777" w:rsidR="007C12CE" w:rsidRPr="00675182" w:rsidRDefault="007C12CE" w:rsidP="001F1DFA">
      <w:pPr>
        <w:jc w:val="both"/>
        <w:rPr>
          <w:rFonts w:cstheme="minorHAnsi"/>
          <w:szCs w:val="24"/>
        </w:rPr>
      </w:pPr>
    </w:p>
    <w:p w14:paraId="77CA455D" w14:textId="3B7E1485" w:rsidR="007C12CE" w:rsidRPr="00675182" w:rsidRDefault="00EB4A1D" w:rsidP="007C12CE">
      <w:pPr>
        <w:keepNext/>
        <w:keepLines/>
        <w:jc w:val="both"/>
        <w:rPr>
          <w:rFonts w:cstheme="minorHAnsi"/>
        </w:rPr>
      </w:pPr>
      <w:r w:rsidRPr="00675182">
        <w:rPr>
          <w:rFonts w:cstheme="minorHAnsi"/>
        </w:rPr>
        <w:t xml:space="preserve">2021. gadā DAP ar sadarbības partneriem ir uzsākusi </w:t>
      </w:r>
      <w:r w:rsidR="002E243D">
        <w:rPr>
          <w:rFonts w:cstheme="minorHAnsi"/>
        </w:rPr>
        <w:t>ES</w:t>
      </w:r>
      <w:r w:rsidRPr="00675182">
        <w:rPr>
          <w:rFonts w:cstheme="minorHAnsi"/>
        </w:rPr>
        <w:t xml:space="preserve"> </w:t>
      </w:r>
      <w:r w:rsidR="002E243D">
        <w:rPr>
          <w:rFonts w:cstheme="minorHAnsi"/>
        </w:rPr>
        <w:t>KF</w:t>
      </w:r>
      <w:r w:rsidRPr="00675182">
        <w:rPr>
          <w:rFonts w:cstheme="minorHAnsi"/>
        </w:rPr>
        <w:t xml:space="preserve"> finansētajā projekta “Apsaimniekošanas pasākumu veikšana īpaši aizsargājamās dabas teritorijās un mikroliegumos biotopu un sugu aizsardzības stāvokļa uzlabošanai” īstenošana, kura ietvaros GNP ir paredzēts uzlabot upju straujteču stāvokli, no koku sagāzumiem un bebru dambjiem attīrot 15 upes un tādējādi atjaunojot straujtecēm raksturīgo ūdens plūsmu un veicinot Gaujas pietekām raksturīgo lašveidīgo zivju migrāciju un nārstu. </w:t>
      </w:r>
      <w:r w:rsidR="007C12CE" w:rsidRPr="00675182">
        <w:rPr>
          <w:rFonts w:cstheme="minorHAnsi"/>
        </w:rPr>
        <w:t xml:space="preserve">Darbus plānots pabeigt </w:t>
      </w:r>
      <w:r w:rsidRPr="00675182">
        <w:rPr>
          <w:rFonts w:cstheme="minorHAnsi"/>
        </w:rPr>
        <w:t>līdz 2023. gada beigām</w:t>
      </w:r>
      <w:r w:rsidR="007C12CE" w:rsidRPr="00675182">
        <w:rPr>
          <w:rFonts w:cstheme="minorHAnsi"/>
        </w:rPr>
        <w:t xml:space="preserve">. </w:t>
      </w:r>
      <w:r w:rsidR="00423BAF" w:rsidRPr="00675182">
        <w:rPr>
          <w:rFonts w:cstheme="minorHAnsi"/>
        </w:rPr>
        <w:t>Visā DA plāna darbības periodā jānodrošina attīrīto upju posmu turpmāka uzturēšana upju biotopiem un tajos dzīvojošajām sugām labvēlīgā stāvoklī.</w:t>
      </w:r>
    </w:p>
    <w:p w14:paraId="473B6C67" w14:textId="77777777" w:rsidR="001F1DFA" w:rsidRPr="00675182" w:rsidRDefault="001F1DFA" w:rsidP="001F1DFA">
      <w:pPr>
        <w:jc w:val="both"/>
        <w:rPr>
          <w:rFonts w:cstheme="minorHAnsi"/>
          <w:szCs w:val="24"/>
        </w:rPr>
      </w:pPr>
    </w:p>
    <w:p w14:paraId="57F432E2" w14:textId="36241A38" w:rsidR="001F1DFA" w:rsidRPr="00675182" w:rsidRDefault="001407BE" w:rsidP="001F1DFA">
      <w:pPr>
        <w:jc w:val="both"/>
        <w:rPr>
          <w:rFonts w:cstheme="minorHAnsi"/>
          <w:b/>
          <w:bCs/>
          <w:szCs w:val="24"/>
        </w:rPr>
      </w:pPr>
      <w:r w:rsidRPr="00675182">
        <w:rPr>
          <w:rFonts w:cstheme="minorHAnsi"/>
          <w:b/>
          <w:bCs/>
          <w:szCs w:val="24"/>
        </w:rPr>
        <w:t xml:space="preserve">B.1.3. </w:t>
      </w:r>
      <w:r w:rsidR="001F1DFA" w:rsidRPr="00675182">
        <w:rPr>
          <w:rFonts w:cstheme="minorHAnsi"/>
          <w:b/>
          <w:bCs/>
          <w:szCs w:val="24"/>
        </w:rPr>
        <w:t>Niedru (virsūdens augu) pļaušana ezeros</w:t>
      </w:r>
    </w:p>
    <w:p w14:paraId="7704EC2E" w14:textId="56EB50F0" w:rsidR="00DD078E" w:rsidRPr="00675182" w:rsidRDefault="001F1DFA" w:rsidP="00DD078E">
      <w:pPr>
        <w:jc w:val="both"/>
        <w:rPr>
          <w:rFonts w:cstheme="minorHAnsi"/>
          <w:szCs w:val="24"/>
        </w:rPr>
      </w:pPr>
      <w:r w:rsidRPr="00675182">
        <w:rPr>
          <w:rFonts w:cstheme="minorHAnsi"/>
          <w:szCs w:val="24"/>
        </w:rPr>
        <w:t xml:space="preserve">Lai veicinātu barības vielu sadalīšanos un ezera pašattīrīšanos, eitrofos ezeros ar blīvu virsūdens augu joslu ieteicams vairākas reizes vasarā un/vai ziemā virs ledus izpļaut niedres (virsūdens augus). </w:t>
      </w:r>
      <w:r w:rsidR="00FB400F" w:rsidRPr="00675182">
        <w:rPr>
          <w:rFonts w:cstheme="minorHAnsi"/>
          <w:szCs w:val="24"/>
        </w:rPr>
        <w:t>3.3. tabulā apkopta informācija par</w:t>
      </w:r>
      <w:r w:rsidR="00DD078E" w:rsidRPr="00675182">
        <w:rPr>
          <w:rFonts w:cstheme="minorHAnsi"/>
          <w:szCs w:val="24"/>
        </w:rPr>
        <w:t xml:space="preserve"> ezeri</w:t>
      </w:r>
      <w:r w:rsidR="00FB400F" w:rsidRPr="00675182">
        <w:rPr>
          <w:rFonts w:cstheme="minorHAnsi"/>
          <w:szCs w:val="24"/>
        </w:rPr>
        <w:t>em</w:t>
      </w:r>
      <w:r w:rsidR="00DD078E" w:rsidRPr="00675182">
        <w:rPr>
          <w:rFonts w:cstheme="minorHAnsi"/>
          <w:szCs w:val="24"/>
        </w:rPr>
        <w:t>, kuros ieteicama virsūdens augu pļaušana, lai uzlabotu biotopa kvalitāti, bet nelielos krasta posmos (aptuveni līdz 20 m garos) pieļaujama pļaušana un augu izvākšana, lai uzturētu peldvietas un laivu ielaišanas vietas.</w:t>
      </w:r>
    </w:p>
    <w:p w14:paraId="12E588CA" w14:textId="77777777" w:rsidR="00DD078E" w:rsidRPr="00675182" w:rsidRDefault="00DD078E" w:rsidP="00DD078E">
      <w:pPr>
        <w:jc w:val="both"/>
        <w:rPr>
          <w:rFonts w:cstheme="minorHAnsi"/>
          <w:szCs w:val="24"/>
        </w:rPr>
      </w:pPr>
    </w:p>
    <w:p w14:paraId="0ABD6C67" w14:textId="669DD6BB" w:rsidR="00DD078E" w:rsidRPr="00675182" w:rsidRDefault="00237633" w:rsidP="00463574">
      <w:pPr>
        <w:keepNext/>
        <w:keepLines/>
        <w:jc w:val="both"/>
        <w:rPr>
          <w:rFonts w:cstheme="minorHAnsi"/>
          <w:b/>
          <w:bCs/>
          <w:i/>
          <w:iCs/>
          <w:szCs w:val="24"/>
        </w:rPr>
      </w:pPr>
      <w:r w:rsidRPr="00675182">
        <w:rPr>
          <w:rFonts w:cstheme="minorHAnsi"/>
          <w:b/>
          <w:bCs/>
          <w:i/>
          <w:iCs/>
          <w:szCs w:val="24"/>
        </w:rPr>
        <w:lastRenderedPageBreak/>
        <w:t>3.3. tabula</w:t>
      </w:r>
      <w:r w:rsidR="00EF112A" w:rsidRPr="00675182">
        <w:rPr>
          <w:rFonts w:cstheme="minorHAnsi"/>
          <w:b/>
          <w:bCs/>
          <w:i/>
          <w:iCs/>
          <w:szCs w:val="24"/>
        </w:rPr>
        <w:t>.</w:t>
      </w:r>
      <w:r w:rsidRPr="00675182">
        <w:rPr>
          <w:rFonts w:cstheme="minorHAnsi"/>
          <w:b/>
          <w:bCs/>
          <w:i/>
          <w:iCs/>
          <w:szCs w:val="24"/>
        </w:rPr>
        <w:t xml:space="preserve"> </w:t>
      </w:r>
      <w:r w:rsidR="00DD078E" w:rsidRPr="00675182">
        <w:rPr>
          <w:rFonts w:cstheme="minorHAnsi"/>
          <w:b/>
          <w:bCs/>
          <w:i/>
          <w:iCs/>
          <w:szCs w:val="24"/>
        </w:rPr>
        <w:t>Ezeri GNP, kuros ieteicama virsūdens augu pļaušana</w:t>
      </w:r>
    </w:p>
    <w:tbl>
      <w:tblPr>
        <w:tblStyle w:val="TableGrid"/>
        <w:tblW w:w="8500" w:type="dxa"/>
        <w:tblLook w:val="04A0" w:firstRow="1" w:lastRow="0" w:firstColumn="1" w:lastColumn="0" w:noHBand="0" w:noVBand="1"/>
      </w:tblPr>
      <w:tblGrid>
        <w:gridCol w:w="1271"/>
        <w:gridCol w:w="7229"/>
      </w:tblGrid>
      <w:tr w:rsidR="00DD078E" w:rsidRPr="00675182" w14:paraId="20C83F20" w14:textId="77777777" w:rsidTr="00691FCB">
        <w:tc>
          <w:tcPr>
            <w:tcW w:w="1271"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FF455AE" w14:textId="77777777" w:rsidR="00DD078E" w:rsidRPr="00675182" w:rsidRDefault="00DD078E" w:rsidP="00463574">
            <w:pPr>
              <w:keepNext/>
              <w:keepLines/>
              <w:jc w:val="both"/>
              <w:rPr>
                <w:rFonts w:cstheme="minorHAnsi"/>
                <w:b/>
                <w:bCs/>
                <w:szCs w:val="24"/>
              </w:rPr>
            </w:pPr>
            <w:r w:rsidRPr="00675182">
              <w:rPr>
                <w:rFonts w:cstheme="minorHAnsi"/>
                <w:b/>
                <w:bCs/>
                <w:szCs w:val="24"/>
              </w:rPr>
              <w:t>Ezers</w:t>
            </w:r>
          </w:p>
        </w:tc>
        <w:tc>
          <w:tcPr>
            <w:tcW w:w="722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B87B8C4" w14:textId="77777777" w:rsidR="00DD078E" w:rsidRPr="00675182" w:rsidRDefault="00DD078E" w:rsidP="00463574">
            <w:pPr>
              <w:keepNext/>
              <w:keepLines/>
              <w:jc w:val="both"/>
              <w:rPr>
                <w:rFonts w:cstheme="minorHAnsi"/>
                <w:b/>
                <w:bCs/>
                <w:szCs w:val="24"/>
              </w:rPr>
            </w:pPr>
            <w:r w:rsidRPr="00675182">
              <w:rPr>
                <w:rFonts w:cstheme="minorHAnsi"/>
                <w:b/>
                <w:bCs/>
                <w:szCs w:val="24"/>
              </w:rPr>
              <w:t>Apsaimniekošanas raksturojums</w:t>
            </w:r>
          </w:p>
        </w:tc>
      </w:tr>
      <w:tr w:rsidR="00DD078E" w:rsidRPr="00675182" w14:paraId="2058A94D" w14:textId="77777777" w:rsidTr="00DD078E">
        <w:tc>
          <w:tcPr>
            <w:tcW w:w="1271" w:type="dxa"/>
            <w:tcBorders>
              <w:top w:val="single" w:sz="4" w:space="0" w:color="auto"/>
              <w:left w:val="single" w:sz="4" w:space="0" w:color="auto"/>
              <w:bottom w:val="single" w:sz="4" w:space="0" w:color="auto"/>
              <w:right w:val="single" w:sz="4" w:space="0" w:color="auto"/>
            </w:tcBorders>
            <w:hideMark/>
          </w:tcPr>
          <w:p w14:paraId="3D2A7548" w14:textId="77777777" w:rsidR="00DD078E" w:rsidRPr="00675182" w:rsidRDefault="00DD078E" w:rsidP="00463574">
            <w:pPr>
              <w:keepNext/>
              <w:keepLines/>
              <w:jc w:val="both"/>
              <w:rPr>
                <w:rFonts w:cstheme="minorHAnsi"/>
                <w:szCs w:val="24"/>
              </w:rPr>
            </w:pPr>
            <w:r w:rsidRPr="00675182">
              <w:rPr>
                <w:rFonts w:cstheme="minorHAnsi"/>
                <w:szCs w:val="24"/>
              </w:rPr>
              <w:t xml:space="preserve">Vīņaudu </w:t>
            </w:r>
          </w:p>
        </w:tc>
        <w:tc>
          <w:tcPr>
            <w:tcW w:w="7229" w:type="dxa"/>
            <w:tcBorders>
              <w:top w:val="single" w:sz="4" w:space="0" w:color="auto"/>
              <w:left w:val="single" w:sz="4" w:space="0" w:color="auto"/>
              <w:bottom w:val="single" w:sz="4" w:space="0" w:color="auto"/>
              <w:right w:val="single" w:sz="4" w:space="0" w:color="auto"/>
            </w:tcBorders>
            <w:hideMark/>
          </w:tcPr>
          <w:p w14:paraId="20E23003" w14:textId="77777777" w:rsidR="00DD078E" w:rsidRPr="00675182" w:rsidRDefault="00DD078E" w:rsidP="00463574">
            <w:pPr>
              <w:keepNext/>
              <w:keepLines/>
              <w:jc w:val="both"/>
              <w:rPr>
                <w:rFonts w:cstheme="minorHAnsi"/>
                <w:szCs w:val="24"/>
              </w:rPr>
            </w:pPr>
            <w:r w:rsidRPr="00675182">
              <w:rPr>
                <w:rFonts w:cstheme="minorHAnsi"/>
                <w:szCs w:val="24"/>
              </w:rPr>
              <w:t>Audžu fragmentēšana pēc iespējas gar visu ezera piekrasti, paralēli veicot sapropeļa slāņa vienmērīgu samazināšanu, lai palēninātu ezera aizaugšanu.</w:t>
            </w:r>
          </w:p>
        </w:tc>
      </w:tr>
      <w:tr w:rsidR="00DD078E" w:rsidRPr="00675182" w14:paraId="4B92C720" w14:textId="77777777" w:rsidTr="00DD078E">
        <w:tc>
          <w:tcPr>
            <w:tcW w:w="1271" w:type="dxa"/>
            <w:tcBorders>
              <w:top w:val="single" w:sz="4" w:space="0" w:color="auto"/>
              <w:left w:val="single" w:sz="4" w:space="0" w:color="auto"/>
              <w:bottom w:val="single" w:sz="4" w:space="0" w:color="auto"/>
              <w:right w:val="single" w:sz="4" w:space="0" w:color="auto"/>
            </w:tcBorders>
            <w:hideMark/>
          </w:tcPr>
          <w:p w14:paraId="0463AA05" w14:textId="77777777" w:rsidR="00DD078E" w:rsidRPr="00675182" w:rsidRDefault="00DD078E" w:rsidP="00463574">
            <w:pPr>
              <w:keepNext/>
              <w:keepLines/>
              <w:jc w:val="both"/>
              <w:rPr>
                <w:rFonts w:cstheme="minorHAnsi"/>
                <w:szCs w:val="24"/>
              </w:rPr>
            </w:pPr>
            <w:r w:rsidRPr="00675182">
              <w:rPr>
                <w:rFonts w:cstheme="minorHAnsi"/>
                <w:szCs w:val="24"/>
              </w:rPr>
              <w:t xml:space="preserve">Auciema </w:t>
            </w:r>
          </w:p>
        </w:tc>
        <w:tc>
          <w:tcPr>
            <w:tcW w:w="7229" w:type="dxa"/>
            <w:tcBorders>
              <w:top w:val="single" w:sz="4" w:space="0" w:color="auto"/>
              <w:left w:val="single" w:sz="4" w:space="0" w:color="auto"/>
              <w:bottom w:val="single" w:sz="4" w:space="0" w:color="auto"/>
              <w:right w:val="single" w:sz="4" w:space="0" w:color="auto"/>
            </w:tcBorders>
            <w:hideMark/>
          </w:tcPr>
          <w:p w14:paraId="7E7E3A62" w14:textId="77777777" w:rsidR="00DD078E" w:rsidRPr="00675182" w:rsidRDefault="00DD078E" w:rsidP="00463574">
            <w:pPr>
              <w:keepNext/>
              <w:keepLines/>
              <w:jc w:val="both"/>
              <w:rPr>
                <w:rFonts w:cstheme="minorHAnsi"/>
                <w:szCs w:val="24"/>
              </w:rPr>
            </w:pPr>
            <w:r w:rsidRPr="00675182">
              <w:rPr>
                <w:rFonts w:cstheme="minorHAnsi"/>
                <w:szCs w:val="24"/>
              </w:rPr>
              <w:t>Niedru fragmentēšana ezera daļās, kur veidojas blīvas niedru audzes, paralēli veicot sapropeļa slāņa vienmērīgu samazināšanu, lai palēninātu ezera aizaugšanu.</w:t>
            </w:r>
          </w:p>
        </w:tc>
      </w:tr>
      <w:tr w:rsidR="00DD078E" w:rsidRPr="00675182" w14:paraId="22F506CE" w14:textId="77777777" w:rsidTr="00DD078E">
        <w:tc>
          <w:tcPr>
            <w:tcW w:w="1271" w:type="dxa"/>
            <w:tcBorders>
              <w:top w:val="single" w:sz="4" w:space="0" w:color="auto"/>
              <w:left w:val="single" w:sz="4" w:space="0" w:color="auto"/>
              <w:bottom w:val="single" w:sz="4" w:space="0" w:color="auto"/>
              <w:right w:val="single" w:sz="4" w:space="0" w:color="auto"/>
            </w:tcBorders>
            <w:hideMark/>
          </w:tcPr>
          <w:p w14:paraId="58EDE479" w14:textId="77777777" w:rsidR="00DD078E" w:rsidRPr="00675182" w:rsidRDefault="00DD078E" w:rsidP="00463574">
            <w:pPr>
              <w:keepNext/>
              <w:keepLines/>
              <w:jc w:val="both"/>
              <w:rPr>
                <w:rFonts w:cstheme="minorHAnsi"/>
                <w:szCs w:val="24"/>
              </w:rPr>
            </w:pPr>
            <w:r w:rsidRPr="00675182">
              <w:rPr>
                <w:rFonts w:cstheme="minorHAnsi"/>
                <w:szCs w:val="24"/>
              </w:rPr>
              <w:t xml:space="preserve">Plaužu </w:t>
            </w:r>
          </w:p>
        </w:tc>
        <w:tc>
          <w:tcPr>
            <w:tcW w:w="7229" w:type="dxa"/>
            <w:tcBorders>
              <w:top w:val="single" w:sz="4" w:space="0" w:color="auto"/>
              <w:left w:val="single" w:sz="4" w:space="0" w:color="auto"/>
              <w:bottom w:val="single" w:sz="4" w:space="0" w:color="auto"/>
              <w:right w:val="single" w:sz="4" w:space="0" w:color="auto"/>
            </w:tcBorders>
            <w:hideMark/>
          </w:tcPr>
          <w:p w14:paraId="3962EB98" w14:textId="77777777" w:rsidR="00DD078E" w:rsidRPr="00675182" w:rsidRDefault="00DD078E" w:rsidP="00463574">
            <w:pPr>
              <w:keepNext/>
              <w:keepLines/>
              <w:jc w:val="both"/>
              <w:rPr>
                <w:rFonts w:cstheme="minorHAnsi"/>
                <w:szCs w:val="24"/>
              </w:rPr>
            </w:pPr>
            <w:r w:rsidRPr="00675182">
              <w:rPr>
                <w:rFonts w:cstheme="minorHAnsi"/>
                <w:szCs w:val="24"/>
              </w:rPr>
              <w:t>Niedru fragmentēšana ezera daļās, kur veidojas blīvas niedru audzes.</w:t>
            </w:r>
          </w:p>
        </w:tc>
      </w:tr>
      <w:tr w:rsidR="00DD078E" w:rsidRPr="00675182" w14:paraId="56332624" w14:textId="77777777" w:rsidTr="00DD078E">
        <w:tc>
          <w:tcPr>
            <w:tcW w:w="1271" w:type="dxa"/>
            <w:tcBorders>
              <w:top w:val="single" w:sz="4" w:space="0" w:color="auto"/>
              <w:left w:val="single" w:sz="4" w:space="0" w:color="auto"/>
              <w:bottom w:val="single" w:sz="4" w:space="0" w:color="auto"/>
              <w:right w:val="single" w:sz="4" w:space="0" w:color="auto"/>
            </w:tcBorders>
            <w:hideMark/>
          </w:tcPr>
          <w:p w14:paraId="2D12C57C" w14:textId="77777777" w:rsidR="00DD078E" w:rsidRPr="00675182" w:rsidRDefault="00DD078E" w:rsidP="00463574">
            <w:pPr>
              <w:keepNext/>
              <w:keepLines/>
              <w:jc w:val="both"/>
              <w:rPr>
                <w:rFonts w:cstheme="minorHAnsi"/>
                <w:szCs w:val="24"/>
              </w:rPr>
            </w:pPr>
            <w:r w:rsidRPr="00675182">
              <w:rPr>
                <w:rFonts w:cstheme="minorHAnsi"/>
                <w:szCs w:val="24"/>
              </w:rPr>
              <w:t xml:space="preserve">Āraišu </w:t>
            </w:r>
          </w:p>
        </w:tc>
        <w:tc>
          <w:tcPr>
            <w:tcW w:w="7229" w:type="dxa"/>
            <w:tcBorders>
              <w:top w:val="single" w:sz="4" w:space="0" w:color="auto"/>
              <w:left w:val="single" w:sz="4" w:space="0" w:color="auto"/>
              <w:bottom w:val="single" w:sz="4" w:space="0" w:color="auto"/>
              <w:right w:val="single" w:sz="4" w:space="0" w:color="auto"/>
            </w:tcBorders>
            <w:hideMark/>
          </w:tcPr>
          <w:p w14:paraId="442EE5D0" w14:textId="77777777" w:rsidR="00DD078E" w:rsidRPr="00675182" w:rsidRDefault="00DD078E" w:rsidP="00463574">
            <w:pPr>
              <w:keepNext/>
              <w:keepLines/>
              <w:jc w:val="both"/>
              <w:rPr>
                <w:rFonts w:cstheme="minorHAnsi"/>
                <w:szCs w:val="24"/>
              </w:rPr>
            </w:pPr>
            <w:r w:rsidRPr="00675182">
              <w:rPr>
                <w:rFonts w:cstheme="minorHAnsi"/>
                <w:szCs w:val="24"/>
              </w:rPr>
              <w:t>Niedru fragmentēšana ezera daļās, kur veidojas blīvas niedru audzes. Paralēli pilnībā jānovērš notekūdeņu ieplūde un jāsamazina bebru darbības ietekme.</w:t>
            </w:r>
          </w:p>
        </w:tc>
      </w:tr>
      <w:tr w:rsidR="00DD078E" w:rsidRPr="00675182" w14:paraId="66E2C79D" w14:textId="77777777" w:rsidTr="00DD078E">
        <w:tc>
          <w:tcPr>
            <w:tcW w:w="1271" w:type="dxa"/>
            <w:tcBorders>
              <w:top w:val="single" w:sz="4" w:space="0" w:color="auto"/>
              <w:left w:val="single" w:sz="4" w:space="0" w:color="auto"/>
              <w:bottom w:val="single" w:sz="4" w:space="0" w:color="auto"/>
              <w:right w:val="single" w:sz="4" w:space="0" w:color="auto"/>
            </w:tcBorders>
            <w:hideMark/>
          </w:tcPr>
          <w:p w14:paraId="034B1B28" w14:textId="77777777" w:rsidR="00DD078E" w:rsidRPr="00675182" w:rsidRDefault="00DD078E" w:rsidP="00463574">
            <w:pPr>
              <w:keepNext/>
              <w:keepLines/>
              <w:jc w:val="both"/>
              <w:rPr>
                <w:rFonts w:cstheme="minorHAnsi"/>
                <w:szCs w:val="24"/>
              </w:rPr>
            </w:pPr>
            <w:r w:rsidRPr="00675182">
              <w:rPr>
                <w:rFonts w:cstheme="minorHAnsi"/>
                <w:szCs w:val="24"/>
              </w:rPr>
              <w:t xml:space="preserve">Vaidavas </w:t>
            </w:r>
          </w:p>
        </w:tc>
        <w:tc>
          <w:tcPr>
            <w:tcW w:w="7229" w:type="dxa"/>
            <w:tcBorders>
              <w:top w:val="single" w:sz="4" w:space="0" w:color="auto"/>
              <w:left w:val="single" w:sz="4" w:space="0" w:color="auto"/>
              <w:bottom w:val="single" w:sz="4" w:space="0" w:color="auto"/>
              <w:right w:val="single" w:sz="4" w:space="0" w:color="auto"/>
            </w:tcBorders>
            <w:hideMark/>
          </w:tcPr>
          <w:p w14:paraId="735D8C78" w14:textId="58592A54" w:rsidR="00DD078E" w:rsidRPr="00675182" w:rsidRDefault="00DD078E" w:rsidP="00463574">
            <w:pPr>
              <w:keepNext/>
              <w:keepLines/>
              <w:jc w:val="both"/>
              <w:rPr>
                <w:rFonts w:cstheme="minorHAnsi"/>
                <w:szCs w:val="24"/>
              </w:rPr>
            </w:pPr>
            <w:r w:rsidRPr="00675182">
              <w:rPr>
                <w:rFonts w:cstheme="minorHAnsi"/>
                <w:szCs w:val="24"/>
              </w:rPr>
              <w:t>Niedru fragmentēšana ezera daļās, kur veidojas blīvas niedru audzes</w:t>
            </w:r>
            <w:r w:rsidR="00EC0157" w:rsidRPr="00675182">
              <w:rPr>
                <w:rFonts w:cstheme="minorHAnsi"/>
                <w:szCs w:val="24"/>
              </w:rPr>
              <w:t xml:space="preserve"> (pie Vaidavas ciema pasākums plānots KF projekta ietvaros, pēc projekta beigām jāturpina regulārā apsaimniekošana)</w:t>
            </w:r>
            <w:r w:rsidRPr="00675182">
              <w:rPr>
                <w:rFonts w:cstheme="minorHAnsi"/>
                <w:szCs w:val="24"/>
              </w:rPr>
              <w:t>.</w:t>
            </w:r>
          </w:p>
        </w:tc>
      </w:tr>
    </w:tbl>
    <w:p w14:paraId="2510B1B8" w14:textId="77777777" w:rsidR="00DD078E" w:rsidRPr="00675182" w:rsidRDefault="00DD078E" w:rsidP="00DD078E">
      <w:pPr>
        <w:jc w:val="both"/>
        <w:rPr>
          <w:rFonts w:cstheme="minorHAnsi"/>
          <w:szCs w:val="24"/>
        </w:rPr>
      </w:pPr>
    </w:p>
    <w:p w14:paraId="0C7EB7F7" w14:textId="1C8CDA23" w:rsidR="00DD078E" w:rsidRPr="00675182" w:rsidRDefault="00DD078E" w:rsidP="00DD078E">
      <w:pPr>
        <w:jc w:val="both"/>
        <w:rPr>
          <w:rFonts w:cstheme="minorHAnsi"/>
          <w:szCs w:val="24"/>
        </w:rPr>
      </w:pPr>
      <w:r w:rsidRPr="00675182">
        <w:rPr>
          <w:rFonts w:cstheme="minorHAnsi"/>
          <w:szCs w:val="24"/>
        </w:rPr>
        <w:t>Virsūdens augu joslā aizķeras atmirušās augu daļas, sabirušās lapas, tādēļ aizaugumu ieteicams limitēt, taču tas darāms, neizpļaujot iegrimušos un uz grunts augošos ūdensaugus.</w:t>
      </w:r>
      <w:r w:rsidRPr="00675182">
        <w:rPr>
          <w:rFonts w:cstheme="minorHAnsi"/>
        </w:rPr>
        <w:t xml:space="preserve"> </w:t>
      </w:r>
      <w:r w:rsidRPr="00675182">
        <w:rPr>
          <w:rFonts w:cstheme="minorHAnsi"/>
          <w:szCs w:val="24"/>
        </w:rPr>
        <w:t>Iegrimušie ūdensaugi saista barības vielas, samazinot zilaļģu ziedēšanu, kā arī samazina sedimentu uzduļķošanos. Izpļaujot un izvācot no ezera iegrimušos augus, barības vielas atgriezīsies apritē viļņu darbības ietekmē.</w:t>
      </w:r>
    </w:p>
    <w:p w14:paraId="6299271C" w14:textId="77777777" w:rsidR="00FB400F" w:rsidRPr="00675182" w:rsidRDefault="00FB400F" w:rsidP="00DD078E">
      <w:pPr>
        <w:jc w:val="both"/>
        <w:rPr>
          <w:rFonts w:cstheme="minorHAnsi"/>
          <w:szCs w:val="24"/>
        </w:rPr>
      </w:pPr>
    </w:p>
    <w:p w14:paraId="74642338" w14:textId="287E586E" w:rsidR="00DD078E" w:rsidRPr="00675182" w:rsidRDefault="00DD078E" w:rsidP="00DD078E">
      <w:pPr>
        <w:jc w:val="both"/>
        <w:rPr>
          <w:rFonts w:cstheme="minorHAnsi"/>
          <w:szCs w:val="24"/>
        </w:rPr>
      </w:pPr>
      <w:r w:rsidRPr="00675182">
        <w:rPr>
          <w:rFonts w:cstheme="minorHAnsi"/>
          <w:szCs w:val="24"/>
        </w:rPr>
        <w:t>Vasarā pļaušana jāveic, veidojot līdz aptuveni 50 m garus atvērumus virsūdens augu joslā, tādējādi fragmentējot to. Primāri tās ir peldvietas un laivu ielaišanas vietas, kur ir lielākas iespējas apsaimniekošanu veikt atkārtoti. Ziemā virs ledus var nopļaut virsūdens augus pēc iespējas plašākās teritorijās, ņemot vērā ledus drošumu ezerā (upju ietekas un iztekas) un iespējas nopļauto materiālu savākt un utilizēt.</w:t>
      </w:r>
    </w:p>
    <w:p w14:paraId="12134616" w14:textId="77777777" w:rsidR="00FB400F" w:rsidRPr="00675182" w:rsidRDefault="00FB400F" w:rsidP="00DD078E">
      <w:pPr>
        <w:jc w:val="both"/>
        <w:rPr>
          <w:rFonts w:cstheme="minorHAnsi"/>
          <w:szCs w:val="24"/>
        </w:rPr>
      </w:pPr>
    </w:p>
    <w:p w14:paraId="40A806CB" w14:textId="77777777" w:rsidR="00DD078E" w:rsidRPr="00675182" w:rsidRDefault="00DD078E" w:rsidP="00DD078E">
      <w:pPr>
        <w:jc w:val="both"/>
        <w:rPr>
          <w:rFonts w:cstheme="minorHAnsi"/>
          <w:szCs w:val="24"/>
        </w:rPr>
      </w:pPr>
      <w:r w:rsidRPr="00675182">
        <w:rPr>
          <w:rFonts w:cstheme="minorHAnsi"/>
          <w:szCs w:val="24"/>
        </w:rPr>
        <w:t>Virsūdens augu pļaušana veicama laikā no 1. jūlija līdz 30. martam, no laivas vai iebrienot no krasta, nopļaujot augus zem ūdens līmeņa iespējami tuvu sakņu sistēmai. Nopļautie virsūdens augi jāizvāc no ezera un jānovieto virs palu zonas pagaidu uzglabāšanas vietās (uzglabājot ne ilgāk kā vienu mēnesi), vēlāk jāpārvieto uz kompostēšanas vietu. Lai samazinātu audžu blīvumu, pļaušana atkārtoti jāveic katru gadu, pirmajā gadā 2 - 3 reizes gadā.</w:t>
      </w:r>
    </w:p>
    <w:p w14:paraId="2D71B5D3" w14:textId="77777777" w:rsidR="00DD078E" w:rsidRPr="00675182" w:rsidRDefault="00DD078E" w:rsidP="00DD078E">
      <w:pPr>
        <w:jc w:val="both"/>
        <w:rPr>
          <w:rFonts w:cstheme="minorHAnsi"/>
          <w:szCs w:val="24"/>
        </w:rPr>
      </w:pPr>
    </w:p>
    <w:p w14:paraId="3EB7B730" w14:textId="56E68BFB" w:rsidR="00DD078E" w:rsidRPr="00675182" w:rsidRDefault="00DD078E" w:rsidP="00DD078E">
      <w:pPr>
        <w:jc w:val="both"/>
        <w:rPr>
          <w:rFonts w:cstheme="minorHAnsi"/>
          <w:szCs w:val="24"/>
        </w:rPr>
      </w:pPr>
      <w:r w:rsidRPr="00675182">
        <w:rPr>
          <w:rFonts w:cstheme="minorHAnsi"/>
          <w:b/>
          <w:bCs/>
          <w:szCs w:val="24"/>
        </w:rPr>
        <w:t>B.1.4. Piesārņoto vecupju tīrīšana</w:t>
      </w:r>
    </w:p>
    <w:p w14:paraId="28FB8F45" w14:textId="78ECE876" w:rsidR="00DD078E" w:rsidRPr="00675182" w:rsidRDefault="00DD078E" w:rsidP="00DD078E">
      <w:pPr>
        <w:jc w:val="both"/>
        <w:rPr>
          <w:rFonts w:cstheme="minorHAnsi"/>
          <w:szCs w:val="24"/>
        </w:rPr>
      </w:pPr>
      <w:r w:rsidRPr="00675182">
        <w:rPr>
          <w:rFonts w:cstheme="minorHAnsi"/>
          <w:szCs w:val="24"/>
        </w:rPr>
        <w:t xml:space="preserve">Apdzīvoto vietu tuvumā vecupes ir pakļautas piesārņošanai ar daļēji attīrītiem un neattīrītiem notekūdeņiem. Būtiskākais piesārņojums konstatēts vecupē pie Jāņmuižas </w:t>
      </w:r>
      <w:r w:rsidR="00221DD2" w:rsidRPr="00675182">
        <w:rPr>
          <w:rFonts w:cstheme="minorHAnsi"/>
          <w:szCs w:val="24"/>
        </w:rPr>
        <w:t>lejpus</w:t>
      </w:r>
      <w:r w:rsidRPr="00675182">
        <w:rPr>
          <w:rFonts w:cstheme="minorHAnsi"/>
          <w:szCs w:val="24"/>
        </w:rPr>
        <w:t xml:space="preserve"> NAI, kā arī netālu no Valmieras, pie dārziņu ciemata Gauja (ciemats nav GNP teritorijā, vecupe ir). Notekūdeņu iepludināšana izraisa vecupes kā biotopa degradāciju, izraisot pastiprinātu aizaugšanu un dūņu uzkrāšanos. Pārlieku liela aizaugšana ar iegrimušo un brīvi peldošo augu sugām izraisa strauju sedimentu uzkrāšanos un vecupju dziļuma samazināšanos (dūņu slānis var pieaugt apmēram 5 cm gadā), kas veicina virsūdens augu sugu izplatību platībās, kur iepriekš ūdens bija pārāk dziļš to augšanai. Lielās biomasas dēļ tiek traucēta gaismas piekļuve dziļākiem ūdens slāņiem, līdz ar to tiek traucēta arī fotosintēzes procesu norise, noris strauja trūdvielu veidošanās, kas </w:t>
      </w:r>
      <w:r w:rsidRPr="00675182">
        <w:rPr>
          <w:rFonts w:cstheme="minorHAnsi"/>
          <w:szCs w:val="24"/>
        </w:rPr>
        <w:lastRenderedPageBreak/>
        <w:t xml:space="preserve">izsauc skābekļa daudzuma samazināšanos ūdenstilpē (Kļaviņš, Cimdiņš, 2004). Šādās vecupēs ir neliela ūdensaugu un bezmugurkaulnieku sugu daudzveidība. </w:t>
      </w:r>
    </w:p>
    <w:p w14:paraId="55B413F2" w14:textId="77777777" w:rsidR="00DD078E" w:rsidRPr="00675182" w:rsidRDefault="00DD078E" w:rsidP="00DD078E">
      <w:pPr>
        <w:jc w:val="both"/>
        <w:rPr>
          <w:rFonts w:cstheme="minorHAnsi"/>
          <w:szCs w:val="24"/>
        </w:rPr>
      </w:pPr>
    </w:p>
    <w:p w14:paraId="786E087F" w14:textId="77777777" w:rsidR="00DD078E" w:rsidRPr="00675182" w:rsidRDefault="00DD078E" w:rsidP="00DD078E">
      <w:pPr>
        <w:jc w:val="both"/>
        <w:rPr>
          <w:rFonts w:cstheme="minorHAnsi"/>
          <w:szCs w:val="24"/>
        </w:rPr>
      </w:pPr>
      <w:r w:rsidRPr="00675182">
        <w:rPr>
          <w:rFonts w:cstheme="minorHAnsi"/>
          <w:szCs w:val="24"/>
        </w:rPr>
        <w:t xml:space="preserve">Būtiskākais ir nodrošināt atbilstošu notekūdeņu attīrīšanu visās NAI un pieslēgumu NAI ciematiem, kas vēl nav tām pieslēgti. Lai uzlabotu piesārņoto vecupju biotopa kvalitāti, ieteicama dūņu slāņa izsūknēšana, pēc iespējas visā vecupes platībā un dūņu nogādāšana uz notekūdeņu dūņu krātuvi. </w:t>
      </w:r>
    </w:p>
    <w:p w14:paraId="3048EB52" w14:textId="77777777" w:rsidR="00DD078E" w:rsidRPr="00675182" w:rsidRDefault="00DD078E" w:rsidP="00BA3869">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46"/>
      </w:tblGrid>
      <w:tr w:rsidR="00DD078E" w:rsidRPr="00675182" w14:paraId="1219E7DE" w14:textId="77777777" w:rsidTr="000E32EC">
        <w:tc>
          <w:tcPr>
            <w:tcW w:w="4245" w:type="dxa"/>
            <w:hideMark/>
          </w:tcPr>
          <w:p w14:paraId="787873F0" w14:textId="0212281A" w:rsidR="00DD078E" w:rsidRPr="00675182" w:rsidRDefault="00DD078E" w:rsidP="00BA3869">
            <w:pPr>
              <w:jc w:val="both"/>
              <w:rPr>
                <w:rFonts w:cstheme="minorHAnsi"/>
                <w:szCs w:val="24"/>
              </w:rPr>
            </w:pPr>
            <w:r w:rsidRPr="00675182">
              <w:rPr>
                <w:rFonts w:cstheme="minorHAnsi"/>
                <w:noProof/>
              </w:rPr>
              <w:drawing>
                <wp:inline distT="0" distB="0" distL="0" distR="0" wp14:anchorId="5D6B0ABF" wp14:editId="19D456C9">
                  <wp:extent cx="2552700" cy="1914525"/>
                  <wp:effectExtent l="0" t="0" r="0" b="9525"/>
                  <wp:docPr id="52" name="Picture 52" descr="A picture containing outdoor,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outdoor, grass&#10;&#10;Description automatically generated"/>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552700" cy="1914525"/>
                          </a:xfrm>
                          <a:prstGeom prst="rect">
                            <a:avLst/>
                          </a:prstGeom>
                          <a:noFill/>
                          <a:ln>
                            <a:noFill/>
                          </a:ln>
                        </pic:spPr>
                      </pic:pic>
                    </a:graphicData>
                  </a:graphic>
                </wp:inline>
              </w:drawing>
            </w:r>
          </w:p>
        </w:tc>
        <w:tc>
          <w:tcPr>
            <w:tcW w:w="4246" w:type="dxa"/>
            <w:hideMark/>
          </w:tcPr>
          <w:p w14:paraId="4004C582" w14:textId="5E5E4D6C" w:rsidR="00DD078E" w:rsidRPr="00675182" w:rsidRDefault="00DD078E" w:rsidP="00BA3869">
            <w:pPr>
              <w:jc w:val="both"/>
              <w:rPr>
                <w:rFonts w:cstheme="minorHAnsi"/>
                <w:szCs w:val="24"/>
              </w:rPr>
            </w:pPr>
            <w:r w:rsidRPr="00675182">
              <w:rPr>
                <w:rFonts w:cstheme="minorHAnsi"/>
                <w:noProof/>
              </w:rPr>
              <w:drawing>
                <wp:inline distT="0" distB="0" distL="0" distR="0" wp14:anchorId="6E881E72" wp14:editId="5D88A63D">
                  <wp:extent cx="2543175" cy="1905000"/>
                  <wp:effectExtent l="0" t="0" r="9525" b="0"/>
                  <wp:docPr id="51" name="Picture 51" descr="A dirt road with trees on the 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dirt road with trees on the side&#10;&#10;Description automatically generated with low confidence"/>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543175" cy="1905000"/>
                          </a:xfrm>
                          <a:prstGeom prst="rect">
                            <a:avLst/>
                          </a:prstGeom>
                          <a:noFill/>
                          <a:ln>
                            <a:noFill/>
                          </a:ln>
                        </pic:spPr>
                      </pic:pic>
                    </a:graphicData>
                  </a:graphic>
                </wp:inline>
              </w:drawing>
            </w:r>
          </w:p>
        </w:tc>
      </w:tr>
      <w:tr w:rsidR="00DD078E" w:rsidRPr="00675182" w14:paraId="279686CD" w14:textId="77777777" w:rsidTr="000E32EC">
        <w:tc>
          <w:tcPr>
            <w:tcW w:w="4245" w:type="dxa"/>
            <w:hideMark/>
          </w:tcPr>
          <w:p w14:paraId="06E0E8BF" w14:textId="339EF892" w:rsidR="00DD078E" w:rsidRPr="00675182" w:rsidRDefault="00914F59" w:rsidP="00BA3869">
            <w:pPr>
              <w:jc w:val="both"/>
              <w:rPr>
                <w:rFonts w:cstheme="minorHAnsi"/>
                <w:b/>
                <w:bCs/>
                <w:i/>
                <w:iCs/>
                <w:szCs w:val="24"/>
              </w:rPr>
            </w:pPr>
            <w:r w:rsidRPr="00675182">
              <w:rPr>
                <w:rFonts w:cstheme="minorHAnsi"/>
                <w:b/>
                <w:bCs/>
                <w:i/>
                <w:iCs/>
                <w:szCs w:val="24"/>
              </w:rPr>
              <w:t xml:space="preserve">3.2. attēls. </w:t>
            </w:r>
            <w:r w:rsidR="00DD078E" w:rsidRPr="00675182">
              <w:rPr>
                <w:rFonts w:cstheme="minorHAnsi"/>
                <w:b/>
                <w:bCs/>
                <w:i/>
                <w:iCs/>
                <w:szCs w:val="24"/>
              </w:rPr>
              <w:t>Vecupe pie Jāņ</w:t>
            </w:r>
            <w:r w:rsidR="00221DD2" w:rsidRPr="00675182">
              <w:rPr>
                <w:rFonts w:cstheme="minorHAnsi"/>
                <w:b/>
                <w:bCs/>
                <w:i/>
                <w:iCs/>
                <w:szCs w:val="24"/>
              </w:rPr>
              <w:t>m</w:t>
            </w:r>
            <w:r w:rsidR="00DD078E" w:rsidRPr="00675182">
              <w:rPr>
                <w:rFonts w:cstheme="minorHAnsi"/>
                <w:b/>
                <w:bCs/>
                <w:i/>
                <w:iCs/>
                <w:szCs w:val="24"/>
              </w:rPr>
              <w:t>uižas NAI neatbilst ES biotopam augstā piesārņojuma dēļ</w:t>
            </w:r>
            <w:r w:rsidR="000E32EC" w:rsidRPr="00675182">
              <w:rPr>
                <w:rFonts w:cstheme="minorHAnsi"/>
                <w:b/>
                <w:bCs/>
                <w:i/>
                <w:iCs/>
                <w:szCs w:val="24"/>
              </w:rPr>
              <w:t>, 2020.g.</w:t>
            </w:r>
            <w:r w:rsidR="00DD078E" w:rsidRPr="00675182">
              <w:rPr>
                <w:rFonts w:cstheme="minorHAnsi"/>
                <w:b/>
                <w:bCs/>
                <w:i/>
                <w:iCs/>
                <w:szCs w:val="24"/>
              </w:rPr>
              <w:t xml:space="preserve"> (foto: L. Grīnberga, 2020. g.)</w:t>
            </w:r>
          </w:p>
        </w:tc>
        <w:tc>
          <w:tcPr>
            <w:tcW w:w="4246" w:type="dxa"/>
            <w:hideMark/>
          </w:tcPr>
          <w:p w14:paraId="7D4DAA98" w14:textId="0D4D380F" w:rsidR="00DD078E" w:rsidRPr="00675182" w:rsidRDefault="008A5D56" w:rsidP="00BA3869">
            <w:pPr>
              <w:jc w:val="both"/>
              <w:rPr>
                <w:rFonts w:cstheme="minorHAnsi"/>
                <w:b/>
                <w:bCs/>
                <w:i/>
                <w:iCs/>
                <w:szCs w:val="24"/>
              </w:rPr>
            </w:pPr>
            <w:r w:rsidRPr="00675182">
              <w:rPr>
                <w:rFonts w:cstheme="minorHAnsi"/>
                <w:b/>
                <w:bCs/>
                <w:i/>
                <w:iCs/>
                <w:szCs w:val="24"/>
              </w:rPr>
              <w:t xml:space="preserve">3.3. attēls. </w:t>
            </w:r>
            <w:r w:rsidR="00DD078E" w:rsidRPr="00675182">
              <w:rPr>
                <w:rFonts w:cstheme="minorHAnsi"/>
                <w:b/>
                <w:bCs/>
                <w:i/>
                <w:iCs/>
                <w:szCs w:val="24"/>
              </w:rPr>
              <w:t>Vecupe (biotops 3150_3) pie ciemata Gauja Kauguru pagastā</w:t>
            </w:r>
            <w:r w:rsidRPr="00675182">
              <w:rPr>
                <w:rFonts w:cstheme="minorHAnsi"/>
                <w:b/>
                <w:bCs/>
                <w:i/>
                <w:iCs/>
                <w:szCs w:val="24"/>
              </w:rPr>
              <w:t>, 2019. g</w:t>
            </w:r>
            <w:r w:rsidR="000E32EC" w:rsidRPr="00675182">
              <w:rPr>
                <w:rFonts w:cstheme="minorHAnsi"/>
                <w:b/>
                <w:bCs/>
                <w:i/>
                <w:iCs/>
                <w:szCs w:val="24"/>
              </w:rPr>
              <w:t>.</w:t>
            </w:r>
            <w:r w:rsidR="00DD078E" w:rsidRPr="00675182">
              <w:rPr>
                <w:rFonts w:cstheme="minorHAnsi"/>
                <w:b/>
                <w:bCs/>
                <w:i/>
                <w:iCs/>
                <w:szCs w:val="24"/>
              </w:rPr>
              <w:t xml:space="preserve"> (foto: L. Vizule-Kahovska)</w:t>
            </w:r>
          </w:p>
        </w:tc>
      </w:tr>
    </w:tbl>
    <w:p w14:paraId="2E82E3A8" w14:textId="77777777" w:rsidR="00C65EFC" w:rsidRPr="00675182" w:rsidRDefault="00C65EFC" w:rsidP="00C65EFC">
      <w:pPr>
        <w:rPr>
          <w:b/>
          <w:bCs/>
          <w:szCs w:val="24"/>
        </w:rPr>
      </w:pPr>
    </w:p>
    <w:p w14:paraId="054B5A30" w14:textId="66BA186E" w:rsidR="00C65EFC" w:rsidRPr="00675182" w:rsidRDefault="00C65EFC" w:rsidP="00C65EFC">
      <w:pPr>
        <w:rPr>
          <w:rFonts w:eastAsiaTheme="minorHAnsi" w:cstheme="minorBidi"/>
          <w:b/>
          <w:bCs/>
          <w:szCs w:val="24"/>
          <w:lang w:eastAsia="en-US"/>
        </w:rPr>
      </w:pPr>
      <w:r w:rsidRPr="00675182">
        <w:rPr>
          <w:b/>
          <w:bCs/>
          <w:szCs w:val="24"/>
        </w:rPr>
        <w:t>B.1.5. Notekūdeņu apsaimniekošanas risinājumu pārvaldība DLZ platībās upju ielejās</w:t>
      </w:r>
    </w:p>
    <w:p w14:paraId="42F082B0" w14:textId="3064D63D" w:rsidR="00BA3869" w:rsidRPr="00675182" w:rsidRDefault="00BA3869" w:rsidP="00C65EFC">
      <w:pPr>
        <w:jc w:val="both"/>
      </w:pPr>
      <w:r w:rsidRPr="00675182">
        <w:t>Attīstot jaunu apbūvi, tajā skaitā arī tūrisma un atpūtas infrastruktūru, DLZ platībās upju ielejās nepieciešams nodrošināt tādus risinājumus radīto notekūdeņu apsaimniekošanai, kas nerada papildus biogēno elementu ienesi ūdeņu ekosistēmās vai gruntsūdeņos.</w:t>
      </w:r>
    </w:p>
    <w:p w14:paraId="277BA8F8" w14:textId="77777777" w:rsidR="00C65EFC" w:rsidRPr="00675182" w:rsidRDefault="00C65EFC" w:rsidP="00C65EFC">
      <w:pPr>
        <w:jc w:val="both"/>
        <w:rPr>
          <w:rFonts w:eastAsiaTheme="minorHAnsi" w:cstheme="minorBidi"/>
          <w:sz w:val="22"/>
          <w:lang w:eastAsia="en-US"/>
        </w:rPr>
      </w:pPr>
    </w:p>
    <w:p w14:paraId="1FD26937" w14:textId="4E0DFE85" w:rsidR="00BA3869" w:rsidRPr="00675182" w:rsidRDefault="00BA3869" w:rsidP="00C65EFC">
      <w:pPr>
        <w:jc w:val="both"/>
      </w:pPr>
      <w:r w:rsidRPr="00675182">
        <w:t>Nav pieļaujama neattīrītu vai nepietiekami attīrītu notekūdeņu novadīšana vidē vai infiltrēšana gruntī, tajā skaitā novadīšana meliorācijas sistēmās, kā arī notekūdeņu dūņu deponēšana.</w:t>
      </w:r>
    </w:p>
    <w:p w14:paraId="09EA18A6" w14:textId="77777777" w:rsidR="00C65EFC" w:rsidRPr="00675182" w:rsidRDefault="00C65EFC" w:rsidP="00C65EFC">
      <w:pPr>
        <w:jc w:val="both"/>
      </w:pPr>
    </w:p>
    <w:p w14:paraId="661B1D33" w14:textId="74C05418" w:rsidR="00BA3869" w:rsidRPr="00675182" w:rsidRDefault="00BA3869" w:rsidP="00C65EFC">
      <w:pPr>
        <w:jc w:val="both"/>
      </w:pPr>
      <w:r w:rsidRPr="00675182">
        <w:t>Par optimālu risinājumu uzskatāma hermētisku sadzīves notekūdeņu uzkrāšanas tvertņu ierīkošana ar secīgu notekūdeņu attīrīšanu notekūdeņu apsaimniekošanas sistēmās, kas nodrošina biogēno elementu noārdīšanu normatīvajos aktos noteiktā apjomā.</w:t>
      </w:r>
    </w:p>
    <w:p w14:paraId="11671AFA" w14:textId="77777777" w:rsidR="00C65EFC" w:rsidRPr="00675182" w:rsidRDefault="00C65EFC" w:rsidP="00C65EFC">
      <w:pPr>
        <w:jc w:val="both"/>
      </w:pPr>
    </w:p>
    <w:p w14:paraId="393C0C8A" w14:textId="77777777" w:rsidR="00BA3869" w:rsidRPr="00675182" w:rsidRDefault="00BA3869" w:rsidP="00C65EFC">
      <w:pPr>
        <w:jc w:val="both"/>
      </w:pPr>
      <w:r w:rsidRPr="00675182">
        <w:t>Pieļaujama lokālu notekūdeņu attīrīšanas iekārtu izbūve un izmantošana, ja tiek nodrošināta normatīviem aktiem atbilstoša līmeņa notekūdeņu attīrīšana, ko var apliecināt ar regulāriem vidē novadīto notekūdeņu testēšanas rezultātiem.</w:t>
      </w:r>
    </w:p>
    <w:p w14:paraId="4B73EDAF" w14:textId="77777777" w:rsidR="00BA3869" w:rsidRPr="00675182" w:rsidRDefault="00BA3869" w:rsidP="00BA3869">
      <w:pPr>
        <w:jc w:val="both"/>
        <w:rPr>
          <w:rFonts w:cstheme="minorHAnsi"/>
          <w:szCs w:val="24"/>
        </w:rPr>
      </w:pPr>
    </w:p>
    <w:p w14:paraId="542E0BBD" w14:textId="0388507D" w:rsidR="00F81D26" w:rsidRPr="00675182" w:rsidRDefault="00F81D26" w:rsidP="00BA3869">
      <w:pPr>
        <w:pStyle w:val="Footer"/>
        <w:suppressAutoHyphens w:val="0"/>
        <w:rPr>
          <w:rFonts w:cstheme="minorHAnsi"/>
          <w:szCs w:val="24"/>
          <w:u w:val="single"/>
          <w:lang w:val="lv-LV"/>
        </w:rPr>
      </w:pPr>
      <w:r w:rsidRPr="00675182">
        <w:rPr>
          <w:rFonts w:cstheme="minorHAnsi"/>
          <w:szCs w:val="24"/>
          <w:u w:val="single"/>
          <w:lang w:val="lv-LV"/>
        </w:rPr>
        <w:t>B.2. Iežu atsegumu un alu biotopu aizsardzība un kvalitātes uzlabošana</w:t>
      </w:r>
    </w:p>
    <w:p w14:paraId="322C0936" w14:textId="47BEDCE7" w:rsidR="00F81D26" w:rsidRPr="00675182" w:rsidRDefault="00CF5A4B" w:rsidP="00BA3869">
      <w:pPr>
        <w:jc w:val="both"/>
        <w:rPr>
          <w:rFonts w:cstheme="minorHAnsi"/>
          <w:b/>
          <w:bCs/>
          <w:szCs w:val="24"/>
        </w:rPr>
      </w:pPr>
      <w:r w:rsidRPr="00675182">
        <w:rPr>
          <w:rFonts w:cstheme="minorHAnsi"/>
          <w:b/>
          <w:bCs/>
          <w:szCs w:val="24"/>
        </w:rPr>
        <w:t>B.2.1. Ģeoloģisko objektu aizsardzība un kvalitātes uzlabošana</w:t>
      </w:r>
    </w:p>
    <w:bookmarkEnd w:id="155"/>
    <w:p w14:paraId="60C7D7E6" w14:textId="77777777" w:rsidR="00CF5A4B" w:rsidRPr="00675182" w:rsidRDefault="00CF5A4B" w:rsidP="00BA3869">
      <w:pPr>
        <w:rPr>
          <w:rFonts w:eastAsiaTheme="minorHAnsi" w:cstheme="minorHAnsi"/>
          <w:i/>
          <w:iCs/>
          <w:szCs w:val="24"/>
          <w:lang w:eastAsia="en-US"/>
        </w:rPr>
      </w:pPr>
      <w:r w:rsidRPr="00675182">
        <w:rPr>
          <w:rFonts w:cstheme="minorHAnsi"/>
          <w:i/>
          <w:iCs/>
          <w:szCs w:val="24"/>
        </w:rPr>
        <w:t>Aizsargājamie ģeoloģiskie un ģeomorfoloģiskie dabas pieminekļi</w:t>
      </w:r>
    </w:p>
    <w:p w14:paraId="3E44B127" w14:textId="2A286834" w:rsidR="00615E35" w:rsidRPr="00675182" w:rsidRDefault="00615E35" w:rsidP="00BA3869">
      <w:pPr>
        <w:jc w:val="both"/>
        <w:rPr>
          <w:rFonts w:cstheme="minorHAnsi"/>
          <w:szCs w:val="24"/>
        </w:rPr>
      </w:pPr>
      <w:r w:rsidRPr="00675182">
        <w:rPr>
          <w:rFonts w:cstheme="minorHAnsi"/>
          <w:szCs w:val="24"/>
        </w:rPr>
        <w:t xml:space="preserve">Ģeoloģiskos un ģeomorfoloģiskos pieminekļus nepieciešams dabā identificēt ar informatīvo zīmi (skat. C sadaļu), specifiski apsaimniekošanas pasākumi, kas veicami iežu </w:t>
      </w:r>
      <w:r w:rsidRPr="00675182">
        <w:rPr>
          <w:rFonts w:cstheme="minorHAnsi"/>
          <w:szCs w:val="24"/>
        </w:rPr>
        <w:lastRenderedPageBreak/>
        <w:t xml:space="preserve">atsegumu un alu biotopu apsaimniekošanai, t.sk. ģeoloģiskajos un ģeomorfoloģiskajos dabas pieminekļos, uzskaitīti tālākajās sadaļās. Visu šo pieminekļu teritorijās regulāri jāveic sadzīves atkritumu novākšana, ja tādi tur atrodami, un esošās tūrisma infrastruktūras uzturēšana. </w:t>
      </w:r>
      <w:r w:rsidR="00EC0157" w:rsidRPr="00675182">
        <w:rPr>
          <w:rFonts w:cstheme="minorHAnsi"/>
          <w:szCs w:val="24"/>
        </w:rPr>
        <w:t>Pieļaujama krūmu un lakstaugu pļaušana atsegumu priekšā vietās, kur tas jau līdz šim ir darīts</w:t>
      </w:r>
      <w:r w:rsidR="00C10D2A" w:rsidRPr="00675182">
        <w:rPr>
          <w:rFonts w:cstheme="minorHAnsi"/>
          <w:szCs w:val="24"/>
        </w:rPr>
        <w:t xml:space="preserve"> (piemēram, Piķenes kraujā un Zvārtas iezī)</w:t>
      </w:r>
      <w:r w:rsidR="00EC0157" w:rsidRPr="00675182">
        <w:rPr>
          <w:rFonts w:cstheme="minorHAnsi"/>
          <w:szCs w:val="24"/>
        </w:rPr>
        <w:t>; jaunu apsaimniekojamo teritoriju izvēlē jāpiesaista atsegumu biotopu eksperts, lai nodrošinātu, ka netiek ietekmēts mikroklimats reto sugu augtenēs.</w:t>
      </w:r>
    </w:p>
    <w:p w14:paraId="51D44720" w14:textId="77777777" w:rsidR="00CF5A4B" w:rsidRPr="00675182" w:rsidRDefault="00CF5A4B" w:rsidP="00CF5A4B">
      <w:pPr>
        <w:jc w:val="both"/>
        <w:rPr>
          <w:rFonts w:cstheme="minorHAnsi"/>
          <w:szCs w:val="24"/>
        </w:rPr>
      </w:pPr>
    </w:p>
    <w:p w14:paraId="72A17D17" w14:textId="77777777" w:rsidR="00CF5A4B" w:rsidRPr="00675182" w:rsidRDefault="00CF5A4B" w:rsidP="00CF5A4B">
      <w:pPr>
        <w:rPr>
          <w:rFonts w:cstheme="minorHAnsi"/>
          <w:i/>
          <w:iCs/>
          <w:szCs w:val="24"/>
        </w:rPr>
      </w:pPr>
      <w:r w:rsidRPr="00675182">
        <w:rPr>
          <w:rFonts w:cstheme="minorHAnsi"/>
          <w:i/>
          <w:iCs/>
          <w:szCs w:val="24"/>
        </w:rPr>
        <w:t>Pamatiežu atsegumi</w:t>
      </w:r>
    </w:p>
    <w:p w14:paraId="175841D5" w14:textId="6622226C" w:rsidR="00615E35" w:rsidRPr="00675182" w:rsidRDefault="00615E35" w:rsidP="00CF5A4B">
      <w:pPr>
        <w:jc w:val="both"/>
        <w:rPr>
          <w:rFonts w:cstheme="minorHAnsi"/>
          <w:szCs w:val="24"/>
        </w:rPr>
      </w:pPr>
      <w:r w:rsidRPr="00675182">
        <w:rPr>
          <w:rFonts w:cstheme="minorHAnsi"/>
          <w:szCs w:val="24"/>
        </w:rPr>
        <w:t xml:space="preserve">Pamatiežu atsegumu apsaimniekošana lielākoties saistīta ar neiejaukšanos tajos notiekošajos dabiskajos procesos un antropogēnās slodzes kontroli. Informatīvajos stendos, kas izvietoti atsegumu tuvumā, jāuztur informācija par šiem objektiem, tai skaitā atļautajām un aizliegtajām darbībām. </w:t>
      </w:r>
      <w:r w:rsidR="00BE3187" w:rsidRPr="00675182">
        <w:rPr>
          <w:rFonts w:cstheme="minorHAnsi"/>
          <w:szCs w:val="24"/>
        </w:rPr>
        <w:t>Visos objektos, kur ir tūrisma infrastruktūra, tā jāturpina uzturēt, izņemot gadījumus, kad infrastruktūru nepieciešams pārbūvēt, lai samazinātu antropogēno slodzi. Tūristu apmeklētajās vietās veicama arī invazīvo sugu uzraudzība un vajadzības gadījumā apkarošanas pasākumi. Pieļaujama veģetācijas un krūmu izpļaušana gar tūristu takām, pirmreizējas pļaušanas gadījumā vispirms konsultējoties ar vaskulāro augu, sūnu un ķērpju sugu ekspertiem.</w:t>
      </w:r>
      <w:r w:rsidR="00EC0157" w:rsidRPr="00675182">
        <w:rPr>
          <w:rFonts w:cstheme="minorHAnsi"/>
          <w:szCs w:val="24"/>
        </w:rPr>
        <w:t xml:space="preserve"> Ainavisko atvērumu veidošan</w:t>
      </w:r>
      <w:r w:rsidR="005D000F" w:rsidRPr="00675182">
        <w:rPr>
          <w:rFonts w:cstheme="minorHAnsi"/>
          <w:szCs w:val="24"/>
        </w:rPr>
        <w:t>as procesā</w:t>
      </w:r>
      <w:r w:rsidR="00EC0157" w:rsidRPr="00675182">
        <w:rPr>
          <w:rFonts w:cstheme="minorHAnsi"/>
          <w:szCs w:val="24"/>
        </w:rPr>
        <w:t>, ja tādi nav norādīti DA plānā, jāpiesaista ainavu eksperts un iežu atsegumu biotopu eksperts</w:t>
      </w:r>
      <w:r w:rsidR="005C4B61" w:rsidRPr="00675182">
        <w:rPr>
          <w:rFonts w:cstheme="minorHAnsi"/>
          <w:szCs w:val="24"/>
        </w:rPr>
        <w:t>; pieļaujama esošo atvērumu uzturēšana</w:t>
      </w:r>
      <w:r w:rsidR="00EC0157" w:rsidRPr="00675182">
        <w:rPr>
          <w:rFonts w:cstheme="minorHAnsi"/>
          <w:szCs w:val="24"/>
        </w:rPr>
        <w:t>.</w:t>
      </w:r>
      <w:r w:rsidR="00BE3187" w:rsidRPr="00675182">
        <w:rPr>
          <w:rFonts w:cstheme="minorHAnsi"/>
          <w:szCs w:val="24"/>
        </w:rPr>
        <w:t xml:space="preserve"> Jebkuras jaunas tūrisma infrastruktūras izveidošanas gadījumā nepieciešams iežu atsegumu biotopu eksperta izvērtējums.</w:t>
      </w:r>
    </w:p>
    <w:p w14:paraId="2FE40895" w14:textId="77777777" w:rsidR="00CF5A4B" w:rsidRPr="00675182" w:rsidRDefault="00CF5A4B" w:rsidP="00CF5A4B">
      <w:pPr>
        <w:rPr>
          <w:rFonts w:cstheme="minorHAnsi"/>
          <w:b/>
          <w:bCs/>
          <w:szCs w:val="24"/>
        </w:rPr>
      </w:pPr>
    </w:p>
    <w:p w14:paraId="5E04CFBB" w14:textId="65A2C171" w:rsidR="00CF5A4B" w:rsidRPr="00675182" w:rsidRDefault="00CF5A4B" w:rsidP="00CF5A4B">
      <w:pPr>
        <w:rPr>
          <w:rFonts w:cstheme="minorHAnsi"/>
          <w:i/>
          <w:iCs/>
          <w:szCs w:val="24"/>
        </w:rPr>
      </w:pPr>
      <w:r w:rsidRPr="00675182">
        <w:rPr>
          <w:rFonts w:cstheme="minorHAnsi"/>
          <w:i/>
          <w:iCs/>
          <w:szCs w:val="24"/>
        </w:rPr>
        <w:t>Alas</w:t>
      </w:r>
    </w:p>
    <w:p w14:paraId="23026D5A" w14:textId="468F811F" w:rsidR="00E817A0" w:rsidRPr="00675182" w:rsidRDefault="00CF5A4B" w:rsidP="00E817A0">
      <w:pPr>
        <w:jc w:val="both"/>
        <w:rPr>
          <w:rFonts w:cstheme="minorHAnsi"/>
          <w:szCs w:val="24"/>
        </w:rPr>
      </w:pPr>
      <w:r w:rsidRPr="00675182">
        <w:rPr>
          <w:rFonts w:cstheme="minorHAnsi"/>
          <w:szCs w:val="24"/>
        </w:rPr>
        <w:t xml:space="preserve">Visām alām nav iespējams identificēt visus iespējamos riskus, kas varētu saistīties ar apmeklētāju drošību, kā arī nav pilnībā iespējams novērtēt ietekmējošos faktorus, kas var apdraudēt alas, tādējādi </w:t>
      </w:r>
      <w:r w:rsidR="00BE3187" w:rsidRPr="00675182">
        <w:rPr>
          <w:rFonts w:cstheme="minorHAnsi"/>
          <w:szCs w:val="24"/>
        </w:rPr>
        <w:t>gan pie alām, gan pie jau esošiem informācijas stendiem</w:t>
      </w:r>
      <w:r w:rsidRPr="00675182">
        <w:rPr>
          <w:rFonts w:cstheme="minorHAnsi"/>
          <w:szCs w:val="24"/>
        </w:rPr>
        <w:t xml:space="preserve"> uzstādīt brīdinājuma zīmes, ka alu apmeklēšana apdraud apmeklētāju veselību un dzīvību.</w:t>
      </w:r>
      <w:r w:rsidR="00BE3187" w:rsidRPr="00675182">
        <w:rPr>
          <w:rFonts w:cstheme="minorHAnsi"/>
          <w:szCs w:val="24"/>
        </w:rPr>
        <w:t xml:space="preserve"> Alām, kurās ziemo sikspārņi, iespēju robežās jānovērš apmeklējums; DA plāna ietvaros sagatavots pārskats par šīm alām, kas kā ierobežotas pieejamības informācija nodots DAP, lai pēc tā vadītos dažādu atļauju izsniegšanā (piem., pasākumiem vai tūrisma infrastruktūras ierīkošanai). </w:t>
      </w:r>
      <w:r w:rsidR="00E817A0" w:rsidRPr="00675182">
        <w:rPr>
          <w:rFonts w:cstheme="minorHAnsi"/>
          <w:szCs w:val="24"/>
        </w:rPr>
        <w:t xml:space="preserve">Pirms </w:t>
      </w:r>
      <w:r w:rsidR="00BE3187" w:rsidRPr="00675182">
        <w:rPr>
          <w:rFonts w:cstheme="minorHAnsi"/>
          <w:szCs w:val="24"/>
        </w:rPr>
        <w:t xml:space="preserve">jebkādu </w:t>
      </w:r>
      <w:r w:rsidR="00E817A0" w:rsidRPr="00675182">
        <w:rPr>
          <w:rFonts w:cstheme="minorHAnsi"/>
          <w:szCs w:val="24"/>
        </w:rPr>
        <w:t>apsaimniekošanas pasākumu īstenošanas, ir jākonsultējas ar sikspārņu ekspertu par paredzētās darbības ietekmi uz sugu atradnēm</w:t>
      </w:r>
      <w:r w:rsidR="00BE3187" w:rsidRPr="00675182">
        <w:rPr>
          <w:rFonts w:cstheme="minorHAnsi"/>
          <w:szCs w:val="24"/>
        </w:rPr>
        <w:t>, alu biotopu ekspertu un NKMP par iespējamām</w:t>
      </w:r>
      <w:r w:rsidR="00EC0157" w:rsidRPr="00675182">
        <w:rPr>
          <w:rFonts w:cstheme="minorHAnsi"/>
          <w:szCs w:val="24"/>
        </w:rPr>
        <w:t xml:space="preserve"> kultūrvēsturiskajām vērtībām</w:t>
      </w:r>
      <w:r w:rsidR="00E817A0" w:rsidRPr="00675182">
        <w:rPr>
          <w:rFonts w:cstheme="minorHAnsi"/>
          <w:szCs w:val="24"/>
        </w:rPr>
        <w:t xml:space="preserve">. </w:t>
      </w:r>
    </w:p>
    <w:p w14:paraId="0A594DB8" w14:textId="1F073BF3" w:rsidR="00B43C68" w:rsidRPr="00675182" w:rsidRDefault="00B43C68" w:rsidP="00E817A0">
      <w:pPr>
        <w:jc w:val="both"/>
        <w:rPr>
          <w:rFonts w:cstheme="minorHAnsi"/>
          <w:szCs w:val="24"/>
        </w:rPr>
      </w:pPr>
    </w:p>
    <w:p w14:paraId="7393A447" w14:textId="1FBC8B23" w:rsidR="00B43C68" w:rsidRPr="00675182" w:rsidRDefault="00B43C68" w:rsidP="00E817A0">
      <w:pPr>
        <w:jc w:val="both"/>
        <w:rPr>
          <w:rFonts w:cstheme="minorHAnsi"/>
          <w:szCs w:val="24"/>
        </w:rPr>
      </w:pPr>
      <w:r w:rsidRPr="00675182">
        <w:rPr>
          <w:rFonts w:cstheme="minorHAnsi"/>
          <w:szCs w:val="24"/>
        </w:rPr>
        <w:t>Veidojot jaunu tūrisma infrastruktūru, vēlamais infrastruktūras formāts ir attālinātas platformas, kas nepieguļ pašai alai.</w:t>
      </w:r>
    </w:p>
    <w:p w14:paraId="119A3EA4" w14:textId="77777777" w:rsidR="002B09FA" w:rsidRPr="00675182" w:rsidRDefault="002B09FA" w:rsidP="00CF5A4B">
      <w:pPr>
        <w:jc w:val="both"/>
        <w:rPr>
          <w:rFonts w:cstheme="minorHAnsi"/>
          <w:szCs w:val="24"/>
        </w:rPr>
      </w:pPr>
    </w:p>
    <w:p w14:paraId="59E225A9" w14:textId="77777777" w:rsidR="00CF5A4B" w:rsidRPr="00675182" w:rsidRDefault="00CF5A4B" w:rsidP="00EF112A">
      <w:pPr>
        <w:keepNext/>
        <w:keepLines/>
        <w:rPr>
          <w:rFonts w:cstheme="minorHAnsi"/>
          <w:i/>
          <w:iCs/>
          <w:szCs w:val="24"/>
        </w:rPr>
      </w:pPr>
      <w:r w:rsidRPr="00675182">
        <w:rPr>
          <w:rFonts w:cstheme="minorHAnsi"/>
          <w:i/>
          <w:iCs/>
          <w:szCs w:val="24"/>
        </w:rPr>
        <w:t>Avoti</w:t>
      </w:r>
    </w:p>
    <w:p w14:paraId="53CBACC5" w14:textId="77777777" w:rsidR="00CF5A4B" w:rsidRPr="00675182" w:rsidRDefault="00CF5A4B" w:rsidP="00EF112A">
      <w:pPr>
        <w:keepNext/>
        <w:keepLines/>
        <w:rPr>
          <w:rFonts w:cstheme="minorHAnsi"/>
          <w:szCs w:val="24"/>
        </w:rPr>
      </w:pPr>
      <w:r w:rsidRPr="00675182">
        <w:rPr>
          <w:rFonts w:cstheme="minorHAnsi"/>
          <w:szCs w:val="24"/>
        </w:rPr>
        <w:t>Avotu sateces baseinos nav pieļaujamas darbības, kas var ietekmēt to hidroģeoķīmisko līdzsvaru un debitu.</w:t>
      </w:r>
    </w:p>
    <w:p w14:paraId="1722DC55" w14:textId="77777777" w:rsidR="002B09FA" w:rsidRPr="00675182" w:rsidRDefault="002B09FA" w:rsidP="00CF5A4B">
      <w:pPr>
        <w:rPr>
          <w:rFonts w:cstheme="minorHAnsi"/>
          <w:b/>
          <w:bCs/>
          <w:szCs w:val="24"/>
        </w:rPr>
      </w:pPr>
    </w:p>
    <w:p w14:paraId="47AFDC61" w14:textId="54A3488B" w:rsidR="00CF5A4B" w:rsidRPr="00675182" w:rsidRDefault="00CF5A4B" w:rsidP="00410800">
      <w:pPr>
        <w:keepNext/>
        <w:keepLines/>
        <w:rPr>
          <w:rFonts w:cstheme="minorHAnsi"/>
          <w:i/>
          <w:iCs/>
          <w:szCs w:val="24"/>
        </w:rPr>
      </w:pPr>
      <w:r w:rsidRPr="00675182">
        <w:rPr>
          <w:rFonts w:cstheme="minorHAnsi"/>
          <w:i/>
          <w:iCs/>
          <w:szCs w:val="24"/>
        </w:rPr>
        <w:lastRenderedPageBreak/>
        <w:t>Ūdenskritumi</w:t>
      </w:r>
    </w:p>
    <w:p w14:paraId="40A654C6" w14:textId="77777777" w:rsidR="00CF5A4B" w:rsidRPr="00675182" w:rsidRDefault="00CF5A4B" w:rsidP="00410800">
      <w:pPr>
        <w:pStyle w:val="NoSpacing1"/>
        <w:keepNext/>
        <w:keepLines/>
        <w:jc w:val="both"/>
        <w:rPr>
          <w:rFonts w:asciiTheme="minorHAnsi" w:hAnsiTheme="minorHAnsi" w:cstheme="minorHAnsi"/>
          <w:sz w:val="24"/>
          <w:szCs w:val="24"/>
        </w:rPr>
      </w:pPr>
      <w:r w:rsidRPr="00675182">
        <w:rPr>
          <w:rFonts w:asciiTheme="minorHAnsi" w:hAnsiTheme="minorHAnsi" w:cstheme="minorHAnsi"/>
          <w:sz w:val="24"/>
          <w:szCs w:val="24"/>
        </w:rPr>
        <w:t>Vēlams sakārtot infrastruktūru, lai iespaidīgākie un vizuāli estētiskākie ūdenskritumi būtu pieejami apmeklētājiem, radot pēc iespējas mazāku antropogēno noslodzi uz ģeoloģisko objektu.</w:t>
      </w:r>
    </w:p>
    <w:p w14:paraId="480EFA1C" w14:textId="77777777" w:rsidR="00CF5A4B" w:rsidRPr="00675182" w:rsidRDefault="00CF5A4B" w:rsidP="00CF5A4B">
      <w:pPr>
        <w:rPr>
          <w:rFonts w:cstheme="minorHAnsi"/>
          <w:b/>
          <w:bCs/>
          <w:szCs w:val="24"/>
        </w:rPr>
      </w:pPr>
    </w:p>
    <w:p w14:paraId="019DD746" w14:textId="5B18DC8B" w:rsidR="00CF5A4B" w:rsidRPr="00675182" w:rsidRDefault="00CF5A4B" w:rsidP="001C313B">
      <w:pPr>
        <w:keepNext/>
        <w:keepLines/>
        <w:rPr>
          <w:rFonts w:cstheme="minorHAnsi"/>
          <w:b/>
          <w:bCs/>
          <w:szCs w:val="24"/>
        </w:rPr>
      </w:pPr>
      <w:r w:rsidRPr="00675182">
        <w:rPr>
          <w:rFonts w:cstheme="minorHAnsi"/>
          <w:i/>
          <w:iCs/>
          <w:szCs w:val="24"/>
        </w:rPr>
        <w:t>Dižakme</w:t>
      </w:r>
      <w:r w:rsidR="00C10D2A" w:rsidRPr="00675182">
        <w:rPr>
          <w:rFonts w:cstheme="minorHAnsi"/>
          <w:i/>
          <w:iCs/>
          <w:szCs w:val="24"/>
        </w:rPr>
        <w:t>ņi</w:t>
      </w:r>
    </w:p>
    <w:p w14:paraId="1F583667" w14:textId="2F6B6892" w:rsidR="00CF5A4B" w:rsidRPr="00675182" w:rsidRDefault="00CF5A4B" w:rsidP="001C313B">
      <w:pPr>
        <w:keepNext/>
        <w:keepLines/>
        <w:rPr>
          <w:rFonts w:cstheme="minorHAnsi"/>
          <w:szCs w:val="24"/>
        </w:rPr>
      </w:pPr>
      <w:r w:rsidRPr="00675182">
        <w:rPr>
          <w:rFonts w:cstheme="minorHAnsi"/>
          <w:szCs w:val="24"/>
        </w:rPr>
        <w:t xml:space="preserve">Vēlams vismaz divreiz sezonā veikt lakstaugu un krūmu apļaušanas darbus dažu metru rādiusa no dižakmeņiem, tādējādi tos izceļot kopējā ainavā. </w:t>
      </w:r>
    </w:p>
    <w:p w14:paraId="46976BA6" w14:textId="3A09AB80" w:rsidR="002B09FA" w:rsidRPr="00675182" w:rsidRDefault="002B09FA" w:rsidP="00CF5A4B">
      <w:pPr>
        <w:rPr>
          <w:rFonts w:cstheme="minorHAnsi"/>
          <w:szCs w:val="24"/>
        </w:rPr>
      </w:pPr>
    </w:p>
    <w:p w14:paraId="70DDA985" w14:textId="12433841" w:rsidR="002309D9" w:rsidRPr="00675182" w:rsidRDefault="002309D9" w:rsidP="00CE749C">
      <w:pPr>
        <w:jc w:val="both"/>
        <w:rPr>
          <w:rFonts w:cstheme="minorHAnsi"/>
          <w:b/>
          <w:bCs/>
          <w:szCs w:val="24"/>
        </w:rPr>
      </w:pPr>
      <w:r w:rsidRPr="00675182">
        <w:rPr>
          <w:rFonts w:cstheme="minorHAnsi"/>
          <w:b/>
          <w:bCs/>
          <w:szCs w:val="24"/>
        </w:rPr>
        <w:t>B.2.2 Aizbrukušo alu ieeju atrakšana, dabisko avotu erozijas procesu veicināšana</w:t>
      </w:r>
    </w:p>
    <w:p w14:paraId="4AF0122D" w14:textId="7AABB58A" w:rsidR="00011E51" w:rsidRPr="00675182" w:rsidRDefault="002309D9" w:rsidP="00CE749C">
      <w:pPr>
        <w:jc w:val="both"/>
        <w:rPr>
          <w:rFonts w:cstheme="minorHAnsi"/>
        </w:rPr>
      </w:pPr>
      <w:r w:rsidRPr="00675182">
        <w:rPr>
          <w:rFonts w:cstheme="minorHAnsi"/>
        </w:rPr>
        <w:t xml:space="preserve">Lai saglabātu alas kā ģeomorfoloģiskus objektus, sikspārņu un reto sūnu dzīvotnes, vairākos gadījumos iespējama aizbrukušo alu atrakšana un/vai avotu dabisko erozijas procesu veicināšana, nepieļaujot to aizsērēšanu. Šādi pasākumi iespējami aizbrukušajās Simtēnu un </w:t>
      </w:r>
      <w:r w:rsidR="0066183C" w:rsidRPr="00675182">
        <w:rPr>
          <w:rFonts w:cstheme="minorHAnsi"/>
        </w:rPr>
        <w:t>Leimaņu</w:t>
      </w:r>
      <w:r w:rsidRPr="00675182">
        <w:rPr>
          <w:rFonts w:cstheme="minorHAnsi"/>
        </w:rPr>
        <w:t xml:space="preserve"> alās, kā arī Līdumnieku avotu alā, Kalējalā. Plānošanā obligāti jāpiesaista sikspārņu eksperts, iežu atsegumu un alu biotopu eksperts, sūnu eksperts, kā arī profesionāls arheologs un darbības jāsaskaņo ar NKMP.</w:t>
      </w:r>
    </w:p>
    <w:p w14:paraId="4B23333E" w14:textId="20BD134F" w:rsidR="00474915" w:rsidRPr="00675182" w:rsidRDefault="00474915" w:rsidP="00CE749C">
      <w:pPr>
        <w:jc w:val="both"/>
        <w:rPr>
          <w:rFonts w:cstheme="minorHAnsi"/>
        </w:rPr>
      </w:pPr>
    </w:p>
    <w:p w14:paraId="109A7EE4" w14:textId="533D0D07" w:rsidR="00474915" w:rsidRPr="00675182" w:rsidRDefault="00474915" w:rsidP="00CE749C">
      <w:pPr>
        <w:jc w:val="both"/>
        <w:rPr>
          <w:rFonts w:cstheme="minorHAnsi"/>
          <w:b/>
          <w:bCs/>
          <w:szCs w:val="24"/>
        </w:rPr>
      </w:pPr>
      <w:r w:rsidRPr="00675182">
        <w:rPr>
          <w:rFonts w:cstheme="minorHAnsi"/>
          <w:b/>
          <w:bCs/>
          <w:szCs w:val="24"/>
        </w:rPr>
        <w:t>B.2.3 Apauguma un noslīdējušās grunts noņemšana Stūķu iezī</w:t>
      </w:r>
    </w:p>
    <w:p w14:paraId="73699912" w14:textId="70D84623" w:rsidR="002309D9" w:rsidRPr="00675182" w:rsidRDefault="00474915" w:rsidP="00CE749C">
      <w:pPr>
        <w:jc w:val="both"/>
        <w:rPr>
          <w:rFonts w:cstheme="minorHAnsi"/>
        </w:rPr>
      </w:pPr>
      <w:r w:rsidRPr="00675182">
        <w:rPr>
          <w:rFonts w:cstheme="minorHAnsi"/>
        </w:rPr>
        <w:t>Apsaimniekošanas pasākums vērsts uz dabiskās erozijas procesu veicināšanu, kas uzturētu atklātu smilšakmens atsegumu, nodrošinot gan ainaviskās vērtības, gan dzīvesvietu ar atsegumu biotopiem saistītām sugām. Nepieciešama izpēte un izvērtējums par iespējām šādu pasākumu praktiski veikt (t.sk. plānojot noņemtās grunts aizvešanu), kā arī padziļināta izpēte par iespējamo ietekmi uz aizsargājamajām sugām.</w:t>
      </w:r>
    </w:p>
    <w:p w14:paraId="3407A786" w14:textId="77777777" w:rsidR="007E7B18" w:rsidRPr="00675182" w:rsidRDefault="007E7B18" w:rsidP="00CE749C">
      <w:pPr>
        <w:jc w:val="both"/>
        <w:rPr>
          <w:rFonts w:cstheme="minorHAnsi"/>
        </w:rPr>
      </w:pPr>
    </w:p>
    <w:p w14:paraId="018055C5" w14:textId="43964612" w:rsidR="00474915" w:rsidRPr="00675182" w:rsidRDefault="00A15BC0" w:rsidP="00CE749C">
      <w:pPr>
        <w:jc w:val="both"/>
        <w:rPr>
          <w:rFonts w:cstheme="minorHAnsi"/>
          <w:b/>
          <w:bCs/>
        </w:rPr>
      </w:pPr>
      <w:r w:rsidRPr="00675182">
        <w:rPr>
          <w:rFonts w:cstheme="minorHAnsi"/>
          <w:b/>
          <w:bCs/>
        </w:rPr>
        <w:t>B.2.</w:t>
      </w:r>
      <w:r w:rsidR="00756BB4" w:rsidRPr="00675182">
        <w:rPr>
          <w:rFonts w:cstheme="minorHAnsi"/>
          <w:b/>
          <w:bCs/>
        </w:rPr>
        <w:t>4</w:t>
      </w:r>
      <w:r w:rsidRPr="00675182">
        <w:rPr>
          <w:rFonts w:cstheme="minorHAnsi"/>
          <w:b/>
          <w:bCs/>
        </w:rPr>
        <w:t>. Kritalu novākšana no iežu atsegumiem</w:t>
      </w:r>
    </w:p>
    <w:p w14:paraId="3FEEF96B" w14:textId="61907E47" w:rsidR="00A15BC0" w:rsidRPr="00675182" w:rsidRDefault="00A15BC0" w:rsidP="00CE749C">
      <w:pPr>
        <w:jc w:val="both"/>
        <w:rPr>
          <w:rFonts w:cstheme="minorHAnsi"/>
        </w:rPr>
      </w:pPr>
      <w:r w:rsidRPr="00675182">
        <w:rPr>
          <w:rFonts w:cstheme="minorHAnsi"/>
        </w:rPr>
        <w:t xml:space="preserve">Ģeoloģiskajos un ģeomorfoloģiskajos pieminekļos, kuros uzkrājies liels skaits kritalu un tās traucē objekta apskati vai ietekmē ģeomorfoloģiskos procesus, kuri objektu uztur atklātā stāvoklī, iespējama kritalu novākšana. </w:t>
      </w:r>
      <w:bookmarkStart w:id="156" w:name="_Hlk99304777"/>
      <w:r w:rsidRPr="00675182">
        <w:rPr>
          <w:rFonts w:cstheme="minorHAnsi"/>
        </w:rPr>
        <w:t xml:space="preserve">Pasākums ieteicams Ainavu kraujā, </w:t>
      </w:r>
      <w:r w:rsidR="007E7B18" w:rsidRPr="00675182">
        <w:rPr>
          <w:rFonts w:cstheme="minorHAnsi"/>
        </w:rPr>
        <w:t>pie Līgavas alas, Ķaubju iezī, Napuča iezī, Rauņa lejteces atsegumos, Incēnu iezī. Kritalas jāsaglabā mežaudzē atseguma tuvumā.</w:t>
      </w:r>
    </w:p>
    <w:bookmarkEnd w:id="156"/>
    <w:p w14:paraId="057C4227" w14:textId="4AD305EC" w:rsidR="005240DC" w:rsidRPr="00675182" w:rsidRDefault="005240DC" w:rsidP="00CE749C">
      <w:pPr>
        <w:jc w:val="both"/>
        <w:rPr>
          <w:rFonts w:cstheme="minorHAnsi"/>
        </w:rPr>
      </w:pPr>
    </w:p>
    <w:p w14:paraId="1C96F971" w14:textId="54FAD3E0" w:rsidR="005240DC" w:rsidRPr="00675182" w:rsidRDefault="005240DC" w:rsidP="00CE749C">
      <w:pPr>
        <w:jc w:val="both"/>
        <w:rPr>
          <w:rFonts w:cstheme="minorHAnsi"/>
          <w:b/>
          <w:bCs/>
        </w:rPr>
      </w:pPr>
      <w:r w:rsidRPr="00675182">
        <w:rPr>
          <w:rFonts w:cstheme="minorHAnsi"/>
          <w:b/>
          <w:bCs/>
        </w:rPr>
        <w:t>B.2.</w:t>
      </w:r>
      <w:r w:rsidR="00691FCB" w:rsidRPr="00675182">
        <w:rPr>
          <w:rFonts w:cstheme="minorHAnsi"/>
          <w:b/>
          <w:bCs/>
        </w:rPr>
        <w:t>5</w:t>
      </w:r>
      <w:r w:rsidRPr="00675182">
        <w:rPr>
          <w:rFonts w:cstheme="minorHAnsi"/>
          <w:b/>
          <w:bCs/>
        </w:rPr>
        <w:t>. Lodes bruņuzivju iegulas robežu nospraušana dabā</w:t>
      </w:r>
    </w:p>
    <w:p w14:paraId="79551F4E" w14:textId="2EC710E3" w:rsidR="00E3517D" w:rsidRPr="00675182" w:rsidRDefault="005240DC" w:rsidP="00CE749C">
      <w:pPr>
        <w:jc w:val="both"/>
        <w:rPr>
          <w:rFonts w:cstheme="minorHAnsi"/>
        </w:rPr>
      </w:pPr>
      <w:r w:rsidRPr="00675182">
        <w:rPr>
          <w:rFonts w:cstheme="minorHAnsi"/>
        </w:rPr>
        <w:t>Ģeoloģiskā un ģeomorfoloģiskā pieminekļa “Lodes bruņuzivju iegula” robeža jāatzīmē dabā ar paliekošām robežzīmēm</w:t>
      </w:r>
      <w:r w:rsidR="0066183C" w:rsidRPr="00675182">
        <w:rPr>
          <w:rFonts w:cstheme="minorHAnsi"/>
        </w:rPr>
        <w:t xml:space="preserve">, lai nodrošinātu tās aizsardzību Lodes mālu karjera ekspluatācijas </w:t>
      </w:r>
      <w:r w:rsidR="002B6EB1" w:rsidRPr="00675182">
        <w:rPr>
          <w:rFonts w:cstheme="minorHAnsi"/>
        </w:rPr>
        <w:t>ietvaros</w:t>
      </w:r>
      <w:r w:rsidRPr="00675182">
        <w:rPr>
          <w:rFonts w:cstheme="minorHAnsi"/>
        </w:rPr>
        <w:t xml:space="preserve">. </w:t>
      </w:r>
    </w:p>
    <w:p w14:paraId="3D84D6AC" w14:textId="05A1930E" w:rsidR="005240DC" w:rsidRPr="00675182" w:rsidRDefault="005240DC" w:rsidP="00CE749C">
      <w:pPr>
        <w:jc w:val="both"/>
        <w:rPr>
          <w:rFonts w:cstheme="minorHAnsi"/>
        </w:rPr>
      </w:pPr>
    </w:p>
    <w:p w14:paraId="2293276D" w14:textId="3425A729" w:rsidR="005240DC" w:rsidRPr="00675182" w:rsidRDefault="005240DC" w:rsidP="00CE749C">
      <w:pPr>
        <w:jc w:val="both"/>
        <w:rPr>
          <w:rFonts w:cstheme="minorHAnsi"/>
          <w:b/>
          <w:bCs/>
        </w:rPr>
      </w:pPr>
      <w:r w:rsidRPr="00675182">
        <w:rPr>
          <w:rFonts w:cstheme="minorHAnsi"/>
          <w:b/>
          <w:bCs/>
        </w:rPr>
        <w:t>B.2.</w:t>
      </w:r>
      <w:r w:rsidR="00691FCB" w:rsidRPr="00675182">
        <w:rPr>
          <w:rFonts w:cstheme="minorHAnsi"/>
          <w:b/>
          <w:bCs/>
        </w:rPr>
        <w:t>6</w:t>
      </w:r>
      <w:r w:rsidRPr="00675182">
        <w:rPr>
          <w:rFonts w:cstheme="minorHAnsi"/>
          <w:b/>
          <w:bCs/>
        </w:rPr>
        <w:t>. Žoga izbūvēšana ap Sikspārņu alām</w:t>
      </w:r>
    </w:p>
    <w:p w14:paraId="58C75A4D" w14:textId="6F455E79" w:rsidR="005240DC" w:rsidRPr="00675182" w:rsidRDefault="005240DC" w:rsidP="00CE749C">
      <w:pPr>
        <w:jc w:val="both"/>
        <w:rPr>
          <w:rFonts w:cstheme="minorHAnsi"/>
        </w:rPr>
      </w:pPr>
      <w:r w:rsidRPr="00675182">
        <w:rPr>
          <w:rFonts w:cstheme="minorHAnsi"/>
        </w:rPr>
        <w:t xml:space="preserve">Sikspārņu alas ir viena no nozīmīgākajām sikspārņu ziemošanas vietām Latvijā, kā arī ģeoloģiskais un ģeomorfoloģiskais dabas piemineklis. Neskatoties uz izglītojošām aktivitātēm par negatīvo ietekmi uz sikspārņiem, ko rada alu apmeklējumi ziemā, kā arī dolomīta iežu nobrukumu risku, cilvēki turpina apmeklēt Sikspārņu alas. Apkārt alām izveidojams pastāvīgs nožogojums, informācijas zīmes, kā arī barjeras, kas novirzītu </w:t>
      </w:r>
      <w:r w:rsidR="00BA1DEE" w:rsidRPr="00675182">
        <w:rPr>
          <w:rFonts w:cstheme="minorHAnsi"/>
        </w:rPr>
        <w:t>apmeklētājus</w:t>
      </w:r>
      <w:r w:rsidRPr="00675182">
        <w:rPr>
          <w:rFonts w:cstheme="minorHAnsi"/>
        </w:rPr>
        <w:t xml:space="preserve"> </w:t>
      </w:r>
      <w:r w:rsidR="00B30920" w:rsidRPr="00675182">
        <w:rPr>
          <w:rFonts w:cstheme="minorHAnsi"/>
        </w:rPr>
        <w:t>no takām, kas ved uz Kazugravas lejasdaļu, kurā sastopamas retas un jutīgas augu sugas. Sikspārņu alu apmeklēšana pieļaujama tikai zinātniskās izpētes un monitoringa nolūkos</w:t>
      </w:r>
      <w:r w:rsidR="00763FDE" w:rsidRPr="00675182">
        <w:rPr>
          <w:rFonts w:cstheme="minorHAnsi"/>
        </w:rPr>
        <w:t>, atsevišķos gadījumos – izzinošas ekskursijas sikspārņu sugu aizsardzībā kompetenta gida pavadībā</w:t>
      </w:r>
      <w:r w:rsidR="00B30920" w:rsidRPr="00675182">
        <w:rPr>
          <w:rFonts w:cstheme="minorHAnsi"/>
        </w:rPr>
        <w:t>.</w:t>
      </w:r>
    </w:p>
    <w:p w14:paraId="0256CFDC" w14:textId="77777777" w:rsidR="00C21E60" w:rsidRPr="00675182" w:rsidRDefault="00C21E60" w:rsidP="00CE749C">
      <w:pPr>
        <w:jc w:val="both"/>
        <w:rPr>
          <w:rFonts w:cstheme="minorHAnsi"/>
          <w:b/>
          <w:bCs/>
        </w:rPr>
      </w:pPr>
    </w:p>
    <w:p w14:paraId="31953CF9" w14:textId="17795BAC" w:rsidR="00B30920" w:rsidRPr="00675182" w:rsidRDefault="00C21E60" w:rsidP="00CE749C">
      <w:pPr>
        <w:jc w:val="both"/>
        <w:rPr>
          <w:rFonts w:cstheme="minorHAnsi"/>
          <w:b/>
          <w:bCs/>
        </w:rPr>
      </w:pPr>
      <w:r w:rsidRPr="00675182">
        <w:rPr>
          <w:rFonts w:cstheme="minorHAnsi"/>
          <w:b/>
          <w:bCs/>
        </w:rPr>
        <w:lastRenderedPageBreak/>
        <w:t>B.2.</w:t>
      </w:r>
      <w:r w:rsidR="00691FCB" w:rsidRPr="00675182">
        <w:rPr>
          <w:rFonts w:cstheme="minorHAnsi"/>
          <w:b/>
          <w:bCs/>
        </w:rPr>
        <w:t>7</w:t>
      </w:r>
      <w:r w:rsidRPr="00675182">
        <w:rPr>
          <w:rFonts w:cstheme="minorHAnsi"/>
          <w:b/>
          <w:bCs/>
        </w:rPr>
        <w:t>. Tūrisma infrastruktūras pārbūve, novirzot apmeklētāju plūsmu no alām un atsegumiem</w:t>
      </w:r>
    </w:p>
    <w:p w14:paraId="397041E0" w14:textId="31B67DF9" w:rsidR="005240DC" w:rsidRPr="00675182" w:rsidRDefault="00C21E60" w:rsidP="00CE749C">
      <w:pPr>
        <w:jc w:val="both"/>
        <w:rPr>
          <w:rFonts w:cstheme="minorHAnsi"/>
        </w:rPr>
      </w:pPr>
      <w:r w:rsidRPr="00675182">
        <w:rPr>
          <w:rFonts w:cstheme="minorHAnsi"/>
        </w:rPr>
        <w:t xml:space="preserve">Nesenā pagātnē izbūvētā tūrisma infrastruktūra Siguldā (Kraukļa aiza, Pētera ala) radījusi palielinātu antropogēno slodzi uz iežu atsegumiem un alām, kuros sastopamas </w:t>
      </w:r>
      <w:r w:rsidR="00144458" w:rsidRPr="00675182">
        <w:rPr>
          <w:rFonts w:cstheme="minorHAnsi"/>
        </w:rPr>
        <w:t>gan ļoti retu sūnu un ķērpju sugu atradnes, gan ziemo sikspārņi. Tā kā teritorijā bez reto sugu atradnēm ir arī citi pievilcīgi apskates objekti, tūrisma infrastruktūra jāpārbūvē, novācot dēļu laipas un kāpnes</w:t>
      </w:r>
      <w:r w:rsidR="00323EA8" w:rsidRPr="00675182">
        <w:rPr>
          <w:rFonts w:cstheme="minorHAnsi"/>
        </w:rPr>
        <w:t xml:space="preserve"> (vai arī izbūvējot nožogojumus)</w:t>
      </w:r>
      <w:r w:rsidR="00144458" w:rsidRPr="00675182">
        <w:rPr>
          <w:rFonts w:cstheme="minorHAnsi"/>
        </w:rPr>
        <w:t xml:space="preserve"> un novirzot apmeklētāju plūsmu no Kraukļa aizas un Pētera alas</w:t>
      </w:r>
      <w:r w:rsidR="00763FDE" w:rsidRPr="00675182">
        <w:rPr>
          <w:rFonts w:cstheme="minorHAnsi"/>
        </w:rPr>
        <w:t xml:space="preserve"> (vai arī jāpapildina infrastruktūra, apgrūtinot iespējas pieiet atsegumu sienām un alas ieejai)</w:t>
      </w:r>
      <w:r w:rsidR="00144458" w:rsidRPr="00675182">
        <w:rPr>
          <w:rFonts w:cstheme="minorHAnsi"/>
        </w:rPr>
        <w:t>. Liepas Lielajā Ellītē jāveic tūrisma infrastruktūras pārplānošana tā</w:t>
      </w:r>
      <w:r w:rsidR="00BA1DEE" w:rsidRPr="00675182">
        <w:rPr>
          <w:rFonts w:cstheme="minorHAnsi"/>
        </w:rPr>
        <w:t>,</w:t>
      </w:r>
      <w:r w:rsidR="00144458" w:rsidRPr="00675182">
        <w:rPr>
          <w:rFonts w:cstheme="minorHAnsi"/>
        </w:rPr>
        <w:t xml:space="preserve"> lai iespējami novērstu ieža nomīdīšanu un alu apmeklēšanu ziemā.</w:t>
      </w:r>
      <w:r w:rsidR="00051295" w:rsidRPr="00675182">
        <w:rPr>
          <w:rFonts w:cstheme="minorHAnsi"/>
        </w:rPr>
        <w:t xml:space="preserve"> Ierobežojošā infrastruktūra papildināma ar izglītojošu materiālu par saudzējamām dabas vērtībām.</w:t>
      </w:r>
    </w:p>
    <w:p w14:paraId="7A8F9393" w14:textId="670F92E6" w:rsidR="00BE1E70" w:rsidRPr="00675182" w:rsidRDefault="00BE1E70" w:rsidP="00CE749C">
      <w:pPr>
        <w:jc w:val="both"/>
        <w:rPr>
          <w:rFonts w:cstheme="minorHAnsi"/>
        </w:rPr>
      </w:pPr>
    </w:p>
    <w:p w14:paraId="38583E03" w14:textId="1152738B" w:rsidR="00BE1E70" w:rsidRPr="00675182" w:rsidRDefault="00BE1E70" w:rsidP="00CE749C">
      <w:pPr>
        <w:jc w:val="both"/>
        <w:rPr>
          <w:rFonts w:cstheme="minorHAnsi"/>
          <w:b/>
          <w:bCs/>
        </w:rPr>
      </w:pPr>
      <w:r w:rsidRPr="00675182">
        <w:rPr>
          <w:rFonts w:cstheme="minorHAnsi"/>
          <w:b/>
          <w:bCs/>
        </w:rPr>
        <w:t>B.2.</w:t>
      </w:r>
      <w:r w:rsidR="00691FCB" w:rsidRPr="00675182">
        <w:rPr>
          <w:rFonts w:cstheme="minorHAnsi"/>
          <w:b/>
          <w:bCs/>
        </w:rPr>
        <w:t>8</w:t>
      </w:r>
      <w:r w:rsidRPr="00675182">
        <w:rPr>
          <w:rFonts w:cstheme="minorHAnsi"/>
          <w:b/>
          <w:bCs/>
        </w:rPr>
        <w:t>. Preventīvi pasākumi tūristu plūsmas novirzīšanai no atsegumiem un alām (Grīviņu atsegumi, Tītmaņu iezis, Ramātu klintis, Rampu ala un ieži, Vaives Kalējiezis, Daudas ūdenskritums</w:t>
      </w:r>
      <w:r w:rsidR="00323EA8" w:rsidRPr="00675182">
        <w:rPr>
          <w:rFonts w:cstheme="minorHAnsi"/>
          <w:b/>
          <w:bCs/>
        </w:rPr>
        <w:t>, Gūdu klintis</w:t>
      </w:r>
      <w:r w:rsidR="00BA1DEE" w:rsidRPr="00675182">
        <w:rPr>
          <w:rFonts w:cstheme="minorHAnsi"/>
          <w:b/>
          <w:bCs/>
        </w:rPr>
        <w:t>)</w:t>
      </w:r>
      <w:r w:rsidRPr="00675182">
        <w:rPr>
          <w:rFonts w:cstheme="minorHAnsi"/>
          <w:b/>
          <w:bCs/>
        </w:rPr>
        <w:t xml:space="preserve"> </w:t>
      </w:r>
    </w:p>
    <w:p w14:paraId="09EB9EC5" w14:textId="0BE4BDB9" w:rsidR="00C21E60" w:rsidRPr="00675182" w:rsidRDefault="00DE7D4F" w:rsidP="00CE749C">
      <w:pPr>
        <w:jc w:val="both"/>
        <w:rPr>
          <w:rFonts w:cstheme="minorHAnsi"/>
        </w:rPr>
      </w:pPr>
      <w:r w:rsidRPr="00675182">
        <w:rPr>
          <w:rFonts w:cstheme="minorHAnsi"/>
        </w:rPr>
        <w:t xml:space="preserve">Pieaugot tūristu plūsmai </w:t>
      </w:r>
      <w:r w:rsidR="008A7C39" w:rsidRPr="00675182">
        <w:rPr>
          <w:rFonts w:cstheme="minorHAnsi"/>
        </w:rPr>
        <w:t>GNP</w:t>
      </w:r>
      <w:r w:rsidRPr="00675182">
        <w:rPr>
          <w:rFonts w:cstheme="minorHAnsi"/>
        </w:rPr>
        <w:t>, palielinās antropogēnā slodze uz līdz šim maz apmeklētiem, nomaļus esošiem atsegumiem un alām, tādējādi apdraudot tur sastopamas retas sugas, tai skaitā sikspārņus ziemošanas laikā. Nav pieļaujama tūrisma infrastruktūras izveide šādos objektos, tā vietā jāveic preventīvi pasākumi tūristu plūsmas novirzīšanai citur, piemēram, barjeras uz stihiskajām takām, norāžu izvietošana uz citiem tuvumā esošiem objektiem</w:t>
      </w:r>
      <w:r w:rsidR="00763FDE" w:rsidRPr="00675182">
        <w:rPr>
          <w:rFonts w:cstheme="minorHAnsi"/>
        </w:rPr>
        <w:t>, taku apstādīšana ar eglītēm</w:t>
      </w:r>
      <w:r w:rsidRPr="00675182">
        <w:rPr>
          <w:rFonts w:cstheme="minorHAnsi"/>
        </w:rPr>
        <w:t xml:space="preserve"> u.c. No ģeoloģiskajiem un ģeomorfoloģiskajiem pieminekļiem kā saudzējami objekti, uz kuriem neveidot tūrisma infrastruktūru, identificēti Grīviņu atsegumi, Tītmaņu iezis (</w:t>
      </w:r>
      <w:r w:rsidR="002827D9" w:rsidRPr="00675182">
        <w:rPr>
          <w:rFonts w:cstheme="minorHAnsi"/>
        </w:rPr>
        <w:t>vecā tūrisma infrastruktūra nav jāatjauno, vai nu jānovāc vai jāļauj sabrukt uz vietas), Ramātu klintis, Rampu ala un ieži. Daudas ūdenskritumā tūrisma infrastruktūra jāveido tā, lai nepieļautu tālāku tūristu virzīšanos uz Nurmižu rezervāta pusi. Vaives Kalējiezī vēlams neveidot speciālu infrastruktūru apmeklēšanai, var izveidot barjeras, lai novērstu ieža nomīdīšanu.</w:t>
      </w:r>
      <w:r w:rsidR="00323EA8" w:rsidRPr="00675182">
        <w:rPr>
          <w:rFonts w:cstheme="minorHAnsi"/>
        </w:rPr>
        <w:t xml:space="preserve"> Gūdu klintīs nav pieļaujama infrastruktūras izbūve vai taku un maršrutu veidošana uz klintīm, jāveido norobežojumi un norādes stihisko apmeklējumu ierobežošanai.</w:t>
      </w:r>
      <w:r w:rsidR="00051295" w:rsidRPr="00675182">
        <w:rPr>
          <w:rFonts w:cstheme="minorHAnsi"/>
        </w:rPr>
        <w:t xml:space="preserve"> No šādām vietām izņemami arī </w:t>
      </w:r>
      <w:r w:rsidR="00051295" w:rsidRPr="00675182">
        <w:rPr>
          <w:rFonts w:cstheme="minorHAnsi"/>
          <w:i/>
          <w:iCs/>
        </w:rPr>
        <w:t>Geocaching</w:t>
      </w:r>
      <w:r w:rsidR="00051295" w:rsidRPr="00675182">
        <w:rPr>
          <w:rFonts w:cstheme="minorHAnsi"/>
        </w:rPr>
        <w:t xml:space="preserve"> slēpņi, neveicinot papildu apmeklētāju piesaisti.</w:t>
      </w:r>
    </w:p>
    <w:p w14:paraId="6A5934D7" w14:textId="77777777" w:rsidR="00F41517" w:rsidRPr="00675182" w:rsidRDefault="00F41517" w:rsidP="002B3341">
      <w:pPr>
        <w:rPr>
          <w:rFonts w:cstheme="minorHAnsi"/>
          <w:i/>
          <w:iCs/>
        </w:rPr>
      </w:pPr>
    </w:p>
    <w:p w14:paraId="0B4DAED2" w14:textId="590D2D3B" w:rsidR="00007F4C" w:rsidRPr="00675182" w:rsidRDefault="00007F4C" w:rsidP="00007F4C">
      <w:pPr>
        <w:pStyle w:val="Footer"/>
        <w:suppressAutoHyphens w:val="0"/>
        <w:rPr>
          <w:rFonts w:cstheme="minorHAnsi"/>
          <w:szCs w:val="24"/>
          <w:u w:val="single"/>
          <w:lang w:val="lv-LV"/>
        </w:rPr>
      </w:pPr>
      <w:r w:rsidRPr="00675182">
        <w:rPr>
          <w:rFonts w:cstheme="minorHAnsi"/>
          <w:szCs w:val="24"/>
          <w:u w:val="single"/>
          <w:lang w:val="lv-LV"/>
        </w:rPr>
        <w:t>B.</w:t>
      </w:r>
      <w:r w:rsidR="00F81D26" w:rsidRPr="00675182">
        <w:rPr>
          <w:rFonts w:cstheme="minorHAnsi"/>
          <w:szCs w:val="24"/>
          <w:u w:val="single"/>
          <w:lang w:val="lv-LV"/>
        </w:rPr>
        <w:t>3</w:t>
      </w:r>
      <w:r w:rsidRPr="00675182">
        <w:rPr>
          <w:rFonts w:cstheme="minorHAnsi"/>
          <w:szCs w:val="24"/>
          <w:u w:val="single"/>
          <w:lang w:val="lv-LV"/>
        </w:rPr>
        <w:t>. Zālāju biotopu aizsardzība un apsaimniekošana</w:t>
      </w:r>
    </w:p>
    <w:p w14:paraId="48F9A8D1" w14:textId="77777777" w:rsidR="002C426A" w:rsidRPr="00675182" w:rsidRDefault="002C426A" w:rsidP="002B09FA">
      <w:pPr>
        <w:jc w:val="both"/>
        <w:rPr>
          <w:rFonts w:cstheme="minorHAnsi"/>
        </w:rPr>
      </w:pPr>
    </w:p>
    <w:p w14:paraId="263B0656" w14:textId="3C5057F0" w:rsidR="00F908CC" w:rsidRPr="00675182" w:rsidRDefault="00007F4C" w:rsidP="00FE4231">
      <w:pPr>
        <w:jc w:val="both"/>
        <w:rPr>
          <w:rFonts w:cstheme="minorHAnsi"/>
          <w:b/>
          <w:bCs/>
          <w:szCs w:val="24"/>
        </w:rPr>
      </w:pPr>
      <w:r w:rsidRPr="00675182">
        <w:rPr>
          <w:rFonts w:cstheme="minorHAnsi"/>
          <w:b/>
          <w:bCs/>
          <w:szCs w:val="24"/>
        </w:rPr>
        <w:t>B.</w:t>
      </w:r>
      <w:r w:rsidR="00CF5A4B" w:rsidRPr="00675182">
        <w:rPr>
          <w:rFonts w:cstheme="minorHAnsi"/>
          <w:b/>
          <w:bCs/>
          <w:szCs w:val="24"/>
        </w:rPr>
        <w:t>3</w:t>
      </w:r>
      <w:r w:rsidRPr="00675182">
        <w:rPr>
          <w:rFonts w:cstheme="minorHAnsi"/>
          <w:b/>
          <w:bCs/>
          <w:szCs w:val="24"/>
        </w:rPr>
        <w:t>.1. Zālāju pļaušana ar siena vai zāles savākšanu</w:t>
      </w:r>
      <w:r w:rsidR="00FE4231" w:rsidRPr="00675182">
        <w:rPr>
          <w:rFonts w:cstheme="minorHAnsi"/>
          <w:b/>
          <w:bCs/>
          <w:szCs w:val="24"/>
        </w:rPr>
        <w:t xml:space="preserve"> un ganīšana</w:t>
      </w:r>
    </w:p>
    <w:p w14:paraId="42C5466A" w14:textId="0297047B" w:rsidR="00FE4231" w:rsidRPr="00675182" w:rsidRDefault="00FE4231" w:rsidP="00FE4231">
      <w:pPr>
        <w:pStyle w:val="naisf"/>
        <w:snapToGrid w:val="0"/>
        <w:spacing w:before="0" w:after="0"/>
        <w:ind w:firstLine="0"/>
        <w:rPr>
          <w:rFonts w:cstheme="minorHAnsi"/>
          <w:szCs w:val="24"/>
          <w:lang w:val="lv-LV"/>
        </w:rPr>
      </w:pPr>
      <w:r w:rsidRPr="00675182">
        <w:rPr>
          <w:rFonts w:cstheme="minorHAnsi"/>
          <w:szCs w:val="24"/>
          <w:lang w:val="lv-LV"/>
        </w:rPr>
        <w:t xml:space="preserve">Latvijā zālāju biotopu veidošanās priekšnosacījums ir regulāra tradicionāla apsaimniekošana, kas ietver zālāja pļaušanu un siena vai zāles novākšanu vai arī zālāju noganīšanu. Zālāja pļaušana veicama piemērotos laikapstākļos, kad iespējama siena izžāvēšana un novākšana. Siena novākšanai ir būtiska nozīme bioloģiski daudzveidīga zālāja saglabāšanā, radot augsnes un mikroklimatiskos apstākļus, kas piemēroti daudzu sugu līdzāspastāvēšanai. Ja sienu vai zāli nesavāc, bet atstāj pļavā, rodas kūlas slānis, pastiprināti uzkrājas mitrums, augsnē nonāk papildus barības vielas, kas veicina spēcīgāku augu, piemēram, dažādu lielo graudzāļu (parastā kamolzāle </w:t>
      </w:r>
      <w:r w:rsidRPr="00675182">
        <w:rPr>
          <w:rFonts w:cstheme="minorHAnsi"/>
          <w:i/>
          <w:iCs/>
          <w:szCs w:val="24"/>
          <w:lang w:val="lv-LV"/>
        </w:rPr>
        <w:t>Dactylis glomerata</w:t>
      </w:r>
      <w:r w:rsidRPr="00675182">
        <w:rPr>
          <w:rFonts w:cstheme="minorHAnsi"/>
          <w:szCs w:val="24"/>
          <w:lang w:val="lv-LV"/>
        </w:rPr>
        <w:t xml:space="preserve">, slotiņu ciesa </w:t>
      </w:r>
      <w:r w:rsidRPr="00675182">
        <w:rPr>
          <w:rFonts w:cstheme="minorHAnsi"/>
          <w:i/>
          <w:iCs/>
          <w:szCs w:val="24"/>
          <w:lang w:val="lv-LV"/>
        </w:rPr>
        <w:t>Calamagrostis epigeyos</w:t>
      </w:r>
      <w:r w:rsidRPr="00675182">
        <w:rPr>
          <w:rFonts w:cstheme="minorHAnsi"/>
          <w:szCs w:val="24"/>
          <w:lang w:val="lv-LV"/>
        </w:rPr>
        <w:t xml:space="preserve"> u.c.) augšanu, līdz tās pārņem pļavu. Ilgstoši pļaujot un zāli atstājot pļavā, to pārņem ekspansīvās sugas. Zālāja pļaušana jāveic piemērotos laika apstākļos, sausā laikā, lai traktortehnika nebojā augsnes virskārtu un </w:t>
      </w:r>
      <w:r w:rsidRPr="00675182">
        <w:rPr>
          <w:rFonts w:cstheme="minorHAnsi"/>
          <w:szCs w:val="24"/>
          <w:lang w:val="lv-LV"/>
        </w:rPr>
        <w:lastRenderedPageBreak/>
        <w:t xml:space="preserve">neatstāj rises. Zālājus jāpļauj no vidus uz malām, lai samazinātu zālājā esošo dzīvnieku mirstību. Vēlama ir nopļauto zālāju noganīšana atālā. </w:t>
      </w:r>
    </w:p>
    <w:p w14:paraId="70D6EDBD" w14:textId="77777777" w:rsidR="00FE4231" w:rsidRPr="00675182" w:rsidRDefault="00FE4231" w:rsidP="00FE4231">
      <w:pPr>
        <w:pStyle w:val="naisf"/>
        <w:snapToGrid w:val="0"/>
        <w:spacing w:before="0" w:after="0"/>
        <w:ind w:firstLine="0"/>
        <w:rPr>
          <w:rFonts w:cstheme="minorHAnsi"/>
          <w:szCs w:val="24"/>
          <w:lang w:val="lv-LV"/>
        </w:rPr>
      </w:pPr>
    </w:p>
    <w:p w14:paraId="445046B5" w14:textId="464EE0B4" w:rsidR="00007F4C" w:rsidRPr="00675182" w:rsidRDefault="00FE4231" w:rsidP="00FE4231">
      <w:pPr>
        <w:jc w:val="both"/>
        <w:rPr>
          <w:rFonts w:cstheme="minorHAnsi"/>
          <w:szCs w:val="24"/>
        </w:rPr>
      </w:pPr>
      <w:r w:rsidRPr="00675182">
        <w:rPr>
          <w:rFonts w:cstheme="minorHAnsi"/>
          <w:szCs w:val="24"/>
        </w:rPr>
        <w:t xml:space="preserve">Ganībās iespējams ierīkot pastāvīgu aploku un ganīt cauru gadu, kā arī ganību teritorijas mainīt, pārdzenot lopus uz vēl nenoganītām vietām. Svarīgi sekot līdzi ganību slodzei, lai tā nav pārāk liela vai pārāk maza. Pārganītos zālājos savairojas augi, kas spēj izturēt nomīdījumu, piemēram, ložņu āboliņš </w:t>
      </w:r>
      <w:r w:rsidRPr="00675182">
        <w:rPr>
          <w:rFonts w:cstheme="minorHAnsi"/>
          <w:i/>
          <w:iCs/>
          <w:szCs w:val="24"/>
        </w:rPr>
        <w:t>Trifolium repens</w:t>
      </w:r>
      <w:r w:rsidRPr="00675182">
        <w:rPr>
          <w:rFonts w:cstheme="minorHAnsi"/>
          <w:szCs w:val="24"/>
        </w:rPr>
        <w:t xml:space="preserve"> un lielā ceļteka </w:t>
      </w:r>
      <w:r w:rsidRPr="00675182">
        <w:rPr>
          <w:rFonts w:cstheme="minorHAnsi"/>
          <w:i/>
          <w:iCs/>
          <w:szCs w:val="24"/>
        </w:rPr>
        <w:t>Plantago major</w:t>
      </w:r>
      <w:r w:rsidRPr="00675182">
        <w:rPr>
          <w:rFonts w:cstheme="minorHAnsi"/>
          <w:szCs w:val="24"/>
        </w:rPr>
        <w:t xml:space="preserve">. Sablīvētas augsnes apstākļos augu sugu daudzveidība samazinās. Savukārt, pārāk maz noganītos zālājos uzkrājas kūla, rodas paaugstināts mitrums augsnes virskārtā, atmirstošās augu daļas sadalās un rada papildus barības vielas, kas nonāk augsnē. Šādos apstākļos attīstās ekspansīvas augu sugas, samazinot zālāja kopējo daudzveidību. Ganībām raksturīga īpaša ganību struktūra, kur vairāk noganītas vietas mijas ar, piemēram, parastās ciņusmilgas </w:t>
      </w:r>
      <w:r w:rsidRPr="00675182">
        <w:rPr>
          <w:rFonts w:cstheme="minorHAnsi"/>
          <w:i/>
          <w:iCs/>
          <w:szCs w:val="24"/>
        </w:rPr>
        <w:t>Deschampsia caespitosa</w:t>
      </w:r>
      <w:r w:rsidRPr="00675182">
        <w:rPr>
          <w:rFonts w:cstheme="minorHAnsi"/>
          <w:szCs w:val="24"/>
        </w:rPr>
        <w:t xml:space="preserve"> ciņiem, kurus ganību dzīvnieki apēd nelabprāt. Tādēļ regulāri (reizi gadā vai divos) vēlama ganību appļaušana pēc noganīšanas, ierobežojot ciņu izplatību un saglabājot labu lauksaimniecības stāvokli</w:t>
      </w:r>
      <w:r w:rsidR="005C4B61" w:rsidRPr="00675182">
        <w:rPr>
          <w:rFonts w:cstheme="minorHAnsi"/>
          <w:szCs w:val="24"/>
        </w:rPr>
        <w:t>.</w:t>
      </w:r>
    </w:p>
    <w:p w14:paraId="404F4509" w14:textId="3C1838A5" w:rsidR="005C4B61" w:rsidRPr="00675182" w:rsidRDefault="005C4B61" w:rsidP="00FE4231">
      <w:pPr>
        <w:jc w:val="both"/>
        <w:rPr>
          <w:rFonts w:cstheme="minorHAnsi"/>
          <w:szCs w:val="24"/>
        </w:rPr>
      </w:pPr>
    </w:p>
    <w:p w14:paraId="27F8E257" w14:textId="3C1F7346" w:rsidR="00007F4C" w:rsidRPr="00675182" w:rsidRDefault="008215EA" w:rsidP="00FE4231">
      <w:pPr>
        <w:jc w:val="both"/>
        <w:rPr>
          <w:rFonts w:cstheme="minorHAnsi"/>
          <w:szCs w:val="24"/>
        </w:rPr>
      </w:pPr>
      <w:r w:rsidRPr="00675182">
        <w:rPr>
          <w:rFonts w:cstheme="minorHAnsi"/>
          <w:szCs w:val="24"/>
        </w:rPr>
        <w:t>Pašlaik GNP identificēti 90,1 ha aizsargājamo zālāju biotopu, kuriem nepieciešama tikai uzturoša apsaimniekošana, pārējās zālāju biotopu platībās inventarizācijas laikā konstatēts, ka ir nepieciešami arī specifiski pasākumi to kvalitātes uzlabošanai (skat. B.3.2.-B.3.10). Aprakstītie apsaimniekošanas pasākumi var tikt attiecināti arī uz visiem ilggadīgajiem zālājiem GNP teritorijā (kopējā platība ap 8700 ha), tādējādi nodrošinot potenciālas zālāju biotopu platības, ainaviskās vērtības un sugu daudzveidības palielināšanos visā GNP teritorijā. Prioritāri apsaimniekojamie ilggadīgie zālāji un to kritēriji aprakstīti B.3.1</w:t>
      </w:r>
      <w:r w:rsidR="00C32BDF" w:rsidRPr="00675182">
        <w:rPr>
          <w:rFonts w:cstheme="minorHAnsi"/>
          <w:szCs w:val="24"/>
        </w:rPr>
        <w:t>1</w:t>
      </w:r>
      <w:r w:rsidRPr="00675182">
        <w:rPr>
          <w:rFonts w:cstheme="minorHAnsi"/>
          <w:szCs w:val="24"/>
        </w:rPr>
        <w:t>. pasākumā.</w:t>
      </w:r>
    </w:p>
    <w:p w14:paraId="2639064E" w14:textId="77777777" w:rsidR="008215EA" w:rsidRPr="00675182" w:rsidRDefault="008215EA" w:rsidP="00FE4231">
      <w:pPr>
        <w:jc w:val="both"/>
        <w:rPr>
          <w:rFonts w:cstheme="minorHAnsi"/>
          <w:szCs w:val="24"/>
        </w:rPr>
      </w:pPr>
    </w:p>
    <w:p w14:paraId="5871FD1D" w14:textId="6EB7B0DF" w:rsidR="002D3D21" w:rsidRPr="00675182" w:rsidRDefault="00DF4A44" w:rsidP="00FE4231">
      <w:pPr>
        <w:jc w:val="both"/>
        <w:rPr>
          <w:rFonts w:cstheme="minorHAnsi"/>
          <w:b/>
          <w:bCs/>
          <w:szCs w:val="24"/>
        </w:rPr>
      </w:pPr>
      <w:r w:rsidRPr="00675182">
        <w:rPr>
          <w:rFonts w:cstheme="minorHAnsi"/>
          <w:b/>
          <w:bCs/>
          <w:szCs w:val="24"/>
        </w:rPr>
        <w:t>B.3.</w:t>
      </w:r>
      <w:r w:rsidR="00FE4231" w:rsidRPr="00675182">
        <w:rPr>
          <w:rFonts w:cstheme="minorHAnsi"/>
          <w:b/>
          <w:bCs/>
          <w:szCs w:val="24"/>
        </w:rPr>
        <w:t>2</w:t>
      </w:r>
      <w:r w:rsidRPr="00675182">
        <w:rPr>
          <w:rFonts w:cstheme="minorHAnsi"/>
          <w:b/>
          <w:bCs/>
          <w:szCs w:val="24"/>
        </w:rPr>
        <w:t>. Atjaunojoša pļaušana un ganīšana zālāju biotopiem</w:t>
      </w:r>
    </w:p>
    <w:p w14:paraId="12A563F4" w14:textId="665FBF16" w:rsidR="00DF4A44" w:rsidRPr="00675182" w:rsidRDefault="00FE4231" w:rsidP="00FE4231">
      <w:pPr>
        <w:jc w:val="both"/>
        <w:rPr>
          <w:rFonts w:cstheme="minorHAnsi"/>
          <w:color w:val="000000"/>
          <w:szCs w:val="24"/>
        </w:rPr>
      </w:pPr>
      <w:r w:rsidRPr="00675182">
        <w:rPr>
          <w:rFonts w:cstheme="minorHAnsi"/>
          <w:color w:val="000000"/>
          <w:szCs w:val="24"/>
        </w:rPr>
        <w:t>Zālāju biotopos, kur nepiemērotas apsaimniekošanas, pamešanas vai kādu traucējumu rezultātā novērojama ekspansīvo sugu savairošanās, sugu daudzveidības atjaunošanai pielieto atjaunojošo pļaušanu vai ganīšanu. Tas ietver vairākkārtēju pļaušanu un siena vai zāles novākšanu sezonas laikā, neļaujot ekspansīvajām sugām attīstīties, uzziedēt, nogatavināt sēklas. Šāda atkārtota pļaušana veicina uzkrāto barības vielu iznešanu no zālāja, veicinot apstākļus, kas piemēroti sugu daudzveidībai. Līdzīgu atjaunošanas efektu var panākt arī ar noganīšanu, apzināti pielietojot paaugstinātu ganību slodzi (vairāk ganību dzīvnieku uz laukuma vienību vai arī ilgāks ganību periods ierobežotā platībā), kā arī ganot vairākas reizes sezonā. Turpinot atjaunojošu ganīšanu vai pļaušanu vairākas sezonas pēc kārtas, ekspansīvo sugu īpatsvars samazinās, atjaunojas raksturīgas, daudzveidīgas zālāju biotopu augu sabiedrības. Ganīšanas un pļaušanas reižu intensitāte ir jāpielāgo atbilstoši katra zālāja stāvoklim.</w:t>
      </w:r>
      <w:r w:rsidR="00CB445A" w:rsidRPr="00675182">
        <w:rPr>
          <w:rFonts w:cstheme="minorHAnsi"/>
          <w:color w:val="000000"/>
          <w:szCs w:val="24"/>
        </w:rPr>
        <w:t xml:space="preserve"> Kopējā zālāju biotopu platība, kurā nepieciešams šis pasākums, ir 412,3 ha.</w:t>
      </w:r>
    </w:p>
    <w:p w14:paraId="7C075D3C" w14:textId="77777777" w:rsidR="00FE4231" w:rsidRPr="00675182" w:rsidRDefault="00FE4231" w:rsidP="00FE4231">
      <w:pPr>
        <w:jc w:val="both"/>
        <w:rPr>
          <w:rFonts w:cstheme="minorHAnsi"/>
          <w:b/>
          <w:bCs/>
          <w:szCs w:val="24"/>
        </w:rPr>
      </w:pPr>
    </w:p>
    <w:p w14:paraId="49EA20DE" w14:textId="370EE08F" w:rsidR="00DF4A44" w:rsidRPr="00675182" w:rsidRDefault="00DF4A44" w:rsidP="00FE4231">
      <w:pPr>
        <w:jc w:val="both"/>
        <w:rPr>
          <w:rFonts w:cstheme="minorHAnsi"/>
          <w:b/>
          <w:bCs/>
          <w:szCs w:val="24"/>
        </w:rPr>
      </w:pPr>
      <w:r w:rsidRPr="00675182">
        <w:rPr>
          <w:rFonts w:cstheme="minorHAnsi"/>
          <w:b/>
          <w:bCs/>
          <w:szCs w:val="24"/>
        </w:rPr>
        <w:t>B.3.</w:t>
      </w:r>
      <w:r w:rsidR="00FE4231" w:rsidRPr="00675182">
        <w:rPr>
          <w:rFonts w:cstheme="minorHAnsi"/>
          <w:b/>
          <w:bCs/>
          <w:szCs w:val="24"/>
        </w:rPr>
        <w:t>3</w:t>
      </w:r>
      <w:r w:rsidRPr="00675182">
        <w:rPr>
          <w:rFonts w:cstheme="minorHAnsi"/>
          <w:b/>
          <w:bCs/>
          <w:szCs w:val="24"/>
        </w:rPr>
        <w:t>.Kūlas un sūnu ierobežošana zālāju biotopos</w:t>
      </w:r>
    </w:p>
    <w:p w14:paraId="6AF1B22D" w14:textId="06DC5B80" w:rsidR="00DF4A44" w:rsidRPr="00675182" w:rsidRDefault="00FE4231" w:rsidP="00FE4231">
      <w:pPr>
        <w:jc w:val="both"/>
        <w:rPr>
          <w:rFonts w:cstheme="minorHAnsi"/>
          <w:color w:val="000000"/>
          <w:szCs w:val="24"/>
        </w:rPr>
      </w:pPr>
      <w:r w:rsidRPr="00675182">
        <w:rPr>
          <w:rFonts w:cstheme="minorHAnsi"/>
          <w:color w:val="000000"/>
          <w:szCs w:val="24"/>
        </w:rPr>
        <w:t xml:space="preserve">Pamestos zālājos, kur pārtraukta apsaimniekošana, kā arī zālājos, kurus pļauj vai smalcina un zāli nesavāc, novērojama kūlas uzkrāšanās. Pārlieku liels kūlas slānis zālājā traucē sēklu dīgšanu, veicina mitruma uzkrāšanos un augsnes auglību, maina zālāja mikroklimatu, kas kopumā negatīvi ietekmē kopējo zālāja sugu daudzveidību, tāpat kā pārlieku liela sūnu savairošanās. Sūnu īpatsvars zālājā palielinās ēnainās vietās, kā arī augsnes sablīvējumu gadījumā, kad traucēta skābekļa piekļuve augu saknēm un vieta </w:t>
      </w:r>
      <w:r w:rsidRPr="00675182">
        <w:rPr>
          <w:rFonts w:cstheme="minorHAnsi"/>
          <w:color w:val="000000"/>
          <w:szCs w:val="24"/>
        </w:rPr>
        <w:lastRenderedPageBreak/>
        <w:t>kļūst piemērota tikai sūnu attīstībai. Nereti pamestos zālājos ir ne tikai uzkrājusies kūla un sūnas, bet arī izveidojušies augu ciņi un nelīdzena virsma, ko rada ilggadīgi skudru pūžņi vai kurmju rakumiem. Lai cīnītos ar kūlu, sausos zālājos iespējams iegūt labus rezultātus ar kontrolēto dedzināšanu agrā pavasarī vai ziemas laikā, ja to pieļauj normatīvie akti. Kūlas novēršanai pielieto arī agru, atjaunojošu noganīšanu. Cita kūlas, sūnu un nelīdzenas virsmas atjaunošanas metode ietver vieglu zālāja virskārtas frēzēšanu, sasmalcinot kūlu un nolīdzinot ciņus, taču nav pieļaujama velēnas frēzēšana, bojājot augu sakņu sistēmu. Šādi iespējams iegūt līdzenu zālāja virsmu. Pirmajā gadā pēc atjaunošanas darbu veikšanas, iespējams, nopļautā zāle nebūs lietojama lopbarībā, jo daļā no iegūtās masas būs vecā kūla.</w:t>
      </w:r>
      <w:r w:rsidR="00CB445A" w:rsidRPr="00675182">
        <w:rPr>
          <w:rFonts w:cstheme="minorHAnsi"/>
          <w:color w:val="000000"/>
          <w:szCs w:val="24"/>
        </w:rPr>
        <w:t xml:space="preserve"> Kopējā zālāju biotopu platība, kurā nepieciešams šis pasākums, ir </w:t>
      </w:r>
      <w:r w:rsidR="00981E0D" w:rsidRPr="00675182">
        <w:rPr>
          <w:rFonts w:cstheme="minorHAnsi"/>
          <w:color w:val="000000"/>
          <w:szCs w:val="24"/>
        </w:rPr>
        <w:t>167,5 ha.</w:t>
      </w:r>
    </w:p>
    <w:p w14:paraId="2833BEA0" w14:textId="77777777" w:rsidR="00FE4231" w:rsidRPr="00675182" w:rsidRDefault="00FE4231" w:rsidP="00FE4231">
      <w:pPr>
        <w:jc w:val="both"/>
        <w:rPr>
          <w:rFonts w:cstheme="minorHAnsi"/>
          <w:b/>
          <w:bCs/>
          <w:szCs w:val="24"/>
        </w:rPr>
      </w:pPr>
    </w:p>
    <w:p w14:paraId="21FFF1FE" w14:textId="5E16C0AE" w:rsidR="00FE4231" w:rsidRPr="00675182" w:rsidRDefault="005C4B61" w:rsidP="00FE4231">
      <w:pPr>
        <w:pStyle w:val="naisf"/>
        <w:snapToGrid w:val="0"/>
        <w:spacing w:before="0" w:after="0"/>
        <w:ind w:firstLine="0"/>
        <w:rPr>
          <w:rFonts w:cstheme="minorHAnsi"/>
          <w:b/>
          <w:bCs/>
          <w:szCs w:val="24"/>
          <w:lang w:val="lv-LV"/>
        </w:rPr>
      </w:pPr>
      <w:r w:rsidRPr="00675182">
        <w:rPr>
          <w:rFonts w:cstheme="minorHAnsi"/>
          <w:b/>
          <w:bCs/>
          <w:szCs w:val="24"/>
          <w:lang w:val="lv-LV"/>
        </w:rPr>
        <w:t>B.</w:t>
      </w:r>
      <w:r w:rsidR="00FE4231" w:rsidRPr="00675182">
        <w:rPr>
          <w:rFonts w:cstheme="minorHAnsi"/>
          <w:b/>
          <w:bCs/>
          <w:szCs w:val="24"/>
          <w:lang w:val="lv-LV"/>
        </w:rPr>
        <w:t>3.4. Zālāju virsmas nolīdzināšana</w:t>
      </w:r>
    </w:p>
    <w:p w14:paraId="72F3576A" w14:textId="38BD6BE5" w:rsidR="00FE4231" w:rsidRPr="00675182" w:rsidRDefault="00FE4231" w:rsidP="00FE4231">
      <w:pPr>
        <w:pStyle w:val="naisf"/>
        <w:snapToGrid w:val="0"/>
        <w:spacing w:before="0" w:after="0"/>
        <w:ind w:firstLine="0"/>
        <w:rPr>
          <w:rFonts w:cstheme="minorHAnsi"/>
          <w:szCs w:val="24"/>
          <w:lang w:val="lv-LV"/>
        </w:rPr>
      </w:pPr>
      <w:r w:rsidRPr="00675182">
        <w:rPr>
          <w:rFonts w:cstheme="minorHAnsi"/>
          <w:szCs w:val="24"/>
          <w:lang w:val="lv-LV"/>
        </w:rPr>
        <w:t xml:space="preserve">Līdzena zālāja virsma jeb labs lauksaimniecības stāvoklis ir viens no priekšnosacījumiem, lai zālāju regulāri apsaimniekotu, kā arī varētu pieteikties uz LAD platību maksājumiem. Zālāja virsmas nelīdzenumu iemesli var būt dažādi. Pamestos zālājos nereti attīstās un savairojas augu ciņi, piemēram, mitrās pļavas pārņem ciņu grīslis </w:t>
      </w:r>
      <w:r w:rsidRPr="00675182">
        <w:rPr>
          <w:rFonts w:cstheme="minorHAnsi"/>
          <w:i/>
          <w:iCs/>
          <w:szCs w:val="24"/>
          <w:lang w:val="lv-LV"/>
        </w:rPr>
        <w:t>Carex cespitosa</w:t>
      </w:r>
      <w:r w:rsidRPr="00675182">
        <w:rPr>
          <w:rFonts w:cstheme="minorHAnsi"/>
          <w:szCs w:val="24"/>
          <w:lang w:val="lv-LV"/>
        </w:rPr>
        <w:t xml:space="preserve"> vai arī zilganā molīnija </w:t>
      </w:r>
      <w:r w:rsidRPr="00675182">
        <w:rPr>
          <w:rFonts w:cstheme="minorHAnsi"/>
          <w:i/>
          <w:iCs/>
          <w:szCs w:val="24"/>
          <w:lang w:val="lv-LV"/>
        </w:rPr>
        <w:t>Molinia caerulea</w:t>
      </w:r>
      <w:r w:rsidRPr="00675182">
        <w:rPr>
          <w:rFonts w:cstheme="minorHAnsi"/>
          <w:szCs w:val="24"/>
          <w:lang w:val="lv-LV"/>
        </w:rPr>
        <w:t xml:space="preserve">. Sausākos zālājos novērojami ilggadīgi skudru pūžņi, kas veidoti no augsnes daļiņām un vecās kūlas. Savukārt mālainās augsnēs nelīdzenu virsmu var radīt pat kurmju rakumi. Ne tikai pamestajos zālājos, bet arī apsaimniekotajos zālāju biotopos postījumus nodara meža cūkas, radot dažāda izmēra rakumus, nereti pārrokot pat visu zālāju. Bebru darbības vietās zālājos mēdz būt izveidotas vaļējas, šauras alas, kas periodiski applūst ar ūdeni un nodrošina bebru pārvietošanos, taču padara neiespējamu zālāja apsaimniekošanu. Zālāja virsmas nolīdzināšanā pielietojamas dažādas metodes. Virsmas frēzēšana uzskatāma par vienu no efektīvākajām metodēm, jo sasmalcina kūlu, likvidē augu ciņus, skudru pūžņus un citus nelīdzenumus. Iespējams zālāju apstrādāt ar diskiem vai šķīvjiem, smalcināt vai ecēt, bet šīs metodes nepalīdz likvidēt lielus augu ciņus. Šļūkšana palīdz pret neseniem kurmju rakumiem, bet neder kūlas un pastāvīgu ciņu novākšanai. Bebru alas iespējams likvidēt, aizberot tās ar augsni.  Atbilstošā zālāja virsmas nolīdzināšanas metode jāizvēlas atkarībā no situācijas konkrētā zālājā. </w:t>
      </w:r>
      <w:r w:rsidR="00981E0D" w:rsidRPr="00675182">
        <w:rPr>
          <w:rFonts w:cstheme="minorHAnsi"/>
          <w:color w:val="000000"/>
          <w:szCs w:val="24"/>
          <w:lang w:val="lv-LV"/>
        </w:rPr>
        <w:t>Kopējā zālāju biotopu platība, kurā nepieciešams šis pasākums, ir 134,9 ha.</w:t>
      </w:r>
    </w:p>
    <w:p w14:paraId="7C6D7BE9" w14:textId="77777777" w:rsidR="00FE4231" w:rsidRPr="00675182" w:rsidRDefault="00FE4231" w:rsidP="00FE4231">
      <w:pPr>
        <w:pStyle w:val="naisf"/>
        <w:snapToGrid w:val="0"/>
        <w:spacing w:before="0" w:after="0"/>
        <w:ind w:firstLine="0"/>
        <w:rPr>
          <w:rFonts w:cstheme="minorHAnsi"/>
          <w:szCs w:val="24"/>
          <w:lang w:val="lv-LV"/>
        </w:rPr>
      </w:pPr>
    </w:p>
    <w:p w14:paraId="0F3783F9" w14:textId="401327C8" w:rsidR="00FE4231" w:rsidRPr="00675182" w:rsidRDefault="005C4B61" w:rsidP="00FE4231">
      <w:pPr>
        <w:pStyle w:val="naisf"/>
        <w:snapToGrid w:val="0"/>
        <w:spacing w:before="0" w:after="0"/>
        <w:ind w:firstLine="0"/>
        <w:rPr>
          <w:rFonts w:cstheme="minorHAnsi"/>
          <w:b/>
          <w:bCs/>
          <w:szCs w:val="24"/>
          <w:lang w:val="lv-LV"/>
        </w:rPr>
      </w:pPr>
      <w:r w:rsidRPr="00675182">
        <w:rPr>
          <w:rFonts w:cstheme="minorHAnsi"/>
          <w:b/>
          <w:bCs/>
          <w:szCs w:val="24"/>
          <w:lang w:val="lv-LV"/>
        </w:rPr>
        <w:t>B.</w:t>
      </w:r>
      <w:r w:rsidR="00FE4231" w:rsidRPr="00675182">
        <w:rPr>
          <w:rFonts w:cstheme="minorHAnsi"/>
          <w:b/>
          <w:bCs/>
          <w:szCs w:val="24"/>
          <w:lang w:val="lv-LV"/>
        </w:rPr>
        <w:t>3.5. Koku un krūmu apauguma novākšana</w:t>
      </w:r>
    </w:p>
    <w:p w14:paraId="5FCE9157" w14:textId="7B3C9050" w:rsidR="00FE4231" w:rsidRPr="00675182" w:rsidRDefault="00FE4231" w:rsidP="00FE4231">
      <w:pPr>
        <w:pStyle w:val="naisf"/>
        <w:snapToGrid w:val="0"/>
        <w:spacing w:before="0" w:after="0"/>
        <w:ind w:firstLine="0"/>
        <w:rPr>
          <w:rFonts w:cstheme="minorHAnsi"/>
          <w:szCs w:val="24"/>
          <w:lang w:val="lv-LV"/>
        </w:rPr>
      </w:pPr>
      <w:r w:rsidRPr="00675182">
        <w:rPr>
          <w:rFonts w:cstheme="minorHAnsi"/>
          <w:szCs w:val="24"/>
          <w:lang w:val="lv-LV"/>
        </w:rPr>
        <w:t xml:space="preserve">Pamestos, nepasaimniekotos zālājos ar laiku ieviešas dažādi kokaugi – mitrākās vietās tie nereti ir kārklu ģints </w:t>
      </w:r>
      <w:r w:rsidRPr="00675182">
        <w:rPr>
          <w:rFonts w:cstheme="minorHAnsi"/>
          <w:i/>
          <w:iCs/>
          <w:szCs w:val="24"/>
          <w:lang w:val="lv-LV"/>
        </w:rPr>
        <w:t>Salix sp.</w:t>
      </w:r>
      <w:r w:rsidRPr="00675182">
        <w:rPr>
          <w:rFonts w:cstheme="minorHAnsi"/>
          <w:szCs w:val="24"/>
          <w:lang w:val="lv-LV"/>
        </w:rPr>
        <w:t xml:space="preserve"> krūmi vai baltalkšņi un melnalkšņi, savukārt sausākas vietas aizaug ar priedēm, eglēm, bērziem, apsēm. Kokus un krūmus zālājā var nozāģēt selektīvi, saglabāt atsevišķus krūmu pudurus vai kokus putnu ligzdošanai vai arī ēnai mājlopiem, ja attīrīšana no apauguma paredzēta ganībās. Zāģēšanas darbus vēlams veikt ārpus putnu ligzdošanas sezonas (laikā no augusta līdz marta beigām vai arī atbilstoši likumdošanā noteiktajam periodam), kā arī sausā laikā, lai meža tehnika nebojā zālāja velēnu. Nozāģēto materiālu iespējams izmantot malkā, šķeldā, vai arī sadedzināt. Kūdras augsnēs iespējama krūmu puduru izraušana ar saknēm. Lai samazinātu atvašu veidošanos, nepieciešama krūmu un koku celmu frēzēšana. Pēc apauguma novākšanas un celmu frēzēšanas, jāveic zālāja regulāra kopšana, izmantojot noganīšanu vai arī pļaušanu un siena savākšanu. Gadījumos, kad pēc koku un krūmu novākšanas tomēr pastiprināti rodas atvases, var pielietot ganīšanu ar palielinātu ganību slodzi. </w:t>
      </w:r>
      <w:r w:rsidR="00981E0D" w:rsidRPr="00675182">
        <w:rPr>
          <w:rFonts w:cstheme="minorHAnsi"/>
          <w:color w:val="000000"/>
          <w:szCs w:val="24"/>
          <w:lang w:val="lv-LV"/>
        </w:rPr>
        <w:t>Kopējā zālāju biotopu platība, kurā nepieciešams šis pasākums, ir 186,4 ha.</w:t>
      </w:r>
    </w:p>
    <w:p w14:paraId="5F15E050" w14:textId="77777777" w:rsidR="00FE4231" w:rsidRPr="00675182" w:rsidRDefault="00FE4231" w:rsidP="00FE4231">
      <w:pPr>
        <w:pStyle w:val="naisf"/>
        <w:snapToGrid w:val="0"/>
        <w:spacing w:before="0" w:after="0"/>
        <w:ind w:firstLine="0"/>
        <w:rPr>
          <w:rFonts w:cstheme="minorHAnsi"/>
          <w:szCs w:val="24"/>
          <w:lang w:val="lv-LV"/>
        </w:rPr>
      </w:pPr>
    </w:p>
    <w:p w14:paraId="654B4596" w14:textId="4467188E" w:rsidR="00FE4231" w:rsidRPr="00675182" w:rsidRDefault="005C4B61" w:rsidP="00FE4231">
      <w:pPr>
        <w:pStyle w:val="naisf"/>
        <w:snapToGrid w:val="0"/>
        <w:spacing w:before="0" w:after="0"/>
        <w:ind w:firstLine="0"/>
        <w:rPr>
          <w:rFonts w:cstheme="minorHAnsi"/>
          <w:b/>
          <w:bCs/>
          <w:szCs w:val="24"/>
          <w:lang w:val="lv-LV"/>
        </w:rPr>
      </w:pPr>
      <w:r w:rsidRPr="00675182">
        <w:rPr>
          <w:rFonts w:cstheme="minorHAnsi"/>
          <w:b/>
          <w:bCs/>
          <w:szCs w:val="24"/>
          <w:lang w:val="lv-LV"/>
        </w:rPr>
        <w:t>B.</w:t>
      </w:r>
      <w:r w:rsidR="00FE4231" w:rsidRPr="00675182">
        <w:rPr>
          <w:rFonts w:cstheme="minorHAnsi"/>
          <w:b/>
          <w:bCs/>
          <w:szCs w:val="24"/>
          <w:lang w:val="lv-LV"/>
        </w:rPr>
        <w:t>3.6. Mitruma režīma atjaunošana zālāju biotopos</w:t>
      </w:r>
    </w:p>
    <w:p w14:paraId="13B9743F" w14:textId="4923C373" w:rsidR="00FE4231" w:rsidRPr="00675182" w:rsidRDefault="00FE4231" w:rsidP="00FE4231">
      <w:pPr>
        <w:pStyle w:val="naisf"/>
        <w:snapToGrid w:val="0"/>
        <w:spacing w:before="0" w:after="0"/>
        <w:ind w:firstLine="0"/>
        <w:rPr>
          <w:rFonts w:cstheme="minorHAnsi"/>
          <w:szCs w:val="24"/>
          <w:lang w:val="lv-LV"/>
        </w:rPr>
      </w:pPr>
      <w:r w:rsidRPr="00675182">
        <w:rPr>
          <w:rFonts w:cstheme="minorHAnsi"/>
          <w:szCs w:val="24"/>
          <w:lang w:val="lv-LV"/>
        </w:rPr>
        <w:t xml:space="preserve">Mitruma režīma atjaunošana GNP zālājos saistāma ar bebru darbības ierobežošanu, jo daļa no zālājiem tiek neregulāri applūdināti. Pārmitros apstākļos zālāju apsaimniekošana ir apgrūtināta vai arī nav iespējama. Zālājam raksturīgās augu sabiedrības izmainās, parādās pārmitru vietu sugas, vai arī veidojas sugām nabadzīgas teritorijas, kur dominē parastā vīgrieze </w:t>
      </w:r>
      <w:r w:rsidRPr="00675182">
        <w:rPr>
          <w:rFonts w:cstheme="minorHAnsi"/>
          <w:i/>
          <w:iCs/>
          <w:szCs w:val="24"/>
          <w:lang w:val="lv-LV"/>
        </w:rPr>
        <w:t>Filipendula ulmaria</w:t>
      </w:r>
      <w:r w:rsidRPr="00675182">
        <w:rPr>
          <w:rFonts w:cstheme="minorHAnsi"/>
          <w:szCs w:val="24"/>
          <w:lang w:val="lv-LV"/>
        </w:rPr>
        <w:t xml:space="preserve">, dažādi grīšļi </w:t>
      </w:r>
      <w:r w:rsidRPr="00675182">
        <w:rPr>
          <w:rFonts w:cstheme="minorHAnsi"/>
          <w:i/>
          <w:iCs/>
          <w:szCs w:val="24"/>
          <w:lang w:val="lv-LV"/>
        </w:rPr>
        <w:t>Carex sp</w:t>
      </w:r>
      <w:r w:rsidRPr="00675182">
        <w:rPr>
          <w:rFonts w:cstheme="minorHAnsi"/>
          <w:szCs w:val="24"/>
          <w:lang w:val="lv-LV"/>
        </w:rPr>
        <w:t xml:space="preserve">., kā arī sūnas. Hidroloģiskā režīma atjaunošanai pārmitrās vietās nepieciešama bebru apkarošana, kas ietver sadarbību ar vietējiem medību kolektīviem. Ja zālājos jau ir grāvji, var izvietot caurtekas vai veikt grāvju tīrīšanu. Tomēr jebkādi darbi, kas veicami saistībā ar hidroloģiskā režīma atjaunošanu, jādara hidrologa uzraudzībā, kā arī, pēc nepieciešamības jāsaskaņo ar meliorācijas sistēmas uzraugošo valsts iestādi. </w:t>
      </w:r>
      <w:r w:rsidR="00981E0D" w:rsidRPr="00675182">
        <w:rPr>
          <w:rFonts w:cstheme="minorHAnsi"/>
          <w:color w:val="000000"/>
          <w:szCs w:val="24"/>
          <w:lang w:val="lv-LV"/>
        </w:rPr>
        <w:t>Kopējā zālāju biotopu platība, kurā nepieciešams šis pasākums, ir 15,8 ha.</w:t>
      </w:r>
    </w:p>
    <w:p w14:paraId="4CAD45D0" w14:textId="77777777" w:rsidR="00FE4231" w:rsidRPr="00675182" w:rsidRDefault="00FE4231" w:rsidP="00FE4231">
      <w:pPr>
        <w:pStyle w:val="naisf"/>
        <w:snapToGrid w:val="0"/>
        <w:spacing w:before="0" w:after="0"/>
        <w:ind w:firstLine="0"/>
        <w:rPr>
          <w:rFonts w:cstheme="minorHAnsi"/>
          <w:szCs w:val="24"/>
          <w:lang w:val="lv-LV"/>
        </w:rPr>
      </w:pPr>
    </w:p>
    <w:p w14:paraId="2E5C2DDB" w14:textId="7434F4CA" w:rsidR="00FE4231" w:rsidRPr="00675182" w:rsidRDefault="005C4B61" w:rsidP="00FE4231">
      <w:pPr>
        <w:pStyle w:val="naisf"/>
        <w:snapToGrid w:val="0"/>
        <w:spacing w:before="0" w:after="0"/>
        <w:ind w:firstLine="0"/>
        <w:rPr>
          <w:rFonts w:cstheme="minorHAnsi"/>
          <w:b/>
          <w:bCs/>
          <w:szCs w:val="24"/>
          <w:lang w:val="lv-LV"/>
        </w:rPr>
      </w:pPr>
      <w:r w:rsidRPr="00675182">
        <w:rPr>
          <w:rFonts w:cstheme="minorHAnsi"/>
          <w:b/>
          <w:bCs/>
          <w:szCs w:val="24"/>
          <w:lang w:val="lv-LV"/>
        </w:rPr>
        <w:t>B.</w:t>
      </w:r>
      <w:r w:rsidR="00FE4231" w:rsidRPr="00675182">
        <w:rPr>
          <w:rFonts w:cstheme="minorHAnsi"/>
          <w:b/>
          <w:bCs/>
          <w:szCs w:val="24"/>
          <w:lang w:val="lv-LV"/>
        </w:rPr>
        <w:t>3.7. Augsnes auglības samazināšana zālāju biotopos</w:t>
      </w:r>
    </w:p>
    <w:p w14:paraId="2157F69D" w14:textId="0BEE5AE0" w:rsidR="00FE4231" w:rsidRPr="00675182" w:rsidRDefault="00FE4231" w:rsidP="00FE4231">
      <w:pPr>
        <w:pStyle w:val="naisf"/>
        <w:snapToGrid w:val="0"/>
        <w:spacing w:before="0" w:after="0"/>
        <w:ind w:firstLine="0"/>
        <w:rPr>
          <w:rFonts w:cstheme="minorHAnsi"/>
          <w:szCs w:val="24"/>
          <w:lang w:val="lv-LV"/>
        </w:rPr>
      </w:pPr>
      <w:r w:rsidRPr="00675182">
        <w:rPr>
          <w:rFonts w:cstheme="minorHAnsi"/>
          <w:szCs w:val="24"/>
          <w:lang w:val="lv-LV"/>
        </w:rPr>
        <w:t xml:space="preserve">Zālāju biotopos, kas cēlušies no atmatām vai kultivētiem zālājiem, kā arī kuros iepriekš veikta mēslošana vai ganību dzīvnieku piebarošana, augsnes auglība ir pārāk liela, lai ilgtermiņā varētu attīstīties zālāju biotopiem raksturīgas augu sabiedrības un daudzveidība. Šādu zālāju atjaunošanā būtiski ir saprast fosfora daudzumu augsnē, jo tas saistās ar augsnes daļiņām un samazinās lēni. Precīzai augsnes auglības līmeņa noteikšanai jāveic augsnes analīzes. Augsnes auglību var samazināt, pļaujot zālāju ar siena novākšanu vairākas reizes sezonā. Ļoti auglīgos zālājos iespējams noņemt augsnes virskārtu, atsedzot mazāk auglīgus slāņus un iesēt </w:t>
      </w:r>
      <w:r w:rsidR="00F71272">
        <w:rPr>
          <w:rFonts w:cstheme="minorHAnsi"/>
          <w:szCs w:val="24"/>
          <w:lang w:val="lv-LV"/>
        </w:rPr>
        <w:t>BVZ</w:t>
      </w:r>
      <w:r w:rsidRPr="00675182">
        <w:rPr>
          <w:rFonts w:cstheme="minorHAnsi"/>
          <w:szCs w:val="24"/>
          <w:lang w:val="lv-LV"/>
        </w:rPr>
        <w:t xml:space="preserve"> sēklas vai izklāt sēklu sienu/zāli. Lai uznestu augsnes virspusē mazāk auglīgus slāņus, iespējams pielietot arī dziļo aršanu. Arī pēc šīs auglības samazināšanas metodes nepieciešams iesēt </w:t>
      </w:r>
      <w:r w:rsidR="00F71272">
        <w:rPr>
          <w:rFonts w:cstheme="minorHAnsi"/>
          <w:szCs w:val="24"/>
          <w:lang w:val="lv-LV"/>
        </w:rPr>
        <w:t>BVZ</w:t>
      </w:r>
      <w:r w:rsidRPr="00675182">
        <w:rPr>
          <w:rFonts w:cstheme="minorHAnsi"/>
          <w:szCs w:val="24"/>
          <w:lang w:val="lv-LV"/>
        </w:rPr>
        <w:t xml:space="preserve"> sēklas. </w:t>
      </w:r>
      <w:r w:rsidR="00981E0D" w:rsidRPr="00675182">
        <w:rPr>
          <w:rFonts w:cstheme="minorHAnsi"/>
          <w:color w:val="000000"/>
          <w:szCs w:val="24"/>
          <w:lang w:val="lv-LV"/>
        </w:rPr>
        <w:t>Kopējā zālāju biotopu platība, kurā nepieciešams šis pasākums, ir 73,1 ha.</w:t>
      </w:r>
    </w:p>
    <w:p w14:paraId="469CA686" w14:textId="77777777" w:rsidR="00FE4231" w:rsidRPr="00675182" w:rsidRDefault="00FE4231" w:rsidP="00FE4231">
      <w:pPr>
        <w:pStyle w:val="naisf"/>
        <w:snapToGrid w:val="0"/>
        <w:spacing w:before="0" w:after="0"/>
        <w:ind w:firstLine="0"/>
        <w:rPr>
          <w:rFonts w:cstheme="minorHAnsi"/>
          <w:szCs w:val="24"/>
          <w:lang w:val="lv-LV"/>
        </w:rPr>
      </w:pPr>
    </w:p>
    <w:p w14:paraId="02AD3315" w14:textId="444A6C42" w:rsidR="00FE4231" w:rsidRPr="00675182" w:rsidRDefault="005C4B61" w:rsidP="00FE4231">
      <w:pPr>
        <w:pStyle w:val="naisf"/>
        <w:snapToGrid w:val="0"/>
        <w:spacing w:before="0" w:after="0"/>
        <w:ind w:firstLine="0"/>
        <w:rPr>
          <w:rFonts w:cstheme="minorHAnsi"/>
          <w:b/>
          <w:bCs/>
          <w:szCs w:val="24"/>
          <w:lang w:val="lv-LV"/>
        </w:rPr>
      </w:pPr>
      <w:r w:rsidRPr="00675182">
        <w:rPr>
          <w:rFonts w:cstheme="minorHAnsi"/>
          <w:b/>
          <w:bCs/>
          <w:szCs w:val="24"/>
          <w:lang w:val="lv-LV"/>
        </w:rPr>
        <w:t>B.</w:t>
      </w:r>
      <w:r w:rsidR="00FE4231" w:rsidRPr="00675182">
        <w:rPr>
          <w:rFonts w:cstheme="minorHAnsi"/>
          <w:b/>
          <w:bCs/>
          <w:szCs w:val="24"/>
          <w:lang w:val="lv-LV"/>
        </w:rPr>
        <w:t>3.8. Sugu sastāva mērķtiecīga veidošana</w:t>
      </w:r>
    </w:p>
    <w:p w14:paraId="498D5C48" w14:textId="0B550D2D" w:rsidR="00FE4231" w:rsidRPr="00675182" w:rsidRDefault="00FE4231" w:rsidP="00FE4231">
      <w:pPr>
        <w:pStyle w:val="naisf"/>
        <w:snapToGrid w:val="0"/>
        <w:spacing w:before="0" w:after="0"/>
        <w:ind w:firstLine="0"/>
        <w:rPr>
          <w:rFonts w:cstheme="minorHAnsi"/>
          <w:szCs w:val="24"/>
          <w:lang w:val="lv-LV"/>
        </w:rPr>
      </w:pPr>
      <w:r w:rsidRPr="00675182">
        <w:rPr>
          <w:rFonts w:cstheme="minorHAnsi"/>
          <w:szCs w:val="24"/>
          <w:lang w:val="lv-LV"/>
        </w:rPr>
        <w:t>Ja zālāja biotopa botāniskā kvalitāte ir zema, augu daudzveidība atbilst tikai minimālajām ES nozīmes biotopu prasībām, iespējams veikt mērķtiecīgu sugu sastāva veidošanu. Dabisko zālāju sēklas augsnē neizdzīvo ilgi,</w:t>
      </w:r>
      <w:r w:rsidR="00981E0D" w:rsidRPr="00675182">
        <w:rPr>
          <w:rFonts w:cstheme="minorHAnsi"/>
          <w:szCs w:val="24"/>
          <w:lang w:val="lv-LV"/>
        </w:rPr>
        <w:t xml:space="preserve"> </w:t>
      </w:r>
      <w:r w:rsidR="00F030CE" w:rsidRPr="00675182">
        <w:rPr>
          <w:rFonts w:cstheme="minorHAnsi"/>
          <w:szCs w:val="24"/>
          <w:lang w:val="lv-LV"/>
        </w:rPr>
        <w:t>turklāt</w:t>
      </w:r>
      <w:r w:rsidRPr="00675182">
        <w:rPr>
          <w:rFonts w:cstheme="minorHAnsi"/>
          <w:szCs w:val="24"/>
          <w:lang w:val="lv-LV"/>
        </w:rPr>
        <w:t xml:space="preserve"> dabisko zālāju fragmentētās izplatības dēļ, sēklu ienākšana no tuvējās apkaimes ir problemātiska. Lai uzlabotu zālāja botānisko kvalitāti, iespējams piesēt dabiska zālāja sēklas, ja tādas iespējams nopirkt, vai arī izmantot ar sēklām bagātu sienu vai zāli no kādas donora teritorijas. Zālājiem, ko izmanto sēklu zāles vai siena iegūšanai, pēc botāniskā sastāva un vides apstākļiem jāatbilst zālājam, kurā paredzēta sugu sastāva veidošana. Pirms sēklu sēšanas vai siena/zāles ieklāšanas, nepieciešams sagatavot augsni, to atsedzot un uzirdinot. Ja uzlabojamajā zālājā ir daudz ekspansīvo vai invazīvo sugu, nepieciešama velēnas noņemšana kopā ar nevēlamo sugu saknēm, citādi iesētās zālāja sēklas neizdzīvos. Pēc sēklu iesēšanas augsne jāpieveļ. Pirmajā gadā pēc sēšanas zālāju pļauj vēlu, lai ļautu iesētajiem augiem nostiprināties. </w:t>
      </w:r>
      <w:r w:rsidR="00981E0D" w:rsidRPr="00675182">
        <w:rPr>
          <w:rFonts w:cstheme="minorHAnsi"/>
          <w:color w:val="000000"/>
          <w:szCs w:val="24"/>
          <w:lang w:val="lv-LV"/>
        </w:rPr>
        <w:t>Kopējā zālāju biotopu platība, kurā nepieciešams šis pasākums, ir 58,3 ha.</w:t>
      </w:r>
    </w:p>
    <w:p w14:paraId="4F1A2414" w14:textId="77777777" w:rsidR="00FE4231" w:rsidRPr="00675182" w:rsidRDefault="00FE4231" w:rsidP="00FE4231">
      <w:pPr>
        <w:pStyle w:val="naisf"/>
        <w:snapToGrid w:val="0"/>
        <w:spacing w:before="0" w:after="0"/>
        <w:ind w:firstLine="0"/>
        <w:rPr>
          <w:rFonts w:cstheme="minorHAnsi"/>
          <w:szCs w:val="24"/>
          <w:lang w:val="lv-LV"/>
        </w:rPr>
      </w:pPr>
    </w:p>
    <w:p w14:paraId="38E6EFA7" w14:textId="3D191D39" w:rsidR="00FE4231" w:rsidRPr="00675182" w:rsidRDefault="005C4B61" w:rsidP="00FE4231">
      <w:pPr>
        <w:pStyle w:val="naisf"/>
        <w:snapToGrid w:val="0"/>
        <w:spacing w:before="0" w:after="0"/>
        <w:ind w:firstLine="0"/>
        <w:rPr>
          <w:rFonts w:cstheme="minorHAnsi"/>
          <w:b/>
          <w:bCs/>
          <w:szCs w:val="24"/>
          <w:lang w:val="lv-LV"/>
        </w:rPr>
      </w:pPr>
      <w:r w:rsidRPr="00675182">
        <w:rPr>
          <w:rFonts w:cstheme="minorHAnsi"/>
          <w:b/>
          <w:bCs/>
          <w:szCs w:val="24"/>
          <w:lang w:val="lv-LV"/>
        </w:rPr>
        <w:t>B.</w:t>
      </w:r>
      <w:r w:rsidR="00FE4231" w:rsidRPr="00675182">
        <w:rPr>
          <w:rFonts w:cstheme="minorHAnsi"/>
          <w:b/>
          <w:bCs/>
          <w:szCs w:val="24"/>
          <w:lang w:val="lv-LV"/>
        </w:rPr>
        <w:t>3.9. Nevēlamu sugu ierobežošana</w:t>
      </w:r>
    </w:p>
    <w:p w14:paraId="0E84B216" w14:textId="1CF99198" w:rsidR="00FE4231" w:rsidRPr="00675182" w:rsidRDefault="00FE4231" w:rsidP="00FE4231">
      <w:pPr>
        <w:pStyle w:val="naisf"/>
        <w:snapToGrid w:val="0"/>
        <w:spacing w:before="0" w:after="0"/>
        <w:ind w:firstLine="0"/>
        <w:rPr>
          <w:rFonts w:cstheme="minorHAnsi"/>
          <w:szCs w:val="24"/>
          <w:lang w:val="lv-LV"/>
        </w:rPr>
      </w:pPr>
      <w:r w:rsidRPr="00675182">
        <w:rPr>
          <w:rFonts w:cstheme="minorHAnsi"/>
          <w:szCs w:val="24"/>
          <w:lang w:val="lv-LV"/>
        </w:rPr>
        <w:t xml:space="preserve">Ekspansīvo un invazīvo sugu savairošanās zālāju biotopos ir biežāk sastopamā problēma GNP zālājos. Šādu sugu savairošanās iemesli ir dažādi: zālāja nepareiza apsaimniekošana, piemēram, pļaušana zāli nesavācot, vai arī smalcināšana, zālāja </w:t>
      </w:r>
      <w:r w:rsidRPr="00675182">
        <w:rPr>
          <w:rFonts w:cstheme="minorHAnsi"/>
          <w:szCs w:val="24"/>
          <w:lang w:val="lv-LV"/>
        </w:rPr>
        <w:lastRenderedPageBreak/>
        <w:t xml:space="preserve">pamešana vai arī zālāja pārāk intensīva apsaimniekošana, piemēram, intensīvās ganībās. Ekspansīvās sugas ir vietējas izcelsmes augi, kas savairojas zālājā, samazinot sugu daudzveidību, savukārt invazīvās sugas ir svešzemju sugas, kas Latvijā ieceļojušas no citām pasaules daļām un, nonākušas savvaļā, savairojas un pārņem dabiskas teritorijas. Invazīvu sugu apkarošanā jāizvēlas metodes, kas augus iznīcina, taču ekspansīvas sugas nepieciešams ierobežot, dodot telpu sugu daudzveidībai. Nevēlamu sugu apkarošanā būtiski nepieļaut augu izziedēšanu un sēklu nogatavināšanu, plānojot šo zālāju agru pļauju, kā arī – vairākkārtēju pļauju sezonā. Zālājos, kur nevēlamās sugas savairojušās tikai daļā no teritorijas vai arī zālājā ieviesušies daži invazīvie augi, to apkarošanu var veikt selektīvi, vairākkārt pļaujot tikai invadēto pļavas daļu vai arī atsevišķas nevēlamās sugas izrokot ar saknēm. Nevēlamo sugu ierobežošana jāveic mērķtiecīgi, vairākus gadus pēc kārtas. </w:t>
      </w:r>
      <w:r w:rsidR="00981E0D" w:rsidRPr="00675182">
        <w:rPr>
          <w:rFonts w:cstheme="minorHAnsi"/>
          <w:color w:val="000000"/>
          <w:szCs w:val="24"/>
          <w:lang w:val="lv-LV"/>
        </w:rPr>
        <w:t>Kopējā zālāju biotopu platība, kurā nepieciešams šis pasākums, 481,3 ha.</w:t>
      </w:r>
    </w:p>
    <w:p w14:paraId="13B0B65C" w14:textId="77777777" w:rsidR="00FE4231" w:rsidRPr="00675182" w:rsidRDefault="00FE4231" w:rsidP="00FE4231">
      <w:pPr>
        <w:pStyle w:val="naisf"/>
        <w:snapToGrid w:val="0"/>
        <w:spacing w:before="0" w:after="0"/>
        <w:ind w:firstLine="0"/>
        <w:rPr>
          <w:rFonts w:cstheme="minorHAnsi"/>
          <w:szCs w:val="24"/>
          <w:lang w:val="lv-LV"/>
        </w:rPr>
      </w:pPr>
    </w:p>
    <w:p w14:paraId="7D509C05" w14:textId="52210DA1" w:rsidR="00FE4231" w:rsidRPr="00675182" w:rsidRDefault="005C4B61" w:rsidP="00FE4231">
      <w:pPr>
        <w:pStyle w:val="naisf"/>
        <w:snapToGrid w:val="0"/>
        <w:spacing w:before="0" w:after="0"/>
        <w:ind w:firstLine="0"/>
        <w:rPr>
          <w:rFonts w:cstheme="minorHAnsi"/>
          <w:b/>
          <w:bCs/>
          <w:szCs w:val="24"/>
          <w:lang w:val="lv-LV"/>
        </w:rPr>
      </w:pPr>
      <w:r w:rsidRPr="00675182">
        <w:rPr>
          <w:rFonts w:cstheme="minorHAnsi"/>
          <w:b/>
          <w:bCs/>
          <w:szCs w:val="24"/>
          <w:lang w:val="lv-LV"/>
        </w:rPr>
        <w:t>B.</w:t>
      </w:r>
      <w:r w:rsidR="00FE4231" w:rsidRPr="00675182">
        <w:rPr>
          <w:rFonts w:cstheme="minorHAnsi"/>
          <w:b/>
          <w:bCs/>
          <w:szCs w:val="24"/>
          <w:lang w:val="lv-LV"/>
        </w:rPr>
        <w:t xml:space="preserve">3.10. Aizsargājamo zālāju biotopu un potenciālo aizsargājamo zālāju biotopu apsaimniekošana pēc atjaunošanas pasākumiem (t.sk. </w:t>
      </w:r>
      <w:r w:rsidR="00717391">
        <w:rPr>
          <w:rFonts w:cstheme="minorHAnsi"/>
          <w:b/>
          <w:bCs/>
          <w:szCs w:val="24"/>
          <w:lang w:val="lv-LV"/>
        </w:rPr>
        <w:t>KF</w:t>
      </w:r>
      <w:r w:rsidR="00FE4231" w:rsidRPr="00675182">
        <w:rPr>
          <w:rFonts w:cstheme="minorHAnsi"/>
          <w:b/>
          <w:bCs/>
          <w:szCs w:val="24"/>
          <w:lang w:val="lv-LV"/>
        </w:rPr>
        <w:t xml:space="preserve"> projektā)</w:t>
      </w:r>
    </w:p>
    <w:p w14:paraId="187E594A" w14:textId="0A390ECE" w:rsidR="00FE4231" w:rsidRPr="00675182" w:rsidRDefault="006C455B" w:rsidP="00FE4231">
      <w:pPr>
        <w:pStyle w:val="naisf"/>
        <w:snapToGrid w:val="0"/>
        <w:spacing w:before="0" w:after="0"/>
        <w:ind w:firstLine="0"/>
        <w:rPr>
          <w:rFonts w:cstheme="minorHAnsi"/>
          <w:szCs w:val="24"/>
          <w:lang w:val="lv-LV"/>
        </w:rPr>
      </w:pPr>
      <w:r>
        <w:rPr>
          <w:rFonts w:cstheme="minorHAnsi"/>
          <w:szCs w:val="24"/>
          <w:lang w:val="lv-LV"/>
        </w:rPr>
        <w:t>KF</w:t>
      </w:r>
      <w:r w:rsidR="00FE4231" w:rsidRPr="00675182">
        <w:rPr>
          <w:rFonts w:cstheme="minorHAnsi"/>
          <w:szCs w:val="24"/>
          <w:lang w:val="lv-LV"/>
        </w:rPr>
        <w:t xml:space="preserve"> projekta zālāju teritorijās 40 ha platībā tiks veikti dažādi atjaunošanas pasākumi – krūmu ciršana, hidroloģiskā režīma atjaunošana, ciņu un celmu frēzēšana, </w:t>
      </w:r>
      <w:r w:rsidR="00537B36">
        <w:rPr>
          <w:rFonts w:cstheme="minorHAnsi"/>
          <w:szCs w:val="24"/>
          <w:lang w:val="lv-LV"/>
        </w:rPr>
        <w:t>BVZ</w:t>
      </w:r>
      <w:r w:rsidR="00FE4231" w:rsidRPr="00675182">
        <w:rPr>
          <w:rFonts w:cstheme="minorHAnsi"/>
          <w:szCs w:val="24"/>
          <w:lang w:val="lv-LV"/>
        </w:rPr>
        <w:t xml:space="preserve"> sēklu piesēšana u.c. Pēc atjaunošanas pasākumu veikšanas, sākot ar 2024. gada sezonu turpmākos 5 gadus paredzēts veikt teritoriju regulāro apsaimniekošanu, ko organizēs </w:t>
      </w:r>
      <w:r w:rsidR="008110B4" w:rsidRPr="00675182">
        <w:rPr>
          <w:rFonts w:cstheme="minorHAnsi"/>
          <w:szCs w:val="24"/>
          <w:lang w:val="lv-LV"/>
        </w:rPr>
        <w:t>DAP</w:t>
      </w:r>
      <w:r w:rsidR="00FE4231" w:rsidRPr="00675182">
        <w:rPr>
          <w:rFonts w:cstheme="minorHAnsi"/>
          <w:szCs w:val="24"/>
          <w:lang w:val="lv-LV"/>
        </w:rPr>
        <w:t>, kā arī projektā iesaistītie privātie īpašnieki. Zālāju apsaimniekošanu paredzēts veikt ar pļaušanu un siena vai zāles savākšanu, kā arī atsevišķās teritorijās iespējama ganīšana. Regulārā apsaimniekošana veicama arī visos pārējos zālājos, kuros plāna darbības laikā notiks atjaunojošie pasākumi, jo tikai ar piemērotu apsaimniekošanu var uzturēt zālājus labā aizsardzības stāvoklī.</w:t>
      </w:r>
    </w:p>
    <w:p w14:paraId="223C9461" w14:textId="55DDDA9C" w:rsidR="00007F4C" w:rsidRPr="00675182" w:rsidRDefault="00007F4C" w:rsidP="002B3341">
      <w:pPr>
        <w:rPr>
          <w:rFonts w:cstheme="minorHAnsi"/>
          <w:sz w:val="22"/>
          <w:szCs w:val="22"/>
        </w:rPr>
      </w:pPr>
    </w:p>
    <w:p w14:paraId="58865B2D" w14:textId="77777777" w:rsidR="00C32BDF" w:rsidRPr="00675182" w:rsidRDefault="00C32BDF" w:rsidP="00BF7348">
      <w:pPr>
        <w:keepNext/>
        <w:keepLines/>
        <w:jc w:val="both"/>
        <w:rPr>
          <w:rFonts w:eastAsiaTheme="minorHAnsi" w:cstheme="minorHAnsi"/>
          <w:b/>
          <w:bCs/>
          <w:sz w:val="22"/>
          <w:lang w:eastAsia="en-US"/>
        </w:rPr>
      </w:pPr>
      <w:r w:rsidRPr="00675182">
        <w:rPr>
          <w:rFonts w:cstheme="minorHAnsi"/>
          <w:b/>
          <w:bCs/>
        </w:rPr>
        <w:t>B.3.11. Pastāvīgo zālāju apsaimniekošana aizsargājamo zālāju biotopu platības palielināšanai, sugu dzīvotņu, ekoloģisko koridoru un ainavisko vērtību uzturēšanai</w:t>
      </w:r>
    </w:p>
    <w:p w14:paraId="3564B43A" w14:textId="733CE701" w:rsidR="00C32BDF" w:rsidRPr="00675182" w:rsidRDefault="00C32BDF" w:rsidP="00F3498E">
      <w:pPr>
        <w:keepNext/>
        <w:keepLines/>
        <w:jc w:val="both"/>
        <w:rPr>
          <w:rFonts w:cstheme="minorHAnsi"/>
        </w:rPr>
      </w:pPr>
      <w:r w:rsidRPr="00675182">
        <w:rPr>
          <w:rFonts w:cstheme="minorHAnsi"/>
        </w:rPr>
        <w:t>GNP teritorijā lielākā daļa pastāvīgo zālāju (</w:t>
      </w:r>
      <w:r w:rsidR="00710E66" w:rsidRPr="00675182">
        <w:rPr>
          <w:rFonts w:cstheme="minorHAnsi"/>
        </w:rPr>
        <w:t>LAD</w:t>
      </w:r>
      <w:r w:rsidRPr="00675182">
        <w:rPr>
          <w:rFonts w:cstheme="minorHAnsi"/>
        </w:rPr>
        <w:t xml:space="preserve"> kultūras kods 710) neatbilst ES nozīmes aizsargājamo biotopu statusam, taču tiem ir nozīme gan kā zālāju raksturīgo augu sugu, dažādu bezmugurkaulnieku un putnu sugu dzīvotnēm, gan sugu migrācijas koridoru nodrošināšanā un kā ainavas sastāvdaļai. Ekstensīvi apsaimniekojot pastāvīgos zālājus, iespējama to strukturālās kvalitātes un sugu sastāva uzlabošanās, sasniedzot ES nozīmes aizsargājamo biotopu minimālos kvalitātes kritērijus. Pastāvīgo zālāju saglabāšanas un apsaimniekošanas prioritātes izvirzītas, atzīmējot to piederību vairākām vērtību kategorijām – biotopu inventarizācijā atzīmēts kā potenciāls zālāju biotops, Biotopu Direktīvas II pielikuma tauriņu dzīvotne, atrašanās 500 m attālumā no ES nozīmes aizsargājamā zālāju biotopa, atrašanās Gaujas vai tās pieteku ielejā, atrašanās ainaviskajās teritorijās, kas noteiktas pašvaldību teritorijas plānojumos. Augsta apsaimniekošanas prioritāte izvirzāma zālājiem, kuri atbilst 3 vai 4 no šiem kritērijiem, kā arī visiem potenciālajiem zālāju biotopiem (kopā 1562 ha), vidēja prioritāte tiem zālājiem, kas atbilst 1-2 kritērijiem (kopā 4553 ha). </w:t>
      </w:r>
    </w:p>
    <w:p w14:paraId="4060DFA7" w14:textId="77777777" w:rsidR="00710E66" w:rsidRPr="00675182" w:rsidRDefault="00710E66" w:rsidP="00710E66">
      <w:pPr>
        <w:jc w:val="both"/>
        <w:rPr>
          <w:rFonts w:cstheme="minorHAnsi"/>
        </w:rPr>
      </w:pPr>
    </w:p>
    <w:p w14:paraId="7362D79B" w14:textId="5D290392" w:rsidR="00C32BDF" w:rsidRPr="00675182" w:rsidRDefault="00C32BDF" w:rsidP="00710E66">
      <w:pPr>
        <w:jc w:val="both"/>
        <w:rPr>
          <w:rFonts w:cstheme="minorHAnsi"/>
        </w:rPr>
      </w:pPr>
      <w:r w:rsidRPr="00675182">
        <w:rPr>
          <w:rFonts w:cstheme="minorHAnsi"/>
        </w:rPr>
        <w:t xml:space="preserve">GNP teritorijā ES nozīmes aizsargājamo biotopu inventarizācijas ietvaros atzīmēti 390,6 ha potenciālo zālāju biotopu (t.sk. 301 ha atrodas platībās, kas LAD pieteiktas kā pastāvīgie zālāji), to sadalījums pa iespējamā nākotnes biotopa platībām attēlots </w:t>
      </w:r>
      <w:r w:rsidR="00710E66" w:rsidRPr="00675182">
        <w:rPr>
          <w:rFonts w:cstheme="minorHAnsi"/>
        </w:rPr>
        <w:t>3.4</w:t>
      </w:r>
      <w:r w:rsidRPr="00675182">
        <w:rPr>
          <w:rFonts w:cstheme="minorHAnsi"/>
        </w:rPr>
        <w:t xml:space="preserve">. tabulā. Apsaimniekošanā jāizmanto paņēmieni, kas kā vēlami atzīmēti attiecīgā biotopa poligona inventarizācijas anketā (piemēram, ekspansīvo sugu platības samazināšana, </w:t>
      </w:r>
      <w:r w:rsidRPr="00675182">
        <w:rPr>
          <w:rFonts w:cstheme="minorHAnsi"/>
        </w:rPr>
        <w:lastRenderedPageBreak/>
        <w:t>sugu sastāva uzlabošana u.c., skat. pasākumu B.3-B.10 aprakstu). Šai kategorijā iekļauti arī zālāji, kas atrodas ārpus lauku blokiem vai nav pieteikti atbalsta maksājumiem, bet atzīmēti kā potenciālie zālāju biotopi inventarizācijas ietvaros.</w:t>
      </w:r>
    </w:p>
    <w:p w14:paraId="08E239F0" w14:textId="77777777" w:rsidR="00C32BDF" w:rsidRPr="00675182" w:rsidRDefault="00C32BDF" w:rsidP="00423B43">
      <w:pPr>
        <w:keepNext/>
        <w:keepLines/>
        <w:jc w:val="both"/>
        <w:rPr>
          <w:rFonts w:cstheme="minorHAnsi"/>
        </w:rPr>
      </w:pPr>
    </w:p>
    <w:p w14:paraId="31F63A8A" w14:textId="69FC1418" w:rsidR="00C32BDF" w:rsidRPr="00675182" w:rsidRDefault="005D4908" w:rsidP="00423B43">
      <w:pPr>
        <w:keepNext/>
        <w:keepLines/>
        <w:rPr>
          <w:rFonts w:cstheme="minorHAnsi"/>
          <w:b/>
          <w:bCs/>
          <w:i/>
          <w:iCs/>
        </w:rPr>
      </w:pPr>
      <w:r w:rsidRPr="00675182">
        <w:rPr>
          <w:rFonts w:cstheme="minorHAnsi"/>
          <w:b/>
          <w:bCs/>
          <w:i/>
          <w:iCs/>
        </w:rPr>
        <w:t>3.4</w:t>
      </w:r>
      <w:r w:rsidR="00C32BDF" w:rsidRPr="00675182">
        <w:rPr>
          <w:rFonts w:cstheme="minorHAnsi"/>
          <w:b/>
          <w:bCs/>
          <w:i/>
          <w:iCs/>
        </w:rPr>
        <w:t>. tabula. Potenciālo ES nozīmes aizsargājamo zālāju biotopu platības GNP</w:t>
      </w:r>
    </w:p>
    <w:tbl>
      <w:tblPr>
        <w:tblW w:w="8500" w:type="dxa"/>
        <w:tblLook w:val="04A0" w:firstRow="1" w:lastRow="0" w:firstColumn="1" w:lastColumn="0" w:noHBand="0" w:noVBand="1"/>
      </w:tblPr>
      <w:tblGrid>
        <w:gridCol w:w="4531"/>
        <w:gridCol w:w="1276"/>
        <w:gridCol w:w="2693"/>
      </w:tblGrid>
      <w:tr w:rsidR="00C32BDF" w:rsidRPr="00675182" w14:paraId="71D54702" w14:textId="77777777" w:rsidTr="005D4908">
        <w:trPr>
          <w:trHeight w:val="255"/>
        </w:trPr>
        <w:tc>
          <w:tcPr>
            <w:tcW w:w="453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4E3082E5" w14:textId="77777777" w:rsidR="00C32BDF" w:rsidRPr="00675182" w:rsidRDefault="00C32BDF" w:rsidP="00423B43">
            <w:pPr>
              <w:keepNext/>
              <w:keepLines/>
              <w:jc w:val="center"/>
              <w:rPr>
                <w:rFonts w:eastAsia="Times New Roman" w:cstheme="minorHAnsi"/>
                <w:b/>
                <w:bCs/>
                <w:szCs w:val="24"/>
              </w:rPr>
            </w:pPr>
            <w:r w:rsidRPr="00675182">
              <w:rPr>
                <w:rFonts w:eastAsia="Times New Roman" w:cstheme="minorHAnsi"/>
                <w:b/>
                <w:bCs/>
                <w:szCs w:val="24"/>
              </w:rPr>
              <w:t>Potenciālā biotopa veids</w:t>
            </w:r>
          </w:p>
        </w:tc>
        <w:tc>
          <w:tcPr>
            <w:tcW w:w="1276"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361A5EF6" w14:textId="77777777" w:rsidR="00C32BDF" w:rsidRPr="00675182" w:rsidRDefault="00C32BDF" w:rsidP="00423B43">
            <w:pPr>
              <w:keepNext/>
              <w:keepLines/>
              <w:jc w:val="center"/>
              <w:rPr>
                <w:rFonts w:eastAsia="Times New Roman" w:cstheme="minorHAnsi"/>
                <w:b/>
                <w:bCs/>
                <w:szCs w:val="24"/>
              </w:rPr>
            </w:pPr>
            <w:r w:rsidRPr="00675182">
              <w:rPr>
                <w:rFonts w:eastAsia="Times New Roman" w:cstheme="minorHAnsi"/>
                <w:b/>
                <w:bCs/>
                <w:szCs w:val="24"/>
              </w:rPr>
              <w:t>Platība, ha</w:t>
            </w:r>
          </w:p>
        </w:tc>
        <w:tc>
          <w:tcPr>
            <w:tcW w:w="2693"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CB9E00E" w14:textId="77777777" w:rsidR="00C32BDF" w:rsidRPr="00675182" w:rsidRDefault="00C32BDF" w:rsidP="00423B43">
            <w:pPr>
              <w:keepNext/>
              <w:keepLines/>
              <w:jc w:val="center"/>
              <w:rPr>
                <w:rFonts w:eastAsia="Times New Roman" w:cstheme="minorHAnsi"/>
                <w:b/>
                <w:bCs/>
                <w:szCs w:val="24"/>
              </w:rPr>
            </w:pPr>
            <w:r w:rsidRPr="00675182">
              <w:rPr>
                <w:rFonts w:eastAsia="Times New Roman" w:cstheme="minorHAnsi"/>
                <w:b/>
                <w:bCs/>
                <w:szCs w:val="24"/>
              </w:rPr>
              <w:t>% no pašreizējās biotopa platības GNP</w:t>
            </w:r>
          </w:p>
        </w:tc>
      </w:tr>
      <w:tr w:rsidR="00C32BDF" w:rsidRPr="00675182" w14:paraId="405B0368" w14:textId="77777777" w:rsidTr="00C32BDF">
        <w:trPr>
          <w:trHeight w:val="255"/>
        </w:trPr>
        <w:tc>
          <w:tcPr>
            <w:tcW w:w="4531" w:type="dxa"/>
            <w:tcBorders>
              <w:top w:val="nil"/>
              <w:left w:val="single" w:sz="4" w:space="0" w:color="auto"/>
              <w:bottom w:val="single" w:sz="4" w:space="0" w:color="auto"/>
              <w:right w:val="single" w:sz="4" w:space="0" w:color="auto"/>
            </w:tcBorders>
            <w:noWrap/>
            <w:vAlign w:val="bottom"/>
            <w:hideMark/>
          </w:tcPr>
          <w:p w14:paraId="1E121456" w14:textId="77777777" w:rsidR="00C32BDF" w:rsidRPr="00675182" w:rsidRDefault="00C32BDF" w:rsidP="00423B43">
            <w:pPr>
              <w:keepNext/>
              <w:keepLines/>
              <w:rPr>
                <w:rFonts w:eastAsia="Times New Roman" w:cstheme="minorHAnsi"/>
                <w:szCs w:val="24"/>
              </w:rPr>
            </w:pPr>
            <w:r w:rsidRPr="00675182">
              <w:rPr>
                <w:rFonts w:eastAsia="Times New Roman" w:cstheme="minorHAnsi"/>
                <w:szCs w:val="24"/>
              </w:rPr>
              <w:t>6120* Smiltāju zālāji</w:t>
            </w:r>
          </w:p>
        </w:tc>
        <w:tc>
          <w:tcPr>
            <w:tcW w:w="1276" w:type="dxa"/>
            <w:tcBorders>
              <w:top w:val="nil"/>
              <w:left w:val="nil"/>
              <w:bottom w:val="single" w:sz="4" w:space="0" w:color="auto"/>
              <w:right w:val="single" w:sz="4" w:space="0" w:color="auto"/>
            </w:tcBorders>
            <w:noWrap/>
            <w:vAlign w:val="center"/>
            <w:hideMark/>
          </w:tcPr>
          <w:p w14:paraId="36A2DD6B"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3,7</w:t>
            </w:r>
          </w:p>
        </w:tc>
        <w:tc>
          <w:tcPr>
            <w:tcW w:w="2693" w:type="dxa"/>
            <w:tcBorders>
              <w:top w:val="nil"/>
              <w:left w:val="nil"/>
              <w:bottom w:val="single" w:sz="4" w:space="0" w:color="auto"/>
              <w:right w:val="single" w:sz="4" w:space="0" w:color="auto"/>
            </w:tcBorders>
            <w:vAlign w:val="center"/>
            <w:hideMark/>
          </w:tcPr>
          <w:p w14:paraId="211511DD"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16</w:t>
            </w:r>
          </w:p>
        </w:tc>
      </w:tr>
      <w:tr w:rsidR="00C32BDF" w:rsidRPr="00675182" w14:paraId="63F5C9A5" w14:textId="77777777" w:rsidTr="00C32BDF">
        <w:trPr>
          <w:trHeight w:val="255"/>
        </w:trPr>
        <w:tc>
          <w:tcPr>
            <w:tcW w:w="4531" w:type="dxa"/>
            <w:tcBorders>
              <w:top w:val="nil"/>
              <w:left w:val="single" w:sz="4" w:space="0" w:color="auto"/>
              <w:bottom w:val="single" w:sz="4" w:space="0" w:color="auto"/>
              <w:right w:val="single" w:sz="4" w:space="0" w:color="auto"/>
            </w:tcBorders>
            <w:noWrap/>
            <w:vAlign w:val="bottom"/>
            <w:hideMark/>
          </w:tcPr>
          <w:p w14:paraId="7E9E887D" w14:textId="77777777" w:rsidR="00C32BDF" w:rsidRPr="00675182" w:rsidRDefault="00C32BDF" w:rsidP="00423B43">
            <w:pPr>
              <w:keepNext/>
              <w:keepLines/>
              <w:rPr>
                <w:rFonts w:eastAsia="Times New Roman" w:cstheme="minorHAnsi"/>
                <w:szCs w:val="24"/>
              </w:rPr>
            </w:pPr>
            <w:r w:rsidRPr="00675182">
              <w:rPr>
                <w:rFonts w:eastAsia="Times New Roman" w:cstheme="minorHAnsi"/>
                <w:szCs w:val="24"/>
              </w:rPr>
              <w:t>6210 Sausi zālāji kaļķainās augsnēs</w:t>
            </w:r>
          </w:p>
        </w:tc>
        <w:tc>
          <w:tcPr>
            <w:tcW w:w="1276" w:type="dxa"/>
            <w:tcBorders>
              <w:top w:val="nil"/>
              <w:left w:val="nil"/>
              <w:bottom w:val="single" w:sz="4" w:space="0" w:color="auto"/>
              <w:right w:val="single" w:sz="4" w:space="0" w:color="auto"/>
            </w:tcBorders>
            <w:noWrap/>
            <w:vAlign w:val="center"/>
            <w:hideMark/>
          </w:tcPr>
          <w:p w14:paraId="22E73034"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11,0</w:t>
            </w:r>
          </w:p>
        </w:tc>
        <w:tc>
          <w:tcPr>
            <w:tcW w:w="2693" w:type="dxa"/>
            <w:tcBorders>
              <w:top w:val="nil"/>
              <w:left w:val="nil"/>
              <w:bottom w:val="single" w:sz="4" w:space="0" w:color="auto"/>
              <w:right w:val="single" w:sz="4" w:space="0" w:color="auto"/>
            </w:tcBorders>
            <w:vAlign w:val="center"/>
            <w:hideMark/>
          </w:tcPr>
          <w:p w14:paraId="1A30FA0F"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11</w:t>
            </w:r>
          </w:p>
        </w:tc>
      </w:tr>
      <w:tr w:rsidR="00C32BDF" w:rsidRPr="00675182" w14:paraId="0BEA6F83" w14:textId="77777777" w:rsidTr="00C32BDF">
        <w:trPr>
          <w:trHeight w:val="255"/>
        </w:trPr>
        <w:tc>
          <w:tcPr>
            <w:tcW w:w="4531" w:type="dxa"/>
            <w:tcBorders>
              <w:top w:val="nil"/>
              <w:left w:val="single" w:sz="4" w:space="0" w:color="auto"/>
              <w:bottom w:val="single" w:sz="4" w:space="0" w:color="auto"/>
              <w:right w:val="single" w:sz="4" w:space="0" w:color="auto"/>
            </w:tcBorders>
            <w:noWrap/>
            <w:vAlign w:val="bottom"/>
            <w:hideMark/>
          </w:tcPr>
          <w:p w14:paraId="6745A19F" w14:textId="77777777" w:rsidR="00C32BDF" w:rsidRPr="00675182" w:rsidRDefault="00C32BDF" w:rsidP="00423B43">
            <w:pPr>
              <w:keepNext/>
              <w:keepLines/>
              <w:rPr>
                <w:rFonts w:eastAsia="Times New Roman" w:cstheme="minorHAnsi"/>
                <w:szCs w:val="24"/>
              </w:rPr>
            </w:pPr>
            <w:r w:rsidRPr="00675182">
              <w:rPr>
                <w:rFonts w:eastAsia="Times New Roman" w:cstheme="minorHAnsi"/>
                <w:szCs w:val="24"/>
              </w:rPr>
              <w:t>6230* Vilkakūlas zālāji</w:t>
            </w:r>
          </w:p>
        </w:tc>
        <w:tc>
          <w:tcPr>
            <w:tcW w:w="1276" w:type="dxa"/>
            <w:tcBorders>
              <w:top w:val="nil"/>
              <w:left w:val="nil"/>
              <w:bottom w:val="single" w:sz="4" w:space="0" w:color="auto"/>
              <w:right w:val="single" w:sz="4" w:space="0" w:color="auto"/>
            </w:tcBorders>
            <w:noWrap/>
            <w:vAlign w:val="center"/>
            <w:hideMark/>
          </w:tcPr>
          <w:p w14:paraId="75563311"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0,4</w:t>
            </w:r>
          </w:p>
        </w:tc>
        <w:tc>
          <w:tcPr>
            <w:tcW w:w="2693" w:type="dxa"/>
            <w:tcBorders>
              <w:top w:val="nil"/>
              <w:left w:val="nil"/>
              <w:bottom w:val="single" w:sz="4" w:space="0" w:color="auto"/>
              <w:right w:val="single" w:sz="4" w:space="0" w:color="auto"/>
            </w:tcBorders>
            <w:vAlign w:val="center"/>
            <w:hideMark/>
          </w:tcPr>
          <w:p w14:paraId="06F1F902"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6</w:t>
            </w:r>
          </w:p>
        </w:tc>
      </w:tr>
      <w:tr w:rsidR="00C32BDF" w:rsidRPr="00675182" w14:paraId="58A5FA1C" w14:textId="77777777" w:rsidTr="00C32BDF">
        <w:trPr>
          <w:trHeight w:val="255"/>
        </w:trPr>
        <w:tc>
          <w:tcPr>
            <w:tcW w:w="4531" w:type="dxa"/>
            <w:tcBorders>
              <w:top w:val="nil"/>
              <w:left w:val="single" w:sz="4" w:space="0" w:color="auto"/>
              <w:bottom w:val="single" w:sz="4" w:space="0" w:color="auto"/>
              <w:right w:val="single" w:sz="4" w:space="0" w:color="auto"/>
            </w:tcBorders>
            <w:noWrap/>
            <w:vAlign w:val="bottom"/>
            <w:hideMark/>
          </w:tcPr>
          <w:p w14:paraId="3BC4A764" w14:textId="77777777" w:rsidR="00C32BDF" w:rsidRPr="00675182" w:rsidRDefault="00C32BDF" w:rsidP="00423B43">
            <w:pPr>
              <w:keepNext/>
              <w:keepLines/>
              <w:rPr>
                <w:rFonts w:eastAsia="Times New Roman" w:cstheme="minorHAnsi"/>
                <w:szCs w:val="24"/>
              </w:rPr>
            </w:pPr>
            <w:r w:rsidRPr="00675182">
              <w:rPr>
                <w:rFonts w:eastAsia="Times New Roman" w:cstheme="minorHAnsi"/>
                <w:szCs w:val="24"/>
              </w:rPr>
              <w:t>6270* Sugām bagātas ganības un ganītas pļavas</w:t>
            </w:r>
          </w:p>
        </w:tc>
        <w:tc>
          <w:tcPr>
            <w:tcW w:w="1276" w:type="dxa"/>
            <w:tcBorders>
              <w:top w:val="nil"/>
              <w:left w:val="nil"/>
              <w:bottom w:val="single" w:sz="4" w:space="0" w:color="auto"/>
              <w:right w:val="single" w:sz="4" w:space="0" w:color="auto"/>
            </w:tcBorders>
            <w:noWrap/>
            <w:vAlign w:val="center"/>
            <w:hideMark/>
          </w:tcPr>
          <w:p w14:paraId="02568704"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248,2</w:t>
            </w:r>
          </w:p>
        </w:tc>
        <w:tc>
          <w:tcPr>
            <w:tcW w:w="2693" w:type="dxa"/>
            <w:tcBorders>
              <w:top w:val="nil"/>
              <w:left w:val="nil"/>
              <w:bottom w:val="single" w:sz="4" w:space="0" w:color="auto"/>
              <w:right w:val="single" w:sz="4" w:space="0" w:color="auto"/>
            </w:tcBorders>
            <w:vAlign w:val="center"/>
            <w:hideMark/>
          </w:tcPr>
          <w:p w14:paraId="4C865634"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70</w:t>
            </w:r>
          </w:p>
        </w:tc>
      </w:tr>
      <w:tr w:rsidR="00C32BDF" w:rsidRPr="00675182" w14:paraId="03664FBF" w14:textId="77777777" w:rsidTr="00C32BDF">
        <w:trPr>
          <w:trHeight w:val="255"/>
        </w:trPr>
        <w:tc>
          <w:tcPr>
            <w:tcW w:w="4531" w:type="dxa"/>
            <w:tcBorders>
              <w:top w:val="nil"/>
              <w:left w:val="single" w:sz="4" w:space="0" w:color="auto"/>
              <w:bottom w:val="single" w:sz="4" w:space="0" w:color="auto"/>
              <w:right w:val="single" w:sz="4" w:space="0" w:color="auto"/>
            </w:tcBorders>
            <w:noWrap/>
            <w:vAlign w:val="bottom"/>
            <w:hideMark/>
          </w:tcPr>
          <w:p w14:paraId="7278E042" w14:textId="77777777" w:rsidR="00C32BDF" w:rsidRPr="00675182" w:rsidRDefault="00C32BDF" w:rsidP="00423B43">
            <w:pPr>
              <w:keepNext/>
              <w:keepLines/>
              <w:rPr>
                <w:rFonts w:eastAsia="Times New Roman" w:cstheme="minorHAnsi"/>
                <w:szCs w:val="24"/>
              </w:rPr>
            </w:pPr>
            <w:r w:rsidRPr="00675182">
              <w:rPr>
                <w:rFonts w:eastAsia="Times New Roman" w:cstheme="minorHAnsi"/>
                <w:szCs w:val="24"/>
              </w:rPr>
              <w:t>6410 Mitri zālāji periodiski izžūstošās augsnēs</w:t>
            </w:r>
          </w:p>
        </w:tc>
        <w:tc>
          <w:tcPr>
            <w:tcW w:w="1276" w:type="dxa"/>
            <w:tcBorders>
              <w:top w:val="nil"/>
              <w:left w:val="nil"/>
              <w:bottom w:val="single" w:sz="4" w:space="0" w:color="auto"/>
              <w:right w:val="single" w:sz="4" w:space="0" w:color="auto"/>
            </w:tcBorders>
            <w:noWrap/>
            <w:vAlign w:val="center"/>
            <w:hideMark/>
          </w:tcPr>
          <w:p w14:paraId="224026E2"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0,5</w:t>
            </w:r>
          </w:p>
        </w:tc>
        <w:tc>
          <w:tcPr>
            <w:tcW w:w="2693" w:type="dxa"/>
            <w:tcBorders>
              <w:top w:val="nil"/>
              <w:left w:val="nil"/>
              <w:bottom w:val="single" w:sz="4" w:space="0" w:color="auto"/>
              <w:right w:val="single" w:sz="4" w:space="0" w:color="auto"/>
            </w:tcBorders>
            <w:vAlign w:val="center"/>
            <w:hideMark/>
          </w:tcPr>
          <w:p w14:paraId="12207CF4"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2</w:t>
            </w:r>
          </w:p>
        </w:tc>
      </w:tr>
      <w:tr w:rsidR="00C32BDF" w:rsidRPr="00675182" w14:paraId="52B39458" w14:textId="77777777" w:rsidTr="00C32BDF">
        <w:trPr>
          <w:trHeight w:val="255"/>
        </w:trPr>
        <w:tc>
          <w:tcPr>
            <w:tcW w:w="4531" w:type="dxa"/>
            <w:tcBorders>
              <w:top w:val="nil"/>
              <w:left w:val="single" w:sz="4" w:space="0" w:color="auto"/>
              <w:bottom w:val="single" w:sz="4" w:space="0" w:color="auto"/>
              <w:right w:val="single" w:sz="4" w:space="0" w:color="auto"/>
            </w:tcBorders>
            <w:noWrap/>
            <w:vAlign w:val="bottom"/>
            <w:hideMark/>
          </w:tcPr>
          <w:p w14:paraId="070E0139" w14:textId="77777777" w:rsidR="00C32BDF" w:rsidRPr="00675182" w:rsidRDefault="00C32BDF" w:rsidP="00423B43">
            <w:pPr>
              <w:keepNext/>
              <w:keepLines/>
              <w:rPr>
                <w:rFonts w:eastAsia="Times New Roman" w:cstheme="minorHAnsi"/>
                <w:szCs w:val="24"/>
              </w:rPr>
            </w:pPr>
            <w:r w:rsidRPr="00675182">
              <w:rPr>
                <w:rFonts w:eastAsia="Times New Roman" w:cstheme="minorHAnsi"/>
                <w:szCs w:val="24"/>
              </w:rPr>
              <w:t>6450 Palieņu zālāji</w:t>
            </w:r>
          </w:p>
        </w:tc>
        <w:tc>
          <w:tcPr>
            <w:tcW w:w="1276" w:type="dxa"/>
            <w:tcBorders>
              <w:top w:val="nil"/>
              <w:left w:val="nil"/>
              <w:bottom w:val="single" w:sz="4" w:space="0" w:color="auto"/>
              <w:right w:val="single" w:sz="4" w:space="0" w:color="auto"/>
            </w:tcBorders>
            <w:noWrap/>
            <w:vAlign w:val="center"/>
            <w:hideMark/>
          </w:tcPr>
          <w:p w14:paraId="3F5188FA"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11,7</w:t>
            </w:r>
          </w:p>
        </w:tc>
        <w:tc>
          <w:tcPr>
            <w:tcW w:w="2693" w:type="dxa"/>
            <w:tcBorders>
              <w:top w:val="nil"/>
              <w:left w:val="nil"/>
              <w:bottom w:val="single" w:sz="4" w:space="0" w:color="auto"/>
              <w:right w:val="single" w:sz="4" w:space="0" w:color="auto"/>
            </w:tcBorders>
            <w:vAlign w:val="center"/>
            <w:hideMark/>
          </w:tcPr>
          <w:p w14:paraId="3600AB2C"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14</w:t>
            </w:r>
          </w:p>
        </w:tc>
      </w:tr>
      <w:tr w:rsidR="00C32BDF" w:rsidRPr="00675182" w14:paraId="6799FA4D" w14:textId="77777777" w:rsidTr="00C32BDF">
        <w:trPr>
          <w:trHeight w:val="255"/>
        </w:trPr>
        <w:tc>
          <w:tcPr>
            <w:tcW w:w="4531" w:type="dxa"/>
            <w:tcBorders>
              <w:top w:val="nil"/>
              <w:left w:val="single" w:sz="4" w:space="0" w:color="auto"/>
              <w:bottom w:val="single" w:sz="4" w:space="0" w:color="auto"/>
              <w:right w:val="single" w:sz="4" w:space="0" w:color="auto"/>
            </w:tcBorders>
            <w:noWrap/>
            <w:vAlign w:val="bottom"/>
            <w:hideMark/>
          </w:tcPr>
          <w:p w14:paraId="4E4EDA3F" w14:textId="77777777" w:rsidR="00C32BDF" w:rsidRPr="00675182" w:rsidRDefault="00C32BDF" w:rsidP="00423B43">
            <w:pPr>
              <w:keepNext/>
              <w:keepLines/>
              <w:rPr>
                <w:rFonts w:eastAsia="Times New Roman" w:cstheme="minorHAnsi"/>
                <w:szCs w:val="24"/>
              </w:rPr>
            </w:pPr>
            <w:r w:rsidRPr="00675182">
              <w:rPr>
                <w:rFonts w:eastAsia="Times New Roman" w:cstheme="minorHAnsi"/>
                <w:szCs w:val="24"/>
              </w:rPr>
              <w:t>6510 Mēreni mitras pļavas</w:t>
            </w:r>
          </w:p>
        </w:tc>
        <w:tc>
          <w:tcPr>
            <w:tcW w:w="1276" w:type="dxa"/>
            <w:tcBorders>
              <w:top w:val="nil"/>
              <w:left w:val="nil"/>
              <w:bottom w:val="single" w:sz="4" w:space="0" w:color="auto"/>
              <w:right w:val="single" w:sz="4" w:space="0" w:color="auto"/>
            </w:tcBorders>
            <w:noWrap/>
            <w:vAlign w:val="center"/>
            <w:hideMark/>
          </w:tcPr>
          <w:p w14:paraId="42177A67"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129,6</w:t>
            </w:r>
          </w:p>
        </w:tc>
        <w:tc>
          <w:tcPr>
            <w:tcW w:w="2693" w:type="dxa"/>
            <w:tcBorders>
              <w:top w:val="nil"/>
              <w:left w:val="nil"/>
              <w:bottom w:val="single" w:sz="4" w:space="0" w:color="auto"/>
              <w:right w:val="single" w:sz="4" w:space="0" w:color="auto"/>
            </w:tcBorders>
            <w:vAlign w:val="center"/>
            <w:hideMark/>
          </w:tcPr>
          <w:p w14:paraId="19BFA141" w14:textId="77777777" w:rsidR="00C32BDF" w:rsidRPr="00675182" w:rsidRDefault="00C32BDF" w:rsidP="00423B43">
            <w:pPr>
              <w:keepNext/>
              <w:keepLines/>
              <w:jc w:val="center"/>
              <w:rPr>
                <w:rFonts w:eastAsia="Times New Roman" w:cstheme="minorHAnsi"/>
                <w:szCs w:val="24"/>
              </w:rPr>
            </w:pPr>
            <w:r w:rsidRPr="00675182">
              <w:rPr>
                <w:rFonts w:eastAsia="Times New Roman" w:cstheme="minorHAnsi"/>
                <w:szCs w:val="24"/>
              </w:rPr>
              <w:t>137</w:t>
            </w:r>
          </w:p>
        </w:tc>
      </w:tr>
      <w:tr w:rsidR="00C32BDF" w:rsidRPr="00675182" w14:paraId="5294119F" w14:textId="77777777" w:rsidTr="00C32BDF">
        <w:trPr>
          <w:trHeight w:val="255"/>
        </w:trPr>
        <w:tc>
          <w:tcPr>
            <w:tcW w:w="4531" w:type="dxa"/>
            <w:tcBorders>
              <w:top w:val="single" w:sz="4" w:space="0" w:color="auto"/>
              <w:left w:val="single" w:sz="4" w:space="0" w:color="auto"/>
              <w:bottom w:val="single" w:sz="4" w:space="0" w:color="auto"/>
              <w:right w:val="single" w:sz="4" w:space="0" w:color="auto"/>
            </w:tcBorders>
            <w:noWrap/>
            <w:vAlign w:val="bottom"/>
            <w:hideMark/>
          </w:tcPr>
          <w:p w14:paraId="192444F3" w14:textId="1F9C8C74" w:rsidR="00C32BDF" w:rsidRPr="00675182" w:rsidRDefault="00C32BDF" w:rsidP="00423B43">
            <w:pPr>
              <w:keepNext/>
              <w:keepLines/>
              <w:rPr>
                <w:rFonts w:eastAsia="Times New Roman" w:cstheme="minorHAnsi"/>
                <w:b/>
                <w:bCs/>
                <w:szCs w:val="24"/>
              </w:rPr>
            </w:pPr>
            <w:r w:rsidRPr="00675182">
              <w:rPr>
                <w:rFonts w:eastAsia="Times New Roman" w:cstheme="minorHAnsi"/>
                <w:b/>
                <w:bCs/>
                <w:szCs w:val="24"/>
              </w:rPr>
              <w:t>Kopā</w:t>
            </w:r>
            <w:r w:rsidR="005D4908" w:rsidRPr="00675182">
              <w:rPr>
                <w:rFonts w:eastAsia="Times New Roman" w:cstheme="minorHAnsi"/>
                <w:b/>
                <w:bCs/>
                <w:szCs w:val="24"/>
              </w:rPr>
              <w:t xml:space="preserve">: </w:t>
            </w:r>
          </w:p>
        </w:tc>
        <w:tc>
          <w:tcPr>
            <w:tcW w:w="1276" w:type="dxa"/>
            <w:tcBorders>
              <w:top w:val="single" w:sz="4" w:space="0" w:color="auto"/>
              <w:left w:val="nil"/>
              <w:bottom w:val="single" w:sz="4" w:space="0" w:color="auto"/>
              <w:right w:val="single" w:sz="4" w:space="0" w:color="auto"/>
            </w:tcBorders>
            <w:noWrap/>
            <w:vAlign w:val="center"/>
            <w:hideMark/>
          </w:tcPr>
          <w:p w14:paraId="1F75E41D" w14:textId="77777777" w:rsidR="00C32BDF" w:rsidRPr="00675182" w:rsidRDefault="00C32BDF" w:rsidP="00423B43">
            <w:pPr>
              <w:keepNext/>
              <w:keepLines/>
              <w:jc w:val="center"/>
              <w:rPr>
                <w:rFonts w:eastAsia="Times New Roman" w:cstheme="minorHAnsi"/>
                <w:b/>
                <w:bCs/>
                <w:szCs w:val="24"/>
              </w:rPr>
            </w:pPr>
            <w:r w:rsidRPr="00675182">
              <w:rPr>
                <w:rFonts w:eastAsia="Times New Roman" w:cstheme="minorHAnsi"/>
                <w:b/>
                <w:bCs/>
                <w:szCs w:val="24"/>
              </w:rPr>
              <w:t>390,6</w:t>
            </w:r>
          </w:p>
        </w:tc>
        <w:tc>
          <w:tcPr>
            <w:tcW w:w="2693" w:type="dxa"/>
            <w:tcBorders>
              <w:top w:val="single" w:sz="4" w:space="0" w:color="auto"/>
              <w:left w:val="nil"/>
              <w:bottom w:val="single" w:sz="4" w:space="0" w:color="auto"/>
              <w:right w:val="single" w:sz="4" w:space="0" w:color="auto"/>
            </w:tcBorders>
            <w:vAlign w:val="center"/>
          </w:tcPr>
          <w:p w14:paraId="08BCEB1B" w14:textId="77777777" w:rsidR="00C32BDF" w:rsidRPr="00675182" w:rsidRDefault="00C32BDF" w:rsidP="00423B43">
            <w:pPr>
              <w:keepNext/>
              <w:keepLines/>
              <w:jc w:val="center"/>
              <w:rPr>
                <w:rFonts w:eastAsia="Times New Roman" w:cstheme="minorHAnsi"/>
                <w:szCs w:val="24"/>
              </w:rPr>
            </w:pPr>
          </w:p>
        </w:tc>
      </w:tr>
    </w:tbl>
    <w:p w14:paraId="3B186791" w14:textId="191CD423" w:rsidR="00C32BDF" w:rsidRPr="00675182" w:rsidRDefault="00C32BDF" w:rsidP="00B77DDE">
      <w:pPr>
        <w:pStyle w:val="Footer"/>
        <w:keepNext/>
        <w:keepLines/>
        <w:suppressAutoHyphens w:val="0"/>
        <w:jc w:val="both"/>
        <w:rPr>
          <w:rFonts w:cstheme="minorHAnsi"/>
          <w:b/>
          <w:bCs/>
          <w:szCs w:val="24"/>
          <w:lang w:val="lv-LV"/>
        </w:rPr>
      </w:pPr>
    </w:p>
    <w:p w14:paraId="0203064E" w14:textId="23E8AF7C" w:rsidR="003D070B" w:rsidRPr="00675182" w:rsidRDefault="003D070B" w:rsidP="00B77DDE">
      <w:pPr>
        <w:pStyle w:val="Footer"/>
        <w:keepNext/>
        <w:keepLines/>
        <w:suppressAutoHyphens w:val="0"/>
        <w:jc w:val="both"/>
        <w:rPr>
          <w:rFonts w:cstheme="minorHAnsi"/>
          <w:b/>
          <w:bCs/>
          <w:szCs w:val="24"/>
          <w:lang w:val="lv-LV"/>
        </w:rPr>
      </w:pPr>
      <w:r w:rsidRPr="00675182">
        <w:rPr>
          <w:rFonts w:cstheme="minorHAnsi"/>
          <w:b/>
          <w:bCs/>
          <w:szCs w:val="24"/>
          <w:lang w:val="lv-LV"/>
        </w:rPr>
        <w:t>B.3.12. Atklātu zālāju platību veidošana īpašumā “Ziedlejas Gaujmaļi”, zālāju biotopu platības palielināšana, noganīšana</w:t>
      </w:r>
    </w:p>
    <w:p w14:paraId="508AC8CC" w14:textId="766170A6" w:rsidR="003D070B" w:rsidRPr="00675182" w:rsidRDefault="003D070B" w:rsidP="00B77DDE">
      <w:pPr>
        <w:suppressAutoHyphens w:val="0"/>
        <w:jc w:val="both"/>
        <w:rPr>
          <w:rFonts w:cstheme="minorHAnsi"/>
          <w:szCs w:val="24"/>
        </w:rPr>
      </w:pPr>
      <w:r w:rsidRPr="00675182">
        <w:rPr>
          <w:rFonts w:cstheme="minorHAnsi"/>
          <w:szCs w:val="24"/>
        </w:rPr>
        <w:t xml:space="preserve">Izvērtēts un atbalstīts zemes īpašnieka priekšlikums paplašināt zālāju platības un veicināt aizsargājamo biotopu veidošanu (t.sk. 9070 Meža ganības, 6530* Parkveida pļavas un ganības) īpašumā “Ziedlejas Gaujmaļi”, nākotnē paredzot arī iespēju ganību platības un parkveida biotopus veidot pieguļošajās valsts īpašumā esošajās zemēs, kas vēsturiski bijušas atklāta teritorija. Konkrēti apsaimniekošanas pasākumi veicami saskaņā ar sugu un biotopu aizsardzības jomā sertificētu ekspertu sagatavotu </w:t>
      </w:r>
      <w:r w:rsidR="00D10AE9">
        <w:rPr>
          <w:rFonts w:cstheme="minorHAnsi"/>
          <w:szCs w:val="24"/>
        </w:rPr>
        <w:t xml:space="preserve">zālāju atjaunošanas </w:t>
      </w:r>
      <w:r w:rsidRPr="00675182">
        <w:rPr>
          <w:rFonts w:cstheme="minorHAnsi"/>
          <w:szCs w:val="24"/>
        </w:rPr>
        <w:t>pasākumu plānu.</w:t>
      </w:r>
    </w:p>
    <w:p w14:paraId="21C31F59" w14:textId="77777777" w:rsidR="003D070B" w:rsidRPr="00675182" w:rsidRDefault="003D070B" w:rsidP="00423B43">
      <w:pPr>
        <w:keepNext/>
        <w:keepLines/>
        <w:rPr>
          <w:rFonts w:cstheme="minorHAnsi"/>
          <w:sz w:val="22"/>
          <w:szCs w:val="22"/>
        </w:rPr>
      </w:pPr>
    </w:p>
    <w:p w14:paraId="72270B8E" w14:textId="2D291582" w:rsidR="006F682B" w:rsidRPr="00675182" w:rsidRDefault="006F682B" w:rsidP="005D4908">
      <w:pPr>
        <w:pStyle w:val="Footer"/>
        <w:keepNext/>
        <w:keepLines/>
        <w:suppressAutoHyphens w:val="0"/>
        <w:rPr>
          <w:rFonts w:cstheme="minorHAnsi"/>
          <w:szCs w:val="24"/>
          <w:u w:val="single"/>
          <w:lang w:val="lv-LV"/>
        </w:rPr>
      </w:pPr>
      <w:r w:rsidRPr="00675182">
        <w:rPr>
          <w:rFonts w:cstheme="minorHAnsi"/>
          <w:szCs w:val="24"/>
          <w:u w:val="single"/>
          <w:lang w:val="lv-LV"/>
        </w:rPr>
        <w:t>B.4. Purvu biotopu aizsardzība un apsaimniekošana</w:t>
      </w:r>
    </w:p>
    <w:p w14:paraId="0A447449" w14:textId="49F99B80" w:rsidR="00D8123A" w:rsidRPr="00675182" w:rsidRDefault="00185391" w:rsidP="00BF7348">
      <w:pPr>
        <w:pStyle w:val="Footer"/>
        <w:keepNext/>
        <w:keepLines/>
        <w:suppressAutoHyphens w:val="0"/>
        <w:jc w:val="both"/>
        <w:rPr>
          <w:rFonts w:cstheme="minorHAnsi"/>
          <w:szCs w:val="24"/>
          <w:lang w:val="lv-LV"/>
        </w:rPr>
      </w:pPr>
      <w:r w:rsidRPr="00675182">
        <w:rPr>
          <w:rFonts w:cstheme="minorHAnsi"/>
          <w:b/>
          <w:bCs/>
          <w:szCs w:val="24"/>
          <w:lang w:val="lv-LV"/>
        </w:rPr>
        <w:t xml:space="preserve">B.4.1. Degradētu augsto purvu (biotopa veids </w:t>
      </w:r>
      <w:r w:rsidR="00715AED" w:rsidRPr="00675182">
        <w:rPr>
          <w:rFonts w:cstheme="minorHAnsi"/>
          <w:b/>
          <w:bCs/>
          <w:szCs w:val="24"/>
          <w:lang w:val="lv-LV"/>
        </w:rPr>
        <w:t xml:space="preserve">7120 </w:t>
      </w:r>
      <w:r w:rsidRPr="00017208">
        <w:rPr>
          <w:rFonts w:cstheme="minorHAnsi"/>
          <w:b/>
          <w:bCs/>
          <w:szCs w:val="24"/>
          <w:lang w:val="lv-LV"/>
        </w:rPr>
        <w:t>Degradēti augstie purvi, kuros iespējama vai noris dabiskā atjaunošanās</w:t>
      </w:r>
      <w:r w:rsidRPr="00924A47">
        <w:rPr>
          <w:rFonts w:cstheme="minorHAnsi"/>
          <w:b/>
          <w:bCs/>
          <w:szCs w:val="24"/>
          <w:lang w:val="lv-LV"/>
        </w:rPr>
        <w:t xml:space="preserve">) un nosusināšanas ietekmētu augsto purvu (biotopa veids </w:t>
      </w:r>
      <w:r w:rsidR="00715AED" w:rsidRPr="00924A47">
        <w:rPr>
          <w:rFonts w:cstheme="minorHAnsi"/>
          <w:b/>
          <w:bCs/>
          <w:szCs w:val="24"/>
          <w:lang w:val="lv-LV"/>
        </w:rPr>
        <w:t>7110*</w:t>
      </w:r>
      <w:r w:rsidRPr="00017208">
        <w:rPr>
          <w:rFonts w:cstheme="minorHAnsi"/>
          <w:b/>
          <w:bCs/>
          <w:szCs w:val="24"/>
          <w:lang w:val="lv-LV"/>
        </w:rPr>
        <w:t>Aktīvi augstie purvi</w:t>
      </w:r>
      <w:r w:rsidRPr="00675182">
        <w:rPr>
          <w:rFonts w:cstheme="minorHAnsi"/>
          <w:b/>
          <w:bCs/>
          <w:szCs w:val="24"/>
          <w:lang w:val="lv-LV"/>
        </w:rPr>
        <w:t>) hidroloģiskā režīma atjaunošana)</w:t>
      </w:r>
    </w:p>
    <w:p w14:paraId="0F0CDD9F" w14:textId="07CF4CDA" w:rsidR="009E50C1" w:rsidRPr="00675182" w:rsidRDefault="00185391" w:rsidP="009E50C1">
      <w:pPr>
        <w:suppressAutoHyphens w:val="0"/>
        <w:jc w:val="both"/>
        <w:rPr>
          <w:rFonts w:cstheme="minorHAnsi"/>
          <w:szCs w:val="24"/>
        </w:rPr>
      </w:pPr>
      <w:r w:rsidRPr="00675182">
        <w:rPr>
          <w:rFonts w:cstheme="minorHAnsi"/>
          <w:szCs w:val="24"/>
        </w:rPr>
        <w:t xml:space="preserve">Pasākumi ir nepieciešami, lai novērstu susināšanas negatīvo ietekmi uz purvu biotopiem, kā arī, lai nodrošinātu labvēlīgus apstākļus </w:t>
      </w:r>
      <w:r w:rsidR="00924A47">
        <w:rPr>
          <w:rFonts w:cstheme="minorHAnsi"/>
          <w:szCs w:val="24"/>
        </w:rPr>
        <w:t>ĪA</w:t>
      </w:r>
      <w:r w:rsidRPr="00675182">
        <w:rPr>
          <w:rFonts w:cstheme="minorHAnsi"/>
          <w:szCs w:val="24"/>
        </w:rPr>
        <w:t xml:space="preserve"> sugu dzīvotnēm purvu biotopos. </w:t>
      </w:r>
      <w:r w:rsidR="00D8123A" w:rsidRPr="00675182">
        <w:rPr>
          <w:rFonts w:cstheme="minorHAnsi"/>
          <w:szCs w:val="24"/>
        </w:rPr>
        <w:t xml:space="preserve">Purvu, kuros potenciāli būtu plānojami hidroloģiskā režīma atjaunošanas pasākumi, izvērtējums, kā arī paredzamo pasākumu veikšanas vietas un vērā ņemamie nosacījumi, apkopoti </w:t>
      </w:r>
      <w:r w:rsidR="009E50C1" w:rsidRPr="00675182">
        <w:rPr>
          <w:rFonts w:cstheme="minorHAnsi"/>
          <w:szCs w:val="24"/>
        </w:rPr>
        <w:t>15. pielikumā. DA plāna izstrādes laikā tika apsekotas 10 teritorijas</w:t>
      </w:r>
      <w:r w:rsidR="00EF112A" w:rsidRPr="00675182">
        <w:rPr>
          <w:rFonts w:cstheme="minorHAnsi"/>
          <w:szCs w:val="24"/>
        </w:rPr>
        <w:t xml:space="preserve">, </w:t>
      </w:r>
      <w:r w:rsidR="009E50C1" w:rsidRPr="00675182">
        <w:rPr>
          <w:rFonts w:cstheme="minorHAnsi"/>
          <w:szCs w:val="24"/>
        </w:rPr>
        <w:t xml:space="preserve">kur iespējams uzlabot purvu teritorijas hidroloģiskos apstākļus uzlabošana vai atjaunot hidroloģisko režīmu – Apiņu purvs, Baukalnu purvs, Bērzkalnu purvs, Blaņķu-Kurmju purvs, Brīnumpurvs, Marijas kalna purvs, purvaino mežu masīvs Kocēnu pagastā starp viensētām “Medņi” un “Pūces”, Struņķu purvs, Tavaiņu purvs un Tūtes purvs. </w:t>
      </w:r>
    </w:p>
    <w:p w14:paraId="007C52B6" w14:textId="77777777" w:rsidR="00DC4946" w:rsidRPr="00675182" w:rsidRDefault="00DC4946" w:rsidP="009E50C1">
      <w:pPr>
        <w:suppressAutoHyphens w:val="0"/>
        <w:jc w:val="both"/>
        <w:rPr>
          <w:rFonts w:eastAsia="Times New Roman" w:cstheme="minorHAnsi"/>
          <w:szCs w:val="24"/>
          <w:lang w:eastAsia="lv-LV"/>
        </w:rPr>
      </w:pPr>
    </w:p>
    <w:p w14:paraId="38942C82" w14:textId="77777777" w:rsidR="009E50C1" w:rsidRPr="00675182" w:rsidRDefault="009E50C1" w:rsidP="009E50C1">
      <w:pPr>
        <w:pStyle w:val="Footer"/>
        <w:suppressAutoHyphens w:val="0"/>
        <w:jc w:val="both"/>
        <w:rPr>
          <w:rFonts w:cstheme="minorHAnsi"/>
          <w:szCs w:val="24"/>
          <w:lang w:val="lv-LV"/>
        </w:rPr>
      </w:pPr>
      <w:r w:rsidRPr="00675182">
        <w:rPr>
          <w:rFonts w:cstheme="minorHAnsi"/>
          <w:szCs w:val="24"/>
          <w:lang w:val="lv-LV"/>
        </w:rPr>
        <w:t xml:space="preserve">Lai veicinātu un paātrinātu purva veģetācijas un funkciju atjaunošanos, ir nepieciešams veikt dambju ierīkošanu uz grāvjiem, vai teritorijās, kur tas iespējams, pilnībā aizbērt kontūrgrāvjus un/vai susinošos grāvjus. </w:t>
      </w:r>
    </w:p>
    <w:p w14:paraId="277C46E1" w14:textId="77777777" w:rsidR="009E50C1" w:rsidRPr="00675182" w:rsidRDefault="009E50C1" w:rsidP="009E50C1">
      <w:pPr>
        <w:pStyle w:val="Footer"/>
        <w:suppressAutoHyphens w:val="0"/>
        <w:jc w:val="both"/>
        <w:rPr>
          <w:rFonts w:cstheme="minorHAnsi"/>
          <w:szCs w:val="24"/>
          <w:lang w:val="lv-LV"/>
        </w:rPr>
      </w:pPr>
    </w:p>
    <w:p w14:paraId="65B7DC6F" w14:textId="36C40862" w:rsidR="009E50C1" w:rsidRPr="00675182" w:rsidRDefault="009E50C1" w:rsidP="009E50C1">
      <w:pPr>
        <w:pStyle w:val="Footer"/>
        <w:suppressAutoHyphens w:val="0"/>
        <w:jc w:val="both"/>
        <w:rPr>
          <w:rFonts w:cstheme="minorHAnsi"/>
          <w:szCs w:val="24"/>
          <w:lang w:val="lv-LV"/>
        </w:rPr>
      </w:pPr>
      <w:r w:rsidRPr="00675182">
        <w:rPr>
          <w:rFonts w:cstheme="minorHAnsi"/>
          <w:szCs w:val="24"/>
          <w:lang w:val="lv-LV"/>
        </w:rPr>
        <w:lastRenderedPageBreak/>
        <w:t xml:space="preserve">Purvos un tiem piegulošajās teritorijās ir nepieciešams veikt hidroloģiskā režīma atjaunošanas pasākumus, pirms tam veicot detalizētu meliorācijas sistēmu izvērtēšanu un atjaunošanas pasākumu ietekmes modelēšanu (pasākums F.6.). Izvērtējot teritorijas dabas vērtības – </w:t>
      </w:r>
      <w:r w:rsidR="008060C1">
        <w:rPr>
          <w:rFonts w:cstheme="minorHAnsi"/>
          <w:szCs w:val="24"/>
          <w:lang w:val="lv-LV"/>
        </w:rPr>
        <w:t>ĪA</w:t>
      </w:r>
      <w:r w:rsidRPr="00675182">
        <w:rPr>
          <w:rFonts w:cstheme="minorHAnsi"/>
          <w:szCs w:val="24"/>
          <w:lang w:val="lv-LV"/>
        </w:rPr>
        <w:t xml:space="preserve"> sugu atradņu koncentrācijas vietas un aizsargājamo biotopu stāvokli, par prioritāti izpētei un hidroloģiskā režīma atjaunošanas plānošanai uzskatāmas 4 purvu kompleksu teritorijas - Apiņu purvs, ar hidroloģiskā režīma atjaunošanas apgabala platību </w:t>
      </w:r>
      <w:r w:rsidR="004E2CA4" w:rsidRPr="00675182">
        <w:rPr>
          <w:rFonts w:cstheme="minorHAnsi"/>
          <w:szCs w:val="24"/>
          <w:lang w:val="lv-LV"/>
        </w:rPr>
        <w:t>~145</w:t>
      </w:r>
      <w:r w:rsidRPr="00675182">
        <w:rPr>
          <w:rFonts w:cstheme="minorHAnsi"/>
          <w:szCs w:val="24"/>
          <w:lang w:val="lv-LV"/>
        </w:rPr>
        <w:t xml:space="preserve"> ha, Baukalnu purvs, ar hidroloģiskā režīma atjaunošanas apgabala platību </w:t>
      </w:r>
      <w:r w:rsidR="004E2CA4" w:rsidRPr="00675182">
        <w:rPr>
          <w:rFonts w:cstheme="minorHAnsi"/>
          <w:szCs w:val="24"/>
          <w:lang w:val="lv-LV"/>
        </w:rPr>
        <w:t>~91</w:t>
      </w:r>
      <w:r w:rsidRPr="00675182">
        <w:rPr>
          <w:rFonts w:cstheme="minorHAnsi"/>
          <w:szCs w:val="24"/>
          <w:lang w:val="lv-LV"/>
        </w:rPr>
        <w:t xml:space="preserve"> ha, Struņķu (Sausais) purvs,</w:t>
      </w:r>
      <w:r w:rsidRPr="00675182">
        <w:rPr>
          <w:rFonts w:cstheme="minorHAnsi"/>
          <w:lang w:val="lv-LV"/>
        </w:rPr>
        <w:t xml:space="preserve"> </w:t>
      </w:r>
      <w:r w:rsidRPr="00675182">
        <w:rPr>
          <w:rFonts w:cstheme="minorHAnsi"/>
          <w:szCs w:val="24"/>
          <w:lang w:val="lv-LV"/>
        </w:rPr>
        <w:t xml:space="preserve">ar hidroloģiskā režīma atjaunošanas apgabala platību </w:t>
      </w:r>
      <w:r w:rsidR="004E2CA4" w:rsidRPr="00675182">
        <w:rPr>
          <w:rFonts w:cstheme="minorHAnsi"/>
          <w:szCs w:val="24"/>
          <w:lang w:val="lv-LV"/>
        </w:rPr>
        <w:t>~48</w:t>
      </w:r>
      <w:r w:rsidRPr="00675182">
        <w:rPr>
          <w:rFonts w:cstheme="minorHAnsi"/>
          <w:szCs w:val="24"/>
          <w:lang w:val="lv-LV"/>
        </w:rPr>
        <w:t xml:space="preserve"> ha  un Tavaiņu purvs, ar hidroloģiskā režīma atjaunošanas apgabala platību </w:t>
      </w:r>
      <w:r w:rsidR="004E2CA4" w:rsidRPr="00675182">
        <w:rPr>
          <w:rFonts w:cstheme="minorHAnsi"/>
          <w:szCs w:val="24"/>
          <w:lang w:val="lv-LV"/>
        </w:rPr>
        <w:t>~122</w:t>
      </w:r>
      <w:r w:rsidRPr="00675182">
        <w:rPr>
          <w:rFonts w:cstheme="minorHAnsi"/>
          <w:szCs w:val="24"/>
          <w:lang w:val="lv-LV"/>
        </w:rPr>
        <w:t xml:space="preserve"> ha.</w:t>
      </w:r>
    </w:p>
    <w:p w14:paraId="70D7BD0C" w14:textId="77777777" w:rsidR="00185391" w:rsidRPr="00675182" w:rsidRDefault="00185391" w:rsidP="00185391">
      <w:pPr>
        <w:pStyle w:val="Footer"/>
        <w:suppressAutoHyphens w:val="0"/>
        <w:jc w:val="both"/>
        <w:rPr>
          <w:rFonts w:cstheme="minorHAnsi"/>
          <w:szCs w:val="24"/>
          <w:lang w:val="lv-LV"/>
        </w:rPr>
      </w:pPr>
    </w:p>
    <w:p w14:paraId="1F7C5C8A" w14:textId="77777777" w:rsidR="00185391" w:rsidRPr="00675182" w:rsidRDefault="00185391" w:rsidP="00185391">
      <w:pPr>
        <w:pStyle w:val="Footer"/>
        <w:suppressAutoHyphens w:val="0"/>
        <w:jc w:val="both"/>
        <w:rPr>
          <w:rFonts w:cstheme="minorHAnsi"/>
          <w:szCs w:val="24"/>
          <w:lang w:val="lv-LV"/>
        </w:rPr>
      </w:pPr>
      <w:r w:rsidRPr="00675182">
        <w:rPr>
          <w:rFonts w:cstheme="minorHAnsi"/>
          <w:szCs w:val="24"/>
          <w:lang w:val="lv-LV"/>
        </w:rPr>
        <w:t>Plānojot hidroloģiskā režīma atjaunošanas pasākumus, bez meliorācijas grāvju ietekmes novēršanas pasākumiem, ir paredzami arī koku apauguma retināšanas vai novākšanas pasākumi teritorijās, kur susināšanas ietekmē notikusi aizaugšana ar priedi. Koku seguma samazināšanas uzdevums ir samazināt nokrišņu aizturēšanu koku vainagos un iztvaikošanu caur koku vainagiem.</w:t>
      </w:r>
    </w:p>
    <w:p w14:paraId="00F6D242" w14:textId="77777777" w:rsidR="00185391" w:rsidRPr="00675182" w:rsidRDefault="00185391" w:rsidP="00185391">
      <w:pPr>
        <w:pStyle w:val="Footer"/>
        <w:suppressAutoHyphens w:val="0"/>
        <w:jc w:val="both"/>
        <w:rPr>
          <w:rFonts w:cstheme="minorHAnsi"/>
          <w:szCs w:val="24"/>
          <w:lang w:val="lv-LV"/>
        </w:rPr>
      </w:pPr>
    </w:p>
    <w:p w14:paraId="17ECE354" w14:textId="77777777" w:rsidR="00185391" w:rsidRPr="00675182" w:rsidRDefault="00185391" w:rsidP="00185391">
      <w:pPr>
        <w:pStyle w:val="Footer"/>
        <w:suppressAutoHyphens w:val="0"/>
        <w:jc w:val="both"/>
        <w:rPr>
          <w:rFonts w:cstheme="minorHAnsi"/>
          <w:szCs w:val="24"/>
          <w:lang w:val="lv-LV"/>
        </w:rPr>
      </w:pPr>
      <w:r w:rsidRPr="00675182">
        <w:rPr>
          <w:rFonts w:cstheme="minorHAnsi"/>
          <w:szCs w:val="24"/>
          <w:lang w:val="lv-LV"/>
        </w:rPr>
        <w:t>Lai nepieļautu grunts rakšanas darbu laikā radītā saduļķojuma nokļūšanu upēs, kas varētu pasliktināt ūdens kvalitāti, hidroloģiskā režīma atjaunošanas pasākumu ietvaros ir nepieciešams paredzēt suspendēto daļiņu uztveršanas pasākumus meliorācijas sistēmām, kas ietek upēs.</w:t>
      </w:r>
    </w:p>
    <w:p w14:paraId="75D9CD94" w14:textId="77777777" w:rsidR="00185391" w:rsidRPr="00675182" w:rsidRDefault="00185391" w:rsidP="00185391">
      <w:pPr>
        <w:pStyle w:val="Footer"/>
        <w:suppressAutoHyphens w:val="0"/>
        <w:jc w:val="both"/>
        <w:rPr>
          <w:rFonts w:cstheme="minorHAnsi"/>
          <w:szCs w:val="24"/>
          <w:lang w:val="lv-LV"/>
        </w:rPr>
      </w:pPr>
    </w:p>
    <w:p w14:paraId="373D06CA" w14:textId="45D473C3" w:rsidR="006F682B" w:rsidRPr="00675182" w:rsidRDefault="00185391" w:rsidP="00EF112A">
      <w:pPr>
        <w:pStyle w:val="Footer"/>
        <w:suppressAutoHyphens w:val="0"/>
        <w:jc w:val="both"/>
        <w:rPr>
          <w:rFonts w:cstheme="minorHAnsi"/>
          <w:szCs w:val="24"/>
          <w:lang w:val="lv-LV"/>
        </w:rPr>
      </w:pPr>
      <w:r w:rsidRPr="00675182">
        <w:rPr>
          <w:rFonts w:cstheme="minorHAnsi"/>
          <w:szCs w:val="24"/>
          <w:lang w:val="lv-LV"/>
        </w:rPr>
        <w:t>Pirms hidroloģiskā režīma atjaunošanas pasākumu īstenošanas, purvu teritorijām, kur šie pasākumi tiek paredzēti, nepieciešams sagatavot detalizētus hidroloģiskā režīma atjaunošanas plānus. Šajos plānos, balstoties uz susināšanas ietekmēto platību hidroloģiskās izpētes rezultātiem, paredzams hidroloģiskā režīma atjaunošanas pasākumu kopums, to īstenošanas nosacījumi, kā arī monitorings pasākumu ietekmes novērtējumam. Monitorings jāuzsāk vismaz 2-3 gadus pirms hidroloģiskā režīma atjaunošanas pasākumu īstenošanas.</w:t>
      </w:r>
    </w:p>
    <w:p w14:paraId="0269D75C" w14:textId="31779DE5" w:rsidR="00DF4A44" w:rsidRPr="00675182" w:rsidRDefault="00DF4A44" w:rsidP="00EF112A">
      <w:pPr>
        <w:pStyle w:val="Footer"/>
        <w:suppressAutoHyphens w:val="0"/>
        <w:jc w:val="both"/>
        <w:rPr>
          <w:rFonts w:cstheme="minorHAnsi"/>
          <w:szCs w:val="24"/>
          <w:lang w:val="lv-LV"/>
        </w:rPr>
      </w:pPr>
    </w:p>
    <w:p w14:paraId="5290BBB8" w14:textId="5D107C22" w:rsidR="00DF4A44" w:rsidRPr="00675182" w:rsidRDefault="00DF4A44" w:rsidP="00EF112A">
      <w:pPr>
        <w:jc w:val="both"/>
        <w:rPr>
          <w:rFonts w:cstheme="minorHAnsi"/>
          <w:szCs w:val="24"/>
        </w:rPr>
      </w:pPr>
      <w:r w:rsidRPr="00675182">
        <w:rPr>
          <w:rFonts w:cstheme="minorHAnsi"/>
          <w:szCs w:val="24"/>
        </w:rPr>
        <w:t xml:space="preserve">Vadoties no purvu virsmas morfoloģijas, hidroloģiskā režīma atjaunošanas iespējām, </w:t>
      </w:r>
      <w:r w:rsidR="000722D4" w:rsidRPr="00675182">
        <w:rPr>
          <w:rFonts w:cstheme="minorHAnsi"/>
          <w:szCs w:val="24"/>
        </w:rPr>
        <w:t xml:space="preserve">DA plāna izstrādes ietvaros izvērtētās </w:t>
      </w:r>
      <w:r w:rsidRPr="00675182">
        <w:rPr>
          <w:rFonts w:cstheme="minorHAnsi"/>
          <w:szCs w:val="24"/>
        </w:rPr>
        <w:t>teritorijas ir iedalāmas četrās grupās:</w:t>
      </w:r>
    </w:p>
    <w:p w14:paraId="0B5C96E4" w14:textId="24536809" w:rsidR="00DF4A44" w:rsidRPr="00675182" w:rsidRDefault="00DF4A44" w:rsidP="00A84218">
      <w:pPr>
        <w:pStyle w:val="ListParagraph"/>
        <w:numPr>
          <w:ilvl w:val="0"/>
          <w:numId w:val="41"/>
        </w:numPr>
        <w:jc w:val="both"/>
        <w:rPr>
          <w:rFonts w:eastAsiaTheme="minorHAnsi" w:cstheme="minorHAnsi"/>
          <w:szCs w:val="24"/>
          <w:lang w:eastAsia="en-US"/>
        </w:rPr>
      </w:pPr>
      <w:r w:rsidRPr="00675182">
        <w:rPr>
          <w:rFonts w:eastAsiaTheme="minorHAnsi" w:cstheme="minorHAnsi"/>
          <w:szCs w:val="24"/>
          <w:lang w:eastAsia="en-US"/>
        </w:rPr>
        <w:t xml:space="preserve">purvi, kurus relatīvi maz skārusi meliorācija/kūdras ieguve; kuros pēc ilgstošas susināšanas ir dabiski sācies hidroloģiskā režīma atjaunošanās process; purvos joprojām ir saglabājušās augstajiem purviem tipiskās audzes ar zemām priedēm un ar raksturīgiem koku vainagiem, vai arī atklātas platības. Hidroloģiskā režīma atjaunošanas pasākumu ieviešanai salīdzinoši mazākais darbu apjoms; pēc hidroloģiskā režīma atjaunošanas teritorijas platības vairāku dekāžu laika posmā pārveidojas par </w:t>
      </w:r>
      <w:r w:rsidR="000722D4" w:rsidRPr="00675182">
        <w:rPr>
          <w:rFonts w:eastAsiaTheme="minorHAnsi" w:cstheme="minorHAnsi"/>
          <w:szCs w:val="24"/>
          <w:lang w:eastAsia="en-US"/>
        </w:rPr>
        <w:t xml:space="preserve">biotopa veidu </w:t>
      </w:r>
      <w:r w:rsidRPr="00675182">
        <w:rPr>
          <w:rFonts w:eastAsiaTheme="minorHAnsi" w:cstheme="minorHAnsi"/>
          <w:szCs w:val="24"/>
          <w:lang w:eastAsia="en-US"/>
        </w:rPr>
        <w:t xml:space="preserve">7110* </w:t>
      </w:r>
      <w:r w:rsidR="004F4EC3" w:rsidRPr="00675182">
        <w:rPr>
          <w:rFonts w:eastAsiaTheme="minorHAnsi" w:cstheme="minorHAnsi"/>
          <w:szCs w:val="24"/>
          <w:lang w:eastAsia="en-US"/>
        </w:rPr>
        <w:t>Aktīvi augstie purvi</w:t>
      </w:r>
      <w:r w:rsidRPr="00675182">
        <w:rPr>
          <w:rFonts w:eastAsiaTheme="minorHAnsi" w:cstheme="minorHAnsi"/>
          <w:szCs w:val="24"/>
          <w:lang w:eastAsia="en-US"/>
        </w:rPr>
        <w:t xml:space="preserve">. </w:t>
      </w:r>
    </w:p>
    <w:p w14:paraId="11466E33" w14:textId="503739D6" w:rsidR="00DF4A44" w:rsidRPr="00675182" w:rsidRDefault="00DF4A44" w:rsidP="00EF112A">
      <w:pPr>
        <w:pStyle w:val="ListParagraph"/>
        <w:jc w:val="both"/>
        <w:rPr>
          <w:rFonts w:cstheme="minorHAnsi"/>
          <w:szCs w:val="24"/>
        </w:rPr>
      </w:pPr>
      <w:r w:rsidRPr="00675182">
        <w:rPr>
          <w:rFonts w:cstheme="minorHAnsi"/>
          <w:szCs w:val="24"/>
        </w:rPr>
        <w:t>Šajā grupā ietilpst</w:t>
      </w:r>
      <w:r w:rsidRPr="00675182">
        <w:rPr>
          <w:rFonts w:cstheme="minorHAnsi"/>
          <w:b/>
          <w:bCs/>
          <w:szCs w:val="24"/>
        </w:rPr>
        <w:t xml:space="preserve"> Apiņu purvs</w:t>
      </w:r>
      <w:r w:rsidRPr="00675182">
        <w:rPr>
          <w:rFonts w:cstheme="minorHAnsi"/>
          <w:szCs w:val="24"/>
        </w:rPr>
        <w:t xml:space="preserve">, </w:t>
      </w:r>
      <w:r w:rsidRPr="00675182">
        <w:rPr>
          <w:rFonts w:cstheme="minorHAnsi"/>
          <w:b/>
          <w:bCs/>
          <w:szCs w:val="24"/>
        </w:rPr>
        <w:t>Baukalnu purvs</w:t>
      </w:r>
      <w:r w:rsidRPr="00675182">
        <w:rPr>
          <w:rFonts w:cstheme="minorHAnsi"/>
          <w:szCs w:val="24"/>
        </w:rPr>
        <w:t xml:space="preserve">, </w:t>
      </w:r>
      <w:r w:rsidRPr="00675182">
        <w:rPr>
          <w:rFonts w:cstheme="minorHAnsi"/>
          <w:b/>
          <w:bCs/>
          <w:szCs w:val="24"/>
        </w:rPr>
        <w:t>Struņķu (Sausais) purvs</w:t>
      </w:r>
      <w:r w:rsidRPr="00675182">
        <w:rPr>
          <w:rFonts w:cstheme="minorHAnsi"/>
          <w:szCs w:val="24"/>
        </w:rPr>
        <w:t xml:space="preserve">, </w:t>
      </w:r>
      <w:r w:rsidRPr="00675182">
        <w:rPr>
          <w:rFonts w:cstheme="minorHAnsi"/>
          <w:b/>
          <w:bCs/>
          <w:szCs w:val="24"/>
        </w:rPr>
        <w:t>Tavaiņu purvs</w:t>
      </w:r>
      <w:r w:rsidRPr="00675182">
        <w:rPr>
          <w:rFonts w:cstheme="minorHAnsi"/>
          <w:szCs w:val="24"/>
        </w:rPr>
        <w:t xml:space="preserve">. </w:t>
      </w:r>
    </w:p>
    <w:p w14:paraId="71B2A78C" w14:textId="77777777" w:rsidR="004F4EC3" w:rsidRPr="00675182" w:rsidRDefault="004F4EC3" w:rsidP="00EF112A">
      <w:pPr>
        <w:pStyle w:val="ListParagraph"/>
        <w:jc w:val="both"/>
        <w:rPr>
          <w:rFonts w:eastAsiaTheme="minorHAnsi" w:cstheme="minorHAnsi"/>
          <w:szCs w:val="24"/>
          <w:lang w:eastAsia="en-US"/>
        </w:rPr>
      </w:pPr>
    </w:p>
    <w:p w14:paraId="55FE6262" w14:textId="23581193" w:rsidR="00DF4A44" w:rsidRPr="00675182" w:rsidRDefault="00DF4A44" w:rsidP="00A84218">
      <w:pPr>
        <w:pStyle w:val="ListParagraph"/>
        <w:numPr>
          <w:ilvl w:val="0"/>
          <w:numId w:val="41"/>
        </w:numPr>
        <w:jc w:val="both"/>
        <w:rPr>
          <w:rFonts w:cstheme="minorHAnsi"/>
          <w:szCs w:val="24"/>
        </w:rPr>
      </w:pPr>
      <w:r w:rsidRPr="00675182">
        <w:rPr>
          <w:rFonts w:cstheme="minorHAnsi"/>
          <w:szCs w:val="24"/>
        </w:rPr>
        <w:t xml:space="preserve">purvi, kurus salīdzinot ar 1) grupu vairāk skārusi meliorācija / kūdras ieguve; kuros pēc ilgstošas susināšanas ir dabiski sācies hidroloģiskā režīma atjaunošanās process; purvos vietām joprojām ir saglabājušās augstajiem purviem tipiskās veģetācija. Hidroloģiskā režīma atjaunošanas pasākumu ieviešanai salīdzinoši lielāks darbu apjoms, nekā 1) grupai; pēc hidroloģiskā </w:t>
      </w:r>
      <w:r w:rsidRPr="00675182">
        <w:rPr>
          <w:rFonts w:cstheme="minorHAnsi"/>
          <w:szCs w:val="24"/>
        </w:rPr>
        <w:lastRenderedPageBreak/>
        <w:t xml:space="preserve">režīma atjaunošanas teritorijas platības vairāku dekāžu laika posmā pārveidojas par </w:t>
      </w:r>
      <w:r w:rsidR="004F4EC3" w:rsidRPr="00675182">
        <w:rPr>
          <w:rFonts w:cstheme="minorHAnsi"/>
          <w:szCs w:val="24"/>
        </w:rPr>
        <w:t xml:space="preserve">biotopa veidu </w:t>
      </w:r>
      <w:r w:rsidRPr="00675182">
        <w:rPr>
          <w:rFonts w:cstheme="minorHAnsi"/>
          <w:szCs w:val="24"/>
        </w:rPr>
        <w:t xml:space="preserve">7110* </w:t>
      </w:r>
      <w:r w:rsidR="004F4EC3" w:rsidRPr="00675182">
        <w:rPr>
          <w:rFonts w:cstheme="minorHAnsi"/>
          <w:szCs w:val="24"/>
        </w:rPr>
        <w:t>Aktīvi augstie purvi</w:t>
      </w:r>
      <w:r w:rsidRPr="00675182">
        <w:rPr>
          <w:rFonts w:cstheme="minorHAnsi"/>
          <w:szCs w:val="24"/>
        </w:rPr>
        <w:t>.</w:t>
      </w:r>
    </w:p>
    <w:p w14:paraId="1B112ADC" w14:textId="04A6F6CB" w:rsidR="00DF4A44" w:rsidRPr="00675182" w:rsidRDefault="00DF4A44" w:rsidP="00EF112A">
      <w:pPr>
        <w:pStyle w:val="ListParagraph"/>
        <w:jc w:val="both"/>
        <w:rPr>
          <w:rFonts w:cstheme="minorHAnsi"/>
          <w:b/>
          <w:bCs/>
          <w:szCs w:val="24"/>
        </w:rPr>
      </w:pPr>
      <w:r w:rsidRPr="00675182">
        <w:rPr>
          <w:rFonts w:cstheme="minorHAnsi"/>
          <w:szCs w:val="24"/>
        </w:rPr>
        <w:t>Šajā grupā ietilpst</w:t>
      </w:r>
      <w:r w:rsidRPr="00675182">
        <w:rPr>
          <w:rFonts w:cstheme="minorHAnsi"/>
          <w:b/>
          <w:bCs/>
          <w:szCs w:val="24"/>
        </w:rPr>
        <w:t xml:space="preserve"> Brīnumpurvs</w:t>
      </w:r>
      <w:r w:rsidRPr="00675182">
        <w:rPr>
          <w:rFonts w:cstheme="minorHAnsi"/>
          <w:szCs w:val="24"/>
        </w:rPr>
        <w:t xml:space="preserve">, </w:t>
      </w:r>
      <w:r w:rsidRPr="00675182">
        <w:rPr>
          <w:rFonts w:cstheme="minorHAnsi"/>
          <w:b/>
          <w:bCs/>
          <w:szCs w:val="24"/>
        </w:rPr>
        <w:t>Marijas</w:t>
      </w:r>
      <w:r w:rsidRPr="00675182">
        <w:rPr>
          <w:rFonts w:cstheme="minorHAnsi"/>
          <w:szCs w:val="24"/>
        </w:rPr>
        <w:t xml:space="preserve"> </w:t>
      </w:r>
      <w:r w:rsidRPr="00675182">
        <w:rPr>
          <w:rFonts w:cstheme="minorHAnsi"/>
          <w:b/>
          <w:bCs/>
          <w:szCs w:val="24"/>
        </w:rPr>
        <w:t>kalna purvs</w:t>
      </w:r>
      <w:r w:rsidRPr="00675182">
        <w:rPr>
          <w:rFonts w:cstheme="minorHAnsi"/>
          <w:szCs w:val="24"/>
        </w:rPr>
        <w:t xml:space="preserve">, </w:t>
      </w:r>
      <w:r w:rsidRPr="00675182">
        <w:rPr>
          <w:rFonts w:cstheme="minorHAnsi"/>
          <w:b/>
          <w:bCs/>
          <w:szCs w:val="24"/>
        </w:rPr>
        <w:t>Tūtes purvs.</w:t>
      </w:r>
    </w:p>
    <w:p w14:paraId="14567AAD" w14:textId="77777777" w:rsidR="004F4EC3" w:rsidRPr="00675182" w:rsidRDefault="004F4EC3" w:rsidP="00EF112A">
      <w:pPr>
        <w:pStyle w:val="ListParagraph"/>
        <w:jc w:val="both"/>
        <w:rPr>
          <w:rFonts w:cstheme="minorHAnsi"/>
          <w:szCs w:val="24"/>
        </w:rPr>
      </w:pPr>
    </w:p>
    <w:p w14:paraId="7CA60AEA" w14:textId="4ECDF80A" w:rsidR="00DF4A44" w:rsidRPr="00675182" w:rsidRDefault="00DF4A44" w:rsidP="00A84218">
      <w:pPr>
        <w:pStyle w:val="ListParagraph"/>
        <w:numPr>
          <w:ilvl w:val="0"/>
          <w:numId w:val="41"/>
        </w:numPr>
        <w:jc w:val="both"/>
        <w:rPr>
          <w:rFonts w:cstheme="minorHAnsi"/>
          <w:szCs w:val="24"/>
        </w:rPr>
      </w:pPr>
      <w:r w:rsidRPr="00675182">
        <w:rPr>
          <w:rFonts w:cstheme="minorHAnsi"/>
          <w:szCs w:val="24"/>
        </w:rPr>
        <w:t>purvi, kurus relatīvi maz skārusi meliorācija/kūdras ieguve; kuros pēc ilgstošas susināšanas ir dabiski sācies hidroloģiskā režīma atjaunošanās process; purvos joprojām ir saglabājušās augstajiem purviem tipiskās audzes ar zemām priedēm un ar raksturīgiem koku vainagiem, vai arī atklātas platības. Tomēr hidroloģiskā režīma atjaunošanas pasākumu ieviešana ir problemātiska, jo piegulošajā teritorijā ir veikti plaši meliorācijas darbi un izveidota ierakta drenāžas sistēma, gar purva perimetru ir meliorācijas sistēmas ūdensnotekas/kontūrgrāvji. Līdz ar to meliorācijas sistēmas nosprostošana ar aizsprostiem uz ūdensnotekām/kontūrgrāvjiem gar purva malu varētu negatīvi ietekmēt šīs sistēmas funkcionēšanu un arī atstāt negatīvu ietekmi uz lauksaimniecībā izmantojamo zemi purvam piegulošajā teritorijā.</w:t>
      </w:r>
    </w:p>
    <w:p w14:paraId="08FDC0C7" w14:textId="54AD09C6" w:rsidR="00DF4A44" w:rsidRPr="00675182" w:rsidRDefault="00DF4A44" w:rsidP="00EF112A">
      <w:pPr>
        <w:pStyle w:val="ListParagraph"/>
        <w:jc w:val="both"/>
        <w:rPr>
          <w:rFonts w:cstheme="minorHAnsi"/>
          <w:szCs w:val="24"/>
        </w:rPr>
      </w:pPr>
      <w:r w:rsidRPr="00675182">
        <w:rPr>
          <w:rFonts w:cstheme="minorHAnsi"/>
          <w:szCs w:val="24"/>
        </w:rPr>
        <w:t>Šajā grupā ietilpst</w:t>
      </w:r>
      <w:r w:rsidRPr="00675182">
        <w:rPr>
          <w:rFonts w:cstheme="minorHAnsi"/>
          <w:b/>
          <w:bCs/>
          <w:szCs w:val="24"/>
        </w:rPr>
        <w:t xml:space="preserve"> Blaņķu-Kurmju purvs</w:t>
      </w:r>
      <w:r w:rsidRPr="00675182">
        <w:rPr>
          <w:rFonts w:cstheme="minorHAnsi"/>
          <w:szCs w:val="24"/>
        </w:rPr>
        <w:t>.</w:t>
      </w:r>
    </w:p>
    <w:p w14:paraId="0D5CE359" w14:textId="77777777" w:rsidR="004F4EC3" w:rsidRPr="00675182" w:rsidRDefault="004F4EC3" w:rsidP="00EF112A">
      <w:pPr>
        <w:pStyle w:val="ListParagraph"/>
        <w:jc w:val="both"/>
        <w:rPr>
          <w:rFonts w:cstheme="minorHAnsi"/>
          <w:color w:val="BFBFBF" w:themeColor="background1" w:themeShade="BF"/>
          <w:szCs w:val="24"/>
        </w:rPr>
      </w:pPr>
    </w:p>
    <w:p w14:paraId="09D938E2" w14:textId="4389048C" w:rsidR="00DF4A44" w:rsidRPr="00675182" w:rsidRDefault="00DF4A44" w:rsidP="00A84218">
      <w:pPr>
        <w:pStyle w:val="ListParagraph"/>
        <w:numPr>
          <w:ilvl w:val="0"/>
          <w:numId w:val="41"/>
        </w:numPr>
        <w:jc w:val="both"/>
        <w:rPr>
          <w:rFonts w:cstheme="minorHAnsi"/>
          <w:szCs w:val="24"/>
        </w:rPr>
      </w:pPr>
      <w:r w:rsidRPr="00675182">
        <w:rPr>
          <w:rFonts w:cstheme="minorHAnsi"/>
          <w:szCs w:val="24"/>
        </w:rPr>
        <w:t xml:space="preserve">purvi, kurus salīdzinot ar 1) un 2) grupu visvairāk skārusi meliorācija / kūdras ieguve, attiecīgi susināšanas ietekmē dabiskā hidroloģiskā režīma izmaiņu negatīvās ietekmes izpaužas viskrasāk, lai arī ir dabiski sācies hidroloģiskā režīma atjaunošanās process. Hidroloģiskā režīma atjaunošanas pasākumu ieviešanai salīdzinoši vislielākais darbu apjoms; hidroloģiskā režīma atjaunošanas pasākumu ieviešana ir jāvērtē kritiski, balstoties uz sugu un biotopu ekspertu atzinumu par iespējam, ka teritorijas platības varētu pārveidoties par </w:t>
      </w:r>
      <w:r w:rsidR="004F4EC3" w:rsidRPr="00675182">
        <w:rPr>
          <w:rFonts w:cstheme="minorHAnsi"/>
          <w:szCs w:val="24"/>
        </w:rPr>
        <w:t xml:space="preserve">biotopa viedu </w:t>
      </w:r>
      <w:r w:rsidRPr="00675182">
        <w:rPr>
          <w:rFonts w:cstheme="minorHAnsi"/>
          <w:szCs w:val="24"/>
        </w:rPr>
        <w:t xml:space="preserve">7110* </w:t>
      </w:r>
      <w:r w:rsidR="004F4EC3" w:rsidRPr="00675182">
        <w:rPr>
          <w:rFonts w:cstheme="minorHAnsi"/>
          <w:szCs w:val="24"/>
        </w:rPr>
        <w:t>Aktīvi augstie purvi</w:t>
      </w:r>
      <w:r w:rsidRPr="00675182">
        <w:rPr>
          <w:rFonts w:cstheme="minorHAnsi"/>
          <w:szCs w:val="24"/>
        </w:rPr>
        <w:t>. Jāņem vērā, ka</w:t>
      </w:r>
      <w:r w:rsidR="004F4EC3" w:rsidRPr="00675182">
        <w:rPr>
          <w:rFonts w:cstheme="minorHAnsi"/>
          <w:szCs w:val="24"/>
        </w:rPr>
        <w:t>,</w:t>
      </w:r>
      <w:r w:rsidRPr="00675182">
        <w:rPr>
          <w:rFonts w:cstheme="minorHAnsi"/>
          <w:szCs w:val="24"/>
        </w:rPr>
        <w:t xml:space="preserve"> piemēram, Bērzkalnu purva perifērijā tikko ir veikta meliorācijas sistēmas atjaunošana.</w:t>
      </w:r>
    </w:p>
    <w:p w14:paraId="6D67FE7B" w14:textId="7A803D02" w:rsidR="00DF4A44" w:rsidRPr="00675182" w:rsidRDefault="00DF4A44" w:rsidP="00EF112A">
      <w:pPr>
        <w:pStyle w:val="ListParagraph"/>
        <w:jc w:val="both"/>
        <w:rPr>
          <w:rFonts w:cstheme="minorHAnsi"/>
          <w:szCs w:val="24"/>
        </w:rPr>
      </w:pPr>
      <w:r w:rsidRPr="00675182">
        <w:rPr>
          <w:rFonts w:cstheme="minorHAnsi"/>
          <w:szCs w:val="24"/>
        </w:rPr>
        <w:t>Šajā grupā ietilpst</w:t>
      </w:r>
      <w:r w:rsidRPr="00675182">
        <w:rPr>
          <w:rFonts w:cstheme="minorHAnsi"/>
          <w:b/>
          <w:bCs/>
          <w:szCs w:val="24"/>
        </w:rPr>
        <w:t xml:space="preserve"> Bērzkalnu purvs</w:t>
      </w:r>
      <w:r w:rsidRPr="00675182">
        <w:rPr>
          <w:rFonts w:cstheme="minorHAnsi"/>
          <w:szCs w:val="24"/>
        </w:rPr>
        <w:t xml:space="preserve">. </w:t>
      </w:r>
    </w:p>
    <w:p w14:paraId="24B160E0" w14:textId="77777777" w:rsidR="004F4EC3" w:rsidRPr="00675182" w:rsidRDefault="004F4EC3" w:rsidP="00EF112A">
      <w:pPr>
        <w:pStyle w:val="ListParagraph"/>
        <w:jc w:val="both"/>
        <w:rPr>
          <w:rFonts w:cstheme="minorHAnsi"/>
          <w:color w:val="BFBFBF" w:themeColor="background1" w:themeShade="BF"/>
          <w:szCs w:val="24"/>
        </w:rPr>
      </w:pPr>
    </w:p>
    <w:p w14:paraId="75E36214" w14:textId="745B5C03" w:rsidR="00E778A7" w:rsidRPr="00675182" w:rsidRDefault="00E778A7" w:rsidP="00EF112A">
      <w:pPr>
        <w:jc w:val="both"/>
        <w:rPr>
          <w:rFonts w:cstheme="minorHAnsi"/>
          <w:szCs w:val="24"/>
        </w:rPr>
      </w:pPr>
      <w:r w:rsidRPr="00675182">
        <w:rPr>
          <w:rFonts w:cstheme="minorHAnsi"/>
          <w:szCs w:val="24"/>
        </w:rPr>
        <w:t>Līdz ar to prioritāri dabiskā hidroloģiskā režīma atjaunošana būtu jāplāno 1) grupas purvos, tad dilstošā secībā seko 2); 3) un 4) grupas</w:t>
      </w:r>
      <w:r w:rsidR="004F4EC3" w:rsidRPr="00675182">
        <w:rPr>
          <w:rFonts w:cstheme="minorHAnsi"/>
          <w:szCs w:val="24"/>
        </w:rPr>
        <w:t xml:space="preserve"> purvu kompleksu platības</w:t>
      </w:r>
      <w:r w:rsidRPr="00675182">
        <w:rPr>
          <w:rFonts w:cstheme="minorHAnsi"/>
          <w:szCs w:val="24"/>
        </w:rPr>
        <w:t>.</w:t>
      </w:r>
    </w:p>
    <w:p w14:paraId="2F3681F1" w14:textId="77777777" w:rsidR="00E778A7" w:rsidRPr="00675182" w:rsidRDefault="00E778A7" w:rsidP="00EF112A">
      <w:pPr>
        <w:jc w:val="both"/>
        <w:rPr>
          <w:rFonts w:cstheme="minorHAnsi"/>
          <w:szCs w:val="24"/>
        </w:rPr>
      </w:pPr>
    </w:p>
    <w:p w14:paraId="5923CAF3" w14:textId="77777777" w:rsidR="00E778A7" w:rsidRPr="00675182" w:rsidRDefault="00E778A7" w:rsidP="00EF112A">
      <w:pPr>
        <w:rPr>
          <w:rFonts w:eastAsiaTheme="minorHAnsi" w:cstheme="minorHAnsi"/>
          <w:b/>
          <w:bCs/>
          <w:szCs w:val="24"/>
          <w:lang w:eastAsia="en-US"/>
        </w:rPr>
      </w:pPr>
      <w:r w:rsidRPr="00675182">
        <w:rPr>
          <w:rFonts w:cstheme="minorHAnsi"/>
          <w:b/>
          <w:bCs/>
          <w:szCs w:val="24"/>
        </w:rPr>
        <w:t>Pasākuma īstenošanas secība:</w:t>
      </w:r>
    </w:p>
    <w:p w14:paraId="4D2DA24B" w14:textId="77777777" w:rsidR="00E778A7" w:rsidRPr="00675182" w:rsidRDefault="00E778A7" w:rsidP="00A84218">
      <w:pPr>
        <w:pStyle w:val="ListParagraph"/>
        <w:numPr>
          <w:ilvl w:val="0"/>
          <w:numId w:val="42"/>
        </w:numPr>
        <w:suppressAutoHyphens w:val="0"/>
        <w:spacing w:after="160"/>
        <w:ind w:left="426"/>
        <w:contextualSpacing/>
        <w:jc w:val="both"/>
        <w:rPr>
          <w:rFonts w:cstheme="minorHAnsi"/>
          <w:szCs w:val="24"/>
        </w:rPr>
      </w:pPr>
      <w:r w:rsidRPr="00675182">
        <w:rPr>
          <w:rFonts w:cstheme="minorHAnsi"/>
          <w:szCs w:val="24"/>
        </w:rPr>
        <w:t>Sugu un biotopu ekspertu atzinums par dabas vērtībām, to saglabāšanu/atjaunošanu/stāvokļa uzlabošanu dabiskā hidroloģiskā režīma atjaunošanas pasākumu ietekmē konkrētās teritorijās. Sākotnēja platību identificēšana, kur būtu nepieciešama koku un krūmu apauguma novākšana pirms aizsprostu izveidošanas, lai atjaunotu atklātas purva platības.</w:t>
      </w:r>
    </w:p>
    <w:p w14:paraId="1159CABE" w14:textId="77777777" w:rsidR="004F4EC3" w:rsidRPr="00675182" w:rsidRDefault="004F4EC3" w:rsidP="00A84218">
      <w:pPr>
        <w:pStyle w:val="ListParagraph"/>
        <w:numPr>
          <w:ilvl w:val="0"/>
          <w:numId w:val="42"/>
        </w:numPr>
        <w:suppressAutoHyphens w:val="0"/>
        <w:ind w:left="426"/>
        <w:contextualSpacing/>
        <w:jc w:val="both"/>
        <w:rPr>
          <w:rFonts w:cstheme="minorHAnsi"/>
          <w:szCs w:val="24"/>
        </w:rPr>
      </w:pPr>
      <w:r w:rsidRPr="00675182">
        <w:rPr>
          <w:rFonts w:cstheme="minorHAnsi"/>
          <w:szCs w:val="24"/>
        </w:rPr>
        <w:t>Detalizēta hidroloģiskā režīma atjaunošanas plāna sagatavošana atsevišķiem purvu kompleksiem, kur plānoti hidroloģiskā režīma atjaunošanas darbi (pasākums F.6.) - dabiskā hidroloģiskā režīma atjaunošanas pasākumu noteikšana un plānošana, atbilstoši prioritāro purvu kompleksu grupu secībai; monitoringa sistēmas plānošana.</w:t>
      </w:r>
    </w:p>
    <w:p w14:paraId="3CC3A4E7" w14:textId="573EDB70" w:rsidR="004F4EC3" w:rsidRPr="00675182" w:rsidRDefault="004F4EC3" w:rsidP="00A84218">
      <w:pPr>
        <w:pStyle w:val="ListParagraph"/>
        <w:numPr>
          <w:ilvl w:val="0"/>
          <w:numId w:val="42"/>
        </w:numPr>
        <w:suppressAutoHyphens w:val="0"/>
        <w:ind w:left="426"/>
        <w:jc w:val="both"/>
        <w:rPr>
          <w:rFonts w:cstheme="minorHAnsi"/>
          <w:szCs w:val="24"/>
        </w:rPr>
      </w:pPr>
      <w:r w:rsidRPr="00675182">
        <w:rPr>
          <w:rFonts w:cstheme="minorHAnsi"/>
          <w:szCs w:val="24"/>
        </w:rPr>
        <w:t>Tehnisko projektu un bū</w:t>
      </w:r>
      <w:r w:rsidR="00A44815" w:rsidRPr="00675182">
        <w:rPr>
          <w:rFonts w:cstheme="minorHAnsi"/>
          <w:szCs w:val="24"/>
        </w:rPr>
        <w:t>vpr</w:t>
      </w:r>
      <w:r w:rsidRPr="00675182">
        <w:rPr>
          <w:rFonts w:cstheme="minorHAnsi"/>
          <w:szCs w:val="24"/>
        </w:rPr>
        <w:t xml:space="preserve">ojektu izstrāde (pasākums F.6.) teritorijās, kurās tiks veikta dabiskā hidroloģiskā režīma atjaunošana (meliorācijas sistēmas elementu aizsprostošanas vietu precīza identificēšana; ūdens līmeņa celšanās ietekmētās </w:t>
      </w:r>
      <w:r w:rsidRPr="00675182">
        <w:rPr>
          <w:rFonts w:cstheme="minorHAnsi"/>
          <w:szCs w:val="24"/>
        </w:rPr>
        <w:lastRenderedPageBreak/>
        <w:t>teritorijas precizēšana/modelēšana; aizsprostu konstruktīvie risinājumi u.c.). Platību precizēšana, kur būtu nepieciešama koku un krūmu apauguma novākšana.</w:t>
      </w:r>
    </w:p>
    <w:p w14:paraId="389A0F81" w14:textId="77777777" w:rsidR="004F4EC3" w:rsidRPr="00675182" w:rsidRDefault="004F4EC3" w:rsidP="00A84218">
      <w:pPr>
        <w:pStyle w:val="ListParagraph"/>
        <w:numPr>
          <w:ilvl w:val="0"/>
          <w:numId w:val="42"/>
        </w:numPr>
        <w:suppressAutoHyphens w:val="0"/>
        <w:ind w:left="426"/>
        <w:jc w:val="both"/>
        <w:rPr>
          <w:rFonts w:cstheme="minorHAnsi"/>
          <w:szCs w:val="24"/>
        </w:rPr>
      </w:pPr>
      <w:r w:rsidRPr="00675182">
        <w:rPr>
          <w:rFonts w:cstheme="minorHAnsi"/>
          <w:szCs w:val="24"/>
        </w:rPr>
        <w:t>Koku un krūmu apauguma novākšana pirms aizsprostu izveidošanas platībās, kas definētas hidroloģiskā režīma atjaunošanas plāna pasākumos. Koku un krūmu izciršana augstajos purvos tiek veikta, lai atjaunotu gan biotopa funkcijas, gan struktūru. Izciršana samazina iztvaikojumu caur koku lapotnēm, kas rada susināšanas efektu un palīdz atjaunot atklātu augstā purva ainavu. Attiecīgās teritorijas – purva kompleksa, hidroloģiskā režīma atjaunošanas plānā izcirsto koku un krūmu utilizācijas risinājums paredzams atbilstoši vietējai situācijai, pieļaujama izcirsto koku un krūmu dedzināšana uz vietas purvā (ievērojot ugunsdrošības prasības), vai izcirsto koku un krūmu izvešana no platības un izmatošana enerģijas ieguvei. Veicot apauguma novākšanu, saglabājamas bioloģiski vecākās un zarainākās priedes.</w:t>
      </w:r>
    </w:p>
    <w:p w14:paraId="09519CB0" w14:textId="77777777" w:rsidR="004F4EC3" w:rsidRPr="00675182" w:rsidRDefault="004F4EC3" w:rsidP="00A84218">
      <w:pPr>
        <w:pStyle w:val="ListParagraph"/>
        <w:numPr>
          <w:ilvl w:val="0"/>
          <w:numId w:val="42"/>
        </w:numPr>
        <w:suppressAutoHyphens w:val="0"/>
        <w:ind w:left="426"/>
        <w:jc w:val="both"/>
        <w:rPr>
          <w:rFonts w:cstheme="minorHAnsi"/>
          <w:szCs w:val="24"/>
        </w:rPr>
      </w:pPr>
      <w:r w:rsidRPr="00675182">
        <w:rPr>
          <w:rFonts w:cstheme="minorHAnsi"/>
          <w:szCs w:val="24"/>
        </w:rPr>
        <w:t>Aizsprostu uz grāvjiem, īpaši pirmajos gados pēc to izveidošanas, kamēr tie nav apauguši ar ilggadīgu veģetāciju un pierādījuši savu noturību, uzraudzība un nepieciešamības gadījumā – remonts; gruntsūdeņu līmeņa monitorings turpināms atbilstoši hidroloģiskā režīma atjaunošanas plānā formulētajam monitoringa plānam.</w:t>
      </w:r>
    </w:p>
    <w:p w14:paraId="1AF4B0BB" w14:textId="77777777" w:rsidR="004F4EC3" w:rsidRPr="00675182" w:rsidRDefault="004F4EC3" w:rsidP="00A84218">
      <w:pPr>
        <w:pStyle w:val="ListParagraph"/>
        <w:numPr>
          <w:ilvl w:val="0"/>
          <w:numId w:val="42"/>
        </w:numPr>
        <w:suppressAutoHyphens w:val="0"/>
        <w:ind w:left="426"/>
        <w:jc w:val="both"/>
        <w:rPr>
          <w:rFonts w:cstheme="minorHAnsi"/>
          <w:szCs w:val="24"/>
        </w:rPr>
      </w:pPr>
      <w:r w:rsidRPr="00675182">
        <w:rPr>
          <w:rFonts w:cstheme="minorHAnsi"/>
          <w:szCs w:val="24"/>
        </w:rPr>
        <w:t xml:space="preserve">Dabiskā hidroloģiskā režīma atjaunošanas pasākumu efektivitātes monitorings (hidroloģiskā režīma, veģetācijas izmaiņu, sugu sastāva monitorings u.c.). Ja teritorijā tiek konstatēta plaša koku kalšana gruntsūdeņu paaugstināšanās ietekmē, nepieciešams veikt situācijas novērtējumu un sagatavot meža biotopu jomas sertificēta eksperta atzinumu par nokaltušo koku/sausokņu izvākšanu, tās nepieciešamību. </w:t>
      </w:r>
    </w:p>
    <w:p w14:paraId="382CB087" w14:textId="77777777" w:rsidR="004F4EC3" w:rsidRPr="00675182" w:rsidRDefault="004F4EC3" w:rsidP="00A84218">
      <w:pPr>
        <w:pStyle w:val="ListParagraph"/>
        <w:numPr>
          <w:ilvl w:val="0"/>
          <w:numId w:val="42"/>
        </w:numPr>
        <w:ind w:left="426"/>
        <w:jc w:val="both"/>
        <w:rPr>
          <w:rFonts w:cstheme="minorHAnsi"/>
          <w:szCs w:val="24"/>
        </w:rPr>
      </w:pPr>
      <w:r w:rsidRPr="00675182">
        <w:rPr>
          <w:rFonts w:cstheme="minorHAnsi"/>
          <w:szCs w:val="24"/>
        </w:rPr>
        <w:t>Pasākumu pielāgošana vai pārskatīšana, balstoties uz monitoringa rezultātiem, kā arī, ja rodas neparedzēti apstākļi (vētrasgāzes, ugusngrēki un tml.).</w:t>
      </w:r>
    </w:p>
    <w:p w14:paraId="15852FA1" w14:textId="77777777" w:rsidR="004F4EC3" w:rsidRPr="00675182" w:rsidRDefault="004F4EC3" w:rsidP="00EF112A">
      <w:pPr>
        <w:jc w:val="both"/>
        <w:rPr>
          <w:rFonts w:cstheme="minorHAnsi"/>
          <w:szCs w:val="24"/>
        </w:rPr>
      </w:pPr>
    </w:p>
    <w:p w14:paraId="60369138" w14:textId="61E473D2" w:rsidR="00185391" w:rsidRPr="00675182" w:rsidRDefault="003B47C3" w:rsidP="00EF112A">
      <w:pPr>
        <w:jc w:val="both"/>
        <w:rPr>
          <w:rFonts w:cstheme="minorHAnsi"/>
          <w:szCs w:val="24"/>
        </w:rPr>
      </w:pPr>
      <w:r w:rsidRPr="00675182">
        <w:rPr>
          <w:rFonts w:cstheme="minorHAnsi"/>
          <w:szCs w:val="24"/>
        </w:rPr>
        <w:t>DA</w:t>
      </w:r>
      <w:r w:rsidR="004F4EC3" w:rsidRPr="00675182">
        <w:rPr>
          <w:rFonts w:cstheme="minorHAnsi"/>
          <w:szCs w:val="24"/>
        </w:rPr>
        <w:t xml:space="preserve"> plāna ieviešanas laikā vēlams uzsākt hidroloģiskā režīma atjaunošanas pasākumus vismaz divos purvu kompleksos, kas iekļauti 1) prioritārajā grupā.</w:t>
      </w:r>
    </w:p>
    <w:p w14:paraId="2276A52C" w14:textId="77777777" w:rsidR="004F4EC3" w:rsidRPr="00675182" w:rsidRDefault="004F4EC3" w:rsidP="004F4EC3">
      <w:pPr>
        <w:jc w:val="both"/>
        <w:rPr>
          <w:rFonts w:cstheme="minorHAnsi"/>
          <w:sz w:val="22"/>
          <w:szCs w:val="22"/>
        </w:rPr>
      </w:pPr>
    </w:p>
    <w:p w14:paraId="5419196D" w14:textId="1982727E" w:rsidR="00185391" w:rsidRPr="00675182" w:rsidRDefault="00185391" w:rsidP="000D5B03">
      <w:pPr>
        <w:keepNext/>
        <w:keepLines/>
        <w:jc w:val="both"/>
        <w:rPr>
          <w:rFonts w:cstheme="minorHAnsi"/>
          <w:b/>
          <w:bCs/>
          <w:sz w:val="22"/>
          <w:szCs w:val="22"/>
        </w:rPr>
      </w:pPr>
      <w:r w:rsidRPr="00675182">
        <w:rPr>
          <w:rFonts w:cstheme="minorHAnsi"/>
          <w:b/>
          <w:bCs/>
          <w:szCs w:val="24"/>
        </w:rPr>
        <w:t xml:space="preserve">B.4.2. Biotopu veidu </w:t>
      </w:r>
      <w:r w:rsidR="003D2A70" w:rsidRPr="00675182">
        <w:rPr>
          <w:rFonts w:cstheme="minorHAnsi"/>
          <w:b/>
          <w:bCs/>
          <w:szCs w:val="24"/>
        </w:rPr>
        <w:t xml:space="preserve">7160 </w:t>
      </w:r>
      <w:r w:rsidRPr="00BF7348">
        <w:rPr>
          <w:rFonts w:cstheme="minorHAnsi"/>
          <w:b/>
          <w:bCs/>
          <w:szCs w:val="24"/>
        </w:rPr>
        <w:t>Minerālvielām bagāti avoti un avotu purvi</w:t>
      </w:r>
      <w:r w:rsidRPr="00B52D2D">
        <w:rPr>
          <w:rFonts w:cstheme="minorHAnsi"/>
          <w:b/>
          <w:bCs/>
          <w:szCs w:val="24"/>
        </w:rPr>
        <w:t xml:space="preserve">, </w:t>
      </w:r>
      <w:r w:rsidR="003D2A70" w:rsidRPr="00B52D2D">
        <w:rPr>
          <w:rFonts w:cstheme="minorHAnsi"/>
          <w:b/>
          <w:bCs/>
          <w:szCs w:val="24"/>
        </w:rPr>
        <w:t>7220*</w:t>
      </w:r>
      <w:r w:rsidRPr="00BF7348">
        <w:rPr>
          <w:rFonts w:cstheme="minorHAnsi"/>
          <w:b/>
          <w:bCs/>
          <w:szCs w:val="24"/>
        </w:rPr>
        <w:t>Avoti, kas izgulsnē avotkaļķus</w:t>
      </w:r>
      <w:r w:rsidRPr="00B52D2D">
        <w:rPr>
          <w:rFonts w:cstheme="minorHAnsi"/>
          <w:b/>
          <w:bCs/>
          <w:szCs w:val="24"/>
        </w:rPr>
        <w:t xml:space="preserve"> un </w:t>
      </w:r>
      <w:r w:rsidR="003D2A70" w:rsidRPr="00B52D2D">
        <w:rPr>
          <w:rFonts w:cstheme="minorHAnsi"/>
          <w:b/>
          <w:bCs/>
          <w:szCs w:val="24"/>
        </w:rPr>
        <w:t xml:space="preserve">7230 </w:t>
      </w:r>
      <w:r w:rsidRPr="00BF7348">
        <w:rPr>
          <w:rFonts w:cstheme="minorHAnsi"/>
          <w:b/>
          <w:bCs/>
          <w:szCs w:val="24"/>
        </w:rPr>
        <w:t>Kaļķaini zāļu purvi</w:t>
      </w:r>
      <w:r w:rsidRPr="00675182">
        <w:rPr>
          <w:rFonts w:cstheme="minorHAnsi"/>
          <w:b/>
          <w:bCs/>
          <w:szCs w:val="24"/>
        </w:rPr>
        <w:t xml:space="preserve"> apsaimniekošana un atjaunošana (krūmu apauguma novākšana, niedru pļaušana, regulāra pļaušana aizaugšanas novēršanai)</w:t>
      </w:r>
    </w:p>
    <w:p w14:paraId="6E43D1B6" w14:textId="39A29B1C" w:rsidR="003D2A70" w:rsidRPr="00675182" w:rsidRDefault="008F664A" w:rsidP="003D2A70">
      <w:pPr>
        <w:pStyle w:val="Footer"/>
        <w:keepNext/>
        <w:keepLines/>
        <w:suppressAutoHyphens w:val="0"/>
        <w:jc w:val="both"/>
        <w:rPr>
          <w:rFonts w:cstheme="minorHAnsi"/>
          <w:szCs w:val="24"/>
          <w:lang w:val="lv-LV"/>
        </w:rPr>
      </w:pPr>
      <w:r w:rsidRPr="00675182">
        <w:rPr>
          <w:rFonts w:cstheme="minorHAnsi"/>
          <w:szCs w:val="24"/>
          <w:lang w:val="lv-LV"/>
        </w:rPr>
        <w:t>Apsaimniekojamas biotopu platības GNP teritorijā konstatētas netālu no Kalauzu dzirnavām (biotops 7230) un Veismaņmuižas (biotops 7160), taču turpmāk aprakstītie</w:t>
      </w:r>
      <w:r w:rsidR="003D2A70" w:rsidRPr="00675182">
        <w:rPr>
          <w:rFonts w:cstheme="minorHAnsi"/>
          <w:szCs w:val="24"/>
          <w:lang w:val="lv-LV"/>
        </w:rPr>
        <w:t xml:space="preserve"> norādījumi attiecas</w:t>
      </w:r>
      <w:r w:rsidRPr="00675182">
        <w:rPr>
          <w:rFonts w:cstheme="minorHAnsi"/>
          <w:szCs w:val="24"/>
          <w:lang w:val="lv-LV"/>
        </w:rPr>
        <w:t xml:space="preserve"> arī</w:t>
      </w:r>
      <w:r w:rsidR="003D2A70" w:rsidRPr="00675182">
        <w:rPr>
          <w:rFonts w:cstheme="minorHAnsi"/>
          <w:szCs w:val="24"/>
          <w:lang w:val="lv-LV"/>
        </w:rPr>
        <w:t xml:space="preserve"> uz gadījumiem, ja pēc DAP vai privātas iniciatīvas tiek plānota attiecīgo purvu biotopu veidu apsaimniekošana GNP teritorijā.</w:t>
      </w:r>
    </w:p>
    <w:p w14:paraId="13A0D9D6" w14:textId="77777777" w:rsidR="00E778A7" w:rsidRPr="00675182" w:rsidRDefault="00E778A7" w:rsidP="00CF7AF9">
      <w:pPr>
        <w:pStyle w:val="Footer"/>
        <w:suppressAutoHyphens w:val="0"/>
        <w:jc w:val="both"/>
        <w:rPr>
          <w:rFonts w:cstheme="minorHAnsi"/>
          <w:szCs w:val="24"/>
          <w:lang w:val="lv-LV"/>
        </w:rPr>
      </w:pPr>
    </w:p>
    <w:p w14:paraId="258CCEED" w14:textId="1BBFB991" w:rsidR="00D8123A" w:rsidRPr="00675182" w:rsidRDefault="00D8123A" w:rsidP="00CF7AF9">
      <w:pPr>
        <w:pStyle w:val="Footer"/>
        <w:suppressAutoHyphens w:val="0"/>
        <w:jc w:val="both"/>
        <w:rPr>
          <w:rFonts w:cstheme="minorHAnsi"/>
          <w:szCs w:val="24"/>
          <w:lang w:val="lv-LV"/>
        </w:rPr>
      </w:pPr>
      <w:r w:rsidRPr="00675182">
        <w:rPr>
          <w:rFonts w:cstheme="minorHAnsi"/>
          <w:szCs w:val="24"/>
          <w:lang w:val="lv-LV"/>
        </w:rPr>
        <w:t xml:space="preserve">Niedru pļaušanu vēlams veikt augusta beigās – septembrī, nopļauto materiālu aizvācot no biotopa, lai mazinātu nevajadzīgo barības vielu daudzumu un neveidotos lieks barības vielu uzkrājums. Aizvāktās niedres iespēju robežās transportējamas pārstrādei vai, ja tas nav iespējams, sakraujamas kaudzēs ārpus biotopa teritorijas. Ikgadēja niedru </w:t>
      </w:r>
      <w:r w:rsidR="00CF7AF9" w:rsidRPr="00675182">
        <w:rPr>
          <w:rFonts w:cstheme="minorHAnsi"/>
          <w:szCs w:val="24"/>
          <w:lang w:val="lv-LV"/>
        </w:rPr>
        <w:t>pļaušana</w:t>
      </w:r>
      <w:r w:rsidRPr="00675182">
        <w:rPr>
          <w:rFonts w:cstheme="minorHAnsi"/>
          <w:szCs w:val="24"/>
          <w:lang w:val="lv-LV"/>
        </w:rPr>
        <w:t xml:space="preserve"> un izvākš</w:t>
      </w:r>
      <w:r w:rsidR="00CF7AF9" w:rsidRPr="00675182">
        <w:rPr>
          <w:rFonts w:cstheme="minorHAnsi"/>
          <w:szCs w:val="24"/>
          <w:lang w:val="lv-LV"/>
        </w:rPr>
        <w:t>a</w:t>
      </w:r>
      <w:r w:rsidRPr="00675182">
        <w:rPr>
          <w:rFonts w:cstheme="minorHAnsi"/>
          <w:szCs w:val="24"/>
          <w:lang w:val="lv-LV"/>
        </w:rPr>
        <w:t>na veicama pirmos 2 - 3 gadus, turpmāk, biotopa kvalitātes uzturēšanai, plānojam regulāra niedres pļaušana un aizvākšana (vai vismaz reizi divos – trijos gados). Līdzīgi plānojama un veicama zālaugu pļaušana un aizvākšana, ja biotopa teritorijas uzturēšanai nepieciešama regulāra veģetācijas novākšana.</w:t>
      </w:r>
    </w:p>
    <w:p w14:paraId="4798585D" w14:textId="77777777" w:rsidR="00CF7AF9" w:rsidRPr="00675182" w:rsidRDefault="00CF7AF9" w:rsidP="00CF7AF9">
      <w:pPr>
        <w:pStyle w:val="Footer"/>
        <w:suppressAutoHyphens w:val="0"/>
        <w:jc w:val="both"/>
        <w:rPr>
          <w:rFonts w:cstheme="minorHAnsi"/>
          <w:szCs w:val="24"/>
          <w:lang w:val="lv-LV"/>
        </w:rPr>
      </w:pPr>
    </w:p>
    <w:p w14:paraId="25EB251A" w14:textId="0287F555" w:rsidR="00D8123A" w:rsidRPr="00675182" w:rsidRDefault="00D8123A" w:rsidP="00CF7AF9">
      <w:pPr>
        <w:pStyle w:val="Footer"/>
        <w:suppressAutoHyphens w:val="0"/>
        <w:jc w:val="both"/>
        <w:rPr>
          <w:rFonts w:cstheme="minorHAnsi"/>
          <w:szCs w:val="24"/>
          <w:lang w:val="lv-LV"/>
        </w:rPr>
      </w:pPr>
      <w:r w:rsidRPr="00675182">
        <w:rPr>
          <w:rFonts w:cstheme="minorHAnsi"/>
          <w:szCs w:val="24"/>
          <w:lang w:val="lv-LV"/>
        </w:rPr>
        <w:t>Koku/krūmu ciršanu vēlams veikt ziemā, sasaluma periodā, turpinot ne vēlāk kā līdz 15. aprīlim, lai samazinātu iespējamo negatīvo ietekmi biotopa platības veģetāciju, kā arī samazinātu traucējumu uz putnu ligzdošanas periodā. Nocirsto koku/krūmu biomasa izvedama no biotopa platības tālākai izmantošanai (piemēram, kā kurināmais), ja tas nav iespējams, ir pieļaujama arī nocirsto krūmu nodedzināšana, kraujot tos kaudzēs, uz nocirsto krūmu saknēm.</w:t>
      </w:r>
    </w:p>
    <w:p w14:paraId="34DB7926" w14:textId="77777777" w:rsidR="00CF7AF9" w:rsidRPr="00675182" w:rsidRDefault="00CF7AF9" w:rsidP="00CF7AF9">
      <w:pPr>
        <w:pStyle w:val="Footer"/>
        <w:suppressAutoHyphens w:val="0"/>
        <w:jc w:val="both"/>
        <w:rPr>
          <w:rFonts w:cstheme="minorHAnsi"/>
          <w:szCs w:val="24"/>
          <w:lang w:val="lv-LV"/>
        </w:rPr>
      </w:pPr>
    </w:p>
    <w:p w14:paraId="17746999" w14:textId="77777777" w:rsidR="003D2A70" w:rsidRPr="00675182" w:rsidRDefault="003D2A70" w:rsidP="003D2A70">
      <w:pPr>
        <w:pStyle w:val="Footer"/>
        <w:suppressAutoHyphens w:val="0"/>
        <w:jc w:val="both"/>
        <w:rPr>
          <w:rFonts w:cstheme="minorHAnsi"/>
          <w:szCs w:val="24"/>
          <w:lang w:val="lv-LV"/>
        </w:rPr>
      </w:pPr>
      <w:r w:rsidRPr="00675182">
        <w:rPr>
          <w:rFonts w:cstheme="minorHAnsi"/>
          <w:szCs w:val="24"/>
          <w:lang w:val="lv-LV"/>
        </w:rPr>
        <w:t>Lai novērstu teritoriju appludināšanu bebru darbības rezultātā, plānojama teritoriju regulāra apsekošanu un bebru aizsprostu likvidēšana (hidroloģiskā režīma normalizēšana), ja apsaimniekošanas platībā vai tās tuvumā ir ūdensteces vai meliorācijas sistēmas.</w:t>
      </w:r>
    </w:p>
    <w:p w14:paraId="6803E334" w14:textId="77777777" w:rsidR="003D2A70" w:rsidRPr="00675182" w:rsidRDefault="003D2A70" w:rsidP="003D2A70">
      <w:pPr>
        <w:pStyle w:val="Footer"/>
        <w:suppressAutoHyphens w:val="0"/>
        <w:jc w:val="both"/>
        <w:rPr>
          <w:rFonts w:cstheme="minorHAnsi"/>
          <w:szCs w:val="24"/>
          <w:lang w:val="lv-LV"/>
        </w:rPr>
      </w:pPr>
    </w:p>
    <w:p w14:paraId="78302CCF" w14:textId="143C23D9" w:rsidR="003D2A70" w:rsidRPr="00675182" w:rsidRDefault="003D2A70" w:rsidP="003D2A70">
      <w:pPr>
        <w:pStyle w:val="Footer"/>
        <w:suppressAutoHyphens w:val="0"/>
        <w:jc w:val="both"/>
        <w:rPr>
          <w:rFonts w:cstheme="minorHAnsi"/>
          <w:szCs w:val="24"/>
          <w:lang w:val="lv-LV"/>
        </w:rPr>
      </w:pPr>
      <w:r w:rsidRPr="00675182">
        <w:rPr>
          <w:rFonts w:cstheme="minorHAnsi"/>
          <w:szCs w:val="24"/>
          <w:lang w:val="lv-LV"/>
        </w:rPr>
        <w:t>Nepieciešamības gadījumā hidroloģiskā režīma normalizēšana un niedru pļaušana plānojama un veicama arī purvu biotopa veida 7140</w:t>
      </w:r>
      <w:r w:rsidR="003B47C3" w:rsidRPr="00675182">
        <w:rPr>
          <w:rFonts w:cstheme="minorHAnsi"/>
          <w:szCs w:val="24"/>
          <w:lang w:val="lv-LV"/>
        </w:rPr>
        <w:t xml:space="preserve"> </w:t>
      </w:r>
      <w:r w:rsidRPr="00BF7348">
        <w:rPr>
          <w:rFonts w:cstheme="minorHAnsi"/>
          <w:szCs w:val="24"/>
          <w:lang w:val="lv-LV"/>
        </w:rPr>
        <w:t>Pārejas purvu purvi un slīkšņas</w:t>
      </w:r>
      <w:r w:rsidRPr="00675182">
        <w:rPr>
          <w:rFonts w:cstheme="minorHAnsi"/>
          <w:szCs w:val="24"/>
          <w:lang w:val="lv-LV"/>
        </w:rPr>
        <w:t xml:space="preserve"> teritorijās.</w:t>
      </w:r>
    </w:p>
    <w:p w14:paraId="3420E408" w14:textId="6CD8DBB9" w:rsidR="00971DA3" w:rsidRPr="00675182" w:rsidRDefault="00971DA3" w:rsidP="00CF7AF9">
      <w:pPr>
        <w:pStyle w:val="Footer"/>
        <w:suppressAutoHyphens w:val="0"/>
        <w:jc w:val="both"/>
        <w:rPr>
          <w:rFonts w:cstheme="minorHAnsi"/>
          <w:szCs w:val="24"/>
          <w:lang w:val="lv-LV"/>
        </w:rPr>
      </w:pPr>
    </w:p>
    <w:p w14:paraId="567239B9" w14:textId="19147682" w:rsidR="00971DA3" w:rsidRPr="00675182" w:rsidRDefault="00971DA3" w:rsidP="006814A7">
      <w:pPr>
        <w:pStyle w:val="Footer"/>
        <w:keepNext/>
        <w:keepLines/>
        <w:suppressAutoHyphens w:val="0"/>
        <w:jc w:val="both"/>
        <w:rPr>
          <w:rFonts w:cstheme="minorHAnsi"/>
          <w:b/>
          <w:bCs/>
          <w:szCs w:val="24"/>
          <w:lang w:val="lv-LV"/>
        </w:rPr>
      </w:pPr>
      <w:r w:rsidRPr="00675182">
        <w:rPr>
          <w:rFonts w:cstheme="minorHAnsi"/>
          <w:b/>
          <w:bCs/>
          <w:szCs w:val="24"/>
          <w:lang w:val="lv-LV"/>
        </w:rPr>
        <w:t xml:space="preserve">B.4.3. </w:t>
      </w:r>
      <w:r w:rsidR="006814A7" w:rsidRPr="00675182">
        <w:rPr>
          <w:rFonts w:cstheme="minorHAnsi"/>
          <w:b/>
          <w:bCs/>
          <w:szCs w:val="24"/>
          <w:lang w:val="lv-LV"/>
        </w:rPr>
        <w:t>P</w:t>
      </w:r>
      <w:r w:rsidR="00AD0456" w:rsidRPr="00675182">
        <w:rPr>
          <w:rFonts w:cstheme="minorHAnsi"/>
          <w:b/>
          <w:bCs/>
          <w:szCs w:val="24"/>
          <w:lang w:val="lv-LV"/>
        </w:rPr>
        <w:t>urvu biotopu</w:t>
      </w:r>
      <w:r w:rsidRPr="00675182">
        <w:rPr>
          <w:rFonts w:cstheme="minorHAnsi"/>
          <w:b/>
          <w:bCs/>
          <w:szCs w:val="24"/>
          <w:lang w:val="lv-LV"/>
        </w:rPr>
        <w:t xml:space="preserve"> uzturēšana labvēlīgā aizsardzības stāvoklī pēc atjaunošanas pasākumu veikšanas</w:t>
      </w:r>
    </w:p>
    <w:p w14:paraId="444B95A5" w14:textId="49947EC2" w:rsidR="00C71DEF" w:rsidRPr="00675182" w:rsidRDefault="00C71DEF" w:rsidP="006814A7">
      <w:pPr>
        <w:pStyle w:val="Footer"/>
        <w:keepNext/>
        <w:keepLines/>
        <w:suppressAutoHyphens w:val="0"/>
        <w:jc w:val="both"/>
        <w:rPr>
          <w:rFonts w:cstheme="minorHAnsi"/>
          <w:b/>
          <w:bCs/>
          <w:szCs w:val="24"/>
          <w:lang w:val="lv-LV"/>
        </w:rPr>
      </w:pPr>
      <w:r w:rsidRPr="00675182">
        <w:rPr>
          <w:rFonts w:cstheme="minorHAnsi"/>
          <w:lang w:val="lv-LV"/>
        </w:rPr>
        <w:t>Platībās, kurās KF projekta ietvaros veikta purvu biotopu atjaunošana ar krūmu ciršanu un niedru pļaušanu</w:t>
      </w:r>
      <w:r w:rsidR="00271E02" w:rsidRPr="00675182">
        <w:rPr>
          <w:rFonts w:cstheme="minorHAnsi"/>
          <w:lang w:val="lv-LV"/>
        </w:rPr>
        <w:t xml:space="preserve"> (Rakšu purvs un komplekss pie Sveķupītes)</w:t>
      </w:r>
      <w:r w:rsidRPr="00675182">
        <w:rPr>
          <w:rFonts w:cstheme="minorHAnsi"/>
          <w:lang w:val="lv-LV"/>
        </w:rPr>
        <w:t xml:space="preserve">, kā arī citās atjaunotās biotopu 7140 </w:t>
      </w:r>
      <w:r w:rsidRPr="00BF7348">
        <w:rPr>
          <w:rFonts w:cstheme="minorHAnsi"/>
          <w:lang w:val="lv-LV"/>
        </w:rPr>
        <w:t>Pārejas purvi un slīkšņas</w:t>
      </w:r>
      <w:r w:rsidRPr="004A547B">
        <w:rPr>
          <w:rFonts w:cstheme="minorHAnsi"/>
          <w:lang w:val="lv-LV"/>
        </w:rPr>
        <w:t xml:space="preserve">, 7160 </w:t>
      </w:r>
      <w:r w:rsidRPr="00BF7348">
        <w:rPr>
          <w:rFonts w:cstheme="minorHAnsi"/>
          <w:lang w:val="lv-LV"/>
        </w:rPr>
        <w:t>Minerālvielām bagāti avoti un avoksnāji</w:t>
      </w:r>
      <w:r w:rsidRPr="004A547B">
        <w:rPr>
          <w:rFonts w:cstheme="minorHAnsi"/>
          <w:lang w:val="lv-LV"/>
        </w:rPr>
        <w:t xml:space="preserve">, 7230* </w:t>
      </w:r>
      <w:r w:rsidRPr="00BF7348">
        <w:rPr>
          <w:rFonts w:cstheme="minorHAnsi"/>
          <w:lang w:val="lv-LV"/>
        </w:rPr>
        <w:t xml:space="preserve">Kaļķaini zāļu purvi </w:t>
      </w:r>
      <w:r w:rsidRPr="004A547B">
        <w:rPr>
          <w:rFonts w:cstheme="minorHAnsi"/>
          <w:lang w:val="lv-LV"/>
        </w:rPr>
        <w:t>teritorijās</w:t>
      </w:r>
      <w:r w:rsidRPr="00675182">
        <w:rPr>
          <w:rFonts w:cstheme="minorHAnsi"/>
          <w:lang w:val="lv-LV"/>
        </w:rPr>
        <w:t>, ja tādas plāna darbības laikā rodas, nepieciešams nodrošināt regulāru apsaimniekošanu - atvašu ciršanu un aizvākšanu vismaz reizi divos gados, vēlama arī niedru pļaušana reizi divos-trijos gados.</w:t>
      </w:r>
    </w:p>
    <w:p w14:paraId="280F2A04" w14:textId="77777777" w:rsidR="007963CA" w:rsidRPr="00675182" w:rsidRDefault="007963CA" w:rsidP="006F682B">
      <w:pPr>
        <w:pStyle w:val="Footer"/>
        <w:suppressAutoHyphens w:val="0"/>
        <w:rPr>
          <w:rFonts w:cstheme="minorHAnsi"/>
          <w:szCs w:val="24"/>
          <w:u w:val="single"/>
          <w:lang w:val="lv-LV"/>
        </w:rPr>
      </w:pPr>
    </w:p>
    <w:p w14:paraId="00CA1C19" w14:textId="409ED2F0" w:rsidR="006F682B" w:rsidRPr="00675182" w:rsidRDefault="006F682B" w:rsidP="006F682B">
      <w:pPr>
        <w:pStyle w:val="Footer"/>
        <w:suppressAutoHyphens w:val="0"/>
        <w:rPr>
          <w:rFonts w:cstheme="minorHAnsi"/>
          <w:szCs w:val="24"/>
          <w:u w:val="single"/>
          <w:lang w:val="lv-LV"/>
        </w:rPr>
      </w:pPr>
      <w:r w:rsidRPr="00675182">
        <w:rPr>
          <w:rFonts w:cstheme="minorHAnsi"/>
          <w:szCs w:val="24"/>
          <w:u w:val="single"/>
          <w:lang w:val="lv-LV"/>
        </w:rPr>
        <w:t>B.5. Mežu biotopu aizsardzība un apsaimniekošana</w:t>
      </w:r>
    </w:p>
    <w:p w14:paraId="37B7162B" w14:textId="3C6F0BEA" w:rsidR="007D1CC5" w:rsidRPr="00675182" w:rsidRDefault="00185391" w:rsidP="00185391">
      <w:pPr>
        <w:jc w:val="both"/>
        <w:rPr>
          <w:rFonts w:cstheme="minorHAnsi"/>
          <w:b/>
          <w:bCs/>
          <w:szCs w:val="24"/>
        </w:rPr>
      </w:pPr>
      <w:r w:rsidRPr="00675182">
        <w:rPr>
          <w:rFonts w:cstheme="minorHAnsi"/>
          <w:b/>
          <w:bCs/>
          <w:szCs w:val="24"/>
        </w:rPr>
        <w:t xml:space="preserve">B.5.1. Hidroloģiskā režīma atjaunošana nosusināšanas ietekmētajās biotopa veida </w:t>
      </w:r>
      <w:r w:rsidR="003B47C3" w:rsidRPr="00675182">
        <w:rPr>
          <w:rFonts w:cstheme="minorHAnsi"/>
          <w:b/>
          <w:bCs/>
          <w:szCs w:val="24"/>
        </w:rPr>
        <w:t xml:space="preserve">91D0* </w:t>
      </w:r>
      <w:r w:rsidRPr="00675182">
        <w:rPr>
          <w:rFonts w:cstheme="minorHAnsi"/>
          <w:b/>
          <w:bCs/>
          <w:szCs w:val="24"/>
        </w:rPr>
        <w:t>Purvaini meži platībās</w:t>
      </w:r>
    </w:p>
    <w:p w14:paraId="21B8D8EB" w14:textId="4EABFC2D" w:rsidR="002D0745" w:rsidRPr="00675182" w:rsidRDefault="002D0745" w:rsidP="002D0745">
      <w:pPr>
        <w:jc w:val="both"/>
        <w:rPr>
          <w:rFonts w:cstheme="minorHAnsi"/>
        </w:rPr>
      </w:pPr>
      <w:r w:rsidRPr="00675182">
        <w:rPr>
          <w:rFonts w:cstheme="minorHAnsi"/>
        </w:rPr>
        <w:t xml:space="preserve">Susināšanas ietekmēto purvu perifērijā visbiežāk sastopami biotopi 91D0* Purvaini meži un 9010* Veci vai dabiski boreāli meži 3. variants, kuros arī vērojama susināšanas negatīvā ietekme. Iespējams, atjaunojot hidroloģisko režīmu pēc susinošo grāvju darbības pārtraukšanas purvos, uzlabosies arī biotopa 91D0* Purvainie meži platību kvalitāte purva tuvumā, bet paredzama neliela ietekme uz biotopu 9010* Veci vai dabiski boreāli meži platībām, kurās konstatētas, piemēram, Hellera ķīļlapes </w:t>
      </w:r>
      <w:r w:rsidRPr="00675182">
        <w:rPr>
          <w:rFonts w:cstheme="minorHAnsi"/>
          <w:i/>
          <w:iCs/>
        </w:rPr>
        <w:t>Anastrophyllum hellerianum</w:t>
      </w:r>
      <w:r w:rsidRPr="00675182">
        <w:rPr>
          <w:rFonts w:cstheme="minorHAnsi"/>
        </w:rPr>
        <w:t xml:space="preserve">, kailās apaļlapes </w:t>
      </w:r>
      <w:r w:rsidRPr="00675182">
        <w:rPr>
          <w:rFonts w:cstheme="minorHAnsi"/>
          <w:i/>
          <w:iCs/>
        </w:rPr>
        <w:t>Odontoschisma denudatum</w:t>
      </w:r>
      <w:r w:rsidRPr="00675182">
        <w:rPr>
          <w:rFonts w:cstheme="minorHAnsi"/>
        </w:rPr>
        <w:t xml:space="preserve"> un citu aizsargājamo sugu atradnes. </w:t>
      </w:r>
    </w:p>
    <w:p w14:paraId="4B666DDC" w14:textId="77777777" w:rsidR="002D0745" w:rsidRPr="00675182" w:rsidRDefault="002D0745" w:rsidP="002D0745">
      <w:pPr>
        <w:jc w:val="both"/>
        <w:rPr>
          <w:rFonts w:cstheme="minorHAnsi"/>
        </w:rPr>
      </w:pPr>
    </w:p>
    <w:p w14:paraId="33917D7E" w14:textId="7E0EBE3B" w:rsidR="002D0745" w:rsidRPr="00675182" w:rsidRDefault="002D0745" w:rsidP="002D0745">
      <w:pPr>
        <w:jc w:val="both"/>
        <w:rPr>
          <w:rFonts w:cstheme="minorHAnsi"/>
        </w:rPr>
      </w:pPr>
      <w:r w:rsidRPr="00675182">
        <w:rPr>
          <w:rFonts w:cstheme="minorHAnsi"/>
        </w:rPr>
        <w:t xml:space="preserve">Ārpus purvu kompleksu teritorijām, </w:t>
      </w:r>
      <w:r w:rsidR="007C46E0" w:rsidRPr="00675182">
        <w:rPr>
          <w:rFonts w:cstheme="minorHAnsi"/>
        </w:rPr>
        <w:t>kuras</w:t>
      </w:r>
      <w:r w:rsidRPr="00675182">
        <w:rPr>
          <w:rFonts w:cstheme="minorHAnsi"/>
        </w:rPr>
        <w:t xml:space="preserve"> identificētas pasākuma B.4.1. aprakstā, kā perspektīva vieta hidroloģiskā režīma atjaunošanai identificējams purvaino mežu masīvs Kocēnu pagastā starp viensētām “Medņi” un “Pūces”. Sazarotās un sarežģītās meliorācijas sistēmas dēļ hidroloģiskā režīma atjaunošanas pasākumu ieviešanai ir veicams liels darbu apjoms. Pēc hidroloģiskā režīma atjaunošanas teritorijas konkrētās platībās var atjaunot / situācija uzlabojas biotopa 91D0* Purvaini meži platībās. Tomēr jāņem vērā, ka dabiskā hidroloģiskā režīma atjaunošanas pasākumu realizēšanas gadījumā gruntsūdens līmeņa celšanās potenciāli var negatīvi ietekmēt biotopu 9010* Veci vai dabiski boreāli meži. Lai izvērtētu hidroloģiskā režīma uzlabošanas iespējas </w:t>
      </w:r>
      <w:r w:rsidRPr="00675182">
        <w:rPr>
          <w:rFonts w:cstheme="minorHAnsi"/>
        </w:rPr>
        <w:lastRenderedPageBreak/>
        <w:t>biotopa 91D0* Purvaini meži platībām un paredzamās ietekmes uz biotopu 9010* Veci vai dabiski boreāli meži, sugu un biotopu aizsardzības jomas eksperta atzinuma sagatavošanas ietvarā, veicama provizoriska hidroloģisko apstākļu izmaiņu modelēšana un potenciāli ietekmēto platību izvērtēšana. Pasākuma veikšanas plāns aprakstīts B.4.1. sadaļā.</w:t>
      </w:r>
    </w:p>
    <w:p w14:paraId="6F882C2D" w14:textId="77777777" w:rsidR="002D0745" w:rsidRPr="00675182" w:rsidRDefault="002D0745" w:rsidP="002D0745">
      <w:pPr>
        <w:jc w:val="both"/>
        <w:rPr>
          <w:rFonts w:cstheme="minorHAnsi"/>
        </w:rPr>
      </w:pPr>
    </w:p>
    <w:p w14:paraId="34DF674F" w14:textId="5F3B6BC6" w:rsidR="00DF4A44" w:rsidRPr="00675182" w:rsidRDefault="002D0745" w:rsidP="002D0745">
      <w:pPr>
        <w:jc w:val="both"/>
        <w:rPr>
          <w:rFonts w:cstheme="minorHAnsi"/>
        </w:rPr>
      </w:pPr>
      <w:r w:rsidRPr="00675182">
        <w:rPr>
          <w:rFonts w:cstheme="minorHAnsi"/>
        </w:rPr>
        <w:t>Kopumā dabiska hidroloģiskā režīma atjaunošanas vai uzlabošanas pasākumu nepieciešamība identificēta 34</w:t>
      </w:r>
      <w:r w:rsidR="00271E02" w:rsidRPr="00675182">
        <w:rPr>
          <w:rFonts w:cstheme="minorHAnsi"/>
        </w:rPr>
        <w:t xml:space="preserve">2 </w:t>
      </w:r>
      <w:r w:rsidRPr="00675182">
        <w:rPr>
          <w:rFonts w:cstheme="minorHAnsi"/>
        </w:rPr>
        <w:t xml:space="preserve">ha biotopa 91D0* Purvaini meži. No šīs platības, hidroloģiskā režīma uzlabošana purvu kompleksu platībās nodrošinātu apstākļu uzlabošanos </w:t>
      </w:r>
      <w:r w:rsidR="006814A7" w:rsidRPr="00675182">
        <w:rPr>
          <w:rFonts w:cstheme="minorHAnsi"/>
        </w:rPr>
        <w:t xml:space="preserve">arī </w:t>
      </w:r>
      <w:r w:rsidRPr="00675182">
        <w:rPr>
          <w:rFonts w:cstheme="minorHAnsi"/>
        </w:rPr>
        <w:t xml:space="preserve">270 ha </w:t>
      </w:r>
      <w:r w:rsidR="006814A7" w:rsidRPr="00675182">
        <w:rPr>
          <w:rFonts w:cstheme="minorHAnsi"/>
        </w:rPr>
        <w:t>biotopa 91D0* Purvaini meži</w:t>
      </w:r>
      <w:r w:rsidRPr="00675182">
        <w:rPr>
          <w:rFonts w:cstheme="minorHAnsi"/>
        </w:rPr>
        <w:t>, bet atlikušo platību hidroloģiskā režīma uzlabošanai veido 21 biotopa 91D0* Purvaini meži poligons.</w:t>
      </w:r>
      <w:r w:rsidR="006814A7" w:rsidRPr="00675182">
        <w:rPr>
          <w:rFonts w:cstheme="minorHAnsi"/>
        </w:rPr>
        <w:t xml:space="preserve"> Kā reālu mērķi var izvirzīt hidroloģiskā režīma atjaunošanu aptuveni 150 ha šī biotopa platības.</w:t>
      </w:r>
    </w:p>
    <w:p w14:paraId="4C2B3B4E" w14:textId="77777777" w:rsidR="007C46E0" w:rsidRPr="00675182" w:rsidRDefault="007C46E0" w:rsidP="00185391">
      <w:pPr>
        <w:jc w:val="both"/>
        <w:rPr>
          <w:rFonts w:cstheme="minorHAnsi"/>
          <w:b/>
          <w:bCs/>
          <w:szCs w:val="24"/>
        </w:rPr>
      </w:pPr>
    </w:p>
    <w:p w14:paraId="6F81E48C" w14:textId="16A4D279" w:rsidR="00185391" w:rsidRPr="00675182" w:rsidRDefault="00185391" w:rsidP="006814A7">
      <w:pPr>
        <w:keepNext/>
        <w:keepLines/>
        <w:jc w:val="both"/>
        <w:rPr>
          <w:rFonts w:cstheme="minorHAnsi"/>
          <w:b/>
          <w:bCs/>
          <w:szCs w:val="24"/>
        </w:rPr>
      </w:pPr>
      <w:r w:rsidRPr="00675182">
        <w:rPr>
          <w:rFonts w:cstheme="minorHAnsi"/>
          <w:b/>
          <w:bCs/>
          <w:szCs w:val="24"/>
        </w:rPr>
        <w:t>B.5.2. Aizsargājamu meža biotopu kvalitātes uzlabošana</w:t>
      </w:r>
    </w:p>
    <w:p w14:paraId="0C247EA4" w14:textId="38A91DA6" w:rsidR="007963CA" w:rsidRPr="00675182" w:rsidRDefault="007963CA" w:rsidP="006814A7">
      <w:pPr>
        <w:keepNext/>
        <w:keepLines/>
        <w:jc w:val="both"/>
        <w:rPr>
          <w:rFonts w:cstheme="minorHAnsi"/>
          <w:szCs w:val="24"/>
        </w:rPr>
      </w:pPr>
      <w:r w:rsidRPr="00675182">
        <w:rPr>
          <w:rFonts w:cstheme="minorHAnsi"/>
          <w:szCs w:val="24"/>
        </w:rPr>
        <w:t xml:space="preserve">DA plāna sagatavošanas ietvaros veiktās </w:t>
      </w:r>
      <w:r w:rsidR="00D10AE9">
        <w:rPr>
          <w:rFonts w:cstheme="minorHAnsi"/>
          <w:szCs w:val="24"/>
        </w:rPr>
        <w:t>ES nozīmes</w:t>
      </w:r>
      <w:r w:rsidR="00D10AE9" w:rsidRPr="00675182">
        <w:rPr>
          <w:rFonts w:cstheme="minorHAnsi"/>
          <w:szCs w:val="24"/>
        </w:rPr>
        <w:t xml:space="preserve"> </w:t>
      </w:r>
      <w:r w:rsidRPr="00675182">
        <w:rPr>
          <w:rFonts w:cstheme="minorHAnsi"/>
          <w:szCs w:val="24"/>
        </w:rPr>
        <w:t xml:space="preserve">meža biotopu apsekošanas laikā ir identificēti 20 </w:t>
      </w:r>
      <w:r w:rsidR="00D10AE9">
        <w:rPr>
          <w:rFonts w:cstheme="minorHAnsi"/>
          <w:szCs w:val="24"/>
        </w:rPr>
        <w:t xml:space="preserve">ES nozīmes mežu </w:t>
      </w:r>
      <w:r w:rsidRPr="00675182">
        <w:rPr>
          <w:rFonts w:cstheme="minorHAnsi"/>
          <w:szCs w:val="24"/>
        </w:rPr>
        <w:t xml:space="preserve">biotopu poligoni ar kopējo platību 58 ha, kuros nepieciešams veikt pasākumus biotopu kvalitātes uzlabošanai. </w:t>
      </w:r>
    </w:p>
    <w:p w14:paraId="58896BF6" w14:textId="77777777" w:rsidR="009E5A60" w:rsidRPr="00675182" w:rsidRDefault="009E5A60" w:rsidP="007963CA">
      <w:pPr>
        <w:jc w:val="both"/>
        <w:rPr>
          <w:rFonts w:cstheme="minorHAnsi"/>
          <w:szCs w:val="24"/>
        </w:rPr>
      </w:pPr>
    </w:p>
    <w:p w14:paraId="6F1B002A" w14:textId="33AABD18" w:rsidR="007963CA" w:rsidRPr="00675182" w:rsidRDefault="007963CA" w:rsidP="007963CA">
      <w:pPr>
        <w:jc w:val="both"/>
        <w:rPr>
          <w:rFonts w:cstheme="minorHAnsi"/>
          <w:szCs w:val="24"/>
        </w:rPr>
      </w:pPr>
      <w:r w:rsidRPr="00675182">
        <w:rPr>
          <w:rFonts w:cstheme="minorHAnsi"/>
          <w:szCs w:val="24"/>
        </w:rPr>
        <w:t>Pusi no biotopu poligonu platības (30,5 ha), kuros nepieciešams veikt biotopu apsaimniekošanas pasākumus, veido biotopa 9010* Veci vai dabiski boreāli meži dažādu variantu biotopu poligoni. Visbiežāk norādīta nepieciešamība veikt mežaudzes dabiskošanas pasākumus, kas saistīts ar dabiskiem mežiem raksturīgo struktūru un procesu nepietiekamo pārstāvētību šajās platībās, lai arī struktūru daudzums šajās mežaudzēs ir bijis pietiekams biotopa izdalīšanai. Biotopa struktūras uzlabošanas pasākumi, kas plānojami šajās mežaudzēs, ir mirušās koksnes apjoma palielināšana, audzes telpiskās un vecuma struktūras uzlabošana veidojot atvērumus, kā arī biotopa kvalitāti pasliktinošu sukcesijas procesu ietekmes mazināšana. Pasākumu īstenošanas metodes un sasniedzamie rezultāti detalizēti aprakstīti vadlīnijās meža biotopu apsaimniekošanai (Ikauniece, 2017), kas izstrādātas DAP LIFE+ projekta NAT-PROGRAMME ietvaros. Kontrolēta dedzināšana, kā nepieciešamais apsaimniekošanas pasākums, norādīta vienam biotopa 9010* Veci vai dabiski boreāli meži poligonam 1,5 ha platībā. Tomēr jāņem vērā, ka pasākuma</w:t>
      </w:r>
      <w:r w:rsidR="00D228E2">
        <w:rPr>
          <w:rFonts w:cstheme="minorHAnsi"/>
          <w:szCs w:val="24"/>
        </w:rPr>
        <w:t xml:space="preserve"> </w:t>
      </w:r>
      <w:r w:rsidR="007C46E0" w:rsidRPr="00675182">
        <w:rPr>
          <w:rFonts w:cstheme="minorHAnsi"/>
          <w:szCs w:val="24"/>
        </w:rPr>
        <w:t xml:space="preserve">- </w:t>
      </w:r>
      <w:r w:rsidRPr="00675182">
        <w:rPr>
          <w:rFonts w:cstheme="minorHAnsi"/>
          <w:szCs w:val="24"/>
        </w:rPr>
        <w:t xml:space="preserve"> kontrolēta dedzināšana sagatavošanās un izpildes darbu veikšanai nepieciešama liela cilvēkresursu piesaiste, tāpēc šādi pasākumi efektīvāk plānojami lielākām meža platībām. Arī minētā biotopa platības kontrolētās dedzināšanas pasākuma realizācija būtu izvērtējama kontekstā ar šāda pasākuma nepieciešamību piegulošajās meža platībās.</w:t>
      </w:r>
    </w:p>
    <w:p w14:paraId="734D8FAA" w14:textId="77777777" w:rsidR="007C46E0" w:rsidRPr="00675182" w:rsidRDefault="007C46E0" w:rsidP="007963CA">
      <w:pPr>
        <w:jc w:val="both"/>
        <w:rPr>
          <w:rFonts w:cstheme="minorHAnsi"/>
          <w:szCs w:val="24"/>
        </w:rPr>
      </w:pPr>
    </w:p>
    <w:p w14:paraId="79E23A00" w14:textId="3A6AC437" w:rsidR="007963CA" w:rsidRPr="00675182" w:rsidRDefault="007963CA" w:rsidP="007963CA">
      <w:pPr>
        <w:jc w:val="both"/>
        <w:rPr>
          <w:rFonts w:cstheme="minorHAnsi"/>
          <w:szCs w:val="24"/>
        </w:rPr>
      </w:pPr>
      <w:r w:rsidRPr="00675182">
        <w:rPr>
          <w:rFonts w:cstheme="minorHAnsi"/>
          <w:szCs w:val="24"/>
        </w:rPr>
        <w:t>Papildus biotopa 9010* Veci vai dabiski boreāli meži apsaimniekošanas pasākumiem, biotopa kvalitāti pasliktinošu sukcesijas procesu ietekmes mazināšanas nepieciešamība</w:t>
      </w:r>
      <w:r w:rsidR="008E00F7" w:rsidRPr="00675182">
        <w:rPr>
          <w:rFonts w:cstheme="minorHAnsi"/>
          <w:szCs w:val="24"/>
        </w:rPr>
        <w:t xml:space="preserve"> biotopu inventarizācijas anketās</w:t>
      </w:r>
      <w:r w:rsidRPr="00675182">
        <w:rPr>
          <w:rFonts w:cstheme="minorHAnsi"/>
          <w:szCs w:val="24"/>
        </w:rPr>
        <w:t xml:space="preserve"> norādīta 10,5 ha biotopa 91D0* Purvaini meži. </w:t>
      </w:r>
      <w:r w:rsidR="007C46E0" w:rsidRPr="00675182">
        <w:rPr>
          <w:rFonts w:cstheme="minorHAnsi"/>
          <w:szCs w:val="24"/>
        </w:rPr>
        <w:t>Šajās platībās norādīta</w:t>
      </w:r>
      <w:r w:rsidRPr="00675182">
        <w:rPr>
          <w:rFonts w:cstheme="minorHAnsi"/>
          <w:szCs w:val="24"/>
        </w:rPr>
        <w:t xml:space="preserve"> nepieciešamība veikt pameža un paaugas egles izciršanu, lai uzlabotu dzīvotnes apstākļus medņu </w:t>
      </w:r>
      <w:r w:rsidRPr="00675182">
        <w:rPr>
          <w:rFonts w:cstheme="minorHAnsi"/>
          <w:i/>
          <w:iCs/>
          <w:szCs w:val="24"/>
        </w:rPr>
        <w:t>Tetrao urogallus</w:t>
      </w:r>
      <w:r w:rsidRPr="00675182">
        <w:rPr>
          <w:rFonts w:cstheme="minorHAnsi"/>
          <w:szCs w:val="24"/>
        </w:rPr>
        <w:t xml:space="preserve"> riestošanas platībās.</w:t>
      </w:r>
    </w:p>
    <w:p w14:paraId="20443A76" w14:textId="77777777" w:rsidR="007C46E0" w:rsidRPr="00675182" w:rsidRDefault="007C46E0" w:rsidP="007963CA">
      <w:pPr>
        <w:jc w:val="both"/>
        <w:rPr>
          <w:rFonts w:cstheme="minorHAnsi"/>
          <w:szCs w:val="24"/>
        </w:rPr>
      </w:pPr>
    </w:p>
    <w:p w14:paraId="76D7FDD2" w14:textId="7F81591A" w:rsidR="007963CA" w:rsidRPr="00675182" w:rsidRDefault="007963CA" w:rsidP="007963CA">
      <w:pPr>
        <w:jc w:val="both"/>
        <w:rPr>
          <w:rFonts w:cstheme="minorHAnsi"/>
          <w:szCs w:val="24"/>
        </w:rPr>
      </w:pPr>
      <w:r w:rsidRPr="00675182">
        <w:rPr>
          <w:rFonts w:cstheme="minorHAnsi"/>
          <w:szCs w:val="24"/>
        </w:rPr>
        <w:t>Hidroloģiskā režīma uzlabošanas nepieciešamība norādīta divu biotopu poligonos – biotopā 9050 Lakstaugiem bagāti egļu meži 13,4 ha platībā, un biotopā 9080* Staignāju meži 0,3 ha platībā.</w:t>
      </w:r>
    </w:p>
    <w:p w14:paraId="573149D0" w14:textId="77777777" w:rsidR="007963CA" w:rsidRPr="00675182" w:rsidRDefault="007963CA" w:rsidP="007963CA">
      <w:pPr>
        <w:jc w:val="both"/>
        <w:rPr>
          <w:rFonts w:cstheme="minorHAnsi"/>
          <w:sz w:val="22"/>
          <w:szCs w:val="22"/>
        </w:rPr>
      </w:pPr>
    </w:p>
    <w:p w14:paraId="18E99964" w14:textId="4AE32A1E" w:rsidR="007963CA" w:rsidRPr="00675182" w:rsidRDefault="007963CA" w:rsidP="007963CA">
      <w:pPr>
        <w:jc w:val="both"/>
        <w:rPr>
          <w:rFonts w:cstheme="minorHAnsi"/>
          <w:szCs w:val="24"/>
        </w:rPr>
      </w:pPr>
      <w:r w:rsidRPr="00675182">
        <w:rPr>
          <w:rFonts w:cstheme="minorHAnsi"/>
          <w:szCs w:val="24"/>
        </w:rPr>
        <w:lastRenderedPageBreak/>
        <w:t xml:space="preserve">Detalizēts pasākumu plāns darbiem, kas veicami katrā konkrētajā biotopā, sagatavojams attiecīgās zemes vienības </w:t>
      </w:r>
      <w:r w:rsidR="0067560B">
        <w:rPr>
          <w:rFonts w:cstheme="minorHAnsi"/>
          <w:szCs w:val="24"/>
        </w:rPr>
        <w:t>MAP</w:t>
      </w:r>
      <w:r w:rsidRPr="00675182">
        <w:rPr>
          <w:rFonts w:cstheme="minorHAnsi"/>
          <w:szCs w:val="24"/>
        </w:rPr>
        <w:t xml:space="preserve"> sagatavošanas ietvaros, pamatojoties uz sertificēta biotopu jomas eksperta atzinumā sniegtajiem norādījumiem.</w:t>
      </w:r>
    </w:p>
    <w:p w14:paraId="54AE4939" w14:textId="77777777" w:rsidR="007963CA" w:rsidRPr="00675182" w:rsidRDefault="007963CA" w:rsidP="007963CA">
      <w:pPr>
        <w:jc w:val="both"/>
        <w:rPr>
          <w:rFonts w:cstheme="minorHAnsi"/>
          <w:szCs w:val="24"/>
        </w:rPr>
      </w:pPr>
    </w:p>
    <w:p w14:paraId="04068EB2" w14:textId="07D39F50" w:rsidR="00587499" w:rsidRPr="00675182" w:rsidRDefault="007963CA" w:rsidP="007963CA">
      <w:pPr>
        <w:jc w:val="both"/>
        <w:rPr>
          <w:rFonts w:cstheme="minorHAnsi"/>
          <w:szCs w:val="24"/>
        </w:rPr>
      </w:pPr>
      <w:r w:rsidRPr="00675182">
        <w:rPr>
          <w:rFonts w:cstheme="minorHAnsi"/>
          <w:szCs w:val="24"/>
        </w:rPr>
        <w:t xml:space="preserve">Citi aizsargājamo meža biotopu apsaimniekošanas pasākumi biotopu kvalitātes uzlabošanai, kas ietverti attiecīgām zemes vienībām izstrādātajos un apstiprinātajos </w:t>
      </w:r>
      <w:r w:rsidR="001370FB">
        <w:rPr>
          <w:rFonts w:cstheme="minorHAnsi"/>
          <w:szCs w:val="24"/>
        </w:rPr>
        <w:t>MAP</w:t>
      </w:r>
      <w:r w:rsidRPr="00675182">
        <w:rPr>
          <w:rFonts w:cstheme="minorHAnsi"/>
          <w:szCs w:val="24"/>
        </w:rPr>
        <w:t>, īstenojami balstoties uz rekomendācijām, kas ietvertas vadlīnijās meža biotopu apsaimniekošanai (Ikauniece, 2017), kas izstrādātas DAP LIFE+ projekta NAT-PROGRAMME ietvaros.</w:t>
      </w:r>
      <w:r w:rsidR="008E00F7" w:rsidRPr="00675182">
        <w:rPr>
          <w:rFonts w:cstheme="minorHAnsi"/>
          <w:szCs w:val="24"/>
        </w:rPr>
        <w:t xml:space="preserve"> Kopumā kā minimālo mērķi biotopu kvalitātes uzlabošanai var izvirzīt 30,5 ha platības, kas atrodas valsts īpašumā un kam nav paredzēti pasākumi hidroloģiskā režīma uzlabošanai.</w:t>
      </w:r>
    </w:p>
    <w:p w14:paraId="1AF01978" w14:textId="77777777" w:rsidR="007963CA" w:rsidRPr="00675182" w:rsidRDefault="007963CA" w:rsidP="00587499">
      <w:pPr>
        <w:jc w:val="both"/>
        <w:rPr>
          <w:rFonts w:cstheme="minorHAnsi"/>
          <w:sz w:val="22"/>
          <w:szCs w:val="22"/>
        </w:rPr>
      </w:pPr>
    </w:p>
    <w:p w14:paraId="6529B522" w14:textId="430036CA" w:rsidR="00185391" w:rsidRPr="00675182" w:rsidRDefault="00185391" w:rsidP="00185391">
      <w:pPr>
        <w:jc w:val="both"/>
        <w:rPr>
          <w:rFonts w:cstheme="minorHAnsi"/>
          <w:b/>
          <w:bCs/>
          <w:szCs w:val="24"/>
        </w:rPr>
      </w:pPr>
      <w:r w:rsidRPr="00675182">
        <w:rPr>
          <w:rFonts w:cstheme="minorHAnsi"/>
          <w:b/>
          <w:bCs/>
          <w:szCs w:val="24"/>
        </w:rPr>
        <w:t>B.5.3. Mežaudzes struktūras dabiskošana mākslīgi ierīkotās un koptās mežaudzēs, mirušās koksnes daudzuma palielināšana</w:t>
      </w:r>
    </w:p>
    <w:p w14:paraId="0907DC9D" w14:textId="77777777" w:rsidR="00587499" w:rsidRPr="00675182" w:rsidRDefault="00587499" w:rsidP="00587499">
      <w:pPr>
        <w:jc w:val="both"/>
        <w:rPr>
          <w:rFonts w:cstheme="minorHAnsi"/>
          <w:bCs/>
          <w:szCs w:val="24"/>
        </w:rPr>
      </w:pPr>
      <w:r w:rsidRPr="00675182">
        <w:rPr>
          <w:rFonts w:cstheme="minorHAnsi"/>
          <w:bCs/>
          <w:szCs w:val="24"/>
        </w:rPr>
        <w:t xml:space="preserve">Mežaudžu dabiskošanas pasākumi būtu īstenojami, veidojot atvērumus audzēs, veicinot dažāda vecuma un jaukta sastāva mežaudžu attīstību, kā arī veicinot atmirušās koksnes veidošanos mākslīgi ierīkotās un koptās jaunaudzēs, vidēja vecuma audzēs un briestaudzēs. Pasākuma mērķis ir veicināt mākslīgi ierīkotu un mežsaimnieciski stipri ietekmētu mežaudžu ātrāku attīstību par bioloģiski vērtīgiem meža biotopiem. </w:t>
      </w:r>
    </w:p>
    <w:p w14:paraId="0DA73BB8" w14:textId="77777777" w:rsidR="00587499" w:rsidRPr="00675182" w:rsidRDefault="00587499" w:rsidP="00587499">
      <w:pPr>
        <w:jc w:val="both"/>
        <w:rPr>
          <w:rFonts w:cstheme="minorHAnsi"/>
          <w:bCs/>
          <w:szCs w:val="24"/>
        </w:rPr>
      </w:pPr>
    </w:p>
    <w:p w14:paraId="63AABCA9" w14:textId="5C936E71" w:rsidR="00587499" w:rsidRPr="00675182" w:rsidRDefault="00587499" w:rsidP="00587499">
      <w:pPr>
        <w:jc w:val="both"/>
        <w:rPr>
          <w:rFonts w:cstheme="minorHAnsi"/>
          <w:bCs/>
          <w:szCs w:val="24"/>
        </w:rPr>
      </w:pPr>
      <w:r w:rsidRPr="00675182">
        <w:rPr>
          <w:rFonts w:cstheme="minorHAnsi"/>
          <w:bCs/>
          <w:szCs w:val="24"/>
        </w:rPr>
        <w:t>Pasākuma ietvaros biotopu attīstības veicināšanai būtu veidojami atvērumi mežaudzē, piemēram, izcērtot kokus vai panākot koku nokalšanu 20 - 30 m diametra laukumos, kuros būtu jāveicina mežaudzes dabiska atjaunošanās. Tāpat veicama atmirušās koksnes, dažādās sadalīšanās pakāpēs (kritalu un sausokņu), veidošana. Atmirušās koksnes apjomu jāpalielina līdz vidēji 20 kubikmetriem uz h</w:t>
      </w:r>
      <w:r w:rsidR="007D2CEE" w:rsidRPr="00675182">
        <w:rPr>
          <w:rFonts w:cstheme="minorHAnsi"/>
          <w:bCs/>
          <w:szCs w:val="24"/>
        </w:rPr>
        <w:t>a vai vairāk</w:t>
      </w:r>
      <w:r w:rsidRPr="00675182">
        <w:rPr>
          <w:rFonts w:cstheme="minorHAnsi"/>
          <w:bCs/>
          <w:szCs w:val="24"/>
        </w:rPr>
        <w:t>, ar kritalām un</w:t>
      </w:r>
      <w:r w:rsidR="008D6252" w:rsidRPr="00675182">
        <w:rPr>
          <w:rFonts w:cstheme="minorHAnsi"/>
          <w:bCs/>
          <w:szCs w:val="24"/>
        </w:rPr>
        <w:t xml:space="preserve"> </w:t>
      </w:r>
      <w:r w:rsidRPr="00675182">
        <w:rPr>
          <w:rFonts w:cstheme="minorHAnsi"/>
          <w:bCs/>
          <w:szCs w:val="24"/>
        </w:rPr>
        <w:t xml:space="preserve">sausokņiem, kuru diametrs lielāks par 25 cm. To var panākt, veicot pasākumus, kas imitē dabisku koku atmiršanas procesu, piemēram, augošu koku gredzenošanu vai izgāšanu ar saknēm. Pasākums īstenojams, izvērtējot attiecīgo mežaudžu pieejamību, lai mazinātu risku, kas saistīts ar mirušās koksnes patvaļīgu izvākšanu, kas bieži novērojama apdzīvotu vietu un ceļu tuvumā. Vidēja vecuma un briestaudzēs nepieciešams veicināt atkārtotu atmirušās koksnes veidošanos, tā radot kritalas un sausokņus dažādās sadalīšanās pakāpēs, tādējādi nodrošinot dzīvotnes retajām un </w:t>
      </w:r>
      <w:r w:rsidR="00246134">
        <w:rPr>
          <w:rFonts w:cstheme="minorHAnsi"/>
          <w:bCs/>
          <w:szCs w:val="24"/>
        </w:rPr>
        <w:t>ĪA</w:t>
      </w:r>
      <w:r w:rsidRPr="00675182">
        <w:rPr>
          <w:rFonts w:cstheme="minorHAnsi"/>
          <w:bCs/>
          <w:szCs w:val="24"/>
        </w:rPr>
        <w:t xml:space="preserve"> sugām. Stāvošus, dzīvus kokus gredzeno, noņemot gredzena veidā apkārt stumbram 15 cm platumā mizu un kambija joslu, tādā veidā panākot koka nokalšanu ilgākā laika posmā. Lai atdarinātu dabiskos traucējumus, var kokus cirst, izgāzt ar saknēm vai gredzenot grupās (piemēram, 5-10 kokus vienkopus), tādā veidā veidojot atvērumus, kas imitē vēja vai kukaiņu darbības. Pastāvīgas svaigi atmirušas koksnes nodrošināšanai, šo pasākumu ieteicams mežaudzēs atkārtot ar 5 – 10 gadu intervālu.</w:t>
      </w:r>
    </w:p>
    <w:p w14:paraId="28148FCA" w14:textId="77777777" w:rsidR="00587499" w:rsidRPr="00675182" w:rsidRDefault="00587499" w:rsidP="00587499">
      <w:pPr>
        <w:jc w:val="both"/>
        <w:rPr>
          <w:rFonts w:cstheme="minorHAnsi"/>
          <w:bCs/>
          <w:szCs w:val="24"/>
        </w:rPr>
      </w:pPr>
    </w:p>
    <w:p w14:paraId="37DCFD8B" w14:textId="77777777" w:rsidR="00587499" w:rsidRPr="00675182" w:rsidRDefault="00587499" w:rsidP="00587499">
      <w:pPr>
        <w:jc w:val="both"/>
        <w:rPr>
          <w:rFonts w:cstheme="minorHAnsi"/>
          <w:bCs/>
          <w:szCs w:val="24"/>
        </w:rPr>
      </w:pPr>
      <w:r w:rsidRPr="00675182">
        <w:rPr>
          <w:rFonts w:cstheme="minorHAnsi"/>
          <w:bCs/>
          <w:szCs w:val="24"/>
        </w:rPr>
        <w:t xml:space="preserve">Pasākums plānojams priežu un egļu tīraudzēs, to pielāgojot situācijai attiecīgajā mežaudzē un paredzamajai audzes attīstības procesu dinamikai. Audzēs, kur dominē priede, atvērumi veidojami audzes vietās, kur dabiski izveidojušās retāku koku grupas. Veidojami lielāki atvērumi ar labiem gaismas apstākļiem, kuros veicināma atjaunošanas ar priedi. Turpretim egļu audzēs veidojami nelieli atvērumi un atvērumi ap platlapju kokiem vai platlapju koku grupām, kā arī vietās, kur audzē atrodas lokāli, pārmitri pazeminājumi, un veicināma jaukta sugu sastāva mežaudžu attīstība. Pieļaujama arī jaunu, mākslīgi ierīkotu egļu audžu auglīgos meža tipos (gārša, slapjā gārša) pilnīga </w:t>
      </w:r>
      <w:r w:rsidRPr="00675182">
        <w:rPr>
          <w:rFonts w:cstheme="minorHAnsi"/>
          <w:bCs/>
          <w:szCs w:val="24"/>
        </w:rPr>
        <w:lastRenderedPageBreak/>
        <w:t>novākšana, ja paredzams, ka iespējama dabiska atjaunošanās ar platlapju koku sugām vai apsi sajaukumā ar platlapju koku sugām.</w:t>
      </w:r>
    </w:p>
    <w:p w14:paraId="33F78A13" w14:textId="77777777" w:rsidR="00587499" w:rsidRPr="00675182" w:rsidRDefault="00587499" w:rsidP="00587499">
      <w:pPr>
        <w:jc w:val="both"/>
        <w:rPr>
          <w:rFonts w:cstheme="minorHAnsi"/>
          <w:bCs/>
          <w:szCs w:val="24"/>
        </w:rPr>
      </w:pPr>
    </w:p>
    <w:p w14:paraId="3A78C6CE" w14:textId="77777777" w:rsidR="00587499" w:rsidRPr="00675182" w:rsidRDefault="00587499" w:rsidP="00587499">
      <w:pPr>
        <w:jc w:val="both"/>
        <w:rPr>
          <w:rFonts w:cstheme="minorHAnsi"/>
          <w:bCs/>
          <w:szCs w:val="24"/>
        </w:rPr>
      </w:pPr>
      <w:r w:rsidRPr="00675182">
        <w:rPr>
          <w:rFonts w:cstheme="minorHAnsi"/>
          <w:bCs/>
          <w:szCs w:val="24"/>
        </w:rPr>
        <w:t>Vienlaikus ar mākslīgi ierīkoto mežaudžu dabiskošanas pasākumiem būtu veicama arī svešzemju koku sugu stādījumu novākšana, aizstājot tos ar mežaudzēm, kas attīstījušās dabiski atjaunojoties ar vietējām koku sugām.</w:t>
      </w:r>
    </w:p>
    <w:p w14:paraId="466FA6C0" w14:textId="77777777" w:rsidR="00587499" w:rsidRPr="00675182" w:rsidRDefault="00587499" w:rsidP="00587499">
      <w:pPr>
        <w:jc w:val="both"/>
        <w:rPr>
          <w:rFonts w:cstheme="minorHAnsi"/>
          <w:bCs/>
          <w:szCs w:val="24"/>
        </w:rPr>
      </w:pPr>
    </w:p>
    <w:p w14:paraId="445CEC64" w14:textId="7D2905A8" w:rsidR="00587499" w:rsidRPr="00675182" w:rsidRDefault="00587499" w:rsidP="00587499">
      <w:pPr>
        <w:jc w:val="both"/>
        <w:rPr>
          <w:rFonts w:cstheme="minorHAnsi"/>
          <w:bCs/>
          <w:szCs w:val="24"/>
        </w:rPr>
      </w:pPr>
      <w:r w:rsidRPr="00675182">
        <w:rPr>
          <w:rFonts w:cstheme="minorHAnsi"/>
          <w:bCs/>
          <w:szCs w:val="24"/>
        </w:rPr>
        <w:t xml:space="preserve">Sagatavojot </w:t>
      </w:r>
      <w:r w:rsidR="00A8622B">
        <w:rPr>
          <w:rFonts w:cstheme="minorHAnsi"/>
          <w:bCs/>
          <w:szCs w:val="24"/>
        </w:rPr>
        <w:t>MAP</w:t>
      </w:r>
      <w:r w:rsidRPr="00675182">
        <w:rPr>
          <w:rFonts w:cstheme="minorHAnsi"/>
          <w:bCs/>
          <w:szCs w:val="24"/>
        </w:rPr>
        <w:t>, izvērtējama iespēja pielietot kontrolētu dedzināšanu atbilstošās platībās, kā vienu no pasākumiem, homogēnu vidēji vecu vai priežu briestaudžu mežaudžu dabiskošanai un boreālajiem mežiem raksturīgo pirofīlo aizsargājamo bezmugurkaulnieku sugu dzīvotņu kvalitātes uzlabošanai. Pasākuma pielietošanas izvērtējumam ieteicams ņemt vērā vadlīnijas meža biotopu apsaimniekošanai, kas izstrādātas DAP LIFE+ projekta NAT-PROGRAMME ietvaros.</w:t>
      </w:r>
    </w:p>
    <w:p w14:paraId="3BE58D99" w14:textId="77777777" w:rsidR="00587499" w:rsidRPr="00675182" w:rsidRDefault="00587499" w:rsidP="00587499">
      <w:pPr>
        <w:jc w:val="both"/>
        <w:rPr>
          <w:rFonts w:cstheme="minorHAnsi"/>
          <w:bCs/>
          <w:szCs w:val="24"/>
        </w:rPr>
      </w:pPr>
    </w:p>
    <w:p w14:paraId="7075F52E" w14:textId="29CAFF82" w:rsidR="00587499" w:rsidRPr="00675182" w:rsidRDefault="00587499" w:rsidP="00587499">
      <w:pPr>
        <w:jc w:val="both"/>
        <w:rPr>
          <w:rFonts w:cstheme="minorHAnsi"/>
          <w:bCs/>
          <w:szCs w:val="24"/>
        </w:rPr>
      </w:pPr>
      <w:r w:rsidRPr="00675182">
        <w:rPr>
          <w:rFonts w:cstheme="minorHAnsi"/>
          <w:bCs/>
          <w:szCs w:val="24"/>
        </w:rPr>
        <w:t xml:space="preserve">Mežaudžu dabiskošanas pasākumi plānojami arī atsevišķos </w:t>
      </w:r>
      <w:r w:rsidR="00A8622B">
        <w:rPr>
          <w:rFonts w:cstheme="minorHAnsi"/>
          <w:bCs/>
          <w:szCs w:val="24"/>
        </w:rPr>
        <w:t>ĪA</w:t>
      </w:r>
      <w:r w:rsidRPr="00675182">
        <w:rPr>
          <w:rFonts w:cstheme="minorHAnsi"/>
          <w:bCs/>
          <w:szCs w:val="24"/>
        </w:rPr>
        <w:t xml:space="preserve"> biotopu poligonos. Mežaudzēs avoksnāju biotopos (7160 Minerālvielām bagāti avoti un avotu purvi) veicināma audzes izrobošanās. Egļu audzēs to var panākt gredzenojot atsevišķus kokus izklaidus mežaudzē, katrā šādā objektā izvērtējot meža kaitēkļu iespējamo savairošanās risku. Pēc šo koku atmiršanas un nokrišanas ir paredzama atvērumu pakāpeniska paplašināšanās.</w:t>
      </w:r>
    </w:p>
    <w:p w14:paraId="2A7B0092" w14:textId="77777777" w:rsidR="00F82B98" w:rsidRPr="00675182" w:rsidRDefault="00F82B98" w:rsidP="00587499">
      <w:pPr>
        <w:jc w:val="both"/>
        <w:rPr>
          <w:rFonts w:cstheme="minorHAnsi"/>
          <w:bCs/>
          <w:szCs w:val="24"/>
        </w:rPr>
      </w:pPr>
    </w:p>
    <w:p w14:paraId="101C9213" w14:textId="64BD9562" w:rsidR="00587499" w:rsidRPr="00675182" w:rsidRDefault="00587499" w:rsidP="00587499">
      <w:pPr>
        <w:jc w:val="both"/>
        <w:rPr>
          <w:rFonts w:cstheme="minorHAnsi"/>
          <w:bCs/>
          <w:szCs w:val="24"/>
        </w:rPr>
      </w:pPr>
      <w:r w:rsidRPr="00675182">
        <w:rPr>
          <w:rFonts w:cstheme="minorHAnsi"/>
          <w:bCs/>
          <w:szCs w:val="24"/>
        </w:rPr>
        <w:t>Meža biotopu attīstības un aizsargājamu biotopu apsaimniekošanas pasākumi veicami nodrošinot traucējumu samazināšanu putnu ligzdošanas laikā – periodā no 15. marta līdz 31. jūlijam, biotopu apsaimniekošanas pasākumi veicami ārpus šī perioda.</w:t>
      </w:r>
      <w:r w:rsidR="002A2943" w:rsidRPr="00675182">
        <w:rPr>
          <w:rFonts w:cstheme="minorHAnsi"/>
          <w:bCs/>
          <w:szCs w:val="24"/>
        </w:rPr>
        <w:t xml:space="preserve"> Kopējā platība, kurā vēlama šādu pasākumu veikšana, ir </w:t>
      </w:r>
      <w:r w:rsidR="008E00F7" w:rsidRPr="00675182">
        <w:rPr>
          <w:rFonts w:cstheme="minorHAnsi"/>
          <w:bCs/>
          <w:szCs w:val="24"/>
        </w:rPr>
        <w:t>vismaz 650</w:t>
      </w:r>
      <w:r w:rsidR="002A2943" w:rsidRPr="00675182">
        <w:rPr>
          <w:rFonts w:cstheme="minorHAnsi"/>
          <w:bCs/>
          <w:szCs w:val="24"/>
        </w:rPr>
        <w:t xml:space="preserve"> ha.</w:t>
      </w:r>
    </w:p>
    <w:p w14:paraId="5818C869" w14:textId="77777777" w:rsidR="00F82B98" w:rsidRPr="00675182" w:rsidRDefault="00F82B98" w:rsidP="00587499">
      <w:pPr>
        <w:jc w:val="both"/>
        <w:rPr>
          <w:rFonts w:cstheme="minorHAnsi"/>
          <w:bCs/>
          <w:szCs w:val="24"/>
        </w:rPr>
      </w:pPr>
    </w:p>
    <w:p w14:paraId="3BB152FF" w14:textId="52572015" w:rsidR="007D2CEE" w:rsidRPr="00675182" w:rsidRDefault="00F82B98" w:rsidP="00587499">
      <w:pPr>
        <w:jc w:val="both"/>
        <w:rPr>
          <w:rFonts w:cstheme="minorHAnsi"/>
          <w:bCs/>
          <w:szCs w:val="24"/>
        </w:rPr>
      </w:pPr>
      <w:r w:rsidRPr="00675182">
        <w:rPr>
          <w:rFonts w:cstheme="minorHAnsi"/>
          <w:bCs/>
          <w:szCs w:val="24"/>
        </w:rPr>
        <w:t>Platības, kurās veikti meža biotopu attīstības pasākumi, fiksējamas DDPS “Ozols” ar kodu 9XXX kā potenciāli ES nozīmes aizsargājamie meža biotopi. Šajās platībās paredzama iespēja pretendēt uz kompensējošiem maksājumiem par meža apsaimniekošanas ierobežojumiem Natura 2000 teritorijās.</w:t>
      </w:r>
    </w:p>
    <w:p w14:paraId="218F0CA9" w14:textId="77777777" w:rsidR="00185391" w:rsidRPr="00675182" w:rsidRDefault="00185391" w:rsidP="00185391">
      <w:pPr>
        <w:jc w:val="both"/>
        <w:rPr>
          <w:rFonts w:cstheme="minorHAnsi"/>
          <w:b/>
          <w:bCs/>
          <w:szCs w:val="24"/>
        </w:rPr>
      </w:pPr>
    </w:p>
    <w:p w14:paraId="647115DB" w14:textId="190015E4" w:rsidR="002D3D21" w:rsidRPr="00675182" w:rsidRDefault="00185391" w:rsidP="00185391">
      <w:pPr>
        <w:jc w:val="both"/>
        <w:rPr>
          <w:rFonts w:cstheme="minorHAnsi"/>
          <w:b/>
          <w:bCs/>
          <w:szCs w:val="24"/>
        </w:rPr>
      </w:pPr>
      <w:r w:rsidRPr="00675182">
        <w:rPr>
          <w:rFonts w:cstheme="minorHAnsi"/>
          <w:b/>
          <w:bCs/>
          <w:szCs w:val="24"/>
        </w:rPr>
        <w:t xml:space="preserve">B.5.4. Neiejaukšanās meža dabiskajos attīstības procesos </w:t>
      </w:r>
      <w:r w:rsidR="006F2429" w:rsidRPr="00675182">
        <w:rPr>
          <w:rFonts w:cstheme="minorHAnsi"/>
          <w:b/>
          <w:bCs/>
          <w:szCs w:val="24"/>
        </w:rPr>
        <w:t>13879</w:t>
      </w:r>
      <w:r w:rsidRPr="00675182">
        <w:rPr>
          <w:rFonts w:cstheme="minorHAnsi"/>
          <w:b/>
          <w:bCs/>
          <w:szCs w:val="24"/>
        </w:rPr>
        <w:t xml:space="preserve"> ha platībā</w:t>
      </w:r>
    </w:p>
    <w:p w14:paraId="4D2A5881" w14:textId="14D7E191" w:rsidR="00587499" w:rsidRPr="00675182" w:rsidRDefault="00587499" w:rsidP="00587499">
      <w:pPr>
        <w:jc w:val="both"/>
        <w:rPr>
          <w:rFonts w:cstheme="minorHAnsi"/>
          <w:bCs/>
          <w:szCs w:val="24"/>
        </w:rPr>
      </w:pPr>
      <w:r w:rsidRPr="00675182">
        <w:rPr>
          <w:rFonts w:cstheme="minorHAnsi"/>
          <w:bCs/>
          <w:szCs w:val="24"/>
        </w:rPr>
        <w:t xml:space="preserve">Neiejaukšanās mežaudžu dabiskajā attīstībā nozīmē, ka biotopā nenotiek aktīva cilvēka darbība, kas saistīta ar koku vai krūmu ciršanu, kaltušo koku vai kritalu izvākšanu vai ietekmi uz augsni, transporta pārvietošanās, mākslīgi radītas nelabvēlīgas hidroloģiskā režīma izmaiņas. Dabiskie procesi netiek ierobežoti vai traucēti. Tajā pašā laikā biotopu teritoriju var izmantot zinātniskajai izpētei, </w:t>
      </w:r>
      <w:r w:rsidR="007D2CEE" w:rsidRPr="00675182">
        <w:rPr>
          <w:rFonts w:cstheme="minorHAnsi"/>
          <w:bCs/>
          <w:szCs w:val="24"/>
        </w:rPr>
        <w:t xml:space="preserve">ekstensīvai </w:t>
      </w:r>
      <w:r w:rsidRPr="00675182">
        <w:rPr>
          <w:rFonts w:cstheme="minorHAnsi"/>
          <w:bCs/>
          <w:szCs w:val="24"/>
        </w:rPr>
        <w:t>rekreācijai, ogu un sēņu lasīšanai, medībām, kas, ja vien nenotiek biotopa struktūru vai sugu iznīcināšana, to negatīvi neietekmē. Dabisko procesu netraucēta norise ļauj novērot procesus ilgākā laika periodā, iegūstot zināšanas par biotopa dabisko attīstību, dabiskajiem procesiem un traucējumu dinamiku meža ekosistēmās.</w:t>
      </w:r>
    </w:p>
    <w:p w14:paraId="366E17E1" w14:textId="77777777" w:rsidR="002D3D21" w:rsidRPr="00675182" w:rsidRDefault="002D3D21" w:rsidP="002D3D21">
      <w:pPr>
        <w:jc w:val="both"/>
        <w:rPr>
          <w:rFonts w:cstheme="minorHAnsi"/>
          <w:szCs w:val="24"/>
        </w:rPr>
      </w:pPr>
    </w:p>
    <w:p w14:paraId="7CDD199C" w14:textId="0CD5081C" w:rsidR="006F682B" w:rsidRPr="00675182" w:rsidRDefault="006F682B" w:rsidP="007D1CC5">
      <w:pPr>
        <w:pStyle w:val="Footer"/>
        <w:suppressAutoHyphens w:val="0"/>
        <w:jc w:val="both"/>
        <w:rPr>
          <w:rFonts w:cstheme="minorHAnsi"/>
          <w:b/>
          <w:bCs/>
          <w:szCs w:val="24"/>
          <w:u w:val="single"/>
          <w:lang w:val="lv-LV"/>
        </w:rPr>
      </w:pPr>
      <w:bookmarkStart w:id="157" w:name="_Hlk96941007"/>
      <w:r w:rsidRPr="00675182">
        <w:rPr>
          <w:rFonts w:cstheme="minorHAnsi"/>
          <w:b/>
          <w:bCs/>
          <w:szCs w:val="24"/>
          <w:u w:val="single"/>
          <w:lang w:val="lv-LV"/>
        </w:rPr>
        <w:t xml:space="preserve">B.6. </w:t>
      </w:r>
      <w:r w:rsidR="00B31571" w:rsidRPr="00675182">
        <w:rPr>
          <w:rFonts w:cstheme="minorHAnsi"/>
          <w:b/>
          <w:bCs/>
          <w:szCs w:val="24"/>
          <w:u w:val="single"/>
          <w:lang w:val="lv-LV"/>
        </w:rPr>
        <w:t>Retām un īpaši aizsargājamām sugām labvēlīga aizsardzības stāvokļa nodrošināšana</w:t>
      </w:r>
    </w:p>
    <w:p w14:paraId="79B3AC12" w14:textId="77777777" w:rsidR="006F682B" w:rsidRPr="00675182" w:rsidRDefault="006F682B" w:rsidP="006F682B">
      <w:pPr>
        <w:pStyle w:val="Footer"/>
        <w:suppressAutoHyphens w:val="0"/>
        <w:rPr>
          <w:rFonts w:cstheme="minorHAnsi"/>
          <w:b/>
          <w:bCs/>
          <w:szCs w:val="24"/>
          <w:u w:val="single"/>
          <w:lang w:val="lv-LV"/>
        </w:rPr>
      </w:pPr>
    </w:p>
    <w:p w14:paraId="62E17112" w14:textId="30A411ED" w:rsidR="00AF6465" w:rsidRPr="00675182" w:rsidRDefault="00AF6465" w:rsidP="00AF6465">
      <w:pPr>
        <w:pStyle w:val="Footer"/>
        <w:suppressAutoHyphens w:val="0"/>
        <w:jc w:val="both"/>
        <w:rPr>
          <w:rFonts w:cstheme="minorHAnsi"/>
          <w:szCs w:val="24"/>
          <w:lang w:val="lv-LV"/>
        </w:rPr>
      </w:pPr>
      <w:r w:rsidRPr="00675182">
        <w:rPr>
          <w:rFonts w:cstheme="minorHAnsi"/>
          <w:bCs/>
          <w:szCs w:val="24"/>
          <w:lang w:val="lv-LV"/>
        </w:rPr>
        <w:t>Daļēji sugu aizsardzībai paredzētie apsaimniekošanas pasākumi pārklājas ar biotopu apsaimniekošanas pasākumiem,</w:t>
      </w:r>
      <w:r w:rsidRPr="00675182">
        <w:rPr>
          <w:rFonts w:cstheme="minorHAnsi"/>
          <w:szCs w:val="24"/>
          <w:lang w:val="lv-LV"/>
        </w:rPr>
        <w:t xml:space="preserve"> piemēram,:</w:t>
      </w:r>
    </w:p>
    <w:p w14:paraId="7DBBAFB4" w14:textId="77777777" w:rsidR="00AF6465" w:rsidRPr="00675182" w:rsidRDefault="00AF6465" w:rsidP="00A84218">
      <w:pPr>
        <w:pStyle w:val="Footer"/>
        <w:numPr>
          <w:ilvl w:val="0"/>
          <w:numId w:val="29"/>
        </w:numPr>
        <w:suppressAutoHyphens w:val="0"/>
        <w:jc w:val="both"/>
        <w:rPr>
          <w:rFonts w:cstheme="minorHAnsi"/>
          <w:szCs w:val="24"/>
          <w:lang w:val="lv-LV"/>
        </w:rPr>
      </w:pPr>
      <w:r w:rsidRPr="00675182">
        <w:rPr>
          <w:rFonts w:cstheme="minorHAnsi"/>
          <w:szCs w:val="24"/>
          <w:lang w:val="lv-LV"/>
        </w:rPr>
        <w:lastRenderedPageBreak/>
        <w:t>bebru skaita kontrole un koku sagāzumu izvākšana;</w:t>
      </w:r>
    </w:p>
    <w:p w14:paraId="2450895F" w14:textId="77777777" w:rsidR="00AF6465" w:rsidRPr="00675182" w:rsidRDefault="00AF6465" w:rsidP="00A84218">
      <w:pPr>
        <w:pStyle w:val="Footer"/>
        <w:numPr>
          <w:ilvl w:val="0"/>
          <w:numId w:val="29"/>
        </w:numPr>
        <w:suppressAutoHyphens w:val="0"/>
        <w:jc w:val="both"/>
        <w:rPr>
          <w:rFonts w:cstheme="minorHAnsi"/>
          <w:szCs w:val="24"/>
          <w:lang w:val="lv-LV"/>
        </w:rPr>
      </w:pPr>
      <w:r w:rsidRPr="00675182">
        <w:rPr>
          <w:rFonts w:cstheme="minorHAnsi"/>
          <w:szCs w:val="24"/>
          <w:lang w:val="lv-LV"/>
        </w:rPr>
        <w:t>zālāju apsaimniekošana un atjaunošana;</w:t>
      </w:r>
    </w:p>
    <w:p w14:paraId="40B2DA74" w14:textId="215080C0" w:rsidR="00AF6465" w:rsidRPr="00675182" w:rsidRDefault="00AF6465" w:rsidP="00A84218">
      <w:pPr>
        <w:pStyle w:val="Footer"/>
        <w:numPr>
          <w:ilvl w:val="0"/>
          <w:numId w:val="29"/>
        </w:numPr>
        <w:suppressAutoHyphens w:val="0"/>
        <w:jc w:val="both"/>
        <w:rPr>
          <w:rFonts w:cstheme="minorHAnsi"/>
          <w:szCs w:val="24"/>
          <w:lang w:val="lv-LV"/>
        </w:rPr>
      </w:pPr>
      <w:r w:rsidRPr="00675182">
        <w:rPr>
          <w:rFonts w:cstheme="minorHAnsi"/>
          <w:szCs w:val="24"/>
          <w:lang w:val="lv-LV"/>
        </w:rPr>
        <w:t xml:space="preserve">neiejaukšanās ES nozīmes mežu biotopos. </w:t>
      </w:r>
    </w:p>
    <w:p w14:paraId="2867FC73" w14:textId="77777777" w:rsidR="00AF6465" w:rsidRPr="00675182" w:rsidRDefault="00AF6465" w:rsidP="00AF6465">
      <w:pPr>
        <w:pStyle w:val="Footer"/>
        <w:suppressAutoHyphens w:val="0"/>
        <w:ind w:left="720"/>
        <w:jc w:val="both"/>
        <w:rPr>
          <w:rFonts w:cstheme="minorHAnsi"/>
          <w:szCs w:val="24"/>
          <w:lang w:val="lv-LV"/>
        </w:rPr>
      </w:pPr>
    </w:p>
    <w:p w14:paraId="5D547AB5" w14:textId="665E2F71" w:rsidR="00AF6465" w:rsidRPr="00675182" w:rsidRDefault="00AF6465" w:rsidP="00121CE7">
      <w:pPr>
        <w:pStyle w:val="Footer"/>
        <w:suppressAutoHyphens w:val="0"/>
        <w:jc w:val="both"/>
        <w:rPr>
          <w:rFonts w:cstheme="minorHAnsi"/>
          <w:szCs w:val="24"/>
          <w:lang w:val="lv-LV"/>
        </w:rPr>
      </w:pPr>
      <w:r w:rsidRPr="00675182">
        <w:rPr>
          <w:rFonts w:cstheme="minorHAnsi"/>
          <w:bCs/>
          <w:szCs w:val="24"/>
          <w:lang w:val="lv-LV"/>
        </w:rPr>
        <w:t>Jo, ja biotops tiek uzturēts labā stāvoklī, arī tajā esošajām sugām tiek nodrošināta atbilstoša dzīves vide.</w:t>
      </w:r>
    </w:p>
    <w:p w14:paraId="177CE46C" w14:textId="77777777" w:rsidR="00AF6465" w:rsidRPr="00675182" w:rsidRDefault="00AF6465" w:rsidP="00121CE7">
      <w:pPr>
        <w:pStyle w:val="Footer"/>
        <w:suppressAutoHyphens w:val="0"/>
        <w:jc w:val="both"/>
        <w:rPr>
          <w:rFonts w:cstheme="minorHAnsi"/>
          <w:szCs w:val="24"/>
          <w:lang w:val="lv-LV"/>
        </w:rPr>
      </w:pPr>
    </w:p>
    <w:p w14:paraId="08F84C90" w14:textId="618C0EB2" w:rsidR="00FB2667" w:rsidRPr="00675182" w:rsidRDefault="00FB2667" w:rsidP="00121CE7">
      <w:pPr>
        <w:pStyle w:val="Footer"/>
        <w:suppressAutoHyphens w:val="0"/>
        <w:jc w:val="both"/>
        <w:rPr>
          <w:rFonts w:cstheme="minorHAnsi"/>
          <w:szCs w:val="24"/>
          <w:lang w:val="lv-LV"/>
        </w:rPr>
      </w:pPr>
      <w:r w:rsidRPr="00675182">
        <w:rPr>
          <w:rFonts w:cstheme="minorHAnsi"/>
          <w:szCs w:val="24"/>
          <w:lang w:val="lv-LV"/>
        </w:rPr>
        <w:t xml:space="preserve">Reto un aizsargājamo sugu populāciju aizsargāšanai un saglabāšanai nozīmīgs pasākums ir GNP IAIN projekta un funkcionālā zonējuma apstiprināšana, kur </w:t>
      </w:r>
      <w:r w:rsidRPr="00675182">
        <w:rPr>
          <w:rFonts w:cstheme="minorHAnsi"/>
          <w:szCs w:val="24"/>
          <w:lang w:val="lv-LV"/>
        </w:rPr>
        <w:tab/>
        <w:t xml:space="preserve">nozīmīgākās reto un aizsargājamo sugu atradnes tiks iekļautas </w:t>
      </w:r>
      <w:r w:rsidR="00FC6047">
        <w:rPr>
          <w:rFonts w:cstheme="minorHAnsi"/>
          <w:szCs w:val="24"/>
          <w:lang w:val="lv-LV"/>
        </w:rPr>
        <w:t>SRZ</w:t>
      </w:r>
      <w:r w:rsidRPr="00675182">
        <w:rPr>
          <w:rFonts w:cstheme="minorHAnsi"/>
          <w:szCs w:val="24"/>
          <w:lang w:val="lv-LV"/>
        </w:rPr>
        <w:t xml:space="preserve">, </w:t>
      </w:r>
      <w:r w:rsidR="00FC6047">
        <w:rPr>
          <w:rFonts w:cstheme="minorHAnsi"/>
          <w:szCs w:val="24"/>
          <w:lang w:val="lv-LV"/>
        </w:rPr>
        <w:t>DLZ</w:t>
      </w:r>
      <w:r w:rsidRPr="00675182">
        <w:rPr>
          <w:rFonts w:cstheme="minorHAnsi"/>
          <w:szCs w:val="24"/>
          <w:lang w:val="lv-LV"/>
        </w:rPr>
        <w:t xml:space="preserve"> </w:t>
      </w:r>
      <w:r w:rsidR="00AF6465" w:rsidRPr="00675182">
        <w:rPr>
          <w:rFonts w:cstheme="minorHAnsi"/>
          <w:szCs w:val="24"/>
          <w:lang w:val="lv-LV"/>
        </w:rPr>
        <w:t>vai</w:t>
      </w:r>
      <w:r w:rsidRPr="00675182">
        <w:rPr>
          <w:rFonts w:cstheme="minorHAnsi"/>
          <w:szCs w:val="24"/>
          <w:lang w:val="lv-LV"/>
        </w:rPr>
        <w:t xml:space="preserve"> </w:t>
      </w:r>
      <w:r w:rsidR="00FC6047">
        <w:rPr>
          <w:rFonts w:cstheme="minorHAnsi"/>
          <w:szCs w:val="24"/>
          <w:lang w:val="lv-LV"/>
        </w:rPr>
        <w:t>DPZ</w:t>
      </w:r>
      <w:r w:rsidRPr="00675182">
        <w:rPr>
          <w:rFonts w:cstheme="minorHAnsi"/>
          <w:szCs w:val="24"/>
          <w:lang w:val="lv-LV"/>
        </w:rPr>
        <w:t xml:space="preserve"> ar attiecīgiem saimnieciskās darbības ierobežojumiem, kas sekmē sugu atradņu saglabāšanos</w:t>
      </w:r>
      <w:r w:rsidR="00121CE7" w:rsidRPr="00675182">
        <w:rPr>
          <w:rFonts w:cstheme="minorHAnsi"/>
          <w:szCs w:val="24"/>
          <w:lang w:val="lv-LV"/>
        </w:rPr>
        <w:t>.</w:t>
      </w:r>
    </w:p>
    <w:p w14:paraId="34288C66" w14:textId="77777777" w:rsidR="003A02D1" w:rsidRPr="00675182" w:rsidRDefault="003A02D1" w:rsidP="00BF6DA3">
      <w:pPr>
        <w:pStyle w:val="Footer"/>
        <w:suppressAutoHyphens w:val="0"/>
        <w:ind w:left="720"/>
        <w:jc w:val="both"/>
        <w:rPr>
          <w:rFonts w:cstheme="minorHAnsi"/>
          <w:szCs w:val="24"/>
          <w:lang w:val="lv-LV"/>
        </w:rPr>
      </w:pPr>
    </w:p>
    <w:p w14:paraId="4569A41F" w14:textId="12EAA7E1" w:rsidR="006F682B" w:rsidRPr="00675182" w:rsidRDefault="00AF6465" w:rsidP="00FB2667">
      <w:pPr>
        <w:pStyle w:val="Footer"/>
        <w:suppressAutoHyphens w:val="0"/>
        <w:jc w:val="both"/>
        <w:rPr>
          <w:rFonts w:cstheme="minorHAnsi"/>
          <w:szCs w:val="24"/>
          <w:lang w:val="lv-LV"/>
        </w:rPr>
      </w:pPr>
      <w:r w:rsidRPr="00675182">
        <w:rPr>
          <w:rFonts w:cstheme="minorHAnsi"/>
          <w:szCs w:val="24"/>
          <w:lang w:val="lv-LV"/>
        </w:rPr>
        <w:t>Tomēr, l</w:t>
      </w:r>
      <w:r w:rsidR="00FB2667" w:rsidRPr="00675182">
        <w:rPr>
          <w:rFonts w:cstheme="minorHAnsi"/>
          <w:szCs w:val="24"/>
          <w:lang w:val="lv-LV"/>
        </w:rPr>
        <w:t xml:space="preserve">ai sekmētu reto un aizsargājamo sugu populāciju </w:t>
      </w:r>
      <w:r w:rsidR="00A90CF5" w:rsidRPr="00675182">
        <w:rPr>
          <w:rFonts w:cstheme="minorHAnsi"/>
          <w:szCs w:val="24"/>
          <w:lang w:val="lv-LV"/>
        </w:rPr>
        <w:t>aizsardzību un saglabāšanu,</w:t>
      </w:r>
      <w:r w:rsidR="00FB2667" w:rsidRPr="00675182">
        <w:rPr>
          <w:rFonts w:cstheme="minorHAnsi"/>
          <w:szCs w:val="24"/>
          <w:lang w:val="lv-LV"/>
        </w:rPr>
        <w:t xml:space="preserve"> </w:t>
      </w:r>
      <w:r w:rsidR="00A90CF5" w:rsidRPr="00675182">
        <w:rPr>
          <w:rFonts w:cstheme="minorHAnsi"/>
          <w:szCs w:val="24"/>
          <w:lang w:val="lv-LV"/>
        </w:rPr>
        <w:t>GNP teritorijā ir</w:t>
      </w:r>
      <w:r w:rsidR="00FB2667" w:rsidRPr="00675182">
        <w:rPr>
          <w:rFonts w:cstheme="minorHAnsi"/>
          <w:szCs w:val="24"/>
          <w:lang w:val="lv-LV"/>
        </w:rPr>
        <w:t xml:space="preserve"> nepieciešam</w:t>
      </w:r>
      <w:r w:rsidR="00A90CF5" w:rsidRPr="00675182">
        <w:rPr>
          <w:rFonts w:cstheme="minorHAnsi"/>
          <w:szCs w:val="24"/>
          <w:lang w:val="lv-LV"/>
        </w:rPr>
        <w:t>s</w:t>
      </w:r>
      <w:r w:rsidR="00FB2667" w:rsidRPr="00675182">
        <w:rPr>
          <w:rFonts w:cstheme="minorHAnsi"/>
          <w:szCs w:val="24"/>
          <w:lang w:val="lv-LV"/>
        </w:rPr>
        <w:t xml:space="preserve"> </w:t>
      </w:r>
      <w:r w:rsidR="00A90CF5" w:rsidRPr="00675182">
        <w:rPr>
          <w:rFonts w:cstheme="minorHAnsi"/>
          <w:szCs w:val="24"/>
          <w:lang w:val="lv-LV"/>
        </w:rPr>
        <w:t>īstenot atsevišķus specifiskus pasākumus.</w:t>
      </w:r>
    </w:p>
    <w:p w14:paraId="0245F85B" w14:textId="5155726E" w:rsidR="00500993" w:rsidRPr="00675182" w:rsidRDefault="00500993" w:rsidP="002B3341">
      <w:pPr>
        <w:rPr>
          <w:rFonts w:cstheme="minorHAnsi"/>
          <w:sz w:val="22"/>
          <w:szCs w:val="22"/>
        </w:rPr>
      </w:pPr>
    </w:p>
    <w:p w14:paraId="308201E7" w14:textId="77777777" w:rsidR="003A69CE" w:rsidRPr="00675182" w:rsidRDefault="003A69CE" w:rsidP="003A69CE">
      <w:pPr>
        <w:rPr>
          <w:rFonts w:cstheme="minorHAnsi"/>
          <w:b/>
          <w:szCs w:val="24"/>
        </w:rPr>
      </w:pPr>
      <w:r w:rsidRPr="00675182">
        <w:rPr>
          <w:rFonts w:cstheme="minorHAnsi"/>
          <w:b/>
          <w:szCs w:val="24"/>
        </w:rPr>
        <w:t xml:space="preserve">B.6.1., B.6.2., B.6.3., B.6.4. Lapkoku praulgrauža </w:t>
      </w:r>
      <w:r w:rsidRPr="00675182">
        <w:rPr>
          <w:rFonts w:cstheme="minorHAnsi"/>
          <w:b/>
          <w:i/>
          <w:szCs w:val="24"/>
        </w:rPr>
        <w:t xml:space="preserve">Osmoderma barnabita </w:t>
      </w:r>
      <w:r w:rsidRPr="00675182">
        <w:rPr>
          <w:rFonts w:cstheme="minorHAnsi"/>
          <w:b/>
          <w:szCs w:val="24"/>
        </w:rPr>
        <w:t xml:space="preserve">aizsardzības pasākumi </w:t>
      </w:r>
    </w:p>
    <w:p w14:paraId="068FB8BD" w14:textId="77777777" w:rsidR="003A69CE" w:rsidRPr="00675182" w:rsidRDefault="003A69CE" w:rsidP="003A69CE">
      <w:pPr>
        <w:jc w:val="both"/>
        <w:rPr>
          <w:rFonts w:cstheme="minorHAnsi"/>
          <w:szCs w:val="24"/>
        </w:rPr>
      </w:pPr>
      <w:r w:rsidRPr="00675182">
        <w:rPr>
          <w:rFonts w:cstheme="minorHAnsi"/>
          <w:szCs w:val="24"/>
        </w:rPr>
        <w:t xml:space="preserve">Lapkoku praulgrauža </w:t>
      </w:r>
      <w:r w:rsidRPr="00675182">
        <w:rPr>
          <w:rFonts w:cstheme="minorHAnsi"/>
          <w:i/>
          <w:szCs w:val="24"/>
        </w:rPr>
        <w:t xml:space="preserve">Osmoderma barnabita </w:t>
      </w:r>
      <w:r w:rsidRPr="00675182">
        <w:rPr>
          <w:rFonts w:cstheme="minorHAnsi"/>
          <w:szCs w:val="24"/>
        </w:rPr>
        <w:t xml:space="preserve">dzīvotņu izvērtējums un apsaimniekošanas pasākumu plānošana tika veikta, balstoties uz bezmugurkaulnieku ekspertu apsekojumiem, un ņemot vērā datus, kas pieejami ES LIFE+ programmas projekta FOR-REST apsaimniekošanas programmā: “Gravu un nogāžu mežu 9180* un lapkoku praulgrauža </w:t>
      </w:r>
      <w:r w:rsidRPr="00675182">
        <w:rPr>
          <w:rFonts w:cstheme="minorHAnsi"/>
          <w:i/>
          <w:szCs w:val="24"/>
        </w:rPr>
        <w:t>Osmoderma eremita</w:t>
      </w:r>
      <w:r w:rsidRPr="00675182">
        <w:rPr>
          <w:rFonts w:cstheme="minorHAnsi"/>
          <w:szCs w:val="24"/>
        </w:rPr>
        <w:t xml:space="preserve"> dzīvotņu apsaimniekošanas programma Gaujas Nacionālajā parkā” (Lārmanis u.c. 2014). Lapkoku praulgrauža populācijas samazināšanās ir cieši saistīta ar sugai piemērotu dzīvotņu izzušanu. Suga ir saistīta ar veciem saules apgaismotiem platlapjiem, kas sastopami zālāju un meža biotopos, parkos un alejās. Sugas sastopamībai būtiski arī atsevišķi dižkoka statusam atbilstoši platlapji. Sugas mikrobiotopus negatīvi ietekmē aizaugšana un noēnojuma palielināšanās, kas negatīvi ietekmē arī tās apdzīvoto koku ilgtspējību. Lai paildzinātu koku dzīves ilgumu un nodrošinātu piemērotus dzīves apstākļus lapkoku praulgrauzim un citiem saulesmīlošiem organismiem, DA plānā ir ieplānoti pasākumi, kas vērsti uz GNP sastopamo dižkoku, un citu bioloģiski vērtīgo vecu koku apsaimniekošanu (apsaimniekošanas pasākums </w:t>
      </w:r>
      <w:r w:rsidRPr="00675182">
        <w:rPr>
          <w:rFonts w:cstheme="minorHAnsi"/>
          <w:b/>
          <w:bCs/>
          <w:szCs w:val="24"/>
        </w:rPr>
        <w:t xml:space="preserve">Nr. B.6.1 </w:t>
      </w:r>
      <w:r w:rsidRPr="00675182">
        <w:rPr>
          <w:rFonts w:cstheme="minorHAnsi"/>
          <w:szCs w:val="24"/>
        </w:rPr>
        <w:t xml:space="preserve"> - lapkopu praulgrauža apdzīvoto koku atēnošana; konkrēti apsaimniekojamie koki tiks identificēti paredzētajā LIFE projektā ES Biotopu Direktīvas II pielikuma sugu dzīvotņu apsaimniekošanai, projekta ietvaros iespējams atēnot ~20 kokus, bet DA plāna darbības laikā vēlama arī citu esošo vai potenciālo lapkoku praulgrauža apdzīvoto koku atēnošana). Prioritāri apsaimniekošanas pasākumi tiek paredzēti lapkoku praulgrauža apdzīvotajos vai tā atradņu tuvumā esošajos platlapju kokos. Nozīmīga sugas ilgtspējīgas saglabāšanās problēma ir kokaudzes vecuma struktūras fragmentācija, kad sugas atradnēs pietrūkst jaunu vai vidējā vecuma koku, kas perspektīvā aizvietos vecus dobumainus kokus. </w:t>
      </w:r>
    </w:p>
    <w:p w14:paraId="52AED884" w14:textId="77777777" w:rsidR="003A69CE" w:rsidRPr="00675182" w:rsidRDefault="003A69CE" w:rsidP="003A69CE">
      <w:pPr>
        <w:jc w:val="both"/>
        <w:rPr>
          <w:rFonts w:cstheme="minorHAnsi"/>
          <w:szCs w:val="24"/>
        </w:rPr>
      </w:pPr>
    </w:p>
    <w:p w14:paraId="18B52017" w14:textId="77777777" w:rsidR="003A69CE" w:rsidRPr="00675182" w:rsidRDefault="003A69CE" w:rsidP="003A69CE">
      <w:pPr>
        <w:jc w:val="both"/>
        <w:rPr>
          <w:rFonts w:cstheme="minorHAnsi"/>
          <w:szCs w:val="24"/>
        </w:rPr>
      </w:pPr>
      <w:r w:rsidRPr="00675182">
        <w:rPr>
          <w:rFonts w:cstheme="minorHAnsi"/>
          <w:szCs w:val="24"/>
        </w:rPr>
        <w:t xml:space="preserve">Sugas metapopulāciju savienošanai ir nepieciešama ekoloģisko koridoru veidošana. Šajā pasākumā ir paredzēta koku dobumu un dobumu imitāciju veidošana, kā arī jaunu koku stādīšana. Šim mērķim var tikt veidotas arī jaunas koku alejas. Prioritāri savienojamas ir Ungurmuižas, Auciema un Raiskuma populācijas, panākot pašlaik savstarpēji nesaistīto lapkoku praulgrauža populāciju apvienošanu vienā tīklā (apsaimniekošanas pasākums </w:t>
      </w:r>
      <w:r w:rsidRPr="00675182">
        <w:rPr>
          <w:rFonts w:cstheme="minorHAnsi"/>
          <w:b/>
          <w:bCs/>
          <w:szCs w:val="24"/>
        </w:rPr>
        <w:t>Nr.B.6.2.).</w:t>
      </w:r>
      <w:r w:rsidRPr="00675182">
        <w:rPr>
          <w:rFonts w:cstheme="minorHAnsi"/>
          <w:szCs w:val="24"/>
        </w:rPr>
        <w:t xml:space="preserve"> </w:t>
      </w:r>
    </w:p>
    <w:p w14:paraId="779CC78D" w14:textId="77777777" w:rsidR="003A69CE" w:rsidRPr="00675182" w:rsidRDefault="003A69CE" w:rsidP="003A69CE">
      <w:pPr>
        <w:jc w:val="both"/>
        <w:rPr>
          <w:rFonts w:cstheme="minorHAnsi"/>
          <w:szCs w:val="24"/>
        </w:rPr>
      </w:pPr>
    </w:p>
    <w:p w14:paraId="54A06B13" w14:textId="77777777" w:rsidR="003A69CE" w:rsidRPr="00675182" w:rsidRDefault="003A69CE" w:rsidP="003A69CE">
      <w:pPr>
        <w:jc w:val="both"/>
        <w:rPr>
          <w:rFonts w:cstheme="minorHAnsi"/>
          <w:szCs w:val="24"/>
        </w:rPr>
      </w:pPr>
      <w:r w:rsidRPr="00675182">
        <w:rPr>
          <w:rFonts w:cstheme="minorHAnsi"/>
          <w:szCs w:val="24"/>
        </w:rPr>
        <w:t xml:space="preserve">Lapkoku praulgraužu apdzīvotus un sugai potenciāli piemērotus kokus ūdeņu tuvumā apdraud bebru darbība, kuras rezultātā tiek apgrauzti dažāda vecuma platlapju koki. Bebru negatīvās darbības mazināšanai koki, kas atrodas bebru darbības potenciālā teritorijā ir jāapjož ar metāla sietu, to lejasdaļā (apsaimniekošanas pasākums </w:t>
      </w:r>
      <w:r w:rsidRPr="00675182">
        <w:rPr>
          <w:rFonts w:cstheme="minorHAnsi"/>
          <w:b/>
          <w:bCs/>
          <w:szCs w:val="24"/>
        </w:rPr>
        <w:t>Nr. B.1.1.</w:t>
      </w:r>
      <w:r w:rsidRPr="00675182">
        <w:rPr>
          <w:rFonts w:cstheme="minorHAnsi"/>
          <w:szCs w:val="24"/>
        </w:rPr>
        <w:t>). Konkrēti aizsargājamie koki tiks identificēti paredzētajā LIFE projektā ES Biotopu Direktīvas II pielikuma sugu dzīvotņu apsaimniekošanai.</w:t>
      </w:r>
    </w:p>
    <w:p w14:paraId="2938A5AD" w14:textId="77777777" w:rsidR="003A69CE" w:rsidRPr="00675182" w:rsidRDefault="003A69CE" w:rsidP="003A69CE">
      <w:pPr>
        <w:jc w:val="both"/>
        <w:rPr>
          <w:rFonts w:cstheme="minorHAnsi"/>
          <w:szCs w:val="24"/>
        </w:rPr>
      </w:pPr>
    </w:p>
    <w:p w14:paraId="7D38954B" w14:textId="47707F45" w:rsidR="003A69CE" w:rsidRPr="00675182" w:rsidRDefault="003A69CE" w:rsidP="003A69CE">
      <w:pPr>
        <w:jc w:val="both"/>
        <w:rPr>
          <w:rFonts w:cstheme="minorHAnsi"/>
          <w:szCs w:val="24"/>
        </w:rPr>
      </w:pPr>
      <w:r w:rsidRPr="00675182">
        <w:rPr>
          <w:rFonts w:cstheme="minorHAnsi"/>
          <w:szCs w:val="24"/>
        </w:rPr>
        <w:t xml:space="preserve">Par nozīmīgākām lapkoku praulgrauža atradnēm GNP ir uzskatāmas atradnes Ungurmuižā un Siguldas-Krimuldas apkārtnē. Šo atradņu apsaimniekošana ir jānodrošina prioritārā kārtībā. Tajā skaitā atradnē Ungurmuižā jāveic aizaugušas parkveida pļavas daļas atēnošana ap 28 ha platībā, jāveic individuālu koku atēnošana ~15 kokiem; vēlama parkveida pļavas atjaunošana Turaidas apkārtnē pie “Vildēm” (apsaimniekošanas pasākums Nr. </w:t>
      </w:r>
      <w:r w:rsidRPr="00675182">
        <w:rPr>
          <w:rFonts w:cstheme="minorHAnsi"/>
          <w:b/>
          <w:bCs/>
          <w:szCs w:val="24"/>
        </w:rPr>
        <w:t>B.6.3.</w:t>
      </w:r>
      <w:r w:rsidRPr="00675182">
        <w:rPr>
          <w:rFonts w:cstheme="minorHAnsi"/>
          <w:szCs w:val="24"/>
        </w:rPr>
        <w:t>). Jānodrošina turpmākā uzturēšana projekta “For-Rest” laikā atjaunotajās platībās Ungurmuižā un Siguldas apkārtnē, regulāri izcērtot pamežu, vēlama apsaimniekošana ar pļaušanu un/vai ganīšanu, tādējādi paplašinot arī bioloģiski daudzveidīgu zālāju platības teritorijā.</w:t>
      </w:r>
    </w:p>
    <w:p w14:paraId="7EC447F7" w14:textId="77777777" w:rsidR="003A69CE" w:rsidRPr="00675182" w:rsidRDefault="003A69CE" w:rsidP="003A69CE">
      <w:pPr>
        <w:jc w:val="both"/>
        <w:rPr>
          <w:rFonts w:cstheme="minorHAnsi"/>
          <w:szCs w:val="24"/>
        </w:rPr>
      </w:pPr>
    </w:p>
    <w:p w14:paraId="4B09DA52" w14:textId="77777777" w:rsidR="003A69CE" w:rsidRPr="00675182" w:rsidRDefault="003A69CE" w:rsidP="003A69CE">
      <w:pPr>
        <w:jc w:val="both"/>
        <w:rPr>
          <w:rFonts w:cstheme="minorHAnsi"/>
          <w:szCs w:val="24"/>
        </w:rPr>
      </w:pPr>
      <w:r w:rsidRPr="00675182">
        <w:rPr>
          <w:rFonts w:cstheme="minorHAnsi"/>
          <w:szCs w:val="24"/>
        </w:rPr>
        <w:t xml:space="preserve">2021. gada apsekojumu laikā lapkoku praulgrauža darbības pēdas tika konstatētas vienā no kokiem, kas atrodas ceļa posma Kārļi – Zvārtes iezis tiešā tuvumā. Šī aleja ir būtiski ietekmēta, jo koki atrodas tieši pie brauktuves, rezultātā daudzi ozoli ir bojāti, vai nokaltuši. Kokus alejā ietekmē putekļi un mehāniska iedarbība uz koku saknēm (skat. 3.4. attēlu.). Koku alejas saglabāšanai ir nepieciešams nodrošināt atbilstošus ceļa apsaimniekošanas pasākumus – pacelt ceļa klātni, lai tiktu nosegtas koku saknes, kā arī nodrošināt segumu, kas nerada putekļus ~1 km posmā (apsaimniekošanas pasākums </w:t>
      </w:r>
      <w:r w:rsidRPr="00675182">
        <w:rPr>
          <w:rFonts w:cstheme="minorHAnsi"/>
          <w:b/>
          <w:bCs/>
          <w:szCs w:val="24"/>
        </w:rPr>
        <w:t>Nr.B.6.4.</w:t>
      </w:r>
      <w:r w:rsidRPr="00675182">
        <w:rPr>
          <w:rFonts w:cstheme="minorHAnsi"/>
          <w:szCs w:val="24"/>
        </w:rPr>
        <w:t>).</w:t>
      </w:r>
    </w:p>
    <w:p w14:paraId="13B87FED" w14:textId="77777777" w:rsidR="002A0B37" w:rsidRPr="00675182" w:rsidRDefault="002A0B37" w:rsidP="00500993">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1"/>
      </w:tblGrid>
      <w:tr w:rsidR="00500993" w:rsidRPr="00675182" w14:paraId="78BD714F" w14:textId="77777777" w:rsidTr="00201DC5">
        <w:trPr>
          <w:trHeight w:val="4067"/>
        </w:trPr>
        <w:tc>
          <w:tcPr>
            <w:tcW w:w="9016" w:type="dxa"/>
            <w:hideMark/>
          </w:tcPr>
          <w:p w14:paraId="0CBAE3AF" w14:textId="50A155FB" w:rsidR="00500993" w:rsidRPr="00675182" w:rsidRDefault="00500993">
            <w:pPr>
              <w:jc w:val="both"/>
              <w:rPr>
                <w:rFonts w:cstheme="minorHAnsi"/>
                <w:szCs w:val="24"/>
              </w:rPr>
            </w:pPr>
            <w:r w:rsidRPr="00675182">
              <w:rPr>
                <w:rFonts w:cstheme="minorHAnsi"/>
                <w:noProof/>
                <w:szCs w:val="24"/>
              </w:rPr>
              <w:drawing>
                <wp:inline distT="0" distB="0" distL="0" distR="0" wp14:anchorId="218A94AB" wp14:editId="35DFB419">
                  <wp:extent cx="4506032" cy="3376295"/>
                  <wp:effectExtent l="0" t="0" r="889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523293" cy="3389229"/>
                          </a:xfrm>
                          <a:prstGeom prst="rect">
                            <a:avLst/>
                          </a:prstGeom>
                          <a:noFill/>
                          <a:ln>
                            <a:noFill/>
                          </a:ln>
                        </pic:spPr>
                      </pic:pic>
                    </a:graphicData>
                  </a:graphic>
                </wp:inline>
              </w:drawing>
            </w:r>
          </w:p>
        </w:tc>
      </w:tr>
      <w:tr w:rsidR="00500993" w:rsidRPr="00675182" w14:paraId="1AC7EACE" w14:textId="77777777" w:rsidTr="00201DC5">
        <w:trPr>
          <w:trHeight w:val="221"/>
        </w:trPr>
        <w:tc>
          <w:tcPr>
            <w:tcW w:w="9016" w:type="dxa"/>
            <w:hideMark/>
          </w:tcPr>
          <w:p w14:paraId="16B0E182" w14:textId="3292BE87" w:rsidR="00500993" w:rsidRPr="00675182" w:rsidRDefault="00D36E94">
            <w:pPr>
              <w:jc w:val="both"/>
              <w:rPr>
                <w:rFonts w:cstheme="minorHAnsi"/>
                <w:noProof/>
                <w:szCs w:val="24"/>
              </w:rPr>
            </w:pPr>
            <w:r w:rsidRPr="00675182">
              <w:rPr>
                <w:rFonts w:cstheme="minorHAnsi"/>
                <w:b/>
                <w:i/>
                <w:iCs/>
                <w:szCs w:val="24"/>
              </w:rPr>
              <w:t>3.</w:t>
            </w:r>
            <w:r w:rsidR="00F56F7E" w:rsidRPr="00675182">
              <w:rPr>
                <w:rFonts w:cstheme="minorHAnsi"/>
                <w:b/>
                <w:i/>
                <w:iCs/>
                <w:szCs w:val="24"/>
              </w:rPr>
              <w:t>4</w:t>
            </w:r>
            <w:r w:rsidRPr="00675182">
              <w:rPr>
                <w:rFonts w:cstheme="minorHAnsi"/>
                <w:b/>
                <w:i/>
                <w:iCs/>
                <w:szCs w:val="24"/>
              </w:rPr>
              <w:t xml:space="preserve">. </w:t>
            </w:r>
            <w:r w:rsidR="00500993" w:rsidRPr="00675182">
              <w:rPr>
                <w:rFonts w:cstheme="minorHAnsi"/>
                <w:b/>
                <w:i/>
                <w:iCs/>
                <w:szCs w:val="24"/>
              </w:rPr>
              <w:t>attēls. Ozola bojātās koka saknes alejā ceļa posmā Kārļi – Zvārtes iezis</w:t>
            </w:r>
            <w:r w:rsidRPr="00675182">
              <w:rPr>
                <w:rFonts w:cstheme="minorHAnsi"/>
                <w:b/>
                <w:i/>
                <w:iCs/>
                <w:szCs w:val="24"/>
              </w:rPr>
              <w:t xml:space="preserve"> 2021. gadā (foto – M. Balalaikins)</w:t>
            </w:r>
          </w:p>
        </w:tc>
      </w:tr>
    </w:tbl>
    <w:p w14:paraId="1A01B3B0" w14:textId="77777777" w:rsidR="00500993" w:rsidRPr="00675182" w:rsidRDefault="00500993" w:rsidP="00500993">
      <w:pPr>
        <w:jc w:val="both"/>
        <w:rPr>
          <w:rFonts w:cstheme="minorHAnsi"/>
          <w:szCs w:val="24"/>
        </w:rPr>
      </w:pPr>
    </w:p>
    <w:p w14:paraId="20E280E5" w14:textId="3CAB5353" w:rsidR="00E57DAB" w:rsidRPr="00675182" w:rsidRDefault="00E57DAB" w:rsidP="00500993">
      <w:pPr>
        <w:jc w:val="both"/>
        <w:rPr>
          <w:rFonts w:cstheme="minorHAnsi"/>
          <w:b/>
          <w:szCs w:val="24"/>
        </w:rPr>
      </w:pPr>
      <w:r w:rsidRPr="00675182">
        <w:rPr>
          <w:rFonts w:cstheme="minorHAnsi"/>
          <w:b/>
          <w:szCs w:val="24"/>
        </w:rPr>
        <w:t>B.6.5. Tītmaņu vecupes ūdens spoguļa platības palielināšana</w:t>
      </w:r>
    </w:p>
    <w:p w14:paraId="52F59E42" w14:textId="2B5C2E16" w:rsidR="00E57DAB" w:rsidRPr="00675182" w:rsidRDefault="00E57DAB" w:rsidP="00E57DAB">
      <w:pPr>
        <w:jc w:val="both"/>
        <w:rPr>
          <w:rFonts w:cstheme="minorHAnsi"/>
          <w:szCs w:val="24"/>
        </w:rPr>
      </w:pPr>
      <w:r w:rsidRPr="00675182">
        <w:rPr>
          <w:rFonts w:cstheme="minorHAnsi"/>
          <w:szCs w:val="24"/>
        </w:rPr>
        <w:t>Tītmaņu vecupe ir ūdenstilpe, kur ir reģistrētas trīs Biotopu direktīvas II pielikuma sugas (platā airvabole, divjoslu airvabole un spilgtā purvuspāre) un divas IV pielikuma sugas (resnvēdera purvuspāre un medicīnas dēle). Pašlaik vērtīgo bezmugurkaulnieku sugu atradnes koncentrējas teritorijas dienvidu daļā, vecupes pamatgultnē. Veicot biotopa apsaimniekošanas pasākumus, ir iespējams palielināt aizsargājamajiem bezmugurkaulniekiem piemērotas dzīvotnes platības. Mērķis ir samazināt niedru īpatsvaru, izveidot seklūdens zonas, iztīrot/padziļinot atsevišķas aizaugušās vecupes daļas. Darbības veikšanai ir nepieciešama detalizēta plānošana, piesaistot saldūdens biotopu, sūnu un bezmugurkaulnieku ekspertus, jo vecupes ziemeļrietumu daļā sastopamas retas sūnu sugas, kuru atradni nedrīkst ietekmēt plānotais apsaimniekošanas pasākums.</w:t>
      </w:r>
      <w:r w:rsidR="00271E02" w:rsidRPr="00675182">
        <w:rPr>
          <w:rFonts w:cstheme="minorHAnsi"/>
          <w:szCs w:val="24"/>
        </w:rPr>
        <w:t xml:space="preserve"> Kopējā apsaimniekošanas mērķa platība sugu dzīvotnes palielināšanai ir ap 1,75 ha.</w:t>
      </w:r>
    </w:p>
    <w:p w14:paraId="6243C96F" w14:textId="77777777" w:rsidR="007D1CC5" w:rsidRPr="00675182" w:rsidRDefault="007D1CC5" w:rsidP="00E57DAB">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EB0CFC" w:rsidRPr="00675182" w14:paraId="1136A99E" w14:textId="77777777" w:rsidTr="00110BFE">
        <w:trPr>
          <w:trHeight w:val="4645"/>
        </w:trPr>
        <w:tc>
          <w:tcPr>
            <w:tcW w:w="8301" w:type="dxa"/>
            <w:hideMark/>
          </w:tcPr>
          <w:p w14:paraId="4AC8B78E" w14:textId="77777777" w:rsidR="00EB0CFC" w:rsidRPr="00675182" w:rsidRDefault="00EB0CFC" w:rsidP="00110BFE">
            <w:pPr>
              <w:jc w:val="both"/>
              <w:rPr>
                <w:rFonts w:cstheme="minorHAnsi"/>
                <w:szCs w:val="24"/>
              </w:rPr>
            </w:pPr>
            <w:r w:rsidRPr="00675182">
              <w:rPr>
                <w:rFonts w:cstheme="minorHAnsi"/>
                <w:noProof/>
              </w:rPr>
              <w:drawing>
                <wp:inline distT="0" distB="0" distL="0" distR="0" wp14:anchorId="3190CF80" wp14:editId="1B753B57">
                  <wp:extent cx="4282440" cy="3215640"/>
                  <wp:effectExtent l="0" t="0" r="3810" b="3810"/>
                  <wp:docPr id="162" name="Picture 162" descr="A grassy area with trees in the ba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A grassy area with trees in the back&#10;&#10;Description automatically generated with medium confidence"/>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282440" cy="3215640"/>
                          </a:xfrm>
                          <a:prstGeom prst="rect">
                            <a:avLst/>
                          </a:prstGeom>
                          <a:noFill/>
                          <a:ln>
                            <a:noFill/>
                          </a:ln>
                        </pic:spPr>
                      </pic:pic>
                    </a:graphicData>
                  </a:graphic>
                </wp:inline>
              </w:drawing>
            </w:r>
          </w:p>
        </w:tc>
      </w:tr>
      <w:tr w:rsidR="00EB0CFC" w:rsidRPr="00675182" w14:paraId="51EDA436" w14:textId="77777777" w:rsidTr="00110BFE">
        <w:tc>
          <w:tcPr>
            <w:tcW w:w="8301" w:type="dxa"/>
            <w:hideMark/>
          </w:tcPr>
          <w:p w14:paraId="7915BC81" w14:textId="77777777" w:rsidR="00EB0CFC" w:rsidRPr="00675182" w:rsidRDefault="00EB0CFC" w:rsidP="00110BFE">
            <w:pPr>
              <w:jc w:val="both"/>
              <w:rPr>
                <w:rFonts w:cstheme="minorHAnsi"/>
                <w:szCs w:val="24"/>
              </w:rPr>
            </w:pPr>
            <w:r w:rsidRPr="00675182">
              <w:rPr>
                <w:rFonts w:cstheme="minorHAnsi"/>
                <w:b/>
                <w:i/>
                <w:iCs/>
                <w:szCs w:val="24"/>
              </w:rPr>
              <w:t>3.5. attēls. Ar niedrēm aizaugoša Tītmaņu vecupes daļa (foto – M.Balalaikins)</w:t>
            </w:r>
          </w:p>
        </w:tc>
      </w:tr>
    </w:tbl>
    <w:p w14:paraId="24C1957E" w14:textId="77777777" w:rsidR="00EB0CFC" w:rsidRPr="00675182" w:rsidRDefault="00EB0CFC" w:rsidP="00EB0CFC">
      <w:pPr>
        <w:jc w:val="both"/>
        <w:rPr>
          <w:rFonts w:cstheme="minorHAnsi"/>
          <w:szCs w:val="24"/>
        </w:rPr>
      </w:pPr>
    </w:p>
    <w:p w14:paraId="08FA39BD" w14:textId="5D866262" w:rsidR="00E57DAB" w:rsidRPr="00675182" w:rsidRDefault="00E57DAB" w:rsidP="00E57DAB">
      <w:pPr>
        <w:jc w:val="both"/>
        <w:rPr>
          <w:rFonts w:cstheme="minorHAnsi"/>
          <w:b/>
          <w:szCs w:val="24"/>
        </w:rPr>
      </w:pPr>
      <w:r w:rsidRPr="00675182">
        <w:rPr>
          <w:rFonts w:cstheme="minorHAnsi"/>
          <w:b/>
          <w:szCs w:val="24"/>
        </w:rPr>
        <w:t xml:space="preserve">B.6.6. </w:t>
      </w:r>
      <w:r w:rsidR="00D80AC3" w:rsidRPr="00675182">
        <w:rPr>
          <w:rFonts w:cstheme="minorHAnsi"/>
          <w:b/>
          <w:szCs w:val="24"/>
        </w:rPr>
        <w:t xml:space="preserve">Pumpurgliemežu </w:t>
      </w:r>
      <w:r w:rsidRPr="00675182">
        <w:rPr>
          <w:rFonts w:cstheme="minorHAnsi"/>
          <w:b/>
          <w:i/>
          <w:iCs/>
          <w:szCs w:val="24"/>
        </w:rPr>
        <w:t>Vertigo angustior</w:t>
      </w:r>
      <w:r w:rsidRPr="00675182">
        <w:rPr>
          <w:rFonts w:cstheme="minorHAnsi"/>
          <w:b/>
          <w:szCs w:val="24"/>
        </w:rPr>
        <w:t xml:space="preserve">, </w:t>
      </w:r>
      <w:r w:rsidRPr="00675182">
        <w:rPr>
          <w:rFonts w:cstheme="minorHAnsi"/>
          <w:b/>
          <w:i/>
          <w:iCs/>
          <w:szCs w:val="24"/>
        </w:rPr>
        <w:t>V.geyeri</w:t>
      </w:r>
      <w:r w:rsidRPr="00675182">
        <w:rPr>
          <w:rFonts w:cstheme="minorHAnsi"/>
          <w:b/>
          <w:szCs w:val="24"/>
        </w:rPr>
        <w:t xml:space="preserve"> biotopu kvalitātes uzlabošana, veicot krūmu un invazīvo augu ierobežošanu. </w:t>
      </w:r>
    </w:p>
    <w:p w14:paraId="2564BAD0" w14:textId="10665DDD" w:rsidR="00EB0CFC" w:rsidRPr="00675182" w:rsidRDefault="00EB0CFC" w:rsidP="00EB0CFC">
      <w:pPr>
        <w:jc w:val="both"/>
        <w:rPr>
          <w:rFonts w:cstheme="minorHAnsi"/>
          <w:szCs w:val="24"/>
        </w:rPr>
      </w:pPr>
      <w:r w:rsidRPr="00675182">
        <w:rPr>
          <w:rFonts w:cstheme="minorHAnsi"/>
          <w:szCs w:val="24"/>
        </w:rPr>
        <w:t xml:space="preserve">Pumpurgliemežu sugas negatīvi ietekmē biotopu aizaugšana un invazīvo sugu ekspansija. Slaidā pumpurgliemeža </w:t>
      </w:r>
      <w:r w:rsidRPr="00675182">
        <w:rPr>
          <w:rFonts w:cstheme="minorHAnsi"/>
          <w:i/>
          <w:szCs w:val="24"/>
        </w:rPr>
        <w:t>Vertigo angustior</w:t>
      </w:r>
      <w:r w:rsidRPr="00675182">
        <w:rPr>
          <w:rFonts w:cstheme="minorHAnsi"/>
          <w:szCs w:val="24"/>
        </w:rPr>
        <w:t xml:space="preserve"> atradne Gaujas labajā krastā uz rietumiem no mājām “Jaunkatrīnas” aizaug ar Kanādas </w:t>
      </w:r>
      <w:r w:rsidR="00003D5F" w:rsidRPr="00675182">
        <w:rPr>
          <w:rFonts w:cstheme="minorHAnsi"/>
          <w:szCs w:val="24"/>
        </w:rPr>
        <w:t>zeltgalvīti</w:t>
      </w:r>
      <w:r w:rsidRPr="00675182">
        <w:rPr>
          <w:rFonts w:cstheme="minorHAnsi"/>
          <w:szCs w:val="24"/>
        </w:rPr>
        <w:t xml:space="preserve"> un krūmiem, rezultātā samazinoties sugai piemērotās dzīvotnes platībai (skat. 3.</w:t>
      </w:r>
      <w:r w:rsidR="00F56F7E" w:rsidRPr="00675182">
        <w:rPr>
          <w:rFonts w:cstheme="minorHAnsi"/>
          <w:szCs w:val="24"/>
        </w:rPr>
        <w:t>6</w:t>
      </w:r>
      <w:r w:rsidRPr="00675182">
        <w:rPr>
          <w:rFonts w:cstheme="minorHAnsi"/>
          <w:szCs w:val="24"/>
        </w:rPr>
        <w:t xml:space="preserve">. attēlu). Šajā dzīvotnē ir nepieciešams veikt Kanādas </w:t>
      </w:r>
      <w:r w:rsidR="00003D5F" w:rsidRPr="00675182">
        <w:rPr>
          <w:rFonts w:cstheme="minorHAnsi"/>
          <w:szCs w:val="24"/>
        </w:rPr>
        <w:t>zeltgalvītes</w:t>
      </w:r>
      <w:r w:rsidRPr="00675182">
        <w:rPr>
          <w:rFonts w:cstheme="minorHAnsi"/>
          <w:szCs w:val="24"/>
        </w:rPr>
        <w:t xml:space="preserve"> ierobežošanas pasākumus un veikt krūmu izciršanu. </w:t>
      </w:r>
      <w:r w:rsidR="00D80AC3" w:rsidRPr="00675182">
        <w:rPr>
          <w:rFonts w:cstheme="minorHAnsi"/>
          <w:szCs w:val="24"/>
        </w:rPr>
        <w:t xml:space="preserve">Četrzobu pumpurgliemeža </w:t>
      </w:r>
      <w:r w:rsidR="00D80AC3" w:rsidRPr="00675182">
        <w:rPr>
          <w:rFonts w:cstheme="minorHAnsi"/>
          <w:i/>
          <w:iCs/>
          <w:szCs w:val="24"/>
        </w:rPr>
        <w:t xml:space="preserve">V.geyeri </w:t>
      </w:r>
      <w:r w:rsidR="00D80AC3" w:rsidRPr="00675182">
        <w:rPr>
          <w:rFonts w:cstheme="minorHAnsi"/>
          <w:szCs w:val="24"/>
        </w:rPr>
        <w:t>dzīvotni</w:t>
      </w:r>
      <w:r w:rsidRPr="00675182">
        <w:rPr>
          <w:rFonts w:cstheme="minorHAnsi"/>
          <w:szCs w:val="24"/>
        </w:rPr>
        <w:t xml:space="preserve"> pie Vīņaudu ezera un Rakšu purvā negatīvi ietekmē aizaugšana ar krūmiem. Rakšu purva apsaimniekošanas pasākumi paredzēti KF projekta ietvaros, nepieciešama pēcuzturēšana, savukārt, pie Vīņaudu ezera nepieciešama apsaimniekošana tieši pumpurgliemežu dzīvotnes uzturēšanai.</w:t>
      </w:r>
      <w:r w:rsidR="004646AD" w:rsidRPr="00675182">
        <w:rPr>
          <w:rFonts w:cstheme="minorHAnsi"/>
          <w:szCs w:val="24"/>
        </w:rPr>
        <w:t xml:space="preserve"> Pasākumi uzlabos mērķsugām piemērot</w:t>
      </w:r>
      <w:r w:rsidR="0089545A" w:rsidRPr="00675182">
        <w:rPr>
          <w:rFonts w:cstheme="minorHAnsi"/>
          <w:szCs w:val="24"/>
        </w:rPr>
        <w:t>o</w:t>
      </w:r>
      <w:r w:rsidR="004646AD" w:rsidRPr="00675182">
        <w:rPr>
          <w:rFonts w:cstheme="minorHAnsi"/>
          <w:szCs w:val="24"/>
        </w:rPr>
        <w:t xml:space="preserve"> biotopa platības par 5,32 ha.</w:t>
      </w:r>
    </w:p>
    <w:p w14:paraId="422BA567" w14:textId="1F752A26" w:rsidR="00C230DB" w:rsidRPr="00675182" w:rsidRDefault="00C230DB" w:rsidP="00EB0CFC">
      <w:pPr>
        <w:jc w:val="both"/>
        <w:rPr>
          <w:rFonts w:cstheme="minorHAnsi"/>
          <w:color w:val="FF0000"/>
          <w:szCs w:val="24"/>
        </w:rPr>
      </w:pPr>
    </w:p>
    <w:p w14:paraId="38FD1634" w14:textId="551CA7BE" w:rsidR="00C230DB" w:rsidRPr="00675182" w:rsidRDefault="00C230DB" w:rsidP="00804741">
      <w:pPr>
        <w:jc w:val="both"/>
        <w:rPr>
          <w:rFonts w:eastAsia="Times New Roman" w:cstheme="minorHAnsi"/>
          <w:szCs w:val="24"/>
          <w:lang w:eastAsia="lv-LV"/>
        </w:rPr>
      </w:pPr>
      <w:r w:rsidRPr="00675182">
        <w:rPr>
          <w:rFonts w:cstheme="minorHAnsi"/>
          <w:szCs w:val="24"/>
        </w:rPr>
        <w:t>P</w:t>
      </w:r>
      <w:r w:rsidRPr="00675182">
        <w:rPr>
          <w:rFonts w:eastAsia="Times New Roman" w:cstheme="minorHAnsi"/>
          <w:szCs w:val="24"/>
          <w:lang w:eastAsia="lv-LV"/>
        </w:rPr>
        <w:t xml:space="preserve">lānojot vai veicot apsaimniekošanas pasākumus </w:t>
      </w:r>
      <w:r w:rsidR="00687DAB">
        <w:rPr>
          <w:rFonts w:eastAsia="Times New Roman" w:cstheme="minorHAnsi"/>
          <w:szCs w:val="24"/>
          <w:lang w:eastAsia="lv-LV"/>
        </w:rPr>
        <w:t>ĪA</w:t>
      </w:r>
      <w:r w:rsidRPr="00675182">
        <w:rPr>
          <w:rFonts w:eastAsia="Times New Roman" w:cstheme="minorHAnsi"/>
          <w:szCs w:val="24"/>
          <w:lang w:eastAsia="lv-LV"/>
        </w:rPr>
        <w:t xml:space="preserve"> pumpurgliemežu sugu esošajās vai potenciālās dzīvotnēs, jāņem vērā sekojošais (Cameron et al. 2003):</w:t>
      </w:r>
    </w:p>
    <w:p w14:paraId="60499371" w14:textId="77777777" w:rsidR="00C230DB" w:rsidRPr="00675182" w:rsidRDefault="00C230DB" w:rsidP="00A84218">
      <w:pPr>
        <w:pStyle w:val="ListParagraph"/>
        <w:numPr>
          <w:ilvl w:val="0"/>
          <w:numId w:val="71"/>
        </w:numPr>
        <w:suppressAutoHyphens w:val="0"/>
        <w:contextualSpacing/>
        <w:jc w:val="both"/>
        <w:rPr>
          <w:rFonts w:eastAsia="Times New Roman" w:cstheme="minorHAnsi"/>
          <w:szCs w:val="24"/>
          <w:lang w:eastAsia="lv-LV"/>
        </w:rPr>
      </w:pPr>
      <w:r w:rsidRPr="00675182">
        <w:rPr>
          <w:rFonts w:eastAsia="Times New Roman" w:cstheme="minorHAnsi"/>
          <w:szCs w:val="24"/>
          <w:lang w:eastAsia="lv-LV"/>
        </w:rPr>
        <w:t xml:space="preserve">zālāju pļaušana pieļaujama tikai tad, ja nav iespējams nodrošināt piemērotu noganīšanas režīmu; </w:t>
      </w:r>
    </w:p>
    <w:p w14:paraId="01AA4BFE" w14:textId="77777777" w:rsidR="00C230DB" w:rsidRPr="00675182" w:rsidRDefault="00C230DB" w:rsidP="00A84218">
      <w:pPr>
        <w:pStyle w:val="ListParagraph"/>
        <w:numPr>
          <w:ilvl w:val="0"/>
          <w:numId w:val="71"/>
        </w:numPr>
        <w:suppressAutoHyphens w:val="0"/>
        <w:contextualSpacing/>
        <w:jc w:val="both"/>
        <w:rPr>
          <w:rFonts w:eastAsia="Times New Roman" w:cstheme="minorHAnsi"/>
          <w:szCs w:val="24"/>
          <w:lang w:eastAsia="lv-LV"/>
        </w:rPr>
      </w:pPr>
      <w:r w:rsidRPr="00675182">
        <w:rPr>
          <w:rFonts w:eastAsia="Times New Roman" w:cstheme="minorHAnsi"/>
          <w:szCs w:val="24"/>
          <w:lang w:eastAsia="lv-LV"/>
        </w:rPr>
        <w:t xml:space="preserve">papildus apsaimniekošanas pasākumi nav nepieciešami, ja dzīvotnē ganās savvaļas pārnadži, kas ir vislabākais dzīvotnes uzturēšanas veids; </w:t>
      </w:r>
    </w:p>
    <w:p w14:paraId="7D31FF00" w14:textId="77777777" w:rsidR="00C230DB" w:rsidRPr="00675182" w:rsidRDefault="00C230DB" w:rsidP="00A84218">
      <w:pPr>
        <w:pStyle w:val="ListParagraph"/>
        <w:numPr>
          <w:ilvl w:val="0"/>
          <w:numId w:val="71"/>
        </w:numPr>
        <w:suppressAutoHyphens w:val="0"/>
        <w:contextualSpacing/>
        <w:jc w:val="both"/>
        <w:rPr>
          <w:rFonts w:eastAsia="Times New Roman" w:cstheme="minorHAnsi"/>
          <w:szCs w:val="24"/>
          <w:lang w:eastAsia="lv-LV"/>
        </w:rPr>
      </w:pPr>
      <w:r w:rsidRPr="00675182">
        <w:rPr>
          <w:rFonts w:eastAsia="Times New Roman" w:cstheme="minorHAnsi"/>
          <w:szCs w:val="24"/>
          <w:lang w:eastAsia="lv-LV"/>
        </w:rPr>
        <w:t>ganīšanai jābūt ekstensīvai. Vispiemērotākie ir zirgi.  Noganīšanai nav ieteicamas “smagās” liellopu šķirnes un visnepiemērotākās ir piena govis ar augstām barošanas prasībām; nav ieteicams ganīt aitas;</w:t>
      </w:r>
    </w:p>
    <w:p w14:paraId="021097E5" w14:textId="7638BA76" w:rsidR="00C230DB" w:rsidRPr="00675182" w:rsidRDefault="00C230DB" w:rsidP="00A84218">
      <w:pPr>
        <w:pStyle w:val="ListParagraph"/>
        <w:numPr>
          <w:ilvl w:val="0"/>
          <w:numId w:val="71"/>
        </w:numPr>
        <w:suppressAutoHyphens w:val="0"/>
        <w:contextualSpacing/>
        <w:jc w:val="both"/>
        <w:rPr>
          <w:rFonts w:eastAsia="Times New Roman" w:cstheme="minorHAnsi"/>
          <w:szCs w:val="24"/>
          <w:lang w:eastAsia="lv-LV"/>
        </w:rPr>
      </w:pPr>
      <w:r w:rsidRPr="00675182">
        <w:rPr>
          <w:rFonts w:eastAsia="Times New Roman" w:cstheme="minorHAnsi"/>
          <w:szCs w:val="24"/>
          <w:lang w:eastAsia="lv-LV"/>
        </w:rPr>
        <w:t>dzīvotnē vai tās tiešā tuvumā nedrīkst ierīkot liellopu/savvaļas pārnadžu koncentrēšanās un piebarošanas vietas;</w:t>
      </w:r>
    </w:p>
    <w:p w14:paraId="519FD2A1" w14:textId="77777777" w:rsidR="00C230DB" w:rsidRPr="00675182" w:rsidRDefault="00C230DB" w:rsidP="00A84218">
      <w:pPr>
        <w:pStyle w:val="ListParagraph"/>
        <w:numPr>
          <w:ilvl w:val="0"/>
          <w:numId w:val="71"/>
        </w:numPr>
        <w:suppressAutoHyphens w:val="0"/>
        <w:contextualSpacing/>
        <w:jc w:val="both"/>
        <w:rPr>
          <w:rFonts w:eastAsia="Times New Roman" w:cstheme="minorHAnsi"/>
          <w:szCs w:val="24"/>
          <w:lang w:eastAsia="lv-LV"/>
        </w:rPr>
      </w:pPr>
      <w:r w:rsidRPr="00675182">
        <w:rPr>
          <w:rFonts w:eastAsia="Times New Roman" w:cstheme="minorHAnsi"/>
          <w:szCs w:val="24"/>
          <w:lang w:eastAsia="lv-LV"/>
        </w:rPr>
        <w:t>lai dzīvotnes zālājos un purvos neaizaugtu ar krūmiem un kokiem, vislabākais tās uzturēšanas veids ir apauguma izciršana reizi 10 gados;</w:t>
      </w:r>
    </w:p>
    <w:p w14:paraId="7B604B4B" w14:textId="77777777" w:rsidR="00C230DB" w:rsidRPr="00675182" w:rsidRDefault="00C230DB" w:rsidP="00A84218">
      <w:pPr>
        <w:pStyle w:val="ListParagraph"/>
        <w:numPr>
          <w:ilvl w:val="0"/>
          <w:numId w:val="71"/>
        </w:numPr>
        <w:suppressAutoHyphens w:val="0"/>
        <w:contextualSpacing/>
        <w:jc w:val="both"/>
        <w:rPr>
          <w:rFonts w:eastAsia="Times New Roman" w:cstheme="minorHAnsi"/>
          <w:szCs w:val="24"/>
          <w:lang w:eastAsia="lv-LV"/>
        </w:rPr>
      </w:pPr>
      <w:r w:rsidRPr="00675182">
        <w:rPr>
          <w:rFonts w:eastAsia="Times New Roman" w:cstheme="minorHAnsi"/>
          <w:szCs w:val="24"/>
          <w:lang w:eastAsia="lv-LV"/>
        </w:rPr>
        <w:t>dzīvotnē nav pieļaujama visu veidu augsnes kultivēšana, frēzēšana un aršana (ieskaitot mežā) vai atklātu biotopu apmežošana;</w:t>
      </w:r>
    </w:p>
    <w:p w14:paraId="3835872A" w14:textId="77777777" w:rsidR="00C230DB" w:rsidRPr="00675182" w:rsidRDefault="00C230DB" w:rsidP="00A84218">
      <w:pPr>
        <w:pStyle w:val="ListParagraph"/>
        <w:numPr>
          <w:ilvl w:val="0"/>
          <w:numId w:val="71"/>
        </w:numPr>
        <w:suppressAutoHyphens w:val="0"/>
        <w:contextualSpacing/>
        <w:jc w:val="both"/>
        <w:rPr>
          <w:rFonts w:eastAsia="Times New Roman" w:cstheme="minorHAnsi"/>
          <w:szCs w:val="24"/>
          <w:lang w:eastAsia="lv-LV"/>
        </w:rPr>
      </w:pPr>
      <w:r w:rsidRPr="00675182">
        <w:rPr>
          <w:rFonts w:eastAsia="Times New Roman" w:cstheme="minorHAnsi"/>
          <w:szCs w:val="24"/>
          <w:lang w:eastAsia="lv-LV"/>
        </w:rPr>
        <w:t>dzīvotnē un tās tuvumā nav pieļaujama mēslošana (ieskaitot ar organiskiem mēsliem, vircu); pesticīdu un herbicīdu izmantošana;</w:t>
      </w:r>
    </w:p>
    <w:p w14:paraId="788F271A" w14:textId="77777777" w:rsidR="00C230DB" w:rsidRPr="00675182" w:rsidRDefault="00C230DB" w:rsidP="00A84218">
      <w:pPr>
        <w:pStyle w:val="ListParagraph"/>
        <w:numPr>
          <w:ilvl w:val="0"/>
          <w:numId w:val="71"/>
        </w:numPr>
        <w:suppressAutoHyphens w:val="0"/>
        <w:contextualSpacing/>
        <w:jc w:val="both"/>
        <w:rPr>
          <w:rFonts w:eastAsia="Times New Roman" w:cstheme="minorHAnsi"/>
          <w:szCs w:val="24"/>
          <w:lang w:eastAsia="lv-LV"/>
        </w:rPr>
      </w:pPr>
      <w:r w:rsidRPr="00675182">
        <w:rPr>
          <w:rFonts w:eastAsia="Times New Roman" w:cstheme="minorHAnsi"/>
          <w:szCs w:val="24"/>
          <w:lang w:eastAsia="lv-LV"/>
        </w:rPr>
        <w:t>jāierobežo invazīvo un citu introducēto augu sugu ieviešanās.</w:t>
      </w:r>
    </w:p>
    <w:p w14:paraId="26DC1046" w14:textId="77777777" w:rsidR="00C230DB" w:rsidRPr="00675182" w:rsidRDefault="00C230DB" w:rsidP="00C230DB">
      <w:pPr>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EB0CFC" w:rsidRPr="00675182" w14:paraId="01D5C0E1" w14:textId="77777777" w:rsidTr="00110BFE">
        <w:trPr>
          <w:trHeight w:val="4535"/>
        </w:trPr>
        <w:tc>
          <w:tcPr>
            <w:tcW w:w="8301" w:type="dxa"/>
            <w:hideMark/>
          </w:tcPr>
          <w:p w14:paraId="245F94A2" w14:textId="77777777" w:rsidR="00EB0CFC" w:rsidRPr="00675182" w:rsidRDefault="00EB0CFC" w:rsidP="00110BFE">
            <w:pPr>
              <w:jc w:val="both"/>
              <w:rPr>
                <w:rFonts w:cstheme="minorHAnsi"/>
                <w:szCs w:val="24"/>
              </w:rPr>
            </w:pPr>
            <w:r w:rsidRPr="00675182">
              <w:rPr>
                <w:rFonts w:cstheme="minorHAnsi"/>
                <w:noProof/>
              </w:rPr>
              <w:drawing>
                <wp:inline distT="0" distB="0" distL="0" distR="0" wp14:anchorId="0CF1364E" wp14:editId="1CBD07A9">
                  <wp:extent cx="4122420" cy="3093720"/>
                  <wp:effectExtent l="0" t="0" r="0" b="0"/>
                  <wp:docPr id="202" name="Picture 202" descr="A grassy field with tree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grassy field with trees in the background&#10;&#10;Description automatically generated with medium confidence"/>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122420" cy="3093720"/>
                          </a:xfrm>
                          <a:prstGeom prst="rect">
                            <a:avLst/>
                          </a:prstGeom>
                          <a:noFill/>
                          <a:ln>
                            <a:noFill/>
                          </a:ln>
                        </pic:spPr>
                      </pic:pic>
                    </a:graphicData>
                  </a:graphic>
                </wp:inline>
              </w:drawing>
            </w:r>
          </w:p>
        </w:tc>
      </w:tr>
      <w:tr w:rsidR="00EB0CFC" w:rsidRPr="00675182" w14:paraId="5E31111C" w14:textId="77777777" w:rsidTr="000956AC">
        <w:tc>
          <w:tcPr>
            <w:tcW w:w="8301" w:type="dxa"/>
            <w:shd w:val="clear" w:color="auto" w:fill="auto"/>
            <w:hideMark/>
          </w:tcPr>
          <w:p w14:paraId="005529CB" w14:textId="34A1B4C8" w:rsidR="00EB0CFC" w:rsidRPr="00675182" w:rsidRDefault="00EB0CFC" w:rsidP="00110BFE">
            <w:pPr>
              <w:jc w:val="both"/>
              <w:rPr>
                <w:rFonts w:cstheme="minorHAnsi"/>
                <w:szCs w:val="24"/>
              </w:rPr>
            </w:pPr>
            <w:r w:rsidRPr="00675182">
              <w:rPr>
                <w:rFonts w:cstheme="minorHAnsi"/>
                <w:b/>
                <w:i/>
                <w:iCs/>
                <w:szCs w:val="24"/>
              </w:rPr>
              <w:t>3.</w:t>
            </w:r>
            <w:r w:rsidR="00F56F7E" w:rsidRPr="00675182">
              <w:rPr>
                <w:rFonts w:cstheme="minorHAnsi"/>
                <w:b/>
                <w:i/>
                <w:iCs/>
                <w:szCs w:val="24"/>
              </w:rPr>
              <w:t>6</w:t>
            </w:r>
            <w:r w:rsidRPr="00675182">
              <w:rPr>
                <w:rFonts w:cstheme="minorHAnsi"/>
                <w:b/>
                <w:i/>
                <w:iCs/>
                <w:szCs w:val="24"/>
              </w:rPr>
              <w:t xml:space="preserve">. attēls. Vertigo angustior atradne ar Kanādas </w:t>
            </w:r>
            <w:r w:rsidR="00003D5F" w:rsidRPr="00675182">
              <w:rPr>
                <w:rFonts w:cstheme="minorHAnsi"/>
                <w:b/>
                <w:i/>
                <w:iCs/>
                <w:szCs w:val="24"/>
              </w:rPr>
              <w:t>zeltgalvītes</w:t>
            </w:r>
            <w:r w:rsidRPr="00675182">
              <w:rPr>
                <w:rFonts w:cstheme="minorHAnsi"/>
                <w:b/>
                <w:i/>
                <w:iCs/>
                <w:szCs w:val="24"/>
              </w:rPr>
              <w:t xml:space="preserve"> invāziju (foto – M.Balalaikins)</w:t>
            </w:r>
          </w:p>
        </w:tc>
      </w:tr>
    </w:tbl>
    <w:p w14:paraId="1B6A5123" w14:textId="77777777" w:rsidR="00EB0CFC" w:rsidRPr="00675182" w:rsidRDefault="00EB0CFC" w:rsidP="00EB0CFC">
      <w:pPr>
        <w:jc w:val="both"/>
        <w:rPr>
          <w:rFonts w:cstheme="minorHAnsi"/>
          <w:szCs w:val="24"/>
        </w:rPr>
      </w:pPr>
    </w:p>
    <w:p w14:paraId="0C16C173" w14:textId="196D8471" w:rsidR="00D80AC3" w:rsidRPr="00675182" w:rsidRDefault="00D80AC3" w:rsidP="00500993">
      <w:pPr>
        <w:jc w:val="both"/>
        <w:rPr>
          <w:rFonts w:cstheme="minorHAnsi"/>
          <w:b/>
          <w:szCs w:val="24"/>
        </w:rPr>
      </w:pPr>
      <w:r w:rsidRPr="00675182">
        <w:rPr>
          <w:rFonts w:cstheme="minorHAnsi"/>
          <w:b/>
          <w:szCs w:val="24"/>
        </w:rPr>
        <w:t>B.6.7.</w:t>
      </w:r>
      <w:r w:rsidR="00E13092" w:rsidRPr="00675182">
        <w:rPr>
          <w:rFonts w:cstheme="minorHAnsi"/>
          <w:b/>
          <w:szCs w:val="24"/>
        </w:rPr>
        <w:t>, B.6.8</w:t>
      </w:r>
      <w:r w:rsidRPr="00675182">
        <w:rPr>
          <w:rFonts w:cstheme="minorHAnsi"/>
          <w:b/>
          <w:szCs w:val="24"/>
        </w:rPr>
        <w:t xml:space="preserve"> Svītrainainā kapucķirmja </w:t>
      </w:r>
      <w:r w:rsidRPr="00675182">
        <w:rPr>
          <w:rFonts w:cstheme="minorHAnsi"/>
          <w:b/>
          <w:i/>
          <w:szCs w:val="24"/>
        </w:rPr>
        <w:t>Stephanopachys linearis</w:t>
      </w:r>
      <w:r w:rsidRPr="00675182">
        <w:rPr>
          <w:rFonts w:cstheme="minorHAnsi"/>
          <w:b/>
          <w:szCs w:val="24"/>
        </w:rPr>
        <w:t xml:space="preserve"> potenciālo dzīvotņu identificēšana un labvēlīgas dzīvotnes stāvokļa nodrošināšana</w:t>
      </w:r>
    </w:p>
    <w:p w14:paraId="55EA6C3F" w14:textId="475BFF23" w:rsidR="00834339" w:rsidRPr="00675182" w:rsidRDefault="00E13092" w:rsidP="00D80AC3">
      <w:pPr>
        <w:jc w:val="both"/>
        <w:rPr>
          <w:rFonts w:cstheme="minorHAnsi"/>
          <w:szCs w:val="24"/>
        </w:rPr>
      </w:pPr>
      <w:r w:rsidRPr="00675182">
        <w:rPr>
          <w:rFonts w:cstheme="minorHAnsi"/>
          <w:szCs w:val="24"/>
        </w:rPr>
        <w:t>Svītrainais kapucķirmis ir pirofīla suga, tās</w:t>
      </w:r>
      <w:r w:rsidR="00D80AC3" w:rsidRPr="00675182">
        <w:rPr>
          <w:rFonts w:cstheme="minorHAnsi"/>
          <w:szCs w:val="24"/>
        </w:rPr>
        <w:t xml:space="preserve"> optimālā dzīvotne ir boreāli meži</w:t>
      </w:r>
      <w:r w:rsidRPr="00675182">
        <w:rPr>
          <w:rFonts w:cstheme="minorHAnsi"/>
          <w:szCs w:val="24"/>
        </w:rPr>
        <w:t>, kuros bijuši neseni degumi</w:t>
      </w:r>
      <w:r w:rsidR="00D80AC3" w:rsidRPr="00675182">
        <w:rPr>
          <w:rFonts w:cstheme="minorHAnsi"/>
          <w:szCs w:val="24"/>
        </w:rPr>
        <w:t>. Ņemot vērā, ka sugas dzīvotne nav ilgtspējīga, tās izdzīvošanai liela nozīme ir piemērotu koku saglabāšanai degumos. Svītrainā kapucķirmja mikrobiotopu saglabāšanai ir nepieciešams nodrošināt sugai piemēroto koku identificēšanu pirms katras plānotās sanitārās cirtes</w:t>
      </w:r>
      <w:r w:rsidRPr="00675182">
        <w:rPr>
          <w:rFonts w:cstheme="minorHAnsi"/>
          <w:szCs w:val="24"/>
        </w:rPr>
        <w:t xml:space="preserve"> degušos</w:t>
      </w:r>
      <w:r w:rsidR="00D80AC3" w:rsidRPr="00675182">
        <w:rPr>
          <w:rFonts w:cstheme="minorHAnsi"/>
          <w:szCs w:val="24"/>
        </w:rPr>
        <w:t xml:space="preserve"> boreālā tipa mežos, sākot ar 60 gadu vecumu, </w:t>
      </w:r>
      <w:r w:rsidR="00D80AC3" w:rsidRPr="00675182">
        <w:rPr>
          <w:rFonts w:cstheme="minorHAnsi"/>
          <w:szCs w:val="24"/>
        </w:rPr>
        <w:lastRenderedPageBreak/>
        <w:t>balstoties uz bezmugurkaulnieku eksperta apsekojuma datiem.</w:t>
      </w:r>
      <w:r w:rsidRPr="00675182">
        <w:rPr>
          <w:rFonts w:cstheme="minorHAnsi"/>
          <w:szCs w:val="24"/>
        </w:rPr>
        <w:t xml:space="preserve"> </w:t>
      </w:r>
      <w:r w:rsidR="00884A06" w:rsidRPr="00675182">
        <w:rPr>
          <w:rFonts w:cstheme="minorHAnsi"/>
          <w:szCs w:val="24"/>
        </w:rPr>
        <w:t>VMD</w:t>
      </w:r>
      <w:r w:rsidRPr="00675182">
        <w:rPr>
          <w:rFonts w:cstheme="minorHAnsi"/>
          <w:szCs w:val="24"/>
        </w:rPr>
        <w:t>, izsniedzot apliecinājumu sanitārajai cirtei, jāpārbauda mežaudzes atbilstība minētajiem kritērijiem un, ja tā atbilst sugas potenciālajam biotopam</w:t>
      </w:r>
      <w:r w:rsidR="00834339" w:rsidRPr="00675182">
        <w:rPr>
          <w:rFonts w:cstheme="minorHAnsi"/>
          <w:szCs w:val="24"/>
        </w:rPr>
        <w:t>, jāpieprasa mikrobiotopu izvērtējums no DAP un attiecīgi jānorāda saglabājamie koki.</w:t>
      </w:r>
    </w:p>
    <w:p w14:paraId="15C26A0A" w14:textId="77777777" w:rsidR="00884A06" w:rsidRPr="00675182" w:rsidRDefault="00884A06" w:rsidP="00D80AC3">
      <w:pPr>
        <w:jc w:val="both"/>
        <w:rPr>
          <w:rFonts w:cstheme="minorHAnsi"/>
          <w:szCs w:val="24"/>
        </w:rPr>
      </w:pPr>
    </w:p>
    <w:p w14:paraId="5F271E87" w14:textId="4964689A" w:rsidR="00D80AC3" w:rsidRPr="00675182" w:rsidRDefault="00D80AC3" w:rsidP="00D80AC3">
      <w:pPr>
        <w:jc w:val="both"/>
        <w:rPr>
          <w:rFonts w:cstheme="minorHAnsi"/>
          <w:szCs w:val="24"/>
        </w:rPr>
      </w:pPr>
      <w:r w:rsidRPr="00675182">
        <w:rPr>
          <w:rFonts w:cstheme="minorHAnsi"/>
          <w:szCs w:val="24"/>
        </w:rPr>
        <w:t xml:space="preserve">Sugas ilgtspējīgas pastāvēšanas nodrošināšanai GNP ir vēlams īstenot </w:t>
      </w:r>
      <w:r w:rsidR="00E13092" w:rsidRPr="00675182">
        <w:rPr>
          <w:rFonts w:cstheme="minorHAnsi"/>
          <w:szCs w:val="24"/>
        </w:rPr>
        <w:t xml:space="preserve">kontrolētās </w:t>
      </w:r>
      <w:r w:rsidRPr="00675182">
        <w:rPr>
          <w:rFonts w:cstheme="minorHAnsi"/>
          <w:szCs w:val="24"/>
        </w:rPr>
        <w:t>dedzināšanas apsaimniekošanas pasākumus</w:t>
      </w:r>
      <w:r w:rsidR="00CF2DB2" w:rsidRPr="00675182">
        <w:rPr>
          <w:rFonts w:cstheme="minorHAnsi"/>
          <w:szCs w:val="24"/>
        </w:rPr>
        <w:t>.</w:t>
      </w:r>
    </w:p>
    <w:p w14:paraId="72764793" w14:textId="617E4754" w:rsidR="00D80AC3" w:rsidRPr="00675182" w:rsidRDefault="00D80AC3" w:rsidP="00500993">
      <w:pPr>
        <w:jc w:val="both"/>
        <w:rPr>
          <w:rFonts w:cstheme="minorHAnsi"/>
          <w:b/>
          <w:szCs w:val="24"/>
        </w:rPr>
      </w:pPr>
    </w:p>
    <w:p w14:paraId="4483404D" w14:textId="1AC944A9" w:rsidR="00834339" w:rsidRPr="00675182" w:rsidRDefault="00834339" w:rsidP="00C230DB">
      <w:pPr>
        <w:keepNext/>
        <w:keepLines/>
        <w:jc w:val="both"/>
        <w:rPr>
          <w:rFonts w:cstheme="minorHAnsi"/>
          <w:b/>
          <w:szCs w:val="24"/>
        </w:rPr>
      </w:pPr>
      <w:r w:rsidRPr="00675182">
        <w:rPr>
          <w:rFonts w:cstheme="minorHAnsi"/>
          <w:b/>
          <w:szCs w:val="24"/>
        </w:rPr>
        <w:t xml:space="preserve">B.6.9. Ošu pļavraibeņa </w:t>
      </w:r>
      <w:r w:rsidRPr="00675182">
        <w:rPr>
          <w:rFonts w:cstheme="minorHAnsi"/>
          <w:b/>
          <w:i/>
          <w:iCs/>
          <w:szCs w:val="24"/>
        </w:rPr>
        <w:t>Hypodrias maturna</w:t>
      </w:r>
      <w:r w:rsidRPr="00675182">
        <w:rPr>
          <w:rFonts w:cstheme="minorHAnsi"/>
          <w:b/>
          <w:szCs w:val="24"/>
        </w:rPr>
        <w:t xml:space="preserve"> dzīvotņu apsaimniekošana</w:t>
      </w:r>
    </w:p>
    <w:p w14:paraId="3C7497E4" w14:textId="3D45EE46" w:rsidR="00B17F36" w:rsidRPr="00675182" w:rsidRDefault="00834339" w:rsidP="00C230DB">
      <w:pPr>
        <w:keepNext/>
        <w:keepLines/>
        <w:jc w:val="both"/>
        <w:rPr>
          <w:rFonts w:cstheme="minorHAnsi"/>
          <w:szCs w:val="24"/>
        </w:rPr>
      </w:pPr>
      <w:r w:rsidRPr="00675182">
        <w:rPr>
          <w:rFonts w:cstheme="minorHAnsi"/>
          <w:szCs w:val="24"/>
        </w:rPr>
        <w:t xml:space="preserve">Par ošu pļavraibeņa </w:t>
      </w:r>
      <w:r w:rsidRPr="00675182">
        <w:rPr>
          <w:rFonts w:cstheme="minorHAnsi"/>
          <w:i/>
          <w:iCs/>
          <w:szCs w:val="24"/>
        </w:rPr>
        <w:t>Hypodrias maturna</w:t>
      </w:r>
      <w:r w:rsidRPr="00675182">
        <w:rPr>
          <w:rFonts w:cstheme="minorHAnsi"/>
          <w:szCs w:val="24"/>
        </w:rPr>
        <w:t xml:space="preserve"> dzīvotni uzskatāmas ekotona joslas starp mežiem, kuros sastopami oši, un zālājiem u.c. atklātām teritorijām, kurās barojas pieaugušie īpatņi. </w:t>
      </w:r>
      <w:r w:rsidR="00B17F36" w:rsidRPr="00675182">
        <w:rPr>
          <w:rFonts w:cstheme="minorHAnsi"/>
          <w:szCs w:val="24"/>
        </w:rPr>
        <w:t xml:space="preserve">Kā sugas dzīvotņu uzturēšanai apsaimniekojamas platības plānoti zālāji (Lauku atbalsta dienestā reģistrētie ilggadīgie zālāji, kā arī ārpus lauku blokiem esoši ES nozīmes zālāju biotopi) sugai piemēroto ekotonu apkārtnē (500 m rādiusā). Tā kā suga GNP konstatēta tikai dažās vietās, apsaimniekojamie zālāji identificēti tās potenciālās sastopamības areālos (skat. </w:t>
      </w:r>
      <w:r w:rsidR="00F56F7E" w:rsidRPr="00675182">
        <w:rPr>
          <w:rFonts w:cstheme="minorHAnsi"/>
          <w:szCs w:val="24"/>
        </w:rPr>
        <w:t>3.7</w:t>
      </w:r>
      <w:r w:rsidR="00B17F36" w:rsidRPr="00675182">
        <w:rPr>
          <w:rFonts w:cstheme="minorHAnsi"/>
          <w:szCs w:val="24"/>
        </w:rPr>
        <w:t xml:space="preserve">. </w:t>
      </w:r>
      <w:r w:rsidR="004646AD" w:rsidRPr="00675182">
        <w:rPr>
          <w:rFonts w:cstheme="minorHAnsi"/>
          <w:szCs w:val="24"/>
        </w:rPr>
        <w:t>a</w:t>
      </w:r>
      <w:r w:rsidR="00B17F36" w:rsidRPr="00675182">
        <w:rPr>
          <w:rFonts w:cstheme="minorHAnsi"/>
          <w:szCs w:val="24"/>
        </w:rPr>
        <w:t>ttēlu), tajos jānodrošina zālāju ekstensīva apsaimniekošana</w:t>
      </w:r>
      <w:r w:rsidR="0089545A" w:rsidRPr="00675182">
        <w:rPr>
          <w:rFonts w:cstheme="minorHAnsi"/>
          <w:szCs w:val="24"/>
        </w:rPr>
        <w:t xml:space="preserve"> (kopumā ap 729 ha platībā)</w:t>
      </w:r>
      <w:r w:rsidR="00B17F36" w:rsidRPr="00675182">
        <w:rPr>
          <w:rFonts w:cstheme="minorHAnsi"/>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1"/>
      </w:tblGrid>
      <w:tr w:rsidR="00B17F36" w:rsidRPr="00675182" w14:paraId="75F68489" w14:textId="77777777" w:rsidTr="00884A06">
        <w:trPr>
          <w:trHeight w:val="5297"/>
        </w:trPr>
        <w:tc>
          <w:tcPr>
            <w:tcW w:w="9016" w:type="dxa"/>
            <w:hideMark/>
          </w:tcPr>
          <w:p w14:paraId="4D4BF4AE" w14:textId="77777777" w:rsidR="00B17F36" w:rsidRPr="00675182" w:rsidRDefault="00B17F36">
            <w:pPr>
              <w:tabs>
                <w:tab w:val="left" w:pos="6380"/>
              </w:tabs>
              <w:jc w:val="both"/>
              <w:rPr>
                <w:rFonts w:eastAsia="Times New Roman" w:cstheme="minorHAnsi"/>
                <w:color w:val="000000"/>
                <w:szCs w:val="24"/>
                <w:lang w:eastAsia="en-US"/>
              </w:rPr>
            </w:pPr>
            <w:r w:rsidRPr="00675182">
              <w:rPr>
                <w:rFonts w:eastAsiaTheme="minorHAnsi" w:cstheme="minorHAnsi"/>
                <w:sz w:val="22"/>
                <w:szCs w:val="22"/>
              </w:rPr>
              <w:object w:dxaOrig="8364" w:dyaOrig="7476" w14:anchorId="6506B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372.75pt" o:ole="">
                  <v:imagedata r:id="rId274" o:title=""/>
                </v:shape>
                <o:OLEObject Type="Embed" ProgID="PBrush" ShapeID="_x0000_i1025" DrawAspect="Content" ObjectID="_1750594531" r:id="rId275"/>
              </w:object>
            </w:r>
          </w:p>
        </w:tc>
      </w:tr>
      <w:tr w:rsidR="00B17F36" w:rsidRPr="00675182" w14:paraId="0746F56B" w14:textId="77777777" w:rsidTr="00C71DEF">
        <w:trPr>
          <w:trHeight w:val="908"/>
        </w:trPr>
        <w:tc>
          <w:tcPr>
            <w:tcW w:w="9016" w:type="dxa"/>
            <w:hideMark/>
          </w:tcPr>
          <w:p w14:paraId="0D4766FF" w14:textId="2C0DC6DF" w:rsidR="00B17F36" w:rsidRPr="00675182" w:rsidRDefault="00884A06">
            <w:pPr>
              <w:tabs>
                <w:tab w:val="left" w:pos="6380"/>
              </w:tabs>
              <w:jc w:val="both"/>
              <w:rPr>
                <w:rFonts w:eastAsia="Times New Roman" w:cstheme="minorHAnsi"/>
                <w:b/>
                <w:bCs/>
                <w:i/>
                <w:iCs/>
                <w:color w:val="000000"/>
                <w:szCs w:val="24"/>
              </w:rPr>
            </w:pPr>
            <w:r w:rsidRPr="00675182">
              <w:rPr>
                <w:rFonts w:eastAsia="Times New Roman" w:cstheme="minorHAnsi"/>
                <w:b/>
                <w:bCs/>
                <w:i/>
                <w:iCs/>
                <w:color w:val="000000"/>
              </w:rPr>
              <w:t>3.</w:t>
            </w:r>
            <w:r w:rsidR="00F56F7E" w:rsidRPr="00675182">
              <w:rPr>
                <w:rFonts w:eastAsia="Times New Roman" w:cstheme="minorHAnsi"/>
                <w:b/>
                <w:bCs/>
                <w:i/>
                <w:iCs/>
                <w:color w:val="000000"/>
              </w:rPr>
              <w:t>7</w:t>
            </w:r>
            <w:r w:rsidRPr="00675182">
              <w:rPr>
                <w:rFonts w:eastAsia="Times New Roman" w:cstheme="minorHAnsi"/>
                <w:b/>
                <w:bCs/>
                <w:i/>
                <w:iCs/>
                <w:color w:val="000000"/>
              </w:rPr>
              <w:t>. a</w:t>
            </w:r>
            <w:r w:rsidR="00B17F36" w:rsidRPr="00675182">
              <w:rPr>
                <w:rFonts w:eastAsia="Times New Roman" w:cstheme="minorHAnsi"/>
                <w:b/>
                <w:bCs/>
                <w:i/>
                <w:iCs/>
                <w:color w:val="000000"/>
              </w:rPr>
              <w:t>ttēls. 500 metru buferu joslas ap H.maturna sastopamībai piemērotām dzīvotnēm (tumšie riņķi), zaļie punkti zināmas sugas atradnes, ar sarkanu līniju ie</w:t>
            </w:r>
            <w:r w:rsidR="00CF2DB2" w:rsidRPr="00675182">
              <w:rPr>
                <w:rFonts w:eastAsia="Times New Roman" w:cstheme="minorHAnsi"/>
                <w:b/>
                <w:bCs/>
                <w:i/>
                <w:iCs/>
                <w:color w:val="000000"/>
              </w:rPr>
              <w:t>r</w:t>
            </w:r>
            <w:r w:rsidR="00B17F36" w:rsidRPr="00675182">
              <w:rPr>
                <w:rFonts w:eastAsia="Times New Roman" w:cstheme="minorHAnsi"/>
                <w:b/>
                <w:bCs/>
                <w:i/>
                <w:iCs/>
                <w:color w:val="000000"/>
              </w:rPr>
              <w:t>obežoti sugas sastopamības prognozējamie poligoni</w:t>
            </w:r>
          </w:p>
        </w:tc>
      </w:tr>
    </w:tbl>
    <w:p w14:paraId="71302F4F" w14:textId="77777777" w:rsidR="00B17F36" w:rsidRPr="00675182" w:rsidRDefault="00B17F36" w:rsidP="00834339">
      <w:pPr>
        <w:jc w:val="both"/>
        <w:rPr>
          <w:rFonts w:cstheme="minorHAnsi"/>
          <w:szCs w:val="24"/>
        </w:rPr>
      </w:pPr>
    </w:p>
    <w:p w14:paraId="77BB98C7" w14:textId="1918EA8B" w:rsidR="008C7C55" w:rsidRPr="00675182" w:rsidRDefault="008C7C55" w:rsidP="00500993">
      <w:pPr>
        <w:jc w:val="both"/>
        <w:rPr>
          <w:rFonts w:cstheme="minorHAnsi"/>
          <w:b/>
          <w:szCs w:val="24"/>
        </w:rPr>
      </w:pPr>
      <w:r w:rsidRPr="00675182">
        <w:rPr>
          <w:rFonts w:cstheme="minorHAnsi"/>
          <w:b/>
          <w:szCs w:val="24"/>
        </w:rPr>
        <w:lastRenderedPageBreak/>
        <w:t xml:space="preserve">B.6.10. Skabiozu pļavraibeņa </w:t>
      </w:r>
      <w:r w:rsidRPr="00675182">
        <w:rPr>
          <w:rFonts w:cstheme="minorHAnsi"/>
          <w:b/>
          <w:i/>
          <w:iCs/>
          <w:szCs w:val="24"/>
        </w:rPr>
        <w:t>Euphydrias aurinia</w:t>
      </w:r>
      <w:r w:rsidRPr="00675182">
        <w:rPr>
          <w:rFonts w:cstheme="minorHAnsi"/>
          <w:b/>
          <w:szCs w:val="24"/>
        </w:rPr>
        <w:t xml:space="preserve"> dzīvotņu apsaimniekošana</w:t>
      </w:r>
    </w:p>
    <w:p w14:paraId="6BEA9C07" w14:textId="1F19E591" w:rsidR="008C7C55" w:rsidRPr="00675182" w:rsidRDefault="008C7C55" w:rsidP="00500993">
      <w:pPr>
        <w:jc w:val="both"/>
        <w:rPr>
          <w:rFonts w:cstheme="minorHAnsi"/>
          <w:szCs w:val="24"/>
        </w:rPr>
      </w:pPr>
      <w:r w:rsidRPr="00675182">
        <w:rPr>
          <w:rFonts w:cstheme="minorHAnsi"/>
          <w:szCs w:val="24"/>
        </w:rPr>
        <w:t xml:space="preserve">Skabiozu pļavraibeņa dzīvotņu uzturēšanai nepieciešams saglabāt atklātas platības ar tā kāpuru barības augu – pļavas vilkmēli </w:t>
      </w:r>
      <w:r w:rsidRPr="00675182">
        <w:rPr>
          <w:rFonts w:cstheme="minorHAnsi"/>
          <w:i/>
          <w:iCs/>
          <w:szCs w:val="24"/>
        </w:rPr>
        <w:t>Succisa pratensis</w:t>
      </w:r>
      <w:r w:rsidRPr="00675182">
        <w:rPr>
          <w:rFonts w:cstheme="minorHAnsi"/>
          <w:szCs w:val="24"/>
        </w:rPr>
        <w:t xml:space="preserve">. </w:t>
      </w:r>
      <w:r w:rsidR="00E6096E" w:rsidRPr="00675182">
        <w:rPr>
          <w:rFonts w:cstheme="minorHAnsi"/>
          <w:szCs w:val="24"/>
        </w:rPr>
        <w:t xml:space="preserve">Prioritāri apsaimniekojami ES nozīmes zālāju biotopi, kuros sastopama pļavas vilkmēle, parasti tas ir biotops 6410 Mitri zālāji periodiski izžūstošās augsnēs. Kā apsaimniekojamās platības norādīti zālāju biotopi sugas iespējamajā izplatības areālā GNP. Zālājos nav pieļaujama intensīva noganīšana un vēlā pļaušana, kas samazina pļavas vilkmēles </w:t>
      </w:r>
      <w:r w:rsidR="000D0220" w:rsidRPr="00675182">
        <w:rPr>
          <w:rFonts w:cstheme="minorHAnsi"/>
          <w:szCs w:val="24"/>
        </w:rPr>
        <w:t>vitalitāti.</w:t>
      </w:r>
      <w:r w:rsidR="0089545A" w:rsidRPr="00675182">
        <w:rPr>
          <w:rFonts w:cstheme="minorHAnsi"/>
          <w:szCs w:val="24"/>
        </w:rPr>
        <w:t xml:space="preserve"> Kopējā apsaimniekošanas pasākumu platība ap 8,5 ha.</w:t>
      </w:r>
    </w:p>
    <w:p w14:paraId="19BA7DBD" w14:textId="77777777" w:rsidR="008C7C55" w:rsidRPr="00675182" w:rsidRDefault="008C7C55" w:rsidP="00500993">
      <w:pPr>
        <w:jc w:val="both"/>
        <w:rPr>
          <w:rFonts w:cstheme="minorHAnsi"/>
          <w:b/>
          <w:szCs w:val="24"/>
        </w:rPr>
      </w:pPr>
    </w:p>
    <w:p w14:paraId="4E57273A" w14:textId="6F00409C" w:rsidR="00500993" w:rsidRPr="00675182" w:rsidRDefault="00115D99" w:rsidP="00500993">
      <w:pPr>
        <w:jc w:val="both"/>
        <w:rPr>
          <w:rFonts w:cstheme="minorHAnsi"/>
          <w:b/>
          <w:szCs w:val="24"/>
        </w:rPr>
      </w:pPr>
      <w:r w:rsidRPr="00675182">
        <w:rPr>
          <w:rFonts w:cstheme="minorHAnsi"/>
          <w:b/>
          <w:szCs w:val="24"/>
        </w:rPr>
        <w:t xml:space="preserve">B.6.11. </w:t>
      </w:r>
      <w:r w:rsidR="00500993" w:rsidRPr="00675182">
        <w:rPr>
          <w:rFonts w:cstheme="minorHAnsi"/>
          <w:b/>
          <w:szCs w:val="24"/>
        </w:rPr>
        <w:t xml:space="preserve">Ziemeļu upespērlenes </w:t>
      </w:r>
      <w:r w:rsidR="00500993" w:rsidRPr="00675182">
        <w:rPr>
          <w:rFonts w:cstheme="minorHAnsi"/>
          <w:b/>
          <w:i/>
          <w:szCs w:val="24"/>
        </w:rPr>
        <w:t>Margaritifera margaritifera</w:t>
      </w:r>
      <w:r w:rsidR="00500993" w:rsidRPr="00675182">
        <w:rPr>
          <w:rFonts w:cstheme="minorHAnsi"/>
          <w:b/>
          <w:szCs w:val="24"/>
        </w:rPr>
        <w:t xml:space="preserve"> aizsardzības pasākumi </w:t>
      </w:r>
    </w:p>
    <w:p w14:paraId="16D74768" w14:textId="267C1DDE" w:rsidR="00500993" w:rsidRPr="00675182" w:rsidRDefault="00500993" w:rsidP="00500993">
      <w:pPr>
        <w:jc w:val="both"/>
        <w:rPr>
          <w:rFonts w:cstheme="minorHAnsi"/>
          <w:szCs w:val="24"/>
        </w:rPr>
      </w:pPr>
      <w:r w:rsidRPr="00675182">
        <w:rPr>
          <w:rFonts w:cstheme="minorHAnsi"/>
          <w:szCs w:val="24"/>
        </w:rPr>
        <w:t xml:space="preserve">Ziemeļu upespērlenes </w:t>
      </w:r>
      <w:r w:rsidRPr="00675182">
        <w:rPr>
          <w:rFonts w:cstheme="minorHAnsi"/>
          <w:i/>
          <w:szCs w:val="24"/>
        </w:rPr>
        <w:t xml:space="preserve">Margaritifera margaritifera </w:t>
      </w:r>
      <w:r w:rsidRPr="00675182">
        <w:rPr>
          <w:rFonts w:cstheme="minorHAnsi"/>
          <w:szCs w:val="24"/>
        </w:rPr>
        <w:t>dzīvotņu izvērtējums un apsaimniekošanas pasākumu plānošana tika veikta</w:t>
      </w:r>
      <w:r w:rsidR="00115D99" w:rsidRPr="00675182">
        <w:rPr>
          <w:rFonts w:cstheme="minorHAnsi"/>
          <w:szCs w:val="24"/>
        </w:rPr>
        <w:t>,</w:t>
      </w:r>
      <w:r w:rsidRPr="00675182">
        <w:rPr>
          <w:rFonts w:cstheme="minorHAnsi"/>
          <w:szCs w:val="24"/>
        </w:rPr>
        <w:t xml:space="preserve"> balstoties uz bezmugurkaulnieku ekspertu Mārtiņa Kalniņa, Ulda Valaiņa un Maksima Balalaikina apsekojumiem, ņemot vērā datus, kas iegūti LVAF projekta </w:t>
      </w:r>
      <w:r w:rsidR="007127E0" w:rsidRPr="00675182">
        <w:rPr>
          <w:rFonts w:cstheme="minorHAnsi"/>
          <w:szCs w:val="24"/>
        </w:rPr>
        <w:t xml:space="preserve">“Ziemeļu upespērlenes </w:t>
      </w:r>
      <w:r w:rsidR="007127E0" w:rsidRPr="00675182">
        <w:rPr>
          <w:rFonts w:cstheme="minorHAnsi"/>
          <w:i/>
          <w:iCs/>
          <w:szCs w:val="24"/>
        </w:rPr>
        <w:t>Margaritifera margaritifera</w:t>
      </w:r>
      <w:r w:rsidR="007127E0" w:rsidRPr="00675182">
        <w:rPr>
          <w:rFonts w:cstheme="minorHAnsi"/>
          <w:szCs w:val="24"/>
        </w:rPr>
        <w:t xml:space="preserve"> un skabiozu pļavraibeņa </w:t>
      </w:r>
      <w:r w:rsidR="007127E0" w:rsidRPr="00675182">
        <w:rPr>
          <w:rFonts w:cstheme="minorHAnsi"/>
          <w:i/>
          <w:iCs/>
          <w:szCs w:val="24"/>
        </w:rPr>
        <w:t>Euphydrias aurinia</w:t>
      </w:r>
      <w:r w:rsidR="007127E0" w:rsidRPr="00675182">
        <w:rPr>
          <w:rFonts w:cstheme="minorHAnsi"/>
          <w:szCs w:val="24"/>
        </w:rPr>
        <w:t xml:space="preserve"> atradņu un dzīvotņu identificēšana un ģeodatubāzes izveide" (Nr. 1-08/36/2020) </w:t>
      </w:r>
      <w:r w:rsidRPr="00675182">
        <w:rPr>
          <w:rFonts w:cstheme="minorHAnsi"/>
          <w:szCs w:val="24"/>
        </w:rPr>
        <w:t>un saskaņā ar gliemeņu pētnieces Mudītes Rudzītes ieteikumiem.</w:t>
      </w:r>
    </w:p>
    <w:p w14:paraId="5BDB2258" w14:textId="77777777" w:rsidR="00500993" w:rsidRPr="00675182" w:rsidRDefault="00500993" w:rsidP="00500993">
      <w:pPr>
        <w:jc w:val="both"/>
        <w:rPr>
          <w:rFonts w:cstheme="minorHAnsi"/>
          <w:szCs w:val="24"/>
        </w:rPr>
      </w:pPr>
    </w:p>
    <w:p w14:paraId="00C16CD7" w14:textId="33B3F86E" w:rsidR="00500993" w:rsidRPr="00675182" w:rsidRDefault="00500993" w:rsidP="00500993">
      <w:pPr>
        <w:jc w:val="both"/>
        <w:rPr>
          <w:rFonts w:cstheme="minorHAnsi"/>
          <w:szCs w:val="24"/>
        </w:rPr>
      </w:pPr>
      <w:r w:rsidRPr="00675182">
        <w:rPr>
          <w:rFonts w:cstheme="minorHAnsi"/>
          <w:szCs w:val="24"/>
        </w:rPr>
        <w:t xml:space="preserve">Ziemeļu upespērlene ir suga, kuras populācija samazinās ne tikai Latvijā, bet arī visā sugas areālā kopumā. Šī tendence ir saistīta ar sugas šauro specializāciju un pielāgošanās dzīvei oligotrofās upēs, turklāt to kāpuru (glohīdiju) attīstībai nepieciešamas specifiskas lašveidīgās zivju sugas, kuru sastopamība ūdenstecē arī atkarīga no vides kvalitātes. </w:t>
      </w:r>
      <w:r w:rsidR="00115D99" w:rsidRPr="00675182">
        <w:rPr>
          <w:rFonts w:cstheme="minorHAnsi"/>
          <w:szCs w:val="24"/>
        </w:rPr>
        <w:t>z</w:t>
      </w:r>
      <w:r w:rsidRPr="00675182">
        <w:rPr>
          <w:rFonts w:cstheme="minorHAnsi"/>
          <w:szCs w:val="24"/>
        </w:rPr>
        <w:t xml:space="preserve">iemeļu upespērlenes galvenie ietekmējošie faktori ir vispārējā vides eitrofikācija, ko sekmē cilvēka saimnieciskā darbība un bebru darbība, tajā skaitā aizsprostu un uzpludinājumu veidošana, kas veicina dūņu slāņa veidošanos, ūdens tecējuma palēnināšanos, kā rezultātā paaugstinās ūdens temperatūra un vide kļūst nepiemērota </w:t>
      </w:r>
      <w:r w:rsidR="00115D99" w:rsidRPr="00675182">
        <w:rPr>
          <w:rFonts w:cstheme="minorHAnsi"/>
          <w:szCs w:val="24"/>
        </w:rPr>
        <w:t>z</w:t>
      </w:r>
      <w:r w:rsidRPr="00675182">
        <w:rPr>
          <w:rFonts w:cstheme="minorHAnsi"/>
          <w:szCs w:val="24"/>
        </w:rPr>
        <w:t xml:space="preserve">iemeļu upespērleņu un to saimniekzivju izdzīvošanai. Prioritārais apsaimniekošanas pasākums </w:t>
      </w:r>
      <w:r w:rsidR="00115D99" w:rsidRPr="00675182">
        <w:rPr>
          <w:rFonts w:cstheme="minorHAnsi"/>
          <w:szCs w:val="24"/>
        </w:rPr>
        <w:t>z</w:t>
      </w:r>
      <w:r w:rsidRPr="00675182">
        <w:rPr>
          <w:rFonts w:cstheme="minorHAnsi"/>
          <w:szCs w:val="24"/>
        </w:rPr>
        <w:t>iemeļu upespērlenes populācijas saglabāšanai ir regulāra sugas apdzīvoto upes</w:t>
      </w:r>
      <w:r w:rsidR="00492C2E" w:rsidRPr="00675182">
        <w:rPr>
          <w:rFonts w:cstheme="minorHAnsi"/>
          <w:szCs w:val="24"/>
        </w:rPr>
        <w:t xml:space="preserve"> </w:t>
      </w:r>
      <w:r w:rsidRPr="00675182">
        <w:rPr>
          <w:rFonts w:cstheme="minorHAnsi"/>
          <w:szCs w:val="24"/>
        </w:rPr>
        <w:t>posmu apsekošana, veicot bebru aizsprostu nojaukšanu un nodrošinot upes brīv</w:t>
      </w:r>
      <w:r w:rsidR="00492C2E" w:rsidRPr="00675182">
        <w:rPr>
          <w:rFonts w:cstheme="minorHAnsi"/>
          <w:szCs w:val="24"/>
        </w:rPr>
        <w:t>u</w:t>
      </w:r>
      <w:r w:rsidRPr="00675182">
        <w:rPr>
          <w:rFonts w:cstheme="minorHAnsi"/>
          <w:szCs w:val="24"/>
        </w:rPr>
        <w:t xml:space="preserve"> tecējumu, kā arī nodrošināt turpmāku straujteču biotopu uzturēšanu (skat. apsaimniekošanas pasākumu</w:t>
      </w:r>
      <w:r w:rsidR="00930976" w:rsidRPr="00675182">
        <w:rPr>
          <w:rFonts w:cstheme="minorHAnsi"/>
          <w:szCs w:val="24"/>
        </w:rPr>
        <w:t>s</w:t>
      </w:r>
      <w:r w:rsidRPr="00675182">
        <w:rPr>
          <w:rFonts w:cstheme="minorHAnsi"/>
          <w:szCs w:val="24"/>
        </w:rPr>
        <w:t xml:space="preserve"> </w:t>
      </w:r>
      <w:r w:rsidRPr="00675182">
        <w:rPr>
          <w:rFonts w:cstheme="minorHAnsi"/>
          <w:b/>
          <w:bCs/>
          <w:szCs w:val="24"/>
        </w:rPr>
        <w:t>Nr.</w:t>
      </w:r>
      <w:r w:rsidR="00301607" w:rsidRPr="00675182">
        <w:rPr>
          <w:rFonts w:cstheme="minorHAnsi"/>
          <w:b/>
          <w:bCs/>
          <w:szCs w:val="24"/>
        </w:rPr>
        <w:t>B.1.1</w:t>
      </w:r>
      <w:r w:rsidRPr="00675182">
        <w:rPr>
          <w:rFonts w:cstheme="minorHAnsi"/>
          <w:b/>
          <w:bCs/>
          <w:szCs w:val="24"/>
        </w:rPr>
        <w:t>.</w:t>
      </w:r>
      <w:r w:rsidR="00E57DAB" w:rsidRPr="00675182">
        <w:rPr>
          <w:rFonts w:cstheme="minorHAnsi"/>
          <w:b/>
          <w:bCs/>
          <w:szCs w:val="24"/>
        </w:rPr>
        <w:t xml:space="preserve"> </w:t>
      </w:r>
      <w:r w:rsidR="00E57DAB" w:rsidRPr="00675182">
        <w:rPr>
          <w:rFonts w:cstheme="minorHAnsi"/>
          <w:szCs w:val="24"/>
        </w:rPr>
        <w:t>un</w:t>
      </w:r>
      <w:r w:rsidR="00E57DAB" w:rsidRPr="00675182">
        <w:rPr>
          <w:rFonts w:cstheme="minorHAnsi"/>
          <w:b/>
          <w:bCs/>
          <w:szCs w:val="24"/>
        </w:rPr>
        <w:t xml:space="preserve"> B.1.2.</w:t>
      </w:r>
      <w:r w:rsidRPr="00675182">
        <w:rPr>
          <w:rFonts w:cstheme="minorHAnsi"/>
          <w:szCs w:val="24"/>
        </w:rPr>
        <w:t>)</w:t>
      </w:r>
      <w:r w:rsidR="00301607" w:rsidRPr="00675182">
        <w:rPr>
          <w:rFonts w:cstheme="minorHAnsi"/>
          <w:szCs w:val="24"/>
        </w:rPr>
        <w:t>.</w:t>
      </w:r>
      <w:r w:rsidRPr="00675182">
        <w:rPr>
          <w:rFonts w:cstheme="minorHAnsi"/>
          <w:szCs w:val="24"/>
        </w:rPr>
        <w:t xml:space="preserve"> Nojaucot dambjus</w:t>
      </w:r>
      <w:r w:rsidR="00492C2E" w:rsidRPr="00675182">
        <w:rPr>
          <w:rFonts w:cstheme="minorHAnsi"/>
          <w:szCs w:val="24"/>
        </w:rPr>
        <w:t>,</w:t>
      </w:r>
      <w:r w:rsidRPr="00675182">
        <w:rPr>
          <w:rFonts w:cstheme="minorHAnsi"/>
          <w:szCs w:val="24"/>
        </w:rPr>
        <w:t xml:space="preserve"> var panākt straujteču biotopu atjaunošanos, jo ūdens straume pati aizskalo pie bebru dambja sakrājušās smiltis un dūņas. Līdzīgas ekoloģiskās prasības ir biezās perlamutrenes </w:t>
      </w:r>
      <w:r w:rsidRPr="00675182">
        <w:rPr>
          <w:rFonts w:cstheme="minorHAnsi"/>
          <w:i/>
          <w:szCs w:val="24"/>
        </w:rPr>
        <w:t>Unio crassus</w:t>
      </w:r>
      <w:r w:rsidRPr="00675182">
        <w:rPr>
          <w:rFonts w:cstheme="minorHAnsi"/>
          <w:szCs w:val="24"/>
        </w:rPr>
        <w:t xml:space="preserve"> un upes micītes </w:t>
      </w:r>
      <w:r w:rsidRPr="00675182">
        <w:rPr>
          <w:rFonts w:cstheme="minorHAnsi"/>
          <w:i/>
          <w:szCs w:val="24"/>
        </w:rPr>
        <w:t xml:space="preserve">Ancylus fluviatilis </w:t>
      </w:r>
      <w:r w:rsidRPr="00675182">
        <w:rPr>
          <w:rFonts w:cstheme="minorHAnsi"/>
          <w:szCs w:val="24"/>
        </w:rPr>
        <w:t>sastopamībai, līdz ar to arī šo sugu populāciju saglabāšanai ir nepieciešama straujteču biotopu saglabāšana.</w:t>
      </w:r>
      <w:r w:rsidR="0089545A" w:rsidRPr="00675182">
        <w:rPr>
          <w:rFonts w:cstheme="minorHAnsi"/>
          <w:szCs w:val="24"/>
        </w:rPr>
        <w:t xml:space="preserve"> Kopējais apsaimniekojamo upes posmu garums ziemeļu upespērlenes dzīvotnēs ir ap 13,7 km.</w:t>
      </w:r>
    </w:p>
    <w:bookmarkEnd w:id="157"/>
    <w:p w14:paraId="0B9AEF33" w14:textId="51D72708" w:rsidR="008D430F" w:rsidRPr="00675182" w:rsidRDefault="008D430F" w:rsidP="00500993">
      <w:pPr>
        <w:jc w:val="both"/>
        <w:rPr>
          <w:rFonts w:cstheme="minorHAnsi"/>
          <w:szCs w:val="24"/>
        </w:rPr>
      </w:pPr>
    </w:p>
    <w:p w14:paraId="4D0F241F" w14:textId="139343FF" w:rsidR="00642510" w:rsidRPr="00675182" w:rsidRDefault="000C3D75" w:rsidP="00BF7348">
      <w:pPr>
        <w:jc w:val="both"/>
        <w:rPr>
          <w:rFonts w:cstheme="minorHAnsi"/>
          <w:b/>
          <w:bCs/>
        </w:rPr>
      </w:pPr>
      <w:r w:rsidRPr="00675182">
        <w:rPr>
          <w:rFonts w:cstheme="minorHAnsi"/>
          <w:b/>
          <w:bCs/>
        </w:rPr>
        <w:t>B.6.</w:t>
      </w:r>
      <w:r w:rsidR="00884A06" w:rsidRPr="00675182">
        <w:rPr>
          <w:rFonts w:cstheme="minorHAnsi"/>
          <w:b/>
          <w:bCs/>
        </w:rPr>
        <w:t>12</w:t>
      </w:r>
      <w:r w:rsidRPr="00675182">
        <w:rPr>
          <w:rFonts w:cstheme="minorHAnsi"/>
          <w:b/>
          <w:bCs/>
        </w:rPr>
        <w:t xml:space="preserve">. </w:t>
      </w:r>
      <w:r w:rsidR="00964CF6" w:rsidRPr="00675182">
        <w:rPr>
          <w:rFonts w:cstheme="minorHAnsi"/>
          <w:b/>
          <w:bCs/>
        </w:rPr>
        <w:t xml:space="preserve">Tūrisma infrastuktūras uzlabošana Daudzlapu </w:t>
      </w:r>
      <w:r w:rsidR="00964CF6" w:rsidRPr="00675182">
        <w:rPr>
          <w:rFonts w:cstheme="minorHAnsi"/>
          <w:b/>
          <w:bCs/>
          <w:i/>
          <w:iCs/>
        </w:rPr>
        <w:t>umbilikārijai Umbilicaria polyphylla</w:t>
      </w:r>
    </w:p>
    <w:p w14:paraId="2F803A1D" w14:textId="7CF34334" w:rsidR="00A47A29" w:rsidRPr="00675182" w:rsidRDefault="00A47A29" w:rsidP="00A47A29">
      <w:pPr>
        <w:jc w:val="both"/>
        <w:rPr>
          <w:rFonts w:eastAsia="Times New Roman" w:cstheme="minorHAnsi"/>
          <w:szCs w:val="24"/>
          <w:lang w:eastAsia="en-GB"/>
        </w:rPr>
      </w:pPr>
      <w:r w:rsidRPr="00675182">
        <w:rPr>
          <w:rFonts w:eastAsia="Times New Roman" w:cstheme="minorHAnsi"/>
          <w:szCs w:val="24"/>
          <w:lang w:eastAsia="en-GB"/>
        </w:rPr>
        <w:t xml:space="preserve">Ap akmeni, uz kura ir konstatēta </w:t>
      </w:r>
      <w:r w:rsidR="00701D55" w:rsidRPr="00675182">
        <w:rPr>
          <w:rFonts w:eastAsia="Times New Roman" w:cstheme="minorHAnsi"/>
          <w:szCs w:val="24"/>
          <w:lang w:eastAsia="en-GB"/>
        </w:rPr>
        <w:t>d</w:t>
      </w:r>
      <w:r w:rsidRPr="00675182">
        <w:rPr>
          <w:rFonts w:eastAsia="Times New Roman" w:cstheme="minorHAnsi"/>
          <w:szCs w:val="24"/>
          <w:lang w:eastAsia="en-GB"/>
        </w:rPr>
        <w:t>audzlapu umbilikārija</w:t>
      </w:r>
      <w:r w:rsidR="00C161E0" w:rsidRPr="00675182">
        <w:rPr>
          <w:rFonts w:eastAsia="Times New Roman" w:cstheme="minorHAnsi"/>
          <w:szCs w:val="24"/>
          <w:lang w:eastAsia="en-GB"/>
        </w:rPr>
        <w:t>s</w:t>
      </w:r>
      <w:r w:rsidRPr="00675182">
        <w:rPr>
          <w:rFonts w:eastAsia="Times New Roman" w:cstheme="minorHAnsi"/>
          <w:szCs w:val="24"/>
          <w:lang w:eastAsia="en-GB"/>
        </w:rPr>
        <w:t xml:space="preserve"> </w:t>
      </w:r>
      <w:r w:rsidRPr="00675182">
        <w:rPr>
          <w:rFonts w:eastAsia="Times New Roman" w:cstheme="minorHAnsi"/>
          <w:i/>
          <w:szCs w:val="24"/>
          <w:lang w:eastAsia="en-GB"/>
        </w:rPr>
        <w:t>Umbilicaria polyphylla</w:t>
      </w:r>
      <w:r w:rsidRPr="00675182">
        <w:rPr>
          <w:rFonts w:eastAsia="Times New Roman" w:cstheme="minorHAnsi"/>
          <w:szCs w:val="24"/>
          <w:lang w:eastAsia="en-GB"/>
        </w:rPr>
        <w:t xml:space="preserve"> </w:t>
      </w:r>
      <w:r w:rsidR="00C161E0" w:rsidRPr="00675182">
        <w:rPr>
          <w:rFonts w:eastAsia="Times New Roman" w:cstheme="minorHAnsi"/>
          <w:szCs w:val="24"/>
          <w:lang w:eastAsia="en-GB"/>
        </w:rPr>
        <w:t xml:space="preserve">atradne, </w:t>
      </w:r>
      <w:r w:rsidRPr="00675182">
        <w:rPr>
          <w:rFonts w:eastAsia="Times New Roman" w:cstheme="minorHAnsi"/>
          <w:szCs w:val="24"/>
          <w:lang w:eastAsia="en-GB"/>
        </w:rPr>
        <w:t>ir nepieciešams uzbūvēt koka nožogojumu 1 m augstumā. Nožogojumam ir jābūt tādam, lai tā veidotā ēna stipri nemazinātu gaismas intensitāti uz akmens virsmas (skat. piedāvāto variantu 3.</w:t>
      </w:r>
      <w:r w:rsidR="009A3090" w:rsidRPr="00675182">
        <w:rPr>
          <w:rFonts w:eastAsia="Times New Roman" w:cstheme="minorHAnsi"/>
          <w:szCs w:val="24"/>
          <w:lang w:eastAsia="en-GB"/>
        </w:rPr>
        <w:t>8</w:t>
      </w:r>
      <w:r w:rsidRPr="00675182">
        <w:rPr>
          <w:rFonts w:eastAsia="Times New Roman" w:cstheme="minorHAnsi"/>
          <w:szCs w:val="24"/>
          <w:lang w:eastAsia="en-GB"/>
        </w:rPr>
        <w:t xml:space="preserve">. </w:t>
      </w:r>
      <w:r w:rsidR="00D5743E" w:rsidRPr="00675182">
        <w:rPr>
          <w:rFonts w:eastAsia="Times New Roman" w:cstheme="minorHAnsi"/>
          <w:szCs w:val="24"/>
          <w:lang w:eastAsia="en-GB"/>
        </w:rPr>
        <w:t>a</w:t>
      </w:r>
      <w:r w:rsidRPr="00675182">
        <w:rPr>
          <w:rFonts w:eastAsia="Times New Roman" w:cstheme="minorHAnsi"/>
          <w:szCs w:val="24"/>
          <w:lang w:eastAsia="en-GB"/>
        </w:rPr>
        <w:t xml:space="preserve">ttēlā). </w:t>
      </w:r>
    </w:p>
    <w:p w14:paraId="60498DE5" w14:textId="77777777" w:rsidR="00D5743E" w:rsidRPr="00675182" w:rsidRDefault="00D5743E" w:rsidP="00A47A29">
      <w:pPr>
        <w:jc w:val="both"/>
        <w:rPr>
          <w:rFonts w:eastAsia="Times New Roman" w:cstheme="minorHAnsi"/>
          <w:szCs w:val="24"/>
          <w:lang w:eastAsia="en-GB"/>
        </w:rPr>
      </w:pPr>
    </w:p>
    <w:p w14:paraId="530CA8B8" w14:textId="7D4D3800" w:rsidR="00BD43FA" w:rsidRPr="00675182" w:rsidRDefault="00A75662" w:rsidP="00A47A29">
      <w:pPr>
        <w:jc w:val="both"/>
        <w:rPr>
          <w:rFonts w:eastAsia="Times New Roman" w:cstheme="minorHAnsi"/>
          <w:szCs w:val="24"/>
          <w:lang w:eastAsia="en-GB"/>
        </w:rPr>
      </w:pPr>
      <w:r w:rsidRPr="00675182">
        <w:rPr>
          <w:rFonts w:eastAsia="Times New Roman" w:cstheme="minorHAnsi"/>
          <w:szCs w:val="24"/>
          <w:lang w:eastAsia="en-GB"/>
        </w:rPr>
        <w:t>Uz n</w:t>
      </w:r>
      <w:r w:rsidR="00A47A29" w:rsidRPr="00675182">
        <w:rPr>
          <w:rFonts w:eastAsia="Times New Roman" w:cstheme="minorHAnsi"/>
          <w:szCs w:val="24"/>
          <w:lang w:eastAsia="en-GB"/>
        </w:rPr>
        <w:t xml:space="preserve">eoficiāla veloceļa/meža takas </w:t>
      </w:r>
      <w:r w:rsidRPr="00675182">
        <w:rPr>
          <w:rFonts w:eastAsia="Times New Roman" w:cstheme="minorHAnsi"/>
          <w:szCs w:val="24"/>
          <w:lang w:eastAsia="en-GB"/>
        </w:rPr>
        <w:t>posmā</w:t>
      </w:r>
      <w:r w:rsidR="00C161E0" w:rsidRPr="00675182">
        <w:rPr>
          <w:rFonts w:eastAsia="Times New Roman" w:cstheme="minorHAnsi"/>
          <w:szCs w:val="24"/>
          <w:lang w:eastAsia="en-GB"/>
        </w:rPr>
        <w:t xml:space="preserve"> ir nepieciešama aptuveni 10 m gara posma,</w:t>
      </w:r>
      <w:r w:rsidR="00A47A29" w:rsidRPr="00675182">
        <w:rPr>
          <w:rFonts w:eastAsia="Times New Roman" w:cstheme="minorHAnsi"/>
          <w:szCs w:val="24"/>
          <w:lang w:eastAsia="en-GB"/>
        </w:rPr>
        <w:t xml:space="preserve"> kur ir </w:t>
      </w:r>
      <w:r w:rsidRPr="00675182">
        <w:rPr>
          <w:rFonts w:eastAsia="Times New Roman" w:cstheme="minorHAnsi"/>
          <w:szCs w:val="24"/>
          <w:lang w:eastAsia="en-GB"/>
        </w:rPr>
        <w:t xml:space="preserve">konstatēta </w:t>
      </w:r>
      <w:r w:rsidR="00701D55" w:rsidRPr="00675182">
        <w:rPr>
          <w:rFonts w:eastAsia="Times New Roman" w:cstheme="minorHAnsi"/>
          <w:szCs w:val="24"/>
          <w:lang w:eastAsia="en-GB"/>
        </w:rPr>
        <w:t>d</w:t>
      </w:r>
      <w:r w:rsidR="00A47A29" w:rsidRPr="00675182">
        <w:rPr>
          <w:rFonts w:eastAsia="Times New Roman" w:cstheme="minorHAnsi"/>
          <w:szCs w:val="24"/>
          <w:lang w:eastAsia="en-GB"/>
        </w:rPr>
        <w:t xml:space="preserve">audzlapu umbilikārijas </w:t>
      </w:r>
      <w:r w:rsidR="00A47A29" w:rsidRPr="00675182">
        <w:rPr>
          <w:rFonts w:eastAsia="Times New Roman" w:cstheme="minorHAnsi"/>
          <w:i/>
          <w:szCs w:val="24"/>
          <w:lang w:eastAsia="en-GB"/>
        </w:rPr>
        <w:t>Umbilicaria polyphylla</w:t>
      </w:r>
      <w:r w:rsidR="00A47A29" w:rsidRPr="00675182">
        <w:rPr>
          <w:rFonts w:eastAsia="Times New Roman" w:cstheme="minorHAnsi"/>
          <w:szCs w:val="24"/>
          <w:lang w:eastAsia="en-GB"/>
        </w:rPr>
        <w:t xml:space="preserve"> atradne</w:t>
      </w:r>
      <w:r w:rsidR="00C161E0" w:rsidRPr="00675182">
        <w:rPr>
          <w:rFonts w:eastAsia="Times New Roman" w:cstheme="minorHAnsi"/>
          <w:szCs w:val="24"/>
          <w:lang w:eastAsia="en-GB"/>
        </w:rPr>
        <w:t>, daļēja slēgšana</w:t>
      </w:r>
      <w:r w:rsidR="00A47A29" w:rsidRPr="00675182">
        <w:rPr>
          <w:rFonts w:eastAsia="Times New Roman" w:cstheme="minorHAnsi"/>
          <w:szCs w:val="24"/>
          <w:lang w:eastAsia="en-GB"/>
        </w:rPr>
        <w:t xml:space="preserve">. </w:t>
      </w:r>
      <w:r w:rsidR="00C161E0" w:rsidRPr="00675182">
        <w:rPr>
          <w:rFonts w:eastAsia="Times New Roman" w:cstheme="minorHAnsi"/>
          <w:szCs w:val="24"/>
          <w:lang w:eastAsia="en-GB"/>
        </w:rPr>
        <w:t xml:space="preserve">Slēdzamajā veloceļa/meža takas posmā </w:t>
      </w:r>
      <w:r w:rsidR="00702D83" w:rsidRPr="00675182">
        <w:rPr>
          <w:rFonts w:eastAsia="Times New Roman" w:cstheme="minorHAnsi"/>
          <w:szCs w:val="24"/>
          <w:lang w:eastAsia="en-GB"/>
        </w:rPr>
        <w:t>tiek</w:t>
      </w:r>
      <w:r w:rsidR="00C161E0" w:rsidRPr="00675182">
        <w:rPr>
          <w:rFonts w:eastAsia="Times New Roman" w:cstheme="minorHAnsi"/>
          <w:szCs w:val="24"/>
          <w:lang w:eastAsia="en-GB"/>
        </w:rPr>
        <w:t xml:space="preserve"> </w:t>
      </w:r>
      <w:r w:rsidR="00A47A29" w:rsidRPr="00675182">
        <w:rPr>
          <w:rFonts w:eastAsia="Times New Roman" w:cstheme="minorHAnsi"/>
          <w:szCs w:val="24"/>
          <w:lang w:eastAsia="en-GB"/>
        </w:rPr>
        <w:t xml:space="preserve">rekomendēts izveidot koka </w:t>
      </w:r>
      <w:r w:rsidR="00A47A29" w:rsidRPr="00675182">
        <w:rPr>
          <w:rFonts w:eastAsia="Times New Roman" w:cstheme="minorHAnsi"/>
          <w:szCs w:val="24"/>
          <w:lang w:eastAsia="en-GB"/>
        </w:rPr>
        <w:lastRenderedPageBreak/>
        <w:t>nožogojumu. Sl</w:t>
      </w:r>
      <w:r w:rsidR="00D5743E" w:rsidRPr="00675182">
        <w:rPr>
          <w:rFonts w:eastAsia="Times New Roman" w:cstheme="minorHAnsi"/>
          <w:szCs w:val="24"/>
          <w:lang w:eastAsia="en-GB"/>
        </w:rPr>
        <w:t>ē</w:t>
      </w:r>
      <w:r w:rsidR="00A47A29" w:rsidRPr="00675182">
        <w:rPr>
          <w:rFonts w:eastAsia="Times New Roman" w:cstheme="minorHAnsi"/>
          <w:szCs w:val="24"/>
          <w:lang w:eastAsia="en-GB"/>
        </w:rPr>
        <w:t>d</w:t>
      </w:r>
      <w:r w:rsidR="00D5743E" w:rsidRPr="00675182">
        <w:rPr>
          <w:rFonts w:eastAsia="Times New Roman" w:cstheme="minorHAnsi"/>
          <w:szCs w:val="24"/>
          <w:lang w:eastAsia="en-GB"/>
        </w:rPr>
        <w:t>z</w:t>
      </w:r>
      <w:r w:rsidR="00A47A29" w:rsidRPr="00675182">
        <w:rPr>
          <w:rFonts w:eastAsia="Times New Roman" w:cstheme="minorHAnsi"/>
          <w:szCs w:val="24"/>
          <w:lang w:eastAsia="en-GB"/>
        </w:rPr>
        <w:t>amā posma apbraukšanas attālums ir aptuveni 20-25</w:t>
      </w:r>
      <w:r w:rsidR="00D5743E" w:rsidRPr="00675182">
        <w:rPr>
          <w:rFonts w:eastAsia="Times New Roman" w:cstheme="minorHAnsi"/>
          <w:szCs w:val="24"/>
          <w:lang w:eastAsia="en-GB"/>
        </w:rPr>
        <w:t xml:space="preserve"> </w:t>
      </w:r>
      <w:r w:rsidR="00A47A29" w:rsidRPr="00675182">
        <w:rPr>
          <w:rFonts w:eastAsia="Times New Roman" w:cstheme="minorHAnsi"/>
          <w:szCs w:val="24"/>
          <w:lang w:eastAsia="en-GB"/>
        </w:rPr>
        <w:t>m</w:t>
      </w:r>
      <w:r w:rsidR="00702D83" w:rsidRPr="00675182">
        <w:rPr>
          <w:rFonts w:eastAsia="Times New Roman" w:cstheme="minorHAnsi"/>
          <w:szCs w:val="24"/>
          <w:lang w:eastAsia="en-GB"/>
        </w:rPr>
        <w:t>, izmantojot</w:t>
      </w:r>
      <w:r w:rsidR="00A47A29" w:rsidRPr="00675182">
        <w:rPr>
          <w:rFonts w:eastAsia="Times New Roman" w:cstheme="minorHAnsi"/>
          <w:szCs w:val="24"/>
          <w:lang w:eastAsia="en-GB"/>
        </w:rPr>
        <w:t xml:space="preserve"> citu neoficiālu meža taku/veloceļu.</w:t>
      </w:r>
    </w:p>
    <w:p w14:paraId="25B2A163" w14:textId="50E60923" w:rsidR="00702D83" w:rsidRPr="00675182" w:rsidRDefault="00702D83" w:rsidP="00E275D3">
      <w:pPr>
        <w:keepNext/>
        <w:keepLines/>
        <w:jc w:val="both"/>
        <w:rPr>
          <w:rFonts w:eastAsia="Times New Roman" w:cstheme="minorHAnsi"/>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1"/>
      </w:tblGrid>
      <w:tr w:rsidR="00702D83" w:rsidRPr="00675182" w14:paraId="03B6069D" w14:textId="77777777" w:rsidTr="00206C16">
        <w:tc>
          <w:tcPr>
            <w:tcW w:w="8491" w:type="dxa"/>
          </w:tcPr>
          <w:p w14:paraId="000CBCDC" w14:textId="56DF13CA" w:rsidR="00702D83" w:rsidRPr="00675182" w:rsidRDefault="00702D83" w:rsidP="00E275D3">
            <w:pPr>
              <w:keepNext/>
              <w:keepLines/>
              <w:jc w:val="both"/>
              <w:rPr>
                <w:rFonts w:eastAsia="Times New Roman" w:cstheme="minorHAnsi"/>
                <w:szCs w:val="24"/>
                <w:lang w:eastAsia="en-GB"/>
              </w:rPr>
            </w:pPr>
            <w:r w:rsidRPr="00675182">
              <w:rPr>
                <w:rFonts w:cstheme="minorHAnsi"/>
                <w:noProof/>
              </w:rPr>
              <w:drawing>
                <wp:inline distT="0" distB="0" distL="0" distR="0" wp14:anchorId="4707064C" wp14:editId="6821BE43">
                  <wp:extent cx="2520000" cy="1890000"/>
                  <wp:effectExtent l="0" t="0" r="0" b="0"/>
                  <wp:docPr id="227" name="Picture 1" descr="Saimnieka vizītkarte: skaists un sakopts žogs | LA.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aimnieka vizītkarte: skaists un sakopts žogs | LA.LV"/>
                          <pic:cNvPicPr>
                            <a:picLocks noChangeAspect="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p>
        </w:tc>
      </w:tr>
      <w:tr w:rsidR="00702D83" w:rsidRPr="00675182" w14:paraId="1C4A1F6C" w14:textId="77777777" w:rsidTr="00206C16">
        <w:tc>
          <w:tcPr>
            <w:tcW w:w="8491" w:type="dxa"/>
          </w:tcPr>
          <w:p w14:paraId="79285B79" w14:textId="005234E3" w:rsidR="00702D83" w:rsidRPr="00675182" w:rsidRDefault="00702D83" w:rsidP="00E275D3">
            <w:pPr>
              <w:keepNext/>
              <w:keepLines/>
              <w:jc w:val="both"/>
              <w:rPr>
                <w:rFonts w:eastAsia="Times New Roman" w:cstheme="minorHAnsi"/>
                <w:b/>
                <w:bCs/>
                <w:i/>
                <w:iCs/>
                <w:szCs w:val="24"/>
                <w:lang w:eastAsia="en-GB"/>
              </w:rPr>
            </w:pPr>
            <w:r w:rsidRPr="00675182">
              <w:rPr>
                <w:rFonts w:eastAsia="Times New Roman" w:cstheme="minorHAnsi"/>
                <w:b/>
                <w:bCs/>
                <w:i/>
                <w:iCs/>
                <w:szCs w:val="24"/>
                <w:lang w:eastAsia="en-GB"/>
              </w:rPr>
              <w:t>3.</w:t>
            </w:r>
            <w:r w:rsidR="009A3090" w:rsidRPr="00675182">
              <w:rPr>
                <w:rFonts w:eastAsia="Times New Roman" w:cstheme="minorHAnsi"/>
                <w:b/>
                <w:bCs/>
                <w:i/>
                <w:iCs/>
                <w:szCs w:val="24"/>
                <w:lang w:eastAsia="en-GB"/>
              </w:rPr>
              <w:t>8</w:t>
            </w:r>
            <w:r w:rsidRPr="00675182">
              <w:rPr>
                <w:rFonts w:eastAsia="Times New Roman" w:cstheme="minorHAnsi"/>
                <w:b/>
                <w:bCs/>
                <w:i/>
                <w:iCs/>
                <w:szCs w:val="24"/>
                <w:lang w:eastAsia="en-GB"/>
              </w:rPr>
              <w:t xml:space="preserve">. attēls. </w:t>
            </w:r>
            <w:r w:rsidR="00206C16" w:rsidRPr="00675182">
              <w:rPr>
                <w:rFonts w:eastAsia="Times New Roman" w:cstheme="minorHAnsi"/>
                <w:b/>
                <w:bCs/>
                <w:i/>
                <w:iCs/>
                <w:szCs w:val="24"/>
                <w:lang w:eastAsia="en-GB"/>
              </w:rPr>
              <w:t xml:space="preserve">Rekomendētais koka nožogojuma veids ap akmeni, uz kura aug </w:t>
            </w:r>
            <w:r w:rsidR="00506D35" w:rsidRPr="00675182">
              <w:rPr>
                <w:rFonts w:eastAsia="Times New Roman" w:cstheme="minorHAnsi"/>
                <w:b/>
                <w:bCs/>
                <w:i/>
                <w:iCs/>
                <w:szCs w:val="24"/>
                <w:lang w:eastAsia="en-GB"/>
              </w:rPr>
              <w:t>d</w:t>
            </w:r>
            <w:r w:rsidR="00206C16" w:rsidRPr="00675182">
              <w:rPr>
                <w:rFonts w:eastAsia="Times New Roman" w:cstheme="minorHAnsi"/>
                <w:b/>
                <w:bCs/>
                <w:i/>
                <w:iCs/>
                <w:szCs w:val="24"/>
                <w:lang w:eastAsia="en-GB"/>
              </w:rPr>
              <w:t>audzlapu umbilikārija Umbilicaria polyphylla</w:t>
            </w:r>
          </w:p>
        </w:tc>
      </w:tr>
    </w:tbl>
    <w:p w14:paraId="26ED8383" w14:textId="77777777" w:rsidR="00A47A29" w:rsidRPr="00675182" w:rsidRDefault="00A47A29" w:rsidP="00A47A29">
      <w:pPr>
        <w:rPr>
          <w:rFonts w:cstheme="minorHAnsi"/>
        </w:rPr>
      </w:pPr>
    </w:p>
    <w:p w14:paraId="2B23CA70" w14:textId="06794F3A" w:rsidR="00642510" w:rsidRPr="00675182" w:rsidRDefault="00642510" w:rsidP="00964CF6">
      <w:pPr>
        <w:jc w:val="both"/>
        <w:rPr>
          <w:rFonts w:cstheme="minorHAnsi"/>
          <w:szCs w:val="24"/>
        </w:rPr>
      </w:pPr>
      <w:r w:rsidRPr="00675182">
        <w:rPr>
          <w:rFonts w:cstheme="minorHAnsi"/>
          <w:b/>
          <w:bCs/>
          <w:szCs w:val="24"/>
        </w:rPr>
        <w:t>B.6.</w:t>
      </w:r>
      <w:r w:rsidR="003A6F25" w:rsidRPr="00675182">
        <w:rPr>
          <w:rFonts w:cstheme="minorHAnsi"/>
          <w:b/>
          <w:bCs/>
          <w:szCs w:val="24"/>
        </w:rPr>
        <w:t>1</w:t>
      </w:r>
      <w:r w:rsidR="00884A06" w:rsidRPr="00675182">
        <w:rPr>
          <w:rFonts w:cstheme="minorHAnsi"/>
          <w:b/>
          <w:bCs/>
          <w:szCs w:val="24"/>
        </w:rPr>
        <w:t>3</w:t>
      </w:r>
      <w:r w:rsidRPr="00675182">
        <w:rPr>
          <w:rFonts w:cstheme="minorHAnsi"/>
          <w:b/>
          <w:bCs/>
          <w:szCs w:val="24"/>
        </w:rPr>
        <w:t xml:space="preserve">. </w:t>
      </w:r>
      <w:r w:rsidR="00964CF6" w:rsidRPr="00675182">
        <w:rPr>
          <w:rFonts w:cstheme="minorHAnsi"/>
          <w:b/>
          <w:bCs/>
          <w:szCs w:val="24"/>
        </w:rPr>
        <w:t xml:space="preserve">Maisveida solorīnas </w:t>
      </w:r>
      <w:r w:rsidR="00964CF6" w:rsidRPr="00675182">
        <w:rPr>
          <w:rFonts w:cstheme="minorHAnsi"/>
          <w:b/>
          <w:bCs/>
          <w:i/>
          <w:iCs/>
          <w:szCs w:val="24"/>
        </w:rPr>
        <w:t>Solorina saccata</w:t>
      </w:r>
      <w:r w:rsidR="00964CF6" w:rsidRPr="00675182">
        <w:rPr>
          <w:rFonts w:cstheme="minorHAnsi"/>
          <w:b/>
          <w:bCs/>
          <w:szCs w:val="24"/>
        </w:rPr>
        <w:t xml:space="preserve"> un </w:t>
      </w:r>
      <w:r w:rsidR="00701D55" w:rsidRPr="00675182">
        <w:rPr>
          <w:rFonts w:cstheme="minorHAnsi"/>
          <w:b/>
          <w:bCs/>
          <w:szCs w:val="24"/>
        </w:rPr>
        <w:t>d</w:t>
      </w:r>
      <w:r w:rsidR="00964CF6" w:rsidRPr="00675182">
        <w:rPr>
          <w:rFonts w:cstheme="minorHAnsi"/>
          <w:b/>
          <w:bCs/>
          <w:szCs w:val="24"/>
        </w:rPr>
        <w:t>audzlapu umbilikārija</w:t>
      </w:r>
      <w:r w:rsidR="00CF4262" w:rsidRPr="00675182">
        <w:rPr>
          <w:rFonts w:cstheme="minorHAnsi"/>
          <w:b/>
          <w:bCs/>
          <w:szCs w:val="24"/>
        </w:rPr>
        <w:t>s</w:t>
      </w:r>
      <w:r w:rsidR="00964CF6" w:rsidRPr="00675182">
        <w:rPr>
          <w:rFonts w:cstheme="minorHAnsi"/>
          <w:b/>
          <w:bCs/>
          <w:szCs w:val="24"/>
        </w:rPr>
        <w:t xml:space="preserve"> </w:t>
      </w:r>
      <w:r w:rsidR="00964CF6" w:rsidRPr="00675182">
        <w:rPr>
          <w:rFonts w:cstheme="minorHAnsi"/>
          <w:b/>
          <w:bCs/>
          <w:i/>
          <w:iCs/>
          <w:szCs w:val="24"/>
        </w:rPr>
        <w:t xml:space="preserve">Umbilicaria polyphylla </w:t>
      </w:r>
      <w:r w:rsidR="00964CF6" w:rsidRPr="00675182">
        <w:rPr>
          <w:rFonts w:cstheme="minorHAnsi"/>
          <w:b/>
          <w:bCs/>
          <w:szCs w:val="24"/>
        </w:rPr>
        <w:t>sugu lapoņu fragmentu transplantācija u</w:t>
      </w:r>
      <w:r w:rsidR="008C561E" w:rsidRPr="00675182">
        <w:rPr>
          <w:rFonts w:cstheme="minorHAnsi"/>
          <w:b/>
          <w:bCs/>
          <w:szCs w:val="24"/>
        </w:rPr>
        <w:t>z</w:t>
      </w:r>
      <w:r w:rsidR="00964CF6" w:rsidRPr="00675182">
        <w:rPr>
          <w:rFonts w:cstheme="minorHAnsi"/>
          <w:b/>
          <w:bCs/>
          <w:szCs w:val="24"/>
        </w:rPr>
        <w:t xml:space="preserve"> potenciāli piemērotiem substrātiem</w:t>
      </w:r>
    </w:p>
    <w:p w14:paraId="4CB68B61" w14:textId="66107116" w:rsidR="003D2C0C" w:rsidRPr="00675182" w:rsidRDefault="003D2C0C" w:rsidP="003D2C0C">
      <w:pPr>
        <w:jc w:val="both"/>
        <w:rPr>
          <w:rFonts w:cstheme="minorHAnsi"/>
        </w:rPr>
      </w:pPr>
      <w:r w:rsidRPr="00675182">
        <w:rPr>
          <w:rFonts w:cstheme="minorHAnsi"/>
        </w:rPr>
        <w:t xml:space="preserve">Abas </w:t>
      </w:r>
      <w:r w:rsidR="00BA05CC" w:rsidRPr="00675182">
        <w:rPr>
          <w:rFonts w:cstheme="minorHAnsi"/>
        </w:rPr>
        <w:t xml:space="preserve">ķērpju </w:t>
      </w:r>
      <w:r w:rsidRPr="00675182">
        <w:rPr>
          <w:rFonts w:cstheme="minorHAnsi"/>
        </w:rPr>
        <w:t>sugas ir ļoti retas Latvijā un Baltijā</w:t>
      </w:r>
      <w:r w:rsidR="00E53B6A" w:rsidRPr="00675182">
        <w:rPr>
          <w:rFonts w:cstheme="minorHAnsi"/>
        </w:rPr>
        <w:t>, kā arī to</w:t>
      </w:r>
      <w:r w:rsidRPr="00675182">
        <w:rPr>
          <w:rFonts w:cstheme="minorHAnsi"/>
        </w:rPr>
        <w:t xml:space="preserve"> populācijas ir pakļautas </w:t>
      </w:r>
      <w:r w:rsidR="00701D55" w:rsidRPr="00675182">
        <w:rPr>
          <w:rFonts w:cstheme="minorHAnsi"/>
        </w:rPr>
        <w:t>izzušanas</w:t>
      </w:r>
      <w:r w:rsidRPr="00675182">
        <w:rPr>
          <w:rFonts w:cstheme="minorHAnsi"/>
        </w:rPr>
        <w:t xml:space="preserve"> riskam dabiskās sukcesijas dēļ</w:t>
      </w:r>
      <w:r w:rsidR="00BA05CC" w:rsidRPr="00675182">
        <w:rPr>
          <w:rFonts w:cstheme="minorHAnsi"/>
        </w:rPr>
        <w:t xml:space="preserve"> (substrāta apaugšana ar sūnām)</w:t>
      </w:r>
      <w:r w:rsidRPr="00675182">
        <w:rPr>
          <w:rFonts w:cstheme="minorHAnsi"/>
        </w:rPr>
        <w:t xml:space="preserve">. </w:t>
      </w:r>
    </w:p>
    <w:p w14:paraId="776B2FA9" w14:textId="77777777" w:rsidR="00E53B6A" w:rsidRPr="00675182" w:rsidRDefault="00E53B6A" w:rsidP="003D2C0C">
      <w:pPr>
        <w:jc w:val="both"/>
        <w:rPr>
          <w:rFonts w:cstheme="minorHAnsi"/>
        </w:rPr>
      </w:pPr>
    </w:p>
    <w:p w14:paraId="07D23A8D" w14:textId="7B0E79A7" w:rsidR="00E53B6A" w:rsidRPr="00675182" w:rsidRDefault="00BA05CC" w:rsidP="00E53B6A">
      <w:pPr>
        <w:jc w:val="both"/>
        <w:rPr>
          <w:rFonts w:cstheme="minorHAnsi"/>
        </w:rPr>
      </w:pPr>
      <w:r w:rsidRPr="00675182">
        <w:rPr>
          <w:rFonts w:cstheme="minorHAnsi"/>
        </w:rPr>
        <w:t>Maisveida solorīna</w:t>
      </w:r>
      <w:r w:rsidR="003D2C0C" w:rsidRPr="00675182">
        <w:rPr>
          <w:rFonts w:cstheme="minorHAnsi"/>
        </w:rPr>
        <w:t xml:space="preserve"> Latvijā un Baltijā apdzīvo ļoti retus substrātus (lodīšu smilšakmens). </w:t>
      </w:r>
      <w:r w:rsidR="00701D55" w:rsidRPr="00675182">
        <w:rPr>
          <w:rFonts w:cstheme="minorHAnsi"/>
        </w:rPr>
        <w:t>GNP esošā sugas</w:t>
      </w:r>
      <w:r w:rsidR="003D2C0C" w:rsidRPr="00675182">
        <w:rPr>
          <w:rFonts w:cstheme="minorHAnsi"/>
        </w:rPr>
        <w:t xml:space="preserve"> atradne var iet bojā 20-30 gadu laikā (pilnīgi, vai </w:t>
      </w:r>
      <w:r w:rsidR="00701D55" w:rsidRPr="00675182">
        <w:rPr>
          <w:rFonts w:cstheme="minorHAnsi"/>
        </w:rPr>
        <w:t>gandrīz</w:t>
      </w:r>
      <w:r w:rsidR="003D2C0C" w:rsidRPr="00675182">
        <w:rPr>
          <w:rFonts w:cstheme="minorHAnsi"/>
        </w:rPr>
        <w:t xml:space="preserve"> pilnīgi). Transplantācija uz citiem atsegumu fragmentiem</w:t>
      </w:r>
      <w:r w:rsidR="00701D55" w:rsidRPr="00675182">
        <w:rPr>
          <w:rFonts w:cstheme="minorHAnsi"/>
        </w:rPr>
        <w:t>,</w:t>
      </w:r>
      <w:r w:rsidR="003D2C0C" w:rsidRPr="00675182">
        <w:rPr>
          <w:rFonts w:cstheme="minorHAnsi"/>
        </w:rPr>
        <w:t xml:space="preserve"> iespējams</w:t>
      </w:r>
      <w:r w:rsidR="00701D55" w:rsidRPr="00675182">
        <w:rPr>
          <w:rFonts w:cstheme="minorHAnsi"/>
        </w:rPr>
        <w:t>,</w:t>
      </w:r>
      <w:r w:rsidR="003D2C0C" w:rsidRPr="00675182">
        <w:rPr>
          <w:rFonts w:cstheme="minorHAnsi"/>
        </w:rPr>
        <w:t xml:space="preserve"> palīdzēs saglabāt</w:t>
      </w:r>
      <w:r w:rsidR="00701D55" w:rsidRPr="00675182">
        <w:rPr>
          <w:rFonts w:cstheme="minorHAnsi"/>
        </w:rPr>
        <w:t xml:space="preserve"> vienīgo zināmo sugas populāciju Latvijā</w:t>
      </w:r>
      <w:r w:rsidR="003D2C0C" w:rsidRPr="00675182">
        <w:rPr>
          <w:rFonts w:cstheme="minorHAnsi"/>
        </w:rPr>
        <w:t>.</w:t>
      </w:r>
      <w:r w:rsidRPr="00675182">
        <w:rPr>
          <w:rFonts w:cstheme="minorHAnsi"/>
        </w:rPr>
        <w:t xml:space="preserve"> </w:t>
      </w:r>
      <w:r w:rsidR="00E53B6A" w:rsidRPr="00675182">
        <w:rPr>
          <w:rFonts w:cstheme="minorHAnsi"/>
        </w:rPr>
        <w:t xml:space="preserve">Nepieciešams transplantēt (pārstādīt) vismaz 20 maisveida solorīnas </w:t>
      </w:r>
      <w:r w:rsidR="00E53B6A" w:rsidRPr="00675182">
        <w:rPr>
          <w:rFonts w:cstheme="minorHAnsi"/>
          <w:i/>
        </w:rPr>
        <w:t>Solorina saccata</w:t>
      </w:r>
      <w:r w:rsidR="00E53B6A" w:rsidRPr="00675182">
        <w:rPr>
          <w:rFonts w:cstheme="minorHAnsi"/>
        </w:rPr>
        <w:t xml:space="preserve"> sugas lapoņu fragmentus uz vismaz 5 potenciāli piemērotiem substrātiem rekomendējamā teritorijā. Transplantējamos lapoņu fragmentus (5-10 cm</w:t>
      </w:r>
      <w:r w:rsidR="00E53B6A" w:rsidRPr="00675182">
        <w:rPr>
          <w:rFonts w:cstheme="minorHAnsi"/>
          <w:vertAlign w:val="superscript"/>
        </w:rPr>
        <w:t xml:space="preserve">2 </w:t>
      </w:r>
      <w:r w:rsidR="00E53B6A" w:rsidRPr="00675182">
        <w:rPr>
          <w:rFonts w:cstheme="minorHAnsi"/>
        </w:rPr>
        <w:t>katrs) ievākt GNP teritorijā vienīgajā zināmajā maisveida solorīnas atradnē un pārvietot uz Roču rezervātā sastopamajiem lodīšu smilšakmens atsegumiem. Pārstādīšanai tiek rekomendēts izmantot vismaz 2 dažādas pārstādīšanas metodes, kas ir aprakstītas ķērpju pārstādīšanas metodoloģijā (Scheidegger et al., 1995).</w:t>
      </w:r>
    </w:p>
    <w:p w14:paraId="6C1FD890" w14:textId="271CF17D" w:rsidR="00E53B6A" w:rsidRPr="00675182" w:rsidRDefault="00E53B6A" w:rsidP="003D2C0C">
      <w:pPr>
        <w:jc w:val="both"/>
        <w:rPr>
          <w:rFonts w:cstheme="minorHAnsi"/>
        </w:rPr>
      </w:pPr>
    </w:p>
    <w:p w14:paraId="0794077E" w14:textId="33ACD821" w:rsidR="00BA05CC" w:rsidRPr="00675182" w:rsidRDefault="00BA05CC" w:rsidP="00BA05CC">
      <w:pPr>
        <w:jc w:val="both"/>
        <w:rPr>
          <w:rFonts w:cstheme="minorHAnsi"/>
        </w:rPr>
      </w:pPr>
      <w:r w:rsidRPr="00675182">
        <w:rPr>
          <w:rFonts w:cstheme="minorHAnsi"/>
        </w:rPr>
        <w:t xml:space="preserve">Daudzlapu umbilikārija </w:t>
      </w:r>
      <w:r w:rsidR="003D2C0C" w:rsidRPr="00675182">
        <w:rPr>
          <w:rFonts w:cstheme="minorHAnsi"/>
        </w:rPr>
        <w:t xml:space="preserve">apdzīvo </w:t>
      </w:r>
      <w:r w:rsidR="00701D55" w:rsidRPr="00675182">
        <w:rPr>
          <w:rFonts w:cstheme="minorHAnsi"/>
        </w:rPr>
        <w:t xml:space="preserve">granīta un līdzīgu materiālu akmeņus, taču </w:t>
      </w:r>
      <w:r w:rsidR="003D2C0C" w:rsidRPr="00675182">
        <w:rPr>
          <w:rFonts w:cstheme="minorHAnsi"/>
        </w:rPr>
        <w:t xml:space="preserve">suga ļoti vāji kolonizē jaunus substrātus, </w:t>
      </w:r>
      <w:r w:rsidR="00701D55" w:rsidRPr="00675182">
        <w:rPr>
          <w:rFonts w:cstheme="minorHAnsi"/>
        </w:rPr>
        <w:t>nereti 15 akmeņu grupā suga aug tikai uz viena</w:t>
      </w:r>
      <w:r w:rsidR="003D2C0C" w:rsidRPr="00675182">
        <w:rPr>
          <w:rFonts w:cstheme="minorHAnsi"/>
        </w:rPr>
        <w:t>.</w:t>
      </w:r>
      <w:r w:rsidR="00E53B6A" w:rsidRPr="00675182">
        <w:rPr>
          <w:rFonts w:cstheme="minorHAnsi"/>
        </w:rPr>
        <w:t xml:space="preserve"> </w:t>
      </w:r>
      <w:r w:rsidRPr="00675182">
        <w:rPr>
          <w:rFonts w:cstheme="minorHAnsi"/>
        </w:rPr>
        <w:t>Nepieciešams t</w:t>
      </w:r>
      <w:r w:rsidR="00AC419D" w:rsidRPr="00675182">
        <w:rPr>
          <w:rFonts w:cstheme="minorHAnsi"/>
        </w:rPr>
        <w:t xml:space="preserve">ransplantēt (pārstādīt) vismaz 10 </w:t>
      </w:r>
      <w:r w:rsidRPr="00675182">
        <w:rPr>
          <w:rFonts w:cstheme="minorHAnsi"/>
        </w:rPr>
        <w:t>d</w:t>
      </w:r>
      <w:r w:rsidR="00AC419D" w:rsidRPr="00675182">
        <w:rPr>
          <w:rFonts w:cstheme="minorHAnsi"/>
        </w:rPr>
        <w:t xml:space="preserve">audzlapu umbilikārijas </w:t>
      </w:r>
      <w:r w:rsidR="00AC419D" w:rsidRPr="00675182">
        <w:rPr>
          <w:rFonts w:cstheme="minorHAnsi"/>
          <w:i/>
        </w:rPr>
        <w:t>Umbilicaria polyphylla</w:t>
      </w:r>
      <w:r w:rsidR="00AC419D" w:rsidRPr="00675182">
        <w:rPr>
          <w:rFonts w:cstheme="minorHAnsi"/>
        </w:rPr>
        <w:t xml:space="preserve"> sugas lapoņu fragmentus uz vismaz 5 potenciāli piemērotiem substrātiem rekomendējamā teritorijā</w:t>
      </w:r>
      <w:r w:rsidR="00051295" w:rsidRPr="00675182">
        <w:rPr>
          <w:rFonts w:cstheme="minorHAnsi"/>
        </w:rPr>
        <w:t xml:space="preserve">. </w:t>
      </w:r>
      <w:r w:rsidR="00AC419D" w:rsidRPr="00675182">
        <w:rPr>
          <w:rFonts w:cstheme="minorHAnsi"/>
        </w:rPr>
        <w:t>Transplantējamos lapoņu fragmentus (5-10 cm</w:t>
      </w:r>
      <w:r w:rsidR="00AC419D" w:rsidRPr="00675182">
        <w:rPr>
          <w:rFonts w:cstheme="minorHAnsi"/>
          <w:vertAlign w:val="superscript"/>
        </w:rPr>
        <w:t xml:space="preserve">2 </w:t>
      </w:r>
      <w:r w:rsidR="00AC419D" w:rsidRPr="00675182">
        <w:rPr>
          <w:rFonts w:cstheme="minorHAnsi"/>
        </w:rPr>
        <w:t xml:space="preserve">katrs) ievākt GNP teritorijā vienīgajā zināmajā </w:t>
      </w:r>
      <w:r w:rsidRPr="00675182">
        <w:rPr>
          <w:rFonts w:cstheme="minorHAnsi"/>
        </w:rPr>
        <w:t>d</w:t>
      </w:r>
      <w:r w:rsidR="00AC419D" w:rsidRPr="00675182">
        <w:rPr>
          <w:rFonts w:cstheme="minorHAnsi"/>
        </w:rPr>
        <w:t>audzlapu umbilikārijas</w:t>
      </w:r>
      <w:r w:rsidR="00AC419D" w:rsidRPr="00675182">
        <w:rPr>
          <w:rFonts w:cstheme="minorHAnsi"/>
          <w:i/>
        </w:rPr>
        <w:t xml:space="preserve"> </w:t>
      </w:r>
      <w:r w:rsidR="00AC419D" w:rsidRPr="00675182">
        <w:rPr>
          <w:rFonts w:cstheme="minorHAnsi"/>
        </w:rPr>
        <w:t xml:space="preserve">atradnē, </w:t>
      </w:r>
      <w:r w:rsidRPr="00675182">
        <w:rPr>
          <w:rFonts w:cstheme="minorHAnsi"/>
        </w:rPr>
        <w:t xml:space="preserve">pārstādīt uz </w:t>
      </w:r>
      <w:r w:rsidR="00AC419D" w:rsidRPr="00675182">
        <w:rPr>
          <w:rFonts w:cstheme="minorHAnsi"/>
        </w:rPr>
        <w:t>vismaz 5 potenciāli piemērotiem substrātiem – granīta akmeņiem, norādītajā teritorij</w:t>
      </w:r>
      <w:r w:rsidRPr="00675182">
        <w:rPr>
          <w:rFonts w:cstheme="minorHAnsi"/>
        </w:rPr>
        <w:t>ā</w:t>
      </w:r>
      <w:r w:rsidR="00AC419D" w:rsidRPr="00675182">
        <w:rPr>
          <w:rFonts w:cstheme="minorHAnsi"/>
        </w:rPr>
        <w:t xml:space="preserve">. Pārstādīšanai tiek rekomendēts izmantot vismaz 2 dažādas pārstādīšanas metodes, kas ir aprakstītas ķērpju pārstādīšanas </w:t>
      </w:r>
      <w:r w:rsidRPr="00675182">
        <w:rPr>
          <w:rFonts w:cstheme="minorHAnsi"/>
        </w:rPr>
        <w:t>metodoloģijā (Scheidegger et al., 1995).</w:t>
      </w:r>
    </w:p>
    <w:p w14:paraId="4839D3AB" w14:textId="54F017A2" w:rsidR="00AC419D" w:rsidRPr="00675182" w:rsidRDefault="00AC419D" w:rsidP="00964CF6">
      <w:pPr>
        <w:jc w:val="both"/>
        <w:rPr>
          <w:rFonts w:cstheme="minorHAnsi"/>
          <w:b/>
          <w:bCs/>
          <w:szCs w:val="24"/>
        </w:rPr>
      </w:pPr>
    </w:p>
    <w:p w14:paraId="44DAA10A" w14:textId="6FF2948D" w:rsidR="00206712" w:rsidRPr="00675182" w:rsidRDefault="00206712" w:rsidP="00964CF6">
      <w:pPr>
        <w:jc w:val="both"/>
        <w:rPr>
          <w:rFonts w:cstheme="minorHAnsi"/>
          <w:b/>
          <w:bCs/>
          <w:szCs w:val="24"/>
        </w:rPr>
      </w:pPr>
      <w:r w:rsidRPr="00675182">
        <w:rPr>
          <w:rFonts w:cstheme="minorHAnsi"/>
          <w:b/>
          <w:bCs/>
          <w:szCs w:val="24"/>
        </w:rPr>
        <w:t>B.6.</w:t>
      </w:r>
      <w:r w:rsidR="003A6F25" w:rsidRPr="00675182">
        <w:rPr>
          <w:rFonts w:cstheme="minorHAnsi"/>
          <w:b/>
          <w:bCs/>
          <w:szCs w:val="24"/>
        </w:rPr>
        <w:t>1</w:t>
      </w:r>
      <w:r w:rsidR="00884A06" w:rsidRPr="00675182">
        <w:rPr>
          <w:rFonts w:cstheme="minorHAnsi"/>
          <w:b/>
          <w:bCs/>
          <w:szCs w:val="24"/>
        </w:rPr>
        <w:t>4</w:t>
      </w:r>
      <w:r w:rsidRPr="00675182">
        <w:rPr>
          <w:rFonts w:cstheme="minorHAnsi"/>
          <w:b/>
          <w:bCs/>
          <w:szCs w:val="24"/>
        </w:rPr>
        <w:t xml:space="preserve">. </w:t>
      </w:r>
      <w:r w:rsidR="00964CF6" w:rsidRPr="00675182">
        <w:rPr>
          <w:rFonts w:cstheme="minorHAnsi"/>
          <w:b/>
          <w:bCs/>
          <w:szCs w:val="24"/>
        </w:rPr>
        <w:t>Putekļu piesārņojuma mazināšana gar alejām, kurās ir veci platlapju koki, ķērpju sugu dzīvotņu labvēlīga stāvokļa uzturēšanai</w:t>
      </w:r>
    </w:p>
    <w:p w14:paraId="202AE0D2" w14:textId="2F57B6C3" w:rsidR="00820264" w:rsidRPr="00675182" w:rsidRDefault="00EC6717" w:rsidP="00964CF6">
      <w:pPr>
        <w:jc w:val="both"/>
        <w:rPr>
          <w:rFonts w:cstheme="minorHAnsi"/>
        </w:rPr>
      </w:pPr>
      <w:r w:rsidRPr="00675182">
        <w:rPr>
          <w:rFonts w:cstheme="minorHAnsi"/>
        </w:rPr>
        <w:t xml:space="preserve">Ceļa posmos ar grants pārklājumu, gar kuriem aug vecu koku rindas (alejas) GNP teritorijā, </w:t>
      </w:r>
      <w:r w:rsidR="00BB43BF" w:rsidRPr="00675182">
        <w:rPr>
          <w:rFonts w:cstheme="minorHAnsi"/>
        </w:rPr>
        <w:t>ir jānodrošina</w:t>
      </w:r>
      <w:r w:rsidRPr="00675182">
        <w:rPr>
          <w:rFonts w:cstheme="minorHAnsi"/>
        </w:rPr>
        <w:t xml:space="preserve"> tāda ceļa pārklājuma veidu, kas maksimāli mazina putekļu </w:t>
      </w:r>
      <w:r w:rsidRPr="00675182">
        <w:rPr>
          <w:rFonts w:cstheme="minorHAnsi"/>
        </w:rPr>
        <w:lastRenderedPageBreak/>
        <w:t>veidošanos. Svarīgs nosacījums – gadījumā, ja tiks veikti ceļa būvdarbi, koku stumbru miza nedrīkst tikt bojāta, kā arī ceļa būvniecības darbi nedrīkst negatīvi ietekmēt gar ceļiem augošu koku vitalitāti. Tiek rekomendēti cietie ceļa segumi</w:t>
      </w:r>
      <w:r w:rsidR="003D4BCE" w:rsidRPr="00675182">
        <w:rPr>
          <w:rFonts w:cstheme="minorHAnsi"/>
        </w:rPr>
        <w:t>, ja ainavisku apsvērumu dēļ tiek saglabāts grants segums, jānodrošina regulāra laistīšana</w:t>
      </w:r>
      <w:r w:rsidRPr="00675182">
        <w:rPr>
          <w:rFonts w:cstheme="minorHAnsi"/>
        </w:rPr>
        <w:t>.</w:t>
      </w:r>
      <w:r w:rsidR="003D4BCE" w:rsidRPr="00675182">
        <w:rPr>
          <w:rFonts w:cstheme="minorHAnsi"/>
        </w:rPr>
        <w:t xml:space="preserve"> Pasākums ieviešams vismaz 30% no GNP esošo aleju kopgaruma, t.sk. jāizvērtē alejās esošu koku vitalitāte, jāveic </w:t>
      </w:r>
      <w:r w:rsidR="002E1E5D">
        <w:rPr>
          <w:rFonts w:cstheme="minorHAnsi"/>
        </w:rPr>
        <w:t>ĪA</w:t>
      </w:r>
      <w:r w:rsidR="003D4BCE" w:rsidRPr="00675182">
        <w:rPr>
          <w:rFonts w:cstheme="minorHAnsi"/>
        </w:rPr>
        <w:t xml:space="preserve"> sugu, kas pašlaik apdzīvo alejas, inventarizācija (ķērpju, sūnu, bezmugurkaulnieku sugas), jāuzsāk ķērpju sugu monitorings vietās, kur tika novērsts putekļu piesārņojums.</w:t>
      </w:r>
    </w:p>
    <w:p w14:paraId="23CD2350" w14:textId="77777777" w:rsidR="00EC6717" w:rsidRPr="00675182" w:rsidRDefault="00EC6717" w:rsidP="00964CF6">
      <w:pPr>
        <w:jc w:val="both"/>
        <w:rPr>
          <w:rFonts w:cstheme="minorHAnsi"/>
          <w:szCs w:val="24"/>
        </w:rPr>
      </w:pPr>
    </w:p>
    <w:p w14:paraId="60656A75" w14:textId="71F3CF30" w:rsidR="003A69CE" w:rsidRPr="00675182" w:rsidRDefault="003A69CE" w:rsidP="003A69CE">
      <w:pPr>
        <w:keepNext/>
        <w:keepLines/>
        <w:jc w:val="both"/>
        <w:rPr>
          <w:rFonts w:cstheme="minorHAnsi"/>
          <w:b/>
          <w:bCs/>
          <w:szCs w:val="24"/>
        </w:rPr>
      </w:pPr>
      <w:bookmarkStart w:id="158" w:name="_Hlk98759733"/>
      <w:r w:rsidRPr="00675182">
        <w:rPr>
          <w:rFonts w:cstheme="minorHAnsi"/>
          <w:b/>
          <w:bCs/>
          <w:szCs w:val="24"/>
        </w:rPr>
        <w:t>B.6.15. Vaives dzirnavu aizsprosta nojaukšana vai pārbūvēšana par zivju ceļu, kopā ar bijušā dzirnavezera atjaunošanu un apsaimniekošanu</w:t>
      </w:r>
    </w:p>
    <w:p w14:paraId="2DB1E791" w14:textId="77777777" w:rsidR="003A69CE" w:rsidRPr="00675182" w:rsidRDefault="003A69CE" w:rsidP="003A69CE">
      <w:pPr>
        <w:keepNext/>
        <w:keepLines/>
        <w:jc w:val="both"/>
        <w:rPr>
          <w:rFonts w:cstheme="minorHAnsi"/>
          <w:szCs w:val="24"/>
        </w:rPr>
      </w:pPr>
      <w:r w:rsidRPr="00675182">
        <w:rPr>
          <w:rFonts w:cstheme="minorHAnsi"/>
        </w:rPr>
        <w:t>Nozīmīgākais ietekmes faktors, kas nosaka ceļotājzivju izplatību upēs GNP teritorijā, ir antropogēnie šķēršļi. Kā viens no antropogēnajiem šķēršļiem minamas Vaives dzirnavas, kas atrodas u</w:t>
      </w:r>
      <w:r w:rsidRPr="00675182">
        <w:rPr>
          <w:rFonts w:cstheme="minorHAnsi"/>
          <w:szCs w:val="24"/>
        </w:rPr>
        <w:t xml:space="preserve">z Vaives upes augšpus valsts reģionālajam autoceļam P28 Priekuļi—Rauna. Uz upes tika izbūvēts aptuveni 5 m plats vairāku pakāpju aizsprosts ar kopējo augstumu 4 m (skat. 3.9. attēlu). 1998. gada 11. jūnijā lietusgāžu un plūdu rezultātā aizsprosts tika pārrauts. Pirms aizsprosta pārraušanas uzpludinātās ūdenskrātuves platība bijusi 1,1 ha, garums 350 m, lielākais platums 70 m, lielākais dziļums 2,7 m. </w:t>
      </w:r>
      <w:r w:rsidRPr="00675182">
        <w:rPr>
          <w:rFonts w:cstheme="minorHAnsi"/>
        </w:rPr>
        <w:t>No dambja pārraušanas pagājis pietiekami ilgs laiks, upes krasti bijušajā ūdenskrātuves gultnē stabilizējušies (skat. 3.10. attēlu).</w:t>
      </w:r>
    </w:p>
    <w:p w14:paraId="1D0D7015" w14:textId="77777777" w:rsidR="003A69CE" w:rsidRPr="00675182" w:rsidRDefault="003A69CE" w:rsidP="003A69CE">
      <w:pPr>
        <w:jc w:val="both"/>
        <w:rPr>
          <w:rFonts w:cstheme="minorHAnsi"/>
          <w:szCs w:val="24"/>
        </w:rPr>
      </w:pPr>
    </w:p>
    <w:p w14:paraId="27919745" w14:textId="77777777" w:rsidR="003A69CE" w:rsidRPr="00675182" w:rsidRDefault="003A69CE" w:rsidP="003A69CE">
      <w:pPr>
        <w:jc w:val="both"/>
        <w:rPr>
          <w:rFonts w:cstheme="minorHAnsi"/>
        </w:rPr>
      </w:pPr>
      <w:r w:rsidRPr="00675182">
        <w:rPr>
          <w:rFonts w:cstheme="minorHAnsi"/>
        </w:rPr>
        <w:t>Šķēršļa novākšana samazinās upju fragmentāciju. Pēc aizsprosta nojaukšanas, Vaive kļūs pieejama gan migrējošām zivīm (taimiņš, upes nēģis), gan vietējām zivju sugām, kas veic lokālas migrācijas (potadromās sugas – alata, vēdzele, strauta nēģis u.c.). Rezultātā tiks atjaunota Vaives upes ekoloģiskā kapacitāte visā tās tecējumā GNP teritorijā. Kā alternatīvs variants pieļaujama aizsprosta pārbūve un dīķa atjaunošana, kompleksā ar bijušās dīķa teritorijas revitalizāciju (izvākt sedimentus, vai nu deponējot tos ārpus dīķa teritorijas vai izstrādājot risinājumu novietošanai bijušā dīķa teritorijā, kur nenotiktu sedimentu izskalošana un invazīvo sugu sēklu un piesārņojuma izplatīšanās; novākt sedimentus no atsegumu pakājes, nodrošināt pastāvīgu apsaimniekošanu un uzturēšanu bijušajam dzirnavu kompleksam un pieguļošajai teritorijai). Aizsprosta un zivju ceļa risinājumam jānodrošina ceļotājzivju migrācija, visdrīzāk tas izbūvējams aizsprosta rampas vietā, novirzot pa zivju ceļu lielāko daļu upes tecējuma. Projekta izstrādes un ieviešanas laikā jānodrošina sugu un biotopu aizsardzības jomas ekspertu uzraudzība (zivju, tekošu saldūdeņu, alu, atsegumu un kriteņu biotopu eksperti).</w:t>
      </w:r>
    </w:p>
    <w:p w14:paraId="12C21DDE" w14:textId="1764EA0A" w:rsidR="000116B5" w:rsidRPr="00675182" w:rsidRDefault="000116B5" w:rsidP="003A69CE">
      <w:pPr>
        <w:keepNext/>
        <w:keepLines/>
        <w:jc w:val="both"/>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46"/>
      </w:tblGrid>
      <w:tr w:rsidR="00051E10" w:rsidRPr="00675182" w14:paraId="6FDE2CE6" w14:textId="77777777" w:rsidTr="007E6019">
        <w:tc>
          <w:tcPr>
            <w:tcW w:w="4245" w:type="dxa"/>
          </w:tcPr>
          <w:p w14:paraId="7959604B" w14:textId="22A7C452" w:rsidR="00051E10" w:rsidRPr="00675182" w:rsidRDefault="00051E10" w:rsidP="00E275D3">
            <w:pPr>
              <w:keepNext/>
              <w:keepLines/>
              <w:jc w:val="both"/>
              <w:rPr>
                <w:rFonts w:cstheme="minorHAnsi"/>
                <w:color w:val="FF0000"/>
                <w:szCs w:val="24"/>
              </w:rPr>
            </w:pPr>
            <w:r w:rsidRPr="00675182">
              <w:rPr>
                <w:rFonts w:cstheme="minorHAnsi"/>
                <w:noProof/>
              </w:rPr>
              <w:drawing>
                <wp:inline distT="0" distB="0" distL="0" distR="0" wp14:anchorId="1923547C" wp14:editId="7B6CD297">
                  <wp:extent cx="2520000" cy="3360099"/>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520000" cy="3360099"/>
                          </a:xfrm>
                          <a:prstGeom prst="rect">
                            <a:avLst/>
                          </a:prstGeom>
                          <a:noFill/>
                          <a:ln>
                            <a:noFill/>
                          </a:ln>
                        </pic:spPr>
                      </pic:pic>
                    </a:graphicData>
                  </a:graphic>
                </wp:inline>
              </w:drawing>
            </w:r>
          </w:p>
        </w:tc>
        <w:tc>
          <w:tcPr>
            <w:tcW w:w="4246" w:type="dxa"/>
          </w:tcPr>
          <w:p w14:paraId="74D02311" w14:textId="4D5AEE8C" w:rsidR="00051E10" w:rsidRPr="00675182" w:rsidRDefault="007E6019" w:rsidP="00E275D3">
            <w:pPr>
              <w:keepNext/>
              <w:keepLines/>
              <w:jc w:val="both"/>
              <w:rPr>
                <w:rFonts w:cstheme="minorHAnsi"/>
                <w:color w:val="FF0000"/>
                <w:szCs w:val="24"/>
              </w:rPr>
            </w:pPr>
            <w:r w:rsidRPr="00675182">
              <w:rPr>
                <w:rFonts w:cstheme="minorHAnsi"/>
                <w:noProof/>
              </w:rPr>
              <w:drawing>
                <wp:inline distT="0" distB="0" distL="0" distR="0" wp14:anchorId="12671F27" wp14:editId="3F17C912">
                  <wp:extent cx="3359868" cy="2520000"/>
                  <wp:effectExtent l="953"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rot="5400000">
                            <a:off x="0" y="0"/>
                            <a:ext cx="3359868" cy="2520000"/>
                          </a:xfrm>
                          <a:prstGeom prst="rect">
                            <a:avLst/>
                          </a:prstGeom>
                          <a:noFill/>
                          <a:ln>
                            <a:noFill/>
                          </a:ln>
                        </pic:spPr>
                      </pic:pic>
                    </a:graphicData>
                  </a:graphic>
                </wp:inline>
              </w:drawing>
            </w:r>
          </w:p>
        </w:tc>
      </w:tr>
      <w:tr w:rsidR="00051E10" w:rsidRPr="00675182" w14:paraId="4FF6A16D" w14:textId="77777777" w:rsidTr="00E275D3">
        <w:trPr>
          <w:trHeight w:val="717"/>
        </w:trPr>
        <w:tc>
          <w:tcPr>
            <w:tcW w:w="4245" w:type="dxa"/>
          </w:tcPr>
          <w:p w14:paraId="396D58C9" w14:textId="72A88E9A" w:rsidR="00051E10" w:rsidRPr="00675182" w:rsidRDefault="00051E10" w:rsidP="00E275D3">
            <w:pPr>
              <w:keepNext/>
              <w:keepLines/>
              <w:jc w:val="both"/>
              <w:rPr>
                <w:rFonts w:cstheme="minorHAnsi"/>
                <w:color w:val="FF0000"/>
                <w:szCs w:val="24"/>
              </w:rPr>
            </w:pPr>
            <w:r w:rsidRPr="00675182">
              <w:rPr>
                <w:rFonts w:cstheme="minorHAnsi"/>
                <w:b/>
                <w:bCs/>
                <w:i/>
                <w:iCs/>
              </w:rPr>
              <w:t>3.</w:t>
            </w:r>
            <w:r w:rsidR="009A3090" w:rsidRPr="00675182">
              <w:rPr>
                <w:rFonts w:cstheme="minorHAnsi"/>
                <w:b/>
                <w:bCs/>
                <w:i/>
                <w:iCs/>
              </w:rPr>
              <w:t>9</w:t>
            </w:r>
            <w:r w:rsidRPr="00675182">
              <w:rPr>
                <w:rFonts w:cstheme="minorHAnsi"/>
                <w:b/>
                <w:bCs/>
                <w:i/>
                <w:iCs/>
              </w:rPr>
              <w:t>. attēls. Vaives dzirnavu aizsprosts 2022. gadā (foto – A. Tora)</w:t>
            </w:r>
          </w:p>
        </w:tc>
        <w:tc>
          <w:tcPr>
            <w:tcW w:w="4246" w:type="dxa"/>
          </w:tcPr>
          <w:p w14:paraId="32F3D9C8" w14:textId="57C6AF47" w:rsidR="00051E10" w:rsidRPr="00675182" w:rsidRDefault="00051E10" w:rsidP="00E275D3">
            <w:pPr>
              <w:keepNext/>
              <w:keepLines/>
              <w:jc w:val="both"/>
              <w:rPr>
                <w:rFonts w:cstheme="minorHAnsi"/>
                <w:b/>
                <w:bCs/>
                <w:i/>
                <w:iCs/>
                <w:color w:val="FF0000"/>
                <w:szCs w:val="24"/>
              </w:rPr>
            </w:pPr>
            <w:r w:rsidRPr="00675182">
              <w:rPr>
                <w:rFonts w:cstheme="minorHAnsi"/>
                <w:b/>
                <w:bCs/>
                <w:i/>
                <w:iCs/>
                <w:szCs w:val="24"/>
              </w:rPr>
              <w:t>3.</w:t>
            </w:r>
            <w:r w:rsidR="009A3090" w:rsidRPr="00675182">
              <w:rPr>
                <w:rFonts w:cstheme="minorHAnsi"/>
                <w:b/>
                <w:bCs/>
                <w:i/>
                <w:iCs/>
                <w:szCs w:val="24"/>
              </w:rPr>
              <w:t>10</w:t>
            </w:r>
            <w:r w:rsidRPr="00675182">
              <w:rPr>
                <w:rFonts w:cstheme="minorHAnsi"/>
                <w:b/>
                <w:bCs/>
                <w:i/>
                <w:iCs/>
                <w:szCs w:val="24"/>
              </w:rPr>
              <w:t>. attēls. Vaives upe augšpus Vaives dzirnavu aizsprosta 2022. gadā (foto – A. Tora)</w:t>
            </w:r>
          </w:p>
        </w:tc>
      </w:tr>
      <w:bookmarkEnd w:id="158"/>
    </w:tbl>
    <w:p w14:paraId="37D19C04" w14:textId="77777777" w:rsidR="00E53B6A" w:rsidRPr="00675182" w:rsidRDefault="00E53B6A" w:rsidP="000C4BED">
      <w:pPr>
        <w:jc w:val="both"/>
        <w:rPr>
          <w:rFonts w:cstheme="minorHAnsi"/>
          <w:b/>
          <w:bCs/>
          <w:szCs w:val="24"/>
        </w:rPr>
      </w:pPr>
    </w:p>
    <w:p w14:paraId="373C96DD" w14:textId="33C215F8" w:rsidR="00625B54" w:rsidRPr="00675182" w:rsidRDefault="00625B54" w:rsidP="000C4BED">
      <w:pPr>
        <w:jc w:val="both"/>
        <w:rPr>
          <w:rFonts w:cstheme="minorHAnsi"/>
          <w:b/>
          <w:bCs/>
          <w:szCs w:val="24"/>
        </w:rPr>
      </w:pPr>
      <w:r w:rsidRPr="00675182">
        <w:rPr>
          <w:rFonts w:cstheme="minorHAnsi"/>
          <w:b/>
          <w:bCs/>
          <w:szCs w:val="24"/>
        </w:rPr>
        <w:t>B.6.</w:t>
      </w:r>
      <w:r w:rsidR="00137244" w:rsidRPr="00675182">
        <w:rPr>
          <w:rFonts w:cstheme="minorHAnsi"/>
          <w:b/>
          <w:bCs/>
          <w:szCs w:val="24"/>
        </w:rPr>
        <w:t>16</w:t>
      </w:r>
      <w:r w:rsidRPr="00675182">
        <w:rPr>
          <w:rFonts w:cstheme="minorHAnsi"/>
          <w:b/>
          <w:bCs/>
          <w:szCs w:val="24"/>
        </w:rPr>
        <w:t>.</w:t>
      </w:r>
      <w:r w:rsidRPr="00675182">
        <w:rPr>
          <w:rFonts w:cstheme="minorHAnsi"/>
          <w:b/>
          <w:bCs/>
          <w:szCs w:val="24"/>
        </w:rPr>
        <w:tab/>
        <w:t xml:space="preserve">Aleju uzturēšana labvēlīgā aizsardzības stāvoklī </w:t>
      </w:r>
    </w:p>
    <w:p w14:paraId="3ECB0009" w14:textId="4860A319" w:rsidR="00137244" w:rsidRPr="00675182" w:rsidRDefault="00137244" w:rsidP="000C4BED">
      <w:pPr>
        <w:jc w:val="both"/>
        <w:rPr>
          <w:rFonts w:cstheme="minorHAnsi"/>
          <w:szCs w:val="24"/>
        </w:rPr>
      </w:pPr>
      <w:r w:rsidRPr="00675182">
        <w:rPr>
          <w:rFonts w:cstheme="minorHAnsi"/>
          <w:szCs w:val="24"/>
        </w:rPr>
        <w:t>Lai saglabātu reto bezmugurkaulnieku un ķērpju dzīvotnes, kā arī GNP ainaviskās vērtības, jāuztur labvēlīgā aizsardzības stāvoklī alejas – gan tās, kurās plānoti apsaimniekošanas un atjaunošanas pasākumi (KF projekta ietvaros, lapkoku praulgrauža dzīvotņu apsaimniekošanas ietvaros), gan citas teritorijā esošās alejas. Labvēlīgs aizsardzības stāvoklis nozīmē, ka alejās augošie dzīvie koki ir veselīgi, tos neapdraud mehāniska un ķīmiska ietekme sakņu zonā, iespēju robežās novērsta putekļu ietekme (mainīts ceļa segums vai nodrošināta laistīšana vasarā). Saglabāti dobumainie koki, ja tie neapdraud satiksmes drošību.</w:t>
      </w:r>
    </w:p>
    <w:p w14:paraId="5196B347" w14:textId="77777777" w:rsidR="00625B54" w:rsidRPr="00675182" w:rsidRDefault="00625B54" w:rsidP="000C4BED">
      <w:pPr>
        <w:jc w:val="both"/>
        <w:rPr>
          <w:rFonts w:cstheme="minorHAnsi"/>
          <w:color w:val="FF0000"/>
          <w:szCs w:val="24"/>
        </w:rPr>
      </w:pPr>
    </w:p>
    <w:p w14:paraId="3404004E" w14:textId="75B74E1E" w:rsidR="0049001E" w:rsidRPr="00675182" w:rsidRDefault="00015FA2" w:rsidP="000C4BED">
      <w:pPr>
        <w:jc w:val="both"/>
        <w:rPr>
          <w:rFonts w:cstheme="minorHAnsi"/>
          <w:b/>
          <w:bCs/>
          <w:szCs w:val="24"/>
        </w:rPr>
      </w:pPr>
      <w:r w:rsidRPr="00675182">
        <w:rPr>
          <w:rFonts w:cstheme="minorHAnsi"/>
          <w:b/>
          <w:bCs/>
          <w:szCs w:val="24"/>
        </w:rPr>
        <w:t xml:space="preserve">B.6.17. </w:t>
      </w:r>
      <w:r w:rsidR="00070832" w:rsidRPr="00675182">
        <w:rPr>
          <w:rFonts w:cstheme="minorHAnsi"/>
          <w:b/>
          <w:bCs/>
          <w:szCs w:val="24"/>
        </w:rPr>
        <w:t>Rekomendācijas sikspārņu sugām labvēlīgo dzīvotņu apsaimniekošanai</w:t>
      </w:r>
    </w:p>
    <w:p w14:paraId="65718588" w14:textId="4F7BBF48" w:rsidR="00070832" w:rsidRPr="00675182" w:rsidRDefault="00070832" w:rsidP="00070832">
      <w:pPr>
        <w:overflowPunct w:val="0"/>
        <w:autoSpaceDE w:val="0"/>
        <w:autoSpaceDN w:val="0"/>
        <w:adjustRightInd w:val="0"/>
        <w:spacing w:line="240" w:lineRule="atLeast"/>
        <w:jc w:val="both"/>
        <w:rPr>
          <w:rFonts w:cstheme="minorHAnsi"/>
          <w:szCs w:val="24"/>
          <w:lang w:eastAsia="en-GB"/>
        </w:rPr>
      </w:pPr>
      <w:r w:rsidRPr="00675182">
        <w:rPr>
          <w:rFonts w:cstheme="minorHAnsi"/>
          <w:szCs w:val="24"/>
          <w:lang w:eastAsia="en-GB"/>
        </w:rPr>
        <w:t>Galvenais mērķis ir saglabāt pašreizējos sikspārņiem piemērotos biotopus vismaz to pašreizējā kvalitātē</w:t>
      </w:r>
      <w:r w:rsidR="009D4025" w:rsidRPr="00675182">
        <w:rPr>
          <w:rFonts w:cstheme="minorHAnsi"/>
          <w:szCs w:val="24"/>
          <w:lang w:eastAsia="en-GB"/>
        </w:rPr>
        <w:t>,</w:t>
      </w:r>
      <w:r w:rsidRPr="00675182">
        <w:rPr>
          <w:rFonts w:cstheme="minorHAnsi"/>
          <w:szCs w:val="24"/>
          <w:lang w:eastAsia="en-GB"/>
        </w:rPr>
        <w:t xml:space="preserve"> vai to paaugstinot (īpaši mežu biotopos ārpus Gaujas ielejas), kā arī nodrošināt alu kā sikspārņu ziemošanas vietu aizsardzību, </w:t>
      </w:r>
      <w:r w:rsidR="002462FB" w:rsidRPr="00675182">
        <w:rPr>
          <w:rFonts w:cstheme="minorHAnsi"/>
          <w:szCs w:val="24"/>
          <w:lang w:eastAsia="en-GB"/>
        </w:rPr>
        <w:t>samazinot traucējumus ziemas laikā</w:t>
      </w:r>
      <w:r w:rsidRPr="00675182">
        <w:rPr>
          <w:rFonts w:cstheme="minorHAnsi"/>
          <w:szCs w:val="24"/>
          <w:lang w:eastAsia="en-GB"/>
        </w:rPr>
        <w:t xml:space="preserve">. Lielākoties sikspārņiem nepieciešamie pasākumi ir vispārīgo noteikumu līmenī, kas nosaka mežu un ainavu apsaimniekošanu dabai draudzīgā veidā. </w:t>
      </w:r>
    </w:p>
    <w:p w14:paraId="4F1CAEDD" w14:textId="77777777" w:rsidR="00070832" w:rsidRPr="00675182" w:rsidRDefault="00070832" w:rsidP="00070832">
      <w:pPr>
        <w:overflowPunct w:val="0"/>
        <w:autoSpaceDE w:val="0"/>
        <w:autoSpaceDN w:val="0"/>
        <w:adjustRightInd w:val="0"/>
        <w:spacing w:line="240" w:lineRule="atLeast"/>
        <w:jc w:val="both"/>
        <w:rPr>
          <w:rFonts w:cstheme="minorHAnsi"/>
          <w:szCs w:val="24"/>
          <w:lang w:eastAsia="en-GB"/>
        </w:rPr>
      </w:pPr>
    </w:p>
    <w:p w14:paraId="1A6D22D0" w14:textId="2D4A9CD4" w:rsidR="00070832" w:rsidRPr="00675182" w:rsidRDefault="00070832" w:rsidP="00070832">
      <w:pPr>
        <w:overflowPunct w:val="0"/>
        <w:autoSpaceDE w:val="0"/>
        <w:autoSpaceDN w:val="0"/>
        <w:adjustRightInd w:val="0"/>
        <w:spacing w:line="240" w:lineRule="atLeast"/>
        <w:jc w:val="both"/>
        <w:rPr>
          <w:rFonts w:cstheme="minorHAnsi"/>
          <w:szCs w:val="24"/>
          <w:lang w:eastAsia="en-GB"/>
        </w:rPr>
      </w:pPr>
      <w:r w:rsidRPr="00675182">
        <w:rPr>
          <w:rFonts w:cstheme="minorHAnsi"/>
          <w:szCs w:val="24"/>
          <w:lang w:eastAsia="en-GB"/>
        </w:rPr>
        <w:t>GNP specifiskās prasības sikspārņiem galvenokārt attiecas uz alām, kas ir unikāla GNP vērtība, jo lielākā daļa dabisko un mākslīgo alu, kurās Latvijā pārziemo sikspārņi, atrodas šajā teritorijā. Attiecībā uz alām, specifiskās prasības sikspārņiem ir</w:t>
      </w:r>
      <w:r w:rsidR="00C950DE">
        <w:rPr>
          <w:rFonts w:cstheme="minorHAnsi"/>
          <w:szCs w:val="24"/>
          <w:lang w:eastAsia="en-GB"/>
        </w:rPr>
        <w:t>:</w:t>
      </w:r>
    </w:p>
    <w:p w14:paraId="67DD46D3" w14:textId="530B1089" w:rsidR="00070832" w:rsidRPr="00675182" w:rsidRDefault="00C950DE" w:rsidP="00A84218">
      <w:pPr>
        <w:pStyle w:val="ListParagraph"/>
        <w:numPr>
          <w:ilvl w:val="0"/>
          <w:numId w:val="33"/>
        </w:numPr>
        <w:overflowPunct w:val="0"/>
        <w:autoSpaceDE w:val="0"/>
        <w:autoSpaceDN w:val="0"/>
        <w:adjustRightInd w:val="0"/>
        <w:spacing w:line="240" w:lineRule="atLeast"/>
        <w:ind w:left="426"/>
        <w:jc w:val="both"/>
        <w:rPr>
          <w:rFonts w:cstheme="minorHAnsi"/>
          <w:szCs w:val="24"/>
          <w:lang w:eastAsia="en-GB"/>
        </w:rPr>
      </w:pPr>
      <w:r>
        <w:rPr>
          <w:rFonts w:cstheme="minorHAnsi"/>
          <w:szCs w:val="24"/>
          <w:lang w:eastAsia="en-GB"/>
        </w:rPr>
        <w:t>n</w:t>
      </w:r>
      <w:r w:rsidRPr="00675182">
        <w:rPr>
          <w:rFonts w:cstheme="minorHAnsi"/>
          <w:szCs w:val="24"/>
          <w:lang w:eastAsia="en-GB"/>
        </w:rPr>
        <w:t xml:space="preserve">odrošināt </w:t>
      </w:r>
      <w:r w:rsidR="00070832" w:rsidRPr="00675182">
        <w:rPr>
          <w:rFonts w:cstheme="minorHAnsi"/>
          <w:szCs w:val="24"/>
          <w:lang w:eastAsia="en-GB"/>
        </w:rPr>
        <w:t>miera periodu vismaz no oktobra līdz aprīlim</w:t>
      </w:r>
      <w:r w:rsidR="001A6FE8" w:rsidRPr="00675182">
        <w:rPr>
          <w:rFonts w:cstheme="minorHAnsi"/>
          <w:szCs w:val="24"/>
          <w:lang w:eastAsia="en-GB"/>
        </w:rPr>
        <w:t>,</w:t>
      </w:r>
      <w:r w:rsidR="00070832" w:rsidRPr="00675182">
        <w:rPr>
          <w:rFonts w:cstheme="minorHAnsi"/>
          <w:szCs w:val="24"/>
          <w:lang w:eastAsia="en-GB"/>
        </w:rPr>
        <w:t xml:space="preserve"> ieskaitot GNP alās (izņemot Gūtmaņalu):</w:t>
      </w:r>
    </w:p>
    <w:p w14:paraId="2EF2EE83" w14:textId="3860C866" w:rsidR="00070832" w:rsidRPr="00675182" w:rsidRDefault="00C950DE" w:rsidP="00A84218">
      <w:pPr>
        <w:pStyle w:val="ListParagraph"/>
        <w:numPr>
          <w:ilvl w:val="1"/>
          <w:numId w:val="33"/>
        </w:numPr>
        <w:overflowPunct w:val="0"/>
        <w:autoSpaceDE w:val="0"/>
        <w:autoSpaceDN w:val="0"/>
        <w:adjustRightInd w:val="0"/>
        <w:spacing w:line="240" w:lineRule="atLeast"/>
        <w:ind w:left="709"/>
        <w:jc w:val="both"/>
        <w:rPr>
          <w:rFonts w:cstheme="minorHAnsi"/>
          <w:szCs w:val="24"/>
          <w:lang w:eastAsia="en-GB"/>
        </w:rPr>
      </w:pPr>
      <w:r>
        <w:rPr>
          <w:rFonts w:cstheme="minorHAnsi"/>
          <w:szCs w:val="24"/>
          <w:lang w:eastAsia="en-GB"/>
        </w:rPr>
        <w:lastRenderedPageBreak/>
        <w:t>n</w:t>
      </w:r>
      <w:r w:rsidRPr="00675182">
        <w:rPr>
          <w:rFonts w:cstheme="minorHAnsi"/>
          <w:szCs w:val="24"/>
          <w:lang w:eastAsia="en-GB"/>
        </w:rPr>
        <w:t xml:space="preserve">epopularizējot </w:t>
      </w:r>
      <w:r w:rsidR="00070832" w:rsidRPr="00675182">
        <w:rPr>
          <w:rFonts w:cstheme="minorHAnsi"/>
          <w:szCs w:val="24"/>
          <w:lang w:eastAsia="en-GB"/>
        </w:rPr>
        <w:t xml:space="preserve">alu apmeklēšanu ziemas laikā masu medijos. </w:t>
      </w:r>
      <w:r w:rsidR="00070832" w:rsidRPr="00675182">
        <w:rPr>
          <w:rFonts w:cstheme="minorHAnsi"/>
          <w:szCs w:val="24"/>
        </w:rPr>
        <w:t>Šī prasība g</w:t>
      </w:r>
      <w:r w:rsidR="001A6FE8" w:rsidRPr="00675182">
        <w:rPr>
          <w:rFonts w:cstheme="minorHAnsi"/>
          <w:szCs w:val="24"/>
        </w:rPr>
        <w:t>alvenokārt</w:t>
      </w:r>
      <w:r w:rsidR="00070832" w:rsidRPr="00675182">
        <w:rPr>
          <w:rFonts w:cstheme="minorHAnsi"/>
          <w:szCs w:val="24"/>
        </w:rPr>
        <w:t xml:space="preserve"> attiecas uz teritorijas apsaimniekotājiem – DAP, </w:t>
      </w:r>
      <w:r w:rsidR="001A6FE8" w:rsidRPr="00675182">
        <w:rPr>
          <w:rFonts w:cstheme="minorHAnsi"/>
          <w:szCs w:val="24"/>
        </w:rPr>
        <w:t>pašvaldībām</w:t>
      </w:r>
      <w:r w:rsidR="00070832" w:rsidRPr="00675182">
        <w:rPr>
          <w:rFonts w:cstheme="minorHAnsi"/>
          <w:szCs w:val="24"/>
        </w:rPr>
        <w:t xml:space="preserve"> un privātīpašniekiem, kuru īpašumā atrodas alas;</w:t>
      </w:r>
    </w:p>
    <w:p w14:paraId="38B4D39C" w14:textId="73F4B802" w:rsidR="00070832" w:rsidRPr="00675182" w:rsidRDefault="00C950DE" w:rsidP="00A84218">
      <w:pPr>
        <w:pStyle w:val="ListParagraph"/>
        <w:numPr>
          <w:ilvl w:val="1"/>
          <w:numId w:val="33"/>
        </w:numPr>
        <w:overflowPunct w:val="0"/>
        <w:autoSpaceDE w:val="0"/>
        <w:autoSpaceDN w:val="0"/>
        <w:adjustRightInd w:val="0"/>
        <w:spacing w:line="240" w:lineRule="atLeast"/>
        <w:ind w:left="709"/>
        <w:jc w:val="both"/>
        <w:rPr>
          <w:rFonts w:cstheme="minorHAnsi"/>
          <w:szCs w:val="24"/>
          <w:lang w:eastAsia="en-GB"/>
        </w:rPr>
      </w:pPr>
      <w:r>
        <w:rPr>
          <w:rFonts w:cstheme="minorHAnsi"/>
          <w:szCs w:val="24"/>
          <w:lang w:eastAsia="en-GB"/>
        </w:rPr>
        <w:t>n</w:t>
      </w:r>
      <w:r w:rsidRPr="00675182">
        <w:rPr>
          <w:rFonts w:cstheme="minorHAnsi"/>
          <w:szCs w:val="24"/>
          <w:lang w:eastAsia="en-GB"/>
        </w:rPr>
        <w:t xml:space="preserve">av </w:t>
      </w:r>
      <w:r w:rsidR="00070832" w:rsidRPr="00675182">
        <w:rPr>
          <w:rFonts w:cstheme="minorHAnsi"/>
          <w:szCs w:val="24"/>
          <w:lang w:eastAsia="en-GB"/>
        </w:rPr>
        <w:t>pieļaujama masu pasākumu (koncertu u.tml.) rīkošana, kas saistīta ar cilvēku pieplūdumu, gaismošanu un/vai troksni tiešā alu tuvumā;</w:t>
      </w:r>
    </w:p>
    <w:p w14:paraId="0C26CE1C" w14:textId="0E442575" w:rsidR="00070832" w:rsidRPr="00675182" w:rsidRDefault="00C950DE" w:rsidP="00A84218">
      <w:pPr>
        <w:pStyle w:val="ListParagraph"/>
        <w:numPr>
          <w:ilvl w:val="1"/>
          <w:numId w:val="33"/>
        </w:numPr>
        <w:overflowPunct w:val="0"/>
        <w:autoSpaceDE w:val="0"/>
        <w:autoSpaceDN w:val="0"/>
        <w:adjustRightInd w:val="0"/>
        <w:spacing w:line="240" w:lineRule="atLeast"/>
        <w:ind w:left="709"/>
        <w:jc w:val="both"/>
        <w:rPr>
          <w:rFonts w:cstheme="minorHAnsi"/>
          <w:szCs w:val="24"/>
          <w:lang w:eastAsia="en-GB"/>
        </w:rPr>
      </w:pPr>
      <w:r>
        <w:rPr>
          <w:rFonts w:cstheme="minorHAnsi"/>
          <w:szCs w:val="24"/>
          <w:lang w:eastAsia="en-GB"/>
        </w:rPr>
        <w:t>v</w:t>
      </w:r>
      <w:r w:rsidRPr="00675182">
        <w:rPr>
          <w:rFonts w:cstheme="minorHAnsi"/>
          <w:szCs w:val="24"/>
          <w:lang w:eastAsia="en-GB"/>
        </w:rPr>
        <w:t xml:space="preserve">ēlams </w:t>
      </w:r>
      <w:r w:rsidR="00070832" w:rsidRPr="00675182">
        <w:rPr>
          <w:rFonts w:cstheme="minorHAnsi"/>
          <w:szCs w:val="24"/>
          <w:lang w:eastAsia="en-GB"/>
        </w:rPr>
        <w:t xml:space="preserve">informēt GNP apmeklētājus par alu nozīmi sikspārņu ziemošanā un maksimāli (medijos u.c.) popularizēt viedokli, ka alas ir objekti, kas jāapmeklē vasarā, kā arī pie populārākajām alām </w:t>
      </w:r>
      <w:r w:rsidR="002462FB" w:rsidRPr="00675182">
        <w:rPr>
          <w:rFonts w:cstheme="minorHAnsi"/>
          <w:szCs w:val="24"/>
          <w:lang w:eastAsia="en-GB"/>
        </w:rPr>
        <w:t xml:space="preserve">un uz citiem informācijas stendiem </w:t>
      </w:r>
      <w:r w:rsidR="00070832" w:rsidRPr="00675182">
        <w:rPr>
          <w:rFonts w:cstheme="minorHAnsi"/>
          <w:szCs w:val="24"/>
          <w:lang w:eastAsia="en-GB"/>
        </w:rPr>
        <w:t>jānodrošina informācija par to, kas jāievēro, alas apmeklējot (klusums, nedrīkst ienest gaismekļus ar atklātu liesmu, smēķēt alā vai tās ieejas tuvumā, apgaismot, fotografēt vai citādi traucēt guļošos sikspārņus);</w:t>
      </w:r>
    </w:p>
    <w:p w14:paraId="47BDB1C2" w14:textId="490ABCD4" w:rsidR="00070832" w:rsidRPr="00675182" w:rsidRDefault="00070832" w:rsidP="00A84218">
      <w:pPr>
        <w:pStyle w:val="ListParagraph"/>
        <w:numPr>
          <w:ilvl w:val="1"/>
          <w:numId w:val="33"/>
        </w:numPr>
        <w:overflowPunct w:val="0"/>
        <w:autoSpaceDE w:val="0"/>
        <w:autoSpaceDN w:val="0"/>
        <w:adjustRightInd w:val="0"/>
        <w:spacing w:line="240" w:lineRule="atLeast"/>
        <w:ind w:left="709"/>
        <w:jc w:val="both"/>
        <w:rPr>
          <w:rFonts w:cstheme="minorHAnsi"/>
          <w:szCs w:val="24"/>
          <w:lang w:eastAsia="en-GB"/>
        </w:rPr>
      </w:pPr>
      <w:r w:rsidRPr="00675182">
        <w:rPr>
          <w:rFonts w:cstheme="minorHAnsi"/>
          <w:szCs w:val="24"/>
          <w:lang w:eastAsia="en-GB"/>
        </w:rPr>
        <w:t>Kazugravas Sikspārņu alām būtu jānodrošina papildus aizsardzība no apmeklētājiem visu gadu gan tāpēc, ka sikspārņi šīs alas izmanto gandrīz visu gadu (mazāk tikai jūnijā), gan dēļ to paaugstinātās bīstamības dēļ apmeklētājiem. Neuzmanīgu apmeklētāju izraisīts nogruvums var gan beigties ar traģēdiju cilvēkiem, gan iznīcināt vai ievērojami sabojāt vienu no divām nozīmīgākajām sikspārņu koncentrēšanās vietām Latvijā. Viens no iespējamiem risinājumiem būtu sadarbībā ar īpašnieku uzstādīt žogu apkārt Lielajai un Mazajai Sikspārņu alām</w:t>
      </w:r>
      <w:r w:rsidR="002462FB" w:rsidRPr="00675182">
        <w:rPr>
          <w:rFonts w:cstheme="minorHAnsi"/>
          <w:szCs w:val="24"/>
          <w:lang w:eastAsia="en-GB"/>
        </w:rPr>
        <w:t xml:space="preserve"> (skat. B.2.6.)</w:t>
      </w:r>
      <w:r w:rsidRPr="00675182">
        <w:rPr>
          <w:rFonts w:cstheme="minorHAnsi"/>
          <w:szCs w:val="24"/>
          <w:lang w:eastAsia="en-GB"/>
        </w:rPr>
        <w:t>. Pie alām, saskaņojot ar īpašnieku, būtu pieļaujams īpaši netraucējot vērot spietojošos sikspārņus nelielās (līdz 10 cilvēku), speciāli apmācīta gida pavadībā organizētās grupās rudenī (augusta otrā pusē – septembrī), bet ne biežāk kā divas reizes nedēļā ar vismaz 3 dienu intervālu starp apmeklējumiem.</w:t>
      </w:r>
    </w:p>
    <w:p w14:paraId="5359320C" w14:textId="77777777" w:rsidR="00070832" w:rsidRPr="00675182" w:rsidRDefault="00070832" w:rsidP="00070832">
      <w:pPr>
        <w:overflowPunct w:val="0"/>
        <w:autoSpaceDE w:val="0"/>
        <w:autoSpaceDN w:val="0"/>
        <w:adjustRightInd w:val="0"/>
        <w:spacing w:line="240" w:lineRule="atLeast"/>
        <w:jc w:val="both"/>
        <w:rPr>
          <w:rFonts w:cstheme="minorHAnsi"/>
          <w:szCs w:val="24"/>
          <w:lang w:eastAsia="en-GB"/>
        </w:rPr>
      </w:pPr>
    </w:p>
    <w:p w14:paraId="7A8ED3A6" w14:textId="4AB9BA32" w:rsidR="008D430F" w:rsidRPr="00675182" w:rsidRDefault="00070832" w:rsidP="00070832">
      <w:pPr>
        <w:overflowPunct w:val="0"/>
        <w:autoSpaceDE w:val="0"/>
        <w:autoSpaceDN w:val="0"/>
        <w:adjustRightInd w:val="0"/>
        <w:spacing w:line="240" w:lineRule="atLeast"/>
        <w:jc w:val="both"/>
        <w:rPr>
          <w:rFonts w:cstheme="minorHAnsi"/>
          <w:szCs w:val="24"/>
          <w:lang w:eastAsia="en-GB"/>
        </w:rPr>
      </w:pPr>
      <w:r w:rsidRPr="00675182">
        <w:rPr>
          <w:rFonts w:cstheme="minorHAnsi"/>
          <w:szCs w:val="24"/>
          <w:lang w:eastAsia="en-GB"/>
        </w:rPr>
        <w:t xml:space="preserve">Attiecībā uz citiem sikspārņu biotopiem galvenās </w:t>
      </w:r>
      <w:r w:rsidR="008D430F" w:rsidRPr="00675182">
        <w:rPr>
          <w:rFonts w:cstheme="minorHAnsi"/>
          <w:szCs w:val="24"/>
          <w:lang w:eastAsia="en-GB"/>
        </w:rPr>
        <w:t>rekomendācijas</w:t>
      </w:r>
      <w:r w:rsidRPr="00675182">
        <w:rPr>
          <w:rFonts w:cstheme="minorHAnsi"/>
          <w:szCs w:val="24"/>
          <w:lang w:eastAsia="en-GB"/>
        </w:rPr>
        <w:t xml:space="preserve"> </w:t>
      </w:r>
      <w:r w:rsidR="002462FB" w:rsidRPr="00675182">
        <w:rPr>
          <w:rFonts w:cstheme="minorHAnsi"/>
          <w:szCs w:val="24"/>
          <w:lang w:eastAsia="en-GB"/>
        </w:rPr>
        <w:t>aprakstītas šīs pasākumu grupas ietvaros, daļēji paredzēts tās ieviest IAIN.</w:t>
      </w:r>
    </w:p>
    <w:p w14:paraId="79EA1608" w14:textId="4712C6F5" w:rsidR="00070832" w:rsidRPr="00675182" w:rsidRDefault="008D430F" w:rsidP="008D430F">
      <w:pPr>
        <w:autoSpaceDE w:val="0"/>
        <w:autoSpaceDN w:val="0"/>
        <w:adjustRightInd w:val="0"/>
        <w:jc w:val="both"/>
        <w:rPr>
          <w:rFonts w:eastAsia="Times New Roman" w:cstheme="minorHAnsi"/>
          <w:szCs w:val="24"/>
          <w:lang w:eastAsia="en-GB"/>
        </w:rPr>
      </w:pPr>
      <w:r w:rsidRPr="00675182">
        <w:rPr>
          <w:rFonts w:eastAsia="Times New Roman" w:cstheme="minorHAnsi"/>
          <w:szCs w:val="24"/>
          <w:lang w:eastAsia="en-GB"/>
        </w:rPr>
        <w:t xml:space="preserve">Gaujas </w:t>
      </w:r>
      <w:r w:rsidR="00070832" w:rsidRPr="00675182">
        <w:rPr>
          <w:rFonts w:eastAsia="Times New Roman" w:cstheme="minorHAnsi"/>
          <w:szCs w:val="24"/>
          <w:lang w:eastAsia="en-GB"/>
        </w:rPr>
        <w:t xml:space="preserve">krastos nebūtu pieļaujama prožektoru vai jaudīgu lampu uzstādīšana, kas apgaismo ūdeni visas upes platumā un/vai visu nakti. Pieļaujama īslaicīga šāda apgaismojuma uzstādīšana uz vienu nakti, ja ūdens malā tiek rīkoti kādi pasākumi, bet laikā no maija beigām līdz jūlija beigām (sikspārņu mazuļu laikā, kas ir būtiskākais laiks, lai mātītes un vēlāk arī tikko lidot sākuši mazuļi pagūtu nakts laikā pabaroties) – ne biežāk kā reizi 2 nedēļās. Šī prasība attiecas arī uz ezeriem </w:t>
      </w:r>
      <w:r w:rsidRPr="00675182">
        <w:rPr>
          <w:rFonts w:eastAsia="Times New Roman" w:cstheme="minorHAnsi"/>
          <w:szCs w:val="24"/>
          <w:lang w:eastAsia="en-GB"/>
        </w:rPr>
        <w:t xml:space="preserve">GNP teritorijā </w:t>
      </w:r>
      <w:r w:rsidR="00070832" w:rsidRPr="00675182">
        <w:rPr>
          <w:rFonts w:eastAsia="Times New Roman" w:cstheme="minorHAnsi"/>
          <w:szCs w:val="24"/>
          <w:lang w:eastAsia="en-GB"/>
        </w:rPr>
        <w:t>(Ungurezeru u.c.).</w:t>
      </w:r>
    </w:p>
    <w:p w14:paraId="366791E0" w14:textId="77777777" w:rsidR="008D430F" w:rsidRPr="00675182" w:rsidRDefault="008D430F" w:rsidP="008D430F">
      <w:pPr>
        <w:autoSpaceDE w:val="0"/>
        <w:autoSpaceDN w:val="0"/>
        <w:adjustRightInd w:val="0"/>
        <w:jc w:val="both"/>
        <w:rPr>
          <w:rFonts w:eastAsia="Times New Roman" w:cstheme="minorHAnsi"/>
          <w:szCs w:val="24"/>
          <w:lang w:eastAsia="en-GB"/>
        </w:rPr>
      </w:pPr>
    </w:p>
    <w:p w14:paraId="245C2738" w14:textId="77777777" w:rsidR="00070832" w:rsidRPr="00675182" w:rsidRDefault="00070832" w:rsidP="008D430F">
      <w:pPr>
        <w:autoSpaceDE w:val="0"/>
        <w:autoSpaceDN w:val="0"/>
        <w:adjustRightInd w:val="0"/>
        <w:jc w:val="both"/>
        <w:rPr>
          <w:rFonts w:eastAsia="Times New Roman" w:cstheme="minorHAnsi"/>
          <w:szCs w:val="24"/>
          <w:lang w:eastAsia="en-GB"/>
        </w:rPr>
      </w:pPr>
      <w:r w:rsidRPr="00675182">
        <w:rPr>
          <w:rFonts w:eastAsia="Times New Roman" w:cstheme="minorHAnsi"/>
          <w:szCs w:val="24"/>
          <w:lang w:eastAsia="en-GB"/>
        </w:rPr>
        <w:t>Ļoti nevēlama ir tiltu izgaismošana, lai arī tā cilvēkiem ir vizuāli pievilcīga, jo tas ir nozīmīgs traucējums un arī upes kā sikspārņu un putnu tranzītceļa pārrāvums nakts laikā (vasarā un migrācijas laikā pavasarī un rudenī). Ja apgaismojums tiek uzstādīts, jāievēro sekojošas prasības:</w:t>
      </w:r>
    </w:p>
    <w:p w14:paraId="7E5961FC" w14:textId="77777777" w:rsidR="00070832" w:rsidRPr="00675182" w:rsidRDefault="00070832" w:rsidP="00A84218">
      <w:pPr>
        <w:pStyle w:val="ListParagraph"/>
        <w:numPr>
          <w:ilvl w:val="0"/>
          <w:numId w:val="32"/>
        </w:numPr>
        <w:suppressAutoHyphens w:val="0"/>
        <w:autoSpaceDE w:val="0"/>
        <w:autoSpaceDN w:val="0"/>
        <w:adjustRightInd w:val="0"/>
        <w:spacing w:after="160" w:line="256" w:lineRule="auto"/>
        <w:ind w:left="426"/>
        <w:contextualSpacing/>
        <w:jc w:val="both"/>
        <w:rPr>
          <w:rFonts w:eastAsia="Times New Roman" w:cstheme="minorHAnsi"/>
          <w:szCs w:val="24"/>
          <w:lang w:eastAsia="en-GB"/>
        </w:rPr>
      </w:pPr>
      <w:r w:rsidRPr="00675182">
        <w:rPr>
          <w:rFonts w:eastAsia="Times New Roman" w:cstheme="minorHAnsi"/>
          <w:szCs w:val="24"/>
          <w:lang w:eastAsia="en-GB"/>
        </w:rPr>
        <w:t>apgaismojumu uzstādīt tikai tilta virspusē, neapgaismojot to no apakšas;</w:t>
      </w:r>
    </w:p>
    <w:p w14:paraId="46110E29" w14:textId="77777777" w:rsidR="00070832" w:rsidRPr="00675182" w:rsidRDefault="00070832" w:rsidP="00A84218">
      <w:pPr>
        <w:pStyle w:val="ListParagraph"/>
        <w:numPr>
          <w:ilvl w:val="0"/>
          <w:numId w:val="32"/>
        </w:numPr>
        <w:suppressAutoHyphens w:val="0"/>
        <w:autoSpaceDE w:val="0"/>
        <w:autoSpaceDN w:val="0"/>
        <w:adjustRightInd w:val="0"/>
        <w:spacing w:line="256" w:lineRule="auto"/>
        <w:ind w:left="426"/>
        <w:contextualSpacing/>
        <w:jc w:val="both"/>
        <w:rPr>
          <w:rFonts w:eastAsia="Times New Roman" w:cstheme="minorHAnsi"/>
          <w:szCs w:val="24"/>
          <w:lang w:eastAsia="en-GB"/>
        </w:rPr>
      </w:pPr>
      <w:r w:rsidRPr="00675182">
        <w:rPr>
          <w:rFonts w:eastAsia="Times New Roman" w:cstheme="minorHAnsi"/>
          <w:szCs w:val="24"/>
          <w:lang w:eastAsia="en-GB"/>
        </w:rPr>
        <w:t>izmantot vienā virzienā vērstu apgaismojumu (pret ceļu), kas samazina gaismas piesārņojumu uz augšu un, īpaši, uz ūdens;</w:t>
      </w:r>
    </w:p>
    <w:p w14:paraId="1759206D" w14:textId="248BA19C" w:rsidR="00070832" w:rsidRPr="00675182" w:rsidRDefault="00070832" w:rsidP="00A84218">
      <w:pPr>
        <w:pStyle w:val="ListParagraph"/>
        <w:numPr>
          <w:ilvl w:val="0"/>
          <w:numId w:val="32"/>
        </w:numPr>
        <w:suppressAutoHyphens w:val="0"/>
        <w:autoSpaceDE w:val="0"/>
        <w:autoSpaceDN w:val="0"/>
        <w:adjustRightInd w:val="0"/>
        <w:spacing w:line="256" w:lineRule="auto"/>
        <w:ind w:left="426"/>
        <w:contextualSpacing/>
        <w:jc w:val="both"/>
        <w:rPr>
          <w:rFonts w:eastAsia="Times New Roman" w:cstheme="minorHAnsi"/>
          <w:szCs w:val="24"/>
          <w:lang w:eastAsia="en-GB"/>
        </w:rPr>
      </w:pPr>
      <w:r w:rsidRPr="00675182">
        <w:rPr>
          <w:rFonts w:eastAsia="Times New Roman" w:cstheme="minorHAnsi"/>
          <w:szCs w:val="24"/>
          <w:lang w:eastAsia="en-GB"/>
        </w:rPr>
        <w:t xml:space="preserve">vislabāk izmantot apgaismojumu, kurš ar releja palīdzību ieslēdzas tikai pēc nepieciešamības, ja pa ceļu pārvietojas </w:t>
      </w:r>
      <w:r w:rsidR="008D430F" w:rsidRPr="00675182">
        <w:rPr>
          <w:rFonts w:eastAsia="Times New Roman" w:cstheme="minorHAnsi"/>
          <w:szCs w:val="24"/>
          <w:lang w:eastAsia="en-GB"/>
        </w:rPr>
        <w:t>transportlīdzeklis</w:t>
      </w:r>
      <w:r w:rsidRPr="00675182">
        <w:rPr>
          <w:rFonts w:eastAsia="Times New Roman" w:cstheme="minorHAnsi"/>
          <w:szCs w:val="24"/>
          <w:lang w:eastAsia="en-GB"/>
        </w:rPr>
        <w:t xml:space="preserve"> vai gājējs. Tas ir arī enerģētiski taupīgākais variants salīdzinoši maz apdzīvotās vietās;</w:t>
      </w:r>
    </w:p>
    <w:p w14:paraId="513DADCB" w14:textId="675DAF60" w:rsidR="00070832" w:rsidRPr="00675182" w:rsidRDefault="00070832" w:rsidP="00A84218">
      <w:pPr>
        <w:pStyle w:val="ListParagraph"/>
        <w:numPr>
          <w:ilvl w:val="0"/>
          <w:numId w:val="32"/>
        </w:numPr>
        <w:suppressAutoHyphens w:val="0"/>
        <w:autoSpaceDE w:val="0"/>
        <w:autoSpaceDN w:val="0"/>
        <w:adjustRightInd w:val="0"/>
        <w:spacing w:line="256" w:lineRule="auto"/>
        <w:ind w:left="426"/>
        <w:contextualSpacing/>
        <w:jc w:val="both"/>
        <w:rPr>
          <w:rFonts w:eastAsia="Times New Roman" w:cstheme="minorHAnsi"/>
          <w:szCs w:val="24"/>
          <w:lang w:eastAsia="en-GB"/>
        </w:rPr>
      </w:pPr>
      <w:r w:rsidRPr="00675182">
        <w:rPr>
          <w:rFonts w:eastAsia="Times New Roman" w:cstheme="minorHAnsi"/>
          <w:szCs w:val="24"/>
          <w:lang w:eastAsia="en-GB"/>
        </w:rPr>
        <w:t xml:space="preserve">apgaismojumam ieteicams izmantot </w:t>
      </w:r>
      <w:r w:rsidRPr="00675182">
        <w:rPr>
          <w:rFonts w:cstheme="minorHAnsi"/>
          <w:szCs w:val="24"/>
        </w:rPr>
        <w:t>oranžā spektra gaismas, kuras ir relatīvi mazāk traucējošas – ar gaismas viļņa garumu &gt;540 nm un CCK (Correlated colour temperature) &lt;2700 K</w:t>
      </w:r>
      <w:r w:rsidR="00DD64C8">
        <w:rPr>
          <w:rFonts w:cstheme="minorHAnsi"/>
          <w:szCs w:val="24"/>
        </w:rPr>
        <w:t>;</w:t>
      </w:r>
    </w:p>
    <w:p w14:paraId="4641276D" w14:textId="6628E972" w:rsidR="00070832" w:rsidRPr="00675182" w:rsidRDefault="00DD64C8" w:rsidP="00A84218">
      <w:pPr>
        <w:pStyle w:val="ListParagraph"/>
        <w:numPr>
          <w:ilvl w:val="0"/>
          <w:numId w:val="32"/>
        </w:numPr>
        <w:suppressAutoHyphens w:val="0"/>
        <w:autoSpaceDE w:val="0"/>
        <w:autoSpaceDN w:val="0"/>
        <w:adjustRightInd w:val="0"/>
        <w:spacing w:line="256" w:lineRule="auto"/>
        <w:ind w:left="426"/>
        <w:contextualSpacing/>
        <w:jc w:val="both"/>
        <w:rPr>
          <w:rFonts w:eastAsia="Times New Roman" w:cstheme="minorHAnsi"/>
          <w:szCs w:val="24"/>
          <w:lang w:eastAsia="en-GB"/>
        </w:rPr>
      </w:pPr>
      <w:r>
        <w:rPr>
          <w:rFonts w:eastAsia="Times New Roman" w:cstheme="minorHAnsi"/>
          <w:szCs w:val="24"/>
          <w:lang w:eastAsia="en-GB"/>
        </w:rPr>
        <w:lastRenderedPageBreak/>
        <w:t>j</w:t>
      </w:r>
      <w:r w:rsidRPr="00675182">
        <w:rPr>
          <w:rFonts w:eastAsia="Times New Roman" w:cstheme="minorHAnsi"/>
          <w:szCs w:val="24"/>
          <w:lang w:eastAsia="en-GB"/>
        </w:rPr>
        <w:t xml:space="preserve">a </w:t>
      </w:r>
      <w:r w:rsidR="00070832" w:rsidRPr="00675182">
        <w:rPr>
          <w:rFonts w:eastAsia="Times New Roman" w:cstheme="minorHAnsi"/>
          <w:szCs w:val="24"/>
          <w:lang w:eastAsia="en-GB"/>
        </w:rPr>
        <w:t>tiek uzstādīts dekoratīvs apgaismojums (prožektori), kas izgaismo pašu tiltu, jāievēro, lai vismaz daļa no upes paliek neapgaismota, kā arī tiltu vēlams apgaismot tikai no vienas puses, jo tilti bieži ir iecienītas sikspārņu barošanās vietas, pie kurām koncentrējas kukaiņi; reizēm tilti ir arī mītņu vai atpūtas vietas sikspārņiem (piemēram, ir zināms, ka sikspārņi regulāri uzturas Strīķupes tilta spraugās pie Kalējalas</w:t>
      </w:r>
      <w:r w:rsidRPr="00675182">
        <w:rPr>
          <w:rFonts w:eastAsia="Times New Roman" w:cstheme="minorHAnsi"/>
          <w:szCs w:val="24"/>
          <w:lang w:eastAsia="en-GB"/>
        </w:rPr>
        <w:t>)</w:t>
      </w:r>
      <w:r>
        <w:rPr>
          <w:rFonts w:eastAsia="Times New Roman" w:cstheme="minorHAnsi"/>
          <w:szCs w:val="24"/>
          <w:lang w:eastAsia="en-GB"/>
        </w:rPr>
        <w:t>;</w:t>
      </w:r>
    </w:p>
    <w:p w14:paraId="4C9262E7" w14:textId="4A90BAFE" w:rsidR="00070832" w:rsidRPr="00675182" w:rsidRDefault="00DD64C8" w:rsidP="00A84218">
      <w:pPr>
        <w:pStyle w:val="ListParagraph"/>
        <w:numPr>
          <w:ilvl w:val="0"/>
          <w:numId w:val="32"/>
        </w:numPr>
        <w:suppressAutoHyphens w:val="0"/>
        <w:autoSpaceDE w:val="0"/>
        <w:autoSpaceDN w:val="0"/>
        <w:adjustRightInd w:val="0"/>
        <w:spacing w:line="256" w:lineRule="auto"/>
        <w:ind w:left="426"/>
        <w:contextualSpacing/>
        <w:jc w:val="both"/>
        <w:rPr>
          <w:rFonts w:eastAsia="Times New Roman" w:cstheme="minorHAnsi"/>
          <w:szCs w:val="24"/>
          <w:lang w:eastAsia="en-GB"/>
        </w:rPr>
      </w:pPr>
      <w:r>
        <w:rPr>
          <w:rFonts w:eastAsia="Times New Roman" w:cstheme="minorHAnsi"/>
          <w:szCs w:val="24"/>
          <w:lang w:eastAsia="en-GB"/>
        </w:rPr>
        <w:t>z</w:t>
      </w:r>
      <w:r w:rsidRPr="00675182">
        <w:rPr>
          <w:rFonts w:eastAsia="Times New Roman" w:cstheme="minorHAnsi"/>
          <w:szCs w:val="24"/>
          <w:lang w:eastAsia="en-GB"/>
        </w:rPr>
        <w:t xml:space="preserve">iemas </w:t>
      </w:r>
      <w:r w:rsidR="00070832" w:rsidRPr="00675182">
        <w:rPr>
          <w:rFonts w:eastAsia="Times New Roman" w:cstheme="minorHAnsi"/>
          <w:szCs w:val="24"/>
          <w:lang w:eastAsia="en-GB"/>
        </w:rPr>
        <w:t>laikā (novembrī – februārī, ieskaitot), īpašu ierobežojumu apgaismojuma izmantošanai pie ūdeņiem, t.sk. tiltiem, no sikspārņu aizsardzības viedokļa nav.</w:t>
      </w:r>
    </w:p>
    <w:p w14:paraId="3B954E98" w14:textId="77777777" w:rsidR="008D430F" w:rsidRPr="00675182" w:rsidRDefault="008D430F" w:rsidP="00070832">
      <w:pPr>
        <w:suppressAutoHyphens w:val="0"/>
        <w:autoSpaceDE w:val="0"/>
        <w:autoSpaceDN w:val="0"/>
        <w:adjustRightInd w:val="0"/>
        <w:spacing w:line="256" w:lineRule="auto"/>
        <w:contextualSpacing/>
        <w:jc w:val="both"/>
        <w:rPr>
          <w:rFonts w:eastAsia="Times New Roman" w:cstheme="minorHAnsi"/>
          <w:szCs w:val="24"/>
          <w:lang w:eastAsia="en-GB"/>
        </w:rPr>
      </w:pPr>
    </w:p>
    <w:p w14:paraId="26E91DBF" w14:textId="1BC3A4C8" w:rsidR="00070832" w:rsidRPr="00675182" w:rsidRDefault="00070832" w:rsidP="00070832">
      <w:pPr>
        <w:suppressAutoHyphens w:val="0"/>
        <w:autoSpaceDE w:val="0"/>
        <w:autoSpaceDN w:val="0"/>
        <w:adjustRightInd w:val="0"/>
        <w:spacing w:line="256" w:lineRule="auto"/>
        <w:contextualSpacing/>
        <w:jc w:val="both"/>
        <w:rPr>
          <w:rFonts w:eastAsia="Times New Roman" w:cstheme="minorHAnsi"/>
          <w:szCs w:val="24"/>
          <w:lang w:eastAsia="en-GB"/>
        </w:rPr>
      </w:pPr>
      <w:r w:rsidRPr="00675182">
        <w:rPr>
          <w:rFonts w:eastAsia="Times New Roman" w:cstheme="minorHAnsi"/>
          <w:szCs w:val="24"/>
          <w:lang w:eastAsia="en-GB"/>
        </w:rPr>
        <w:t>Ārpus Gaujas ielejas ir atbalstāma dažādu mitrāju (piem., bebraiņu) vai dīķu dabiska izveidošanās vai mākslīga izveidošana, ja tas neapdraud citus aizsargājamus biotopus vai sugu atradnes, jo šādi biotopi paaugstina ainavas nozīmību sikspārņiem, radot jaunas labas barošanās vietas.</w:t>
      </w:r>
    </w:p>
    <w:p w14:paraId="5826FC75" w14:textId="77777777" w:rsidR="00070832" w:rsidRPr="00675182" w:rsidRDefault="00070832" w:rsidP="00070832">
      <w:pPr>
        <w:suppressAutoHyphens w:val="0"/>
        <w:autoSpaceDE w:val="0"/>
        <w:autoSpaceDN w:val="0"/>
        <w:adjustRightInd w:val="0"/>
        <w:spacing w:line="256" w:lineRule="auto"/>
        <w:jc w:val="both"/>
        <w:rPr>
          <w:rFonts w:eastAsia="Times New Roman" w:cstheme="minorHAnsi"/>
          <w:szCs w:val="24"/>
          <w:lang w:eastAsia="en-GB"/>
        </w:rPr>
      </w:pPr>
    </w:p>
    <w:p w14:paraId="6AAFE6B3" w14:textId="77777777" w:rsidR="00070832" w:rsidRPr="00675182" w:rsidRDefault="00070832" w:rsidP="00070832">
      <w:pPr>
        <w:suppressAutoHyphens w:val="0"/>
        <w:autoSpaceDE w:val="0"/>
        <w:autoSpaceDN w:val="0"/>
        <w:adjustRightInd w:val="0"/>
        <w:spacing w:line="256" w:lineRule="auto"/>
        <w:jc w:val="both"/>
        <w:rPr>
          <w:rFonts w:eastAsia="Times New Roman" w:cstheme="minorHAnsi"/>
          <w:szCs w:val="24"/>
          <w:lang w:eastAsia="en-GB"/>
        </w:rPr>
      </w:pPr>
      <w:r w:rsidRPr="00675182">
        <w:rPr>
          <w:rFonts w:eastAsia="Times New Roman" w:cstheme="minorHAnsi"/>
          <w:szCs w:val="24"/>
          <w:lang w:eastAsia="en-GB"/>
        </w:rPr>
        <w:t>Mežu apsaimniekošanā ievērojamas vispārīgas dabas aizsardzības prasības, kas nepieciešamas ne tikai sikspārņiem:</w:t>
      </w:r>
    </w:p>
    <w:p w14:paraId="793244D4" w14:textId="347FCA62" w:rsidR="00070832" w:rsidRPr="00675182" w:rsidRDefault="004261A1" w:rsidP="00A84218">
      <w:pPr>
        <w:pStyle w:val="ListParagraph"/>
        <w:numPr>
          <w:ilvl w:val="0"/>
          <w:numId w:val="32"/>
        </w:numPr>
        <w:suppressAutoHyphens w:val="0"/>
        <w:autoSpaceDE w:val="0"/>
        <w:autoSpaceDN w:val="0"/>
        <w:adjustRightInd w:val="0"/>
        <w:spacing w:after="160" w:line="256" w:lineRule="auto"/>
        <w:ind w:left="426"/>
        <w:contextualSpacing/>
        <w:jc w:val="both"/>
        <w:rPr>
          <w:rFonts w:eastAsia="Times New Roman" w:cstheme="minorHAnsi"/>
          <w:szCs w:val="24"/>
          <w:lang w:eastAsia="en-GB"/>
        </w:rPr>
      </w:pPr>
      <w:r>
        <w:rPr>
          <w:rFonts w:eastAsia="Times New Roman" w:cstheme="minorHAnsi"/>
          <w:szCs w:val="24"/>
          <w:lang w:eastAsia="en-GB"/>
        </w:rPr>
        <w:t>n</w:t>
      </w:r>
      <w:r w:rsidRPr="00675182">
        <w:rPr>
          <w:rFonts w:eastAsia="Times New Roman" w:cstheme="minorHAnsi"/>
          <w:szCs w:val="24"/>
          <w:lang w:eastAsia="en-GB"/>
        </w:rPr>
        <w:t xml:space="preserve">okaltušu </w:t>
      </w:r>
      <w:r w:rsidR="00070832" w:rsidRPr="00675182">
        <w:rPr>
          <w:rFonts w:eastAsia="Times New Roman" w:cstheme="minorHAnsi"/>
          <w:szCs w:val="24"/>
          <w:lang w:eastAsia="en-GB"/>
        </w:rPr>
        <w:t>un kalstošu, īpaši lielu dimensiju, koku saglabāšana mežos un cirsmās (</w:t>
      </w:r>
      <w:r>
        <w:rPr>
          <w:rFonts w:eastAsia="Times New Roman" w:cstheme="minorHAnsi"/>
          <w:szCs w:val="24"/>
          <w:lang w:eastAsia="en-GB"/>
        </w:rPr>
        <w:t>v</w:t>
      </w:r>
      <w:r w:rsidRPr="00675182">
        <w:rPr>
          <w:rFonts w:eastAsia="Times New Roman" w:cstheme="minorHAnsi"/>
          <w:szCs w:val="24"/>
          <w:lang w:eastAsia="en-GB"/>
        </w:rPr>
        <w:t xml:space="preserve">ismaz </w:t>
      </w:r>
      <w:r w:rsidR="00070832" w:rsidRPr="00675182">
        <w:rPr>
          <w:rFonts w:eastAsia="Times New Roman" w:cstheme="minorHAnsi"/>
          <w:szCs w:val="24"/>
          <w:lang w:eastAsia="en-GB"/>
        </w:rPr>
        <w:t>5x vairāk, nekā 4 šādus kokus, kurus prasa atstāt esošie noteikumi);</w:t>
      </w:r>
    </w:p>
    <w:p w14:paraId="1887771F" w14:textId="2583E1B4" w:rsidR="00070832" w:rsidRPr="00675182" w:rsidRDefault="004261A1" w:rsidP="00A84218">
      <w:pPr>
        <w:pStyle w:val="ListParagraph"/>
        <w:numPr>
          <w:ilvl w:val="0"/>
          <w:numId w:val="32"/>
        </w:numPr>
        <w:suppressAutoHyphens w:val="0"/>
        <w:autoSpaceDE w:val="0"/>
        <w:autoSpaceDN w:val="0"/>
        <w:adjustRightInd w:val="0"/>
        <w:spacing w:line="256" w:lineRule="auto"/>
        <w:ind w:left="426"/>
        <w:contextualSpacing/>
        <w:jc w:val="both"/>
        <w:rPr>
          <w:rFonts w:eastAsia="Times New Roman" w:cstheme="minorHAnsi"/>
          <w:szCs w:val="24"/>
          <w:lang w:eastAsia="en-GB"/>
        </w:rPr>
      </w:pPr>
      <w:r>
        <w:rPr>
          <w:rFonts w:eastAsia="Times New Roman" w:cstheme="minorHAnsi"/>
          <w:szCs w:val="24"/>
          <w:lang w:eastAsia="en-GB"/>
        </w:rPr>
        <w:t>n</w:t>
      </w:r>
      <w:r w:rsidRPr="00675182">
        <w:rPr>
          <w:rFonts w:eastAsia="Times New Roman" w:cstheme="minorHAnsi"/>
          <w:szCs w:val="24"/>
          <w:lang w:eastAsia="en-GB"/>
        </w:rPr>
        <w:t xml:space="preserve">okaltušu </w:t>
      </w:r>
      <w:r w:rsidR="00070832" w:rsidRPr="00675182">
        <w:rPr>
          <w:rFonts w:eastAsia="Times New Roman" w:cstheme="minorHAnsi"/>
          <w:szCs w:val="24"/>
          <w:lang w:eastAsia="en-GB"/>
        </w:rPr>
        <w:t>audžu vismaz daļēja saglabāšana sanitārajās cirtēs, īpaši atstājot kokus ar sikspārņiem nepieciešamajām mītņu struktūrām: atlupušu mizu, spraugām vai dobumiem;</w:t>
      </w:r>
    </w:p>
    <w:p w14:paraId="1FF1AEB7" w14:textId="0DC80FD0" w:rsidR="00070832" w:rsidRPr="00675182" w:rsidRDefault="004261A1" w:rsidP="00A84218">
      <w:pPr>
        <w:pStyle w:val="ListParagraph"/>
        <w:numPr>
          <w:ilvl w:val="0"/>
          <w:numId w:val="32"/>
        </w:numPr>
        <w:suppressAutoHyphens w:val="0"/>
        <w:autoSpaceDE w:val="0"/>
        <w:autoSpaceDN w:val="0"/>
        <w:adjustRightInd w:val="0"/>
        <w:spacing w:line="256" w:lineRule="auto"/>
        <w:ind w:left="426"/>
        <w:contextualSpacing/>
        <w:jc w:val="both"/>
        <w:rPr>
          <w:rFonts w:eastAsia="Times New Roman" w:cstheme="minorHAnsi"/>
          <w:szCs w:val="24"/>
          <w:lang w:eastAsia="en-GB"/>
        </w:rPr>
      </w:pPr>
      <w:r>
        <w:rPr>
          <w:rFonts w:eastAsia="Times New Roman" w:cstheme="minorHAnsi"/>
          <w:szCs w:val="24"/>
          <w:lang w:eastAsia="en-GB"/>
        </w:rPr>
        <w:t>v</w:t>
      </w:r>
      <w:r w:rsidRPr="00675182">
        <w:rPr>
          <w:rFonts w:eastAsia="Times New Roman" w:cstheme="minorHAnsi"/>
          <w:szCs w:val="24"/>
          <w:lang w:eastAsia="en-GB"/>
        </w:rPr>
        <w:t xml:space="preserve">eco </w:t>
      </w:r>
      <w:r w:rsidR="00070832" w:rsidRPr="00675182">
        <w:rPr>
          <w:rFonts w:eastAsia="Times New Roman" w:cstheme="minorHAnsi"/>
          <w:szCs w:val="24"/>
          <w:lang w:eastAsia="en-GB"/>
        </w:rPr>
        <w:t>mežaudžu īpatsvara palielināšana saimnieciskajos mežos ārpus Gaujas ielejas. Piemērotu vecu mežaudžu un nepieciešamo struktūru trūkums</w:t>
      </w:r>
      <w:r w:rsidR="002462FB" w:rsidRPr="00675182">
        <w:rPr>
          <w:rFonts w:eastAsia="Times New Roman" w:cstheme="minorHAnsi"/>
          <w:szCs w:val="24"/>
          <w:lang w:eastAsia="en-GB"/>
        </w:rPr>
        <w:t>,</w:t>
      </w:r>
      <w:r w:rsidR="00070832" w:rsidRPr="00675182">
        <w:rPr>
          <w:rFonts w:eastAsia="Times New Roman" w:cstheme="minorHAnsi"/>
          <w:szCs w:val="24"/>
          <w:lang w:eastAsia="en-GB"/>
        </w:rPr>
        <w:t xml:space="preserve"> visticamāk</w:t>
      </w:r>
      <w:r w:rsidR="002462FB" w:rsidRPr="00675182">
        <w:rPr>
          <w:rFonts w:eastAsia="Times New Roman" w:cstheme="minorHAnsi"/>
          <w:szCs w:val="24"/>
          <w:lang w:eastAsia="en-GB"/>
        </w:rPr>
        <w:t>,</w:t>
      </w:r>
      <w:r w:rsidR="00070832" w:rsidRPr="00675182">
        <w:rPr>
          <w:rFonts w:eastAsia="Times New Roman" w:cstheme="minorHAnsi"/>
          <w:szCs w:val="24"/>
          <w:lang w:eastAsia="en-GB"/>
        </w:rPr>
        <w:t xml:space="preserve"> ir viens no galvenajiem iemesliem, kāpēc GNP ārpus Gaujas ielejas sikspārņu fauna lielākoties ir ļoti nabadzīga, un galvenokārt sastopams tikai ziemeļu sikspārnis – viena no ekoloģiski plastiskākajām un mazāk prasīgajām sikspārņu sugām</w:t>
      </w:r>
      <w:r>
        <w:rPr>
          <w:rFonts w:eastAsia="Times New Roman" w:cstheme="minorHAnsi"/>
          <w:szCs w:val="24"/>
          <w:lang w:eastAsia="en-GB"/>
        </w:rPr>
        <w:t>;</w:t>
      </w:r>
    </w:p>
    <w:p w14:paraId="15C85CC7" w14:textId="4F136272" w:rsidR="00070832" w:rsidRPr="00675182" w:rsidRDefault="004261A1" w:rsidP="00A84218">
      <w:pPr>
        <w:pStyle w:val="ListParagraph"/>
        <w:numPr>
          <w:ilvl w:val="0"/>
          <w:numId w:val="32"/>
        </w:numPr>
        <w:suppressAutoHyphens w:val="0"/>
        <w:autoSpaceDE w:val="0"/>
        <w:autoSpaceDN w:val="0"/>
        <w:adjustRightInd w:val="0"/>
        <w:spacing w:line="256" w:lineRule="auto"/>
        <w:ind w:left="426"/>
        <w:contextualSpacing/>
        <w:jc w:val="both"/>
        <w:rPr>
          <w:rFonts w:eastAsia="Times New Roman" w:cstheme="minorHAnsi"/>
          <w:szCs w:val="24"/>
          <w:lang w:eastAsia="en-GB"/>
        </w:rPr>
      </w:pPr>
      <w:r>
        <w:rPr>
          <w:rFonts w:eastAsia="Times New Roman" w:cstheme="minorHAnsi"/>
          <w:szCs w:val="24"/>
          <w:lang w:eastAsia="en-GB"/>
        </w:rPr>
        <w:t>n</w:t>
      </w:r>
      <w:r w:rsidRPr="00675182">
        <w:rPr>
          <w:rFonts w:eastAsia="Times New Roman" w:cstheme="minorHAnsi"/>
          <w:szCs w:val="24"/>
          <w:lang w:eastAsia="en-GB"/>
        </w:rPr>
        <w:t xml:space="preserve">elielu </w:t>
      </w:r>
      <w:r w:rsidR="00070832" w:rsidRPr="00675182">
        <w:rPr>
          <w:rFonts w:eastAsia="Times New Roman" w:cstheme="minorHAnsi"/>
          <w:szCs w:val="24"/>
          <w:lang w:eastAsia="en-GB"/>
        </w:rPr>
        <w:t>bebraiņu saglabāšana saimnieciskajos mežos, kur nav paredzams, ka bebra tālākā darbība varētu izdarīt būtisku kaitējumu.</w:t>
      </w:r>
    </w:p>
    <w:p w14:paraId="74D0D677" w14:textId="77777777" w:rsidR="008D430F" w:rsidRPr="00675182" w:rsidRDefault="008D430F" w:rsidP="00070832">
      <w:pPr>
        <w:overflowPunct w:val="0"/>
        <w:autoSpaceDE w:val="0"/>
        <w:autoSpaceDN w:val="0"/>
        <w:adjustRightInd w:val="0"/>
        <w:spacing w:line="240" w:lineRule="atLeast"/>
        <w:jc w:val="both"/>
        <w:rPr>
          <w:rFonts w:cstheme="minorHAnsi"/>
          <w:szCs w:val="24"/>
          <w:lang w:eastAsia="en-GB"/>
        </w:rPr>
      </w:pPr>
    </w:p>
    <w:p w14:paraId="75688F49" w14:textId="0AC08367" w:rsidR="00070832" w:rsidRPr="00675182" w:rsidRDefault="00070832" w:rsidP="00070832">
      <w:pPr>
        <w:overflowPunct w:val="0"/>
        <w:autoSpaceDE w:val="0"/>
        <w:autoSpaceDN w:val="0"/>
        <w:adjustRightInd w:val="0"/>
        <w:spacing w:line="240" w:lineRule="atLeast"/>
        <w:jc w:val="both"/>
        <w:rPr>
          <w:rFonts w:cstheme="minorHAnsi"/>
          <w:szCs w:val="24"/>
          <w:lang w:eastAsia="en-GB"/>
        </w:rPr>
      </w:pPr>
      <w:r w:rsidRPr="00675182">
        <w:rPr>
          <w:rFonts w:cstheme="minorHAnsi"/>
          <w:szCs w:val="24"/>
          <w:lang w:eastAsia="en-GB"/>
        </w:rPr>
        <w:t>Parkos, alejās un citos vecākos koku stādījumos pēc iespējas jāizvairās no jauna apgaismojuma uzstādīšanas. Ja apgaismojums ir nepieciešams ielu vai parka celiņu apgaismošanai, tad jāizvēlas sikspārņiem mazāk traucējoši risinājumi: pret zemi vērstas lampas, kuras apgaismo tikai ceļu zem lampas (nevis lodveida vai citādas uz visām pusēm izgaismojošas apgaismes ierīces), apgaismojumu ieteicams uzstādīt pēc iespējas zemāk, dažus metrus zem koku lapotnes līmeņa, izmantojot augstāk norādītos mazāk traucējošos parametrus. Cilvēku/transporta maz apmeklētiem ceļiem vēlams lietot nevis pastāvīgu, bet uz kustību sensoriem iedarbināmu apgaismojumu.</w:t>
      </w:r>
    </w:p>
    <w:p w14:paraId="167DB6C0" w14:textId="77777777" w:rsidR="008D430F" w:rsidRPr="00675182" w:rsidRDefault="008D430F" w:rsidP="00070832">
      <w:pPr>
        <w:overflowPunct w:val="0"/>
        <w:autoSpaceDE w:val="0"/>
        <w:autoSpaceDN w:val="0"/>
        <w:adjustRightInd w:val="0"/>
        <w:spacing w:line="240" w:lineRule="atLeast"/>
        <w:jc w:val="both"/>
        <w:rPr>
          <w:rFonts w:cstheme="minorHAnsi"/>
          <w:szCs w:val="24"/>
          <w:lang w:eastAsia="en-GB"/>
        </w:rPr>
      </w:pPr>
    </w:p>
    <w:p w14:paraId="474DD3D6" w14:textId="6FD89D4B" w:rsidR="00070832" w:rsidRPr="00675182" w:rsidRDefault="00070832" w:rsidP="00070832">
      <w:pPr>
        <w:overflowPunct w:val="0"/>
        <w:autoSpaceDE w:val="0"/>
        <w:autoSpaceDN w:val="0"/>
        <w:adjustRightInd w:val="0"/>
        <w:spacing w:line="240" w:lineRule="atLeast"/>
        <w:jc w:val="both"/>
        <w:rPr>
          <w:rFonts w:cstheme="minorHAnsi"/>
          <w:szCs w:val="24"/>
          <w:lang w:eastAsia="en-GB"/>
        </w:rPr>
      </w:pPr>
      <w:r w:rsidRPr="00675182">
        <w:rPr>
          <w:rFonts w:cstheme="minorHAnsi"/>
          <w:szCs w:val="24"/>
          <w:lang w:eastAsia="en-GB"/>
        </w:rPr>
        <w:t>Nav pieļaujama jauna apgaismojuma uzstādīšana pie ēkām, kurās ir zināmas sikspārņu kolonijas. Gadījumos, ja apgaismojums tomēr nepieciešams, to nedrīkst uzstādīt tā, ka tiktu apgaismotas sikspārņu iekļūšanas skrejas mītnē (vislabāk izvairīties no attiecīgās sienas apgaismošanas vispār). Vēlams individuāli konsultēties ar sikspārņu ekspertu par labākajiem risinājumiem.</w:t>
      </w:r>
    </w:p>
    <w:p w14:paraId="64173344" w14:textId="77777777" w:rsidR="008D430F" w:rsidRPr="00675182" w:rsidRDefault="008D430F" w:rsidP="00070832">
      <w:pPr>
        <w:overflowPunct w:val="0"/>
        <w:autoSpaceDE w:val="0"/>
        <w:autoSpaceDN w:val="0"/>
        <w:adjustRightInd w:val="0"/>
        <w:spacing w:line="240" w:lineRule="atLeast"/>
        <w:jc w:val="both"/>
        <w:rPr>
          <w:rFonts w:cstheme="minorHAnsi"/>
          <w:szCs w:val="24"/>
          <w:lang w:eastAsia="en-GB"/>
        </w:rPr>
      </w:pPr>
    </w:p>
    <w:p w14:paraId="0FC49D60" w14:textId="67020953" w:rsidR="00070832" w:rsidRPr="00675182" w:rsidRDefault="00070832" w:rsidP="00070832">
      <w:pPr>
        <w:overflowPunct w:val="0"/>
        <w:autoSpaceDE w:val="0"/>
        <w:autoSpaceDN w:val="0"/>
        <w:adjustRightInd w:val="0"/>
        <w:spacing w:line="240" w:lineRule="atLeast"/>
        <w:jc w:val="both"/>
        <w:rPr>
          <w:rFonts w:cstheme="minorHAnsi"/>
          <w:szCs w:val="24"/>
          <w:lang w:eastAsia="en-GB"/>
        </w:rPr>
      </w:pPr>
      <w:r w:rsidRPr="00675182">
        <w:rPr>
          <w:rFonts w:cstheme="minorHAnsi"/>
          <w:szCs w:val="24"/>
          <w:lang w:eastAsia="en-GB"/>
        </w:rPr>
        <w:lastRenderedPageBreak/>
        <w:t>Gadījumos, ja paredzēts remontēt ēkas, kurās atrodas sikspārņu kolonija, vēlams vispirms konsultēties ar sikspārņu ekspertiem par sikspārņiem / īpašniekiem abpusēji vislabvēlīgāko risinājumu un laiku, kad remontu iespējams veikt, nenodarot kaitējumu dzīvniekiem</w:t>
      </w:r>
      <w:r w:rsidR="008D430F" w:rsidRPr="00675182">
        <w:rPr>
          <w:rFonts w:cstheme="minorHAnsi"/>
          <w:szCs w:val="24"/>
          <w:lang w:eastAsia="en-GB"/>
        </w:rPr>
        <w:t>.</w:t>
      </w:r>
    </w:p>
    <w:p w14:paraId="542C90CA" w14:textId="77777777" w:rsidR="008D430F" w:rsidRPr="00675182" w:rsidRDefault="008D430F" w:rsidP="00070832">
      <w:pPr>
        <w:overflowPunct w:val="0"/>
        <w:autoSpaceDE w:val="0"/>
        <w:autoSpaceDN w:val="0"/>
        <w:adjustRightInd w:val="0"/>
        <w:spacing w:line="240" w:lineRule="atLeast"/>
        <w:jc w:val="both"/>
        <w:rPr>
          <w:rFonts w:cstheme="minorHAnsi"/>
          <w:szCs w:val="24"/>
          <w:lang w:eastAsia="en-GB"/>
        </w:rPr>
      </w:pPr>
    </w:p>
    <w:p w14:paraId="37B8FB4D" w14:textId="29D59898" w:rsidR="00070832" w:rsidRPr="00675182" w:rsidRDefault="00070832" w:rsidP="008D430F">
      <w:pPr>
        <w:overflowPunct w:val="0"/>
        <w:autoSpaceDE w:val="0"/>
        <w:autoSpaceDN w:val="0"/>
        <w:adjustRightInd w:val="0"/>
        <w:spacing w:line="240" w:lineRule="atLeast"/>
        <w:jc w:val="both"/>
        <w:rPr>
          <w:rFonts w:cstheme="minorHAnsi"/>
          <w:szCs w:val="24"/>
          <w:lang w:eastAsia="en-GB"/>
        </w:rPr>
      </w:pPr>
      <w:r w:rsidRPr="00675182">
        <w:rPr>
          <w:rFonts w:cstheme="minorHAnsi"/>
          <w:szCs w:val="24"/>
          <w:lang w:eastAsia="en-GB"/>
        </w:rPr>
        <w:t>Ziemošanas vietās piemāju pagrabos īpašu nosacījumu pagrabu apsaimniekošanai nav, jo tie sikspārņi, kas pagrabos ziemo, ir pielāgojušies regulāriem cilvēku apmeklējumiem. Rekomendējams aicināt īpašniekus nenojaukt un saglabāt šādus piemāju pagrabus, īpaši vecos akmeņu u.tml. mūra pagrabus kā sikspārņu mītnes (ar slēgtām durvīm, neizsalstošus) arī tad, ja tie vairs netiek aktīvi izmantoti pārtikas produktu uzglabāšanai</w:t>
      </w:r>
      <w:r w:rsidR="008D430F" w:rsidRPr="00675182">
        <w:rPr>
          <w:rFonts w:cstheme="minorHAnsi"/>
          <w:szCs w:val="24"/>
          <w:lang w:eastAsia="en-GB"/>
        </w:rPr>
        <w:t xml:space="preserve">. </w:t>
      </w:r>
    </w:p>
    <w:p w14:paraId="024BD145" w14:textId="31A7F392" w:rsidR="0010232D" w:rsidRPr="00675182" w:rsidRDefault="0010232D" w:rsidP="008D430F">
      <w:pPr>
        <w:overflowPunct w:val="0"/>
        <w:autoSpaceDE w:val="0"/>
        <w:autoSpaceDN w:val="0"/>
        <w:adjustRightInd w:val="0"/>
        <w:spacing w:line="240" w:lineRule="atLeast"/>
        <w:jc w:val="both"/>
        <w:rPr>
          <w:rFonts w:cstheme="minorHAnsi"/>
          <w:szCs w:val="24"/>
          <w:lang w:eastAsia="en-GB"/>
        </w:rPr>
      </w:pPr>
    </w:p>
    <w:p w14:paraId="181CC9CF" w14:textId="77777777" w:rsidR="0010232D" w:rsidRPr="00675182" w:rsidRDefault="0010232D" w:rsidP="0010232D">
      <w:pPr>
        <w:jc w:val="both"/>
        <w:rPr>
          <w:rFonts w:cstheme="minorHAnsi"/>
          <w:b/>
          <w:bCs/>
          <w:szCs w:val="24"/>
        </w:rPr>
      </w:pPr>
      <w:r w:rsidRPr="00675182">
        <w:rPr>
          <w:rFonts w:cstheme="minorHAnsi"/>
          <w:b/>
          <w:bCs/>
          <w:szCs w:val="24"/>
        </w:rPr>
        <w:t>B.6.18. Vairošanās ūdenstilpņu izveide/atjaunošana lielajam tritonam</w:t>
      </w:r>
    </w:p>
    <w:p w14:paraId="2376D188" w14:textId="7D9A82E0" w:rsidR="0010232D" w:rsidRPr="00675182" w:rsidRDefault="0010232D" w:rsidP="0010232D">
      <w:pPr>
        <w:jc w:val="both"/>
        <w:rPr>
          <w:rFonts w:cstheme="minorHAnsi"/>
        </w:rPr>
      </w:pPr>
      <w:r w:rsidRPr="00675182">
        <w:rPr>
          <w:rFonts w:cstheme="minorHAnsi"/>
        </w:rPr>
        <w:t>Lielajam tritonam GNP teritorijā konstatēta Latvijai ļoti nozīmīga populācija, kas turklāt atrodas uz sugas areāla robežas un, visticamāk, ir izolēta no citām populācijām, tādēļ ir nepieciešams nodrošināt šai populācijai no kaimiņos esošajām populācijām neatkarīgu, ilgtspējīgu pastāvēšanu. Galvenais populācijas lielumu limitējošais faktors GNP ir vairošanās vietu esamība. Esošo dīķu kvalitāte pakāpeniski pasliktinās eitrofikācijas un dabiskās sukcesijas rezultātā. Lielais tritons ir lietussargsuga, kura vairošanās vietu uzlabošana uzlabos arī citu abinieku sugu populācijas.</w:t>
      </w:r>
    </w:p>
    <w:p w14:paraId="20512540" w14:textId="77777777" w:rsidR="0010232D" w:rsidRPr="00675182" w:rsidRDefault="0010232D" w:rsidP="0010232D">
      <w:pPr>
        <w:jc w:val="both"/>
        <w:rPr>
          <w:rFonts w:cstheme="minorHAnsi"/>
        </w:rPr>
      </w:pPr>
    </w:p>
    <w:p w14:paraId="640ECFBB" w14:textId="35B49EFC" w:rsidR="0010232D" w:rsidRPr="00675182" w:rsidRDefault="0010232D" w:rsidP="0010232D">
      <w:pPr>
        <w:jc w:val="both"/>
        <w:rPr>
          <w:rFonts w:cstheme="minorHAnsi"/>
        </w:rPr>
      </w:pPr>
      <w:r w:rsidRPr="00675182">
        <w:rPr>
          <w:rFonts w:cstheme="minorHAnsi"/>
        </w:rPr>
        <w:t xml:space="preserve">Lai nodrošinātu lielā tritona populācijas ilgtspēju, nepieciešams veikt tā vairošanās ūdenstilpņu izveidi un/vai atjaunošanu. Pasākums veicams lielā tritona areālā, </w:t>
      </w:r>
      <w:r w:rsidR="00942928">
        <w:rPr>
          <w:rFonts w:cstheme="minorHAnsi"/>
        </w:rPr>
        <w:t>27</w:t>
      </w:r>
      <w:r w:rsidRPr="00675182">
        <w:rPr>
          <w:rFonts w:cstheme="minorHAnsi"/>
        </w:rPr>
        <w:t xml:space="preserve">. pielikumā </w:t>
      </w:r>
      <w:r w:rsidR="00942928">
        <w:rPr>
          <w:rFonts w:cstheme="minorHAnsi"/>
        </w:rPr>
        <w:t xml:space="preserve">esošajā eksperta atzinumā </w:t>
      </w:r>
      <w:r w:rsidRPr="00675182">
        <w:rPr>
          <w:rFonts w:cstheme="minorHAnsi"/>
        </w:rPr>
        <w:t>atzīmētajā teritorijā, kur precīzas ūdenstilpņu atrašanās vietas var izvēlēties vadoties no tehnikas piekļuves iespējām, zemes īpašnieku piekrišanas un citu sugu un biotopu aizsardzības prasībām. Teritorijā jāizveido vai jāatjauno 20-50 dīķi, kas atrodas ne tuvāk par 50 m viens no otra. Ieteicams dīķus veidot daļēji atklātos biotopos, mežmalās (it īpaši dienvidu ekspozīcijas). Ieteicams dīķus izvietot ne tālāk par 500 m attālumā no lielā tritona atradnēm, kas veicinātu jaunizveidoto vairošanās vietu kolonizāciju no tuvumā esošajām populācijām. Indikatīvā viena dīķa platība ir 0,03-0,05 ha, dīķu maksimālais dziļums 1,2 m. Lielāko dīķa platību jāsastāda seklūdens zonai (0,2-0,7 m). Dīķu rakšanu veic apakšuzņēmējs saskaņā ar tehnisko specifikāciju. Uzraudzību un izpildes indikatoru apstiprināšanu veic nacionālā parka darbinieki un (vai) eksperti.</w:t>
      </w:r>
    </w:p>
    <w:p w14:paraId="27441DB7" w14:textId="77777777" w:rsidR="0010232D" w:rsidRPr="00675182" w:rsidRDefault="0010232D" w:rsidP="0010232D">
      <w:pPr>
        <w:tabs>
          <w:tab w:val="center" w:pos="4153"/>
          <w:tab w:val="right" w:pos="8306"/>
        </w:tabs>
        <w:suppressAutoHyphens w:val="0"/>
        <w:jc w:val="both"/>
        <w:rPr>
          <w:rFonts w:cstheme="minorHAnsi"/>
          <w:b/>
          <w:bCs/>
          <w:szCs w:val="24"/>
          <w:highlight w:val="yellow"/>
          <w:u w:val="single"/>
        </w:rPr>
      </w:pPr>
    </w:p>
    <w:p w14:paraId="7B34B4B7" w14:textId="77777777" w:rsidR="0010232D" w:rsidRPr="00675182" w:rsidRDefault="0010232D" w:rsidP="0010232D">
      <w:pPr>
        <w:jc w:val="both"/>
        <w:rPr>
          <w:rFonts w:cstheme="minorHAnsi"/>
          <w:b/>
          <w:bCs/>
          <w:szCs w:val="24"/>
        </w:rPr>
      </w:pPr>
      <w:r w:rsidRPr="00675182">
        <w:rPr>
          <w:rFonts w:cstheme="minorHAnsi"/>
          <w:b/>
          <w:bCs/>
          <w:szCs w:val="24"/>
        </w:rPr>
        <w:t>B.6.19. Izplānot un ieviest drošas dzīvnieku pārejas šoseju šķērsošanai</w:t>
      </w:r>
    </w:p>
    <w:p w14:paraId="6BE40725" w14:textId="2F4444D9" w:rsidR="0010232D" w:rsidRPr="00675182" w:rsidRDefault="0010232D" w:rsidP="0010232D">
      <w:pPr>
        <w:jc w:val="both"/>
        <w:rPr>
          <w:rFonts w:cstheme="minorHAnsi"/>
        </w:rPr>
      </w:pPr>
      <w:r w:rsidRPr="00675182">
        <w:rPr>
          <w:rFonts w:cstheme="minorHAnsi"/>
        </w:rPr>
        <w:t xml:space="preserve">Esošā </w:t>
      </w:r>
      <w:r w:rsidR="00DB7C07" w:rsidRPr="00675182">
        <w:rPr>
          <w:rFonts w:cstheme="minorHAnsi"/>
        </w:rPr>
        <w:t>auto</w:t>
      </w:r>
      <w:r w:rsidRPr="00675182">
        <w:rPr>
          <w:rFonts w:cstheme="minorHAnsi"/>
        </w:rPr>
        <w:t xml:space="preserve">ceļu struktūra kaitē abinieku, rāpuļu un zīdītāju sugām, nogalinot tām pāri migrējošus īpatņus un radot nepatīkamu iespaidu GNP apmeklētājiem. Lai mazinātu abinieku bojāeju uz </w:t>
      </w:r>
      <w:r w:rsidR="00DB7C07" w:rsidRPr="00675182">
        <w:rPr>
          <w:rFonts w:cstheme="minorHAnsi"/>
        </w:rPr>
        <w:t>autoc</w:t>
      </w:r>
      <w:r w:rsidRPr="00675182">
        <w:rPr>
          <w:rFonts w:cstheme="minorHAnsi"/>
        </w:rPr>
        <w:t xml:space="preserve">eļiem pavasara migrāciju laikā, ir nepieciešams pilnībā apzināt problemātiskos </w:t>
      </w:r>
      <w:r w:rsidR="00DB7C07" w:rsidRPr="00675182">
        <w:rPr>
          <w:rFonts w:cstheme="minorHAnsi"/>
        </w:rPr>
        <w:t>auto</w:t>
      </w:r>
      <w:r w:rsidRPr="00675182">
        <w:rPr>
          <w:rFonts w:cstheme="minorHAnsi"/>
        </w:rPr>
        <w:t>ceļus, izstrādāt atbilstošus infrastruktūras pārveidošanas/uzlabošanas projektus un izveidot dzīvnieku pārejas. Nepieciešams ceļu padarīt nesasniedzamu dzīvniekiem, izveidojot vertikālas, cieta materiāla (betons u</w:t>
      </w:r>
      <w:r w:rsidR="001434CC">
        <w:rPr>
          <w:rFonts w:cstheme="minorHAnsi"/>
        </w:rPr>
        <w:t>.</w:t>
      </w:r>
      <w:r w:rsidRPr="00675182">
        <w:rPr>
          <w:rFonts w:cstheme="minorHAnsi"/>
        </w:rPr>
        <w:t xml:space="preserve">tt.) ceļmalas nogāzes, bet zem ceļa izveidot dzīvnieku pārejas, kas ļautu tiem nokļūt ceļa otrā pusē. </w:t>
      </w:r>
    </w:p>
    <w:p w14:paraId="25F30018" w14:textId="77777777" w:rsidR="0010232D" w:rsidRPr="00675182" w:rsidRDefault="0010232D" w:rsidP="0010232D">
      <w:pPr>
        <w:jc w:val="both"/>
        <w:rPr>
          <w:rFonts w:cstheme="minorHAnsi"/>
        </w:rPr>
      </w:pPr>
    </w:p>
    <w:p w14:paraId="765750B0" w14:textId="7B49C5E5" w:rsidR="0010232D" w:rsidRPr="00675182" w:rsidRDefault="0010232D" w:rsidP="0010232D">
      <w:pPr>
        <w:jc w:val="both"/>
        <w:rPr>
          <w:rFonts w:cstheme="minorHAnsi"/>
        </w:rPr>
      </w:pPr>
      <w:r w:rsidRPr="00675182">
        <w:rPr>
          <w:rFonts w:cstheme="minorHAnsi"/>
        </w:rPr>
        <w:t xml:space="preserve">Izpēti, pāreju atrašanās vietas un tehnisko specifikāciju izstrādi </w:t>
      </w:r>
      <w:r w:rsidR="00DB7C07" w:rsidRPr="00675182">
        <w:rPr>
          <w:rFonts w:cstheme="minorHAnsi"/>
        </w:rPr>
        <w:t>GNP</w:t>
      </w:r>
      <w:r w:rsidRPr="00675182">
        <w:rPr>
          <w:rFonts w:cstheme="minorHAnsi"/>
        </w:rPr>
        <w:t xml:space="preserve"> ceļu tīklam veic sadarbībā ar DAP darbiniekiem un/vai ekspertiem. Bū</w:t>
      </w:r>
      <w:r w:rsidR="00017208">
        <w:rPr>
          <w:rFonts w:cstheme="minorHAnsi"/>
        </w:rPr>
        <w:t>vprojekt</w:t>
      </w:r>
      <w:r w:rsidRPr="00675182">
        <w:rPr>
          <w:rFonts w:cstheme="minorHAnsi"/>
        </w:rPr>
        <w:t xml:space="preserve">a izstrādi un būvdarbus </w:t>
      </w:r>
      <w:r w:rsidRPr="00675182">
        <w:rPr>
          <w:rFonts w:cstheme="minorHAnsi"/>
        </w:rPr>
        <w:lastRenderedPageBreak/>
        <w:t>veic atbilstoša profila apakšuzņēmēji. Uzraudzību un izpildes indikatoru apstiprināšanu veic nacionālā parka darbinieki un/vai eksperti.</w:t>
      </w:r>
    </w:p>
    <w:p w14:paraId="13380807" w14:textId="77777777" w:rsidR="0010232D" w:rsidRPr="00675182" w:rsidRDefault="0010232D" w:rsidP="008D430F">
      <w:pPr>
        <w:overflowPunct w:val="0"/>
        <w:autoSpaceDE w:val="0"/>
        <w:autoSpaceDN w:val="0"/>
        <w:adjustRightInd w:val="0"/>
        <w:spacing w:line="240" w:lineRule="atLeast"/>
        <w:jc w:val="both"/>
        <w:rPr>
          <w:rFonts w:cstheme="minorHAnsi"/>
          <w:szCs w:val="24"/>
          <w:u w:val="single"/>
        </w:rPr>
      </w:pPr>
    </w:p>
    <w:p w14:paraId="1E06F2F7" w14:textId="0EDF7913" w:rsidR="0049001E" w:rsidRPr="00675182" w:rsidRDefault="0049001E" w:rsidP="0049001E">
      <w:pPr>
        <w:pStyle w:val="Footer"/>
        <w:suppressAutoHyphens w:val="0"/>
        <w:rPr>
          <w:rFonts w:cstheme="minorHAnsi"/>
          <w:szCs w:val="24"/>
          <w:u w:val="single"/>
          <w:lang w:val="lv-LV"/>
        </w:rPr>
      </w:pPr>
      <w:r w:rsidRPr="00675182">
        <w:rPr>
          <w:rFonts w:cstheme="minorHAnsi"/>
          <w:szCs w:val="24"/>
          <w:u w:val="single"/>
          <w:lang w:val="lv-LV"/>
        </w:rPr>
        <w:t>B.7. Invazīvo</w:t>
      </w:r>
      <w:r w:rsidR="00180B98" w:rsidRPr="00675182">
        <w:rPr>
          <w:rFonts w:cstheme="minorHAnsi"/>
          <w:szCs w:val="24"/>
          <w:u w:val="single"/>
          <w:lang w:val="lv-LV"/>
        </w:rPr>
        <w:t xml:space="preserve"> </w:t>
      </w:r>
      <w:r w:rsidR="00DB1210" w:rsidRPr="00675182">
        <w:rPr>
          <w:rFonts w:cstheme="minorHAnsi"/>
          <w:szCs w:val="24"/>
          <w:u w:val="single"/>
          <w:lang w:val="lv-LV"/>
        </w:rPr>
        <w:t xml:space="preserve">sugu izplatības </w:t>
      </w:r>
      <w:r w:rsidRPr="00675182">
        <w:rPr>
          <w:rFonts w:cstheme="minorHAnsi"/>
          <w:szCs w:val="24"/>
          <w:u w:val="single"/>
          <w:lang w:val="lv-LV"/>
        </w:rPr>
        <w:t>ierobežošana</w:t>
      </w:r>
    </w:p>
    <w:p w14:paraId="2E3493F6" w14:textId="321D17D7" w:rsidR="00B2495F" w:rsidRPr="00675182" w:rsidRDefault="00B2495F" w:rsidP="0049001E">
      <w:pPr>
        <w:pStyle w:val="Footer"/>
        <w:suppressAutoHyphens w:val="0"/>
        <w:rPr>
          <w:rFonts w:cstheme="minorHAnsi"/>
          <w:szCs w:val="24"/>
          <w:u w:val="single"/>
          <w:lang w:val="lv-LV"/>
        </w:rPr>
      </w:pPr>
    </w:p>
    <w:p w14:paraId="212853EC" w14:textId="4EAD7A8A" w:rsidR="00B2495F" w:rsidRPr="00675182" w:rsidRDefault="00B2495F" w:rsidP="0049001E">
      <w:pPr>
        <w:pStyle w:val="Footer"/>
        <w:suppressAutoHyphens w:val="0"/>
        <w:rPr>
          <w:rFonts w:cstheme="minorHAnsi"/>
          <w:b/>
          <w:bCs/>
          <w:szCs w:val="24"/>
          <w:lang w:val="lv-LV"/>
        </w:rPr>
      </w:pPr>
      <w:r w:rsidRPr="00675182">
        <w:rPr>
          <w:rFonts w:cstheme="minorHAnsi"/>
          <w:b/>
          <w:bCs/>
          <w:szCs w:val="24"/>
          <w:lang w:val="lv-LV"/>
        </w:rPr>
        <w:t>B.7.1. Invazīvo augu sugu izplatības ierobežošana</w:t>
      </w:r>
    </w:p>
    <w:p w14:paraId="56BBAAD2" w14:textId="16CB9B75" w:rsidR="002462FB" w:rsidRPr="00675182" w:rsidRDefault="002462FB" w:rsidP="002462FB">
      <w:pPr>
        <w:jc w:val="both"/>
        <w:rPr>
          <w:rFonts w:cstheme="minorHAnsi"/>
          <w:bCs/>
          <w:szCs w:val="24"/>
        </w:rPr>
      </w:pPr>
      <w:r w:rsidRPr="00675182">
        <w:rPr>
          <w:rFonts w:cstheme="minorHAnsi"/>
          <w:bCs/>
          <w:szCs w:val="24"/>
        </w:rPr>
        <w:t xml:space="preserve">DA plāna izstrādes laikā ir apzināta daļa no invazīvo augu sugu atradnēm GNP teritorijā. Tā kā invazīvajām sugām raksturīga ātra izplatīšanās, katru gadu strauji palielinot aizņemtās platības, pirms ierobežošanas vai apkarošanas pasākumu plānošanas, nepieciešama atkārtota teritorijas apsekošana un invazīvo augu sugu izplatības precizēšana. Aktuālā invazīvo sugu izplatības informācija apkopota DAP </w:t>
      </w:r>
      <w:r w:rsidR="00C73318">
        <w:rPr>
          <w:rFonts w:cstheme="minorHAnsi"/>
          <w:bCs/>
          <w:szCs w:val="24"/>
        </w:rPr>
        <w:t>interneta vietnē</w:t>
      </w:r>
      <w:r w:rsidRPr="00675182">
        <w:rPr>
          <w:rFonts w:cstheme="minorHAnsi"/>
          <w:bCs/>
          <w:szCs w:val="24"/>
        </w:rPr>
        <w:t xml:space="preserve"> “Invazīvo sugu pārvaldnieks” </w:t>
      </w:r>
      <w:hyperlink r:id="rId279" w:anchor="/invazivo-sugu-parvaldnieks" w:history="1">
        <w:r w:rsidR="00A81C97" w:rsidRPr="00675182">
          <w:rPr>
            <w:rStyle w:val="Hyperlink"/>
            <w:rFonts w:cstheme="minorHAnsi"/>
            <w:bCs/>
            <w:szCs w:val="24"/>
          </w:rPr>
          <w:t>https://ozols.gov.lv/kartes/apps/sites/#/invazivo-sugu-parvaldnieks</w:t>
        </w:r>
      </w:hyperlink>
      <w:r w:rsidRPr="00675182">
        <w:rPr>
          <w:rFonts w:cstheme="minorHAnsi"/>
          <w:bCs/>
          <w:szCs w:val="24"/>
        </w:rPr>
        <w:t xml:space="preserve">. </w:t>
      </w:r>
    </w:p>
    <w:p w14:paraId="671D8E16" w14:textId="6A8DD8C9" w:rsidR="00B2495F" w:rsidRPr="00675182" w:rsidRDefault="00B2495F" w:rsidP="00DB1210">
      <w:pPr>
        <w:jc w:val="both"/>
        <w:rPr>
          <w:rFonts w:cstheme="minorHAnsi"/>
          <w:bCs/>
          <w:szCs w:val="24"/>
        </w:rPr>
      </w:pPr>
    </w:p>
    <w:p w14:paraId="64E6544A" w14:textId="6D43EEC7" w:rsidR="002462FB" w:rsidRPr="00675182" w:rsidRDefault="002462FB" w:rsidP="002462FB">
      <w:pPr>
        <w:jc w:val="both"/>
        <w:rPr>
          <w:rFonts w:cstheme="minorHAnsi"/>
          <w:bCs/>
          <w:szCs w:val="24"/>
        </w:rPr>
      </w:pPr>
      <w:r w:rsidRPr="00675182">
        <w:rPr>
          <w:rFonts w:cstheme="minorHAnsi"/>
          <w:bCs/>
          <w:szCs w:val="24"/>
        </w:rPr>
        <w:t xml:space="preserve">GNP teritorijā būtiskāko negatīvo ietekmi uz </w:t>
      </w:r>
      <w:r w:rsidR="00177307">
        <w:rPr>
          <w:rFonts w:cstheme="minorHAnsi"/>
          <w:bCs/>
          <w:szCs w:val="24"/>
        </w:rPr>
        <w:t>ĪA</w:t>
      </w:r>
      <w:r w:rsidRPr="00675182">
        <w:rPr>
          <w:rFonts w:cstheme="minorHAnsi"/>
          <w:bCs/>
          <w:szCs w:val="24"/>
        </w:rPr>
        <w:t xml:space="preserve"> biotopiem un sugām rada vairākas agresīvas svešzemju augu sugas: Sosnovska latvāņa </w:t>
      </w:r>
      <w:r w:rsidRPr="00675182">
        <w:rPr>
          <w:rFonts w:cstheme="minorHAnsi"/>
          <w:bCs/>
          <w:i/>
          <w:iCs/>
          <w:szCs w:val="24"/>
        </w:rPr>
        <w:t xml:space="preserve">Heracleum sosnowskii, </w:t>
      </w:r>
      <w:r w:rsidRPr="00675182">
        <w:rPr>
          <w:rFonts w:cstheme="minorHAnsi"/>
          <w:bCs/>
          <w:szCs w:val="24"/>
        </w:rPr>
        <w:t>puķu sprigane</w:t>
      </w:r>
      <w:r w:rsidRPr="00675182">
        <w:rPr>
          <w:rFonts w:cstheme="minorHAnsi"/>
          <w:bCs/>
          <w:i/>
          <w:iCs/>
          <w:szCs w:val="24"/>
        </w:rPr>
        <w:t xml:space="preserve"> Impatiens glandulifera </w:t>
      </w:r>
      <w:r w:rsidRPr="00675182">
        <w:rPr>
          <w:rFonts w:cstheme="minorHAnsi"/>
          <w:bCs/>
          <w:szCs w:val="24"/>
        </w:rPr>
        <w:t xml:space="preserve">Kanādas zeltgalvīte </w:t>
      </w:r>
      <w:r w:rsidRPr="00675182">
        <w:rPr>
          <w:rFonts w:cstheme="minorHAnsi"/>
          <w:bCs/>
          <w:i/>
          <w:iCs/>
          <w:szCs w:val="24"/>
        </w:rPr>
        <w:t xml:space="preserve">Solidago canadensis, </w:t>
      </w:r>
      <w:r w:rsidRPr="00675182">
        <w:rPr>
          <w:rFonts w:cstheme="minorHAnsi"/>
          <w:bCs/>
          <w:szCs w:val="24"/>
        </w:rPr>
        <w:t xml:space="preserve">daudzlapu lupīna </w:t>
      </w:r>
      <w:r w:rsidRPr="00675182">
        <w:rPr>
          <w:rFonts w:cstheme="minorHAnsi"/>
          <w:bCs/>
          <w:i/>
          <w:iCs/>
          <w:szCs w:val="24"/>
        </w:rPr>
        <w:t xml:space="preserve">Lupina polyphyllos. </w:t>
      </w:r>
      <w:r w:rsidRPr="00675182">
        <w:rPr>
          <w:rFonts w:cstheme="minorHAnsi"/>
          <w:bCs/>
          <w:szCs w:val="24"/>
        </w:rPr>
        <w:t>Šo sugu iznīcināšana ir prioritāra visā GNP teritorijā. Nozīmīgi ir nepieļaut to ienākšanu un izplatību ES nozīmes biotopos, kur šīs sugas uzreiz jāiznīcina, izmantojot labāko zināmo paņēmienu, kas neapdraud ES biotopa saglabāšanu un /vai ĪA sugas. Priekšroka dodama mehāniskai iznīcināšanai vienlaicīgi iespējami lielākā platībā, bet tādā veidā, kas iespējami maz bojā zemsedzi. Izvērtējot ieguvumus un zaudējumus ES nozīmes biotopu aizsardzībā pieļaujama zinātniski pamatota citu agresīvāku metožu lietošana (piemēram: specifisku šo sugu kaitēkļu izmantošana, ķīmiskās metodes, ja to neaizliedz normatīvie akti). Metodes izvēlei jāatbilst labākajai zināmajai informācijai par konkrētās sugas morfoloģiju un ekoloģiju, un jāturpinās tik ilgi līdz suga pilnībā ir izskausta.</w:t>
      </w:r>
    </w:p>
    <w:p w14:paraId="733C8B1F" w14:textId="77777777" w:rsidR="002462FB" w:rsidRPr="00675182" w:rsidRDefault="002462FB" w:rsidP="002462FB">
      <w:pPr>
        <w:jc w:val="both"/>
        <w:rPr>
          <w:rFonts w:cstheme="minorHAnsi"/>
          <w:bCs/>
          <w:szCs w:val="24"/>
        </w:rPr>
      </w:pPr>
    </w:p>
    <w:p w14:paraId="74B22835" w14:textId="77777777" w:rsidR="002462FB" w:rsidRPr="00675182" w:rsidRDefault="002462FB" w:rsidP="002462FB">
      <w:pPr>
        <w:jc w:val="both"/>
        <w:rPr>
          <w:rFonts w:cstheme="minorHAnsi"/>
        </w:rPr>
      </w:pPr>
      <w:r w:rsidRPr="00675182">
        <w:rPr>
          <w:rFonts w:cstheme="minorHAnsi"/>
        </w:rPr>
        <w:t>Plāna darbības periodā ieteicams izveidot koordinācijas plānu prioritāri ierobežojamo sugu izskaušanai, kas ietvertu plašāku izplatības karti un metožu katalogu, lai plānotos darbības varētu veikt vienlaicīgi un saskaņoti. Bez koordinētas sadarbības nav iespējams sasniegt pilnīgu šo sugu izskaušanu, jo sagaidāma atkārtota sugu ieceļošana no kaimiņu teritorijām. Vienlaicīgas darbības veicamas teritorijās, kas savstarpēji saistītas ar konkrētajai sugai piemērotiem migrācijas ceļiem.</w:t>
      </w:r>
    </w:p>
    <w:p w14:paraId="71BD7482" w14:textId="77777777" w:rsidR="002462FB" w:rsidRPr="00675182" w:rsidRDefault="002462FB" w:rsidP="002462FB">
      <w:pPr>
        <w:jc w:val="both"/>
        <w:rPr>
          <w:rFonts w:cstheme="minorHAnsi"/>
          <w:bCs/>
          <w:szCs w:val="24"/>
        </w:rPr>
      </w:pPr>
    </w:p>
    <w:p w14:paraId="7F6ADDE5" w14:textId="49DBCA1C" w:rsidR="002462FB" w:rsidRPr="00675182" w:rsidRDefault="002462FB" w:rsidP="002462FB">
      <w:pPr>
        <w:jc w:val="both"/>
        <w:rPr>
          <w:rFonts w:cstheme="minorHAnsi"/>
          <w:szCs w:val="24"/>
        </w:rPr>
      </w:pPr>
      <w:r w:rsidRPr="00675182">
        <w:rPr>
          <w:rFonts w:cstheme="minorHAnsi"/>
          <w:bCs/>
          <w:szCs w:val="24"/>
        </w:rPr>
        <w:t xml:space="preserve">Latvāņu izplatības karte un ierobežošanas metodes apkopotas Valsts augu aizsardzības dienesta lapā “Par Latviju bez latvāņiem!”. </w:t>
      </w:r>
      <w:r w:rsidRPr="00675182">
        <w:rPr>
          <w:rFonts w:cstheme="minorHAnsi"/>
          <w:szCs w:val="24"/>
        </w:rPr>
        <w:t>Lai ierobežotu latvāņu izplatību, nepieciešams regulāri veikt latvāņu apkarošanas pasākumus (pļaušanu; optimālā gadījumā sakņu iznīcināšanu izrokot, centrālo rozešu izduršanu, ziedu čemuru izgriešanu, sēklu savākšanu un sadedzināšanu, ganīšanu) vismaz 1422 ha platībā. Apkarojot latvāņus ES nozīmes</w:t>
      </w:r>
      <w:r w:rsidR="00F93789" w:rsidRPr="00675182">
        <w:rPr>
          <w:rFonts w:cstheme="minorHAnsi"/>
          <w:szCs w:val="24"/>
        </w:rPr>
        <w:t xml:space="preserve"> </w:t>
      </w:r>
      <w:r w:rsidRPr="00675182">
        <w:rPr>
          <w:rFonts w:cstheme="minorHAnsi"/>
          <w:szCs w:val="24"/>
        </w:rPr>
        <w:t>biotopos, jāpielieto mehāniskās iznīcināšanas metodes vai noganīšana</w:t>
      </w:r>
      <w:r w:rsidR="000C2434" w:rsidRPr="00675182">
        <w:rPr>
          <w:rFonts w:cstheme="minorHAnsi"/>
          <w:szCs w:val="24"/>
        </w:rPr>
        <w:t>, n</w:t>
      </w:r>
      <w:r w:rsidRPr="00675182">
        <w:rPr>
          <w:rFonts w:cstheme="minorHAnsi"/>
          <w:szCs w:val="24"/>
        </w:rPr>
        <w:t>av pieļaujama ķīmisko augu iznīcināšanas līdzekļu lietošana.</w:t>
      </w:r>
    </w:p>
    <w:p w14:paraId="41CF9F44" w14:textId="77777777" w:rsidR="002462FB" w:rsidRPr="00675182" w:rsidRDefault="002462FB" w:rsidP="002462FB">
      <w:pPr>
        <w:pStyle w:val="ListParagraph"/>
        <w:ind w:left="0"/>
        <w:jc w:val="both"/>
        <w:rPr>
          <w:rFonts w:cstheme="minorHAnsi"/>
          <w:szCs w:val="24"/>
        </w:rPr>
      </w:pPr>
    </w:p>
    <w:p w14:paraId="551DBDF5" w14:textId="77777777" w:rsidR="002462FB" w:rsidRPr="00675182" w:rsidRDefault="002462FB" w:rsidP="002462FB">
      <w:pPr>
        <w:pStyle w:val="ListParagraph"/>
        <w:ind w:left="0"/>
        <w:jc w:val="both"/>
        <w:rPr>
          <w:rFonts w:cstheme="minorHAnsi"/>
          <w:szCs w:val="24"/>
        </w:rPr>
      </w:pPr>
      <w:r w:rsidRPr="00675182">
        <w:rPr>
          <w:rFonts w:cstheme="minorHAnsi"/>
          <w:szCs w:val="24"/>
        </w:rPr>
        <w:t>Latvāņu apkarošana veicama saskaņā ar MK 2008. gada 14. jūlija noteikumiem Nr. 559 „Invazīvo augu sugas – Sosnovska latvāņa – izplatības ierobežošanas noteikumi”. Šajos noteikumos aprakstīti:</w:t>
      </w:r>
    </w:p>
    <w:p w14:paraId="710D3A11" w14:textId="77777777" w:rsidR="002462FB" w:rsidRPr="00675182" w:rsidRDefault="002462FB" w:rsidP="00A84218">
      <w:pPr>
        <w:pStyle w:val="ListParagraph"/>
        <w:numPr>
          <w:ilvl w:val="0"/>
          <w:numId w:val="46"/>
        </w:numPr>
        <w:jc w:val="both"/>
        <w:rPr>
          <w:rFonts w:cstheme="minorHAnsi"/>
        </w:rPr>
      </w:pPr>
      <w:r w:rsidRPr="00675182">
        <w:rPr>
          <w:rFonts w:cstheme="minorHAnsi"/>
        </w:rPr>
        <w:lastRenderedPageBreak/>
        <w:t>Sosnovska latvāņa izplatības ierobežošanas pasākumus, tā iznīcināšanas kārtību un metodes;</w:t>
      </w:r>
    </w:p>
    <w:p w14:paraId="59B82D8F" w14:textId="622C4233" w:rsidR="006C7EBF" w:rsidRPr="00675182" w:rsidRDefault="002462FB" w:rsidP="00A84218">
      <w:pPr>
        <w:pStyle w:val="ListParagraph"/>
        <w:numPr>
          <w:ilvl w:val="0"/>
          <w:numId w:val="46"/>
        </w:numPr>
        <w:jc w:val="both"/>
        <w:rPr>
          <w:rFonts w:cstheme="minorHAnsi"/>
        </w:rPr>
      </w:pPr>
      <w:r w:rsidRPr="00675182">
        <w:rPr>
          <w:rFonts w:cstheme="minorHAnsi"/>
        </w:rPr>
        <w:t>kārtība, kādā valsts pārvaldes iestādes sniedz informāciju par latvāņa izplatību zemes lietošanas mērķu grupās, un informācijas saturu, kas ir brīvi pieejams sabiedrībai;</w:t>
      </w:r>
    </w:p>
    <w:p w14:paraId="278F600B" w14:textId="56F48CBF" w:rsidR="002462FB" w:rsidRPr="00DE3CCF" w:rsidRDefault="002462FB" w:rsidP="00A84218">
      <w:pPr>
        <w:pStyle w:val="ListParagraph"/>
        <w:numPr>
          <w:ilvl w:val="0"/>
          <w:numId w:val="46"/>
        </w:numPr>
        <w:jc w:val="both"/>
        <w:rPr>
          <w:rFonts w:cstheme="minorHAnsi"/>
          <w:bCs/>
          <w:szCs w:val="24"/>
        </w:rPr>
      </w:pPr>
      <w:r w:rsidRPr="006C7EBF">
        <w:rPr>
          <w:rFonts w:cstheme="minorHAnsi"/>
        </w:rPr>
        <w:t>darba aizsardzības prasības, veicot latvāņa izplatības ierobežošanas pasākumus.</w:t>
      </w:r>
    </w:p>
    <w:p w14:paraId="7CD0500B" w14:textId="378FED4C" w:rsidR="002D6101" w:rsidRPr="00675182" w:rsidRDefault="002D6101" w:rsidP="002D6101">
      <w:pPr>
        <w:jc w:val="both"/>
        <w:rPr>
          <w:rFonts w:cstheme="minorHAnsi"/>
          <w:bCs/>
          <w:color w:val="FF0000"/>
          <w:szCs w:val="24"/>
        </w:rPr>
      </w:pPr>
      <w:r w:rsidRPr="00675182">
        <w:rPr>
          <w:rFonts w:cstheme="minorHAnsi"/>
          <w:bCs/>
          <w:szCs w:val="24"/>
        </w:rPr>
        <w:t xml:space="preserve">Strauja invazīvo augu sugu izplatīšanās notiek gar upēm – Sosnovska latvānis visā garumā GNP teritorijā izplatījies gar Vaivi, Vējupīti, Tālīti, kā arī Siļķupīti, pagaidām nelielos posmos – gar Strīķupi, Vildogu, Lorupi un Līgatni. Prioritāri ieteicams nepieļaut latvāņu tālāku izplatīšanos gar tām upēm, kur izplatība ir neliela un situācija uzskatāma par kontrolējamu. Gar upēm, kur izplatība ir augsta, pēc iespējas jāsamazina ziedošo augu daudzums, lai samazinātu sēklu izplatību pa straumi. Bet jārēķinās, ka audzes ir plašas, latvāņi aug ne tikai upju krastos, bet arī uz sērēm, akmeņiem un upē iekritušajiem kokiem, izplatās izcirtumos, skrajākās mežaudzēs un zālājos. </w:t>
      </w:r>
    </w:p>
    <w:p w14:paraId="5E9BB034" w14:textId="77777777" w:rsidR="002D6101" w:rsidRPr="00675182" w:rsidRDefault="002D6101" w:rsidP="002D6101">
      <w:pPr>
        <w:jc w:val="both"/>
        <w:rPr>
          <w:rFonts w:cstheme="minorHAnsi"/>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58"/>
      </w:tblGrid>
      <w:tr w:rsidR="002D6101" w:rsidRPr="00675182" w14:paraId="4C05FC44" w14:textId="77777777" w:rsidTr="002D6101">
        <w:tc>
          <w:tcPr>
            <w:tcW w:w="4245" w:type="dxa"/>
            <w:hideMark/>
          </w:tcPr>
          <w:p w14:paraId="15C39EA0" w14:textId="000ECC0C" w:rsidR="002D6101" w:rsidRPr="00675182" w:rsidRDefault="002D6101">
            <w:pPr>
              <w:jc w:val="both"/>
              <w:rPr>
                <w:rFonts w:cstheme="minorHAnsi"/>
                <w:bCs/>
                <w:szCs w:val="24"/>
              </w:rPr>
            </w:pPr>
            <w:r w:rsidRPr="00675182">
              <w:rPr>
                <w:rFonts w:cstheme="minorHAnsi"/>
                <w:noProof/>
              </w:rPr>
              <w:drawing>
                <wp:inline distT="0" distB="0" distL="0" distR="0" wp14:anchorId="35860BB9" wp14:editId="757DC6EC">
                  <wp:extent cx="2562225" cy="1924050"/>
                  <wp:effectExtent l="0" t="0" r="0" b="0"/>
                  <wp:docPr id="60" name="Picture 60" descr="A picture containing plant,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plant, leaf&#10;&#10;Description automatically generated"/>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rot="10800000">
                            <a:off x="0" y="0"/>
                            <a:ext cx="2562225" cy="1924050"/>
                          </a:xfrm>
                          <a:prstGeom prst="rect">
                            <a:avLst/>
                          </a:prstGeom>
                          <a:noFill/>
                          <a:ln>
                            <a:noFill/>
                          </a:ln>
                        </pic:spPr>
                      </pic:pic>
                    </a:graphicData>
                  </a:graphic>
                </wp:inline>
              </w:drawing>
            </w:r>
          </w:p>
        </w:tc>
        <w:tc>
          <w:tcPr>
            <w:tcW w:w="4246" w:type="dxa"/>
            <w:hideMark/>
          </w:tcPr>
          <w:p w14:paraId="0CA90A8A" w14:textId="4C1FCE88" w:rsidR="002D6101" w:rsidRPr="00675182" w:rsidRDefault="002D6101">
            <w:pPr>
              <w:jc w:val="both"/>
              <w:rPr>
                <w:rFonts w:cstheme="minorHAnsi"/>
                <w:bCs/>
                <w:szCs w:val="24"/>
              </w:rPr>
            </w:pPr>
            <w:r w:rsidRPr="00675182">
              <w:rPr>
                <w:rFonts w:cstheme="minorHAnsi"/>
                <w:noProof/>
              </w:rPr>
              <w:drawing>
                <wp:inline distT="0" distB="0" distL="0" distR="0" wp14:anchorId="727C95DD" wp14:editId="7545323C">
                  <wp:extent cx="2571750" cy="1924050"/>
                  <wp:effectExtent l="0" t="0" r="0" b="9525"/>
                  <wp:docPr id="59" name="Picture 59" descr="A stream in the woo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stream in the woods&#10;&#10;Description automatically generated with low confidence"/>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571750" cy="1924050"/>
                          </a:xfrm>
                          <a:prstGeom prst="rect">
                            <a:avLst/>
                          </a:prstGeom>
                          <a:noFill/>
                          <a:ln>
                            <a:noFill/>
                          </a:ln>
                        </pic:spPr>
                      </pic:pic>
                    </a:graphicData>
                  </a:graphic>
                </wp:inline>
              </w:drawing>
            </w:r>
          </w:p>
        </w:tc>
      </w:tr>
      <w:tr w:rsidR="002D6101" w:rsidRPr="00675182" w14:paraId="0B7A79C8" w14:textId="77777777" w:rsidTr="002D6101">
        <w:tc>
          <w:tcPr>
            <w:tcW w:w="4245" w:type="dxa"/>
            <w:hideMark/>
          </w:tcPr>
          <w:p w14:paraId="1CAB9605" w14:textId="5BE55333" w:rsidR="002D6101" w:rsidRPr="00675182" w:rsidRDefault="002D6101">
            <w:pPr>
              <w:jc w:val="both"/>
              <w:rPr>
                <w:rFonts w:cstheme="minorHAnsi"/>
                <w:b/>
                <w:i/>
                <w:iCs/>
                <w:szCs w:val="24"/>
              </w:rPr>
            </w:pPr>
            <w:r w:rsidRPr="00675182">
              <w:rPr>
                <w:rFonts w:cstheme="minorHAnsi"/>
                <w:b/>
                <w:i/>
                <w:iCs/>
                <w:szCs w:val="24"/>
              </w:rPr>
              <w:t>3.</w:t>
            </w:r>
            <w:r w:rsidR="009A3090" w:rsidRPr="00675182">
              <w:rPr>
                <w:rFonts w:cstheme="minorHAnsi"/>
                <w:b/>
                <w:i/>
                <w:iCs/>
                <w:szCs w:val="24"/>
              </w:rPr>
              <w:t>11</w:t>
            </w:r>
            <w:r w:rsidRPr="00675182">
              <w:rPr>
                <w:rFonts w:cstheme="minorHAnsi"/>
                <w:b/>
                <w:i/>
                <w:iCs/>
                <w:szCs w:val="24"/>
              </w:rPr>
              <w:t>. attēls. Vējupīte – latvāņi krastos un uz akmeņiem, 2021.</w:t>
            </w:r>
            <w:r w:rsidR="00820264" w:rsidRPr="00675182">
              <w:rPr>
                <w:rFonts w:cstheme="minorHAnsi"/>
                <w:b/>
                <w:i/>
                <w:iCs/>
                <w:szCs w:val="24"/>
              </w:rPr>
              <w:t xml:space="preserve"> </w:t>
            </w:r>
            <w:r w:rsidRPr="00675182">
              <w:rPr>
                <w:rFonts w:cstheme="minorHAnsi"/>
                <w:b/>
                <w:i/>
                <w:iCs/>
                <w:szCs w:val="24"/>
              </w:rPr>
              <w:t>g. (foto: L. Grīnberga)</w:t>
            </w:r>
          </w:p>
        </w:tc>
        <w:tc>
          <w:tcPr>
            <w:tcW w:w="4246" w:type="dxa"/>
            <w:hideMark/>
          </w:tcPr>
          <w:p w14:paraId="7DA70512" w14:textId="3B6075DF" w:rsidR="002D6101" w:rsidRPr="00675182" w:rsidRDefault="002D6101">
            <w:pPr>
              <w:jc w:val="both"/>
              <w:rPr>
                <w:rFonts w:cstheme="minorHAnsi"/>
                <w:b/>
                <w:i/>
                <w:iCs/>
                <w:szCs w:val="24"/>
              </w:rPr>
            </w:pPr>
            <w:r w:rsidRPr="00675182">
              <w:rPr>
                <w:rFonts w:cstheme="minorHAnsi"/>
                <w:b/>
                <w:i/>
                <w:iCs/>
                <w:szCs w:val="24"/>
              </w:rPr>
              <w:t>3.</w:t>
            </w:r>
            <w:r w:rsidR="009A3090" w:rsidRPr="00675182">
              <w:rPr>
                <w:rFonts w:cstheme="minorHAnsi"/>
                <w:b/>
                <w:i/>
                <w:iCs/>
                <w:szCs w:val="24"/>
              </w:rPr>
              <w:t>12</w:t>
            </w:r>
            <w:r w:rsidRPr="00675182">
              <w:rPr>
                <w:rFonts w:cstheme="minorHAnsi"/>
                <w:b/>
                <w:i/>
                <w:iCs/>
                <w:szCs w:val="24"/>
              </w:rPr>
              <w:t>. attēls. Vaive – latvāņi krastos un uz kritalām, 2021. g. (foto: L. Grīnberga)</w:t>
            </w:r>
          </w:p>
        </w:tc>
      </w:tr>
    </w:tbl>
    <w:p w14:paraId="027BFF57" w14:textId="77777777" w:rsidR="002D6101" w:rsidRPr="00675182" w:rsidRDefault="002D6101" w:rsidP="002D6101">
      <w:pPr>
        <w:jc w:val="both"/>
        <w:rPr>
          <w:rFonts w:cstheme="minorHAnsi"/>
          <w:bCs/>
          <w:szCs w:val="24"/>
        </w:rPr>
      </w:pPr>
    </w:p>
    <w:p w14:paraId="69FF6746" w14:textId="77777777" w:rsidR="002D6101" w:rsidRPr="00675182" w:rsidRDefault="002D6101" w:rsidP="002D6101">
      <w:pPr>
        <w:jc w:val="both"/>
        <w:rPr>
          <w:rFonts w:cstheme="minorHAnsi"/>
          <w:bCs/>
          <w:szCs w:val="24"/>
        </w:rPr>
      </w:pPr>
      <w:r w:rsidRPr="00675182">
        <w:rPr>
          <w:rFonts w:cstheme="minorHAnsi"/>
          <w:bCs/>
          <w:szCs w:val="24"/>
        </w:rPr>
        <w:t xml:space="preserve">Strauja izplatība gar upēm ir novērojama arī puķu spriganei </w:t>
      </w:r>
      <w:r w:rsidRPr="00675182">
        <w:rPr>
          <w:rFonts w:cstheme="minorHAnsi"/>
          <w:bCs/>
          <w:i/>
          <w:iCs/>
          <w:szCs w:val="24"/>
        </w:rPr>
        <w:t>Impatiens glandulifera</w:t>
      </w:r>
      <w:r w:rsidRPr="00675182">
        <w:rPr>
          <w:rFonts w:cstheme="minorHAnsi"/>
          <w:bCs/>
          <w:szCs w:val="24"/>
        </w:rPr>
        <w:t xml:space="preserve">, kas lielākās vai mazākās platībās sastopama teju visu GNP upju krastos, kā arī vietām pie vecupēm. Šīs sugas ierobežošanai pirmkārt būtu ieteicama zemes īpašnieku izglītošana un aicinājums augus pļaut, otrkārt – tūristu izglītošana un mudinājums ziedošas spriganes izraut/izravēt gar tūristu takām. </w:t>
      </w:r>
    </w:p>
    <w:p w14:paraId="0629CAE4" w14:textId="77777777" w:rsidR="002D6101" w:rsidRPr="00675182" w:rsidRDefault="002D6101" w:rsidP="00166061">
      <w:pPr>
        <w:keepNext/>
        <w:keepLines/>
        <w:jc w:val="both"/>
        <w:rPr>
          <w:rFonts w:cstheme="minorHAnsi"/>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4192"/>
      </w:tblGrid>
      <w:tr w:rsidR="002D6101" w:rsidRPr="00675182" w14:paraId="295BF2B4" w14:textId="77777777" w:rsidTr="005406C5">
        <w:tc>
          <w:tcPr>
            <w:tcW w:w="4245" w:type="dxa"/>
            <w:hideMark/>
          </w:tcPr>
          <w:p w14:paraId="0C594ADF" w14:textId="256F9B4C" w:rsidR="002D6101" w:rsidRPr="00675182" w:rsidRDefault="002D6101" w:rsidP="00166061">
            <w:pPr>
              <w:keepNext/>
              <w:keepLines/>
              <w:jc w:val="both"/>
              <w:rPr>
                <w:rFonts w:cstheme="minorHAnsi"/>
                <w:bCs/>
                <w:szCs w:val="24"/>
              </w:rPr>
            </w:pPr>
            <w:r w:rsidRPr="00675182">
              <w:rPr>
                <w:rFonts w:cstheme="minorHAnsi"/>
                <w:noProof/>
              </w:rPr>
              <w:drawing>
                <wp:inline distT="0" distB="0" distL="0" distR="0" wp14:anchorId="308E4170" wp14:editId="2A057BE4">
                  <wp:extent cx="2628900" cy="1971675"/>
                  <wp:effectExtent l="0" t="0" r="8255" b="0"/>
                  <wp:docPr id="56" name="Picture 56" descr="A picture containing tree, outdoor, natur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ree, outdoor, nature, plant&#10;&#10;Description automatically generated"/>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2628900" cy="1971675"/>
                          </a:xfrm>
                          <a:prstGeom prst="rect">
                            <a:avLst/>
                          </a:prstGeom>
                          <a:noFill/>
                          <a:ln>
                            <a:noFill/>
                          </a:ln>
                        </pic:spPr>
                      </pic:pic>
                    </a:graphicData>
                  </a:graphic>
                </wp:inline>
              </w:drawing>
            </w:r>
          </w:p>
        </w:tc>
        <w:tc>
          <w:tcPr>
            <w:tcW w:w="4246" w:type="dxa"/>
            <w:hideMark/>
          </w:tcPr>
          <w:p w14:paraId="589A0FC6" w14:textId="228F1C20" w:rsidR="002D6101" w:rsidRPr="00675182" w:rsidRDefault="002D6101" w:rsidP="00166061">
            <w:pPr>
              <w:keepNext/>
              <w:keepLines/>
              <w:jc w:val="both"/>
              <w:rPr>
                <w:rFonts w:cstheme="minorHAnsi"/>
                <w:bCs/>
                <w:szCs w:val="24"/>
              </w:rPr>
            </w:pPr>
            <w:r w:rsidRPr="00675182">
              <w:rPr>
                <w:rFonts w:cstheme="minorHAnsi"/>
                <w:noProof/>
              </w:rPr>
              <w:drawing>
                <wp:inline distT="0" distB="0" distL="0" distR="0" wp14:anchorId="5C712CCB" wp14:editId="7AA51437">
                  <wp:extent cx="2562225" cy="1924050"/>
                  <wp:effectExtent l="0" t="0" r="0" b="8890"/>
                  <wp:docPr id="55" name="Picture 55" descr="A picture containing tree, outdoor, water,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tree, outdoor, water, river&#10;&#10;Description automatically generated"/>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2562225" cy="1924050"/>
                          </a:xfrm>
                          <a:prstGeom prst="rect">
                            <a:avLst/>
                          </a:prstGeom>
                          <a:noFill/>
                          <a:ln>
                            <a:noFill/>
                          </a:ln>
                        </pic:spPr>
                      </pic:pic>
                    </a:graphicData>
                  </a:graphic>
                </wp:inline>
              </w:drawing>
            </w:r>
          </w:p>
        </w:tc>
      </w:tr>
      <w:tr w:rsidR="002D6101" w:rsidRPr="00675182" w14:paraId="3A8C9F06" w14:textId="77777777" w:rsidTr="005406C5">
        <w:tc>
          <w:tcPr>
            <w:tcW w:w="4245" w:type="dxa"/>
            <w:hideMark/>
          </w:tcPr>
          <w:p w14:paraId="477A99B7" w14:textId="34FF4F00" w:rsidR="002D6101" w:rsidRPr="00675182" w:rsidRDefault="002D6101" w:rsidP="00166061">
            <w:pPr>
              <w:keepNext/>
              <w:keepLines/>
              <w:jc w:val="both"/>
              <w:rPr>
                <w:rFonts w:cstheme="minorHAnsi"/>
                <w:b/>
                <w:i/>
                <w:iCs/>
                <w:szCs w:val="24"/>
              </w:rPr>
            </w:pPr>
            <w:r w:rsidRPr="00675182">
              <w:rPr>
                <w:rFonts w:cstheme="minorHAnsi"/>
                <w:b/>
                <w:i/>
                <w:iCs/>
                <w:szCs w:val="24"/>
              </w:rPr>
              <w:t>3.</w:t>
            </w:r>
            <w:r w:rsidR="009A3090" w:rsidRPr="00675182">
              <w:rPr>
                <w:rFonts w:cstheme="minorHAnsi"/>
                <w:b/>
                <w:i/>
                <w:iCs/>
                <w:szCs w:val="24"/>
              </w:rPr>
              <w:t>13</w:t>
            </w:r>
            <w:r w:rsidRPr="00675182">
              <w:rPr>
                <w:rFonts w:cstheme="minorHAnsi"/>
                <w:b/>
                <w:i/>
                <w:iCs/>
                <w:szCs w:val="24"/>
              </w:rPr>
              <w:t>. attēls. Ar puķu sprigani apaugusi sēre Vaivē, 2021. g. (foto: L. Grīnberga)</w:t>
            </w:r>
          </w:p>
        </w:tc>
        <w:tc>
          <w:tcPr>
            <w:tcW w:w="4246" w:type="dxa"/>
            <w:hideMark/>
          </w:tcPr>
          <w:p w14:paraId="4567CF68" w14:textId="2C9CFF55" w:rsidR="002D6101" w:rsidRPr="00675182" w:rsidRDefault="002D6101" w:rsidP="00166061">
            <w:pPr>
              <w:keepNext/>
              <w:keepLines/>
              <w:jc w:val="both"/>
              <w:rPr>
                <w:rFonts w:cstheme="minorHAnsi"/>
                <w:b/>
                <w:i/>
                <w:iCs/>
                <w:szCs w:val="24"/>
              </w:rPr>
            </w:pPr>
            <w:r w:rsidRPr="00675182">
              <w:rPr>
                <w:rFonts w:cstheme="minorHAnsi"/>
                <w:b/>
                <w:i/>
                <w:iCs/>
                <w:szCs w:val="24"/>
              </w:rPr>
              <w:t>3.</w:t>
            </w:r>
            <w:r w:rsidR="009A3090" w:rsidRPr="00675182">
              <w:rPr>
                <w:rFonts w:cstheme="minorHAnsi"/>
                <w:b/>
                <w:i/>
                <w:iCs/>
                <w:szCs w:val="24"/>
              </w:rPr>
              <w:t>14</w:t>
            </w:r>
            <w:r w:rsidRPr="00675182">
              <w:rPr>
                <w:rFonts w:cstheme="minorHAnsi"/>
                <w:b/>
                <w:i/>
                <w:iCs/>
                <w:szCs w:val="24"/>
              </w:rPr>
              <w:t>. attēls. Vaive, bijušais Kalauzu dzirnavu uzpludinājums, blīvas latvāņu un sprigaņu audzes, 2021. g. (foto: L. Grīnberga)</w:t>
            </w:r>
          </w:p>
        </w:tc>
      </w:tr>
    </w:tbl>
    <w:p w14:paraId="7C8B85A1" w14:textId="77777777" w:rsidR="005D3094" w:rsidRPr="00675182" w:rsidRDefault="005D3094" w:rsidP="005D3094">
      <w:pPr>
        <w:jc w:val="both"/>
        <w:rPr>
          <w:rFonts w:cstheme="minorHAnsi"/>
          <w:b/>
          <w:szCs w:val="24"/>
        </w:rPr>
      </w:pPr>
    </w:p>
    <w:p w14:paraId="0F926734" w14:textId="69C0B252" w:rsidR="005D3094" w:rsidRPr="00675182" w:rsidRDefault="005D3094" w:rsidP="005D3094">
      <w:pPr>
        <w:jc w:val="both"/>
        <w:rPr>
          <w:rFonts w:cstheme="minorHAnsi"/>
          <w:bCs/>
        </w:rPr>
      </w:pPr>
      <w:r w:rsidRPr="00675182">
        <w:rPr>
          <w:rFonts w:cstheme="minorHAnsi"/>
          <w:bCs/>
        </w:rPr>
        <w:t xml:space="preserve">Vārnēnu purvā 2014. gadā uzieta arī vienīgā Latvijā invazīvā sūnu suga parastā līklape </w:t>
      </w:r>
      <w:r w:rsidRPr="00675182">
        <w:rPr>
          <w:rFonts w:cstheme="minorHAnsi"/>
          <w:bCs/>
          <w:i/>
          <w:iCs/>
        </w:rPr>
        <w:t xml:space="preserve">Campylopus introflexus. </w:t>
      </w:r>
      <w:r w:rsidRPr="00675182">
        <w:rPr>
          <w:rFonts w:cstheme="minorHAnsi"/>
          <w:bCs/>
        </w:rPr>
        <w:t>Suga aug gaišās vietās, barības vielām nabadzīgās augsnēs. Latvijā suga līdz šim konstatēta izstrādātos purvos uz kūdras, bet literatūrā minēts, ka var ieviesties un izspiest zemsedzes ķērpjus arī atklātos smilšainos biotopos un rada apdraudējumu kāpās. GNP sugas invāzijas riska teritorijas ir izstrādātajos kūdras purvos: jau zināmā atradne Vārnēnu purvā un potenciāli iespējama netālajā Ungura purvā, kur tā var apdraudēt purvu rekultivācijas iespējas (kavēt citu sugu ieviešanos).  Ņemot vērā citu valstu pieredzi, nevar izslēgt iespēju, ka suga var ieviesties Gaujas krastu smiltāju zālājos.</w:t>
      </w:r>
    </w:p>
    <w:p w14:paraId="240F2B8F" w14:textId="77777777" w:rsidR="005D3094" w:rsidRPr="00675182" w:rsidRDefault="005D3094" w:rsidP="005D3094">
      <w:pPr>
        <w:jc w:val="both"/>
        <w:rPr>
          <w:rFonts w:cstheme="minorHAnsi"/>
          <w:bCs/>
        </w:rPr>
      </w:pPr>
    </w:p>
    <w:p w14:paraId="7E8DF726" w14:textId="0B284FAC" w:rsidR="005D3094" w:rsidRPr="00675182" w:rsidRDefault="005D3094" w:rsidP="005D3094">
      <w:pPr>
        <w:jc w:val="both"/>
        <w:rPr>
          <w:rFonts w:cstheme="minorHAnsi"/>
          <w:bCs/>
        </w:rPr>
      </w:pPr>
      <w:r w:rsidRPr="00675182">
        <w:rPr>
          <w:rFonts w:cstheme="minorHAnsi"/>
          <w:bCs/>
        </w:rPr>
        <w:t>Šobrīd nav zināmas atbilstošas sugas ierobežošanas metodes. Sugai ir augstas izplatīšanās un reģenerācijas spējas, sūnas izraušanai nav nozīmīga efekta. Eiropas valstīs smilšainās vietās labākie panākumi lokālā mērogā ir bijuši šādām metodēm: smilšu sanesu veidošanai, dedzināšanai, sāls izmantošanai.</w:t>
      </w:r>
    </w:p>
    <w:p w14:paraId="368799E9" w14:textId="77777777" w:rsidR="005D3094" w:rsidRPr="00675182" w:rsidRDefault="005D3094" w:rsidP="005D3094">
      <w:pPr>
        <w:jc w:val="both"/>
        <w:rPr>
          <w:rFonts w:cstheme="minorHAnsi"/>
          <w:bCs/>
        </w:rPr>
      </w:pPr>
    </w:p>
    <w:p w14:paraId="274F7507" w14:textId="7EC85CA4" w:rsidR="005D3094" w:rsidRPr="00675182" w:rsidRDefault="005D3094" w:rsidP="005D3094">
      <w:pPr>
        <w:jc w:val="both"/>
        <w:rPr>
          <w:rFonts w:cstheme="minorHAnsi"/>
          <w:bCs/>
        </w:rPr>
      </w:pPr>
      <w:r w:rsidRPr="00675182">
        <w:rPr>
          <w:rFonts w:cstheme="minorHAnsi"/>
          <w:bCs/>
        </w:rPr>
        <w:t xml:space="preserve">Natura 2000 </w:t>
      </w:r>
      <w:r w:rsidR="00A11279">
        <w:rPr>
          <w:rFonts w:cstheme="minorHAnsi"/>
          <w:bCs/>
        </w:rPr>
        <w:t>teritoriju</w:t>
      </w:r>
      <w:r w:rsidR="00A11279" w:rsidRPr="00675182">
        <w:rPr>
          <w:rFonts w:cstheme="minorHAnsi"/>
          <w:bCs/>
        </w:rPr>
        <w:t xml:space="preserve"> </w:t>
      </w:r>
      <w:r w:rsidRPr="00675182">
        <w:rPr>
          <w:rFonts w:cstheme="minorHAnsi"/>
          <w:bCs/>
        </w:rPr>
        <w:t xml:space="preserve">monitoringa ietvaros īpaša uzmanība jāpievērš iespējamajai sugas </w:t>
      </w:r>
      <w:r w:rsidR="00003D5F" w:rsidRPr="00675182">
        <w:rPr>
          <w:rFonts w:cstheme="minorHAnsi"/>
          <w:bCs/>
        </w:rPr>
        <w:t>klātbūtnei</w:t>
      </w:r>
      <w:r w:rsidRPr="00675182">
        <w:rPr>
          <w:rFonts w:cstheme="minorHAnsi"/>
          <w:bCs/>
        </w:rPr>
        <w:t xml:space="preserve"> ES nozīmes biotopos: </w:t>
      </w:r>
      <w:r w:rsidRPr="00BF7348">
        <w:rPr>
          <w:rFonts w:cstheme="minorHAnsi"/>
          <w:bCs/>
        </w:rPr>
        <w:t>7110* Aktīvi augstie purvi</w:t>
      </w:r>
      <w:r w:rsidRPr="00675182">
        <w:rPr>
          <w:rFonts w:cstheme="minorHAnsi"/>
          <w:bCs/>
        </w:rPr>
        <w:t xml:space="preserve"> ietekmētajās daļās, piemēram, grāvju malās uz atsegtas kūdras; </w:t>
      </w:r>
      <w:r w:rsidRPr="00A11279">
        <w:rPr>
          <w:rFonts w:cstheme="minorHAnsi"/>
          <w:bCs/>
        </w:rPr>
        <w:t>7120</w:t>
      </w:r>
      <w:r w:rsidRPr="00BF7348">
        <w:rPr>
          <w:rFonts w:cstheme="minorHAnsi"/>
          <w:bCs/>
        </w:rPr>
        <w:t xml:space="preserve"> Degradēti augstie purvi, kuros iespējama vai noris dabiskā atjaunošanās</w:t>
      </w:r>
      <w:r w:rsidRPr="00A11279">
        <w:rPr>
          <w:rFonts w:cstheme="minorHAnsi"/>
          <w:bCs/>
        </w:rPr>
        <w:t xml:space="preserve"> atklātajās daļās, ko nenosedz lakstaugu veģetācija un </w:t>
      </w:r>
      <w:r w:rsidRPr="00BF7348">
        <w:rPr>
          <w:rFonts w:cstheme="minorHAnsi"/>
          <w:bCs/>
        </w:rPr>
        <w:t>6120</w:t>
      </w:r>
      <w:r w:rsidR="00A11279">
        <w:rPr>
          <w:rFonts w:cstheme="minorHAnsi"/>
          <w:bCs/>
        </w:rPr>
        <w:t>*</w:t>
      </w:r>
      <w:r w:rsidRPr="00BF7348">
        <w:rPr>
          <w:rFonts w:cstheme="minorHAnsi"/>
          <w:bCs/>
        </w:rPr>
        <w:t xml:space="preserve"> Smiltāju zālāji</w:t>
      </w:r>
      <w:r w:rsidRPr="00A11279">
        <w:rPr>
          <w:rFonts w:cstheme="minorHAnsi"/>
          <w:bCs/>
        </w:rPr>
        <w:t xml:space="preserve"> </w:t>
      </w:r>
      <w:r w:rsidRPr="00675182">
        <w:rPr>
          <w:rFonts w:cstheme="minorHAnsi"/>
          <w:bCs/>
        </w:rPr>
        <w:t xml:space="preserve">ķērpjiem un sūnām klātajos laukumos. </w:t>
      </w:r>
    </w:p>
    <w:p w14:paraId="1072E1F7" w14:textId="00E55E12" w:rsidR="00B2495F" w:rsidRPr="00675182" w:rsidRDefault="00B2495F" w:rsidP="00DB1210">
      <w:pPr>
        <w:jc w:val="both"/>
        <w:rPr>
          <w:rFonts w:cstheme="minorHAnsi"/>
          <w:bCs/>
          <w:szCs w:val="24"/>
        </w:rPr>
      </w:pPr>
    </w:p>
    <w:p w14:paraId="3F52A599" w14:textId="457BA244" w:rsidR="006009E3" w:rsidRPr="00675182" w:rsidRDefault="00070832" w:rsidP="00E275D3">
      <w:pPr>
        <w:keepNext/>
        <w:keepLines/>
        <w:jc w:val="both"/>
        <w:rPr>
          <w:rFonts w:cstheme="minorHAnsi"/>
          <w:b/>
          <w:szCs w:val="24"/>
        </w:rPr>
      </w:pPr>
      <w:r w:rsidRPr="00675182">
        <w:rPr>
          <w:rFonts w:cstheme="minorHAnsi"/>
          <w:b/>
          <w:szCs w:val="24"/>
        </w:rPr>
        <w:t xml:space="preserve">B.7.2. </w:t>
      </w:r>
      <w:r w:rsidR="00326745" w:rsidRPr="00675182">
        <w:rPr>
          <w:rFonts w:cstheme="minorHAnsi"/>
          <w:b/>
          <w:szCs w:val="24"/>
        </w:rPr>
        <w:t>Invazīvo vēžu sugu</w:t>
      </w:r>
      <w:r w:rsidRPr="00675182">
        <w:rPr>
          <w:rFonts w:cstheme="minorHAnsi"/>
          <w:b/>
          <w:szCs w:val="24"/>
        </w:rPr>
        <w:t xml:space="preserve"> izplatības ierobežošana</w:t>
      </w:r>
    </w:p>
    <w:p w14:paraId="6BBE72FC" w14:textId="698F10DE" w:rsidR="00085607" w:rsidRPr="00675182" w:rsidRDefault="00070832" w:rsidP="00E275D3">
      <w:pPr>
        <w:keepNext/>
        <w:keepLines/>
        <w:jc w:val="both"/>
        <w:rPr>
          <w:rFonts w:cstheme="minorHAnsi"/>
          <w:szCs w:val="24"/>
        </w:rPr>
      </w:pPr>
      <w:r w:rsidRPr="00675182">
        <w:rPr>
          <w:rFonts w:cstheme="minorHAnsi"/>
          <w:szCs w:val="24"/>
        </w:rPr>
        <w:t xml:space="preserve">GNP sastopamas divas invazīvas vēžu sugas – signālvēzis un dzeloņvaigu vēzis. </w:t>
      </w:r>
      <w:r w:rsidR="00085607" w:rsidRPr="00675182">
        <w:rPr>
          <w:rFonts w:cstheme="minorHAnsi"/>
          <w:szCs w:val="24"/>
        </w:rPr>
        <w:t>Invazīvo vēžu (IV) sugu kontrolei, apkarošanai un izskaušanai izdala mehāniskas, ķīmiskas un bioloģiskas metodes.</w:t>
      </w:r>
    </w:p>
    <w:p w14:paraId="54BB5BC2" w14:textId="77777777" w:rsidR="00085607" w:rsidRPr="00675182" w:rsidRDefault="00085607" w:rsidP="00085607">
      <w:pPr>
        <w:jc w:val="both"/>
        <w:rPr>
          <w:rFonts w:cstheme="minorHAnsi"/>
          <w:szCs w:val="24"/>
        </w:rPr>
      </w:pPr>
    </w:p>
    <w:p w14:paraId="044E1EEB" w14:textId="258C3CAA" w:rsidR="00085607" w:rsidRPr="00675182" w:rsidRDefault="00085607" w:rsidP="00085607">
      <w:pPr>
        <w:jc w:val="both"/>
        <w:rPr>
          <w:rFonts w:cstheme="minorHAnsi"/>
          <w:szCs w:val="24"/>
        </w:rPr>
      </w:pPr>
      <w:r w:rsidRPr="00161EA1">
        <w:rPr>
          <w:rFonts w:cstheme="minorHAnsi"/>
          <w:i/>
          <w:iCs/>
          <w:szCs w:val="24"/>
        </w:rPr>
        <w:t>Pie mehāniskajām metodēm</w:t>
      </w:r>
      <w:r w:rsidRPr="00675182">
        <w:rPr>
          <w:rFonts w:cstheme="minorHAnsi"/>
          <w:szCs w:val="24"/>
        </w:rPr>
        <w:t xml:space="preserve"> parasti min vēžu tiešu ķeršanu ar dažāda veida murdiem, elektrozveju u.c. metodēm. Tā var tikt kombinēta vēžu pievilināšanai izmantojot feromonus (efektivitāte gan īsti nav pierādīta). Tās rezultātā parasti izdodas panākt īpatņu skaita samazināšanos vēžu populācijā pēc kāda laika, parasti vairākos gados. Pēc </w:t>
      </w:r>
      <w:r w:rsidRPr="00675182">
        <w:rPr>
          <w:rFonts w:cstheme="minorHAnsi"/>
          <w:szCs w:val="24"/>
        </w:rPr>
        <w:lastRenderedPageBreak/>
        <w:t xml:space="preserve">zvejas pārtraukšanas </w:t>
      </w:r>
      <w:r w:rsidR="005D3094" w:rsidRPr="00675182">
        <w:rPr>
          <w:rFonts w:cstheme="minorHAnsi"/>
          <w:szCs w:val="24"/>
        </w:rPr>
        <w:t>invazīvo vēžu</w:t>
      </w:r>
      <w:r w:rsidRPr="00675182">
        <w:rPr>
          <w:rFonts w:cstheme="minorHAnsi"/>
          <w:szCs w:val="24"/>
        </w:rPr>
        <w:t xml:space="preserve"> populācija atjaunojas. </w:t>
      </w:r>
      <w:r w:rsidR="00161EA1" w:rsidRPr="00675182">
        <w:rPr>
          <w:rFonts w:cstheme="minorHAnsi"/>
          <w:szCs w:val="24"/>
        </w:rPr>
        <w:t>Daž</w:t>
      </w:r>
      <w:r w:rsidR="00161EA1">
        <w:rPr>
          <w:rFonts w:cstheme="minorHAnsi"/>
          <w:szCs w:val="24"/>
        </w:rPr>
        <w:t>k</w:t>
      </w:r>
      <w:r w:rsidR="00161EA1" w:rsidRPr="00675182">
        <w:rPr>
          <w:rFonts w:cstheme="minorHAnsi"/>
          <w:szCs w:val="24"/>
        </w:rPr>
        <w:t xml:space="preserve">ārt </w:t>
      </w:r>
      <w:r w:rsidRPr="00675182">
        <w:rPr>
          <w:rFonts w:cstheme="minorHAnsi"/>
          <w:szCs w:val="24"/>
        </w:rPr>
        <w:t xml:space="preserve">pie mehāniskajām metodēm tiek minēta dzīvotņu pārveidošana, dīķu vai upju posmu nosusināšana uz laiku (Dana et al., 2010; Freeman et al., 2010; Holdich and Reeve, 1991; Moorhouse, Macdonald, 2011). Dīķu nosusināšana var nebūt efektīva, jo vēži spēj izdzīvot alās, zem akmeņiem, kur palicis ūdens (Holdich, Reeve, 1991). </w:t>
      </w:r>
    </w:p>
    <w:p w14:paraId="4404CA1A" w14:textId="77777777" w:rsidR="00085607" w:rsidRPr="00675182" w:rsidRDefault="00085607" w:rsidP="00085607">
      <w:pPr>
        <w:jc w:val="both"/>
        <w:rPr>
          <w:rFonts w:cstheme="minorHAnsi"/>
          <w:i/>
          <w:iCs/>
          <w:szCs w:val="24"/>
        </w:rPr>
      </w:pPr>
    </w:p>
    <w:p w14:paraId="06CA3226" w14:textId="2AF1EF38" w:rsidR="00085607" w:rsidRPr="00675182" w:rsidRDefault="00085607" w:rsidP="00085607">
      <w:pPr>
        <w:jc w:val="both"/>
        <w:rPr>
          <w:rFonts w:cstheme="minorHAnsi"/>
          <w:szCs w:val="24"/>
        </w:rPr>
      </w:pPr>
      <w:r w:rsidRPr="00675182">
        <w:rPr>
          <w:rFonts w:cstheme="minorHAnsi"/>
          <w:i/>
          <w:iCs/>
          <w:szCs w:val="24"/>
        </w:rPr>
        <w:t>Pie ķīmiskām metodēm</w:t>
      </w:r>
      <w:r w:rsidRPr="00675182">
        <w:rPr>
          <w:rFonts w:cstheme="minorHAnsi"/>
          <w:szCs w:val="24"/>
        </w:rPr>
        <w:t xml:space="preserve"> pieder vēžu izindēšana ar biocīdiem. Faktiski tas ir vienīgais paņēmiens, kā to izskaust. Tās trūkumi ir negatīva ietekme uz biotu (tā nav sugas specifiska), potenciāla bīstamība cilvēku veselībai, lietošanu ierobežo ūdenstilpes tips, pielietojama nelielās, slēgtās ūdenstilpēs (Holdich et al., 1999; SPAH, 2002). Atsevišķos gadījumos tikusi panākta pilnīga </w:t>
      </w:r>
      <w:r w:rsidR="005D3094" w:rsidRPr="00675182">
        <w:rPr>
          <w:rFonts w:cstheme="minorHAnsi"/>
          <w:szCs w:val="24"/>
        </w:rPr>
        <w:t>invazīvo vēžu</w:t>
      </w:r>
      <w:r w:rsidRPr="00675182">
        <w:rPr>
          <w:rFonts w:cstheme="minorHAnsi"/>
          <w:szCs w:val="24"/>
        </w:rPr>
        <w:t xml:space="preserve"> izskaušana atsevišķā ūdenstilpē. Var tikt lietoti feromoni, lai pievilinātu vēžus (darbojas uz vienu dzimumu) (Aguiloni, Gerardi, 2010).</w:t>
      </w:r>
    </w:p>
    <w:p w14:paraId="15F28219" w14:textId="77777777" w:rsidR="00085607" w:rsidRPr="00675182" w:rsidRDefault="00085607" w:rsidP="00085607">
      <w:pPr>
        <w:jc w:val="both"/>
        <w:rPr>
          <w:rFonts w:cstheme="minorHAnsi"/>
          <w:szCs w:val="24"/>
        </w:rPr>
      </w:pPr>
    </w:p>
    <w:p w14:paraId="2EBCE9D3" w14:textId="109D2131" w:rsidR="0034403D" w:rsidRPr="00675182" w:rsidRDefault="00085607" w:rsidP="00085607">
      <w:pPr>
        <w:jc w:val="both"/>
        <w:rPr>
          <w:rFonts w:cstheme="minorHAnsi"/>
          <w:szCs w:val="24"/>
        </w:rPr>
      </w:pPr>
      <w:r w:rsidRPr="00675182">
        <w:rPr>
          <w:rFonts w:cstheme="minorHAnsi"/>
          <w:i/>
          <w:iCs/>
          <w:szCs w:val="24"/>
        </w:rPr>
        <w:t>Bioloģiskās metodes</w:t>
      </w:r>
      <w:r w:rsidRPr="00675182">
        <w:rPr>
          <w:rFonts w:cstheme="minorHAnsi"/>
          <w:szCs w:val="24"/>
        </w:rPr>
        <w:t xml:space="preserve"> nosacīti var definēt kā vienas sugas izmantošanu citas sugas nomākšanai. Visiem dzīvajiem organismiem ir dabiski ienaidnieki kā parazīti, plēsēji, konkurenti u.c. Taču uzreiz jāatzīmē, ka jau </w:t>
      </w:r>
      <w:r w:rsidR="005D3094" w:rsidRPr="00675182">
        <w:rPr>
          <w:rFonts w:cstheme="minorHAnsi"/>
          <w:szCs w:val="24"/>
        </w:rPr>
        <w:t>invazīvo vēžu</w:t>
      </w:r>
      <w:r w:rsidRPr="00675182">
        <w:rPr>
          <w:rFonts w:cstheme="minorHAnsi"/>
          <w:szCs w:val="24"/>
        </w:rPr>
        <w:t xml:space="preserve"> sugu ieviešanās un izplatīšanās Latvijā samērā īsā laika periodā, liecina, ka šo ienaidnieku nav vai tie nav efektīvi un nespēj kontrolēt invazīvo vēžu sugas.</w:t>
      </w:r>
    </w:p>
    <w:p w14:paraId="467F7A80" w14:textId="77777777" w:rsidR="00845818" w:rsidRPr="00675182" w:rsidRDefault="00845818" w:rsidP="00085607">
      <w:pPr>
        <w:jc w:val="both"/>
        <w:rPr>
          <w:rFonts w:cstheme="minorHAnsi"/>
          <w:szCs w:val="24"/>
        </w:rPr>
      </w:pPr>
    </w:p>
    <w:p w14:paraId="4B7FE4FF" w14:textId="52FC0EE8" w:rsidR="0034403D" w:rsidRPr="00675182" w:rsidRDefault="00820264" w:rsidP="00820264">
      <w:pPr>
        <w:jc w:val="both"/>
        <w:rPr>
          <w:rFonts w:cstheme="minorHAnsi"/>
          <w:szCs w:val="24"/>
        </w:rPr>
      </w:pPr>
      <w:r w:rsidRPr="00675182">
        <w:rPr>
          <w:rFonts w:cstheme="minorHAnsi"/>
          <w:szCs w:val="24"/>
        </w:rPr>
        <w:t xml:space="preserve">Lai samazinātu invazīvo vēžu izplatību, </w:t>
      </w:r>
      <w:r w:rsidR="007135CD">
        <w:rPr>
          <w:rFonts w:cstheme="minorHAnsi"/>
          <w:szCs w:val="24"/>
        </w:rPr>
        <w:t>būtu</w:t>
      </w:r>
      <w:r w:rsidRPr="00675182">
        <w:rPr>
          <w:rFonts w:cstheme="minorHAnsi"/>
          <w:szCs w:val="24"/>
        </w:rPr>
        <w:t xml:space="preserve"> jāierobežo dzīvu invazīvo vēžu apzinātu ievešanu un transportēšanu GNP parka teritorijā, nepieļaujot to izlaišanu dīķos, ezeros vai ūdenstecēs. </w:t>
      </w:r>
      <w:r w:rsidR="007135CD">
        <w:rPr>
          <w:rFonts w:cstheme="minorHAnsi"/>
          <w:szCs w:val="24"/>
        </w:rPr>
        <w:t>Šādus ierobežojumus ar pieejamajiem kontroles resursiem nav iespējams ieviest, taču rekomendējami zemes īpašniekus izglītojoši pasākumi par vēžu ieviešanas negatīvo ietekmi.</w:t>
      </w:r>
    </w:p>
    <w:p w14:paraId="4DC31DCE" w14:textId="77777777" w:rsidR="00F60D2F" w:rsidRPr="00675182" w:rsidRDefault="00F60D2F" w:rsidP="00820264">
      <w:pPr>
        <w:jc w:val="both"/>
        <w:rPr>
          <w:rFonts w:cstheme="minorHAnsi"/>
          <w:szCs w:val="24"/>
        </w:rPr>
      </w:pPr>
    </w:p>
    <w:p w14:paraId="280D7A4E" w14:textId="002D1244" w:rsidR="00F60D2F" w:rsidRPr="00675182" w:rsidRDefault="00F60D2F" w:rsidP="00817676">
      <w:pPr>
        <w:keepNext/>
        <w:keepLines/>
        <w:jc w:val="both"/>
        <w:rPr>
          <w:rFonts w:cstheme="minorHAnsi"/>
          <w:b/>
          <w:bCs/>
          <w:szCs w:val="24"/>
        </w:rPr>
      </w:pPr>
      <w:r w:rsidRPr="00675182">
        <w:rPr>
          <w:rFonts w:cstheme="minorHAnsi"/>
          <w:b/>
          <w:bCs/>
          <w:szCs w:val="24"/>
        </w:rPr>
        <w:t>B.7.3. Invazīvo gliemežu sugu izplatības ierobežošana</w:t>
      </w:r>
    </w:p>
    <w:p w14:paraId="28AA1C1E" w14:textId="12667729" w:rsidR="00F60D2F" w:rsidRPr="00675182" w:rsidRDefault="00F60D2F" w:rsidP="00817676">
      <w:pPr>
        <w:keepNext/>
        <w:keepLines/>
        <w:jc w:val="both"/>
        <w:rPr>
          <w:rFonts w:cstheme="minorHAnsi"/>
        </w:rPr>
      </w:pPr>
      <w:r w:rsidRPr="00675182">
        <w:rPr>
          <w:rFonts w:cstheme="minorHAnsi"/>
        </w:rPr>
        <w:t xml:space="preserve">GNP teritorijā pieaug Spānijas kailgliemeža </w:t>
      </w:r>
      <w:r w:rsidRPr="00675182">
        <w:rPr>
          <w:rFonts w:cstheme="minorHAnsi"/>
          <w:i/>
          <w:iCs/>
        </w:rPr>
        <w:t>Arion vulgaris</w:t>
      </w:r>
      <w:r w:rsidRPr="00675182">
        <w:rPr>
          <w:rFonts w:cstheme="minorHAnsi"/>
        </w:rPr>
        <w:t xml:space="preserve"> (plašā nozīmē) atradņu skaits. Invazīvo sugu pārvaldnieka datubāzē ir redzams</w:t>
      </w:r>
      <w:r w:rsidR="00576BFA" w:rsidRPr="00675182">
        <w:rPr>
          <w:rFonts w:cstheme="minorHAnsi"/>
        </w:rPr>
        <w:t>,</w:t>
      </w:r>
      <w:r w:rsidRPr="00675182">
        <w:rPr>
          <w:rFonts w:cstheme="minorHAnsi"/>
        </w:rPr>
        <w:t xml:space="preserve"> ka kailgliemežu izplatības centri GNP ir lielās pilsētas – Sigulda un Cēsis. Atradnes ir Augšlīgatnē, Ieriķos un citur. Pašlaik nav pieejamas metodes Spānijas kailgliemeža pilnīgai izskaušanai, bet ir iespējams samazināt īpatņu īpatsvaru.  Situācijas uzlabošanai GNP būtu nepieciešams ieviest un/vai ievērot esošos ierobežojumus stādu materiālu pārvietošanā kopā ar augsnes substrātu, un komposta/augu masas izvešanai ārpus īpašuma, izņemot speciālās kompostēšanas vietas. Nav pieļaujama ar Spānijas kailgliemežiem invadēta materiāla izmešana atkritumos vai cita veidā izplatīšana ārpus īpašuma.  </w:t>
      </w:r>
    </w:p>
    <w:p w14:paraId="48F1CC94" w14:textId="77777777" w:rsidR="00625C4D" w:rsidRPr="00675182" w:rsidRDefault="00625C4D" w:rsidP="00F60D2F">
      <w:pPr>
        <w:jc w:val="both"/>
        <w:rPr>
          <w:rFonts w:cstheme="minorHAnsi"/>
        </w:rPr>
      </w:pPr>
    </w:p>
    <w:p w14:paraId="5C227B97" w14:textId="7859A7FF" w:rsidR="00F60D2F" w:rsidRPr="00675182" w:rsidRDefault="00F60D2F" w:rsidP="00820264">
      <w:pPr>
        <w:jc w:val="both"/>
        <w:rPr>
          <w:rFonts w:cstheme="minorHAnsi"/>
        </w:rPr>
      </w:pPr>
      <w:r w:rsidRPr="00675182">
        <w:rPr>
          <w:rFonts w:cstheme="minorHAnsi"/>
        </w:rPr>
        <w:t>Lielākajos izplatības centros, piemēram, Siguldā</w:t>
      </w:r>
      <w:r w:rsidR="00576BFA" w:rsidRPr="00675182">
        <w:rPr>
          <w:rFonts w:cstheme="minorHAnsi"/>
        </w:rPr>
        <w:t>,</w:t>
      </w:r>
      <w:r w:rsidRPr="00675182">
        <w:rPr>
          <w:rFonts w:cstheme="minorHAnsi"/>
        </w:rPr>
        <w:t xml:space="preserve"> iespējama ēsmas lamatu izmantošana un to efektivitātes monitorings. Sugas izplatības ierobežošanas plāna nākamajā redakcijā paredzēts iekļaut jaunu ēsmas lamatu modeli. Ēsmas lamatu būtība ir ar pretgliemju žogu ierobežotas ēsmas lamatas – piemēram, 1 m</w:t>
      </w:r>
      <w:r w:rsidRPr="00675182">
        <w:rPr>
          <w:rFonts w:cstheme="minorHAnsi"/>
          <w:vertAlign w:val="superscript"/>
        </w:rPr>
        <w:t xml:space="preserve">2 </w:t>
      </w:r>
      <w:r w:rsidRPr="00675182">
        <w:rPr>
          <w:rFonts w:cstheme="minorHAnsi"/>
        </w:rPr>
        <w:t>ierobežots laukums ar ēsmu, kurā nonākot kailgliemeža īpatņiem ir ierobežota iespēja tikt laukā. Žoga iekšpusē ir 45 grādu leņķis, kas grūti pārvarams kailgliemežiem. Šāda veida lamatas ir regulāri jāapseko un mehāniski jāsavāc kailgliemežu īpatņi. Metodei nepieciešama aprobācija. Kā teritorijas Spānijas kailgliemežu ierobežošanai norādītas aizsargājamo biotopu un mežu platības, kas robežojas ar sugas koncentrācijas vietām, un arī mazdārziņu un pilsētu vai ciemu teritorijas, kurās suga konstatēta.</w:t>
      </w:r>
    </w:p>
    <w:p w14:paraId="228EDADF" w14:textId="5D6F72F4" w:rsidR="00E275D3" w:rsidRPr="00675182" w:rsidRDefault="00E275D3" w:rsidP="00820264">
      <w:pPr>
        <w:jc w:val="both"/>
        <w:rPr>
          <w:rFonts w:cstheme="minorHAnsi"/>
        </w:rPr>
      </w:pPr>
    </w:p>
    <w:p w14:paraId="3508AA0A" w14:textId="100019AE" w:rsidR="00E275D3" w:rsidRPr="00675182" w:rsidRDefault="00E275D3" w:rsidP="00E275D3">
      <w:pPr>
        <w:jc w:val="both"/>
        <w:rPr>
          <w:rFonts w:cstheme="minorHAnsi"/>
          <w:b/>
          <w:bCs/>
        </w:rPr>
      </w:pPr>
      <w:r w:rsidRPr="00675182">
        <w:rPr>
          <w:rFonts w:cstheme="minorHAnsi"/>
          <w:u w:val="single"/>
        </w:rPr>
        <w:t>B.8. Dabas vērtību apsaimniekošana iespējamos GNP paplašinājumos</w:t>
      </w:r>
    </w:p>
    <w:p w14:paraId="28701794" w14:textId="77777777" w:rsidR="00E275D3" w:rsidRPr="00675182" w:rsidRDefault="00E275D3" w:rsidP="00E275D3">
      <w:pPr>
        <w:jc w:val="both"/>
        <w:rPr>
          <w:rFonts w:cstheme="minorHAnsi"/>
          <w:b/>
          <w:bCs/>
        </w:rPr>
      </w:pPr>
      <w:r w:rsidRPr="00675182">
        <w:rPr>
          <w:rFonts w:cstheme="minorHAnsi"/>
          <w:b/>
          <w:bCs/>
        </w:rPr>
        <w:t>B.8.1. Apsaimniekošana teritorijā “Melturu sils”</w:t>
      </w:r>
    </w:p>
    <w:p w14:paraId="501BF190" w14:textId="05ADA3A5" w:rsidR="00E275D3" w:rsidRPr="00675182" w:rsidRDefault="00E275D3" w:rsidP="00E275D3">
      <w:pPr>
        <w:jc w:val="both"/>
        <w:rPr>
          <w:rFonts w:cstheme="minorHAnsi"/>
        </w:rPr>
      </w:pPr>
      <w:r w:rsidRPr="00675182">
        <w:rPr>
          <w:rFonts w:cstheme="minorHAnsi"/>
        </w:rPr>
        <w:t xml:space="preserve">Pašreizējā </w:t>
      </w:r>
      <w:r w:rsidR="00D7394A" w:rsidRPr="00675182">
        <w:rPr>
          <w:rFonts w:cstheme="minorHAnsi"/>
        </w:rPr>
        <w:t>DL</w:t>
      </w:r>
      <w:r w:rsidRPr="00675182">
        <w:rPr>
          <w:rFonts w:cstheme="minorHAnsi"/>
        </w:rPr>
        <w:t xml:space="preserve"> “Melturu sils” un tam piegulošo teritoriju apsaimniekošanas prioritāte ir mazo ūdensteču un zālāju kompleksa uzturēšana. Daļā pašreizējā </w:t>
      </w:r>
      <w:r w:rsidR="00BA67D3">
        <w:rPr>
          <w:rFonts w:cstheme="minorHAnsi"/>
        </w:rPr>
        <w:t>DL</w:t>
      </w:r>
      <w:r w:rsidRPr="00675182">
        <w:rPr>
          <w:rFonts w:cstheme="minorHAnsi"/>
        </w:rPr>
        <w:t xml:space="preserve"> teritorijas jau notikusi zālāju pirmreizējā atjaunošana gan ar teritorijas apsaimniekotāja (LVM) veiktajiem pasākumiem līdz 2020. gadam, gan </w:t>
      </w:r>
      <w:r w:rsidR="00BA67D3">
        <w:rPr>
          <w:rFonts w:cstheme="minorHAnsi"/>
        </w:rPr>
        <w:t>KF</w:t>
      </w:r>
      <w:r w:rsidRPr="00675182">
        <w:rPr>
          <w:rFonts w:cstheme="minorHAnsi"/>
        </w:rPr>
        <w:t xml:space="preserve"> projektā veikto aktivitāšu ietvaros (krūmu apauguma noņemšana un zālāja virsmas frēzēšana, ūdensteču atbrīvošana no bebriem, pļaušana ar zāles novākšanu). Darbus nepieciešams turpināt un paplašināt apsaimniekojamo zālāju platības līdz kartogrāfiskajā materiālā norādītajām platībām, kas ir reāli atjaunojami zālāju biotopi. Lai nodrošinātu zālāju pļaušanu, nepieciešams uzturēt optimālu hidroloģisko režīmu, atjaunojot senos grāvīšus un nepieļaujot bebru uzpludinājumu veidošanu esošajā upīšu un grāvju tīklā. Apsaimniekošanai nepieciešams arī izbūvēt un uzturēt traktortehnikai izmantojamus ceļus piekļuves vietās šiem zālājiem (no autoceļa A2, no Mežrozes ceļa un no Melturu </w:t>
      </w:r>
      <w:r w:rsidR="00D7394A" w:rsidRPr="00675182">
        <w:rPr>
          <w:rFonts w:cstheme="minorHAnsi"/>
        </w:rPr>
        <w:t xml:space="preserve">dzelzceļa </w:t>
      </w:r>
      <w:r w:rsidRPr="00675182">
        <w:rPr>
          <w:rFonts w:cstheme="minorHAnsi"/>
        </w:rPr>
        <w:t>stacijas).</w:t>
      </w:r>
    </w:p>
    <w:p w14:paraId="5B0F027E" w14:textId="77777777" w:rsidR="00E275D3" w:rsidRPr="00675182" w:rsidRDefault="00E275D3" w:rsidP="00E275D3">
      <w:pPr>
        <w:jc w:val="both"/>
        <w:rPr>
          <w:rFonts w:cstheme="minorHAnsi"/>
        </w:rPr>
      </w:pPr>
    </w:p>
    <w:p w14:paraId="69DF8C2A" w14:textId="46BADD52" w:rsidR="00E275D3" w:rsidRPr="00675182" w:rsidRDefault="00E275D3" w:rsidP="00E275D3">
      <w:pPr>
        <w:jc w:val="both"/>
        <w:rPr>
          <w:rFonts w:cstheme="minorHAnsi"/>
        </w:rPr>
      </w:pPr>
      <w:r w:rsidRPr="00675182">
        <w:rPr>
          <w:rFonts w:cstheme="minorHAnsi"/>
        </w:rPr>
        <w:t>Atjaunojams zālāju biotops atrodas arī iespējamā paplašinājuma rietumu daļā ārpus pašreizējā DL</w:t>
      </w:r>
      <w:r w:rsidR="007E5FB2" w:rsidRPr="00675182">
        <w:rPr>
          <w:rFonts w:cstheme="minorHAnsi"/>
        </w:rPr>
        <w:t xml:space="preserve"> (paplašinājuma versija, kas jāizskata kontekstā ar Natura 2000 tīkla paplašināšanu un netiek izvirzīta par prioritāru DA plānā)</w:t>
      </w:r>
      <w:r w:rsidRPr="00675182">
        <w:rPr>
          <w:rFonts w:cstheme="minorHAnsi"/>
        </w:rPr>
        <w:t>, tajā nepieciešama koku apauguma noņemšana, hidroloģiskā režīma optimizēšana (nepieļaujot pārmitru apstākļu veidošanos) un pastāvīgā apsaimniekošana.</w:t>
      </w:r>
    </w:p>
    <w:p w14:paraId="67783F22" w14:textId="77777777" w:rsidR="00E275D3" w:rsidRPr="00675182" w:rsidRDefault="00E275D3" w:rsidP="00E275D3">
      <w:pPr>
        <w:jc w:val="both"/>
        <w:rPr>
          <w:rFonts w:cstheme="minorHAnsi"/>
          <w:highlight w:val="yellow"/>
        </w:rPr>
      </w:pPr>
    </w:p>
    <w:p w14:paraId="002C0326" w14:textId="64D8AD2B" w:rsidR="00E275D3" w:rsidRPr="00675182" w:rsidRDefault="00E275D3" w:rsidP="00E275D3">
      <w:pPr>
        <w:jc w:val="both"/>
        <w:rPr>
          <w:rFonts w:cstheme="minorHAnsi"/>
          <w:b/>
          <w:bCs/>
        </w:rPr>
      </w:pPr>
      <w:r w:rsidRPr="00675182">
        <w:rPr>
          <w:rFonts w:cstheme="minorHAnsi"/>
          <w:b/>
          <w:bCs/>
        </w:rPr>
        <w:t>B.8.2. Apsaimniekošana teritorijā “Zušu-Staiņu sēravoti”</w:t>
      </w:r>
    </w:p>
    <w:p w14:paraId="08E5CF34" w14:textId="716BA1B8" w:rsidR="00E275D3" w:rsidRPr="00675182" w:rsidRDefault="00E275D3" w:rsidP="00E275D3">
      <w:pPr>
        <w:jc w:val="both"/>
        <w:rPr>
          <w:rFonts w:cstheme="minorHAnsi"/>
        </w:rPr>
      </w:pPr>
      <w:r w:rsidRPr="00675182">
        <w:rPr>
          <w:rFonts w:cstheme="minorHAnsi"/>
        </w:rPr>
        <w:t xml:space="preserve">Iespējamā paplašinājuma “Zušu-Staiņu sēravoti” (pašreizējā </w:t>
      </w:r>
      <w:r w:rsidR="00D7394A" w:rsidRPr="00675182">
        <w:rPr>
          <w:rFonts w:cstheme="minorHAnsi"/>
        </w:rPr>
        <w:t>DL</w:t>
      </w:r>
      <w:r w:rsidRPr="00675182">
        <w:rPr>
          <w:rFonts w:cstheme="minorHAnsi"/>
        </w:rPr>
        <w:t xml:space="preserve"> teritorija un zālāju kompleksi uz ziemeļrietumiem no tās) prioritāte ir reto sugu – Sibīrijas mēlziedes </w:t>
      </w:r>
      <w:r w:rsidRPr="00675182">
        <w:rPr>
          <w:rFonts w:cstheme="minorHAnsi"/>
          <w:i/>
          <w:iCs/>
        </w:rPr>
        <w:t>Ligularia sibirica</w:t>
      </w:r>
      <w:r w:rsidRPr="00675182">
        <w:rPr>
          <w:rFonts w:cstheme="minorHAnsi"/>
        </w:rPr>
        <w:t xml:space="preserve"> un ziemas svertijas </w:t>
      </w:r>
      <w:r w:rsidRPr="00675182">
        <w:rPr>
          <w:rFonts w:cstheme="minorHAnsi"/>
          <w:i/>
          <w:iCs/>
        </w:rPr>
        <w:t>Swertia perennis</w:t>
      </w:r>
      <w:r w:rsidRPr="00675182">
        <w:rPr>
          <w:rFonts w:cstheme="minorHAnsi"/>
        </w:rPr>
        <w:t xml:space="preserve"> – aizsardzība un populācijas stāvokļa uzlabošana, kā arī avoksnāju un zālāju biotopu uzturēšana labā aizsardzības stāvoklī. </w:t>
      </w:r>
      <w:r w:rsidR="00663065">
        <w:rPr>
          <w:rFonts w:cstheme="minorHAnsi"/>
        </w:rPr>
        <w:t>KF</w:t>
      </w:r>
      <w:r w:rsidRPr="00675182">
        <w:rPr>
          <w:rFonts w:cstheme="minorHAnsi"/>
        </w:rPr>
        <w:t xml:space="preserve"> projektā plānota Sibīrijas mēlziedes atradnes apsaimniekošana, samazinot krūmu segumu; teritorijā nav pieļaujama noganīšana, kas apdraud sugas eksemplārus. Ārpus sugas atradnes esošajā zālāju biotopa 6410 </w:t>
      </w:r>
      <w:r w:rsidRPr="00BF7348">
        <w:rPr>
          <w:rFonts w:cstheme="minorHAnsi"/>
        </w:rPr>
        <w:t>Mitri zālāji</w:t>
      </w:r>
      <w:r w:rsidRPr="00663065">
        <w:rPr>
          <w:rFonts w:cstheme="minorHAnsi"/>
        </w:rPr>
        <w:t xml:space="preserve"> periodiski</w:t>
      </w:r>
      <w:r w:rsidRPr="00675182">
        <w:rPr>
          <w:rFonts w:cstheme="minorHAnsi"/>
        </w:rPr>
        <w:t xml:space="preserve"> izžūstošās augsnēs platībā, kur sastopama Vidzemē ļoti reta suga – ārstniecības brūnvālīte </w:t>
      </w:r>
      <w:r w:rsidRPr="00675182">
        <w:rPr>
          <w:rFonts w:cstheme="minorHAnsi"/>
          <w:i/>
          <w:iCs/>
        </w:rPr>
        <w:t>Sanguisorba officinalis</w:t>
      </w:r>
      <w:r w:rsidRPr="00675182">
        <w:rPr>
          <w:rFonts w:cstheme="minorHAnsi"/>
        </w:rPr>
        <w:t xml:space="preserve"> – nepieciešama zālāju biotopa apsaimniekošana, nepieļaujot aizaugšanu ar krūmiem un ekspansīvām sugām. Uz austrumiem no zālāja esošajā meža nogabalā faktiski saglabājusies zālājam raksturīgā zemsedze un tas būtu atjaunojams par atklātu vai daļēji atklātu zālāju, veicot koku apauguma noņemšanu un pastāvīgu apsaimniekošanu.</w:t>
      </w:r>
    </w:p>
    <w:p w14:paraId="734AC405" w14:textId="77777777" w:rsidR="00E275D3" w:rsidRPr="00675182" w:rsidRDefault="00E275D3" w:rsidP="00E275D3">
      <w:pPr>
        <w:jc w:val="both"/>
        <w:rPr>
          <w:rFonts w:cstheme="minorHAnsi"/>
        </w:rPr>
      </w:pPr>
    </w:p>
    <w:p w14:paraId="3EEB04CC" w14:textId="77777777" w:rsidR="00E275D3" w:rsidRPr="00675182" w:rsidRDefault="00E275D3" w:rsidP="00E275D3">
      <w:pPr>
        <w:jc w:val="both"/>
        <w:rPr>
          <w:rFonts w:cstheme="minorHAnsi"/>
        </w:rPr>
      </w:pPr>
      <w:r w:rsidRPr="00675182">
        <w:rPr>
          <w:rFonts w:cstheme="minorHAnsi"/>
        </w:rPr>
        <w:t>Pārējā teritorijā, kur atrodamas Sibīrijas mēlziedes un ziemas svertijas audzes, jānodrošina sugām optimāls hidroloģiskais režīms, nepieļaujot jaunu bebru uzpludinājumu veidošanos Sērupītē un grāvjos netālu no “Laubertu” mājām. Jāveic neliela apjoma egļu retināšana vietās, kur šīs sugas aug mežos (novācot ne vairāk kā 30% no pašreizējā koku projektīvā seguma) un krūmu ciršana aizaugošajos avoksnājos, uzlabojot gaismas apstākļus un tādējādi palielinot sugu populāciju vitalitāti.</w:t>
      </w:r>
    </w:p>
    <w:p w14:paraId="5923D35C" w14:textId="77777777" w:rsidR="00E275D3" w:rsidRPr="00675182" w:rsidRDefault="00E275D3" w:rsidP="00E275D3">
      <w:pPr>
        <w:jc w:val="both"/>
        <w:rPr>
          <w:rFonts w:cstheme="minorHAnsi"/>
        </w:rPr>
      </w:pPr>
    </w:p>
    <w:p w14:paraId="6A0AD147" w14:textId="6D836578" w:rsidR="00E275D3" w:rsidRPr="00675182" w:rsidRDefault="00E275D3" w:rsidP="00E275D3">
      <w:pPr>
        <w:jc w:val="both"/>
        <w:rPr>
          <w:rFonts w:cstheme="minorHAnsi"/>
        </w:rPr>
      </w:pPr>
      <w:r w:rsidRPr="00675182">
        <w:rPr>
          <w:rFonts w:cstheme="minorHAnsi"/>
        </w:rPr>
        <w:t>Zālājos, kas atrodas iespējamā paplašinājuma ziemeļrietumu daļā, nodrošināma to saglabāšana un regulārā apsaimniekošana (pļaušana ar zāles novākšanu vai pļaušanas un ganīšanas kombinācija).</w:t>
      </w:r>
    </w:p>
    <w:p w14:paraId="3DEA3D07" w14:textId="77777777" w:rsidR="00E275D3" w:rsidRPr="00675182" w:rsidRDefault="00E275D3" w:rsidP="00E275D3">
      <w:pPr>
        <w:jc w:val="both"/>
        <w:rPr>
          <w:rFonts w:cstheme="minorHAnsi"/>
        </w:rPr>
      </w:pPr>
    </w:p>
    <w:p w14:paraId="1799E198" w14:textId="5E340E42" w:rsidR="00E275D3" w:rsidRPr="00675182" w:rsidRDefault="00E275D3" w:rsidP="00E275D3">
      <w:pPr>
        <w:jc w:val="both"/>
        <w:rPr>
          <w:rFonts w:cstheme="minorHAnsi"/>
        </w:rPr>
      </w:pPr>
      <w:r w:rsidRPr="00675182">
        <w:rPr>
          <w:rFonts w:cstheme="minorHAnsi"/>
        </w:rPr>
        <w:t>Teritorijas daļā pie “Zušu” mājām, kur pašlaik ierīkota laipa avotu apskatei, nepieciešams uzturēt šo infrastruktūru, pieļaujama arī tās paplašināšana, ietverot otru lielāko avotu izteku, bet neskarot reto sugu atradnes.</w:t>
      </w:r>
    </w:p>
    <w:p w14:paraId="1F5529EA" w14:textId="77777777" w:rsidR="001232E1" w:rsidRPr="00675182" w:rsidRDefault="001232E1" w:rsidP="001232E1"/>
    <w:p w14:paraId="40DAA242" w14:textId="4927F333" w:rsidR="0072476F" w:rsidRPr="00017208" w:rsidRDefault="003F0679" w:rsidP="00BF7348">
      <w:pPr>
        <w:pStyle w:val="Heading3"/>
        <w:rPr>
          <w:lang w:val="lv-LV"/>
        </w:rPr>
      </w:pPr>
      <w:bookmarkStart w:id="159" w:name="_Toc116938419"/>
      <w:r w:rsidRPr="00675182">
        <w:rPr>
          <w:lang w:val="lv-LV"/>
        </w:rPr>
        <w:t>C. Ainavisko un kultūrvēsturisko vērtību apsaimniekošana</w:t>
      </w:r>
      <w:bookmarkEnd w:id="159"/>
    </w:p>
    <w:p w14:paraId="016428C5" w14:textId="77777777" w:rsidR="00D066F8" w:rsidRPr="00675182" w:rsidRDefault="00D066F8" w:rsidP="00D066F8">
      <w:pPr>
        <w:jc w:val="both"/>
        <w:rPr>
          <w:rFonts w:cstheme="minorHAnsi"/>
          <w:b/>
          <w:szCs w:val="24"/>
        </w:rPr>
      </w:pPr>
      <w:r w:rsidRPr="00675182">
        <w:rPr>
          <w:rFonts w:cstheme="minorHAnsi"/>
          <w:b/>
          <w:szCs w:val="24"/>
        </w:rPr>
        <w:t>C.1. Ainavisko un kultūrvēsturisko vērtību popularizēšana un kartēšana</w:t>
      </w:r>
    </w:p>
    <w:p w14:paraId="7175EF63" w14:textId="77777777" w:rsidR="00FB4255" w:rsidRPr="00675182" w:rsidRDefault="00FB4255" w:rsidP="00FB4255">
      <w:pPr>
        <w:jc w:val="both"/>
        <w:rPr>
          <w:rFonts w:cstheme="minorHAnsi"/>
          <w:szCs w:val="24"/>
        </w:rPr>
      </w:pPr>
      <w:r w:rsidRPr="00675182">
        <w:rPr>
          <w:rFonts w:cstheme="minorHAnsi"/>
          <w:szCs w:val="24"/>
        </w:rPr>
        <w:t>Ainavisko un kultūrvēsturisko vērtību uzturēšanā liela nozīme ir atbilstošas (izglītojošas un saistošas) informācijas sniegšanai par ainavu un kultūrvēsturiskajām vērtībām. Tāpēc būtiski turpināt jau uzsāktās aktivitātes (“Dabā ar ekspertu”, Aleju apsekojumi, dendrologu konsultācijas u.c.) un veidot jaunas pastāvīgas (reizi gadā) aktivitātes, kuras saistītas ar ainavisko un kultūrvēsturisko objektu uzturēšanu. Administratīvajām struktūrvienībām (Plānošanas reģioniem/novadu pašvaldībām) sadarbībā ar DAP un NKMP būtu jāveido datu vietnes (piem., ArcGIS online, tematiskās ainavu foto akcijas iedzīvotājiem) un aktivitātes sabiedrības iesaistei ainavas un kultūrvēsturisko vērtību apzināšanā. Par atbilstošu vietu šādu aktivitāšu veikšanai perspektīvā varētu būt Straupes pils, kuru plāno pārņemt pārvaldībā Cēsu novada pašvaldība.</w:t>
      </w:r>
    </w:p>
    <w:p w14:paraId="604FA219" w14:textId="77777777" w:rsidR="00E87278" w:rsidRPr="00675182" w:rsidRDefault="00E87278" w:rsidP="00D066F8">
      <w:pPr>
        <w:jc w:val="both"/>
        <w:rPr>
          <w:rFonts w:cstheme="minorHAnsi"/>
          <w:szCs w:val="24"/>
          <w:u w:val="single"/>
        </w:rPr>
      </w:pPr>
    </w:p>
    <w:p w14:paraId="4AC52B64" w14:textId="1CA9BFF9" w:rsidR="00E87278" w:rsidRPr="00675182" w:rsidRDefault="00D066F8" w:rsidP="00D066F8">
      <w:pPr>
        <w:jc w:val="both"/>
        <w:rPr>
          <w:rFonts w:cstheme="minorHAnsi"/>
          <w:b/>
          <w:bCs/>
          <w:highlight w:val="magenta"/>
        </w:rPr>
      </w:pPr>
      <w:r w:rsidRPr="00675182">
        <w:rPr>
          <w:rFonts w:cstheme="minorHAnsi"/>
          <w:b/>
          <w:bCs/>
        </w:rPr>
        <w:t>C.2. Pasākumi un rīcības ainavas kvalitātes uzlabošanai – GNP ainavai raksturīgo ainavas elementu atjaunošanai/uzturēšanai</w:t>
      </w:r>
    </w:p>
    <w:p w14:paraId="095ECDA8" w14:textId="77777777" w:rsidR="00D066F8" w:rsidRPr="00675182" w:rsidRDefault="00D066F8" w:rsidP="00D066F8">
      <w:pPr>
        <w:jc w:val="both"/>
        <w:rPr>
          <w:rFonts w:cstheme="minorHAnsi"/>
          <w:b/>
          <w:bCs/>
        </w:rPr>
      </w:pPr>
      <w:r w:rsidRPr="00675182">
        <w:rPr>
          <w:rFonts w:cstheme="minorHAnsi"/>
          <w:b/>
          <w:bCs/>
        </w:rPr>
        <w:t>C.2.1. Skatu vietu ierīkošana</w:t>
      </w:r>
    </w:p>
    <w:p w14:paraId="5FD5B530" w14:textId="77777777" w:rsidR="00FB4255" w:rsidRPr="00675182" w:rsidRDefault="00FB4255" w:rsidP="00FB4255">
      <w:pPr>
        <w:jc w:val="both"/>
        <w:rPr>
          <w:rFonts w:cstheme="minorHAnsi"/>
          <w:bCs/>
        </w:rPr>
      </w:pPr>
      <w:r w:rsidRPr="00675182">
        <w:rPr>
          <w:rFonts w:cstheme="minorHAnsi"/>
          <w:bCs/>
        </w:rPr>
        <w:t>GNP visā pastāvēšanas gaitā daudzviet teritorijā veidotas ainavu skatu vietas, kuras iedalāmas vairākās grupās – skatu torņi (Žagarkalns), paaugstinātas vietas no īpašiem objektiem (Cēsu baznīcas tornis, Siguldas, Turaidas, Krimuldas pils torņi un terases u.c.), skatu platformas (lielākoties ar ainavu atvērumu), skatu vietas dabas takās (ar ainavu atvērumiem), skatu vietas pie ceļiem un to posmos.</w:t>
      </w:r>
    </w:p>
    <w:p w14:paraId="2494E215" w14:textId="77777777" w:rsidR="00FB4255" w:rsidRPr="00675182" w:rsidRDefault="00FB4255" w:rsidP="00FB4255">
      <w:pPr>
        <w:jc w:val="both"/>
        <w:rPr>
          <w:rFonts w:cstheme="minorHAnsi"/>
          <w:bCs/>
        </w:rPr>
      </w:pPr>
    </w:p>
    <w:p w14:paraId="7EB20BD4" w14:textId="77777777" w:rsidR="00FB4255" w:rsidRPr="00675182" w:rsidRDefault="00FB4255" w:rsidP="00FB4255">
      <w:pPr>
        <w:suppressAutoHyphens w:val="0"/>
        <w:jc w:val="both"/>
        <w:rPr>
          <w:rFonts w:ascii="Calibri" w:hAnsi="Calibri"/>
          <w:bCs/>
        </w:rPr>
      </w:pPr>
      <w:r w:rsidRPr="00675182">
        <w:rPr>
          <w:rFonts w:cstheme="minorHAnsi"/>
          <w:bCs/>
        </w:rPr>
        <w:t xml:space="preserve">Patlaban iespēju vērot Gaujas senieleju no paaugstinātām vietām ir pietiekami daudz, jo īpaši Cēsu un Siguldas apkārtnē. Nākamajā 12 gadu periodā speciāli veidota publiski pieejama skatu torņa vai skatu platformas izveidei Gaujas senielejas un plašas apkārtnes panorāmas skatu vērošanai būtu vērtējama Krimuldā, iesaistoties visām ieinteresētajām pusēm. Skatu platformas būtu veidojamas arī citās vietās, kur iespējams vērot GNP dabas objektus un ainavu </w:t>
      </w:r>
      <w:r w:rsidRPr="00675182">
        <w:rPr>
          <w:rFonts w:ascii="Calibri" w:hAnsi="Calibri"/>
          <w:bCs/>
        </w:rPr>
        <w:t xml:space="preserve">kopā ar atbilstošu tūrisma infrastruktūru, nodrošinot publisku pieejamību. </w:t>
      </w:r>
    </w:p>
    <w:p w14:paraId="0F7CB9CE" w14:textId="77777777" w:rsidR="00FB4255" w:rsidRPr="00675182" w:rsidRDefault="00FB4255" w:rsidP="00FB4255">
      <w:pPr>
        <w:suppressAutoHyphens w:val="0"/>
        <w:jc w:val="both"/>
        <w:rPr>
          <w:rFonts w:ascii="Calibri" w:hAnsi="Calibri"/>
          <w:bCs/>
        </w:rPr>
      </w:pPr>
    </w:p>
    <w:p w14:paraId="3EF0DBFE" w14:textId="412B218D" w:rsidR="00FB4255" w:rsidRPr="00675182" w:rsidRDefault="00FB4255" w:rsidP="00FB4255">
      <w:pPr>
        <w:suppressAutoHyphens w:val="0"/>
        <w:jc w:val="both"/>
        <w:rPr>
          <w:rFonts w:cstheme="minorHAnsi"/>
          <w:bCs/>
        </w:rPr>
      </w:pPr>
      <w:r w:rsidRPr="00675182">
        <w:rPr>
          <w:rFonts w:cstheme="minorHAnsi"/>
          <w:bCs/>
        </w:rPr>
        <w:t>Optimālākajā situācijā priekšlikumus skatu vietas izveidei varētu izvirzīt teritoriju/objektu īpašnieki un/vai pārvaldītāji, kā arī priekšlikumi jāizvērtē ainavu arhitektiem, ietverot gan ainavu pārskatāmības analīzi, gan torņa vai platformas iekļaušanos dabiskajā ainavā. Kā pozitīvus piemērus var minēt ainavu koncepcijas/plānus, kuri sagatavoti Cēsu dabas un kultūrvēstures parkam un atpūtas parkam “Zābaki”. Šo dokumentu sagatavošanas laikā  ainavu arhitekti ir snieguši detālus priekšlikumus vietas ainavu potenciāla izmantošanai un attīstībai, ņemot vērā teritoriju dabas vērtības un raksturojumu. Skatu platformas izveidošana ir jāsaskaņo ar pašvaldību būvvaldi un DAP, NKMP, kā arī citām iesaistītajām institūcijām.</w:t>
      </w:r>
    </w:p>
    <w:p w14:paraId="3934760B" w14:textId="77777777" w:rsidR="00FB4255" w:rsidRPr="00675182" w:rsidRDefault="00FB4255" w:rsidP="00FB4255">
      <w:pPr>
        <w:jc w:val="both"/>
        <w:rPr>
          <w:rFonts w:cstheme="minorHAnsi"/>
          <w:bCs/>
        </w:rPr>
      </w:pPr>
    </w:p>
    <w:p w14:paraId="2CA14483" w14:textId="2EB2F7D7" w:rsidR="00FB4255" w:rsidRPr="00675182" w:rsidRDefault="00FB4255" w:rsidP="00FB4255">
      <w:pPr>
        <w:jc w:val="both"/>
        <w:rPr>
          <w:rFonts w:cstheme="minorHAnsi"/>
          <w:bCs/>
        </w:rPr>
      </w:pPr>
      <w:r w:rsidRPr="00675182">
        <w:rPr>
          <w:rFonts w:cstheme="minorHAnsi"/>
          <w:bCs/>
        </w:rPr>
        <w:t xml:space="preserve">Skatu vietu ierīkošana iespējama arī uz ainaviskajiem ceļu posmiem, saskaņojot ceļu apsaimniekotāju un zemes īpašnieku intereses. Kā perspektīvākie ceļi skatu vietu </w:t>
      </w:r>
      <w:r w:rsidRPr="00675182">
        <w:rPr>
          <w:rFonts w:cstheme="minorHAnsi"/>
          <w:bCs/>
        </w:rPr>
        <w:lastRenderedPageBreak/>
        <w:t>ierīkošanai minami ainaviskie ceļu posmi Cēsu novadā (3-5 pielāgotas skatu vietas), ku</w:t>
      </w:r>
      <w:r w:rsidRPr="00675182">
        <w:rPr>
          <w:rFonts w:ascii="Calibri" w:hAnsi="Calibri"/>
          <w:bCs/>
        </w:rPr>
        <w:t>ri atzīmēti DA plāna ainavu kartē (skat.2.2.1</w:t>
      </w:r>
      <w:r w:rsidR="00AE1818" w:rsidRPr="00675182">
        <w:rPr>
          <w:rFonts w:ascii="Calibri" w:hAnsi="Calibri"/>
          <w:bCs/>
        </w:rPr>
        <w:t>6</w:t>
      </w:r>
      <w:r w:rsidRPr="00675182">
        <w:rPr>
          <w:rFonts w:ascii="Calibri" w:hAnsi="Calibri"/>
          <w:bCs/>
        </w:rPr>
        <w:t xml:space="preserve">. attēlu) un novada </w:t>
      </w:r>
      <w:r w:rsidR="009001A0">
        <w:rPr>
          <w:rFonts w:ascii="Calibri" w:hAnsi="Calibri"/>
          <w:bCs/>
        </w:rPr>
        <w:t>TP</w:t>
      </w:r>
      <w:r w:rsidRPr="00675182">
        <w:rPr>
          <w:rFonts w:ascii="Calibri" w:hAnsi="Calibri"/>
          <w:bCs/>
        </w:rPr>
        <w:t>. Skatu vietu ierīkošanā jāņem vērā to turpmākās uzturēšanas un apsaimniekošanas nosacījumus</w:t>
      </w:r>
      <w:r w:rsidRPr="00675182">
        <w:rPr>
          <w:rFonts w:cstheme="minorHAnsi"/>
          <w:bCs/>
        </w:rPr>
        <w:t>.</w:t>
      </w:r>
    </w:p>
    <w:p w14:paraId="6DAC0232" w14:textId="77777777" w:rsidR="00D066F8" w:rsidRPr="00675182" w:rsidRDefault="00D066F8" w:rsidP="00D066F8">
      <w:pPr>
        <w:jc w:val="both"/>
        <w:rPr>
          <w:rFonts w:cstheme="minorHAnsi"/>
          <w:b/>
          <w:bCs/>
        </w:rPr>
      </w:pPr>
    </w:p>
    <w:p w14:paraId="7ADD3571" w14:textId="2568AB98" w:rsidR="00D066F8" w:rsidRPr="00675182" w:rsidRDefault="00D066F8" w:rsidP="00D066F8">
      <w:pPr>
        <w:jc w:val="both"/>
        <w:rPr>
          <w:rFonts w:cstheme="minorHAnsi"/>
          <w:b/>
          <w:bCs/>
        </w:rPr>
      </w:pPr>
      <w:r w:rsidRPr="00675182">
        <w:rPr>
          <w:rFonts w:cstheme="minorHAnsi"/>
          <w:b/>
          <w:bCs/>
        </w:rPr>
        <w:t>C.2.2. Skatu vietu uzturēšana</w:t>
      </w:r>
      <w:r w:rsidR="003A69CE" w:rsidRPr="00675182">
        <w:rPr>
          <w:rFonts w:cstheme="minorHAnsi"/>
          <w:b/>
          <w:bCs/>
        </w:rPr>
        <w:t>, skatu atvērumu izveidošanas plāna izstrāde Gaujas krastiem</w:t>
      </w:r>
    </w:p>
    <w:p w14:paraId="135824DE" w14:textId="301A6758" w:rsidR="00D066F8" w:rsidRPr="00675182" w:rsidRDefault="00FB4255" w:rsidP="00D066F8">
      <w:pPr>
        <w:jc w:val="both"/>
        <w:rPr>
          <w:rFonts w:cstheme="minorHAnsi"/>
          <w:bCs/>
        </w:rPr>
      </w:pPr>
      <w:r w:rsidRPr="00675182">
        <w:rPr>
          <w:rFonts w:cstheme="minorHAnsi"/>
          <w:bCs/>
        </w:rPr>
        <w:t xml:space="preserve">Daudzviet GNP teritorijā dabas takās ir vēsturiski izveidoti mākslīgi ainavu atvērumi, izcērtot vizūras senielejas nogāzēs, tādējādi atverot skatam Gaujas senielejas ainavu, galvenokārt rekreācijas un tūrisma vajadzībām. Ņemot vērā to, ka Gaujas senielejas ainava kļūst arvien vienveidīgāka (mežaināka un vizuāli noslēgtāka) un ainava ir salīdzinoši pārskatāma apmēram 6 mēnešus gadā (bezlapu periodā), kā arī ir pieejams salīdzinoši liels paaugstinātu (torņi, platformas) skatu vietu skaits, turpmākā skatu atvērumu uzturēšanā izvērtējama to </w:t>
      </w:r>
      <w:r w:rsidRPr="00675182">
        <w:rPr>
          <w:rFonts w:cstheme="minorHAnsi"/>
          <w:bCs/>
          <w:shd w:val="clear" w:color="auto" w:fill="FFFFFF" w:themeFill="background1"/>
        </w:rPr>
        <w:t xml:space="preserve">funkcionalitāte un regulāri uzturami ainavu atvērumi nozīmīgākajās apmeklētāju vietās </w:t>
      </w:r>
      <w:r w:rsidRPr="009001A0">
        <w:rPr>
          <w:rFonts w:cstheme="minorHAnsi"/>
          <w:bCs/>
          <w:shd w:val="clear" w:color="auto" w:fill="FFFFFF" w:themeFill="background1"/>
        </w:rPr>
        <w:t>(</w:t>
      </w:r>
      <w:r w:rsidRPr="00BF7348">
        <w:rPr>
          <w:rFonts w:cstheme="minorHAnsi"/>
          <w:bCs/>
          <w:shd w:val="clear" w:color="auto" w:fill="FFFFFF" w:themeFill="background1"/>
        </w:rPr>
        <w:t>Ķeizarskats, Paradīzes kalns, Cīrulīšu takas u.c. vietas, kurās šobrīdizveidota nozīmīga labiekārtota infrastruktūra</w:t>
      </w:r>
      <w:r w:rsidRPr="009001A0">
        <w:rPr>
          <w:rFonts w:cstheme="minorHAnsi"/>
          <w:bCs/>
          <w:shd w:val="clear" w:color="auto" w:fill="FFFFFF" w:themeFill="background1"/>
        </w:rPr>
        <w:t>)</w:t>
      </w:r>
      <w:r w:rsidRPr="009001A0">
        <w:rPr>
          <w:rFonts w:cstheme="minorHAnsi"/>
          <w:bCs/>
        </w:rPr>
        <w:t xml:space="preserve"> </w:t>
      </w:r>
      <w:r w:rsidRPr="00675182">
        <w:rPr>
          <w:rFonts w:cstheme="minorHAnsi"/>
          <w:bCs/>
        </w:rPr>
        <w:t>ar tāliem un panorāmas tipa skatiem. Savukārt mazāk nozīmīgās vietās un vietās, kuras atrodas blakus skatu torņiem, skatu uzturēšana vērtējama ar zemāku prioritāti (piemērus skatīt 3.15., 3.16. un 3.17. attēlu). Tāpat kā jaunu skatu veidošanā, arī esošo skatu vietu uzturēšanā, primāri izvērtējami nogāzes erozijas riski veicamās cirtes rezultātā un aizsargājamās dabas vērtības atvēruma vietā. Būtu ieteicama ainavu arhitekta iesaiste un ainavu arhitekta atzinuma/rekomendāciju sagatavošana.</w:t>
      </w:r>
    </w:p>
    <w:tbl>
      <w:tblPr>
        <w:tblStyle w:val="TableGrid"/>
        <w:tblW w:w="9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828"/>
      </w:tblGrid>
      <w:tr w:rsidR="00D066F8" w:rsidRPr="00675182" w14:paraId="6722BFF0" w14:textId="77777777" w:rsidTr="000E1364">
        <w:trPr>
          <w:trHeight w:val="2399"/>
        </w:trPr>
        <w:tc>
          <w:tcPr>
            <w:tcW w:w="4633" w:type="dxa"/>
            <w:hideMark/>
          </w:tcPr>
          <w:p w14:paraId="378B1305" w14:textId="466101AD" w:rsidR="00D066F8" w:rsidRPr="00675182" w:rsidRDefault="00D066F8" w:rsidP="00423B43">
            <w:pPr>
              <w:keepNext/>
              <w:keepLines/>
              <w:jc w:val="both"/>
              <w:rPr>
                <w:rFonts w:cstheme="minorHAnsi"/>
                <w:bCs/>
                <w:highlight w:val="magenta"/>
              </w:rPr>
            </w:pPr>
            <w:r w:rsidRPr="00675182">
              <w:rPr>
                <w:rFonts w:cstheme="minorHAnsi"/>
                <w:noProof/>
                <w:lang w:eastAsia="en-GB"/>
              </w:rPr>
              <w:drawing>
                <wp:inline distT="0" distB="0" distL="0" distR="0" wp14:anchorId="02D9C750" wp14:editId="10EF461A">
                  <wp:extent cx="3337560" cy="2499360"/>
                  <wp:effectExtent l="0" t="0" r="0" b="0"/>
                  <wp:docPr id="258" name="Attēl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rot="5400000">
                            <a:off x="0" y="0"/>
                            <a:ext cx="3337560" cy="2499360"/>
                          </a:xfrm>
                          <a:prstGeom prst="rect">
                            <a:avLst/>
                          </a:prstGeom>
                          <a:noFill/>
                          <a:ln>
                            <a:noFill/>
                          </a:ln>
                        </pic:spPr>
                      </pic:pic>
                    </a:graphicData>
                  </a:graphic>
                </wp:inline>
              </w:drawing>
            </w:r>
          </w:p>
        </w:tc>
        <w:tc>
          <w:tcPr>
            <w:tcW w:w="4828" w:type="dxa"/>
            <w:vAlign w:val="bottom"/>
            <w:hideMark/>
          </w:tcPr>
          <w:p w14:paraId="6D656D65" w14:textId="1FDCDF43" w:rsidR="00D066F8" w:rsidRPr="00675182" w:rsidRDefault="00D066F8" w:rsidP="00423B43">
            <w:pPr>
              <w:keepNext/>
              <w:keepLines/>
              <w:jc w:val="center"/>
              <w:rPr>
                <w:rFonts w:cstheme="minorHAnsi"/>
                <w:bCs/>
                <w:highlight w:val="magenta"/>
              </w:rPr>
            </w:pPr>
            <w:r w:rsidRPr="00675182">
              <w:rPr>
                <w:rFonts w:cstheme="minorHAnsi"/>
                <w:noProof/>
                <w:lang w:eastAsia="en-GB"/>
              </w:rPr>
              <w:drawing>
                <wp:inline distT="0" distB="0" distL="0" distR="0" wp14:anchorId="77BFEC2D" wp14:editId="373C502F">
                  <wp:extent cx="2827020" cy="2125980"/>
                  <wp:effectExtent l="0" t="0" r="0" b="7620"/>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827020" cy="2125980"/>
                          </a:xfrm>
                          <a:prstGeom prst="rect">
                            <a:avLst/>
                          </a:prstGeom>
                          <a:noFill/>
                          <a:ln>
                            <a:noFill/>
                          </a:ln>
                        </pic:spPr>
                      </pic:pic>
                    </a:graphicData>
                  </a:graphic>
                </wp:inline>
              </w:drawing>
            </w:r>
          </w:p>
        </w:tc>
      </w:tr>
      <w:tr w:rsidR="00D066F8" w:rsidRPr="00675182" w14:paraId="36C423EA" w14:textId="77777777" w:rsidTr="000E1364">
        <w:trPr>
          <w:trHeight w:val="337"/>
        </w:trPr>
        <w:tc>
          <w:tcPr>
            <w:tcW w:w="4633" w:type="dxa"/>
            <w:hideMark/>
          </w:tcPr>
          <w:p w14:paraId="3B2A4AF5" w14:textId="1E0140DB" w:rsidR="00D066F8" w:rsidRPr="00675182" w:rsidRDefault="009A3090" w:rsidP="00423B43">
            <w:pPr>
              <w:keepNext/>
              <w:keepLines/>
              <w:jc w:val="both"/>
              <w:rPr>
                <w:rFonts w:cstheme="minorHAnsi"/>
                <w:b/>
                <w:i/>
                <w:iCs/>
              </w:rPr>
            </w:pPr>
            <w:r w:rsidRPr="00675182">
              <w:rPr>
                <w:rFonts w:cstheme="minorHAnsi"/>
                <w:b/>
                <w:i/>
                <w:iCs/>
              </w:rPr>
              <w:t>3.15</w:t>
            </w:r>
            <w:r w:rsidR="00D066F8" w:rsidRPr="00675182">
              <w:rPr>
                <w:rFonts w:cstheme="minorHAnsi"/>
                <w:b/>
                <w:i/>
                <w:iCs/>
              </w:rPr>
              <w:t>. att</w:t>
            </w:r>
            <w:r w:rsidR="000E1364" w:rsidRPr="00675182">
              <w:rPr>
                <w:rFonts w:cstheme="minorHAnsi"/>
                <w:b/>
                <w:i/>
                <w:iCs/>
              </w:rPr>
              <w:t>ēls.</w:t>
            </w:r>
            <w:r w:rsidR="00D066F8" w:rsidRPr="00675182">
              <w:rPr>
                <w:rFonts w:cstheme="minorHAnsi"/>
                <w:b/>
                <w:i/>
                <w:iCs/>
              </w:rPr>
              <w:t xml:space="preserve"> Ķeizarskats – pastāvīgi uzturams skatu atvērums ar augstu prioritāti</w:t>
            </w:r>
            <w:r w:rsidR="000E1364" w:rsidRPr="00675182">
              <w:rPr>
                <w:rFonts w:cstheme="minorHAnsi"/>
                <w:b/>
                <w:i/>
                <w:iCs/>
              </w:rPr>
              <w:t xml:space="preserve"> (foto -P. Lakovskis)</w:t>
            </w:r>
          </w:p>
        </w:tc>
        <w:tc>
          <w:tcPr>
            <w:tcW w:w="4828" w:type="dxa"/>
            <w:hideMark/>
          </w:tcPr>
          <w:p w14:paraId="608A5AA4" w14:textId="5E788362" w:rsidR="00D066F8" w:rsidRPr="00675182" w:rsidRDefault="000E1364" w:rsidP="00423B43">
            <w:pPr>
              <w:keepNext/>
              <w:keepLines/>
              <w:jc w:val="both"/>
              <w:rPr>
                <w:rFonts w:cstheme="minorHAnsi"/>
                <w:b/>
                <w:i/>
                <w:iCs/>
              </w:rPr>
            </w:pPr>
            <w:r w:rsidRPr="00675182">
              <w:rPr>
                <w:rFonts w:cstheme="minorHAnsi"/>
                <w:b/>
                <w:i/>
                <w:iCs/>
              </w:rPr>
              <w:t>3.16. attēls</w:t>
            </w:r>
            <w:r w:rsidR="00D066F8" w:rsidRPr="00675182">
              <w:rPr>
                <w:rFonts w:cstheme="minorHAnsi"/>
                <w:b/>
                <w:i/>
                <w:iCs/>
              </w:rPr>
              <w:t>. Skats no dabas takas Siguldas apkārtnē – izvērtējama nepieciešamība atvērta skata uzturēšanai, zemāka prioritāte skatu vizūras veidošanai</w:t>
            </w:r>
            <w:r w:rsidRPr="00675182">
              <w:rPr>
                <w:rFonts w:cstheme="minorHAnsi"/>
                <w:b/>
                <w:i/>
                <w:iCs/>
              </w:rPr>
              <w:t xml:space="preserve"> (foto -P. Lakovskis)</w:t>
            </w:r>
          </w:p>
        </w:tc>
      </w:tr>
    </w:tbl>
    <w:p w14:paraId="1DA295C9" w14:textId="77777777" w:rsidR="00D066F8" w:rsidRPr="00675182" w:rsidRDefault="00D066F8" w:rsidP="00D066F8">
      <w:pPr>
        <w:jc w:val="both"/>
        <w:rPr>
          <w:rFonts w:cstheme="minorHAnsi"/>
          <w:bCs/>
          <w:highlight w:val="magenta"/>
        </w:rPr>
      </w:pPr>
    </w:p>
    <w:tbl>
      <w:tblPr>
        <w:tblStyle w:val="TableGrid"/>
        <w:tblW w:w="0" w:type="auto"/>
        <w:tblLook w:val="04A0" w:firstRow="1" w:lastRow="0" w:firstColumn="1" w:lastColumn="0" w:noHBand="0" w:noVBand="1"/>
      </w:tblPr>
      <w:tblGrid>
        <w:gridCol w:w="4242"/>
        <w:gridCol w:w="4259"/>
      </w:tblGrid>
      <w:tr w:rsidR="00D066F8" w:rsidRPr="00675182" w14:paraId="77A87C31" w14:textId="77777777" w:rsidTr="00D066F8">
        <w:tc>
          <w:tcPr>
            <w:tcW w:w="4245" w:type="dxa"/>
            <w:tcBorders>
              <w:top w:val="nil"/>
              <w:left w:val="nil"/>
              <w:bottom w:val="nil"/>
              <w:right w:val="nil"/>
            </w:tcBorders>
            <w:hideMark/>
          </w:tcPr>
          <w:p w14:paraId="01590854" w14:textId="371FD83E" w:rsidR="00D066F8" w:rsidRPr="00675182" w:rsidRDefault="00D066F8">
            <w:pPr>
              <w:rPr>
                <w:rFonts w:cstheme="minorHAnsi"/>
                <w:highlight w:val="magenta"/>
              </w:rPr>
            </w:pPr>
            <w:r w:rsidRPr="00675182">
              <w:rPr>
                <w:rFonts w:cstheme="minorHAnsi"/>
                <w:noProof/>
                <w:lang w:eastAsia="en-GB"/>
              </w:rPr>
              <w:lastRenderedPageBreak/>
              <w:drawing>
                <wp:inline distT="0" distB="0" distL="0" distR="0" wp14:anchorId="18D46952" wp14:editId="0D41F9FB">
                  <wp:extent cx="3596640" cy="2697480"/>
                  <wp:effectExtent l="0" t="7620" r="0"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6"/>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rot="5400000">
                            <a:off x="0" y="0"/>
                            <a:ext cx="3596640" cy="2697480"/>
                          </a:xfrm>
                          <a:prstGeom prst="rect">
                            <a:avLst/>
                          </a:prstGeom>
                          <a:noFill/>
                          <a:ln>
                            <a:noFill/>
                          </a:ln>
                        </pic:spPr>
                      </pic:pic>
                    </a:graphicData>
                  </a:graphic>
                </wp:inline>
              </w:drawing>
            </w:r>
          </w:p>
        </w:tc>
        <w:tc>
          <w:tcPr>
            <w:tcW w:w="4246" w:type="dxa"/>
            <w:tcBorders>
              <w:top w:val="nil"/>
              <w:left w:val="nil"/>
              <w:bottom w:val="nil"/>
              <w:right w:val="nil"/>
            </w:tcBorders>
            <w:hideMark/>
          </w:tcPr>
          <w:p w14:paraId="4FA13CDB" w14:textId="03195B81" w:rsidR="00D066F8" w:rsidRPr="00675182" w:rsidRDefault="00D066F8">
            <w:pPr>
              <w:rPr>
                <w:rFonts w:cstheme="minorHAnsi"/>
                <w:highlight w:val="magenta"/>
              </w:rPr>
            </w:pPr>
            <w:r w:rsidRPr="00675182">
              <w:rPr>
                <w:rFonts w:cstheme="minorHAnsi"/>
                <w:noProof/>
                <w:lang w:eastAsia="en-GB"/>
              </w:rPr>
              <w:drawing>
                <wp:inline distT="0" distB="0" distL="0" distR="0" wp14:anchorId="27D939A5" wp14:editId="340D739F">
                  <wp:extent cx="3611880" cy="2705100"/>
                  <wp:effectExtent l="0" t="3810" r="3810" b="381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rot="5400000">
                            <a:off x="0" y="0"/>
                            <a:ext cx="3611880" cy="2705100"/>
                          </a:xfrm>
                          <a:prstGeom prst="rect">
                            <a:avLst/>
                          </a:prstGeom>
                          <a:noFill/>
                          <a:ln>
                            <a:noFill/>
                          </a:ln>
                        </pic:spPr>
                      </pic:pic>
                    </a:graphicData>
                  </a:graphic>
                </wp:inline>
              </w:drawing>
            </w:r>
          </w:p>
        </w:tc>
      </w:tr>
      <w:tr w:rsidR="00D066F8" w:rsidRPr="00675182" w14:paraId="4FACDF40" w14:textId="77777777" w:rsidTr="00D066F8">
        <w:tc>
          <w:tcPr>
            <w:tcW w:w="8491" w:type="dxa"/>
            <w:gridSpan w:val="2"/>
            <w:tcBorders>
              <w:top w:val="nil"/>
              <w:left w:val="nil"/>
              <w:bottom w:val="nil"/>
              <w:right w:val="nil"/>
            </w:tcBorders>
            <w:hideMark/>
          </w:tcPr>
          <w:p w14:paraId="15B158EB" w14:textId="71643714" w:rsidR="00D066F8" w:rsidRPr="00675182" w:rsidRDefault="00D066F8" w:rsidP="000E1364">
            <w:pPr>
              <w:jc w:val="both"/>
              <w:rPr>
                <w:rFonts w:cstheme="minorHAnsi"/>
                <w:b/>
                <w:bCs/>
                <w:i/>
                <w:iCs/>
              </w:rPr>
            </w:pPr>
            <w:r w:rsidRPr="00675182">
              <w:rPr>
                <w:rFonts w:cstheme="minorHAnsi"/>
                <w:b/>
                <w:bCs/>
                <w:i/>
                <w:iCs/>
              </w:rPr>
              <w:t>3.</w:t>
            </w:r>
            <w:r w:rsidR="000E1364" w:rsidRPr="00675182">
              <w:rPr>
                <w:rFonts w:cstheme="minorHAnsi"/>
                <w:b/>
                <w:bCs/>
                <w:i/>
                <w:iCs/>
              </w:rPr>
              <w:t>17</w:t>
            </w:r>
            <w:r w:rsidRPr="00675182">
              <w:rPr>
                <w:rFonts w:cstheme="minorHAnsi"/>
                <w:b/>
                <w:bCs/>
                <w:i/>
                <w:iCs/>
              </w:rPr>
              <w:t xml:space="preserve">. attēls. Potenciālās skatu vietas Cīrulīšu takās 2022.g. (foto: A. Tora). </w:t>
            </w:r>
            <w:r w:rsidRPr="00675182">
              <w:rPr>
                <w:rFonts w:cstheme="minorHAnsi"/>
              </w:rPr>
              <w:t>Cirtes skatu vietu atvēršanai veicamas samērīgi, ņ</w:t>
            </w:r>
            <w:r w:rsidR="008075F4" w:rsidRPr="00675182">
              <w:rPr>
                <w:rFonts w:cstheme="minorHAnsi"/>
              </w:rPr>
              <w:t>e</w:t>
            </w:r>
            <w:r w:rsidRPr="00675182">
              <w:rPr>
                <w:rFonts w:cstheme="minorHAnsi"/>
              </w:rPr>
              <w:t>mot vērā, ka netālu pieejams skatu tornis</w:t>
            </w:r>
          </w:p>
        </w:tc>
      </w:tr>
    </w:tbl>
    <w:p w14:paraId="35FD76B6" w14:textId="77777777" w:rsidR="00D066F8" w:rsidRPr="00675182" w:rsidRDefault="00D066F8" w:rsidP="00D066F8">
      <w:pPr>
        <w:jc w:val="both"/>
        <w:rPr>
          <w:rFonts w:cstheme="minorHAnsi"/>
          <w:bCs/>
          <w:highlight w:val="magenta"/>
        </w:rPr>
      </w:pPr>
    </w:p>
    <w:p w14:paraId="5C88A58C" w14:textId="4A41933A" w:rsidR="008075F4" w:rsidRPr="00675182" w:rsidRDefault="00FB4255" w:rsidP="00D066F8">
      <w:pPr>
        <w:jc w:val="both"/>
        <w:rPr>
          <w:rFonts w:cstheme="minorHAnsi"/>
          <w:bCs/>
        </w:rPr>
      </w:pPr>
      <w:r w:rsidRPr="00675182">
        <w:rPr>
          <w:rFonts w:cstheme="minorHAnsi"/>
          <w:bCs/>
        </w:rPr>
        <w:t>Skatu vietu uzturēšana vairākās vietās GNP aktuāla ne tikai dabas takās un tūrisma maršrutos, bet no nozīmīgiem ainavu uztveres veidotājiem - autoceļiem. Jo īpaši tas attiecināms uz ainaviskajiem ceļiem un atsevišķiem to posmiem (skat. 2.2.1</w:t>
      </w:r>
      <w:r w:rsidR="00AE1818" w:rsidRPr="00675182">
        <w:rPr>
          <w:rFonts w:cstheme="minorHAnsi"/>
          <w:bCs/>
        </w:rPr>
        <w:t>6</w:t>
      </w:r>
      <w:r w:rsidRPr="00675182">
        <w:rPr>
          <w:rFonts w:cstheme="minorHAnsi"/>
          <w:bCs/>
        </w:rPr>
        <w:t>. attēlu). Ņemot vērā slēgtu un/vai tuvu ainavu skatu pieaugumu zemes lietojuma veidu izmaiņu rezultātā, kā arī dabisku un antropogēnu faktoru rezultātā, GNP ir aktuāla atklātu ainavu uzturēšana un saglabāšana. Atsevišķās vietās ir nepieciešama ainavu atvēršana gar autoceļiem (krūmāju joslu vai pameža ciršana), kur atrodas nozīmīgas ainavu vērtības. Šāda pieeja attiecināma uz skatu atvērumu veidošanu joslās gar upēm un ezeriem. Tā kā lielākoties šīs teritorijas ietilpst aizsargjoslās, tad nebūtu veicamas kailcirtes, taču kopšanas cirtes (pameža un krūmu ciršana) ir pieļaujama, ņemot vērā tur esošās dabas vērtības un saskaņojot ar DAP (piemērus skat. 3.18. un 3.19. attēlā).</w:t>
      </w:r>
    </w:p>
    <w:p w14:paraId="05DD3715" w14:textId="77777777" w:rsidR="00FB4255" w:rsidRPr="00675182" w:rsidRDefault="00FB4255" w:rsidP="00D066F8">
      <w:pPr>
        <w:jc w:val="both"/>
        <w:rPr>
          <w:rFonts w:cstheme="minorHAnsi"/>
          <w:bCs/>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4265"/>
      </w:tblGrid>
      <w:tr w:rsidR="00D066F8" w:rsidRPr="00675182" w14:paraId="4C52C877" w14:textId="77777777" w:rsidTr="00965B1E">
        <w:tc>
          <w:tcPr>
            <w:tcW w:w="4231" w:type="dxa"/>
            <w:hideMark/>
          </w:tcPr>
          <w:p w14:paraId="7C53281A" w14:textId="7F6CD373" w:rsidR="00D066F8" w:rsidRPr="00675182" w:rsidRDefault="00D066F8" w:rsidP="00A0794E">
            <w:pPr>
              <w:keepNext/>
              <w:keepLines/>
              <w:jc w:val="both"/>
              <w:rPr>
                <w:rFonts w:cstheme="minorHAnsi"/>
                <w:bCs/>
                <w:highlight w:val="magenta"/>
              </w:rPr>
            </w:pPr>
            <w:r w:rsidRPr="00675182">
              <w:rPr>
                <w:rFonts w:cstheme="minorHAnsi"/>
                <w:noProof/>
                <w:lang w:eastAsia="en-GB"/>
              </w:rPr>
              <w:lastRenderedPageBreak/>
              <w:drawing>
                <wp:inline distT="0" distB="0" distL="0" distR="0" wp14:anchorId="53853406" wp14:editId="70FB9AC1">
                  <wp:extent cx="2583180" cy="1935480"/>
                  <wp:effectExtent l="0" t="0" r="7620" b="762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583180" cy="1935480"/>
                          </a:xfrm>
                          <a:prstGeom prst="rect">
                            <a:avLst/>
                          </a:prstGeom>
                          <a:noFill/>
                          <a:ln>
                            <a:noFill/>
                          </a:ln>
                        </pic:spPr>
                      </pic:pic>
                    </a:graphicData>
                  </a:graphic>
                </wp:inline>
              </w:drawing>
            </w:r>
          </w:p>
        </w:tc>
        <w:tc>
          <w:tcPr>
            <w:tcW w:w="4260" w:type="dxa"/>
            <w:hideMark/>
          </w:tcPr>
          <w:p w14:paraId="1D366F26" w14:textId="1B0BA1A1" w:rsidR="00D066F8" w:rsidRPr="00675182" w:rsidRDefault="00D066F8" w:rsidP="00A0794E">
            <w:pPr>
              <w:keepNext/>
              <w:keepLines/>
              <w:jc w:val="both"/>
              <w:rPr>
                <w:rFonts w:cstheme="minorHAnsi"/>
                <w:bCs/>
                <w:highlight w:val="magenta"/>
              </w:rPr>
            </w:pPr>
            <w:r w:rsidRPr="00675182">
              <w:rPr>
                <w:rFonts w:cstheme="minorHAnsi"/>
                <w:noProof/>
                <w:lang w:eastAsia="en-GB"/>
              </w:rPr>
              <w:drawing>
                <wp:inline distT="0" distB="0" distL="0" distR="0" wp14:anchorId="3829B627" wp14:editId="0283F2F0">
                  <wp:extent cx="2606040" cy="1950720"/>
                  <wp:effectExtent l="0" t="0" r="3810"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606040" cy="1950720"/>
                          </a:xfrm>
                          <a:prstGeom prst="rect">
                            <a:avLst/>
                          </a:prstGeom>
                          <a:noFill/>
                          <a:ln>
                            <a:noFill/>
                          </a:ln>
                        </pic:spPr>
                      </pic:pic>
                    </a:graphicData>
                  </a:graphic>
                </wp:inline>
              </w:drawing>
            </w:r>
          </w:p>
        </w:tc>
      </w:tr>
      <w:tr w:rsidR="00D066F8" w:rsidRPr="00675182" w14:paraId="7F7EC0CD" w14:textId="77777777" w:rsidTr="00965B1E">
        <w:tc>
          <w:tcPr>
            <w:tcW w:w="4231" w:type="dxa"/>
            <w:hideMark/>
          </w:tcPr>
          <w:p w14:paraId="1EE157E5" w14:textId="584A410B" w:rsidR="00D066F8" w:rsidRPr="00675182" w:rsidRDefault="008075F4" w:rsidP="00A0794E">
            <w:pPr>
              <w:keepNext/>
              <w:keepLines/>
              <w:jc w:val="both"/>
              <w:rPr>
                <w:rFonts w:cstheme="minorHAnsi"/>
                <w:b/>
                <w:bCs/>
                <w:i/>
                <w:iCs/>
              </w:rPr>
            </w:pPr>
            <w:r w:rsidRPr="00675182">
              <w:rPr>
                <w:rFonts w:cstheme="minorHAnsi"/>
                <w:b/>
                <w:bCs/>
                <w:i/>
                <w:iCs/>
              </w:rPr>
              <w:t xml:space="preserve">3.18. attēls. </w:t>
            </w:r>
            <w:r w:rsidR="00D066F8" w:rsidRPr="00675182">
              <w:rPr>
                <w:rFonts w:cstheme="minorHAnsi"/>
                <w:b/>
                <w:bCs/>
                <w:i/>
                <w:iCs/>
              </w:rPr>
              <w:t>Kopšanas cirtes rezultātā nodrošināta Raiskuma ezera vizuālā sasniedzamība</w:t>
            </w:r>
            <w:r w:rsidRPr="00675182">
              <w:rPr>
                <w:rFonts w:cstheme="minorHAnsi"/>
                <w:b/>
                <w:bCs/>
                <w:i/>
                <w:iCs/>
              </w:rPr>
              <w:t xml:space="preserve"> (foto -P. Lakovskis)</w:t>
            </w:r>
            <w:r w:rsidR="00965B1E" w:rsidRPr="00675182">
              <w:rPr>
                <w:rFonts w:cstheme="minorHAnsi"/>
                <w:b/>
                <w:bCs/>
                <w:i/>
                <w:iCs/>
              </w:rPr>
              <w:t>.</w:t>
            </w:r>
          </w:p>
        </w:tc>
        <w:tc>
          <w:tcPr>
            <w:tcW w:w="4260" w:type="dxa"/>
            <w:hideMark/>
          </w:tcPr>
          <w:p w14:paraId="45F5BDCA" w14:textId="40B09682" w:rsidR="00D066F8" w:rsidRPr="00675182" w:rsidRDefault="008075F4" w:rsidP="00A0794E">
            <w:pPr>
              <w:keepNext/>
              <w:keepLines/>
              <w:jc w:val="both"/>
              <w:rPr>
                <w:rFonts w:cstheme="minorHAnsi"/>
                <w:b/>
                <w:bCs/>
                <w:i/>
                <w:iCs/>
              </w:rPr>
            </w:pPr>
            <w:r w:rsidRPr="00675182">
              <w:rPr>
                <w:rFonts w:cstheme="minorHAnsi"/>
                <w:b/>
                <w:bCs/>
                <w:i/>
                <w:iCs/>
              </w:rPr>
              <w:t>3.19. attēls</w:t>
            </w:r>
            <w:r w:rsidR="00D066F8" w:rsidRPr="00675182">
              <w:rPr>
                <w:rFonts w:cstheme="minorHAnsi"/>
                <w:b/>
                <w:bCs/>
                <w:i/>
                <w:iCs/>
              </w:rPr>
              <w:t>. Ceļmalas apaugums ierobežo skatu uz Ungura ezeru – rekomendējama skata atvēršana</w:t>
            </w:r>
            <w:r w:rsidR="00965B1E" w:rsidRPr="00675182">
              <w:rPr>
                <w:rFonts w:cstheme="minorHAnsi"/>
                <w:b/>
                <w:bCs/>
                <w:i/>
                <w:iCs/>
              </w:rPr>
              <w:t xml:space="preserve"> (foto -P. Lakovskis).</w:t>
            </w:r>
            <w:r w:rsidR="00D066F8" w:rsidRPr="00675182">
              <w:rPr>
                <w:rFonts w:cstheme="minorHAnsi"/>
                <w:b/>
                <w:bCs/>
                <w:i/>
                <w:iCs/>
              </w:rPr>
              <w:t xml:space="preserve"> </w:t>
            </w:r>
          </w:p>
        </w:tc>
      </w:tr>
    </w:tbl>
    <w:p w14:paraId="21E4401B" w14:textId="77777777" w:rsidR="008075F4" w:rsidRPr="00675182" w:rsidRDefault="008075F4" w:rsidP="00D066F8">
      <w:pPr>
        <w:jc w:val="both"/>
        <w:rPr>
          <w:rFonts w:cstheme="minorHAnsi"/>
          <w:bCs/>
          <w:highlight w:val="magenta"/>
        </w:rPr>
      </w:pPr>
    </w:p>
    <w:p w14:paraId="041D98A4" w14:textId="77777777" w:rsidR="00FB4255" w:rsidRPr="00675182" w:rsidRDefault="00FB4255" w:rsidP="00FB4255">
      <w:pPr>
        <w:jc w:val="both"/>
        <w:rPr>
          <w:rFonts w:cstheme="minorHAnsi"/>
          <w:bCs/>
        </w:rPr>
      </w:pPr>
      <w:r w:rsidRPr="00675182">
        <w:rPr>
          <w:rFonts w:cstheme="minorHAnsi"/>
          <w:bCs/>
        </w:rPr>
        <w:t xml:space="preserve">Ainavu uztverei nepieciešama papildu ainavisko ceļu/maršrutu uzturēšana, kas paredz regulāru ceļmalu pļaušanu un krūmu ciršanu atklātu ainavu skatu nodrošināšanai, jo īpaši vietās, kur ainaviskie ceļi iet caur LIZ. </w:t>
      </w:r>
    </w:p>
    <w:p w14:paraId="7E758DBC" w14:textId="77777777" w:rsidR="00FB4255" w:rsidRPr="00675182" w:rsidRDefault="00FB4255" w:rsidP="00FB4255">
      <w:pPr>
        <w:jc w:val="both"/>
        <w:rPr>
          <w:rFonts w:cstheme="minorHAnsi"/>
          <w:bCs/>
        </w:rPr>
      </w:pPr>
    </w:p>
    <w:p w14:paraId="7ECB7468" w14:textId="099D957D" w:rsidR="00FB4255" w:rsidRPr="00675182" w:rsidRDefault="00FB4255" w:rsidP="00FB4255">
      <w:pPr>
        <w:jc w:val="both"/>
        <w:rPr>
          <w:rFonts w:cstheme="minorHAnsi"/>
          <w:bCs/>
          <w:iCs/>
          <w:szCs w:val="24"/>
        </w:rPr>
      </w:pPr>
      <w:r w:rsidRPr="00675182">
        <w:rPr>
          <w:rFonts w:cstheme="minorHAnsi"/>
          <w:bCs/>
          <w:iCs/>
          <w:szCs w:val="24"/>
        </w:rPr>
        <w:t>Ir jānodrošina skata atsegšana un uzturēšana no Ainavu kraujas augšmalas (skat. 2.2.1</w:t>
      </w:r>
      <w:r w:rsidR="00AE1818" w:rsidRPr="00675182">
        <w:rPr>
          <w:rFonts w:cstheme="minorHAnsi"/>
          <w:bCs/>
          <w:iCs/>
          <w:szCs w:val="24"/>
        </w:rPr>
        <w:t>6</w:t>
      </w:r>
      <w:r w:rsidRPr="00675182">
        <w:rPr>
          <w:rFonts w:cstheme="minorHAnsi"/>
          <w:bCs/>
          <w:iCs/>
          <w:szCs w:val="24"/>
        </w:rPr>
        <w:t>. attēlu); iespējama skata atsegšana atsevišķās vizūrās no Sietiņieža, piesaistot ainavu ekspertu un iežu atsegumu biotopu ekspertu. Būtu jāturpina skatu vizūru un atsegtu skatu uzturēšana citos tūrisma infrastruktūras objektos, kur šobrīd ir atklātas ainavas.</w:t>
      </w:r>
    </w:p>
    <w:p w14:paraId="5E3DB796" w14:textId="77777777" w:rsidR="00FB4255" w:rsidRPr="00675182" w:rsidRDefault="00FB4255" w:rsidP="00FB4255">
      <w:pPr>
        <w:jc w:val="both"/>
        <w:rPr>
          <w:rFonts w:cstheme="minorHAnsi"/>
          <w:bCs/>
          <w:iCs/>
          <w:szCs w:val="24"/>
        </w:rPr>
      </w:pPr>
    </w:p>
    <w:p w14:paraId="647DE386" w14:textId="622F4235" w:rsidR="00D066F8" w:rsidRPr="00675182" w:rsidRDefault="00FB4255" w:rsidP="00FB4255">
      <w:pPr>
        <w:jc w:val="both"/>
        <w:rPr>
          <w:rFonts w:cstheme="minorHAnsi"/>
          <w:bCs/>
          <w:iCs/>
          <w:szCs w:val="24"/>
        </w:rPr>
      </w:pPr>
      <w:r w:rsidRPr="00675182">
        <w:rPr>
          <w:rFonts w:cstheme="minorHAnsi"/>
          <w:bCs/>
          <w:iCs/>
          <w:szCs w:val="24"/>
        </w:rPr>
        <w:t>Viens no biežākajiem objektiem, pie kura pašvaldības vai privātīpašnieki vēlas veidot skatu atvērumus, ir Gaujas upe. Lai samazinātu administratīvo slogu ikreizējai darbību saskaņošanai DAP, vēlams kopīgi visām pašvaldībām izstrādāt Gaujas krastu ainavas uzturēšanas plānu, sagatavojot konkrētus priekšlikumus skatu vietu uzturēšanai, saskaņā ar ainavu arhitekta un sugu un biotopu aizsardzības jomas eksperta (par biotopu grupām – meži) rekomendācijām; pēc šāda plāna saskaņošanas faktiskos darbus noteiktā laika periodā varētu veikt bez ikreizējas saskaņošanas.</w:t>
      </w:r>
    </w:p>
    <w:p w14:paraId="4A0BD13B" w14:textId="77777777" w:rsidR="00FB4255" w:rsidRPr="00675182" w:rsidRDefault="00FB4255" w:rsidP="00FB4255">
      <w:pPr>
        <w:jc w:val="both"/>
        <w:rPr>
          <w:rFonts w:cstheme="minorHAnsi"/>
          <w:b/>
          <w:bCs/>
        </w:rPr>
      </w:pPr>
    </w:p>
    <w:p w14:paraId="4C8E8883" w14:textId="0B5590D6" w:rsidR="00D066F8" w:rsidRPr="00675182" w:rsidRDefault="00D066F8" w:rsidP="00FB4255">
      <w:pPr>
        <w:keepNext/>
        <w:keepLines/>
        <w:jc w:val="both"/>
        <w:rPr>
          <w:rFonts w:cstheme="minorHAnsi"/>
          <w:b/>
          <w:bCs/>
        </w:rPr>
      </w:pPr>
      <w:r w:rsidRPr="00675182">
        <w:rPr>
          <w:rFonts w:cstheme="minorHAnsi"/>
          <w:b/>
          <w:bCs/>
        </w:rPr>
        <w:t xml:space="preserve">C.2.3. </w:t>
      </w:r>
      <w:r w:rsidR="00965B1E" w:rsidRPr="00675182">
        <w:rPr>
          <w:rFonts w:cstheme="minorHAnsi"/>
          <w:b/>
          <w:bCs/>
        </w:rPr>
        <w:t>Ainavas negatīvi ietekmējošo faktoru novēršana/mazināšana</w:t>
      </w:r>
    </w:p>
    <w:p w14:paraId="33D353E5" w14:textId="77777777" w:rsidR="008F3A1B" w:rsidRPr="00675182" w:rsidRDefault="008F3A1B" w:rsidP="008F3A1B">
      <w:pPr>
        <w:jc w:val="both"/>
        <w:rPr>
          <w:rFonts w:cstheme="minorHAnsi"/>
          <w:bCs/>
        </w:rPr>
      </w:pPr>
      <w:r w:rsidRPr="00675182">
        <w:rPr>
          <w:rFonts w:cstheme="minorHAnsi"/>
          <w:bCs/>
        </w:rPr>
        <w:t xml:space="preserve">Ainavu ietekmē dažādi faktori, sākot ar zemes pārvaldības līdz praktiskai zemes, ēku apsaimniekošanai un atpūtnieku rīcībai dabas objektos. Ainavu pārvaldības uzdevumi aprakstīti vairākos apsaimniekošanas pasākumos un turpmākos teritorijas izmantošanas noteikumos. Tāpat ietekmes uz ainavu mazināšana un vēlama ainavu attīstība saistīta ar daudziem pasākumiem, kuriem 3.1. tabulā attiecināts kāds no C sadaļas mērķiem. Atsevišķi ainavas negatīvo ietekmju mazināšanai minami šādi pasākumi – degradēto un piesārņoto vietu rekultivācija/sakopšana (piem., senielejas nogāze Gaujas ciemā), zālāju apsaimniekošana Gaujas senielejas palienē un virspalu terasēs, un upju ielejās (piemērus skatīt 3.20 un 3.21. attēlu). </w:t>
      </w:r>
    </w:p>
    <w:p w14:paraId="4D46564D" w14:textId="77777777" w:rsidR="008F3A1B" w:rsidRPr="00675182" w:rsidRDefault="008F3A1B" w:rsidP="008F3A1B">
      <w:pPr>
        <w:jc w:val="both"/>
        <w:rPr>
          <w:rFonts w:cstheme="minorHAnsi"/>
          <w:bCs/>
        </w:rPr>
      </w:pPr>
    </w:p>
    <w:p w14:paraId="1317D499" w14:textId="22DAAFE0" w:rsidR="00D066F8" w:rsidRPr="00675182" w:rsidRDefault="008F3A1B" w:rsidP="008F3A1B">
      <w:pPr>
        <w:jc w:val="both"/>
        <w:rPr>
          <w:rFonts w:cstheme="minorHAnsi"/>
          <w:bCs/>
        </w:rPr>
      </w:pPr>
      <w:r w:rsidRPr="00675182">
        <w:rPr>
          <w:rFonts w:cstheme="minorHAnsi"/>
          <w:bCs/>
        </w:rPr>
        <w:t xml:space="preserve">Ilggadīgo zālāju apsaimniekošana ir prioritāri jānodrošina ainaviskajās teritorijās, t.i., zālāju uzturēšana gar ainaviskajiem ceļiem un ainaviski nozīmīgās vietās (skat. ainavu karti). Zālāju uzturēšana ainaviskās vietās, jo īpaši Gaujas senielejā, būtu papildu </w:t>
      </w:r>
      <w:r w:rsidRPr="00675182">
        <w:rPr>
          <w:rFonts w:cstheme="minorHAnsi"/>
          <w:bCs/>
        </w:rPr>
        <w:lastRenderedPageBreak/>
        <w:t xml:space="preserve">atbalstāmas gan saistībā ar Lauku attīstības programmas platību maksājumu intervencēm (BDUZ, zālāju atjaunošana), gan no pašvaldību puses piemērojot </w:t>
      </w:r>
      <w:r w:rsidR="007867CE">
        <w:rPr>
          <w:rFonts w:cstheme="minorHAnsi"/>
          <w:bCs/>
        </w:rPr>
        <w:t>nekustamā īpašuma ndokļu</w:t>
      </w:r>
      <w:r w:rsidR="007867CE" w:rsidRPr="00675182">
        <w:rPr>
          <w:rFonts w:cstheme="minorHAnsi"/>
          <w:bCs/>
        </w:rPr>
        <w:t xml:space="preserve"> </w:t>
      </w:r>
      <w:r w:rsidRPr="00675182">
        <w:rPr>
          <w:rFonts w:cstheme="minorHAnsi"/>
          <w:bCs/>
        </w:rPr>
        <w:t>atlaides vai sniedzot cita veida atbalstu apsaimniekotājiem. Ņemot vērā atvērto ainavu izzušanas tendences, kā mērķis būtu nosakāms 20% palielinājums atbalsttiesīgajām platībām ainaviski nozīmīgākās teritorijās.</w:t>
      </w:r>
    </w:p>
    <w:p w14:paraId="0138F151" w14:textId="77777777" w:rsidR="008F3A1B" w:rsidRPr="00675182" w:rsidRDefault="008F3A1B" w:rsidP="008F3A1B">
      <w:pPr>
        <w:jc w:val="both"/>
        <w:rPr>
          <w:rFonts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46"/>
      </w:tblGrid>
      <w:tr w:rsidR="00D066F8" w:rsidRPr="00675182" w14:paraId="6DF69499" w14:textId="77777777" w:rsidTr="00965B1E">
        <w:tc>
          <w:tcPr>
            <w:tcW w:w="4245" w:type="dxa"/>
            <w:hideMark/>
          </w:tcPr>
          <w:p w14:paraId="14439E3E" w14:textId="427EBD41" w:rsidR="00D066F8" w:rsidRPr="00675182" w:rsidRDefault="00D066F8">
            <w:pPr>
              <w:jc w:val="both"/>
              <w:rPr>
                <w:rFonts w:cstheme="minorHAnsi"/>
                <w:bCs/>
              </w:rPr>
            </w:pPr>
            <w:r w:rsidRPr="00675182">
              <w:rPr>
                <w:rFonts w:cstheme="minorHAnsi"/>
                <w:noProof/>
                <w:lang w:eastAsia="en-GB"/>
              </w:rPr>
              <w:drawing>
                <wp:inline distT="0" distB="0" distL="0" distR="0" wp14:anchorId="333DC631" wp14:editId="376F4389">
                  <wp:extent cx="2438400" cy="1828800"/>
                  <wp:effectExtent l="0" t="0" r="0"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p>
        </w:tc>
        <w:tc>
          <w:tcPr>
            <w:tcW w:w="4246" w:type="dxa"/>
            <w:hideMark/>
          </w:tcPr>
          <w:p w14:paraId="011A6DE5" w14:textId="581FACA1" w:rsidR="00D066F8" w:rsidRPr="00675182" w:rsidRDefault="00D066F8">
            <w:pPr>
              <w:jc w:val="both"/>
              <w:rPr>
                <w:rFonts w:cstheme="minorHAnsi"/>
                <w:bCs/>
              </w:rPr>
            </w:pPr>
            <w:r w:rsidRPr="00675182">
              <w:rPr>
                <w:rFonts w:cstheme="minorHAnsi"/>
                <w:noProof/>
                <w:lang w:eastAsia="en-GB"/>
              </w:rPr>
              <w:drawing>
                <wp:inline distT="0" distB="0" distL="0" distR="0" wp14:anchorId="63E91F57" wp14:editId="3527EF9A">
                  <wp:extent cx="2491740" cy="1866900"/>
                  <wp:effectExtent l="0" t="0" r="3810"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491740" cy="1866900"/>
                          </a:xfrm>
                          <a:prstGeom prst="rect">
                            <a:avLst/>
                          </a:prstGeom>
                          <a:noFill/>
                          <a:ln>
                            <a:noFill/>
                          </a:ln>
                        </pic:spPr>
                      </pic:pic>
                    </a:graphicData>
                  </a:graphic>
                </wp:inline>
              </w:drawing>
            </w:r>
          </w:p>
        </w:tc>
      </w:tr>
      <w:tr w:rsidR="00D066F8" w:rsidRPr="00675182" w14:paraId="11C88B5D" w14:textId="77777777" w:rsidTr="00965B1E">
        <w:tc>
          <w:tcPr>
            <w:tcW w:w="4245" w:type="dxa"/>
            <w:hideMark/>
          </w:tcPr>
          <w:p w14:paraId="27AFAA72" w14:textId="1E6791F5" w:rsidR="00D066F8" w:rsidRPr="00675182" w:rsidRDefault="00965B1E">
            <w:pPr>
              <w:jc w:val="both"/>
              <w:rPr>
                <w:rFonts w:cstheme="minorHAnsi"/>
                <w:b/>
                <w:i/>
                <w:iCs/>
              </w:rPr>
            </w:pPr>
            <w:r w:rsidRPr="00675182">
              <w:rPr>
                <w:rFonts w:cstheme="minorHAnsi"/>
                <w:b/>
                <w:i/>
                <w:iCs/>
              </w:rPr>
              <w:t>3.20</w:t>
            </w:r>
            <w:r w:rsidR="00D066F8" w:rsidRPr="00675182">
              <w:rPr>
                <w:rFonts w:cstheme="minorHAnsi"/>
                <w:b/>
                <w:i/>
                <w:iCs/>
              </w:rPr>
              <w:t>. att</w:t>
            </w:r>
            <w:r w:rsidRPr="00675182">
              <w:rPr>
                <w:rFonts w:cstheme="minorHAnsi"/>
                <w:b/>
                <w:i/>
                <w:iCs/>
              </w:rPr>
              <w:t>ēls</w:t>
            </w:r>
            <w:r w:rsidR="00D066F8" w:rsidRPr="00675182">
              <w:rPr>
                <w:rFonts w:cstheme="minorHAnsi"/>
                <w:b/>
                <w:i/>
                <w:iCs/>
              </w:rPr>
              <w:t>. Pamesta teritorija pie Gaujas ciema – nepieciešama teritorijas sakopšana</w:t>
            </w:r>
            <w:r w:rsidRPr="00675182">
              <w:rPr>
                <w:rFonts w:cstheme="minorHAnsi"/>
                <w:b/>
                <w:i/>
                <w:iCs/>
              </w:rPr>
              <w:t xml:space="preserve"> (foto -P. Lakovskis)</w:t>
            </w:r>
            <w:r w:rsidR="00D066F8" w:rsidRPr="00675182">
              <w:rPr>
                <w:rFonts w:cstheme="minorHAnsi"/>
                <w:b/>
                <w:i/>
                <w:iCs/>
              </w:rPr>
              <w:t>.</w:t>
            </w:r>
          </w:p>
        </w:tc>
        <w:tc>
          <w:tcPr>
            <w:tcW w:w="4246" w:type="dxa"/>
            <w:hideMark/>
          </w:tcPr>
          <w:p w14:paraId="192A95FB" w14:textId="71426159" w:rsidR="00D066F8" w:rsidRPr="00675182" w:rsidRDefault="00965B1E">
            <w:pPr>
              <w:jc w:val="both"/>
              <w:rPr>
                <w:rFonts w:cstheme="minorHAnsi"/>
                <w:b/>
                <w:i/>
                <w:iCs/>
              </w:rPr>
            </w:pPr>
            <w:r w:rsidRPr="00675182">
              <w:rPr>
                <w:rFonts w:cstheme="minorHAnsi"/>
                <w:b/>
                <w:i/>
                <w:iCs/>
              </w:rPr>
              <w:t>3.21</w:t>
            </w:r>
            <w:r w:rsidR="00D066F8" w:rsidRPr="00675182">
              <w:rPr>
                <w:rFonts w:cstheme="minorHAnsi"/>
                <w:b/>
                <w:i/>
                <w:iCs/>
              </w:rPr>
              <w:t>. att</w:t>
            </w:r>
            <w:r w:rsidRPr="00675182">
              <w:rPr>
                <w:rFonts w:cstheme="minorHAnsi"/>
                <w:b/>
                <w:i/>
                <w:iCs/>
              </w:rPr>
              <w:t>ēls</w:t>
            </w:r>
            <w:r w:rsidR="00D066F8" w:rsidRPr="00675182">
              <w:rPr>
                <w:rFonts w:cstheme="minorHAnsi"/>
                <w:b/>
                <w:i/>
                <w:iCs/>
              </w:rPr>
              <w:t>. Aizaugošas pļavas Gaujas krastā – vizuālo un ekoloģiskās funkcionalitātes vērtību atjaunošanai nepieciešama pļavu uzturēšana</w:t>
            </w:r>
            <w:r w:rsidRPr="00675182">
              <w:rPr>
                <w:rFonts w:cstheme="minorHAnsi"/>
                <w:b/>
                <w:i/>
                <w:iCs/>
              </w:rPr>
              <w:t xml:space="preserve"> (foto -P. Lakovskis).</w:t>
            </w:r>
          </w:p>
        </w:tc>
      </w:tr>
    </w:tbl>
    <w:p w14:paraId="00E3DF3B" w14:textId="77777777" w:rsidR="00AA21BE" w:rsidRPr="00675182" w:rsidRDefault="00AA21BE" w:rsidP="000950A8">
      <w:pPr>
        <w:rPr>
          <w:rFonts w:cstheme="minorHAnsi"/>
          <w:b/>
          <w:bCs/>
        </w:rPr>
      </w:pPr>
    </w:p>
    <w:p w14:paraId="2223A8F8" w14:textId="378EEB41" w:rsidR="000950A8" w:rsidRPr="00675182" w:rsidRDefault="000950A8" w:rsidP="000950A8">
      <w:pPr>
        <w:rPr>
          <w:rFonts w:cstheme="minorHAnsi"/>
          <w:b/>
          <w:bCs/>
        </w:rPr>
      </w:pPr>
      <w:r w:rsidRPr="00675182">
        <w:rPr>
          <w:rFonts w:cstheme="minorHAnsi"/>
          <w:b/>
          <w:bCs/>
        </w:rPr>
        <w:t>C.2.4. Finansējuma piesaistīšana meža atjaunošanai ar priedi</w:t>
      </w:r>
    </w:p>
    <w:p w14:paraId="21B085D8" w14:textId="58E49319" w:rsidR="000950A8" w:rsidRPr="00675182" w:rsidRDefault="000950A8" w:rsidP="00D066F8">
      <w:pPr>
        <w:jc w:val="both"/>
        <w:rPr>
          <w:rFonts w:cstheme="minorHAnsi"/>
          <w:b/>
          <w:bCs/>
        </w:rPr>
      </w:pPr>
      <w:r w:rsidRPr="00675182">
        <w:rPr>
          <w:rFonts w:cstheme="minorHAnsi"/>
        </w:rPr>
        <w:t xml:space="preserve">Datu analīze par nocirsto priežu mežaudžu atjaunošanu rāda, ka </w:t>
      </w:r>
      <w:r w:rsidR="007867CE">
        <w:rPr>
          <w:rFonts w:cstheme="minorHAnsi"/>
        </w:rPr>
        <w:t>AAZ</w:t>
      </w:r>
      <w:r w:rsidRPr="00675182">
        <w:rPr>
          <w:rFonts w:cstheme="minorHAnsi"/>
        </w:rPr>
        <w:t xml:space="preserve"> un </w:t>
      </w:r>
      <w:r w:rsidR="007867CE">
        <w:rPr>
          <w:rFonts w:cstheme="minorHAnsi"/>
        </w:rPr>
        <w:t>NZ</w:t>
      </w:r>
      <w:r w:rsidRPr="00675182">
        <w:rPr>
          <w:rFonts w:cstheme="minorHAnsi"/>
        </w:rPr>
        <w:t xml:space="preserve">, kur iespējams veikt 2 ha lielas kailcirtes sausieņu priežu mežos (tātad ir optimāli izgaismojuma apstākļi dabiskai priedes augšanai), to atjaunošanas īpatsvars ar priedi ir tikai aptuveni 30% (dati laikā no 2015. līdz 2021. gadam). Tā kā priežu meži ir viens no GNP ainavas raksturīgajiem elementiem, veicināma meža atjaunošana ar priedi. Kā galveno šķērsli meža apsaimniekotāji identificējuši lielās atjaunošanas un kopšanas izmaksas, kā arī ilgāku koksnes aprites ciklu. Lai veicinātu atjaunošanu ar priedi, piesaistāms projektu finansējums (piemēram, </w:t>
      </w:r>
      <w:r w:rsidR="00AB6FC2">
        <w:rPr>
          <w:rFonts w:cstheme="minorHAnsi"/>
        </w:rPr>
        <w:t>KF</w:t>
      </w:r>
      <w:r w:rsidRPr="00675182">
        <w:rPr>
          <w:rFonts w:cstheme="minorHAnsi"/>
        </w:rPr>
        <w:t xml:space="preserve"> projekti, klimata pārmaiņu samazināšanas finanšu instrumenti u.c.), lai pilnībā vai daļēji kompensētu atjaunošanas un sākotnējās agrotehniskās kopšanas izmaksas.</w:t>
      </w:r>
    </w:p>
    <w:p w14:paraId="73D33F82" w14:textId="77777777" w:rsidR="000950A8" w:rsidRPr="00675182" w:rsidRDefault="000950A8" w:rsidP="00D066F8">
      <w:pPr>
        <w:jc w:val="both"/>
        <w:rPr>
          <w:rFonts w:cstheme="minorHAnsi"/>
          <w:b/>
          <w:bCs/>
        </w:rPr>
      </w:pPr>
    </w:p>
    <w:p w14:paraId="228E7011" w14:textId="7ABB059D" w:rsidR="00D066F8" w:rsidRPr="00675182" w:rsidRDefault="0044218A" w:rsidP="00D066F8">
      <w:pPr>
        <w:jc w:val="both"/>
        <w:rPr>
          <w:rFonts w:cstheme="minorHAnsi"/>
          <w:b/>
          <w:bCs/>
        </w:rPr>
      </w:pPr>
      <w:r w:rsidRPr="00675182">
        <w:rPr>
          <w:rFonts w:cstheme="minorHAnsi"/>
          <w:b/>
          <w:bCs/>
        </w:rPr>
        <w:t>C</w:t>
      </w:r>
      <w:r w:rsidR="00D066F8" w:rsidRPr="00675182">
        <w:rPr>
          <w:rFonts w:cstheme="minorHAnsi"/>
          <w:b/>
          <w:bCs/>
        </w:rPr>
        <w:t>.3. Investīciju piesaiste materiālā kultūras mantojuma (valsts aizsargājamo kultūras pieminekļu, dabas un kultūrvēstures) un nemateriālā kultūras mantojuma tradīciju atjaunošanai un uzturēšanai</w:t>
      </w:r>
    </w:p>
    <w:p w14:paraId="1F31A41C" w14:textId="3FE3408A" w:rsidR="008F3A1B" w:rsidRPr="00675182" w:rsidRDefault="008F3A1B" w:rsidP="008F3A1B">
      <w:pPr>
        <w:jc w:val="both"/>
        <w:rPr>
          <w:rFonts w:cstheme="minorHAnsi"/>
          <w:color w:val="222222"/>
          <w:shd w:val="clear" w:color="auto" w:fill="FFFFFF"/>
        </w:rPr>
      </w:pPr>
      <w:r w:rsidRPr="00675182">
        <w:rPr>
          <w:rFonts w:cstheme="minorHAnsi"/>
          <w:color w:val="222222"/>
          <w:shd w:val="clear" w:color="auto" w:fill="FFFFFF"/>
        </w:rPr>
        <w:t xml:space="preserve">Pasākums saistīts ar tiem materiālā kultūras mantojuma (valsts aizsargājamo kultūras pieminekļu un dabas pieminekļu) un nemateriālā kultūras mantojuma tradīciju resursiem, kuriem ir potenciāls tikt izmantotiem tūrisma piedāvājuma veidošanā. Atbilst uzstādījumam ne tikai par mantojuma vērtību saglabāšanu, bet arī to stāvokļa uzlabošanu. Šajā gadījumā tūrisms var kalpot kā instruments papildu finansējuma piesaistei šo vērtību restaurēšanai, labiekārtošanai vai kā citādi – stāvokļa uzlabošanai, nemateriālā mantojuma, tostarp amata prasmju kopšanu, īpaši saistot ar Latvijas kultūras kanonu un Nemateriālā kultūras mantojuma sarakstu.  </w:t>
      </w:r>
    </w:p>
    <w:p w14:paraId="4E717D05" w14:textId="77777777" w:rsidR="008F3A1B" w:rsidRPr="00675182" w:rsidRDefault="008F3A1B" w:rsidP="008F3A1B">
      <w:pPr>
        <w:jc w:val="both"/>
        <w:rPr>
          <w:rFonts w:cstheme="minorHAnsi"/>
          <w:color w:val="222222"/>
          <w:shd w:val="clear" w:color="auto" w:fill="FFFFFF"/>
        </w:rPr>
      </w:pPr>
    </w:p>
    <w:p w14:paraId="7A86ED48" w14:textId="2C3B30D0" w:rsidR="00965B1E" w:rsidRPr="00675182" w:rsidRDefault="00D066F8" w:rsidP="008F3A1B">
      <w:pPr>
        <w:jc w:val="both"/>
        <w:rPr>
          <w:rFonts w:cstheme="minorHAnsi"/>
          <w:bCs/>
          <w:highlight w:val="yellow"/>
        </w:rPr>
      </w:pPr>
      <w:r w:rsidRPr="00675182">
        <w:rPr>
          <w:rFonts w:cstheme="minorHAnsi"/>
          <w:b/>
          <w:bCs/>
        </w:rPr>
        <w:t>C.4. Individuālo kultūras pieminekļu aizsardzības zonu projektu izstrāde</w:t>
      </w:r>
    </w:p>
    <w:p w14:paraId="684CFA95" w14:textId="2EAEAB40" w:rsidR="003A69CE" w:rsidRPr="00675182" w:rsidRDefault="008F3A1B" w:rsidP="00D066F8">
      <w:pPr>
        <w:jc w:val="both"/>
        <w:rPr>
          <w:rFonts w:cstheme="minorHAnsi"/>
          <w:bCs/>
        </w:rPr>
      </w:pPr>
      <w:r w:rsidRPr="00675182">
        <w:rPr>
          <w:rFonts w:cstheme="minorHAnsi"/>
          <w:bCs/>
        </w:rPr>
        <w:lastRenderedPageBreak/>
        <w:t>Kultūrvēsturiskie objekti ir nozīmīga GNP vērtība, kura vēsturiski veidojusies pateicoties unikāliem dabas apstākļiem. Dabas un kultūrvēsturisko vērtību daudzveidīgais mantojums piesaista lielāko daļu teritorijas apmeklētāju, tāpēc šādu vietu uzturēšanā svarīga integrēta plānošana. Lielai daļa GNP unikālo objektu ir kultūras pieminekļi vai atrodas to aizsardzības zonās. Tādējādi ir nepieciešams izstrādāt kultūras pieminekļu individuālos aizsardzības zonu projektus (vismaz 7 gan Cēsu, gan Siguldas novadā), kuru izstrādē dažādās stadijās iesaistītos ainavu arhitekti, kultūrvēstures speciālisti, novadu pārstāvji, īpašnieki. Šāda kopsadarbība veicinās būtiskas informācijas apkopošanu, vietas mēroga ainavu analīzi, turpmāko prioritāšu un mērķu definēšanu.</w:t>
      </w:r>
    </w:p>
    <w:p w14:paraId="7DEC8A64" w14:textId="77777777" w:rsidR="008F3A1B" w:rsidRPr="00675182" w:rsidRDefault="008F3A1B" w:rsidP="00D066F8">
      <w:pPr>
        <w:jc w:val="both"/>
        <w:rPr>
          <w:rFonts w:cstheme="minorHAnsi"/>
          <w:bCs/>
        </w:rPr>
      </w:pPr>
    </w:p>
    <w:p w14:paraId="2286B193" w14:textId="77777777" w:rsidR="003A69CE" w:rsidRPr="00675182" w:rsidRDefault="003A69CE" w:rsidP="003A69CE">
      <w:pPr>
        <w:jc w:val="both"/>
        <w:rPr>
          <w:rFonts w:cstheme="minorHAnsi"/>
          <w:b/>
        </w:rPr>
      </w:pPr>
      <w:r w:rsidRPr="00675182">
        <w:rPr>
          <w:rFonts w:cstheme="minorHAnsi"/>
          <w:b/>
        </w:rPr>
        <w:t>C.5. Ainavu apsaimniekošana atbilstoši izstrādātai ainavu koncepcijai</w:t>
      </w:r>
    </w:p>
    <w:p w14:paraId="39B70503" w14:textId="1FFC6FF4" w:rsidR="00D066F8" w:rsidRPr="00675182" w:rsidRDefault="008F3A1B" w:rsidP="00D066F8">
      <w:pPr>
        <w:jc w:val="both"/>
        <w:rPr>
          <w:rFonts w:cstheme="minorHAnsi"/>
          <w:bCs/>
        </w:rPr>
      </w:pPr>
      <w:r w:rsidRPr="00675182">
        <w:rPr>
          <w:rFonts w:cstheme="minorHAnsi"/>
          <w:bCs/>
        </w:rPr>
        <w:t xml:space="preserve">Lielāku platību apsaimniekošanai ainaviski nozīmīgās teritorijās iespējams izstrādāt detalizētu ainavu koncepciju. DA plāna ietvaros izvērtēta šāda koncepcija īpašumā “Zābaki”. Ainavu apsaimniekošana plānota atbilstoši Gaujas senielejas ainavas īpatnībām, taču šajā un arī citos nākotnē izstrādājamos plānos jāņem vērā teritorijā esošās dabas vērtības un to apsaimniekošanas prasības, proti, piemērots apsaimniekošanas režīms zālāju biotopos un arī citos potenciāli vērtīgos pastāvīgajos zālājos (pļaušana ar siena novākšanu vai pļaušanas un ganīšanas kombinācija) un neiejaukšanās vai minimālas iejaukšanās režīms meža biotopos (pieļaujama bīstamo koku un kritušo koku novākšana no takām, atstājot tos mežaudzē; pameža un veģetācijas izpļaušana tikai takas uzturēšanai nepieciešamā apjomā). Līdzīga rakstura ainavu apsaimniekošanas plāni ieteicami arī citos īpašumos, kur lielākā apjomā plānoti apsaimniekošanas darbi, kas vērsti uz ainavas uzturēšanu, šāda plāna vienreizēja saskaņošana (kombinējot ar atbilstošu </w:t>
      </w:r>
      <w:r w:rsidR="00CA2C65">
        <w:rPr>
          <w:rFonts w:cstheme="minorHAnsi"/>
          <w:bCs/>
        </w:rPr>
        <w:t>MAO</w:t>
      </w:r>
      <w:r w:rsidRPr="00675182">
        <w:rPr>
          <w:rFonts w:cstheme="minorHAnsi"/>
          <w:bCs/>
        </w:rPr>
        <w:t>, ja darbības plānotas meža zemēs) atvieglotu administratīvo slogu gan īpašniekam, gan DAP. Ainavu tematiskā plāna izstrāde tuvākajos gados nepieciešama Krimuldas apkārtnei.</w:t>
      </w:r>
    </w:p>
    <w:p w14:paraId="06DE492E" w14:textId="77777777" w:rsidR="008F3A1B" w:rsidRPr="00675182" w:rsidRDefault="008F3A1B" w:rsidP="00D066F8">
      <w:pPr>
        <w:jc w:val="both"/>
        <w:rPr>
          <w:rFonts w:cstheme="minorHAnsi"/>
          <w:b/>
          <w:bCs/>
        </w:rPr>
      </w:pPr>
    </w:p>
    <w:p w14:paraId="1B7FC168" w14:textId="79D0C19A" w:rsidR="00B82817" w:rsidRPr="00675182" w:rsidRDefault="00B82817" w:rsidP="00F16DEC">
      <w:pPr>
        <w:pStyle w:val="Heading3"/>
        <w:keepLines/>
        <w:rPr>
          <w:lang w:val="lv-LV"/>
        </w:rPr>
      </w:pPr>
      <w:bookmarkStart w:id="160" w:name="_Toc116938420"/>
      <w:r w:rsidRPr="00675182">
        <w:rPr>
          <w:lang w:val="lv-LV"/>
        </w:rPr>
        <w:t>D. Rekreācija un tūrisms</w:t>
      </w:r>
      <w:bookmarkEnd w:id="160"/>
    </w:p>
    <w:p w14:paraId="58A02E39" w14:textId="7D9C60BB" w:rsidR="009B5366" w:rsidRPr="00675182" w:rsidRDefault="009B5366" w:rsidP="00F16DEC">
      <w:pPr>
        <w:keepNext/>
        <w:keepLines/>
      </w:pPr>
    </w:p>
    <w:p w14:paraId="0F2B7F70" w14:textId="72F2B8BE" w:rsidR="00B82817" w:rsidRPr="00675182" w:rsidRDefault="00B82817" w:rsidP="00F16DEC">
      <w:pPr>
        <w:keepNext/>
        <w:keepLines/>
        <w:jc w:val="both"/>
        <w:rPr>
          <w:rFonts w:ascii="Calibri" w:hAnsi="Calibri"/>
          <w:bCs/>
          <w:szCs w:val="24"/>
        </w:rPr>
      </w:pPr>
      <w:r w:rsidRPr="00675182">
        <w:rPr>
          <w:rFonts w:ascii="Calibri" w:hAnsi="Calibri"/>
          <w:bCs/>
          <w:szCs w:val="24"/>
        </w:rPr>
        <w:t xml:space="preserve">Apsaimniekošanas pasākumu </w:t>
      </w:r>
      <w:r w:rsidR="00D11F7B" w:rsidRPr="00675182">
        <w:rPr>
          <w:rFonts w:ascii="Calibri" w:hAnsi="Calibri"/>
          <w:bCs/>
          <w:szCs w:val="24"/>
        </w:rPr>
        <w:t xml:space="preserve">sadaļa ‘’Rekreācija un tūrisms’’ </w:t>
      </w:r>
      <w:r w:rsidRPr="00675182">
        <w:rPr>
          <w:rFonts w:ascii="Calibri" w:hAnsi="Calibri"/>
          <w:bCs/>
          <w:szCs w:val="24"/>
        </w:rPr>
        <w:t xml:space="preserve">apraksti sagatavoti, ņemot vērā izpētes datus, teritorijas apsekojumu, pausto viedokli sanāksmēs interešu </w:t>
      </w:r>
      <w:r w:rsidR="009B5366" w:rsidRPr="00675182">
        <w:rPr>
          <w:rFonts w:ascii="Calibri" w:hAnsi="Calibri"/>
          <w:bCs/>
          <w:szCs w:val="24"/>
        </w:rPr>
        <w:t>grupās</w:t>
      </w:r>
      <w:r w:rsidRPr="00675182">
        <w:rPr>
          <w:rFonts w:ascii="Calibri" w:hAnsi="Calibri"/>
          <w:bCs/>
          <w:szCs w:val="24"/>
        </w:rPr>
        <w:t xml:space="preserve">, kā arī </w:t>
      </w:r>
      <w:r w:rsidR="009B5366" w:rsidRPr="00675182">
        <w:rPr>
          <w:rFonts w:ascii="Calibri" w:hAnsi="Calibri"/>
          <w:bCs/>
          <w:szCs w:val="24"/>
        </w:rPr>
        <w:t>ņemot vērā</w:t>
      </w:r>
      <w:r w:rsidRPr="00675182">
        <w:rPr>
          <w:rFonts w:ascii="Calibri" w:hAnsi="Calibri"/>
          <w:bCs/>
          <w:szCs w:val="24"/>
        </w:rPr>
        <w:t xml:space="preserve"> iedzīvotāju un apmeklētāju aptaujas </w:t>
      </w:r>
      <w:r w:rsidR="009B5366" w:rsidRPr="00675182">
        <w:rPr>
          <w:rFonts w:ascii="Calibri" w:hAnsi="Calibri"/>
          <w:bCs/>
          <w:szCs w:val="24"/>
        </w:rPr>
        <w:t xml:space="preserve">rezultātus </w:t>
      </w:r>
      <w:r w:rsidR="00D11F7B" w:rsidRPr="00675182">
        <w:rPr>
          <w:rFonts w:ascii="Calibri" w:hAnsi="Calibri"/>
          <w:bCs/>
          <w:szCs w:val="24"/>
        </w:rPr>
        <w:t>(apkopoti 26. pielikumā)</w:t>
      </w:r>
      <w:r w:rsidRPr="00675182">
        <w:rPr>
          <w:rFonts w:ascii="Calibri" w:hAnsi="Calibri"/>
          <w:bCs/>
          <w:szCs w:val="24"/>
        </w:rPr>
        <w:t xml:space="preserve">. </w:t>
      </w:r>
      <w:r w:rsidR="009B5366" w:rsidRPr="00675182">
        <w:rPr>
          <w:rFonts w:ascii="Calibri" w:hAnsi="Calibri"/>
          <w:bCs/>
          <w:szCs w:val="24"/>
        </w:rPr>
        <w:t>Piedāvātie apsaimniekošanas pasākumi sadaļā ‘’Rekreācija un tūrisms’’ atbilst</w:t>
      </w:r>
      <w:r w:rsidRPr="00675182">
        <w:rPr>
          <w:rFonts w:ascii="Calibri" w:hAnsi="Calibri"/>
          <w:bCs/>
          <w:szCs w:val="24"/>
        </w:rPr>
        <w:t>EUROPARC vadlīnijām ilgtspējīga tūrisma attīstībai ĪADT, kā arī UNESCO rekomendācijas kultūras mantojuma pārvaldībai apmeklētāju plūsmas vadības kontekstā u.c.</w:t>
      </w:r>
    </w:p>
    <w:p w14:paraId="12C49833" w14:textId="77777777" w:rsidR="00B82817" w:rsidRPr="00675182" w:rsidRDefault="00B82817" w:rsidP="00B82817">
      <w:pPr>
        <w:jc w:val="both"/>
        <w:rPr>
          <w:rFonts w:ascii="Calibri" w:hAnsi="Calibri"/>
          <w:bCs/>
          <w:szCs w:val="24"/>
          <w:highlight w:val="yellow"/>
        </w:rPr>
      </w:pPr>
    </w:p>
    <w:p w14:paraId="1B0F8BF6" w14:textId="77777777" w:rsidR="00B82817" w:rsidRPr="00675182" w:rsidRDefault="00B82817" w:rsidP="00B82817">
      <w:pPr>
        <w:jc w:val="both"/>
        <w:rPr>
          <w:rFonts w:eastAsiaTheme="minorHAnsi" w:cstheme="minorBidi"/>
          <w:sz w:val="22"/>
          <w:szCs w:val="22"/>
          <w:lang w:eastAsia="en-US"/>
        </w:rPr>
      </w:pPr>
      <w:r w:rsidRPr="00675182">
        <w:t>Pakārtoti kopējiem GNP mērķiem, atbildīga rekreācijas un tūrisma aktivitāšu attīstība GNP nākotnes redzējuma kontekstā</w:t>
      </w:r>
      <w:r w:rsidRPr="00675182">
        <w:rPr>
          <w:rStyle w:val="FootnoteReference"/>
        </w:rPr>
        <w:footnoteReference w:id="30"/>
      </w:r>
      <w:r w:rsidRPr="00675182">
        <w:t xml:space="preserve"> nozīmē:</w:t>
      </w:r>
    </w:p>
    <w:p w14:paraId="3E790F05" w14:textId="77777777" w:rsidR="00B82817" w:rsidRPr="00675182" w:rsidRDefault="00B82817" w:rsidP="00B82817">
      <w:pPr>
        <w:jc w:val="both"/>
        <w:rPr>
          <w:i/>
          <w:iCs/>
        </w:rPr>
      </w:pPr>
      <w:r w:rsidRPr="00675182">
        <w:rPr>
          <w:i/>
          <w:iCs/>
        </w:rPr>
        <w:t>Ilgtspējīgs tūrisms GNP sniedz jēgpilnu kvalitatīvu redzējumu, aizsargā dabas un kultūras vērtības, atbalsta tradicionālos vietējos iztikas līdzekļus</w:t>
      </w:r>
      <w:r w:rsidRPr="00675182">
        <w:rPr>
          <w:rStyle w:val="FootnoteReference"/>
        </w:rPr>
        <w:footnoteReference w:id="31"/>
      </w:r>
      <w:r w:rsidRPr="00675182">
        <w:rPr>
          <w:i/>
          <w:iCs/>
        </w:rPr>
        <w:t xml:space="preserve"> un dzīves kvalitāti un ir ekonomiski dzīvotspējīgs.</w:t>
      </w:r>
    </w:p>
    <w:p w14:paraId="45420490" w14:textId="77777777" w:rsidR="00B82817" w:rsidRPr="00675182" w:rsidRDefault="00B82817" w:rsidP="00B82817">
      <w:pPr>
        <w:jc w:val="both"/>
        <w:rPr>
          <w:i/>
          <w:iCs/>
        </w:rPr>
      </w:pPr>
    </w:p>
    <w:p w14:paraId="10B5E8AC" w14:textId="001894A7" w:rsidR="00B82817" w:rsidRPr="00675182" w:rsidRDefault="00B82817" w:rsidP="00B82817">
      <w:pPr>
        <w:jc w:val="both"/>
      </w:pPr>
      <w:r w:rsidRPr="00675182">
        <w:t>Kopumā</w:t>
      </w:r>
      <w:r w:rsidR="00D11F7B" w:rsidRPr="00675182">
        <w:t xml:space="preserve"> galvenie mērķi ir</w:t>
      </w:r>
      <w:r w:rsidR="001232E1" w:rsidRPr="00675182">
        <w:t>:</w:t>
      </w:r>
    </w:p>
    <w:p w14:paraId="2DABD897" w14:textId="77777777" w:rsidR="00B82817" w:rsidRPr="00675182" w:rsidRDefault="00B82817" w:rsidP="00A84218">
      <w:pPr>
        <w:pStyle w:val="ListParagraph"/>
        <w:numPr>
          <w:ilvl w:val="0"/>
          <w:numId w:val="56"/>
        </w:numPr>
        <w:suppressAutoHyphens w:val="0"/>
        <w:jc w:val="both"/>
      </w:pPr>
      <w:r w:rsidRPr="00675182">
        <w:lastRenderedPageBreak/>
        <w:t>palielināt informētību un atbalstu GNP kā mūsu mantojuma pamatdaļai, kas ir jāsaglabā un jābauda pašreizējām un nākamajām paaudzēm;</w:t>
      </w:r>
    </w:p>
    <w:p w14:paraId="34A0E4FC" w14:textId="4F158AEA" w:rsidR="00B82817" w:rsidRPr="00675182" w:rsidRDefault="00B82817" w:rsidP="00A84218">
      <w:pPr>
        <w:pStyle w:val="ListParagraph"/>
        <w:numPr>
          <w:ilvl w:val="0"/>
          <w:numId w:val="56"/>
        </w:numPr>
        <w:suppressAutoHyphens w:val="0"/>
        <w:jc w:val="both"/>
      </w:pPr>
      <w:r w:rsidRPr="00675182">
        <w:t>uzlabot ilgtspējīgu tūrisma attīstību un pārvaldību GNP, ņemot vērā vides, vietējo iedzīvotāju, vietējo uzņēmumu un apmeklētāju vajadzības</w:t>
      </w:r>
      <w:r w:rsidR="00E72DDD" w:rsidRPr="00675182">
        <w:t>;</w:t>
      </w:r>
    </w:p>
    <w:p w14:paraId="087F1E62" w14:textId="31ED42F5" w:rsidR="00E72DDD" w:rsidRPr="00675182" w:rsidRDefault="00E72DDD" w:rsidP="00A84218">
      <w:pPr>
        <w:pStyle w:val="ListParagraph"/>
        <w:numPr>
          <w:ilvl w:val="0"/>
          <w:numId w:val="56"/>
        </w:numPr>
        <w:suppressAutoHyphens w:val="0"/>
        <w:jc w:val="both"/>
      </w:pPr>
      <w:r w:rsidRPr="00675182">
        <w:t>veicināt mikromobilitātes aktivitātes, mazinot motorizēto transportlīdzekļu izmantošanu, mazinot trokšņu līmeni un slodzi uz vidi, vienlaikus veicinot ar kustībām āra vidē saistītu veselīgu dzīvesveidu.</w:t>
      </w:r>
    </w:p>
    <w:p w14:paraId="1B7D6001" w14:textId="77777777" w:rsidR="00B82817" w:rsidRPr="00675182" w:rsidRDefault="00B82817" w:rsidP="00B82817">
      <w:pPr>
        <w:jc w:val="both"/>
      </w:pPr>
    </w:p>
    <w:p w14:paraId="33D8D2A4" w14:textId="684100AB" w:rsidR="00B82817" w:rsidRPr="00675182" w:rsidRDefault="00B82817" w:rsidP="00B82817">
      <w:pPr>
        <w:jc w:val="both"/>
      </w:pPr>
      <w:r w:rsidRPr="00675182">
        <w:t>Dabas un vides jomā</w:t>
      </w:r>
      <w:r w:rsidR="001232E1" w:rsidRPr="00675182">
        <w:t>:</w:t>
      </w:r>
    </w:p>
    <w:p w14:paraId="2015B3F9" w14:textId="325F9518" w:rsidR="00B82817" w:rsidRPr="00675182" w:rsidRDefault="00F934EB" w:rsidP="00A84218">
      <w:pPr>
        <w:pStyle w:val="ListParagraph"/>
        <w:numPr>
          <w:ilvl w:val="0"/>
          <w:numId w:val="57"/>
        </w:numPr>
        <w:suppressAutoHyphens w:val="0"/>
        <w:jc w:val="both"/>
      </w:pPr>
      <w:r>
        <w:t>i</w:t>
      </w:r>
      <w:r w:rsidR="00B82817" w:rsidRPr="00675182">
        <w:t>lgtermiņā saglabāt GNP dabas un ainaviskās vērtības – sugu un biotopu daudzveidību, teritorijas unikālās ģeoloģiskās vērtības, veicināt šo vērtību stāvokļa uzlabošanos, nodrošināt atbildīgu attieksmi pret dabas resursiem, to patēriņu, iespējami mazinot antropogēnās slodzes ietekmi, nodrošinot augstus standartus tīras apkārtējās vides (ūdens, gaiss, augsne u.c.) saglabāšanai GNP un tā apkārtnē.</w:t>
      </w:r>
    </w:p>
    <w:p w14:paraId="7BA61B7D" w14:textId="77777777" w:rsidR="00B82817" w:rsidRPr="00675182" w:rsidRDefault="00B82817" w:rsidP="00B82817">
      <w:pPr>
        <w:jc w:val="both"/>
      </w:pPr>
    </w:p>
    <w:p w14:paraId="2E7987EB" w14:textId="20C3844D" w:rsidR="00B82817" w:rsidRPr="00675182" w:rsidRDefault="00B82817" w:rsidP="00B82817">
      <w:pPr>
        <w:jc w:val="both"/>
      </w:pPr>
      <w:r w:rsidRPr="00675182">
        <w:t>Kultūras jomā</w:t>
      </w:r>
      <w:r w:rsidR="001232E1" w:rsidRPr="00675182">
        <w:t>:</w:t>
      </w:r>
    </w:p>
    <w:p w14:paraId="075FFF71" w14:textId="17E78F11" w:rsidR="00B82817" w:rsidRPr="00675182" w:rsidRDefault="00F934EB" w:rsidP="00A84218">
      <w:pPr>
        <w:pStyle w:val="ListParagraph"/>
        <w:numPr>
          <w:ilvl w:val="0"/>
          <w:numId w:val="57"/>
        </w:numPr>
        <w:suppressAutoHyphens w:val="0"/>
        <w:jc w:val="both"/>
      </w:pPr>
      <w:r>
        <w:t>v</w:t>
      </w:r>
      <w:r w:rsidRPr="00675182">
        <w:t xml:space="preserve">eicināt </w:t>
      </w:r>
      <w:r w:rsidR="00B82817" w:rsidRPr="00675182">
        <w:t>vietējo iedzīvotāju un GNP apmeklētāju zināšanas un labāku izpratni par kultūras mantojuma vērtībām, to atzīšanu un iesaistīšanos tās saglabāšanā, veicināt izpratni par ainavas kvalitātes nozīmi. Ilgtspējīgs tūrisms ir nozīmīgs instruments GNP vietu identitātes stiprināšanai, kļūst par daļu no vietējās un nacionālās kultūras, ceļ dzīves kvalitāti un uzlabo vietas pievilcību GNP un tā apkārtnē.</w:t>
      </w:r>
    </w:p>
    <w:p w14:paraId="08D746F4" w14:textId="77777777" w:rsidR="00B82817" w:rsidRPr="00675182" w:rsidRDefault="00B82817" w:rsidP="00B82817">
      <w:pPr>
        <w:pStyle w:val="ListParagraph"/>
        <w:suppressAutoHyphens w:val="0"/>
        <w:jc w:val="both"/>
      </w:pPr>
    </w:p>
    <w:p w14:paraId="45C9BB42" w14:textId="07B75232" w:rsidR="00B82817" w:rsidRPr="00675182" w:rsidRDefault="00B82817" w:rsidP="00B82817">
      <w:pPr>
        <w:jc w:val="both"/>
      </w:pPr>
      <w:r w:rsidRPr="00675182">
        <w:t>Sociālajā jomā</w:t>
      </w:r>
      <w:r w:rsidR="001232E1" w:rsidRPr="00675182">
        <w:t>:</w:t>
      </w:r>
    </w:p>
    <w:p w14:paraId="6721AACA" w14:textId="29682E62" w:rsidR="00B82817" w:rsidRPr="00675182" w:rsidRDefault="006A059E" w:rsidP="00A84218">
      <w:pPr>
        <w:pStyle w:val="ListParagraph"/>
        <w:numPr>
          <w:ilvl w:val="1"/>
          <w:numId w:val="57"/>
        </w:numPr>
        <w:suppressAutoHyphens w:val="0"/>
        <w:ind w:left="709" w:hanging="283"/>
        <w:contextualSpacing/>
        <w:jc w:val="both"/>
      </w:pPr>
      <w:r>
        <w:t>v</w:t>
      </w:r>
      <w:r w:rsidRPr="00675182">
        <w:t xml:space="preserve">eicināt </w:t>
      </w:r>
      <w:r w:rsidR="00B82817" w:rsidRPr="00675182">
        <w:t>augstu apmeklētāju apmierinātību, nodrošinot kvalitatīvu pieredzējumu GNP. Veicināt alternatīvas masu tūrismam, mazināt transporta negatīvo ietekmi, dažādojot vieglās mobilitātes risinājumu iespējas, popularizējot veselīgu dzīves veidu. Dot pienesumu vietējo iedzīvotāju dzīves līmeņa un labjūt</w:t>
      </w:r>
      <w:r w:rsidR="00D11F7B" w:rsidRPr="00675182">
        <w:t>a</w:t>
      </w:r>
      <w:r w:rsidR="00B82817" w:rsidRPr="00675182">
        <w:t>s paaugstināšanā, dažādojot kvalitatīvas āra vides brīvā laika pavadīšanas iespējas. Veicināt GNP infrastruktūras attīstību un vides pieejamību visiem, tostarp cilvēkiem ar kustību, redzes, dzirdes un garīgās attīstības traucējumiem.</w:t>
      </w:r>
    </w:p>
    <w:p w14:paraId="11A20318" w14:textId="77777777" w:rsidR="00B82817" w:rsidRPr="00675182" w:rsidRDefault="00B82817" w:rsidP="00B82817">
      <w:pPr>
        <w:jc w:val="both"/>
      </w:pPr>
    </w:p>
    <w:p w14:paraId="0F5D5EED" w14:textId="1ED901F0" w:rsidR="00B82817" w:rsidRPr="00675182" w:rsidRDefault="00B82817" w:rsidP="00B82817">
      <w:pPr>
        <w:jc w:val="both"/>
      </w:pPr>
      <w:r w:rsidRPr="00675182">
        <w:t>Ekonomiskajā jomā</w:t>
      </w:r>
      <w:r w:rsidR="001232E1" w:rsidRPr="00675182">
        <w:t>:</w:t>
      </w:r>
    </w:p>
    <w:p w14:paraId="0C0F6E36" w14:textId="1CC829B7" w:rsidR="00B82817" w:rsidRPr="00675182" w:rsidRDefault="006A059E" w:rsidP="00A84218">
      <w:pPr>
        <w:pStyle w:val="ListParagraph"/>
        <w:numPr>
          <w:ilvl w:val="0"/>
          <w:numId w:val="57"/>
        </w:numPr>
        <w:suppressAutoHyphens w:val="0"/>
        <w:jc w:val="both"/>
      </w:pPr>
      <w:r>
        <w:t>v</w:t>
      </w:r>
      <w:r w:rsidRPr="00675182">
        <w:t xml:space="preserve">eicināt </w:t>
      </w:r>
      <w:r w:rsidR="00B82817" w:rsidRPr="00675182">
        <w:t>tādu uzņēmējdarbības attīstību, kas respektē augstāk minētos mērķus, izmanto zināšanas un labākos sabiedrības sasniegumus tehnoloģiskajā attīstībā, eko-inovāciju jomā, rada augstāku pievienoto vērtību, izceļ GNP zīmola vērtību un sniedz labumu un nodarbinātības iespējas vietējām kopienām.</w:t>
      </w:r>
    </w:p>
    <w:p w14:paraId="4703C55D" w14:textId="77777777" w:rsidR="00B82817" w:rsidRPr="00675182" w:rsidRDefault="00B82817" w:rsidP="00B82817">
      <w:pPr>
        <w:jc w:val="both"/>
        <w:rPr>
          <w:highlight w:val="yellow"/>
        </w:rPr>
      </w:pPr>
    </w:p>
    <w:p w14:paraId="76B76004" w14:textId="77777777" w:rsidR="00B82817" w:rsidRPr="00675182" w:rsidRDefault="00B82817" w:rsidP="00B82817">
      <w:pPr>
        <w:keepNext/>
        <w:keepLines/>
        <w:jc w:val="both"/>
      </w:pPr>
      <w:r w:rsidRPr="00675182">
        <w:lastRenderedPageBreak/>
        <w:t>Īstenojot sistemātisku GNP kā ilgtspējīga tūrisma galamērķa attīstību:</w:t>
      </w:r>
    </w:p>
    <w:p w14:paraId="73EB747C" w14:textId="77777777" w:rsidR="00B82817" w:rsidRPr="00675182" w:rsidRDefault="00B82817" w:rsidP="00A84218">
      <w:pPr>
        <w:pStyle w:val="ListParagraph"/>
        <w:keepNext/>
        <w:keepLines/>
        <w:numPr>
          <w:ilvl w:val="0"/>
          <w:numId w:val="47"/>
        </w:numPr>
        <w:suppressAutoHyphens w:val="0"/>
        <w:ind w:left="714" w:hanging="357"/>
        <w:jc w:val="both"/>
      </w:pPr>
      <w:r w:rsidRPr="00675182">
        <w:t>GNP kā funkcionāls tūrisma galamērķis tiek uztverts plašāk, sniedzot konkurējošas priekšrocības arī apkārtējām teritorijām, izmantojot starptautiski atpazīstamās vietas zīmola spēku;</w:t>
      </w:r>
    </w:p>
    <w:p w14:paraId="2AE09CC7" w14:textId="3156E602" w:rsidR="00B82817" w:rsidRPr="00675182" w:rsidRDefault="006A059E" w:rsidP="00A84218">
      <w:pPr>
        <w:pStyle w:val="ListParagraph"/>
        <w:keepNext/>
        <w:keepLines/>
        <w:numPr>
          <w:ilvl w:val="0"/>
          <w:numId w:val="47"/>
        </w:numPr>
        <w:suppressAutoHyphens w:val="0"/>
        <w:ind w:left="714" w:hanging="357"/>
        <w:jc w:val="both"/>
      </w:pPr>
      <w:r>
        <w:t>t</w:t>
      </w:r>
      <w:r w:rsidRPr="00675182">
        <w:t xml:space="preserve">iek </w:t>
      </w:r>
      <w:r w:rsidR="00B82817" w:rsidRPr="00675182">
        <w:t xml:space="preserve">nodrošināta regulāra ieinteresēto un iesaistīto pušu partnerība, kas jau kopš 2012. gada īstenojusies līdz ar GNP tūrisma klastera izveidi, ko pārstāv </w:t>
      </w:r>
      <w:r>
        <w:t>GNP</w:t>
      </w:r>
      <w:r w:rsidR="00B82817" w:rsidRPr="00675182">
        <w:t xml:space="preserve"> tūrisma biedrība. Regulārs dialogs attiecināms uz katru darbības posmu, sākot no ilgtspējīga tūrisma stratēģijas izstrādes līdz tās īstenošanai un uzraudzībai. Tas izpaužas kā skaidra vienošanās un sadarbība starp DAP, pašvaldībām, tūrisma pakalpojumu sniedzējiem un vietējiem iedzīvotājiem;</w:t>
      </w:r>
    </w:p>
    <w:p w14:paraId="05EB4F25" w14:textId="43205D7D" w:rsidR="00B82817" w:rsidRPr="00675182" w:rsidRDefault="006A059E" w:rsidP="00A84218">
      <w:pPr>
        <w:pStyle w:val="ListParagraph"/>
        <w:numPr>
          <w:ilvl w:val="0"/>
          <w:numId w:val="47"/>
        </w:numPr>
        <w:suppressAutoHyphens w:val="0"/>
        <w:ind w:left="714" w:hanging="357"/>
        <w:jc w:val="both"/>
      </w:pPr>
      <w:r>
        <w:t>s</w:t>
      </w:r>
      <w:r w:rsidRPr="00675182">
        <w:t xml:space="preserve">tratēģiskā </w:t>
      </w:r>
      <w:r w:rsidR="00B82817" w:rsidRPr="00675182">
        <w:t xml:space="preserve">pieeja, kas ieviesta GNP tūrisma klastera darbībā un vietējo pašvaldību vai vietējo rīcības grupu tūrisma attīstības plānos ir saskanīgi saistīta ar aktuālo </w:t>
      </w:r>
      <w:r>
        <w:t>DA</w:t>
      </w:r>
      <w:r w:rsidR="00B82817" w:rsidRPr="00675182">
        <w:t xml:space="preserve"> plānu kā pamatu. Stratēģiskā pieeja balstās uz aktuālu situācijas analīzi mainīgos apstākļos, saskanīgu stratēģisko darbību, rīcībām un visaptverošu ieviesto rezultātu uzraudzību. Papildinoši tūrisma produktu veidošanai, eksporta un tirgvedības stratēģijām ir jāintegrē uzraudzība par tūrisma un rekreācijas plūsmas ietekmi uz dabas un kultūras vērtībām</w:t>
      </w:r>
      <w:r>
        <w:t>;</w:t>
      </w:r>
    </w:p>
    <w:p w14:paraId="2F47F18B" w14:textId="7A2DC4FB" w:rsidR="00B82817" w:rsidRPr="00675182" w:rsidRDefault="006A059E" w:rsidP="00A84218">
      <w:pPr>
        <w:pStyle w:val="ListParagraph"/>
        <w:numPr>
          <w:ilvl w:val="0"/>
          <w:numId w:val="47"/>
        </w:numPr>
        <w:suppressAutoHyphens w:val="0"/>
        <w:ind w:left="714" w:hanging="357"/>
        <w:jc w:val="both"/>
      </w:pPr>
      <w:r>
        <w:t>d</w:t>
      </w:r>
      <w:r w:rsidRPr="00675182">
        <w:t xml:space="preserve">aļa </w:t>
      </w:r>
      <w:r w:rsidR="00B82817" w:rsidRPr="00675182">
        <w:t xml:space="preserve">no ikdienas apmeklētāju slodzes un pakalpojumi, kas vairāk saistīti ar izklaides motivāciju, iespējami tiek virzīta uz apvidiem ārpus GNP (tostarp iekļaujot lielu viesmīlības un mazumtirdzniecības pakalpojumu daudzveidību tuvākajās pilsētās vai blīvāk apdzīvotās vietās), īpaši </w:t>
      </w:r>
      <w:r>
        <w:t>DLZ</w:t>
      </w:r>
      <w:r w:rsidR="00B82817" w:rsidRPr="00675182">
        <w:t xml:space="preserve"> akcentējot ar izglītojošiem elementiem saistītu ekotūrisma piedāvājumu</w:t>
      </w:r>
      <w:r>
        <w:t>;</w:t>
      </w:r>
    </w:p>
    <w:p w14:paraId="760A36B0" w14:textId="70BDB3BF" w:rsidR="00B82817" w:rsidRPr="00675182" w:rsidRDefault="006A059E" w:rsidP="00A84218">
      <w:pPr>
        <w:pStyle w:val="ListParagraph"/>
        <w:numPr>
          <w:ilvl w:val="0"/>
          <w:numId w:val="47"/>
        </w:numPr>
        <w:suppressAutoHyphens w:val="0"/>
        <w:ind w:left="714" w:hanging="357"/>
        <w:jc w:val="both"/>
      </w:pPr>
      <w:r>
        <w:t>ņ</w:t>
      </w:r>
      <w:r w:rsidRPr="00675182">
        <w:t xml:space="preserve">emot </w:t>
      </w:r>
      <w:r w:rsidR="00B82817" w:rsidRPr="00675182">
        <w:t>vērā jau līdzšinējās tūrisma un rekreācijas tradīcijas un izveidoto infrastruktūru visā GNP tiek īstenota vienota tīklveida pieeja, par pamata mobilitātes tīklojumu teritorijas pieejamībai izmantojot starptautisku garo pārgājienu takas (</w:t>
      </w:r>
      <w:r w:rsidR="00B82817" w:rsidRPr="00675182">
        <w:rPr>
          <w:i/>
          <w:iCs/>
        </w:rPr>
        <w:t>Mežtaku</w:t>
      </w:r>
      <w:r w:rsidR="00B82817" w:rsidRPr="00675182">
        <w:t xml:space="preserve"> kā daļu Eiropas garās distances pārgājienu maršruta E11 daļas; Svētā Jēkaba ceļu jeb </w:t>
      </w:r>
      <w:r w:rsidR="00B82817" w:rsidRPr="00675182">
        <w:rPr>
          <w:i/>
          <w:iCs/>
        </w:rPr>
        <w:t>Camino de Santiago</w:t>
      </w:r>
      <w:r w:rsidR="00B82817" w:rsidRPr="00675182">
        <w:t xml:space="preserve">), starptautiskos velomaršrutus (EuroVelo 11 maršruta trasi, kas daļēji šķērso GNP, </w:t>
      </w:r>
      <w:r w:rsidR="00B82817" w:rsidRPr="00675182">
        <w:rPr>
          <w:i/>
          <w:iCs/>
        </w:rPr>
        <w:t>Tour de LatEst</w:t>
      </w:r>
      <w:r w:rsidR="00B82817" w:rsidRPr="00675182">
        <w:t>), Gauju un tās lielākās pietekas (Amatu, Braslu) kā nozīmīgus ūdenstūrisma ceļus, dzelzceļa tīklu ar esošajām stacijām un perspektīvā projektējamo veloceļu gar dzelzceļa trasi un funkcionāli ērtiem lokālo maršrutu savienojumiem ar šiem ceļiem, takām vai transporta mezgliem. Īpaša vērība zaļās infrastruktūras attīstībai pievēršama šo ceļu krustpunktiem, kas kalpo gan kā loģistikas, gan atpūtas vai pakalpojumu sniegšanas vietas</w:t>
      </w:r>
      <w:r>
        <w:t>;</w:t>
      </w:r>
    </w:p>
    <w:p w14:paraId="00E0EBF0" w14:textId="45ACE3E9" w:rsidR="00B82817" w:rsidRPr="00675182" w:rsidRDefault="006A059E" w:rsidP="00A84218">
      <w:pPr>
        <w:pStyle w:val="ListParagraph"/>
        <w:numPr>
          <w:ilvl w:val="0"/>
          <w:numId w:val="47"/>
        </w:numPr>
        <w:suppressAutoHyphens w:val="0"/>
        <w:ind w:left="714" w:hanging="357"/>
        <w:jc w:val="both"/>
      </w:pPr>
      <w:r>
        <w:t>k</w:t>
      </w:r>
      <w:r w:rsidRPr="00675182">
        <w:t xml:space="preserve">atram </w:t>
      </w:r>
      <w:r w:rsidR="00B82817" w:rsidRPr="00675182">
        <w:t>no ciemiem vai blīvi apdzīvotām vietām tiek plānota mikro-mobilitātes savienojuma izveide ar augstāk minētajiem galvenajiem (starptautiskajiem) ceļiem, kas veido zaļās infrastruktūras tīklojuma “mugurkaulu” un palielina daudzveidīgas rekreācijas iespējas vietējiem iedzīvotājiem. Lielā daļā gadījumu šādi savienojumi jau pastāv</w:t>
      </w:r>
      <w:r>
        <w:t>;</w:t>
      </w:r>
    </w:p>
    <w:p w14:paraId="4FC7FC2D" w14:textId="481D7343" w:rsidR="00B82817" w:rsidRPr="00675182" w:rsidRDefault="006A059E" w:rsidP="00A84218">
      <w:pPr>
        <w:pStyle w:val="ListParagraph"/>
        <w:numPr>
          <w:ilvl w:val="0"/>
          <w:numId w:val="47"/>
        </w:numPr>
        <w:suppressAutoHyphens w:val="0"/>
        <w:ind w:left="714" w:hanging="357"/>
        <w:jc w:val="both"/>
      </w:pPr>
      <w:r>
        <w:t>e</w:t>
      </w:r>
      <w:r w:rsidRPr="00675182">
        <w:t xml:space="preserve">sošo </w:t>
      </w:r>
      <w:r w:rsidR="00B82817" w:rsidRPr="00675182">
        <w:t>tūrisma un rekreācijas slodžu un aktivitāšu izvērtējumam, kā arī nākotnes attīstības plānošanai izmantota ROS pieeja, visu teritoriju sadalot trijās zonās, atkarībā no to tuvuma apdzīvotajām vietām un galvenajiem tūrisma interešu objektiem. Princips paredz, ka slodze būs lielāka un tās novēršanai plānojama atbilstoša zaļā infrastruktūra tuvāk apdzīvotajām vietām (īpaši desmit minūšu gājiena attālumā no ikdienas dzīves vietas ciemos vai pilsētās), bet iespējami saudzīgāk jauna tūrisma un rekreācijas darbība būtu plānojama t.s. “klusajā zonā</w:t>
      </w:r>
      <w:r w:rsidRPr="00675182">
        <w:t>”</w:t>
      </w:r>
      <w:r>
        <w:t>;</w:t>
      </w:r>
    </w:p>
    <w:p w14:paraId="462227B6" w14:textId="01F538E1" w:rsidR="00B82817" w:rsidRPr="00675182" w:rsidRDefault="006A059E" w:rsidP="00A84218">
      <w:pPr>
        <w:pStyle w:val="ListParagraph"/>
        <w:numPr>
          <w:ilvl w:val="0"/>
          <w:numId w:val="47"/>
        </w:numPr>
        <w:suppressAutoHyphens w:val="0"/>
        <w:ind w:left="714" w:hanging="357"/>
        <w:jc w:val="both"/>
      </w:pPr>
      <w:r>
        <w:lastRenderedPageBreak/>
        <w:t>e</w:t>
      </w:r>
      <w:r w:rsidRPr="00675182">
        <w:t xml:space="preserve">sošās </w:t>
      </w:r>
      <w:r w:rsidR="00B82817" w:rsidRPr="00675182">
        <w:t>tūristu apmetnes vietas – nakšņošanas un atpūtas vietas tiek precīzāk segmentētas, nosakot to pieejamību, vairākās vietās ierobežojot piekļūšanu ar automašīnu</w:t>
      </w:r>
      <w:r>
        <w:t>;</w:t>
      </w:r>
    </w:p>
    <w:p w14:paraId="275A3C7F" w14:textId="3A110E07" w:rsidR="00B82817" w:rsidRPr="00675182" w:rsidRDefault="006A059E" w:rsidP="00A84218">
      <w:pPr>
        <w:pStyle w:val="ListParagraph"/>
        <w:numPr>
          <w:ilvl w:val="0"/>
          <w:numId w:val="47"/>
        </w:numPr>
        <w:suppressAutoHyphens w:val="0"/>
        <w:ind w:left="714" w:hanging="357"/>
        <w:jc w:val="both"/>
      </w:pPr>
      <w:r>
        <w:t>p</w:t>
      </w:r>
      <w:r w:rsidRPr="00675182">
        <w:t xml:space="preserve">recīzāka </w:t>
      </w:r>
      <w:r w:rsidR="00B82817" w:rsidRPr="00675182">
        <w:t>segmentēšana esošās infrastruktūras ietvaros paredzama arī lielākajai daļai jau izveidoto taku, lai noteiktu prioritātes atkarībā no takas platuma, seguma, nogāzes slīpuma un izmantotajiem infrastruktūras elementiem</w:t>
      </w:r>
      <w:r>
        <w:t>;</w:t>
      </w:r>
    </w:p>
    <w:p w14:paraId="4BCFA3A3" w14:textId="3B53F14B" w:rsidR="00B82817" w:rsidRPr="00675182" w:rsidRDefault="006A059E" w:rsidP="00A84218">
      <w:pPr>
        <w:pStyle w:val="ListParagraph"/>
        <w:numPr>
          <w:ilvl w:val="0"/>
          <w:numId w:val="47"/>
        </w:numPr>
        <w:suppressAutoHyphens w:val="0"/>
        <w:jc w:val="both"/>
      </w:pPr>
      <w:r>
        <w:t>i</w:t>
      </w:r>
      <w:r w:rsidRPr="00675182">
        <w:t xml:space="preserve">lgtspējīga </w:t>
      </w:r>
      <w:r w:rsidR="00B82817" w:rsidRPr="00675182">
        <w:t>tūrisma pārvaldības rekomendāciju ieviešana un nākotnē iegūts Eiropas ilgtspējīga tūrisma hartas sertifikāts, GNP kļūstot par EUROPARC sertificētu ilgtspējīga tūrisma galamērķi.</w:t>
      </w:r>
    </w:p>
    <w:p w14:paraId="29107041" w14:textId="203074B9" w:rsidR="00F16DEC" w:rsidRPr="00675182" w:rsidRDefault="00F16DEC" w:rsidP="00F16DEC">
      <w:pPr>
        <w:suppressAutoHyphens w:val="0"/>
        <w:jc w:val="both"/>
      </w:pPr>
    </w:p>
    <w:p w14:paraId="331676B0" w14:textId="77777777" w:rsidR="00F16DEC" w:rsidRPr="00675182" w:rsidRDefault="00F16DEC" w:rsidP="00F16DEC">
      <w:pPr>
        <w:suppressAutoHyphens w:val="0"/>
        <w:jc w:val="both"/>
      </w:pPr>
      <w:r w:rsidRPr="00675182">
        <w:t>Sadaļas ‘’Rekreācija un tūrisms’’ pasākumi ir iedalīti šādās galvenajās grupās:</w:t>
      </w:r>
    </w:p>
    <w:p w14:paraId="7FD40364" w14:textId="1E5CA06A" w:rsidR="00F16DEC" w:rsidRPr="00675182" w:rsidRDefault="00EB1773" w:rsidP="00A84218">
      <w:pPr>
        <w:pStyle w:val="ListParagraph"/>
        <w:numPr>
          <w:ilvl w:val="0"/>
          <w:numId w:val="74"/>
        </w:numPr>
        <w:suppressAutoHyphens w:val="0"/>
        <w:jc w:val="both"/>
      </w:pPr>
      <w:r>
        <w:rPr>
          <w:rFonts w:eastAsia="Arial Unicode MS" w:cstheme="minorHAnsi"/>
          <w:szCs w:val="24"/>
        </w:rPr>
        <w:t>d</w:t>
      </w:r>
      <w:r w:rsidRPr="00675182">
        <w:rPr>
          <w:rFonts w:eastAsia="Arial Unicode MS" w:cstheme="minorHAnsi"/>
          <w:szCs w:val="24"/>
        </w:rPr>
        <w:t xml:space="preserve">abas </w:t>
      </w:r>
      <w:r w:rsidR="00F16DEC" w:rsidRPr="00675182">
        <w:rPr>
          <w:rFonts w:eastAsia="Arial Unicode MS" w:cstheme="minorHAnsi"/>
          <w:szCs w:val="24"/>
        </w:rPr>
        <w:t>un kultūras mantojuma kā tūrisma un rekreācijas resursu aizsardzība un stāvokļa uzlabošana (D1);</w:t>
      </w:r>
    </w:p>
    <w:p w14:paraId="03932225" w14:textId="6282D800" w:rsidR="00F16DEC" w:rsidRPr="00675182" w:rsidRDefault="00EB1773" w:rsidP="00A84218">
      <w:pPr>
        <w:pStyle w:val="ListParagraph"/>
        <w:numPr>
          <w:ilvl w:val="0"/>
          <w:numId w:val="74"/>
        </w:numPr>
        <w:suppressAutoHyphens w:val="0"/>
        <w:jc w:val="both"/>
      </w:pPr>
      <w:r>
        <w:t>k</w:t>
      </w:r>
      <w:r w:rsidRPr="00675182">
        <w:t xml:space="preserve">onkrēti </w:t>
      </w:r>
      <w:r w:rsidR="00F16DEC" w:rsidRPr="00675182">
        <w:t xml:space="preserve">pasākumi tūrisma un atpūtas labiekārtojuma vai saistītas atbalsta infrastruktūras izveidei, t.sk. antropogēnās slodzes mazināšanai (D2); </w:t>
      </w:r>
    </w:p>
    <w:p w14:paraId="3E91A103" w14:textId="50A55B81" w:rsidR="00F16DEC" w:rsidRPr="00675182" w:rsidRDefault="00EB1773" w:rsidP="00A84218">
      <w:pPr>
        <w:pStyle w:val="ListParagraph"/>
        <w:numPr>
          <w:ilvl w:val="0"/>
          <w:numId w:val="74"/>
        </w:numPr>
        <w:suppressAutoHyphens w:val="0"/>
        <w:jc w:val="both"/>
      </w:pPr>
      <w:r>
        <w:t>i</w:t>
      </w:r>
      <w:r w:rsidRPr="00675182">
        <w:t xml:space="preserve">lgtspējīga </w:t>
      </w:r>
      <w:r w:rsidR="00F16DEC" w:rsidRPr="00675182">
        <w:t>resursu un tūrisma galamērķa pārvaldība (D3);</w:t>
      </w:r>
    </w:p>
    <w:p w14:paraId="73DAB313" w14:textId="72B44617" w:rsidR="00F16DEC" w:rsidRPr="00675182" w:rsidRDefault="00EB1773" w:rsidP="00A84218">
      <w:pPr>
        <w:pStyle w:val="ListParagraph"/>
        <w:numPr>
          <w:ilvl w:val="0"/>
          <w:numId w:val="74"/>
        </w:numPr>
        <w:suppressAutoHyphens w:val="0"/>
        <w:jc w:val="both"/>
      </w:pPr>
      <w:r>
        <w:t>t</w:t>
      </w:r>
      <w:r w:rsidRPr="00675182">
        <w:t xml:space="preserve">ūrisma </w:t>
      </w:r>
      <w:r w:rsidR="00F16DEC" w:rsidRPr="00675182">
        <w:t>negatīvās ietekmes mazināšana uz vietējām kopienām ( D4);</w:t>
      </w:r>
    </w:p>
    <w:p w14:paraId="2814C894" w14:textId="08F1E595" w:rsidR="00F16DEC" w:rsidRPr="00675182" w:rsidRDefault="00EB1773" w:rsidP="00A84218">
      <w:pPr>
        <w:pStyle w:val="ListParagraph"/>
        <w:numPr>
          <w:ilvl w:val="0"/>
          <w:numId w:val="74"/>
        </w:numPr>
        <w:suppressAutoHyphens w:val="0"/>
        <w:jc w:val="both"/>
      </w:pPr>
      <w:r>
        <w:t>s</w:t>
      </w:r>
      <w:r w:rsidRPr="00675182">
        <w:t xml:space="preserve">abiedrības </w:t>
      </w:r>
      <w:r w:rsidR="00F16DEC" w:rsidRPr="00675182">
        <w:t>izpratnes veicināšana, dabas izglītība (D5);</w:t>
      </w:r>
    </w:p>
    <w:p w14:paraId="405FA62A" w14:textId="4301371B" w:rsidR="00F16DEC" w:rsidRPr="00675182" w:rsidRDefault="00EB1773" w:rsidP="00A84218">
      <w:pPr>
        <w:pStyle w:val="ListParagraph"/>
        <w:numPr>
          <w:ilvl w:val="0"/>
          <w:numId w:val="74"/>
        </w:numPr>
        <w:suppressAutoHyphens w:val="0"/>
        <w:jc w:val="both"/>
      </w:pPr>
      <w:r>
        <w:t>j</w:t>
      </w:r>
      <w:r w:rsidRPr="00675182">
        <w:t xml:space="preserve">aunu </w:t>
      </w:r>
      <w:r w:rsidR="00F16DEC" w:rsidRPr="00675182">
        <w:t>tūrisma attīstības iniciatīvu uzraudzīšana, saskaņojot ar GNP izveides mērķiem (D6);</w:t>
      </w:r>
    </w:p>
    <w:p w14:paraId="30766F47" w14:textId="20ABE692" w:rsidR="00F16DEC" w:rsidRPr="00675182" w:rsidRDefault="00EB1773" w:rsidP="00A84218">
      <w:pPr>
        <w:pStyle w:val="ListParagraph"/>
        <w:numPr>
          <w:ilvl w:val="0"/>
          <w:numId w:val="74"/>
        </w:numPr>
        <w:suppressAutoHyphens w:val="0"/>
        <w:jc w:val="both"/>
      </w:pPr>
      <w:r>
        <w:t>t</w:t>
      </w:r>
      <w:r w:rsidRPr="00675182">
        <w:t xml:space="preserve">ūrisma </w:t>
      </w:r>
      <w:r w:rsidR="00F16DEC" w:rsidRPr="00675182">
        <w:t>pieredzējuma kvalitātes uzlabošana un saskaņošana ar GNP izveides mērķiem (D7);</w:t>
      </w:r>
    </w:p>
    <w:p w14:paraId="4A97BE59" w14:textId="7DB927C2" w:rsidR="00F16DEC" w:rsidRPr="00675182" w:rsidRDefault="00EB1773" w:rsidP="00A84218">
      <w:pPr>
        <w:pStyle w:val="ListParagraph"/>
        <w:numPr>
          <w:ilvl w:val="0"/>
          <w:numId w:val="74"/>
        </w:numPr>
        <w:suppressAutoHyphens w:val="0"/>
        <w:jc w:val="both"/>
      </w:pPr>
      <w:r>
        <w:rPr>
          <w:rFonts w:eastAsia="Arial Unicode MS" w:cstheme="minorHAnsi"/>
          <w:szCs w:val="24"/>
        </w:rPr>
        <w:t>s</w:t>
      </w:r>
      <w:r w:rsidRPr="00675182">
        <w:rPr>
          <w:rFonts w:eastAsia="Arial Unicode MS" w:cstheme="minorHAnsi"/>
          <w:szCs w:val="24"/>
        </w:rPr>
        <w:t>porta</w:t>
      </w:r>
      <w:r w:rsidR="00F16DEC" w:rsidRPr="00675182">
        <w:rPr>
          <w:rFonts w:eastAsia="Arial Unicode MS" w:cstheme="minorHAnsi"/>
          <w:szCs w:val="24"/>
        </w:rPr>
        <w:t>, tūrisma un rekreācijas attīstībā iesaistīto pušu izglītošana un profesionālā kompetence (D8);</w:t>
      </w:r>
    </w:p>
    <w:p w14:paraId="3A6E4814" w14:textId="77777777" w:rsidR="00F16DEC" w:rsidRPr="00675182" w:rsidRDefault="00F16DEC" w:rsidP="00A84218">
      <w:pPr>
        <w:pStyle w:val="ListParagraph"/>
        <w:numPr>
          <w:ilvl w:val="0"/>
          <w:numId w:val="74"/>
        </w:numPr>
        <w:suppressAutoHyphens w:val="0"/>
        <w:jc w:val="both"/>
      </w:pPr>
      <w:r w:rsidRPr="00675182">
        <w:t>GNP potenciāla izmantošana ilgtspējīgām reģiona ekonomiskajām aktivitātēm (D9).</w:t>
      </w:r>
    </w:p>
    <w:p w14:paraId="77C57356" w14:textId="77777777" w:rsidR="00B82817" w:rsidRPr="00675182" w:rsidRDefault="00B82817" w:rsidP="00B82817">
      <w:pPr>
        <w:rPr>
          <w:rFonts w:cstheme="minorHAnsi"/>
          <w:b/>
          <w:szCs w:val="24"/>
        </w:rPr>
      </w:pPr>
    </w:p>
    <w:p w14:paraId="6F5789BF" w14:textId="77777777" w:rsidR="00473381" w:rsidRPr="00675182" w:rsidRDefault="00473381" w:rsidP="00473381">
      <w:pPr>
        <w:keepNext/>
        <w:keepLines/>
        <w:snapToGrid w:val="0"/>
        <w:rPr>
          <w:rFonts w:eastAsia="Arial Unicode MS" w:cstheme="minorHAnsi"/>
          <w:b/>
          <w:bCs/>
          <w:i/>
          <w:iCs/>
          <w:szCs w:val="24"/>
          <w:u w:val="single"/>
        </w:rPr>
      </w:pPr>
      <w:r w:rsidRPr="00675182">
        <w:rPr>
          <w:rFonts w:eastAsia="Arial Unicode MS" w:cstheme="minorHAnsi"/>
          <w:b/>
          <w:bCs/>
          <w:i/>
          <w:iCs/>
          <w:szCs w:val="24"/>
          <w:u w:val="single"/>
        </w:rPr>
        <w:t>D.1. Dabas un kultūras mantojuma kā tūrisma un rekreācijas resursu aizsardzība un stāvokļa uzlabošana</w:t>
      </w:r>
    </w:p>
    <w:p w14:paraId="0C4C5F1F" w14:textId="77777777" w:rsidR="00473381" w:rsidRPr="00675182" w:rsidRDefault="00473381" w:rsidP="00473381">
      <w:pPr>
        <w:keepNext/>
        <w:keepLines/>
        <w:snapToGrid w:val="0"/>
        <w:jc w:val="both"/>
        <w:rPr>
          <w:rFonts w:eastAsia="Arial Unicode MS" w:cstheme="minorHAnsi"/>
          <w:b/>
          <w:bCs/>
          <w:szCs w:val="24"/>
        </w:rPr>
      </w:pPr>
      <w:r w:rsidRPr="00675182">
        <w:rPr>
          <w:rFonts w:cstheme="minorHAnsi"/>
          <w:bCs/>
          <w:szCs w:val="24"/>
        </w:rPr>
        <w:t>D1 paredz pasākumus, kas saistīti ar dabas un kultūras mantojumu, ainavu kā teritoriālo kapitālu un resursu tūrisma un rekreācijas aktivitātēm, kāpinot tā vērtību ilgtermiņā</w:t>
      </w:r>
    </w:p>
    <w:p w14:paraId="68E9F01E" w14:textId="77777777" w:rsidR="00473381" w:rsidRPr="00675182" w:rsidRDefault="00473381" w:rsidP="00473381">
      <w:pPr>
        <w:snapToGrid w:val="0"/>
        <w:rPr>
          <w:rFonts w:eastAsia="Arial Unicode MS" w:cstheme="minorHAnsi"/>
          <w:b/>
          <w:bCs/>
          <w:szCs w:val="24"/>
          <w:highlight w:val="yellow"/>
        </w:rPr>
      </w:pPr>
    </w:p>
    <w:p w14:paraId="71AD9027" w14:textId="77777777" w:rsidR="00473381" w:rsidRPr="00675182" w:rsidRDefault="00473381" w:rsidP="00473381">
      <w:pPr>
        <w:snapToGrid w:val="0"/>
        <w:rPr>
          <w:rFonts w:eastAsia="Arial Unicode MS" w:cstheme="minorHAnsi"/>
          <w:b/>
          <w:bCs/>
          <w:szCs w:val="24"/>
        </w:rPr>
      </w:pPr>
      <w:r w:rsidRPr="00675182">
        <w:rPr>
          <w:rFonts w:eastAsia="Arial Unicode MS" w:cstheme="minorHAnsi"/>
          <w:b/>
          <w:bCs/>
          <w:szCs w:val="24"/>
        </w:rPr>
        <w:t>D.1.1.</w:t>
      </w:r>
      <w:r w:rsidRPr="00675182">
        <w:rPr>
          <w:rFonts w:eastAsia="Arial Unicode MS" w:cstheme="minorHAnsi"/>
          <w:b/>
          <w:bCs/>
          <w:szCs w:val="24"/>
        </w:rPr>
        <w:tab/>
        <w:t>Antropogēnās ietekmes uz floru un faunu uzraudzīšana, kontrolējot tūrismu dabas aizsardzībai jutīgās vietās – stingrā režīma un dabas lieguma zonā</w:t>
      </w:r>
    </w:p>
    <w:p w14:paraId="2A801F88" w14:textId="77224F99" w:rsidR="00473381" w:rsidRPr="00675182" w:rsidRDefault="00473381" w:rsidP="00473381">
      <w:pPr>
        <w:snapToGrid w:val="0"/>
        <w:jc w:val="both"/>
        <w:rPr>
          <w:rFonts w:ascii="Calibri" w:eastAsia="Arial Unicode MS" w:hAnsi="Calibri"/>
          <w:szCs w:val="24"/>
        </w:rPr>
      </w:pPr>
      <w:r w:rsidRPr="00675182">
        <w:rPr>
          <w:rFonts w:ascii="Calibri" w:eastAsia="Arial Unicode MS" w:hAnsi="Calibri"/>
          <w:szCs w:val="24"/>
        </w:rPr>
        <w:t xml:space="preserve">GNP SRZ apmeklētāju plūsma netiek plānota. Ir jānodrošina dabas aizsardzības ekspertu vai DAP inspektoru kontrole, apmeklētības novēršanai, uzraudzība par stihisku dabas apmeklētību. Sadarbībā ar pašvaldības tūrisma speciālistiem būtu jāpanāk šo vietu nepopularizēšana digitālajos resursos. DLZ apmeklētība ir saistīta ar esošo ūdens ceļu, ceļu, taku un veloceļu tīklojumu. Ir jāveic apmeklētāju plūsmas uzskaite vienota ĪADT apmeklētāju plūsmas monitoringa ietvaros. Publiskos pasākumus ārpus publiskās infrastruktūras nedrīkst plānot dzīvnieku vairošanās un netraucētas mazuļu barošanas un izvešanas periodā. Publisko pasākumu norise būtu saskaņojama ar DAP. Sezonā un laikapstākļos, kad antropogēnā slodze nogāzēs ir īpaši postoša, var paredzēt īslaicīgu dabas taku slēgšanu, apvienojot ar operatīvu informāciju digitālajos resursos. Šis pasākums nodrošinās to, ka tiek samazināta antropogēnā ietekme jutīgajās teritorijās. </w:t>
      </w:r>
    </w:p>
    <w:p w14:paraId="10466586" w14:textId="77777777" w:rsidR="00473381" w:rsidRPr="00675182" w:rsidRDefault="00473381" w:rsidP="00473381">
      <w:pPr>
        <w:snapToGrid w:val="0"/>
        <w:rPr>
          <w:rFonts w:eastAsia="Arial Unicode MS" w:cstheme="minorHAnsi"/>
          <w:b/>
          <w:bCs/>
          <w:szCs w:val="24"/>
        </w:rPr>
      </w:pPr>
    </w:p>
    <w:p w14:paraId="77B1733C" w14:textId="77777777" w:rsidR="00473381" w:rsidRPr="00675182" w:rsidRDefault="00473381" w:rsidP="00BF7348">
      <w:pPr>
        <w:snapToGrid w:val="0"/>
        <w:jc w:val="both"/>
        <w:rPr>
          <w:rFonts w:eastAsia="Arial Unicode MS" w:cstheme="minorHAnsi"/>
          <w:b/>
          <w:bCs/>
          <w:szCs w:val="24"/>
        </w:rPr>
      </w:pPr>
      <w:r w:rsidRPr="00675182">
        <w:rPr>
          <w:rFonts w:eastAsia="Arial Unicode MS" w:cstheme="minorHAnsi"/>
          <w:b/>
          <w:bCs/>
          <w:szCs w:val="24"/>
        </w:rPr>
        <w:lastRenderedPageBreak/>
        <w:t>D.1.2.</w:t>
      </w:r>
      <w:r w:rsidRPr="00675182">
        <w:rPr>
          <w:rFonts w:eastAsia="Arial Unicode MS" w:cstheme="minorHAnsi"/>
          <w:b/>
          <w:bCs/>
          <w:szCs w:val="24"/>
        </w:rPr>
        <w:tab/>
        <w:t>Tematisku ētikas kodeksu izstrāde dabas resursus saudzīgai izmantošanai un integrēšana āra aktīvo norišu (āra sporta veidi, zirgu izjādes, ūdenstūrisms, MTB velobraukšana, publiskie pasākumi u.c.) saziņas kanālos</w:t>
      </w:r>
    </w:p>
    <w:p w14:paraId="6D9EAF6B" w14:textId="65A3D12D" w:rsidR="00473381" w:rsidRPr="00675182" w:rsidRDefault="00473381" w:rsidP="00473381">
      <w:pPr>
        <w:snapToGrid w:val="0"/>
        <w:jc w:val="both"/>
        <w:rPr>
          <w:rFonts w:ascii="Calibri" w:eastAsia="Arial Unicode MS" w:hAnsi="Calibri"/>
          <w:szCs w:val="24"/>
        </w:rPr>
      </w:pPr>
      <w:r w:rsidRPr="00675182">
        <w:rPr>
          <w:rFonts w:ascii="Calibri" w:eastAsia="Arial Unicode MS" w:hAnsi="Calibri"/>
          <w:szCs w:val="24"/>
        </w:rPr>
        <w:t>Šis pasākums iekļauj ētikas kodeksu izstrādi āra pasākumu organizēšanai. Kodeksus būtu nepieciešams publicēt pakalpojumu sniedzēju tīmekļa vietnēs. Šis kodeks</w:t>
      </w:r>
      <w:r w:rsidR="00B052E5">
        <w:rPr>
          <w:rFonts w:ascii="Calibri" w:eastAsia="Arial Unicode MS" w:hAnsi="Calibri"/>
          <w:szCs w:val="24"/>
        </w:rPr>
        <w:t>s</w:t>
      </w:r>
      <w:r w:rsidRPr="00675182">
        <w:rPr>
          <w:rFonts w:ascii="Calibri" w:eastAsia="Arial Unicode MS" w:hAnsi="Calibri"/>
          <w:szCs w:val="24"/>
        </w:rPr>
        <w:t xml:space="preserve"> iekļautu noteikumus apmeklētājiem, kas kalpo kā uzvedības standarts, apvienojot gan likumiski noteiktos ierobežojumus, gan arī veicinot vēlamo apmeklējuma izpausmi. Tas ietvert    u saudzīgu attieksmi pret mantojuma resursiem, iespējami mazākas ietekmes atstāšanu dabā, sadzīves atkritumu apsaimniekošanas norādes, sadzīvošanu ar citām atpūtnieku grupām, mijiedarbību ar vietējiem, ietekmi uz vietējo ekonomiku, ieteikumus rīcībām dažādās sezonās. Ētikas kodekss jeb uzvedības standarts būtu jāsaskaņo  un jāizplata ar attiecīgo jomu iesaistītajām pusēm (piemēram, ar nozares profesionālajām asociācijām). Tas būtu jāpopularizē digitāli un konkrētos gadījumos arī ar QR koda palīdzību u.tml. atpūtas vietās dabā. Ētikas kodeksi āra sporta veidiem, zirgu izjādēm, ūdenstūrismam, MTB velobraukšanai dabas takās, publiskajiem pasākumiem, putnu vērošanai, pārgājieniem u.c. būtu jāizstrādā un jākomunicē tālāk ar Gaujas NP tūrisma biedrību – </w:t>
      </w:r>
      <w:r w:rsidRPr="00675182">
        <w:rPr>
          <w:rFonts w:ascii="Calibri" w:eastAsia="Arial Unicode MS" w:hAnsi="Calibri"/>
          <w:i/>
          <w:szCs w:val="24"/>
        </w:rPr>
        <w:t>Enter Gauja</w:t>
      </w:r>
      <w:r w:rsidRPr="00675182">
        <w:rPr>
          <w:rFonts w:ascii="Calibri" w:eastAsia="Arial Unicode MS" w:hAnsi="Calibri"/>
          <w:szCs w:val="24"/>
        </w:rPr>
        <w:t xml:space="preserve"> klastera biroju, lai tie efektīvāk sasniegtu adresātu – primāri iesaistītos tūrisma pakalpojumu sniedzējus.</w:t>
      </w:r>
    </w:p>
    <w:p w14:paraId="7BBC87FD" w14:textId="77777777" w:rsidR="00473381" w:rsidRPr="00675182" w:rsidRDefault="00473381" w:rsidP="00473381">
      <w:pPr>
        <w:snapToGrid w:val="0"/>
        <w:rPr>
          <w:rFonts w:eastAsia="Arial Unicode MS" w:cstheme="minorHAnsi"/>
          <w:b/>
          <w:bCs/>
          <w:szCs w:val="24"/>
          <w:highlight w:val="yellow"/>
        </w:rPr>
      </w:pPr>
    </w:p>
    <w:p w14:paraId="0AB9F950" w14:textId="77777777" w:rsidR="00473381" w:rsidRPr="00675182" w:rsidRDefault="00473381" w:rsidP="00BF7348">
      <w:pPr>
        <w:snapToGrid w:val="0"/>
        <w:jc w:val="both"/>
        <w:rPr>
          <w:rFonts w:eastAsia="Arial Unicode MS" w:cstheme="minorHAnsi"/>
          <w:b/>
          <w:bCs/>
          <w:szCs w:val="24"/>
        </w:rPr>
      </w:pPr>
      <w:r w:rsidRPr="00675182">
        <w:rPr>
          <w:rFonts w:eastAsia="Arial Unicode MS" w:cstheme="minorHAnsi"/>
          <w:b/>
          <w:bCs/>
          <w:szCs w:val="24"/>
        </w:rPr>
        <w:t>D.1.3.</w:t>
      </w:r>
      <w:r w:rsidRPr="00675182">
        <w:rPr>
          <w:rFonts w:eastAsia="Arial Unicode MS" w:cstheme="minorHAnsi"/>
          <w:b/>
          <w:bCs/>
          <w:szCs w:val="24"/>
        </w:rPr>
        <w:tab/>
        <w:t>Uzņēmēju, iedzīvotāju (t.sk. senioru, Rīgas senioru), NVO, kopienu un citu ieintersēto pušu brīvprātīgo iniciatīvu veicināšana dabas un kultūras mantojuma aizsardzībai un stāvokļa uzlabošanai</w:t>
      </w:r>
    </w:p>
    <w:p w14:paraId="1B9E240B" w14:textId="77777777" w:rsidR="00473381" w:rsidRPr="00675182" w:rsidRDefault="00473381" w:rsidP="00473381">
      <w:pPr>
        <w:snapToGrid w:val="0"/>
        <w:jc w:val="both"/>
        <w:rPr>
          <w:rFonts w:eastAsia="Arial Unicode MS" w:cstheme="minorHAnsi"/>
          <w:b/>
          <w:bCs/>
          <w:szCs w:val="24"/>
          <w:highlight w:val="yellow"/>
        </w:rPr>
      </w:pPr>
      <w:r w:rsidRPr="00675182">
        <w:rPr>
          <w:rFonts w:ascii="Calibri" w:eastAsia="Arial Unicode MS" w:hAnsi="Calibri"/>
          <w:szCs w:val="24"/>
        </w:rPr>
        <w:t>Pasākums paredz koordinētu darbu ar dabas un kultūras mantojuma aizsardzībā ieinteresētām pusēm – vietējo kopienu pārstāvjiem, uzņēmējiem, cilvēkiem no tuvākajām pilsētām (t.sk. Rīgas), kuri vēlas savas zināšanas, laiku un resursus veltīt kādas noteiktas vietas, vai tematiskas jomas pieskatīšanai, uzturēšanai vai iesaistei praktiskā darbībā (vai attālināti) ar zināmu regularitāti. Ilgtermiņā tā izveidotos kā dažus tūkstošus cilvēkus liela apvienojoša lojāla GNP “fanu” kustība, kuri pastiprinātu apsaimniekošanas kapacitāti un kļūtu par vietas un mantojuma vērtību vēstniekiem. Perspektīvā, sadarbībā ar AS “Pasažieru vilciens” vai analogu kompāniju būtu jārisina  sponsorēšana šādu brīvprātīgo nokļūšanai starp Rīgu un jebkuru GNP staciju bez maksas. Tas būtu jādara iesaistes un līdzdarbošanās (nevis izklaides vai ceļošanas) interesēs. Ārpus apsaimniekošanas darbiem būtu jāparedz iesaiste arī dažādu monitoringa uzskaišu veikšanā u.tml. Jau šobrīd ir daudz dažādu kampaņveida iniciatīvu (sadzīves atkritumu vākšanas talkas, projektu ietvaros īstenotas reto sugu foto akcijas u.c.), bet pietrūkst labas koordinēšanas, ko veiktu DAP vai atbalstoša NVO organizācija.</w:t>
      </w:r>
    </w:p>
    <w:p w14:paraId="1CD97365" w14:textId="77777777" w:rsidR="00473381" w:rsidRPr="00675182" w:rsidRDefault="00473381" w:rsidP="00473381">
      <w:pPr>
        <w:snapToGrid w:val="0"/>
        <w:rPr>
          <w:rFonts w:eastAsia="Arial Unicode MS" w:cstheme="minorHAnsi"/>
          <w:b/>
          <w:bCs/>
          <w:szCs w:val="24"/>
          <w:highlight w:val="yellow"/>
        </w:rPr>
      </w:pPr>
    </w:p>
    <w:p w14:paraId="5D2CA269" w14:textId="77777777" w:rsidR="00473381" w:rsidRPr="00675182" w:rsidRDefault="00473381" w:rsidP="00473381">
      <w:pPr>
        <w:snapToGrid w:val="0"/>
        <w:rPr>
          <w:rFonts w:eastAsia="Arial Unicode MS" w:cstheme="minorHAnsi"/>
          <w:b/>
          <w:bCs/>
          <w:szCs w:val="24"/>
        </w:rPr>
      </w:pPr>
      <w:r w:rsidRPr="00675182">
        <w:rPr>
          <w:rFonts w:eastAsia="Arial Unicode MS" w:cstheme="minorHAnsi"/>
          <w:b/>
          <w:bCs/>
          <w:szCs w:val="24"/>
        </w:rPr>
        <w:t>D.1.4.</w:t>
      </w:r>
      <w:r w:rsidRPr="00675182">
        <w:rPr>
          <w:rFonts w:eastAsia="Arial Unicode MS" w:cstheme="minorHAnsi"/>
          <w:b/>
          <w:bCs/>
          <w:szCs w:val="24"/>
        </w:rPr>
        <w:tab/>
        <w:t>Brīvprātīgo darbu koordinatora amata izveide</w:t>
      </w:r>
    </w:p>
    <w:p w14:paraId="145F833E" w14:textId="213A053F" w:rsidR="00473381" w:rsidRPr="00675182" w:rsidRDefault="00473381" w:rsidP="00473381">
      <w:pPr>
        <w:snapToGrid w:val="0"/>
        <w:jc w:val="both"/>
        <w:rPr>
          <w:rFonts w:ascii="Calibri" w:eastAsia="Arial Unicode MS" w:hAnsi="Calibri"/>
          <w:szCs w:val="24"/>
        </w:rPr>
      </w:pPr>
      <w:r w:rsidRPr="00675182">
        <w:rPr>
          <w:rFonts w:ascii="Calibri" w:eastAsia="Arial Unicode MS" w:hAnsi="Calibri"/>
          <w:szCs w:val="24"/>
        </w:rPr>
        <w:t>Ciešā kontekstā ar D.1.3. punktā minēto ideju, būtu jāizveido brīvprātīgo darba koordinatora amata vieta DAP štatā. Darba uzdevums tiktu pakārtots noteiktiem rezultatīvajiem rādītājiem – noteikta skaita brīvprātīgo piesaistē, vajadzīgo pasākumu apzināšanā, to veikšanas prioritāšu noteikšanā, operatīvā un pārdomātā saziņas apritē, brīvprātīgo lojalitātes plāna izstrādē u.c. Koordinators uzņemtos arī Jauniešu programmas (GNP Jaunie rendžeri</w:t>
      </w:r>
      <w:r w:rsidRPr="00675182">
        <w:rPr>
          <w:rStyle w:val="FootnoteReference"/>
          <w:rFonts w:ascii="Calibri" w:eastAsia="Arial Unicode MS" w:hAnsi="Calibri"/>
          <w:szCs w:val="24"/>
        </w:rPr>
        <w:footnoteReference w:id="32"/>
      </w:r>
      <w:r w:rsidRPr="00675182">
        <w:rPr>
          <w:rFonts w:ascii="Calibri" w:eastAsia="Arial Unicode MS" w:hAnsi="Calibri"/>
          <w:szCs w:val="24"/>
        </w:rPr>
        <w:t xml:space="preserve">) koordinēšanu, sadarbībā ar pašvaldību interešu izglītības speciālistiem, satura integrēšanai ārpusskolas programmā vietējās GNP un tā </w:t>
      </w:r>
      <w:r w:rsidRPr="00675182">
        <w:rPr>
          <w:rFonts w:ascii="Calibri" w:eastAsia="Arial Unicode MS" w:hAnsi="Calibri"/>
          <w:szCs w:val="24"/>
        </w:rPr>
        <w:lastRenderedPageBreak/>
        <w:t>apkārtnes (t.sk. pilsētu) skolās. Būtu jāstrādā uz resursu piesaisti no ziedojumiem, sponsorējumiem un projektu iniciatīvām darbam ar brīvprātīgajiem GNP mērķu sasniegšanai.</w:t>
      </w:r>
    </w:p>
    <w:p w14:paraId="2F3AA6FC" w14:textId="77777777" w:rsidR="00473381" w:rsidRPr="00675182" w:rsidRDefault="00473381" w:rsidP="00473381">
      <w:pPr>
        <w:snapToGrid w:val="0"/>
        <w:rPr>
          <w:rFonts w:eastAsia="Arial Unicode MS" w:cstheme="minorHAnsi"/>
          <w:b/>
          <w:bCs/>
          <w:szCs w:val="24"/>
          <w:highlight w:val="yellow"/>
        </w:rPr>
      </w:pPr>
    </w:p>
    <w:p w14:paraId="7824D3A1" w14:textId="77777777" w:rsidR="00473381" w:rsidRPr="00675182" w:rsidRDefault="00473381" w:rsidP="00BF7348">
      <w:pPr>
        <w:snapToGrid w:val="0"/>
        <w:jc w:val="both"/>
        <w:rPr>
          <w:rFonts w:eastAsia="Arial Unicode MS" w:cstheme="minorHAnsi"/>
          <w:b/>
          <w:bCs/>
          <w:szCs w:val="24"/>
        </w:rPr>
      </w:pPr>
      <w:r w:rsidRPr="00675182">
        <w:rPr>
          <w:rFonts w:eastAsia="Arial Unicode MS" w:cstheme="minorHAnsi"/>
          <w:b/>
          <w:bCs/>
          <w:szCs w:val="24"/>
        </w:rPr>
        <w:t>D.1.5.</w:t>
      </w:r>
      <w:r w:rsidRPr="00675182">
        <w:rPr>
          <w:rFonts w:eastAsia="Arial Unicode MS" w:cstheme="minorHAnsi"/>
          <w:b/>
          <w:bCs/>
          <w:szCs w:val="24"/>
        </w:rPr>
        <w:tab/>
        <w:t>Sabiedrības un korporatīvā segmenta ziedojumu veicināšana GNP dabas un kultūras mantojuma aizsardzībai un stāvokļa uzlabošanai</w:t>
      </w:r>
    </w:p>
    <w:p w14:paraId="37D7CFA2" w14:textId="43372A93" w:rsidR="00473381" w:rsidRPr="00675182" w:rsidRDefault="00473381" w:rsidP="00473381">
      <w:pPr>
        <w:snapToGrid w:val="0"/>
        <w:jc w:val="both"/>
        <w:rPr>
          <w:rFonts w:ascii="Calibri" w:eastAsia="Arial Unicode MS" w:hAnsi="Calibri"/>
          <w:szCs w:val="24"/>
        </w:rPr>
      </w:pPr>
    </w:p>
    <w:p w14:paraId="6D455556" w14:textId="36690EDD" w:rsidR="00473381" w:rsidRPr="00675182" w:rsidRDefault="00473381" w:rsidP="00473381">
      <w:pPr>
        <w:snapToGrid w:val="0"/>
        <w:jc w:val="both"/>
        <w:rPr>
          <w:rFonts w:ascii="Calibri" w:eastAsia="Arial Unicode MS" w:hAnsi="Calibri"/>
          <w:szCs w:val="24"/>
        </w:rPr>
      </w:pPr>
      <w:r w:rsidRPr="00675182">
        <w:rPr>
          <w:rFonts w:ascii="Calibri" w:eastAsia="Arial Unicode MS" w:hAnsi="Calibri"/>
          <w:szCs w:val="24"/>
        </w:rPr>
        <w:t xml:space="preserve">Būtu jāturpina GNP fonda iniciatīva, veicinot mērķziedojumu piesaisti GNP </w:t>
      </w:r>
      <w:r w:rsidR="00EC5263">
        <w:rPr>
          <w:rFonts w:ascii="Calibri" w:eastAsia="Arial Unicode MS" w:hAnsi="Calibri"/>
          <w:szCs w:val="24"/>
        </w:rPr>
        <w:t>DA</w:t>
      </w:r>
      <w:r w:rsidRPr="00675182">
        <w:rPr>
          <w:rFonts w:ascii="Calibri" w:eastAsia="Arial Unicode MS" w:hAnsi="Calibri"/>
          <w:szCs w:val="24"/>
        </w:rPr>
        <w:t xml:space="preserve"> plānā minēto mērķu efektīvākai sasniegšanai, ikdienas darbību kapacitātes stiprināšanai. Tā darbojas koordinēti ar D.1.3. un D.1.4. punktā minētajām aktivitātēm.</w:t>
      </w:r>
    </w:p>
    <w:p w14:paraId="17E7BC21" w14:textId="77777777" w:rsidR="00473381" w:rsidRPr="00675182" w:rsidRDefault="00473381" w:rsidP="00473381">
      <w:pPr>
        <w:snapToGrid w:val="0"/>
        <w:rPr>
          <w:rFonts w:eastAsia="Arial Unicode MS" w:cstheme="minorHAnsi"/>
          <w:b/>
          <w:bCs/>
          <w:szCs w:val="24"/>
        </w:rPr>
      </w:pPr>
    </w:p>
    <w:p w14:paraId="30290971" w14:textId="77777777" w:rsidR="00473381" w:rsidRPr="00675182" w:rsidRDefault="00473381" w:rsidP="00BF7348">
      <w:pPr>
        <w:snapToGrid w:val="0"/>
        <w:jc w:val="both"/>
        <w:rPr>
          <w:rFonts w:ascii="Calibri" w:hAnsi="Calibri"/>
          <w:b/>
          <w:bCs/>
        </w:rPr>
      </w:pPr>
      <w:r w:rsidRPr="00675182">
        <w:rPr>
          <w:rFonts w:ascii="Calibri" w:hAnsi="Calibri"/>
          <w:b/>
          <w:bCs/>
        </w:rPr>
        <w:t>D.1.6. Tūrisma un rekreācijas infrastruktūras izveide apmeklētāju radītās antropogēnās slodzes mazināšanai. Turpinājumā uzskaitītas vispārīgas vadlīnijas pirms konkrētu rīcību iekļaušanas.</w:t>
      </w:r>
    </w:p>
    <w:p w14:paraId="315C0A85" w14:textId="77777777" w:rsidR="00473381" w:rsidRPr="00675182" w:rsidRDefault="00473381" w:rsidP="00473381">
      <w:pPr>
        <w:jc w:val="both"/>
        <w:rPr>
          <w:rFonts w:ascii="Calibri" w:hAnsi="Calibri"/>
          <w:bCs/>
          <w:szCs w:val="24"/>
        </w:rPr>
      </w:pPr>
      <w:r w:rsidRPr="00675182">
        <w:rPr>
          <w:rFonts w:ascii="Calibri" w:hAnsi="Calibri"/>
          <w:bCs/>
          <w:szCs w:val="24"/>
        </w:rPr>
        <w:t>Paredz pasākumus jau esošās tūrisma infrastruktūras uzturēšanai, atjaunošanai un uzlabošanai, kā arī jaunas infrastruktūras izveidei vietās ar regulāru apmeklētāju plūsmu, kas bez atbilstoša labiekārtojuma rada lielu antropogēno slodzi.</w:t>
      </w:r>
    </w:p>
    <w:p w14:paraId="330C5B52" w14:textId="77777777" w:rsidR="00473381" w:rsidRPr="00675182" w:rsidRDefault="00473381" w:rsidP="00473381">
      <w:pPr>
        <w:jc w:val="both"/>
        <w:rPr>
          <w:rFonts w:ascii="Calibri" w:hAnsi="Calibri"/>
          <w:bCs/>
          <w:szCs w:val="24"/>
          <w:highlight w:val="yellow"/>
        </w:rPr>
      </w:pPr>
    </w:p>
    <w:p w14:paraId="7C182BCE" w14:textId="77777777" w:rsidR="00473381" w:rsidRPr="00675182" w:rsidRDefault="00473381" w:rsidP="00473381">
      <w:pPr>
        <w:jc w:val="both"/>
        <w:rPr>
          <w:rFonts w:ascii="Calibri" w:hAnsi="Calibri"/>
          <w:bCs/>
          <w:szCs w:val="24"/>
          <w:highlight w:val="yellow"/>
        </w:rPr>
      </w:pPr>
      <w:r w:rsidRPr="00675182">
        <w:rPr>
          <w:rFonts w:ascii="Calibri" w:hAnsi="Calibri"/>
          <w:bCs/>
          <w:szCs w:val="24"/>
        </w:rPr>
        <w:t xml:space="preserve">Plānojot ilgtspējīgas tūrisma norises, infrastruktūras elementi nav atrauti no ceļošanas pieredzes. Infrastruktūra un tās kvalitāte veido daļu no kopējā GNP apmeklējuma, iekļaujas kopējā kontekstā ar pakalpojumiem, tūrisma vietām, nokļūšanu līdz tām u.c. Infrastruktūras plānošanā jāievēro minimālisma pieeja, nepārspīlējot ar tās akcentēšanu. Vienlaikus tai jābūt funkcionālai, ergonomiskai, ar formālo izpildījuma kvalitāti, ilgmūžīgai, ekoloģiski atbilstošai, iekļaujot simboliskos – GNP identitātei raksturīgos akcentus, kā arī ar zināmu inovācijas pakāpi, pievilcīgu vizuāli estētisko pusi. Tāpēc jebkurā no infrastruktūras plānošanas, ieviešanas un uzturēšanas etapiem to jāredz kontekstā ar kopējo apmeklētāja ceļojumu, izmantojot dizaina domāšanas pieeju. Kvalitatīvs un atbildīgs tūrisma pieredzējums GNP ar izglītojošiem elementiem nerodas nejauši. Daļa no antropogēnās slodzes dažviet rodas tādēļ, ka nav izplānota apmeklētāju paredzamā rīcība jau iepriekš vai apmeklētāji nav atbilstoši sagatavojušies – bijusi fragmentāra informācija digitālajos resursos pirms braukšanas. Turpmāk informatīvā telpa vēl vairāk digitalizēsies, pieaugs operatīvās informācijas nozīme, pieļaujot aktuālā satura ātrāku komunicēšanu ar apmeklētājiem. Dizaina domāšanā jebkuras vietas apmeklējums būtu vērtējams kontekstā no informācijas gūšanu par attiecīgo vietu, nokļūšanas līdz tai, ceļošanas uz vietas (iespējami veicinot mikro-mobilitāti), pieredzējuma gūšanas saskarsmē ar pakalpojumu sniedzējiem, atgriezeniskās saiknes. </w:t>
      </w:r>
      <w:r w:rsidRPr="00675182">
        <w:rPr>
          <w:rFonts w:ascii="Calibri" w:hAnsi="Calibri"/>
          <w:bCs/>
          <w:szCs w:val="24"/>
          <w:shd w:val="clear" w:color="auto" w:fill="FFFFFF" w:themeFill="background1"/>
        </w:rPr>
        <w:t>Galvenie apsaimniekošanas principi.</w:t>
      </w:r>
    </w:p>
    <w:p w14:paraId="465587EE" w14:textId="77777777" w:rsidR="00473381" w:rsidRPr="00675182" w:rsidRDefault="00473381" w:rsidP="00473381">
      <w:pPr>
        <w:jc w:val="both"/>
        <w:rPr>
          <w:rFonts w:ascii="Calibri" w:hAnsi="Calibri"/>
          <w:bCs/>
          <w:szCs w:val="24"/>
          <w:highlight w:val="yellow"/>
        </w:rPr>
      </w:pPr>
    </w:p>
    <w:p w14:paraId="5A4C864F" w14:textId="77777777" w:rsidR="00473381" w:rsidRPr="00675182" w:rsidRDefault="00473381" w:rsidP="00473381">
      <w:pPr>
        <w:jc w:val="both"/>
        <w:rPr>
          <w:rFonts w:ascii="Calibri" w:hAnsi="Calibri"/>
          <w:b/>
          <w:szCs w:val="24"/>
        </w:rPr>
      </w:pPr>
      <w:r w:rsidRPr="00675182">
        <w:rPr>
          <w:rFonts w:ascii="Calibri" w:hAnsi="Calibri"/>
          <w:b/>
          <w:szCs w:val="24"/>
        </w:rPr>
        <w:t>Digitālie informācijas nesēji</w:t>
      </w:r>
    </w:p>
    <w:p w14:paraId="44C95E2A" w14:textId="686A1BD7" w:rsidR="00473381" w:rsidRPr="00675182" w:rsidRDefault="00473381" w:rsidP="00473381">
      <w:pPr>
        <w:jc w:val="both"/>
        <w:rPr>
          <w:rFonts w:ascii="Calibri" w:hAnsi="Calibri"/>
          <w:bCs/>
          <w:szCs w:val="24"/>
        </w:rPr>
      </w:pPr>
      <w:r w:rsidRPr="00675182">
        <w:rPr>
          <w:rFonts w:ascii="Calibri" w:hAnsi="Calibri"/>
          <w:bCs/>
          <w:szCs w:val="24"/>
        </w:rPr>
        <w:t>Ietver DAP un saistīto institūciju uzturētos resursus, tūrisma galamērķu pārvaldes resursus (EnterGauja.com, pašvaldību tīmekļa vietnes tūrisma sadaļa un saistītie kanāli) un citu iesaistīto pušu informācijas kanālus, saziņu sociālajos tīklos u.c. Pirmavotos jeb satura ziņā kontrolētajās vietnēs, iekļautā informācija ir iespējami precīza, būtiska, izglītojoša, aktuāla.</w:t>
      </w:r>
      <w:r w:rsidR="00BA0402">
        <w:rPr>
          <w:rFonts w:ascii="Calibri" w:hAnsi="Calibri"/>
          <w:bCs/>
          <w:szCs w:val="24"/>
        </w:rPr>
        <w:t xml:space="preserve"> </w:t>
      </w:r>
      <w:r w:rsidRPr="00675182">
        <w:rPr>
          <w:rFonts w:ascii="Calibri" w:hAnsi="Calibri"/>
          <w:bCs/>
          <w:szCs w:val="24"/>
        </w:rPr>
        <w:t xml:space="preserve">Tā varētu kalpot par paraugu citām lapām un tā varētu būt vieta, kur gūt patiesu, izglītojošu un aktuālu vēstījumu. Valodai jābūt  pielāgotai apmeklētājiem, skaidri uztveramai un tādai, kura nerada neprecīzas gaidas. Nākotnē pieaugs vajadzība komunicēt par aktuālo informāciju tiešsaistē: par izvairīšanos no vietām, kur ir liels </w:t>
      </w:r>
      <w:r w:rsidRPr="00675182">
        <w:rPr>
          <w:rFonts w:ascii="Calibri" w:hAnsi="Calibri"/>
          <w:bCs/>
          <w:szCs w:val="24"/>
        </w:rPr>
        <w:lastRenderedPageBreak/>
        <w:t>cilvēku skaits; par izmaiņām taku tīklojuma posmos; sezonāli aktuālām norisēm u.c. Līdzīgi būtu attīstāma arī atgriezeniskās saiknes ievākšana, līdzīgi kā šobrīd darbojas Vides SOS vai Google uzņēmēju un tūrisma vietu profilu vērtējumi vai komentāri – operatīvai atgriezeniskās saiknes uzraudzībai par apmeklējumu.</w:t>
      </w:r>
    </w:p>
    <w:p w14:paraId="7C2E4673" w14:textId="77777777" w:rsidR="00473381" w:rsidRPr="00675182" w:rsidRDefault="00473381" w:rsidP="00473381">
      <w:pPr>
        <w:jc w:val="both"/>
        <w:rPr>
          <w:rFonts w:ascii="Calibri" w:hAnsi="Calibri"/>
          <w:b/>
          <w:szCs w:val="24"/>
        </w:rPr>
      </w:pPr>
    </w:p>
    <w:p w14:paraId="165197C6" w14:textId="77777777" w:rsidR="00473381" w:rsidRPr="00675182" w:rsidRDefault="00473381" w:rsidP="00473381">
      <w:pPr>
        <w:jc w:val="both"/>
        <w:rPr>
          <w:rFonts w:ascii="Calibri" w:hAnsi="Calibri"/>
          <w:b/>
          <w:szCs w:val="24"/>
        </w:rPr>
      </w:pPr>
      <w:r w:rsidRPr="00675182">
        <w:rPr>
          <w:rFonts w:ascii="Calibri" w:hAnsi="Calibri"/>
          <w:b/>
          <w:szCs w:val="24"/>
        </w:rPr>
        <w:t>GNP “vārti”</w:t>
      </w:r>
    </w:p>
    <w:p w14:paraId="53385348" w14:textId="776BF65E" w:rsidR="00473381" w:rsidRPr="00675182" w:rsidRDefault="00473381" w:rsidP="00473381">
      <w:pPr>
        <w:jc w:val="both"/>
        <w:rPr>
          <w:rFonts w:ascii="Calibri" w:hAnsi="Calibri"/>
          <w:bCs/>
          <w:szCs w:val="24"/>
        </w:rPr>
      </w:pPr>
      <w:r w:rsidRPr="00675182">
        <w:rPr>
          <w:rFonts w:ascii="Calibri" w:hAnsi="Calibri"/>
          <w:bCs/>
          <w:szCs w:val="24"/>
        </w:rPr>
        <w:t xml:space="preserve">Pie visiem valsts un reģionālās nozīmes galvenajiem ceļiem, dzelzceļa stacijām un arī nozīmīgākajiem stāvlaukumiem ir jābūt zīmei ar GNP identitāti. Tas būtu nacionālās nozīmes mantojuma vietas un tūrisma galamērķa identitātes nesējs, vienlaikus atgādinājums par ilgtspējīgu tūrismu, atbildīgām ikdienas norisēm, respektējot atrašanos </w:t>
      </w:r>
      <w:r w:rsidR="00BA0402">
        <w:rPr>
          <w:rFonts w:ascii="Calibri" w:hAnsi="Calibri"/>
          <w:bCs/>
          <w:szCs w:val="24"/>
        </w:rPr>
        <w:t>ĪADT</w:t>
      </w:r>
      <w:r w:rsidRPr="00675182">
        <w:rPr>
          <w:rFonts w:ascii="Calibri" w:hAnsi="Calibri"/>
          <w:bCs/>
          <w:szCs w:val="24"/>
        </w:rPr>
        <w:t>. Galvenie transporta mezgli, kas kalpo kā savienojumi nokļūšanai GNP (autoostas, dzelzceļa stacijas, stāvlaukumi pie populārākajiem GNP objektiem to sākumposmā) kalpo kā pakalpojumu punkti, veicina ērtu noorientēšanos telpiski par galamērķi kopumā, bet vienlaikus ietver multimodālu transporta risinājumu iespējas – velonovietnes, nomas, ērtas piekļūšanas vietas piegādātājiem.</w:t>
      </w:r>
    </w:p>
    <w:p w14:paraId="32DFCE85" w14:textId="77777777" w:rsidR="00473381" w:rsidRPr="00675182" w:rsidRDefault="00473381" w:rsidP="00473381">
      <w:pPr>
        <w:jc w:val="both"/>
        <w:rPr>
          <w:rFonts w:ascii="Calibri" w:hAnsi="Calibri"/>
          <w:bCs/>
          <w:szCs w:val="24"/>
          <w:highlight w:val="yellow"/>
        </w:rPr>
      </w:pPr>
    </w:p>
    <w:p w14:paraId="4F02843B" w14:textId="77777777" w:rsidR="00473381" w:rsidRPr="00675182" w:rsidRDefault="00473381" w:rsidP="00473381">
      <w:pPr>
        <w:jc w:val="both"/>
        <w:rPr>
          <w:rFonts w:ascii="Calibri" w:hAnsi="Calibri"/>
          <w:b/>
          <w:szCs w:val="24"/>
        </w:rPr>
      </w:pPr>
      <w:r w:rsidRPr="00675182">
        <w:rPr>
          <w:rFonts w:ascii="Calibri" w:hAnsi="Calibri"/>
          <w:b/>
          <w:szCs w:val="24"/>
        </w:rPr>
        <w:t>Informatīvās norādes un informācijas nesēji ārvidē</w:t>
      </w:r>
    </w:p>
    <w:p w14:paraId="2E97A2F4" w14:textId="01C4B999" w:rsidR="00473381" w:rsidRPr="00675182" w:rsidRDefault="00473381" w:rsidP="00473381">
      <w:pPr>
        <w:jc w:val="both"/>
        <w:rPr>
          <w:rFonts w:ascii="Calibri" w:hAnsi="Calibri"/>
          <w:bCs/>
          <w:szCs w:val="24"/>
        </w:rPr>
      </w:pPr>
      <w:r w:rsidRPr="00675182">
        <w:rPr>
          <w:rFonts w:ascii="Calibri" w:hAnsi="Calibri"/>
          <w:bCs/>
          <w:szCs w:val="24"/>
        </w:rPr>
        <w:t>Tās būtu viegli uztveramas, informatīvas, vizuāli pievilcīgas un vienotā grafiskajā stilā veidotas norāžu zīmes, informatīvās zīmes, āra vides planšetes, kā arī  dažāda izmēra stendus. Tās būtu jāveido</w:t>
      </w:r>
      <w:r w:rsidR="00112FF8">
        <w:rPr>
          <w:rFonts w:ascii="Calibri" w:hAnsi="Calibri"/>
          <w:bCs/>
          <w:szCs w:val="24"/>
        </w:rPr>
        <w:t xml:space="preserve"> </w:t>
      </w:r>
      <w:r w:rsidRPr="00675182">
        <w:rPr>
          <w:rFonts w:ascii="Calibri" w:hAnsi="Calibri"/>
          <w:bCs/>
          <w:szCs w:val="24"/>
        </w:rPr>
        <w:t>vienotā stila</w:t>
      </w:r>
      <w:r w:rsidRPr="00675182">
        <w:rPr>
          <w:rStyle w:val="FootnoteReference"/>
          <w:rFonts w:ascii="Calibri" w:hAnsi="Calibri"/>
          <w:bCs/>
          <w:szCs w:val="24"/>
        </w:rPr>
        <w:footnoteReference w:id="33"/>
      </w:r>
      <w:r w:rsidRPr="00675182">
        <w:rPr>
          <w:rFonts w:ascii="Calibri" w:hAnsi="Calibri"/>
          <w:bCs/>
          <w:szCs w:val="24"/>
        </w:rPr>
        <w:t>, integrējot GNP atpazīstamības oriģinālos elementus un stilistiku. Dažādā laikā un stilā uzstādītās zīmes jāpielāgo</w:t>
      </w:r>
      <w:r w:rsidR="00112FF8">
        <w:rPr>
          <w:rFonts w:ascii="Calibri" w:hAnsi="Calibri"/>
          <w:bCs/>
          <w:szCs w:val="24"/>
        </w:rPr>
        <w:t xml:space="preserve"> </w:t>
      </w:r>
      <w:r w:rsidRPr="00675182">
        <w:rPr>
          <w:rFonts w:ascii="Calibri" w:hAnsi="Calibri"/>
          <w:bCs/>
          <w:szCs w:val="24"/>
        </w:rPr>
        <w:t>vienotajam principam, tās nomainot. Vienotais stils stiprina vietējo kopienu piederības sajūtu un vēlmi lepoties ar teritoriju, kurā dzīvo; uzlabo vietas pievilcību un galamērķa atpazīstamību, paaugstina drošības sajūtu un pieredzējuma kvalitāti GNP apmeklētājiem, ceļotājiem, stiprina vietas atpazīstamību, liecina par atbildīgu apsaimniekošanu un rūpēm par apmeklētāju.</w:t>
      </w:r>
    </w:p>
    <w:p w14:paraId="0A53241D" w14:textId="77777777" w:rsidR="00473381" w:rsidRPr="00675182" w:rsidRDefault="00473381" w:rsidP="00473381">
      <w:pPr>
        <w:jc w:val="both"/>
        <w:rPr>
          <w:rFonts w:ascii="Calibri" w:hAnsi="Calibri"/>
          <w:b/>
          <w:szCs w:val="24"/>
          <w:highlight w:val="yellow"/>
        </w:rPr>
      </w:pPr>
    </w:p>
    <w:p w14:paraId="329D2C3A" w14:textId="77777777" w:rsidR="00473381" w:rsidRPr="00675182" w:rsidRDefault="00473381" w:rsidP="00473381">
      <w:pPr>
        <w:jc w:val="both"/>
        <w:rPr>
          <w:rFonts w:ascii="Calibri" w:hAnsi="Calibri"/>
          <w:b/>
          <w:szCs w:val="24"/>
        </w:rPr>
      </w:pPr>
      <w:r w:rsidRPr="00675182">
        <w:rPr>
          <w:rFonts w:ascii="Calibri" w:hAnsi="Calibri"/>
          <w:b/>
          <w:szCs w:val="24"/>
        </w:rPr>
        <w:t>Automašīnu stāvlaukumi</w:t>
      </w:r>
    </w:p>
    <w:p w14:paraId="52B66FAE" w14:textId="77777777" w:rsidR="00473381" w:rsidRPr="00675182" w:rsidRDefault="00473381" w:rsidP="00473381">
      <w:pPr>
        <w:jc w:val="both"/>
        <w:rPr>
          <w:rFonts w:ascii="Calibri" w:hAnsi="Calibri"/>
          <w:bCs/>
          <w:szCs w:val="24"/>
        </w:rPr>
      </w:pPr>
      <w:r w:rsidRPr="00675182">
        <w:rPr>
          <w:rFonts w:ascii="Calibri" w:hAnsi="Calibri"/>
          <w:bCs/>
          <w:szCs w:val="24"/>
        </w:rPr>
        <w:t>Tie jāplāno atbilstoši vietas apmeklēšanas kapacitātei, ņemot vērā esošo plūsmas intensitāti. Tie tiek uzturēti atbilstošā kvalitātē ar norobežojošām barjerām, lai neizbraukātu zemsedzi plašākā apvidū, un integrēti ainavā, nefragmentējot to – saglabājot koka elementus, apvidum atbilstošu segumu. Nomaļākos apvidos pievēršama uzmanība stāvlaukuma elementu konfigurācijai, lai stāvlaukums nekļūst par nepieskatītu auto sacīkšu laukumu. Ņemot vērā mikromobilitātes un vieglās mobilitātes veicināšanas tendences, stāvlaukumi iespējami koncentrējami tuvāk lielajiem ceļiem, apdzīvotām vietām, uzņēmējdarbības un viesmīlības pakalpojumiem, pat attālināmi no galvenajām dabas un kultūras mantojuma vietām, nodrošinot piekļuvi tām turpinājumā ar kājām. Daudzviet vietas uzturēšanas nolūkos būtu jāievieš mikro-maksājums par stāvvietas izmantošanu, skaidrojot iekasētās naudas izmantošanu kvalitatīvas infrastruktūras nodrošināšanai. Par stāvlaukumu labiekārtošanu, infrastruktūras objektu un plašāk – dabas pieejamības veicināšanu cilvēkiem ar īpašām vajadzībām, jāņem  vērā vadlīnijas ’’Tūrisma infrastruktūras, produktu un pakalpojumu pielāgošana cilvēkiem ar īpašām vajadzībām’’</w:t>
      </w:r>
      <w:r w:rsidRPr="00675182">
        <w:rPr>
          <w:rStyle w:val="FootnoteReference"/>
          <w:rFonts w:ascii="Calibri" w:hAnsi="Calibri"/>
          <w:bCs/>
          <w:szCs w:val="24"/>
        </w:rPr>
        <w:footnoteReference w:id="34"/>
      </w:r>
      <w:r w:rsidRPr="00675182">
        <w:rPr>
          <w:rFonts w:ascii="Calibri" w:hAnsi="Calibri"/>
          <w:bCs/>
          <w:szCs w:val="24"/>
        </w:rPr>
        <w:t>.</w:t>
      </w:r>
    </w:p>
    <w:p w14:paraId="3BE75268" w14:textId="77777777" w:rsidR="00473381" w:rsidRPr="00675182" w:rsidRDefault="00473381" w:rsidP="00473381">
      <w:pPr>
        <w:jc w:val="both"/>
        <w:rPr>
          <w:rFonts w:ascii="Calibri" w:hAnsi="Calibri"/>
          <w:bCs/>
          <w:szCs w:val="24"/>
          <w:highlight w:val="yellow"/>
        </w:rPr>
      </w:pPr>
    </w:p>
    <w:p w14:paraId="345144B6" w14:textId="77777777" w:rsidR="00473381" w:rsidRPr="00675182" w:rsidRDefault="00473381" w:rsidP="00473381">
      <w:pPr>
        <w:jc w:val="both"/>
        <w:rPr>
          <w:rFonts w:ascii="Calibri" w:hAnsi="Calibri"/>
          <w:b/>
          <w:szCs w:val="24"/>
        </w:rPr>
      </w:pPr>
      <w:r w:rsidRPr="00675182">
        <w:rPr>
          <w:rFonts w:ascii="Calibri" w:hAnsi="Calibri"/>
          <w:b/>
          <w:szCs w:val="24"/>
        </w:rPr>
        <w:lastRenderedPageBreak/>
        <w:t>Piebraucamie ceļi un mazo ceļu tīkls</w:t>
      </w:r>
    </w:p>
    <w:p w14:paraId="2CC5C74B" w14:textId="03D77C4C" w:rsidR="00473381" w:rsidRPr="00675182" w:rsidRDefault="00473381" w:rsidP="00473381">
      <w:pPr>
        <w:jc w:val="both"/>
        <w:rPr>
          <w:rFonts w:ascii="Calibri" w:hAnsi="Calibri"/>
          <w:bCs/>
          <w:szCs w:val="24"/>
        </w:rPr>
      </w:pPr>
      <w:r w:rsidRPr="00675182">
        <w:rPr>
          <w:rFonts w:ascii="Calibri" w:hAnsi="Calibri"/>
          <w:bCs/>
          <w:szCs w:val="24"/>
        </w:rPr>
        <w:t xml:space="preserve">Lielākā daļa autoceļu ir valsts vai pašvaldības pārziņā. To stāvokļa uzlabošana, kvalitātes uzturēšana veido daļu no tūrisma pieredzējuma galamērķa apmeklētājiem. Būtu jārada skaidri nosacījumi iesaistīto tūrisma pakalpojumu sniedzēju loģistikas nolūkiem, transportējot laivas un ūdenstūrisma ekipējumu uz vai no upju maršrutiem – plānojot loģistikas punktus un piekļuves vietas, arī piebraukšanas iespēju tikai ar noteiktām atļaujām atsevišķos punktos, kas ir jutīgajā zonā. Tas atslogos citas teritorijas no nevajadzīgas antropogēnās slodzes, kas dažkārt rodas, meklējot neplānotas – stihiskas alternatīvas. Vēl vairāk būtu ierobežojama un kontrolējama motorziēto transporta līdzekļu pārvietošanās pa meža stigām un meža ceļiem </w:t>
      </w:r>
      <w:r w:rsidR="00112FF8">
        <w:rPr>
          <w:rFonts w:ascii="Calibri" w:hAnsi="Calibri"/>
          <w:bCs/>
          <w:szCs w:val="24"/>
        </w:rPr>
        <w:t>DLZ</w:t>
      </w:r>
      <w:r w:rsidRPr="00675182">
        <w:rPr>
          <w:rFonts w:ascii="Calibri" w:hAnsi="Calibri"/>
          <w:bCs/>
          <w:szCs w:val="24"/>
        </w:rPr>
        <w:t>, kas neatbilst vietas mērķiem un konfliktē ar lielāko daļu citu atpūtnieku segmentu.</w:t>
      </w:r>
    </w:p>
    <w:p w14:paraId="3A7B6588" w14:textId="77777777" w:rsidR="00473381" w:rsidRPr="00675182" w:rsidRDefault="00473381" w:rsidP="00473381">
      <w:pPr>
        <w:jc w:val="both"/>
        <w:rPr>
          <w:rFonts w:ascii="Calibri" w:hAnsi="Calibri"/>
          <w:bCs/>
          <w:szCs w:val="24"/>
        </w:rPr>
      </w:pPr>
    </w:p>
    <w:p w14:paraId="2AF2F1B7" w14:textId="77777777" w:rsidR="00473381" w:rsidRPr="00675182" w:rsidRDefault="00473381" w:rsidP="00473381">
      <w:pPr>
        <w:jc w:val="both"/>
        <w:rPr>
          <w:rFonts w:ascii="Calibri" w:hAnsi="Calibri"/>
          <w:b/>
          <w:szCs w:val="24"/>
        </w:rPr>
      </w:pPr>
      <w:r w:rsidRPr="00675182">
        <w:rPr>
          <w:rFonts w:ascii="Calibri" w:hAnsi="Calibri"/>
          <w:b/>
          <w:szCs w:val="24"/>
        </w:rPr>
        <w:t>Veloceļi un velomaršruti, veloinfrastruktūra</w:t>
      </w:r>
    </w:p>
    <w:p w14:paraId="452FD51E" w14:textId="77777777" w:rsidR="00473381" w:rsidRPr="00675182" w:rsidRDefault="00473381" w:rsidP="00473381">
      <w:pPr>
        <w:jc w:val="both"/>
        <w:rPr>
          <w:rFonts w:ascii="Calibri" w:hAnsi="Calibri"/>
          <w:bCs/>
          <w:szCs w:val="24"/>
        </w:rPr>
      </w:pPr>
      <w:r w:rsidRPr="00675182">
        <w:rPr>
          <w:rFonts w:ascii="Calibri" w:hAnsi="Calibri"/>
          <w:bCs/>
          <w:szCs w:val="24"/>
        </w:rPr>
        <w:t xml:space="preserve">Līdz šim GNP teritorijā ir ļoti neliels skaits izbūvētu veloceļu, kas pamatā saistās tikai ar apdzīvotām vietām, pilsētām. Pārējā teritorijā ir galvenokārt marķēti velomaršruti. Lai uzlabotu drošību, palēninātu satiksmi, veicinātu mazāku auto-tūristu skaitu, līdz ar to mazāku vajadzību pēc ietilpīgiem stāvlaukumiem, vienlaikus veicinātu veselīgu dzīvesveidu un mazāku slodzi uz dzīvo dabu, veloceļu izbūve tam paredzētajās vietās ir prioritāri svarīga. Pamatu teritorijas apmeklējumam veido </w:t>
      </w:r>
      <w:r w:rsidRPr="00675182">
        <w:rPr>
          <w:rFonts w:ascii="Calibri" w:hAnsi="Calibri"/>
          <w:bCs/>
          <w:i/>
          <w:iCs/>
          <w:szCs w:val="24"/>
        </w:rPr>
        <w:t>EuroVelo 11</w:t>
      </w:r>
      <w:r w:rsidRPr="00675182">
        <w:rPr>
          <w:rFonts w:ascii="Calibri" w:hAnsi="Calibri"/>
          <w:bCs/>
          <w:szCs w:val="24"/>
        </w:rPr>
        <w:t xml:space="preserve"> un </w:t>
      </w:r>
      <w:r w:rsidRPr="00675182">
        <w:rPr>
          <w:rFonts w:ascii="Calibri" w:hAnsi="Calibri"/>
          <w:bCs/>
          <w:i/>
          <w:iCs/>
          <w:szCs w:val="24"/>
        </w:rPr>
        <w:t xml:space="preserve">TourDe Lat-Est </w:t>
      </w:r>
      <w:r w:rsidRPr="00675182">
        <w:rPr>
          <w:rFonts w:ascii="Calibri" w:hAnsi="Calibri"/>
          <w:bCs/>
          <w:szCs w:val="24"/>
        </w:rPr>
        <w:t>starptautiskie velomaršruti, kā arī to pieslēgumi dzelzceļa stacijām, velonomas punktiem pilsētās un reģionālās vai vietējās nozīmes veloceļiem. Bez veloceļiem plānojama un ieviešama arī saistīta velo-infrastruktūra (drošas velonovietnes tūrisma un pakalpojumu vietās, risinājumi velosipēdu pārvadāšanai sabiedriskajā transportā u.c.). Infrastruktūras elementi veidojami, balstoties uz EuroVelo starptautiskā standarta rekomendācijām</w:t>
      </w:r>
      <w:r w:rsidRPr="00675182">
        <w:rPr>
          <w:rStyle w:val="FootnoteReference"/>
          <w:rFonts w:ascii="Calibri" w:hAnsi="Calibri"/>
          <w:bCs/>
          <w:szCs w:val="24"/>
        </w:rPr>
        <w:footnoteReference w:id="35"/>
      </w:r>
      <w:r w:rsidRPr="00675182">
        <w:rPr>
          <w:rFonts w:ascii="Calibri" w:hAnsi="Calibri"/>
          <w:bCs/>
          <w:szCs w:val="24"/>
        </w:rPr>
        <w:t>.</w:t>
      </w:r>
    </w:p>
    <w:p w14:paraId="570FBF5B" w14:textId="77777777" w:rsidR="00473381" w:rsidRPr="00675182" w:rsidRDefault="00473381" w:rsidP="00473381">
      <w:pPr>
        <w:jc w:val="both"/>
        <w:rPr>
          <w:rFonts w:ascii="Calibri" w:hAnsi="Calibri"/>
          <w:b/>
          <w:szCs w:val="24"/>
          <w:highlight w:val="yellow"/>
        </w:rPr>
      </w:pPr>
    </w:p>
    <w:p w14:paraId="122CEFA3" w14:textId="77777777" w:rsidR="00473381" w:rsidRPr="00675182" w:rsidRDefault="00473381" w:rsidP="00473381">
      <w:pPr>
        <w:jc w:val="both"/>
        <w:rPr>
          <w:rFonts w:ascii="Calibri" w:hAnsi="Calibri"/>
          <w:b/>
          <w:szCs w:val="24"/>
        </w:rPr>
      </w:pPr>
      <w:r w:rsidRPr="00675182">
        <w:rPr>
          <w:rFonts w:ascii="Calibri" w:hAnsi="Calibri"/>
          <w:b/>
          <w:szCs w:val="24"/>
        </w:rPr>
        <w:t>Gājēju ceļi</w:t>
      </w:r>
    </w:p>
    <w:p w14:paraId="60F1F111" w14:textId="7CC824BB" w:rsidR="00473381" w:rsidRPr="00675182" w:rsidRDefault="00473381" w:rsidP="00473381">
      <w:pPr>
        <w:jc w:val="both"/>
        <w:rPr>
          <w:rFonts w:ascii="Calibri" w:hAnsi="Calibri"/>
          <w:bCs/>
          <w:szCs w:val="24"/>
        </w:rPr>
      </w:pPr>
      <w:r w:rsidRPr="00675182">
        <w:rPr>
          <w:rFonts w:ascii="Calibri" w:hAnsi="Calibri"/>
          <w:bCs/>
          <w:szCs w:val="24"/>
        </w:rPr>
        <w:t xml:space="preserve">Līdzīgi kā veloceļi, gājēju ceļi šobrīd pamatā aptver apdzīvotās vietas, tomēr fragmentāri. Kvalitatīvi gājēju ceļi GNP apdzīvotajās vietās, būtiskos savienojumos starp transporta mezgliem un nozīmīgām tūrisma vietām, to tuvumā uzlabo drošību un vides pievilcību vietējiem ikdienā, rada papildu ērtības tūristiem. </w:t>
      </w:r>
      <w:r w:rsidR="000B115A">
        <w:rPr>
          <w:rFonts w:ascii="Calibri" w:hAnsi="Calibri"/>
          <w:bCs/>
          <w:szCs w:val="24"/>
        </w:rPr>
        <w:t>DLZ</w:t>
      </w:r>
      <w:r w:rsidRPr="00675182">
        <w:rPr>
          <w:rFonts w:ascii="Calibri" w:hAnsi="Calibri"/>
          <w:bCs/>
          <w:szCs w:val="24"/>
        </w:rPr>
        <w:t>, kur klusāki meža ceļi kļuvuši par daļu no dabas taku tīklojuma, kur to ekspluatācija nav saistīta ar piekļūšanu īpašumam ikdienā, ir pamatoti ierobežot motorizēto līdzekļu pārvietošanos pa tiem. Joprojām to izmantošanu pieļaujot apsaimniekošanas vajadzībām. Sadarbībā ar digitālajām navigācijas sistēmām, būtu precīzi komunicējama braukšanai liegto ceļu zona, kas šobrīd GNP ir lielā patvaļā un pastāv tikai rakstiski noteikumos.</w:t>
      </w:r>
    </w:p>
    <w:p w14:paraId="3CBA0380" w14:textId="77777777" w:rsidR="00473381" w:rsidRPr="00675182" w:rsidRDefault="00473381" w:rsidP="00473381">
      <w:pPr>
        <w:jc w:val="both"/>
        <w:rPr>
          <w:rFonts w:ascii="Calibri" w:hAnsi="Calibri"/>
          <w:bCs/>
          <w:szCs w:val="24"/>
        </w:rPr>
      </w:pPr>
    </w:p>
    <w:p w14:paraId="472515AC" w14:textId="77777777" w:rsidR="00473381" w:rsidRPr="00675182" w:rsidRDefault="00473381" w:rsidP="00473381">
      <w:pPr>
        <w:jc w:val="both"/>
        <w:rPr>
          <w:rFonts w:ascii="Calibri" w:hAnsi="Calibri"/>
          <w:b/>
          <w:szCs w:val="24"/>
        </w:rPr>
      </w:pPr>
      <w:r w:rsidRPr="00675182">
        <w:rPr>
          <w:rFonts w:ascii="Calibri" w:hAnsi="Calibri"/>
          <w:b/>
          <w:szCs w:val="24"/>
        </w:rPr>
        <w:t>Dabas takas un tajās paredzētā infrastruktūra</w:t>
      </w:r>
    </w:p>
    <w:p w14:paraId="74BD4EF5" w14:textId="77777777" w:rsidR="00473381" w:rsidRPr="00675182" w:rsidRDefault="00473381" w:rsidP="00473381">
      <w:pPr>
        <w:jc w:val="both"/>
        <w:rPr>
          <w:rFonts w:ascii="Calibri" w:hAnsi="Calibri"/>
          <w:bCs/>
          <w:szCs w:val="24"/>
        </w:rPr>
      </w:pPr>
      <w:r w:rsidRPr="00675182">
        <w:rPr>
          <w:rFonts w:ascii="Calibri" w:hAnsi="Calibri"/>
          <w:bCs/>
          <w:szCs w:val="24"/>
        </w:rPr>
        <w:t xml:space="preserve">Dabas taku tīklojums balstās uz divām centrālajām takām – starptautiskajiem garo distanču maršrutiem, kas šķērso GNP visā garumā – </w:t>
      </w:r>
      <w:r w:rsidRPr="00675182">
        <w:rPr>
          <w:rFonts w:ascii="Calibri" w:hAnsi="Calibri"/>
          <w:bCs/>
          <w:i/>
          <w:szCs w:val="24"/>
        </w:rPr>
        <w:t>Mežtaku</w:t>
      </w:r>
      <w:r w:rsidRPr="00675182">
        <w:rPr>
          <w:rFonts w:ascii="Calibri" w:hAnsi="Calibri"/>
          <w:bCs/>
          <w:szCs w:val="24"/>
        </w:rPr>
        <w:t xml:space="preserve"> (kā daļu no E11) un Sv. Jēkaba ceļu, kā daļu no </w:t>
      </w:r>
      <w:r w:rsidRPr="00675182">
        <w:rPr>
          <w:rFonts w:ascii="Calibri" w:hAnsi="Calibri"/>
          <w:bCs/>
          <w:i/>
          <w:szCs w:val="24"/>
        </w:rPr>
        <w:t>Camino de Santiago</w:t>
      </w:r>
      <w:r w:rsidRPr="00675182">
        <w:rPr>
          <w:rFonts w:ascii="Calibri" w:hAnsi="Calibri"/>
          <w:bCs/>
          <w:szCs w:val="24"/>
        </w:rPr>
        <w:t xml:space="preserve"> starptautiskā garā pārgājienu ceļa. Ar tiem saistīti arī pārējie vietējie maršruti, pastāv vairākas izolētas takas, lai piekļūtu konkrētām tūrisma un rekreācijas vietām. Takas ir marķētas, ir iegūstams arī digitālais maršruts. Taču atšķirīgi to posmi dabā ir dažādā stāvoklī. Primāri būtu nodrošināma takas caurejamība un pamatnes nostiprināšana tik lielā mērā, lai vairāku tūkstošu apmeklētāju </w:t>
      </w:r>
      <w:r w:rsidRPr="00675182">
        <w:rPr>
          <w:rFonts w:ascii="Calibri" w:hAnsi="Calibri"/>
          <w:bCs/>
          <w:szCs w:val="24"/>
        </w:rPr>
        <w:lastRenderedPageBreak/>
        <w:t>liela slodze gadā (atkarībā no posma) neradītu negatīvu ietekmi uz līdzās esošo veģetāciju. Takas uzlabošanas darbi var ietvert pamatnes stiprināšanu, pieberot blietētu materiālu viena cilvēka iešanai ērtā platumā, tāpat tiltiņu izvietošanu pāri nelielām upītēm un strautiem, iespējamu koka kāpņu ierīkošanu nogāžu stāvākajās vietās (ar slīpumu virs 11</w:t>
      </w:r>
      <w:r w:rsidRPr="00675182">
        <w:rPr>
          <w:rFonts w:ascii="Calibri" w:hAnsi="Calibri"/>
          <w:bCs/>
          <w:szCs w:val="24"/>
          <w:vertAlign w:val="superscript"/>
        </w:rPr>
        <w:t>o</w:t>
      </w:r>
      <w:r w:rsidRPr="00675182">
        <w:rPr>
          <w:rFonts w:ascii="Calibri" w:hAnsi="Calibri"/>
          <w:bCs/>
          <w:szCs w:val="24"/>
        </w:rPr>
        <w:t>), kur paredzama zemsedzes erozija. Mitrākajās vietās vai sezonāli grūtāku posmu šķērsošanai pieļaujam alternatīva takas posma izveide vai tā pārvirzīšana, arī sezonālu posmu slēgšana, paredzot alternatīvas apiešanai. Lielākoties takas netiek uzturētas un tās nav ērti pieejamas ziemas sezonā, brīdinot cilvēkus par atbildības uzņemšanos. Infrastruktūra jāveido saskaņojot ar DAP izstrādāto ĪADT vienoto stilu</w:t>
      </w:r>
      <w:r w:rsidRPr="00675182">
        <w:rPr>
          <w:rStyle w:val="FootnoteReference"/>
          <w:rFonts w:ascii="Calibri" w:hAnsi="Calibri"/>
          <w:bCs/>
          <w:szCs w:val="24"/>
        </w:rPr>
        <w:footnoteReference w:id="36"/>
      </w:r>
      <w:r w:rsidRPr="00675182">
        <w:rPr>
          <w:rFonts w:ascii="Calibri" w:hAnsi="Calibri"/>
          <w:bCs/>
          <w:szCs w:val="24"/>
        </w:rPr>
        <w:t>. Cik vien iespējams, takas posmi veidojami kā pieejami visiem, ietverot universālā dizaina principus, taču arī skaidri komunicējot digitālajos resursos par tās grūtības pakāpi, sezonālo pieejamību un posmu, saistīti arī infrastruktūras un ērtību pieejamību apmeklētājiem ar kustību traucējumiem.</w:t>
      </w:r>
    </w:p>
    <w:p w14:paraId="1D8B074A" w14:textId="77777777" w:rsidR="00473381" w:rsidRPr="00675182" w:rsidRDefault="00473381" w:rsidP="00473381">
      <w:pPr>
        <w:jc w:val="both"/>
        <w:rPr>
          <w:rFonts w:ascii="Calibri" w:hAnsi="Calibri"/>
          <w:bCs/>
          <w:szCs w:val="24"/>
          <w:highlight w:val="yellow"/>
        </w:rPr>
      </w:pPr>
    </w:p>
    <w:p w14:paraId="79A36624" w14:textId="77777777" w:rsidR="00473381" w:rsidRPr="00675182" w:rsidRDefault="00473381" w:rsidP="00473381">
      <w:pPr>
        <w:jc w:val="both"/>
        <w:rPr>
          <w:rFonts w:ascii="Calibri" w:hAnsi="Calibri"/>
          <w:b/>
          <w:szCs w:val="24"/>
        </w:rPr>
      </w:pPr>
      <w:r w:rsidRPr="00675182">
        <w:rPr>
          <w:rFonts w:ascii="Calibri" w:hAnsi="Calibri"/>
          <w:b/>
          <w:szCs w:val="24"/>
        </w:rPr>
        <w:t>Infrastruktūra dabas un kultūras mantojuma vietās</w:t>
      </w:r>
    </w:p>
    <w:p w14:paraId="0C925F21" w14:textId="77777777" w:rsidR="00473381" w:rsidRPr="00675182" w:rsidRDefault="00473381" w:rsidP="00473381">
      <w:pPr>
        <w:jc w:val="both"/>
        <w:rPr>
          <w:rFonts w:ascii="Calibri" w:hAnsi="Calibri"/>
          <w:bCs/>
          <w:szCs w:val="24"/>
        </w:rPr>
      </w:pPr>
      <w:r w:rsidRPr="00675182">
        <w:rPr>
          <w:rFonts w:ascii="Calibri" w:hAnsi="Calibri"/>
          <w:bCs/>
          <w:szCs w:val="24"/>
        </w:rPr>
        <w:t>Nozīmīgu kultūras un dabas mantojuma vietu, simbolisko ainavu apmeklēšana ir viens no motīviem GNP apmeklējumam. Izveidotā infrastruktūra palīdz piekļūt pie šīm vietām, izbaudīt un izglītoties par tām, vienlaikus mazina antropogēnu slodzi un nevēlamu ietekmi uz citām vietām. Infrastruktūra pamatā vada apmeklētāju plūsmu. Infrastruktūras kapacitāte būtu veidojama uz esošo mērījumu pamata, apzinoties ikdienas apmeklētāju plūsmas intensitāti, taču pamatota ir arī plūsmas ierobežošana, ko var noteikt gan ar attālinātās tiešsaistes komunicēšanas palīdzību (brīdinot tiešsaistē par lielu apmeklētāju skaitu), gan ar maksas noteikšanu, gan fizisku skaita ierobežošanu. Infrastruktūras elementi būtu veidojami saskanīgi ar vietas kontekstu, no izturīgiem, ilgmūžīgiem, funkcionāliem materiāliem, iekļaujot vietai raksturīgus elementus, pieļaujot mobilu infrastruktūras elementu pielietojumu vietās, kas sasitās ar regulāru sezonalitāti (piemēram, infrastruktūra ūdenstūrismam, ko izvieto pēc pavasara paliem). Infrastruktūras elementi būtu jāveido atbilstoši ĪADT vienotajam stilam</w:t>
      </w:r>
      <w:r w:rsidRPr="00675182">
        <w:rPr>
          <w:rStyle w:val="FootnoteReference"/>
          <w:rFonts w:ascii="Calibri" w:hAnsi="Calibri"/>
          <w:bCs/>
          <w:szCs w:val="24"/>
        </w:rPr>
        <w:footnoteReference w:id="37"/>
      </w:r>
      <w:r w:rsidRPr="00675182">
        <w:rPr>
          <w:rFonts w:ascii="Calibri" w:hAnsi="Calibri"/>
          <w:bCs/>
          <w:szCs w:val="24"/>
        </w:rPr>
        <w:t>. Par infrastruktūras objektu un plašāk – dabas un kultūras mantojuma pieejamības veicināšanu cilvēkiem ar īpašām vajadzībām, jāņem vērā vadlīnijas</w:t>
      </w:r>
      <w:r w:rsidRPr="00675182">
        <w:rPr>
          <w:rStyle w:val="FootnoteReference"/>
          <w:rFonts w:ascii="Calibri" w:hAnsi="Calibri"/>
          <w:bCs/>
          <w:szCs w:val="24"/>
        </w:rPr>
        <w:footnoteReference w:id="38"/>
      </w:r>
      <w:r w:rsidRPr="00675182">
        <w:rPr>
          <w:rFonts w:ascii="Calibri" w:hAnsi="Calibri"/>
          <w:bCs/>
          <w:szCs w:val="24"/>
        </w:rPr>
        <w:t xml:space="preserve"> par tūrisma infrastruktūra pielāgošanu cilvēkiem ar īpašām vajadzībām.</w:t>
      </w:r>
    </w:p>
    <w:p w14:paraId="665825C4" w14:textId="77777777" w:rsidR="00473381" w:rsidRPr="00675182" w:rsidRDefault="00473381" w:rsidP="00473381">
      <w:pPr>
        <w:snapToGrid w:val="0"/>
        <w:rPr>
          <w:rFonts w:ascii="Calibri" w:hAnsi="Calibri"/>
          <w:u w:val="single"/>
        </w:rPr>
      </w:pPr>
    </w:p>
    <w:p w14:paraId="5EADB38E" w14:textId="77777777" w:rsidR="00473381" w:rsidRPr="00675182" w:rsidRDefault="00473381" w:rsidP="00473381">
      <w:pPr>
        <w:keepNext/>
        <w:keepLines/>
        <w:jc w:val="both"/>
        <w:rPr>
          <w:rFonts w:ascii="Calibri" w:hAnsi="Calibri"/>
          <w:b/>
          <w:szCs w:val="24"/>
        </w:rPr>
      </w:pPr>
      <w:r w:rsidRPr="00675182">
        <w:rPr>
          <w:rFonts w:ascii="Calibri" w:hAnsi="Calibri"/>
          <w:b/>
          <w:szCs w:val="24"/>
        </w:rPr>
        <w:t>Atpūtas vietas un loģistikas punkti</w:t>
      </w:r>
    </w:p>
    <w:p w14:paraId="48CE493E" w14:textId="77777777" w:rsidR="00473381" w:rsidRPr="00675182" w:rsidRDefault="00473381" w:rsidP="00473381">
      <w:pPr>
        <w:keepNext/>
        <w:keepLines/>
        <w:jc w:val="both"/>
        <w:rPr>
          <w:rFonts w:ascii="Calibri" w:hAnsi="Calibri"/>
          <w:bCs/>
          <w:szCs w:val="24"/>
        </w:rPr>
      </w:pPr>
      <w:r w:rsidRPr="00675182">
        <w:rPr>
          <w:rFonts w:ascii="Calibri" w:hAnsi="Calibri"/>
          <w:bCs/>
          <w:szCs w:val="24"/>
        </w:rPr>
        <w:t>Atpūtas vietas kalpo gan kā īslaicīgas piknika vietas, gan kā nakšņošanas apmetnes vietas. Tās izvietotas gar ūdenstūristu maršrutiem Gaujā, Amatā, Braslā. Tās atrodas arī pie ezeriem un ir saistītas ar pasīvu vai aktīvu atpūtu pie ūdens, arī makšķernieku apmetnes vietām, kā arī pie populārākajām tūrisma vietām. Atpūtas vietas veido vienotu tīklojumu, īpaši lineārajos pārgājienu vai ūdenstūrisma maršrutos. Tās hierarhiski dalās pēc funkcionalitātes:</w:t>
      </w:r>
    </w:p>
    <w:p w14:paraId="2CDCB6A0" w14:textId="265670BE" w:rsidR="00473381" w:rsidRPr="00675182" w:rsidRDefault="002F7380" w:rsidP="00A84218">
      <w:pPr>
        <w:pStyle w:val="ListParagraph"/>
        <w:numPr>
          <w:ilvl w:val="0"/>
          <w:numId w:val="58"/>
        </w:numPr>
        <w:jc w:val="both"/>
        <w:rPr>
          <w:rFonts w:ascii="Calibri" w:hAnsi="Calibri"/>
          <w:bCs/>
          <w:szCs w:val="24"/>
        </w:rPr>
      </w:pPr>
      <w:r>
        <w:rPr>
          <w:rFonts w:ascii="Calibri" w:hAnsi="Calibri"/>
          <w:bCs/>
          <w:szCs w:val="24"/>
        </w:rPr>
        <w:t>p</w:t>
      </w:r>
      <w:r w:rsidRPr="00675182">
        <w:rPr>
          <w:rFonts w:ascii="Calibri" w:hAnsi="Calibri"/>
          <w:bCs/>
          <w:szCs w:val="24"/>
        </w:rPr>
        <w:t xml:space="preserve">akalpojumu </w:t>
      </w:r>
      <w:r w:rsidR="00473381" w:rsidRPr="00675182">
        <w:rPr>
          <w:rFonts w:ascii="Calibri" w:hAnsi="Calibri"/>
          <w:bCs/>
          <w:szCs w:val="24"/>
        </w:rPr>
        <w:t>vieta, piebraucama ar autotransportu, labiekārtota nakšņošanas un atpūtas vieta</w:t>
      </w:r>
      <w:r>
        <w:rPr>
          <w:rFonts w:ascii="Calibri" w:hAnsi="Calibri"/>
          <w:bCs/>
          <w:szCs w:val="24"/>
        </w:rPr>
        <w:t>;</w:t>
      </w:r>
    </w:p>
    <w:p w14:paraId="2A56EF91" w14:textId="15694FC8" w:rsidR="00473381" w:rsidRPr="00675182" w:rsidRDefault="002F7380" w:rsidP="00A84218">
      <w:pPr>
        <w:pStyle w:val="ListParagraph"/>
        <w:numPr>
          <w:ilvl w:val="0"/>
          <w:numId w:val="58"/>
        </w:numPr>
        <w:jc w:val="both"/>
        <w:rPr>
          <w:rFonts w:ascii="Calibri" w:hAnsi="Calibri"/>
          <w:bCs/>
          <w:szCs w:val="24"/>
        </w:rPr>
      </w:pPr>
      <w:r>
        <w:rPr>
          <w:rFonts w:ascii="Calibri" w:hAnsi="Calibri"/>
          <w:bCs/>
          <w:szCs w:val="24"/>
        </w:rPr>
        <w:t>p</w:t>
      </w:r>
      <w:r w:rsidRPr="00675182">
        <w:rPr>
          <w:rFonts w:ascii="Calibri" w:hAnsi="Calibri"/>
          <w:bCs/>
          <w:szCs w:val="24"/>
        </w:rPr>
        <w:t xml:space="preserve">iebraucama </w:t>
      </w:r>
      <w:r w:rsidR="00473381" w:rsidRPr="00675182">
        <w:rPr>
          <w:rFonts w:ascii="Calibri" w:hAnsi="Calibri"/>
          <w:bCs/>
          <w:szCs w:val="24"/>
        </w:rPr>
        <w:t>ar autotransportu, labiekārtota nakšņošanas un atpūtas vieta</w:t>
      </w:r>
      <w:r>
        <w:rPr>
          <w:rFonts w:ascii="Calibri" w:hAnsi="Calibri"/>
          <w:bCs/>
          <w:szCs w:val="24"/>
        </w:rPr>
        <w:t>;</w:t>
      </w:r>
    </w:p>
    <w:p w14:paraId="6431668A" w14:textId="4E16D8CB" w:rsidR="00473381" w:rsidRPr="00675182" w:rsidRDefault="002F7380" w:rsidP="00A84218">
      <w:pPr>
        <w:pStyle w:val="ListParagraph"/>
        <w:numPr>
          <w:ilvl w:val="0"/>
          <w:numId w:val="58"/>
        </w:numPr>
        <w:jc w:val="both"/>
        <w:rPr>
          <w:rFonts w:ascii="Calibri" w:hAnsi="Calibri"/>
          <w:bCs/>
          <w:szCs w:val="24"/>
        </w:rPr>
      </w:pPr>
      <w:r>
        <w:rPr>
          <w:rFonts w:ascii="Calibri" w:hAnsi="Calibri"/>
          <w:bCs/>
          <w:szCs w:val="24"/>
        </w:rPr>
        <w:lastRenderedPageBreak/>
        <w:t>l</w:t>
      </w:r>
      <w:r w:rsidRPr="00675182">
        <w:rPr>
          <w:rFonts w:ascii="Calibri" w:hAnsi="Calibri"/>
          <w:bCs/>
          <w:szCs w:val="24"/>
        </w:rPr>
        <w:t xml:space="preserve">abiekārtota </w:t>
      </w:r>
      <w:r w:rsidR="00473381" w:rsidRPr="00675182">
        <w:rPr>
          <w:rFonts w:ascii="Calibri" w:hAnsi="Calibri"/>
          <w:bCs/>
          <w:szCs w:val="24"/>
        </w:rPr>
        <w:t>nakšņošanas un atpūtas vieta (sasniedzama ar kājām, laivām un velo, bet ne ar motorizētajiem transporta līdzekļiem</w:t>
      </w:r>
      <w:r w:rsidRPr="00675182">
        <w:rPr>
          <w:rFonts w:ascii="Calibri" w:hAnsi="Calibri"/>
          <w:bCs/>
          <w:szCs w:val="24"/>
        </w:rPr>
        <w:t>)</w:t>
      </w:r>
      <w:r>
        <w:rPr>
          <w:rFonts w:ascii="Calibri" w:hAnsi="Calibri"/>
          <w:bCs/>
          <w:szCs w:val="24"/>
        </w:rPr>
        <w:t>;</w:t>
      </w:r>
    </w:p>
    <w:p w14:paraId="5637A64E" w14:textId="3A2524D0" w:rsidR="00473381" w:rsidRPr="00675182" w:rsidRDefault="002F7380" w:rsidP="00A84218">
      <w:pPr>
        <w:pStyle w:val="ListParagraph"/>
        <w:numPr>
          <w:ilvl w:val="0"/>
          <w:numId w:val="58"/>
        </w:numPr>
        <w:jc w:val="both"/>
        <w:rPr>
          <w:rFonts w:ascii="Calibri" w:hAnsi="Calibri"/>
          <w:bCs/>
          <w:szCs w:val="24"/>
        </w:rPr>
      </w:pPr>
      <w:r>
        <w:rPr>
          <w:rFonts w:ascii="Calibri" w:hAnsi="Calibri"/>
          <w:bCs/>
          <w:szCs w:val="24"/>
        </w:rPr>
        <w:t>l</w:t>
      </w:r>
      <w:r w:rsidRPr="00675182">
        <w:rPr>
          <w:rFonts w:ascii="Calibri" w:hAnsi="Calibri"/>
          <w:bCs/>
          <w:szCs w:val="24"/>
        </w:rPr>
        <w:t xml:space="preserve">oģistikas </w:t>
      </w:r>
      <w:r w:rsidR="00473381" w:rsidRPr="00675182">
        <w:rPr>
          <w:rFonts w:ascii="Calibri" w:hAnsi="Calibri"/>
          <w:bCs/>
          <w:szCs w:val="24"/>
        </w:rPr>
        <w:t>punkts, maršrutu krustpunkts pārejai uz kādu no mikromobilitātes pārvietošanās veidiem</w:t>
      </w:r>
      <w:r>
        <w:rPr>
          <w:rFonts w:ascii="Calibri" w:hAnsi="Calibri"/>
          <w:bCs/>
          <w:szCs w:val="24"/>
        </w:rPr>
        <w:t>;</w:t>
      </w:r>
    </w:p>
    <w:p w14:paraId="2FF3E6F0" w14:textId="3E0218E1" w:rsidR="00473381" w:rsidRPr="00675182" w:rsidRDefault="002F7380" w:rsidP="00A84218">
      <w:pPr>
        <w:pStyle w:val="ListParagraph"/>
        <w:numPr>
          <w:ilvl w:val="0"/>
          <w:numId w:val="58"/>
        </w:numPr>
        <w:jc w:val="both"/>
        <w:rPr>
          <w:rFonts w:ascii="Calibri" w:hAnsi="Calibri"/>
          <w:bCs/>
          <w:szCs w:val="24"/>
        </w:rPr>
      </w:pPr>
      <w:r>
        <w:rPr>
          <w:rFonts w:ascii="Calibri" w:hAnsi="Calibri"/>
          <w:bCs/>
          <w:szCs w:val="24"/>
        </w:rPr>
        <w:t>p</w:t>
      </w:r>
      <w:r w:rsidRPr="00675182">
        <w:rPr>
          <w:rFonts w:ascii="Calibri" w:hAnsi="Calibri"/>
          <w:bCs/>
          <w:szCs w:val="24"/>
        </w:rPr>
        <w:t xml:space="preserve">otenciāla </w:t>
      </w:r>
      <w:r w:rsidR="00473381" w:rsidRPr="00675182">
        <w:rPr>
          <w:rFonts w:ascii="Calibri" w:hAnsi="Calibri"/>
          <w:bCs/>
          <w:szCs w:val="24"/>
        </w:rPr>
        <w:t>atpūtas vieta, kas izveidojusies jau stihiskā ceļā, iekļaujas funkcionālā loģiskā maršrutā.</w:t>
      </w:r>
    </w:p>
    <w:p w14:paraId="3AEF4E8B" w14:textId="77777777" w:rsidR="00473381" w:rsidRPr="00675182" w:rsidRDefault="00473381" w:rsidP="00473381">
      <w:pPr>
        <w:pStyle w:val="ListParagraph"/>
        <w:jc w:val="both"/>
        <w:rPr>
          <w:rFonts w:ascii="Calibri" w:hAnsi="Calibri"/>
          <w:bCs/>
          <w:szCs w:val="24"/>
        </w:rPr>
      </w:pPr>
    </w:p>
    <w:p w14:paraId="09A4FDAC" w14:textId="77777777" w:rsidR="00473381" w:rsidRPr="00675182" w:rsidRDefault="00473381" w:rsidP="00473381">
      <w:pPr>
        <w:jc w:val="both"/>
        <w:rPr>
          <w:rFonts w:ascii="Calibri" w:hAnsi="Calibri"/>
          <w:bCs/>
          <w:szCs w:val="24"/>
        </w:rPr>
      </w:pPr>
      <w:r w:rsidRPr="00675182">
        <w:rPr>
          <w:rFonts w:ascii="Calibri" w:hAnsi="Calibri"/>
          <w:bCs/>
          <w:szCs w:val="24"/>
        </w:rPr>
        <w:t>Atkarībā no tematiskās piederības kādam no maršrutiem (laivas, velo u.c.) var ietvert specializētu labiekārtojumu.</w:t>
      </w:r>
    </w:p>
    <w:p w14:paraId="19A4546D" w14:textId="77777777" w:rsidR="00473381" w:rsidRPr="00675182" w:rsidRDefault="00473381" w:rsidP="00473381">
      <w:pPr>
        <w:jc w:val="both"/>
        <w:rPr>
          <w:rFonts w:ascii="Calibri" w:hAnsi="Calibri"/>
          <w:bCs/>
          <w:szCs w:val="24"/>
        </w:rPr>
      </w:pPr>
    </w:p>
    <w:p w14:paraId="5047A221" w14:textId="77777777" w:rsidR="00473381" w:rsidRPr="00675182" w:rsidRDefault="00473381" w:rsidP="00473381">
      <w:pPr>
        <w:jc w:val="both"/>
        <w:rPr>
          <w:rFonts w:ascii="Calibri" w:hAnsi="Calibri"/>
          <w:bCs/>
          <w:szCs w:val="24"/>
        </w:rPr>
      </w:pPr>
      <w:r w:rsidRPr="00675182">
        <w:rPr>
          <w:rFonts w:ascii="Calibri" w:hAnsi="Calibri"/>
          <w:bCs/>
          <w:szCs w:val="24"/>
        </w:rPr>
        <w:t>Ūdenstūrisma maršrutos vajadzība piestāt upes krastā veidojas ik pēc 2-3 h, kas, ņemot vērā straumes ātrumu, ir ~6-8 km. Pārgājiena maršrutos šis pats attālums ir lielāks – ap 10 km. Daļu no atpūtas vietu tīklojuma veido pakalpojumu sniegšanas vietas (kempingi, tūristu mītnes, arī mazumtirdzniecības veikali apdzīvotās vietām, muzeji u.c.), bet daļa atrodas dabā. Jau līdzšinējā praksē ir pierādījusies atpūtas vietu funkcionalitāte, iekļaujot norobežotas un aprīkotas ugunskura vietas, stabilus masīvkoka galdus un solus, līdzenu laukumu telšu celšanai, sanitāro celtni (tualeti), atkritumu tvertnes, nojumi. Tūrisma infrastruktūras elementu paraugi un izvietojuma apsvērumi iekļauti vadlīnijās par ĪADT vienoto stilu. Plānojot un projektējot tūrisma infrastruktūras objektus ir iespējami arī citi ilgtspējīgi un videi draudzīgi arhitektoniskie, konstruktīvie un materiālu izvēles risinājumi. Kritisks elements ir sanitārā celtne – sausā tualete, tās uzturēšana regulārā sanitārā kārtībā, iespējami izmantojot arī vietas ar pieslēgumu pilsētu vai ciemu kopējai kanalizācijai, ūdensvadam. Īpaša uzturēšanas regularitāte jānodrošina karstajās vasaras dienās pie ūdenstilpēm. Šajā jomā joprojām ir vieta tehnoloģiskām inovācijām. Pie ūdenstūristu maršrutiem papildu elements ir laivu nolaišanas un izcelšanas vietas, kas var ietvert vajadzīgās konstrukcijas, sezonāli izvietojamu infrastruktūru, lai mazinātu krastu eroziju, antropogēno slodzi. Atpūtas vietas dalās pēc to piekļuves rakstura:  vai tām iespējams piekļūt ar transportu; vai tajās krustojas vairāku atpūtas un mobilitātes veidu vajadzības. Piemēram, pie ūdenstūrismam piemērotām upēm ir jāzina skaidri vai paredzētajā maršruta sākuma un beigu punktā var piebraukt ar automašīnu. Vairāku maršrutu krustojumos veidojas loģistikas punkti, kas ļauj uzsākt pārgājienu vai velo maršrutus, piegādāt ekipējumu u.c. Pieejamība un funkcionalitāte segmentējama, nodalot atpūtas vietu raksturu. Iespēju robežās būtu jānodrošina sausas malkas regulāra piegāde šīm vietām, kas pasaudzēs apmetņu apkārtni no sauso koku un kritalu izvākšanas, plašākas zemsedzes nomīdīšanas. Atkritumu urnas jākonstruē ar papildu drošību, lai tām nepiekļūtu dzīvnieki. Tās jānovieto tālāk no soliem un galdiem, lai neradītu diskomfortu atpūtniekiem. Visos maršrutos jāievieš un jāpastiprina princips par sadzīves atkritumu līdzņemšanu. Atkritumu urnas (vai pat konteineri, nodrošinot atkritumu šķirošanu vietās ar lielu noslodzi jānovieto tikai pie stāvlaukumiem, kur ir viegli apsaimniekot.</w:t>
      </w:r>
    </w:p>
    <w:p w14:paraId="67239F3B" w14:textId="77777777" w:rsidR="00473381" w:rsidRPr="00675182" w:rsidRDefault="00473381" w:rsidP="00473381">
      <w:pPr>
        <w:jc w:val="both"/>
        <w:rPr>
          <w:rFonts w:ascii="Calibri" w:hAnsi="Calibri"/>
          <w:bCs/>
          <w:szCs w:val="24"/>
        </w:rPr>
      </w:pPr>
    </w:p>
    <w:p w14:paraId="5CA09311" w14:textId="77777777" w:rsidR="00473381" w:rsidRPr="00675182" w:rsidRDefault="00473381" w:rsidP="00473381">
      <w:pPr>
        <w:jc w:val="both"/>
        <w:rPr>
          <w:rFonts w:ascii="Calibri" w:hAnsi="Calibri"/>
          <w:bCs/>
          <w:szCs w:val="24"/>
        </w:rPr>
      </w:pPr>
      <w:r w:rsidRPr="00675182">
        <w:rPr>
          <w:rFonts w:ascii="Calibri" w:hAnsi="Calibri"/>
          <w:bCs/>
          <w:szCs w:val="24"/>
        </w:rPr>
        <w:t xml:space="preserve">Saistībā ar piebraucamo ceļu piekļuvi un automašīnu nokļūšanu līdz atpūtas vietām, pamatoti būtu jāizskata un vajadzības gadījumā jāievieš ērti mikro-maksājumu risinājumi. Reģistrēta automašīnu novietošana paaugstina atbildības līmeni, mazinot patvaļīgu stāvlaukumu izbraukāšanu un potenciālu infrastruktūras demolēšanu. Tāpat pamatojama arī tehnoloģisku risinājumu ieviešana, nosakot automašīnu kapacitāti stāvlaukumā, sasaistot to ar automašīnu skaitītāju un pirms iebraukšanas šaurākā ceļā </w:t>
      </w:r>
      <w:r w:rsidRPr="00675182">
        <w:rPr>
          <w:rFonts w:ascii="Calibri" w:hAnsi="Calibri"/>
          <w:bCs/>
          <w:szCs w:val="24"/>
        </w:rPr>
        <w:lastRenderedPageBreak/>
        <w:t>signalizējot ar displeja palīdzību par brīvo vietu skaitu. Plūsmas pārdomāta vadība mazina antropogēno slodzi un paaugstina apmierinātību ar pakalpojumu arī pašiem apmeklētājiem.</w:t>
      </w:r>
    </w:p>
    <w:p w14:paraId="1736DDF4" w14:textId="77777777" w:rsidR="00473381" w:rsidRPr="00675182" w:rsidRDefault="00473381" w:rsidP="00473381">
      <w:pPr>
        <w:jc w:val="both"/>
        <w:rPr>
          <w:rFonts w:ascii="Calibri" w:hAnsi="Calibri"/>
          <w:bCs/>
          <w:szCs w:val="24"/>
        </w:rPr>
      </w:pPr>
    </w:p>
    <w:p w14:paraId="2EED86E6" w14:textId="77777777" w:rsidR="00473381" w:rsidRPr="00675182" w:rsidRDefault="00473381" w:rsidP="00473381">
      <w:pPr>
        <w:jc w:val="both"/>
        <w:rPr>
          <w:rFonts w:ascii="Calibri" w:hAnsi="Calibri"/>
          <w:bCs/>
          <w:szCs w:val="24"/>
        </w:rPr>
      </w:pPr>
      <w:r w:rsidRPr="00675182">
        <w:rPr>
          <w:rFonts w:ascii="Calibri" w:hAnsi="Calibri"/>
          <w:bCs/>
          <w:szCs w:val="24"/>
        </w:rPr>
        <w:t>Šobrīd nav pamatojuma ierobežot kemperu vai nakšņošanai pielāgotu minibusu u.tml. autotūristu nakšņošanu stāvlaukumos, līdzās atpūtas vietām. Tomēr primāri šādām vajadzībām būtu akcentējami kempingi ar vajadzīgajām ērtībām (elektrības pieslēgums, dzeramais ūdens, iespēja iztukšot kanalizācijas tvertni, ērta tualete u.c.). Loģistikas punktos ar dažādu segmentu vajadzību pārklāšanos, būtu jāpievērš lielāka uzmanība vietas telpiskajai segmentēšanai.</w:t>
      </w:r>
    </w:p>
    <w:p w14:paraId="695CF44D" w14:textId="77777777" w:rsidR="00473381" w:rsidRPr="00675182" w:rsidRDefault="00473381" w:rsidP="00473381">
      <w:pPr>
        <w:jc w:val="both"/>
        <w:rPr>
          <w:rFonts w:ascii="Calibri" w:hAnsi="Calibri"/>
          <w:bCs/>
          <w:szCs w:val="24"/>
        </w:rPr>
      </w:pPr>
    </w:p>
    <w:p w14:paraId="2E152A81" w14:textId="3B867D7C" w:rsidR="00473381" w:rsidRPr="00675182" w:rsidRDefault="00473381" w:rsidP="00473381">
      <w:pPr>
        <w:jc w:val="both"/>
        <w:rPr>
          <w:rFonts w:ascii="Calibri" w:hAnsi="Calibri"/>
          <w:bCs/>
          <w:szCs w:val="24"/>
        </w:rPr>
      </w:pPr>
      <w:r w:rsidRPr="00675182">
        <w:rPr>
          <w:rFonts w:ascii="Calibri" w:hAnsi="Calibri"/>
          <w:b/>
          <w:bCs/>
          <w:szCs w:val="24"/>
        </w:rPr>
        <w:t>Labiekārtoti skatu punkti</w:t>
      </w:r>
      <w:r w:rsidRPr="00675182">
        <w:rPr>
          <w:rFonts w:ascii="Calibri" w:hAnsi="Calibri"/>
          <w:bCs/>
          <w:szCs w:val="24"/>
        </w:rPr>
        <w:t xml:space="preserve"> atrodas vizuāli pievilcīgās ainavās ar tālu skatu perspektīvu. Piemēram</w:t>
      </w:r>
      <w:r w:rsidR="0089658A">
        <w:rPr>
          <w:rFonts w:ascii="Calibri" w:hAnsi="Calibri"/>
          <w:bCs/>
          <w:szCs w:val="24"/>
        </w:rPr>
        <w:t>,</w:t>
      </w:r>
      <w:r w:rsidRPr="00675182">
        <w:rPr>
          <w:rFonts w:ascii="Calibri" w:hAnsi="Calibri"/>
          <w:bCs/>
          <w:szCs w:val="24"/>
        </w:rPr>
        <w:t xml:space="preserve"> uz Gaujas senielejas stāvās krants, klaju pauguru virsotnēs, ezeru krastos u.tml. Citos nacionālajos parkos tos apzīmē ar vienotu marķējumu (‘miradouro’,  ‘vista’, ‘viewpoint’ u.tml.). Skatu punkti tiek izvēlēti estētiski augstvērtīgās ainavās, plānojot paplašinājuma laukumu, ja tas atrodas dēļu laipas vai šauras takas maršrutā. Vairākus secīgus skatu punktus vislabāk savienot ar pārgājienu taku vai iekļaut velomaršrutā.</w:t>
      </w:r>
    </w:p>
    <w:p w14:paraId="7D0C6C5A" w14:textId="77777777" w:rsidR="00473381" w:rsidRPr="00675182" w:rsidRDefault="00473381" w:rsidP="00473381">
      <w:pPr>
        <w:jc w:val="both"/>
        <w:rPr>
          <w:rFonts w:ascii="Calibri" w:hAnsi="Calibri"/>
          <w:bCs/>
          <w:szCs w:val="24"/>
        </w:rPr>
      </w:pPr>
    </w:p>
    <w:p w14:paraId="60A5C290" w14:textId="77777777" w:rsidR="00473381" w:rsidRPr="00675182" w:rsidRDefault="00473381" w:rsidP="00473381">
      <w:pPr>
        <w:jc w:val="both"/>
        <w:rPr>
          <w:rFonts w:ascii="Calibri" w:hAnsi="Calibri"/>
          <w:bCs/>
          <w:szCs w:val="24"/>
        </w:rPr>
      </w:pPr>
      <w:r w:rsidRPr="00675182">
        <w:rPr>
          <w:rFonts w:ascii="Calibri" w:hAnsi="Calibri"/>
          <w:b/>
          <w:szCs w:val="24"/>
        </w:rPr>
        <w:t>Tūrisma un rekreācijas, viesmīlības vai saistīto pakalpojumu sniedzēji</w:t>
      </w:r>
      <w:r w:rsidRPr="00675182">
        <w:rPr>
          <w:rFonts w:ascii="Calibri" w:hAnsi="Calibri"/>
          <w:bCs/>
          <w:szCs w:val="24"/>
        </w:rPr>
        <w:t xml:space="preserve"> ir nozīmīga ieinteresētā puse dialogam par GNP dabas aizsardzības mērķu sasniegšanu. Paralēli to motivācijai nopelnīt no apmeklētājiem, tiem būtu jāpiedāvā elementāro vajadzību pakalpojumi – tualete, ēdināšana, sadzīves atkritumu apsaimniekošana u.c., atkarībā no katras vietas. Pakalpojumu kvalitāte motivē uzturēt vietas regulārā kārtībā, tādējādi var atslogot papildu apmetņu un atpūtas vietu ierīkošanu dabā. Ir pierādījies, ka daudzi tūrisma pakalpojumu sniedzēji ir arī ieinteresēti tuvumā esošo tūrisma un rekreācijas vietu infrastruktūras uzturēšanā. Gan tādēļ, ka viņu klienti regulāri apmeklē šīs vietas un viņu apmierinātība veidojas no kopējā vietas apmeklējuma pieredzējuma, gan arī vēlme lepoties ar vietējām vērtībām, atbildīga attieksme motivē ieguldīt savus resursus šīs vietas uzturēšanā (kas vienlaikus palīdz piesaistīt viņiem klientus). Infrastruktūras apsaimniekošanas līgumu slēgšana par kādu publiskās infrastruktūras vietu apsaimniekošanu ar komersantiem no DAP puses būtu veicināma plašāk. Sadarbība ar ieinteresētiem un atbildīgiem uzņēmējiem šādā jautājumā veicinās publisko resursu atslogošanu un stiprinās kapacitāti infrastruktūras atslogošanai.</w:t>
      </w:r>
    </w:p>
    <w:p w14:paraId="19A17245" w14:textId="61A97C68" w:rsidR="00B82817" w:rsidRPr="00675182" w:rsidRDefault="00B82817" w:rsidP="00B82817">
      <w:pPr>
        <w:jc w:val="both"/>
        <w:rPr>
          <w:rFonts w:ascii="Calibri" w:hAnsi="Calibri"/>
          <w:bCs/>
          <w:szCs w:val="24"/>
        </w:rPr>
      </w:pPr>
    </w:p>
    <w:p w14:paraId="6C9D58B2" w14:textId="77777777" w:rsidR="00473381" w:rsidRPr="00675182" w:rsidRDefault="00473381" w:rsidP="00473381">
      <w:pPr>
        <w:jc w:val="both"/>
        <w:rPr>
          <w:rFonts w:cstheme="minorHAnsi"/>
          <w:b/>
          <w:i/>
          <w:iCs/>
          <w:szCs w:val="24"/>
          <w:u w:val="single"/>
        </w:rPr>
      </w:pPr>
      <w:r w:rsidRPr="00675182">
        <w:rPr>
          <w:rFonts w:cstheme="minorHAnsi"/>
          <w:b/>
          <w:i/>
          <w:iCs/>
          <w:szCs w:val="24"/>
          <w:u w:val="single"/>
        </w:rPr>
        <w:t>D.2. Konkrēti pasākumi tūrisma un atpūtas labiekārtojuma vai saistītas atbalsta infrastruktūras izveidei, t.sk. antropogēnās slodzes mazināšanai</w:t>
      </w:r>
    </w:p>
    <w:p w14:paraId="373A2C85" w14:textId="77777777" w:rsidR="00516219" w:rsidRPr="00675182" w:rsidRDefault="00516219" w:rsidP="00516219">
      <w:pPr>
        <w:tabs>
          <w:tab w:val="left" w:pos="5812"/>
        </w:tabs>
        <w:ind w:left="1418" w:hanging="1418"/>
        <w:jc w:val="both"/>
        <w:rPr>
          <w:rFonts w:ascii="Calibri" w:hAnsi="Calibri"/>
          <w:szCs w:val="24"/>
        </w:rPr>
      </w:pPr>
    </w:p>
    <w:p w14:paraId="489B0D9B" w14:textId="1DEED2B4" w:rsidR="00516219" w:rsidRPr="00675182" w:rsidRDefault="00516219" w:rsidP="00516219">
      <w:pPr>
        <w:tabs>
          <w:tab w:val="left" w:pos="5812"/>
        </w:tabs>
        <w:jc w:val="both"/>
        <w:rPr>
          <w:rFonts w:ascii="Calibri" w:hAnsi="Calibri"/>
          <w:szCs w:val="24"/>
        </w:rPr>
      </w:pPr>
      <w:r w:rsidRPr="00675182">
        <w:rPr>
          <w:rFonts w:ascii="Calibri" w:hAnsi="Calibri"/>
          <w:szCs w:val="24"/>
        </w:rPr>
        <w:t xml:space="preserve">Konkrētie apsaimniekošanas pasākumi ir attēloti kartēs, kuras iekļautas DA plāna 25. pielikumā un ģeodatubāzē, kura tiks iesniegta DAP. </w:t>
      </w:r>
    </w:p>
    <w:p w14:paraId="6B608877" w14:textId="77777777" w:rsidR="00473381" w:rsidRPr="00675182" w:rsidRDefault="00473381" w:rsidP="00473381">
      <w:pPr>
        <w:snapToGrid w:val="0"/>
        <w:rPr>
          <w:rFonts w:cstheme="minorHAnsi"/>
          <w:highlight w:val="yellow"/>
          <w:u w:val="single"/>
        </w:rPr>
      </w:pPr>
    </w:p>
    <w:p w14:paraId="71603B55" w14:textId="4EFCFCE0" w:rsidR="00473381" w:rsidRPr="00675182" w:rsidRDefault="00473381" w:rsidP="00473381">
      <w:pPr>
        <w:snapToGrid w:val="0"/>
        <w:jc w:val="both"/>
        <w:rPr>
          <w:rFonts w:eastAsia="Arial Unicode MS" w:cstheme="minorHAnsi"/>
          <w:b/>
          <w:bCs/>
          <w:szCs w:val="24"/>
        </w:rPr>
      </w:pPr>
      <w:r w:rsidRPr="00675182">
        <w:rPr>
          <w:rFonts w:eastAsia="Arial Unicode MS" w:cstheme="minorHAnsi"/>
          <w:b/>
          <w:bCs/>
          <w:szCs w:val="24"/>
        </w:rPr>
        <w:t>D.2.1</w:t>
      </w:r>
      <w:r w:rsidR="006A2230" w:rsidRPr="00675182">
        <w:rPr>
          <w:rFonts w:eastAsia="Arial Unicode MS" w:cstheme="minorHAnsi"/>
          <w:b/>
          <w:bCs/>
          <w:szCs w:val="24"/>
        </w:rPr>
        <w:t>.</w:t>
      </w:r>
      <w:r w:rsidRPr="00675182">
        <w:rPr>
          <w:rFonts w:eastAsia="Arial Unicode MS" w:cstheme="minorHAnsi"/>
          <w:b/>
          <w:bCs/>
          <w:szCs w:val="24"/>
        </w:rPr>
        <w:tab/>
        <w:t xml:space="preserve">Antropogēnās slodzes samazināšana pie Niniera ezera </w:t>
      </w:r>
    </w:p>
    <w:p w14:paraId="13D120B2" w14:textId="718136FE"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t>Būtu jāizveido autostāvlaukums stihiskā smilšu laukuma un ceļa malu izbraukātās zemsedzes vietā</w:t>
      </w:r>
      <w:r w:rsidR="00516219" w:rsidRPr="00675182">
        <w:rPr>
          <w:rFonts w:eastAsia="Arial Unicode MS" w:cstheme="minorHAnsi"/>
          <w:szCs w:val="24"/>
        </w:rPr>
        <w:t xml:space="preserve"> (skat. 25</w:t>
      </w:r>
      <w:r w:rsidRPr="00675182">
        <w:rPr>
          <w:rFonts w:eastAsia="Arial Unicode MS" w:cstheme="minorHAnsi"/>
          <w:szCs w:val="24"/>
        </w:rPr>
        <w:t>.</w:t>
      </w:r>
      <w:r w:rsidR="00516219" w:rsidRPr="00675182">
        <w:rPr>
          <w:rFonts w:eastAsia="Arial Unicode MS" w:cstheme="minorHAnsi"/>
          <w:szCs w:val="24"/>
        </w:rPr>
        <w:t xml:space="preserve"> pielikumu)</w:t>
      </w:r>
      <w:r w:rsidRPr="00675182">
        <w:rPr>
          <w:rFonts w:eastAsia="Arial Unicode MS" w:cstheme="minorHAnsi"/>
          <w:szCs w:val="24"/>
        </w:rPr>
        <w:t xml:space="preserve"> Labiekārtotas noejas uz ezeru ļaus samazināt stihiski izveidoto noeju skaitu un slēgt iestaigātās liekās takas. Būtu </w:t>
      </w:r>
      <w:r w:rsidR="00031AD5" w:rsidRPr="00675182">
        <w:rPr>
          <w:rFonts w:eastAsia="Arial Unicode MS" w:cstheme="minorHAnsi"/>
          <w:szCs w:val="24"/>
        </w:rPr>
        <w:t>j</w:t>
      </w:r>
      <w:r w:rsidR="00031AD5">
        <w:rPr>
          <w:rFonts w:eastAsia="Arial Unicode MS" w:cstheme="minorHAnsi"/>
          <w:szCs w:val="24"/>
        </w:rPr>
        <w:t>ā</w:t>
      </w:r>
      <w:r w:rsidR="00031AD5" w:rsidRPr="00675182">
        <w:rPr>
          <w:rFonts w:eastAsia="Arial Unicode MS" w:cstheme="minorHAnsi"/>
          <w:szCs w:val="24"/>
        </w:rPr>
        <w:t xml:space="preserve">veic </w:t>
      </w:r>
      <w:r w:rsidRPr="00675182">
        <w:rPr>
          <w:rFonts w:eastAsia="Arial Unicode MS" w:cstheme="minorHAnsi"/>
          <w:szCs w:val="24"/>
        </w:rPr>
        <w:t xml:space="preserve">pludmales atpūtas zonas labiekārtošana un stihiski izveidoto ugunskura vietu skaita mazināšana. Būtu ieteicams izveidot labiekārtotu ugunskura vietu un taku ap ezeru (saskānojot ar zemes īpašnieku). Būtu jānosaka oficiālas peldvietas statuss pašvaldībai piederošajā </w:t>
      </w:r>
      <w:r w:rsidRPr="00675182">
        <w:rPr>
          <w:rFonts w:eastAsia="Arial Unicode MS" w:cstheme="minorHAnsi"/>
          <w:szCs w:val="24"/>
        </w:rPr>
        <w:lastRenderedPageBreak/>
        <w:t>teritorijā, jo oficiālās pludmales kritēriju izpilde tās atbilstībai, ļautu nodrošināt apmeklētāju drošību, ūdens kvalitātes atbilstību vides prasībām. Takas un citas saistītas labiekārtojuma infrastruktūras (ugunskura vietas u.tml.) izveide privātajā zemes daļā jāsaskaņo ar zemes īpašniekiem, atbilstoši projektēšanas darbiem.</w:t>
      </w:r>
    </w:p>
    <w:p w14:paraId="58E00708" w14:textId="77777777" w:rsidR="00473381" w:rsidRPr="00675182" w:rsidRDefault="00473381" w:rsidP="00473381">
      <w:pPr>
        <w:snapToGrid w:val="0"/>
        <w:jc w:val="both"/>
        <w:rPr>
          <w:rFonts w:eastAsia="Arial Unicode MS" w:cstheme="minorHAnsi"/>
          <w:b/>
          <w:bCs/>
          <w:szCs w:val="24"/>
        </w:rPr>
      </w:pPr>
    </w:p>
    <w:p w14:paraId="257AAADB" w14:textId="77777777" w:rsidR="00473381" w:rsidRPr="00675182" w:rsidRDefault="00473381" w:rsidP="00473381">
      <w:pPr>
        <w:snapToGrid w:val="0"/>
        <w:jc w:val="both"/>
        <w:rPr>
          <w:rFonts w:eastAsia="Arial Unicode MS" w:cstheme="minorHAnsi"/>
          <w:b/>
          <w:bCs/>
          <w:szCs w:val="24"/>
        </w:rPr>
      </w:pPr>
      <w:r w:rsidRPr="00675182">
        <w:rPr>
          <w:rFonts w:cstheme="minorHAnsi"/>
          <w:szCs w:val="24"/>
        </w:rPr>
        <w:t>Pasākums ļaus samazināt antropogēno slodzi uz Niniera ezeru 6,9 ha platībā, apmeklētāju plūsma tiks novirzīta atbilstoši infrastruktūras izveidei.</w:t>
      </w:r>
    </w:p>
    <w:p w14:paraId="6DF94B14" w14:textId="77777777" w:rsidR="00473381" w:rsidRPr="00675182" w:rsidRDefault="00473381" w:rsidP="00473381">
      <w:pPr>
        <w:snapToGrid w:val="0"/>
        <w:jc w:val="both"/>
        <w:rPr>
          <w:rFonts w:eastAsia="Arial Unicode MS" w:cstheme="minorHAnsi"/>
          <w:b/>
          <w:bCs/>
          <w:szCs w:val="24"/>
        </w:rPr>
      </w:pPr>
    </w:p>
    <w:p w14:paraId="0FC22EF6" w14:textId="5A7E03BA" w:rsidR="00473381" w:rsidRPr="00675182" w:rsidRDefault="00473381" w:rsidP="00516219">
      <w:pPr>
        <w:keepNext/>
        <w:keepLines/>
        <w:snapToGrid w:val="0"/>
        <w:jc w:val="both"/>
        <w:rPr>
          <w:rFonts w:eastAsia="Arial Unicode MS" w:cstheme="minorHAnsi"/>
          <w:b/>
          <w:bCs/>
          <w:szCs w:val="24"/>
        </w:rPr>
      </w:pPr>
      <w:r w:rsidRPr="00675182">
        <w:rPr>
          <w:rFonts w:eastAsia="Arial Unicode MS" w:cstheme="minorHAnsi"/>
          <w:b/>
          <w:bCs/>
          <w:szCs w:val="24"/>
        </w:rPr>
        <w:t>D.2.2</w:t>
      </w:r>
      <w:r w:rsidR="006A2230" w:rsidRPr="00675182">
        <w:rPr>
          <w:rFonts w:eastAsia="Arial Unicode MS" w:cstheme="minorHAnsi"/>
          <w:b/>
          <w:bCs/>
          <w:szCs w:val="24"/>
        </w:rPr>
        <w:t>.</w:t>
      </w:r>
      <w:r w:rsidRPr="00675182">
        <w:rPr>
          <w:rFonts w:eastAsia="Arial Unicode MS" w:cstheme="minorHAnsi"/>
          <w:b/>
          <w:bCs/>
          <w:szCs w:val="24"/>
        </w:rPr>
        <w:tab/>
        <w:t xml:space="preserve">Antropogēnās slodzes samazināšana pie Kazugravas Lībānu-Jaunzemju šūnakmens kraujas un ūdenskritumiem </w:t>
      </w:r>
    </w:p>
    <w:p w14:paraId="660E91B9" w14:textId="77777777" w:rsidR="00473381" w:rsidRPr="00675182" w:rsidRDefault="00473381" w:rsidP="00516219">
      <w:pPr>
        <w:keepNext/>
        <w:keepLines/>
        <w:snapToGrid w:val="0"/>
        <w:jc w:val="both"/>
        <w:rPr>
          <w:rFonts w:eastAsia="Arial Unicode MS" w:cstheme="minorHAnsi"/>
          <w:szCs w:val="24"/>
        </w:rPr>
      </w:pPr>
      <w:r w:rsidRPr="00675182">
        <w:rPr>
          <w:rFonts w:eastAsia="Arial Unicode MS" w:cstheme="minorHAnsi"/>
          <w:szCs w:val="24"/>
        </w:rPr>
        <w:t xml:space="preserve">Galvenie rekomendējamie labiekārtošanas pasākumi ir šādi: </w:t>
      </w:r>
    </w:p>
    <w:p w14:paraId="57F959F8" w14:textId="77777777" w:rsidR="00473381" w:rsidRPr="00675182" w:rsidRDefault="00473381" w:rsidP="00A84218">
      <w:pPr>
        <w:pStyle w:val="ListParagraph"/>
        <w:keepNext/>
        <w:keepLines/>
        <w:numPr>
          <w:ilvl w:val="0"/>
          <w:numId w:val="68"/>
        </w:numPr>
        <w:snapToGrid w:val="0"/>
        <w:jc w:val="both"/>
        <w:rPr>
          <w:rFonts w:eastAsia="Arial Unicode MS" w:cstheme="minorHAnsi"/>
          <w:szCs w:val="24"/>
        </w:rPr>
      </w:pPr>
      <w:r w:rsidRPr="00675182">
        <w:rPr>
          <w:rFonts w:eastAsia="Arial Unicode MS" w:cstheme="minorHAnsi"/>
          <w:szCs w:val="24"/>
        </w:rPr>
        <w:t>autostāvlaukuma izveide (divi iespējamie risinājumi ar kabatveida stāvvietām pie autoceļa P20 Valmiera – Cēsis - Drabeši, vai ar piebraukšanu no Priekuļu puses);</w:t>
      </w:r>
    </w:p>
    <w:p w14:paraId="13FD714A" w14:textId="77777777" w:rsidR="00473381" w:rsidRPr="00675182" w:rsidRDefault="00473381" w:rsidP="00A84218">
      <w:pPr>
        <w:pStyle w:val="ListParagraph"/>
        <w:numPr>
          <w:ilvl w:val="0"/>
          <w:numId w:val="68"/>
        </w:numPr>
        <w:snapToGrid w:val="0"/>
        <w:jc w:val="both"/>
        <w:rPr>
          <w:rFonts w:eastAsia="Arial Unicode MS" w:cstheme="minorHAnsi"/>
          <w:szCs w:val="24"/>
        </w:rPr>
      </w:pPr>
      <w:r w:rsidRPr="00675182">
        <w:rPr>
          <w:rFonts w:eastAsia="Arial Unicode MS" w:cstheme="minorHAnsi"/>
          <w:szCs w:val="24"/>
        </w:rPr>
        <w:t>takas labiekārtošana, izveidojot infrastruktūras elementus  stāvākajā takas posmā, kas ļautu nodrošināt pieejamību un samazinātu antropogēno slodzi;</w:t>
      </w:r>
    </w:p>
    <w:p w14:paraId="7CEFD076" w14:textId="77777777" w:rsidR="00473381" w:rsidRPr="00675182" w:rsidRDefault="00473381" w:rsidP="00A84218">
      <w:pPr>
        <w:pStyle w:val="ListParagraph"/>
        <w:numPr>
          <w:ilvl w:val="0"/>
          <w:numId w:val="68"/>
        </w:numPr>
        <w:snapToGrid w:val="0"/>
        <w:jc w:val="both"/>
        <w:rPr>
          <w:rFonts w:eastAsia="Arial Unicode MS" w:cstheme="minorHAnsi"/>
          <w:szCs w:val="24"/>
        </w:rPr>
      </w:pPr>
      <w:r w:rsidRPr="00675182">
        <w:rPr>
          <w:rFonts w:eastAsia="Arial Unicode MS" w:cstheme="minorHAnsi"/>
          <w:szCs w:val="24"/>
        </w:rPr>
        <w:t>norobežojošas skatu platformas izveide ūdenskrituma – atseguma augšpusē un otra ūdenskrituma lejas daļā, integrējot tās neuzkrītoši ainavā, mazinot stihisko zemsedzes un trauslā šūnakmens nomīdīšanu;</w:t>
      </w:r>
    </w:p>
    <w:p w14:paraId="171D41FF" w14:textId="77777777" w:rsidR="00473381" w:rsidRPr="00675182" w:rsidRDefault="00473381" w:rsidP="00A84218">
      <w:pPr>
        <w:pStyle w:val="ListParagraph"/>
        <w:numPr>
          <w:ilvl w:val="0"/>
          <w:numId w:val="68"/>
        </w:numPr>
        <w:snapToGrid w:val="0"/>
        <w:jc w:val="both"/>
        <w:rPr>
          <w:rFonts w:eastAsia="Arial Unicode MS" w:cstheme="minorHAnsi"/>
          <w:szCs w:val="24"/>
        </w:rPr>
      </w:pPr>
      <w:r w:rsidRPr="00675182">
        <w:rPr>
          <w:rFonts w:eastAsia="Arial Unicode MS" w:cstheme="minorHAnsi"/>
          <w:szCs w:val="24"/>
        </w:rPr>
        <w:t>informatīvo stendu un norāžu zīmju izveide;</w:t>
      </w:r>
    </w:p>
    <w:p w14:paraId="58798251" w14:textId="77777777" w:rsidR="00473381" w:rsidRPr="00675182" w:rsidRDefault="00473381" w:rsidP="00A84218">
      <w:pPr>
        <w:pStyle w:val="ListParagraph"/>
        <w:numPr>
          <w:ilvl w:val="0"/>
          <w:numId w:val="68"/>
        </w:numPr>
        <w:snapToGrid w:val="0"/>
        <w:jc w:val="both"/>
        <w:rPr>
          <w:rFonts w:eastAsia="Arial Unicode MS" w:cstheme="minorHAnsi"/>
          <w:szCs w:val="24"/>
        </w:rPr>
      </w:pPr>
      <w:r w:rsidRPr="00675182">
        <w:rPr>
          <w:rFonts w:eastAsia="Arial Unicode MS" w:cstheme="minorHAnsi"/>
          <w:szCs w:val="24"/>
        </w:rPr>
        <w:t xml:space="preserve">sanitāro labierīcību risinājums. </w:t>
      </w:r>
    </w:p>
    <w:p w14:paraId="48893D7C" w14:textId="77777777"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t>Projekta izstrādes un īstenošanas laikā jānodrošina sugu un biotopu aizsardzības jomā sertificēta eksperta uzraudzība un rekomendāciju ievērošana.</w:t>
      </w:r>
      <w:r w:rsidRPr="00675182">
        <w:t xml:space="preserve"> Visi pasākumi </w:t>
      </w:r>
      <w:r w:rsidRPr="00675182">
        <w:rPr>
          <w:rFonts w:eastAsia="Arial Unicode MS" w:cstheme="minorHAnsi"/>
          <w:szCs w:val="24"/>
        </w:rPr>
        <w:t>jāsaskaņo ar zemes īpašuma tiesisko valdītāju, atbilstoši projektēšanas darbiem.</w:t>
      </w:r>
    </w:p>
    <w:p w14:paraId="540892A4" w14:textId="77777777" w:rsidR="00473381" w:rsidRPr="00675182" w:rsidRDefault="00473381" w:rsidP="00473381">
      <w:pPr>
        <w:snapToGrid w:val="0"/>
        <w:jc w:val="both"/>
        <w:rPr>
          <w:rFonts w:eastAsia="Arial Unicode MS" w:cstheme="minorHAnsi"/>
          <w:b/>
          <w:bCs/>
          <w:szCs w:val="24"/>
          <w:highlight w:val="yellow"/>
        </w:rPr>
      </w:pPr>
    </w:p>
    <w:p w14:paraId="67EE7A30" w14:textId="77777777"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t>Šī pasākuma realizācijas rezultātā tiks izveidota antropogēno slodzi mazinoša dabas taka 800 m garumā ar saistīto infrastruktūru.</w:t>
      </w:r>
    </w:p>
    <w:p w14:paraId="42D270C2" w14:textId="77777777" w:rsidR="00473381" w:rsidRPr="00675182" w:rsidRDefault="00473381" w:rsidP="00473381">
      <w:pPr>
        <w:snapToGrid w:val="0"/>
        <w:jc w:val="both"/>
        <w:rPr>
          <w:rFonts w:eastAsia="Arial Unicode MS" w:cstheme="minorHAnsi"/>
          <w:b/>
          <w:bCs/>
          <w:szCs w:val="24"/>
          <w:highlight w:val="yellow"/>
        </w:rPr>
      </w:pPr>
    </w:p>
    <w:p w14:paraId="1E3C9CD8" w14:textId="77777777" w:rsidR="00473381" w:rsidRPr="00675182" w:rsidRDefault="00473381" w:rsidP="00473381">
      <w:pPr>
        <w:keepNext/>
        <w:keepLines/>
        <w:snapToGrid w:val="0"/>
        <w:jc w:val="both"/>
        <w:rPr>
          <w:rFonts w:eastAsia="Arial Unicode MS" w:cstheme="minorHAnsi"/>
          <w:b/>
          <w:bCs/>
          <w:szCs w:val="24"/>
        </w:rPr>
      </w:pPr>
      <w:r w:rsidRPr="00675182">
        <w:rPr>
          <w:rFonts w:eastAsia="Arial Unicode MS" w:cstheme="minorHAnsi"/>
          <w:b/>
          <w:bCs/>
          <w:szCs w:val="24"/>
        </w:rPr>
        <w:t>D.2.3</w:t>
      </w:r>
      <w:r w:rsidRPr="00675182">
        <w:rPr>
          <w:rFonts w:eastAsia="Arial Unicode MS" w:cstheme="minorHAnsi"/>
          <w:b/>
          <w:bCs/>
          <w:szCs w:val="24"/>
        </w:rPr>
        <w:tab/>
        <w:t>Dāvida dzirnavu avotu piekļuves labiekārtojums</w:t>
      </w:r>
    </w:p>
    <w:p w14:paraId="0C2EFAB6" w14:textId="77777777" w:rsidR="00473381" w:rsidRPr="00675182" w:rsidRDefault="00473381" w:rsidP="00473381">
      <w:pPr>
        <w:keepNext/>
        <w:keepLines/>
        <w:snapToGrid w:val="0"/>
        <w:jc w:val="both"/>
        <w:rPr>
          <w:rFonts w:eastAsia="Arial Unicode MS" w:cstheme="minorHAnsi"/>
          <w:szCs w:val="24"/>
        </w:rPr>
      </w:pPr>
      <w:r w:rsidRPr="00675182">
        <w:rPr>
          <w:rFonts w:eastAsia="Arial Unicode MS" w:cstheme="minorHAnsi"/>
          <w:szCs w:val="24"/>
        </w:rPr>
        <w:t xml:space="preserve">Dāvida dzirnavu avotu piekļuves labiekārtojums būtu risināms ar šādiem pasākumiem: </w:t>
      </w:r>
    </w:p>
    <w:p w14:paraId="0154C29B" w14:textId="77777777" w:rsidR="00473381" w:rsidRPr="00675182" w:rsidRDefault="00473381" w:rsidP="00A84218">
      <w:pPr>
        <w:pStyle w:val="ListParagraph"/>
        <w:keepNext/>
        <w:keepLines/>
        <w:numPr>
          <w:ilvl w:val="0"/>
          <w:numId w:val="69"/>
        </w:numPr>
        <w:snapToGrid w:val="0"/>
        <w:jc w:val="both"/>
        <w:rPr>
          <w:rFonts w:eastAsia="Arial Unicode MS" w:cstheme="minorHAnsi"/>
          <w:szCs w:val="24"/>
        </w:rPr>
      </w:pPr>
      <w:r w:rsidRPr="00675182">
        <w:rPr>
          <w:rFonts w:eastAsia="Arial Unicode MS" w:cstheme="minorHAnsi"/>
          <w:szCs w:val="24"/>
        </w:rPr>
        <w:t xml:space="preserve">neliela autostāvlaukuma labiekārtošana jau esošajā laukumā, pirms piekļuves barjeras un informatīvās zīmes; </w:t>
      </w:r>
    </w:p>
    <w:p w14:paraId="2BBA6769" w14:textId="77777777" w:rsidR="00473381" w:rsidRPr="00675182" w:rsidRDefault="00473381" w:rsidP="00A84218">
      <w:pPr>
        <w:pStyle w:val="ListParagraph"/>
        <w:keepNext/>
        <w:keepLines/>
        <w:numPr>
          <w:ilvl w:val="0"/>
          <w:numId w:val="69"/>
        </w:numPr>
        <w:snapToGrid w:val="0"/>
        <w:jc w:val="both"/>
        <w:rPr>
          <w:rFonts w:eastAsia="Arial Unicode MS" w:cstheme="minorHAnsi"/>
          <w:szCs w:val="24"/>
        </w:rPr>
      </w:pPr>
      <w:r w:rsidRPr="00675182">
        <w:rPr>
          <w:rFonts w:eastAsia="Arial Unicode MS" w:cstheme="minorHAnsi"/>
          <w:szCs w:val="24"/>
        </w:rPr>
        <w:t>takas, laipu un tiltiņu labiekārtošana avotu zonas augšpusē pie Dāvida dzirnavām;</w:t>
      </w:r>
    </w:p>
    <w:p w14:paraId="291DFC57" w14:textId="77777777" w:rsidR="00473381" w:rsidRPr="00675182" w:rsidRDefault="00473381" w:rsidP="00A84218">
      <w:pPr>
        <w:pStyle w:val="ListParagraph"/>
        <w:keepNext/>
        <w:keepLines/>
        <w:numPr>
          <w:ilvl w:val="0"/>
          <w:numId w:val="69"/>
        </w:numPr>
        <w:snapToGrid w:val="0"/>
        <w:jc w:val="both"/>
        <w:rPr>
          <w:rFonts w:eastAsia="Arial Unicode MS" w:cstheme="minorHAnsi"/>
          <w:szCs w:val="24"/>
        </w:rPr>
      </w:pPr>
      <w:r w:rsidRPr="00675182">
        <w:rPr>
          <w:rFonts w:eastAsia="Arial Unicode MS" w:cstheme="minorHAnsi"/>
          <w:szCs w:val="24"/>
        </w:rPr>
        <w:t xml:space="preserve">skatu laukuma izveide avota ūdenskrituma apskatei; </w:t>
      </w:r>
    </w:p>
    <w:p w14:paraId="7E6668BC" w14:textId="77777777" w:rsidR="00473381" w:rsidRPr="00675182" w:rsidRDefault="00473381" w:rsidP="00A84218">
      <w:pPr>
        <w:pStyle w:val="ListParagraph"/>
        <w:keepNext/>
        <w:keepLines/>
        <w:numPr>
          <w:ilvl w:val="0"/>
          <w:numId w:val="69"/>
        </w:numPr>
        <w:snapToGrid w:val="0"/>
        <w:jc w:val="both"/>
        <w:rPr>
          <w:rFonts w:eastAsia="Arial Unicode MS" w:cstheme="minorHAnsi"/>
          <w:szCs w:val="24"/>
        </w:rPr>
      </w:pPr>
      <w:r w:rsidRPr="00675182">
        <w:rPr>
          <w:rFonts w:eastAsia="Arial Unicode MS" w:cstheme="minorHAnsi"/>
          <w:szCs w:val="24"/>
        </w:rPr>
        <w:t>labiekārtotas ūdens ņemšanas vietas izveide un neliela takas zona avotu augšpusē, norobežojošas barjeras stāvākajā daļā;</w:t>
      </w:r>
    </w:p>
    <w:p w14:paraId="39CCF5A9" w14:textId="0527A484" w:rsidR="00473381" w:rsidRPr="00675182" w:rsidRDefault="00473381" w:rsidP="00A84218">
      <w:pPr>
        <w:pStyle w:val="ListParagraph"/>
        <w:keepNext/>
        <w:keepLines/>
        <w:numPr>
          <w:ilvl w:val="0"/>
          <w:numId w:val="69"/>
        </w:numPr>
        <w:snapToGrid w:val="0"/>
        <w:jc w:val="both"/>
        <w:rPr>
          <w:rFonts w:eastAsia="Arial Unicode MS" w:cstheme="minorHAnsi"/>
          <w:szCs w:val="24"/>
        </w:rPr>
      </w:pPr>
      <w:r w:rsidRPr="00675182">
        <w:rPr>
          <w:rFonts w:eastAsia="Arial Unicode MS" w:cstheme="minorHAnsi"/>
          <w:szCs w:val="24"/>
        </w:rPr>
        <w:t>sanitāro labierīcību risinājuma izstrāde</w:t>
      </w:r>
      <w:r w:rsidR="00031AD5">
        <w:rPr>
          <w:rFonts w:eastAsia="Arial Unicode MS" w:cstheme="minorHAnsi"/>
          <w:szCs w:val="24"/>
        </w:rPr>
        <w:t>.</w:t>
      </w:r>
    </w:p>
    <w:p w14:paraId="06F93249" w14:textId="77777777" w:rsidR="00473381" w:rsidRPr="00675182" w:rsidRDefault="00473381" w:rsidP="00473381">
      <w:pPr>
        <w:keepNext/>
        <w:keepLines/>
        <w:snapToGrid w:val="0"/>
        <w:jc w:val="both"/>
        <w:rPr>
          <w:rFonts w:eastAsia="Arial Unicode MS" w:cstheme="minorHAnsi"/>
          <w:szCs w:val="24"/>
        </w:rPr>
      </w:pPr>
    </w:p>
    <w:p w14:paraId="210ABE7D" w14:textId="77777777" w:rsidR="00473381" w:rsidRPr="00675182" w:rsidRDefault="00473381" w:rsidP="00473381">
      <w:pPr>
        <w:keepNext/>
        <w:keepLines/>
        <w:snapToGrid w:val="0"/>
        <w:jc w:val="both"/>
        <w:rPr>
          <w:rFonts w:eastAsia="Arial Unicode MS" w:cstheme="minorHAnsi"/>
          <w:szCs w:val="24"/>
        </w:rPr>
      </w:pPr>
      <w:r w:rsidRPr="00675182">
        <w:rPr>
          <w:rFonts w:eastAsia="Arial Unicode MS" w:cstheme="minorHAnsi"/>
          <w:szCs w:val="24"/>
        </w:rPr>
        <w:t>Labiekārtošanas darbi būtu jāveic vienlaicīgi un saskaņojot ar pamestās dzirnavu ēkas – grausta sakopšanu. Paralēli būtu jāveic sistemātiska invazīvo latvāņu audžu likvidēšana. Projekta izstrādes un īstenošanas laikā jānodrošina sugu un biotopu aizsardzības jomā sertificēta eksperta uzraudzība un rekomendāciju ievērošana.</w:t>
      </w:r>
    </w:p>
    <w:p w14:paraId="343A7C14" w14:textId="77777777" w:rsidR="00473381" w:rsidRPr="00675182" w:rsidRDefault="00473381" w:rsidP="00473381">
      <w:pPr>
        <w:snapToGrid w:val="0"/>
        <w:jc w:val="both"/>
        <w:rPr>
          <w:rFonts w:eastAsia="Arial Unicode MS" w:cstheme="minorHAnsi"/>
          <w:szCs w:val="24"/>
        </w:rPr>
      </w:pPr>
    </w:p>
    <w:p w14:paraId="42B6EDB9" w14:textId="77777777"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t>Visi pasākumi jāsaskaņo ar zemes tiesiskajiem valdītājiem, atbilstoši projektēšanas darbiem.</w:t>
      </w:r>
    </w:p>
    <w:p w14:paraId="7ECA9F9B" w14:textId="77777777" w:rsidR="00473381" w:rsidRPr="00675182" w:rsidRDefault="00473381" w:rsidP="00473381">
      <w:pPr>
        <w:snapToGrid w:val="0"/>
        <w:jc w:val="both"/>
        <w:rPr>
          <w:rFonts w:eastAsia="Arial Unicode MS" w:cstheme="minorHAnsi"/>
          <w:szCs w:val="24"/>
        </w:rPr>
      </w:pPr>
    </w:p>
    <w:p w14:paraId="3E59EF80" w14:textId="77777777"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lastRenderedPageBreak/>
        <w:t>Pasākuma realizācijas rezultātā tiks izveidota antropogēno slodzi mazinoša infrastruktūra 0,46 ha platībā – izvietotas informatīvās zīmes, labiekārtota divas skatu platforma, uzstādītas laipas un izveidoti tiltiņi pie avotiem</w:t>
      </w:r>
    </w:p>
    <w:p w14:paraId="1B45D473" w14:textId="77777777" w:rsidR="00473381" w:rsidRPr="00675182" w:rsidRDefault="00473381" w:rsidP="00473381">
      <w:pPr>
        <w:snapToGrid w:val="0"/>
        <w:jc w:val="both"/>
        <w:rPr>
          <w:rFonts w:eastAsia="Arial Unicode MS" w:cstheme="minorHAnsi"/>
          <w:b/>
          <w:bCs/>
          <w:szCs w:val="24"/>
        </w:rPr>
      </w:pPr>
    </w:p>
    <w:p w14:paraId="60F3F62C" w14:textId="77777777" w:rsidR="00473381" w:rsidRPr="00675182" w:rsidRDefault="00473381" w:rsidP="00516219">
      <w:pPr>
        <w:keepNext/>
        <w:keepLines/>
        <w:snapToGrid w:val="0"/>
        <w:jc w:val="both"/>
        <w:rPr>
          <w:rFonts w:eastAsia="Arial Unicode MS" w:cstheme="minorHAnsi"/>
          <w:b/>
          <w:bCs/>
          <w:szCs w:val="24"/>
        </w:rPr>
      </w:pPr>
      <w:r w:rsidRPr="00675182">
        <w:rPr>
          <w:rFonts w:eastAsia="Arial Unicode MS" w:cstheme="minorHAnsi"/>
          <w:b/>
          <w:bCs/>
          <w:szCs w:val="24"/>
        </w:rPr>
        <w:t>D.2.4</w:t>
      </w:r>
      <w:r w:rsidRPr="00675182">
        <w:rPr>
          <w:rFonts w:eastAsia="Arial Unicode MS" w:cstheme="minorHAnsi"/>
          <w:b/>
          <w:bCs/>
          <w:szCs w:val="24"/>
        </w:rPr>
        <w:tab/>
        <w:t>Tūrisma infrastruktūras uzlabošana pie Ērgļu klintīm</w:t>
      </w:r>
    </w:p>
    <w:p w14:paraId="1F2EA9A6" w14:textId="77777777" w:rsidR="00473381" w:rsidRPr="00675182" w:rsidRDefault="00473381" w:rsidP="00516219">
      <w:pPr>
        <w:keepNext/>
        <w:keepLines/>
        <w:snapToGrid w:val="0"/>
        <w:jc w:val="both"/>
        <w:rPr>
          <w:rFonts w:eastAsia="Arial Unicode MS" w:cstheme="minorHAnsi"/>
          <w:szCs w:val="24"/>
        </w:rPr>
      </w:pPr>
      <w:r w:rsidRPr="00675182">
        <w:rPr>
          <w:rFonts w:eastAsia="Arial Unicode MS" w:cstheme="minorHAnsi"/>
          <w:szCs w:val="24"/>
        </w:rPr>
        <w:t xml:space="preserve">Tūrisma infrastruktūra būtu jāuzlabo, veicot šādus pasākumus: </w:t>
      </w:r>
    </w:p>
    <w:p w14:paraId="5C2EFBC7" w14:textId="77777777" w:rsidR="00473381" w:rsidRPr="00675182" w:rsidRDefault="00473381" w:rsidP="00516219">
      <w:pPr>
        <w:keepNext/>
        <w:keepLines/>
        <w:snapToGrid w:val="0"/>
        <w:jc w:val="both"/>
        <w:rPr>
          <w:rFonts w:eastAsia="Arial Unicode MS" w:cstheme="minorHAnsi"/>
          <w:szCs w:val="24"/>
        </w:rPr>
      </w:pPr>
      <w:r w:rsidRPr="00675182">
        <w:rPr>
          <w:rFonts w:eastAsia="Arial Unicode MS" w:cstheme="minorHAnsi"/>
          <w:szCs w:val="24"/>
        </w:rPr>
        <w:t>takas posma labiekārtošana jāveic posmā starp stāvlaukumu un platāko piekļuves ceļu, papildinot ar blietētu grunts materiālu vietā, kur lielā platībā atsedzas koku saknes. Perspektīvā būtu vajadzīga arī auto stāvlaukuma rekonstrukcija. Vajadzētu slēgt to takas posmu, kur no upes līmeņa ir iestaigāts īsceļš, pāri daļai no klintīm. Būtu jāpilnveido navigācija vietas apskatei un piekļuvei no rietumu puses. Vienā no taku krustojumiem norādes pazūd. Iestaigātas takas ved Ramātu taku virzienā, kuru publiska piekļuve būtu jāierobežo.</w:t>
      </w:r>
    </w:p>
    <w:p w14:paraId="117DDD29" w14:textId="77777777" w:rsidR="00473381" w:rsidRPr="00675182" w:rsidRDefault="00473381" w:rsidP="00473381">
      <w:pPr>
        <w:snapToGrid w:val="0"/>
        <w:jc w:val="both"/>
        <w:rPr>
          <w:rFonts w:eastAsia="Arial Unicode MS" w:cstheme="minorHAnsi"/>
          <w:szCs w:val="24"/>
        </w:rPr>
      </w:pPr>
    </w:p>
    <w:p w14:paraId="249A1589" w14:textId="77777777"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t>Pasākuma paredzamais rezultāts - labiekārtots 100 m posms no stāvlaukuma līdz meža ceļam, kur šobrīd novērojama lielākā antropogēnā slodze uz zemsedzes izmīdīšanu, labiekārtota stāvlaukumam pieguļošā teritorija.</w:t>
      </w:r>
    </w:p>
    <w:p w14:paraId="4638DF9E" w14:textId="77777777" w:rsidR="00473381" w:rsidRPr="00675182" w:rsidRDefault="00473381" w:rsidP="00473381">
      <w:pPr>
        <w:snapToGrid w:val="0"/>
        <w:jc w:val="both"/>
        <w:rPr>
          <w:rFonts w:eastAsia="Arial Unicode MS" w:cstheme="minorHAnsi"/>
          <w:b/>
          <w:bCs/>
          <w:szCs w:val="24"/>
        </w:rPr>
      </w:pPr>
    </w:p>
    <w:p w14:paraId="40037E4E" w14:textId="77777777" w:rsidR="00C74E47" w:rsidRPr="00675182" w:rsidRDefault="00C74E47" w:rsidP="00C74E47">
      <w:pPr>
        <w:snapToGrid w:val="0"/>
        <w:jc w:val="both"/>
        <w:rPr>
          <w:rFonts w:eastAsia="Arial Unicode MS" w:cstheme="minorHAnsi"/>
          <w:b/>
          <w:bCs/>
          <w:szCs w:val="24"/>
        </w:rPr>
      </w:pPr>
      <w:r w:rsidRPr="00675182">
        <w:rPr>
          <w:rFonts w:eastAsia="Arial Unicode MS" w:cstheme="minorHAnsi"/>
          <w:b/>
          <w:bCs/>
          <w:szCs w:val="24"/>
        </w:rPr>
        <w:t>D.2.5</w:t>
      </w:r>
      <w:r w:rsidRPr="00675182">
        <w:rPr>
          <w:rFonts w:eastAsia="Arial Unicode MS" w:cstheme="minorHAnsi"/>
          <w:b/>
          <w:bCs/>
          <w:szCs w:val="24"/>
        </w:rPr>
        <w:tab/>
        <w:t>Takas posma virs Sietiņieža labiekārtošana, laivu piestātnes labiekārtošana</w:t>
      </w:r>
    </w:p>
    <w:p w14:paraId="61113BB8" w14:textId="77777777" w:rsidR="00C74E47" w:rsidRPr="00675182" w:rsidRDefault="00C74E47" w:rsidP="00C74E47">
      <w:pPr>
        <w:snapToGrid w:val="0"/>
        <w:jc w:val="both"/>
        <w:rPr>
          <w:rFonts w:eastAsia="Arial Unicode MS" w:cstheme="minorHAnsi"/>
          <w:szCs w:val="24"/>
        </w:rPr>
      </w:pPr>
      <w:r w:rsidRPr="00675182">
        <w:rPr>
          <w:rFonts w:eastAsia="Arial Unicode MS" w:cstheme="minorHAnsi"/>
          <w:szCs w:val="24"/>
        </w:rPr>
        <w:t>Tiek rekomendēta Sietiņieža takas augšējās daļas (virs klintīm) posma pilnveide, papildinot ar blietētu grunts materiālu vietā, kur lielā platībā atsedzas koku saknes. Noteikti būtu jāuzlabo sanitārās labierīcības. Nepieciešams labiekārtot laivu piestāšanas vietu pie Sietiņieža, uzstādot norādi un ierīkojot vietu laivu izvilkšanai vai piesiešanai.</w:t>
      </w:r>
    </w:p>
    <w:p w14:paraId="0D89E21F" w14:textId="77777777" w:rsidR="00473381" w:rsidRPr="00675182" w:rsidRDefault="00473381" w:rsidP="00473381">
      <w:pPr>
        <w:snapToGrid w:val="0"/>
        <w:jc w:val="both"/>
        <w:rPr>
          <w:rFonts w:eastAsia="Arial Unicode MS" w:cstheme="minorHAnsi"/>
          <w:b/>
          <w:bCs/>
          <w:szCs w:val="24"/>
          <w:highlight w:val="yellow"/>
        </w:rPr>
      </w:pPr>
    </w:p>
    <w:p w14:paraId="7DB48158" w14:textId="77777777" w:rsidR="00473381" w:rsidRPr="00675182" w:rsidRDefault="00473381" w:rsidP="00473381">
      <w:pPr>
        <w:snapToGrid w:val="0"/>
        <w:jc w:val="both"/>
        <w:rPr>
          <w:rFonts w:eastAsia="Arial Unicode MS" w:cstheme="minorHAnsi"/>
          <w:b/>
          <w:bCs/>
          <w:szCs w:val="24"/>
        </w:rPr>
      </w:pPr>
      <w:r w:rsidRPr="00675182">
        <w:rPr>
          <w:rFonts w:eastAsia="Arial Unicode MS" w:cstheme="minorHAnsi"/>
          <w:b/>
          <w:bCs/>
          <w:szCs w:val="24"/>
        </w:rPr>
        <w:t>D.2.6</w:t>
      </w:r>
      <w:r w:rsidRPr="00675182">
        <w:rPr>
          <w:rFonts w:eastAsia="Arial Unicode MS" w:cstheme="minorHAnsi"/>
          <w:b/>
          <w:bCs/>
          <w:szCs w:val="24"/>
        </w:rPr>
        <w:tab/>
        <w:t>Takas posma Līču-Laņģu klinšu takā labiekārtojums, mālu karjera posma pārvirzīšana, takas savienošana ar Lielo Ellīti</w:t>
      </w:r>
    </w:p>
    <w:p w14:paraId="0CDDD507" w14:textId="77777777"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t>Tiek rekomendēts:</w:t>
      </w:r>
    </w:p>
    <w:p w14:paraId="354218B4" w14:textId="77777777" w:rsidR="00473381" w:rsidRPr="00675182" w:rsidRDefault="00473381" w:rsidP="00A84218">
      <w:pPr>
        <w:pStyle w:val="ListParagraph"/>
        <w:numPr>
          <w:ilvl w:val="0"/>
          <w:numId w:val="70"/>
        </w:numPr>
        <w:snapToGrid w:val="0"/>
        <w:jc w:val="both"/>
        <w:rPr>
          <w:rFonts w:eastAsia="Arial Unicode MS" w:cstheme="minorHAnsi"/>
          <w:szCs w:val="24"/>
        </w:rPr>
      </w:pPr>
      <w:r w:rsidRPr="00675182">
        <w:rPr>
          <w:rFonts w:eastAsia="Arial Unicode MS" w:cstheme="minorHAnsi"/>
          <w:szCs w:val="24"/>
        </w:rPr>
        <w:t>pārvirzīt dabas taku no aktīvā karjera malas;</w:t>
      </w:r>
    </w:p>
    <w:p w14:paraId="43BA7CD8" w14:textId="7DE2C366" w:rsidR="00473381" w:rsidRPr="00675182" w:rsidRDefault="00473381" w:rsidP="00A84218">
      <w:pPr>
        <w:pStyle w:val="ListParagraph"/>
        <w:numPr>
          <w:ilvl w:val="0"/>
          <w:numId w:val="70"/>
        </w:numPr>
        <w:snapToGrid w:val="0"/>
        <w:jc w:val="both"/>
        <w:rPr>
          <w:rFonts w:eastAsia="Arial Unicode MS" w:cstheme="minorHAnsi"/>
          <w:szCs w:val="24"/>
        </w:rPr>
      </w:pPr>
      <w:r w:rsidRPr="00675182">
        <w:rPr>
          <w:rFonts w:eastAsia="Arial Unicode MS" w:cstheme="minorHAnsi"/>
          <w:szCs w:val="24"/>
        </w:rPr>
        <w:t>pilnveidot norādes zīmes, lai novērst</w:t>
      </w:r>
      <w:r w:rsidR="00516219" w:rsidRPr="00675182">
        <w:rPr>
          <w:rFonts w:eastAsia="Arial Unicode MS" w:cstheme="minorHAnsi"/>
          <w:szCs w:val="24"/>
        </w:rPr>
        <w:t>u</w:t>
      </w:r>
      <w:r w:rsidRPr="00675182">
        <w:rPr>
          <w:rFonts w:eastAsia="Arial Unicode MS" w:cstheme="minorHAnsi"/>
          <w:szCs w:val="24"/>
        </w:rPr>
        <w:t xml:space="preserve"> iekļūšanu </w:t>
      </w:r>
      <w:r w:rsidR="00516219" w:rsidRPr="00675182">
        <w:rPr>
          <w:rFonts w:eastAsia="Arial Unicode MS" w:cstheme="minorHAnsi"/>
          <w:szCs w:val="24"/>
        </w:rPr>
        <w:t>AS “</w:t>
      </w:r>
      <w:r w:rsidRPr="00675182">
        <w:rPr>
          <w:rFonts w:eastAsia="Arial Unicode MS" w:cstheme="minorHAnsi"/>
          <w:szCs w:val="24"/>
        </w:rPr>
        <w:t>Lode</w:t>
      </w:r>
      <w:r w:rsidR="00516219" w:rsidRPr="00675182">
        <w:rPr>
          <w:rFonts w:eastAsia="Arial Unicode MS" w:cstheme="minorHAnsi"/>
          <w:szCs w:val="24"/>
        </w:rPr>
        <w:t>”</w:t>
      </w:r>
      <w:r w:rsidRPr="00675182">
        <w:rPr>
          <w:rFonts w:eastAsia="Arial Unicode MS" w:cstheme="minorHAnsi"/>
          <w:szCs w:val="24"/>
        </w:rPr>
        <w:t xml:space="preserve"> rūpnīcas ražošanas zonā pie rūpnīcas notekūdeņu attīrīšanas ietaisēm;</w:t>
      </w:r>
    </w:p>
    <w:p w14:paraId="645440EF" w14:textId="77777777" w:rsidR="00473381" w:rsidRPr="00675182" w:rsidRDefault="00473381" w:rsidP="00A84218">
      <w:pPr>
        <w:pStyle w:val="ListParagraph"/>
        <w:numPr>
          <w:ilvl w:val="0"/>
          <w:numId w:val="70"/>
        </w:numPr>
        <w:snapToGrid w:val="0"/>
        <w:jc w:val="both"/>
        <w:rPr>
          <w:rFonts w:eastAsia="Arial Unicode MS" w:cstheme="minorHAnsi"/>
          <w:szCs w:val="24"/>
        </w:rPr>
      </w:pPr>
      <w:r w:rsidRPr="00675182">
        <w:rPr>
          <w:rFonts w:eastAsia="Arial Unicode MS" w:cstheme="minorHAnsi"/>
          <w:szCs w:val="24"/>
        </w:rPr>
        <w:t>labiekārtot stāvo nogāzes posmu ar kāpņu elementiem, vietā pirms upes šķērsošanas, kur takas platums ar degradētām koku saknēm izpleties vismaz 6 m platumā;</w:t>
      </w:r>
    </w:p>
    <w:p w14:paraId="0F4C0232" w14:textId="77777777" w:rsidR="00473381" w:rsidRPr="00675182" w:rsidRDefault="00473381" w:rsidP="00A84218">
      <w:pPr>
        <w:pStyle w:val="ListParagraph"/>
        <w:numPr>
          <w:ilvl w:val="0"/>
          <w:numId w:val="70"/>
        </w:numPr>
        <w:snapToGrid w:val="0"/>
        <w:jc w:val="both"/>
        <w:rPr>
          <w:rFonts w:eastAsia="Arial Unicode MS" w:cstheme="minorHAnsi"/>
          <w:szCs w:val="24"/>
        </w:rPr>
      </w:pPr>
      <w:r w:rsidRPr="00675182">
        <w:rPr>
          <w:rFonts w:eastAsia="Arial Unicode MS" w:cstheme="minorHAnsi"/>
          <w:szCs w:val="24"/>
        </w:rPr>
        <w:t>saudzīgi pārvirzīt infrastruktūru, ņemot vērā jutīgo zonu ar senajām klints rakstu zīmēm, kuras būtu saudzējamas un nebūtu eksponējamas;</w:t>
      </w:r>
    </w:p>
    <w:p w14:paraId="71FCE4D2" w14:textId="77777777" w:rsidR="00473381" w:rsidRPr="00675182" w:rsidRDefault="00473381" w:rsidP="00A84218">
      <w:pPr>
        <w:pStyle w:val="ListParagraph"/>
        <w:numPr>
          <w:ilvl w:val="0"/>
          <w:numId w:val="70"/>
        </w:numPr>
        <w:snapToGrid w:val="0"/>
        <w:jc w:val="both"/>
        <w:rPr>
          <w:rFonts w:eastAsia="Arial Unicode MS" w:cstheme="minorHAnsi"/>
          <w:szCs w:val="24"/>
        </w:rPr>
      </w:pPr>
      <w:r w:rsidRPr="00675182">
        <w:rPr>
          <w:rFonts w:eastAsia="Arial Unicode MS" w:cstheme="minorHAnsi"/>
          <w:szCs w:val="24"/>
        </w:rPr>
        <w:t xml:space="preserve">izveidot liela mēroga ekspozīciju Liepas ciemā, kura būtu veltīta Devona periodam un bruņuzivīm, ņemot vērā pasaules mēroga atklājumus un devumu kopējām zināšanām par dzīvības evolūciju šajā laika posmā. </w:t>
      </w:r>
    </w:p>
    <w:p w14:paraId="0DE33006" w14:textId="77777777"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t>Plānojot un veicot darbus atsegumu un avoksnāju biotopu apkārtnē, jānodrošina sugu un biotopu aizsardzības jomā sertificēta eksperta uzraudzība un rekomendāciju ievērošana.</w:t>
      </w:r>
    </w:p>
    <w:p w14:paraId="5FB600AA" w14:textId="77777777" w:rsidR="00473381" w:rsidRPr="00675182" w:rsidRDefault="00473381" w:rsidP="00473381">
      <w:pPr>
        <w:snapToGrid w:val="0"/>
        <w:jc w:val="both"/>
        <w:rPr>
          <w:rFonts w:eastAsia="Arial Unicode MS" w:cstheme="minorHAnsi"/>
          <w:szCs w:val="24"/>
        </w:rPr>
      </w:pPr>
    </w:p>
    <w:p w14:paraId="64445338" w14:textId="77777777"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t>Lai pilnveidotu teritorijas tūrisma piedāvājumu, tiek rekomendēts savienot Līču-Laņģu klintis ar Lielo Ellīti, kas ļautu piesaistīt apmeklētājus Liepas ciema pakalpojumu sniedzējiem. Būtu ieteicams izvietot norādes un marķējumu uz Lielo Ellīti no Līču-Laņģu takas stāvvietas. Precīzi infrastruktūras risinājumi būtu jāsaskaņo ar zemes tiesiskajiem valdītājiem.</w:t>
      </w:r>
    </w:p>
    <w:p w14:paraId="2C3986E7" w14:textId="77777777" w:rsidR="00473381" w:rsidRPr="00675182" w:rsidRDefault="00473381" w:rsidP="00473381">
      <w:pPr>
        <w:snapToGrid w:val="0"/>
        <w:jc w:val="both"/>
        <w:rPr>
          <w:rFonts w:eastAsia="Arial Unicode MS" w:cstheme="minorHAnsi"/>
          <w:szCs w:val="24"/>
        </w:rPr>
      </w:pPr>
    </w:p>
    <w:p w14:paraId="35F9138D" w14:textId="77777777" w:rsidR="00473381" w:rsidRPr="00675182" w:rsidRDefault="00473381" w:rsidP="00473381">
      <w:pPr>
        <w:snapToGrid w:val="0"/>
        <w:jc w:val="both"/>
        <w:rPr>
          <w:rFonts w:eastAsia="Arial Unicode MS" w:cstheme="minorHAnsi"/>
          <w:szCs w:val="24"/>
        </w:rPr>
      </w:pPr>
      <w:r w:rsidRPr="00675182">
        <w:rPr>
          <w:rFonts w:eastAsia="Arial Unicode MS" w:cstheme="minorHAnsi"/>
          <w:szCs w:val="24"/>
        </w:rPr>
        <w:t>Piedāvātais pasākums ļautu pārvirzīt</w:t>
      </w:r>
      <w:r w:rsidRPr="00675182">
        <w:t xml:space="preserve"> </w:t>
      </w:r>
      <w:r w:rsidRPr="00675182">
        <w:rPr>
          <w:rFonts w:eastAsia="Arial Unicode MS" w:cstheme="minorHAnsi"/>
          <w:szCs w:val="24"/>
        </w:rPr>
        <w:t>Līču-Laņģu takas daļu 490 m garumā tālāk no izstrādātās mālu karjera nogāzes; tiktu ierīkots labiekārtojums stāvākajās un dubļainākajās nogāzēs līdz klintīm un taka tiktu savienota ar Lielo Ellīti.</w:t>
      </w:r>
    </w:p>
    <w:p w14:paraId="35AAA959" w14:textId="77777777" w:rsidR="005170A8" w:rsidRPr="00675182" w:rsidRDefault="005170A8" w:rsidP="005170A8">
      <w:pPr>
        <w:snapToGrid w:val="0"/>
        <w:jc w:val="both"/>
        <w:rPr>
          <w:rFonts w:eastAsia="Arial Unicode MS" w:cstheme="minorHAnsi"/>
          <w:b/>
          <w:bCs/>
          <w:szCs w:val="24"/>
          <w:highlight w:val="yellow"/>
        </w:rPr>
      </w:pPr>
    </w:p>
    <w:p w14:paraId="21C77194" w14:textId="4394A66F" w:rsidR="00F437CC" w:rsidRPr="00675182" w:rsidRDefault="00F437CC" w:rsidP="00F437CC">
      <w:pPr>
        <w:snapToGrid w:val="0"/>
        <w:jc w:val="both"/>
        <w:rPr>
          <w:rFonts w:eastAsia="Arial Unicode MS" w:cstheme="minorHAnsi"/>
          <w:b/>
          <w:bCs/>
          <w:szCs w:val="24"/>
        </w:rPr>
      </w:pPr>
      <w:r w:rsidRPr="00675182">
        <w:rPr>
          <w:rFonts w:eastAsia="Arial Unicode MS" w:cstheme="minorHAnsi"/>
          <w:b/>
          <w:bCs/>
          <w:szCs w:val="24"/>
        </w:rPr>
        <w:t>D.2.7.</w:t>
      </w:r>
      <w:r w:rsidRPr="00675182">
        <w:rPr>
          <w:rFonts w:eastAsia="Arial Unicode MS" w:cstheme="minorHAnsi"/>
          <w:b/>
          <w:bCs/>
          <w:szCs w:val="24"/>
        </w:rPr>
        <w:tab/>
        <w:t>Amatas takas infrastruktūras un apsaimniekošanas līgumu pārskatīšana, takas labiekārtošana Ainavu kraujā</w:t>
      </w:r>
    </w:p>
    <w:p w14:paraId="7B5D0025" w14:textId="5CDF0157" w:rsidR="00F437CC" w:rsidRPr="00675182" w:rsidRDefault="00F437CC" w:rsidP="00F437CC">
      <w:pPr>
        <w:snapToGrid w:val="0"/>
        <w:jc w:val="both"/>
        <w:rPr>
          <w:rFonts w:eastAsia="Arial Unicode MS" w:cstheme="minorHAnsi"/>
          <w:szCs w:val="24"/>
        </w:rPr>
      </w:pPr>
      <w:r w:rsidRPr="00675182">
        <w:rPr>
          <w:rFonts w:eastAsia="Arial Unicode MS" w:cstheme="minorHAnsi"/>
          <w:szCs w:val="24"/>
        </w:rPr>
        <w:t xml:space="preserve">Nepieciešams veikt atjaunojošos darbus Amatas takā izveidotajai infrastruktūrai, tai skaitā pārskatot līgumus par infrastruktūras un takas uzturēšanu ar privātīpašniekiem. Īpaši aktuāla uzlabošana ir intensīvi lietotajā Ainavu kraujas augšas posmā, kur ir plašā zonā degradēta zemsedze, atsedzas koku saknes. Tiek rekomendēta dabas takas papildināšana ar blietētu grunts materiālu, būtu jāpilnveido un jāuzlabo stāvās kraujas posma takas un kāpnes. Tiek rekomendēts izveidot takas sānu atzarojumu uz skatu laukumu vai norobežot senās takas paliekas. Būtu jāveic atpūtas vietas labiekārtošana. Būtu </w:t>
      </w:r>
      <w:r w:rsidR="00362563" w:rsidRPr="00675182">
        <w:rPr>
          <w:rFonts w:eastAsia="Arial Unicode MS" w:cstheme="minorHAnsi"/>
          <w:szCs w:val="24"/>
        </w:rPr>
        <w:t>iet</w:t>
      </w:r>
      <w:r w:rsidR="00362563">
        <w:rPr>
          <w:rFonts w:eastAsia="Arial Unicode MS" w:cstheme="minorHAnsi"/>
          <w:szCs w:val="24"/>
        </w:rPr>
        <w:t>ei</w:t>
      </w:r>
      <w:r w:rsidR="00362563" w:rsidRPr="00675182">
        <w:rPr>
          <w:rFonts w:eastAsia="Arial Unicode MS" w:cstheme="minorHAnsi"/>
          <w:szCs w:val="24"/>
        </w:rPr>
        <w:t xml:space="preserve">cama </w:t>
      </w:r>
      <w:r w:rsidRPr="00675182">
        <w:rPr>
          <w:rFonts w:eastAsia="Arial Unicode MS" w:cstheme="minorHAnsi"/>
          <w:szCs w:val="24"/>
        </w:rPr>
        <w:t xml:space="preserve">neliela stāvlaukuma labiekārtošana pie dabas takas sākuma Kārļu zivjaudzētavas ceļa malā. </w:t>
      </w:r>
    </w:p>
    <w:p w14:paraId="39DB9349" w14:textId="77777777" w:rsidR="00F437CC" w:rsidRPr="00675182" w:rsidRDefault="00F437CC" w:rsidP="00F437CC">
      <w:pPr>
        <w:snapToGrid w:val="0"/>
        <w:jc w:val="both"/>
        <w:rPr>
          <w:rFonts w:eastAsia="Arial Unicode MS" w:cstheme="minorHAnsi"/>
          <w:szCs w:val="24"/>
        </w:rPr>
      </w:pPr>
    </w:p>
    <w:p w14:paraId="7B754EF7" w14:textId="38377DCB" w:rsidR="005170A8" w:rsidRPr="00675182" w:rsidRDefault="00F437CC" w:rsidP="005170A8">
      <w:pPr>
        <w:snapToGrid w:val="0"/>
        <w:jc w:val="both"/>
        <w:rPr>
          <w:rFonts w:eastAsia="Arial Unicode MS" w:cstheme="minorHAnsi"/>
          <w:szCs w:val="24"/>
        </w:rPr>
      </w:pPr>
      <w:r w:rsidRPr="00675182">
        <w:rPr>
          <w:rFonts w:eastAsia="Arial Unicode MS" w:cstheme="minorHAnsi"/>
          <w:szCs w:val="24"/>
        </w:rPr>
        <w:t>Kopējais takas posms, kurš tiktu būtiski atjaunots, ir ~315m, pārējie atjaunošanas darbi identificējami ikdienas uzturēšanas ietvaros.</w:t>
      </w:r>
    </w:p>
    <w:p w14:paraId="43E1AC1D" w14:textId="77777777" w:rsidR="00F437CC" w:rsidRPr="00675182" w:rsidRDefault="00F437CC" w:rsidP="005170A8">
      <w:pPr>
        <w:snapToGrid w:val="0"/>
        <w:jc w:val="both"/>
        <w:rPr>
          <w:rFonts w:eastAsia="Arial Unicode MS" w:cstheme="minorHAnsi"/>
          <w:b/>
          <w:bCs/>
          <w:szCs w:val="24"/>
          <w:highlight w:val="yellow"/>
        </w:rPr>
      </w:pPr>
    </w:p>
    <w:p w14:paraId="5E63591B" w14:textId="24D8D4B4" w:rsidR="005170A8" w:rsidRPr="00675182" w:rsidRDefault="005170A8" w:rsidP="005170A8">
      <w:pPr>
        <w:snapToGrid w:val="0"/>
        <w:jc w:val="both"/>
        <w:rPr>
          <w:rFonts w:eastAsia="Arial Unicode MS" w:cstheme="minorHAnsi"/>
          <w:b/>
          <w:bCs/>
          <w:szCs w:val="24"/>
        </w:rPr>
      </w:pPr>
      <w:r w:rsidRPr="00675182">
        <w:rPr>
          <w:rFonts w:eastAsia="Arial Unicode MS" w:cstheme="minorHAnsi"/>
          <w:b/>
          <w:bCs/>
          <w:szCs w:val="24"/>
        </w:rPr>
        <w:t>D.2.8</w:t>
      </w:r>
      <w:r w:rsidR="00F437CC" w:rsidRPr="00675182">
        <w:rPr>
          <w:rFonts w:eastAsia="Arial Unicode MS" w:cstheme="minorHAnsi"/>
          <w:b/>
          <w:bCs/>
          <w:szCs w:val="24"/>
        </w:rPr>
        <w:t>.</w:t>
      </w:r>
      <w:r w:rsidRPr="00675182">
        <w:rPr>
          <w:rFonts w:eastAsia="Arial Unicode MS" w:cstheme="minorHAnsi"/>
          <w:b/>
          <w:bCs/>
          <w:szCs w:val="24"/>
        </w:rPr>
        <w:tab/>
        <w:t>Antropogēnās slodzes samazināšana pie Vējupītes ūdenskritumiem un Vējupītes gravas (sezonāli plaši apmeklēta taka)</w:t>
      </w:r>
    </w:p>
    <w:p w14:paraId="52860FBA" w14:textId="4F4B49AE" w:rsidR="005170A8" w:rsidRPr="00675182" w:rsidRDefault="00F437CC" w:rsidP="005170A8">
      <w:pPr>
        <w:snapToGrid w:val="0"/>
        <w:jc w:val="both"/>
        <w:rPr>
          <w:rFonts w:eastAsia="Arial Unicode MS" w:cstheme="minorHAnsi"/>
          <w:szCs w:val="24"/>
        </w:rPr>
      </w:pPr>
      <w:r w:rsidRPr="00675182">
        <w:rPr>
          <w:rFonts w:eastAsia="Arial Unicode MS" w:cstheme="minorHAnsi"/>
          <w:szCs w:val="24"/>
        </w:rPr>
        <w:t>Vējupītes gravas daļa, kur atrodas ūdenskritumi, neietilpst GNP teritorijā, jo tā beidzas līdz ar Nurmižu ceļu, taču tai ir kopīga tūristu plūsma ar GNP. Taka būtu jāpilnveido starp televīzijas torni un Daudas ielu (GNP teritorijā), kur izveidojies stihisks gravas šķērsojums; jānodrošina, ka tūristu un vietējo iedzīvotāju pārvietošanās notiek pa labiekārtotu taku, vienlaikus ierobežojot piekļuvi pie ūdenskritumiem un stihiskas takas pašā gravā.</w:t>
      </w:r>
    </w:p>
    <w:p w14:paraId="1656755A" w14:textId="77777777" w:rsidR="00F437CC" w:rsidRPr="00675182" w:rsidRDefault="00F437CC" w:rsidP="005170A8">
      <w:pPr>
        <w:snapToGrid w:val="0"/>
        <w:jc w:val="both"/>
        <w:rPr>
          <w:rFonts w:eastAsia="Arial Unicode MS" w:cstheme="minorHAnsi"/>
          <w:b/>
          <w:bCs/>
          <w:szCs w:val="24"/>
          <w:highlight w:val="yellow"/>
        </w:rPr>
      </w:pPr>
    </w:p>
    <w:p w14:paraId="7C164309" w14:textId="0DE0A8B5" w:rsidR="005170A8" w:rsidRPr="00675182" w:rsidRDefault="005170A8" w:rsidP="005170A8">
      <w:pPr>
        <w:snapToGrid w:val="0"/>
        <w:jc w:val="both"/>
        <w:rPr>
          <w:rFonts w:eastAsia="Arial Unicode MS" w:cstheme="minorHAnsi"/>
          <w:b/>
          <w:bCs/>
          <w:szCs w:val="24"/>
        </w:rPr>
      </w:pPr>
      <w:r w:rsidRPr="00675182">
        <w:rPr>
          <w:rFonts w:eastAsia="Arial Unicode MS" w:cstheme="minorHAnsi"/>
          <w:b/>
          <w:bCs/>
          <w:szCs w:val="24"/>
        </w:rPr>
        <w:t>D.2.9</w:t>
      </w:r>
      <w:r w:rsidR="00F437CC" w:rsidRPr="00675182">
        <w:rPr>
          <w:rFonts w:eastAsia="Arial Unicode MS" w:cstheme="minorHAnsi"/>
          <w:b/>
          <w:bCs/>
          <w:szCs w:val="24"/>
        </w:rPr>
        <w:t>.</w:t>
      </w:r>
      <w:r w:rsidRPr="00675182">
        <w:rPr>
          <w:rFonts w:eastAsia="Arial Unicode MS" w:cstheme="minorHAnsi"/>
          <w:b/>
          <w:bCs/>
          <w:szCs w:val="24"/>
        </w:rPr>
        <w:tab/>
        <w:t>Antropogēnās slodzes samazināšana pie Daudas ūdenskrituma</w:t>
      </w:r>
    </w:p>
    <w:p w14:paraId="3332454E" w14:textId="77777777" w:rsidR="00516219" w:rsidRPr="00675182" w:rsidRDefault="00516219" w:rsidP="00516219">
      <w:pPr>
        <w:jc w:val="both"/>
        <w:rPr>
          <w:rFonts w:cstheme="minorHAnsi"/>
        </w:rPr>
      </w:pPr>
      <w:r w:rsidRPr="00675182">
        <w:rPr>
          <w:rFonts w:eastAsia="Arial Unicode MS" w:cstheme="minorHAnsi"/>
          <w:szCs w:val="24"/>
        </w:rPr>
        <w:t>Tiek rekomendēts pilnveidot atpūtas vietas un uzlabot nokļūšanu pa nogāzi līdz ūdenskrituma pakājei, kas ļautu samazināt antropogēno slodzi. Ir rekomendējama neliela skatu laukuma labiekārtošana un norobežojuma izveide tālākai iekļūšanai gravā. SRZ Nurmižu ceļa malā ir jāizveido oficiāli veidota ceļa paplašinājums – kabata trīs automašīnām. Precīzi infrastruktūras risinājumi būtu jāsaskaņo ar zemes tiesiskajiem valdītājiem.</w:t>
      </w:r>
    </w:p>
    <w:p w14:paraId="2A99A07F" w14:textId="77777777" w:rsidR="00516219" w:rsidRPr="00675182" w:rsidRDefault="00516219" w:rsidP="00516219">
      <w:pPr>
        <w:snapToGrid w:val="0"/>
        <w:jc w:val="both"/>
        <w:rPr>
          <w:rFonts w:eastAsia="Arial Unicode MS" w:cstheme="minorHAnsi"/>
          <w:szCs w:val="24"/>
        </w:rPr>
      </w:pPr>
    </w:p>
    <w:p w14:paraId="62AEF5D6" w14:textId="77777777" w:rsidR="00516219" w:rsidRPr="00675182" w:rsidRDefault="00516219" w:rsidP="00516219">
      <w:pPr>
        <w:snapToGrid w:val="0"/>
        <w:jc w:val="both"/>
        <w:rPr>
          <w:rFonts w:eastAsia="Arial Unicode MS" w:cstheme="minorHAnsi"/>
          <w:b/>
          <w:bCs/>
          <w:szCs w:val="24"/>
        </w:rPr>
      </w:pPr>
      <w:r w:rsidRPr="00675182">
        <w:rPr>
          <w:rFonts w:eastAsia="Arial Unicode MS" w:cstheme="minorHAnsi"/>
          <w:szCs w:val="24"/>
        </w:rPr>
        <w:t>Pasākuma realizācija ļaus labiekārtot teritoriju 0,45 ha platībā, nodrošinot pieeju līdz ūdenskritumam. Tiks izbūvēta droša kabatas veida autostāvvieta V83 ceļa malā.</w:t>
      </w:r>
    </w:p>
    <w:p w14:paraId="686EDB4B" w14:textId="77777777" w:rsidR="005170A8" w:rsidRPr="00675182" w:rsidRDefault="005170A8" w:rsidP="005170A8">
      <w:pPr>
        <w:snapToGrid w:val="0"/>
        <w:jc w:val="both"/>
        <w:rPr>
          <w:rFonts w:eastAsia="Arial Unicode MS" w:cstheme="minorHAnsi"/>
          <w:b/>
          <w:bCs/>
          <w:szCs w:val="24"/>
        </w:rPr>
      </w:pPr>
    </w:p>
    <w:p w14:paraId="7FDFBEF5" w14:textId="4A8E96FF" w:rsidR="005170A8" w:rsidRPr="00675182" w:rsidRDefault="005170A8" w:rsidP="005170A8">
      <w:pPr>
        <w:snapToGrid w:val="0"/>
        <w:jc w:val="both"/>
        <w:rPr>
          <w:rFonts w:eastAsia="Arial Unicode MS" w:cstheme="minorHAnsi"/>
          <w:b/>
          <w:bCs/>
          <w:szCs w:val="24"/>
        </w:rPr>
      </w:pPr>
      <w:r w:rsidRPr="00675182">
        <w:rPr>
          <w:rFonts w:eastAsia="Arial Unicode MS" w:cstheme="minorHAnsi"/>
          <w:b/>
          <w:bCs/>
          <w:szCs w:val="24"/>
        </w:rPr>
        <w:t>D.2.10</w:t>
      </w:r>
      <w:r w:rsidR="00F437CC" w:rsidRPr="00675182">
        <w:rPr>
          <w:rFonts w:eastAsia="Arial Unicode MS" w:cstheme="minorHAnsi"/>
          <w:b/>
          <w:bCs/>
          <w:szCs w:val="24"/>
        </w:rPr>
        <w:t>.</w:t>
      </w:r>
      <w:r w:rsidRPr="00675182">
        <w:rPr>
          <w:rFonts w:eastAsia="Arial Unicode MS" w:cstheme="minorHAnsi"/>
          <w:b/>
          <w:bCs/>
          <w:szCs w:val="24"/>
        </w:rPr>
        <w:tab/>
        <w:t>Antropogēnās slodzes samazināšana pie Mazās Ellītes</w:t>
      </w:r>
    </w:p>
    <w:p w14:paraId="3211872F" w14:textId="1CB81CCD" w:rsidR="00516219" w:rsidRPr="00675182" w:rsidRDefault="000840EA" w:rsidP="00516219">
      <w:pPr>
        <w:snapToGrid w:val="0"/>
        <w:jc w:val="both"/>
        <w:rPr>
          <w:rFonts w:eastAsia="Arial Unicode MS" w:cstheme="minorHAnsi"/>
          <w:szCs w:val="24"/>
        </w:rPr>
      </w:pPr>
      <w:r>
        <w:rPr>
          <w:rFonts w:eastAsia="Arial Unicode MS" w:cstheme="minorHAnsi"/>
          <w:szCs w:val="24"/>
        </w:rPr>
        <w:t>V</w:t>
      </w:r>
      <w:r w:rsidRPr="00675182">
        <w:rPr>
          <w:rFonts w:eastAsia="Arial Unicode MS" w:cstheme="minorHAnsi"/>
          <w:szCs w:val="24"/>
        </w:rPr>
        <w:t>ietā</w:t>
      </w:r>
      <w:r w:rsidR="00516219" w:rsidRPr="00675182">
        <w:rPr>
          <w:rFonts w:eastAsia="Arial Unicode MS" w:cstheme="minorHAnsi"/>
          <w:szCs w:val="24"/>
        </w:rPr>
        <w:t>, kur no Mazās Ellītes alas iztek avots un tiek ņemts dzeramais ūdens</w:t>
      </w:r>
      <w:r>
        <w:rPr>
          <w:rFonts w:eastAsia="Arial Unicode MS" w:cstheme="minorHAnsi"/>
          <w:szCs w:val="24"/>
        </w:rPr>
        <w:t>, n</w:t>
      </w:r>
      <w:r w:rsidR="00516219" w:rsidRPr="00675182">
        <w:rPr>
          <w:rFonts w:eastAsia="Arial Unicode MS" w:cstheme="minorHAnsi"/>
          <w:szCs w:val="24"/>
        </w:rPr>
        <w:t>oteikti būtu jāatjauno informatīvās norādes un jāizveido savienojums ar Liepas muižas parku. Projekta izstrādes gaitā un īstenošanā jāpieaicina sugu un biotopu aizsardzības jomā sertificēti eksperti (atsegumu biotopu un sikspārņu). Precīzi infrastruktūras risinājumi būtu jāsaskaņo ar zemes tiesiskajiem valdītājiem.</w:t>
      </w:r>
    </w:p>
    <w:p w14:paraId="657BDB62" w14:textId="77777777" w:rsidR="00516219" w:rsidRPr="00675182" w:rsidRDefault="00516219" w:rsidP="00516219">
      <w:pPr>
        <w:snapToGrid w:val="0"/>
        <w:jc w:val="both"/>
        <w:rPr>
          <w:rFonts w:eastAsia="Arial Unicode MS" w:cstheme="minorHAnsi"/>
          <w:szCs w:val="24"/>
        </w:rPr>
      </w:pPr>
    </w:p>
    <w:p w14:paraId="5B9C191D" w14:textId="77777777" w:rsidR="00516219" w:rsidRPr="00675182" w:rsidRDefault="00516219" w:rsidP="00516219">
      <w:pPr>
        <w:snapToGrid w:val="0"/>
        <w:jc w:val="both"/>
        <w:rPr>
          <w:rFonts w:eastAsia="Arial Unicode MS" w:cstheme="minorHAnsi"/>
          <w:szCs w:val="24"/>
        </w:rPr>
      </w:pPr>
      <w:r w:rsidRPr="00675182">
        <w:rPr>
          <w:rFonts w:eastAsia="Arial Unicode MS" w:cstheme="minorHAnsi"/>
          <w:szCs w:val="24"/>
        </w:rPr>
        <w:lastRenderedPageBreak/>
        <w:t>Pasākuma realizācijas rezultātā tiktu labiekārtota teritorija 1,4 ha platībā. Tiktu marķēta un uzturēta taka starp stāvvietu un Mazo Ellīti, tiktu izveidots savienojums ar Liepasmuižu ~0,5 km garumā.</w:t>
      </w:r>
    </w:p>
    <w:p w14:paraId="35C78600" w14:textId="77777777" w:rsidR="005170A8" w:rsidRPr="00675182" w:rsidRDefault="005170A8" w:rsidP="005170A8">
      <w:pPr>
        <w:snapToGrid w:val="0"/>
        <w:jc w:val="both"/>
        <w:rPr>
          <w:rFonts w:eastAsia="Arial Unicode MS" w:cstheme="minorHAnsi"/>
          <w:b/>
          <w:bCs/>
          <w:szCs w:val="24"/>
        </w:rPr>
      </w:pPr>
    </w:p>
    <w:p w14:paraId="426C6D17" w14:textId="5B43A22E" w:rsidR="005170A8" w:rsidRPr="00675182" w:rsidRDefault="005170A8" w:rsidP="005170A8">
      <w:pPr>
        <w:snapToGrid w:val="0"/>
        <w:jc w:val="both"/>
        <w:rPr>
          <w:rFonts w:eastAsia="Arial Unicode MS" w:cstheme="minorHAnsi"/>
          <w:b/>
          <w:bCs/>
          <w:szCs w:val="24"/>
        </w:rPr>
      </w:pPr>
      <w:r w:rsidRPr="00675182">
        <w:rPr>
          <w:rFonts w:eastAsia="Arial Unicode MS" w:cstheme="minorHAnsi"/>
          <w:b/>
          <w:bCs/>
          <w:szCs w:val="24"/>
        </w:rPr>
        <w:t>D.2.11</w:t>
      </w:r>
      <w:r w:rsidR="00F437CC" w:rsidRPr="00675182">
        <w:rPr>
          <w:rFonts w:eastAsia="Arial Unicode MS" w:cstheme="minorHAnsi"/>
          <w:b/>
          <w:bCs/>
          <w:szCs w:val="24"/>
        </w:rPr>
        <w:t>.</w:t>
      </w:r>
      <w:r w:rsidRPr="00675182">
        <w:rPr>
          <w:rFonts w:eastAsia="Arial Unicode MS" w:cstheme="minorHAnsi"/>
          <w:b/>
          <w:bCs/>
          <w:szCs w:val="24"/>
        </w:rPr>
        <w:tab/>
        <w:t>Infrastruktūras pilnveide ūdenstūristu apmetņu tīklojumā (piekļuves, laivu ielaišanas un izvilkšanas vietas, atpūtas vietas) pie Gaujas un tās pietekām, kas piemērotas (tiek izmantotas) ūdenstūrismam (sk. plūsmu plānu)</w:t>
      </w:r>
    </w:p>
    <w:p w14:paraId="61C9AC6C" w14:textId="77777777" w:rsidR="00516219" w:rsidRPr="00675182" w:rsidRDefault="00516219" w:rsidP="00516219">
      <w:pPr>
        <w:snapToGrid w:val="0"/>
        <w:jc w:val="both"/>
        <w:rPr>
          <w:rFonts w:eastAsia="Arial Unicode MS" w:cstheme="minorHAnsi"/>
          <w:szCs w:val="24"/>
        </w:rPr>
      </w:pPr>
      <w:r w:rsidRPr="00675182">
        <w:rPr>
          <w:rFonts w:eastAsia="Arial Unicode MS" w:cstheme="minorHAnsi"/>
          <w:szCs w:val="24"/>
        </w:rPr>
        <w:t>Ir vajadzība nokartēt loģistikas punktus un veikt piekļuves vietu labiekārtošanu (laivu ielaišana ūdenī, laivu izvilkšana, ķēžu/virvju kāpnes vieglākai izkāpšanai no upes, nedegradējot krastu, apgriešanās laukums, ja vietai ir piekļuve ar automašīnu u.tml.) ar atbilstoši piekļuves iespējām galvenajām ūdenstūrisma upēm un jau izveidotajam atpūtas vietu tīklojumam. Tiek rekomendēta laivu nolaišanas un izvilkšanas infrastruktūras (sezonāla, mobila) pilnveide krastu degradācijas mazināšanai. Ir jāpilnveido piekļuves vietu noteikumi, t.sk. vienojoties ar privāto kempingu un atpūtas vietu īpašniekiem un laivu operatoriem.</w:t>
      </w:r>
    </w:p>
    <w:p w14:paraId="10E897E2" w14:textId="77777777" w:rsidR="00516219" w:rsidRPr="00675182" w:rsidRDefault="00516219" w:rsidP="00516219">
      <w:pPr>
        <w:snapToGrid w:val="0"/>
        <w:jc w:val="both"/>
        <w:rPr>
          <w:rFonts w:eastAsia="Arial Unicode MS" w:cstheme="minorHAnsi"/>
          <w:szCs w:val="24"/>
        </w:rPr>
      </w:pPr>
    </w:p>
    <w:p w14:paraId="46177B1D" w14:textId="77777777" w:rsidR="00516219" w:rsidRPr="00675182" w:rsidRDefault="00516219" w:rsidP="00516219">
      <w:pPr>
        <w:snapToGrid w:val="0"/>
        <w:jc w:val="both"/>
        <w:rPr>
          <w:rFonts w:eastAsia="Arial Unicode MS" w:cstheme="minorHAnsi"/>
          <w:szCs w:val="24"/>
        </w:rPr>
      </w:pPr>
      <w:r w:rsidRPr="00675182">
        <w:rPr>
          <w:rFonts w:eastAsia="Arial Unicode MS" w:cstheme="minorHAnsi"/>
          <w:szCs w:val="24"/>
        </w:rPr>
        <w:t>Izvērtējot esošo ūdenstūristu apmetņu un piekļuves vietu tīklu, ir noteiktas šo vietu kategorijas un prioritātes piekļuvei (skat. 3.22. attēlu):</w:t>
      </w:r>
    </w:p>
    <w:p w14:paraId="0DDAE25A" w14:textId="77777777" w:rsidR="00516219" w:rsidRPr="00675182" w:rsidRDefault="00516219" w:rsidP="00516219">
      <w:pPr>
        <w:snapToGrid w:val="0"/>
        <w:ind w:left="1560" w:hanging="1560"/>
        <w:jc w:val="both"/>
        <w:rPr>
          <w:rFonts w:eastAsia="Arial Unicode MS" w:cstheme="minorHAnsi"/>
          <w:szCs w:val="24"/>
        </w:rPr>
      </w:pPr>
      <w:r w:rsidRPr="00675182">
        <w:rPr>
          <w:rFonts w:eastAsia="Arial Unicode MS" w:cstheme="minorHAnsi"/>
          <w:szCs w:val="24"/>
        </w:rPr>
        <w:t>A kategorija – tūrisma operatoru uzturēti kempingi, kur tiek nodrošināta gan laivu pievešana, gan naktsmītnes un pieejami citi pakalpojumi;</w:t>
      </w:r>
    </w:p>
    <w:p w14:paraId="212A4FDE" w14:textId="77777777" w:rsidR="00516219" w:rsidRPr="00675182" w:rsidRDefault="00516219" w:rsidP="00516219">
      <w:pPr>
        <w:snapToGrid w:val="0"/>
        <w:ind w:left="1560" w:hanging="1560"/>
        <w:jc w:val="both"/>
        <w:rPr>
          <w:rFonts w:eastAsia="Arial Unicode MS" w:cstheme="minorHAnsi"/>
          <w:szCs w:val="24"/>
        </w:rPr>
      </w:pPr>
      <w:r w:rsidRPr="00675182">
        <w:rPr>
          <w:rFonts w:eastAsia="Arial Unicode MS" w:cstheme="minorHAnsi"/>
          <w:szCs w:val="24"/>
        </w:rPr>
        <w:t>B kategorija – apmetnes vietas, kur iespējams piebraukt ar automašīnu un pievest laivas;</w:t>
      </w:r>
    </w:p>
    <w:p w14:paraId="6F46C1D3" w14:textId="5563E791" w:rsidR="00516219" w:rsidRPr="00675182" w:rsidRDefault="00516219" w:rsidP="00516219">
      <w:pPr>
        <w:snapToGrid w:val="0"/>
        <w:ind w:left="1560" w:hanging="1560"/>
        <w:jc w:val="both"/>
        <w:rPr>
          <w:rFonts w:eastAsia="Arial Unicode MS" w:cstheme="minorHAnsi"/>
          <w:szCs w:val="24"/>
        </w:rPr>
      </w:pPr>
      <w:r w:rsidRPr="00675182">
        <w:rPr>
          <w:rFonts w:eastAsia="Arial Unicode MS" w:cstheme="minorHAnsi"/>
          <w:szCs w:val="24"/>
        </w:rPr>
        <w:t>C kategorija – apmetnes vietas, kuras pieejamas tikai no ūdens vai kājāmgājējiem / velobraucējiem un pa ierobežotas pieejamības ceļiem, ko izmanto apsaimniekošanai;</w:t>
      </w:r>
    </w:p>
    <w:p w14:paraId="0886B51D" w14:textId="77777777" w:rsidR="00516219" w:rsidRPr="00675182" w:rsidRDefault="00516219" w:rsidP="00516219">
      <w:pPr>
        <w:snapToGrid w:val="0"/>
        <w:ind w:left="1560" w:hanging="1560"/>
        <w:jc w:val="both"/>
        <w:rPr>
          <w:rFonts w:eastAsia="Arial Unicode MS" w:cstheme="minorHAnsi"/>
          <w:szCs w:val="24"/>
        </w:rPr>
      </w:pPr>
      <w:r w:rsidRPr="00675182">
        <w:rPr>
          <w:rFonts w:eastAsia="Arial Unicode MS" w:cstheme="minorHAnsi"/>
          <w:szCs w:val="24"/>
        </w:rPr>
        <w:t>D kategorija – ar automašīnu piebraucami laivu ielaišanas/izcelšanas punkti bez papildus infrastruktūras (atpūtas vai apmetņu vietām) un pakalpojumiem;</w:t>
      </w:r>
    </w:p>
    <w:p w14:paraId="05F7971C" w14:textId="427CFEB0" w:rsidR="00DF2F9D" w:rsidRPr="00675182" w:rsidRDefault="00DF2F9D" w:rsidP="00516219">
      <w:pPr>
        <w:snapToGrid w:val="0"/>
        <w:ind w:left="1418" w:hanging="1418"/>
        <w:jc w:val="both"/>
        <w:rPr>
          <w:rFonts w:eastAsia="Arial Unicode MS" w:cstheme="minorHAnsi"/>
          <w:szCs w:val="24"/>
        </w:rPr>
      </w:pPr>
      <w:r w:rsidRPr="00675182">
        <w:rPr>
          <w:rFonts w:eastAsia="Arial Unicode MS" w:cstheme="minorHAnsi"/>
          <w:szCs w:val="24"/>
        </w:rPr>
        <w:t>E kategorija – apskates objekti ar stihiski izveidojušos vai nelegāli izveidotu infrastruktūru, kuras pamata auditorija nav ūdenstūristi</w:t>
      </w:r>
    </w:p>
    <w:p w14:paraId="32DEDDF2" w14:textId="02AEC63C" w:rsidR="00516219" w:rsidRPr="00675182" w:rsidRDefault="00DF2F9D" w:rsidP="00516219">
      <w:pPr>
        <w:snapToGrid w:val="0"/>
        <w:ind w:left="1418" w:hanging="1418"/>
        <w:jc w:val="both"/>
        <w:rPr>
          <w:rFonts w:eastAsia="Arial Unicode MS" w:cstheme="minorHAnsi"/>
          <w:szCs w:val="24"/>
        </w:rPr>
      </w:pPr>
      <w:r w:rsidRPr="00675182">
        <w:rPr>
          <w:rFonts w:eastAsia="Arial Unicode MS" w:cstheme="minorHAnsi"/>
          <w:szCs w:val="24"/>
        </w:rPr>
        <w:t>F</w:t>
      </w:r>
      <w:r w:rsidR="00516219" w:rsidRPr="00675182">
        <w:rPr>
          <w:rFonts w:eastAsia="Arial Unicode MS" w:cstheme="minorHAnsi"/>
          <w:szCs w:val="24"/>
        </w:rPr>
        <w:t xml:space="preserve"> kategorija – privātuzņēmēju uzturētas naktsmītnes Gaujas tuvumā, kurās nav laivu nomas pakalpojumu, bet iespējams apmesties arī ūdenstūristie</w:t>
      </w:r>
      <w:r w:rsidRPr="00675182">
        <w:rPr>
          <w:rFonts w:eastAsia="Arial Unicode MS" w:cstheme="minorHAnsi"/>
          <w:szCs w:val="24"/>
        </w:rPr>
        <w:t>m;</w:t>
      </w:r>
    </w:p>
    <w:p w14:paraId="22853685" w14:textId="77777777" w:rsidR="00516219" w:rsidRPr="00675182" w:rsidRDefault="00516219" w:rsidP="00516219">
      <w:pPr>
        <w:snapToGrid w:val="0"/>
        <w:jc w:val="both"/>
        <w:rPr>
          <w:rFonts w:eastAsia="Arial Unicode MS" w:cstheme="minorHAnsi"/>
          <w:szCs w:val="24"/>
        </w:rPr>
      </w:pPr>
    </w:p>
    <w:p w14:paraId="6B89627B" w14:textId="77777777" w:rsidR="00516219" w:rsidRPr="00675182" w:rsidRDefault="00516219" w:rsidP="00516219">
      <w:pPr>
        <w:snapToGrid w:val="0"/>
        <w:jc w:val="both"/>
        <w:rPr>
          <w:rFonts w:eastAsia="Arial Unicode MS" w:cstheme="minorHAnsi"/>
          <w:szCs w:val="24"/>
        </w:rPr>
      </w:pPr>
      <w:r w:rsidRPr="00675182">
        <w:rPr>
          <w:rFonts w:eastAsia="Arial Unicode MS" w:cstheme="minorHAnsi"/>
          <w:szCs w:val="24"/>
        </w:rPr>
        <w:t>Kartogrāfiskajā materiālā norādīti ceļi, kas turpmāk uzturami kā ierobežotas pieejamības, paredzot attiecīgu infrastruktūru; arī turpmākie priekšlikumi ūdenstūrisma infrastruktūras attīstībai izvērtējami, ņemot vērā esošo šādu infrastruktūras nodrošinājumu.</w:t>
      </w:r>
    </w:p>
    <w:p w14:paraId="57D127F1" w14:textId="0B6FF9AA" w:rsidR="005170A8" w:rsidRPr="00675182" w:rsidRDefault="005170A8" w:rsidP="005170A8">
      <w:pPr>
        <w:snapToGrid w:val="0"/>
        <w:jc w:val="both"/>
        <w:rPr>
          <w:rFonts w:eastAsia="Arial Unicode M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1"/>
      </w:tblGrid>
      <w:tr w:rsidR="005170A8" w:rsidRPr="00675182" w14:paraId="369507DF" w14:textId="77777777" w:rsidTr="006F338A">
        <w:tc>
          <w:tcPr>
            <w:tcW w:w="8491" w:type="dxa"/>
          </w:tcPr>
          <w:p w14:paraId="0DF62278" w14:textId="77777777" w:rsidR="005170A8" w:rsidRPr="00675182" w:rsidRDefault="005170A8" w:rsidP="006F338A">
            <w:pPr>
              <w:snapToGrid w:val="0"/>
              <w:jc w:val="both"/>
              <w:rPr>
                <w:rFonts w:eastAsia="Arial Unicode MS" w:cstheme="minorHAnsi"/>
                <w:szCs w:val="24"/>
              </w:rPr>
            </w:pPr>
            <w:r w:rsidRPr="00675182">
              <w:rPr>
                <w:rFonts w:eastAsia="Arial Unicode MS" w:cstheme="minorHAnsi"/>
                <w:noProof/>
                <w:szCs w:val="24"/>
              </w:rPr>
              <w:lastRenderedPageBreak/>
              <w:drawing>
                <wp:inline distT="0" distB="0" distL="0" distR="0" wp14:anchorId="3C81BA67" wp14:editId="57D8C381">
                  <wp:extent cx="5219700" cy="3679149"/>
                  <wp:effectExtent l="0" t="0" r="0" b="0"/>
                  <wp:docPr id="172" name="Picture 17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Map&#10;&#10;Description automatically generated"/>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232766" cy="3688358"/>
                          </a:xfrm>
                          <a:prstGeom prst="rect">
                            <a:avLst/>
                          </a:prstGeom>
                        </pic:spPr>
                      </pic:pic>
                    </a:graphicData>
                  </a:graphic>
                </wp:inline>
              </w:drawing>
            </w:r>
          </w:p>
        </w:tc>
      </w:tr>
      <w:tr w:rsidR="005170A8" w:rsidRPr="00675182" w14:paraId="729257C1" w14:textId="77777777" w:rsidTr="006F338A">
        <w:tc>
          <w:tcPr>
            <w:tcW w:w="8491" w:type="dxa"/>
          </w:tcPr>
          <w:p w14:paraId="0E5BCB49" w14:textId="200C6744" w:rsidR="005170A8" w:rsidRPr="00675182" w:rsidRDefault="005170A8" w:rsidP="006F338A">
            <w:pPr>
              <w:snapToGrid w:val="0"/>
              <w:jc w:val="both"/>
              <w:rPr>
                <w:rFonts w:eastAsia="Arial Unicode MS" w:cstheme="minorHAnsi"/>
                <w:b/>
                <w:bCs/>
                <w:i/>
                <w:iCs/>
                <w:szCs w:val="24"/>
              </w:rPr>
            </w:pPr>
            <w:r w:rsidRPr="00675182">
              <w:rPr>
                <w:rFonts w:eastAsia="Arial Unicode MS" w:cstheme="minorHAnsi"/>
                <w:b/>
                <w:bCs/>
                <w:i/>
                <w:iCs/>
                <w:szCs w:val="24"/>
              </w:rPr>
              <w:t>3.22. attēls. Ūdenstūrisma apmetņu kategorijas GNP (skat. D.2.11. aprakstu)</w:t>
            </w:r>
          </w:p>
        </w:tc>
      </w:tr>
    </w:tbl>
    <w:p w14:paraId="16BE1E58" w14:textId="77777777" w:rsidR="002D062A" w:rsidRPr="00675182" w:rsidRDefault="002D062A" w:rsidP="005170A8">
      <w:pPr>
        <w:snapToGrid w:val="0"/>
        <w:jc w:val="both"/>
        <w:rPr>
          <w:rFonts w:eastAsia="Arial Unicode MS" w:cstheme="minorHAnsi"/>
          <w:szCs w:val="24"/>
        </w:rPr>
      </w:pPr>
    </w:p>
    <w:p w14:paraId="0DD6643E" w14:textId="6378759A" w:rsidR="005170A8" w:rsidRPr="00675182" w:rsidRDefault="005170A8" w:rsidP="007E35A5">
      <w:pPr>
        <w:keepNext/>
        <w:keepLines/>
        <w:snapToGrid w:val="0"/>
        <w:jc w:val="both"/>
        <w:rPr>
          <w:rFonts w:eastAsia="Arial Unicode MS" w:cstheme="minorHAnsi"/>
          <w:b/>
          <w:bCs/>
          <w:szCs w:val="24"/>
        </w:rPr>
      </w:pPr>
      <w:r w:rsidRPr="00675182">
        <w:rPr>
          <w:rFonts w:eastAsia="Arial Unicode MS" w:cstheme="minorHAnsi"/>
          <w:b/>
          <w:bCs/>
          <w:szCs w:val="24"/>
        </w:rPr>
        <w:t>D.2.12</w:t>
      </w:r>
      <w:r w:rsidR="006A2230" w:rsidRPr="00675182">
        <w:rPr>
          <w:rFonts w:eastAsia="Arial Unicode MS" w:cstheme="minorHAnsi"/>
          <w:b/>
          <w:bCs/>
          <w:szCs w:val="24"/>
        </w:rPr>
        <w:t xml:space="preserve">. </w:t>
      </w:r>
      <w:r w:rsidRPr="00675182">
        <w:rPr>
          <w:rFonts w:eastAsia="Arial Unicode MS" w:cstheme="minorHAnsi"/>
          <w:b/>
          <w:bCs/>
          <w:szCs w:val="24"/>
        </w:rPr>
        <w:t>Kubeseles dabas un vēstures takas labiekārtošana</w:t>
      </w:r>
    </w:p>
    <w:p w14:paraId="2A19F12F" w14:textId="2D58FC35"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Taka ir intensīvi apmeklēta, tāpēc vajag labiekārtot atsevišķus takas posmus mitrajās un sezonāli dubļainajās vietās (līdz 200 m garumā). Tāpat šai takai būtu jābūt pārklājuma sasaistei ar Sv. Jēkaba ceļu. Vajadzīga takas galapunkta – jau esošās atpūtas vietas labiekārtošana pie Gaujas (piemēram, krasta nogāzei – piekļuvei pie ūdens). Būtu jāveic antropogēnās slodzes mazināšanas pasākumi stāvajā takas nogāzē no Gaujas puses. Ir jāizveido auto stāvvietas un tās jānorobežo pie kapsētām takas malā. Ir jāatjauno vecās kāpnes starp Mācītājmāju un Runtiņupīti (mazākā mērogā, saskanīgi ar ainavu).</w:t>
      </w:r>
    </w:p>
    <w:p w14:paraId="40466BEB" w14:textId="77777777" w:rsidR="003D4EFA" w:rsidRPr="00675182" w:rsidRDefault="003D4EFA" w:rsidP="003D4EFA">
      <w:pPr>
        <w:keepNext/>
        <w:keepLines/>
        <w:snapToGrid w:val="0"/>
        <w:jc w:val="both"/>
        <w:rPr>
          <w:rFonts w:eastAsia="Arial Unicode MS" w:cstheme="minorHAnsi"/>
          <w:szCs w:val="24"/>
        </w:rPr>
      </w:pPr>
    </w:p>
    <w:p w14:paraId="68A6FA06" w14:textId="77777777"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Rezultātā izveidotas dēļu laipas &lt;200 m garumā, nodrošināta droša piekļuve Gaujai, izveidotas kāpnes stāvajā nogāzes daļā, sakārtoti nelielie auto stāvlaukumi pie kapsētām takas malā.</w:t>
      </w:r>
    </w:p>
    <w:p w14:paraId="7A421500" w14:textId="77777777" w:rsidR="005170A8" w:rsidRPr="00675182" w:rsidRDefault="005170A8" w:rsidP="005170A8">
      <w:pPr>
        <w:snapToGrid w:val="0"/>
        <w:jc w:val="both"/>
        <w:rPr>
          <w:rFonts w:eastAsia="Arial Unicode MS" w:cstheme="minorHAnsi"/>
          <w:b/>
          <w:bCs/>
          <w:szCs w:val="24"/>
        </w:rPr>
      </w:pPr>
    </w:p>
    <w:p w14:paraId="7C4C7842" w14:textId="6FE8F075" w:rsidR="003D4EFA" w:rsidRPr="00675182" w:rsidRDefault="003D4EFA" w:rsidP="003D4EFA">
      <w:pPr>
        <w:snapToGrid w:val="0"/>
        <w:jc w:val="both"/>
        <w:rPr>
          <w:rFonts w:eastAsia="Arial Unicode MS" w:cstheme="minorHAnsi"/>
          <w:b/>
          <w:bCs/>
          <w:szCs w:val="24"/>
        </w:rPr>
      </w:pPr>
      <w:r w:rsidRPr="00675182">
        <w:rPr>
          <w:rFonts w:eastAsia="Arial Unicode MS" w:cstheme="minorHAnsi"/>
          <w:b/>
          <w:bCs/>
          <w:szCs w:val="24"/>
        </w:rPr>
        <w:t>D.2.13</w:t>
      </w:r>
      <w:r w:rsidR="006A2230" w:rsidRPr="00675182">
        <w:rPr>
          <w:rFonts w:eastAsia="Arial Unicode MS" w:cstheme="minorHAnsi"/>
          <w:b/>
          <w:bCs/>
          <w:szCs w:val="24"/>
        </w:rPr>
        <w:t xml:space="preserve">. </w:t>
      </w:r>
      <w:r w:rsidRPr="00675182">
        <w:rPr>
          <w:rFonts w:eastAsia="Arial Unicode MS" w:cstheme="minorHAnsi"/>
          <w:b/>
          <w:bCs/>
          <w:szCs w:val="24"/>
        </w:rPr>
        <w:tab/>
        <w:t>Zirgu taku tīklojuma izveide (Līgatnes un Jumaras apkārtnē), marķēšana plānotajās vietās</w:t>
      </w:r>
    </w:p>
    <w:p w14:paraId="1CAE88B2" w14:textId="643BA14C" w:rsidR="003D4EFA" w:rsidRPr="00675182" w:rsidRDefault="003D4EFA" w:rsidP="003D4EFA">
      <w:pPr>
        <w:jc w:val="both"/>
        <w:rPr>
          <w:rFonts w:cstheme="minorHAnsi"/>
        </w:rPr>
      </w:pPr>
      <w:r w:rsidRPr="00675182">
        <w:rPr>
          <w:rFonts w:eastAsia="Arial Unicode MS" w:cstheme="minorHAnsi"/>
          <w:szCs w:val="24"/>
        </w:rPr>
        <w:t>Plāna izstrādes laikā tika identificēts pieprasījums pēc zirgu izjādes maršrutiem pie pašlaik aktuālajiem staļļiem – Augšlīgatnē un Kocēnos. Kā iespējamais izjādes maršruts, kas zirgu staļļu apsaimniekotājam jāsaskaņo ar zemes tiesiskajiem valdītājiem, ir atzīmēts maršruts uz ziemeļaustrumiem no Sudas purva un Ratnieku ezera, kā arī apļveida taka gar Jumaras upes kreiso krastu Kocēnu tuvumā (skat 25. pielikumu). Abos maršrutos iespējama arī kājnieku pārvietošanās, ja tiek respektēta priekšroka zirgiem (izņemot piebraucamo ceļu uz Ratnieku ezeru). Paralēli būtu veidojams ētikas kodekss par zirgu izjāžu organizēšanu GNP. Precīzi Jumaras takas risinājumi būtu jāsaskaņo ar zemes tiesiskajiem valdītājiem.</w:t>
      </w:r>
    </w:p>
    <w:p w14:paraId="6EBECCEF" w14:textId="77777777" w:rsidR="003D4EFA" w:rsidRPr="00675182" w:rsidRDefault="003D4EFA" w:rsidP="003D4EFA">
      <w:pPr>
        <w:snapToGrid w:val="0"/>
        <w:jc w:val="both"/>
        <w:rPr>
          <w:rFonts w:eastAsia="Arial Unicode MS" w:cstheme="minorHAnsi"/>
          <w:szCs w:val="24"/>
          <w:highlight w:val="yellow"/>
        </w:rPr>
      </w:pPr>
    </w:p>
    <w:p w14:paraId="28C8D67A" w14:textId="77777777" w:rsidR="003D4EFA" w:rsidRPr="00675182" w:rsidRDefault="003D4EFA" w:rsidP="003D4EFA">
      <w:pPr>
        <w:snapToGrid w:val="0"/>
        <w:jc w:val="both"/>
        <w:rPr>
          <w:rFonts w:eastAsia="Arial Unicode MS" w:cstheme="minorHAnsi"/>
          <w:szCs w:val="24"/>
          <w:highlight w:val="yellow"/>
        </w:rPr>
      </w:pPr>
      <w:r w:rsidRPr="00675182">
        <w:rPr>
          <w:rFonts w:eastAsia="Arial Unicode MS" w:cstheme="minorHAnsi"/>
          <w:szCs w:val="24"/>
        </w:rPr>
        <w:lastRenderedPageBreak/>
        <w:t>Rezultātā tiktu izveidotas un marķētas takas ~7,4 km garumā.</w:t>
      </w:r>
    </w:p>
    <w:p w14:paraId="3BD8BE4B" w14:textId="77777777" w:rsidR="003D4EFA" w:rsidRPr="00675182" w:rsidRDefault="003D4EFA" w:rsidP="003D4EFA">
      <w:pPr>
        <w:keepNext/>
        <w:keepLines/>
        <w:snapToGrid w:val="0"/>
        <w:jc w:val="both"/>
        <w:rPr>
          <w:rFonts w:eastAsia="Arial Unicode MS" w:cstheme="minorHAnsi"/>
          <w:b/>
          <w:bCs/>
          <w:szCs w:val="24"/>
        </w:rPr>
      </w:pPr>
    </w:p>
    <w:p w14:paraId="05091107" w14:textId="5786F81A" w:rsidR="003D4EFA" w:rsidRPr="00675182" w:rsidRDefault="003D4EFA" w:rsidP="003D4EFA">
      <w:pPr>
        <w:keepNext/>
        <w:keepLines/>
        <w:snapToGrid w:val="0"/>
        <w:jc w:val="both"/>
        <w:rPr>
          <w:rFonts w:eastAsia="Arial Unicode MS" w:cstheme="minorHAnsi"/>
          <w:b/>
          <w:bCs/>
          <w:szCs w:val="24"/>
        </w:rPr>
      </w:pPr>
      <w:r w:rsidRPr="00675182">
        <w:rPr>
          <w:rFonts w:eastAsia="Arial Unicode MS" w:cstheme="minorHAnsi"/>
          <w:b/>
          <w:bCs/>
          <w:szCs w:val="24"/>
        </w:rPr>
        <w:t>D.2.14</w:t>
      </w:r>
      <w:r w:rsidR="006A2230" w:rsidRPr="00675182">
        <w:rPr>
          <w:rFonts w:eastAsia="Arial Unicode MS" w:cstheme="minorHAnsi"/>
          <w:b/>
          <w:bCs/>
          <w:szCs w:val="24"/>
        </w:rPr>
        <w:t>.</w:t>
      </w:r>
      <w:r w:rsidRPr="00675182">
        <w:rPr>
          <w:rFonts w:eastAsia="Arial Unicode MS" w:cstheme="minorHAnsi"/>
          <w:b/>
          <w:bCs/>
          <w:szCs w:val="24"/>
        </w:rPr>
        <w:tab/>
      </w:r>
      <w:r w:rsidR="006A2230" w:rsidRPr="00675182">
        <w:rPr>
          <w:rFonts w:eastAsia="Arial Unicode MS" w:cstheme="minorHAnsi"/>
          <w:b/>
          <w:bCs/>
          <w:szCs w:val="24"/>
        </w:rPr>
        <w:t xml:space="preserve"> </w:t>
      </w:r>
      <w:r w:rsidRPr="00675182">
        <w:rPr>
          <w:rFonts w:eastAsia="Arial Unicode MS" w:cstheme="minorHAnsi"/>
          <w:b/>
          <w:bCs/>
          <w:szCs w:val="24"/>
        </w:rPr>
        <w:t>Līgatnes dabas taku misijas pastiprināšana un labiekārtojuma pilnveide</w:t>
      </w:r>
    </w:p>
    <w:p w14:paraId="47DEDB7C" w14:textId="5E3592B4"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 xml:space="preserve">Primāri ir rekomendējamas izmaiņas Līgatnes dabas taku misijā. Pastāvēšanas mērķi “iepazīstināt parka apmeklētājus ar Latvijas dabas vērtībām un vietējām savvaļas augu un dzīvnieku sugām” būtu jāpapildina ar dziļākas izpratnes un zināšanu veicināšanu par dabu par ekosistēmas norisēm kopumā, par dabas aizsardzības nozīmi. Vietas misiju būtu iespējams pastiprināt gan zinātnes (piemēram par dabas aizsardzības metožu pielietojumu, sugu vai </w:t>
      </w:r>
      <w:r w:rsidR="006A5BE3">
        <w:rPr>
          <w:rFonts w:eastAsia="Arial Unicode MS" w:cstheme="minorHAnsi"/>
          <w:szCs w:val="24"/>
        </w:rPr>
        <w:t>EP</w:t>
      </w:r>
      <w:r w:rsidRPr="00675182">
        <w:rPr>
          <w:rFonts w:eastAsia="Arial Unicode MS" w:cstheme="minorHAnsi"/>
          <w:szCs w:val="24"/>
        </w:rPr>
        <w:t xml:space="preserve"> pētījumiem), gan savvaļas sugu rehabilitācijas centra virzienā. Paralēli apmeklētāju centram ar ērtībām un pakalpojumiem, Līgatnes dabas takām jāsniedz mērķtiecīgs papildinājums dabas aizsardzības sistēmai – saskarsmei ar sabiedrību, tās iesaisti. Jāorganizē lielāka sabiedrības līdzdalība dabas aizsardzības norisēs, vienkāršotu monitoringa metožu pielietojumā u.tml. (īpaši iesaistot arī vietējo kopienu). Jāpilnveido pakalpojumu dizaina pieeja apmeklētāju pieredzes vadīšanā un tematisku pakalpojumu piedāvājuma izstrādē, GNP dabas vērtību izpratnes pastiprināšanā.</w:t>
      </w:r>
    </w:p>
    <w:p w14:paraId="4B9708C0" w14:textId="77777777" w:rsidR="003D4EFA" w:rsidRPr="00675182" w:rsidRDefault="003D4EFA" w:rsidP="003D4EFA">
      <w:pPr>
        <w:keepNext/>
        <w:keepLines/>
        <w:snapToGrid w:val="0"/>
        <w:jc w:val="both"/>
        <w:rPr>
          <w:rFonts w:eastAsia="Arial Unicode MS" w:cstheme="minorHAnsi"/>
          <w:szCs w:val="24"/>
        </w:rPr>
      </w:pPr>
    </w:p>
    <w:p w14:paraId="7C378C62" w14:textId="77777777"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Pasākuma rezultātā: Līgatnes dabas takas kļūs par efektīvāku platformu saziņai ar sabiedrību par Latvijas savvaļas dabu un tās vērtībām, īstenosies plašāka sadarbība ar saistīto jomu (savavļas dzīvnieku veterinārija, zinātne u.c.) pārstāvjiem, uzlabosies dialogs ar vietējo kopienu, palielināsies aktīva apmeklētāju iesaiste, pieaugs sabiedrības izpratne par norisēm Latvijas dabā.</w:t>
      </w:r>
    </w:p>
    <w:p w14:paraId="7A11753F" w14:textId="77777777" w:rsidR="003D4EFA" w:rsidRPr="00675182" w:rsidRDefault="003D4EFA" w:rsidP="003D4EFA">
      <w:pPr>
        <w:snapToGrid w:val="0"/>
        <w:jc w:val="both"/>
        <w:rPr>
          <w:rFonts w:eastAsia="Arial Unicode MS" w:cstheme="minorHAnsi"/>
          <w:b/>
          <w:bCs/>
          <w:szCs w:val="24"/>
          <w:highlight w:val="yellow"/>
        </w:rPr>
      </w:pPr>
    </w:p>
    <w:p w14:paraId="0ACBF697" w14:textId="3EC99C89" w:rsidR="003D4EFA" w:rsidRPr="00675182" w:rsidRDefault="003D4EFA" w:rsidP="003D4EFA">
      <w:pPr>
        <w:snapToGrid w:val="0"/>
        <w:jc w:val="both"/>
        <w:rPr>
          <w:rFonts w:eastAsia="Arial Unicode MS" w:cstheme="minorHAnsi"/>
          <w:b/>
          <w:bCs/>
          <w:szCs w:val="24"/>
        </w:rPr>
      </w:pPr>
      <w:r w:rsidRPr="00675182">
        <w:rPr>
          <w:rFonts w:eastAsia="Arial Unicode MS" w:cstheme="minorHAnsi"/>
          <w:b/>
          <w:bCs/>
          <w:szCs w:val="24"/>
        </w:rPr>
        <w:t>D.2.15</w:t>
      </w:r>
      <w:r w:rsidR="006A2230" w:rsidRPr="00675182">
        <w:rPr>
          <w:rFonts w:eastAsia="Arial Unicode MS" w:cstheme="minorHAnsi"/>
          <w:b/>
          <w:bCs/>
          <w:szCs w:val="24"/>
        </w:rPr>
        <w:t>.</w:t>
      </w:r>
      <w:r w:rsidRPr="00675182">
        <w:rPr>
          <w:rFonts w:eastAsia="Arial Unicode MS" w:cstheme="minorHAnsi"/>
          <w:b/>
          <w:bCs/>
          <w:szCs w:val="24"/>
        </w:rPr>
        <w:tab/>
      </w:r>
      <w:r w:rsidR="006A2230" w:rsidRPr="00675182">
        <w:rPr>
          <w:rFonts w:eastAsia="Arial Unicode MS" w:cstheme="minorHAnsi"/>
          <w:b/>
          <w:bCs/>
          <w:szCs w:val="24"/>
        </w:rPr>
        <w:t xml:space="preserve"> </w:t>
      </w:r>
      <w:r w:rsidRPr="00675182">
        <w:rPr>
          <w:rFonts w:eastAsia="Arial Unicode MS" w:cstheme="minorHAnsi"/>
          <w:b/>
          <w:bCs/>
          <w:szCs w:val="24"/>
        </w:rPr>
        <w:t>Līgatnes upes krastu un stihiski izveidoto taku tīklojuma optimizēšana antropogēnās slodzes mazināšanai</w:t>
      </w:r>
    </w:p>
    <w:p w14:paraId="4DBFA658" w14:textId="72497948" w:rsidR="003D4EFA" w:rsidRPr="00675182" w:rsidRDefault="003D4EFA" w:rsidP="003D4EFA">
      <w:pPr>
        <w:jc w:val="both"/>
        <w:rPr>
          <w:rFonts w:cstheme="minorHAnsi"/>
        </w:rPr>
      </w:pPr>
      <w:r w:rsidRPr="00675182">
        <w:rPr>
          <w:rFonts w:eastAsia="Arial Unicode MS" w:cstheme="minorHAnsi"/>
          <w:szCs w:val="24"/>
        </w:rPr>
        <w:t>Tiek piedāvāts izveidot un uzturēt taku gar Līgatnes abiem krastiem starp Lejaslīgatnes centru un upes ieteku Gaujā; takai jānovirza tūristu plūsma no posma starp Lejaslīgatni un autoceļu A2, kur atrodas sikspārņu ziemošanas vietas un citas ar alām un atsegumiem saistītas, jutīgas dabas vērtības. Tiek rekomendēts izveidot arī kabatu automašīnām un labiekārtot ūdens ņemšanas vietu avotā pie Skaļupēm, kas iekļaujas apkārtnes taku tīklojumā. Precīzi takas risinājumi būtu jāsaskaņo ar zemes tiesiskajiem valdītājiem.</w:t>
      </w:r>
    </w:p>
    <w:p w14:paraId="4C5D4D3E" w14:textId="77777777" w:rsidR="003D4EFA" w:rsidRPr="00675182" w:rsidRDefault="003D4EFA" w:rsidP="003D4EFA">
      <w:pPr>
        <w:snapToGrid w:val="0"/>
        <w:jc w:val="both"/>
        <w:rPr>
          <w:rFonts w:eastAsia="Arial Unicode MS" w:cstheme="minorHAnsi"/>
          <w:szCs w:val="24"/>
        </w:rPr>
      </w:pPr>
    </w:p>
    <w:p w14:paraId="3269241B"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Rezultātā tiktu izveidota un marķēta taka Lejaslīgatnē ~ 4,4 km garumā un tiktu sakārtota infrastruktūra pie Skaļupes avota.</w:t>
      </w:r>
    </w:p>
    <w:p w14:paraId="069AFED2" w14:textId="77777777" w:rsidR="003D4EFA" w:rsidRPr="00675182" w:rsidRDefault="003D4EFA" w:rsidP="003D4EFA">
      <w:pPr>
        <w:snapToGrid w:val="0"/>
        <w:jc w:val="both"/>
        <w:rPr>
          <w:rFonts w:eastAsia="Arial Unicode MS" w:cstheme="minorHAnsi"/>
          <w:b/>
          <w:bCs/>
          <w:szCs w:val="24"/>
          <w:highlight w:val="yellow"/>
        </w:rPr>
      </w:pPr>
    </w:p>
    <w:p w14:paraId="032E7E0F" w14:textId="09027831" w:rsidR="003D4EFA" w:rsidRPr="00675182" w:rsidRDefault="003D4EFA" w:rsidP="003D4EFA">
      <w:pPr>
        <w:snapToGrid w:val="0"/>
        <w:jc w:val="both"/>
        <w:rPr>
          <w:rFonts w:eastAsia="Arial Unicode MS" w:cstheme="minorHAnsi"/>
          <w:b/>
          <w:bCs/>
          <w:szCs w:val="24"/>
        </w:rPr>
      </w:pPr>
      <w:r w:rsidRPr="00675182">
        <w:rPr>
          <w:rFonts w:eastAsia="Arial Unicode MS" w:cstheme="minorHAnsi"/>
          <w:b/>
          <w:bCs/>
          <w:szCs w:val="24"/>
        </w:rPr>
        <w:t>D.2.16</w:t>
      </w:r>
      <w:r w:rsidR="006A2230" w:rsidRPr="00675182">
        <w:rPr>
          <w:rFonts w:eastAsia="Arial Unicode MS" w:cstheme="minorHAnsi"/>
          <w:b/>
          <w:bCs/>
          <w:szCs w:val="24"/>
        </w:rPr>
        <w:t xml:space="preserve">. </w:t>
      </w:r>
      <w:r w:rsidRPr="00675182">
        <w:rPr>
          <w:rFonts w:eastAsia="Arial Unicode MS" w:cstheme="minorHAnsi"/>
          <w:b/>
          <w:bCs/>
          <w:szCs w:val="24"/>
        </w:rPr>
        <w:t>Braslas upes krastu un stihiski izveidoto taku tīklojuma optimizēšana antropogēnās slodzes mazināšanai</w:t>
      </w:r>
    </w:p>
    <w:p w14:paraId="29A6A8AB" w14:textId="77777777" w:rsidR="003D4EFA" w:rsidRPr="00675182" w:rsidRDefault="003D4EFA" w:rsidP="003D4EFA">
      <w:pPr>
        <w:jc w:val="both"/>
        <w:rPr>
          <w:rFonts w:cstheme="minorHAnsi"/>
        </w:rPr>
      </w:pPr>
      <w:r w:rsidRPr="00675182">
        <w:rPr>
          <w:rFonts w:eastAsia="Arial Unicode MS" w:cstheme="minorHAnsi"/>
          <w:szCs w:val="24"/>
        </w:rPr>
        <w:t xml:space="preserve">Braslas upes krastu un taku tīklojuma optimizēšana ļautu novirzīt tūristu plūsmu no stihiski iestaigātām takām. Abos Braslas krastos tiek piedāvāts uzturēt un labiekārtot taku līdz šķērsojumam augšpus Virtakas ieža (izmantojams mazūdens periodā – bez tilta būvniecības). Maršruta starta punkts būtu stāvlaukums Braslas ūdenskrātuves malā pie autoceļa A3 vai arī pie kroga “Zandarts”, kur tūristiem var tikt piedāvāti ēdināšanas pakalpojumi; tūristi tiktu virzīti pa Braslas kreiso krastu līdz ūdenskrātuves aizsprostam, no kura tālāk ir apļveida maršruts pa abiem krastiem; šķērsojumu paredzot bez tilta, ar norādi uz vietu upes pārbrišanai. Infrastruktūra būtu veidojama kā ierobežojoša un plūsmu virzoša, novirzot apmeklētājus no atsegumiem un alām, bet ļaujot skatīt tos no attāluma. Maršruts nebūtu speciāli jāreklamē, tā izveides mērķis ir kontrolēta </w:t>
      </w:r>
      <w:r w:rsidRPr="00675182">
        <w:rPr>
          <w:rFonts w:eastAsia="Arial Unicode MS" w:cstheme="minorHAnsi"/>
          <w:szCs w:val="24"/>
        </w:rPr>
        <w:lastRenderedPageBreak/>
        <w:t>antropogēnā slodze ar iespēju to mazināt jutīgā teritorijā, nevis piesaistīt lielu skaitu apmeklētāju. Posmā uz leju no Virtakas ieža nav vēlams veicināt tūristu pārvietošanos, lai arī to ir grūti ierobežot; var tikt izveidoti atsevišķi norobežojošās infrastruktūras elementi. Precīzi takas risinājumi būtu jāsaskaņo ar zemes tiesiskajiem valdītājiem.</w:t>
      </w:r>
    </w:p>
    <w:p w14:paraId="79A169D5" w14:textId="77777777" w:rsidR="003D4EFA" w:rsidRPr="00675182" w:rsidRDefault="003D4EFA" w:rsidP="003D4EFA">
      <w:pPr>
        <w:snapToGrid w:val="0"/>
        <w:jc w:val="both"/>
        <w:rPr>
          <w:rFonts w:eastAsia="Arial Unicode MS" w:cstheme="minorHAnsi"/>
          <w:szCs w:val="24"/>
        </w:rPr>
      </w:pPr>
    </w:p>
    <w:p w14:paraId="40660CAF" w14:textId="4849E000"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Rezultātā tiktu marķēta un uzturēta (bez papildus reklamēšanas) taka ~5 km garumā, mazināta antropogēnā slodze no stihisku taku iestaigāšanas.</w:t>
      </w:r>
    </w:p>
    <w:p w14:paraId="26017C9A" w14:textId="77777777" w:rsidR="003D4EFA" w:rsidRPr="00675182" w:rsidRDefault="003D4EFA" w:rsidP="003D4EFA">
      <w:pPr>
        <w:snapToGrid w:val="0"/>
        <w:jc w:val="both"/>
        <w:rPr>
          <w:rFonts w:eastAsia="Arial Unicode MS" w:cstheme="minorHAnsi"/>
          <w:b/>
          <w:bCs/>
          <w:szCs w:val="24"/>
        </w:rPr>
      </w:pPr>
    </w:p>
    <w:p w14:paraId="2215F06C" w14:textId="5F73508E" w:rsidR="003D4EFA" w:rsidRPr="00675182" w:rsidRDefault="003D4EFA" w:rsidP="003D4EFA">
      <w:pPr>
        <w:snapToGrid w:val="0"/>
        <w:jc w:val="both"/>
        <w:rPr>
          <w:rFonts w:eastAsia="Arial Unicode MS" w:cstheme="minorHAnsi"/>
          <w:b/>
          <w:bCs/>
          <w:szCs w:val="24"/>
        </w:rPr>
      </w:pPr>
      <w:r w:rsidRPr="00675182">
        <w:rPr>
          <w:rFonts w:eastAsia="Arial Unicode MS" w:cstheme="minorHAnsi"/>
          <w:b/>
          <w:bCs/>
          <w:szCs w:val="24"/>
        </w:rPr>
        <w:t>D.2.17</w:t>
      </w:r>
      <w:r w:rsidR="006A2230" w:rsidRPr="00675182">
        <w:rPr>
          <w:rFonts w:eastAsia="Arial Unicode MS" w:cstheme="minorHAnsi"/>
          <w:b/>
          <w:bCs/>
          <w:szCs w:val="24"/>
        </w:rPr>
        <w:t xml:space="preserve">. </w:t>
      </w:r>
      <w:r w:rsidRPr="00675182">
        <w:rPr>
          <w:rFonts w:eastAsia="Arial Unicode MS" w:cstheme="minorHAnsi"/>
          <w:b/>
          <w:bCs/>
          <w:szCs w:val="24"/>
        </w:rPr>
        <w:t>Mežtakas un vienota taku tīklojuma, prioritāro posmu labiekārtošana, uzturēšana</w:t>
      </w:r>
    </w:p>
    <w:p w14:paraId="65427E29" w14:textId="43CCDDB3" w:rsidR="00C74E47" w:rsidRPr="00675182" w:rsidRDefault="003D4EFA" w:rsidP="003D4EFA">
      <w:pPr>
        <w:jc w:val="both"/>
        <w:rPr>
          <w:rFonts w:eastAsia="Arial Unicode MS" w:cstheme="minorHAnsi"/>
          <w:szCs w:val="24"/>
        </w:rPr>
      </w:pPr>
      <w:r w:rsidRPr="00675182">
        <w:rPr>
          <w:rFonts w:eastAsia="Arial Unicode MS" w:cstheme="minorHAnsi"/>
          <w:szCs w:val="24"/>
        </w:rPr>
        <w:t>Mežtaka kopā ar Sv.Jēkaba ceļu (kādos posmos pārklājoties) veido “mugurkaulu” vai centrālo asi kopējam pārgājienu taku tīklojumam GNP. Svarīgi to visā garumā ne tikai marķēt, bet arī labiekārtot strautu un upīšu šķērsojuma vietas, nodrošināt takas caurejamību, veidot vajadzīgo labiekārtojumu stāvo nogāžu daļās (vietas identificētas kartē). Takas posmi, kas pārklājas ar meža ceļiem un kuri netiek izmantoti ikdienas piekļūšanai pie apdzīvotiem privātajiem īpašumiem, būtu jāslēdz motorizētam transportam pilnībā. Visā takas garumā un konkrētos tās posmos risināms segmentēšanas jautājums, kura daļa izmantojama MTB velobraukšanai, jo taka bieži pārsedzas ar MTB maršrutiem. Precīzi takas risinājumi būtu jāsaskaņo ar zemes tiesiskajiem valdītājiem</w:t>
      </w:r>
      <w:r w:rsidR="00C74E47" w:rsidRPr="00675182">
        <w:rPr>
          <w:rFonts w:eastAsia="Arial Unicode MS" w:cstheme="minorHAnsi"/>
          <w:szCs w:val="24"/>
        </w:rPr>
        <w:t>, maršrutam jābūt skaidri saskatāmam, marķētam. Slapjākās vietas būtu uzlabojams, lai nebrauktu pa dubļiem, neveicinātu lielāku blakus teritoriju noplicināšanu. Tomēr taka nav plānota visā tās garumā kā viegli izbraucama, to jātuvina vidējas grūtības pakāpes braukšanai</w:t>
      </w:r>
      <w:r w:rsidR="00C74E47" w:rsidRPr="00BF7348">
        <w:rPr>
          <w:rFonts w:eastAsia="Arial Unicode MS"/>
          <w:vertAlign w:val="superscript"/>
        </w:rPr>
        <w:footnoteReference w:id="39"/>
      </w:r>
      <w:r w:rsidR="00C74E47" w:rsidRPr="00675182">
        <w:rPr>
          <w:rFonts w:eastAsia="Arial Unicode MS" w:cstheme="minorHAnsi"/>
          <w:szCs w:val="24"/>
        </w:rPr>
        <w:t>, ko lielā mērā nosaka saposmotais reljefs, takas šaurība vietām, kas prasa labas braukšanas prasmes. Tāpēc visā garumā tā nebūtu blietējama ar smiltīm vai noklājama ar mulču, tikai kritiskie posmi (vieglas braukšanas velo ceļa savienojums starp Cēsīm un Valmieru paredzēts gar dzelzceļa līniju).</w:t>
      </w:r>
    </w:p>
    <w:p w14:paraId="44145C5B" w14:textId="77777777" w:rsidR="003D4EFA" w:rsidRPr="00675182" w:rsidRDefault="003D4EFA" w:rsidP="003D4EFA">
      <w:pPr>
        <w:snapToGrid w:val="0"/>
        <w:jc w:val="both"/>
        <w:rPr>
          <w:rFonts w:eastAsia="Arial Unicode MS" w:cstheme="minorHAnsi"/>
          <w:szCs w:val="24"/>
        </w:rPr>
      </w:pPr>
    </w:p>
    <w:p w14:paraId="5C27FB2E"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Rezultātā tiktu ieviests funkcionāls un precīzi segmentēts dabas taku tīklojums ar mērķtiecīgāku apmeklētāju plūsmas vadību.</w:t>
      </w:r>
    </w:p>
    <w:p w14:paraId="04DBF1AD" w14:textId="77777777" w:rsidR="003D4EFA" w:rsidRPr="00675182" w:rsidRDefault="003D4EFA" w:rsidP="003D4EFA">
      <w:pPr>
        <w:snapToGrid w:val="0"/>
        <w:rPr>
          <w:rFonts w:eastAsia="Arial Unicode MS" w:cstheme="minorHAnsi"/>
          <w:b/>
          <w:bCs/>
          <w:szCs w:val="24"/>
        </w:rPr>
      </w:pPr>
    </w:p>
    <w:p w14:paraId="6C99A6A8" w14:textId="77777777" w:rsidR="003D4EFA" w:rsidRPr="00675182" w:rsidRDefault="003D4EFA" w:rsidP="003D4EFA">
      <w:pPr>
        <w:keepNext/>
        <w:keepLines/>
        <w:jc w:val="both"/>
        <w:rPr>
          <w:rFonts w:cstheme="minorHAnsi"/>
          <w:b/>
          <w:bCs/>
        </w:rPr>
      </w:pPr>
      <w:r w:rsidRPr="00675182">
        <w:rPr>
          <w:rFonts w:cstheme="minorHAnsi"/>
          <w:b/>
          <w:bCs/>
        </w:rPr>
        <w:t>D.2.18. Laipu un cita veida antropogēno slodzi samazinošas infrastruktūras izveidošana pie “Silzemnieku avotiem’’</w:t>
      </w:r>
    </w:p>
    <w:p w14:paraId="5D9B67AD" w14:textId="66B59DF6" w:rsidR="003D4EFA" w:rsidRPr="00675182" w:rsidRDefault="003D4EFA" w:rsidP="003D4EFA">
      <w:pPr>
        <w:jc w:val="both"/>
        <w:rPr>
          <w:rFonts w:cstheme="minorHAnsi"/>
        </w:rPr>
      </w:pPr>
      <w:r w:rsidRPr="00675182">
        <w:rPr>
          <w:rFonts w:cstheme="minorHAnsi"/>
        </w:rPr>
        <w:t>Ģeoloģiskais un ģeomorfoloģiskais piemineklis “Silzemnieku avoti” nav ļoti populārs tūrisma objekts, taču tiek apmeklēts, t.sk. ūdens iegūšanai. Lai mazinātu nobradāšanas ietekmi, ir vēlama laipu u.c</w:t>
      </w:r>
      <w:r w:rsidR="00C0112F">
        <w:rPr>
          <w:rFonts w:cstheme="minorHAnsi"/>
        </w:rPr>
        <w:t>.</w:t>
      </w:r>
      <w:r w:rsidRPr="00675182">
        <w:rPr>
          <w:rFonts w:cstheme="minorHAnsi"/>
        </w:rPr>
        <w:t xml:space="preserve"> antropogēno slodzi samazinošu infrastruktūras objektu ierīkošana (nepopularizējot objektu un nepiesaistot papildus tūristu plūsmu). </w:t>
      </w:r>
      <w:r w:rsidRPr="00675182">
        <w:rPr>
          <w:rFonts w:eastAsia="Arial Unicode MS" w:cstheme="minorHAnsi"/>
          <w:szCs w:val="24"/>
        </w:rPr>
        <w:t>Precīzi takas risinājumi būtu jāsaskaņo ar zemes tiesiskajiem valdītājiem.</w:t>
      </w:r>
    </w:p>
    <w:p w14:paraId="2DE54060" w14:textId="77777777" w:rsidR="003D4EFA" w:rsidRPr="00675182" w:rsidRDefault="003D4EFA" w:rsidP="003D4EFA">
      <w:pPr>
        <w:keepNext/>
        <w:keepLines/>
        <w:jc w:val="both"/>
        <w:rPr>
          <w:rFonts w:cstheme="minorHAnsi"/>
        </w:rPr>
      </w:pPr>
    </w:p>
    <w:p w14:paraId="4EE36543" w14:textId="77777777" w:rsidR="003D4EFA" w:rsidRPr="00675182" w:rsidRDefault="003D4EFA" w:rsidP="003D4EFA">
      <w:pPr>
        <w:keepNext/>
        <w:keepLines/>
        <w:jc w:val="both"/>
        <w:rPr>
          <w:rFonts w:cstheme="minorHAnsi"/>
        </w:rPr>
      </w:pPr>
      <w:r w:rsidRPr="00675182">
        <w:rPr>
          <w:rFonts w:cstheme="minorHAnsi"/>
        </w:rPr>
        <w:t>Rezultāta: neliela apjoma laipa (&lt;20m) un platforma avota mitrākajā vietā, mazināta antropogēnā slodze.</w:t>
      </w:r>
    </w:p>
    <w:p w14:paraId="04B092A3" w14:textId="77777777" w:rsidR="003D4EFA" w:rsidRPr="00675182" w:rsidRDefault="003D4EFA" w:rsidP="003D4EFA">
      <w:pPr>
        <w:jc w:val="both"/>
        <w:rPr>
          <w:rFonts w:cstheme="minorHAnsi"/>
        </w:rPr>
      </w:pPr>
    </w:p>
    <w:p w14:paraId="04F61BC9" w14:textId="77777777" w:rsidR="003D4EFA" w:rsidRPr="00675182" w:rsidRDefault="003D4EFA" w:rsidP="003D4EFA">
      <w:pPr>
        <w:jc w:val="both"/>
        <w:rPr>
          <w:rFonts w:cstheme="minorHAnsi"/>
          <w:b/>
          <w:bCs/>
        </w:rPr>
      </w:pPr>
      <w:r w:rsidRPr="00675182">
        <w:rPr>
          <w:rFonts w:cstheme="minorHAnsi"/>
          <w:b/>
          <w:bCs/>
        </w:rPr>
        <w:t>D.2.19. Amatas takas marķējuma uzlabošana Dolomītu kraujas posmā</w:t>
      </w:r>
    </w:p>
    <w:p w14:paraId="709493B5" w14:textId="77777777" w:rsidR="003D4EFA" w:rsidRPr="00675182" w:rsidRDefault="003D4EFA" w:rsidP="003D4EFA">
      <w:pPr>
        <w:jc w:val="both"/>
        <w:rPr>
          <w:rFonts w:cstheme="minorHAnsi"/>
        </w:rPr>
      </w:pPr>
      <w:r w:rsidRPr="00675182">
        <w:rPr>
          <w:rFonts w:cstheme="minorHAnsi"/>
        </w:rPr>
        <w:t xml:space="preserve">Pašreizējais tūrisma takas marķējums posmā gar Dolomītu krauju nav pietiekami skaidrs, rezultātā veidojas stihiska nobradāšana paralēli takai. Marķējums būtu izvietojams biežāk un, vajadzības gadījumā, papildinot ar norobežojošām barjerām. </w:t>
      </w:r>
    </w:p>
    <w:p w14:paraId="0EF36E9C" w14:textId="77777777" w:rsidR="003D4EFA" w:rsidRPr="00675182" w:rsidRDefault="003D4EFA" w:rsidP="003D4EFA">
      <w:pPr>
        <w:jc w:val="both"/>
        <w:rPr>
          <w:rFonts w:cstheme="minorHAnsi"/>
        </w:rPr>
      </w:pPr>
    </w:p>
    <w:p w14:paraId="2BE700DC" w14:textId="77777777" w:rsidR="003D4EFA" w:rsidRPr="00675182" w:rsidRDefault="003D4EFA" w:rsidP="003D4EFA">
      <w:pPr>
        <w:jc w:val="both"/>
        <w:rPr>
          <w:rFonts w:cstheme="minorHAnsi"/>
        </w:rPr>
      </w:pPr>
      <w:r w:rsidRPr="00675182">
        <w:rPr>
          <w:rFonts w:cstheme="minorHAnsi"/>
        </w:rPr>
        <w:t>Rezultātā: ieviestas norobežojošās barjeras (&lt;20m), papildināts marķējums optimālai navigācijai visas takas ietvaros.</w:t>
      </w:r>
    </w:p>
    <w:p w14:paraId="5818B583" w14:textId="77777777" w:rsidR="003D4EFA" w:rsidRPr="00675182" w:rsidRDefault="003D4EFA" w:rsidP="003D4EFA">
      <w:pPr>
        <w:jc w:val="both"/>
        <w:rPr>
          <w:rFonts w:cstheme="minorHAnsi"/>
        </w:rPr>
      </w:pPr>
    </w:p>
    <w:p w14:paraId="46F84844" w14:textId="77777777" w:rsidR="003D4EFA" w:rsidRPr="00675182" w:rsidRDefault="003D4EFA" w:rsidP="003D4EFA">
      <w:pPr>
        <w:jc w:val="both"/>
        <w:rPr>
          <w:rFonts w:cstheme="minorHAnsi"/>
          <w:b/>
          <w:bCs/>
        </w:rPr>
      </w:pPr>
      <w:r w:rsidRPr="00675182">
        <w:rPr>
          <w:rFonts w:cstheme="minorHAnsi"/>
          <w:b/>
          <w:bCs/>
        </w:rPr>
        <w:t>D.2.20. Antropogēno slodzi kontrolējošas infrastruktūras izveidošana ģeoloģisko objektu aizsardzībai</w:t>
      </w:r>
    </w:p>
    <w:p w14:paraId="3DF94533" w14:textId="77777777" w:rsidR="003D4EFA" w:rsidRPr="00675182" w:rsidRDefault="003D4EFA" w:rsidP="003D4EFA">
      <w:pPr>
        <w:jc w:val="both"/>
        <w:rPr>
          <w:rFonts w:cstheme="minorHAnsi"/>
        </w:rPr>
      </w:pPr>
      <w:r w:rsidRPr="00675182">
        <w:rPr>
          <w:rFonts w:cstheme="minorHAnsi"/>
        </w:rPr>
        <w:t xml:space="preserve">Ģeoloģiskajā un ģeomorfoloģiskajā piemineklī “Viesulēnu slāņi” ir nepieciešams izveidot kāpnes pāri atsegumam upes krastā, ja pieminekļa teritorijā tiek ierīkota tūrisma infrastruktūra. Līgatnes pagrabalās būtu jāierīko infrastruktūra, kas ierobežotu iespēju iekļūt alās vai bojāt atsegumus. </w:t>
      </w:r>
      <w:r w:rsidRPr="00675182">
        <w:rPr>
          <w:rFonts w:eastAsia="Arial Unicode MS" w:cstheme="minorHAnsi"/>
          <w:szCs w:val="24"/>
        </w:rPr>
        <w:t>Precīzi takas risinājumi būtu jāsaskaņo ar zemes tiesiskajiem valdītājiem.</w:t>
      </w:r>
    </w:p>
    <w:p w14:paraId="1EE08FF8" w14:textId="77777777" w:rsidR="003D4EFA" w:rsidRPr="00675182" w:rsidRDefault="003D4EFA" w:rsidP="003D4EFA">
      <w:pPr>
        <w:snapToGrid w:val="0"/>
        <w:jc w:val="both"/>
        <w:rPr>
          <w:rFonts w:eastAsia="Arial Unicode MS" w:cstheme="minorHAnsi"/>
          <w:szCs w:val="24"/>
        </w:rPr>
      </w:pPr>
    </w:p>
    <w:p w14:paraId="27FFD9CA" w14:textId="1168A1BB"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Rezultātā tiktu ierīkota infrastruktūra ģeoloģiskā pieminekļa “Viesulēnu slāņi” aizsardzībai.</w:t>
      </w:r>
    </w:p>
    <w:p w14:paraId="1D52D2CE" w14:textId="77777777" w:rsidR="003D4EFA" w:rsidRPr="00675182" w:rsidRDefault="003D4EFA" w:rsidP="003D4EFA">
      <w:pPr>
        <w:snapToGrid w:val="0"/>
        <w:jc w:val="both"/>
        <w:rPr>
          <w:rFonts w:eastAsia="Arial Unicode MS" w:cstheme="minorHAnsi"/>
          <w:szCs w:val="24"/>
        </w:rPr>
      </w:pPr>
    </w:p>
    <w:p w14:paraId="0D6DFA10" w14:textId="77777777" w:rsidR="003D4EFA" w:rsidRPr="00675182" w:rsidRDefault="003D4EFA" w:rsidP="003D4EFA">
      <w:pPr>
        <w:jc w:val="both"/>
        <w:rPr>
          <w:rFonts w:cstheme="minorHAnsi"/>
          <w:b/>
          <w:bCs/>
        </w:rPr>
      </w:pPr>
      <w:r w:rsidRPr="00675182">
        <w:rPr>
          <w:rFonts w:cstheme="minorHAnsi"/>
          <w:b/>
          <w:bCs/>
        </w:rPr>
        <w:t>D.2.21. Veloceļu un velomaršrutu izveide esošā tīkla papildināšanai un savienojumu nodrošināšanai</w:t>
      </w:r>
    </w:p>
    <w:p w14:paraId="4F1EE764"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Paredzēts, ka GNP teritoriju šķērsos mikromobilitātes maršruts (veloceļš) Rīga-Sigulda-Cēsis-Valmiera, kurš daļā maršruta ved pa dzelzceļa nodalījuma joslu. Posmā Līgatne-Ieriķi kā piemērotāks vietējo iedzīvotāju un tūristu vajadzību nodrošināšanai rekomendējams veloceļš gar autoceļa A2 malu. Tāpat ieteicams izbūvēt veloceļu posmā Ragana-Turaida, lai nodrošinātu gan vietējo iedzīvotāju, gan tūristu drošu pārvietošanos starp apdzīvotām vietām un populāriem tūrisma objektiem.</w:t>
      </w:r>
    </w:p>
    <w:p w14:paraId="6F9FCE47" w14:textId="77777777" w:rsidR="003D4EFA" w:rsidRPr="00675182" w:rsidRDefault="003D4EFA" w:rsidP="003D4EFA">
      <w:pPr>
        <w:snapToGrid w:val="0"/>
        <w:jc w:val="both"/>
        <w:rPr>
          <w:rFonts w:eastAsia="Arial Unicode MS" w:cstheme="minorHAnsi"/>
          <w:szCs w:val="24"/>
        </w:rPr>
      </w:pPr>
    </w:p>
    <w:p w14:paraId="427BD7A4" w14:textId="19DF2421" w:rsidR="005170A8" w:rsidRPr="00675182" w:rsidRDefault="003D4EFA" w:rsidP="003D4EFA">
      <w:pPr>
        <w:snapToGrid w:val="0"/>
        <w:rPr>
          <w:rFonts w:eastAsia="Arial Unicode MS" w:cstheme="minorHAnsi"/>
          <w:szCs w:val="24"/>
        </w:rPr>
      </w:pPr>
      <w:r w:rsidRPr="00675182">
        <w:rPr>
          <w:rFonts w:eastAsia="Arial Unicode MS" w:cstheme="minorHAnsi"/>
          <w:szCs w:val="24"/>
        </w:rPr>
        <w:t>Kā nepieciešami velo maršruti apdzīvotu vietu, transporta mezglu un tūrisma objektu savienošanai ir identificēti posmi starp Augšlīgatni un Līgatni, Inciemu un Gaujas ielejā esošajiem velomaršrutiem, Vaidavu/Rubeni un velomaršrutu Cēsis-Valmiera, kā arī maršruti Liepas apkārtnē tās tūrisma objektu un ainavu apskatei (Liepa-Jaunrauna, Liepasmuiža-Vaives dzirnavas, Liepa-Kalāči-Liepasmuiža). Precīzi maršrutu risinājumi būtu jāsaskaņo ar zemes tiesiskajiem valdītājiem.</w:t>
      </w:r>
    </w:p>
    <w:p w14:paraId="2079D3B1" w14:textId="7CBAEEA3" w:rsidR="00814CDF" w:rsidRPr="00675182" w:rsidRDefault="00814CDF" w:rsidP="003D4EFA">
      <w:pPr>
        <w:snapToGrid w:val="0"/>
        <w:rPr>
          <w:rFonts w:eastAsia="Arial Unicode MS" w:cstheme="minorHAnsi"/>
          <w:szCs w:val="24"/>
        </w:rPr>
      </w:pPr>
    </w:p>
    <w:p w14:paraId="1A437D70" w14:textId="77777777" w:rsidR="00814CDF" w:rsidRPr="00675182" w:rsidRDefault="00814CDF" w:rsidP="00814CDF">
      <w:pPr>
        <w:rPr>
          <w:b/>
          <w:bCs/>
        </w:rPr>
      </w:pPr>
      <w:r w:rsidRPr="00675182">
        <w:rPr>
          <w:rFonts w:eastAsia="Arial Unicode MS" w:cstheme="minorHAnsi"/>
          <w:b/>
          <w:bCs/>
          <w:szCs w:val="24"/>
        </w:rPr>
        <w:t>D.2.40.</w:t>
      </w:r>
      <w:r w:rsidRPr="00675182">
        <w:rPr>
          <w:rFonts w:eastAsia="Arial Unicode MS" w:cstheme="minorHAnsi"/>
          <w:szCs w:val="24"/>
        </w:rPr>
        <w:t xml:space="preserve"> </w:t>
      </w:r>
      <w:r w:rsidRPr="00675182">
        <w:rPr>
          <w:b/>
          <w:bCs/>
        </w:rPr>
        <w:t>Tūrisma infrastruktūras atjaunošana un uzturēšana “Vecupītēs”</w:t>
      </w:r>
    </w:p>
    <w:p w14:paraId="0C125B71" w14:textId="76783CAC" w:rsidR="00814CDF" w:rsidRPr="00675182" w:rsidRDefault="00814CDF" w:rsidP="00845F48">
      <w:pPr>
        <w:jc w:val="both"/>
      </w:pPr>
      <w:r w:rsidRPr="00675182">
        <w:t>Nepieciešams atjaunot un turpināt uzturēt infrastruktūru dabas takā “Vecupītes”, kā arī DAP un pašvaldībai vienoties par turpmāko takas un dabas izglītības centra ēkas uzturēšanu un izmantošanu mērķiem, kas saskan ar GNP ilgtermiņa mērķiem.</w:t>
      </w:r>
    </w:p>
    <w:p w14:paraId="374AA337" w14:textId="77777777" w:rsidR="00814CDF" w:rsidRPr="00675182" w:rsidRDefault="00814CDF" w:rsidP="00845F48">
      <w:pPr>
        <w:jc w:val="both"/>
      </w:pPr>
    </w:p>
    <w:p w14:paraId="4564526B" w14:textId="47F98CC9" w:rsidR="00814CDF" w:rsidRPr="00675182" w:rsidRDefault="00814CDF" w:rsidP="00845F48">
      <w:pPr>
        <w:jc w:val="both"/>
      </w:pPr>
      <w:r w:rsidRPr="00675182">
        <w:t xml:space="preserve">Pasākuma realizācija nodrošinās tūrisma infrastruktūru GNP ziemeļu daļā, kas visērtāk pieejama Valmieras un </w:t>
      </w:r>
      <w:r w:rsidR="00E265EE" w:rsidRPr="00675182">
        <w:t xml:space="preserve">Valmieras </w:t>
      </w:r>
      <w:r w:rsidRPr="00675182">
        <w:t xml:space="preserve">novada iedzīvotājiem. </w:t>
      </w:r>
    </w:p>
    <w:p w14:paraId="77DF22D9" w14:textId="77777777" w:rsidR="003D4EFA" w:rsidRPr="00675182" w:rsidRDefault="003D4EFA" w:rsidP="003D4EFA">
      <w:pPr>
        <w:snapToGrid w:val="0"/>
        <w:rPr>
          <w:rFonts w:eastAsia="Arial Unicode MS" w:cstheme="minorHAnsi"/>
          <w:szCs w:val="24"/>
        </w:rPr>
      </w:pPr>
    </w:p>
    <w:p w14:paraId="693D0B4A" w14:textId="77777777" w:rsidR="00323819" w:rsidRPr="00675182" w:rsidRDefault="00323819" w:rsidP="00323819">
      <w:pPr>
        <w:keepNext/>
        <w:keepLines/>
        <w:snapToGrid w:val="0"/>
        <w:rPr>
          <w:rFonts w:eastAsia="Arial Unicode MS" w:cstheme="minorHAnsi"/>
          <w:b/>
          <w:bCs/>
          <w:szCs w:val="24"/>
          <w:u w:val="single"/>
        </w:rPr>
      </w:pPr>
      <w:r w:rsidRPr="00675182">
        <w:rPr>
          <w:rFonts w:eastAsia="Arial Unicode MS" w:cstheme="minorHAnsi"/>
          <w:b/>
          <w:bCs/>
          <w:szCs w:val="24"/>
          <w:u w:val="single"/>
        </w:rPr>
        <w:lastRenderedPageBreak/>
        <w:t>Publiski pieejamu infrastruktūras objektu izveide</w:t>
      </w:r>
    </w:p>
    <w:p w14:paraId="6BD16C79" w14:textId="6ABE1958" w:rsidR="00323819" w:rsidRPr="00675182" w:rsidRDefault="00323819" w:rsidP="00ED7AB2">
      <w:pPr>
        <w:keepNext/>
        <w:keepLines/>
        <w:snapToGrid w:val="0"/>
        <w:jc w:val="both"/>
        <w:rPr>
          <w:rFonts w:eastAsia="Arial Unicode MS" w:cstheme="minorHAnsi"/>
          <w:szCs w:val="24"/>
          <w:u w:val="single"/>
        </w:rPr>
      </w:pPr>
      <w:r w:rsidRPr="00675182">
        <w:rPr>
          <w:rFonts w:eastAsia="Arial Unicode MS" w:cstheme="minorHAnsi"/>
          <w:szCs w:val="24"/>
        </w:rPr>
        <w:t xml:space="preserve">DA plāna ietvaros </w:t>
      </w:r>
      <w:r w:rsidR="00B65E2D" w:rsidRPr="00675182">
        <w:rPr>
          <w:rFonts w:eastAsia="Arial Unicode MS" w:cstheme="minorHAnsi"/>
          <w:szCs w:val="24"/>
        </w:rPr>
        <w:t xml:space="preserve">ir </w:t>
      </w:r>
      <w:r w:rsidRPr="00675182">
        <w:rPr>
          <w:rFonts w:eastAsia="Arial Unicode MS" w:cstheme="minorHAnsi"/>
          <w:szCs w:val="24"/>
        </w:rPr>
        <w:t xml:space="preserve">izvērtēti DAP, pašvaldību un privātpersonu ierosinājumi tūrisma taku un ar tām saistītās infrastruktūras izveidošanai; </w:t>
      </w:r>
      <w:r w:rsidR="00B65E2D" w:rsidRPr="00675182">
        <w:rPr>
          <w:rFonts w:eastAsia="Arial Unicode MS" w:cstheme="minorHAnsi"/>
          <w:szCs w:val="24"/>
        </w:rPr>
        <w:t xml:space="preserve">ir </w:t>
      </w:r>
      <w:r w:rsidRPr="00675182">
        <w:rPr>
          <w:rFonts w:eastAsia="Arial Unicode MS" w:cstheme="minorHAnsi"/>
          <w:szCs w:val="24"/>
        </w:rPr>
        <w:t xml:space="preserve">sagatavoti arī priekšlikumi taku tīkla papildināšanai, kur tas izriet no tūristu plūsmas plānošanas vajadzībām. Perspektīvās takas attēlotas </w:t>
      </w:r>
      <w:r w:rsidR="00ED7AB2" w:rsidRPr="00675182">
        <w:rPr>
          <w:rFonts w:eastAsia="Arial Unicode MS" w:cstheme="minorHAnsi"/>
          <w:szCs w:val="24"/>
        </w:rPr>
        <w:t>13</w:t>
      </w:r>
      <w:r w:rsidR="00B65E2D" w:rsidRPr="00675182">
        <w:rPr>
          <w:rFonts w:eastAsia="Arial Unicode MS" w:cstheme="minorHAnsi"/>
          <w:szCs w:val="24"/>
        </w:rPr>
        <w:t>.</w:t>
      </w:r>
      <w:r w:rsidRPr="00675182">
        <w:rPr>
          <w:rFonts w:eastAsia="Arial Unicode MS" w:cstheme="minorHAnsi"/>
          <w:szCs w:val="24"/>
        </w:rPr>
        <w:t xml:space="preserve"> pielikumā. </w:t>
      </w:r>
      <w:r w:rsidRPr="00675182">
        <w:rPr>
          <w:rFonts w:eastAsia="Arial Unicode MS" w:cstheme="minorHAnsi"/>
          <w:szCs w:val="24"/>
          <w:u w:val="single"/>
        </w:rPr>
        <w:t xml:space="preserve">DA plānā iekļautās </w:t>
      </w:r>
      <w:r w:rsidR="00814CDF" w:rsidRPr="00675182">
        <w:rPr>
          <w:rFonts w:eastAsia="Arial Unicode MS" w:cstheme="minorHAnsi"/>
          <w:szCs w:val="24"/>
          <w:u w:val="single"/>
        </w:rPr>
        <w:t xml:space="preserve">perspektīvās </w:t>
      </w:r>
      <w:r w:rsidRPr="00675182">
        <w:rPr>
          <w:rFonts w:eastAsia="Arial Unicode MS" w:cstheme="minorHAnsi"/>
          <w:szCs w:val="24"/>
          <w:u w:val="single"/>
        </w:rPr>
        <w:t xml:space="preserve">takas uzskatāmas par rekomendācijām un to precīzi tehniskie parametri un novietojums </w:t>
      </w:r>
      <w:r w:rsidR="00B65E2D" w:rsidRPr="00675182">
        <w:rPr>
          <w:rFonts w:eastAsia="Arial Unicode MS" w:cstheme="minorHAnsi"/>
          <w:szCs w:val="24"/>
          <w:u w:val="single"/>
        </w:rPr>
        <w:t xml:space="preserve">būtu </w:t>
      </w:r>
      <w:r w:rsidRPr="00675182">
        <w:rPr>
          <w:rFonts w:eastAsia="Arial Unicode MS" w:cstheme="minorHAnsi"/>
          <w:szCs w:val="24"/>
          <w:u w:val="single"/>
        </w:rPr>
        <w:t xml:space="preserve">iekļaujams DDPS “Ozols” tikai pēc objekta tehniskās dokumentācijas izstrādes (kur tāda nepieciešama) un saskaņošanas ar visiem tiesiskajiem valdītājiem, kuru īpašumā atrodas </w:t>
      </w:r>
      <w:r w:rsidR="00814CDF" w:rsidRPr="00675182">
        <w:rPr>
          <w:rFonts w:eastAsia="Arial Unicode MS" w:cstheme="minorHAnsi"/>
          <w:szCs w:val="24"/>
          <w:u w:val="single"/>
        </w:rPr>
        <w:t xml:space="preserve">perspektīvā </w:t>
      </w:r>
      <w:r w:rsidRPr="00675182">
        <w:rPr>
          <w:rFonts w:eastAsia="Arial Unicode MS" w:cstheme="minorHAnsi"/>
          <w:szCs w:val="24"/>
          <w:u w:val="single"/>
        </w:rPr>
        <w:t>taka vai ar to saistītie infrastruktūras objekti.</w:t>
      </w:r>
    </w:p>
    <w:p w14:paraId="2A4C0B96" w14:textId="77777777" w:rsidR="00323819" w:rsidRPr="00675182" w:rsidRDefault="00323819" w:rsidP="005170A8">
      <w:pPr>
        <w:snapToGrid w:val="0"/>
        <w:rPr>
          <w:rFonts w:eastAsia="Arial Unicode MS" w:cstheme="minorHAnsi"/>
          <w:szCs w:val="24"/>
        </w:rPr>
      </w:pPr>
    </w:p>
    <w:p w14:paraId="2C0D8EEE" w14:textId="77777777" w:rsidR="005170A8" w:rsidRPr="00675182" w:rsidRDefault="005170A8" w:rsidP="005170A8">
      <w:pPr>
        <w:snapToGrid w:val="0"/>
        <w:rPr>
          <w:rFonts w:eastAsia="Arial Unicode MS" w:cstheme="minorHAnsi"/>
          <w:b/>
          <w:bCs/>
          <w:szCs w:val="24"/>
        </w:rPr>
      </w:pPr>
      <w:r w:rsidRPr="00675182">
        <w:rPr>
          <w:rFonts w:eastAsia="Arial Unicode MS" w:cstheme="minorHAnsi"/>
          <w:b/>
          <w:bCs/>
          <w:szCs w:val="24"/>
        </w:rPr>
        <w:t>D.2.22. Rekreācijas infrastruktūras izveide un papildināšana Cēsu pilsētā un apkārtnē</w:t>
      </w:r>
    </w:p>
    <w:p w14:paraId="2983307F" w14:textId="4B11873D" w:rsidR="00F437CC" w:rsidRPr="00675182" w:rsidRDefault="00F437CC" w:rsidP="00F437CC">
      <w:pPr>
        <w:snapToGrid w:val="0"/>
        <w:jc w:val="both"/>
        <w:rPr>
          <w:rFonts w:eastAsia="Arial Unicode MS" w:cstheme="minorHAnsi"/>
          <w:strike/>
          <w:szCs w:val="24"/>
        </w:rPr>
      </w:pPr>
      <w:r w:rsidRPr="00675182">
        <w:rPr>
          <w:rFonts w:eastAsia="Arial Unicode MS" w:cstheme="minorHAnsi"/>
          <w:szCs w:val="24"/>
        </w:rPr>
        <w:t xml:space="preserve">Kā iespējamais taku tīkla papildinājums būtu atbalstāms maršruts Gaujas kreisajā krastā augšpus Cēsu-Stalbes ceļa tilta, ir iespējama arī kājnieku tilta izbūve pretim Lenčupes ietekai, izveidojot apļveida maršrutu. Precīzi takas risinājumi būtu jāsaskaņo ar zemes tiesiskajiem valdītājiem, kā arī projektēšanas un izbūves laikā jānodrošina sugu un biotopu aizsardzības jomā sertificētu ekspertu uzraudzība (purvu un vaskulāro augu eksperts, tilta izbūves gadījumā – bezmugurkaulnieku eksperts). Takas maršrutā ir paredzēta arī papildinošo infrastruktūras objektu izveide (velo novietnes, atpūtas vietas, informācijas stendi). Paredzēta arī atpūtas vietas “Cēsis” rekreācijas infrastruktūras papildināšana. Ir izvērtēts un atbalstāms priekšlikums pārcelt kempinga “Žagarkalns” informācijas kiosku uz paaugstinājumu Gaujas krastā lejpus kempinga, lai tas atrastos ārpus applūstošās teritorijas, vienlaikus papildinot tā labiekārtojumu, lai </w:t>
      </w:r>
      <w:r w:rsidR="006D6778" w:rsidRPr="00675182">
        <w:rPr>
          <w:rFonts w:eastAsia="Arial Unicode MS" w:cstheme="minorHAnsi"/>
          <w:szCs w:val="24"/>
        </w:rPr>
        <w:t xml:space="preserve">izveidotos moderns pakalpojumu centrs </w:t>
      </w:r>
      <w:r w:rsidRPr="00675182">
        <w:rPr>
          <w:rFonts w:eastAsia="Arial Unicode MS" w:cstheme="minorHAnsi"/>
          <w:szCs w:val="24"/>
        </w:rPr>
        <w:t xml:space="preserve">var apkalpot gan kempinga klientus, gan Cīrulīšu dabas taku apmeklētājus. </w:t>
      </w:r>
    </w:p>
    <w:p w14:paraId="28E83A86" w14:textId="77777777" w:rsidR="00F437CC" w:rsidRPr="00675182" w:rsidRDefault="00F437CC" w:rsidP="00F437CC">
      <w:pPr>
        <w:rPr>
          <w:strike/>
        </w:rPr>
      </w:pPr>
    </w:p>
    <w:p w14:paraId="0741229A"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Gaujas labajā krastā, augšpus tiltam, ir ieteicams attīstīt (marķēt un uzturēt) kājnieku takas savienojumu no Raiskumkroga ar Strīķupīti un tālāk līdz Jāņarāmja tiltam. Tāpat tiek rekomendēts arī izveidot apļveida taku gar Strīķupes krastiem, starp Kalējalu un Gauju, sakārtojot esošo stihisko taku tīklu un novirzot apmeklētājus no Strīķupes posma augšpus Kalējalas. Lejpus Raiskumkrogam ieteicams savienot šo taku pa Miglas ielu ar maršrutu uz Kvēpeni.</w:t>
      </w:r>
    </w:p>
    <w:p w14:paraId="68D9258A" w14:textId="77777777" w:rsidR="003D4EFA" w:rsidRPr="00675182" w:rsidRDefault="003D4EFA" w:rsidP="003D4EFA">
      <w:pPr>
        <w:snapToGrid w:val="0"/>
        <w:jc w:val="both"/>
        <w:rPr>
          <w:rFonts w:eastAsia="Arial Unicode MS" w:cstheme="minorHAnsi"/>
          <w:szCs w:val="24"/>
        </w:rPr>
      </w:pPr>
    </w:p>
    <w:p w14:paraId="6D8216CA"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Papildinot tūrisma un rekreācijas infrastruktūru vai veidojot jaunus objektus (piemēram, atpūtas vietas, simboliskus GNP vārtus uz ceļiem u.tml.), būtu jāpieaicina ainavu arhitekts, lai nodrošinātu objektu iekļaušanos vidē un saskaņotību ar esošo infrastruktūru. Visiem objektiem pie Gaujas nav pieļaujama uz upi vērsta pastāvīga apgaismojuma izbūve, lai samazinātu ietekmi uz sikspārņu barošanās vietām.</w:t>
      </w:r>
    </w:p>
    <w:p w14:paraId="32B146A9" w14:textId="77777777" w:rsidR="003D4EFA" w:rsidRPr="00675182" w:rsidRDefault="003D4EFA" w:rsidP="003D4EFA">
      <w:pPr>
        <w:snapToGrid w:val="0"/>
        <w:jc w:val="both"/>
        <w:rPr>
          <w:rFonts w:eastAsia="Arial Unicode MS" w:cstheme="minorHAnsi"/>
          <w:szCs w:val="24"/>
        </w:rPr>
      </w:pPr>
    </w:p>
    <w:p w14:paraId="55F07DDC"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Pasākumu realizācijas rezultātā tiks izveidots un uzturēts taku tīkls augšpus Cēsu-Stalbes ceļa tilta, tiks papildināta infrastruktūra esošajos tūrisma un rekreācijas objektos, iegūtas daudzveidīgākas āra aktīvās atpūtas iespējas Cēsu iedzīvotājiem.</w:t>
      </w:r>
    </w:p>
    <w:p w14:paraId="0619512B" w14:textId="77777777" w:rsidR="003D4EFA" w:rsidRPr="00675182" w:rsidRDefault="003D4EFA" w:rsidP="003D4EFA">
      <w:pPr>
        <w:snapToGrid w:val="0"/>
        <w:jc w:val="both"/>
        <w:rPr>
          <w:rFonts w:eastAsia="Arial Unicode MS" w:cstheme="minorHAnsi"/>
          <w:szCs w:val="24"/>
        </w:rPr>
      </w:pPr>
    </w:p>
    <w:p w14:paraId="144B95D9" w14:textId="77777777" w:rsidR="003D4EFA" w:rsidRPr="00675182" w:rsidRDefault="003D4EFA" w:rsidP="003D4EFA">
      <w:pPr>
        <w:snapToGrid w:val="0"/>
        <w:jc w:val="both"/>
        <w:rPr>
          <w:rFonts w:eastAsia="Arial Unicode MS" w:cstheme="minorHAnsi"/>
          <w:b/>
          <w:bCs/>
          <w:szCs w:val="24"/>
        </w:rPr>
      </w:pPr>
      <w:r w:rsidRPr="00675182">
        <w:rPr>
          <w:rFonts w:eastAsia="Arial Unicode MS" w:cstheme="minorHAnsi"/>
          <w:b/>
          <w:bCs/>
          <w:szCs w:val="24"/>
        </w:rPr>
        <w:t>D.2.23. Rekreācijas infrastruktūras izveide Vaidavas ezeram pieguļošajā teritorijā</w:t>
      </w:r>
    </w:p>
    <w:p w14:paraId="32C0544A"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Ir izvērtēti priekšlikumi pontonu laipas izveidei un niedru pļaušanai Vaidavas ciema pludmalē, infrastruktūras attīstībai Vaidavas pilskalna apkārtnē un iespējamai laipai pār mitraini Vaidavas ezera ziemeļu galā. Priekšlikumi būtu īstenojami ar nosacījumiem dabas un kultūrvēsturisko vērtību saglabāšanai:</w:t>
      </w:r>
    </w:p>
    <w:p w14:paraId="176E660A" w14:textId="55234D52" w:rsidR="003D4EFA" w:rsidRPr="00675182" w:rsidRDefault="003D4EFA" w:rsidP="00A84218">
      <w:pPr>
        <w:pStyle w:val="ListParagraph"/>
        <w:numPr>
          <w:ilvl w:val="0"/>
          <w:numId w:val="63"/>
        </w:numPr>
        <w:snapToGrid w:val="0"/>
        <w:ind w:left="709"/>
        <w:jc w:val="both"/>
        <w:rPr>
          <w:rFonts w:eastAsia="Arial Unicode MS" w:cstheme="minorHAnsi"/>
          <w:szCs w:val="24"/>
        </w:rPr>
      </w:pPr>
      <w:r w:rsidRPr="00675182">
        <w:rPr>
          <w:rFonts w:eastAsia="Arial Unicode MS" w:cstheme="minorHAnsi"/>
          <w:szCs w:val="24"/>
        </w:rPr>
        <w:lastRenderedPageBreak/>
        <w:t>Vaidavas ezera pludmales labiekārtošanai jāpieaicina ainavu arhitekts, nodrošinot apkārtējā vidē un apbūvē vizuāli integrētus infrastruktūras risinājumus. Jānodrošina labierīcības ar izsmeļamo kanalizāciju (vai pieslēgšanos ciema kopējam kanalizācijas tīklam). Apkārtējās teritorijas uzturēšanā vēlama pļaušana ar zāles novākšanu 1-2x gadā, veicinot daudzveidīgas zālāju veģetācijas saglabāšanos</w:t>
      </w:r>
      <w:r w:rsidR="007A4956">
        <w:rPr>
          <w:rFonts w:eastAsia="Arial Unicode MS" w:cstheme="minorHAnsi"/>
          <w:szCs w:val="24"/>
        </w:rPr>
        <w:t>;</w:t>
      </w:r>
    </w:p>
    <w:p w14:paraId="014D483B" w14:textId="465A1D27" w:rsidR="003D4EFA" w:rsidRPr="00675182" w:rsidRDefault="003D4EFA" w:rsidP="00A84218">
      <w:pPr>
        <w:pStyle w:val="ListParagraph"/>
        <w:numPr>
          <w:ilvl w:val="0"/>
          <w:numId w:val="63"/>
        </w:numPr>
        <w:snapToGrid w:val="0"/>
        <w:ind w:left="709"/>
        <w:jc w:val="both"/>
        <w:rPr>
          <w:rFonts w:eastAsia="Arial Unicode MS" w:cstheme="minorHAnsi"/>
          <w:szCs w:val="24"/>
        </w:rPr>
      </w:pPr>
      <w:r w:rsidRPr="00675182">
        <w:rPr>
          <w:rFonts w:eastAsia="Arial Unicode MS" w:cstheme="minorHAnsi"/>
          <w:szCs w:val="24"/>
        </w:rPr>
        <w:t>Vaidavas pilskalnā nav vēlama papildus tūristu plūsmas piesaistīšana, iespējama esošās infrastruktūras uzturēšana, konsultējoties ar NKMP</w:t>
      </w:r>
      <w:r w:rsidR="007A4956">
        <w:rPr>
          <w:rFonts w:eastAsia="Arial Unicode MS" w:cstheme="minorHAnsi"/>
          <w:szCs w:val="24"/>
        </w:rPr>
        <w:t>;</w:t>
      </w:r>
    </w:p>
    <w:p w14:paraId="0CD8B490" w14:textId="77777777" w:rsidR="003D4EFA" w:rsidRPr="00675182" w:rsidRDefault="003D4EFA" w:rsidP="00A84218">
      <w:pPr>
        <w:pStyle w:val="ListParagraph"/>
        <w:numPr>
          <w:ilvl w:val="0"/>
          <w:numId w:val="63"/>
        </w:numPr>
        <w:snapToGrid w:val="0"/>
        <w:ind w:left="709"/>
        <w:jc w:val="both"/>
        <w:rPr>
          <w:rFonts w:eastAsia="Arial Unicode MS" w:cstheme="minorHAnsi"/>
          <w:szCs w:val="24"/>
        </w:rPr>
      </w:pPr>
      <w:r w:rsidRPr="00675182">
        <w:rPr>
          <w:rFonts w:eastAsia="Arial Unicode MS" w:cstheme="minorHAnsi"/>
          <w:szCs w:val="24"/>
        </w:rPr>
        <w:t>Vaidavas muižas kā rekreācijas objekta attīstība un savienojuma izveide ar Rubeni (krogu “Mazais Ansis”), no dabas vērtību viedokļa ir pieļaujama, bet nepieciešams saskaņot ar NKMP, kā arī ekspertu ornitoloģijā, lai nepieļautu negatīvu ietekmi uz mitrāju putnu ligzdošanu.</w:t>
      </w:r>
    </w:p>
    <w:p w14:paraId="7093A378" w14:textId="77777777" w:rsidR="003D4EFA" w:rsidRPr="00675182" w:rsidRDefault="003D4EFA" w:rsidP="003D4EFA">
      <w:pPr>
        <w:snapToGrid w:val="0"/>
        <w:jc w:val="both"/>
        <w:rPr>
          <w:rFonts w:eastAsia="Arial Unicode MS" w:cstheme="minorHAnsi"/>
          <w:szCs w:val="24"/>
        </w:rPr>
      </w:pPr>
    </w:p>
    <w:p w14:paraId="0E81E2E0" w14:textId="2D76B70F" w:rsidR="003D4EFA" w:rsidRPr="00675182" w:rsidRDefault="00C74E47" w:rsidP="003D4EFA">
      <w:pPr>
        <w:snapToGrid w:val="0"/>
        <w:jc w:val="both"/>
        <w:rPr>
          <w:rFonts w:cstheme="minorHAnsi"/>
          <w:szCs w:val="24"/>
        </w:rPr>
      </w:pPr>
      <w:r w:rsidRPr="00675182">
        <w:rPr>
          <w:rFonts w:cstheme="minorHAnsi"/>
          <w:szCs w:val="24"/>
        </w:rPr>
        <w:t>Pasākuma sasniedzamie rezultāti: Vaidavas ciema pludmalē izveidota teritorijā iederīga laipa ezerā ar atbilstošu nestspēju, drošību un vizuāli estētisko risinājumu, kas ir iederīgs ainavā, ņemot vērā apmeklētāju skaitu; ezera Rubenes ciema pusē labiekārtota piekļuve ezeram, uzturēta infrastruktūra Vaidavas pilskalnā, atjaunota un uzturēta Vaidavas muiža un savienojoša taka ar Rubeni, un "Mīlestības taka" Vaidavas ciema teritorijā.</w:t>
      </w:r>
    </w:p>
    <w:p w14:paraId="492DA436" w14:textId="77777777" w:rsidR="00C74E47" w:rsidRPr="00675182" w:rsidRDefault="00C74E47" w:rsidP="003D4EFA">
      <w:pPr>
        <w:snapToGrid w:val="0"/>
        <w:jc w:val="both"/>
        <w:rPr>
          <w:rFonts w:eastAsia="Arial Unicode MS" w:cstheme="minorHAnsi"/>
          <w:szCs w:val="24"/>
        </w:rPr>
      </w:pPr>
    </w:p>
    <w:p w14:paraId="27E96E23" w14:textId="77777777" w:rsidR="003D4EFA" w:rsidRPr="00675182" w:rsidRDefault="003D4EFA" w:rsidP="003D4EFA">
      <w:pPr>
        <w:snapToGrid w:val="0"/>
        <w:jc w:val="both"/>
        <w:rPr>
          <w:rFonts w:eastAsia="Arial Unicode MS" w:cstheme="minorHAnsi"/>
          <w:b/>
          <w:bCs/>
          <w:szCs w:val="24"/>
        </w:rPr>
      </w:pPr>
      <w:r w:rsidRPr="00675182">
        <w:rPr>
          <w:rFonts w:eastAsia="Arial Unicode MS" w:cstheme="minorHAnsi"/>
          <w:b/>
          <w:bCs/>
          <w:szCs w:val="24"/>
        </w:rPr>
        <w:t>D.2.24. Rekreācijas infrastruktūras papildināšana Siguldas apkārtnē</w:t>
      </w:r>
    </w:p>
    <w:p w14:paraId="4133087C"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 xml:space="preserve">Siguldas apkārtnē kājnieku taku un velomaršrutu tīkls ir labi attīstīts un būtu jāturpina tā uzturēšana, bet ir vēlami vairāki papildinājumi: </w:t>
      </w:r>
    </w:p>
    <w:p w14:paraId="5DD959BB" w14:textId="0A1D3D42" w:rsidR="003D4EFA" w:rsidRPr="00675182" w:rsidRDefault="00564ABA" w:rsidP="00A84218">
      <w:pPr>
        <w:pStyle w:val="ListParagraph"/>
        <w:numPr>
          <w:ilvl w:val="0"/>
          <w:numId w:val="59"/>
        </w:numPr>
        <w:snapToGrid w:val="0"/>
        <w:jc w:val="both"/>
        <w:rPr>
          <w:rFonts w:eastAsia="Arial Unicode MS" w:cstheme="minorHAnsi"/>
          <w:szCs w:val="24"/>
        </w:rPr>
      </w:pPr>
      <w:r>
        <w:rPr>
          <w:rFonts w:eastAsia="Arial Unicode MS" w:cstheme="minorHAnsi"/>
          <w:szCs w:val="24"/>
        </w:rPr>
        <w:t>m</w:t>
      </w:r>
      <w:r w:rsidRPr="00675182">
        <w:rPr>
          <w:rFonts w:eastAsia="Arial Unicode MS" w:cstheme="minorHAnsi"/>
          <w:szCs w:val="24"/>
        </w:rPr>
        <w:t xml:space="preserve">arķētu </w:t>
      </w:r>
      <w:r w:rsidR="003D4EFA" w:rsidRPr="00675182">
        <w:rPr>
          <w:rFonts w:eastAsia="Arial Unicode MS" w:cstheme="minorHAnsi"/>
          <w:szCs w:val="24"/>
        </w:rPr>
        <w:t>kājnieku taku tīkls Krimuldas mežaparkā, kur šobrīd ir stihiski iestaigātas takas. Nav pieļaujama būtiska iejaukšanās dabiskajos meža procesos, izņemot kritušo koku novākšanu un novietošanu mežaudzē;</w:t>
      </w:r>
    </w:p>
    <w:p w14:paraId="76544F38" w14:textId="1EC3C985" w:rsidR="003D4EFA" w:rsidRPr="00675182" w:rsidRDefault="00564ABA" w:rsidP="00A84218">
      <w:pPr>
        <w:pStyle w:val="ListParagraph"/>
        <w:numPr>
          <w:ilvl w:val="0"/>
          <w:numId w:val="59"/>
        </w:numPr>
        <w:snapToGrid w:val="0"/>
        <w:jc w:val="both"/>
        <w:rPr>
          <w:rFonts w:eastAsia="Arial Unicode MS" w:cstheme="minorHAnsi"/>
          <w:szCs w:val="24"/>
        </w:rPr>
      </w:pPr>
      <w:r>
        <w:rPr>
          <w:rFonts w:eastAsia="Arial Unicode MS" w:cstheme="minorHAnsi"/>
          <w:szCs w:val="24"/>
        </w:rPr>
        <w:t>i</w:t>
      </w:r>
      <w:r w:rsidRPr="00675182">
        <w:rPr>
          <w:rFonts w:eastAsia="Arial Unicode MS" w:cstheme="minorHAnsi"/>
          <w:szCs w:val="24"/>
        </w:rPr>
        <w:t xml:space="preserve">eteicams </w:t>
      </w:r>
      <w:r w:rsidR="003D4EFA" w:rsidRPr="00675182">
        <w:rPr>
          <w:rFonts w:eastAsia="Arial Unicode MS" w:cstheme="minorHAnsi"/>
          <w:szCs w:val="24"/>
        </w:rPr>
        <w:t>izveidot un uzturēt apļveida taku starp Brūveriem un Velnalu, ozolu meža apskatei, lai neveicinātu stihisku taku veidošanos tālāk uz rietumiem. Velnalas automašīnu stāvvieta slēdzama – daļēji pārceļama pie Brūveriem un Krimuldā, izveidojot arī savienojumu uz Velnalas-Krimuldas taku;</w:t>
      </w:r>
    </w:p>
    <w:p w14:paraId="1B7013F4" w14:textId="5816C42A" w:rsidR="003D4EFA" w:rsidRPr="00675182" w:rsidRDefault="00564ABA" w:rsidP="00A84218">
      <w:pPr>
        <w:pStyle w:val="ListParagraph"/>
        <w:numPr>
          <w:ilvl w:val="0"/>
          <w:numId w:val="59"/>
        </w:numPr>
        <w:snapToGrid w:val="0"/>
        <w:jc w:val="both"/>
        <w:rPr>
          <w:rFonts w:eastAsia="Arial Unicode MS" w:cstheme="minorHAnsi"/>
          <w:szCs w:val="24"/>
        </w:rPr>
      </w:pPr>
      <w:r>
        <w:rPr>
          <w:rFonts w:eastAsia="Arial Unicode MS" w:cstheme="minorHAnsi"/>
          <w:szCs w:val="24"/>
        </w:rPr>
        <w:t>i</w:t>
      </w:r>
      <w:r w:rsidRPr="00675182">
        <w:rPr>
          <w:rFonts w:eastAsia="Arial Unicode MS" w:cstheme="minorHAnsi"/>
          <w:szCs w:val="24"/>
        </w:rPr>
        <w:t xml:space="preserve">zveidot </w:t>
      </w:r>
      <w:r w:rsidR="003D4EFA" w:rsidRPr="00675182">
        <w:rPr>
          <w:rFonts w:eastAsia="Arial Unicode MS" w:cstheme="minorHAnsi"/>
          <w:szCs w:val="24"/>
        </w:rPr>
        <w:t>un uzturēt savienojumu starp Turaidas ciemu un Vikmestes taku pa Pļavu ielu un tās turpinājumu mežā;</w:t>
      </w:r>
    </w:p>
    <w:p w14:paraId="35BA2DD1" w14:textId="77777777" w:rsidR="003D4EFA" w:rsidRPr="00675182" w:rsidRDefault="003D4EFA" w:rsidP="00A84218">
      <w:pPr>
        <w:pStyle w:val="ListParagraph"/>
        <w:numPr>
          <w:ilvl w:val="0"/>
          <w:numId w:val="59"/>
        </w:numPr>
        <w:snapToGrid w:val="0"/>
        <w:jc w:val="both"/>
        <w:rPr>
          <w:rFonts w:eastAsia="Arial Unicode MS" w:cstheme="minorHAnsi"/>
          <w:szCs w:val="24"/>
        </w:rPr>
      </w:pPr>
      <w:r w:rsidRPr="00675182">
        <w:rPr>
          <w:rFonts w:eastAsia="Arial Unicode MS" w:cstheme="minorHAnsi"/>
          <w:szCs w:val="24"/>
        </w:rPr>
        <w:t xml:space="preserve">Gaujas kreisajā krastā lejpus Siguldas kapiem, perspektīvā varētu tikt izveidota pārceltuve tūristiem (privātuzņēmēja iniciatīva), tādā gadījumā nepieciešams labiekārtot un uzturēt tās pieejas ceļu, kā arī izveidot savienojumu ar Sv.Jēkaba </w:t>
      </w:r>
      <w:r w:rsidRPr="00675182">
        <w:rPr>
          <w:rFonts w:eastAsia="Arial Unicode MS" w:cstheme="minorHAnsi"/>
          <w:i/>
          <w:iCs/>
          <w:szCs w:val="24"/>
        </w:rPr>
        <w:t xml:space="preserve">Camino </w:t>
      </w:r>
      <w:r w:rsidRPr="00675182">
        <w:rPr>
          <w:rFonts w:eastAsia="Arial Unicode MS" w:cstheme="minorHAnsi"/>
          <w:szCs w:val="24"/>
        </w:rPr>
        <w:t>taku. Paredzēta šķērsojuma izveide pāri gravai pie Pazemes alām Gaujas krastā un pārceltuves vietas savienojums ar taku uz Kropotkinu kapiem;</w:t>
      </w:r>
    </w:p>
    <w:p w14:paraId="427C6AEA" w14:textId="7C7058B8" w:rsidR="003D4EFA" w:rsidRPr="00675182" w:rsidRDefault="00564ABA" w:rsidP="00A84218">
      <w:pPr>
        <w:pStyle w:val="ListParagraph"/>
        <w:numPr>
          <w:ilvl w:val="0"/>
          <w:numId w:val="59"/>
        </w:numPr>
        <w:snapToGrid w:val="0"/>
        <w:jc w:val="both"/>
        <w:rPr>
          <w:rFonts w:eastAsia="Arial Unicode MS" w:cstheme="minorHAnsi"/>
          <w:szCs w:val="24"/>
        </w:rPr>
      </w:pPr>
      <w:r>
        <w:rPr>
          <w:rFonts w:eastAsia="Arial Unicode MS" w:cstheme="minorHAnsi"/>
          <w:szCs w:val="24"/>
        </w:rPr>
        <w:t>a</w:t>
      </w:r>
      <w:r w:rsidRPr="00675182">
        <w:rPr>
          <w:rFonts w:eastAsia="Arial Unicode MS" w:cstheme="minorHAnsi"/>
          <w:szCs w:val="24"/>
        </w:rPr>
        <w:t xml:space="preserve">ttīstīt </w:t>
      </w:r>
      <w:r w:rsidR="003D4EFA" w:rsidRPr="00675182">
        <w:rPr>
          <w:rFonts w:eastAsia="Arial Unicode MS" w:cstheme="minorHAnsi"/>
          <w:szCs w:val="24"/>
        </w:rPr>
        <w:t>un uzturēt stihiski iestaigāto taku gar Vējupītes malu starp Nurmižu ceļu un kāpnēm uz Pēteralu; risinājumi infrastruktūrai jāsaskaņo ar NKMP, jānodrošina atkritumu savākšana un informatīvā infrastruktūra. Nav vēlama papildus tūristu plūsmas piesaistīšana;</w:t>
      </w:r>
    </w:p>
    <w:p w14:paraId="3A1E717E" w14:textId="7D088666" w:rsidR="003D4EFA" w:rsidRPr="00675182" w:rsidRDefault="00564ABA" w:rsidP="00A84218">
      <w:pPr>
        <w:pStyle w:val="ListParagraph"/>
        <w:numPr>
          <w:ilvl w:val="0"/>
          <w:numId w:val="59"/>
        </w:numPr>
        <w:snapToGrid w:val="0"/>
        <w:jc w:val="both"/>
        <w:rPr>
          <w:rFonts w:eastAsia="Arial Unicode MS" w:cstheme="minorHAnsi"/>
          <w:szCs w:val="24"/>
        </w:rPr>
      </w:pPr>
      <w:r>
        <w:rPr>
          <w:rFonts w:eastAsia="Arial Unicode MS" w:cstheme="minorHAnsi"/>
          <w:szCs w:val="24"/>
        </w:rPr>
        <w:t>m</w:t>
      </w:r>
      <w:r w:rsidRPr="00675182">
        <w:rPr>
          <w:rFonts w:eastAsia="Arial Unicode MS" w:cstheme="minorHAnsi"/>
          <w:szCs w:val="24"/>
        </w:rPr>
        <w:t xml:space="preserve">arķēt </w:t>
      </w:r>
      <w:r w:rsidR="003D4EFA" w:rsidRPr="00675182">
        <w:rPr>
          <w:rFonts w:eastAsia="Arial Unicode MS" w:cstheme="minorHAnsi"/>
          <w:szCs w:val="24"/>
        </w:rPr>
        <w:t xml:space="preserve">un uzturēt taku starp Šveices ielu un “Paceplīšiem” pie Kordes trases; </w:t>
      </w:r>
    </w:p>
    <w:p w14:paraId="3CF4CA7C" w14:textId="4B18E520" w:rsidR="003D4EFA" w:rsidRPr="00675182" w:rsidRDefault="00564ABA" w:rsidP="00A84218">
      <w:pPr>
        <w:pStyle w:val="ListParagraph"/>
        <w:numPr>
          <w:ilvl w:val="0"/>
          <w:numId w:val="59"/>
        </w:numPr>
        <w:snapToGrid w:val="0"/>
        <w:jc w:val="both"/>
        <w:rPr>
          <w:rFonts w:eastAsia="Arial Unicode MS" w:cstheme="minorHAnsi"/>
          <w:szCs w:val="24"/>
        </w:rPr>
      </w:pPr>
      <w:r>
        <w:rPr>
          <w:rFonts w:eastAsia="Arial Unicode MS" w:cstheme="minorHAnsi"/>
          <w:szCs w:val="24"/>
        </w:rPr>
        <w:t>i</w:t>
      </w:r>
      <w:r w:rsidRPr="00675182">
        <w:rPr>
          <w:rFonts w:eastAsia="Arial Unicode MS" w:cstheme="minorHAnsi"/>
          <w:szCs w:val="24"/>
        </w:rPr>
        <w:t xml:space="preserve">zstrādāt </w:t>
      </w:r>
      <w:r w:rsidR="003D4EFA" w:rsidRPr="00675182">
        <w:rPr>
          <w:rFonts w:eastAsia="Arial Unicode MS" w:cstheme="minorHAnsi"/>
          <w:szCs w:val="24"/>
        </w:rPr>
        <w:t xml:space="preserve">plānu </w:t>
      </w:r>
      <w:r w:rsidR="003D4EFA" w:rsidRPr="00675182">
        <w:rPr>
          <w:rFonts w:eastAsia="Arial Unicode MS" w:cstheme="minorHAnsi"/>
          <w:i/>
          <w:iCs/>
          <w:szCs w:val="24"/>
        </w:rPr>
        <w:t>downhill</w:t>
      </w:r>
      <w:r w:rsidR="003D4EFA" w:rsidRPr="00675182">
        <w:rPr>
          <w:rFonts w:eastAsia="Arial Unicode MS" w:cstheme="minorHAnsi"/>
          <w:szCs w:val="24"/>
        </w:rPr>
        <w:t xml:space="preserve"> nobraucienu izveidošanai gar Kordes trasi, izmantojot trases pacēlāju infrastruktūru; konkrētiem risinājumiem jāsaņem sugu un biotopu aizsardzības jomā sertificēta eksperta atzinums. Iespējams plānot līdzīgus nobraucienus, izmantojot arī Pilsētas trases un Kaķīškalna infrastruktūru, konkrētos maršrutus un to tehniskos risinājumus, saskaņojot ar DAP;</w:t>
      </w:r>
    </w:p>
    <w:p w14:paraId="1608DD7A" w14:textId="151AD006" w:rsidR="003D4EFA" w:rsidRPr="00675182" w:rsidRDefault="00B63A2D" w:rsidP="00A84218">
      <w:pPr>
        <w:pStyle w:val="ListParagraph"/>
        <w:numPr>
          <w:ilvl w:val="0"/>
          <w:numId w:val="59"/>
        </w:numPr>
        <w:snapToGrid w:val="0"/>
        <w:jc w:val="both"/>
        <w:rPr>
          <w:rFonts w:eastAsia="Arial Unicode MS" w:cstheme="minorHAnsi"/>
          <w:szCs w:val="24"/>
        </w:rPr>
      </w:pPr>
      <w:r>
        <w:rPr>
          <w:rFonts w:eastAsia="Arial Unicode MS" w:cstheme="minorHAnsi"/>
          <w:szCs w:val="24"/>
        </w:rPr>
        <w:lastRenderedPageBreak/>
        <w:t>i</w:t>
      </w:r>
      <w:r w:rsidRPr="00675182">
        <w:rPr>
          <w:rFonts w:eastAsia="Arial Unicode MS" w:cstheme="minorHAnsi"/>
          <w:szCs w:val="24"/>
        </w:rPr>
        <w:t xml:space="preserve">niciatīva </w:t>
      </w:r>
      <w:r w:rsidR="003D4EFA" w:rsidRPr="00675182">
        <w:rPr>
          <w:rFonts w:eastAsia="Arial Unicode MS" w:cstheme="minorHAnsi"/>
          <w:szCs w:val="24"/>
        </w:rPr>
        <w:t>atjaunot vēsturisko ūdens kaskādi lejpus Krimuldas muižas atbalstāma, izvērtējot konkrēto risinājumu ietekmi uz avoksnāju un alu un atsegumu biotopiem.</w:t>
      </w:r>
    </w:p>
    <w:p w14:paraId="6D255068" w14:textId="77777777" w:rsidR="003D4EFA" w:rsidRPr="00675182" w:rsidRDefault="003D4EFA" w:rsidP="003D4EFA">
      <w:pPr>
        <w:snapToGrid w:val="0"/>
        <w:jc w:val="both"/>
        <w:rPr>
          <w:rFonts w:eastAsia="Arial Unicode MS" w:cstheme="minorHAnsi"/>
          <w:szCs w:val="24"/>
        </w:rPr>
      </w:pPr>
    </w:p>
    <w:p w14:paraId="4B8AA3BC"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Rezultātā tiktu attīstītas un uzturētas jaunas takas ~ 8,6 km garumā, izveidota pārceltuve tūristu vajadzībām, uzlabots apmeklētāju pieredzējums, mazināta antropogēnā slodze, slēdzot vienu auto stāvlaukumu.</w:t>
      </w:r>
    </w:p>
    <w:p w14:paraId="20B84A2D" w14:textId="77777777" w:rsidR="003D4EFA" w:rsidRPr="00675182" w:rsidRDefault="003D4EFA" w:rsidP="003D4EFA">
      <w:pPr>
        <w:snapToGrid w:val="0"/>
        <w:jc w:val="both"/>
        <w:rPr>
          <w:rFonts w:eastAsia="Arial Unicode MS" w:cstheme="minorHAnsi"/>
          <w:szCs w:val="24"/>
        </w:rPr>
      </w:pPr>
    </w:p>
    <w:p w14:paraId="590262E2" w14:textId="77777777" w:rsidR="003D4EFA" w:rsidRPr="00675182" w:rsidRDefault="003D4EFA" w:rsidP="003D4EFA">
      <w:pPr>
        <w:keepNext/>
        <w:keepLines/>
        <w:snapToGrid w:val="0"/>
        <w:jc w:val="both"/>
        <w:rPr>
          <w:rFonts w:eastAsia="Arial Unicode MS" w:cstheme="minorHAnsi"/>
          <w:b/>
          <w:bCs/>
          <w:szCs w:val="24"/>
        </w:rPr>
      </w:pPr>
      <w:r w:rsidRPr="00675182">
        <w:rPr>
          <w:rFonts w:eastAsia="Arial Unicode MS" w:cstheme="minorHAnsi"/>
          <w:b/>
          <w:bCs/>
          <w:szCs w:val="24"/>
        </w:rPr>
        <w:t>D.2.25. Tūrisma taku tīkla papildināšana Murjāņos</w:t>
      </w:r>
    </w:p>
    <w:p w14:paraId="4B985D54" w14:textId="77777777"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Murjāņos Lojas ielejā ir izveidojies stihisks taku tīkls, kuru nepieciešams apsaimniekot, izveidojot marķējumus, norobežojošo infrastruktūru gar stāvajām nogāzēm un atsegumiem, kā arī integrēt taku tīklu ar citiem tūrisma objektiem – Ziedoņa muzeju un maršrutu Murjāņi-Līgatne. Stāvlaukumi būtu organizējami, izmantojot Murjāņos un Rāmkalnos jau esošo infrastruktūru, kur iespējams izvietot norādes un privātuzņēmējiem piedāvāt ēdināšanas un citus pakalpojumus.</w:t>
      </w:r>
    </w:p>
    <w:p w14:paraId="2F414891" w14:textId="77777777" w:rsidR="003D4EFA" w:rsidRPr="00675182" w:rsidRDefault="003D4EFA" w:rsidP="003D4EFA">
      <w:pPr>
        <w:snapToGrid w:val="0"/>
        <w:jc w:val="both"/>
        <w:rPr>
          <w:rFonts w:eastAsia="Arial Unicode MS" w:cstheme="minorHAnsi"/>
          <w:szCs w:val="24"/>
        </w:rPr>
      </w:pPr>
    </w:p>
    <w:p w14:paraId="7689AF79"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Pasākuma ieviešana nodrošinātu marķētu un uzturētu taku tīklu (~5 km garumā), kurš integrēts kopējā tūrisma piedāvājumā un esošajos objektos.</w:t>
      </w:r>
    </w:p>
    <w:p w14:paraId="1B1DBC21" w14:textId="77777777" w:rsidR="003D4EFA" w:rsidRPr="00675182" w:rsidRDefault="003D4EFA" w:rsidP="003D4EFA">
      <w:pPr>
        <w:snapToGrid w:val="0"/>
        <w:jc w:val="both"/>
        <w:rPr>
          <w:rFonts w:eastAsia="Arial Unicode MS" w:cstheme="minorHAnsi"/>
          <w:szCs w:val="24"/>
        </w:rPr>
      </w:pPr>
    </w:p>
    <w:p w14:paraId="5EC70B8A" w14:textId="77777777" w:rsidR="003D4EFA" w:rsidRPr="00675182" w:rsidRDefault="003D4EFA" w:rsidP="003D4EFA">
      <w:pPr>
        <w:keepNext/>
        <w:keepLines/>
        <w:snapToGrid w:val="0"/>
        <w:jc w:val="both"/>
        <w:rPr>
          <w:rFonts w:eastAsia="Arial Unicode MS" w:cstheme="minorHAnsi"/>
          <w:b/>
          <w:bCs/>
          <w:szCs w:val="24"/>
        </w:rPr>
      </w:pPr>
      <w:r w:rsidRPr="00675182">
        <w:rPr>
          <w:rFonts w:eastAsia="Arial Unicode MS" w:cstheme="minorHAnsi"/>
          <w:b/>
          <w:bCs/>
          <w:szCs w:val="24"/>
        </w:rPr>
        <w:t>D.2.26. Tūrisma taku tīkla papildināšana Gaujas ciemā</w:t>
      </w:r>
    </w:p>
    <w:p w14:paraId="151286E6" w14:textId="77777777"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 xml:space="preserve">Pašlaik </w:t>
      </w:r>
      <w:r w:rsidRPr="00675182">
        <w:rPr>
          <w:rFonts w:eastAsia="Arial Unicode MS" w:cstheme="minorHAnsi"/>
          <w:i/>
          <w:iCs/>
          <w:szCs w:val="24"/>
        </w:rPr>
        <w:t>Mežtakas</w:t>
      </w:r>
      <w:r w:rsidRPr="00675182">
        <w:rPr>
          <w:rFonts w:eastAsia="Arial Unicode MS" w:cstheme="minorHAnsi"/>
          <w:szCs w:val="24"/>
        </w:rPr>
        <w:t xml:space="preserve"> maršruts Gaujas ciemā ved pa ielu cauri ciemam; ir vēlama takas attīstīšana tuvāk Gaujai, vienojoties ar zemes tiesiskajiem valdītājiem, kā arī savienojumu nodrošināšana ar Gaujas ciemu, lai takai un Gaujas krastam piekļūtu arī vietējie iedzīvotāji pa iezīmētiem un uzturētiem maršrutiem.</w:t>
      </w:r>
    </w:p>
    <w:p w14:paraId="02CDF043" w14:textId="77777777" w:rsidR="003D4EFA" w:rsidRPr="00675182" w:rsidRDefault="003D4EFA" w:rsidP="003D4EFA">
      <w:pPr>
        <w:keepNext/>
        <w:keepLines/>
        <w:snapToGrid w:val="0"/>
        <w:jc w:val="both"/>
        <w:rPr>
          <w:rFonts w:eastAsia="Arial Unicode MS" w:cstheme="minorHAnsi"/>
          <w:szCs w:val="24"/>
        </w:rPr>
      </w:pPr>
    </w:p>
    <w:p w14:paraId="3186F17D" w14:textId="77777777"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Pasākuma ieviešanas rezultātā tiktu marķēts un uzturēts taku tīkls ~ 5,1 km garumā.</w:t>
      </w:r>
    </w:p>
    <w:p w14:paraId="20EB1644" w14:textId="77777777" w:rsidR="003D4EFA" w:rsidRPr="00675182" w:rsidRDefault="003D4EFA" w:rsidP="003D4EFA">
      <w:pPr>
        <w:snapToGrid w:val="0"/>
        <w:jc w:val="both"/>
        <w:rPr>
          <w:rFonts w:eastAsia="Arial Unicode MS" w:cstheme="minorHAnsi"/>
          <w:szCs w:val="24"/>
        </w:rPr>
      </w:pPr>
    </w:p>
    <w:p w14:paraId="75C1EE9D" w14:textId="77777777" w:rsidR="003D4EFA" w:rsidRPr="00675182" w:rsidRDefault="003D4EFA" w:rsidP="003D4EFA">
      <w:pPr>
        <w:snapToGrid w:val="0"/>
        <w:jc w:val="both"/>
        <w:rPr>
          <w:rFonts w:eastAsia="Arial Unicode MS" w:cstheme="minorHAnsi"/>
          <w:b/>
          <w:bCs/>
          <w:szCs w:val="24"/>
        </w:rPr>
      </w:pPr>
      <w:r w:rsidRPr="00675182">
        <w:rPr>
          <w:rFonts w:eastAsia="Arial Unicode MS" w:cstheme="minorHAnsi"/>
          <w:b/>
          <w:bCs/>
          <w:szCs w:val="24"/>
        </w:rPr>
        <w:t>D.2.27. Kājnieku maršruta marķēšana Āraišu ezerpils arheoloģiskā parka apkārtnē</w:t>
      </w:r>
    </w:p>
    <w:p w14:paraId="2BEBFAEB"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Papildinot Āraišu ezerpils arheoloģiskā parka tūrisma piedāvājumu, ir ieteicams marķēt kājnieku maršrutu, kas ietvertu Āraišu baznīcu un mācītājmāju, Āraišu vējdzirnavas un Drabešu muižas apkārtni. Posmā pa autoceļu V293 būtu izmantojams nākotnē plānotais veloceļš.</w:t>
      </w:r>
    </w:p>
    <w:p w14:paraId="1705C2D8" w14:textId="77777777" w:rsidR="003D4EFA" w:rsidRPr="00675182" w:rsidRDefault="003D4EFA" w:rsidP="003D4EFA">
      <w:pPr>
        <w:keepNext/>
        <w:keepLines/>
        <w:snapToGrid w:val="0"/>
        <w:jc w:val="both"/>
        <w:rPr>
          <w:rFonts w:eastAsia="Arial Unicode MS" w:cstheme="minorHAnsi"/>
          <w:szCs w:val="24"/>
        </w:rPr>
      </w:pPr>
    </w:p>
    <w:p w14:paraId="53109828" w14:textId="77777777"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Pasākuma ieviešanas rezultātā tiktu marķēta un uzturēta taka ~ 3,6 km garumā.</w:t>
      </w:r>
    </w:p>
    <w:p w14:paraId="3EAA1F82" w14:textId="77777777" w:rsidR="003D4EFA" w:rsidRPr="00675182" w:rsidRDefault="003D4EFA" w:rsidP="003D4EFA">
      <w:pPr>
        <w:snapToGrid w:val="0"/>
        <w:jc w:val="both"/>
        <w:rPr>
          <w:rFonts w:eastAsia="Arial Unicode MS" w:cstheme="minorHAnsi"/>
          <w:szCs w:val="24"/>
        </w:rPr>
      </w:pPr>
    </w:p>
    <w:p w14:paraId="1F878410" w14:textId="77777777" w:rsidR="003D4EFA" w:rsidRPr="00675182" w:rsidRDefault="003D4EFA" w:rsidP="003D4EFA">
      <w:pPr>
        <w:snapToGrid w:val="0"/>
        <w:jc w:val="both"/>
        <w:rPr>
          <w:rFonts w:eastAsia="Arial Unicode MS" w:cstheme="minorHAnsi"/>
          <w:b/>
          <w:bCs/>
          <w:szCs w:val="24"/>
        </w:rPr>
      </w:pPr>
      <w:r w:rsidRPr="00675182">
        <w:rPr>
          <w:rFonts w:eastAsia="Arial Unicode MS" w:cstheme="minorHAnsi"/>
          <w:b/>
          <w:bCs/>
          <w:szCs w:val="24"/>
        </w:rPr>
        <w:t>D.2.28. Kājnieku maršrutu marķēšana un taku izveide Vaives un Rauņa lejtecē</w:t>
      </w:r>
    </w:p>
    <w:p w14:paraId="2CE21861"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Populārā tūrisma objekta – Vaives dzirnavu – savienošanai ar citiem objektiem apkārtnē ir ieteicams marķēt un uzturēt savienojumu ar Priekuļu biatlona trasi un viesu namu “Kunči” pa esošiem meža ceļiem. No dzirnavām līdz Vaives lejtecei pa upes labo krastu ir ieteicams attīstīt stihiski iestaigāto taku, apkarojot latvāņus un uzturot to brīvu no krūmu apauguma. Veselavas parkā, papildinot pie estrādes izbūvēto noeju uz Rauni, ieteicams izveidot apļveida taku pa Rauņa un Dzirnupes ielejas malu.</w:t>
      </w:r>
    </w:p>
    <w:p w14:paraId="78CE0E69" w14:textId="77777777" w:rsidR="003D4EFA" w:rsidRPr="00675182" w:rsidRDefault="003D4EFA" w:rsidP="003D4EFA">
      <w:pPr>
        <w:snapToGrid w:val="0"/>
        <w:jc w:val="both"/>
        <w:rPr>
          <w:rFonts w:eastAsia="Arial Unicode MS" w:cstheme="minorHAnsi"/>
          <w:szCs w:val="24"/>
        </w:rPr>
      </w:pPr>
    </w:p>
    <w:p w14:paraId="140BD5CC"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Stihiski iestaigātās takas pa Rauņa malu no autoceļa A2 līdz ietekai Raunā nav nepieciešams labiekārtot un piesaistīt papildus tūristu plūsmu, jāizvieto stendi ar informāciju par dabas vērtībām un korektu, dabai draudzīgu rīcību tūristiem, kas pārvietojas pa upes ieleju.</w:t>
      </w:r>
    </w:p>
    <w:p w14:paraId="2515AC22" w14:textId="77777777" w:rsidR="003D4EFA" w:rsidRPr="00675182" w:rsidRDefault="003D4EFA" w:rsidP="003D4EFA">
      <w:pPr>
        <w:snapToGrid w:val="0"/>
        <w:jc w:val="both"/>
        <w:rPr>
          <w:rFonts w:eastAsia="Arial Unicode MS" w:cstheme="minorHAnsi"/>
          <w:szCs w:val="24"/>
        </w:rPr>
      </w:pPr>
    </w:p>
    <w:p w14:paraId="4B795098"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Pasākuma realizācija ļautu izveidot taku~2,1 km garumā, marķēt maršrutus ~ 5,3 km garumā.</w:t>
      </w:r>
    </w:p>
    <w:p w14:paraId="0815B28F" w14:textId="77777777" w:rsidR="003D4EFA" w:rsidRPr="00675182" w:rsidRDefault="003D4EFA" w:rsidP="003D4EFA">
      <w:pPr>
        <w:snapToGrid w:val="0"/>
        <w:jc w:val="both"/>
        <w:rPr>
          <w:rFonts w:eastAsia="Arial Unicode MS" w:cstheme="minorHAnsi"/>
          <w:szCs w:val="24"/>
        </w:rPr>
      </w:pPr>
    </w:p>
    <w:p w14:paraId="436FDB89" w14:textId="77777777" w:rsidR="003D4EFA" w:rsidRPr="00675182" w:rsidRDefault="003D4EFA" w:rsidP="00063AEB">
      <w:pPr>
        <w:keepNext/>
        <w:keepLines/>
        <w:snapToGrid w:val="0"/>
        <w:jc w:val="both"/>
        <w:rPr>
          <w:rFonts w:eastAsia="Arial Unicode MS" w:cstheme="minorHAnsi"/>
          <w:b/>
          <w:bCs/>
          <w:szCs w:val="24"/>
        </w:rPr>
      </w:pPr>
      <w:r w:rsidRPr="00675182">
        <w:rPr>
          <w:rFonts w:eastAsia="Arial Unicode MS" w:cstheme="minorHAnsi"/>
          <w:b/>
          <w:bCs/>
          <w:szCs w:val="24"/>
        </w:rPr>
        <w:t>D.2.29. Kājnieku maršruta marķēšana Raunas lejtecē</w:t>
      </w:r>
    </w:p>
    <w:p w14:paraId="3545EA77" w14:textId="77777777" w:rsidR="003D4EFA" w:rsidRPr="00675182" w:rsidRDefault="003D4EFA" w:rsidP="00063AEB">
      <w:pPr>
        <w:keepNext/>
        <w:keepLines/>
        <w:snapToGrid w:val="0"/>
        <w:jc w:val="both"/>
        <w:rPr>
          <w:rFonts w:eastAsia="Arial Unicode MS" w:cstheme="minorHAnsi"/>
          <w:szCs w:val="24"/>
        </w:rPr>
      </w:pPr>
      <w:r w:rsidRPr="00675182">
        <w:rPr>
          <w:rFonts w:eastAsia="Arial Unicode MS" w:cstheme="minorHAnsi"/>
          <w:szCs w:val="24"/>
        </w:rPr>
        <w:t>Izmantojot esošo un plānoto infrastruktūru (stāvlaukumus un perspektīvo veloceliņu Rīga-Valmiera), ieteicams marķēt pastaigu taku (2, 6 km), kas savienotu autoceļu P20 ar Gaujas krastu un Raunas lejteci.</w:t>
      </w:r>
    </w:p>
    <w:p w14:paraId="5640ACF3" w14:textId="77777777" w:rsidR="003D4EFA" w:rsidRPr="00675182" w:rsidRDefault="003D4EFA" w:rsidP="003D4EFA">
      <w:pPr>
        <w:snapToGrid w:val="0"/>
        <w:jc w:val="both"/>
        <w:rPr>
          <w:rFonts w:eastAsia="Arial Unicode MS" w:cstheme="minorHAnsi"/>
          <w:szCs w:val="24"/>
        </w:rPr>
      </w:pPr>
    </w:p>
    <w:p w14:paraId="0A37B854" w14:textId="77777777" w:rsidR="003D4EFA" w:rsidRPr="00675182" w:rsidRDefault="003D4EFA" w:rsidP="003D4EFA">
      <w:pPr>
        <w:snapToGrid w:val="0"/>
        <w:jc w:val="both"/>
        <w:rPr>
          <w:rFonts w:cstheme="minorHAnsi"/>
          <w:sz w:val="20"/>
        </w:rPr>
      </w:pPr>
      <w:r w:rsidRPr="00675182">
        <w:rPr>
          <w:rFonts w:eastAsia="Arial Unicode MS" w:cstheme="minorHAnsi"/>
          <w:b/>
          <w:bCs/>
          <w:szCs w:val="24"/>
        </w:rPr>
        <w:t>D.2.30. Takas un stāvvietas uzturēšana Pekaskalna apmeklēšanai</w:t>
      </w:r>
    </w:p>
    <w:p w14:paraId="16A71E06"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Ņemot vērā Pekaskalna kultūrvēsturisko nozīmi un tūristu interesi par to, ir nepieciešams izveidot drošu apstāšanās vietu (kabatas veida stāvvieta) un uzturēt taku līdz pilskalnam un pilskalna teritorijā, par risinājumiem apsaimniekošanai konsultējoties ar NKMP.</w:t>
      </w:r>
    </w:p>
    <w:p w14:paraId="243785CD" w14:textId="77777777" w:rsidR="003D4EFA" w:rsidRPr="00675182" w:rsidRDefault="003D4EFA" w:rsidP="003D4EFA">
      <w:pPr>
        <w:snapToGrid w:val="0"/>
        <w:jc w:val="both"/>
        <w:rPr>
          <w:rFonts w:eastAsia="Arial Unicode MS" w:cstheme="minorHAnsi"/>
          <w:szCs w:val="24"/>
        </w:rPr>
      </w:pPr>
    </w:p>
    <w:p w14:paraId="0114D71A" w14:textId="77777777"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Tiktu izveidota kabatas veida stāvvieta, uzturēta taka ~0,6 km garumā.</w:t>
      </w:r>
    </w:p>
    <w:p w14:paraId="178CBAD1" w14:textId="77777777" w:rsidR="003D4EFA" w:rsidRPr="00675182" w:rsidRDefault="003D4EFA" w:rsidP="003D4EFA">
      <w:pPr>
        <w:snapToGrid w:val="0"/>
        <w:jc w:val="both"/>
        <w:rPr>
          <w:rFonts w:eastAsia="Arial Unicode MS" w:cstheme="minorHAnsi"/>
          <w:szCs w:val="24"/>
        </w:rPr>
      </w:pPr>
    </w:p>
    <w:p w14:paraId="0CE7AA83" w14:textId="77777777" w:rsidR="003D4EFA" w:rsidRPr="00675182" w:rsidRDefault="003D4EFA" w:rsidP="003D4EFA">
      <w:pPr>
        <w:keepNext/>
        <w:keepLines/>
        <w:snapToGrid w:val="0"/>
        <w:jc w:val="both"/>
        <w:rPr>
          <w:rFonts w:cstheme="minorHAnsi"/>
          <w:sz w:val="20"/>
        </w:rPr>
      </w:pPr>
      <w:r w:rsidRPr="00675182">
        <w:rPr>
          <w:rFonts w:eastAsia="Arial Unicode MS" w:cstheme="minorHAnsi"/>
          <w:b/>
          <w:bCs/>
          <w:szCs w:val="24"/>
        </w:rPr>
        <w:t>D.2.31. Takas Lejas Ozoli-Liepas iezis marķēšana</w:t>
      </w:r>
    </w:p>
    <w:p w14:paraId="2E85269D" w14:textId="77777777"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Savienojot apskates objektu – Liepas iezi un pie tā esošo nelielo atpūtas vietu – ar viesu namu “Lejas Ozoli”, ieteicams vienoties par takas marķēšanu ar zemes tiesiskajiem valdītājiem un izmantot to tūrisma piedāvājumā; taku būtu iespējams sasniegt arī apmeklētājiem, kas iet vai brauc ar velosipēdu pa autoceļu Cēsis-Valmiera.</w:t>
      </w:r>
    </w:p>
    <w:p w14:paraId="45272E03" w14:textId="77777777" w:rsidR="003D4EFA" w:rsidRPr="00675182" w:rsidRDefault="003D4EFA" w:rsidP="003D4EFA">
      <w:pPr>
        <w:keepNext/>
        <w:keepLines/>
        <w:snapToGrid w:val="0"/>
        <w:jc w:val="both"/>
        <w:rPr>
          <w:rFonts w:eastAsia="Arial Unicode MS" w:cstheme="minorHAnsi"/>
          <w:szCs w:val="24"/>
        </w:rPr>
      </w:pPr>
    </w:p>
    <w:p w14:paraId="0B1D0A8A" w14:textId="77777777" w:rsidR="003D4EFA" w:rsidRPr="00675182" w:rsidRDefault="003D4EFA" w:rsidP="003D4EFA">
      <w:pPr>
        <w:keepNext/>
        <w:keepLines/>
        <w:snapToGrid w:val="0"/>
        <w:jc w:val="both"/>
        <w:rPr>
          <w:rFonts w:eastAsia="Arial Unicode MS" w:cstheme="minorHAnsi"/>
          <w:szCs w:val="24"/>
        </w:rPr>
      </w:pPr>
      <w:r w:rsidRPr="00675182">
        <w:rPr>
          <w:rFonts w:eastAsia="Arial Unicode MS" w:cstheme="minorHAnsi"/>
          <w:szCs w:val="24"/>
        </w:rPr>
        <w:t>Pasākums nodrošinātu takas marķējumu uz Liepas iezi ~1,4 km garumā.</w:t>
      </w:r>
    </w:p>
    <w:p w14:paraId="7429F90A" w14:textId="77777777" w:rsidR="003D4EFA" w:rsidRPr="00675182" w:rsidRDefault="003D4EFA" w:rsidP="003D4EFA">
      <w:pPr>
        <w:snapToGrid w:val="0"/>
        <w:jc w:val="both"/>
        <w:rPr>
          <w:rFonts w:eastAsia="Arial Unicode MS" w:cstheme="minorHAnsi"/>
          <w:szCs w:val="24"/>
        </w:rPr>
      </w:pPr>
    </w:p>
    <w:p w14:paraId="0943FB95" w14:textId="77777777" w:rsidR="003D4EFA" w:rsidRPr="00675182" w:rsidRDefault="003D4EFA" w:rsidP="003D4EFA">
      <w:pPr>
        <w:snapToGrid w:val="0"/>
        <w:jc w:val="both"/>
        <w:rPr>
          <w:rFonts w:eastAsia="Arial Unicode MS" w:cstheme="minorHAnsi"/>
          <w:b/>
          <w:bCs/>
          <w:szCs w:val="24"/>
        </w:rPr>
      </w:pPr>
      <w:r w:rsidRPr="00675182">
        <w:rPr>
          <w:rFonts w:eastAsia="Arial Unicode MS" w:cstheme="minorHAnsi"/>
          <w:b/>
          <w:bCs/>
          <w:szCs w:val="24"/>
        </w:rPr>
        <w:t>D.2.32. Tilts pār Gauju Līgatnē</w:t>
      </w:r>
    </w:p>
    <w:p w14:paraId="10173BDA" w14:textId="163FEBB3" w:rsidR="003D4EFA" w:rsidRPr="00675182" w:rsidRDefault="003D4EFA" w:rsidP="003D4EFA">
      <w:pPr>
        <w:snapToGrid w:val="0"/>
        <w:jc w:val="both"/>
        <w:rPr>
          <w:rFonts w:eastAsia="Arial Unicode MS" w:cstheme="minorHAnsi"/>
          <w:szCs w:val="24"/>
        </w:rPr>
      </w:pPr>
      <w:r w:rsidRPr="00675182">
        <w:rPr>
          <w:rFonts w:eastAsia="Arial Unicode MS" w:cstheme="minorHAnsi"/>
          <w:szCs w:val="24"/>
        </w:rPr>
        <w:t>DA plāna izstrādes ietvaros ir izskatīts priekšlikums tilta pār Gauju izbūvei Līgatnē. No dabas vērtību viedokļa nav būtisku pretrunu objekta realizācijai, taču ir nepieciešams izstrādāt konkrētos risinājumus, ņemot vērā rekomendācijas ūdens bezmugurkaulnieku dzīvotņu aizsardzībai. Izvērtējama tilta radītās automašīnu plūsmas ietekme uz trokšņa līmeni un gaisa piesārņojumu ceļu posmos, kas tiks intensīvāk izmantoti. Nav pieļaujama tilta apgaismošana naktī, lai neietekmētu sikspārņu barošanos. Tilta izbūvei būtu nepieciešams veikt ietekmes uz N</w:t>
      </w:r>
      <w:r w:rsidR="00EC5044">
        <w:rPr>
          <w:rFonts w:eastAsia="Arial Unicode MS" w:cstheme="minorHAnsi"/>
          <w:szCs w:val="24"/>
        </w:rPr>
        <w:t xml:space="preserve">atura </w:t>
      </w:r>
      <w:r w:rsidRPr="00675182">
        <w:rPr>
          <w:rFonts w:eastAsia="Arial Unicode MS" w:cstheme="minorHAnsi"/>
          <w:szCs w:val="24"/>
        </w:rPr>
        <w:t xml:space="preserve">2000 izvērtējumu atbilstoši MK noteikumu Nr. 300 ‘’Kārtība, kādā novērtējama ietekme uz Eiropas nozīmes īpaši aizsargājamo dabas teritoriju (Natura 2000)’’ prasībām. </w:t>
      </w:r>
    </w:p>
    <w:p w14:paraId="0744CFEC" w14:textId="77777777" w:rsidR="003D4EFA" w:rsidRPr="00675182" w:rsidRDefault="003D4EFA" w:rsidP="003D4EFA">
      <w:pPr>
        <w:snapToGrid w:val="0"/>
        <w:rPr>
          <w:rFonts w:eastAsia="Arial Unicode MS" w:cstheme="minorHAnsi"/>
          <w:szCs w:val="24"/>
        </w:rPr>
      </w:pPr>
    </w:p>
    <w:p w14:paraId="75E952D1" w14:textId="77777777" w:rsidR="003D4EFA" w:rsidRPr="00675182" w:rsidRDefault="003D4EFA" w:rsidP="00714C65">
      <w:pPr>
        <w:keepNext/>
        <w:keepLines/>
        <w:snapToGrid w:val="0"/>
        <w:rPr>
          <w:rFonts w:eastAsia="Arial Unicode MS" w:cstheme="minorHAnsi"/>
          <w:b/>
          <w:bCs/>
          <w:i/>
          <w:iCs/>
          <w:szCs w:val="24"/>
          <w:u w:val="single"/>
        </w:rPr>
      </w:pPr>
      <w:bookmarkStart w:id="161" w:name="_Hlk116735269"/>
      <w:r w:rsidRPr="00675182">
        <w:rPr>
          <w:rFonts w:eastAsia="Arial Unicode MS" w:cstheme="minorHAnsi"/>
          <w:b/>
          <w:bCs/>
          <w:i/>
          <w:iCs/>
          <w:szCs w:val="24"/>
          <w:u w:val="single"/>
        </w:rPr>
        <w:t>Tūrisma un rekreācijas objektu izveide privātuzņēmēju īpašumos</w:t>
      </w:r>
    </w:p>
    <w:bookmarkEnd w:id="161"/>
    <w:p w14:paraId="131B2413" w14:textId="77777777" w:rsidR="003D4EFA" w:rsidRPr="00675182" w:rsidRDefault="003D4EFA" w:rsidP="00714C65">
      <w:pPr>
        <w:keepNext/>
        <w:keepLines/>
        <w:snapToGrid w:val="0"/>
        <w:jc w:val="both"/>
        <w:rPr>
          <w:rFonts w:eastAsia="Arial Unicode MS" w:cstheme="minorHAnsi"/>
          <w:szCs w:val="24"/>
        </w:rPr>
      </w:pPr>
    </w:p>
    <w:p w14:paraId="1343A208" w14:textId="77777777" w:rsidR="003D4EFA" w:rsidRPr="00675182" w:rsidRDefault="003D4EFA" w:rsidP="00714C65">
      <w:pPr>
        <w:keepNext/>
        <w:keepLines/>
        <w:snapToGrid w:val="0"/>
        <w:jc w:val="both"/>
        <w:rPr>
          <w:rFonts w:eastAsia="Arial Unicode MS" w:cstheme="minorHAnsi"/>
          <w:szCs w:val="24"/>
        </w:rPr>
      </w:pPr>
      <w:r w:rsidRPr="00675182">
        <w:rPr>
          <w:rFonts w:eastAsia="Arial Unicode MS" w:cstheme="minorHAnsi"/>
          <w:szCs w:val="24"/>
        </w:rPr>
        <w:t>DA plāna ietvaros ir izvērtēti iesniegumi par dažāda veida infrastruktūras objektu izveidi, plānā ir iekļauti tie priekšlikumi, kuri pēc sākotnējās informācijas nav pretrunā ar GNP aizsardzības mērķiem un konstatētajām dabas un kultūrvēstures vērtībām. Visu objektu izveidošanā būtu jāievēro vietējās pašvaldības teritorijas plānojumu prasības, spēkā esošie IAIN un citi normatīvie akti, kā arī konkrētu risinājumu izvērtēšanai jāsaņem sugu un biotopu aizsardzības jomā sertificēta eksperta atzinums, ja teritorijā ir ticama dabas vērtību klātbūtne.</w:t>
      </w:r>
    </w:p>
    <w:p w14:paraId="41C99089" w14:textId="3A6598D4" w:rsidR="000950A8" w:rsidRPr="00675182" w:rsidRDefault="000950A8" w:rsidP="00ED7AB2">
      <w:pPr>
        <w:snapToGrid w:val="0"/>
        <w:jc w:val="both"/>
        <w:rPr>
          <w:rFonts w:eastAsia="Arial Unicode MS" w:cstheme="minorHAnsi"/>
          <w:szCs w:val="24"/>
        </w:rPr>
      </w:pPr>
    </w:p>
    <w:p w14:paraId="164FB31D" w14:textId="77777777" w:rsidR="000950A8" w:rsidRPr="00675182" w:rsidRDefault="000950A8" w:rsidP="00063AEB">
      <w:pPr>
        <w:keepNext/>
        <w:keepLines/>
        <w:rPr>
          <w:b/>
          <w:bCs/>
        </w:rPr>
      </w:pPr>
      <w:r w:rsidRPr="00675182">
        <w:rPr>
          <w:b/>
          <w:bCs/>
        </w:rPr>
        <w:lastRenderedPageBreak/>
        <w:t>D.2.33. Stihisko atpūtas vietu labiekārtošana un uzturēšana pie Auciema ezera, ezera ūdens kvalitātes kontrole</w:t>
      </w:r>
    </w:p>
    <w:p w14:paraId="0A971736" w14:textId="22181738" w:rsidR="000950A8" w:rsidRPr="00675182" w:rsidRDefault="000950A8" w:rsidP="00063AEB">
      <w:pPr>
        <w:keepNext/>
        <w:keepLines/>
        <w:jc w:val="both"/>
      </w:pPr>
      <w:r w:rsidRPr="00675182">
        <w:t>Auciema ezera austrumu piekraste ir samērā populāra kā peldēšanas un makšķerēšanas vieta, tajā izveidojušās stihiskas atpūtas vietas ar nelielām peldvietām. To izmantošanu apgrūtina biezais dūņu slānis (skat. B.1.3. pasākumu) un pastāv iespēja, ka ezera ūdens kvalitāte nav piemērota peldēšanai organiskā piesārņojuma dēļ, savukārt, atpūtas vietās pastāv ugunsgrēku risks, jo nav iekārtotu ugunskura vietu. Vēlams vismaz daļu atpūtas vietu labiekārtot, veikt niedru fragmentāciju un sapropeļa izvākšanu tādā veidā, lai uzturētu arī peldvietas, kā arī nodrošināt vismaz periodisku ezera ūdens kvalitātes kontroli un informēt novada iedzīvotājus, ja tā nav atbilstoša peldēšanai.</w:t>
      </w:r>
    </w:p>
    <w:p w14:paraId="113F93B7" w14:textId="77777777" w:rsidR="000950A8" w:rsidRPr="00675182" w:rsidRDefault="000950A8" w:rsidP="000950A8">
      <w:pPr>
        <w:jc w:val="both"/>
        <w:rPr>
          <w:highlight w:val="cyan"/>
        </w:rPr>
      </w:pPr>
    </w:p>
    <w:p w14:paraId="592C1C4F" w14:textId="3BA20738" w:rsidR="000950A8" w:rsidRPr="00675182" w:rsidRDefault="000950A8" w:rsidP="000950A8">
      <w:pPr>
        <w:snapToGrid w:val="0"/>
        <w:jc w:val="both"/>
        <w:rPr>
          <w:rFonts w:eastAsia="Arial Unicode MS" w:cstheme="minorHAnsi"/>
          <w:b/>
          <w:bCs/>
          <w:szCs w:val="24"/>
        </w:rPr>
      </w:pPr>
      <w:r w:rsidRPr="00675182">
        <w:rPr>
          <w:rFonts w:eastAsia="Arial Unicode MS" w:cstheme="minorHAnsi"/>
          <w:b/>
          <w:bCs/>
          <w:szCs w:val="24"/>
        </w:rPr>
        <w:t>D.2.34. Infrastruktūras papildināšana kempingā “Jenča laivas”</w:t>
      </w:r>
    </w:p>
    <w:p w14:paraId="0C46D75F" w14:textId="14D886F2" w:rsidR="000950A8" w:rsidRPr="00675182" w:rsidRDefault="000950A8" w:rsidP="000950A8">
      <w:pPr>
        <w:snapToGrid w:val="0"/>
        <w:jc w:val="both"/>
        <w:rPr>
          <w:rFonts w:eastAsia="Arial Unicode MS" w:cstheme="minorHAnsi"/>
          <w:szCs w:val="24"/>
        </w:rPr>
      </w:pPr>
      <w:r w:rsidRPr="00675182">
        <w:rPr>
          <w:rFonts w:eastAsia="Arial Unicode MS" w:cstheme="minorHAnsi"/>
          <w:szCs w:val="24"/>
        </w:rPr>
        <w:t xml:space="preserve">Ir atbalstāma papildus infrastruktūras objektu izveide starp autoceļu Cēsis-Stalbe un Gauju. Ir jānodrošina notekūdeņu savākšanas risinājumi, nav pieļaujams gaismas piesārņojums pie upes. </w:t>
      </w:r>
      <w:r w:rsidR="00063AEB" w:rsidRPr="00675182">
        <w:rPr>
          <w:rFonts w:eastAsia="Arial Unicode MS" w:cstheme="minorHAnsi"/>
          <w:szCs w:val="24"/>
        </w:rPr>
        <w:t>Tāpat</w:t>
      </w:r>
      <w:r w:rsidRPr="00675182">
        <w:rPr>
          <w:rFonts w:eastAsia="Arial Unicode MS" w:cstheme="minorHAnsi"/>
          <w:szCs w:val="24"/>
        </w:rPr>
        <w:t xml:space="preserve"> ir jāizvērtē iespējamā infrastruktūras ietekme uz biezās perlamutrenes </w:t>
      </w:r>
      <w:r w:rsidRPr="00675182">
        <w:rPr>
          <w:rFonts w:eastAsia="Arial Unicode MS" w:cstheme="minorHAnsi"/>
          <w:i/>
          <w:iCs/>
          <w:szCs w:val="24"/>
        </w:rPr>
        <w:t>Unio crassus</w:t>
      </w:r>
      <w:r w:rsidRPr="00675182">
        <w:rPr>
          <w:rFonts w:eastAsia="Arial Unicode MS" w:cstheme="minorHAnsi"/>
          <w:szCs w:val="24"/>
        </w:rPr>
        <w:t xml:space="preserve"> dzīvotnēm Gaujā.</w:t>
      </w:r>
    </w:p>
    <w:p w14:paraId="14C114BB" w14:textId="77777777" w:rsidR="000950A8" w:rsidRPr="00675182" w:rsidRDefault="000950A8" w:rsidP="000950A8">
      <w:pPr>
        <w:snapToGrid w:val="0"/>
        <w:jc w:val="both"/>
        <w:rPr>
          <w:rFonts w:eastAsia="Arial Unicode MS" w:cstheme="minorHAnsi"/>
          <w:szCs w:val="24"/>
        </w:rPr>
      </w:pPr>
    </w:p>
    <w:p w14:paraId="4E450CC5" w14:textId="77777777" w:rsidR="000950A8" w:rsidRPr="00675182" w:rsidRDefault="000950A8" w:rsidP="000950A8">
      <w:pPr>
        <w:snapToGrid w:val="0"/>
        <w:jc w:val="both"/>
        <w:rPr>
          <w:rFonts w:eastAsia="Arial Unicode MS" w:cstheme="minorHAnsi"/>
          <w:szCs w:val="24"/>
        </w:rPr>
      </w:pPr>
      <w:r w:rsidRPr="00675182">
        <w:rPr>
          <w:rFonts w:eastAsia="Arial Unicode MS" w:cstheme="minorHAnsi"/>
          <w:szCs w:val="24"/>
        </w:rPr>
        <w:t>Rezultātā tiktu uzlabota infrastruktūra kempingā ‘’Jenča laivas”.</w:t>
      </w:r>
    </w:p>
    <w:p w14:paraId="13729D8E" w14:textId="77777777" w:rsidR="005170A8" w:rsidRPr="00675182" w:rsidRDefault="005170A8" w:rsidP="00ED7AB2">
      <w:pPr>
        <w:snapToGrid w:val="0"/>
        <w:jc w:val="both"/>
        <w:rPr>
          <w:rFonts w:eastAsia="Arial Unicode MS" w:cstheme="minorHAnsi"/>
          <w:szCs w:val="24"/>
        </w:rPr>
      </w:pPr>
    </w:p>
    <w:p w14:paraId="2F13070F" w14:textId="36768B0E" w:rsidR="005170A8" w:rsidRPr="00675182" w:rsidRDefault="005170A8" w:rsidP="00ED7AB2">
      <w:pPr>
        <w:snapToGrid w:val="0"/>
        <w:jc w:val="both"/>
        <w:rPr>
          <w:rFonts w:eastAsia="Arial Unicode MS" w:cstheme="minorHAnsi"/>
          <w:b/>
          <w:bCs/>
          <w:szCs w:val="24"/>
        </w:rPr>
      </w:pPr>
      <w:r w:rsidRPr="00675182">
        <w:rPr>
          <w:rFonts w:eastAsia="Arial Unicode MS" w:cstheme="minorHAnsi"/>
          <w:b/>
          <w:bCs/>
          <w:szCs w:val="24"/>
        </w:rPr>
        <w:t>D.2.3</w:t>
      </w:r>
      <w:r w:rsidR="000950A8" w:rsidRPr="00675182">
        <w:rPr>
          <w:rFonts w:eastAsia="Arial Unicode MS" w:cstheme="minorHAnsi"/>
          <w:b/>
          <w:bCs/>
          <w:szCs w:val="24"/>
        </w:rPr>
        <w:t>5</w:t>
      </w:r>
      <w:r w:rsidRPr="00675182">
        <w:rPr>
          <w:rFonts w:eastAsia="Arial Unicode MS" w:cstheme="minorHAnsi"/>
          <w:b/>
          <w:bCs/>
          <w:szCs w:val="24"/>
        </w:rPr>
        <w:t>. Kempinga izveide un apsaimniekošana bijušajā glābšanas stacijā Cēsīs</w:t>
      </w:r>
    </w:p>
    <w:p w14:paraId="54D4D464" w14:textId="77777777" w:rsidR="00063AEB" w:rsidRPr="00675182" w:rsidRDefault="00063AEB" w:rsidP="00063AEB">
      <w:pPr>
        <w:snapToGrid w:val="0"/>
        <w:jc w:val="both"/>
        <w:rPr>
          <w:rFonts w:eastAsia="Arial Unicode MS" w:cstheme="minorHAnsi"/>
          <w:szCs w:val="24"/>
        </w:rPr>
      </w:pPr>
      <w:r w:rsidRPr="00675182">
        <w:rPr>
          <w:rFonts w:eastAsia="Arial Unicode MS" w:cstheme="minorHAnsi"/>
          <w:szCs w:val="24"/>
        </w:rPr>
        <w:t>Bijušās glābšanas stacijas teritorijā Cēsīs ir iespējama kempinga izveide, iekļaujot to Cēsu tūrisma taku tīklojumā (tas gan maz saistās ar potenciālo nakšņotāju segmentu). Ļoti būtiski būtu nodrošināt notekūdeņu attīrīšanu, būtu jāsaņem NKMP atzinums, jo teritorija robežojas ar kultūras pieminekli – K. Jansona un A. Jansona dzīves un darba vietu.</w:t>
      </w:r>
    </w:p>
    <w:p w14:paraId="03E4D108" w14:textId="77777777" w:rsidR="00063AEB" w:rsidRPr="00675182" w:rsidRDefault="00063AEB" w:rsidP="00063AEB">
      <w:pPr>
        <w:snapToGrid w:val="0"/>
        <w:jc w:val="both"/>
        <w:rPr>
          <w:rFonts w:eastAsia="Arial Unicode MS" w:cstheme="minorHAnsi"/>
          <w:szCs w:val="24"/>
        </w:rPr>
      </w:pPr>
    </w:p>
    <w:p w14:paraId="7C33C511" w14:textId="77777777" w:rsidR="00063AEB" w:rsidRPr="00675182" w:rsidRDefault="00063AEB" w:rsidP="00063AEB">
      <w:pPr>
        <w:snapToGrid w:val="0"/>
        <w:jc w:val="both"/>
        <w:rPr>
          <w:rFonts w:eastAsia="Arial Unicode MS" w:cstheme="minorHAnsi"/>
          <w:szCs w:val="24"/>
        </w:rPr>
      </w:pPr>
      <w:r w:rsidRPr="00675182">
        <w:rPr>
          <w:rFonts w:eastAsia="Arial Unicode MS" w:cstheme="minorHAnsi"/>
          <w:szCs w:val="24"/>
        </w:rPr>
        <w:t>Rezultātā tiktu izveidota jauna kempinga vieta Cēsīs, kaut Cēsu Gaujas lejā konkurence ir liela šādam sezonālam pakalpojumam.</w:t>
      </w:r>
    </w:p>
    <w:p w14:paraId="0BCCEC14" w14:textId="77777777" w:rsidR="005170A8" w:rsidRPr="00675182" w:rsidRDefault="005170A8" w:rsidP="00ED7AB2">
      <w:pPr>
        <w:snapToGrid w:val="0"/>
        <w:jc w:val="both"/>
        <w:rPr>
          <w:rFonts w:eastAsia="Arial Unicode MS" w:cstheme="minorHAnsi"/>
          <w:szCs w:val="24"/>
        </w:rPr>
      </w:pPr>
    </w:p>
    <w:p w14:paraId="5B6D9ED3" w14:textId="77777777" w:rsidR="000950A8" w:rsidRPr="00675182" w:rsidRDefault="000950A8" w:rsidP="000950A8">
      <w:pPr>
        <w:snapToGrid w:val="0"/>
        <w:jc w:val="both"/>
        <w:rPr>
          <w:rFonts w:eastAsia="Arial Unicode MS" w:cstheme="minorHAnsi"/>
          <w:b/>
          <w:bCs/>
          <w:szCs w:val="24"/>
        </w:rPr>
      </w:pPr>
      <w:r w:rsidRPr="00675182">
        <w:rPr>
          <w:rFonts w:eastAsia="Arial Unicode MS" w:cstheme="minorHAnsi"/>
          <w:b/>
          <w:bCs/>
          <w:szCs w:val="24"/>
        </w:rPr>
        <w:t>D.2.36. Atpūtas namiņu un dabas takas izveide pie “Klinšu” mājām un Draņķupītes</w:t>
      </w:r>
    </w:p>
    <w:p w14:paraId="691AF265" w14:textId="77777777" w:rsidR="000950A8" w:rsidRPr="00675182" w:rsidRDefault="000950A8" w:rsidP="000950A8">
      <w:pPr>
        <w:snapToGrid w:val="0"/>
        <w:jc w:val="both"/>
        <w:rPr>
          <w:rFonts w:eastAsia="Arial Unicode MS" w:cstheme="minorHAnsi"/>
          <w:szCs w:val="24"/>
        </w:rPr>
      </w:pPr>
      <w:r w:rsidRPr="00675182">
        <w:rPr>
          <w:rFonts w:eastAsia="Arial Unicode MS" w:cstheme="minorHAnsi"/>
          <w:szCs w:val="24"/>
        </w:rPr>
        <w:t>Iesniegtais priekšlikums ir izstrādāts saskaņā ar sugu un biotopu aizsardzības jomā sertificēta eksperta rekomendācijām; ir paredzēta vairāku 25 m</w:t>
      </w:r>
      <w:r w:rsidRPr="00675182">
        <w:rPr>
          <w:rFonts w:eastAsia="Arial Unicode MS" w:cstheme="minorHAnsi"/>
          <w:szCs w:val="24"/>
          <w:vertAlign w:val="superscript"/>
        </w:rPr>
        <w:t>2</w:t>
      </w:r>
      <w:r w:rsidRPr="00675182">
        <w:rPr>
          <w:rFonts w:eastAsia="Arial Unicode MS" w:cstheme="minorHAnsi"/>
          <w:szCs w:val="24"/>
        </w:rPr>
        <w:t xml:space="preserve"> lielu moduļu tipa namiņu izbūve mežā, neveicot zemes transformāciju, komunikācijas pievadot pa pieejas ceļiem. Papildus izbūvētajām ēkām priekšlikums ietver minimāli iekārtotas takas izveidi Draņķupītes gravā. Projektēšana īstenojama, saņemot pozitīvu sugu un biotopu aizsardzības jomā sertificēta eksperta atzinumu par detalizētiem risinājumiem, un realizācijas laikā jānodrošina eksperta uzraudzība; jāsaglabā objekta pieejamība tikai izīrējamo namiņu ietilpības apjomā, lai neradītu tūristu plūsmu līdz šim neskartā teritorijā. Pastaigu takas veidojamas privātīpašuma ietvaros (kadastra nr. 4282 009 0120 un 4282 009 0121), saskaņā ar sugu un biotopu aizsardzības jomā sertificēta eksperta rekomendācijām par tehniskajiem risinājumiem un uzturēšanu </w:t>
      </w:r>
    </w:p>
    <w:p w14:paraId="3C3F78CC" w14:textId="77777777" w:rsidR="000950A8" w:rsidRPr="00675182" w:rsidRDefault="000950A8" w:rsidP="000950A8">
      <w:pPr>
        <w:snapToGrid w:val="0"/>
        <w:jc w:val="both"/>
        <w:rPr>
          <w:rFonts w:eastAsia="Arial Unicode MS" w:cstheme="minorHAnsi"/>
          <w:szCs w:val="24"/>
        </w:rPr>
      </w:pPr>
    </w:p>
    <w:p w14:paraId="323457B9" w14:textId="0A78180E" w:rsidR="000950A8" w:rsidRPr="00675182" w:rsidRDefault="000950A8" w:rsidP="000950A8">
      <w:pPr>
        <w:snapToGrid w:val="0"/>
        <w:jc w:val="both"/>
        <w:rPr>
          <w:rFonts w:eastAsia="Arial Unicode MS" w:cstheme="minorHAnsi"/>
          <w:szCs w:val="24"/>
        </w:rPr>
      </w:pPr>
      <w:r w:rsidRPr="00675182">
        <w:rPr>
          <w:rFonts w:eastAsia="Arial Unicode MS" w:cstheme="minorHAnsi"/>
          <w:szCs w:val="24"/>
        </w:rPr>
        <w:t xml:space="preserve">Pasākuma realizācijas rezultātā tiktu izveidota ierobežotas pieejamības dabas taka un atpūtas namiņi. </w:t>
      </w:r>
    </w:p>
    <w:p w14:paraId="06322F1D" w14:textId="77777777" w:rsidR="000950A8" w:rsidRPr="00675182" w:rsidRDefault="000950A8" w:rsidP="00ED7AB2">
      <w:pPr>
        <w:snapToGrid w:val="0"/>
        <w:jc w:val="both"/>
        <w:rPr>
          <w:rFonts w:eastAsia="Arial Unicode MS" w:cstheme="minorHAnsi"/>
          <w:b/>
          <w:bCs/>
          <w:szCs w:val="24"/>
        </w:rPr>
      </w:pPr>
    </w:p>
    <w:p w14:paraId="4F8973FC" w14:textId="1078D28D" w:rsidR="005170A8" w:rsidRPr="00675182" w:rsidRDefault="005170A8" w:rsidP="00ED7AB2">
      <w:pPr>
        <w:snapToGrid w:val="0"/>
        <w:jc w:val="both"/>
        <w:rPr>
          <w:rFonts w:eastAsia="Arial Unicode MS" w:cstheme="minorHAnsi"/>
          <w:b/>
          <w:bCs/>
          <w:szCs w:val="24"/>
        </w:rPr>
      </w:pPr>
      <w:r w:rsidRPr="00675182">
        <w:rPr>
          <w:rFonts w:eastAsia="Arial Unicode MS" w:cstheme="minorHAnsi"/>
          <w:b/>
          <w:bCs/>
          <w:szCs w:val="24"/>
        </w:rPr>
        <w:t>D.2.3</w:t>
      </w:r>
      <w:r w:rsidR="000950A8" w:rsidRPr="00675182">
        <w:rPr>
          <w:rFonts w:eastAsia="Arial Unicode MS" w:cstheme="minorHAnsi"/>
          <w:b/>
          <w:bCs/>
          <w:szCs w:val="24"/>
        </w:rPr>
        <w:t>7</w:t>
      </w:r>
      <w:r w:rsidRPr="00675182">
        <w:rPr>
          <w:rFonts w:eastAsia="Arial Unicode MS" w:cstheme="minorHAnsi"/>
          <w:b/>
          <w:bCs/>
          <w:szCs w:val="24"/>
        </w:rPr>
        <w:t>. Tūrisma un rekreācijas infrastruktūras izveide “Viesulēnos”</w:t>
      </w:r>
    </w:p>
    <w:p w14:paraId="58F55302" w14:textId="0E37F24D" w:rsidR="00F0526B" w:rsidRPr="00675182" w:rsidRDefault="005170A8" w:rsidP="00ED7AB2">
      <w:pPr>
        <w:snapToGrid w:val="0"/>
        <w:jc w:val="both"/>
        <w:rPr>
          <w:rFonts w:eastAsia="Arial Unicode MS" w:cstheme="minorHAnsi"/>
          <w:szCs w:val="24"/>
        </w:rPr>
      </w:pPr>
      <w:r w:rsidRPr="00675182">
        <w:rPr>
          <w:rFonts w:eastAsia="Arial Unicode MS" w:cstheme="minorHAnsi"/>
          <w:szCs w:val="24"/>
        </w:rPr>
        <w:lastRenderedPageBreak/>
        <w:t>DA plāna ietvaros</w:t>
      </w:r>
      <w:r w:rsidR="00581524" w:rsidRPr="00675182">
        <w:rPr>
          <w:rFonts w:eastAsia="Arial Unicode MS" w:cstheme="minorHAnsi"/>
          <w:szCs w:val="24"/>
        </w:rPr>
        <w:t xml:space="preserve"> ir </w:t>
      </w:r>
      <w:r w:rsidRPr="00675182">
        <w:rPr>
          <w:rFonts w:eastAsia="Arial Unicode MS" w:cstheme="minorHAnsi"/>
          <w:szCs w:val="24"/>
        </w:rPr>
        <w:t xml:space="preserve">izvērtēts priekšlikums kempinga un ar to saistītās infrastruktūras izveidošanai. Pasākums </w:t>
      </w:r>
      <w:r w:rsidR="00581524" w:rsidRPr="00675182">
        <w:rPr>
          <w:rFonts w:eastAsia="Arial Unicode MS" w:cstheme="minorHAnsi"/>
          <w:szCs w:val="24"/>
        </w:rPr>
        <w:t xml:space="preserve">būtu </w:t>
      </w:r>
      <w:r w:rsidRPr="00675182">
        <w:rPr>
          <w:rFonts w:eastAsia="Arial Unicode MS" w:cstheme="minorHAnsi"/>
          <w:szCs w:val="24"/>
        </w:rPr>
        <w:t>realizējams esošo normatīvo aktu ietvaros, nodrošinot notekūdeņu apsaimniekošanu (izsmeļam</w:t>
      </w:r>
      <w:r w:rsidR="00581524" w:rsidRPr="00675182">
        <w:rPr>
          <w:rFonts w:eastAsia="Arial Unicode MS" w:cstheme="minorHAnsi"/>
          <w:szCs w:val="24"/>
        </w:rPr>
        <w:t xml:space="preserve">ās </w:t>
      </w:r>
      <w:r w:rsidR="00E3075C" w:rsidRPr="00675182">
        <w:rPr>
          <w:rFonts w:eastAsia="Arial Unicode MS" w:cstheme="minorHAnsi"/>
          <w:szCs w:val="24"/>
        </w:rPr>
        <w:t xml:space="preserve">hermētiskās </w:t>
      </w:r>
      <w:r w:rsidR="00581524" w:rsidRPr="00675182">
        <w:rPr>
          <w:rFonts w:eastAsia="Arial Unicode MS" w:cstheme="minorHAnsi"/>
          <w:szCs w:val="24"/>
        </w:rPr>
        <w:t>tvertnes</w:t>
      </w:r>
      <w:r w:rsidRPr="00675182">
        <w:rPr>
          <w:rFonts w:eastAsia="Arial Unicode MS" w:cstheme="minorHAnsi"/>
          <w:szCs w:val="24"/>
        </w:rPr>
        <w:t>) un konkrētus risinājumus izvērtējot sugu un biotopu aizsardzības jomā sertificētiem ekspertiem (zālāju biotopu un bezmugurkaulnieku eksperti).</w:t>
      </w:r>
    </w:p>
    <w:p w14:paraId="135720DC" w14:textId="13404701" w:rsidR="00E3075C" w:rsidRPr="00675182" w:rsidRDefault="00E3075C" w:rsidP="00ED7AB2">
      <w:pPr>
        <w:snapToGrid w:val="0"/>
        <w:jc w:val="both"/>
        <w:rPr>
          <w:rFonts w:eastAsia="Arial Unicode MS" w:cstheme="minorHAnsi"/>
          <w:szCs w:val="24"/>
        </w:rPr>
      </w:pPr>
    </w:p>
    <w:p w14:paraId="23F0C01D" w14:textId="7D687123" w:rsidR="00E3075C" w:rsidRPr="00675182" w:rsidRDefault="00E3075C" w:rsidP="00ED7AB2">
      <w:pPr>
        <w:snapToGrid w:val="0"/>
        <w:jc w:val="both"/>
        <w:rPr>
          <w:rFonts w:eastAsia="Arial Unicode MS" w:cstheme="minorHAnsi"/>
          <w:szCs w:val="24"/>
        </w:rPr>
      </w:pPr>
      <w:r w:rsidRPr="00675182">
        <w:rPr>
          <w:rFonts w:eastAsia="Arial Unicode MS" w:cstheme="minorHAnsi"/>
          <w:szCs w:val="24"/>
        </w:rPr>
        <w:t xml:space="preserve">Pēc atbilstoša novērtējuma veikšanas, varētu tikt izveidota jauna tūrisma infrastruktūra ‘’Viesulēnos’’. </w:t>
      </w:r>
    </w:p>
    <w:p w14:paraId="2AC94493" w14:textId="6E6376E9" w:rsidR="000950A8" w:rsidRPr="00675182" w:rsidRDefault="000950A8" w:rsidP="00ED7AB2">
      <w:pPr>
        <w:snapToGrid w:val="0"/>
        <w:jc w:val="both"/>
        <w:rPr>
          <w:rFonts w:eastAsia="Arial Unicode MS" w:cstheme="minorHAnsi"/>
          <w:szCs w:val="24"/>
        </w:rPr>
      </w:pPr>
    </w:p>
    <w:p w14:paraId="188AD650" w14:textId="77777777" w:rsidR="000950A8" w:rsidRPr="00675182" w:rsidRDefault="000950A8" w:rsidP="000950A8">
      <w:pPr>
        <w:rPr>
          <w:b/>
          <w:bCs/>
        </w:rPr>
      </w:pPr>
      <w:r w:rsidRPr="00675182">
        <w:rPr>
          <w:b/>
          <w:bCs/>
        </w:rPr>
        <w:t>D.2.38. Tūrisma infrastruktūras – atpūtas namiņu – izveide īpašumā “Katrīnas”</w:t>
      </w:r>
    </w:p>
    <w:p w14:paraId="78D5C566" w14:textId="3CD2DC85" w:rsidR="000950A8" w:rsidRPr="00675182" w:rsidRDefault="000950A8" w:rsidP="000950A8">
      <w:pPr>
        <w:snapToGrid w:val="0"/>
        <w:jc w:val="both"/>
      </w:pPr>
      <w:r w:rsidRPr="00675182">
        <w:t>Izvērtēta un atbalstīta iecere veidot tūrisma infrastruktūru – neliela izmēra atpūtas namiņus zemes īpašumā “Katrīnas” (kadastra nr. 4282 009 0035), atbilstoši spēkā esošajiem normatīvajiem aktiem par būvniecību un funkcionālajam zonējumam, kas pieļauj mazēku (līdz 25 m</w:t>
      </w:r>
      <w:r w:rsidRPr="00675182">
        <w:rPr>
          <w:vertAlign w:val="superscript"/>
        </w:rPr>
        <w:t>2</w:t>
      </w:r>
      <w:r w:rsidRPr="00675182">
        <w:t>) izvietošanu, neveicot zemes lietošanas kategorijas maiņu. Ja tiek veidota papildus infrastruktūra (takas, soliņi u.tml.), tā izvietojama privātīpašuma ietvaros un paredzama apmeklētāju plūsmai tādā apjomā, kādu nodrošina atpūtas namiņu klienti.</w:t>
      </w:r>
    </w:p>
    <w:p w14:paraId="0062BD4D" w14:textId="46B4C194" w:rsidR="00063AEB" w:rsidRPr="00675182" w:rsidRDefault="00063AEB" w:rsidP="000950A8">
      <w:pPr>
        <w:snapToGrid w:val="0"/>
        <w:jc w:val="both"/>
      </w:pPr>
    </w:p>
    <w:p w14:paraId="1F7323C8" w14:textId="42307D6C" w:rsidR="00063AEB" w:rsidRPr="00675182" w:rsidRDefault="00063AEB" w:rsidP="000950A8">
      <w:pPr>
        <w:snapToGrid w:val="0"/>
        <w:jc w:val="both"/>
      </w:pPr>
      <w:r w:rsidRPr="00675182">
        <w:rPr>
          <w:rFonts w:eastAsia="Arial Unicode MS" w:cstheme="minorHAnsi"/>
          <w:szCs w:val="24"/>
        </w:rPr>
        <w:t>Pasākuma realizācijas rezultātā tiktu izveidota jauna tūrisma infrastruktūra - atpūtas namiņi - nekustamajā īpašumā “Katrīnas”</w:t>
      </w:r>
    </w:p>
    <w:p w14:paraId="4F7389AB" w14:textId="0C25E461" w:rsidR="000950A8" w:rsidRPr="00675182" w:rsidRDefault="000950A8" w:rsidP="000950A8">
      <w:pPr>
        <w:snapToGrid w:val="0"/>
        <w:jc w:val="both"/>
      </w:pPr>
    </w:p>
    <w:p w14:paraId="2B63D860" w14:textId="77777777" w:rsidR="000950A8" w:rsidRPr="00675182" w:rsidRDefault="000950A8" w:rsidP="000950A8">
      <w:pPr>
        <w:jc w:val="both"/>
        <w:rPr>
          <w:rFonts w:cstheme="minorHAnsi"/>
          <w:b/>
          <w:bCs/>
          <w:szCs w:val="24"/>
        </w:rPr>
      </w:pPr>
      <w:r w:rsidRPr="00675182">
        <w:rPr>
          <w:rFonts w:cstheme="minorHAnsi"/>
          <w:b/>
          <w:bCs/>
          <w:szCs w:val="24"/>
        </w:rPr>
        <w:t>D.2.39. Tūrisma infrastruktūras izveide īpašumā “Viļņi”</w:t>
      </w:r>
    </w:p>
    <w:p w14:paraId="3070B1DE" w14:textId="77777777" w:rsidR="000950A8" w:rsidRPr="00675182" w:rsidRDefault="000950A8" w:rsidP="000950A8">
      <w:pPr>
        <w:jc w:val="both"/>
        <w:rPr>
          <w:rFonts w:cstheme="minorHAnsi"/>
          <w:szCs w:val="24"/>
        </w:rPr>
      </w:pPr>
      <w:r w:rsidRPr="00675182">
        <w:rPr>
          <w:rFonts w:cstheme="minorHAnsi"/>
          <w:szCs w:val="24"/>
        </w:rPr>
        <w:t xml:space="preserve">Izvērtēta un atbalstīta iecere veidot tūrisma infrastruktūru – brīvdienu namiņus, telšu vietas, kemperu novietnes – </w:t>
      </w:r>
      <w:r w:rsidRPr="00675182">
        <w:rPr>
          <w:szCs w:val="24"/>
        </w:rPr>
        <w:t>īpašumā “Viļņi” (kad. Nr. 42460040077). Objektu novietnes paredzētas ap esošu viensētu; kemperu novietnes robežojas un daļēji var skart zālāju biotopus 6510 Mēreni mitras pļavas un 6270* Sugām bagātas ganības un ganītas pļavas – tādā gadījumā jānodrošina, ka netiek neatgriezeniski mainīta zemsedze, tiek nodrošināta pļaušana ar siena novākšanu vienreiz gadā un kemperu vietas tiek regulāri mainītas. Pārējā infrastruktūra veidojama saskaņā ar spēkā esošajiem normatīvajiem aktiem par būvniecību.</w:t>
      </w:r>
    </w:p>
    <w:p w14:paraId="7F6565B9" w14:textId="3B18AC9C" w:rsidR="005170A8" w:rsidRPr="00675182" w:rsidRDefault="005170A8" w:rsidP="00ED7AB2">
      <w:pPr>
        <w:snapToGrid w:val="0"/>
        <w:jc w:val="both"/>
        <w:rPr>
          <w:rFonts w:eastAsia="Arial Unicode MS" w:cstheme="minorHAnsi"/>
          <w:b/>
          <w:bCs/>
          <w:szCs w:val="24"/>
        </w:rPr>
      </w:pPr>
    </w:p>
    <w:p w14:paraId="3CA2A4E7" w14:textId="6C74DDFF" w:rsidR="00063AEB" w:rsidRPr="00675182" w:rsidRDefault="00063AEB" w:rsidP="00ED7AB2">
      <w:pPr>
        <w:snapToGrid w:val="0"/>
        <w:jc w:val="both"/>
        <w:rPr>
          <w:rFonts w:eastAsia="Arial Unicode MS" w:cstheme="minorHAnsi"/>
          <w:b/>
          <w:bCs/>
          <w:szCs w:val="24"/>
        </w:rPr>
      </w:pPr>
      <w:r w:rsidRPr="00675182">
        <w:rPr>
          <w:rFonts w:eastAsia="Arial Unicode MS" w:cstheme="minorHAnsi"/>
          <w:szCs w:val="24"/>
        </w:rPr>
        <w:t>Pasākuma realizācijas rezultātā tiktu izveidota jauna tūrisma infrastruktūra  nekustamajā īpašumā “Viļņi”.</w:t>
      </w:r>
    </w:p>
    <w:p w14:paraId="06FE3B67" w14:textId="77777777" w:rsidR="00063AEB" w:rsidRPr="00675182" w:rsidRDefault="00063AEB" w:rsidP="00ED7AB2">
      <w:pPr>
        <w:snapToGrid w:val="0"/>
        <w:jc w:val="both"/>
        <w:rPr>
          <w:rFonts w:eastAsia="Arial Unicode MS" w:cstheme="minorHAnsi"/>
          <w:b/>
          <w:bCs/>
          <w:szCs w:val="24"/>
        </w:rPr>
      </w:pPr>
    </w:p>
    <w:p w14:paraId="5D42EE52" w14:textId="77777777" w:rsidR="00063AEB" w:rsidRPr="00675182" w:rsidRDefault="00063AEB" w:rsidP="00063AEB">
      <w:pPr>
        <w:keepNext/>
        <w:keepLines/>
        <w:snapToGrid w:val="0"/>
        <w:rPr>
          <w:rFonts w:ascii="Calibri" w:hAnsi="Calibri"/>
          <w:b/>
          <w:bCs/>
          <w:i/>
          <w:iCs/>
          <w:u w:val="single"/>
        </w:rPr>
      </w:pPr>
      <w:r w:rsidRPr="00675182">
        <w:rPr>
          <w:rFonts w:ascii="Calibri" w:hAnsi="Calibri"/>
          <w:b/>
          <w:bCs/>
          <w:i/>
          <w:iCs/>
          <w:u w:val="single"/>
        </w:rPr>
        <w:t>D.3. Ilgtspējīga resursu un tūrisma galamērķa pārvaldība</w:t>
      </w:r>
    </w:p>
    <w:p w14:paraId="67000186" w14:textId="2D687C98" w:rsidR="00063AEB" w:rsidRPr="00675182" w:rsidRDefault="00063AEB" w:rsidP="00063AEB">
      <w:pPr>
        <w:jc w:val="both"/>
        <w:rPr>
          <w:rFonts w:cstheme="minorHAnsi"/>
          <w:bCs/>
          <w:iCs/>
          <w:szCs w:val="24"/>
        </w:rPr>
      </w:pPr>
      <w:r w:rsidRPr="00675182">
        <w:rPr>
          <w:rFonts w:cstheme="minorHAnsi"/>
          <w:bCs/>
          <w:iCs/>
          <w:szCs w:val="24"/>
        </w:rPr>
        <w:t xml:space="preserve">GNP ar tuvāko apkārtni tiek uztverts un pārvaldīts kā tūrisma galamērķis, kas līdzās Rīgai un jūras piekrastei kļuvis par visvairāk apmeklēto tūrisma galamērķi Latvijā. Tāpēc liela nozīme ir organizētai tūrisma galamērķa pārvaldībai, iekļaujot </w:t>
      </w:r>
      <w:r w:rsidRPr="00675182">
        <w:rPr>
          <w:rFonts w:cstheme="minorHAnsi"/>
          <w:bCs/>
          <w:i/>
          <w:szCs w:val="24"/>
        </w:rPr>
        <w:t>EUROPARC</w:t>
      </w:r>
      <w:r w:rsidRPr="00675182">
        <w:rPr>
          <w:rFonts w:cstheme="minorHAnsi"/>
          <w:bCs/>
          <w:iCs/>
          <w:szCs w:val="24"/>
        </w:rPr>
        <w:t xml:space="preserve"> ilgtspējīgas tūrisma hartas nosacījumu izpildi, regulāru iesaistīto pušu dialoga par tūrisma attīstību un dabas aizsardzībai nozīmīgiem mērķiem tūrisma klastera ietvaros u.c. institucionālus instrumentus.</w:t>
      </w:r>
    </w:p>
    <w:p w14:paraId="1C8094EF" w14:textId="77777777" w:rsidR="00063AEB" w:rsidRPr="00675182" w:rsidRDefault="00063AEB" w:rsidP="00063AEB">
      <w:pPr>
        <w:jc w:val="both"/>
        <w:rPr>
          <w:rFonts w:cstheme="minorHAnsi"/>
          <w:bCs/>
          <w:iCs/>
          <w:szCs w:val="24"/>
        </w:rPr>
      </w:pPr>
    </w:p>
    <w:p w14:paraId="0647678C" w14:textId="77777777" w:rsidR="00063AEB" w:rsidRPr="00675182" w:rsidRDefault="00063AEB" w:rsidP="00063AEB">
      <w:pPr>
        <w:snapToGrid w:val="0"/>
        <w:rPr>
          <w:rFonts w:eastAsia="Arial Unicode MS" w:cstheme="minorHAnsi"/>
          <w:b/>
          <w:bCs/>
          <w:szCs w:val="24"/>
        </w:rPr>
      </w:pPr>
      <w:r w:rsidRPr="00675182">
        <w:rPr>
          <w:rFonts w:eastAsia="Arial Unicode MS" w:cstheme="minorHAnsi"/>
          <w:b/>
          <w:bCs/>
          <w:szCs w:val="24"/>
        </w:rPr>
        <w:t>D.3.1</w:t>
      </w:r>
      <w:r w:rsidRPr="00675182">
        <w:rPr>
          <w:rFonts w:eastAsia="Arial Unicode MS" w:cstheme="minorHAnsi"/>
          <w:b/>
          <w:bCs/>
          <w:szCs w:val="24"/>
        </w:rPr>
        <w:tab/>
        <w:t>EUROPARC</w:t>
      </w:r>
      <w:r w:rsidRPr="00675182">
        <w:rPr>
          <w:rStyle w:val="FootnoteReference"/>
          <w:rFonts w:eastAsia="Arial Unicode MS" w:cstheme="minorHAnsi"/>
          <w:b/>
          <w:bCs/>
          <w:szCs w:val="24"/>
        </w:rPr>
        <w:footnoteReference w:id="40"/>
      </w:r>
      <w:r w:rsidRPr="00675182">
        <w:rPr>
          <w:rFonts w:eastAsia="Arial Unicode MS" w:cstheme="minorHAnsi"/>
          <w:b/>
          <w:bCs/>
          <w:szCs w:val="24"/>
        </w:rPr>
        <w:t xml:space="preserve"> ilgtspējīgas tūrisma hartas nosacījumu izpilde un sertifikācija</w:t>
      </w:r>
    </w:p>
    <w:p w14:paraId="7C5C0E9E"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 xml:space="preserve">DA plāna izstrādei jākalpo par pamatu līdz šim vienotā starptautiskā ietvara nosacījumu izpildei, ko radījusi EUROPARC nevalstiskā organizācija, pieņemot ilgtspējīga tūrisma </w:t>
      </w:r>
      <w:r w:rsidRPr="00675182">
        <w:rPr>
          <w:rFonts w:ascii="Calibri" w:eastAsia="Arial Unicode MS" w:hAnsi="Calibri"/>
          <w:szCs w:val="24"/>
        </w:rPr>
        <w:lastRenderedPageBreak/>
        <w:t>hartu</w:t>
      </w:r>
      <w:r w:rsidRPr="00675182">
        <w:rPr>
          <w:rStyle w:val="FootnoteReference"/>
          <w:rFonts w:ascii="Calibri" w:eastAsia="Arial Unicode MS" w:hAnsi="Calibri"/>
          <w:szCs w:val="24"/>
        </w:rPr>
        <w:footnoteReference w:id="41"/>
      </w:r>
      <w:r w:rsidRPr="00675182">
        <w:rPr>
          <w:rFonts w:ascii="Calibri" w:eastAsia="Arial Unicode MS" w:hAnsi="Calibri"/>
          <w:szCs w:val="24"/>
        </w:rPr>
        <w:t xml:space="preserve"> un izveidojot sertifikācijas sistēmu. Lai arī tā nav obligāta prasība, tomēr līdz šim, starp stingriem noteikumiem un labo gribu, tieši hartas nosacījumu izpilde un sertifikācija palīdz izpildīt ilgtspējīga tūrisma attīstību nacionālajos parkos dažādās pasaules valstīs. DAP kā organizācija ir iesaistījusies EUROPARC starptautiskās NVO darbībā un Ķemeru NP ir vienīgais, kas līdz šim Latvijā ir saņēmis EUROPARC sertifikātu. Būtu jāstiprina politiskā griba nacionālā līmenī, lai definētu šo kā skaidru prioritāti Latvijas nacionālo parku attīstībai, tostarp atbalstot ar līdzmaksājumu sertifikācijas procesu (kā LVAF projektu vai tml.).</w:t>
      </w:r>
    </w:p>
    <w:p w14:paraId="72A9BC68" w14:textId="77777777" w:rsidR="00063AEB" w:rsidRPr="00675182" w:rsidRDefault="00063AEB" w:rsidP="00063AEB">
      <w:pPr>
        <w:keepNext/>
        <w:keepLines/>
        <w:snapToGrid w:val="0"/>
        <w:jc w:val="both"/>
        <w:rPr>
          <w:rFonts w:ascii="Calibri" w:eastAsia="Arial Unicode MS" w:hAnsi="Calibri"/>
          <w:szCs w:val="24"/>
        </w:rPr>
      </w:pPr>
    </w:p>
    <w:p w14:paraId="74ADC91B" w14:textId="77777777" w:rsidR="00063AEB" w:rsidRPr="00675182" w:rsidRDefault="00063AEB" w:rsidP="00063AEB">
      <w:pPr>
        <w:keepNext/>
        <w:keepLines/>
        <w:snapToGrid w:val="0"/>
        <w:jc w:val="both"/>
        <w:rPr>
          <w:rFonts w:ascii="Calibri" w:eastAsia="Arial Unicode MS" w:hAnsi="Calibri"/>
          <w:szCs w:val="24"/>
        </w:rPr>
      </w:pPr>
      <w:r w:rsidRPr="00675182">
        <w:rPr>
          <w:rFonts w:ascii="Calibri" w:eastAsia="Arial Unicode MS" w:hAnsi="Calibri"/>
          <w:szCs w:val="24"/>
        </w:rPr>
        <w:t>Šī pasākuma rezultātā GNP varētu iegūt EUROPARC sertifikātu, ieviešot ilgtspējīga tūrisma hartu. nodrošinātu līdzsvarotāku pieeju tūrisma attīstības un dabas aizsardzības mērķu līdzās pastāvēšanai.</w:t>
      </w:r>
    </w:p>
    <w:p w14:paraId="4A08FD3B" w14:textId="77777777" w:rsidR="00063AEB" w:rsidRPr="00675182" w:rsidRDefault="00063AEB" w:rsidP="00063AEB">
      <w:pPr>
        <w:snapToGrid w:val="0"/>
        <w:rPr>
          <w:rFonts w:eastAsia="Arial Unicode MS" w:cstheme="minorHAnsi"/>
          <w:b/>
          <w:bCs/>
          <w:szCs w:val="24"/>
          <w:highlight w:val="yellow"/>
        </w:rPr>
      </w:pPr>
    </w:p>
    <w:p w14:paraId="55E793FA" w14:textId="77777777" w:rsidR="00063AEB" w:rsidRPr="00675182" w:rsidRDefault="00063AEB" w:rsidP="00BF7348">
      <w:pPr>
        <w:keepNext/>
        <w:keepLines/>
        <w:snapToGrid w:val="0"/>
        <w:jc w:val="both"/>
        <w:rPr>
          <w:rFonts w:eastAsia="Arial Unicode MS" w:cstheme="minorHAnsi"/>
          <w:b/>
          <w:bCs/>
          <w:szCs w:val="24"/>
        </w:rPr>
      </w:pPr>
      <w:r w:rsidRPr="00675182">
        <w:rPr>
          <w:rFonts w:eastAsia="Arial Unicode MS" w:cstheme="minorHAnsi"/>
          <w:b/>
          <w:bCs/>
          <w:szCs w:val="24"/>
        </w:rPr>
        <w:t>D.3.2</w:t>
      </w:r>
      <w:r w:rsidRPr="00675182">
        <w:rPr>
          <w:rFonts w:eastAsia="Arial Unicode MS" w:cstheme="minorHAnsi"/>
          <w:b/>
          <w:bCs/>
          <w:szCs w:val="24"/>
        </w:rPr>
        <w:tab/>
        <w:t>Iesaistīto pušu dialoga par dabas aizsardzībai nozīmīgiem mērķiem uzturēšana GNP tūrisma klastera ietvaros</w:t>
      </w:r>
    </w:p>
    <w:p w14:paraId="3024CBF7" w14:textId="77777777" w:rsidR="00063AEB" w:rsidRPr="00675182" w:rsidRDefault="00063AEB" w:rsidP="00063AEB">
      <w:pPr>
        <w:keepNext/>
        <w:keepLines/>
        <w:snapToGrid w:val="0"/>
        <w:jc w:val="both"/>
        <w:rPr>
          <w:rFonts w:ascii="Calibri" w:eastAsia="Arial Unicode MS" w:hAnsi="Calibri"/>
          <w:szCs w:val="24"/>
        </w:rPr>
      </w:pPr>
      <w:r w:rsidRPr="00675182">
        <w:rPr>
          <w:rFonts w:ascii="Calibri" w:eastAsia="Arial Unicode MS" w:hAnsi="Calibri"/>
          <w:szCs w:val="24"/>
        </w:rPr>
        <w:t>GNP tūrisma klasteris darbojas jau kopš 2012. gada un ir apliecinājis šādas kopīgas lēmumu pieņemšanas platformas nozīmīgumu. Ir jāpastiprina mehānisms, kas ar noteiktu regularitāti ļauj uzturēt dialogu ar vietējo kopienu (vairākām, ņemot vērā GNP apdzīvoto vietu izvietojumu). Veiktā iedzīvotāju un apmeklētāju aptauja (skat. 26. pielikumu) pierāda, ka ir vairāki neviennozīmīgi uztverti jautājumi par GNP apsaimniekošanu, tūrisma norisēm vai publiskajiem pasākumiem, kas rada negatīvu ietekmi. Šādu konfliktsituāciju ikdienas risināšanai klastera vadības grupas ietvars (kurā piedalās GNP pašvaldību tūrisma speciālisti, DAP, uzņēmēju pārstāvji, Vidzemes Augstskolas pārstāvis) ir optimāls mehānisms, lai efektīvāk apspriestu risinājumus. Šādu jautājumu izskatīšanas situācijās klastera vadības grupas tikšanās papildināma ar aktīvo iedzīvotāju – vietējo kopienu un vietējo rīcības grupu līderiem.</w:t>
      </w:r>
    </w:p>
    <w:p w14:paraId="0EB19D06" w14:textId="77777777" w:rsidR="00063AEB" w:rsidRPr="00675182" w:rsidRDefault="00063AEB" w:rsidP="00063AEB">
      <w:pPr>
        <w:snapToGrid w:val="0"/>
        <w:rPr>
          <w:rFonts w:eastAsia="Arial Unicode MS" w:cstheme="minorHAnsi"/>
          <w:b/>
          <w:bCs/>
          <w:szCs w:val="24"/>
          <w:highlight w:val="yellow"/>
        </w:rPr>
      </w:pPr>
    </w:p>
    <w:p w14:paraId="4EE19DEF" w14:textId="77777777" w:rsidR="00063AEB" w:rsidRPr="00675182" w:rsidRDefault="00063AEB" w:rsidP="00063AEB">
      <w:pPr>
        <w:snapToGrid w:val="0"/>
        <w:rPr>
          <w:rFonts w:eastAsia="Arial Unicode MS" w:cstheme="minorHAnsi"/>
          <w:b/>
          <w:bCs/>
          <w:szCs w:val="24"/>
        </w:rPr>
      </w:pPr>
      <w:r w:rsidRPr="00675182">
        <w:rPr>
          <w:rFonts w:eastAsia="Arial Unicode MS" w:cstheme="minorHAnsi"/>
          <w:b/>
          <w:bCs/>
          <w:szCs w:val="24"/>
        </w:rPr>
        <w:t>D.3.3</w:t>
      </w:r>
      <w:r w:rsidRPr="00675182">
        <w:rPr>
          <w:rFonts w:eastAsia="Arial Unicode MS" w:cstheme="minorHAnsi"/>
          <w:b/>
          <w:bCs/>
          <w:szCs w:val="24"/>
        </w:rPr>
        <w:tab/>
        <w:t>Apsaimniekošanas līgumu slēgšana par infrastruktūras uzturēšanu sadarbībā ar iesaistītajām ieinteresētajām pusēm (NVO, uzņēmēji) apsaimniekošanas kapacitātes stiprināšanai</w:t>
      </w:r>
    </w:p>
    <w:p w14:paraId="4074C0DA" w14:textId="24B09E5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 xml:space="preserve">Apsvērumi, kāpēc šādi līgumi ir nepieciešami, ir izklāstīti jau infrastruktūras apsaimniekošanas vispārīgo vadlīniju punktā </w:t>
      </w:r>
      <w:r w:rsidRPr="00675182">
        <w:rPr>
          <w:rFonts w:ascii="Calibri" w:hAnsi="Calibri"/>
          <w:b/>
          <w:bCs/>
        </w:rPr>
        <w:t>D.1.6</w:t>
      </w:r>
      <w:r w:rsidRPr="00675182">
        <w:rPr>
          <w:rFonts w:ascii="Calibri" w:eastAsia="Arial Unicode MS" w:hAnsi="Calibri"/>
          <w:szCs w:val="24"/>
        </w:rPr>
        <w:t>. Līdz šim DAP nav praktizējis šādu līgumu slēgšanu, taču to darījušas pašvaldības. Piemēram, Amatas novada pašvaldība</w:t>
      </w:r>
      <w:r w:rsidR="005D400A" w:rsidRPr="00675182">
        <w:rPr>
          <w:rFonts w:ascii="Calibri" w:eastAsia="Arial Unicode MS" w:hAnsi="Calibri"/>
          <w:szCs w:val="24"/>
        </w:rPr>
        <w:t xml:space="preserve"> (pēc ATR – Cēsu novads)</w:t>
      </w:r>
      <w:r w:rsidRPr="00675182">
        <w:rPr>
          <w:rFonts w:ascii="Calibri" w:eastAsia="Arial Unicode MS" w:hAnsi="Calibri"/>
          <w:szCs w:val="24"/>
        </w:rPr>
        <w:t xml:space="preserve"> 27.06.2019. noslēdza nekustamā īpašuma nomas līgumu par Zvārtes ieža informācijas centra ēkas un autostāvvietas nodošanu nomai. Brīvas nomas tiesību izsoles, vietējo uzņēmēju iespēja nopelnīt no apmeklētāju vajadzībām, vienlaikus nosacījumi par sadzīves atkritumu apsaimniekošanu, publiski pieejamas tualetes uzturēšanu un vietas uzraudzīšanu, ir modelis, kas daudzviet darbojas jūras piekrastē. Lai būtu motivācija ieguldīt labākas infrastruktūras izveidē un ērtību pilnveidē, rekomendējama nomas tiesību izsolīšana uz garāku laika periodu – 3-5 gadiem. Taču ārpus šādām vietām ar augstu komerciālu ieinteresētību var būt apsaimniekošanas līgumu ar tuvākajām tūristu mītnēm vai citiem tūrisma pakalpojumu sniedzēju uzņēmumiem par kādu konkrētu infrastruktūras objektu, dabas takas posmu uzturēšanu u.tml. </w:t>
      </w:r>
    </w:p>
    <w:p w14:paraId="5A173BAB" w14:textId="77777777" w:rsidR="00063AEB" w:rsidRPr="00675182" w:rsidRDefault="00063AEB" w:rsidP="00063AEB">
      <w:pPr>
        <w:snapToGrid w:val="0"/>
        <w:jc w:val="both"/>
        <w:rPr>
          <w:rFonts w:ascii="Calibri" w:eastAsia="Arial Unicode MS" w:hAnsi="Calibri"/>
          <w:szCs w:val="24"/>
        </w:rPr>
      </w:pPr>
    </w:p>
    <w:p w14:paraId="4858EC1B" w14:textId="77777777" w:rsidR="00063AEB" w:rsidRPr="00675182" w:rsidRDefault="00063AEB" w:rsidP="00063AEB">
      <w:pPr>
        <w:snapToGrid w:val="0"/>
        <w:jc w:val="both"/>
        <w:rPr>
          <w:rFonts w:eastAsia="Arial Unicode MS" w:cstheme="minorHAnsi"/>
          <w:szCs w:val="24"/>
        </w:rPr>
      </w:pPr>
      <w:r w:rsidRPr="00675182">
        <w:rPr>
          <w:rFonts w:eastAsia="Arial Unicode MS" w:cstheme="minorHAnsi"/>
          <w:szCs w:val="24"/>
        </w:rPr>
        <w:t>Rezultāts – infrastruktūras apsaimniekošana deleģēta vismaz 10 līgumu ietvaros.</w:t>
      </w:r>
    </w:p>
    <w:p w14:paraId="1666B19C" w14:textId="77777777" w:rsidR="00063AEB" w:rsidRPr="00675182" w:rsidRDefault="00063AEB" w:rsidP="00063AEB">
      <w:pPr>
        <w:snapToGrid w:val="0"/>
        <w:jc w:val="both"/>
        <w:rPr>
          <w:rFonts w:eastAsia="Arial Unicode MS" w:cstheme="minorHAnsi"/>
          <w:b/>
          <w:bCs/>
          <w:szCs w:val="24"/>
          <w:highlight w:val="yellow"/>
        </w:rPr>
      </w:pPr>
    </w:p>
    <w:p w14:paraId="7CB8736D" w14:textId="77777777" w:rsidR="00063AEB" w:rsidRPr="00675182" w:rsidRDefault="00063AEB" w:rsidP="00063AEB">
      <w:pPr>
        <w:snapToGrid w:val="0"/>
        <w:rPr>
          <w:rFonts w:eastAsia="Arial Unicode MS" w:cstheme="minorHAnsi"/>
          <w:b/>
          <w:bCs/>
          <w:szCs w:val="24"/>
        </w:rPr>
      </w:pPr>
      <w:r w:rsidRPr="00675182">
        <w:rPr>
          <w:rFonts w:eastAsia="Arial Unicode MS" w:cstheme="minorHAnsi"/>
          <w:b/>
          <w:bCs/>
          <w:szCs w:val="24"/>
        </w:rPr>
        <w:t>D.3.4</w:t>
      </w:r>
      <w:r w:rsidRPr="00675182">
        <w:rPr>
          <w:rFonts w:eastAsia="Arial Unicode MS" w:cstheme="minorHAnsi"/>
          <w:b/>
          <w:bCs/>
          <w:szCs w:val="24"/>
        </w:rPr>
        <w:tab/>
        <w:t>Zilā karoga peldvietu izveide (Vaidavas ezers, Ungura ezers, Niniera ezers u.c.) un esošo kvalitatīva uzturēšana (Siguldas pludmale), oficiālo peldvietu iniciēšana</w:t>
      </w:r>
    </w:p>
    <w:p w14:paraId="4B3120EC"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Zilā karoga starptautiskā iniciatīva ir globāli respektējama un atpazīstama sistēma kritēriju izpildei attiecībā uz drošu piekļuvi publiskajiem ūdeņiem un augstāku vides standartu ievērošanu. Peldsezonas ietvaros, kas vidēji ilgst no 15. maija līdz 15. septembrim, populārākajās GNP peldvietās pie iekšējiem ūdeņiem, būtu pamats šādu kritēriju izpildei, akcentējot arī apmeklētāju drošības jautājumu. Pamatā tas ir pašvaldību kompetencē, sertifikācija būtu veicināma arī privāti apsaimniekotās – kempingu peldvietās. Līdz šim vienīgi Siguldas pašvaldība ir atbildīgi risinājusi šo jautājumu, ieviešot Zilā karoga pludmales kritēriju izpildi Siguldas pludmalē pie Gaujas</w:t>
      </w:r>
      <w:r w:rsidRPr="00675182">
        <w:rPr>
          <w:rStyle w:val="FootnoteReference"/>
          <w:rFonts w:ascii="Calibri" w:eastAsia="Arial Unicode MS" w:hAnsi="Calibri"/>
          <w:szCs w:val="24"/>
        </w:rPr>
        <w:footnoteReference w:id="42"/>
      </w:r>
      <w:r w:rsidRPr="00675182">
        <w:rPr>
          <w:rFonts w:ascii="Calibri" w:eastAsia="Arial Unicode MS" w:hAnsi="Calibri"/>
          <w:szCs w:val="24"/>
        </w:rPr>
        <w:t>. Pat situācijā, ja šo sertifikācijas procesu vērtē kā dārgu, tomēr oficiālas peldvietas statusa noteikšana un brīvprātīga Zilā karoga sistēmas nosacījumu izpilde būtu rekomendējama.</w:t>
      </w:r>
    </w:p>
    <w:p w14:paraId="36C8CF2F" w14:textId="77777777" w:rsidR="00063AEB" w:rsidRPr="00675182" w:rsidRDefault="00063AEB" w:rsidP="00063AEB">
      <w:pPr>
        <w:snapToGrid w:val="0"/>
        <w:jc w:val="both"/>
        <w:rPr>
          <w:rFonts w:ascii="Calibri" w:eastAsia="Arial Unicode MS" w:hAnsi="Calibri"/>
          <w:szCs w:val="24"/>
        </w:rPr>
      </w:pPr>
    </w:p>
    <w:p w14:paraId="50C1028F"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Pasākuma rezultātā DA plāna periodā varētu tikt izveidotas vismaz 3 Zilā karoga peldvietas.</w:t>
      </w:r>
    </w:p>
    <w:p w14:paraId="178C028A" w14:textId="77777777" w:rsidR="00063AEB" w:rsidRPr="00675182" w:rsidRDefault="00063AEB" w:rsidP="00063AEB">
      <w:pPr>
        <w:snapToGrid w:val="0"/>
        <w:rPr>
          <w:rFonts w:eastAsia="Arial Unicode MS" w:cstheme="minorHAnsi"/>
          <w:b/>
          <w:bCs/>
          <w:szCs w:val="24"/>
        </w:rPr>
      </w:pPr>
    </w:p>
    <w:p w14:paraId="714A32C2" w14:textId="77777777" w:rsidR="00063AEB" w:rsidRPr="00675182" w:rsidRDefault="00063AEB" w:rsidP="00BF7348">
      <w:pPr>
        <w:snapToGrid w:val="0"/>
        <w:jc w:val="both"/>
        <w:rPr>
          <w:rFonts w:eastAsia="Arial Unicode MS" w:cstheme="minorHAnsi"/>
          <w:b/>
          <w:bCs/>
          <w:szCs w:val="24"/>
        </w:rPr>
      </w:pPr>
      <w:r w:rsidRPr="00675182">
        <w:rPr>
          <w:rFonts w:eastAsia="Arial Unicode MS" w:cstheme="minorHAnsi"/>
          <w:b/>
          <w:bCs/>
          <w:szCs w:val="24"/>
        </w:rPr>
        <w:t>D.3.5</w:t>
      </w:r>
      <w:r w:rsidRPr="00675182">
        <w:rPr>
          <w:rFonts w:eastAsia="Arial Unicode MS" w:cstheme="minorHAnsi"/>
          <w:b/>
          <w:bCs/>
          <w:szCs w:val="24"/>
        </w:rPr>
        <w:tab/>
        <w:t>Oficiālo peldvietu statusa noteikšana populārākajām piekļuves vietām ūdenim</w:t>
      </w:r>
    </w:p>
    <w:p w14:paraId="468A3962"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Arī daļa no GNP neoficiālajām peldvietām, pateicoties aktīvai pašvaldību darbībai, tiek atbilstoši apsaimniekotas, labiekārtotas un tajās tiek nodrošinātas higiēnas prasības. Vairākās no tām, peldsezonas laikā, pašvaldības par saviem līdzekļiem arī organizē ūdens kvalitātes pārbaudes. Ja peldvietu izmanto liels peldētāju skaits, kā arī, ja peldvietā nav piemērots pastāvīgs peldēšanās aizliegums vai pastāvīgs ieteikums nepeldēties, to ar pašvaldības iniciatīvu, var iekļaut arī oficiālo peldvietu sarakstā. Iekļaujot peldvietu oficiālo peldvietu sarakstā, Veselības Inspekcija, kas ir atbildīgā institūcija Latvijā par peldvietu ūdens uzraudzību un kontroli, tajā uzsāk ūdens kvalitātes monitoringu, nodrošinot regulāras ūdens kvalitātes pārbaudes par valsts līdzekļiem, uzrauga un kontrolē normatīvo aktu ievērošanu peldvietu labiekārtošanas un uzturēšanas jomā (veic peldvietu inspicēšanu), kā arī sagatavo regulārus ziņojumus par ūdens kvalitāti, kurš tiek publicēts Inspekcijas mājas lapā, dodot iespēju visiem interesentiem, tostarp tūristiem, iepazīties ar informāciju par peldvietu, tās apkārtni un ūdens kvalitāti. Lai popularizētu šādas vietas apmeklētājiem, vienlaikus atbildīgi attiektos pret GNP vērtībām, vidi un apmeklētāju drošību, pamatojums noteikt oficiālo peldvietu statusu (bez jau esošās Siguldas peldvietas) ir Vaidavas ezera peldvietai, Ungura ezera peldvietai (šobrīd ir vairākas publiskās piekļuves vietas ūdenim un kempingu teritorijas), Niniera ezera peldvietai, Raiskuma ezera peldvietai (kempinga teritorijā) un Ratnieku ezera peldvietai. Apsverama populārās Driškina ezera atpūtas vietas peldvietas statusa atzīšana.</w:t>
      </w:r>
    </w:p>
    <w:p w14:paraId="3FC836A6" w14:textId="77777777" w:rsidR="00063AEB" w:rsidRPr="00675182" w:rsidRDefault="00063AEB" w:rsidP="00063AEB">
      <w:pPr>
        <w:snapToGrid w:val="0"/>
        <w:rPr>
          <w:rFonts w:eastAsia="Arial Unicode MS" w:cstheme="minorHAnsi"/>
          <w:b/>
          <w:bCs/>
          <w:szCs w:val="24"/>
        </w:rPr>
      </w:pPr>
    </w:p>
    <w:p w14:paraId="7EE5542B" w14:textId="0064686C" w:rsidR="00063AEB" w:rsidRPr="00675182" w:rsidRDefault="00063AEB" w:rsidP="00063AEB">
      <w:pPr>
        <w:snapToGrid w:val="0"/>
        <w:rPr>
          <w:rFonts w:eastAsia="Arial Unicode MS" w:cstheme="minorHAnsi"/>
          <w:szCs w:val="24"/>
        </w:rPr>
      </w:pPr>
      <w:r w:rsidRPr="00675182">
        <w:rPr>
          <w:rFonts w:eastAsia="Arial Unicode MS" w:cstheme="minorHAnsi"/>
          <w:szCs w:val="24"/>
        </w:rPr>
        <w:t xml:space="preserve">Pasākuma rezultātā tiktu palielināts oficiālo peldvietu skaits GNP. </w:t>
      </w:r>
    </w:p>
    <w:p w14:paraId="3EDAFBF8" w14:textId="77777777" w:rsidR="00063AEB" w:rsidRPr="00675182" w:rsidRDefault="00063AEB" w:rsidP="00063AEB">
      <w:pPr>
        <w:snapToGrid w:val="0"/>
        <w:rPr>
          <w:rFonts w:eastAsia="Arial Unicode MS" w:cstheme="minorHAnsi"/>
          <w:b/>
          <w:bCs/>
          <w:szCs w:val="24"/>
        </w:rPr>
      </w:pPr>
    </w:p>
    <w:p w14:paraId="720126CB" w14:textId="77777777" w:rsidR="00063AEB" w:rsidRPr="00675182" w:rsidRDefault="00063AEB" w:rsidP="00BF7348">
      <w:pPr>
        <w:keepNext/>
        <w:keepLines/>
        <w:snapToGrid w:val="0"/>
        <w:jc w:val="both"/>
        <w:rPr>
          <w:rFonts w:eastAsia="Arial Unicode MS" w:cstheme="minorHAnsi"/>
          <w:b/>
          <w:bCs/>
          <w:szCs w:val="24"/>
        </w:rPr>
      </w:pPr>
      <w:r w:rsidRPr="00675182">
        <w:rPr>
          <w:rFonts w:eastAsia="Arial Unicode MS" w:cstheme="minorHAnsi"/>
          <w:b/>
          <w:bCs/>
          <w:szCs w:val="24"/>
        </w:rPr>
        <w:lastRenderedPageBreak/>
        <w:t>D.3.6</w:t>
      </w:r>
      <w:r w:rsidRPr="00675182">
        <w:rPr>
          <w:rFonts w:eastAsia="Arial Unicode MS" w:cstheme="minorHAnsi"/>
          <w:b/>
          <w:bCs/>
          <w:szCs w:val="24"/>
        </w:rPr>
        <w:tab/>
        <w:t>Maksas ieviešana populārākajās tūristu apmeklētajās vietās par stāvvietām ar attālinātām/mobilām norēķinu iespējām un izvērstu skaidrojumu par ieguldījumu infrastruktūras nodrošināšanā. (Konkrēta sadarbība Līču-Laņģu dabas takai ar Liepas kopu u.c.)</w:t>
      </w:r>
    </w:p>
    <w:p w14:paraId="313A2173" w14:textId="0D6A8257" w:rsidR="00063AEB" w:rsidRPr="00675182" w:rsidRDefault="00063AEB" w:rsidP="00063AEB">
      <w:pPr>
        <w:keepNext/>
        <w:keepLines/>
        <w:snapToGrid w:val="0"/>
        <w:jc w:val="both"/>
        <w:rPr>
          <w:rFonts w:ascii="Calibri" w:eastAsia="Arial Unicode MS" w:hAnsi="Calibri"/>
          <w:szCs w:val="24"/>
        </w:rPr>
      </w:pPr>
      <w:r w:rsidRPr="00675182">
        <w:rPr>
          <w:rFonts w:ascii="Calibri" w:eastAsia="Arial Unicode MS" w:hAnsi="Calibri"/>
          <w:szCs w:val="24"/>
        </w:rPr>
        <w:t>Maksas apsvērumi ir apspriesti arī vispārējā infrastruktūras apsaimniekošanas sadaļā D.1.6 un arī ziedojumu piesaistes sadaļā D.1.5. Par iespējamiem ieejas maksu risinājumiem tika vaicāts arī apmeklētāju aptaujā (skat. 26. pielikumu) un liela daļa sabiedrības uztver šo kā atbildīgu rīcību. Maksas ieviešana nebūtu pašmērķis vai peļņas gūšanas motīvs. Ieejas maksa ir atbildīgs līdzmaksājums kopējiem publisko nodokļu tēriņiem par infrastruktūras ieviešanu un uzturēšanu, ko šādā gadījumā solidāri daļēji sedz tie, kuri to arī izmanto. Maksas ieviešana var uzlabot infrastruktūras kvalitāti, kam citādi trūkst resursu, tādējādi mazinot antropogēnās slodzes negatīvo ietekmi un paaugstinot apmeklētāju apmierinātību ar pieredzi. Ja iepriekš jebkāda maksas iekasēšana bija apgrūtinoša un prasīja lielus ieguldījumus kasēs, cilvēku algošanai, tad palielinoties attālinātu un mobilu mikro-maksājumu iespējām, maksājumu veikšana dabā kļūst vienkāršāka. Būtu jāizmēģina konkrēta sadarbība Līču-Laņģu dabas takai ar Liepas kopu vai kādai citai vietai – maksāt tieši par auto novietošanu. Jebkādai maksas ieviešanai jābūt caurspīdīgai attiecībā uz naudas izlietojumu, lai ir pārliecība, par ko tiek maksāts. Maksa šajā gadījumā var kalpot arī kā apmeklētāju plūsmas vadības instruments. Piemēram, maksu ieviešot tuvākajam stāvlaukumam pie takas sākumpunkta (Līču-Laņģu takas gadījumā – visa Lodes iela), bet vienlaikus norādot, ka bezmaksas laukumi pieejami Liepas ciemā vai pie Lielās Ellītes, kas dod iespēju no apmeklētāju plūsmas vairāk nopelnīt vietējiem uzņēmējiem, palielinās pastaigas garums, tiek nodrošināti kvalitatīvāki pakalpojumi, izmantojot jau ciema kanalizācijai pieslēgtu publisko tualeti u.c. Jebkuriem maksas ieviešanas pasākumiem jābūt tolerantiem pret sociālajām grupām, kam jānodrošina brīva pieeja, jārespektē vietējās kopienas vajadzība piekļūt vietai ikdienā bez maksas.</w:t>
      </w:r>
    </w:p>
    <w:p w14:paraId="1E21FB3E" w14:textId="77777777" w:rsidR="00063AEB" w:rsidRPr="00675182" w:rsidRDefault="00063AEB" w:rsidP="00063AEB">
      <w:pPr>
        <w:keepNext/>
        <w:keepLines/>
        <w:snapToGrid w:val="0"/>
        <w:jc w:val="both"/>
        <w:rPr>
          <w:rFonts w:ascii="Calibri" w:eastAsia="Arial Unicode MS" w:hAnsi="Calibri"/>
          <w:szCs w:val="24"/>
        </w:rPr>
      </w:pPr>
    </w:p>
    <w:p w14:paraId="18B0316C" w14:textId="77777777" w:rsidR="00063AEB" w:rsidRPr="00675182" w:rsidRDefault="00063AEB" w:rsidP="00063AEB">
      <w:pPr>
        <w:snapToGrid w:val="0"/>
        <w:jc w:val="both"/>
        <w:rPr>
          <w:rFonts w:eastAsia="Arial Unicode MS" w:cstheme="minorHAnsi"/>
          <w:szCs w:val="24"/>
        </w:rPr>
      </w:pPr>
      <w:r w:rsidRPr="00675182">
        <w:rPr>
          <w:rFonts w:eastAsia="Arial Unicode MS" w:cstheme="minorHAnsi"/>
          <w:szCs w:val="24"/>
        </w:rPr>
        <w:t>Pasākuma rezultāts – uzsākta maksas automātu uzstādīšana, ieviesta maksa. Pēc pirmā darbības gada būtu jāizdara secinājumi par turpmāko šādu risinājumu attīstību GNP, rekomendējot tos pie auto stāvlaukumiem – vienlaikus veicinot nemotorizētu pārvietošanos.</w:t>
      </w:r>
    </w:p>
    <w:p w14:paraId="3A64C30B" w14:textId="77777777" w:rsidR="00063AEB" w:rsidRPr="00675182" w:rsidRDefault="00063AEB" w:rsidP="00063AEB">
      <w:pPr>
        <w:snapToGrid w:val="0"/>
        <w:rPr>
          <w:rFonts w:eastAsia="Arial Unicode MS" w:cstheme="minorHAnsi"/>
          <w:szCs w:val="24"/>
        </w:rPr>
      </w:pPr>
    </w:p>
    <w:p w14:paraId="469B496C" w14:textId="77777777" w:rsidR="00063AEB" w:rsidRPr="00675182" w:rsidRDefault="00063AEB" w:rsidP="00BF7348">
      <w:pPr>
        <w:snapToGrid w:val="0"/>
        <w:jc w:val="both"/>
        <w:rPr>
          <w:rFonts w:eastAsia="Arial Unicode MS" w:cstheme="minorHAnsi"/>
          <w:b/>
          <w:bCs/>
          <w:szCs w:val="24"/>
        </w:rPr>
      </w:pPr>
      <w:r w:rsidRPr="00675182">
        <w:rPr>
          <w:rFonts w:eastAsia="Arial Unicode MS" w:cstheme="minorHAnsi"/>
          <w:b/>
          <w:bCs/>
          <w:szCs w:val="24"/>
        </w:rPr>
        <w:t>D.3.7</w:t>
      </w:r>
      <w:r w:rsidRPr="00675182">
        <w:rPr>
          <w:rFonts w:eastAsia="Arial Unicode MS" w:cstheme="minorHAnsi"/>
          <w:b/>
          <w:bCs/>
          <w:szCs w:val="24"/>
        </w:rPr>
        <w:tab/>
        <w:t>Brīvprātīgās sertifikācijas / vai zīmolu sistēmu ieviešanas veicināšana komercsektorā, kas izceļ kvalitāti / vides draudzīgumu / ilgtspēju un / vai korporatīvo sociālo atbildību</w:t>
      </w:r>
    </w:p>
    <w:p w14:paraId="4E5C9890"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Šī būtu brīvprātīga iniciatīva, jo dažādu sertifikācijas sistēmu ir daudz – vairāk starptautiskā mērogā, bet arī nacionālā (piemēram, Zaļais sertifikāts tūristu mītnēm, Q-Latvija tūrisma pakalpojumu sniedzējiem u.c.). Šī iniciatīva būtu atbalstāma kopumā, tādējādi atbildīgo uzņēmēja attieksmi iekļaujot publiski uztveramā pakalpojuma zīmola rokrakstā. Vienlaikus šis ir viens no kritērijiem ETIS</w:t>
      </w:r>
      <w:r w:rsidRPr="00675182">
        <w:rPr>
          <w:rStyle w:val="FootnoteReference"/>
          <w:rFonts w:ascii="Calibri" w:eastAsia="Arial Unicode MS" w:hAnsi="Calibri"/>
          <w:szCs w:val="24"/>
        </w:rPr>
        <w:footnoteReference w:id="43"/>
      </w:r>
      <w:r w:rsidRPr="00675182">
        <w:rPr>
          <w:rFonts w:ascii="Calibri" w:eastAsia="Arial Unicode MS" w:hAnsi="Calibri"/>
          <w:szCs w:val="24"/>
        </w:rPr>
        <w:t xml:space="preserve"> ilgtspējīgu tūrisma galamērķu pārvaldības uzraudzības sistēmā.</w:t>
      </w:r>
    </w:p>
    <w:p w14:paraId="5155AE78" w14:textId="77777777" w:rsidR="00063AEB" w:rsidRPr="00675182" w:rsidRDefault="00063AEB" w:rsidP="00063AEB">
      <w:pPr>
        <w:snapToGrid w:val="0"/>
        <w:jc w:val="both"/>
        <w:rPr>
          <w:rFonts w:ascii="Calibri" w:eastAsia="Arial Unicode MS" w:hAnsi="Calibri"/>
          <w:szCs w:val="24"/>
        </w:rPr>
      </w:pPr>
    </w:p>
    <w:p w14:paraId="5F13097C" w14:textId="77777777" w:rsidR="00063AEB" w:rsidRPr="00675182" w:rsidRDefault="00063AEB" w:rsidP="00063AEB">
      <w:pPr>
        <w:snapToGrid w:val="0"/>
        <w:jc w:val="both"/>
        <w:rPr>
          <w:rFonts w:cstheme="minorHAnsi"/>
          <w:szCs w:val="24"/>
        </w:rPr>
      </w:pPr>
      <w:r w:rsidRPr="00675182">
        <w:rPr>
          <w:rFonts w:ascii="Calibri" w:eastAsia="Arial Unicode MS" w:hAnsi="Calibri"/>
          <w:szCs w:val="24"/>
        </w:rPr>
        <w:t xml:space="preserve">Izpildes indikators: </w:t>
      </w:r>
      <w:r w:rsidRPr="00675182">
        <w:rPr>
          <w:rFonts w:cstheme="minorHAnsi"/>
          <w:szCs w:val="24"/>
        </w:rPr>
        <w:t xml:space="preserve">Tūrisma pakalpojumu sniedzēju (uzņēmumu un organizāciju) proporcija Gaujas NP galamērķī, kas ieviesušas brīvprātīgās sertifikācijas vai zīmolu </w:t>
      </w:r>
      <w:r w:rsidRPr="00675182">
        <w:rPr>
          <w:rFonts w:cstheme="minorHAnsi"/>
          <w:szCs w:val="24"/>
        </w:rPr>
        <w:lastRenderedPageBreak/>
        <w:t>sistēmas (izceļot kvalitāti / vides draudzīgumu / ilgtspēju un / vai korporatīvo sociālo atbildību)</w:t>
      </w:r>
    </w:p>
    <w:p w14:paraId="785FB65B" w14:textId="77777777" w:rsidR="00063AEB" w:rsidRPr="00675182" w:rsidRDefault="00063AEB" w:rsidP="00063AEB">
      <w:pPr>
        <w:snapToGrid w:val="0"/>
        <w:jc w:val="both"/>
        <w:rPr>
          <w:rFonts w:ascii="Calibri" w:eastAsia="Arial Unicode MS" w:hAnsi="Calibri"/>
          <w:szCs w:val="24"/>
        </w:rPr>
      </w:pPr>
    </w:p>
    <w:p w14:paraId="0AE3B8DF" w14:textId="77777777" w:rsidR="00063AEB" w:rsidRPr="00675182" w:rsidRDefault="00063AEB" w:rsidP="00063AEB">
      <w:pPr>
        <w:snapToGrid w:val="0"/>
        <w:jc w:val="both"/>
        <w:rPr>
          <w:rFonts w:ascii="Calibri" w:eastAsia="Arial Unicode MS" w:hAnsi="Calibri"/>
          <w:b/>
          <w:szCs w:val="24"/>
        </w:rPr>
      </w:pPr>
      <w:r w:rsidRPr="00675182">
        <w:rPr>
          <w:rFonts w:ascii="Calibri" w:eastAsia="Arial Unicode MS" w:hAnsi="Calibri"/>
          <w:b/>
          <w:szCs w:val="24"/>
        </w:rPr>
        <w:t>D.3.8. Licencētās makšķerēšanas ieviešana Ungura ezerā</w:t>
      </w:r>
    </w:p>
    <w:p w14:paraId="5D380792" w14:textId="3D806349"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Būtu jāizskata iespēja atļaut balto zivju zvejošanu ar murdiem tūrisma un rekreācijas nolūkos, atbilstoši Vides Risinājumu institūta 2018. gada pētījumam “Ungura ezera pētījuma atskaite”.</w:t>
      </w:r>
    </w:p>
    <w:p w14:paraId="49874D98" w14:textId="77777777" w:rsidR="00063AEB" w:rsidRPr="00675182" w:rsidRDefault="00063AEB" w:rsidP="00063AEB">
      <w:pPr>
        <w:snapToGrid w:val="0"/>
        <w:rPr>
          <w:rFonts w:eastAsia="Arial Unicode MS" w:cstheme="minorHAnsi"/>
          <w:b/>
          <w:bCs/>
          <w:szCs w:val="24"/>
        </w:rPr>
      </w:pPr>
    </w:p>
    <w:p w14:paraId="66B8AD16" w14:textId="77777777" w:rsidR="00063AEB" w:rsidRPr="00675182" w:rsidRDefault="00063AEB" w:rsidP="00063AEB">
      <w:pPr>
        <w:keepNext/>
        <w:keepLines/>
        <w:snapToGrid w:val="0"/>
        <w:rPr>
          <w:rFonts w:eastAsia="Arial Unicode MS" w:cstheme="minorHAnsi"/>
          <w:szCs w:val="24"/>
        </w:rPr>
      </w:pPr>
      <w:r w:rsidRPr="00675182">
        <w:t>Vietējo iedzīvotāju un kopienu interešu respektēšana, atbalsts labākai dzīves kvalitātei</w:t>
      </w:r>
    </w:p>
    <w:p w14:paraId="55D52245" w14:textId="77777777" w:rsidR="00063AEB" w:rsidRPr="00675182" w:rsidRDefault="00063AEB" w:rsidP="00063AEB">
      <w:pPr>
        <w:keepNext/>
        <w:keepLines/>
        <w:jc w:val="both"/>
        <w:rPr>
          <w:rFonts w:cstheme="minorHAnsi"/>
          <w:bCs/>
          <w:iCs/>
          <w:szCs w:val="24"/>
        </w:rPr>
      </w:pPr>
      <w:r w:rsidRPr="00675182">
        <w:rPr>
          <w:rFonts w:cstheme="minorHAnsi"/>
          <w:bCs/>
          <w:iCs/>
          <w:szCs w:val="24"/>
        </w:rPr>
        <w:t>GNP ir visvairāk apdzīvotā ĪADT teritorija Latvijā un paralēli tūrisma norisēm iekļauj daudz ikdienas atpūtas aktivitātes. Vietējo iedzīvotāju iesaiste tūrisma un atpūtas infrastruktūras un aktivitāšu plānošanā, publisko pasākumu norisēs u.c. ir nozīmīga komponente ilgtspējīgai attīstībai ilgtermiņā.</w:t>
      </w:r>
    </w:p>
    <w:p w14:paraId="6C90A5E1" w14:textId="77777777" w:rsidR="00063AEB" w:rsidRPr="00675182" w:rsidRDefault="00063AEB" w:rsidP="00063AEB">
      <w:pPr>
        <w:keepNext/>
        <w:keepLines/>
        <w:jc w:val="both"/>
        <w:rPr>
          <w:rFonts w:cstheme="minorHAnsi"/>
          <w:bCs/>
          <w:iCs/>
          <w:szCs w:val="24"/>
        </w:rPr>
      </w:pPr>
    </w:p>
    <w:p w14:paraId="04388966" w14:textId="5220F5ED" w:rsidR="00063AEB" w:rsidRPr="00675182" w:rsidRDefault="00063AEB" w:rsidP="00063AEB">
      <w:pPr>
        <w:keepNext/>
        <w:keepLines/>
        <w:jc w:val="both"/>
        <w:rPr>
          <w:rFonts w:cstheme="minorHAnsi"/>
          <w:szCs w:val="24"/>
        </w:rPr>
      </w:pPr>
      <w:r w:rsidRPr="00675182">
        <w:rPr>
          <w:rFonts w:cstheme="minorHAnsi"/>
          <w:szCs w:val="24"/>
        </w:rPr>
        <w:t xml:space="preserve">Būtu jānodibina Ungura ezera apsaimniekošanas biedrība un jāievieš licencēšanas sistēma. Tas palielinātu mērķtiecīgu makšķernieku piesaisti un mazinātu maluzvejniecību. Savukārt Cēsu novada un </w:t>
      </w:r>
      <w:r w:rsidR="00FE616B" w:rsidRPr="00675182">
        <w:rPr>
          <w:rFonts w:cstheme="minorHAnsi"/>
          <w:szCs w:val="24"/>
        </w:rPr>
        <w:t>G</w:t>
      </w:r>
      <w:r w:rsidRPr="00675182">
        <w:rPr>
          <w:rFonts w:cstheme="minorHAnsi"/>
          <w:szCs w:val="24"/>
        </w:rPr>
        <w:t xml:space="preserve">NP viesu mājās/restorānos būtu pieejamas zivis no Ungura ezera. </w:t>
      </w:r>
    </w:p>
    <w:p w14:paraId="07FBCDD3" w14:textId="77777777" w:rsidR="00063AEB" w:rsidRPr="00675182" w:rsidRDefault="00063AEB" w:rsidP="00063AEB">
      <w:pPr>
        <w:keepNext/>
        <w:keepLines/>
        <w:jc w:val="both"/>
        <w:rPr>
          <w:rFonts w:cstheme="minorHAnsi"/>
          <w:szCs w:val="24"/>
        </w:rPr>
      </w:pPr>
    </w:p>
    <w:p w14:paraId="6213BADE" w14:textId="77777777" w:rsidR="00063AEB" w:rsidRPr="00675182" w:rsidRDefault="00063AEB" w:rsidP="00063AEB">
      <w:pPr>
        <w:keepNext/>
        <w:keepLines/>
        <w:jc w:val="both"/>
        <w:rPr>
          <w:rFonts w:cstheme="minorHAnsi"/>
          <w:bCs/>
          <w:iCs/>
          <w:szCs w:val="24"/>
        </w:rPr>
      </w:pPr>
      <w:r w:rsidRPr="00675182">
        <w:rPr>
          <w:rFonts w:cstheme="minorHAnsi"/>
          <w:szCs w:val="24"/>
        </w:rPr>
        <w:t xml:space="preserve">Kā paredzamais rezultāts varētu būt ~3000 makšķerēšanas licenču gadā otrajā pilnajā licenču darbības gadā. </w:t>
      </w:r>
    </w:p>
    <w:p w14:paraId="29F4BEBA" w14:textId="77777777" w:rsidR="00063AEB" w:rsidRPr="00675182" w:rsidRDefault="00063AEB" w:rsidP="00063AEB">
      <w:pPr>
        <w:snapToGrid w:val="0"/>
        <w:rPr>
          <w:rFonts w:eastAsia="Arial Unicode MS" w:cstheme="minorHAnsi"/>
          <w:b/>
          <w:bCs/>
          <w:szCs w:val="24"/>
          <w:highlight w:val="yellow"/>
        </w:rPr>
      </w:pPr>
    </w:p>
    <w:p w14:paraId="2D45A483" w14:textId="77777777" w:rsidR="00063AEB" w:rsidRPr="00675182" w:rsidRDefault="00063AEB" w:rsidP="00063AEB">
      <w:pPr>
        <w:snapToGrid w:val="0"/>
        <w:rPr>
          <w:rFonts w:eastAsia="Arial Unicode MS" w:cstheme="minorHAnsi"/>
          <w:b/>
          <w:bCs/>
          <w:i/>
          <w:iCs/>
          <w:szCs w:val="24"/>
          <w:u w:val="single"/>
        </w:rPr>
      </w:pPr>
      <w:r w:rsidRPr="00675182">
        <w:rPr>
          <w:rFonts w:eastAsia="Arial Unicode MS" w:cstheme="minorHAnsi"/>
          <w:b/>
          <w:bCs/>
          <w:i/>
          <w:iCs/>
          <w:szCs w:val="24"/>
          <w:u w:val="single"/>
        </w:rPr>
        <w:t>D.4. Tūrisma negatīvās ietekmes mazināšana uz vietējām kopienām.</w:t>
      </w:r>
    </w:p>
    <w:p w14:paraId="63C4FF3E" w14:textId="77777777" w:rsidR="00063AEB" w:rsidRPr="00675182" w:rsidRDefault="00063AEB" w:rsidP="00FE616B">
      <w:pPr>
        <w:snapToGrid w:val="0"/>
        <w:jc w:val="both"/>
        <w:rPr>
          <w:rFonts w:eastAsia="Arial Unicode MS" w:cstheme="minorHAnsi"/>
          <w:bCs/>
          <w:iCs/>
          <w:szCs w:val="24"/>
        </w:rPr>
      </w:pPr>
    </w:p>
    <w:p w14:paraId="1780DC92" w14:textId="77777777" w:rsidR="00063AEB" w:rsidRPr="00675182" w:rsidRDefault="00063AEB" w:rsidP="00FE616B">
      <w:pPr>
        <w:snapToGrid w:val="0"/>
        <w:jc w:val="both"/>
        <w:rPr>
          <w:rFonts w:eastAsia="Arial Unicode MS" w:cstheme="minorHAnsi"/>
          <w:bCs/>
          <w:szCs w:val="24"/>
        </w:rPr>
      </w:pPr>
      <w:r w:rsidRPr="00675182">
        <w:rPr>
          <w:rFonts w:eastAsia="Arial Unicode MS" w:cstheme="minorHAnsi"/>
          <w:bCs/>
          <w:iCs/>
          <w:szCs w:val="24"/>
        </w:rPr>
        <w:t>Izpētes laikā konstatēta salīdzinoši liela daļa vietējo iedzīvotāju, kuri izjūt tūrisma negatīvo ietekmi vai kuriem dažkārt tūrisma vai publisko pasākumu aktivitātes bijušās traucējošas. Tas ietver gan sadzīves atkritumu problēmu, ko tūristi atstāj dabā, gan liela apmeklētāju skaita radītās neērtības ar sastrēgumiem, troksni, privātīpašuma nerespektēšanu u.c. Jāmazina negatīvā ietekme, jāpalielina kopienu līdziesaiste tūrisma plānošanā u.tml.</w:t>
      </w:r>
    </w:p>
    <w:p w14:paraId="459A87DC" w14:textId="77777777" w:rsidR="00063AEB" w:rsidRPr="00675182" w:rsidRDefault="00063AEB" w:rsidP="00063AEB">
      <w:pPr>
        <w:snapToGrid w:val="0"/>
        <w:rPr>
          <w:rFonts w:eastAsia="Arial Unicode MS" w:cstheme="minorHAnsi"/>
          <w:b/>
          <w:bCs/>
          <w:color w:val="FF0000"/>
          <w:szCs w:val="24"/>
          <w:highlight w:val="yellow"/>
        </w:rPr>
      </w:pPr>
    </w:p>
    <w:p w14:paraId="545ACCF3"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D.4.1</w:t>
      </w:r>
      <w:r w:rsidRPr="00675182">
        <w:rPr>
          <w:rFonts w:ascii="Calibri" w:eastAsia="Arial Unicode MS" w:hAnsi="Calibri"/>
          <w:b/>
          <w:bCs/>
          <w:szCs w:val="24"/>
        </w:rPr>
        <w:tab/>
        <w:t>Vietējo kopienu un iniciatīvas grupu iesaistīšana tūrisma attīstības plānošanā un norisēs</w:t>
      </w:r>
    </w:p>
    <w:p w14:paraId="3A7571CD" w14:textId="77777777" w:rsidR="00063AEB" w:rsidRPr="00675182" w:rsidRDefault="00063AEB" w:rsidP="00063AEB">
      <w:pPr>
        <w:snapToGrid w:val="0"/>
        <w:jc w:val="both"/>
        <w:rPr>
          <w:rFonts w:ascii="Calibri" w:eastAsia="Arial Unicode MS" w:hAnsi="Calibri"/>
          <w:szCs w:val="24"/>
        </w:rPr>
      </w:pPr>
      <w:r w:rsidRPr="00675182">
        <w:rPr>
          <w:rFonts w:ascii="Calibri" w:hAnsi="Calibri"/>
        </w:rPr>
        <w:t>Būtu jārespektē vietējo iedzīvotāju un kopienu intereses un jāsniedz atbalsts labākai dzīves kvalitātei.</w:t>
      </w:r>
    </w:p>
    <w:p w14:paraId="469B920D" w14:textId="77777777" w:rsidR="00063AEB" w:rsidRPr="00675182" w:rsidRDefault="00063AEB" w:rsidP="00063AEB">
      <w:pPr>
        <w:jc w:val="both"/>
        <w:rPr>
          <w:rFonts w:ascii="Calibri" w:hAnsi="Calibri"/>
          <w:bCs/>
          <w:iCs/>
          <w:szCs w:val="24"/>
        </w:rPr>
      </w:pPr>
    </w:p>
    <w:p w14:paraId="593EC8A0" w14:textId="40AB3006" w:rsidR="00063AEB" w:rsidRPr="00675182" w:rsidRDefault="00063AEB" w:rsidP="00063AEB">
      <w:pPr>
        <w:jc w:val="both"/>
        <w:rPr>
          <w:rFonts w:ascii="Calibri" w:hAnsi="Calibri"/>
          <w:bCs/>
          <w:iCs/>
          <w:szCs w:val="24"/>
        </w:rPr>
      </w:pPr>
      <w:r w:rsidRPr="00675182">
        <w:rPr>
          <w:rFonts w:ascii="Calibri" w:hAnsi="Calibri"/>
          <w:bCs/>
          <w:iCs/>
          <w:szCs w:val="24"/>
        </w:rPr>
        <w:t xml:space="preserve">GNP ir visvairāk apdzīvotā ĪADT teritorija Latvijā un paralēli tūrisma norisēm iekļauj daudz ikdienas atpūtas aktivitātes. Vietējo iedzīvotāju iesaiste tūrisma un atpūtas infrastruktūras un aktivitāšu plānošanā, publisko pasākumu norisēs u.c. ir nozīmīga komponente ilgtspējīgai attīstībai ilgtermiņā. EUROPARC ilgtspējīga tūrisma </w:t>
      </w:r>
      <w:r w:rsidR="00DE651F">
        <w:rPr>
          <w:rFonts w:ascii="Calibri" w:hAnsi="Calibri"/>
          <w:bCs/>
          <w:iCs/>
          <w:szCs w:val="24"/>
        </w:rPr>
        <w:t>ĪADT</w:t>
      </w:r>
      <w:r w:rsidRPr="00675182">
        <w:rPr>
          <w:rFonts w:ascii="Calibri" w:hAnsi="Calibri"/>
          <w:bCs/>
          <w:iCs/>
          <w:szCs w:val="24"/>
        </w:rPr>
        <w:t xml:space="preserve"> nosaka, ka vismaz reizi četros gados ir jāveic iedzīvotāju un apmeklētāju aptauja, tādējādi uzraugot radušās konfliktsituācijas, uzraugot tūrisma negatīvās ietekmes draudus. Taču arī ārpus šī instrumenta, jānodrošina dialogs ar vietējām kopienām, kas minēts punktā A.8. pie ilgtspējīgas pārvaldības.</w:t>
      </w:r>
    </w:p>
    <w:p w14:paraId="58A37C0A" w14:textId="77777777" w:rsidR="00063AEB" w:rsidRPr="00675182" w:rsidRDefault="00063AEB" w:rsidP="00063AEB">
      <w:pPr>
        <w:jc w:val="both"/>
        <w:rPr>
          <w:rFonts w:ascii="Calibri" w:hAnsi="Calibri"/>
          <w:bCs/>
          <w:iCs/>
          <w:szCs w:val="24"/>
        </w:rPr>
      </w:pPr>
    </w:p>
    <w:p w14:paraId="12DA6447" w14:textId="77777777" w:rsidR="00063AEB" w:rsidRPr="00675182" w:rsidRDefault="00063AEB" w:rsidP="00063AEB">
      <w:pPr>
        <w:jc w:val="both"/>
        <w:rPr>
          <w:rFonts w:ascii="Calibri" w:hAnsi="Calibri"/>
          <w:bCs/>
          <w:iCs/>
          <w:szCs w:val="24"/>
        </w:rPr>
      </w:pPr>
      <w:r w:rsidRPr="00675182">
        <w:rPr>
          <w:rFonts w:ascii="Calibri" w:hAnsi="Calibri"/>
          <w:bCs/>
          <w:iCs/>
          <w:szCs w:val="24"/>
        </w:rPr>
        <w:lastRenderedPageBreak/>
        <w:t>To GNP publisko pasākumu procentuālā daļa kalendārā gada laikā, kuru tematiskajā saturā ir iekļautas vietējo kopienu tradīcijas, vietējais kultūras mantojums, līdzdarbojas vietējie iedzīvotāji.</w:t>
      </w:r>
    </w:p>
    <w:p w14:paraId="5F45A6B2" w14:textId="77777777" w:rsidR="00063AEB" w:rsidRPr="00675182" w:rsidRDefault="00063AEB" w:rsidP="00063AEB">
      <w:pPr>
        <w:snapToGrid w:val="0"/>
        <w:jc w:val="both"/>
        <w:rPr>
          <w:rFonts w:ascii="Calibri" w:eastAsia="Arial Unicode MS" w:hAnsi="Calibri"/>
          <w:b/>
          <w:bCs/>
          <w:szCs w:val="24"/>
          <w:highlight w:val="yellow"/>
        </w:rPr>
      </w:pPr>
    </w:p>
    <w:p w14:paraId="0E18EFA1"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D.4.2</w:t>
      </w:r>
      <w:r w:rsidRPr="00675182">
        <w:rPr>
          <w:rFonts w:ascii="Calibri" w:eastAsia="Arial Unicode MS" w:hAnsi="Calibri"/>
          <w:b/>
          <w:bCs/>
          <w:szCs w:val="24"/>
        </w:rPr>
        <w:tab/>
        <w:t>Regulāras un izglītojošas komunikācijas uzturēšana starp GNP pārstāvjiem, vietējiem iedzīvotājiem un nacionālā parka apmeklētājiem</w:t>
      </w:r>
    </w:p>
    <w:p w14:paraId="6DADBBB7" w14:textId="025E38B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 xml:space="preserve">Ekoloģiskā izglītība, kultūras izglītība, dabas un kultūras mantojuma vērtību apzināšanās, ainava kā identitāti stiprinošs resurss ir nozīmīgs pamats vietējo kopienu dzīves kvalitātes nodrošināšanai. Izglītojošs saturs papildina tūrisma pieredzējumu, kas it īpaši svarīgi ir </w:t>
      </w:r>
      <w:r w:rsidR="00F944F8">
        <w:rPr>
          <w:rFonts w:ascii="Calibri" w:eastAsia="Arial Unicode MS" w:hAnsi="Calibri"/>
          <w:szCs w:val="24"/>
        </w:rPr>
        <w:t>DLZ</w:t>
      </w:r>
      <w:r w:rsidRPr="00675182">
        <w:rPr>
          <w:rFonts w:ascii="Calibri" w:eastAsia="Arial Unicode MS" w:hAnsi="Calibri"/>
          <w:szCs w:val="24"/>
        </w:rPr>
        <w:t>. Tikai uz izklaidi vērstiem pakalpojumiem ir zemāka prioritāte izcilās dabas un kultūras mantojuma vietās vai simboliskajās ainavās. Jārada sistemātisks raksturs izglītības satura iekļaušanai vietējās skolās (eko-skolu programmās u.tml.), jāveicina šāda satura iekļaušana interešu izglītības un mūžizglītības programmās, tostarp ciešā sadarbībā ar NVO sektoru.</w:t>
      </w:r>
    </w:p>
    <w:p w14:paraId="3D075F94" w14:textId="77777777" w:rsidR="00063AEB" w:rsidRPr="00675182" w:rsidRDefault="00063AEB" w:rsidP="00063AEB">
      <w:pPr>
        <w:snapToGrid w:val="0"/>
        <w:jc w:val="both"/>
        <w:rPr>
          <w:rFonts w:ascii="Calibri" w:eastAsia="Arial Unicode MS" w:hAnsi="Calibri"/>
          <w:szCs w:val="24"/>
        </w:rPr>
      </w:pPr>
    </w:p>
    <w:p w14:paraId="5EEA9398" w14:textId="77777777" w:rsidR="00063AEB" w:rsidRPr="00675182" w:rsidRDefault="00063AEB" w:rsidP="00063AEB">
      <w:pPr>
        <w:jc w:val="both"/>
        <w:rPr>
          <w:rFonts w:ascii="Calibri" w:hAnsi="Calibri"/>
          <w:bCs/>
          <w:iCs/>
          <w:szCs w:val="24"/>
        </w:rPr>
      </w:pPr>
      <w:r w:rsidRPr="00675182">
        <w:rPr>
          <w:rFonts w:ascii="Calibri" w:hAnsi="Calibri"/>
          <w:bCs/>
          <w:iCs/>
          <w:szCs w:val="24"/>
        </w:rPr>
        <w:t>Dabas izglītība un sabiedrības izpratne par teritorijas vērtībām ir nozīmīga preventīvu pasākumu kopa, lai mazinātu antropogēno slodzi, saudzīgāku attieksmi pret teritorijas resursiem un atbildīgu to izmantošanu. Te tiks ietverts arī saraksts ar GNP vērtībām – vietām, kuru apmeklēšana nebūtu popularizējama.</w:t>
      </w:r>
    </w:p>
    <w:p w14:paraId="682D1E76" w14:textId="77777777" w:rsidR="00063AEB" w:rsidRPr="00675182" w:rsidRDefault="00063AEB" w:rsidP="00063AEB">
      <w:pPr>
        <w:jc w:val="both"/>
        <w:rPr>
          <w:rFonts w:ascii="Calibri" w:hAnsi="Calibri"/>
          <w:bCs/>
          <w:iCs/>
          <w:szCs w:val="24"/>
        </w:rPr>
      </w:pPr>
    </w:p>
    <w:p w14:paraId="25F67274" w14:textId="65AE7B00" w:rsidR="00063AEB" w:rsidRPr="00675182" w:rsidRDefault="00063AEB" w:rsidP="00063AEB">
      <w:pPr>
        <w:jc w:val="both"/>
        <w:rPr>
          <w:rFonts w:ascii="Calibri" w:hAnsi="Calibri"/>
          <w:bCs/>
          <w:iCs/>
          <w:szCs w:val="24"/>
        </w:rPr>
      </w:pPr>
      <w:r w:rsidRPr="00675182">
        <w:rPr>
          <w:rFonts w:ascii="Calibri" w:hAnsi="Calibri"/>
          <w:bCs/>
          <w:iCs/>
          <w:szCs w:val="24"/>
        </w:rPr>
        <w:t xml:space="preserve">Izpildes rādītājs: </w:t>
      </w:r>
      <w:r w:rsidRPr="00675182">
        <w:rPr>
          <w:rFonts w:cstheme="minorHAnsi"/>
          <w:szCs w:val="24"/>
        </w:rPr>
        <w:t xml:space="preserve">digitālā pieprasījuma pieaugoša dinamika izglītojošai dabas sadaļai pašvaldību tūrisma tīmekļa vietnēs un DAP </w:t>
      </w:r>
      <w:r w:rsidR="00FE616B" w:rsidRPr="00675182">
        <w:rPr>
          <w:rFonts w:cstheme="minorHAnsi"/>
          <w:szCs w:val="24"/>
        </w:rPr>
        <w:t>interneta vietnē</w:t>
      </w:r>
      <w:r w:rsidRPr="00675182">
        <w:rPr>
          <w:rFonts w:cstheme="minorHAnsi"/>
          <w:szCs w:val="24"/>
        </w:rPr>
        <w:t>. Lielāka proporcija apmeklētāju, kas izvēlas ar izglītojošu saturu saistītu dabas vietu apmeklēšanu salīdzinājumā ar izklaides satura alternatīvām GNP.</w:t>
      </w:r>
    </w:p>
    <w:p w14:paraId="7A91A0F5" w14:textId="77777777" w:rsidR="00063AEB" w:rsidRPr="00675182" w:rsidRDefault="00063AEB" w:rsidP="00063AEB">
      <w:pPr>
        <w:snapToGrid w:val="0"/>
        <w:jc w:val="both"/>
        <w:rPr>
          <w:rFonts w:ascii="Calibri" w:eastAsia="Arial Unicode MS" w:hAnsi="Calibri"/>
          <w:b/>
          <w:bCs/>
          <w:szCs w:val="24"/>
          <w:highlight w:val="yellow"/>
        </w:rPr>
      </w:pPr>
    </w:p>
    <w:p w14:paraId="3FD8C885"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D.4.3</w:t>
      </w:r>
      <w:r w:rsidRPr="00675182">
        <w:rPr>
          <w:rFonts w:ascii="Calibri" w:eastAsia="Arial Unicode MS" w:hAnsi="Calibri"/>
          <w:b/>
          <w:bCs/>
          <w:szCs w:val="24"/>
        </w:rPr>
        <w:tab/>
        <w:t>Iespējamo konfliktu identificēšana, preventīvi samazinot to izpausmes (no tūrisma un rekreācijas – apmeklētāju plūsmas ietekmes)</w:t>
      </w:r>
    </w:p>
    <w:p w14:paraId="7A917758"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Konfliktsituāciju risināšanai vajadzīga kapacitāte un operatīva rīcība. Jau šobrīd ir izveidota Vides SOS mobilā lietotne, lai ziņotu par pārkāpumiem ĪADT, vides problēmām u.tml., darbojas inspektoru kontrolējošā darbība, to pastiprina arī brīvprātīgie NVO inspektori (piemēram, licencētās makšķerēšanas uzraudzīšanai). Uzraudzības nolūkos būtu jāanalizē arī publiskajos digitālajos informācijas resursos iekļautās apmeklētāju atsauksmes vai ziņas par nelikumīgām rīcībām (t.s. digitālā reindžera pienākumi). Būtu jāizglīto arī teritorijas apmeklētāji, kā reaģēt situācijās, kad tiek novēroti nozīmīgi noteikumu pārkāpumi. Vairākas situācijas arī DA plāna izstrādes laikā apstiprināja, ka ir jāzina, kas tiek uzskatīts par pierādījumu pārkāpuma gadījumā (piemēram, ar motocikliem izbraukājot zemsedzi DLZ, ar automašīnām postot publisko stāvlaukumu segumu, postot ligzdojošo putnu ligzdas u.c.) un kā uz to reaģēt. Vairāk būtu jārada apstākļi, lai noteikumu pārkāpumu darbības netiktu pieļautas (t.sk. pašvaldībām risinot jautājumu, kur ārpus GNP braukt ar kvadracikliem, enduro motocikliem, lai gūtu līdzvērtīgas sajūtas (degradētās teritorijas u.tml.). Tāpat būtu jāizmanto jau esošā prakse ar slēgtajiem ceļiem, uzstādot iebraukšanas šķēršļus, ko var atvērt vienīgi apsaimniekošanas (vai laivu transportēšanas u.tml.) gadījumos.</w:t>
      </w:r>
    </w:p>
    <w:p w14:paraId="399C73CA" w14:textId="77777777" w:rsidR="00063AEB" w:rsidRPr="00675182" w:rsidRDefault="00063AEB" w:rsidP="00063AEB">
      <w:pPr>
        <w:snapToGrid w:val="0"/>
        <w:jc w:val="both"/>
        <w:rPr>
          <w:rFonts w:ascii="Calibri" w:eastAsia="Arial Unicode MS" w:hAnsi="Calibri"/>
          <w:szCs w:val="24"/>
        </w:rPr>
      </w:pPr>
    </w:p>
    <w:p w14:paraId="4212D9EF"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szCs w:val="24"/>
        </w:rPr>
        <w:t xml:space="preserve">Kā iespējamais rezultāts būtu: Samazinājies publiskās infrastruktūras vandālisms un apzināti veikti pārkāpumi jutīgās dabas teritorijās, palielinājusies sociālā kontrole pārkāpumu nepieļaušanai vai operatīvai reaģēšanai to notikšanas gadījumā. </w:t>
      </w:r>
    </w:p>
    <w:p w14:paraId="683F7F96" w14:textId="77777777" w:rsidR="00063AEB" w:rsidRPr="00675182" w:rsidRDefault="00063AEB" w:rsidP="00063AEB">
      <w:pPr>
        <w:snapToGrid w:val="0"/>
        <w:jc w:val="both"/>
        <w:rPr>
          <w:rFonts w:ascii="Calibri" w:eastAsia="Arial Unicode MS" w:hAnsi="Calibri"/>
          <w:b/>
          <w:bCs/>
          <w:szCs w:val="24"/>
        </w:rPr>
      </w:pPr>
    </w:p>
    <w:p w14:paraId="670E8E8F"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D.4.4</w:t>
      </w:r>
      <w:r w:rsidRPr="00675182">
        <w:rPr>
          <w:rFonts w:ascii="Calibri" w:eastAsia="Arial Unicode MS" w:hAnsi="Calibri"/>
          <w:b/>
          <w:bCs/>
          <w:szCs w:val="24"/>
        </w:rPr>
        <w:tab/>
        <w:t>Tūrisma publiskās vides pieejamības veicināšana cilvēkiem ar kustību traucējumiem, plašāka universālā dizaina ieviešana</w:t>
      </w:r>
    </w:p>
    <w:p w14:paraId="347FE176"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Jāveicina un jāievieš universālā dizaina principi GNP publiskajai infrastruktūrai, skaidri segmentējot noteiktus posmus, kas ir pieejami cilvēkiem ar invaliditāti, dažādiem funkcionālajiem traucējumiem (kustību, redzes, dzirdes u.tml.). Īpaši uzmanība būtu jāpievērš nefragmentētai piekļuvei visiem infrastruktūras un labiekārtojuma posmiem, lai nav kāda barjera, šķērslis, kas traucē piekļūt informācijai, skatu platformai, tualetei, u.tml. Izmantojamas vadlīnijas par tūrisma infrastruktūras, produktu un pakalpojumu pielāgošanu cilvēkiem ar īpašām vajadzībām</w:t>
      </w:r>
      <w:r w:rsidRPr="00675182">
        <w:rPr>
          <w:rStyle w:val="FootnoteReference"/>
          <w:rFonts w:ascii="Calibri" w:eastAsia="Arial Unicode MS" w:hAnsi="Calibri"/>
          <w:szCs w:val="24"/>
        </w:rPr>
        <w:footnoteReference w:id="44"/>
      </w:r>
      <w:r w:rsidRPr="00675182">
        <w:rPr>
          <w:rFonts w:ascii="Calibri" w:eastAsia="Arial Unicode MS" w:hAnsi="Calibri"/>
          <w:szCs w:val="24"/>
        </w:rPr>
        <w:t>, ņemot vērā arī apkopotu starptautisko pieredzi</w:t>
      </w:r>
      <w:r w:rsidRPr="00675182">
        <w:rPr>
          <w:rStyle w:val="FootnoteReference"/>
          <w:rFonts w:ascii="Calibri" w:eastAsia="Arial Unicode MS" w:hAnsi="Calibri"/>
          <w:szCs w:val="24"/>
        </w:rPr>
        <w:footnoteReference w:id="45"/>
      </w:r>
      <w:r w:rsidRPr="00675182">
        <w:rPr>
          <w:rFonts w:ascii="Calibri" w:eastAsia="Arial Unicode MS" w:hAnsi="Calibri"/>
          <w:szCs w:val="24"/>
        </w:rPr>
        <w:t>. Jāuztur aktuālā komunikācija par pieejamību arī atbilstoši sezonām.</w:t>
      </w:r>
    </w:p>
    <w:p w14:paraId="28F939B8" w14:textId="77777777" w:rsidR="00063AEB" w:rsidRPr="00675182" w:rsidRDefault="00063AEB" w:rsidP="00063AEB">
      <w:pPr>
        <w:snapToGrid w:val="0"/>
        <w:rPr>
          <w:rFonts w:eastAsia="Arial Unicode MS" w:cstheme="minorHAnsi"/>
          <w:b/>
          <w:bCs/>
          <w:szCs w:val="24"/>
        </w:rPr>
      </w:pPr>
    </w:p>
    <w:p w14:paraId="7C28171D" w14:textId="77777777" w:rsidR="00063AEB" w:rsidRPr="00675182" w:rsidRDefault="00063AEB" w:rsidP="00063AEB">
      <w:pPr>
        <w:snapToGrid w:val="0"/>
        <w:jc w:val="both"/>
        <w:rPr>
          <w:rFonts w:eastAsia="Arial Unicode MS" w:cstheme="minorHAnsi"/>
          <w:szCs w:val="24"/>
        </w:rPr>
      </w:pPr>
      <w:r w:rsidRPr="00675182">
        <w:rPr>
          <w:rFonts w:eastAsia="Arial Unicode MS" w:cstheme="minorHAnsi"/>
          <w:szCs w:val="24"/>
        </w:rPr>
        <w:t xml:space="preserve">Iespējamais indikators izpildei būtu: </w:t>
      </w:r>
      <w:r w:rsidRPr="00675182">
        <w:rPr>
          <w:rFonts w:cstheme="minorHAnsi"/>
          <w:szCs w:val="24"/>
        </w:rPr>
        <w:t xml:space="preserve">to tūristu mītņu istabu un tūrisma objektu procentuālā daļa, kas komerciālajās izmitināšanas iestādēs vai publisko pakalpojumu sniegšanas vietās ir pieejamas cilvēkiem ar invaliditāti; kopējais taku tīklojuma garums, kas pieejams cilvēkiem ar invaliditāti (ieskaitot ar taku saistīto infrastruktūru (WC, auto stāvlaukumus, skatu platformas u.tml.). </w:t>
      </w:r>
    </w:p>
    <w:p w14:paraId="290BBA7C" w14:textId="77777777" w:rsidR="00063AEB" w:rsidRPr="00675182" w:rsidRDefault="00063AEB" w:rsidP="00063AEB">
      <w:pPr>
        <w:snapToGrid w:val="0"/>
        <w:rPr>
          <w:b/>
          <w:bCs/>
          <w:u w:val="single"/>
        </w:rPr>
      </w:pPr>
    </w:p>
    <w:p w14:paraId="41FDDFC5" w14:textId="77777777" w:rsidR="00063AEB" w:rsidRPr="00675182" w:rsidRDefault="00063AEB" w:rsidP="00063AEB">
      <w:pPr>
        <w:snapToGrid w:val="0"/>
        <w:rPr>
          <w:b/>
          <w:bCs/>
          <w:i/>
          <w:iCs/>
          <w:u w:val="single"/>
        </w:rPr>
      </w:pPr>
      <w:r w:rsidRPr="00675182">
        <w:rPr>
          <w:b/>
          <w:bCs/>
          <w:i/>
          <w:iCs/>
          <w:u w:val="single"/>
        </w:rPr>
        <w:t>D.5. Sabiedrības izpratnes veicināšana, dabas izglītība</w:t>
      </w:r>
    </w:p>
    <w:p w14:paraId="437E4F4D" w14:textId="77777777" w:rsidR="00063AEB" w:rsidRPr="00675182" w:rsidRDefault="00063AEB" w:rsidP="00063AEB">
      <w:pPr>
        <w:jc w:val="both"/>
        <w:rPr>
          <w:rFonts w:cstheme="minorHAnsi"/>
          <w:bCs/>
          <w:iCs/>
          <w:szCs w:val="24"/>
        </w:rPr>
      </w:pPr>
      <w:r w:rsidRPr="00675182">
        <w:rPr>
          <w:rFonts w:cstheme="minorHAnsi"/>
          <w:bCs/>
          <w:iCs/>
          <w:szCs w:val="24"/>
        </w:rPr>
        <w:t>Dabas izglītība un sabiedrības izpratne par teritorijas vērtībām ir nozīmīga preventīvu pasākumu kopa, lai mazinātu antropogēno slodzi, saudzīgāku attieksmi pret teritorijas resursiem un atbildīgu to izmantošanu. Te tiks ietverts arī saraksts ar GNP vērtībām – vietām, kuru apmeklēšana nebūtu popularizējama.</w:t>
      </w:r>
    </w:p>
    <w:p w14:paraId="5FB5026E" w14:textId="77777777" w:rsidR="00063AEB" w:rsidRPr="00675182" w:rsidRDefault="00063AEB" w:rsidP="00063AEB">
      <w:pPr>
        <w:snapToGrid w:val="0"/>
        <w:rPr>
          <w:rFonts w:eastAsia="Arial Unicode MS" w:cstheme="minorHAnsi"/>
          <w:szCs w:val="24"/>
          <w:highlight w:val="yellow"/>
          <w:u w:val="single"/>
        </w:rPr>
      </w:pPr>
    </w:p>
    <w:p w14:paraId="3E2B1E69" w14:textId="77777777" w:rsidR="00063AEB" w:rsidRPr="00675182" w:rsidRDefault="00063AEB" w:rsidP="00BF7348">
      <w:pPr>
        <w:snapToGrid w:val="0"/>
        <w:jc w:val="both"/>
        <w:rPr>
          <w:rFonts w:eastAsia="Arial Unicode MS" w:cstheme="minorHAnsi"/>
          <w:b/>
          <w:bCs/>
          <w:szCs w:val="24"/>
        </w:rPr>
      </w:pPr>
      <w:r w:rsidRPr="00675182">
        <w:rPr>
          <w:rFonts w:eastAsia="Arial Unicode MS" w:cstheme="minorHAnsi"/>
          <w:b/>
          <w:bCs/>
          <w:szCs w:val="24"/>
        </w:rPr>
        <w:t>D.5.1</w:t>
      </w:r>
      <w:r w:rsidRPr="00675182">
        <w:rPr>
          <w:rFonts w:eastAsia="Arial Unicode MS" w:cstheme="minorHAnsi"/>
          <w:b/>
          <w:bCs/>
          <w:szCs w:val="24"/>
        </w:rPr>
        <w:tab/>
        <w:t>GNP tūrisma iespēju atbildīga popularizēšana (izceļot autentisku saturu, respektējot dažādu vietu kapacitāti un iespējas dažādās sezonās, lielāko slodzi plānojot ārpus jutīgākajām zonām, nepopularizējot vietas, kuras nav piemērotas apmeklēšanai)</w:t>
      </w:r>
    </w:p>
    <w:p w14:paraId="173A83EE"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Jāievieš labās prakses principi tūrisma un rekreācijas plānošanā, kas ir pašvaldības tūrisma (kultūras un sporta) speciālistu un organizētu pasākumu vai tūroperatoru atbildība. Padziļināta izpratne par kultūras mantojumu, norisēm dabā, sezonalitātes kontekstu ļauj preventīvi izvairīties no vērtību noplicināšanas riskiem. Jānodrošina atbildīga komunikācija, izslēdzot no popularizēšanas tūrisma veicināšanas kanālos jutīgas vietas, izmantojot norisēm piemērotu zonu ārpus GNP. Operatīvi jareaģē apmeklētāju plūsmas novirzīšanas gadījumos, ja konstatēti kādi apdraudējumi dabas daudzveidībai tūrisma vietās u.tml. Jāievieš pieļaujamo izmaiņu sliekšņa pieeja, lai novērstu neatgriezeniskas antropogēnās slodzes ietekmi.</w:t>
      </w:r>
    </w:p>
    <w:p w14:paraId="3AE3F683" w14:textId="77777777" w:rsidR="00063AEB" w:rsidRPr="00675182" w:rsidRDefault="00063AEB" w:rsidP="00063AEB">
      <w:pPr>
        <w:snapToGrid w:val="0"/>
        <w:jc w:val="both"/>
        <w:rPr>
          <w:rFonts w:ascii="Calibri" w:eastAsia="Arial Unicode MS" w:hAnsi="Calibri"/>
          <w:szCs w:val="24"/>
        </w:rPr>
      </w:pPr>
    </w:p>
    <w:p w14:paraId="5674CA24"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preventīvi novērsta nevajadzīga antropogēnās slodzes ietekme un vērtību noplicināšana, izmantojot atbildīgas plānošanas pieejas.</w:t>
      </w:r>
    </w:p>
    <w:p w14:paraId="597BBD04" w14:textId="77777777" w:rsidR="00063AEB" w:rsidRPr="00675182" w:rsidRDefault="00063AEB" w:rsidP="00063AEB">
      <w:pPr>
        <w:snapToGrid w:val="0"/>
        <w:rPr>
          <w:rFonts w:eastAsia="Arial Unicode MS" w:cstheme="minorHAnsi"/>
          <w:b/>
          <w:bCs/>
          <w:szCs w:val="24"/>
        </w:rPr>
      </w:pPr>
    </w:p>
    <w:p w14:paraId="7B0F188B" w14:textId="77777777" w:rsidR="00063AEB" w:rsidRPr="00675182" w:rsidRDefault="00063AEB" w:rsidP="00BF7348">
      <w:pPr>
        <w:snapToGrid w:val="0"/>
        <w:jc w:val="both"/>
        <w:rPr>
          <w:rFonts w:eastAsia="Arial Unicode MS" w:cstheme="minorHAnsi"/>
          <w:b/>
          <w:bCs/>
          <w:szCs w:val="24"/>
        </w:rPr>
      </w:pPr>
      <w:r w:rsidRPr="00675182">
        <w:rPr>
          <w:rFonts w:eastAsia="Arial Unicode MS" w:cstheme="minorHAnsi"/>
          <w:b/>
          <w:bCs/>
          <w:szCs w:val="24"/>
        </w:rPr>
        <w:t>D.5.2</w:t>
      </w:r>
      <w:r w:rsidRPr="00675182">
        <w:rPr>
          <w:rFonts w:eastAsia="Arial Unicode MS" w:cstheme="minorHAnsi"/>
          <w:b/>
          <w:bCs/>
          <w:szCs w:val="24"/>
        </w:rPr>
        <w:tab/>
        <w:t>Integrētās komunikācijas rīcību plāna izveide un ieviešana, segmentējot prioritārās mērķgrupas un tām nododamo vēstījumu</w:t>
      </w:r>
    </w:p>
    <w:p w14:paraId="0D2D8163"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lastRenderedPageBreak/>
        <w:t>Precīza segmentēšanas pieeja ļauj mazināt antropogēno slodzi neatbilstošās vietās, novērst konfliktus starp dažādām interešu grupām, paaugstina apmierinātību ar gūto pieredzi vietās, kas vislabāk attiecīgai aktivitātei ir paredzētas. Jāveicina operatīva informācijas aprite (piemēram, par mednieku aktivitātēm nacionālajā parkā brīvdienā, lai citi teritorijas apmeklētāji vai vietējie iedzīvotāji, kas to pašu vietu var izmantot cita veida rekreatīvajiem nolūkiem, netiktu apdraudēti). Sarežģīti ir noteikt prioritātes kādam atpūtas veidam attiecībā pret citu (ja vien tas neietver noteikumu ierobežojumus), taču, pastāvot alternatīvām, var izdarīt laicīgas alternatīvas izvēles.</w:t>
      </w:r>
    </w:p>
    <w:p w14:paraId="25C9743B" w14:textId="77777777" w:rsidR="00063AEB" w:rsidRPr="00675182" w:rsidRDefault="00063AEB" w:rsidP="00063AEB">
      <w:pPr>
        <w:snapToGrid w:val="0"/>
        <w:jc w:val="both"/>
        <w:rPr>
          <w:rFonts w:ascii="Calibri" w:eastAsia="Arial Unicode MS" w:hAnsi="Calibri"/>
          <w:szCs w:val="24"/>
        </w:rPr>
      </w:pPr>
    </w:p>
    <w:p w14:paraId="3C7CB6ED"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būtu mazāk konfliktu starp to pašu teritoriju izmantojošām dažādām atpūtnieku grupām (medniekiem un dabas fotogrāfiem u.tml.).</w:t>
      </w:r>
    </w:p>
    <w:p w14:paraId="1782847B" w14:textId="77777777" w:rsidR="00063AEB" w:rsidRPr="00675182" w:rsidRDefault="00063AEB" w:rsidP="00063AEB">
      <w:pPr>
        <w:snapToGrid w:val="0"/>
        <w:rPr>
          <w:rFonts w:eastAsia="Arial Unicode MS" w:cstheme="minorHAnsi"/>
          <w:b/>
          <w:bCs/>
          <w:szCs w:val="24"/>
          <w:highlight w:val="yellow"/>
        </w:rPr>
      </w:pPr>
    </w:p>
    <w:p w14:paraId="0521291F" w14:textId="43B06E80" w:rsidR="00063AEB" w:rsidRPr="00675182" w:rsidRDefault="00063AEB" w:rsidP="00BF7348">
      <w:pPr>
        <w:snapToGrid w:val="0"/>
        <w:jc w:val="both"/>
        <w:rPr>
          <w:rFonts w:eastAsia="Arial Unicode MS" w:cstheme="minorHAnsi"/>
          <w:b/>
          <w:bCs/>
          <w:i/>
          <w:iCs/>
          <w:szCs w:val="24"/>
          <w:u w:val="single"/>
        </w:rPr>
      </w:pPr>
      <w:r w:rsidRPr="00675182">
        <w:rPr>
          <w:rFonts w:eastAsia="Arial Unicode MS" w:cstheme="minorHAnsi"/>
          <w:b/>
          <w:bCs/>
          <w:i/>
          <w:iCs/>
          <w:szCs w:val="24"/>
          <w:u w:val="single"/>
        </w:rPr>
        <w:t>D6. Jaunu tūrisma attīstības iniciatīvu uzraudzīšana, saskaņojot ar GNP izveides</w:t>
      </w:r>
      <w:r w:rsidR="00FE616B" w:rsidRPr="00675182">
        <w:rPr>
          <w:rFonts w:eastAsia="Arial Unicode MS" w:cstheme="minorHAnsi"/>
          <w:b/>
          <w:bCs/>
          <w:i/>
          <w:iCs/>
          <w:szCs w:val="24"/>
          <w:u w:val="single"/>
        </w:rPr>
        <w:t xml:space="preserve"> mērķiem</w:t>
      </w:r>
    </w:p>
    <w:p w14:paraId="643333D8" w14:textId="77777777" w:rsidR="00063AEB" w:rsidRPr="00675182" w:rsidRDefault="00063AEB" w:rsidP="00063AEB">
      <w:pPr>
        <w:jc w:val="both"/>
        <w:rPr>
          <w:rFonts w:cstheme="minorHAnsi"/>
          <w:bCs/>
          <w:iCs/>
          <w:szCs w:val="24"/>
        </w:rPr>
      </w:pPr>
      <w:r w:rsidRPr="00675182">
        <w:rPr>
          <w:rFonts w:cstheme="minorHAnsi"/>
          <w:bCs/>
          <w:iCs/>
          <w:szCs w:val="24"/>
        </w:rPr>
        <w:t>Šajā pasākumu grupā ir Iekļauti galvenie principi jaunu iniciatīvu izvērtēšanai nākotnē, kas ne visos gadījumos paredz konkrētas infrastruktūras izveidi.</w:t>
      </w:r>
    </w:p>
    <w:p w14:paraId="1B58DE68" w14:textId="77777777" w:rsidR="00063AEB" w:rsidRPr="00675182" w:rsidRDefault="00063AEB" w:rsidP="00063AEB">
      <w:pPr>
        <w:snapToGrid w:val="0"/>
        <w:rPr>
          <w:rFonts w:eastAsia="Arial Unicode MS" w:cstheme="minorHAnsi"/>
          <w:b/>
          <w:bCs/>
          <w:szCs w:val="24"/>
        </w:rPr>
      </w:pPr>
    </w:p>
    <w:p w14:paraId="3B58F5B4"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D.6.1</w:t>
      </w:r>
      <w:r w:rsidRPr="00675182">
        <w:rPr>
          <w:rFonts w:ascii="Calibri" w:eastAsia="Arial Unicode MS" w:hAnsi="Calibri"/>
          <w:b/>
          <w:bCs/>
          <w:szCs w:val="24"/>
        </w:rPr>
        <w:tab/>
        <w:t>Jaunu tūrisma attīstības iniciatīvu konsultēšana un atbildīga attīstīšana</w:t>
      </w:r>
    </w:p>
    <w:p w14:paraId="5ED6BD86" w14:textId="73B2727C"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 xml:space="preserve">DA plānā un aktuālā zonējuma noteikumos nevar iekļaut un paredzēt visas attīstības iniciatīvas, kas radīsies turpmākajos 15 gados. GNP rekreācijas un tūrisma attīstībai  prioritāri jānodrošina jau esošo izveidoto vieglās mobilitātes ceļu, taku un ūdensceļu tīklojuma kvalitāte. Daļa jaunu piedāvājumu tūrismā radīsies apdzīvotās vietās vai to tuvumā, aizstājot vai papildinot esošo vietu izmantošanu, neradot lielāku slodzi. Zemāka prioritāte ir izklaides tūrisma pakalpojumiem GNP, īpaši </w:t>
      </w:r>
      <w:r w:rsidR="00595FE9">
        <w:rPr>
          <w:rFonts w:ascii="Calibri" w:eastAsia="Arial Unicode MS" w:hAnsi="Calibri"/>
          <w:szCs w:val="24"/>
        </w:rPr>
        <w:t>DLZ</w:t>
      </w:r>
      <w:r w:rsidRPr="00675182">
        <w:rPr>
          <w:rFonts w:ascii="Calibri" w:eastAsia="Arial Unicode MS" w:hAnsi="Calibri"/>
          <w:szCs w:val="24"/>
        </w:rPr>
        <w:t>, kas neiekļauj dabas izglītības saturu, motivāciju izzināt dabas vai kultūras mantojumu.</w:t>
      </w:r>
    </w:p>
    <w:p w14:paraId="6F31B44A" w14:textId="77777777" w:rsidR="00063AEB" w:rsidRPr="00675182" w:rsidRDefault="00063AEB" w:rsidP="00063AEB">
      <w:pPr>
        <w:snapToGrid w:val="0"/>
        <w:jc w:val="both"/>
        <w:rPr>
          <w:rFonts w:ascii="Calibri" w:eastAsia="Arial Unicode MS" w:hAnsi="Calibri"/>
          <w:szCs w:val="24"/>
        </w:rPr>
      </w:pPr>
    </w:p>
    <w:p w14:paraId="60DE6953"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mērķtiecīgāk attīstās mantojuma vērtību un dabas daudzveidību respektējošas jaunas uzņēmējdarbības iniciatīvas.</w:t>
      </w:r>
    </w:p>
    <w:p w14:paraId="4F7B8B77" w14:textId="77777777" w:rsidR="00063AEB" w:rsidRPr="00675182" w:rsidRDefault="00063AEB" w:rsidP="00063AEB">
      <w:pPr>
        <w:snapToGrid w:val="0"/>
        <w:jc w:val="both"/>
        <w:rPr>
          <w:rFonts w:ascii="Calibri" w:eastAsia="Arial Unicode MS" w:hAnsi="Calibri"/>
          <w:b/>
          <w:bCs/>
          <w:szCs w:val="24"/>
        </w:rPr>
      </w:pPr>
    </w:p>
    <w:p w14:paraId="51A226CD"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D.6.2</w:t>
      </w:r>
      <w:r w:rsidRPr="00675182">
        <w:rPr>
          <w:rFonts w:ascii="Calibri" w:eastAsia="Arial Unicode MS" w:hAnsi="Calibri"/>
          <w:b/>
          <w:bCs/>
          <w:szCs w:val="24"/>
        </w:rPr>
        <w:tab/>
        <w:t>Dabas izglītību veicinošu tūrisma pakalpojumu attīstīšana</w:t>
      </w:r>
    </w:p>
    <w:p w14:paraId="54B766C1" w14:textId="58DA620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 xml:space="preserve">Būtu jāveicina ar dabas izglītību saistīta kvalitatīva satura iekļaušana piedāvājumā. Īpaši pakalpojumiem, kas atrodas DLZ. Piedāvājuma veidošana saskaņojama ar dabas vērtību netraucētu pastāvēšanu, iekļaujot atbildīgu pieeju, atbilstoši ekotūrisma definējumam. Izmantojamas kvalitatīvas interpretācijas </w:t>
      </w:r>
      <w:r w:rsidR="00FE616B" w:rsidRPr="00675182">
        <w:rPr>
          <w:rFonts w:ascii="Calibri" w:eastAsia="Arial Unicode MS" w:hAnsi="Calibri"/>
          <w:szCs w:val="24"/>
        </w:rPr>
        <w:t>metodes</w:t>
      </w:r>
      <w:r w:rsidRPr="00675182">
        <w:rPr>
          <w:rFonts w:ascii="Calibri" w:eastAsia="Arial Unicode MS" w:hAnsi="Calibri"/>
          <w:szCs w:val="24"/>
        </w:rPr>
        <w:t>, ko var papildināt ar mūsdienīgu tehnoloģiju iesaisti, spēles elementu izmantošanu.</w:t>
      </w:r>
    </w:p>
    <w:p w14:paraId="1AEDE39D" w14:textId="77777777" w:rsidR="00063AEB" w:rsidRPr="00675182" w:rsidRDefault="00063AEB" w:rsidP="00063AEB">
      <w:pPr>
        <w:snapToGrid w:val="0"/>
        <w:jc w:val="both"/>
        <w:rPr>
          <w:rFonts w:ascii="Calibri" w:eastAsia="Arial Unicode MS" w:hAnsi="Calibri"/>
          <w:szCs w:val="24"/>
        </w:rPr>
      </w:pPr>
    </w:p>
    <w:p w14:paraId="3341CE49"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paaugstinās apmeklētāju zināšanas par norisēm dabā, palielinās tādu tūristu piesaiste GNP, kuri novērtē pašizglītošanos un pašizaugsmi, respektē dabu.</w:t>
      </w:r>
    </w:p>
    <w:p w14:paraId="7E938E99" w14:textId="77777777" w:rsidR="00063AEB" w:rsidRPr="00675182" w:rsidRDefault="00063AEB" w:rsidP="00063AEB">
      <w:pPr>
        <w:snapToGrid w:val="0"/>
        <w:jc w:val="both"/>
        <w:rPr>
          <w:rFonts w:ascii="Calibri" w:eastAsia="Arial Unicode MS" w:hAnsi="Calibri"/>
          <w:b/>
          <w:bCs/>
          <w:szCs w:val="24"/>
        </w:rPr>
      </w:pPr>
    </w:p>
    <w:p w14:paraId="7DD279BE"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D.6.3</w:t>
      </w:r>
      <w:r w:rsidRPr="00675182">
        <w:rPr>
          <w:rFonts w:ascii="Calibri" w:eastAsia="Arial Unicode MS" w:hAnsi="Calibri"/>
          <w:b/>
          <w:bCs/>
          <w:szCs w:val="24"/>
        </w:rPr>
        <w:tab/>
        <w:t>Ekoinovāciju veicināšana tūrisma, sporta un rekreācijas pakalpojumu norisēm dabā</w:t>
      </w:r>
    </w:p>
    <w:p w14:paraId="0E955919"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 xml:space="preserve">Ir ieteicam vecināt ekoinovācijas gan piedāvājuma veidošanā, gan noteiktos pakalpojumu sniegšanas posmos, tai skaitā, lai mazinātu slodzi uz dabu, veicinātu klimatneitrālu risinājumu ieviešanu. Ekoniovāciju ieviešanu pamato augošs sabiedrības pieprasījums apsaimniekotājiem un uzņēmējiem atbildīgāk rūpēties par resursiem, kas tiek iesaistīti komercdarbībā (sk. 26. pielikuma aptauju). Rīcības var tikt testētas un </w:t>
      </w:r>
      <w:r w:rsidRPr="00675182">
        <w:rPr>
          <w:rFonts w:ascii="Calibri" w:eastAsia="Arial Unicode MS" w:hAnsi="Calibri"/>
          <w:szCs w:val="24"/>
        </w:rPr>
        <w:lastRenderedPageBreak/>
        <w:t>ieviestas sadarbībā ar Biznesa un inovāciju inkubatoru iesaisti, zinātības pārņemšana veicināma tūrisma klastera tīklojumā u.tml.</w:t>
      </w:r>
    </w:p>
    <w:p w14:paraId="1287DD4A" w14:textId="77777777" w:rsidR="00063AEB" w:rsidRPr="00675182" w:rsidRDefault="00063AEB" w:rsidP="00063AEB">
      <w:pPr>
        <w:snapToGrid w:val="0"/>
        <w:jc w:val="both"/>
        <w:rPr>
          <w:rFonts w:ascii="Calibri" w:eastAsia="Arial Unicode MS" w:hAnsi="Calibri"/>
          <w:szCs w:val="24"/>
        </w:rPr>
      </w:pPr>
    </w:p>
    <w:p w14:paraId="0141251F"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palielināsies to tūrisma piedāvājumu skaits, kas izmanto zināšanas un inovācijas, lai mazinātu slodzi uz dabu, veicinātu klimatneitrālu uzņēmējdarbību.</w:t>
      </w:r>
    </w:p>
    <w:p w14:paraId="3B39C372" w14:textId="77777777" w:rsidR="00063AEB" w:rsidRPr="00675182" w:rsidRDefault="00063AEB" w:rsidP="00063AEB">
      <w:pPr>
        <w:snapToGrid w:val="0"/>
        <w:jc w:val="both"/>
        <w:rPr>
          <w:rFonts w:ascii="Calibri" w:eastAsia="Arial Unicode MS" w:hAnsi="Calibri"/>
          <w:b/>
          <w:bCs/>
          <w:szCs w:val="24"/>
        </w:rPr>
      </w:pPr>
    </w:p>
    <w:p w14:paraId="320BB433"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D.6.4</w:t>
      </w:r>
      <w:r w:rsidRPr="00675182">
        <w:rPr>
          <w:rFonts w:ascii="Calibri" w:eastAsia="Arial Unicode MS" w:hAnsi="Calibri"/>
          <w:b/>
          <w:bCs/>
          <w:szCs w:val="24"/>
        </w:rPr>
        <w:tab/>
        <w:t>Pasākumi apmeklētāju radīto sadzīves atkritumu sloga mazināšanai, atkritumu problēmas mazināšanai dabas takās vai grūti apsaimniekojamās vietās dabā</w:t>
      </w:r>
    </w:p>
    <w:p w14:paraId="060CC7EC"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Ir jāveicina izpratne par sadzīves atkritumu līdzi nešanu, neatstājot dabā, īpaši – grūti pieejamās vietās. Daļēji sadzīves atkritumu problēmu palīdz risināt depozītu sistēmas ieviešana dzērienu tarai. Daļu sadzīves atkritumu apsaimniekošanas problēmas var risināt publiskās-privātās partnerības veidā, izsolot vietas komercdarbības veikšanai (kā Zvārtes ieža apmeklētāju centra gadījumā), iekļaujot vietas atkritumu apsaimniekošanu kā nomas noteikumu nosacījumu. Jānodrošina integrēts un elastīgāks risinājums sadarbībā ar sadzīves atkritumu apsaimniekošanas organizācijām, gan par vides izglītību, gan daudzveidīgāku atkritumu šķirošanas nodrošinājumu, lai panāktu 90 % atkritumu otrreizējo pārstrādi. Jāievieš sistemātiska kārtību ūdenstūristu radīto sadzīves atkritumu apsaimniekošanā, kas rada lielāku slodzi esošajām atpūtas vietām un kempingiem, veicinot solidāru rīcību no citiem operatoriem, līdzieintersētību problēmas risināšanā.</w:t>
      </w:r>
    </w:p>
    <w:p w14:paraId="335E4F79" w14:textId="77777777" w:rsidR="00063AEB" w:rsidRPr="00675182" w:rsidRDefault="00063AEB" w:rsidP="00063AEB">
      <w:pPr>
        <w:snapToGrid w:val="0"/>
        <w:jc w:val="both"/>
        <w:rPr>
          <w:rFonts w:ascii="Calibri" w:eastAsia="Arial Unicode MS" w:hAnsi="Calibri"/>
          <w:szCs w:val="24"/>
        </w:rPr>
      </w:pPr>
    </w:p>
    <w:p w14:paraId="441BAB46"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samazināsies ūdenstūristu radīto sadzīves atkritumu slogs uz esošām atpūtas vietām, efektīvāk tiktu izmantota jau esošā ūdenstūrismam izveidotā (īpaši privātā) infrastruktūra.</w:t>
      </w:r>
    </w:p>
    <w:p w14:paraId="74867FDB" w14:textId="77777777" w:rsidR="00063AEB" w:rsidRPr="00675182" w:rsidRDefault="00063AEB" w:rsidP="00063AEB">
      <w:pPr>
        <w:snapToGrid w:val="0"/>
        <w:jc w:val="both"/>
        <w:rPr>
          <w:rFonts w:ascii="Calibri" w:eastAsia="Arial Unicode MS" w:hAnsi="Calibri"/>
          <w:b/>
          <w:bCs/>
          <w:szCs w:val="24"/>
        </w:rPr>
      </w:pPr>
    </w:p>
    <w:p w14:paraId="66E3F62F"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D.6.5</w:t>
      </w:r>
      <w:r w:rsidRPr="00675182">
        <w:rPr>
          <w:rFonts w:ascii="Calibri" w:eastAsia="Arial Unicode MS" w:hAnsi="Calibri"/>
          <w:b/>
          <w:bCs/>
          <w:szCs w:val="24"/>
        </w:rPr>
        <w:tab/>
        <w:t>Enerģijas patēriņa saudzīga lietošanas veicināšana</w:t>
      </w:r>
    </w:p>
    <w:p w14:paraId="52684C34"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Jāveicina taupīgi enerģijas lietošanas paradumi, ko citu starpā var iestrādāt pakalpojuma dizainā, radot risinājumus (t.sk. viedo tehnoloģiju) ūdens, siltumu, elektroenerģijas u.tml. taupīšanai. Risinājumu ieviešana tiek uzraudzīta pakalpojumu sniedzēju aptaujas veidā.</w:t>
      </w:r>
    </w:p>
    <w:p w14:paraId="06404CA6" w14:textId="77777777" w:rsidR="00063AEB" w:rsidRPr="00675182" w:rsidRDefault="00063AEB" w:rsidP="00063AEB">
      <w:pPr>
        <w:snapToGrid w:val="0"/>
        <w:jc w:val="both"/>
        <w:rPr>
          <w:rFonts w:ascii="Calibri" w:eastAsia="Arial Unicode MS" w:hAnsi="Calibri"/>
          <w:szCs w:val="24"/>
        </w:rPr>
      </w:pPr>
    </w:p>
    <w:p w14:paraId="6BC9230A"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samazinās slodze uz vidi, ko rada lielāks enerģijas patēriņš, tiek izglītots patērētājs līdzīgu paradumu pārņemšanai savā ikdienā.</w:t>
      </w:r>
    </w:p>
    <w:p w14:paraId="1E523351" w14:textId="77777777" w:rsidR="00063AEB" w:rsidRPr="00675182" w:rsidRDefault="00063AEB" w:rsidP="00063AEB">
      <w:pPr>
        <w:snapToGrid w:val="0"/>
        <w:jc w:val="both"/>
        <w:rPr>
          <w:rFonts w:ascii="Calibri" w:eastAsia="Arial Unicode MS" w:hAnsi="Calibri"/>
          <w:b/>
          <w:bCs/>
          <w:szCs w:val="24"/>
        </w:rPr>
      </w:pPr>
    </w:p>
    <w:p w14:paraId="5287677E" w14:textId="77777777" w:rsidR="00063AEB" w:rsidRPr="00675182" w:rsidRDefault="00063AEB" w:rsidP="00063AEB">
      <w:pPr>
        <w:snapToGrid w:val="0"/>
        <w:jc w:val="both"/>
        <w:rPr>
          <w:rFonts w:ascii="Calibri" w:eastAsia="Arial Unicode MS" w:hAnsi="Calibri"/>
          <w:b/>
          <w:bCs/>
          <w:szCs w:val="24"/>
        </w:rPr>
      </w:pPr>
      <w:r w:rsidRPr="00675182">
        <w:rPr>
          <w:rFonts w:ascii="Calibri" w:eastAsia="Arial Unicode MS" w:hAnsi="Calibri"/>
          <w:b/>
          <w:bCs/>
          <w:szCs w:val="24"/>
        </w:rPr>
        <w:t>D.6.6</w:t>
      </w:r>
      <w:r w:rsidRPr="00675182">
        <w:rPr>
          <w:rFonts w:ascii="Calibri" w:eastAsia="Arial Unicode MS" w:hAnsi="Calibri"/>
          <w:b/>
          <w:bCs/>
          <w:szCs w:val="24"/>
        </w:rPr>
        <w:tab/>
        <w:t>Publisko vietu un tūrisma pakalpojumu sniedzēju notekūdeņu (kanalizācijas) attīrīšanas veicināšana</w:t>
      </w:r>
    </w:p>
    <w:p w14:paraId="2F9A280A"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Jebkura jauna tūrisma produkta veidošanas gadījumā šādu normu jau paredzētu spēkā esošas vides prasības. Tomēr pastāv jau esošas tūrisma un viesmīlības pakalpojumu vietas, kur bioloģiskās kanalizācijas ūdeņu attīrīšanas ietaises būtu ieviešamas, lai saudzīgi un atbildīgi izturētos pret ūdens resursiem, nepiesārņotu Gaujas baseina upes.</w:t>
      </w:r>
    </w:p>
    <w:p w14:paraId="13BBA312" w14:textId="77777777" w:rsidR="00063AEB" w:rsidRPr="00675182" w:rsidRDefault="00063AEB" w:rsidP="00063AEB">
      <w:pPr>
        <w:pStyle w:val="naisf"/>
        <w:snapToGrid w:val="0"/>
        <w:spacing w:before="0" w:after="0"/>
        <w:ind w:firstLine="0"/>
        <w:jc w:val="left"/>
        <w:rPr>
          <w:b/>
          <w:bCs/>
          <w:u w:val="single"/>
          <w:lang w:val="lv-LV"/>
        </w:rPr>
      </w:pPr>
    </w:p>
    <w:p w14:paraId="206B9885" w14:textId="77777777" w:rsidR="00063AEB" w:rsidRPr="00675182" w:rsidRDefault="00063AEB" w:rsidP="00063AEB">
      <w:pPr>
        <w:pStyle w:val="naisf"/>
        <w:snapToGrid w:val="0"/>
        <w:spacing w:before="0" w:after="0"/>
        <w:ind w:firstLine="0"/>
        <w:jc w:val="left"/>
        <w:rPr>
          <w:b/>
          <w:bCs/>
          <w:i/>
          <w:iCs/>
          <w:u w:val="single"/>
          <w:lang w:val="lv-LV"/>
        </w:rPr>
      </w:pPr>
      <w:r w:rsidRPr="00675182">
        <w:rPr>
          <w:b/>
          <w:bCs/>
          <w:i/>
          <w:iCs/>
          <w:u w:val="single"/>
          <w:lang w:val="lv-LV"/>
        </w:rPr>
        <w:t>D.7.</w:t>
      </w:r>
      <w:r w:rsidRPr="00675182">
        <w:rPr>
          <w:b/>
          <w:bCs/>
          <w:i/>
          <w:iCs/>
          <w:u w:val="single"/>
          <w:lang w:val="lv-LV"/>
        </w:rPr>
        <w:tab/>
        <w:t>Tūrisma pieredzējuma kvalitātes uzlabošana un saskaņošana ar GNP izveides mērķiem</w:t>
      </w:r>
    </w:p>
    <w:p w14:paraId="1EB9F794" w14:textId="77777777" w:rsidR="00063AEB" w:rsidRPr="00675182" w:rsidRDefault="00063AEB" w:rsidP="00063AEB">
      <w:pPr>
        <w:jc w:val="both"/>
        <w:rPr>
          <w:rFonts w:cstheme="minorHAnsi"/>
          <w:bCs/>
          <w:iCs/>
          <w:szCs w:val="24"/>
        </w:rPr>
      </w:pPr>
      <w:r w:rsidRPr="00675182">
        <w:rPr>
          <w:rFonts w:cstheme="minorHAnsi"/>
          <w:bCs/>
          <w:iCs/>
          <w:szCs w:val="24"/>
        </w:rPr>
        <w:t>Ar teritorijas vērtībām saistīta tūrisma uzņēmējdarbības attīstīšana ir cieši saistīta ar kvalitatīva pieredzējuma nodrošināšanu. Investēšana resursu vērtībā un kvalitātē nodrošina tās attīstību ilgtermiņā.</w:t>
      </w:r>
    </w:p>
    <w:p w14:paraId="5F5BA083" w14:textId="77777777" w:rsidR="00063AEB" w:rsidRPr="00675182" w:rsidRDefault="00063AEB" w:rsidP="00063AEB">
      <w:pPr>
        <w:jc w:val="both"/>
        <w:rPr>
          <w:rFonts w:cstheme="minorHAnsi"/>
          <w:bCs/>
          <w:iCs/>
          <w:szCs w:val="24"/>
        </w:rPr>
      </w:pPr>
    </w:p>
    <w:p w14:paraId="5929A0D3" w14:textId="77777777" w:rsidR="00063AEB" w:rsidRPr="00675182" w:rsidRDefault="00063AEB" w:rsidP="00063AEB">
      <w:pPr>
        <w:snapToGrid w:val="0"/>
        <w:rPr>
          <w:rFonts w:eastAsia="Arial Unicode MS" w:cstheme="minorHAnsi"/>
          <w:b/>
          <w:bCs/>
          <w:szCs w:val="24"/>
        </w:rPr>
      </w:pPr>
      <w:r w:rsidRPr="00675182">
        <w:rPr>
          <w:rFonts w:eastAsia="Arial Unicode MS" w:cstheme="minorHAnsi"/>
          <w:b/>
          <w:bCs/>
          <w:szCs w:val="24"/>
        </w:rPr>
        <w:t>D.7.1</w:t>
      </w:r>
      <w:r w:rsidRPr="00675182">
        <w:rPr>
          <w:rFonts w:eastAsia="Arial Unicode MS" w:cstheme="minorHAnsi"/>
          <w:b/>
          <w:bCs/>
          <w:szCs w:val="24"/>
        </w:rPr>
        <w:tab/>
        <w:t>Apmeklētāju apmierinātības monitoringa ieviešana</w:t>
      </w:r>
    </w:p>
    <w:p w14:paraId="2D0B9353"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lastRenderedPageBreak/>
        <w:t>Būtu ieteicams ieviest GNP apmeklētāju apmierinātības uzraudzību, ko var nodrošināt un uzturēt sadarbībā ar Vidzemes Augstskolas HESPI Institūta Telpiskās pētniecības laboratorijas izstrādāto risinājumu digitālās GIS platformas vidē (vai līdzvērtīgu analogu). Tā darbojas kā viena sistēma, kas ir pielāgota gan DAP, gan GNP tūrisma klastera, gan pašvaldības tūrisma speciālistu lietošanai, automatizējot apmeklētāju atsauču pārskatīšanu un kvantitatīvo rādītāju apkopošanu. Rādītāju izmaiņu uzraudzība ļauj operatīvi reaģēt un laicīgi pieņemt lēmumus par ieviešamajiem pasākumiem.</w:t>
      </w:r>
    </w:p>
    <w:p w14:paraId="301F945F" w14:textId="77777777" w:rsidR="00063AEB" w:rsidRPr="00675182" w:rsidRDefault="00063AEB" w:rsidP="00063AEB">
      <w:pPr>
        <w:snapToGrid w:val="0"/>
        <w:jc w:val="both"/>
        <w:rPr>
          <w:rFonts w:ascii="Calibri" w:eastAsia="Arial Unicode MS" w:hAnsi="Calibri"/>
          <w:szCs w:val="24"/>
        </w:rPr>
      </w:pPr>
    </w:p>
    <w:p w14:paraId="468BC359"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ieviesta vienota dabas apmeklētāju monitoringa sistēma attīstības rādītāju uzraudzīšanai, tostarp par apmeklētāju apmierinātību.</w:t>
      </w:r>
    </w:p>
    <w:p w14:paraId="7AD20811" w14:textId="77777777" w:rsidR="00063AEB" w:rsidRPr="00675182" w:rsidRDefault="00063AEB" w:rsidP="00063AEB">
      <w:pPr>
        <w:snapToGrid w:val="0"/>
        <w:rPr>
          <w:rFonts w:eastAsia="Arial Unicode MS" w:cstheme="minorHAnsi"/>
          <w:b/>
          <w:bCs/>
          <w:szCs w:val="24"/>
          <w:highlight w:val="yellow"/>
        </w:rPr>
      </w:pPr>
    </w:p>
    <w:p w14:paraId="668C731A" w14:textId="77777777" w:rsidR="00063AEB" w:rsidRPr="00675182" w:rsidRDefault="00063AEB" w:rsidP="00063AEB">
      <w:pPr>
        <w:snapToGrid w:val="0"/>
        <w:rPr>
          <w:rFonts w:eastAsia="Arial Unicode MS" w:cstheme="minorHAnsi"/>
          <w:b/>
          <w:bCs/>
          <w:szCs w:val="24"/>
        </w:rPr>
      </w:pPr>
      <w:r w:rsidRPr="00675182">
        <w:rPr>
          <w:rFonts w:eastAsia="Arial Unicode MS" w:cstheme="minorHAnsi"/>
          <w:b/>
          <w:bCs/>
          <w:szCs w:val="24"/>
        </w:rPr>
        <w:t>D.7.2</w:t>
      </w:r>
      <w:r w:rsidRPr="00675182">
        <w:rPr>
          <w:rFonts w:eastAsia="Arial Unicode MS" w:cstheme="minorHAnsi"/>
          <w:b/>
          <w:bCs/>
          <w:szCs w:val="24"/>
        </w:rPr>
        <w:tab/>
        <w:t>Pakalpojuma dizaina pieejas ieviešana publiski apmeklējamās vietās, kvalitātes trūkumu operatīva novēršana</w:t>
      </w:r>
    </w:p>
    <w:p w14:paraId="3528A142" w14:textId="77777777" w:rsidR="00063AEB" w:rsidRPr="00675182" w:rsidRDefault="00063AEB" w:rsidP="00063AEB">
      <w:pPr>
        <w:snapToGrid w:val="0"/>
        <w:jc w:val="both"/>
        <w:rPr>
          <w:rFonts w:eastAsia="Arial Unicode MS" w:cstheme="minorHAnsi"/>
          <w:szCs w:val="24"/>
        </w:rPr>
      </w:pPr>
      <w:r w:rsidRPr="00675182">
        <w:rPr>
          <w:rFonts w:eastAsia="Arial Unicode MS" w:cstheme="minorHAnsi"/>
          <w:szCs w:val="24"/>
        </w:rPr>
        <w:t>Pakalpojuma dizaina pieejas pielietojums jau aprakstīts pie kopējiem infrastruktūras izveides principiem pasākumā D.1.6. Jāveicina pakalpojuma dizaina un lietotāju pieredzes vadības risinājumu pieeja visās publiski apmeklējamās vietās, secīgi ietverot klienta ceļojuma analīzi un saskarsmes punktu izvērtējumu, sākot no: digitālajiem resursiem un attālinātas informācijas iegūšanai, nokļūšanas ceļa un piekļuves konkrētām vietām līdz saskarsmes punktiem pakalpojuma saņemšanas laikā un atgriezeniskās saiknes nodošanai par attiecīgo pieredzi. Šāda pieeja ļauj atrast vājās vietas, novērst trūkumus, uzlabojot pakalpojuma kvalitāti.</w:t>
      </w:r>
    </w:p>
    <w:p w14:paraId="72BF41A2" w14:textId="77777777" w:rsidR="00063AEB" w:rsidRPr="00675182" w:rsidRDefault="00063AEB" w:rsidP="00063AEB">
      <w:pPr>
        <w:snapToGrid w:val="0"/>
        <w:jc w:val="both"/>
        <w:rPr>
          <w:rFonts w:eastAsia="Arial Unicode MS" w:cstheme="minorHAnsi"/>
          <w:szCs w:val="24"/>
        </w:rPr>
      </w:pPr>
    </w:p>
    <w:p w14:paraId="2E45C9D5" w14:textId="77777777" w:rsidR="00063AEB" w:rsidRPr="00675182" w:rsidRDefault="00063AEB" w:rsidP="00063AEB">
      <w:pPr>
        <w:snapToGrid w:val="0"/>
        <w:jc w:val="both"/>
        <w:rPr>
          <w:rFonts w:eastAsia="Arial Unicode MS" w:cstheme="minorHAnsi"/>
          <w:szCs w:val="24"/>
        </w:rPr>
      </w:pPr>
      <w:r w:rsidRPr="00675182">
        <w:rPr>
          <w:rFonts w:eastAsia="Arial Unicode MS" w:cstheme="minorHAnsi"/>
          <w:szCs w:val="24"/>
        </w:rPr>
        <w:t>Rezultātā paaugstināsies pakalpojumu kvalitāte, pieaugs apmeklētāju apmierinātība ar pieredzēto GNP, mazināsies slodze uz dabu no preventīvi novērstām kļūdām, kas rada sastrēgumus, lieku gaidīšanu pakalpojumu sniegšanas vietās u.tml.</w:t>
      </w:r>
    </w:p>
    <w:p w14:paraId="465CAC19" w14:textId="77777777" w:rsidR="00063AEB" w:rsidRPr="00675182" w:rsidRDefault="00063AEB" w:rsidP="00063AEB">
      <w:pPr>
        <w:snapToGrid w:val="0"/>
        <w:jc w:val="both"/>
        <w:rPr>
          <w:rFonts w:eastAsia="Arial Unicode MS" w:cstheme="minorHAnsi"/>
          <w:szCs w:val="24"/>
        </w:rPr>
      </w:pPr>
    </w:p>
    <w:p w14:paraId="6C430C01" w14:textId="77777777" w:rsidR="00063AEB" w:rsidRPr="00675182" w:rsidRDefault="00063AEB" w:rsidP="00063AEB">
      <w:pPr>
        <w:snapToGrid w:val="0"/>
        <w:rPr>
          <w:rFonts w:eastAsia="Arial Unicode MS" w:cstheme="minorHAnsi"/>
          <w:b/>
          <w:bCs/>
          <w:szCs w:val="24"/>
        </w:rPr>
      </w:pPr>
      <w:r w:rsidRPr="00675182">
        <w:rPr>
          <w:rFonts w:eastAsia="Arial Unicode MS" w:cstheme="minorHAnsi"/>
          <w:b/>
          <w:bCs/>
          <w:szCs w:val="24"/>
        </w:rPr>
        <w:t>D.7.3</w:t>
      </w:r>
      <w:r w:rsidRPr="00675182">
        <w:rPr>
          <w:rFonts w:eastAsia="Arial Unicode MS" w:cstheme="minorHAnsi"/>
          <w:b/>
          <w:bCs/>
          <w:szCs w:val="24"/>
        </w:rPr>
        <w:tab/>
        <w:t>Pasākumi tūrisma pakalpojumu pieredzējuma kvalitātes uzlabošanai</w:t>
      </w:r>
    </w:p>
    <w:p w14:paraId="633062CB"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Jāveicina tūrisma pakalpojumu pieredzējuma kvalitāte, ko primāri nodrošina pakalpojumu sniedzēji paši mijiedarbībā ar klientiem. Taču atbalstu un papildu zināšanas (t.sk. pieredzi mobilitātes, mācību semināru u.tml. veidā) palīdz nodrošināt pašvaldības tūrisma speciālisti, GNP tūrisma klasteris, Vidzemes Augstskola u.c. ieinteresētās puses. Kvalitatīvi pakalpojumi uzlabo apmierinātību ar pieredzējumu, mazina nevajadzīgu antropogēno slodzi u.c.</w:t>
      </w:r>
    </w:p>
    <w:p w14:paraId="524AFD42" w14:textId="77777777" w:rsidR="00063AEB" w:rsidRPr="00675182" w:rsidRDefault="00063AEB" w:rsidP="00063AEB">
      <w:pPr>
        <w:snapToGrid w:val="0"/>
        <w:jc w:val="both"/>
        <w:rPr>
          <w:rFonts w:ascii="Calibri" w:eastAsia="Arial Unicode MS" w:hAnsi="Calibri"/>
          <w:szCs w:val="24"/>
        </w:rPr>
      </w:pPr>
    </w:p>
    <w:p w14:paraId="21E29BF4" w14:textId="77777777" w:rsidR="00063AEB" w:rsidRPr="00675182" w:rsidRDefault="00063AEB" w:rsidP="00063AEB">
      <w:pPr>
        <w:snapToGrid w:val="0"/>
        <w:jc w:val="both"/>
        <w:rPr>
          <w:rFonts w:eastAsia="Arial Unicode MS" w:cstheme="minorHAnsi"/>
          <w:szCs w:val="24"/>
        </w:rPr>
      </w:pPr>
      <w:r w:rsidRPr="00675182">
        <w:rPr>
          <w:rFonts w:eastAsia="Arial Unicode MS" w:cstheme="minorHAnsi"/>
          <w:szCs w:val="24"/>
        </w:rPr>
        <w:t>Rezultātā paaugstinās pakalpojumu kvalitāte, pieaug apmeklētāju apmierinātība ar pieredzēto GNP, mazinās slodze uz dabu no preventīvi novērstām kļūdām, kas rada sastrēgumus, lieku gaidīšanu pakalpojumu sniegšanas vietās u.tml.</w:t>
      </w:r>
    </w:p>
    <w:p w14:paraId="5AFED9D3" w14:textId="77777777" w:rsidR="00063AEB" w:rsidRPr="00675182" w:rsidRDefault="00063AEB" w:rsidP="00063AEB">
      <w:pPr>
        <w:snapToGrid w:val="0"/>
        <w:rPr>
          <w:rFonts w:eastAsia="Arial Unicode MS" w:cstheme="minorHAnsi"/>
          <w:b/>
          <w:bCs/>
          <w:szCs w:val="24"/>
          <w:highlight w:val="yellow"/>
        </w:rPr>
      </w:pPr>
    </w:p>
    <w:p w14:paraId="7DF75847" w14:textId="77777777" w:rsidR="00063AEB" w:rsidRPr="00675182" w:rsidRDefault="00063AEB" w:rsidP="00063AEB">
      <w:pPr>
        <w:snapToGrid w:val="0"/>
        <w:rPr>
          <w:rFonts w:eastAsia="Arial Unicode MS" w:cstheme="minorHAnsi"/>
          <w:b/>
          <w:bCs/>
          <w:i/>
          <w:iCs/>
          <w:szCs w:val="24"/>
          <w:u w:val="single"/>
        </w:rPr>
      </w:pPr>
      <w:bookmarkStart w:id="162" w:name="_Hlk116733244"/>
      <w:r w:rsidRPr="00675182">
        <w:rPr>
          <w:rFonts w:eastAsia="Arial Unicode MS" w:cstheme="minorHAnsi"/>
          <w:b/>
          <w:bCs/>
          <w:i/>
          <w:iCs/>
          <w:szCs w:val="24"/>
          <w:u w:val="single"/>
        </w:rPr>
        <w:t>D.8. Sporta, tūrisma un rekreācijas attīstībā iesaistīto pušu izglītošana un profesionālā kompetence</w:t>
      </w:r>
    </w:p>
    <w:p w14:paraId="150299D3" w14:textId="77777777" w:rsidR="00063AEB" w:rsidRPr="00675182" w:rsidRDefault="00063AEB" w:rsidP="00063AEB">
      <w:pPr>
        <w:snapToGrid w:val="0"/>
        <w:jc w:val="both"/>
        <w:rPr>
          <w:rFonts w:cstheme="minorHAnsi"/>
          <w:bCs/>
          <w:iCs/>
          <w:szCs w:val="24"/>
        </w:rPr>
      </w:pPr>
      <w:r w:rsidRPr="00675182">
        <w:rPr>
          <w:rFonts w:cstheme="minorHAnsi"/>
          <w:bCs/>
          <w:iCs/>
          <w:szCs w:val="24"/>
        </w:rPr>
        <w:t>Ietver zinātības un profesionalitātes attīstīšanu, dalīšanos zināšanās, treniņus, informētību un aktuālu dialogu, kas tālāk tiek izmantots atbilstošā pakalpojumu satura veidošanā un atbildīgā resursu komercializēšanā.</w:t>
      </w:r>
    </w:p>
    <w:p w14:paraId="1FD3FB36" w14:textId="77777777" w:rsidR="00063AEB" w:rsidRPr="00675182" w:rsidRDefault="00063AEB" w:rsidP="00063AEB">
      <w:pPr>
        <w:snapToGrid w:val="0"/>
        <w:jc w:val="both"/>
        <w:rPr>
          <w:rFonts w:eastAsia="Arial Unicode MS" w:cstheme="minorHAnsi"/>
          <w:szCs w:val="24"/>
          <w:u w:val="single"/>
        </w:rPr>
      </w:pPr>
    </w:p>
    <w:p w14:paraId="22590C01" w14:textId="77777777" w:rsidR="00063AEB" w:rsidRPr="00675182" w:rsidRDefault="00063AEB" w:rsidP="00063AEB">
      <w:pPr>
        <w:snapToGrid w:val="0"/>
        <w:rPr>
          <w:rFonts w:eastAsia="Arial Unicode MS" w:cstheme="minorHAnsi"/>
          <w:b/>
          <w:bCs/>
          <w:szCs w:val="24"/>
        </w:rPr>
      </w:pPr>
      <w:r w:rsidRPr="00675182">
        <w:rPr>
          <w:rFonts w:eastAsia="Arial Unicode MS" w:cstheme="minorHAnsi"/>
          <w:b/>
          <w:bCs/>
          <w:szCs w:val="24"/>
        </w:rPr>
        <w:t>D.8.1</w:t>
      </w:r>
      <w:r w:rsidRPr="00675182">
        <w:rPr>
          <w:rFonts w:eastAsia="Arial Unicode MS" w:cstheme="minorHAnsi"/>
          <w:b/>
          <w:bCs/>
          <w:szCs w:val="24"/>
        </w:rPr>
        <w:tab/>
        <w:t>Vienota tūristu gidu tīkla izveide un regulāru kvalifikācijas stiprināšanas nodarbību īstenošana</w:t>
      </w:r>
    </w:p>
    <w:p w14:paraId="4D2E3D7B" w14:textId="10776B13" w:rsidR="00063AEB" w:rsidRPr="00675182" w:rsidRDefault="00063AEB" w:rsidP="00063AEB">
      <w:pPr>
        <w:snapToGrid w:val="0"/>
        <w:jc w:val="both"/>
        <w:rPr>
          <w:rFonts w:eastAsia="Arial Unicode MS" w:cstheme="minorHAnsi"/>
          <w:szCs w:val="24"/>
        </w:rPr>
      </w:pPr>
      <w:r w:rsidRPr="00675182">
        <w:rPr>
          <w:rFonts w:eastAsia="Arial Unicode MS" w:cstheme="minorHAnsi"/>
          <w:szCs w:val="24"/>
        </w:rPr>
        <w:lastRenderedPageBreak/>
        <w:t>Jau šobrīd trijās pašvaldībās (Cēsu, Siguldas un Valmieras) ar noteiktu regularitāti norisinās tūristu gidu kursi. Neregulāras mācības notikušas gan vides gidu tīkla ietvaros, gan tās īsteno (kaut īsākas informatīvās dienas statusā) arī Turaidas muzejrezervāts. Nav pamata fragmentēt vai tematiski ierobežot gidu zināšanas un prasmes tikai vienas pašvaldības ietvarā. Nākotnē rekomendējams veidot vienotas GNP tūristu gidu apmācības, ko organizētu Cēsu, Siguldas un Valmieras pašvaldība GNP tūrisma klastera ietvaros. Gidu pakalpojums nodrošina ne tikai informatīvā satura kvalitāti, bet gida pakalpojums var būt instruments kontrolētai apmeklētāju plūsmas vadībai jutīgās dabas vai kultūras vērtību vietās, kas ir arī DAP interesēs.</w:t>
      </w:r>
    </w:p>
    <w:p w14:paraId="01F97D97" w14:textId="77777777" w:rsidR="00063AEB" w:rsidRPr="00675182" w:rsidRDefault="00063AEB" w:rsidP="00063AEB">
      <w:pPr>
        <w:snapToGrid w:val="0"/>
        <w:rPr>
          <w:rFonts w:ascii="Calibri" w:eastAsia="Arial Unicode MS" w:hAnsi="Calibri"/>
          <w:szCs w:val="24"/>
        </w:rPr>
      </w:pPr>
    </w:p>
    <w:p w14:paraId="5B53BE87"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būs labāka koordinācija starp GNP tūristu gidu resursiem, tiks veicināta zināšanu pārnese un veidots plašāks gidu skatījums par GNP tēmu kopsakarībām.</w:t>
      </w:r>
    </w:p>
    <w:p w14:paraId="36C1357C" w14:textId="77777777" w:rsidR="00063AEB" w:rsidRPr="00675182" w:rsidRDefault="00063AEB" w:rsidP="00063AEB">
      <w:pPr>
        <w:snapToGrid w:val="0"/>
        <w:rPr>
          <w:rFonts w:eastAsia="Arial Unicode MS" w:cstheme="minorHAnsi"/>
          <w:b/>
          <w:bCs/>
          <w:szCs w:val="24"/>
        </w:rPr>
      </w:pPr>
    </w:p>
    <w:p w14:paraId="2D2DAADE" w14:textId="77777777" w:rsidR="00063AEB" w:rsidRPr="00675182" w:rsidRDefault="00063AEB" w:rsidP="00063AEB">
      <w:pPr>
        <w:suppressAutoHyphens w:val="0"/>
        <w:spacing w:after="160" w:line="259" w:lineRule="auto"/>
        <w:jc w:val="both"/>
        <w:rPr>
          <w:rFonts w:eastAsiaTheme="minorHAnsi" w:cstheme="minorBidi"/>
          <w:b/>
          <w:bCs/>
          <w:sz w:val="22"/>
          <w:szCs w:val="22"/>
          <w:lang w:eastAsia="en-US"/>
        </w:rPr>
      </w:pPr>
      <w:r w:rsidRPr="00675182">
        <w:rPr>
          <w:rFonts w:eastAsiaTheme="minorHAnsi" w:cstheme="minorBidi"/>
          <w:b/>
          <w:bCs/>
          <w:sz w:val="22"/>
          <w:szCs w:val="22"/>
          <w:lang w:eastAsia="en-US"/>
        </w:rPr>
        <w:t>D.8.2</w:t>
      </w:r>
      <w:r w:rsidRPr="00675182">
        <w:rPr>
          <w:rFonts w:eastAsiaTheme="minorHAnsi" w:cstheme="minorBidi"/>
          <w:b/>
          <w:bCs/>
          <w:sz w:val="22"/>
          <w:szCs w:val="22"/>
          <w:lang w:eastAsia="en-US"/>
        </w:rPr>
        <w:tab/>
        <w:t>Korporatīvās atbildības un GNP mērķiem atbilstošas uzņēmējdarbības stiprināšana (Gaujas Nacionālā parka tūrisma biedrības tematisko ētikas kodeksu ieviešana u.c.)</w:t>
      </w:r>
    </w:p>
    <w:p w14:paraId="4C00D1CD" w14:textId="77777777" w:rsidR="00063AEB" w:rsidRPr="00675182" w:rsidRDefault="00063AEB" w:rsidP="00063AEB">
      <w:pPr>
        <w:suppressAutoHyphens w:val="0"/>
        <w:spacing w:after="160" w:line="259" w:lineRule="auto"/>
        <w:jc w:val="both"/>
        <w:rPr>
          <w:rFonts w:eastAsiaTheme="minorHAnsi" w:cstheme="minorBidi"/>
          <w:szCs w:val="24"/>
          <w:lang w:eastAsia="en-US"/>
        </w:rPr>
      </w:pPr>
      <w:r w:rsidRPr="00675182">
        <w:rPr>
          <w:rFonts w:eastAsiaTheme="minorHAnsi" w:cstheme="minorBidi"/>
          <w:szCs w:val="24"/>
          <w:lang w:eastAsia="en-US"/>
        </w:rPr>
        <w:t>Būtu jāveicina korporatīvā atbildības un GNP mērķiem atbilstošas uzņēmējdarbības prakses, ne tikai tūrisma un rekreācijas piedāvājuma kontekstā. Tas attiecas arī uz citām saistītajām nozarēm: pārtikas ražošanu, mežsaimniecību, citam tradicionālajām nozarēm GNP teritorijā. Jāveicina nozaru sinerģija, izmantojot viedās specializācijas jomas, kas definētas kā prioritāras Vidzemes plānošanas reģionā</w:t>
      </w:r>
      <w:r w:rsidRPr="00675182">
        <w:rPr>
          <w:rStyle w:val="FootnoteReference"/>
          <w:rFonts w:eastAsiaTheme="minorHAnsi" w:cstheme="minorBidi"/>
          <w:szCs w:val="24"/>
          <w:lang w:eastAsia="en-US"/>
        </w:rPr>
        <w:footnoteReference w:id="46"/>
      </w:r>
      <w:r w:rsidRPr="00675182">
        <w:rPr>
          <w:rFonts w:eastAsiaTheme="minorHAnsi" w:cstheme="minorBidi"/>
          <w:szCs w:val="24"/>
          <w:lang w:eastAsia="en-US"/>
        </w:rPr>
        <w:t xml:space="preserve">. Jāpopularizē augsti korporatīvie standarti (kā piemēri jau esošā </w:t>
      </w:r>
      <w:r w:rsidRPr="00675182">
        <w:rPr>
          <w:rFonts w:eastAsiaTheme="minorHAnsi" w:cstheme="minorBidi"/>
          <w:i/>
          <w:szCs w:val="24"/>
          <w:lang w:eastAsia="en-US"/>
        </w:rPr>
        <w:t>SlowFood Straupe</w:t>
      </w:r>
      <w:r w:rsidRPr="00675182">
        <w:rPr>
          <w:rFonts w:eastAsiaTheme="minorHAnsi" w:cstheme="minorBidi"/>
          <w:szCs w:val="24"/>
          <w:lang w:eastAsia="en-US"/>
        </w:rPr>
        <w:t xml:space="preserve"> kustība u.c.), jāveicina ētiskas uzņēmējdarbības prakses pārņemšana starp uzņēmējiem.</w:t>
      </w:r>
    </w:p>
    <w:p w14:paraId="567D866E" w14:textId="77777777" w:rsidR="00063AEB" w:rsidRPr="00675182" w:rsidRDefault="00063AEB" w:rsidP="00063AEB">
      <w:pPr>
        <w:snapToGrid w:val="0"/>
        <w:jc w:val="both"/>
        <w:rPr>
          <w:rFonts w:ascii="Calibri" w:eastAsia="Arial Unicode MS" w:hAnsi="Calibri"/>
          <w:szCs w:val="24"/>
        </w:rPr>
      </w:pPr>
    </w:p>
    <w:p w14:paraId="289B0573"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veidotos dabas aizsardzības mērķiem draudzīgākas komerciālās aktivitātes GNP.</w:t>
      </w:r>
    </w:p>
    <w:p w14:paraId="5E2CDE4C" w14:textId="77777777" w:rsidR="00063AEB" w:rsidRPr="00675182" w:rsidRDefault="00063AEB" w:rsidP="00063AEB">
      <w:pPr>
        <w:snapToGrid w:val="0"/>
        <w:rPr>
          <w:rFonts w:eastAsia="Arial Unicode MS" w:cstheme="minorHAnsi"/>
          <w:b/>
          <w:bCs/>
          <w:szCs w:val="24"/>
        </w:rPr>
      </w:pPr>
    </w:p>
    <w:p w14:paraId="7A58FB6C" w14:textId="77777777" w:rsidR="00063AEB" w:rsidRPr="00675182" w:rsidRDefault="00063AEB" w:rsidP="003935D1">
      <w:pPr>
        <w:keepNext/>
        <w:keepLines/>
        <w:snapToGrid w:val="0"/>
        <w:rPr>
          <w:rFonts w:eastAsia="Arial Unicode MS" w:cstheme="minorHAnsi"/>
          <w:b/>
          <w:bCs/>
          <w:szCs w:val="24"/>
        </w:rPr>
      </w:pPr>
      <w:r w:rsidRPr="00675182">
        <w:rPr>
          <w:rFonts w:eastAsia="Arial Unicode MS" w:cstheme="minorHAnsi"/>
          <w:b/>
          <w:bCs/>
          <w:szCs w:val="24"/>
        </w:rPr>
        <w:t>D.8.3</w:t>
      </w:r>
      <w:r w:rsidRPr="00675182">
        <w:rPr>
          <w:rFonts w:eastAsia="Arial Unicode MS" w:cstheme="minorHAnsi"/>
          <w:b/>
          <w:bCs/>
          <w:szCs w:val="24"/>
        </w:rPr>
        <w:tab/>
        <w:t>Vadlīnijas publisko pasākumu organizētājiem GNP</w:t>
      </w:r>
    </w:p>
    <w:p w14:paraId="42B25B11" w14:textId="77777777" w:rsidR="00063AEB" w:rsidRPr="00675182" w:rsidRDefault="00063AEB" w:rsidP="003935D1">
      <w:pPr>
        <w:keepNext/>
        <w:keepLines/>
        <w:suppressAutoHyphens w:val="0"/>
        <w:jc w:val="both"/>
        <w:rPr>
          <w:rFonts w:eastAsiaTheme="minorHAnsi" w:cstheme="minorBidi"/>
          <w:szCs w:val="24"/>
          <w:lang w:eastAsia="en-US"/>
        </w:rPr>
      </w:pPr>
      <w:r w:rsidRPr="00675182">
        <w:rPr>
          <w:rFonts w:eastAsiaTheme="minorHAnsi" w:cstheme="minorBidi"/>
          <w:szCs w:val="24"/>
          <w:lang w:eastAsia="en-US"/>
        </w:rPr>
        <w:t>Līdzīgi kā tematiskie ētikas kodeksi dažādu tūrisma veidu organizēšanai un norisei GNP, jāievieš ilgtspējīgas vadlīnijas publisko pasākumu organizētājiem GNP. Vadlīnijās būtu jāietver tādi aspekti kā:</w:t>
      </w:r>
    </w:p>
    <w:p w14:paraId="4F5C6654" w14:textId="77777777" w:rsidR="00063AEB" w:rsidRPr="00675182" w:rsidRDefault="00063AEB" w:rsidP="00A84218">
      <w:pPr>
        <w:pStyle w:val="ListParagraph"/>
        <w:numPr>
          <w:ilvl w:val="0"/>
          <w:numId w:val="75"/>
        </w:numPr>
        <w:suppressAutoHyphens w:val="0"/>
        <w:jc w:val="both"/>
        <w:rPr>
          <w:rFonts w:eastAsiaTheme="minorHAnsi" w:cstheme="minorBidi"/>
          <w:szCs w:val="24"/>
          <w:lang w:eastAsia="en-US"/>
        </w:rPr>
      </w:pPr>
      <w:r w:rsidRPr="00675182">
        <w:rPr>
          <w:rFonts w:eastAsiaTheme="minorHAnsi" w:cstheme="minorBidi"/>
          <w:szCs w:val="24"/>
          <w:lang w:eastAsia="en-US"/>
        </w:rPr>
        <w:t>atbildīga attieksme pret vietu un iesaistītajiem resursiem, vietējo kopienu;</w:t>
      </w:r>
    </w:p>
    <w:p w14:paraId="26CE857A" w14:textId="7A71EFE6" w:rsidR="00063AEB" w:rsidRPr="00675182" w:rsidRDefault="00063AEB" w:rsidP="00A84218">
      <w:pPr>
        <w:pStyle w:val="ListParagraph"/>
        <w:numPr>
          <w:ilvl w:val="0"/>
          <w:numId w:val="75"/>
        </w:numPr>
        <w:suppressAutoHyphens w:val="0"/>
        <w:jc w:val="both"/>
        <w:rPr>
          <w:rFonts w:eastAsiaTheme="minorHAnsi" w:cstheme="minorBidi"/>
          <w:szCs w:val="24"/>
          <w:lang w:eastAsia="en-US"/>
        </w:rPr>
      </w:pPr>
      <w:r w:rsidRPr="00675182">
        <w:rPr>
          <w:rFonts w:eastAsiaTheme="minorHAnsi" w:cstheme="minorBidi"/>
          <w:szCs w:val="24"/>
          <w:lang w:eastAsia="en-US"/>
        </w:rPr>
        <w:t>jābūt obligātiem saskaņojumiem ar tiesiskajiem zemes valdītājiem;</w:t>
      </w:r>
    </w:p>
    <w:p w14:paraId="5BE34E71" w14:textId="77777777" w:rsidR="00063AEB" w:rsidRPr="00675182" w:rsidRDefault="00063AEB" w:rsidP="00A84218">
      <w:pPr>
        <w:pStyle w:val="ListParagraph"/>
        <w:numPr>
          <w:ilvl w:val="0"/>
          <w:numId w:val="75"/>
        </w:numPr>
        <w:suppressAutoHyphens w:val="0"/>
        <w:jc w:val="both"/>
        <w:rPr>
          <w:rFonts w:eastAsiaTheme="minorHAnsi" w:cstheme="minorBidi"/>
          <w:szCs w:val="24"/>
          <w:lang w:eastAsia="en-US"/>
        </w:rPr>
      </w:pPr>
      <w:r w:rsidRPr="00675182">
        <w:rPr>
          <w:rFonts w:eastAsiaTheme="minorHAnsi" w:cstheme="minorBidi"/>
          <w:szCs w:val="24"/>
          <w:lang w:eastAsia="en-US"/>
        </w:rPr>
        <w:t xml:space="preserve">organizējot pasākumus, iespējami jāmazina ietekme uz vidi un jāveicina vietējā ekonomika, jāiesaista dabas izglītības elementi u.tml. </w:t>
      </w:r>
    </w:p>
    <w:p w14:paraId="7DF824CD" w14:textId="77777777" w:rsidR="003935D1" w:rsidRPr="00675182" w:rsidRDefault="003935D1" w:rsidP="003935D1">
      <w:pPr>
        <w:suppressAutoHyphens w:val="0"/>
        <w:jc w:val="both"/>
        <w:rPr>
          <w:rFonts w:eastAsiaTheme="minorHAnsi" w:cstheme="minorBidi"/>
          <w:szCs w:val="24"/>
          <w:lang w:eastAsia="en-US"/>
        </w:rPr>
      </w:pPr>
    </w:p>
    <w:p w14:paraId="3A453CF0" w14:textId="42FCF963" w:rsidR="00063AEB" w:rsidRPr="00675182" w:rsidRDefault="00063AEB" w:rsidP="003935D1">
      <w:pPr>
        <w:suppressAutoHyphens w:val="0"/>
        <w:jc w:val="both"/>
        <w:rPr>
          <w:rFonts w:eastAsiaTheme="minorHAnsi" w:cstheme="minorBidi"/>
          <w:szCs w:val="24"/>
          <w:lang w:eastAsia="en-US"/>
        </w:rPr>
      </w:pPr>
      <w:r w:rsidRPr="00675182">
        <w:rPr>
          <w:rFonts w:eastAsiaTheme="minorHAnsi" w:cstheme="minorBidi"/>
          <w:szCs w:val="24"/>
          <w:lang w:eastAsia="en-US"/>
        </w:rPr>
        <w:t>Vadlīnijas būtu jāizstrādā sadarbībā ar pašvaldību speciālistiem, šajā jomā ieinteresētām NVO un DAP. Tā izplatīšanu un publicitāti nodrošina gan pašvaldības tūrisma pārvaldes, gan GNP tūrisma klastera birojs.</w:t>
      </w:r>
    </w:p>
    <w:p w14:paraId="0D3F8EA5" w14:textId="77777777" w:rsidR="00063AEB" w:rsidRPr="00675182" w:rsidRDefault="00063AEB" w:rsidP="003935D1">
      <w:pPr>
        <w:snapToGrid w:val="0"/>
        <w:jc w:val="both"/>
        <w:rPr>
          <w:rFonts w:ascii="Calibri" w:eastAsia="Arial Unicode MS" w:hAnsi="Calibri"/>
          <w:szCs w:val="24"/>
        </w:rPr>
      </w:pPr>
    </w:p>
    <w:p w14:paraId="5A50000B" w14:textId="77777777" w:rsidR="00063AEB" w:rsidRPr="00675182" w:rsidRDefault="00063AEB" w:rsidP="003935D1">
      <w:pPr>
        <w:snapToGrid w:val="0"/>
        <w:jc w:val="both"/>
        <w:rPr>
          <w:rFonts w:ascii="Calibri" w:eastAsia="Arial Unicode MS" w:hAnsi="Calibri"/>
          <w:szCs w:val="24"/>
        </w:rPr>
      </w:pPr>
      <w:r w:rsidRPr="00675182">
        <w:rPr>
          <w:rFonts w:ascii="Calibri" w:eastAsia="Arial Unicode MS" w:hAnsi="Calibri"/>
          <w:szCs w:val="24"/>
        </w:rPr>
        <w:t>Rezultātā mazinās negatīvā ietekme uz dabas un kultūras mantojuma vērtībām, ko izraisa publisko pasākumu apmeklētāju koncentrēšanās.</w:t>
      </w:r>
    </w:p>
    <w:p w14:paraId="4A1E975D" w14:textId="77777777" w:rsidR="00063AEB" w:rsidRPr="00675182" w:rsidRDefault="00063AEB" w:rsidP="00063AEB">
      <w:pPr>
        <w:snapToGrid w:val="0"/>
        <w:jc w:val="both"/>
        <w:rPr>
          <w:rFonts w:eastAsia="Arial Unicode MS" w:cstheme="minorHAnsi"/>
          <w:b/>
          <w:bCs/>
          <w:szCs w:val="24"/>
        </w:rPr>
      </w:pPr>
    </w:p>
    <w:p w14:paraId="12A19DCF" w14:textId="77777777" w:rsidR="00063AEB" w:rsidRPr="00675182" w:rsidRDefault="00063AEB" w:rsidP="00BF7348">
      <w:pPr>
        <w:snapToGrid w:val="0"/>
        <w:jc w:val="both"/>
        <w:rPr>
          <w:rFonts w:eastAsia="Arial Unicode MS" w:cstheme="minorHAnsi"/>
          <w:b/>
          <w:bCs/>
          <w:szCs w:val="24"/>
        </w:rPr>
      </w:pPr>
      <w:r w:rsidRPr="00675182">
        <w:rPr>
          <w:rFonts w:eastAsia="Arial Unicode MS" w:cstheme="minorHAnsi"/>
          <w:b/>
          <w:bCs/>
          <w:szCs w:val="24"/>
        </w:rPr>
        <w:t>D.8.4</w:t>
      </w:r>
      <w:r w:rsidRPr="00675182">
        <w:rPr>
          <w:rFonts w:eastAsia="Arial Unicode MS" w:cstheme="minorHAnsi"/>
          <w:b/>
          <w:bCs/>
          <w:szCs w:val="24"/>
        </w:rPr>
        <w:tab/>
        <w:t>GNP ilgtspējīgas attīstības piemēru analīze un integrēšana mācību/studiju vidē</w:t>
      </w:r>
    </w:p>
    <w:p w14:paraId="5D2FCB90" w14:textId="77777777" w:rsidR="00063AEB" w:rsidRPr="00675182" w:rsidRDefault="00063AEB" w:rsidP="003935D1">
      <w:pPr>
        <w:suppressAutoHyphens w:val="0"/>
        <w:jc w:val="both"/>
        <w:rPr>
          <w:rFonts w:eastAsiaTheme="minorHAnsi" w:cstheme="minorBidi"/>
          <w:szCs w:val="24"/>
          <w:lang w:eastAsia="en-US"/>
        </w:rPr>
      </w:pPr>
      <w:r w:rsidRPr="00675182">
        <w:rPr>
          <w:rFonts w:eastAsiaTheme="minorHAnsi" w:cstheme="minorBidi"/>
          <w:szCs w:val="24"/>
          <w:lang w:eastAsia="en-US"/>
        </w:rPr>
        <w:lastRenderedPageBreak/>
        <w:t>Jāveicina dabas izglītības un ilgtspējīgu dabas apsaimniekošanas prakšu integrēšana mācību un studiju saturā (piemēram, GNP sliktās un labās prakses piemēru analīze reģiona vispārizglītojošo un profesionālo skolu programmās, augstskolu tūrisma programmās, ekskursijas ar situāciju analīzes piemēriem u.c.). To palīdz attīstīt eko-skolu tīklojums, profesionālo skolu vai augstskolu vadība sadarbībā ar DAP, uzņēmējiem, Vidzemes plānošanas reģiona un pašvaldību administrācijas speciālistiem. Jāiniciē mērķtiecīga aktuālo GNP problēmu jautājumu risināšana, izmantojot attiecīgās jomas akadēmiskos resursus Latvijas vai starptautiskās augstākās izglītības vai pētniecības iestādēs.</w:t>
      </w:r>
    </w:p>
    <w:p w14:paraId="0DA14A74" w14:textId="77777777" w:rsidR="00063AEB" w:rsidRPr="00675182" w:rsidRDefault="00063AEB" w:rsidP="00063AEB">
      <w:pPr>
        <w:snapToGrid w:val="0"/>
        <w:jc w:val="both"/>
        <w:rPr>
          <w:rFonts w:ascii="Calibri" w:eastAsia="Arial Unicode MS" w:hAnsi="Calibri"/>
          <w:szCs w:val="24"/>
        </w:rPr>
      </w:pPr>
    </w:p>
    <w:p w14:paraId="7FB1F045" w14:textId="77777777" w:rsidR="00063AEB" w:rsidRPr="00675182" w:rsidRDefault="00063AEB" w:rsidP="00063AEB">
      <w:pPr>
        <w:snapToGrid w:val="0"/>
        <w:jc w:val="both"/>
        <w:rPr>
          <w:rFonts w:eastAsia="Arial Unicode MS" w:cstheme="minorHAnsi"/>
          <w:b/>
          <w:bCs/>
          <w:szCs w:val="24"/>
        </w:rPr>
      </w:pPr>
      <w:r w:rsidRPr="00675182">
        <w:rPr>
          <w:rFonts w:ascii="Calibri" w:eastAsia="Arial Unicode MS" w:hAnsi="Calibri"/>
          <w:szCs w:val="24"/>
        </w:rPr>
        <w:t>Rezultātā dabas izglītība tiek plašāk integrēta formālajā mācību saturā, izglītībai vairāk tiek izmantoti GNP resursi, padziļināti risinātas identificētās problēmu situācijas.</w:t>
      </w:r>
    </w:p>
    <w:p w14:paraId="685B86BE" w14:textId="77777777" w:rsidR="00063AEB" w:rsidRPr="00675182" w:rsidRDefault="00063AEB" w:rsidP="00063AEB">
      <w:pPr>
        <w:snapToGrid w:val="0"/>
        <w:rPr>
          <w:rFonts w:eastAsia="Arial Unicode MS" w:cstheme="minorHAnsi"/>
          <w:b/>
          <w:bCs/>
          <w:szCs w:val="24"/>
        </w:rPr>
      </w:pPr>
    </w:p>
    <w:p w14:paraId="1A4D14A5" w14:textId="77777777" w:rsidR="00063AEB" w:rsidRPr="00675182" w:rsidRDefault="00063AEB" w:rsidP="00063AEB">
      <w:pPr>
        <w:snapToGrid w:val="0"/>
        <w:rPr>
          <w:rFonts w:eastAsia="Arial Unicode MS" w:cstheme="minorHAnsi"/>
          <w:szCs w:val="24"/>
          <w:u w:val="single"/>
        </w:rPr>
      </w:pPr>
      <w:r w:rsidRPr="00675182">
        <w:rPr>
          <w:rFonts w:eastAsia="Arial Unicode MS" w:cstheme="minorHAnsi"/>
          <w:szCs w:val="24"/>
          <w:u w:val="single"/>
        </w:rPr>
        <w:t>Reģiona sociālā un ekonomiskā attīstība</w:t>
      </w:r>
    </w:p>
    <w:p w14:paraId="1A1DCDD1" w14:textId="77777777" w:rsidR="00063AEB" w:rsidRPr="00675182" w:rsidRDefault="00063AEB" w:rsidP="00063AEB">
      <w:pPr>
        <w:jc w:val="both"/>
        <w:rPr>
          <w:rFonts w:cstheme="minorHAnsi"/>
          <w:bCs/>
          <w:iCs/>
          <w:szCs w:val="24"/>
        </w:rPr>
      </w:pPr>
      <w:r w:rsidRPr="00675182">
        <w:rPr>
          <w:rFonts w:cstheme="minorHAnsi"/>
          <w:bCs/>
          <w:iCs/>
          <w:szCs w:val="24"/>
        </w:rPr>
        <w:t>Reģiona ekonomiskās attīstības veicināšana, atbalstot ilgtspējīgas uzņēmējdarbības prakses, galamērķa zīmolu attīstīšana, vietējo iedzīvotāju iesaiste, vietējo produktu iesaiste komplekso pakalpojumu vērtību ķēdes ietvaros u.c.</w:t>
      </w:r>
    </w:p>
    <w:p w14:paraId="046D9688" w14:textId="77777777" w:rsidR="00063AEB" w:rsidRPr="00675182" w:rsidRDefault="00063AEB" w:rsidP="00063AEB">
      <w:pPr>
        <w:snapToGrid w:val="0"/>
        <w:rPr>
          <w:rFonts w:eastAsia="Arial Unicode MS" w:cstheme="minorHAnsi"/>
          <w:szCs w:val="24"/>
          <w:highlight w:val="yellow"/>
          <w:u w:val="single"/>
        </w:rPr>
      </w:pPr>
    </w:p>
    <w:p w14:paraId="7B349D72" w14:textId="77777777" w:rsidR="00063AEB" w:rsidRPr="00675182" w:rsidRDefault="00063AEB" w:rsidP="003935D1">
      <w:pPr>
        <w:snapToGrid w:val="0"/>
        <w:jc w:val="both"/>
        <w:rPr>
          <w:rFonts w:eastAsia="Arial Unicode MS" w:cstheme="minorHAnsi"/>
          <w:b/>
          <w:bCs/>
          <w:i/>
          <w:iCs/>
          <w:szCs w:val="24"/>
          <w:u w:val="single"/>
        </w:rPr>
      </w:pPr>
      <w:r w:rsidRPr="00675182">
        <w:rPr>
          <w:rFonts w:eastAsia="Arial Unicode MS" w:cstheme="minorHAnsi"/>
          <w:b/>
          <w:bCs/>
          <w:i/>
          <w:iCs/>
          <w:szCs w:val="24"/>
          <w:u w:val="single"/>
        </w:rPr>
        <w:t>D.9.</w:t>
      </w:r>
      <w:r w:rsidRPr="00675182">
        <w:rPr>
          <w:rFonts w:eastAsia="Arial Unicode MS" w:cstheme="minorHAnsi"/>
          <w:b/>
          <w:bCs/>
          <w:i/>
          <w:iCs/>
          <w:szCs w:val="24"/>
          <w:u w:val="single"/>
        </w:rPr>
        <w:tab/>
        <w:t>GNP potenciāla izmantošana ilgtspējīgām reģiona ekonomiskajām aktivitātēm</w:t>
      </w:r>
    </w:p>
    <w:p w14:paraId="2C89078A" w14:textId="77777777" w:rsidR="00063AEB" w:rsidRPr="00675182" w:rsidRDefault="00063AEB" w:rsidP="003935D1">
      <w:pPr>
        <w:snapToGrid w:val="0"/>
        <w:jc w:val="both"/>
        <w:rPr>
          <w:rFonts w:eastAsia="Arial Unicode MS" w:cstheme="minorHAnsi"/>
          <w:bCs/>
          <w:szCs w:val="24"/>
        </w:rPr>
      </w:pPr>
      <w:r w:rsidRPr="00675182">
        <w:rPr>
          <w:rFonts w:eastAsia="Arial Unicode MS" w:cstheme="minorHAnsi"/>
          <w:bCs/>
          <w:szCs w:val="24"/>
        </w:rPr>
        <w:t xml:space="preserve">GNP ir resurss, kura vieda un ilgtspējīga izmantošana var sniegt lielāku labumu plašāka reģiona ekonomiskajai attīstībai ilgtermiņā. To var panākt ar sabalansētu un atbildīgu resursu izmantošanu, zīmola koordinēšanu u.c. </w:t>
      </w:r>
    </w:p>
    <w:p w14:paraId="1FF30CFB" w14:textId="77777777" w:rsidR="00063AEB" w:rsidRPr="00675182" w:rsidRDefault="00063AEB" w:rsidP="00063AEB">
      <w:pPr>
        <w:snapToGrid w:val="0"/>
        <w:rPr>
          <w:rFonts w:eastAsia="Arial Unicode MS" w:cstheme="minorHAnsi"/>
          <w:b/>
          <w:bCs/>
          <w:i/>
          <w:iCs/>
          <w:color w:val="4F81BD" w:themeColor="accent1"/>
          <w:szCs w:val="24"/>
          <w:highlight w:val="yellow"/>
          <w:u w:val="single"/>
        </w:rPr>
      </w:pPr>
    </w:p>
    <w:p w14:paraId="4A45B67A" w14:textId="77777777" w:rsidR="00063AEB" w:rsidRPr="00675182" w:rsidRDefault="00063AEB" w:rsidP="00BF7348">
      <w:pPr>
        <w:snapToGrid w:val="0"/>
        <w:jc w:val="both"/>
        <w:rPr>
          <w:rFonts w:eastAsia="Arial Unicode MS" w:cstheme="minorHAnsi"/>
          <w:b/>
          <w:bCs/>
          <w:szCs w:val="24"/>
        </w:rPr>
      </w:pPr>
      <w:r w:rsidRPr="00675182">
        <w:rPr>
          <w:rFonts w:eastAsia="Arial Unicode MS" w:cstheme="minorHAnsi"/>
          <w:b/>
          <w:bCs/>
          <w:szCs w:val="24"/>
        </w:rPr>
        <w:t>D.9.1</w:t>
      </w:r>
      <w:r w:rsidRPr="00675182">
        <w:rPr>
          <w:rFonts w:eastAsia="Arial Unicode MS" w:cstheme="minorHAnsi"/>
          <w:b/>
          <w:bCs/>
          <w:szCs w:val="24"/>
        </w:rPr>
        <w:tab/>
        <w:t>Dabas vērtības respektējošu vietējo produktu iegādes veicināšana starp tūrisma uzņēmējiem (produktu vērtību ķēdes ietvaros) un apmeklētājiem</w:t>
      </w:r>
    </w:p>
    <w:p w14:paraId="6F76301F" w14:textId="77777777" w:rsidR="00063AEB" w:rsidRPr="00675182" w:rsidRDefault="00063AEB" w:rsidP="00063AEB">
      <w:pPr>
        <w:suppressAutoHyphens w:val="0"/>
        <w:spacing w:after="160" w:line="259" w:lineRule="auto"/>
        <w:jc w:val="both"/>
        <w:rPr>
          <w:rFonts w:eastAsiaTheme="minorHAnsi" w:cstheme="minorBidi"/>
          <w:szCs w:val="24"/>
          <w:lang w:eastAsia="en-US"/>
        </w:rPr>
      </w:pPr>
      <w:r w:rsidRPr="00675182">
        <w:rPr>
          <w:rFonts w:eastAsiaTheme="minorHAnsi" w:cstheme="minorBidi"/>
          <w:szCs w:val="24"/>
          <w:lang w:eastAsia="en-US"/>
        </w:rPr>
        <w:t xml:space="preserve">Jāpopularizē atbildīga ekotūrisma iniciatīvas un jāveicina videi draudzīgu pakalpojumu zīmolu ienākšana tirgū. Jāstrādā ar pārtikas piegāžu ķēžu optimizēšanu viesmīlības – sabiedriskās ēdināšanas uzņēmumu darbībā. Jāpanāk lielāka partnerība un papildinātība ar saistītajām nozarēm, t.sk. pārtikas amatniekiem, tradicionālo prasmju amatniekiem u.c. Jāpanāk lielāks labums no GNP tūrisma aktivitātēm vietējai ekonomikai. </w:t>
      </w:r>
    </w:p>
    <w:p w14:paraId="2421123E"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GNP un apkārtnes restorānos pieejama dabas vērtības nenoplicinoša vietējā pārtika, pieaug vietējo iedzīvotāju dzīves kvalitāte, mazinās dabas resursu nesaudzīga izmantošana izdzīvošanas nolūkos, īpaši starp mājsaimniecībām ar zemiem ienākumiem.</w:t>
      </w:r>
    </w:p>
    <w:p w14:paraId="23C5AD77" w14:textId="77777777" w:rsidR="00063AEB" w:rsidRPr="00675182" w:rsidRDefault="00063AEB" w:rsidP="00063AEB">
      <w:pPr>
        <w:snapToGrid w:val="0"/>
        <w:rPr>
          <w:rFonts w:eastAsia="Arial Unicode MS" w:cstheme="minorHAnsi"/>
          <w:b/>
          <w:bCs/>
          <w:szCs w:val="24"/>
        </w:rPr>
      </w:pPr>
    </w:p>
    <w:p w14:paraId="719C7902" w14:textId="77777777" w:rsidR="00063AEB" w:rsidRPr="00675182" w:rsidRDefault="00063AEB" w:rsidP="00BF7348">
      <w:pPr>
        <w:snapToGrid w:val="0"/>
        <w:jc w:val="both"/>
        <w:rPr>
          <w:rFonts w:eastAsia="Arial Unicode MS" w:cstheme="minorHAnsi"/>
          <w:b/>
          <w:bCs/>
          <w:szCs w:val="24"/>
        </w:rPr>
      </w:pPr>
      <w:r w:rsidRPr="00675182">
        <w:rPr>
          <w:rFonts w:eastAsia="Arial Unicode MS" w:cstheme="minorHAnsi"/>
          <w:b/>
          <w:bCs/>
          <w:szCs w:val="24"/>
        </w:rPr>
        <w:t>D.9.2</w:t>
      </w:r>
      <w:r w:rsidRPr="00675182">
        <w:rPr>
          <w:rFonts w:eastAsia="Arial Unicode MS" w:cstheme="minorHAnsi"/>
          <w:b/>
          <w:bCs/>
          <w:szCs w:val="24"/>
        </w:rPr>
        <w:tab/>
        <w:t>Vietējo iedzīvotāju nodarbinātības tūrismā veicināšana</w:t>
      </w:r>
    </w:p>
    <w:p w14:paraId="1ADB2635" w14:textId="77777777" w:rsidR="00063AEB" w:rsidRPr="00675182" w:rsidRDefault="00063AEB" w:rsidP="003935D1">
      <w:pPr>
        <w:suppressAutoHyphens w:val="0"/>
        <w:jc w:val="both"/>
        <w:rPr>
          <w:rFonts w:eastAsiaTheme="minorHAnsi" w:cstheme="minorBidi"/>
          <w:szCs w:val="24"/>
          <w:lang w:eastAsia="en-US"/>
        </w:rPr>
      </w:pPr>
      <w:r w:rsidRPr="00675182">
        <w:rPr>
          <w:rFonts w:eastAsiaTheme="minorHAnsi" w:cstheme="minorBidi"/>
          <w:szCs w:val="24"/>
          <w:lang w:eastAsia="en-US"/>
        </w:rPr>
        <w:t>Jāveicina profesionāli kvalificētu darbinieku piesaiste GNP tūrisma pakalpojumu nodrošināšanai, jākāpina vietējo ieinteresētība tūrisma norisēs. Kopā ar profesionālajām tūrisma un viesmīlības jomas asociācijām jāceļ ar tūrismu un viesmīlību saistīto profesiju prestižs, jāatbalsta tematiski atbilstošas mūžizglītības jomas (piemēram, dabas tūristu gidu vai viesmīlības kursi). Jāturpina īstenot pasākumus lauku ekonomikas dažādošanai, iesaistot tūrisma un viesmīlības jomas uzņēmējus, kas jau notiek Lauku attīstības programmas ietvaros.</w:t>
      </w:r>
    </w:p>
    <w:p w14:paraId="6455890E" w14:textId="77777777" w:rsidR="00063AEB" w:rsidRPr="00675182" w:rsidRDefault="00063AEB" w:rsidP="003935D1">
      <w:pPr>
        <w:snapToGrid w:val="0"/>
        <w:jc w:val="both"/>
        <w:rPr>
          <w:rFonts w:ascii="Calibri" w:eastAsia="Arial Unicode MS" w:hAnsi="Calibri"/>
          <w:szCs w:val="24"/>
        </w:rPr>
      </w:pPr>
    </w:p>
    <w:p w14:paraId="4077DB11" w14:textId="77777777" w:rsidR="00063AEB" w:rsidRPr="00675182" w:rsidRDefault="00063AEB" w:rsidP="003935D1">
      <w:pPr>
        <w:snapToGrid w:val="0"/>
        <w:jc w:val="both"/>
        <w:rPr>
          <w:rFonts w:ascii="Calibri" w:eastAsia="Arial Unicode MS" w:hAnsi="Calibri"/>
          <w:szCs w:val="24"/>
        </w:rPr>
      </w:pPr>
      <w:r w:rsidRPr="00675182">
        <w:rPr>
          <w:rFonts w:ascii="Calibri" w:eastAsia="Arial Unicode MS" w:hAnsi="Calibri"/>
          <w:szCs w:val="24"/>
        </w:rPr>
        <w:t>Rezultātā palielinās vietējo iedzīvotāju iesaiste tūrisma nodarbinātībā, mazinās vietējo iedzīvotāju sūdzības par tūrisma negatīvo ietekmi.</w:t>
      </w:r>
    </w:p>
    <w:p w14:paraId="511BF41D" w14:textId="77777777" w:rsidR="00063AEB" w:rsidRPr="00675182" w:rsidRDefault="00063AEB" w:rsidP="00063AEB">
      <w:pPr>
        <w:snapToGrid w:val="0"/>
        <w:rPr>
          <w:rFonts w:eastAsia="Arial Unicode MS" w:cstheme="minorHAnsi"/>
          <w:b/>
          <w:bCs/>
          <w:szCs w:val="24"/>
        </w:rPr>
      </w:pPr>
    </w:p>
    <w:p w14:paraId="3870EDAD" w14:textId="77777777" w:rsidR="00063AEB" w:rsidRPr="00675182" w:rsidRDefault="00063AEB" w:rsidP="00BF7348">
      <w:pPr>
        <w:snapToGrid w:val="0"/>
        <w:jc w:val="both"/>
        <w:rPr>
          <w:rFonts w:eastAsia="Arial Unicode MS" w:cstheme="minorHAnsi"/>
          <w:b/>
          <w:bCs/>
          <w:szCs w:val="24"/>
        </w:rPr>
      </w:pPr>
      <w:r w:rsidRPr="00675182">
        <w:rPr>
          <w:rFonts w:eastAsia="Arial Unicode MS" w:cstheme="minorHAnsi"/>
          <w:b/>
          <w:bCs/>
          <w:szCs w:val="24"/>
        </w:rPr>
        <w:lastRenderedPageBreak/>
        <w:t>D.9.3</w:t>
      </w:r>
      <w:r w:rsidRPr="00675182">
        <w:rPr>
          <w:rFonts w:eastAsia="Arial Unicode MS" w:cstheme="minorHAnsi"/>
          <w:b/>
          <w:bCs/>
          <w:szCs w:val="24"/>
        </w:rPr>
        <w:tab/>
        <w:t>Reģiona ekonomiskās attīstības veicināšana, atbalstot ilgtspējīgas uzņēmējdarbības prakses</w:t>
      </w:r>
    </w:p>
    <w:p w14:paraId="3DDC623F" w14:textId="1FDEED1F" w:rsidR="00063AEB" w:rsidRPr="00675182" w:rsidRDefault="00063AEB" w:rsidP="00BF7348">
      <w:pPr>
        <w:suppressAutoHyphens w:val="0"/>
        <w:spacing w:after="160" w:line="259" w:lineRule="auto"/>
        <w:jc w:val="both"/>
        <w:rPr>
          <w:rFonts w:ascii="Calibri" w:eastAsia="Arial Unicode MS" w:hAnsi="Calibri"/>
          <w:szCs w:val="24"/>
        </w:rPr>
      </w:pPr>
      <w:r w:rsidRPr="00675182">
        <w:rPr>
          <w:rFonts w:eastAsiaTheme="minorHAnsi" w:cstheme="minorBidi"/>
          <w:szCs w:val="24"/>
          <w:lang w:eastAsia="en-US"/>
        </w:rPr>
        <w:t>Jāatbalsta ilgtspējīga reģiona ekonomiskā izaugsme, jākoordinē kompleksu sadarbības piedāvājumu veidošanās, savstarpējā pakalpojumu papildinātība un jāveicina pakalpojumu skaits ar augstāku pievienoto vērtību (piemēram, sezonāli ekoloģiski pārtikas produkti restorānu ēdienkartēs). Biznesa risinājumiem, kas ietver ekoinovācijas</w:t>
      </w:r>
      <w:r w:rsidR="003935D1" w:rsidRPr="00675182">
        <w:rPr>
          <w:rFonts w:eastAsiaTheme="minorHAnsi" w:cstheme="minorBidi"/>
          <w:szCs w:val="24"/>
          <w:lang w:eastAsia="en-US"/>
        </w:rPr>
        <w:t>,</w:t>
      </w:r>
      <w:r w:rsidRPr="00675182">
        <w:rPr>
          <w:rFonts w:eastAsiaTheme="minorHAnsi" w:cstheme="minorBidi"/>
          <w:szCs w:val="24"/>
          <w:lang w:eastAsia="en-US"/>
        </w:rPr>
        <w:t xml:space="preserve"> jārada lielākas priekšrocības pretstatā zemas cenas un liela apgrozījuma biznesa stratēģijām. Jāstrādā ar tūrisma eksporta stratēģiju ieviešanu, piesaistot atbildīgus tūristus ar augstāku maksātspēju. To palīdz ieviest tūrisma speciālisti no pašvaldībām, GNP tūrisma klastera u.c.</w:t>
      </w:r>
    </w:p>
    <w:p w14:paraId="4AB1DA89" w14:textId="77777777" w:rsidR="00063AEB" w:rsidRPr="00675182" w:rsidRDefault="00063AEB" w:rsidP="00063AEB">
      <w:pPr>
        <w:snapToGrid w:val="0"/>
        <w:jc w:val="both"/>
        <w:rPr>
          <w:rFonts w:ascii="Calibri" w:eastAsia="Arial Unicode MS" w:hAnsi="Calibri"/>
          <w:szCs w:val="24"/>
        </w:rPr>
      </w:pPr>
      <w:r w:rsidRPr="00675182">
        <w:rPr>
          <w:rFonts w:ascii="Calibri" w:eastAsia="Arial Unicode MS" w:hAnsi="Calibri"/>
          <w:szCs w:val="24"/>
        </w:rPr>
        <w:t>Rezultātā saudzīgi tiek izmantots dabas kapitāls un GNP zīmola spēks plašākas teritorijas apkārtnes ekonomiskās izaugsmes veicināšanai.</w:t>
      </w:r>
    </w:p>
    <w:p w14:paraId="241996D5" w14:textId="77777777" w:rsidR="00063AEB" w:rsidRPr="00675182" w:rsidRDefault="00063AEB" w:rsidP="00063AEB">
      <w:pPr>
        <w:snapToGrid w:val="0"/>
        <w:rPr>
          <w:rFonts w:eastAsia="Arial Unicode MS" w:cstheme="minorHAnsi"/>
          <w:b/>
          <w:bCs/>
          <w:szCs w:val="24"/>
          <w:highlight w:val="yellow"/>
        </w:rPr>
      </w:pPr>
    </w:p>
    <w:p w14:paraId="04BC33C9" w14:textId="77777777" w:rsidR="00063AEB" w:rsidRPr="00675182" w:rsidRDefault="00063AEB" w:rsidP="00063AEB">
      <w:pPr>
        <w:snapToGrid w:val="0"/>
        <w:rPr>
          <w:rFonts w:eastAsia="Arial Unicode MS" w:cstheme="minorHAnsi"/>
          <w:b/>
          <w:bCs/>
          <w:szCs w:val="24"/>
        </w:rPr>
      </w:pPr>
      <w:r w:rsidRPr="00675182">
        <w:rPr>
          <w:rFonts w:eastAsia="Arial Unicode MS" w:cstheme="minorHAnsi"/>
          <w:b/>
          <w:bCs/>
          <w:szCs w:val="24"/>
        </w:rPr>
        <w:t>D.9.4</w:t>
      </w:r>
      <w:r w:rsidRPr="00675182">
        <w:rPr>
          <w:rFonts w:eastAsia="Arial Unicode MS" w:cstheme="minorHAnsi"/>
          <w:b/>
          <w:bCs/>
          <w:szCs w:val="24"/>
        </w:rPr>
        <w:tab/>
        <w:t>GNP zīmola izmantošana, lai veicinātu tuvākās apkārtnes attīstību ārpus ĪADT robežām</w:t>
      </w:r>
    </w:p>
    <w:bookmarkEnd w:id="162"/>
    <w:p w14:paraId="431B67A8" w14:textId="77777777" w:rsidR="00063AEB" w:rsidRPr="00675182" w:rsidRDefault="00063AEB" w:rsidP="00063AEB">
      <w:pPr>
        <w:suppressAutoHyphens w:val="0"/>
        <w:spacing w:after="160" w:line="259" w:lineRule="auto"/>
        <w:jc w:val="both"/>
        <w:rPr>
          <w:rFonts w:eastAsiaTheme="minorHAnsi" w:cstheme="minorBidi"/>
          <w:sz w:val="22"/>
          <w:szCs w:val="22"/>
          <w:lang w:eastAsia="en-US"/>
        </w:rPr>
      </w:pPr>
      <w:r w:rsidRPr="00675182">
        <w:rPr>
          <w:rFonts w:eastAsiaTheme="minorHAnsi" w:cstheme="minorBidi"/>
          <w:szCs w:val="24"/>
          <w:lang w:eastAsia="en-US"/>
        </w:rPr>
        <w:t xml:space="preserve">Jāizmanto GNP zīmola (GNP tūrisma attīstības biedrības izveidotais zīmols </w:t>
      </w:r>
      <w:r w:rsidRPr="00675182">
        <w:rPr>
          <w:rFonts w:eastAsiaTheme="minorHAnsi" w:cstheme="minorBidi"/>
          <w:i/>
          <w:szCs w:val="24"/>
          <w:lang w:eastAsia="en-US"/>
        </w:rPr>
        <w:t>Enter Gauja</w:t>
      </w:r>
      <w:r w:rsidRPr="00675182">
        <w:rPr>
          <w:rStyle w:val="FootnoteReference"/>
          <w:rFonts w:eastAsiaTheme="minorHAnsi" w:cstheme="minorBidi"/>
          <w:szCs w:val="24"/>
          <w:lang w:eastAsia="en-US"/>
        </w:rPr>
        <w:footnoteReference w:id="47"/>
      </w:r>
      <w:r w:rsidRPr="00675182">
        <w:rPr>
          <w:rFonts w:eastAsiaTheme="minorHAnsi" w:cstheme="minorBidi"/>
          <w:szCs w:val="24"/>
          <w:lang w:eastAsia="en-US"/>
        </w:rPr>
        <w:t>) spēks ārpus GNP teritorijas – funkcionālā tūrisma galamērķa attīstīšanai. Tas ļauj efektīvāk plānot un daļu no antropogēnās slodzes, kas saistīta ar viesmīlības pakalpojumiem u.c. pārcelt ārpus nacionālā parka. Sakrīt ar definēto attīstības virzienu GNP tūrisma klastera stratēģijā, kas kopš 2012. gada iesaista uzņēmējus un tūrisma pakalpojumu sniedzējus līdz ~20 km attālumam no GNP robežām. GNP pozicionējums tiek izmantots arī pilsētu tūrisma piedāvājumā (Sigulda, Cēsis, Valmiera), kas neietilpst nacionālajā parkā fiziski, bet gūst tiešu labumu no parka popularitātes un lielās apmeklētāju plūsmas</w:t>
      </w:r>
      <w:r w:rsidRPr="00675182">
        <w:rPr>
          <w:rFonts w:eastAsiaTheme="minorHAnsi" w:cstheme="minorBidi"/>
          <w:sz w:val="22"/>
          <w:szCs w:val="22"/>
          <w:lang w:eastAsia="en-US"/>
        </w:rPr>
        <w:t xml:space="preserve">. </w:t>
      </w:r>
      <w:r w:rsidRPr="00675182">
        <w:rPr>
          <w:rFonts w:eastAsiaTheme="minorHAnsi" w:cstheme="minorBidi"/>
          <w:szCs w:val="24"/>
          <w:lang w:eastAsia="en-US"/>
        </w:rPr>
        <w:t xml:space="preserve">Jāveicina produktu ražotāju un viesmīlības pakalpojuma sniedzēju pārdošanas aktivitātes </w:t>
      </w:r>
      <w:r w:rsidRPr="00675182">
        <w:rPr>
          <w:rFonts w:eastAsiaTheme="minorHAnsi" w:cstheme="minorBidi"/>
          <w:i/>
          <w:szCs w:val="24"/>
          <w:lang w:eastAsia="en-US"/>
        </w:rPr>
        <w:t>Enter Gauja</w:t>
      </w:r>
      <w:r w:rsidRPr="00675182">
        <w:rPr>
          <w:rFonts w:eastAsiaTheme="minorHAnsi" w:cstheme="minorBidi"/>
          <w:szCs w:val="24"/>
          <w:lang w:eastAsia="en-US"/>
        </w:rPr>
        <w:t xml:space="preserve"> internetveikalā shop.enter.com.</w:t>
      </w:r>
    </w:p>
    <w:p w14:paraId="0D64765F" w14:textId="77777777" w:rsidR="00063AEB" w:rsidRPr="00675182" w:rsidRDefault="00063AEB" w:rsidP="00BF7348">
      <w:pPr>
        <w:jc w:val="both"/>
      </w:pPr>
      <w:r w:rsidRPr="00675182">
        <w:t>Rezultātā saudzīgi tiek izmantots dabas kapitāls un GNP zīmola spēks plašākas teritorijas apkārtnes ekonomiskās izaugsmes veicināšanai.</w:t>
      </w:r>
    </w:p>
    <w:p w14:paraId="62665D43" w14:textId="77777777" w:rsidR="00ED7AB2" w:rsidRPr="00675182" w:rsidRDefault="00ED7AB2" w:rsidP="00ED7AB2">
      <w:pPr>
        <w:jc w:val="both"/>
        <w:rPr>
          <w:rFonts w:cstheme="minorHAnsi"/>
          <w:bCs/>
          <w:iCs/>
          <w:szCs w:val="24"/>
        </w:rPr>
      </w:pPr>
    </w:p>
    <w:p w14:paraId="0C14BA25" w14:textId="77777777" w:rsidR="00ED7AB2" w:rsidRPr="00675182" w:rsidRDefault="00ED7AB2" w:rsidP="009D2844">
      <w:pPr>
        <w:pStyle w:val="Heading3"/>
        <w:rPr>
          <w:lang w:val="lv-LV"/>
        </w:rPr>
      </w:pPr>
      <w:bookmarkStart w:id="163" w:name="_Toc116938421"/>
      <w:r w:rsidRPr="00675182">
        <w:rPr>
          <w:lang w:val="lv-LV"/>
        </w:rPr>
        <w:t>E. Sabiedrības informēšana un izglītošana</w:t>
      </w:r>
      <w:bookmarkEnd w:id="163"/>
    </w:p>
    <w:p w14:paraId="1235D903" w14:textId="77777777" w:rsidR="00ED7AB2" w:rsidRPr="00675182" w:rsidRDefault="00ED7AB2" w:rsidP="00ED7AB2">
      <w:pPr>
        <w:keepNext/>
        <w:keepLines/>
        <w:rPr>
          <w:rFonts w:cstheme="minorHAnsi"/>
          <w:szCs w:val="24"/>
          <w:u w:val="single"/>
        </w:rPr>
      </w:pPr>
    </w:p>
    <w:p w14:paraId="36D30B14" w14:textId="77777777" w:rsidR="00ED7AB2" w:rsidRPr="00675182" w:rsidRDefault="00ED7AB2" w:rsidP="00BF7348">
      <w:pPr>
        <w:keepNext/>
        <w:keepLines/>
        <w:jc w:val="both"/>
        <w:rPr>
          <w:rFonts w:ascii="Calibri" w:hAnsi="Calibri"/>
          <w:b/>
          <w:szCs w:val="24"/>
        </w:rPr>
      </w:pPr>
      <w:r w:rsidRPr="00675182">
        <w:rPr>
          <w:rFonts w:ascii="Calibri" w:hAnsi="Calibri"/>
          <w:b/>
          <w:szCs w:val="24"/>
        </w:rPr>
        <w:t>E.1. Teritorijas robežzīmju izvietošana</w:t>
      </w:r>
    </w:p>
    <w:p w14:paraId="5654BE16" w14:textId="463B8239" w:rsidR="00ED7AB2" w:rsidRPr="00675182" w:rsidRDefault="00ED7AB2" w:rsidP="00335A83">
      <w:pPr>
        <w:jc w:val="both"/>
        <w:rPr>
          <w:rFonts w:ascii="Calibri" w:hAnsi="Calibri"/>
        </w:rPr>
      </w:pPr>
      <w:r w:rsidRPr="00675182">
        <w:rPr>
          <w:rFonts w:ascii="Calibri" w:hAnsi="Calibri"/>
        </w:rPr>
        <w:t xml:space="preserve">Ir nepieciešama GNP teritorijas robežzīmju izvietošana, paredzot </w:t>
      </w:r>
      <w:r w:rsidR="00DE651F">
        <w:rPr>
          <w:rFonts w:ascii="Calibri" w:hAnsi="Calibri"/>
        </w:rPr>
        <w:t>ĪADT</w:t>
      </w:r>
      <w:r w:rsidRPr="00675182">
        <w:rPr>
          <w:rFonts w:ascii="Calibri" w:hAnsi="Calibri"/>
        </w:rPr>
        <w:t xml:space="preserve"> apzīmējošo zīmju (ozollapas) izvietošanu uz ceļiem, takām un citiem objektiem, kas šķērso GNP robežu. </w:t>
      </w:r>
    </w:p>
    <w:p w14:paraId="48A8A480" w14:textId="77777777" w:rsidR="009D2844" w:rsidRPr="00675182" w:rsidRDefault="009D2844" w:rsidP="00335A83">
      <w:pPr>
        <w:jc w:val="both"/>
        <w:rPr>
          <w:rFonts w:cstheme="minorHAnsi"/>
          <w:szCs w:val="24"/>
          <w:u w:val="single"/>
        </w:rPr>
      </w:pPr>
    </w:p>
    <w:p w14:paraId="0C0D4769" w14:textId="77777777" w:rsidR="00ED7AB2" w:rsidRPr="00675182" w:rsidRDefault="00ED7AB2" w:rsidP="00BF7348">
      <w:pPr>
        <w:keepNext/>
        <w:keepLines/>
        <w:jc w:val="both"/>
        <w:rPr>
          <w:rFonts w:ascii="Calibri" w:hAnsi="Calibri"/>
          <w:b/>
          <w:bCs/>
        </w:rPr>
      </w:pPr>
      <w:r w:rsidRPr="00675182">
        <w:rPr>
          <w:rFonts w:ascii="Calibri" w:hAnsi="Calibri"/>
          <w:b/>
          <w:bCs/>
          <w:szCs w:val="24"/>
        </w:rPr>
        <w:t xml:space="preserve">E.2. </w:t>
      </w:r>
      <w:r w:rsidRPr="00675182">
        <w:rPr>
          <w:rFonts w:ascii="Calibri" w:hAnsi="Calibri"/>
          <w:b/>
          <w:bCs/>
        </w:rPr>
        <w:t>Informācijas stendu izvietošana un atjaunošana</w:t>
      </w:r>
    </w:p>
    <w:p w14:paraId="74792C75" w14:textId="21E13614" w:rsidR="00ED7AB2" w:rsidRPr="00675182" w:rsidRDefault="00ED7AB2" w:rsidP="00365338">
      <w:pPr>
        <w:keepNext/>
        <w:keepLines/>
        <w:jc w:val="both"/>
        <w:rPr>
          <w:rFonts w:ascii="Calibri" w:hAnsi="Calibri"/>
        </w:rPr>
      </w:pPr>
      <w:r w:rsidRPr="00675182">
        <w:rPr>
          <w:rFonts w:ascii="Calibri" w:hAnsi="Calibri"/>
        </w:rPr>
        <w:t xml:space="preserve">Lai informētu GNP apmeklētājus par GNP, tā dabas, kultūrvēsturiskajām, kā arī ainaviskajām vērtībām, kā arī ierobežojumiem GNP teritorijā, veidojot jaunus rekreācijas un tūrisma objektus, ir nepieciešams izvietot informācijas stendus. </w:t>
      </w:r>
    </w:p>
    <w:p w14:paraId="67AB6FE0" w14:textId="77777777" w:rsidR="00ED7AB2" w:rsidRPr="00675182" w:rsidRDefault="00ED7AB2" w:rsidP="00ED7AB2">
      <w:pPr>
        <w:jc w:val="both"/>
        <w:rPr>
          <w:rFonts w:ascii="Calibri" w:hAnsi="Calibri"/>
          <w:szCs w:val="24"/>
        </w:rPr>
      </w:pPr>
    </w:p>
    <w:p w14:paraId="36EFC974" w14:textId="77777777" w:rsidR="00ED7AB2" w:rsidRPr="00675182" w:rsidRDefault="00ED7AB2" w:rsidP="00ED7AB2">
      <w:pPr>
        <w:jc w:val="both"/>
        <w:rPr>
          <w:rFonts w:ascii="Calibri" w:hAnsi="Calibri"/>
        </w:rPr>
      </w:pPr>
      <w:r w:rsidRPr="00675182">
        <w:rPr>
          <w:rFonts w:ascii="Calibri" w:hAnsi="Calibri"/>
        </w:rPr>
        <w:t xml:space="preserve">Informācijas stendi izgatavojami, izmantojot DAP vienoto stilu (pieejams </w:t>
      </w:r>
      <w:hyperlink r:id="rId293" w:history="1">
        <w:r w:rsidRPr="00675182">
          <w:rPr>
            <w:rStyle w:val="Hyperlink"/>
            <w:rFonts w:ascii="Calibri" w:hAnsi="Calibri"/>
          </w:rPr>
          <w:t>http://www.daba.gov.lv/public/lat/iadt/iadtvienotais_stils/</w:t>
        </w:r>
      </w:hyperlink>
      <w:r w:rsidRPr="00675182">
        <w:rPr>
          <w:rFonts w:ascii="Calibri" w:hAnsi="Calibri"/>
        </w:rPr>
        <w:t>).</w:t>
      </w:r>
    </w:p>
    <w:p w14:paraId="28104241" w14:textId="77777777" w:rsidR="00ED7AB2" w:rsidRPr="00675182" w:rsidRDefault="00ED7AB2" w:rsidP="00ED7AB2">
      <w:pPr>
        <w:jc w:val="both"/>
        <w:rPr>
          <w:rFonts w:ascii="Calibri" w:hAnsi="Calibri"/>
        </w:rPr>
      </w:pPr>
    </w:p>
    <w:p w14:paraId="12CA8CA9" w14:textId="77777777" w:rsidR="00ED7AB2" w:rsidRPr="00675182" w:rsidRDefault="00ED7AB2" w:rsidP="00ED7AB2">
      <w:pPr>
        <w:jc w:val="both"/>
        <w:rPr>
          <w:rFonts w:ascii="Calibri" w:hAnsi="Calibri"/>
        </w:rPr>
      </w:pPr>
      <w:r w:rsidRPr="00675182">
        <w:rPr>
          <w:rFonts w:ascii="Calibri" w:hAnsi="Calibri"/>
        </w:rPr>
        <w:lastRenderedPageBreak/>
        <w:t xml:space="preserve">Atjaunojot informāciju uz esošajiem informācijas stendiem, kā arī izvietojot jaunus informācijas stendus, ir rekomendējams iekļaut arī informāciju par taku marķējumiem, ka arī bezpilota gaisa kuģu (dronu) lidojumu ierobežojumiem. </w:t>
      </w:r>
    </w:p>
    <w:p w14:paraId="7F82E916" w14:textId="77777777" w:rsidR="00ED7AB2" w:rsidRPr="00675182" w:rsidRDefault="00ED7AB2" w:rsidP="00ED7AB2">
      <w:pPr>
        <w:rPr>
          <w:rFonts w:ascii="Calibri" w:hAnsi="Calibri"/>
          <w:b/>
          <w:bCs/>
          <w:szCs w:val="24"/>
        </w:rPr>
      </w:pPr>
    </w:p>
    <w:p w14:paraId="5C34EBF3" w14:textId="77777777" w:rsidR="00ED7AB2" w:rsidRPr="00675182" w:rsidRDefault="00ED7AB2" w:rsidP="00ED7AB2">
      <w:pPr>
        <w:rPr>
          <w:rFonts w:ascii="Calibri" w:hAnsi="Calibri"/>
          <w:b/>
          <w:bCs/>
          <w:szCs w:val="24"/>
        </w:rPr>
      </w:pPr>
      <w:r w:rsidRPr="00675182">
        <w:rPr>
          <w:rFonts w:ascii="Calibri" w:hAnsi="Calibri"/>
          <w:b/>
          <w:bCs/>
          <w:szCs w:val="24"/>
        </w:rPr>
        <w:t>E.3. Izglītojošs pasākums “Dabā ar ekspertu”</w:t>
      </w:r>
    </w:p>
    <w:p w14:paraId="754CA5F6" w14:textId="77777777" w:rsidR="00ED7AB2" w:rsidRPr="00675182" w:rsidRDefault="00ED7AB2" w:rsidP="00ED7AB2">
      <w:pPr>
        <w:jc w:val="both"/>
        <w:rPr>
          <w:rFonts w:ascii="Calibri" w:hAnsi="Calibri"/>
        </w:rPr>
      </w:pPr>
      <w:r w:rsidRPr="00675182">
        <w:rPr>
          <w:rFonts w:ascii="Calibri" w:hAnsi="Calibri"/>
        </w:rPr>
        <w:t xml:space="preserve">Lai iepazīstinātu sabiedrību ar GNP dabas vērtībām, kā arī veicinātu izpratni par biotopu apsaimniekošanas pasākumiem un to nepieciešamību, ir atbalstāma pasākuma “Dabā ar ekspertu” organizēšana. </w:t>
      </w:r>
      <w:r w:rsidRPr="00675182">
        <w:t xml:space="preserve">Pasākumu ir rekomendējams rīkot kā pārgājienu aptuveni 2-3 stundu garumā, kura laikā ir iespējams doties dabā kopā ar dzīvotņu ekspertiem, lai iegūtu informāciju par konkrēto dzīvotņu grupu un to ietekmējošiem faktoriem GNP, kā arī apspriestu interesējošos jautājumus un tēmas.  </w:t>
      </w:r>
    </w:p>
    <w:p w14:paraId="1887C2A9" w14:textId="77777777" w:rsidR="00ED7AB2" w:rsidRPr="00675182" w:rsidRDefault="00ED7AB2" w:rsidP="00ED7AB2">
      <w:pPr>
        <w:jc w:val="both"/>
        <w:rPr>
          <w:rFonts w:ascii="Calibri" w:hAnsi="Calibri"/>
          <w:szCs w:val="24"/>
        </w:rPr>
      </w:pPr>
    </w:p>
    <w:p w14:paraId="2B437D46" w14:textId="73FF94E1" w:rsidR="00ED7AB2" w:rsidRPr="00675182" w:rsidRDefault="00ED7AB2" w:rsidP="00ED7AB2">
      <w:pPr>
        <w:jc w:val="both"/>
        <w:rPr>
          <w:rFonts w:ascii="Calibri" w:hAnsi="Calibri"/>
          <w:szCs w:val="24"/>
        </w:rPr>
      </w:pPr>
      <w:r w:rsidRPr="00675182">
        <w:rPr>
          <w:rFonts w:ascii="Calibri" w:hAnsi="Calibri"/>
          <w:szCs w:val="24"/>
        </w:rPr>
        <w:t xml:space="preserve">Līdzīgi pasākumi tika organizēti GNP </w:t>
      </w:r>
      <w:r w:rsidR="00330B6F">
        <w:rPr>
          <w:rFonts w:ascii="Calibri" w:hAnsi="Calibri"/>
          <w:szCs w:val="24"/>
        </w:rPr>
        <w:t>DA</w:t>
      </w:r>
      <w:r w:rsidRPr="00675182">
        <w:rPr>
          <w:rFonts w:ascii="Calibri" w:hAnsi="Calibri"/>
          <w:szCs w:val="24"/>
        </w:rPr>
        <w:t xml:space="preserve"> plāna izstrādes laikā 2021. gada vasarā un rudenī.</w:t>
      </w:r>
    </w:p>
    <w:p w14:paraId="5729C2E4" w14:textId="77777777" w:rsidR="00ED7AB2" w:rsidRPr="00675182" w:rsidRDefault="00ED7AB2" w:rsidP="00ED7AB2">
      <w:pPr>
        <w:jc w:val="both"/>
        <w:rPr>
          <w:rFonts w:ascii="Calibri" w:hAnsi="Calibri"/>
          <w:szCs w:val="24"/>
        </w:rPr>
      </w:pPr>
    </w:p>
    <w:p w14:paraId="78268435" w14:textId="77777777" w:rsidR="00ED7AB2" w:rsidRPr="00675182" w:rsidRDefault="00ED7AB2" w:rsidP="00ED7AB2">
      <w:pPr>
        <w:jc w:val="both"/>
        <w:rPr>
          <w:rFonts w:ascii="Calibri" w:hAnsi="Calibri"/>
          <w:b/>
          <w:bCs/>
          <w:szCs w:val="24"/>
        </w:rPr>
      </w:pPr>
      <w:r w:rsidRPr="00675182">
        <w:rPr>
          <w:rFonts w:ascii="Calibri" w:hAnsi="Calibri"/>
          <w:b/>
          <w:bCs/>
          <w:szCs w:val="24"/>
        </w:rPr>
        <w:t>E.4.</w:t>
      </w:r>
      <w:r w:rsidRPr="00675182">
        <w:rPr>
          <w:rFonts w:ascii="Calibri" w:hAnsi="Calibri"/>
          <w:b/>
          <w:bCs/>
          <w:szCs w:val="24"/>
        </w:rPr>
        <w:tab/>
        <w:t>Izglītību iekļaujoša satura izstrāde un integrēšana tūrismu veicinošās aktivitātes, kas atbalsta dabas un kultūras mantojuma, nemateriālā mantojuma tradīciju saglabāšanu</w:t>
      </w:r>
    </w:p>
    <w:p w14:paraId="78AAEE38" w14:textId="77777777" w:rsidR="00ED7AB2" w:rsidRPr="00675182" w:rsidRDefault="00ED7AB2" w:rsidP="00ED7AB2">
      <w:pPr>
        <w:jc w:val="both"/>
        <w:rPr>
          <w:rFonts w:ascii="Calibri" w:eastAsiaTheme="minorHAnsi" w:hAnsi="Calibri"/>
          <w:color w:val="222222"/>
          <w:shd w:val="clear" w:color="auto" w:fill="FFFFFF"/>
          <w:lang w:eastAsia="en-US"/>
        </w:rPr>
      </w:pPr>
      <w:r w:rsidRPr="00675182">
        <w:rPr>
          <w:rFonts w:ascii="Calibri" w:hAnsi="Calibri"/>
          <w:color w:val="222222"/>
          <w:shd w:val="clear" w:color="auto" w:fill="FFFFFF"/>
        </w:rPr>
        <w:t>Izglītību iekļaujošs saturs ir pamats tūrisma piedāvājumam. Tālāk ir tā izpausmes forma, produkta veids un izpildījums, visdažādākais ietvars, kā tas var tikt piegādāts viesiem. Viena no problēmām, ka bagātīgie un ar mantojuma vērtībām saistītie resursi tiek novienkāršoti, to potenciāls tikai daļēji tiek izmantots. Izglītību iekļaujošs saturs ir prasīgs uz iesaistītajiem avotiem, pieprasa pat pētnieciskas pieejas faktu precizēšanā un stāstu veidošanā. Rezultātā radītais tūrisma piedāvājums ir autentiskāks, oriģinālāks, veido papildu pievienoto vērtību. To ir grūtāk atdarināt. Vienlaikus šāda pieeja ir vērsta uz mantojuma vērtību saglabāšanu, kas saistīts ar pieprasījumu pēc tā.</w:t>
      </w:r>
    </w:p>
    <w:p w14:paraId="5081DC0B" w14:textId="77777777" w:rsidR="00ED7AB2" w:rsidRPr="00675182" w:rsidRDefault="00ED7AB2" w:rsidP="00ED7AB2">
      <w:pPr>
        <w:jc w:val="both"/>
        <w:rPr>
          <w:rFonts w:ascii="Calibri" w:hAnsi="Calibri"/>
          <w:b/>
          <w:bCs/>
          <w:szCs w:val="24"/>
          <w:highlight w:val="yellow"/>
        </w:rPr>
      </w:pPr>
    </w:p>
    <w:p w14:paraId="20E37C06" w14:textId="27B91171" w:rsidR="00ED7AB2" w:rsidRPr="00675182" w:rsidRDefault="00ED7AB2" w:rsidP="00BF7348">
      <w:pPr>
        <w:snapToGrid w:val="0"/>
        <w:jc w:val="both"/>
        <w:rPr>
          <w:rFonts w:eastAsia="Arial Unicode MS" w:cstheme="minorHAnsi"/>
          <w:b/>
          <w:bCs/>
          <w:szCs w:val="24"/>
        </w:rPr>
      </w:pPr>
      <w:r w:rsidRPr="00675182">
        <w:rPr>
          <w:rFonts w:eastAsia="Arial Unicode MS" w:cstheme="minorHAnsi"/>
          <w:b/>
          <w:bCs/>
          <w:szCs w:val="24"/>
        </w:rPr>
        <w:t>E.5</w:t>
      </w:r>
      <w:r w:rsidR="006D45A7" w:rsidRPr="00675182">
        <w:rPr>
          <w:rFonts w:eastAsia="Arial Unicode MS" w:cstheme="minorHAnsi"/>
          <w:b/>
          <w:bCs/>
          <w:szCs w:val="24"/>
        </w:rPr>
        <w:t>.</w:t>
      </w:r>
      <w:r w:rsidRPr="00675182">
        <w:rPr>
          <w:rFonts w:eastAsia="Arial Unicode MS" w:cstheme="minorHAnsi"/>
          <w:b/>
          <w:bCs/>
          <w:szCs w:val="24"/>
        </w:rPr>
        <w:tab/>
        <w:t>Izglītojoša satura nodrošināšana (materiāli un pakalpojumi), iekļaujot kvalitatīvu interpretāciju par nacionālā parka kultūras, dabas un ainavas vērtībām, integrējot to trešo pušu pakalpojumos</w:t>
      </w:r>
    </w:p>
    <w:p w14:paraId="5219A67B" w14:textId="77777777" w:rsidR="00ED7AB2" w:rsidRPr="00675182" w:rsidRDefault="00ED7AB2" w:rsidP="00ED7AB2">
      <w:pPr>
        <w:snapToGrid w:val="0"/>
        <w:jc w:val="both"/>
        <w:rPr>
          <w:rFonts w:ascii="Calibri" w:eastAsia="Arial Unicode MS" w:hAnsi="Calibri"/>
          <w:szCs w:val="24"/>
        </w:rPr>
      </w:pPr>
      <w:r w:rsidRPr="00675182">
        <w:rPr>
          <w:rFonts w:ascii="Calibri" w:eastAsia="Arial Unicode MS" w:hAnsi="Calibri"/>
          <w:szCs w:val="24"/>
        </w:rPr>
        <w:t>Sadarbība ar dabas un kultūras jomas ekspertiem, akadēmiski izglītotiem speciālistiem augstvērtīgāka piedāvājuma satura un tirgvedības tekstu izstrādei.</w:t>
      </w:r>
    </w:p>
    <w:p w14:paraId="3D148E48" w14:textId="77777777" w:rsidR="00ED7AB2" w:rsidRPr="00675182" w:rsidRDefault="00ED7AB2" w:rsidP="00ED7AB2">
      <w:pPr>
        <w:snapToGrid w:val="0"/>
        <w:rPr>
          <w:rFonts w:eastAsia="Arial Unicode MS" w:cstheme="minorHAnsi"/>
          <w:b/>
          <w:bCs/>
          <w:szCs w:val="24"/>
        </w:rPr>
      </w:pPr>
    </w:p>
    <w:p w14:paraId="58A33294" w14:textId="77777777" w:rsidR="00ED7AB2" w:rsidRPr="00675182" w:rsidRDefault="00ED7AB2" w:rsidP="00BF7348">
      <w:pPr>
        <w:snapToGrid w:val="0"/>
        <w:jc w:val="both"/>
        <w:rPr>
          <w:rFonts w:eastAsia="Arial Unicode MS" w:cstheme="minorHAnsi"/>
          <w:b/>
          <w:bCs/>
          <w:szCs w:val="24"/>
        </w:rPr>
      </w:pPr>
      <w:r w:rsidRPr="00675182">
        <w:rPr>
          <w:rFonts w:eastAsia="Arial Unicode MS" w:cstheme="minorHAnsi"/>
          <w:b/>
          <w:bCs/>
          <w:szCs w:val="24"/>
        </w:rPr>
        <w:t>E.6.</w:t>
      </w:r>
      <w:r w:rsidRPr="00675182">
        <w:rPr>
          <w:rFonts w:eastAsia="Arial Unicode MS" w:cstheme="minorHAnsi"/>
          <w:b/>
          <w:bCs/>
          <w:szCs w:val="24"/>
        </w:rPr>
        <w:tab/>
        <w:t>Tematiska, uz iedzīvotājiem, zemju īpašniekiem, apsaimniekotājiem vērstas informācijas nodrošināšana, aicinot uz aktīvām rīcībām (par invazīvo sugu izskaušanu u.tml.)</w:t>
      </w:r>
    </w:p>
    <w:p w14:paraId="07D82A1E" w14:textId="77777777" w:rsidR="00ED7AB2" w:rsidRPr="00675182" w:rsidRDefault="00ED7AB2" w:rsidP="00ED7AB2">
      <w:pPr>
        <w:snapToGrid w:val="0"/>
        <w:rPr>
          <w:rFonts w:ascii="Calibri" w:eastAsia="Arial Unicode MS" w:hAnsi="Calibri"/>
          <w:szCs w:val="24"/>
        </w:rPr>
      </w:pPr>
      <w:r w:rsidRPr="00675182">
        <w:rPr>
          <w:rFonts w:ascii="Calibri" w:eastAsia="Arial Unicode MS" w:hAnsi="Calibri"/>
          <w:szCs w:val="24"/>
        </w:rPr>
        <w:t>Mērķtiecīga komunikācija, izmantojot LIFE projekta LatviaNature iniciatīvas u.c.</w:t>
      </w:r>
    </w:p>
    <w:p w14:paraId="0AD465EB" w14:textId="77777777" w:rsidR="00ED7AB2" w:rsidRPr="00675182" w:rsidRDefault="00ED7AB2" w:rsidP="00ED7AB2">
      <w:pPr>
        <w:snapToGrid w:val="0"/>
        <w:rPr>
          <w:rFonts w:eastAsia="Arial Unicode MS" w:cstheme="minorHAnsi"/>
          <w:b/>
          <w:bCs/>
          <w:szCs w:val="24"/>
        </w:rPr>
      </w:pPr>
    </w:p>
    <w:p w14:paraId="11569183" w14:textId="77777777" w:rsidR="00ED7AB2" w:rsidRPr="00675182" w:rsidRDefault="00ED7AB2" w:rsidP="00ED7AB2">
      <w:pPr>
        <w:snapToGrid w:val="0"/>
        <w:rPr>
          <w:rFonts w:eastAsia="Arial Unicode MS" w:cstheme="minorHAnsi"/>
          <w:b/>
          <w:bCs/>
          <w:szCs w:val="24"/>
        </w:rPr>
      </w:pPr>
      <w:r w:rsidRPr="00675182">
        <w:rPr>
          <w:rFonts w:eastAsia="Arial Unicode MS" w:cstheme="minorHAnsi"/>
          <w:b/>
          <w:bCs/>
          <w:szCs w:val="24"/>
        </w:rPr>
        <w:t>E.7.</w:t>
      </w:r>
      <w:r w:rsidRPr="00675182">
        <w:rPr>
          <w:rFonts w:eastAsia="Arial Unicode MS" w:cstheme="minorHAnsi"/>
          <w:b/>
          <w:bCs/>
          <w:szCs w:val="24"/>
        </w:rPr>
        <w:tab/>
        <w:t>Informācijas ierobežošana publiskajā vidē par vietām, kuru apmeklēšana nav popularizējama dabas aizsardzības nolūkos (piemēram, Ramātu klintis, Paparžu grava, Patkulu ala, Stoķu klintis, Kautraka gravas, Roču piramīda, Raganu katls,…)</w:t>
      </w:r>
    </w:p>
    <w:p w14:paraId="4118F75A" w14:textId="77777777" w:rsidR="00ED7AB2" w:rsidRPr="00675182" w:rsidRDefault="00ED7AB2" w:rsidP="00ED7AB2">
      <w:pPr>
        <w:snapToGrid w:val="0"/>
        <w:jc w:val="both"/>
        <w:rPr>
          <w:rFonts w:ascii="Calibri" w:eastAsia="Arial Unicode MS" w:hAnsi="Calibri"/>
          <w:szCs w:val="24"/>
        </w:rPr>
      </w:pPr>
      <w:r w:rsidRPr="00675182">
        <w:rPr>
          <w:rFonts w:ascii="Calibri" w:eastAsia="Arial Unicode MS" w:hAnsi="Calibri"/>
          <w:szCs w:val="24"/>
        </w:rPr>
        <w:t>Saraksts tiek saskaņots DA plāna izstrādes ietvaros, taču tiek uzraudzīts arī turpmāk. Pamatā atbildība ir gan no DAP, gan pašvaldības tūrisma speciālistu puses, kā arī to nodrošina GNP tūrisma klastera birojs.</w:t>
      </w:r>
    </w:p>
    <w:p w14:paraId="75D60A57" w14:textId="77777777" w:rsidR="00ED7AB2" w:rsidRPr="00675182" w:rsidRDefault="00ED7AB2" w:rsidP="00ED7AB2">
      <w:pPr>
        <w:snapToGrid w:val="0"/>
        <w:rPr>
          <w:rFonts w:eastAsia="Arial Unicode MS" w:cstheme="minorHAnsi"/>
          <w:b/>
          <w:bCs/>
          <w:szCs w:val="24"/>
        </w:rPr>
      </w:pPr>
    </w:p>
    <w:p w14:paraId="2F5792DC" w14:textId="77777777" w:rsidR="00ED7AB2" w:rsidRPr="00675182" w:rsidRDefault="00ED7AB2" w:rsidP="00BF7348">
      <w:pPr>
        <w:snapToGrid w:val="0"/>
        <w:jc w:val="both"/>
        <w:rPr>
          <w:rFonts w:eastAsia="Arial Unicode MS" w:cstheme="minorHAnsi"/>
          <w:b/>
          <w:bCs/>
          <w:szCs w:val="24"/>
        </w:rPr>
      </w:pPr>
      <w:r w:rsidRPr="00675182">
        <w:rPr>
          <w:rFonts w:eastAsia="Arial Unicode MS" w:cstheme="minorHAnsi"/>
          <w:b/>
          <w:bCs/>
          <w:szCs w:val="24"/>
        </w:rPr>
        <w:t>E.8.</w:t>
      </w:r>
      <w:r w:rsidRPr="00675182">
        <w:rPr>
          <w:rFonts w:eastAsia="Arial Unicode MS" w:cstheme="minorHAnsi"/>
          <w:b/>
          <w:bCs/>
          <w:szCs w:val="24"/>
        </w:rPr>
        <w:tab/>
        <w:t>Klimata pārmaiņu mazināšanas iniciatīvu iesaiste tūrisma pakalpojumu sniedzēju ikdienas darbībā</w:t>
      </w:r>
    </w:p>
    <w:p w14:paraId="4DA9C116" w14:textId="1DF65FCC" w:rsidR="00ED7AB2" w:rsidRPr="00675182" w:rsidRDefault="00ED7AB2" w:rsidP="000950A8">
      <w:pPr>
        <w:suppressAutoHyphens w:val="0"/>
        <w:jc w:val="both"/>
        <w:rPr>
          <w:rFonts w:ascii="Times New Roman" w:eastAsiaTheme="minorHAnsi" w:hAnsi="Times New Roman" w:cs="Times New Roman"/>
          <w:szCs w:val="24"/>
          <w:lang w:eastAsia="lv-LV"/>
        </w:rPr>
      </w:pPr>
      <w:r w:rsidRPr="00675182">
        <w:rPr>
          <w:rFonts w:ascii="Calibri" w:eastAsia="Arial Unicode MS" w:hAnsi="Calibri"/>
          <w:szCs w:val="24"/>
        </w:rPr>
        <w:lastRenderedPageBreak/>
        <w:t>Pamatā ietver rīcības, kas vērstas uz vieglās mobilitātes risinājumu atbalstu, tādu segmentu prioritāru piesaisti, kurus saista pārgājieni, velotūrisms, dabas un kultūras izziņa.</w:t>
      </w:r>
      <w:r w:rsidRPr="00675182">
        <w:rPr>
          <w:rFonts w:ascii="Times New Roman" w:eastAsiaTheme="minorHAnsi" w:hAnsi="Times New Roman" w:cs="Times New Roman"/>
          <w:szCs w:val="24"/>
          <w:lang w:eastAsia="lv-LV"/>
        </w:rPr>
        <w:t xml:space="preserve"> </w:t>
      </w:r>
    </w:p>
    <w:p w14:paraId="0FC5E4E9" w14:textId="1FC3778D" w:rsidR="000950A8" w:rsidRPr="00675182" w:rsidRDefault="000950A8" w:rsidP="00ED7AB2">
      <w:pPr>
        <w:suppressAutoHyphens w:val="0"/>
        <w:rPr>
          <w:rFonts w:ascii="Times New Roman" w:eastAsiaTheme="minorHAnsi" w:hAnsi="Times New Roman" w:cs="Times New Roman"/>
          <w:szCs w:val="24"/>
          <w:lang w:eastAsia="lv-LV"/>
        </w:rPr>
      </w:pPr>
    </w:p>
    <w:p w14:paraId="215437ED" w14:textId="77777777" w:rsidR="000950A8" w:rsidRPr="00675182" w:rsidRDefault="000950A8" w:rsidP="00BF7348">
      <w:pPr>
        <w:jc w:val="both"/>
        <w:rPr>
          <w:b/>
          <w:bCs/>
        </w:rPr>
      </w:pPr>
      <w:r w:rsidRPr="00675182">
        <w:rPr>
          <w:b/>
          <w:bCs/>
        </w:rPr>
        <w:t>E.9. Zemes īpašnieku un apsaimniekotāju informēšanas sistēmas izstrāde un ieviešana par dabas vērtībām un saimnieciskās darbības ierobežojumiem un to izmaiņām īpašumos</w:t>
      </w:r>
    </w:p>
    <w:p w14:paraId="36F24934" w14:textId="2EFF6337" w:rsidR="000950A8" w:rsidRPr="00675182" w:rsidRDefault="000950A8" w:rsidP="000950A8">
      <w:pPr>
        <w:jc w:val="both"/>
      </w:pPr>
      <w:r w:rsidRPr="00675182">
        <w:t xml:space="preserve">Ņemot vērā GNP esošo augsto dabas vērtību blīvumu un nepārtrauktu informācijas papildināšanu par tām DDPS “Ozols” (piemēram, monitoringa, sabiedrisko novērojumu, dabas ekspertu apsekojumu rezultātā), nepieciešams mehānisms operatīvai zemes īpašnieku informēšanai, lai novērstu situācijas, kad informāciju par aizsargājamām dabas vērtībām īpašnieks iegūst tikai tad, kad vēršas valsts vai pašvaldību institūcijās ar saimnieciskās darbības, apbūves vai cita veida iecerēm. Šādas sistēmas izveide veicama vienlaikus ar e-adreses plašāku ieviešanu un popularizēšanu, kas ļautu informēt zemes īpašniekus un apsaimniekotājus tiem pieejamākajā saziņas veidā; zemes īpašniekiem, kuri neizmanto e-adresi, informāciju var sniegt pašvaldībā vai valsts institūcijās, kurās īpašnieks vēršas ar dažādu darbību iecerēm vai pēc konsultācijām (piem., VMD vai LAD). DAP būtu nepieciešams sagatavot informatīvos materiālus par dažādām dabas vērtību grupām viegli uztveramā veidā un tos kombinēt un izsniegt zemes īpašniekam atbilstoši īpašumā esošajām dabas vērtībām (piemēram, izvilkumus no biotopu apsaimniekošanas vadlīnijām, informāciju par </w:t>
      </w:r>
      <w:r w:rsidR="00BD13EF">
        <w:t>BVZ</w:t>
      </w:r>
      <w:r w:rsidRPr="00675182">
        <w:t xml:space="preserve"> maksājumiem u.tml.). Šādu iepriekš sagatavotu materiālu bibliotēkas izveide un sistēma, kas ļautu tos pielāgot konkrēta īpašnieka interesēm, atvieglotu informācijas pieejamību par dabas vērtībām un samazinātu tās meklēšanai un apkopošanai veltāmo laiku visās institūcijās, kas konsultē zemes īpašniekus un apsaimniekotājus. </w:t>
      </w:r>
    </w:p>
    <w:p w14:paraId="4682CC3A" w14:textId="77777777" w:rsidR="00E9781F" w:rsidRPr="00675182" w:rsidRDefault="00E9781F" w:rsidP="000950A8">
      <w:pPr>
        <w:jc w:val="both"/>
      </w:pPr>
    </w:p>
    <w:p w14:paraId="08F97234" w14:textId="15DB28DD" w:rsidR="00E9781F" w:rsidRPr="00675182" w:rsidRDefault="00E9781F" w:rsidP="00BF7348">
      <w:pPr>
        <w:jc w:val="both"/>
        <w:rPr>
          <w:b/>
          <w:bCs/>
        </w:rPr>
      </w:pPr>
      <w:r w:rsidRPr="00675182">
        <w:rPr>
          <w:b/>
          <w:bCs/>
        </w:rPr>
        <w:t>E.10. Veicināt pilsētas parku un dārzu, kā arī mazdārziņos un privātmāju teritoriju apsaimniekošanu saskaņā ar bioloģiskās saimniekošanas principiem</w:t>
      </w:r>
    </w:p>
    <w:p w14:paraId="13BB6C0C" w14:textId="79DF1279" w:rsidR="00C039A9" w:rsidRPr="00675182" w:rsidRDefault="00C039A9" w:rsidP="000950A8">
      <w:pPr>
        <w:jc w:val="both"/>
      </w:pPr>
      <w:r w:rsidRPr="00675182">
        <w:t>GNP teritorija ietver gan pilsētu un ciemu teritorijas, gan lielu skaitu viensētu, privātmāju un mazdārziņu. Šādas platības var dot ieguldījumu teritorijas bioloģiskās daudzveidības uzturēšanā, ja tiek piemēroti apsaimniekotas. Esošo apsaimniekošanas prakšu maiņai nepieciešama gan apsaimniekotāju izglītošana (piemēram, informatīvie materiāli, semināri, praktiskie demonstrējumi), gan pašvaldības saistošo noteikumu grozījumi (piemēram, paredzot iespēju veidot dabiskajiem tuvus zālājus publisko apstādījumu teritorijās). GNP teritorijā jau darbojas organizācijas, kuras popularizē bioloģisko saimniekošanu; sadarbībā ar pašvaldībām un izmantojot projektu finansējumu, iespējams panākt aizvien plašāku sabiedrības iesaisti ilgtspējīgās apsaimniekošanas praksēs.</w:t>
      </w:r>
    </w:p>
    <w:p w14:paraId="7DD4B718" w14:textId="558A445C" w:rsidR="0052757B" w:rsidRPr="00675182" w:rsidRDefault="0052757B" w:rsidP="00365338">
      <w:pPr>
        <w:snapToGrid w:val="0"/>
        <w:jc w:val="both"/>
        <w:rPr>
          <w:rFonts w:eastAsia="Arial Unicode MS" w:cstheme="minorHAnsi"/>
          <w:b/>
          <w:bCs/>
          <w:szCs w:val="24"/>
        </w:rPr>
      </w:pPr>
      <w:r w:rsidRPr="00675182">
        <w:rPr>
          <w:rFonts w:eastAsia="Arial Unicode MS" w:cstheme="minorHAnsi"/>
          <w:b/>
          <w:bCs/>
          <w:szCs w:val="24"/>
        </w:rPr>
        <w:t>E.</w:t>
      </w:r>
      <w:r w:rsidR="006D45A7" w:rsidRPr="00675182">
        <w:rPr>
          <w:rFonts w:eastAsia="Arial Unicode MS" w:cstheme="minorHAnsi"/>
          <w:b/>
          <w:bCs/>
          <w:szCs w:val="24"/>
        </w:rPr>
        <w:t>11.</w:t>
      </w:r>
      <w:r w:rsidRPr="00675182">
        <w:rPr>
          <w:rFonts w:eastAsia="Arial Unicode MS" w:cstheme="minorHAnsi"/>
          <w:b/>
          <w:bCs/>
          <w:szCs w:val="24"/>
        </w:rPr>
        <w:tab/>
        <w:t>Rīcības plāna izstrāde sabiedrības izglītošanai un iesaistei laš</w:t>
      </w:r>
      <w:r w:rsidR="00D81096" w:rsidRPr="00675182">
        <w:rPr>
          <w:rFonts w:eastAsia="Arial Unicode MS" w:cstheme="minorHAnsi"/>
          <w:b/>
          <w:bCs/>
          <w:szCs w:val="24"/>
        </w:rPr>
        <w:t>u</w:t>
      </w:r>
      <w:r w:rsidRPr="00675182">
        <w:rPr>
          <w:rFonts w:eastAsia="Arial Unicode MS" w:cstheme="minorHAnsi"/>
          <w:b/>
          <w:bCs/>
          <w:szCs w:val="24"/>
        </w:rPr>
        <w:t xml:space="preserve"> </w:t>
      </w:r>
      <w:r w:rsidR="001B706A" w:rsidRPr="00675182">
        <w:rPr>
          <w:rFonts w:eastAsia="Arial Unicode MS" w:cstheme="minorHAnsi"/>
          <w:b/>
          <w:bCs/>
          <w:szCs w:val="24"/>
        </w:rPr>
        <w:t xml:space="preserve">un taimiņu </w:t>
      </w:r>
      <w:r w:rsidRPr="00675182">
        <w:rPr>
          <w:rFonts w:eastAsia="Arial Unicode MS" w:cstheme="minorHAnsi"/>
          <w:b/>
          <w:bCs/>
          <w:szCs w:val="24"/>
        </w:rPr>
        <w:t>nārst</w:t>
      </w:r>
      <w:r w:rsidR="001B706A" w:rsidRPr="00675182">
        <w:rPr>
          <w:rFonts w:eastAsia="Arial Unicode MS" w:cstheme="minorHAnsi"/>
          <w:b/>
          <w:bCs/>
          <w:szCs w:val="24"/>
        </w:rPr>
        <w:t>ošanas laikā</w:t>
      </w:r>
    </w:p>
    <w:p w14:paraId="2C616159" w14:textId="1426CA4B" w:rsidR="00D81096" w:rsidRPr="00675182" w:rsidRDefault="00D81096" w:rsidP="00365338">
      <w:pPr>
        <w:snapToGrid w:val="0"/>
        <w:jc w:val="both"/>
        <w:rPr>
          <w:rFonts w:eastAsia="Arial Unicode MS" w:cstheme="minorHAnsi"/>
          <w:szCs w:val="24"/>
        </w:rPr>
      </w:pPr>
      <w:r w:rsidRPr="00675182">
        <w:rPr>
          <w:rFonts w:eastAsia="Arial Unicode MS" w:cstheme="minorHAnsi"/>
          <w:szCs w:val="24"/>
        </w:rPr>
        <w:t xml:space="preserve">Lai izglītotu sabiedrību un iesaistītu lašu </w:t>
      </w:r>
      <w:r w:rsidR="001B706A" w:rsidRPr="00675182">
        <w:rPr>
          <w:rFonts w:eastAsia="Arial Unicode MS" w:cstheme="minorHAnsi"/>
          <w:szCs w:val="24"/>
        </w:rPr>
        <w:t xml:space="preserve">un taimiņu </w:t>
      </w:r>
      <w:r w:rsidRPr="00675182">
        <w:rPr>
          <w:rFonts w:eastAsia="Arial Unicode MS" w:cstheme="minorHAnsi"/>
          <w:szCs w:val="24"/>
        </w:rPr>
        <w:t>nārsta vietu aizsardzībā, ir jāizstrādā rīcības plāns sabiedrības izglītošanai un iesaistei, kurš ietvertu:</w:t>
      </w:r>
    </w:p>
    <w:p w14:paraId="05C4B164" w14:textId="61FB2A0C" w:rsidR="00D81096" w:rsidRPr="00675182" w:rsidRDefault="00EB3F06" w:rsidP="00A84218">
      <w:pPr>
        <w:pStyle w:val="ListParagraph"/>
        <w:numPr>
          <w:ilvl w:val="0"/>
          <w:numId w:val="76"/>
        </w:numPr>
        <w:snapToGrid w:val="0"/>
        <w:jc w:val="both"/>
        <w:rPr>
          <w:rFonts w:eastAsia="Arial Unicode MS" w:cstheme="minorHAnsi"/>
          <w:szCs w:val="24"/>
        </w:rPr>
      </w:pPr>
      <w:r>
        <w:rPr>
          <w:rFonts w:eastAsia="Arial Unicode MS" w:cstheme="minorHAnsi"/>
          <w:szCs w:val="24"/>
        </w:rPr>
        <w:t>i</w:t>
      </w:r>
      <w:r w:rsidRPr="00675182">
        <w:rPr>
          <w:rFonts w:eastAsia="Arial Unicode MS" w:cstheme="minorHAnsi"/>
          <w:szCs w:val="24"/>
        </w:rPr>
        <w:t xml:space="preserve">nformatīvus </w:t>
      </w:r>
      <w:r w:rsidR="001A785B" w:rsidRPr="00675182">
        <w:rPr>
          <w:rFonts w:eastAsia="Arial Unicode MS" w:cstheme="minorHAnsi"/>
          <w:szCs w:val="24"/>
        </w:rPr>
        <w:t>k</w:t>
      </w:r>
      <w:r w:rsidR="00D81096" w:rsidRPr="00675182">
        <w:rPr>
          <w:rFonts w:eastAsia="Arial Unicode MS" w:cstheme="minorHAnsi"/>
          <w:szCs w:val="24"/>
        </w:rPr>
        <w:t xml:space="preserve">ampaņveida pasākumus; </w:t>
      </w:r>
    </w:p>
    <w:p w14:paraId="0666EA52" w14:textId="7B88F648" w:rsidR="00D81096" w:rsidRPr="00675182" w:rsidRDefault="00EB3F06" w:rsidP="00A84218">
      <w:pPr>
        <w:pStyle w:val="ListParagraph"/>
        <w:numPr>
          <w:ilvl w:val="0"/>
          <w:numId w:val="76"/>
        </w:numPr>
        <w:snapToGrid w:val="0"/>
        <w:jc w:val="both"/>
        <w:rPr>
          <w:rFonts w:eastAsia="Arial Unicode MS" w:cstheme="minorHAnsi"/>
          <w:szCs w:val="24"/>
        </w:rPr>
      </w:pPr>
      <w:r>
        <w:rPr>
          <w:rFonts w:eastAsia="Arial Unicode MS" w:cstheme="minorHAnsi"/>
          <w:szCs w:val="24"/>
        </w:rPr>
        <w:t>i</w:t>
      </w:r>
      <w:r w:rsidRPr="00675182">
        <w:rPr>
          <w:rFonts w:eastAsia="Arial Unicode MS" w:cstheme="minorHAnsi"/>
          <w:szCs w:val="24"/>
        </w:rPr>
        <w:t xml:space="preserve">zglītojošu </w:t>
      </w:r>
      <w:r w:rsidR="00D81096" w:rsidRPr="00675182">
        <w:rPr>
          <w:rFonts w:eastAsia="Arial Unicode MS" w:cstheme="minorHAnsi"/>
          <w:szCs w:val="24"/>
        </w:rPr>
        <w:t>stendu sagatavošan</w:t>
      </w:r>
      <w:r w:rsidR="001A785B" w:rsidRPr="00675182">
        <w:rPr>
          <w:rFonts w:eastAsia="Arial Unicode MS" w:cstheme="minorHAnsi"/>
          <w:szCs w:val="24"/>
        </w:rPr>
        <w:t>u</w:t>
      </w:r>
      <w:r w:rsidR="00D81096" w:rsidRPr="00675182">
        <w:rPr>
          <w:rFonts w:eastAsia="Arial Unicode MS" w:cstheme="minorHAnsi"/>
          <w:szCs w:val="24"/>
        </w:rPr>
        <w:t xml:space="preserve"> un izvietošan</w:t>
      </w:r>
      <w:r w:rsidR="001A785B" w:rsidRPr="00675182">
        <w:rPr>
          <w:rFonts w:eastAsia="Arial Unicode MS" w:cstheme="minorHAnsi"/>
          <w:szCs w:val="24"/>
        </w:rPr>
        <w:t>u</w:t>
      </w:r>
      <w:r w:rsidR="00D81096" w:rsidRPr="00675182">
        <w:rPr>
          <w:rFonts w:eastAsia="Arial Unicode MS" w:cstheme="minorHAnsi"/>
          <w:szCs w:val="24"/>
        </w:rPr>
        <w:t xml:space="preserve"> publiski pieejamās</w:t>
      </w:r>
      <w:r w:rsidR="001B706A" w:rsidRPr="00675182">
        <w:rPr>
          <w:rFonts w:eastAsia="Arial Unicode MS" w:cstheme="minorHAnsi"/>
          <w:szCs w:val="24"/>
        </w:rPr>
        <w:t>/populārās vietās (ieteicams iekļaut informāciju par</w:t>
      </w:r>
      <w:r w:rsidR="00365338" w:rsidRPr="00675182">
        <w:rPr>
          <w:rFonts w:eastAsia="Arial Unicode MS" w:cstheme="minorHAnsi"/>
          <w:szCs w:val="24"/>
        </w:rPr>
        <w:t>: spēkā esošiem</w:t>
      </w:r>
      <w:r w:rsidR="001B706A" w:rsidRPr="00675182">
        <w:rPr>
          <w:rFonts w:eastAsia="Arial Unicode MS" w:cstheme="minorHAnsi"/>
          <w:szCs w:val="24"/>
        </w:rPr>
        <w:t xml:space="preserve"> makšķerēšanas noteikumiem un informāciju par biežākajiem to pārkāp</w:t>
      </w:r>
      <w:r w:rsidR="00365338" w:rsidRPr="00675182">
        <w:rPr>
          <w:rFonts w:eastAsia="Arial Unicode MS" w:cstheme="minorHAnsi"/>
          <w:szCs w:val="24"/>
        </w:rPr>
        <w:t xml:space="preserve">umu </w:t>
      </w:r>
      <w:r w:rsidR="001B706A" w:rsidRPr="00675182">
        <w:rPr>
          <w:rFonts w:eastAsia="Arial Unicode MS" w:cstheme="minorHAnsi"/>
          <w:szCs w:val="24"/>
        </w:rPr>
        <w:t xml:space="preserve">veidiem; kā ziņot par </w:t>
      </w:r>
      <w:r w:rsidR="001B706A" w:rsidRPr="00675182">
        <w:rPr>
          <w:rFonts w:eastAsia="Arial Unicode MS" w:cstheme="minorHAnsi"/>
          <w:szCs w:val="24"/>
        </w:rPr>
        <w:lastRenderedPageBreak/>
        <w:t>novēro</w:t>
      </w:r>
      <w:r w:rsidR="00365338" w:rsidRPr="00675182">
        <w:rPr>
          <w:rFonts w:eastAsia="Arial Unicode MS" w:cstheme="minorHAnsi"/>
          <w:szCs w:val="24"/>
        </w:rPr>
        <w:t>tu</w:t>
      </w:r>
      <w:r w:rsidR="001B706A" w:rsidRPr="00675182">
        <w:rPr>
          <w:rFonts w:eastAsia="Arial Unicode MS" w:cstheme="minorHAnsi"/>
          <w:szCs w:val="24"/>
        </w:rPr>
        <w:t xml:space="preserve"> pārkāpumu; kāda makšķerēšana, ko GNP apmeklētājs varētu novērot, ir nelikumīga un kur par novērojamu vēlams ziņot</w:t>
      </w:r>
      <w:r w:rsidR="00365338" w:rsidRPr="00675182">
        <w:rPr>
          <w:rFonts w:eastAsia="Arial Unicode MS" w:cstheme="minorHAnsi"/>
          <w:szCs w:val="24"/>
        </w:rPr>
        <w:t>,</w:t>
      </w:r>
      <w:r w:rsidR="001B706A" w:rsidRPr="00675182">
        <w:rPr>
          <w:rFonts w:eastAsia="Arial Unicode MS" w:cstheme="minorHAnsi"/>
          <w:szCs w:val="24"/>
        </w:rPr>
        <w:t xml:space="preserve"> u.c.)</w:t>
      </w:r>
      <w:r w:rsidR="00D81096" w:rsidRPr="00675182">
        <w:rPr>
          <w:rFonts w:eastAsia="Arial Unicode MS" w:cstheme="minorHAnsi"/>
          <w:szCs w:val="24"/>
        </w:rPr>
        <w:t>;</w:t>
      </w:r>
    </w:p>
    <w:p w14:paraId="0EE3AFCD" w14:textId="3EE062C0" w:rsidR="001B706A" w:rsidRPr="00675182" w:rsidRDefault="001B706A" w:rsidP="00A84218">
      <w:pPr>
        <w:pStyle w:val="ListParagraph"/>
        <w:numPr>
          <w:ilvl w:val="0"/>
          <w:numId w:val="76"/>
        </w:numPr>
        <w:snapToGrid w:val="0"/>
        <w:jc w:val="both"/>
        <w:rPr>
          <w:rFonts w:eastAsia="Arial Unicode MS" w:cstheme="minorHAnsi"/>
          <w:szCs w:val="24"/>
        </w:rPr>
      </w:pPr>
      <w:r w:rsidRPr="00675182">
        <w:rPr>
          <w:rFonts w:eastAsia="Arial Unicode MS" w:cstheme="minorHAnsi"/>
          <w:szCs w:val="24"/>
        </w:rPr>
        <w:t>lašveidīgo zivju nārsta norises vērošanu: interesentu grupām gida pavadībā vai attālināti, izmantojot web kameras;</w:t>
      </w:r>
    </w:p>
    <w:p w14:paraId="0103C433" w14:textId="505D25E3" w:rsidR="0052757B" w:rsidRPr="00675182" w:rsidRDefault="001B706A" w:rsidP="00A84218">
      <w:pPr>
        <w:pStyle w:val="ListParagraph"/>
        <w:numPr>
          <w:ilvl w:val="0"/>
          <w:numId w:val="76"/>
        </w:numPr>
        <w:snapToGrid w:val="0"/>
        <w:jc w:val="both"/>
        <w:rPr>
          <w:rFonts w:eastAsia="Arial Unicode MS" w:cstheme="minorHAnsi"/>
          <w:szCs w:val="24"/>
        </w:rPr>
      </w:pPr>
      <w:r w:rsidRPr="00675182">
        <w:rPr>
          <w:rFonts w:eastAsia="Arial Unicode MS" w:cstheme="minorHAnsi"/>
          <w:szCs w:val="24"/>
        </w:rPr>
        <w:t>mobilo aplikāciju</w:t>
      </w:r>
      <w:r w:rsidR="00920895" w:rsidRPr="00675182">
        <w:rPr>
          <w:rFonts w:eastAsia="Arial Unicode MS" w:cstheme="minorHAnsi"/>
          <w:szCs w:val="24"/>
        </w:rPr>
        <w:t xml:space="preserve"> izstrādi, kas sniegtu informāciju par lašveidīgo zivju nārstu GNP.</w:t>
      </w:r>
    </w:p>
    <w:p w14:paraId="04E2443A" w14:textId="77777777" w:rsidR="007761BA" w:rsidRPr="00675182" w:rsidRDefault="007761BA" w:rsidP="009D2844"/>
    <w:p w14:paraId="5E494B34" w14:textId="77777777" w:rsidR="00111B03" w:rsidRPr="00675182" w:rsidRDefault="00111B03" w:rsidP="009D2844">
      <w:pPr>
        <w:pStyle w:val="Heading3"/>
        <w:rPr>
          <w:szCs w:val="24"/>
          <w:u w:val="single"/>
          <w:lang w:val="lv-LV"/>
        </w:rPr>
      </w:pPr>
      <w:bookmarkStart w:id="164" w:name="_Toc116938422"/>
      <w:bookmarkEnd w:id="108"/>
      <w:r w:rsidRPr="00675182">
        <w:rPr>
          <w:szCs w:val="24"/>
          <w:u w:val="single"/>
          <w:lang w:val="lv-LV"/>
        </w:rPr>
        <w:t>F. Izpēte un monitorings</w:t>
      </w:r>
      <w:bookmarkEnd w:id="164"/>
    </w:p>
    <w:p w14:paraId="3CD70333" w14:textId="77777777" w:rsidR="00111B03" w:rsidRPr="00675182" w:rsidRDefault="00111B03" w:rsidP="00111B03">
      <w:pPr>
        <w:rPr>
          <w:rFonts w:cstheme="minorHAnsi"/>
          <w:b/>
        </w:rPr>
      </w:pPr>
    </w:p>
    <w:p w14:paraId="1FA2984A" w14:textId="77777777" w:rsidR="00111B03" w:rsidRPr="00675182" w:rsidRDefault="00111B03" w:rsidP="00BF7348">
      <w:pPr>
        <w:jc w:val="both"/>
        <w:rPr>
          <w:rFonts w:cstheme="minorHAnsi"/>
          <w:b/>
        </w:rPr>
      </w:pPr>
      <w:r w:rsidRPr="00675182">
        <w:rPr>
          <w:rFonts w:cstheme="minorHAnsi"/>
          <w:b/>
        </w:rPr>
        <w:t>F.1. Aizsargājamo biotopu un to apsaimniekošanas pasākumu efektivitātes monitorings</w:t>
      </w:r>
    </w:p>
    <w:p w14:paraId="489E5B6A" w14:textId="77777777" w:rsidR="00111B03" w:rsidRPr="00675182" w:rsidRDefault="00111B03" w:rsidP="00111B03">
      <w:pPr>
        <w:jc w:val="both"/>
        <w:rPr>
          <w:rFonts w:cstheme="minorHAnsi"/>
        </w:rPr>
      </w:pPr>
      <w:r w:rsidRPr="00675182">
        <w:rPr>
          <w:rFonts w:cstheme="minorHAnsi"/>
        </w:rPr>
        <w:t>GNP aizsargājamo biotopu monitoringam jākalpo diviem primārajiem mērķiem:</w:t>
      </w:r>
    </w:p>
    <w:p w14:paraId="7E25CE57" w14:textId="12F17D17" w:rsidR="00111B03" w:rsidRPr="00675182" w:rsidRDefault="00111B03" w:rsidP="00111B03">
      <w:pPr>
        <w:jc w:val="both"/>
        <w:rPr>
          <w:rFonts w:cstheme="minorHAnsi"/>
        </w:rPr>
      </w:pPr>
      <w:r w:rsidRPr="00675182">
        <w:rPr>
          <w:rFonts w:cstheme="minorHAnsi"/>
        </w:rPr>
        <w:t>1) jānodrošina dati teritorijas Natura 2000 datu bāzes (SDF) papildinājumiem;</w:t>
      </w:r>
    </w:p>
    <w:p w14:paraId="0B69E1D6" w14:textId="77777777" w:rsidR="00111B03" w:rsidRPr="00675182" w:rsidRDefault="00111B03" w:rsidP="00111B03">
      <w:pPr>
        <w:jc w:val="both"/>
        <w:rPr>
          <w:rFonts w:cstheme="minorHAnsi"/>
        </w:rPr>
      </w:pPr>
      <w:r w:rsidRPr="00675182">
        <w:rPr>
          <w:rFonts w:cstheme="minorHAnsi"/>
        </w:rPr>
        <w:t>2) jānodrošina dati Latvijas ziņojumam Eiropas Komisijai par ES Biotopu direktīvas pielikumos esošo sugu un biotopu stāvokli.</w:t>
      </w:r>
    </w:p>
    <w:p w14:paraId="78097687" w14:textId="77777777" w:rsidR="00111B03" w:rsidRPr="00675182" w:rsidRDefault="00111B03" w:rsidP="00111B03">
      <w:pPr>
        <w:jc w:val="both"/>
        <w:rPr>
          <w:rFonts w:cstheme="minorHAnsi"/>
        </w:rPr>
      </w:pPr>
    </w:p>
    <w:p w14:paraId="1E150431" w14:textId="55589726" w:rsidR="00111B03" w:rsidRPr="00675182" w:rsidRDefault="00111B03" w:rsidP="00111B03">
      <w:pPr>
        <w:jc w:val="both"/>
        <w:rPr>
          <w:rFonts w:cstheme="minorHAnsi"/>
        </w:rPr>
      </w:pPr>
      <w:r w:rsidRPr="00675182">
        <w:rPr>
          <w:rFonts w:cstheme="minorHAnsi"/>
        </w:rPr>
        <w:t>Monitoringam GNP teritorijā ir jānodrošina informācijas ievākšana par biotopu aizņemtajām platībām teritorijā un biotopu kvalitāti, kas ietver arī biotopiem raksturīgo struktūru un procesu kvalitāti. Šo rādītāju izmaiņas būs iespējams novērtēt, salīdzinot jauniegūtos datus ar iepriekšējā perioda vērtējumu, kas iegūts aizsargājamo biotopu izpētē GNP un kura dati ietverti Natura 2000 datu bāzē (SDF).</w:t>
      </w:r>
    </w:p>
    <w:p w14:paraId="274E9C0D" w14:textId="77777777" w:rsidR="00111B03" w:rsidRPr="00675182" w:rsidRDefault="00111B03" w:rsidP="00111B03">
      <w:pPr>
        <w:jc w:val="both"/>
        <w:rPr>
          <w:rFonts w:cstheme="minorHAnsi"/>
        </w:rPr>
      </w:pPr>
    </w:p>
    <w:p w14:paraId="0DC566CF" w14:textId="4442DCFA" w:rsidR="00111B03" w:rsidRPr="00675182" w:rsidRDefault="00111B03" w:rsidP="00111B03">
      <w:pPr>
        <w:jc w:val="both"/>
        <w:rPr>
          <w:rFonts w:cstheme="minorHAnsi"/>
        </w:rPr>
      </w:pPr>
      <w:r w:rsidRPr="00675182">
        <w:rPr>
          <w:rFonts w:cstheme="minorHAnsi"/>
        </w:rPr>
        <w:t>Monitoringa datus aizsargājamo biotopu platībās, kurām DA plānā nav paredzēti speciāli apsaimniekošanas pasākumi, paredzēts ievākt spēkā esošās Vides monitoringa programmas Natura 2000 teritoriju monitoringa ietvaros. Monitoringa ietvaros ievāktie dati par biotopu platību un kvalitātes izmaiņām izvērtējami</w:t>
      </w:r>
      <w:r w:rsidR="00942928">
        <w:rPr>
          <w:rFonts w:cstheme="minorHAnsi"/>
        </w:rPr>
        <w:t xml:space="preserve"> ik pēc sešiem gadiem, gatavojot ziņojumu EK par sugu un biotopu aizsardzības stāvokli, kā arī</w:t>
      </w:r>
      <w:r w:rsidRPr="00675182">
        <w:rPr>
          <w:rFonts w:cstheme="minorHAnsi"/>
        </w:rPr>
        <w:t xml:space="preserve"> izstrādājot nākamo GNP DA plānu. Izvērtējumā analizējama DA plānā paredzēto un īstenoto pasākumu, kā arī aizsardzības režīma (zonējuma un ierobežojumu) ietekme uz biotopu platībām, kvalitāti, ietekmējošiem procesiem un funkcijām.</w:t>
      </w:r>
    </w:p>
    <w:p w14:paraId="6905BCA2" w14:textId="77777777" w:rsidR="00111B03" w:rsidRPr="00675182" w:rsidRDefault="00111B03" w:rsidP="00111B03">
      <w:pPr>
        <w:jc w:val="both"/>
        <w:rPr>
          <w:rFonts w:cstheme="minorHAnsi"/>
        </w:rPr>
      </w:pPr>
    </w:p>
    <w:p w14:paraId="1C227DDA" w14:textId="77777777" w:rsidR="00111B03" w:rsidRPr="00675182" w:rsidRDefault="00111B03" w:rsidP="00111B03">
      <w:pPr>
        <w:jc w:val="both"/>
        <w:rPr>
          <w:rFonts w:cstheme="minorHAnsi"/>
        </w:rPr>
      </w:pPr>
      <w:r w:rsidRPr="00675182">
        <w:rPr>
          <w:rFonts w:cstheme="minorHAnsi"/>
        </w:rPr>
        <w:t>Veicot pasākumus biotopu aizsardzībai un apsaimniekošanai, nepieciešams paredzēt šo pasākumu ietekmes monitoringu, lai izvērtētu pasākumu atbilstību konkrētās teritorijas prasībām, kā arī sagatavotu ieteikumus apsaimniekošanas pasākumu veikšanai nākotnē. Plānojot infrastruktūras izbūvi, it sevišķi alu un iežu atsegumu tuvumā, nepieciešams gan paredzēt sākotnējā stāvokļa fiksēšanu, gan regulāru biotopu un aizsargājamo sugu stāvokļa monitoringu, gan arī mehānismu, kā iespējams mainīt infrastruktūras novietojumu un veidu, ja monitoringa ietvaros tiek konstatēta nelabvēlīga ietekme.</w:t>
      </w:r>
    </w:p>
    <w:p w14:paraId="7242D65B" w14:textId="77777777" w:rsidR="00111B03" w:rsidRPr="00675182" w:rsidRDefault="00111B03" w:rsidP="00111B03">
      <w:pPr>
        <w:jc w:val="both"/>
        <w:rPr>
          <w:rFonts w:cstheme="minorHAnsi"/>
        </w:rPr>
      </w:pPr>
    </w:p>
    <w:p w14:paraId="092649D0" w14:textId="77777777" w:rsidR="00111B03" w:rsidRPr="00675182" w:rsidRDefault="00111B03" w:rsidP="00111B03">
      <w:pPr>
        <w:jc w:val="both"/>
        <w:rPr>
          <w:rFonts w:cstheme="minorHAnsi"/>
          <w:b/>
          <w:bCs/>
        </w:rPr>
      </w:pPr>
      <w:r w:rsidRPr="00675182">
        <w:rPr>
          <w:rFonts w:cstheme="minorHAnsi"/>
          <w:b/>
          <w:bCs/>
        </w:rPr>
        <w:t>Saldūdens biotopu un to apsaimniekošanas pasākumu monitorings</w:t>
      </w:r>
    </w:p>
    <w:p w14:paraId="1CEA61A5" w14:textId="54243444" w:rsidR="00111B03" w:rsidRPr="00675182" w:rsidRDefault="00111B03" w:rsidP="00111B03">
      <w:pPr>
        <w:jc w:val="both"/>
        <w:rPr>
          <w:rFonts w:cstheme="minorHAnsi"/>
        </w:rPr>
      </w:pPr>
      <w:r w:rsidRPr="00675182">
        <w:rPr>
          <w:rFonts w:cstheme="minorHAnsi"/>
        </w:rPr>
        <w:t xml:space="preserve">Lai novērtētu izmaiņas saldūdens biotopu kvalitātē, regulāri jāveic gan bioloģisko, gan fizikāli-ķīmisko parametru monitorings GNP upēs un ezeros. Esošo LVĢMC monitoringa sistēmu nepieciešams papildināt, iekļaujot regulāru monitoringu Ninierī un Driškinā, kuros sastopamas retas un </w:t>
      </w:r>
      <w:r w:rsidR="00162D38">
        <w:rPr>
          <w:rFonts w:cstheme="minorHAnsi"/>
        </w:rPr>
        <w:t>ĪA</w:t>
      </w:r>
      <w:r w:rsidRPr="00675182">
        <w:rPr>
          <w:rFonts w:cstheme="minorHAnsi"/>
        </w:rPr>
        <w:t xml:space="preserve"> augu sugas un ir liela rekreācijas slodze. Reizi vismaz 5 gados veicams makrofītu monitorings ezeros un upēs, fitoplanktona un fizikāli-ķīmisko parametru analīzes – katru gadu, pēc iespējas vairākās sezonās.</w:t>
      </w:r>
    </w:p>
    <w:p w14:paraId="66B0A971" w14:textId="77777777" w:rsidR="00111B03" w:rsidRPr="00675182" w:rsidRDefault="00111B03" w:rsidP="00111B03">
      <w:pPr>
        <w:jc w:val="both"/>
        <w:rPr>
          <w:rFonts w:cstheme="minorHAnsi"/>
        </w:rPr>
      </w:pPr>
    </w:p>
    <w:p w14:paraId="22613E3A" w14:textId="77777777" w:rsidR="00111B03" w:rsidRPr="00675182" w:rsidRDefault="00111B03" w:rsidP="00111B03">
      <w:pPr>
        <w:jc w:val="both"/>
        <w:rPr>
          <w:rFonts w:cstheme="minorHAnsi"/>
        </w:rPr>
      </w:pPr>
      <w:r w:rsidRPr="00675182">
        <w:rPr>
          <w:rFonts w:cstheme="minorHAnsi"/>
        </w:rPr>
        <w:lastRenderedPageBreak/>
        <w:t>Monitorings jāveic jebkurā ūdenstilpē arī pirms un pēc apsaimniekošanas pasākumu veikšanas upē vai ezerā vai tā sateces baseinā, ja sagaidāma ietekme uz ūdenstilpi. Monitoringa veids ir atkarīgs no biotopa un veicamās darbības – upēs lielāka nozīme no bioloģiskajiem parametriem ir bentiskajiem bezmugurkaulniekiem un zivīm, savukārt ezeros – makrofītiem un fitoplanktonam. Veicot darbības, kas saistītas ar ezeru ūdens līmeņa izmaiņām un/vai sedimentu izņemšanu, obligāti jāveic arī ūdens fizikāli-ķīmisko parametru monitorings. Veicot apsaimniekošanu, paralēli monitoringam ieteicams veikt arī fotofiksāciju, lai fiksētu izmaiņas biotopā. Izstrādājot apsaimniekošanas projektu, monitoringa izmaksas jāiekļauj izmaksās, ietverot ūdens paraugu analīzi laboratorijā.</w:t>
      </w:r>
    </w:p>
    <w:p w14:paraId="079CF950" w14:textId="77777777" w:rsidR="00111B03" w:rsidRPr="00675182" w:rsidRDefault="00111B03" w:rsidP="00111B03">
      <w:pPr>
        <w:jc w:val="both"/>
        <w:rPr>
          <w:rFonts w:cstheme="minorHAnsi"/>
        </w:rPr>
      </w:pPr>
    </w:p>
    <w:p w14:paraId="2C15150E" w14:textId="77777777" w:rsidR="00111B03" w:rsidRPr="00675182" w:rsidRDefault="00111B03" w:rsidP="00111B03">
      <w:pPr>
        <w:jc w:val="both"/>
        <w:rPr>
          <w:rFonts w:cstheme="minorHAnsi"/>
          <w:b/>
          <w:bCs/>
        </w:rPr>
      </w:pPr>
      <w:r w:rsidRPr="00675182">
        <w:rPr>
          <w:rFonts w:cstheme="minorHAnsi"/>
          <w:b/>
          <w:bCs/>
        </w:rPr>
        <w:t>Meža un purvu biotopu un apsaimniekošanas pasākumu monitorings</w:t>
      </w:r>
    </w:p>
    <w:p w14:paraId="3FD58D42" w14:textId="09592E14" w:rsidR="00111B03" w:rsidRPr="00675182" w:rsidRDefault="00111B03" w:rsidP="00111B03">
      <w:pPr>
        <w:jc w:val="both"/>
        <w:rPr>
          <w:rFonts w:cstheme="minorHAnsi"/>
        </w:rPr>
      </w:pPr>
      <w:r w:rsidRPr="00675182">
        <w:rPr>
          <w:rFonts w:cstheme="minorHAnsi"/>
        </w:rPr>
        <w:t xml:space="preserve">Papildus Natura 2000 teritoriju monitoringam, kas sniedz datus par vispārējo biotopu stāvokli teritorijā, pirms nākamā DA plāna izstrādes jāveic atkārtota </w:t>
      </w:r>
      <w:r w:rsidR="00942928">
        <w:rPr>
          <w:rFonts w:cstheme="minorHAnsi"/>
        </w:rPr>
        <w:t xml:space="preserve">ES nozīmes </w:t>
      </w:r>
      <w:r w:rsidRPr="00675182">
        <w:rPr>
          <w:rFonts w:cstheme="minorHAnsi"/>
        </w:rPr>
        <w:t>mežu un purvu biotopu inventarizācija reprezentatīvā atlases kopā, aizpildot biotopu inventarizācijas un monitoringa anketu (vismaz 5-10% biotopu platību), lai detalizēti novērtētu izmaiņas biotopu aizsardzības stāvoklī. Jāplāno arī tādu mežu un purvu teritoriju apsekošana, kas uz DA plāna izstrādes brīdi neatbilda potenciālo biotopu atlases kritērijiem, bet sasniegs tos DA plāna darbības laikā.</w:t>
      </w:r>
    </w:p>
    <w:p w14:paraId="7E98E847" w14:textId="77777777" w:rsidR="00111B03" w:rsidRPr="00675182" w:rsidRDefault="00111B03" w:rsidP="00111B03">
      <w:pPr>
        <w:jc w:val="both"/>
        <w:rPr>
          <w:rFonts w:cstheme="minorHAnsi"/>
        </w:rPr>
      </w:pPr>
      <w:r w:rsidRPr="00675182">
        <w:rPr>
          <w:rFonts w:cstheme="minorHAnsi"/>
        </w:rPr>
        <w:t xml:space="preserve"> </w:t>
      </w:r>
    </w:p>
    <w:p w14:paraId="4B13DAB0" w14:textId="77777777" w:rsidR="00111B03" w:rsidRPr="00675182" w:rsidRDefault="00111B03" w:rsidP="00111B03">
      <w:pPr>
        <w:jc w:val="both"/>
        <w:rPr>
          <w:rFonts w:cstheme="minorHAnsi"/>
        </w:rPr>
      </w:pPr>
      <w:r w:rsidRPr="00675182">
        <w:rPr>
          <w:rFonts w:cstheme="minorHAnsi"/>
        </w:rPr>
        <w:t xml:space="preserve">Platībās, kur plānota susināšanas ietekmēto purvu un meža biotopu hidroloģiskā režīma atjaunošana, monitoringa pasākumi jāparedz attiecīgo teritoriju detalizētos hidroloģiskā režīma atjaunošanas plānos, kuriem jāietver arī monitoringa metodika un praktiskie risinājumi monitoringa nodrošināšanai. Kā viens no monitoringa pasākumiem jāparedz gruntsūdens līmeņa monitorings, kas jāuzsāk vismaz 2 - 3 gadus pirms hidroloģiskā režīma atjaunošanas pasākumu veikšanas. Gruntsūdens līmeņa monitoringa punktu izvietojums jāplāno reizē ar hidroloģiskā režīma atjaunošanas pasākumu plānošanu. Ūdenslīmeņa datu ievākšanas biežumu jāpielāgo izvēlētajam mērījumu tehniskajam risinājumam, bet ne retāk kā vienu reizi 2 nedēļās. </w:t>
      </w:r>
    </w:p>
    <w:p w14:paraId="53B9652F" w14:textId="77777777" w:rsidR="00111B03" w:rsidRPr="00675182" w:rsidRDefault="00111B03" w:rsidP="00111B03">
      <w:pPr>
        <w:jc w:val="both"/>
        <w:rPr>
          <w:rFonts w:cstheme="minorHAnsi"/>
        </w:rPr>
      </w:pPr>
    </w:p>
    <w:p w14:paraId="0A6B8E59" w14:textId="77777777" w:rsidR="00111B03" w:rsidRPr="00675182" w:rsidRDefault="00111B03" w:rsidP="00111B03">
      <w:pPr>
        <w:jc w:val="both"/>
        <w:rPr>
          <w:rFonts w:cstheme="minorHAnsi"/>
        </w:rPr>
      </w:pPr>
      <w:r w:rsidRPr="00675182">
        <w:rPr>
          <w:rFonts w:cstheme="minorHAnsi"/>
        </w:rPr>
        <w:t>Tāpat plānojami veģetācijas monitoringa pasākumi, kuru ierīkošanas un datu ievākšanas principi saskaņojami ar projekta “Dabas daudzveidības saglabāšana LV-LT pārrobežu reģiona mitrājos, izmantojot daudzveidīgus apsaimniekošanas pasākumus” (Interreg V-A Latvijas-Lietuvas programma 2014.-2020.  gadam, LLI-306 – Open Landscape/Atvērtā ainava) ietvaros izstrādāto metodoloģiju mitrāju biotopu atjaunošanas/apsaimniekošanas pasākumu efektivitātes novērtēšanai un ilgtermiņa monitoringam.</w:t>
      </w:r>
    </w:p>
    <w:p w14:paraId="5B40B0BD" w14:textId="77777777" w:rsidR="00111B03" w:rsidRPr="00675182" w:rsidRDefault="00111B03" w:rsidP="00111B03">
      <w:pPr>
        <w:jc w:val="both"/>
        <w:rPr>
          <w:rFonts w:cstheme="minorHAnsi"/>
        </w:rPr>
      </w:pPr>
    </w:p>
    <w:p w14:paraId="5BC93CA4" w14:textId="77777777" w:rsidR="00111B03" w:rsidRPr="00675182" w:rsidRDefault="00111B03" w:rsidP="00111B03">
      <w:pPr>
        <w:jc w:val="both"/>
        <w:rPr>
          <w:rFonts w:cstheme="minorHAnsi"/>
        </w:rPr>
      </w:pPr>
      <w:r w:rsidRPr="00675182">
        <w:rPr>
          <w:rFonts w:cstheme="minorHAnsi"/>
        </w:rPr>
        <w:t>Pārējo mežu un purvu biotopu apsaimniekošanas pasākumu monitorings veicams atbilstoši attiecīgā pasākuma ietvaros veikto pasākumu specifikai, kam pasākuma īstenošanas plānā formulēti atbilstoši monitoringa pasākumi.</w:t>
      </w:r>
    </w:p>
    <w:p w14:paraId="522854B1" w14:textId="77777777" w:rsidR="00111B03" w:rsidRPr="00675182" w:rsidRDefault="00111B03" w:rsidP="00111B03">
      <w:pPr>
        <w:jc w:val="both"/>
        <w:rPr>
          <w:rFonts w:cstheme="minorHAnsi"/>
        </w:rPr>
      </w:pPr>
    </w:p>
    <w:p w14:paraId="7045E077" w14:textId="77777777" w:rsidR="00111B03" w:rsidRPr="00675182" w:rsidRDefault="00111B03" w:rsidP="00111B03">
      <w:pPr>
        <w:jc w:val="both"/>
        <w:rPr>
          <w:rFonts w:cstheme="minorHAnsi"/>
          <w:b/>
          <w:bCs/>
        </w:rPr>
      </w:pPr>
      <w:r w:rsidRPr="00675182">
        <w:rPr>
          <w:rFonts w:cstheme="minorHAnsi"/>
          <w:b/>
          <w:bCs/>
        </w:rPr>
        <w:t>Zālāju biotopu un apsaimniekošanas pasākumu monitorings</w:t>
      </w:r>
    </w:p>
    <w:p w14:paraId="43C13116" w14:textId="0BF5FF8E" w:rsidR="00111B03" w:rsidRPr="00675182" w:rsidRDefault="00111B03" w:rsidP="00111B03">
      <w:pPr>
        <w:jc w:val="both"/>
        <w:rPr>
          <w:rFonts w:cstheme="minorHAnsi"/>
        </w:rPr>
      </w:pPr>
      <w:r w:rsidRPr="00675182">
        <w:rPr>
          <w:rFonts w:cstheme="minorHAnsi"/>
        </w:rPr>
        <w:t xml:space="preserve">Informācija par zālāju biotopu stāvokli un tā izmaiņām GNP teritorijā DA plāna darbības laikā iegūstama spēkā esošās Vides monitoringa programmas Natura 2000 teritoriju monitoringa ietvaros. Monitoringa ietvaros ievāktie dati par biotopu platību un kvalitātes izmaiņām izvērtējami, izstrādājot nākamo GNP DA plānu un IAIN. Ņemot vērā, ka zālāju biotopu platības GNP ir salīdzinoši nelielas, nākamā DA plāna izstrādes ietvaros </w:t>
      </w:r>
      <w:r w:rsidRPr="00675182">
        <w:rPr>
          <w:rFonts w:cstheme="minorHAnsi"/>
        </w:rPr>
        <w:lastRenderedPageBreak/>
        <w:t xml:space="preserve">jāparedz arī </w:t>
      </w:r>
      <w:r w:rsidR="00BF7348">
        <w:rPr>
          <w:rFonts w:cstheme="minorHAnsi"/>
        </w:rPr>
        <w:t>pilnīga</w:t>
      </w:r>
      <w:r w:rsidR="00BF7348" w:rsidRPr="00675182">
        <w:rPr>
          <w:rFonts w:cstheme="minorHAnsi"/>
        </w:rPr>
        <w:t xml:space="preserve"> </w:t>
      </w:r>
      <w:r w:rsidRPr="00675182">
        <w:rPr>
          <w:rFonts w:cstheme="minorHAnsi"/>
        </w:rPr>
        <w:t xml:space="preserve">zināmo zālāju biotopu inventarizācija, lai biotopu inventarizācijas anketas nebūtu vecākas par 5 gadiem, kā arī papildus ilggadīgo zālāju apsekošana, identificējot platības, kurās plāna darbības laikā sasniegti ES nozīmes zālāja biotopu minimālie kritēriji. Teritorijās, kur notiek zālāju atjaunošana un apsaimniekošana projektu ietvaros (piemēram, KF projekta platībās), monitorings jāveic atbilstoši projektā plānotajai metodikai un laika grafikam. Pārējos ES nozīmes zālāju biotopos to apsaimniekošanas sekmes DA plāna darbības laikā varēs izvērtēt, ja tiks ieviesta </w:t>
      </w:r>
      <w:r w:rsidR="00D05228" w:rsidRPr="00675182">
        <w:rPr>
          <w:rFonts w:cstheme="minorHAnsi"/>
        </w:rPr>
        <w:t xml:space="preserve">uz </w:t>
      </w:r>
      <w:r w:rsidRPr="00675182">
        <w:rPr>
          <w:rFonts w:cstheme="minorHAnsi"/>
        </w:rPr>
        <w:t>rezultāt</w:t>
      </w:r>
      <w:r w:rsidR="00D05228" w:rsidRPr="00675182">
        <w:rPr>
          <w:rFonts w:cstheme="minorHAnsi"/>
        </w:rPr>
        <w:t xml:space="preserve">iem </w:t>
      </w:r>
      <w:r w:rsidRPr="00675182">
        <w:rPr>
          <w:rFonts w:cstheme="minorHAnsi"/>
        </w:rPr>
        <w:t>orientēta zālāju apsaimniekošana un atbalsta maksājumi Lauku attīstības programmas ietvaros.</w:t>
      </w:r>
    </w:p>
    <w:p w14:paraId="6584FC92" w14:textId="77777777" w:rsidR="00111B03" w:rsidRPr="00675182" w:rsidRDefault="00111B03" w:rsidP="00111B03">
      <w:pPr>
        <w:jc w:val="both"/>
        <w:rPr>
          <w:rFonts w:cstheme="minorHAnsi"/>
        </w:rPr>
      </w:pPr>
    </w:p>
    <w:p w14:paraId="39DA563D" w14:textId="77777777" w:rsidR="00111B03" w:rsidRPr="00675182" w:rsidRDefault="00111B03" w:rsidP="00111B03">
      <w:pPr>
        <w:jc w:val="both"/>
        <w:rPr>
          <w:rFonts w:cstheme="minorHAnsi"/>
          <w:b/>
          <w:bCs/>
        </w:rPr>
      </w:pPr>
      <w:r w:rsidRPr="00675182">
        <w:rPr>
          <w:rFonts w:cstheme="minorHAnsi"/>
          <w:b/>
          <w:bCs/>
        </w:rPr>
        <w:t>Iežu atsegumu un alu biotopu un apsaimniekošanas pasākumu monitorings un izpēte</w:t>
      </w:r>
    </w:p>
    <w:p w14:paraId="7DCC1C1E" w14:textId="77777777" w:rsidR="00111B03" w:rsidRPr="00675182" w:rsidRDefault="00111B03" w:rsidP="00111B03">
      <w:pPr>
        <w:jc w:val="both"/>
        <w:rPr>
          <w:rFonts w:cstheme="minorHAnsi"/>
        </w:rPr>
      </w:pPr>
      <w:r w:rsidRPr="00675182">
        <w:rPr>
          <w:rFonts w:cstheme="minorHAnsi"/>
        </w:rPr>
        <w:t>Iežu atsegumu un alu biotopu Natura 2000 monitoringā jāizmanto fotofiksācija, vēlams - nostiprinot dabā vai aprakstot fotoattēla uzņemšanas vietu, lai kvalitatīvi varētu salīdzināt fotofiksācijas datus no dažādiem gadiem.</w:t>
      </w:r>
    </w:p>
    <w:p w14:paraId="1A5F9F90" w14:textId="77777777" w:rsidR="00111B03" w:rsidRPr="00675182" w:rsidRDefault="00111B03" w:rsidP="00111B03">
      <w:pPr>
        <w:jc w:val="both"/>
        <w:rPr>
          <w:rFonts w:cstheme="minorHAnsi"/>
        </w:rPr>
      </w:pPr>
    </w:p>
    <w:p w14:paraId="61792A1B" w14:textId="77777777" w:rsidR="00111B03" w:rsidRPr="00675182" w:rsidRDefault="00111B03" w:rsidP="00111B03">
      <w:pPr>
        <w:jc w:val="both"/>
        <w:rPr>
          <w:rFonts w:cstheme="minorHAnsi"/>
        </w:rPr>
      </w:pPr>
      <w:r w:rsidRPr="00675182">
        <w:rPr>
          <w:rFonts w:cstheme="minorHAnsi"/>
        </w:rPr>
        <w:t>Iežu atsegumu un alu biotopu apsaimniekošanas vadlīnijās norādīts, ka pietrūkst informācijas par šajos biotopos sastopamo sugu ekoloģiskajām prasībām un sugu sastāvu un aizsardzības stāvokli ietekmējošajiem faktoriem. Ņemot vērā, ka GNP ir iežu atsegumiem un alām visbagātākā teritorija Latvijā, jāplāno specifiski izpētes un monitoringa pasākumi, lai iegūtu turpmākajos aizsardzības un apsaimniekošanas pasākumos izmantojamu informāciju. Pētījumā jāiekļauj reprezentatīva daļa no visiem GNP iežu atsegumu un alu biotopiem (pārstāvot gan iežu veidus – smilšakmeņi, lodīšu smilšakmeņi, karbonātieži –, gan dažādus GNP ģeogrāfiskos apvidus), vismaz divas reizes DA plāna darbības laikā tos apsekojot (un izmantojot arī DA plāna izstrādes laikā sagatavotās inventarizācijas un monitoringa anketas), ievācot un analizējot datus par iežu atsegumu ekspozīciju, noēnojumu, mitruma apstākļiem, fizikāli ķīmiskajiem rādītājiem, sugu sastāvu un segumu u.c. Tādējādi būtu iegūstama informācija, lai objektīvi izvērtētu gan dabisko procesu, gan antropogēnās slodzes ietekmi un varētu pieņemt kvalitatīvos datos balstītus lēmumus par turpmākajiem aizsardzības, apsaimniekošanas un infrastruktūras izveidošanas/uzturēšanas pasākumiem.</w:t>
      </w:r>
    </w:p>
    <w:p w14:paraId="00514300" w14:textId="77777777" w:rsidR="00111B03" w:rsidRPr="00675182" w:rsidRDefault="00111B03" w:rsidP="00111B03">
      <w:pPr>
        <w:rPr>
          <w:rFonts w:cstheme="minorHAnsi"/>
        </w:rPr>
      </w:pPr>
    </w:p>
    <w:p w14:paraId="48840DC6" w14:textId="77777777" w:rsidR="00111B03" w:rsidRPr="00675182" w:rsidRDefault="00111B03" w:rsidP="00DB7C07">
      <w:pPr>
        <w:keepNext/>
        <w:keepLines/>
        <w:rPr>
          <w:rFonts w:cstheme="minorHAnsi"/>
          <w:bCs/>
          <w:u w:val="single"/>
        </w:rPr>
      </w:pPr>
      <w:r w:rsidRPr="00675182">
        <w:rPr>
          <w:rFonts w:cstheme="minorHAnsi"/>
          <w:bCs/>
          <w:u w:val="single"/>
        </w:rPr>
        <w:t>F.2 Reto un aizsargājamo sugu monitorings un izpēte</w:t>
      </w:r>
    </w:p>
    <w:p w14:paraId="0D11364F" w14:textId="77777777" w:rsidR="00111B03" w:rsidRPr="00675182" w:rsidRDefault="00111B03" w:rsidP="00DB7C07">
      <w:pPr>
        <w:keepNext/>
        <w:keepLines/>
        <w:rPr>
          <w:rFonts w:cstheme="minorHAnsi"/>
          <w:bCs/>
          <w:u w:val="single"/>
        </w:rPr>
      </w:pPr>
    </w:p>
    <w:p w14:paraId="685D1A3C" w14:textId="77777777" w:rsidR="00111B03" w:rsidRPr="00675182" w:rsidRDefault="00111B03" w:rsidP="00DB7C07">
      <w:pPr>
        <w:keepNext/>
        <w:keepLines/>
        <w:jc w:val="both"/>
        <w:rPr>
          <w:rFonts w:cstheme="minorHAnsi"/>
          <w:b/>
          <w:bCs/>
        </w:rPr>
      </w:pPr>
      <w:r w:rsidRPr="00675182">
        <w:rPr>
          <w:rFonts w:cstheme="minorHAnsi"/>
          <w:b/>
          <w:bCs/>
        </w:rPr>
        <w:t>F.2.1. Sugu monitorings esošo monitoringa programmu ietvaros</w:t>
      </w:r>
    </w:p>
    <w:p w14:paraId="56C47013" w14:textId="77777777" w:rsidR="00111B03" w:rsidRPr="00675182" w:rsidRDefault="00111B03" w:rsidP="00DB7C07">
      <w:pPr>
        <w:keepNext/>
        <w:keepLines/>
        <w:jc w:val="both"/>
        <w:rPr>
          <w:rFonts w:cstheme="minorHAnsi"/>
        </w:rPr>
      </w:pPr>
      <w:r w:rsidRPr="00675182">
        <w:rPr>
          <w:rFonts w:cstheme="minorHAnsi"/>
        </w:rPr>
        <w:t>GNP teritorijā līdz šim notikušas un turpināmas monitoringa aktivitātes dažādu plašāku monitoringa programmu ietvaros, t.sk. ziemojošo sikspārņu monitorings, Biotopu Direktīvas II pielikuma sugu monitorings, putnu monitorings Natura 2000 teritorijās u.c. Dati, kuri šādu monitoringa programmu ietvaros tiks iegūti DA plāna darbības laikā, izmantojami nākošā DA plāna izstrādē, kā arī DA plāna darbības laikā var būt par pamatu aizsardzības un apsaimniekošanas pasākumu plānošanai un īstenošanai.</w:t>
      </w:r>
    </w:p>
    <w:p w14:paraId="490C618B" w14:textId="77777777" w:rsidR="00111B03" w:rsidRPr="00675182" w:rsidRDefault="00111B03" w:rsidP="00111B03">
      <w:pPr>
        <w:jc w:val="both"/>
        <w:rPr>
          <w:rFonts w:cstheme="minorHAnsi"/>
        </w:rPr>
      </w:pPr>
    </w:p>
    <w:p w14:paraId="7B06E6C3" w14:textId="77777777" w:rsidR="00111B03" w:rsidRPr="00675182" w:rsidRDefault="00111B03" w:rsidP="00111B03">
      <w:pPr>
        <w:jc w:val="both"/>
        <w:rPr>
          <w:rFonts w:cstheme="minorHAnsi"/>
          <w:b/>
          <w:bCs/>
        </w:rPr>
      </w:pPr>
      <w:r w:rsidRPr="00675182">
        <w:rPr>
          <w:rFonts w:cstheme="minorHAnsi"/>
          <w:b/>
          <w:bCs/>
        </w:rPr>
        <w:t>F.2.2. Reto un aizsargājamo sugu speciālais monitorings</w:t>
      </w:r>
    </w:p>
    <w:p w14:paraId="52CFBBCD" w14:textId="77599ECF" w:rsidR="00111B03" w:rsidRPr="00675182" w:rsidRDefault="00111B03" w:rsidP="00111B03">
      <w:pPr>
        <w:jc w:val="both"/>
        <w:rPr>
          <w:rFonts w:cstheme="minorHAnsi"/>
        </w:rPr>
      </w:pPr>
      <w:r w:rsidRPr="00675182">
        <w:rPr>
          <w:rFonts w:cstheme="minorHAnsi"/>
        </w:rPr>
        <w:t xml:space="preserve">Jānodrošina monitorings visu sugu grupu aizsargājamajām sugām GNP teritorijā, kuras pēc Latvijas Sarkanās grāmatas sugu saraksta aktualizēšanas tiks klasificētas kā 1. vai 2. kategorijas sugas un kurām monitorings netiek nodrošināts F.2.1. pasākumā minēto monitoringa programmu ietvaros. Izmantojama katrai sugu grupai izstrādātā un </w:t>
      </w:r>
      <w:r w:rsidR="00F863A2">
        <w:rPr>
          <w:rFonts w:cstheme="minorHAnsi"/>
        </w:rPr>
        <w:t>DAP</w:t>
      </w:r>
      <w:r w:rsidRPr="00675182">
        <w:rPr>
          <w:rFonts w:cstheme="minorHAnsi"/>
        </w:rPr>
        <w:t xml:space="preserve"> apstiprinātā monitoringa metodika, iegūtie dati izmantojami gan nākošā DA plāna </w:t>
      </w:r>
      <w:r w:rsidRPr="00675182">
        <w:rPr>
          <w:rFonts w:cstheme="minorHAnsi"/>
        </w:rPr>
        <w:lastRenderedPageBreak/>
        <w:t>izstrādē, gan DA plāna darbības laikā var būt par pamatu aizsardzības un apsaimniekošanas pasākumu plānošanai un īstenošanai.</w:t>
      </w:r>
    </w:p>
    <w:p w14:paraId="06649625" w14:textId="77777777" w:rsidR="00111B03" w:rsidRPr="00675182" w:rsidRDefault="00111B03" w:rsidP="00111B03">
      <w:pPr>
        <w:autoSpaceDE w:val="0"/>
        <w:jc w:val="both"/>
        <w:rPr>
          <w:rFonts w:cstheme="minorHAnsi"/>
          <w:szCs w:val="24"/>
        </w:rPr>
      </w:pPr>
      <w:r w:rsidRPr="00675182">
        <w:rPr>
          <w:rFonts w:cstheme="minorHAnsi"/>
          <w:szCs w:val="24"/>
        </w:rPr>
        <w:t xml:space="preserve">Sugu grupā ķērpji prioritāri jāveic monitorings šādām sugām: </w:t>
      </w:r>
      <w:r w:rsidRPr="00675182">
        <w:rPr>
          <w:rFonts w:cstheme="minorHAnsi"/>
          <w:i/>
          <w:iCs/>
          <w:szCs w:val="24"/>
        </w:rPr>
        <w:t>Collema flaccidum, Cliostomum corrugatum, Hypogymnia vittata, Dermatocarpon luridum, Scytinium lichenoides, Solorina saccata, Umbilicaria polyphylla</w:t>
      </w:r>
      <w:r w:rsidRPr="00675182">
        <w:rPr>
          <w:rFonts w:cstheme="minorHAnsi"/>
          <w:szCs w:val="24"/>
        </w:rPr>
        <w:t>, ar periodiskumu – atradnes apsekošana reizi 5 gados.</w:t>
      </w:r>
    </w:p>
    <w:p w14:paraId="5BE0C7C8" w14:textId="4174113A" w:rsidR="00111B03" w:rsidRPr="00675182" w:rsidRDefault="00111B03" w:rsidP="00111B03">
      <w:pPr>
        <w:autoSpaceDE w:val="0"/>
        <w:jc w:val="both"/>
        <w:rPr>
          <w:rFonts w:cstheme="minorHAnsi"/>
          <w:szCs w:val="24"/>
        </w:rPr>
      </w:pPr>
      <w:r w:rsidRPr="00675182">
        <w:rPr>
          <w:rFonts w:cstheme="minorHAnsi"/>
          <w:szCs w:val="24"/>
        </w:rPr>
        <w:t xml:space="preserve">Sugu grupā vaskulārie augi jāveic monitorings šādām GNP nozīmīgām sugām: kailā dobspārne </w:t>
      </w:r>
      <w:r w:rsidRPr="00675182">
        <w:rPr>
          <w:rFonts w:cstheme="minorHAnsi"/>
          <w:i/>
          <w:iCs/>
          <w:szCs w:val="24"/>
        </w:rPr>
        <w:t>Cenolophium denudatum</w:t>
      </w:r>
      <w:r w:rsidRPr="00675182">
        <w:rPr>
          <w:rFonts w:cstheme="minorHAnsi"/>
          <w:szCs w:val="24"/>
        </w:rPr>
        <w:t xml:space="preserve">, vīru dzegužpuķe </w:t>
      </w:r>
      <w:r w:rsidRPr="00675182">
        <w:rPr>
          <w:rFonts w:cstheme="minorHAnsi"/>
          <w:i/>
          <w:iCs/>
          <w:szCs w:val="24"/>
        </w:rPr>
        <w:t>Orchis mascula</w:t>
      </w:r>
      <w:r w:rsidRPr="00675182">
        <w:rPr>
          <w:rFonts w:cstheme="minorHAnsi"/>
          <w:szCs w:val="24"/>
        </w:rPr>
        <w:t xml:space="preserve">, bruņcepuru dzegužpuķe </w:t>
      </w:r>
      <w:r w:rsidRPr="00675182">
        <w:rPr>
          <w:rFonts w:cstheme="minorHAnsi"/>
          <w:i/>
          <w:iCs/>
          <w:szCs w:val="24"/>
        </w:rPr>
        <w:t>Orchis militaris</w:t>
      </w:r>
      <w:r w:rsidRPr="00675182">
        <w:rPr>
          <w:rFonts w:cstheme="minorHAnsi"/>
          <w:szCs w:val="24"/>
        </w:rPr>
        <w:t xml:space="preserve">, tumšzilā drudzene </w:t>
      </w:r>
      <w:r w:rsidRPr="00675182">
        <w:rPr>
          <w:rFonts w:cstheme="minorHAnsi"/>
          <w:i/>
          <w:iCs/>
          <w:szCs w:val="24"/>
        </w:rPr>
        <w:t>Gentiana pneumonanthe</w:t>
      </w:r>
      <w:r w:rsidRPr="00675182">
        <w:rPr>
          <w:rFonts w:cstheme="minorHAnsi"/>
          <w:szCs w:val="24"/>
        </w:rPr>
        <w:t xml:space="preserve">, krustlapu drudzene </w:t>
      </w:r>
      <w:r w:rsidRPr="00675182">
        <w:rPr>
          <w:rFonts w:cstheme="minorHAnsi"/>
          <w:i/>
          <w:iCs/>
          <w:szCs w:val="24"/>
        </w:rPr>
        <w:t>Gentiana cruciata</w:t>
      </w:r>
      <w:r w:rsidRPr="00675182">
        <w:rPr>
          <w:rFonts w:cstheme="minorHAnsi"/>
          <w:szCs w:val="24"/>
        </w:rPr>
        <w:t>.</w:t>
      </w:r>
    </w:p>
    <w:p w14:paraId="1CC5A6FA" w14:textId="65A3948B" w:rsidR="00DB7C07" w:rsidRPr="00675182" w:rsidRDefault="00DB7C07" w:rsidP="00111B03">
      <w:pPr>
        <w:autoSpaceDE w:val="0"/>
        <w:jc w:val="both"/>
        <w:rPr>
          <w:rFonts w:cstheme="minorHAnsi"/>
          <w:szCs w:val="24"/>
        </w:rPr>
      </w:pPr>
    </w:p>
    <w:p w14:paraId="2EB2B07C" w14:textId="77777777" w:rsidR="00DB7C07" w:rsidRPr="00675182" w:rsidRDefault="00DB7C07" w:rsidP="00DB7C07">
      <w:pPr>
        <w:rPr>
          <w:rFonts w:cstheme="minorHAnsi"/>
        </w:rPr>
      </w:pPr>
      <w:r w:rsidRPr="00675182">
        <w:rPr>
          <w:rFonts w:cstheme="minorHAnsi"/>
        </w:rPr>
        <w:t>Tuvākajā desmitgadē pētījumu prioritātes GNP ir:</w:t>
      </w:r>
    </w:p>
    <w:p w14:paraId="1829402B" w14:textId="77777777" w:rsidR="00DB7C07" w:rsidRPr="00675182" w:rsidRDefault="00DB7C07" w:rsidP="00DB7C07">
      <w:pPr>
        <w:rPr>
          <w:rFonts w:cstheme="minorHAnsi"/>
        </w:rPr>
      </w:pPr>
      <w:r w:rsidRPr="00675182">
        <w:rPr>
          <w:rFonts w:cstheme="minorHAnsi"/>
        </w:rPr>
        <w:t>i)</w:t>
      </w:r>
      <w:r w:rsidRPr="00675182">
        <w:rPr>
          <w:rFonts w:cstheme="minorHAnsi"/>
        </w:rPr>
        <w:tab/>
        <w:t xml:space="preserve">lielā tritona izplatības un kopējā populācijas lieluma precizēšana, </w:t>
      </w:r>
      <w:r w:rsidRPr="00675182">
        <w:rPr>
          <w:rFonts w:cstheme="minorHAnsi"/>
          <w:b/>
          <w:bCs/>
        </w:rPr>
        <w:t>F.2.2.</w:t>
      </w:r>
    </w:p>
    <w:p w14:paraId="018F712A" w14:textId="77777777" w:rsidR="00DB7C07" w:rsidRPr="00675182" w:rsidRDefault="00DB7C07" w:rsidP="00DB7C07">
      <w:pPr>
        <w:rPr>
          <w:rFonts w:cstheme="minorHAnsi"/>
        </w:rPr>
      </w:pPr>
      <w:r w:rsidRPr="00675182">
        <w:rPr>
          <w:rFonts w:cstheme="minorHAnsi"/>
        </w:rPr>
        <w:t>ii)</w:t>
      </w:r>
      <w:r w:rsidRPr="00675182">
        <w:rPr>
          <w:rFonts w:cstheme="minorHAnsi"/>
        </w:rPr>
        <w:tab/>
        <w:t xml:space="preserve">zināmo lielā tritona populāciju monitorings, </w:t>
      </w:r>
      <w:r w:rsidRPr="00675182">
        <w:rPr>
          <w:rFonts w:cstheme="minorHAnsi"/>
          <w:b/>
          <w:bCs/>
        </w:rPr>
        <w:t>F.2.2.</w:t>
      </w:r>
    </w:p>
    <w:p w14:paraId="4F867C86" w14:textId="76F50CEE" w:rsidR="00DB7C07" w:rsidRPr="00675182" w:rsidRDefault="00DB7C07" w:rsidP="00DB7C07">
      <w:pPr>
        <w:autoSpaceDE w:val="0"/>
        <w:jc w:val="both"/>
        <w:rPr>
          <w:rFonts w:cstheme="minorHAnsi"/>
          <w:szCs w:val="24"/>
        </w:rPr>
      </w:pPr>
      <w:r w:rsidRPr="00675182">
        <w:rPr>
          <w:rFonts w:cstheme="minorHAnsi"/>
        </w:rPr>
        <w:t>iv)</w:t>
      </w:r>
      <w:r w:rsidRPr="00675182">
        <w:rPr>
          <w:rFonts w:cstheme="minorHAnsi"/>
        </w:rPr>
        <w:tab/>
        <w:t xml:space="preserve">Latvijā parastu, taču ekosistēmām nozīmīgu abinieku populāciju monitorings. </w:t>
      </w:r>
      <w:r w:rsidRPr="00675182">
        <w:rPr>
          <w:rFonts w:cstheme="minorHAnsi"/>
          <w:b/>
          <w:bCs/>
        </w:rPr>
        <w:t>F.2.1.</w:t>
      </w:r>
    </w:p>
    <w:p w14:paraId="64F95A88" w14:textId="77777777" w:rsidR="00111B03" w:rsidRPr="00675182" w:rsidRDefault="00111B03" w:rsidP="00111B03">
      <w:pPr>
        <w:jc w:val="both"/>
        <w:rPr>
          <w:rFonts w:cstheme="minorHAnsi"/>
        </w:rPr>
      </w:pPr>
    </w:p>
    <w:p w14:paraId="4D12F197" w14:textId="77777777" w:rsidR="00111B03" w:rsidRPr="00675182" w:rsidRDefault="00111B03" w:rsidP="00111B03">
      <w:pPr>
        <w:jc w:val="both"/>
        <w:rPr>
          <w:rFonts w:cstheme="minorHAnsi"/>
          <w:b/>
          <w:bCs/>
        </w:rPr>
      </w:pPr>
      <w:r w:rsidRPr="00675182">
        <w:rPr>
          <w:rFonts w:cstheme="minorHAnsi"/>
          <w:b/>
          <w:bCs/>
        </w:rPr>
        <w:t>F.2.3. Sugu dzīvotņu apsaimniekošanas pasākumu efektivitātes monitorings</w:t>
      </w:r>
    </w:p>
    <w:p w14:paraId="6ACB140E" w14:textId="41939A58" w:rsidR="00111B03" w:rsidRPr="00675182" w:rsidRDefault="00111B03" w:rsidP="00111B03">
      <w:pPr>
        <w:jc w:val="both"/>
        <w:rPr>
          <w:rFonts w:cstheme="minorHAnsi"/>
        </w:rPr>
      </w:pPr>
      <w:r w:rsidRPr="00675182">
        <w:rPr>
          <w:rFonts w:cstheme="minorHAnsi"/>
        </w:rPr>
        <w:t xml:space="preserve">Plānojot un īstenojot sugu dzīvotņu apsaimniekošanas pasākumus, jāparedz esošā stāvokļa inventarizācija pirms pasākuma uzsākšanas un pasākuma rezultātu monitorings atbilstoši pasākuma un sugas specifikai. Monitoringā ievāktie dati jānodod </w:t>
      </w:r>
      <w:r w:rsidR="00EF0264">
        <w:rPr>
          <w:rFonts w:cstheme="minorHAnsi"/>
        </w:rPr>
        <w:t>DAP</w:t>
      </w:r>
      <w:r w:rsidRPr="00675182">
        <w:rPr>
          <w:rFonts w:cstheme="minorHAnsi"/>
        </w:rPr>
        <w:t>, lai būtu iespējams tos izmantot citu apsaimniekošanas pasākumu plānošanā un nākamā DA plāna izstrādē.</w:t>
      </w:r>
    </w:p>
    <w:p w14:paraId="0BCD5400" w14:textId="77777777" w:rsidR="00111B03" w:rsidRPr="00675182" w:rsidRDefault="00111B03" w:rsidP="00111B03">
      <w:pPr>
        <w:jc w:val="both"/>
        <w:rPr>
          <w:rFonts w:cstheme="minorHAnsi"/>
        </w:rPr>
      </w:pPr>
    </w:p>
    <w:p w14:paraId="5F1C41AA" w14:textId="77777777" w:rsidR="00111B03" w:rsidRPr="00675182" w:rsidRDefault="00111B03" w:rsidP="00BF7348">
      <w:pPr>
        <w:autoSpaceDE w:val="0"/>
        <w:jc w:val="both"/>
        <w:rPr>
          <w:rFonts w:cstheme="minorHAnsi"/>
          <w:b/>
          <w:bCs/>
          <w:szCs w:val="24"/>
        </w:rPr>
      </w:pPr>
      <w:r w:rsidRPr="00675182">
        <w:rPr>
          <w:rFonts w:cstheme="minorHAnsi"/>
          <w:b/>
          <w:bCs/>
          <w:szCs w:val="24"/>
        </w:rPr>
        <w:t xml:space="preserve">F.2.4. Biezās perlamutrenes </w:t>
      </w:r>
      <w:r w:rsidRPr="00675182">
        <w:rPr>
          <w:rFonts w:cstheme="minorHAnsi"/>
          <w:b/>
          <w:bCs/>
          <w:i/>
          <w:iCs/>
          <w:szCs w:val="24"/>
        </w:rPr>
        <w:t>Unio crassus</w:t>
      </w:r>
      <w:r w:rsidRPr="00675182">
        <w:rPr>
          <w:rFonts w:cstheme="minorHAnsi"/>
          <w:b/>
          <w:bCs/>
          <w:szCs w:val="24"/>
        </w:rPr>
        <w:t xml:space="preserve"> populācijas stāvokļa un reprodukcijas sekmju izvērtējums</w:t>
      </w:r>
    </w:p>
    <w:p w14:paraId="5A100367" w14:textId="61A948C6" w:rsidR="00111B03" w:rsidRPr="00675182" w:rsidRDefault="00111B03" w:rsidP="00111B03">
      <w:pPr>
        <w:autoSpaceDE w:val="0"/>
        <w:jc w:val="both"/>
        <w:rPr>
          <w:rFonts w:cstheme="minorHAnsi"/>
          <w:szCs w:val="24"/>
        </w:rPr>
      </w:pPr>
      <w:r w:rsidRPr="00675182">
        <w:rPr>
          <w:rFonts w:cstheme="minorHAnsi"/>
          <w:szCs w:val="24"/>
        </w:rPr>
        <w:t xml:space="preserve">Gaujas baseinā esošajai biezās perlamutrenes </w:t>
      </w:r>
      <w:r w:rsidRPr="00675182">
        <w:rPr>
          <w:rFonts w:cstheme="minorHAnsi"/>
          <w:i/>
          <w:iCs/>
          <w:szCs w:val="24"/>
        </w:rPr>
        <w:t>Unio crassus</w:t>
      </w:r>
      <w:r w:rsidRPr="00675182">
        <w:rPr>
          <w:rFonts w:cstheme="minorHAnsi"/>
          <w:szCs w:val="24"/>
        </w:rPr>
        <w:t xml:space="preserve"> populācijai ir būtiska nozīme valsts populācijas ilgtspējīgā saglabāšanā. Balstoties uz sugas monitoringa līdzšinējiem datiem, Gaujā varētu būt liela populācija tomēr, izmantojot </w:t>
      </w:r>
      <w:r w:rsidR="00D777CB">
        <w:rPr>
          <w:rFonts w:cstheme="minorHAnsi"/>
          <w:szCs w:val="24"/>
        </w:rPr>
        <w:t>2020. gadā sagatavoto b</w:t>
      </w:r>
      <w:r w:rsidR="00D777CB">
        <w:rPr>
          <w:shd w:val="clear" w:color="auto" w:fill="FFFFFF"/>
        </w:rPr>
        <w:t>ezmugurkaulnieku monitoringa metodika Natura 2000 teritorijās</w:t>
      </w:r>
      <w:r w:rsidRPr="00675182">
        <w:rPr>
          <w:rFonts w:cstheme="minorHAnsi"/>
          <w:szCs w:val="24"/>
        </w:rPr>
        <w:t xml:space="preserve">, ir iespējams izvērtēt īpatņu blīvumu un sastopamību tikai atsevišķās vietās ar nelielu dziļumu un labu ūdens caurredzamību. Biezās perlamutrenes populācijas stāvokļa un reprodukcijas sekmju izvērtējumam ir nepieciešams veikt monitoringa pasākumus vietās, kas nav pieejamas, izmantojot brišanas metodi un standarta ekipējumu – visdrīzāk, ar ūdenslīdēju palīdzību. Izmantojot šādi iegūtos datus, ir jāveic vecuma struktūras analīze un vairošanās sekmju izvērtējums.  </w:t>
      </w:r>
    </w:p>
    <w:p w14:paraId="335F6ECB" w14:textId="77777777" w:rsidR="00111B03" w:rsidRPr="00675182" w:rsidRDefault="00111B03" w:rsidP="00111B03">
      <w:pPr>
        <w:autoSpaceDE w:val="0"/>
        <w:rPr>
          <w:rFonts w:cstheme="minorHAnsi"/>
          <w:b/>
          <w:bCs/>
          <w:szCs w:val="24"/>
        </w:rPr>
      </w:pPr>
    </w:p>
    <w:p w14:paraId="6F2A3C8E" w14:textId="77777777" w:rsidR="00111B03" w:rsidRPr="00675182" w:rsidRDefault="00111B03" w:rsidP="00BF7348">
      <w:pPr>
        <w:autoSpaceDE w:val="0"/>
        <w:jc w:val="both"/>
        <w:rPr>
          <w:rFonts w:cstheme="minorHAnsi"/>
          <w:b/>
          <w:bCs/>
          <w:szCs w:val="24"/>
        </w:rPr>
      </w:pPr>
      <w:r w:rsidRPr="00675182">
        <w:rPr>
          <w:rFonts w:cstheme="minorHAnsi"/>
          <w:b/>
          <w:bCs/>
          <w:szCs w:val="24"/>
        </w:rPr>
        <w:t>F.2.5.</w:t>
      </w:r>
      <w:r w:rsidRPr="00675182">
        <w:rPr>
          <w:rFonts w:cstheme="minorHAnsi"/>
          <w:b/>
          <w:bCs/>
          <w:szCs w:val="24"/>
        </w:rPr>
        <w:tab/>
        <w:t xml:space="preserve">Tumšās pūcītes </w:t>
      </w:r>
      <w:r w:rsidRPr="00675182">
        <w:rPr>
          <w:rFonts w:cstheme="minorHAnsi"/>
          <w:b/>
          <w:bCs/>
          <w:i/>
          <w:iCs/>
          <w:szCs w:val="24"/>
        </w:rPr>
        <w:t>Xylomoia strix</w:t>
      </w:r>
      <w:r w:rsidRPr="00675182">
        <w:rPr>
          <w:rFonts w:cstheme="minorHAnsi"/>
          <w:b/>
          <w:bCs/>
          <w:szCs w:val="24"/>
        </w:rPr>
        <w:t xml:space="preserve">, austrumu koksngrauža </w:t>
      </w:r>
      <w:r w:rsidRPr="00675182">
        <w:rPr>
          <w:rFonts w:cstheme="minorHAnsi"/>
          <w:b/>
          <w:bCs/>
          <w:i/>
          <w:iCs/>
          <w:szCs w:val="24"/>
        </w:rPr>
        <w:t>Mesosa myops</w:t>
      </w:r>
      <w:r w:rsidRPr="00675182">
        <w:rPr>
          <w:rFonts w:cstheme="minorHAnsi"/>
          <w:b/>
          <w:bCs/>
          <w:szCs w:val="24"/>
        </w:rPr>
        <w:t xml:space="preserve">, lapkoku praulgrauža </w:t>
      </w:r>
      <w:r w:rsidRPr="00675182">
        <w:rPr>
          <w:rFonts w:cstheme="minorHAnsi"/>
          <w:b/>
          <w:bCs/>
          <w:i/>
          <w:iCs/>
          <w:szCs w:val="24"/>
        </w:rPr>
        <w:t>Osmoderma barnabita</w:t>
      </w:r>
      <w:r w:rsidRPr="00675182">
        <w:rPr>
          <w:rFonts w:cstheme="minorHAnsi"/>
          <w:b/>
          <w:bCs/>
          <w:szCs w:val="24"/>
        </w:rPr>
        <w:t xml:space="preserve">, ziemeļu upespērlenes </w:t>
      </w:r>
      <w:r w:rsidRPr="00675182">
        <w:rPr>
          <w:rFonts w:cstheme="minorHAnsi"/>
          <w:b/>
          <w:bCs/>
          <w:i/>
          <w:iCs/>
          <w:szCs w:val="24"/>
        </w:rPr>
        <w:t>Margaritifera margaritifera</w:t>
      </w:r>
      <w:r w:rsidRPr="00675182">
        <w:rPr>
          <w:rFonts w:cstheme="minorHAnsi"/>
          <w:b/>
          <w:bCs/>
          <w:szCs w:val="24"/>
        </w:rPr>
        <w:t xml:space="preserve">, skabiozu pļavraibeņa </w:t>
      </w:r>
      <w:r w:rsidRPr="00675182">
        <w:rPr>
          <w:rFonts w:cstheme="minorHAnsi"/>
          <w:b/>
          <w:bCs/>
          <w:i/>
          <w:iCs/>
          <w:szCs w:val="24"/>
        </w:rPr>
        <w:t>Euphydrias aurinia</w:t>
      </w:r>
      <w:r w:rsidRPr="00675182">
        <w:rPr>
          <w:rFonts w:cstheme="minorHAnsi"/>
          <w:b/>
          <w:bCs/>
          <w:szCs w:val="24"/>
        </w:rPr>
        <w:t xml:space="preserve"> izpēte</w:t>
      </w:r>
    </w:p>
    <w:p w14:paraId="4262197C" w14:textId="77777777" w:rsidR="00111B03" w:rsidRPr="00675182" w:rsidRDefault="00111B03" w:rsidP="00111B03">
      <w:pPr>
        <w:jc w:val="both"/>
        <w:rPr>
          <w:rFonts w:cstheme="minorHAnsi"/>
          <w:szCs w:val="24"/>
        </w:rPr>
      </w:pPr>
      <w:r w:rsidRPr="00675182">
        <w:rPr>
          <w:rFonts w:cstheme="minorHAnsi"/>
          <w:szCs w:val="24"/>
        </w:rPr>
        <w:t xml:space="preserve">Virknei bezmugurkaulnieku sugu populācija GNP veido nozīmīgu daļu no kopējās populācijas valstī vai to sastopamība ir īpaši nozīmīga teritorijai. Šo sugu labvēlīga aizsardzības statusa nodrošināšanai nepieciešams īstenot plašākus pētījumus ar mērķi precizēt populācijas stāvokli teritorijā, to apdraudošus faktorus, noteikt dzīvotņu kvalitāti un to ietekmi uz kopējo populācijas lielumu. Sugas kurām ir veicama zinātniskā izpēte ir </w:t>
      </w:r>
      <w:r w:rsidRPr="00675182">
        <w:rPr>
          <w:rFonts w:cstheme="minorHAnsi"/>
          <w:color w:val="000000"/>
          <w:szCs w:val="24"/>
          <w:shd w:val="clear" w:color="auto" w:fill="FFFFFF"/>
        </w:rPr>
        <w:t xml:space="preserve">skabiozu pļavraibenis </w:t>
      </w:r>
      <w:r w:rsidRPr="00675182">
        <w:rPr>
          <w:rFonts w:cstheme="minorHAnsi"/>
          <w:i/>
          <w:color w:val="000000"/>
          <w:szCs w:val="24"/>
          <w:shd w:val="clear" w:color="auto" w:fill="FFFFFF"/>
        </w:rPr>
        <w:t>Euphydryas aurinia</w:t>
      </w:r>
      <w:r w:rsidRPr="00675182">
        <w:rPr>
          <w:rFonts w:cstheme="minorHAnsi"/>
          <w:color w:val="000000"/>
          <w:szCs w:val="24"/>
          <w:shd w:val="clear" w:color="auto" w:fill="FFFFFF"/>
        </w:rPr>
        <w:t xml:space="preserve">, tumšā pūcīte </w:t>
      </w:r>
      <w:r w:rsidRPr="00675182">
        <w:rPr>
          <w:rFonts w:cstheme="minorHAnsi"/>
          <w:i/>
          <w:color w:val="000000"/>
          <w:szCs w:val="24"/>
          <w:shd w:val="clear" w:color="auto" w:fill="FFFFFF"/>
        </w:rPr>
        <w:t xml:space="preserve">Xylomoia strix, </w:t>
      </w:r>
      <w:r w:rsidRPr="00675182">
        <w:rPr>
          <w:rFonts w:cstheme="minorHAnsi"/>
          <w:szCs w:val="24"/>
        </w:rPr>
        <w:lastRenderedPageBreak/>
        <w:t xml:space="preserve">austrumu koksngrauzis </w:t>
      </w:r>
      <w:r w:rsidRPr="00675182">
        <w:rPr>
          <w:rFonts w:cstheme="minorHAnsi"/>
          <w:i/>
          <w:szCs w:val="24"/>
        </w:rPr>
        <w:t>Mesosa myops</w:t>
      </w:r>
      <w:r w:rsidRPr="00675182">
        <w:rPr>
          <w:rFonts w:cstheme="minorHAnsi"/>
          <w:szCs w:val="24"/>
        </w:rPr>
        <w:t xml:space="preserve">, lapkoku praulgrauzis </w:t>
      </w:r>
      <w:r w:rsidRPr="00675182">
        <w:rPr>
          <w:rFonts w:cstheme="minorHAnsi"/>
          <w:i/>
          <w:szCs w:val="24"/>
        </w:rPr>
        <w:t>Osmoderma barnabita</w:t>
      </w:r>
      <w:r w:rsidRPr="00675182">
        <w:rPr>
          <w:rFonts w:cstheme="minorHAnsi"/>
          <w:szCs w:val="24"/>
        </w:rPr>
        <w:t xml:space="preserve"> un ziemeļu upespērlene </w:t>
      </w:r>
      <w:r w:rsidRPr="00675182">
        <w:rPr>
          <w:rFonts w:cstheme="minorHAnsi"/>
          <w:i/>
          <w:szCs w:val="24"/>
        </w:rPr>
        <w:t>Margaritifera margaritifera</w:t>
      </w:r>
      <w:r w:rsidRPr="00675182">
        <w:rPr>
          <w:rFonts w:cstheme="minorHAnsi"/>
          <w:szCs w:val="24"/>
        </w:rPr>
        <w:t>.</w:t>
      </w:r>
    </w:p>
    <w:p w14:paraId="4878744D" w14:textId="77777777" w:rsidR="00111B03" w:rsidRPr="00675182" w:rsidRDefault="00111B03" w:rsidP="00111B03">
      <w:pPr>
        <w:autoSpaceDE w:val="0"/>
        <w:rPr>
          <w:rFonts w:cstheme="minorHAnsi"/>
          <w:szCs w:val="24"/>
        </w:rPr>
      </w:pPr>
    </w:p>
    <w:p w14:paraId="50128809" w14:textId="77777777" w:rsidR="00111B03" w:rsidRPr="00675182" w:rsidRDefault="00111B03" w:rsidP="00111B03">
      <w:pPr>
        <w:jc w:val="both"/>
        <w:rPr>
          <w:rFonts w:cstheme="minorHAnsi"/>
          <w:b/>
          <w:bCs/>
        </w:rPr>
      </w:pPr>
      <w:r w:rsidRPr="00675182">
        <w:rPr>
          <w:rFonts w:cstheme="minorHAnsi"/>
          <w:b/>
          <w:bCs/>
        </w:rPr>
        <w:t>F.2.6. Zivju, nēģu un vēžu monitoringa uzlabošana un papildināšana</w:t>
      </w:r>
    </w:p>
    <w:p w14:paraId="71F9A7D8" w14:textId="77777777" w:rsidR="00111B03" w:rsidRPr="00675182" w:rsidRDefault="00111B03" w:rsidP="00111B03">
      <w:pPr>
        <w:jc w:val="both"/>
        <w:rPr>
          <w:rFonts w:cstheme="minorHAnsi"/>
        </w:rPr>
      </w:pPr>
      <w:r w:rsidRPr="00675182">
        <w:rPr>
          <w:rFonts w:cstheme="minorHAnsi"/>
        </w:rPr>
        <w:t xml:space="preserve">1) Minimālais zivju monitoringa staciju skaits un platība saglabājams vismaz tādi paši kā līdz šim saskaņā ar dokumentu “Ietekumi zivju, nēģu un vēžu monitoringa metodikai un monitoringa parauglaukumu izvietojumam Natura 2000 teritorijās un ārpus tām”. </w:t>
      </w:r>
    </w:p>
    <w:p w14:paraId="11A8FCDD" w14:textId="77777777" w:rsidR="00111B03" w:rsidRPr="00675182" w:rsidRDefault="00111B03" w:rsidP="00111B03">
      <w:pPr>
        <w:jc w:val="both"/>
        <w:rPr>
          <w:rFonts w:cstheme="minorHAnsi"/>
        </w:rPr>
      </w:pPr>
      <w:r w:rsidRPr="00675182">
        <w:rPr>
          <w:rFonts w:cstheme="minorHAnsi"/>
        </w:rPr>
        <w:t>2) Veicot izmaiņas monitoringa staciju telpiskajā izvietojumā, jāsaglabā tās fiksētās vietās, kur zivju uzskaite veikta regulāri jau iepriekš, t.i., laša monitoringa stacijas Gaujā un Amatā, to skaits attiecīgi 5 un 3. Šajās stacijās laša monitorings būtu jāveic katru gadu.</w:t>
      </w:r>
    </w:p>
    <w:p w14:paraId="1AF95346" w14:textId="77777777" w:rsidR="00111B03" w:rsidRPr="00675182" w:rsidRDefault="00111B03" w:rsidP="00111B03">
      <w:pPr>
        <w:jc w:val="both"/>
        <w:rPr>
          <w:rFonts w:cstheme="minorHAnsi"/>
        </w:rPr>
      </w:pPr>
      <w:r w:rsidRPr="00675182">
        <w:rPr>
          <w:rFonts w:cstheme="minorHAnsi"/>
        </w:rPr>
        <w:t>3) Jāparedz monitorings upēs, kur veiktas vai tiks veiktas darbības ar mērķi atjaunot zivju un nēģu migrācijas iespējas.</w:t>
      </w:r>
    </w:p>
    <w:p w14:paraId="69FC659D" w14:textId="77777777" w:rsidR="00111B03" w:rsidRPr="00675182" w:rsidRDefault="00111B03" w:rsidP="00111B03">
      <w:pPr>
        <w:jc w:val="both"/>
        <w:rPr>
          <w:rFonts w:cstheme="minorHAnsi"/>
        </w:rPr>
      </w:pPr>
      <w:r w:rsidRPr="00675182">
        <w:rPr>
          <w:rFonts w:cstheme="minorHAnsi"/>
        </w:rPr>
        <w:t xml:space="preserve">4) Jāparedz monitorings upēs un ezeros, kur tiks veiktas darbības ar mērķi atjaunot un/vai uzlabot zivju dzīvotnes un to stāvokli. Jāveic zivju ceļos augšup migrējošo zivju uzskaite. </w:t>
      </w:r>
    </w:p>
    <w:p w14:paraId="12D3394A" w14:textId="77777777" w:rsidR="00111B03" w:rsidRPr="00675182" w:rsidRDefault="00111B03" w:rsidP="00111B03">
      <w:pPr>
        <w:jc w:val="both"/>
        <w:rPr>
          <w:rFonts w:cstheme="minorHAnsi"/>
        </w:rPr>
      </w:pPr>
      <w:r w:rsidRPr="00675182">
        <w:rPr>
          <w:rFonts w:cstheme="minorHAnsi"/>
        </w:rPr>
        <w:t>5) Jāizveido sistēma esošo un plānoto monitoringa programmu un pētījumu rezultātu apkopošanai un analīzei, lai dati, kas attiecas uz aizsargājamo sugu un ĪADT apsaimniekošanu, nonāk DAP rīcībā un ir izmantojami gan DAP savas kompetences ietvaros, gan citām iestādēm un pētījumu veicējiem.</w:t>
      </w:r>
    </w:p>
    <w:p w14:paraId="3C8D883D" w14:textId="77777777" w:rsidR="00111B03" w:rsidRPr="00675182" w:rsidRDefault="00111B03" w:rsidP="00111B03">
      <w:pPr>
        <w:autoSpaceDE w:val="0"/>
        <w:rPr>
          <w:rFonts w:cstheme="minorHAnsi"/>
          <w:b/>
          <w:bCs/>
          <w:szCs w:val="24"/>
        </w:rPr>
      </w:pPr>
    </w:p>
    <w:p w14:paraId="1CB05FA2" w14:textId="77777777" w:rsidR="00111B03" w:rsidRPr="00675182" w:rsidRDefault="00111B03" w:rsidP="00111B03">
      <w:pPr>
        <w:keepNext/>
        <w:keepLines/>
        <w:rPr>
          <w:rFonts w:cstheme="minorHAnsi"/>
          <w:b/>
        </w:rPr>
      </w:pPr>
      <w:r w:rsidRPr="00675182">
        <w:rPr>
          <w:rFonts w:cstheme="minorHAnsi"/>
          <w:b/>
        </w:rPr>
        <w:t>F.3. Ainavu izmaiņu monitorings</w:t>
      </w:r>
    </w:p>
    <w:p w14:paraId="4EDCA07E" w14:textId="1DFBF092" w:rsidR="000125E3" w:rsidRPr="00675182" w:rsidRDefault="000125E3" w:rsidP="000125E3">
      <w:pPr>
        <w:keepNext/>
        <w:keepLines/>
        <w:snapToGrid w:val="0"/>
        <w:jc w:val="both"/>
        <w:rPr>
          <w:rFonts w:eastAsia="Arial Unicode MS" w:cstheme="minorHAnsi"/>
          <w:szCs w:val="24"/>
        </w:rPr>
      </w:pPr>
      <w:r w:rsidRPr="00675182">
        <w:rPr>
          <w:rFonts w:eastAsia="Arial Unicode MS" w:cstheme="minorHAnsi"/>
          <w:szCs w:val="24"/>
        </w:rPr>
        <w:t>Ainavām raksturīga dinamiska mainība</w:t>
      </w:r>
      <w:r w:rsidR="00EF1FCC" w:rsidRPr="00675182">
        <w:rPr>
          <w:rFonts w:eastAsia="Arial Unicode MS" w:cstheme="minorHAnsi"/>
          <w:szCs w:val="24"/>
        </w:rPr>
        <w:t>,</w:t>
      </w:r>
      <w:r w:rsidRPr="00675182">
        <w:rPr>
          <w:rFonts w:eastAsia="Arial Unicode MS" w:cstheme="minorHAnsi"/>
          <w:szCs w:val="24"/>
        </w:rPr>
        <w:t xml:space="preserve"> galvenokārt cilvēka darbības rezultātā, savukārt pastāvīgas un lēnākas izmaiņas rada dabiskie procesi. GNP ieteicams veikt ainavu izmaiņu monitoringu, iesaistot tajā sabiedrību. Viens no vienkāršākajiem veidiem būtu veikt ikgadēju un iksezonas ainavu fotofiksāciju izvēlētajos punktos. Tos izvēloties, būtu definējamas gan nozīmīgas GNP skatu vietas ar dabas objektiem, gan kultūrvēsturiskie pieminekļi, gan tipiskas lauku ainavas, gan t.s. problēmvietas. Tāpat uzkrājami dati par zemes lietojuma veidiem, jo īpaši LIZ kopējo platību un struktūru tūrisma objektiem Gaujas senielejā.</w:t>
      </w:r>
    </w:p>
    <w:p w14:paraId="14417A2C" w14:textId="77777777" w:rsidR="00111B03" w:rsidRPr="00675182" w:rsidRDefault="00111B03" w:rsidP="00111B03">
      <w:pPr>
        <w:rPr>
          <w:rFonts w:cstheme="minorHAnsi"/>
          <w:bCs/>
          <w:u w:val="single"/>
        </w:rPr>
      </w:pPr>
    </w:p>
    <w:p w14:paraId="2EF8985E" w14:textId="77777777" w:rsidR="00111B03" w:rsidRPr="00675182" w:rsidRDefault="00111B03" w:rsidP="00111B03">
      <w:pPr>
        <w:keepNext/>
        <w:keepLines/>
        <w:rPr>
          <w:rFonts w:cstheme="minorHAnsi"/>
          <w:bCs/>
          <w:u w:val="single"/>
        </w:rPr>
      </w:pPr>
      <w:r w:rsidRPr="00675182">
        <w:rPr>
          <w:rFonts w:cstheme="minorHAnsi"/>
          <w:bCs/>
          <w:u w:val="single"/>
        </w:rPr>
        <w:t>F.4. Tūrisma un rekreācijas izpildes rādītāju uzraudzība; apmeklētāju skaita kontrole</w:t>
      </w:r>
    </w:p>
    <w:p w14:paraId="11FA1256" w14:textId="77777777" w:rsidR="00111B03" w:rsidRPr="00675182" w:rsidRDefault="00111B03" w:rsidP="00111B03">
      <w:pPr>
        <w:jc w:val="both"/>
        <w:rPr>
          <w:rFonts w:cstheme="minorHAnsi"/>
          <w:szCs w:val="24"/>
        </w:rPr>
      </w:pPr>
      <w:r w:rsidRPr="00675182">
        <w:rPr>
          <w:rFonts w:cstheme="minorHAnsi"/>
          <w:szCs w:val="24"/>
        </w:rPr>
        <w:t>Apmeklētāju ietekme ir viens no lielākajiem izmaiņu virzītājspēkiem teritorijā. Lai uzraudzītu apmeklētāju radīto slodzi un atbilstoši plānotu vajadzīgos pasākumus, veicamas regulāras un sistemātiski organizētas apmeklējumu uzskaites (izmantojot gan biļešu tirdzniecības datus, gan apmeklētāju automātisko skaitītāju datus, citu datu avotu uzkrāto informāciju (piemēram, mobilās lietotnes, kas saistītas ar āra atpūtas aktivitātēm, nākotnē – ģeotelpiskie dati no mobilajiem tālruņiem ), to papildinot ar digitālā pieprasījuma izmaiņām. Plašākai ietekmes uzraudzībai ilgtspējīgas attīstības nolūkos par pamatu izmantojami ETIS izstrādātie kritēriji, lai uzraudzītu izpildes rādītājus, ietverot pārvaldību, ietekmi uz vidi, sabiedrību un ekonomiku. Plāna izstrādes laikā ETIS ieteiktie kritēriji tiek pielāgoti GNP situācijai un izstrādāts GIS datu bāzes pamats monitoringa veikšanai.</w:t>
      </w:r>
    </w:p>
    <w:p w14:paraId="419E2BF5" w14:textId="77777777" w:rsidR="00111B03" w:rsidRPr="00675182" w:rsidRDefault="00111B03" w:rsidP="00111B03">
      <w:pPr>
        <w:jc w:val="both"/>
        <w:rPr>
          <w:rFonts w:cstheme="minorHAnsi"/>
          <w:b/>
          <w:bCs/>
          <w:szCs w:val="24"/>
        </w:rPr>
      </w:pPr>
    </w:p>
    <w:p w14:paraId="6C09311D" w14:textId="77777777" w:rsidR="00111B03" w:rsidRPr="00675182" w:rsidRDefault="00111B03" w:rsidP="00111B03">
      <w:pPr>
        <w:jc w:val="both"/>
        <w:rPr>
          <w:rFonts w:cstheme="minorHAnsi"/>
          <w:b/>
          <w:bCs/>
          <w:szCs w:val="24"/>
        </w:rPr>
      </w:pPr>
      <w:r w:rsidRPr="00675182">
        <w:rPr>
          <w:rFonts w:cstheme="minorHAnsi"/>
          <w:b/>
          <w:bCs/>
          <w:szCs w:val="24"/>
        </w:rPr>
        <w:t>F.4.1</w:t>
      </w:r>
      <w:r w:rsidRPr="00675182">
        <w:rPr>
          <w:rFonts w:cstheme="minorHAnsi"/>
          <w:b/>
          <w:bCs/>
          <w:szCs w:val="24"/>
        </w:rPr>
        <w:tab/>
        <w:t>Apmeklējumu skaita reģistrēšana dažādās vietās un sezonāli (apmeklētāju skaitītāju izvietošana)</w:t>
      </w:r>
    </w:p>
    <w:p w14:paraId="77AEF9E9" w14:textId="77777777" w:rsidR="0010682A" w:rsidRPr="00675182" w:rsidRDefault="0010682A" w:rsidP="0010682A">
      <w:pPr>
        <w:jc w:val="both"/>
        <w:rPr>
          <w:rFonts w:cstheme="minorHAnsi"/>
          <w:szCs w:val="24"/>
        </w:rPr>
      </w:pPr>
      <w:r w:rsidRPr="00675182">
        <w:rPr>
          <w:rFonts w:cstheme="minorHAnsi"/>
          <w:szCs w:val="24"/>
        </w:rPr>
        <w:t xml:space="preserve">Īsteno DAP sadarbībā ar pētniecības institūcijām. Tehnoloģisko iekārtu uzstādīšanai lielāka efektivitāte, ja dati tiek apkopoti regulāri, ir plaši pieejami iesaistītajām pusēm </w:t>
      </w:r>
      <w:r w:rsidRPr="00675182">
        <w:rPr>
          <w:rFonts w:cstheme="minorHAnsi"/>
          <w:szCs w:val="24"/>
        </w:rPr>
        <w:lastRenderedPageBreak/>
        <w:t>gan uzraudzības, plānošanas, stratēģiju koriģēšanas, lēmumu pieņemšanas, projektu pamatojuma rakstīšanas u.c. nolūkos. Precīza apmeklētāju uzskaite un darbības ietekmes analīze var pamatot arī kādas vietas slēgšanu publiskai apmeklēšanai u.tml.</w:t>
      </w:r>
    </w:p>
    <w:p w14:paraId="7FB610BA" w14:textId="77777777" w:rsidR="0010682A" w:rsidRPr="00675182" w:rsidRDefault="0010682A" w:rsidP="00111B03">
      <w:pPr>
        <w:jc w:val="both"/>
        <w:rPr>
          <w:rFonts w:cstheme="minorHAnsi"/>
          <w:szCs w:val="24"/>
        </w:rPr>
      </w:pPr>
    </w:p>
    <w:p w14:paraId="37AE20F1" w14:textId="3AE87976" w:rsidR="00111B03" w:rsidRPr="00675182" w:rsidRDefault="00111B03" w:rsidP="00111B03">
      <w:pPr>
        <w:jc w:val="both"/>
        <w:rPr>
          <w:rFonts w:cstheme="minorHAnsi"/>
          <w:szCs w:val="24"/>
          <w:highlight w:val="yellow"/>
        </w:rPr>
      </w:pPr>
      <w:r w:rsidRPr="00675182">
        <w:rPr>
          <w:rFonts w:cstheme="minorHAnsi"/>
          <w:szCs w:val="24"/>
        </w:rPr>
        <w:t>Dati par alu apmeklējumu alās, kurās konstatēta sikspārņu ziemošana, jāsasaista ar ziemojošo sikspārņu monitoringa rezultātiem un jāizvērtē apmeklētāju skaita ietekme uz sikspārņu populācijām, kā arī uz citām ar alu biotopiem saistītām sugām.</w:t>
      </w:r>
    </w:p>
    <w:p w14:paraId="50D6C4E9" w14:textId="77777777" w:rsidR="0010682A" w:rsidRPr="00675182" w:rsidRDefault="0010682A" w:rsidP="00111B03">
      <w:pPr>
        <w:jc w:val="both"/>
        <w:rPr>
          <w:rFonts w:cstheme="minorHAnsi"/>
          <w:b/>
          <w:bCs/>
          <w:szCs w:val="24"/>
        </w:rPr>
      </w:pPr>
    </w:p>
    <w:p w14:paraId="2E329DAF" w14:textId="41FE36EF" w:rsidR="00111B03" w:rsidRPr="00675182" w:rsidRDefault="00111B03" w:rsidP="00F773BC">
      <w:pPr>
        <w:keepNext/>
        <w:keepLines/>
        <w:jc w:val="both"/>
        <w:rPr>
          <w:rFonts w:cstheme="minorHAnsi"/>
          <w:b/>
          <w:bCs/>
          <w:szCs w:val="24"/>
        </w:rPr>
      </w:pPr>
      <w:r w:rsidRPr="00675182">
        <w:rPr>
          <w:rFonts w:cstheme="minorHAnsi"/>
          <w:b/>
          <w:bCs/>
          <w:szCs w:val="24"/>
        </w:rPr>
        <w:t>F.4.2</w:t>
      </w:r>
      <w:r w:rsidRPr="00675182">
        <w:rPr>
          <w:rFonts w:cstheme="minorHAnsi"/>
          <w:b/>
          <w:bCs/>
          <w:szCs w:val="24"/>
        </w:rPr>
        <w:tab/>
        <w:t>Apmeklētāju plūsmas uzraudzības sistēmas izveide un ieviešana</w:t>
      </w:r>
    </w:p>
    <w:p w14:paraId="7315EC49" w14:textId="3C1415D6" w:rsidR="0010682A" w:rsidRPr="00675182" w:rsidRDefault="0010682A" w:rsidP="00F773BC">
      <w:pPr>
        <w:keepNext/>
        <w:keepLines/>
        <w:jc w:val="both"/>
        <w:rPr>
          <w:rFonts w:cstheme="minorHAnsi"/>
          <w:szCs w:val="24"/>
        </w:rPr>
      </w:pPr>
      <w:r w:rsidRPr="00675182">
        <w:rPr>
          <w:rFonts w:cstheme="minorHAnsi"/>
          <w:szCs w:val="24"/>
        </w:rPr>
        <w:t xml:space="preserve">Saistībā ar apmeklētāju skaitītāju datiem ietver plašāku sistēmisku pieeju citu kvantitatīvo rādītāju sistemātiskai apvienošanai un kopsakarību analīzei (gan par tūristu mītņu kapacitāti un noslodzi, gan autosatiksmes plūsmas intensitāti uz </w:t>
      </w:r>
      <w:r w:rsidR="00D324A0" w:rsidRPr="00675182">
        <w:rPr>
          <w:rFonts w:cstheme="minorHAnsi"/>
          <w:szCs w:val="24"/>
        </w:rPr>
        <w:t>GNP</w:t>
      </w:r>
      <w:r w:rsidRPr="00675182">
        <w:rPr>
          <w:rFonts w:cstheme="minorHAnsi"/>
          <w:szCs w:val="24"/>
        </w:rPr>
        <w:t xml:space="preserve"> vai tam pieguļošajiem ceļiem, publisko vietu ieejas biļešu pārdošanas rezultātiem u.tml.). Jau šobrīd šāda sistēma izveidota Vidzemes augstskolas HESPI tūrisma / apmeklētāju monitoringa veikšanai ĪADT un tā tiek pilnveidota sadarbībā ar DAP. </w:t>
      </w:r>
    </w:p>
    <w:p w14:paraId="508E36D4" w14:textId="77777777" w:rsidR="0010682A" w:rsidRPr="00675182" w:rsidRDefault="0010682A" w:rsidP="00111B03">
      <w:pPr>
        <w:jc w:val="both"/>
        <w:rPr>
          <w:rFonts w:cstheme="minorHAnsi"/>
          <w:b/>
          <w:bCs/>
          <w:szCs w:val="24"/>
        </w:rPr>
      </w:pPr>
    </w:p>
    <w:p w14:paraId="66D81E22" w14:textId="6B670F72" w:rsidR="00111B03" w:rsidRPr="00675182" w:rsidRDefault="00111B03" w:rsidP="006E4289">
      <w:pPr>
        <w:keepNext/>
        <w:keepLines/>
        <w:jc w:val="both"/>
        <w:rPr>
          <w:rFonts w:cstheme="minorHAnsi"/>
          <w:b/>
          <w:bCs/>
          <w:szCs w:val="24"/>
        </w:rPr>
      </w:pPr>
      <w:r w:rsidRPr="00675182">
        <w:rPr>
          <w:rFonts w:cstheme="minorHAnsi"/>
          <w:b/>
          <w:bCs/>
          <w:szCs w:val="24"/>
        </w:rPr>
        <w:t>F.4.3</w:t>
      </w:r>
      <w:r w:rsidRPr="00675182">
        <w:rPr>
          <w:rFonts w:cstheme="minorHAnsi"/>
          <w:b/>
          <w:bCs/>
          <w:szCs w:val="24"/>
        </w:rPr>
        <w:tab/>
        <w:t>Apmeklētāju plūsmas pārvaldības plāna izveide un koriģēšana atbilstoši situācijai</w:t>
      </w:r>
    </w:p>
    <w:p w14:paraId="6BC86C24" w14:textId="03923D57" w:rsidR="004770DC" w:rsidRPr="00675182" w:rsidRDefault="004770DC" w:rsidP="006E4289">
      <w:pPr>
        <w:keepNext/>
        <w:keepLines/>
        <w:jc w:val="both"/>
        <w:rPr>
          <w:rFonts w:cstheme="minorHAnsi"/>
          <w:szCs w:val="24"/>
        </w:rPr>
      </w:pPr>
      <w:r w:rsidRPr="00675182">
        <w:rPr>
          <w:rFonts w:cstheme="minorHAnsi"/>
          <w:szCs w:val="24"/>
        </w:rPr>
        <w:t xml:space="preserve">Tas attiecināms uz vietām, kur apmeklētāju kapacitāte ir pārāk liela vai rada negatīvu ietekmi sezonāli. Izmantojamie soļi var būt gan plūsmas telpiskā izkliede, ierobežojumi, tirgvedības vēstījums, maksas ieviešana, fiziski ierobežojumi limitējot pārdodamo biļešu skaitu vai stāvvietu skaitu u.tml. Risināmi sadarbībā ar konkrētās vietas apsaimniekotājiem. </w:t>
      </w:r>
    </w:p>
    <w:p w14:paraId="1C47EAA8" w14:textId="77777777" w:rsidR="00502805" w:rsidRPr="00675182" w:rsidRDefault="00502805" w:rsidP="00111B03">
      <w:pPr>
        <w:jc w:val="both"/>
        <w:rPr>
          <w:rFonts w:cstheme="minorHAnsi"/>
          <w:b/>
          <w:bCs/>
          <w:szCs w:val="24"/>
        </w:rPr>
      </w:pPr>
    </w:p>
    <w:p w14:paraId="0C08FD35" w14:textId="0E01DD6A" w:rsidR="00111B03" w:rsidRPr="00675182" w:rsidRDefault="00111B03" w:rsidP="00111B03">
      <w:pPr>
        <w:jc w:val="both"/>
        <w:rPr>
          <w:rFonts w:cstheme="minorHAnsi"/>
          <w:b/>
          <w:bCs/>
          <w:szCs w:val="24"/>
        </w:rPr>
      </w:pPr>
      <w:r w:rsidRPr="00675182">
        <w:rPr>
          <w:rFonts w:cstheme="minorHAnsi"/>
          <w:b/>
          <w:bCs/>
          <w:szCs w:val="24"/>
        </w:rPr>
        <w:t>F.4.4</w:t>
      </w:r>
      <w:r w:rsidRPr="00675182">
        <w:rPr>
          <w:rFonts w:cstheme="minorHAnsi"/>
          <w:b/>
          <w:bCs/>
          <w:szCs w:val="24"/>
        </w:rPr>
        <w:tab/>
        <w:t>Galveno sporta, tūrisma un rekreācijas izpildes rādītāju identificēšana un uzraudzība</w:t>
      </w:r>
    </w:p>
    <w:p w14:paraId="2B304869" w14:textId="77777777" w:rsidR="00502805" w:rsidRPr="00675182" w:rsidRDefault="00502805" w:rsidP="00502805">
      <w:pPr>
        <w:jc w:val="both"/>
        <w:rPr>
          <w:rFonts w:cstheme="minorHAnsi"/>
          <w:szCs w:val="24"/>
        </w:rPr>
      </w:pPr>
      <w:r w:rsidRPr="00675182">
        <w:rPr>
          <w:rFonts w:cstheme="minorHAnsi"/>
          <w:szCs w:val="24"/>
        </w:rPr>
        <w:t>Aprakstīts F.4.2. punkta ietvaros. Taču paredz regulāru piekļuvi rādītājiem, ietver arī vēsturisko rādītāju apkopošanu, lai varētu izsekot pārmaiņu tendencēm. Kalpo par pamatu pārmaiņu vai rīcību ieviešanai, politiku maiņai u.c.</w:t>
      </w:r>
    </w:p>
    <w:p w14:paraId="4FE6A196" w14:textId="77777777" w:rsidR="00111B03" w:rsidRPr="00675182" w:rsidRDefault="00111B03" w:rsidP="00111B03">
      <w:pPr>
        <w:jc w:val="both"/>
        <w:rPr>
          <w:rFonts w:cstheme="minorHAnsi"/>
          <w:b/>
          <w:bCs/>
          <w:szCs w:val="24"/>
        </w:rPr>
      </w:pPr>
    </w:p>
    <w:p w14:paraId="5DD1CE55" w14:textId="77777777" w:rsidR="00111B03" w:rsidRPr="00675182" w:rsidRDefault="00111B03" w:rsidP="00111B03">
      <w:pPr>
        <w:jc w:val="both"/>
        <w:rPr>
          <w:rFonts w:cstheme="minorHAnsi"/>
          <w:b/>
          <w:bCs/>
          <w:szCs w:val="24"/>
        </w:rPr>
      </w:pPr>
      <w:r w:rsidRPr="00675182">
        <w:rPr>
          <w:rFonts w:cstheme="minorHAnsi"/>
          <w:b/>
          <w:bCs/>
          <w:szCs w:val="24"/>
        </w:rPr>
        <w:t>F.5. Mežu un purvu ekosistēmu attīstības procesu un meža apsaimniekošanas pasākumu ietekmes zinātniskā izpēte</w:t>
      </w:r>
    </w:p>
    <w:p w14:paraId="54E580B9" w14:textId="77777777" w:rsidR="00111B03" w:rsidRPr="00675182" w:rsidRDefault="00111B03" w:rsidP="00111B03">
      <w:pPr>
        <w:jc w:val="both"/>
        <w:rPr>
          <w:rFonts w:cstheme="minorHAnsi"/>
        </w:rPr>
      </w:pPr>
      <w:r w:rsidRPr="00675182">
        <w:rPr>
          <w:rFonts w:cstheme="minorHAnsi"/>
        </w:rPr>
        <w:t>GNP teritorija ir vēsturiski izmantota meža ekosistēmu pētījumiem. Teritorijas ekoloģiskā un ģeoloģiskā daudzveidība nodrošina plašas iespējas dažāda līmeņa pētījumu īstenošanai gan vietējā mērogā, gan plašos starptautiskos un starpdisciplināros pētījumos.</w:t>
      </w:r>
    </w:p>
    <w:p w14:paraId="03881DFD" w14:textId="77777777" w:rsidR="00111B03" w:rsidRPr="00675182" w:rsidRDefault="00111B03" w:rsidP="00111B03">
      <w:pPr>
        <w:jc w:val="both"/>
        <w:rPr>
          <w:rFonts w:cstheme="minorHAnsi"/>
        </w:rPr>
      </w:pPr>
    </w:p>
    <w:p w14:paraId="17F33227" w14:textId="5694F3F0" w:rsidR="00111B03" w:rsidRPr="00675182" w:rsidRDefault="00111B03" w:rsidP="00111B03">
      <w:pPr>
        <w:jc w:val="both"/>
        <w:rPr>
          <w:rFonts w:cstheme="minorHAnsi"/>
        </w:rPr>
      </w:pPr>
      <w:r w:rsidRPr="00675182">
        <w:rPr>
          <w:rFonts w:cstheme="minorHAnsi"/>
        </w:rPr>
        <w:t xml:space="preserve">GNP teritorijas mežu un purvu platības arī turpmāk izmantojamas zinātniskiem pētījumiem plašā jautājumu klāstā, piemēram, meža ekosistēmu struktūras un funkciju pētījumiem, meža statistiskās inventarizācijas datu ievākšanai, meža nozīmes un pielāgošanās klimata pārmaiņām izpētei, meža un purvu ekosistēmu siltumnīcas efektu izraisošo gāzu izdalīšanās dinamikas pētījumiem, ģenētisko resursu izpētei, meža un saistīto </w:t>
      </w:r>
      <w:r w:rsidR="006A5BE3">
        <w:rPr>
          <w:rFonts w:cstheme="minorHAnsi"/>
        </w:rPr>
        <w:t>EP</w:t>
      </w:r>
      <w:r w:rsidRPr="00675182">
        <w:rPr>
          <w:rFonts w:cstheme="minorHAnsi"/>
        </w:rPr>
        <w:t xml:space="preserve"> pētījumiem, kā arī medījamo dzīvnieku populāciju struktūras, kvalitātes un dinamikas pētījumiem. Tāpat, veicot DA plānā ieteiktos meža un purvu biotopu apsaimniekošanas pasākumus, tiks nodrošinātas iespējas veikt zinātniskus pētījumus, kas vērsti uz pieredzes un zināšanu papildināšanu par biotopu apsaimniekošanas pasākumiem. </w:t>
      </w:r>
    </w:p>
    <w:p w14:paraId="67D7C155" w14:textId="77777777" w:rsidR="00111B03" w:rsidRPr="00675182" w:rsidRDefault="00111B03" w:rsidP="00111B03">
      <w:pPr>
        <w:jc w:val="both"/>
        <w:rPr>
          <w:rFonts w:cstheme="minorHAnsi"/>
        </w:rPr>
      </w:pPr>
    </w:p>
    <w:p w14:paraId="5B20B870" w14:textId="77777777" w:rsidR="00111B03" w:rsidRPr="00675182" w:rsidRDefault="00111B03" w:rsidP="00111B03">
      <w:pPr>
        <w:jc w:val="both"/>
        <w:rPr>
          <w:rFonts w:cstheme="minorHAnsi"/>
        </w:rPr>
      </w:pPr>
      <w:r w:rsidRPr="00675182">
        <w:rPr>
          <w:rFonts w:cstheme="minorHAnsi"/>
        </w:rPr>
        <w:t>GNP teritorijā plānoto un īstenoto pētījumu veikšana saskaņojama ar DAP, lai nodrošinātu informācijas par pētījumiem, kā arī pētījumu rezultātu, uzkrāšanu un pieejamību.</w:t>
      </w:r>
    </w:p>
    <w:p w14:paraId="1150835F" w14:textId="77777777" w:rsidR="00111B03" w:rsidRPr="00675182" w:rsidRDefault="00111B03" w:rsidP="00111B03">
      <w:pPr>
        <w:jc w:val="both"/>
        <w:rPr>
          <w:rFonts w:cstheme="minorHAnsi"/>
          <w:b/>
          <w:bCs/>
          <w:szCs w:val="24"/>
        </w:rPr>
      </w:pPr>
    </w:p>
    <w:p w14:paraId="58CC8F74" w14:textId="3C410EC9" w:rsidR="00111B03" w:rsidRPr="00675182" w:rsidRDefault="00111B03" w:rsidP="00F773BC">
      <w:pPr>
        <w:keepNext/>
        <w:keepLines/>
        <w:jc w:val="both"/>
        <w:rPr>
          <w:rFonts w:cstheme="minorHAnsi"/>
          <w:b/>
          <w:bCs/>
          <w:szCs w:val="24"/>
        </w:rPr>
      </w:pPr>
      <w:r w:rsidRPr="00675182">
        <w:rPr>
          <w:rFonts w:cstheme="minorHAnsi"/>
          <w:b/>
          <w:bCs/>
          <w:szCs w:val="24"/>
        </w:rPr>
        <w:t>F.6.Detalizēta hidroloģiskā režīma atjaunošanas plāna un bū</w:t>
      </w:r>
      <w:r w:rsidR="00365338" w:rsidRPr="00675182">
        <w:rPr>
          <w:rFonts w:cstheme="minorHAnsi"/>
          <w:b/>
          <w:bCs/>
          <w:szCs w:val="24"/>
        </w:rPr>
        <w:t>vpro</w:t>
      </w:r>
      <w:r w:rsidRPr="00675182">
        <w:rPr>
          <w:rFonts w:cstheme="minorHAnsi"/>
          <w:b/>
          <w:bCs/>
          <w:szCs w:val="24"/>
        </w:rPr>
        <w:t>jekta sagatavošana</w:t>
      </w:r>
    </w:p>
    <w:p w14:paraId="3AA83AF8" w14:textId="77777777" w:rsidR="00111B03" w:rsidRPr="00675182" w:rsidRDefault="00111B03" w:rsidP="00F773BC">
      <w:pPr>
        <w:keepNext/>
        <w:keepLines/>
        <w:jc w:val="both"/>
        <w:rPr>
          <w:rFonts w:cstheme="minorHAnsi"/>
        </w:rPr>
      </w:pPr>
      <w:r w:rsidRPr="00675182">
        <w:rPr>
          <w:rFonts w:cstheme="minorHAnsi"/>
        </w:rPr>
        <w:t>Purvos, kuru hidroloģisko režīmu negatīvi ietekmējusi nosusināšana, un tiem piegulošajās teritorijās ir nepieciešams plānot un īstenot hidroloģiskā režīma atjaunošanas pasākumus, pirms tam veicot detalizētu meliorācijas sistēmu izvērtējumu un atjaunošanas pasākumu ietekmes modelēšanu. Pasākumu realizācijas plānu sagatavošanas ietvaros ir nepieciešams formulēt hidroloģiskā režīma atjaunošanas pasākumu uzdevumu un sasniedzamos mērķus, definēt veicamo pasākumu kopumu, veikt meliorācijas sistēmu izvērtējumu, meliorācijas sistēmu rekonstrukcijas (likvidēšanas vai pārbūves) projekta sagatavošanu, kā arī pasākumu ietekmes monitoringa plāna sagatavošanu.</w:t>
      </w:r>
    </w:p>
    <w:p w14:paraId="62EB1029" w14:textId="77777777" w:rsidR="00111B03" w:rsidRPr="00675182" w:rsidRDefault="00111B03" w:rsidP="00111B03">
      <w:pPr>
        <w:jc w:val="both"/>
        <w:rPr>
          <w:rFonts w:cstheme="minorHAnsi"/>
        </w:rPr>
      </w:pPr>
    </w:p>
    <w:p w14:paraId="6ED7ED74" w14:textId="77777777" w:rsidR="00111B03" w:rsidRPr="00675182" w:rsidRDefault="00111B03" w:rsidP="00111B03">
      <w:pPr>
        <w:jc w:val="both"/>
        <w:rPr>
          <w:rFonts w:cstheme="minorHAnsi"/>
        </w:rPr>
      </w:pPr>
      <w:r w:rsidRPr="00675182">
        <w:rPr>
          <w:rFonts w:cstheme="minorHAnsi"/>
        </w:rPr>
        <w:t>Hidroloģiskā režīma atjaunošanas pasākumu kopums aprakstīts pasākuma B.4.1. aprakstā. Sagatavojot detalizētu hidroloģiskā režīma atjaunošanas plānu, tajā iekļaujamas vismaz šādas nodaļas:</w:t>
      </w:r>
    </w:p>
    <w:p w14:paraId="6CBD5EF1" w14:textId="77777777" w:rsidR="00111B03" w:rsidRPr="00675182" w:rsidRDefault="00111B03" w:rsidP="00111B03">
      <w:pPr>
        <w:jc w:val="both"/>
        <w:rPr>
          <w:rFonts w:cstheme="minorHAnsi"/>
        </w:rPr>
      </w:pPr>
    </w:p>
    <w:p w14:paraId="37F041A8" w14:textId="2B5F3374" w:rsidR="00111B03" w:rsidRPr="00675182" w:rsidRDefault="00111B03" w:rsidP="00111B03">
      <w:pPr>
        <w:jc w:val="both"/>
        <w:rPr>
          <w:rFonts w:cstheme="minorHAnsi"/>
        </w:rPr>
      </w:pPr>
      <w:r w:rsidRPr="00675182">
        <w:rPr>
          <w:rFonts w:cstheme="minorHAnsi"/>
        </w:rPr>
        <w:t xml:space="preserve">1. Teritorijas apraksts. Ietverot teritorijas ģeogrāfiskā novietojuma, ģeoloģiskās un reljefa situācijas aprakstu, ietekmējošo klimatisko apstākļu aprakstu, purva kompleksa veidošanās un attīstības, kā arī vēsturiskās izmantošanas aprakstu, hidroloģijas aprakstu, piegulošo teritoriju situācijas aprakstu un </w:t>
      </w:r>
      <w:r w:rsidR="000775D3">
        <w:rPr>
          <w:rFonts w:cstheme="minorHAnsi"/>
        </w:rPr>
        <w:t>EP</w:t>
      </w:r>
      <w:r w:rsidRPr="00675182">
        <w:rPr>
          <w:rFonts w:cstheme="minorHAnsi"/>
        </w:rPr>
        <w:t xml:space="preserve"> novērtējumu.</w:t>
      </w:r>
    </w:p>
    <w:p w14:paraId="1713987C" w14:textId="77777777" w:rsidR="00111B03" w:rsidRPr="00675182" w:rsidRDefault="00111B03" w:rsidP="00111B03">
      <w:pPr>
        <w:jc w:val="both"/>
        <w:rPr>
          <w:rFonts w:cstheme="minorHAnsi"/>
        </w:rPr>
      </w:pPr>
      <w:r w:rsidRPr="00675182">
        <w:rPr>
          <w:rFonts w:cstheme="minorHAnsi"/>
        </w:rPr>
        <w:t>2. Aizsargājami biotopi, biotopu kompleksi un aizsargājamās sugas. Ietverot biotopu novērtējumu un definējot biotopu stāvokļa uzlabošanas mērķus (paredzamā struktūru kvalitātes un procesu uzlabošanās).</w:t>
      </w:r>
    </w:p>
    <w:p w14:paraId="65CD8757" w14:textId="77777777" w:rsidR="00111B03" w:rsidRPr="00675182" w:rsidRDefault="00111B03" w:rsidP="00111B03">
      <w:pPr>
        <w:jc w:val="both"/>
        <w:rPr>
          <w:rFonts w:cstheme="minorHAnsi"/>
        </w:rPr>
      </w:pPr>
      <w:r w:rsidRPr="00675182">
        <w:rPr>
          <w:rFonts w:cstheme="minorHAnsi"/>
        </w:rPr>
        <w:t>3. Traucējumi un hidroloģijas izmaiņas. Ietverot purva kompleksa meliorācijas vēsturi, meliorācijas izraisīto ietekmju novērtējumu.</w:t>
      </w:r>
    </w:p>
    <w:p w14:paraId="18CDFA96" w14:textId="77777777" w:rsidR="00111B03" w:rsidRPr="00675182" w:rsidRDefault="00111B03" w:rsidP="00111B03">
      <w:pPr>
        <w:jc w:val="both"/>
        <w:rPr>
          <w:rFonts w:cstheme="minorHAnsi"/>
        </w:rPr>
      </w:pPr>
      <w:r w:rsidRPr="00675182">
        <w:rPr>
          <w:rFonts w:cstheme="minorHAnsi"/>
        </w:rPr>
        <w:t>4. Apsaimniekošanas pasākumi purva kompleksā. Ietverot hidroloģiskā režīma atjaunošanas pasākumus un ieteicamo risinājumu aprakstu, paredzamos meliorācijas izraisīto ietekmju mazināšanas rezultātus, citu nepieciešamo pasākumu (piemēram, kokaudzes retināšana, veģetācijas uzlabošana u.c.).</w:t>
      </w:r>
    </w:p>
    <w:p w14:paraId="31130823" w14:textId="77777777" w:rsidR="00111B03" w:rsidRPr="00675182" w:rsidRDefault="00111B03" w:rsidP="00111B03">
      <w:pPr>
        <w:jc w:val="both"/>
        <w:rPr>
          <w:rFonts w:cstheme="minorHAnsi"/>
        </w:rPr>
      </w:pPr>
      <w:r w:rsidRPr="00675182">
        <w:rPr>
          <w:rFonts w:cstheme="minorHAnsi"/>
        </w:rPr>
        <w:t>5. Hidroloģiskā režīma un citu veikto pasākumu monitoringa aktivitāšu plāns.</w:t>
      </w:r>
    </w:p>
    <w:p w14:paraId="422BF0AB" w14:textId="77777777" w:rsidR="00111B03" w:rsidRPr="00675182" w:rsidRDefault="00111B03" w:rsidP="00111B03">
      <w:pPr>
        <w:jc w:val="both"/>
        <w:rPr>
          <w:rFonts w:cstheme="minorHAnsi"/>
        </w:rPr>
      </w:pPr>
    </w:p>
    <w:p w14:paraId="2ABCB4AD" w14:textId="28773376" w:rsidR="00111B03" w:rsidRPr="00675182" w:rsidRDefault="00111B03" w:rsidP="00111B03">
      <w:pPr>
        <w:jc w:val="both"/>
        <w:rPr>
          <w:rFonts w:cstheme="minorHAnsi"/>
        </w:rPr>
      </w:pPr>
      <w:r w:rsidRPr="00675182">
        <w:rPr>
          <w:rFonts w:cstheme="minorHAnsi"/>
        </w:rPr>
        <w:t xml:space="preserve">Hidroloģiskā režīma atjaunošanas darbu tehniskais projekts un </w:t>
      </w:r>
      <w:r w:rsidR="00017208">
        <w:rPr>
          <w:rFonts w:cstheme="minorHAnsi"/>
        </w:rPr>
        <w:t xml:space="preserve">būvprojekts </w:t>
      </w:r>
      <w:r w:rsidRPr="00675182">
        <w:rPr>
          <w:rFonts w:cstheme="minorHAnsi"/>
        </w:rPr>
        <w:t xml:space="preserve">sagatavojams atbilstoši spēkā esošajiem normatīvajos aktos formulētajiem nosacījumiem. Sagatavojot tehnisko projektu, īpaša vērība pievēršama paredzamo hidroloģiskā režīma izmaiņu modelēšanai, kuras uzdevums ir hidroloģiskā režīma atjaunošanas mērķu sasniegšana aizsargājamo biotopu platībās un purva kompleksā kopumā, vienlaikus nepasliktinot hidroloģisko režīmu saimnieciski izmantojamās platībās, kā arī aizsargājamu biotopu platībās, kurās nav vēlamas hidroloģisko apstākļu izmaiņas. </w:t>
      </w:r>
    </w:p>
    <w:p w14:paraId="246C218C" w14:textId="77777777" w:rsidR="00111B03" w:rsidRPr="00675182" w:rsidRDefault="00111B03" w:rsidP="00111B03">
      <w:pPr>
        <w:jc w:val="both"/>
        <w:rPr>
          <w:rFonts w:cstheme="minorHAnsi"/>
        </w:rPr>
      </w:pPr>
    </w:p>
    <w:p w14:paraId="634FC363" w14:textId="511FF95A" w:rsidR="00111B03" w:rsidRPr="00675182" w:rsidRDefault="005C7270" w:rsidP="00111B03">
      <w:pPr>
        <w:jc w:val="both"/>
        <w:rPr>
          <w:rFonts w:cstheme="minorHAnsi"/>
        </w:rPr>
      </w:pPr>
      <w:r>
        <w:rPr>
          <w:rFonts w:cstheme="minorHAnsi"/>
        </w:rPr>
        <w:t>DA</w:t>
      </w:r>
      <w:r w:rsidR="00111B03" w:rsidRPr="00675182">
        <w:rPr>
          <w:rFonts w:cstheme="minorHAnsi"/>
        </w:rPr>
        <w:t xml:space="preserve"> plāna ieviešanas laikā nepieciešamas sagatavot </w:t>
      </w:r>
      <w:r>
        <w:rPr>
          <w:rFonts w:cstheme="minorHAnsi"/>
        </w:rPr>
        <w:t>d</w:t>
      </w:r>
      <w:r w:rsidRPr="00675182">
        <w:rPr>
          <w:rFonts w:cstheme="minorHAnsi"/>
        </w:rPr>
        <w:t xml:space="preserve">etalizētus </w:t>
      </w:r>
      <w:r w:rsidR="00111B03" w:rsidRPr="00675182">
        <w:rPr>
          <w:rFonts w:cstheme="minorHAnsi"/>
        </w:rPr>
        <w:t>hidroloģiskā režīma atjaunošanas plānus visiem purvu kompleksiem, kas iekļauti 1) prioritārajā grupā (skat. informāciju pie pasākuma B.4.1.).</w:t>
      </w:r>
    </w:p>
    <w:p w14:paraId="650679AB" w14:textId="44767734" w:rsidR="008C3747" w:rsidRPr="00675182" w:rsidRDefault="008C3747" w:rsidP="00111B03">
      <w:pPr>
        <w:jc w:val="both"/>
        <w:rPr>
          <w:rFonts w:cstheme="minorHAnsi"/>
        </w:rPr>
      </w:pPr>
    </w:p>
    <w:p w14:paraId="5D4C183B" w14:textId="71F88655" w:rsidR="008C3747" w:rsidRPr="00675182" w:rsidRDefault="008C3747" w:rsidP="00F773BC">
      <w:pPr>
        <w:keepNext/>
        <w:keepLines/>
        <w:jc w:val="both"/>
        <w:rPr>
          <w:rFonts w:cstheme="minorHAnsi"/>
          <w:b/>
          <w:bCs/>
        </w:rPr>
      </w:pPr>
      <w:r w:rsidRPr="00675182">
        <w:rPr>
          <w:rFonts w:cstheme="minorHAnsi"/>
          <w:b/>
          <w:bCs/>
        </w:rPr>
        <w:t xml:space="preserve">F.7. Aizsargājamo meža biotopu apsaimniekošanas un atjaunošanas programmu sagatavošana </w:t>
      </w:r>
      <w:r w:rsidR="005C7270">
        <w:rPr>
          <w:rFonts w:cstheme="minorHAnsi"/>
          <w:b/>
          <w:bCs/>
        </w:rPr>
        <w:t>GNP</w:t>
      </w:r>
    </w:p>
    <w:p w14:paraId="4B4A88F8" w14:textId="300AFFA1" w:rsidR="008C3747" w:rsidRPr="00675182" w:rsidRDefault="008C3747" w:rsidP="00F773BC">
      <w:pPr>
        <w:keepNext/>
        <w:keepLines/>
        <w:jc w:val="both"/>
        <w:rPr>
          <w:rFonts w:cstheme="minorHAnsi"/>
        </w:rPr>
      </w:pPr>
      <w:r w:rsidRPr="00675182">
        <w:rPr>
          <w:rFonts w:cstheme="minorHAnsi"/>
        </w:rPr>
        <w:t xml:space="preserve">Projekta LIFE FORREST ietvaros 2014. gadā tika sagatavota </w:t>
      </w:r>
      <w:r w:rsidRPr="00675182">
        <w:rPr>
          <w:rFonts w:cstheme="minorHAnsi"/>
          <w:i/>
          <w:iCs/>
        </w:rPr>
        <w:t>ES nozīmes biotopa 9010* Veci vai dabiski boreāli meži apsaimniekošanas programma Gaujas Nacionālajā parkā</w:t>
      </w:r>
      <w:r w:rsidRPr="00675182">
        <w:rPr>
          <w:rFonts w:cstheme="minorHAnsi"/>
        </w:rPr>
        <w:t xml:space="preserve">. Šī programma paredzēja galvenos principus un pasākumus biotopa 9010* </w:t>
      </w:r>
      <w:r w:rsidRPr="00BF7348">
        <w:rPr>
          <w:rFonts w:cstheme="minorHAnsi"/>
        </w:rPr>
        <w:t>Veci vai dabiski boreāli meži</w:t>
      </w:r>
      <w:r w:rsidRPr="0084477E">
        <w:rPr>
          <w:rFonts w:cstheme="minorHAnsi"/>
        </w:rPr>
        <w:t xml:space="preserve"> </w:t>
      </w:r>
      <w:r w:rsidRPr="00675182">
        <w:rPr>
          <w:rFonts w:cstheme="minorHAnsi"/>
        </w:rPr>
        <w:t xml:space="preserve">platību palielināšanai un kvalitātes uzlabošanai GNP teritorijā.   Programmā bija iekļauti trīs teritoriju detalizēti apsaimniekošanas pasākumu plāni, kas daļēji arī tika realizēti. Tomēr programma paredzēja arī identificēto potenciālo biotopa apsaimniekošanas pasākumu vietu detalizētu apsaimniekošanas plānu sagatavošanu līdz 2020. gadam.  Šie plāni aptvertu potenciālos biotopa poligonus mazauglīgajos meža augšanas apstākļu tipos (ietver priežu silus, mētrājus, lēnus, damakšņus). Plānotie biotopa attīstības poligoni atrodas </w:t>
      </w:r>
      <w:r w:rsidR="00086AF0">
        <w:rPr>
          <w:rFonts w:cstheme="minorHAnsi"/>
        </w:rPr>
        <w:t>DLZ</w:t>
      </w:r>
      <w:r w:rsidRPr="00675182">
        <w:rPr>
          <w:rFonts w:cstheme="minorHAnsi"/>
        </w:rPr>
        <w:t xml:space="preserve"> un rezervāta zonas (</w:t>
      </w:r>
      <w:r w:rsidR="00086AF0">
        <w:rPr>
          <w:rFonts w:cstheme="minorHAnsi"/>
        </w:rPr>
        <w:t>SRZ</w:t>
      </w:r>
      <w:r w:rsidRPr="00675182">
        <w:rPr>
          <w:rFonts w:cstheme="minorHAnsi"/>
        </w:rPr>
        <w:t>) mežos valstij piederošās zemēs un kopā aizņēma 4180 ha.</w:t>
      </w:r>
    </w:p>
    <w:p w14:paraId="05755D67" w14:textId="77777777" w:rsidR="008C3747" w:rsidRPr="00675182" w:rsidRDefault="008C3747" w:rsidP="008C3747">
      <w:pPr>
        <w:jc w:val="both"/>
        <w:rPr>
          <w:rFonts w:cstheme="minorHAnsi"/>
        </w:rPr>
      </w:pPr>
    </w:p>
    <w:p w14:paraId="0FC7D6D1" w14:textId="0CB48F40" w:rsidR="008C3747" w:rsidRPr="00675182" w:rsidRDefault="008C3747" w:rsidP="008C3747">
      <w:pPr>
        <w:jc w:val="both"/>
        <w:rPr>
          <w:rFonts w:cstheme="minorHAnsi"/>
        </w:rPr>
      </w:pPr>
      <w:r w:rsidRPr="00675182">
        <w:rPr>
          <w:rFonts w:cstheme="minorHAnsi"/>
        </w:rPr>
        <w:t xml:space="preserve">Nepieciešams veikt 2014. gadā izstrādātās programmas - </w:t>
      </w:r>
      <w:r w:rsidRPr="00675182">
        <w:rPr>
          <w:rFonts w:cstheme="minorHAnsi"/>
          <w:i/>
          <w:iCs/>
        </w:rPr>
        <w:t>ES nozīmes biotopa 9010* Veci vai dabiski boreāli meži apsaimniekošanas programma Gaujas Nacionālajā parkā</w:t>
      </w:r>
      <w:r w:rsidRPr="00675182">
        <w:rPr>
          <w:rFonts w:cstheme="minorHAnsi"/>
        </w:rPr>
        <w:t xml:space="preserve">, aktualizāciju, kā arī, atbilstoši aktualizētajai programmai, sagatavot detalizētus biotopa platību apsaimniekošanas plānus un tos iekļaut attiecīgo zemes vienību </w:t>
      </w:r>
      <w:r w:rsidR="00086AF0">
        <w:rPr>
          <w:rFonts w:cstheme="minorHAnsi"/>
        </w:rPr>
        <w:t>MAP</w:t>
      </w:r>
      <w:r w:rsidRPr="00675182">
        <w:rPr>
          <w:rFonts w:cstheme="minorHAnsi"/>
        </w:rPr>
        <w:t>.</w:t>
      </w:r>
    </w:p>
    <w:p w14:paraId="06078A67" w14:textId="77777777" w:rsidR="00111B03" w:rsidRPr="00675182" w:rsidRDefault="00111B03" w:rsidP="00111B03">
      <w:pPr>
        <w:jc w:val="both"/>
        <w:rPr>
          <w:rFonts w:cstheme="minorHAnsi"/>
        </w:rPr>
      </w:pPr>
    </w:p>
    <w:p w14:paraId="6A55584C" w14:textId="57BD0995" w:rsidR="00111B03" w:rsidRPr="00675182" w:rsidRDefault="00111B03" w:rsidP="00111B03">
      <w:pPr>
        <w:jc w:val="both"/>
        <w:rPr>
          <w:rFonts w:cstheme="minorHAnsi"/>
          <w:u w:val="single"/>
        </w:rPr>
      </w:pPr>
      <w:r w:rsidRPr="00675182">
        <w:rPr>
          <w:rFonts w:cstheme="minorHAnsi"/>
          <w:u w:val="single"/>
        </w:rPr>
        <w:t>F.</w:t>
      </w:r>
      <w:r w:rsidR="008C3747" w:rsidRPr="00675182">
        <w:rPr>
          <w:rFonts w:cstheme="minorHAnsi"/>
          <w:u w:val="single"/>
        </w:rPr>
        <w:t>8</w:t>
      </w:r>
      <w:r w:rsidRPr="00675182">
        <w:rPr>
          <w:rFonts w:cstheme="minorHAnsi"/>
          <w:u w:val="single"/>
        </w:rPr>
        <w:t>. Invazīvo sugu un to apkarošanas pasākumu monitorings</w:t>
      </w:r>
    </w:p>
    <w:p w14:paraId="37BCD75B" w14:textId="5D503C61" w:rsidR="00111B03" w:rsidRPr="00675182" w:rsidRDefault="00111B03" w:rsidP="00111B03">
      <w:pPr>
        <w:jc w:val="both"/>
        <w:rPr>
          <w:rFonts w:cstheme="minorHAnsi"/>
          <w:b/>
          <w:szCs w:val="24"/>
        </w:rPr>
      </w:pPr>
      <w:r w:rsidRPr="00675182">
        <w:rPr>
          <w:rFonts w:cstheme="minorHAnsi"/>
          <w:b/>
          <w:szCs w:val="24"/>
        </w:rPr>
        <w:t>F.</w:t>
      </w:r>
      <w:r w:rsidR="008C3747" w:rsidRPr="00675182">
        <w:rPr>
          <w:rFonts w:cstheme="minorHAnsi"/>
          <w:b/>
          <w:szCs w:val="24"/>
        </w:rPr>
        <w:t>8</w:t>
      </w:r>
      <w:r w:rsidRPr="00675182">
        <w:rPr>
          <w:rFonts w:cstheme="minorHAnsi"/>
          <w:b/>
          <w:szCs w:val="24"/>
        </w:rPr>
        <w:t>.1. Invazīvo vēžu sugu izplatības ierobežošanas plāna izstrāde</w:t>
      </w:r>
    </w:p>
    <w:p w14:paraId="629EA096" w14:textId="77777777" w:rsidR="00111B03" w:rsidRPr="00675182" w:rsidRDefault="00111B03" w:rsidP="00111B03">
      <w:pPr>
        <w:jc w:val="both"/>
        <w:rPr>
          <w:rFonts w:cstheme="minorHAnsi"/>
          <w:szCs w:val="24"/>
        </w:rPr>
      </w:pPr>
      <w:r w:rsidRPr="00675182">
        <w:rPr>
          <w:rFonts w:cstheme="minorHAnsi"/>
          <w:szCs w:val="24"/>
        </w:rPr>
        <w:t>Signālvēža izplatības ierobežošana GNP pagaidām nav iespējama (izņemot ierobežojumus pārvadāšanai), jo nav aprobētas tā ierobežošanas vai izskaušanas metodes. Zinātniskajā literatūrā tiek piedāvātas dažādas metodes un to kombinācijas invazīvo vēžu sugu ierobežošanas un/vai izskaušanai, kā:</w:t>
      </w:r>
    </w:p>
    <w:p w14:paraId="7A839539" w14:textId="05E84C31" w:rsidR="00111B03" w:rsidRPr="00675182" w:rsidRDefault="00C250C6" w:rsidP="00A84218">
      <w:pPr>
        <w:pStyle w:val="ListParagraph"/>
        <w:numPr>
          <w:ilvl w:val="0"/>
          <w:numId w:val="31"/>
        </w:numPr>
        <w:jc w:val="both"/>
        <w:rPr>
          <w:rFonts w:cstheme="minorHAnsi"/>
          <w:szCs w:val="24"/>
        </w:rPr>
      </w:pPr>
      <w:r>
        <w:rPr>
          <w:rFonts w:cstheme="minorHAnsi"/>
          <w:szCs w:val="24"/>
        </w:rPr>
        <w:t>i</w:t>
      </w:r>
      <w:r w:rsidRPr="00675182">
        <w:rPr>
          <w:rFonts w:cstheme="minorHAnsi"/>
          <w:szCs w:val="24"/>
        </w:rPr>
        <w:t xml:space="preserve">ntensīva </w:t>
      </w:r>
      <w:r w:rsidR="00111B03" w:rsidRPr="00675182">
        <w:rPr>
          <w:rFonts w:cstheme="minorHAnsi"/>
          <w:szCs w:val="24"/>
        </w:rPr>
        <w:t>apzvejošana, samazinot īpatņu skaitu populācijās;</w:t>
      </w:r>
    </w:p>
    <w:p w14:paraId="250099C7" w14:textId="3BBFA148" w:rsidR="00111B03" w:rsidRPr="00675182" w:rsidRDefault="00C250C6" w:rsidP="00A84218">
      <w:pPr>
        <w:pStyle w:val="ListParagraph"/>
        <w:numPr>
          <w:ilvl w:val="0"/>
          <w:numId w:val="31"/>
        </w:numPr>
        <w:jc w:val="both"/>
        <w:rPr>
          <w:rFonts w:cstheme="minorHAnsi"/>
          <w:szCs w:val="24"/>
        </w:rPr>
      </w:pPr>
      <w:r>
        <w:rPr>
          <w:rFonts w:cstheme="minorHAnsi"/>
          <w:szCs w:val="24"/>
        </w:rPr>
        <w:t>ū</w:t>
      </w:r>
      <w:r w:rsidRPr="00675182">
        <w:rPr>
          <w:rFonts w:cstheme="minorHAnsi"/>
          <w:szCs w:val="24"/>
        </w:rPr>
        <w:t xml:space="preserve">denstilpju </w:t>
      </w:r>
      <w:r w:rsidR="00111B03" w:rsidRPr="00675182">
        <w:rPr>
          <w:rFonts w:cstheme="minorHAnsi"/>
          <w:szCs w:val="24"/>
        </w:rPr>
        <w:t>nosusināšana uz laiku;</w:t>
      </w:r>
    </w:p>
    <w:p w14:paraId="23183AB1" w14:textId="419B2AD0" w:rsidR="00111B03" w:rsidRPr="00675182" w:rsidRDefault="00C250C6" w:rsidP="00A84218">
      <w:pPr>
        <w:pStyle w:val="ListParagraph"/>
        <w:numPr>
          <w:ilvl w:val="0"/>
          <w:numId w:val="31"/>
        </w:numPr>
        <w:jc w:val="both"/>
        <w:rPr>
          <w:rFonts w:cstheme="minorHAnsi"/>
          <w:szCs w:val="24"/>
        </w:rPr>
      </w:pPr>
      <w:r>
        <w:rPr>
          <w:rFonts w:cstheme="minorHAnsi"/>
          <w:szCs w:val="24"/>
        </w:rPr>
        <w:t>b</w:t>
      </w:r>
      <w:r w:rsidRPr="00675182">
        <w:rPr>
          <w:rFonts w:cstheme="minorHAnsi"/>
          <w:szCs w:val="24"/>
        </w:rPr>
        <w:t xml:space="preserve">ioloģiskā </w:t>
      </w:r>
      <w:r w:rsidR="00111B03" w:rsidRPr="00675182">
        <w:rPr>
          <w:rFonts w:cstheme="minorHAnsi"/>
          <w:szCs w:val="24"/>
        </w:rPr>
        <w:t>kontrole (plēsēji un patogēni);</w:t>
      </w:r>
    </w:p>
    <w:p w14:paraId="73905225" w14:textId="78C6375D" w:rsidR="00111B03" w:rsidRPr="00675182" w:rsidRDefault="00C250C6" w:rsidP="00A84218">
      <w:pPr>
        <w:pStyle w:val="ListParagraph"/>
        <w:numPr>
          <w:ilvl w:val="0"/>
          <w:numId w:val="31"/>
        </w:numPr>
        <w:jc w:val="both"/>
        <w:rPr>
          <w:rFonts w:cstheme="minorHAnsi"/>
          <w:szCs w:val="24"/>
        </w:rPr>
      </w:pPr>
      <w:r>
        <w:rPr>
          <w:rFonts w:cstheme="minorHAnsi"/>
          <w:szCs w:val="24"/>
        </w:rPr>
        <w:t>b</w:t>
      </w:r>
      <w:r w:rsidRPr="00675182">
        <w:rPr>
          <w:rFonts w:cstheme="minorHAnsi"/>
          <w:szCs w:val="24"/>
        </w:rPr>
        <w:t xml:space="preserve">iocīdu </w:t>
      </w:r>
      <w:r w:rsidR="00111B03" w:rsidRPr="00675182">
        <w:rPr>
          <w:rFonts w:cstheme="minorHAnsi"/>
          <w:szCs w:val="24"/>
        </w:rPr>
        <w:t>(ķimikāliju) izmantošana;</w:t>
      </w:r>
    </w:p>
    <w:p w14:paraId="02AC37FA" w14:textId="6746E7C3" w:rsidR="00111B03" w:rsidRPr="00675182" w:rsidRDefault="00C250C6" w:rsidP="00A84218">
      <w:pPr>
        <w:pStyle w:val="ListParagraph"/>
        <w:numPr>
          <w:ilvl w:val="0"/>
          <w:numId w:val="31"/>
        </w:numPr>
        <w:jc w:val="both"/>
        <w:rPr>
          <w:rFonts w:cstheme="minorHAnsi"/>
          <w:szCs w:val="24"/>
        </w:rPr>
      </w:pPr>
      <w:r>
        <w:rPr>
          <w:rFonts w:cstheme="minorHAnsi"/>
          <w:szCs w:val="24"/>
        </w:rPr>
        <w:t>s</w:t>
      </w:r>
      <w:r w:rsidRPr="00675182">
        <w:rPr>
          <w:rFonts w:cstheme="minorHAnsi"/>
          <w:szCs w:val="24"/>
        </w:rPr>
        <w:t xml:space="preserve">terilu </w:t>
      </w:r>
      <w:r w:rsidR="00111B03" w:rsidRPr="00675182">
        <w:rPr>
          <w:rFonts w:cstheme="minorHAnsi"/>
          <w:szCs w:val="24"/>
        </w:rPr>
        <w:t>īpatņu izplatīšana populācijās.</w:t>
      </w:r>
    </w:p>
    <w:p w14:paraId="251D01A0" w14:textId="77777777" w:rsidR="006D45A7" w:rsidRPr="00675182" w:rsidRDefault="006D45A7" w:rsidP="00111B03">
      <w:pPr>
        <w:jc w:val="both"/>
        <w:rPr>
          <w:rFonts w:cstheme="minorHAnsi"/>
          <w:szCs w:val="24"/>
        </w:rPr>
      </w:pPr>
    </w:p>
    <w:p w14:paraId="23EC1FE7" w14:textId="5F99AA09" w:rsidR="00111B03" w:rsidRPr="00675182" w:rsidRDefault="00111B03" w:rsidP="00111B03">
      <w:pPr>
        <w:jc w:val="both"/>
        <w:rPr>
          <w:rFonts w:cstheme="minorHAnsi"/>
          <w:szCs w:val="24"/>
        </w:rPr>
      </w:pPr>
      <w:r w:rsidRPr="00675182">
        <w:rPr>
          <w:rFonts w:cstheme="minorHAnsi"/>
          <w:szCs w:val="24"/>
        </w:rPr>
        <w:t>Kā iespējamie pasākumi invazīvo vēžu sugu ierobežošanai GNP ir minami:</w:t>
      </w:r>
    </w:p>
    <w:p w14:paraId="3490AF99" w14:textId="26362325" w:rsidR="00111B03" w:rsidRPr="00675182" w:rsidRDefault="00C250C6" w:rsidP="00A84218">
      <w:pPr>
        <w:pStyle w:val="ListParagraph"/>
        <w:numPr>
          <w:ilvl w:val="0"/>
          <w:numId w:val="39"/>
        </w:numPr>
        <w:jc w:val="both"/>
        <w:rPr>
          <w:rFonts w:cstheme="minorHAnsi"/>
          <w:szCs w:val="24"/>
        </w:rPr>
      </w:pPr>
      <w:r>
        <w:rPr>
          <w:rFonts w:cstheme="minorHAnsi"/>
          <w:szCs w:val="24"/>
        </w:rPr>
        <w:t>b</w:t>
      </w:r>
      <w:r w:rsidRPr="00675182">
        <w:rPr>
          <w:rFonts w:cstheme="minorHAnsi"/>
          <w:szCs w:val="24"/>
        </w:rPr>
        <w:t xml:space="preserve">iocīdu </w:t>
      </w:r>
      <w:r w:rsidR="00111B03" w:rsidRPr="00675182">
        <w:rPr>
          <w:rFonts w:cstheme="minorHAnsi"/>
          <w:szCs w:val="24"/>
        </w:rPr>
        <w:t>lietošana nelielās ūdenstilpēs;</w:t>
      </w:r>
    </w:p>
    <w:p w14:paraId="2DAD406C" w14:textId="05EF0D39" w:rsidR="00111B03" w:rsidRPr="00675182" w:rsidRDefault="00C250C6" w:rsidP="00A84218">
      <w:pPr>
        <w:pStyle w:val="ListParagraph"/>
        <w:numPr>
          <w:ilvl w:val="0"/>
          <w:numId w:val="39"/>
        </w:numPr>
        <w:jc w:val="both"/>
        <w:rPr>
          <w:rFonts w:cstheme="minorHAnsi"/>
          <w:szCs w:val="24"/>
        </w:rPr>
      </w:pPr>
      <w:r>
        <w:rPr>
          <w:rFonts w:cstheme="minorHAnsi"/>
          <w:szCs w:val="24"/>
        </w:rPr>
        <w:t>j</w:t>
      </w:r>
      <w:r w:rsidRPr="00675182">
        <w:rPr>
          <w:rFonts w:cstheme="minorHAnsi"/>
          <w:szCs w:val="24"/>
        </w:rPr>
        <w:t>ānosaka</w:t>
      </w:r>
      <w:r w:rsidR="00111B03" w:rsidRPr="00675182">
        <w:rPr>
          <w:rFonts w:cstheme="minorHAnsi"/>
          <w:szCs w:val="24"/>
        </w:rPr>
        <w:t>, ka invazīvās vēžu sugas nedrīkst apzināti ievest, turēt, audzēt, transportēt (ja vien tas nav paredzēts izskaušanas nolūkā), piedāvāt tirgū, audzēt, pavairot, pieļaut, ka nonāk vidē;</w:t>
      </w:r>
    </w:p>
    <w:p w14:paraId="6A8D3FC8" w14:textId="3EDB01D3" w:rsidR="00111B03" w:rsidRPr="00675182" w:rsidRDefault="00C250C6" w:rsidP="00A84218">
      <w:pPr>
        <w:pStyle w:val="ListParagraph"/>
        <w:numPr>
          <w:ilvl w:val="0"/>
          <w:numId w:val="39"/>
        </w:numPr>
        <w:jc w:val="both"/>
        <w:rPr>
          <w:rFonts w:cstheme="minorHAnsi"/>
          <w:szCs w:val="24"/>
        </w:rPr>
      </w:pPr>
      <w:r>
        <w:rPr>
          <w:rFonts w:cstheme="minorHAnsi"/>
          <w:szCs w:val="24"/>
        </w:rPr>
        <w:t>j</w:t>
      </w:r>
      <w:r w:rsidRPr="00675182">
        <w:rPr>
          <w:rFonts w:cstheme="minorHAnsi"/>
          <w:szCs w:val="24"/>
        </w:rPr>
        <w:t xml:space="preserve">āveido </w:t>
      </w:r>
      <w:r w:rsidR="00111B03" w:rsidRPr="00675182">
        <w:rPr>
          <w:rFonts w:cstheme="minorHAnsi"/>
          <w:szCs w:val="24"/>
        </w:rPr>
        <w:t>agras konstatēšanas sistēma, iesaistot sabiedrību;</w:t>
      </w:r>
    </w:p>
    <w:p w14:paraId="47D4BF9C" w14:textId="72E1C561" w:rsidR="00111B03" w:rsidRPr="00675182" w:rsidRDefault="00C250C6" w:rsidP="00A84218">
      <w:pPr>
        <w:pStyle w:val="ListParagraph"/>
        <w:numPr>
          <w:ilvl w:val="0"/>
          <w:numId w:val="39"/>
        </w:numPr>
        <w:jc w:val="both"/>
        <w:rPr>
          <w:rFonts w:cstheme="minorHAnsi"/>
          <w:szCs w:val="24"/>
        </w:rPr>
      </w:pPr>
      <w:r>
        <w:rPr>
          <w:rFonts w:cstheme="minorHAnsi"/>
          <w:szCs w:val="24"/>
        </w:rPr>
        <w:t>p</w:t>
      </w:r>
      <w:r w:rsidRPr="00675182">
        <w:rPr>
          <w:rFonts w:cstheme="minorHAnsi"/>
          <w:szCs w:val="24"/>
        </w:rPr>
        <w:t xml:space="preserve">ar </w:t>
      </w:r>
      <w:r w:rsidR="00111B03" w:rsidRPr="00675182">
        <w:rPr>
          <w:rFonts w:cstheme="minorHAnsi"/>
          <w:szCs w:val="24"/>
        </w:rPr>
        <w:t>vēžu klātbūtni jāziņo uzņēmumiem, kas veic dažāda veida darbus ūdens vidē;</w:t>
      </w:r>
    </w:p>
    <w:p w14:paraId="47C7A959" w14:textId="5A5E1040" w:rsidR="00111B03" w:rsidRPr="00675182" w:rsidRDefault="00C250C6" w:rsidP="00A84218">
      <w:pPr>
        <w:pStyle w:val="ListParagraph"/>
        <w:numPr>
          <w:ilvl w:val="0"/>
          <w:numId w:val="39"/>
        </w:numPr>
        <w:jc w:val="both"/>
        <w:rPr>
          <w:rFonts w:cstheme="minorHAnsi"/>
          <w:szCs w:val="24"/>
        </w:rPr>
      </w:pPr>
      <w:r>
        <w:rPr>
          <w:rFonts w:cstheme="minorHAnsi"/>
          <w:szCs w:val="24"/>
        </w:rPr>
        <w:t>j</w:t>
      </w:r>
      <w:r w:rsidRPr="00675182">
        <w:rPr>
          <w:rFonts w:cstheme="minorHAnsi"/>
          <w:szCs w:val="24"/>
        </w:rPr>
        <w:t xml:space="preserve">āizplata </w:t>
      </w:r>
      <w:r w:rsidR="00111B03" w:rsidRPr="00675182">
        <w:rPr>
          <w:rFonts w:cstheme="minorHAnsi"/>
          <w:szCs w:val="24"/>
        </w:rPr>
        <w:t>informācija par nesankcionētas invazīvo vēžu izplatīšanas sekām.</w:t>
      </w:r>
    </w:p>
    <w:p w14:paraId="51B8A7D4" w14:textId="77777777" w:rsidR="00111B03" w:rsidRPr="00675182" w:rsidRDefault="00111B03" w:rsidP="00111B03">
      <w:pPr>
        <w:jc w:val="both"/>
        <w:rPr>
          <w:rFonts w:cstheme="minorHAnsi"/>
          <w:szCs w:val="24"/>
        </w:rPr>
      </w:pPr>
      <w:r w:rsidRPr="00675182">
        <w:rPr>
          <w:rFonts w:cstheme="minorHAnsi"/>
          <w:szCs w:val="24"/>
        </w:rPr>
        <w:t>Labāko metožu izvēlei jāveic pētījums un eksperimenti, rezultātus apkopojot un rekomendējot plašākai ieviešanai.</w:t>
      </w:r>
    </w:p>
    <w:p w14:paraId="340B4A75" w14:textId="77777777" w:rsidR="00111B03" w:rsidRPr="00675182" w:rsidRDefault="00111B03" w:rsidP="00111B03">
      <w:pPr>
        <w:rPr>
          <w:rFonts w:cstheme="minorHAnsi"/>
        </w:rPr>
      </w:pPr>
    </w:p>
    <w:p w14:paraId="514620C1" w14:textId="4C867B54" w:rsidR="00236E06" w:rsidRPr="00675182" w:rsidRDefault="00236E06" w:rsidP="00BF7348">
      <w:pPr>
        <w:keepNext/>
        <w:keepLines/>
        <w:suppressAutoHyphens w:val="0"/>
        <w:jc w:val="both"/>
        <w:rPr>
          <w:rFonts w:cstheme="minorHAnsi"/>
          <w:b/>
          <w:bCs/>
        </w:rPr>
      </w:pPr>
      <w:r w:rsidRPr="00675182">
        <w:rPr>
          <w:rFonts w:cstheme="minorHAnsi"/>
          <w:b/>
          <w:bCs/>
        </w:rPr>
        <w:lastRenderedPageBreak/>
        <w:t>F.</w:t>
      </w:r>
      <w:r w:rsidR="008C3747" w:rsidRPr="00675182">
        <w:rPr>
          <w:rFonts w:cstheme="minorHAnsi"/>
          <w:b/>
          <w:bCs/>
        </w:rPr>
        <w:t>8</w:t>
      </w:r>
      <w:r w:rsidRPr="00675182">
        <w:rPr>
          <w:rFonts w:cstheme="minorHAnsi"/>
          <w:b/>
          <w:bCs/>
        </w:rPr>
        <w:t>.2. Invazīvo augu sugu monitorings un to apkarošanas pasākumu rezultātu novērtējums</w:t>
      </w:r>
    </w:p>
    <w:p w14:paraId="753F5CB7" w14:textId="75DB47B9" w:rsidR="00153B70" w:rsidRPr="00153B70" w:rsidRDefault="00153B70" w:rsidP="00153B70">
      <w:pPr>
        <w:keepNext/>
        <w:keepLines/>
        <w:jc w:val="both"/>
        <w:rPr>
          <w:rFonts w:cstheme="minorHAnsi"/>
          <w:bCs/>
          <w:szCs w:val="24"/>
        </w:rPr>
      </w:pPr>
      <w:r w:rsidRPr="00153B70">
        <w:rPr>
          <w:rFonts w:cstheme="minorHAnsi"/>
          <w:bCs/>
          <w:szCs w:val="24"/>
        </w:rPr>
        <w:t xml:space="preserve">Invazīvo un potenciāli invazīvo sugu monitoringa metodikas aprobācijā atlasīti arī monitoringa kvadrāti GNP. Metodika publicēta DAP </w:t>
      </w:r>
      <w:r w:rsidR="00EC5D6B">
        <w:rPr>
          <w:rFonts w:cstheme="minorHAnsi"/>
          <w:bCs/>
          <w:szCs w:val="24"/>
        </w:rPr>
        <w:t>interneta vietnē</w:t>
      </w:r>
      <w:r w:rsidRPr="00153B70">
        <w:rPr>
          <w:rFonts w:cstheme="minorHAnsi"/>
          <w:bCs/>
          <w:szCs w:val="24"/>
        </w:rPr>
        <w:t xml:space="preserve"> (Bunders et al. 2015, 2016), taču līdz šim nav ieviesta valstī, tikai atsevišķās teritorijās (atsevišķos monitoringa kvadrātos). Šo metodiku var izmantot arī invazīvo augu sugu izplatības monitoringam GNP teritorijā. Atbilstoši Nacionālās bioloģiskās daudzveidības monitoringa programmas izvērtējumam</w:t>
      </w:r>
      <w:r>
        <w:rPr>
          <w:rFonts w:cstheme="minorHAnsi"/>
          <w:bCs/>
          <w:szCs w:val="24"/>
        </w:rPr>
        <w:t xml:space="preserve">, </w:t>
      </w:r>
      <w:r w:rsidRPr="00153B70">
        <w:rPr>
          <w:rFonts w:cstheme="minorHAnsi"/>
          <w:bCs/>
          <w:szCs w:val="24"/>
        </w:rPr>
        <w:t>ieteicams ziņas par invazīvajām sugām ievākt arī, veicot aizsargājamo augu sugu monitoringu.</w:t>
      </w:r>
    </w:p>
    <w:p w14:paraId="0B00FE2D" w14:textId="77777777" w:rsidR="00A81CB2" w:rsidRPr="00675182" w:rsidRDefault="00A81CB2" w:rsidP="00F773BC">
      <w:pPr>
        <w:keepNext/>
        <w:keepLines/>
        <w:jc w:val="both"/>
        <w:rPr>
          <w:rFonts w:cstheme="minorHAnsi"/>
          <w:bCs/>
          <w:szCs w:val="24"/>
        </w:rPr>
      </w:pPr>
    </w:p>
    <w:p w14:paraId="54F3D4A3" w14:textId="77777777" w:rsidR="00003D5F" w:rsidRPr="00675182" w:rsidRDefault="00003D5F" w:rsidP="00E74295">
      <w:pPr>
        <w:jc w:val="both"/>
        <w:rPr>
          <w:rFonts w:cstheme="minorHAnsi"/>
          <w:bCs/>
          <w:szCs w:val="24"/>
        </w:rPr>
      </w:pPr>
      <w:r w:rsidRPr="00675182">
        <w:rPr>
          <w:rFonts w:cstheme="minorHAnsi"/>
          <w:bCs/>
          <w:szCs w:val="24"/>
        </w:rPr>
        <w:t>Veicot apsaimniekošanas pasākumus invazīvo sugu ierobežošanai, nepieciešams gan veikt monitoringu apsaimniekošanas sekmju novērtēšanai (vismaz 5 gadu periodā pēc pasākuma, lai pārliecinātos, ka pasākums bijis efektīvs), gan arī publicēt informāciju par veiksmīgiem un neveiksmīgiem apkarošanas paņēmieniem. Sugām, kurām līdz šim nav veikti plaši un koordinēti apkarošanas pasākumi (piemēram, puķu sprigane, Kanādas zeltgalvīte, daudzziedu lupīna) īpaši svarīgi apkopot un izplatīt informāciju par apkarošanas sekmēm.</w:t>
      </w:r>
    </w:p>
    <w:p w14:paraId="64C93898" w14:textId="77777777" w:rsidR="00F773BC" w:rsidRPr="00675182" w:rsidRDefault="00F773BC" w:rsidP="00E74295">
      <w:pPr>
        <w:jc w:val="both"/>
        <w:rPr>
          <w:rFonts w:cstheme="minorHAnsi"/>
          <w:bCs/>
          <w:szCs w:val="24"/>
        </w:rPr>
      </w:pPr>
    </w:p>
    <w:p w14:paraId="30C842DA" w14:textId="123017C9" w:rsidR="005F19EC" w:rsidRPr="00675182" w:rsidRDefault="005F19EC" w:rsidP="005F19EC">
      <w:pPr>
        <w:jc w:val="both"/>
        <w:rPr>
          <w:rFonts w:cstheme="minorHAnsi"/>
          <w:b/>
          <w:szCs w:val="24"/>
        </w:rPr>
      </w:pPr>
      <w:r w:rsidRPr="00675182">
        <w:rPr>
          <w:rFonts w:cstheme="minorHAnsi"/>
          <w:b/>
          <w:szCs w:val="24"/>
        </w:rPr>
        <w:t xml:space="preserve">F.9. </w:t>
      </w:r>
      <w:r w:rsidR="00836F65" w:rsidRPr="00675182">
        <w:rPr>
          <w:rFonts w:cstheme="minorHAnsi"/>
          <w:b/>
          <w:szCs w:val="24"/>
        </w:rPr>
        <w:t>Sudas - Zviedru purva hidroloģiskā režīma atjaunošanas pasākumu monitoringa komplekss</w:t>
      </w:r>
    </w:p>
    <w:p w14:paraId="0DB98183" w14:textId="77777777" w:rsidR="005F19EC" w:rsidRPr="00675182" w:rsidRDefault="005F19EC" w:rsidP="005F19EC">
      <w:pPr>
        <w:jc w:val="both"/>
        <w:rPr>
          <w:rFonts w:cstheme="minorHAnsi"/>
          <w:bCs/>
          <w:szCs w:val="24"/>
        </w:rPr>
      </w:pPr>
      <w:r w:rsidRPr="00675182">
        <w:rPr>
          <w:rFonts w:cstheme="minorHAnsi"/>
          <w:bCs/>
          <w:szCs w:val="24"/>
        </w:rPr>
        <w:t>Eiropas Komisijas līdzfinansētā Klimata apakšprogrammas LIFE projekta Nr. 101074396 - LIFE21-CCM-LV-LIFE PeatCarbon „Purvu atjaunošana siltumnīcas efekta gāzu samazināšanai un oglekļa uzkrāšanai Baltijas jūras reģionā” ietvaros ir paredzēts īstenot monitoringa pasākumus Sudas - Zviedru purvā.</w:t>
      </w:r>
    </w:p>
    <w:p w14:paraId="20AA29AD" w14:textId="77777777" w:rsidR="005F19EC" w:rsidRPr="00675182" w:rsidRDefault="005F19EC" w:rsidP="005F19EC">
      <w:pPr>
        <w:jc w:val="both"/>
        <w:rPr>
          <w:rFonts w:cstheme="minorHAnsi"/>
          <w:bCs/>
          <w:szCs w:val="24"/>
        </w:rPr>
      </w:pPr>
    </w:p>
    <w:p w14:paraId="3B0D9655" w14:textId="24EFBEFB" w:rsidR="005F19EC" w:rsidRPr="00675182" w:rsidRDefault="005F19EC" w:rsidP="005F19EC">
      <w:pPr>
        <w:jc w:val="both"/>
        <w:rPr>
          <w:rFonts w:cstheme="minorHAnsi"/>
          <w:b/>
          <w:i/>
          <w:iCs/>
          <w:szCs w:val="24"/>
        </w:rPr>
      </w:pPr>
      <w:r w:rsidRPr="00675182">
        <w:rPr>
          <w:rFonts w:cstheme="minorHAnsi"/>
          <w:b/>
          <w:i/>
          <w:iCs/>
          <w:szCs w:val="24"/>
        </w:rPr>
        <w:t>Purva veģetācijas monitorings</w:t>
      </w:r>
      <w:r w:rsidR="00053C4F" w:rsidRPr="00675182">
        <w:rPr>
          <w:rFonts w:cstheme="minorHAnsi"/>
          <w:b/>
          <w:i/>
          <w:iCs/>
          <w:szCs w:val="24"/>
        </w:rPr>
        <w:t xml:space="preserve"> </w:t>
      </w:r>
    </w:p>
    <w:p w14:paraId="134D1578" w14:textId="77777777" w:rsidR="005F19EC" w:rsidRPr="00675182" w:rsidRDefault="005F19EC" w:rsidP="005F19EC">
      <w:pPr>
        <w:jc w:val="both"/>
        <w:rPr>
          <w:rFonts w:cstheme="minorHAnsi"/>
          <w:bCs/>
          <w:szCs w:val="24"/>
        </w:rPr>
      </w:pPr>
      <w:r w:rsidRPr="00675182">
        <w:rPr>
          <w:rFonts w:cstheme="minorHAnsi"/>
          <w:bCs/>
          <w:szCs w:val="24"/>
        </w:rPr>
        <w:t>Veģetācijas monitorings, lai sekotu līdzi kūdrāju hidroloģijas atjaunošanas ietekmei, tiks veikts platībās, kur iepriekš LIFE projektu ietvaros veikta hidroloģiskā režīma atjaunošana. Šajā gadījumā – Sudas - Zviedru purvā, kurā hidroloģiskā režīma atjaunošana, platības atkārtota samitrināšana veikta projekta LIFE13 NAT/LV/000578 „Prioritāro mitrāju biotopu aizsardzība un apsaimniekošana Latvijā” ietvaros 2017. gadā. Pirms kūdrāju hidroloģijas atjaunošanas - 2018. gadā, Sudas - Zviedru purvā attālās izpētes datu ievākšanu un analīzi veica Vides Risinājumu institūts, atkārtotu datu ievākšanu un analīzi plānots veikt projekta LIFE21-CCM-LV-LIFE PeatCarbon noslēgumā - 2025. gadā. Datu analīzes mērķis - noteikt izmaiņas pēc hidroloģijas atjaunošanas - ūdens līmeņa paaugstināšanas.</w:t>
      </w:r>
    </w:p>
    <w:p w14:paraId="0F3D673A" w14:textId="77777777" w:rsidR="005F19EC" w:rsidRPr="00675182" w:rsidRDefault="005F19EC" w:rsidP="005F19EC">
      <w:pPr>
        <w:jc w:val="both"/>
        <w:rPr>
          <w:rFonts w:cstheme="minorHAnsi"/>
          <w:bCs/>
          <w:szCs w:val="24"/>
        </w:rPr>
      </w:pPr>
    </w:p>
    <w:p w14:paraId="41ADCC40" w14:textId="77777777" w:rsidR="005F19EC" w:rsidRPr="00675182" w:rsidRDefault="005F19EC" w:rsidP="005F19EC">
      <w:pPr>
        <w:jc w:val="both"/>
        <w:rPr>
          <w:rFonts w:cstheme="minorHAnsi"/>
          <w:bCs/>
          <w:szCs w:val="24"/>
        </w:rPr>
      </w:pPr>
      <w:r w:rsidRPr="00675182">
        <w:rPr>
          <w:rFonts w:cstheme="minorHAnsi"/>
          <w:bCs/>
          <w:szCs w:val="24"/>
        </w:rPr>
        <w:t xml:space="preserve">Veģetācijas monitoringu Sudas - Zviedru purvā plānots veikt 2023. un 2026. gadā, šī monitoringa mērķis ir novērtēt kūdrāju atjaunošanas panākumus katrā projekta pasākumu vietā ar ierīkotiem 3-4 pastāvīgiem veģetācijas parauglaukumiem (10 x 10 m), kuros izvietoti datu ievākšanas laukumi (apakšparauglaukumi). Plānots ievākt datus par augu sugu sastāvu un segumu, kā arī ūdens līmeņa dinamikas datus. Pastāvīgajos parauglaukumos, kas atrodas uz transektiem, sugu izplatība tiks novērtēta seguma % skalā. </w:t>
      </w:r>
    </w:p>
    <w:p w14:paraId="43818539" w14:textId="77777777" w:rsidR="005F19EC" w:rsidRPr="00675182" w:rsidRDefault="005F19EC" w:rsidP="005F19EC">
      <w:pPr>
        <w:jc w:val="both"/>
        <w:rPr>
          <w:rFonts w:cstheme="minorHAnsi"/>
          <w:bCs/>
          <w:szCs w:val="24"/>
        </w:rPr>
      </w:pPr>
    </w:p>
    <w:p w14:paraId="5AE0AA9B" w14:textId="2B8FECFF" w:rsidR="005F19EC" w:rsidRPr="00675182" w:rsidRDefault="005F19EC" w:rsidP="005F19EC">
      <w:pPr>
        <w:jc w:val="both"/>
        <w:rPr>
          <w:rFonts w:cstheme="minorHAnsi"/>
          <w:bCs/>
          <w:szCs w:val="24"/>
        </w:rPr>
      </w:pPr>
      <w:r w:rsidRPr="00675182">
        <w:rPr>
          <w:rFonts w:cstheme="minorHAnsi"/>
          <w:bCs/>
          <w:szCs w:val="24"/>
        </w:rPr>
        <w:t xml:space="preserve">GNP tiks veikts veģetācijas monitorings ES nozīmes purvu biotopos, kuriem paredzama pozitīva hidroloģijas atjaunošanas (atkārtotas samitrināšanas) ietekme. Veģetācijas </w:t>
      </w:r>
      <w:r w:rsidRPr="00675182">
        <w:rPr>
          <w:rFonts w:cstheme="minorHAnsi"/>
          <w:bCs/>
          <w:szCs w:val="24"/>
        </w:rPr>
        <w:lastRenderedPageBreak/>
        <w:t>monitoringa parauglaukumi tiks izvietoti pie grāvjiem, kurus paredzēts aizsprostot, un iegūtos monitoringa rezultātus plānots salīdzināt ar neskartā teritorijā izvietotiem parauglaukumiem. Veģetācijas parauglaukumu izmērs plānots 10x10 m ar apakšparauglaukumiem (datu ievākšanas laukumiem) 2 x 2 m katrā biotopa tipā. Laukumi tiks izvietoti vietās, kur sagaidāms paaugstināts gruntsūdens līmenis un izmaiņas purva veģetācijā. Katrā projekta pasākumu vietā būs vismaz viens transekts, kas sāksies no grāvja un beigsies ar references parauglaukumu vietas neskartajā (neietekmētajā) zonā. Ūdens līmeņa monitoringa akas tiks ierīkotas transektā no meliorācijas grāvjiem un iespējami tuvu veģetācijas monitoringa laukumiem. Pirms atjaunošanas darbu veikšanas vismaz divos transektos pie katra parauglaukuma tiks uzstādītas datu ievākšanas ierīces pastāvīgai (automātiskai) ūdens līmeņa mērīšanai. Augu seguma un hidroloģijas monitorings izvēlētajās, agrāk atjaunotajās vietās, ļaus novērtēt purvu ekosistēmu atveseļošanās panākumus (vai neveiksmes) ilgākā laika posmā.</w:t>
      </w:r>
    </w:p>
    <w:p w14:paraId="77FDE069" w14:textId="77777777" w:rsidR="005F19EC" w:rsidRPr="00675182" w:rsidRDefault="005F19EC" w:rsidP="005F19EC">
      <w:pPr>
        <w:jc w:val="both"/>
        <w:rPr>
          <w:rFonts w:cstheme="minorHAnsi"/>
          <w:bCs/>
          <w:szCs w:val="24"/>
        </w:rPr>
      </w:pPr>
    </w:p>
    <w:p w14:paraId="61970FC2" w14:textId="77777777" w:rsidR="005F19EC" w:rsidRPr="00675182" w:rsidRDefault="005F19EC" w:rsidP="005F19EC">
      <w:pPr>
        <w:jc w:val="both"/>
        <w:rPr>
          <w:rFonts w:cstheme="minorHAnsi"/>
          <w:bCs/>
          <w:szCs w:val="24"/>
        </w:rPr>
      </w:pPr>
      <w:r w:rsidRPr="00675182">
        <w:rPr>
          <w:rFonts w:cstheme="minorHAnsi"/>
          <w:bCs/>
          <w:szCs w:val="24"/>
        </w:rPr>
        <w:t xml:space="preserve">Tiks reģistrēts projekta pasākumu vietu mitruma režīms un tas ietvers arī virszemes ūdeņu objektu novērtēšanu - blakus esošo ūdenstilpju, kurās dominē </w:t>
      </w:r>
      <w:r w:rsidRPr="00BF7348">
        <w:rPr>
          <w:rFonts w:cstheme="minorHAnsi"/>
          <w:bCs/>
          <w:i/>
          <w:iCs/>
          <w:szCs w:val="24"/>
        </w:rPr>
        <w:t>Sphagnum spp</w:t>
      </w:r>
      <w:r w:rsidRPr="00675182">
        <w:rPr>
          <w:rFonts w:cstheme="minorHAnsi"/>
          <w:bCs/>
          <w:szCs w:val="24"/>
        </w:rPr>
        <w:t>. veģetācija, identificēšanu. Susinātajās vietās tiks veikts koku, krūmu vai viršu dominējošās veģetācijas novērtējums, tāpat šādi dati tiks ievākti arī par blakus esošajiem grāvjiem līdz 20 m attālumā no izpētes parauglaukumiem. Novērošanas vietas biotopu (veģetācijas) un gruntsūdens līmeņa mērījumiem tiks noteiktas ar GPS. Biotopu izmaiņas tiks monitorētas, izmantojot uz vietas uzņemtās fotogrāfijas (situācijas fotofiksācija), lai salīdzinātu biotopu stāvokli pirms un pēc apsaimniekošanas/atjaunošanas pasākumu veikšanas. Kūdrāju ekosistēmu eksperts un hidrologs analizēs un izvērtēs biotopu un hidroloģiskā monitoringa rezultātus.</w:t>
      </w:r>
    </w:p>
    <w:p w14:paraId="7B4469CD" w14:textId="77777777" w:rsidR="005F19EC" w:rsidRPr="00675182" w:rsidRDefault="005F19EC" w:rsidP="005F19EC">
      <w:pPr>
        <w:jc w:val="both"/>
        <w:rPr>
          <w:rFonts w:cstheme="minorHAnsi"/>
          <w:bCs/>
          <w:szCs w:val="24"/>
        </w:rPr>
      </w:pPr>
    </w:p>
    <w:p w14:paraId="0A9BE5FF" w14:textId="4B83B240" w:rsidR="005F19EC" w:rsidRPr="00675182" w:rsidRDefault="005F19EC" w:rsidP="005F19EC">
      <w:pPr>
        <w:jc w:val="both"/>
        <w:rPr>
          <w:rFonts w:cstheme="minorHAnsi"/>
          <w:bCs/>
          <w:szCs w:val="24"/>
        </w:rPr>
      </w:pPr>
      <w:r w:rsidRPr="00675182">
        <w:rPr>
          <w:rFonts w:cstheme="minorHAnsi"/>
          <w:bCs/>
          <w:szCs w:val="24"/>
        </w:rPr>
        <w:t>Monitoringā tiks iekļauti ES nozīmes biotopi, kuros tiek veikta kūdrāju atjaunošana (biotopu veidi 7110*</w:t>
      </w:r>
      <w:r w:rsidRPr="00675182">
        <w:t xml:space="preserve"> </w:t>
      </w:r>
      <w:r w:rsidRPr="00BF7348">
        <w:rPr>
          <w:rFonts w:cstheme="minorHAnsi"/>
          <w:bCs/>
          <w:szCs w:val="24"/>
        </w:rPr>
        <w:t>Aktīvi augstie purvi</w:t>
      </w:r>
      <w:r w:rsidRPr="0084477E">
        <w:rPr>
          <w:rFonts w:cstheme="minorHAnsi"/>
          <w:bCs/>
          <w:szCs w:val="24"/>
        </w:rPr>
        <w:t>, 7120</w:t>
      </w:r>
      <w:r w:rsidRPr="0084477E">
        <w:t xml:space="preserve"> </w:t>
      </w:r>
      <w:r w:rsidRPr="00BF7348">
        <w:rPr>
          <w:rFonts w:cstheme="minorHAnsi"/>
          <w:bCs/>
          <w:szCs w:val="24"/>
        </w:rPr>
        <w:t>Degradēti augstie purvi, kuros iespējama vai noris dabiskā atjaunošanās</w:t>
      </w:r>
      <w:r w:rsidRPr="0084477E">
        <w:rPr>
          <w:rFonts w:cstheme="minorHAnsi"/>
          <w:bCs/>
          <w:szCs w:val="24"/>
        </w:rPr>
        <w:t>, 7140</w:t>
      </w:r>
      <w:r w:rsidRPr="0084477E">
        <w:t xml:space="preserve"> </w:t>
      </w:r>
      <w:r w:rsidRPr="00BF7348">
        <w:rPr>
          <w:rFonts w:cstheme="minorHAnsi"/>
          <w:bCs/>
          <w:szCs w:val="24"/>
        </w:rPr>
        <w:t>Pārejas purvi un slīkšņas</w:t>
      </w:r>
      <w:r w:rsidRPr="00675182">
        <w:rPr>
          <w:rFonts w:cstheme="minorHAnsi"/>
          <w:bCs/>
          <w:szCs w:val="24"/>
        </w:rPr>
        <w:t xml:space="preserve">). </w:t>
      </w:r>
    </w:p>
    <w:p w14:paraId="165A2342" w14:textId="77777777" w:rsidR="00A20A7E" w:rsidRPr="00675182" w:rsidRDefault="00A20A7E" w:rsidP="005F19EC">
      <w:pPr>
        <w:jc w:val="both"/>
        <w:rPr>
          <w:rFonts w:cstheme="minorHAnsi"/>
          <w:bCs/>
          <w:szCs w:val="24"/>
        </w:rPr>
      </w:pPr>
    </w:p>
    <w:p w14:paraId="19D31951" w14:textId="77777777" w:rsidR="005F19EC" w:rsidRPr="00675182" w:rsidRDefault="005F19EC" w:rsidP="005F19EC">
      <w:pPr>
        <w:jc w:val="both"/>
        <w:rPr>
          <w:rFonts w:cstheme="minorHAnsi"/>
          <w:bCs/>
          <w:szCs w:val="24"/>
        </w:rPr>
      </w:pPr>
      <w:r w:rsidRPr="00675182">
        <w:rPr>
          <w:rFonts w:cstheme="minorHAnsi"/>
          <w:bCs/>
          <w:szCs w:val="24"/>
        </w:rPr>
        <w:t>Veģetācijas monitorings ļaus sekot līdzi veģetācijas izmaiņām pēc kūdrāju hidroloģijas atjaunošanas darbību veikšanas. Monitoringa mērķis balstās uz principu, ka veģetācijas sabiedrības reaģē uz ietekmējošo faktoru ilgtermiņa izmaiņām, piemēram, klimata pārmaiņām un īstermiņa apsaimniekošanas pasākumiem.</w:t>
      </w:r>
    </w:p>
    <w:p w14:paraId="527EFC4F" w14:textId="77777777" w:rsidR="005F19EC" w:rsidRPr="00675182" w:rsidRDefault="005F19EC" w:rsidP="005F19EC">
      <w:pPr>
        <w:jc w:val="both"/>
        <w:rPr>
          <w:rFonts w:cstheme="minorHAnsi"/>
          <w:bCs/>
          <w:szCs w:val="24"/>
        </w:rPr>
      </w:pPr>
    </w:p>
    <w:p w14:paraId="6CA25244" w14:textId="01917AFD" w:rsidR="005F19EC" w:rsidRPr="00675182" w:rsidRDefault="005F19EC" w:rsidP="00D57945">
      <w:pPr>
        <w:keepNext/>
        <w:keepLines/>
        <w:jc w:val="both"/>
        <w:rPr>
          <w:rFonts w:cstheme="minorHAnsi"/>
          <w:b/>
          <w:i/>
          <w:iCs/>
          <w:szCs w:val="24"/>
        </w:rPr>
      </w:pPr>
      <w:r w:rsidRPr="00675182">
        <w:rPr>
          <w:rFonts w:cstheme="minorHAnsi"/>
          <w:b/>
          <w:i/>
          <w:iCs/>
          <w:szCs w:val="24"/>
        </w:rPr>
        <w:t>Hidroloģiskais monitorings</w:t>
      </w:r>
      <w:r w:rsidR="00053C4F" w:rsidRPr="00675182">
        <w:rPr>
          <w:rFonts w:cstheme="minorHAnsi"/>
          <w:b/>
          <w:i/>
          <w:iCs/>
          <w:szCs w:val="24"/>
        </w:rPr>
        <w:t xml:space="preserve"> </w:t>
      </w:r>
    </w:p>
    <w:p w14:paraId="2A3AE64D" w14:textId="77777777" w:rsidR="005F19EC" w:rsidRPr="00675182" w:rsidRDefault="005F19EC" w:rsidP="00D57945">
      <w:pPr>
        <w:keepNext/>
        <w:keepLines/>
        <w:jc w:val="both"/>
        <w:rPr>
          <w:rFonts w:cstheme="minorHAnsi"/>
          <w:bCs/>
          <w:szCs w:val="24"/>
        </w:rPr>
      </w:pPr>
      <w:r w:rsidRPr="00675182">
        <w:rPr>
          <w:rFonts w:cstheme="minorHAnsi"/>
          <w:bCs/>
          <w:szCs w:val="24"/>
        </w:rPr>
        <w:t>Ūdens režīma monitoringa programmā ir iekļauts mērķtiecīgs gruntsūdeņu un virszemes ūdeņu līmeņa monitoringa vietu tīkls, kas aprīkots ar automātiskiem ūdens līmeņa reģistrētājiem. Atsevišķos gadījumos tiks mērīta arī ūdens elektrovadītspēja un augsnes ūdens saturs un potenciāls. Objektu apmeklējumu laikā izvēlētajās vietās ar zinātniskas precizitātes iekārtām tiks monitorēti ūdens hidroķīmiskie parametri (pH, sārmainība, izšķīdušais O</w:t>
      </w:r>
      <w:r w:rsidRPr="00675182">
        <w:rPr>
          <w:rFonts w:cstheme="minorHAnsi"/>
          <w:bCs/>
          <w:szCs w:val="24"/>
          <w:vertAlign w:val="subscript"/>
        </w:rPr>
        <w:t>2</w:t>
      </w:r>
      <w:r w:rsidRPr="00675182">
        <w:rPr>
          <w:rFonts w:cstheme="minorHAnsi"/>
          <w:bCs/>
          <w:szCs w:val="24"/>
        </w:rPr>
        <w:t>, elektrovadītspēja). Tāpat objektos tiks mērīti makroelementi un redoksjutīgās sugas.</w:t>
      </w:r>
    </w:p>
    <w:p w14:paraId="30A1EB85" w14:textId="77777777" w:rsidR="005F19EC" w:rsidRPr="00675182" w:rsidRDefault="005F19EC" w:rsidP="005F19EC">
      <w:pPr>
        <w:jc w:val="both"/>
        <w:rPr>
          <w:rFonts w:cstheme="minorHAnsi"/>
          <w:bCs/>
          <w:sz w:val="16"/>
          <w:szCs w:val="16"/>
        </w:rPr>
      </w:pPr>
    </w:p>
    <w:p w14:paraId="4ED51519" w14:textId="77777777" w:rsidR="005F19EC" w:rsidRPr="00675182" w:rsidRDefault="005F19EC" w:rsidP="005F19EC">
      <w:pPr>
        <w:jc w:val="both"/>
        <w:rPr>
          <w:rFonts w:cstheme="minorHAnsi"/>
          <w:bCs/>
          <w:szCs w:val="24"/>
        </w:rPr>
      </w:pPr>
      <w:r w:rsidRPr="00675182">
        <w:rPr>
          <w:rFonts w:cstheme="minorHAnsi"/>
          <w:bCs/>
          <w:szCs w:val="24"/>
        </w:rPr>
        <w:t>Monitoringa programmā iekļautajā Sudas - Zviedru purva plānots uzstādīt 22 sensorus.</w:t>
      </w:r>
    </w:p>
    <w:p w14:paraId="5F973A5E" w14:textId="77777777" w:rsidR="005F19EC" w:rsidRPr="00675182" w:rsidRDefault="005F19EC" w:rsidP="005F19EC">
      <w:pPr>
        <w:jc w:val="both"/>
        <w:rPr>
          <w:rFonts w:cstheme="minorHAnsi"/>
          <w:bCs/>
          <w:sz w:val="16"/>
          <w:szCs w:val="16"/>
        </w:rPr>
      </w:pPr>
    </w:p>
    <w:p w14:paraId="47A723A1" w14:textId="638AD61F" w:rsidR="005F19EC" w:rsidRPr="00675182" w:rsidRDefault="005F19EC" w:rsidP="005F19EC">
      <w:pPr>
        <w:jc w:val="both"/>
        <w:rPr>
          <w:rFonts w:cstheme="minorHAnsi"/>
          <w:bCs/>
          <w:szCs w:val="24"/>
        </w:rPr>
      </w:pPr>
      <w:r w:rsidRPr="00675182">
        <w:rPr>
          <w:rFonts w:cstheme="minorHAnsi"/>
          <w:bCs/>
          <w:szCs w:val="24"/>
        </w:rPr>
        <w:lastRenderedPageBreak/>
        <w:t xml:space="preserve">Ūdens līmeņa monitorings tiks veikts gruntsūdens līmeņa novērojumu akās, kas ierīkotas pēc ekspertu vērtējuma izvēlētās vietās gar kūdrāju profila līnijām, pamatojoties uz provizoriskiem hidroloģiskajiem un ģeoloģiskajiem pētījumiem un iespējami tuvu veģetācijas monitoringa parauglaukumiem. Tiks monitorēta virszemes un pazemes ūdeņu līmeņu dinamika, lai reģistrētu daļēji dabisku ūdens līmeņa svārstību modeli vismazāk skartajās kūdrāju teritorijās un salīdzinātu ar līdzīgiem novērojumiem atjaunotajās teritorijās, kas skar vēsturisko meliorāciju un ir pakļautas atjaunošanai. Pirms atjaunošanas pasākumiem paraugošanas vietās tiks izvietoti automātiskie ūdens līmeņa reģistratori (Solinst levelogger, Diver gruntsūdens reģistratori, METER grupas gruntsūdens zondes vai ekvivalenti) ar precizitāti vismaz 0,5 cm un minimālo reģistrēšanas intervālu 15 minūtes. Monitoringa urbumu (aku) izbūvei tiks izmantotas plastmasas caurules ar šauru filtru intervālu (pjezometri). Tiks veikti piesardzības pasākumi, lai ierobežotu dzīvnieku nodarīto kaitējumu un ierobežotu nesankcionētu piekļuvi monitoringa iekārtām. Paredzamais monitoringa urbuma (akas) dziļums svārstās no aptuveni 1 m līdz 5 m atkarībā no vietējā kūdras slāņa dziļuma un nogulumu sastāva. Dziļās monitoringa akas tiks noenkurotas minerālajā pamatnes gruntī, lai novērstu mērījumu akas kustības kopā ar purva virsmas svārstībām, ko izraisa sasalšana un kūdras izžūšana. Izvēlētajā vietā pjezometriskais gruntsūdens līmenis tiks uzraudzīts vairākos dziļuma līmeņos (piem., augšējā kūdras slānī un minerālu apakškārtā). Iespēju robežās faktiskās monitoringa akas tiks izvietotas jau lauka pētījumu laikā, optimizējot cilvēkresursu izmantošanu. Izvēlētie pjezometri tiks izvietoti tā, lai virszemes </w:t>
      </w:r>
      <w:r w:rsidR="00DB58E4">
        <w:rPr>
          <w:rFonts w:cstheme="minorHAnsi"/>
          <w:bCs/>
          <w:szCs w:val="24"/>
        </w:rPr>
        <w:t>ŪO</w:t>
      </w:r>
      <w:r w:rsidR="00DB58E4" w:rsidRPr="00675182">
        <w:rPr>
          <w:rFonts w:cstheme="minorHAnsi"/>
          <w:bCs/>
          <w:szCs w:val="24"/>
        </w:rPr>
        <w:t xml:space="preserve"> </w:t>
      </w:r>
      <w:r w:rsidRPr="00675182">
        <w:rPr>
          <w:rFonts w:cstheme="minorHAnsi"/>
          <w:bCs/>
          <w:szCs w:val="24"/>
        </w:rPr>
        <w:t>augstuma fiksēšanai vēsturiski atjaunotajos purvos ūdens līmeņa dinamikas monitoringam tiks izmantotas eksistējošas monitoringa akas.</w:t>
      </w:r>
    </w:p>
    <w:p w14:paraId="720EBE83" w14:textId="77777777" w:rsidR="005F19EC" w:rsidRPr="00675182" w:rsidRDefault="005F19EC" w:rsidP="005F19EC">
      <w:pPr>
        <w:jc w:val="both"/>
        <w:rPr>
          <w:rFonts w:cstheme="minorHAnsi"/>
          <w:bCs/>
          <w:szCs w:val="24"/>
        </w:rPr>
      </w:pPr>
    </w:p>
    <w:p w14:paraId="3AAF9E6D" w14:textId="7A584F6C" w:rsidR="005F19EC" w:rsidRPr="00675182" w:rsidRDefault="005F19EC" w:rsidP="005F19EC">
      <w:pPr>
        <w:jc w:val="both"/>
        <w:rPr>
          <w:rFonts w:cstheme="minorHAnsi"/>
          <w:b/>
          <w:i/>
          <w:iCs/>
          <w:szCs w:val="24"/>
        </w:rPr>
      </w:pPr>
      <w:r w:rsidRPr="00675182">
        <w:rPr>
          <w:rFonts w:cstheme="minorHAnsi"/>
          <w:b/>
          <w:i/>
          <w:iCs/>
          <w:szCs w:val="24"/>
        </w:rPr>
        <w:t>Siltumnīcas efekta gāzu monitorings</w:t>
      </w:r>
      <w:r w:rsidR="00053C4F" w:rsidRPr="00675182">
        <w:rPr>
          <w:rFonts w:cstheme="minorHAnsi"/>
          <w:b/>
          <w:i/>
          <w:iCs/>
          <w:szCs w:val="24"/>
        </w:rPr>
        <w:t xml:space="preserve"> </w:t>
      </w:r>
    </w:p>
    <w:p w14:paraId="7E5D98BB" w14:textId="281A0ACD" w:rsidR="005F19EC" w:rsidRPr="00675182" w:rsidRDefault="005F19EC" w:rsidP="005F19EC">
      <w:pPr>
        <w:jc w:val="both"/>
        <w:rPr>
          <w:rFonts w:cstheme="minorHAnsi"/>
          <w:bCs/>
          <w:szCs w:val="24"/>
        </w:rPr>
      </w:pPr>
      <w:r w:rsidRPr="00675182">
        <w:rPr>
          <w:rFonts w:cstheme="minorHAnsi"/>
          <w:bCs/>
          <w:szCs w:val="24"/>
        </w:rPr>
        <w:t>Atjaunota hidroloģiskā režīma (atkārtotas samitrināšanas) klimatiskās ietekmes novērtēšanai kūdrājos tiks novērotas SEG plūsmas, augsnes heterotrofā elpošana un vides mainīgie, kas korelē ar SEG plūsmām. Sudas - Zviedru purvā šie mērījumi tiks veikti 2022./2023. un 2025./2026. gados.</w:t>
      </w:r>
    </w:p>
    <w:p w14:paraId="0A1D160B" w14:textId="77777777" w:rsidR="00053C4F" w:rsidRPr="00675182" w:rsidRDefault="00053C4F" w:rsidP="005F19EC">
      <w:pPr>
        <w:jc w:val="both"/>
        <w:rPr>
          <w:rFonts w:cstheme="minorHAnsi"/>
          <w:bCs/>
          <w:szCs w:val="24"/>
        </w:rPr>
      </w:pPr>
    </w:p>
    <w:p w14:paraId="67B935AB" w14:textId="3F2C6904" w:rsidR="005F19EC" w:rsidRPr="00675182" w:rsidRDefault="005F19EC" w:rsidP="005F19EC">
      <w:pPr>
        <w:jc w:val="both"/>
        <w:rPr>
          <w:rFonts w:cstheme="minorHAnsi"/>
          <w:bCs/>
          <w:szCs w:val="24"/>
        </w:rPr>
      </w:pPr>
      <w:r w:rsidRPr="00675182">
        <w:rPr>
          <w:rFonts w:cstheme="minorHAnsi"/>
          <w:bCs/>
          <w:szCs w:val="24"/>
        </w:rPr>
        <w:t>SEG plūsmas un augsnes heterotrofā elpošana tiks uzraudzīta, izmantojot slēgtās kameras metodi (vai nu gāzu analīzes, izmantojot pārnēsājamus analizatorus, vai manuāla gāzes paraugu ņemšana un sekojoša analīze ar gāzu hromatogrāfiju). Monitoringā aplūkotie vides mainīgie lielumi ir gruntsūdens līmenis, augsnes un gaisa temperatūra, augsnes mitrums, veģetācijas sastāvs, virszemes un zemzemes biomasa un oglekļa krājumi veģetācijā, augsnes īpašības (masas blīvums, pH, tādu ķīmisko elementu kā C, N, P , K, Ca, Mg saturs).</w:t>
      </w:r>
    </w:p>
    <w:p w14:paraId="25C5960C" w14:textId="77777777" w:rsidR="00053C4F" w:rsidRPr="00675182" w:rsidRDefault="00053C4F" w:rsidP="005F19EC">
      <w:pPr>
        <w:jc w:val="both"/>
        <w:rPr>
          <w:rFonts w:cstheme="minorHAnsi"/>
          <w:bCs/>
          <w:szCs w:val="24"/>
        </w:rPr>
      </w:pPr>
    </w:p>
    <w:p w14:paraId="474CC526" w14:textId="77777777" w:rsidR="005F19EC" w:rsidRPr="00675182" w:rsidRDefault="005F19EC" w:rsidP="005F19EC">
      <w:pPr>
        <w:jc w:val="both"/>
        <w:rPr>
          <w:rFonts w:cstheme="minorHAnsi"/>
          <w:bCs/>
          <w:szCs w:val="24"/>
        </w:rPr>
      </w:pPr>
      <w:r w:rsidRPr="00675182">
        <w:rPr>
          <w:rFonts w:cstheme="minorHAnsi"/>
          <w:bCs/>
          <w:szCs w:val="24"/>
        </w:rPr>
        <w:t xml:space="preserve">Izvēloties datu ievākšanas vietas, tiks ņemta vērā telpiskā variācija, mikrotopogrāfija un veģetācija, lai mērījumi tiktu veikti dažādās purvu daļās un lai paraugu ņemšanā tiktu iekļauti visi galvenie zemes seguma veidi, gruntsūdens līmenis un biotopi. Katrā vietā tiks izveidotas gan hidroloģijas atjaunošanas, gan kontroles (susinātas) paraugošanas vietas, kurās plūsmas tiks uzraudzītas ar vismaz 3 kamer-parauglaukumiem katrā biotopā, kā rezultātā datu ievākšanas vietas plānots izvietot vismaz 9 parauglaukumos/apakšobjektā un 18 laukumos purvā. Mērījumu metodika ir saskaņota ar LIFE REstore, LIFE Peat Restore un LIFE OrgBalt projektiem, lai nodrošinātu, ka šajos pētījumos iegūtās datu kopas var tikt izmantotas projektā, lai pārliecinātos par īstenoto </w:t>
      </w:r>
      <w:r w:rsidRPr="00675182">
        <w:rPr>
          <w:rFonts w:cstheme="minorHAnsi"/>
          <w:bCs/>
          <w:szCs w:val="24"/>
        </w:rPr>
        <w:lastRenderedPageBreak/>
        <w:t>pasākumu ilgtermiņa ietekmi un palielinātu datu kopumu, ko iespējams izmantot projekta</w:t>
      </w:r>
      <w:r w:rsidRPr="00675182">
        <w:t xml:space="preserve"> </w:t>
      </w:r>
      <w:r w:rsidRPr="00675182">
        <w:rPr>
          <w:rFonts w:cstheme="minorHAnsi"/>
          <w:bCs/>
          <w:szCs w:val="24"/>
        </w:rPr>
        <w:t xml:space="preserve">LIFE21-CCM-LV-LIFE PeatCarbon ietvaros. Papildus tiks veikti attālās izpētes datos balstīti pētījumi, izmantojot iepriekš iegūtos datus. </w:t>
      </w:r>
    </w:p>
    <w:p w14:paraId="67342F73" w14:textId="1B0764EF" w:rsidR="005F19EC" w:rsidRPr="00675182" w:rsidRDefault="005F19EC" w:rsidP="005F19EC">
      <w:pPr>
        <w:jc w:val="both"/>
        <w:rPr>
          <w:rFonts w:cstheme="minorHAnsi"/>
          <w:bCs/>
          <w:szCs w:val="24"/>
        </w:rPr>
      </w:pPr>
      <w:r w:rsidRPr="00675182">
        <w:rPr>
          <w:rFonts w:cstheme="minorHAnsi"/>
          <w:bCs/>
          <w:szCs w:val="24"/>
        </w:rPr>
        <w:t>Mērījumu kampaņas tiks atkārtotas reizi 3 nedēļās veģetācijas periodā un reizi 6 nedēļās ziemā, kopā 24 mērījumu kampaņas vienā vietā. Nepārtraukti tiks mērīts gruntsūdens līmenis un augsnes temperatūra.</w:t>
      </w:r>
    </w:p>
    <w:p w14:paraId="6B7171E8" w14:textId="77777777" w:rsidR="00053C4F" w:rsidRPr="00675182" w:rsidRDefault="00053C4F" w:rsidP="005F19EC">
      <w:pPr>
        <w:jc w:val="both"/>
        <w:rPr>
          <w:rFonts w:cstheme="minorHAnsi"/>
          <w:bCs/>
          <w:szCs w:val="24"/>
        </w:rPr>
      </w:pPr>
    </w:p>
    <w:p w14:paraId="246455B8" w14:textId="727AC8AC" w:rsidR="005F19EC" w:rsidRPr="00675182" w:rsidRDefault="005F19EC" w:rsidP="005F19EC">
      <w:pPr>
        <w:jc w:val="both"/>
        <w:rPr>
          <w:rFonts w:cstheme="minorHAnsi"/>
          <w:bCs/>
          <w:szCs w:val="24"/>
        </w:rPr>
      </w:pPr>
      <w:r w:rsidRPr="00675182">
        <w:rPr>
          <w:rFonts w:cstheme="minorHAnsi"/>
          <w:bCs/>
          <w:szCs w:val="24"/>
        </w:rPr>
        <w:t xml:space="preserve">Iegūtie dati tiks izmantoti vairākiem mērķiem: </w:t>
      </w:r>
    </w:p>
    <w:p w14:paraId="38393E06" w14:textId="6080B66A" w:rsidR="005F19EC" w:rsidRPr="00675182" w:rsidRDefault="005F19EC" w:rsidP="00A84218">
      <w:pPr>
        <w:pStyle w:val="ListParagraph"/>
        <w:numPr>
          <w:ilvl w:val="0"/>
          <w:numId w:val="65"/>
        </w:numPr>
        <w:jc w:val="both"/>
        <w:rPr>
          <w:rFonts w:cstheme="minorHAnsi"/>
          <w:bCs/>
          <w:szCs w:val="24"/>
        </w:rPr>
      </w:pPr>
      <w:r w:rsidRPr="00675182">
        <w:rPr>
          <w:rFonts w:cstheme="minorHAnsi"/>
          <w:bCs/>
          <w:szCs w:val="24"/>
        </w:rPr>
        <w:t>pārbaudīt īstenoto CCM pasākumu ietekmi un nodrošināt lauka mērījumu datus attālās izpētes metožu izstrādei SEG plūsmu netiešai raksturošanai un uz proksi balstītu metožu validācijai;</w:t>
      </w:r>
    </w:p>
    <w:p w14:paraId="070D3F47" w14:textId="6673C2AA" w:rsidR="005F19EC" w:rsidRPr="00675182" w:rsidRDefault="005F19EC" w:rsidP="00A84218">
      <w:pPr>
        <w:pStyle w:val="ListParagraph"/>
        <w:numPr>
          <w:ilvl w:val="0"/>
          <w:numId w:val="65"/>
        </w:numPr>
        <w:jc w:val="both"/>
        <w:rPr>
          <w:rFonts w:cstheme="minorHAnsi"/>
          <w:bCs/>
          <w:szCs w:val="24"/>
        </w:rPr>
      </w:pPr>
      <w:r w:rsidRPr="00675182">
        <w:rPr>
          <w:rFonts w:cstheme="minorHAnsi"/>
          <w:bCs/>
          <w:szCs w:val="24"/>
        </w:rPr>
        <w:t>pilnveidot darbības datu izstrādes metodes, izmantojot publiski pieejamus telpiskos datus, piemēram, Copernicus optiskos un radara datus, LiDAR un nacionālās ZGIS datu bāzes;</w:t>
      </w:r>
    </w:p>
    <w:p w14:paraId="22414B21" w14:textId="1ABA181C" w:rsidR="005F19EC" w:rsidRPr="00675182" w:rsidRDefault="005F19EC" w:rsidP="00A84218">
      <w:pPr>
        <w:pStyle w:val="ListParagraph"/>
        <w:numPr>
          <w:ilvl w:val="0"/>
          <w:numId w:val="65"/>
        </w:numPr>
        <w:jc w:val="both"/>
        <w:rPr>
          <w:rFonts w:cstheme="minorHAnsi"/>
          <w:bCs/>
          <w:szCs w:val="24"/>
        </w:rPr>
      </w:pPr>
      <w:r w:rsidRPr="00675182">
        <w:rPr>
          <w:rFonts w:cstheme="minorHAnsi"/>
          <w:bCs/>
          <w:szCs w:val="24"/>
        </w:rPr>
        <w:t xml:space="preserve">faktisko SEG plūsmu noteikšana pēc kūdrāju atjaunošanas sniegs nozīmīgus datus oglekļa bilances novērtējumam un nacionālajām SEG uzskaitēm. </w:t>
      </w:r>
    </w:p>
    <w:p w14:paraId="3DEBFDA4" w14:textId="77777777" w:rsidR="005F19EC" w:rsidRPr="00675182" w:rsidRDefault="005F19EC" w:rsidP="005F19EC">
      <w:pPr>
        <w:jc w:val="both"/>
        <w:rPr>
          <w:rFonts w:cstheme="minorHAnsi"/>
          <w:bCs/>
          <w:szCs w:val="24"/>
        </w:rPr>
      </w:pPr>
    </w:p>
    <w:p w14:paraId="3FDF43B5" w14:textId="0945A313" w:rsidR="00F773BC" w:rsidRPr="00675182" w:rsidRDefault="00F773BC" w:rsidP="005F19EC">
      <w:pPr>
        <w:jc w:val="both"/>
        <w:rPr>
          <w:rFonts w:cstheme="minorHAnsi"/>
          <w:bCs/>
          <w:szCs w:val="24"/>
        </w:rPr>
        <w:sectPr w:rsidR="00F773BC" w:rsidRPr="00675182">
          <w:headerReference w:type="default" r:id="rId294"/>
          <w:pgSz w:w="11905" w:h="16837"/>
          <w:pgMar w:top="1440" w:right="1702" w:bottom="1440" w:left="1702" w:header="720" w:footer="720" w:gutter="0"/>
          <w:cols w:space="720"/>
        </w:sectPr>
      </w:pPr>
    </w:p>
    <w:p w14:paraId="7E318E03" w14:textId="258CC626" w:rsidR="00011E51" w:rsidRPr="00675182" w:rsidRDefault="00011E51" w:rsidP="00A176D9">
      <w:pPr>
        <w:pStyle w:val="Heading1"/>
      </w:pPr>
      <w:bookmarkStart w:id="165" w:name="_Toc116938423"/>
      <w:r w:rsidRPr="00675182">
        <w:lastRenderedPageBreak/>
        <w:t>4. Priekšlikumi nepieciešamajiem grozījumiem pašvaldības teritorijas plānojum</w:t>
      </w:r>
      <w:r w:rsidR="003068AA" w:rsidRPr="00675182">
        <w:t>ā</w:t>
      </w:r>
      <w:bookmarkEnd w:id="165"/>
    </w:p>
    <w:p w14:paraId="4E220971" w14:textId="77777777" w:rsidR="003068AA" w:rsidRPr="00675182" w:rsidRDefault="003068AA" w:rsidP="002B3341">
      <w:pPr>
        <w:rPr>
          <w:rFonts w:cstheme="minorHAnsi"/>
        </w:rPr>
      </w:pPr>
    </w:p>
    <w:p w14:paraId="58F3333B" w14:textId="63DC9A0E" w:rsidR="009170B3" w:rsidRPr="00675182" w:rsidRDefault="009170B3" w:rsidP="00785B6A">
      <w:pPr>
        <w:jc w:val="both"/>
        <w:rPr>
          <w:rFonts w:cstheme="minorHAnsi"/>
          <w:szCs w:val="24"/>
        </w:rPr>
      </w:pPr>
      <w:r w:rsidRPr="00675182">
        <w:rPr>
          <w:rFonts w:cstheme="minorHAnsi"/>
          <w:szCs w:val="24"/>
        </w:rPr>
        <w:t>Atbilstoši Administratīvo teritoriju un apdzīvoto vietu likumam, kas spēkā stājās 2020. gada 23. jūnijā, GNP teritorija ietilpst Cēsu, Saulkrastu, Siguldas, kā arī Valmieras novados. Saskaņā ar Administratīvo teritoriju un apdzīvoto vietu likuma 17. punktu,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Uzsākot Cēsu, Saulkrastu, Siguldas un Valmieras novadu TP izstrādi, ir jāņem vērā GNP DA plānā 2023. – 2035. gadam iekļautā informācija par teritorijas dabas un kultūrvēsturiskajām vērtībām, ainaviski vērtīgajām teritorijām un rekomendējamiem apsaimniekošanas pasākumiem. Izstrādājot TP un TIAN, ir jāizvērtē IAIN un GNP likuma projektā iekļautie nosacījumi un apsaimniekošanas pasākumi</w:t>
      </w:r>
    </w:p>
    <w:p w14:paraId="210EE839" w14:textId="53EFA414" w:rsidR="009170B3" w:rsidRPr="00675182" w:rsidRDefault="009170B3" w:rsidP="00785B6A">
      <w:pPr>
        <w:jc w:val="both"/>
        <w:rPr>
          <w:rFonts w:cstheme="minorHAnsi"/>
          <w:szCs w:val="24"/>
        </w:rPr>
      </w:pPr>
    </w:p>
    <w:p w14:paraId="2B767726" w14:textId="1795B7FE" w:rsidR="009170B3" w:rsidRPr="00675182" w:rsidRDefault="009170B3" w:rsidP="00785B6A">
      <w:pPr>
        <w:jc w:val="both"/>
        <w:rPr>
          <w:rFonts w:cstheme="minorHAnsi"/>
          <w:szCs w:val="24"/>
        </w:rPr>
      </w:pPr>
      <w:r w:rsidRPr="00675182">
        <w:rPr>
          <w:rFonts w:cstheme="minorHAnsi"/>
          <w:szCs w:val="24"/>
        </w:rPr>
        <w:t xml:space="preserve">4.1. tabulā ir iekļauta informācija par plānoto (atļauto izmantošanu) GNP esošajās zonās un izstrādātajā priekšlikuma zonējumā. </w:t>
      </w:r>
    </w:p>
    <w:p w14:paraId="65C04172" w14:textId="1B9B98C5" w:rsidR="009170B3" w:rsidRPr="00675182" w:rsidRDefault="009170B3" w:rsidP="00785B6A">
      <w:pPr>
        <w:jc w:val="both"/>
        <w:rPr>
          <w:rFonts w:cstheme="minorHAnsi"/>
          <w:szCs w:val="24"/>
        </w:rPr>
      </w:pPr>
    </w:p>
    <w:p w14:paraId="32EFBCA7" w14:textId="100D26B6" w:rsidR="009170B3" w:rsidRPr="00675182" w:rsidRDefault="009170B3" w:rsidP="009170B3">
      <w:pPr>
        <w:jc w:val="both"/>
        <w:rPr>
          <w:b/>
          <w:bCs/>
          <w:i/>
          <w:iCs/>
          <w:szCs w:val="24"/>
        </w:rPr>
      </w:pPr>
      <w:r w:rsidRPr="00675182">
        <w:rPr>
          <w:b/>
          <w:bCs/>
          <w:i/>
          <w:iCs/>
          <w:szCs w:val="24"/>
        </w:rPr>
        <w:t xml:space="preserve">4.1. tabula. </w:t>
      </w:r>
      <w:r w:rsidRPr="00675182">
        <w:rPr>
          <w:rFonts w:ascii="Calibri" w:eastAsia="Times New Roman" w:hAnsi="Calibri"/>
          <w:b/>
          <w:bCs/>
          <w:i/>
          <w:iCs/>
          <w:color w:val="000000"/>
          <w:szCs w:val="24"/>
          <w:lang w:eastAsia="de-DE"/>
        </w:rPr>
        <w:t>Plānotā (atļautā) teritorijas izmantošana spēkā esošajā un piedāvātajā funkcionālajā zonējumā</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0"/>
        <w:gridCol w:w="1477"/>
        <w:gridCol w:w="1477"/>
        <w:gridCol w:w="1477"/>
        <w:gridCol w:w="1311"/>
      </w:tblGrid>
      <w:tr w:rsidR="009170B3" w:rsidRPr="00675182" w14:paraId="0F67B98B" w14:textId="77777777" w:rsidTr="009170B3">
        <w:trPr>
          <w:trHeight w:val="288"/>
          <w:tblHeader/>
        </w:trPr>
        <w:tc>
          <w:tcPr>
            <w:tcW w:w="1474" w:type="pct"/>
            <w:shd w:val="clear" w:color="auto" w:fill="D6E3BC" w:themeFill="accent3" w:themeFillTint="66"/>
            <w:noWrap/>
            <w:vAlign w:val="center"/>
            <w:hideMark/>
          </w:tcPr>
          <w:p w14:paraId="322512BC" w14:textId="77777777" w:rsidR="009170B3" w:rsidRPr="00675182" w:rsidRDefault="009170B3" w:rsidP="009D4F62">
            <w:pPr>
              <w:suppressAutoHyphens w:val="0"/>
              <w:jc w:val="center"/>
              <w:rPr>
                <w:rFonts w:ascii="Calibri" w:eastAsia="Times New Roman" w:hAnsi="Calibri"/>
                <w:b/>
                <w:bCs/>
                <w:color w:val="000000"/>
                <w:sz w:val="22"/>
                <w:szCs w:val="22"/>
                <w:lang w:eastAsia="de-DE"/>
              </w:rPr>
            </w:pPr>
            <w:r w:rsidRPr="00675182">
              <w:rPr>
                <w:rFonts w:ascii="Calibri" w:eastAsia="Times New Roman" w:hAnsi="Calibri"/>
                <w:b/>
                <w:bCs/>
                <w:color w:val="000000"/>
                <w:sz w:val="22"/>
                <w:szCs w:val="22"/>
                <w:lang w:eastAsia="de-DE"/>
              </w:rPr>
              <w:t>Plānotā (atļautā) teritorijas izmantošana</w:t>
            </w:r>
          </w:p>
        </w:tc>
        <w:tc>
          <w:tcPr>
            <w:tcW w:w="907" w:type="pct"/>
            <w:shd w:val="clear" w:color="auto" w:fill="D6E3BC" w:themeFill="accent3" w:themeFillTint="66"/>
            <w:vAlign w:val="center"/>
          </w:tcPr>
          <w:p w14:paraId="534C7563" w14:textId="77777777" w:rsidR="009170B3" w:rsidRPr="00675182" w:rsidRDefault="009170B3" w:rsidP="009D4F62">
            <w:pPr>
              <w:suppressAutoHyphens w:val="0"/>
              <w:jc w:val="center"/>
              <w:rPr>
                <w:rFonts w:ascii="Calibri" w:eastAsia="Times New Roman" w:hAnsi="Calibri"/>
                <w:b/>
                <w:bCs/>
                <w:color w:val="000000"/>
                <w:sz w:val="22"/>
                <w:szCs w:val="22"/>
                <w:lang w:eastAsia="de-DE"/>
              </w:rPr>
            </w:pPr>
            <w:r w:rsidRPr="00675182">
              <w:rPr>
                <w:rFonts w:ascii="Calibri" w:eastAsia="Times New Roman" w:hAnsi="Calibri"/>
                <w:b/>
                <w:bCs/>
                <w:color w:val="000000"/>
                <w:sz w:val="22"/>
                <w:szCs w:val="22"/>
                <w:lang w:eastAsia="de-DE"/>
              </w:rPr>
              <w:t>Esošais zonējums</w:t>
            </w:r>
          </w:p>
        </w:tc>
        <w:tc>
          <w:tcPr>
            <w:tcW w:w="907" w:type="pct"/>
            <w:shd w:val="clear" w:color="auto" w:fill="D6E3BC" w:themeFill="accent3" w:themeFillTint="66"/>
            <w:vAlign w:val="center"/>
          </w:tcPr>
          <w:p w14:paraId="37402E8F" w14:textId="77777777" w:rsidR="009170B3" w:rsidRPr="00675182" w:rsidRDefault="009170B3" w:rsidP="009D4F62">
            <w:pPr>
              <w:suppressAutoHyphens w:val="0"/>
              <w:jc w:val="center"/>
              <w:rPr>
                <w:rFonts w:ascii="Calibri" w:eastAsia="Times New Roman" w:hAnsi="Calibri"/>
                <w:b/>
                <w:bCs/>
                <w:color w:val="000000"/>
                <w:sz w:val="22"/>
                <w:szCs w:val="22"/>
                <w:lang w:eastAsia="de-DE"/>
              </w:rPr>
            </w:pPr>
            <w:r w:rsidRPr="00675182">
              <w:rPr>
                <w:rFonts w:ascii="Calibri" w:eastAsia="Times New Roman" w:hAnsi="Calibri"/>
                <w:b/>
                <w:bCs/>
                <w:color w:val="000000"/>
                <w:sz w:val="22"/>
                <w:szCs w:val="22"/>
                <w:lang w:eastAsia="de-DE"/>
              </w:rPr>
              <w:t>Platība, ha</w:t>
            </w:r>
          </w:p>
        </w:tc>
        <w:tc>
          <w:tcPr>
            <w:tcW w:w="907" w:type="pct"/>
            <w:shd w:val="clear" w:color="auto" w:fill="D6E3BC" w:themeFill="accent3" w:themeFillTint="66"/>
            <w:noWrap/>
            <w:vAlign w:val="center"/>
            <w:hideMark/>
          </w:tcPr>
          <w:p w14:paraId="3446E463" w14:textId="77777777" w:rsidR="009170B3" w:rsidRPr="00675182" w:rsidRDefault="009170B3" w:rsidP="009D4F62">
            <w:pPr>
              <w:suppressAutoHyphens w:val="0"/>
              <w:jc w:val="center"/>
              <w:rPr>
                <w:rFonts w:ascii="Calibri" w:eastAsia="Times New Roman" w:hAnsi="Calibri"/>
                <w:b/>
                <w:bCs/>
                <w:color w:val="000000"/>
                <w:sz w:val="22"/>
                <w:szCs w:val="22"/>
                <w:lang w:eastAsia="de-DE"/>
              </w:rPr>
            </w:pPr>
            <w:r w:rsidRPr="00675182">
              <w:rPr>
                <w:rFonts w:ascii="Calibri" w:eastAsia="Times New Roman" w:hAnsi="Calibri"/>
                <w:b/>
                <w:bCs/>
                <w:color w:val="000000"/>
                <w:sz w:val="22"/>
                <w:szCs w:val="22"/>
                <w:lang w:eastAsia="de-DE"/>
              </w:rPr>
              <w:t>Funkcionālā zonējuma priekšlikums</w:t>
            </w:r>
          </w:p>
        </w:tc>
        <w:tc>
          <w:tcPr>
            <w:tcW w:w="805" w:type="pct"/>
            <w:shd w:val="clear" w:color="auto" w:fill="D6E3BC" w:themeFill="accent3" w:themeFillTint="66"/>
            <w:noWrap/>
            <w:vAlign w:val="center"/>
            <w:hideMark/>
          </w:tcPr>
          <w:p w14:paraId="1EB48BE6" w14:textId="77777777" w:rsidR="009170B3" w:rsidRPr="00675182" w:rsidRDefault="009170B3" w:rsidP="009D4F62">
            <w:pPr>
              <w:suppressAutoHyphens w:val="0"/>
              <w:jc w:val="center"/>
              <w:rPr>
                <w:rFonts w:ascii="Calibri" w:eastAsia="Times New Roman" w:hAnsi="Calibri"/>
                <w:b/>
                <w:bCs/>
                <w:color w:val="000000"/>
                <w:sz w:val="22"/>
                <w:szCs w:val="22"/>
                <w:lang w:eastAsia="de-DE"/>
              </w:rPr>
            </w:pPr>
            <w:r w:rsidRPr="00675182">
              <w:rPr>
                <w:rFonts w:ascii="Calibri" w:eastAsia="Times New Roman" w:hAnsi="Calibri"/>
                <w:b/>
                <w:bCs/>
                <w:color w:val="000000"/>
                <w:sz w:val="22"/>
                <w:szCs w:val="22"/>
                <w:lang w:eastAsia="de-DE"/>
              </w:rPr>
              <w:t>Platība, ha</w:t>
            </w:r>
          </w:p>
        </w:tc>
      </w:tr>
      <w:tr w:rsidR="009170B3" w:rsidRPr="00675182" w14:paraId="23088300" w14:textId="77777777" w:rsidTr="009170B3">
        <w:trPr>
          <w:trHeight w:val="288"/>
        </w:trPr>
        <w:tc>
          <w:tcPr>
            <w:tcW w:w="1474" w:type="pct"/>
            <w:vMerge w:val="restart"/>
            <w:shd w:val="clear" w:color="auto" w:fill="auto"/>
            <w:noWrap/>
            <w:vAlign w:val="center"/>
            <w:hideMark/>
          </w:tcPr>
          <w:p w14:paraId="1945CBCF"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Dabas un apstādījumu teritorija</w:t>
            </w:r>
          </w:p>
        </w:tc>
        <w:tc>
          <w:tcPr>
            <w:tcW w:w="907" w:type="pct"/>
            <w:shd w:val="clear" w:color="auto" w:fill="auto"/>
            <w:vAlign w:val="center"/>
          </w:tcPr>
          <w:p w14:paraId="25A8948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DLZ</w:t>
            </w:r>
          </w:p>
        </w:tc>
        <w:tc>
          <w:tcPr>
            <w:tcW w:w="907" w:type="pct"/>
            <w:shd w:val="clear" w:color="auto" w:fill="auto"/>
            <w:vAlign w:val="center"/>
          </w:tcPr>
          <w:p w14:paraId="4F56A7B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1025,5</w:t>
            </w:r>
          </w:p>
        </w:tc>
        <w:tc>
          <w:tcPr>
            <w:tcW w:w="907" w:type="pct"/>
            <w:shd w:val="clear" w:color="auto" w:fill="auto"/>
            <w:noWrap/>
            <w:vAlign w:val="center"/>
            <w:hideMark/>
          </w:tcPr>
          <w:p w14:paraId="4A6D7C9C"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DLZ</w:t>
            </w:r>
          </w:p>
        </w:tc>
        <w:tc>
          <w:tcPr>
            <w:tcW w:w="805" w:type="pct"/>
            <w:shd w:val="clear" w:color="auto" w:fill="auto"/>
            <w:noWrap/>
            <w:vAlign w:val="center"/>
            <w:hideMark/>
          </w:tcPr>
          <w:p w14:paraId="6552580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945,8</w:t>
            </w:r>
          </w:p>
        </w:tc>
      </w:tr>
      <w:tr w:rsidR="009170B3" w:rsidRPr="00675182" w14:paraId="6646733B" w14:textId="77777777" w:rsidTr="009170B3">
        <w:trPr>
          <w:trHeight w:val="288"/>
        </w:trPr>
        <w:tc>
          <w:tcPr>
            <w:tcW w:w="1474" w:type="pct"/>
            <w:vMerge/>
            <w:vAlign w:val="center"/>
            <w:hideMark/>
          </w:tcPr>
          <w:p w14:paraId="18966B26"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5D99439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5BC370F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105,8</w:t>
            </w:r>
          </w:p>
        </w:tc>
        <w:tc>
          <w:tcPr>
            <w:tcW w:w="907" w:type="pct"/>
            <w:shd w:val="clear" w:color="auto" w:fill="auto"/>
            <w:noWrap/>
            <w:vAlign w:val="center"/>
            <w:hideMark/>
          </w:tcPr>
          <w:p w14:paraId="73D2986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DPZ</w:t>
            </w:r>
          </w:p>
        </w:tc>
        <w:tc>
          <w:tcPr>
            <w:tcW w:w="805" w:type="pct"/>
            <w:shd w:val="clear" w:color="auto" w:fill="auto"/>
            <w:noWrap/>
            <w:vAlign w:val="center"/>
            <w:hideMark/>
          </w:tcPr>
          <w:p w14:paraId="712CFF2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224,5</w:t>
            </w:r>
          </w:p>
        </w:tc>
      </w:tr>
      <w:tr w:rsidR="009170B3" w:rsidRPr="00675182" w14:paraId="21BD8660" w14:textId="77777777" w:rsidTr="009170B3">
        <w:trPr>
          <w:trHeight w:val="288"/>
        </w:trPr>
        <w:tc>
          <w:tcPr>
            <w:tcW w:w="1474" w:type="pct"/>
            <w:vMerge/>
            <w:vAlign w:val="center"/>
            <w:hideMark/>
          </w:tcPr>
          <w:p w14:paraId="37BF9173"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4B3BBBA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4D9AA51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155,6</w:t>
            </w:r>
          </w:p>
        </w:tc>
        <w:tc>
          <w:tcPr>
            <w:tcW w:w="907" w:type="pct"/>
            <w:shd w:val="clear" w:color="auto" w:fill="auto"/>
            <w:noWrap/>
            <w:vAlign w:val="center"/>
            <w:hideMark/>
          </w:tcPr>
          <w:p w14:paraId="40BC891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1BE455D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113,1</w:t>
            </w:r>
          </w:p>
        </w:tc>
      </w:tr>
      <w:tr w:rsidR="009170B3" w:rsidRPr="00675182" w14:paraId="340AC212" w14:textId="77777777" w:rsidTr="009170B3">
        <w:trPr>
          <w:trHeight w:val="288"/>
        </w:trPr>
        <w:tc>
          <w:tcPr>
            <w:tcW w:w="1474" w:type="pct"/>
            <w:vMerge/>
            <w:vAlign w:val="center"/>
            <w:hideMark/>
          </w:tcPr>
          <w:p w14:paraId="7ED8DAFA"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60559B4F"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4F34148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129,5</w:t>
            </w:r>
          </w:p>
        </w:tc>
        <w:tc>
          <w:tcPr>
            <w:tcW w:w="907" w:type="pct"/>
            <w:shd w:val="clear" w:color="auto" w:fill="auto"/>
            <w:noWrap/>
            <w:vAlign w:val="center"/>
            <w:hideMark/>
          </w:tcPr>
          <w:p w14:paraId="1C03FE9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604AE39C"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131,5</w:t>
            </w:r>
          </w:p>
        </w:tc>
      </w:tr>
      <w:tr w:rsidR="009170B3" w:rsidRPr="00675182" w14:paraId="4F11BBA3" w14:textId="77777777" w:rsidTr="009170B3">
        <w:trPr>
          <w:trHeight w:val="288"/>
        </w:trPr>
        <w:tc>
          <w:tcPr>
            <w:tcW w:w="1474" w:type="pct"/>
            <w:vMerge w:val="restart"/>
            <w:shd w:val="clear" w:color="auto" w:fill="auto"/>
            <w:noWrap/>
            <w:vAlign w:val="center"/>
            <w:hideMark/>
          </w:tcPr>
          <w:p w14:paraId="1BC403AF"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Daudzstāvu dzīvojamās apbūves teritorija</w:t>
            </w:r>
          </w:p>
        </w:tc>
        <w:tc>
          <w:tcPr>
            <w:tcW w:w="907" w:type="pct"/>
            <w:shd w:val="clear" w:color="auto" w:fill="auto"/>
            <w:vAlign w:val="center"/>
          </w:tcPr>
          <w:p w14:paraId="49CE0D9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00EB47F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0,3</w:t>
            </w:r>
          </w:p>
        </w:tc>
        <w:tc>
          <w:tcPr>
            <w:tcW w:w="907" w:type="pct"/>
            <w:shd w:val="clear" w:color="auto" w:fill="auto"/>
            <w:noWrap/>
            <w:vAlign w:val="center"/>
            <w:hideMark/>
          </w:tcPr>
          <w:p w14:paraId="5D34DC32"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4FF0419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0,3</w:t>
            </w:r>
          </w:p>
        </w:tc>
      </w:tr>
      <w:tr w:rsidR="009170B3" w:rsidRPr="00675182" w14:paraId="67DF9AC8" w14:textId="77777777" w:rsidTr="009170B3">
        <w:trPr>
          <w:trHeight w:val="288"/>
        </w:trPr>
        <w:tc>
          <w:tcPr>
            <w:tcW w:w="1474" w:type="pct"/>
            <w:vMerge/>
            <w:vAlign w:val="center"/>
            <w:hideMark/>
          </w:tcPr>
          <w:p w14:paraId="76583E5E"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325D9A6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4BF93DC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21,4</w:t>
            </w:r>
          </w:p>
        </w:tc>
        <w:tc>
          <w:tcPr>
            <w:tcW w:w="907" w:type="pct"/>
            <w:shd w:val="clear" w:color="auto" w:fill="auto"/>
            <w:noWrap/>
            <w:vAlign w:val="center"/>
            <w:hideMark/>
          </w:tcPr>
          <w:p w14:paraId="33C4E04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22DBDDF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21,4</w:t>
            </w:r>
          </w:p>
        </w:tc>
      </w:tr>
      <w:tr w:rsidR="009170B3" w:rsidRPr="00675182" w14:paraId="34869C11" w14:textId="77777777" w:rsidTr="009170B3">
        <w:trPr>
          <w:trHeight w:val="288"/>
        </w:trPr>
        <w:tc>
          <w:tcPr>
            <w:tcW w:w="1474" w:type="pct"/>
            <w:vMerge w:val="restart"/>
            <w:shd w:val="clear" w:color="auto" w:fill="auto"/>
            <w:noWrap/>
            <w:vAlign w:val="center"/>
            <w:hideMark/>
          </w:tcPr>
          <w:p w14:paraId="0841D82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Jaukta centra apbūves teritorija</w:t>
            </w:r>
          </w:p>
        </w:tc>
        <w:tc>
          <w:tcPr>
            <w:tcW w:w="907" w:type="pct"/>
            <w:shd w:val="clear" w:color="auto" w:fill="auto"/>
            <w:vAlign w:val="center"/>
          </w:tcPr>
          <w:p w14:paraId="610D2BEC"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515AF6F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0,3</w:t>
            </w:r>
          </w:p>
        </w:tc>
        <w:tc>
          <w:tcPr>
            <w:tcW w:w="907" w:type="pct"/>
            <w:shd w:val="clear" w:color="auto" w:fill="auto"/>
            <w:noWrap/>
            <w:vAlign w:val="center"/>
            <w:hideMark/>
          </w:tcPr>
          <w:p w14:paraId="29C05F3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DPZ</w:t>
            </w:r>
          </w:p>
        </w:tc>
        <w:tc>
          <w:tcPr>
            <w:tcW w:w="805" w:type="pct"/>
            <w:shd w:val="clear" w:color="auto" w:fill="auto"/>
            <w:noWrap/>
            <w:vAlign w:val="center"/>
            <w:hideMark/>
          </w:tcPr>
          <w:p w14:paraId="54113E0F"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3,0</w:t>
            </w:r>
          </w:p>
        </w:tc>
      </w:tr>
      <w:tr w:rsidR="009170B3" w:rsidRPr="00675182" w14:paraId="3B5A6FD5" w14:textId="77777777" w:rsidTr="009170B3">
        <w:trPr>
          <w:trHeight w:val="288"/>
        </w:trPr>
        <w:tc>
          <w:tcPr>
            <w:tcW w:w="1474" w:type="pct"/>
            <w:vMerge/>
            <w:vAlign w:val="center"/>
            <w:hideMark/>
          </w:tcPr>
          <w:p w14:paraId="2B1E111E"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3B8376AD"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3D6CAF5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7,0</w:t>
            </w:r>
          </w:p>
        </w:tc>
        <w:tc>
          <w:tcPr>
            <w:tcW w:w="907" w:type="pct"/>
            <w:shd w:val="clear" w:color="auto" w:fill="auto"/>
            <w:noWrap/>
            <w:vAlign w:val="center"/>
            <w:hideMark/>
          </w:tcPr>
          <w:p w14:paraId="0D8EF340"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4016878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12,2</w:t>
            </w:r>
          </w:p>
        </w:tc>
      </w:tr>
      <w:tr w:rsidR="009170B3" w:rsidRPr="00675182" w14:paraId="596EAA1F" w14:textId="77777777" w:rsidTr="009170B3">
        <w:trPr>
          <w:trHeight w:val="288"/>
        </w:trPr>
        <w:tc>
          <w:tcPr>
            <w:tcW w:w="1474" w:type="pct"/>
            <w:vMerge/>
            <w:vAlign w:val="center"/>
            <w:hideMark/>
          </w:tcPr>
          <w:p w14:paraId="178108C9"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4C3AC8A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0630B35F"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12,9</w:t>
            </w:r>
          </w:p>
        </w:tc>
        <w:tc>
          <w:tcPr>
            <w:tcW w:w="907" w:type="pct"/>
            <w:shd w:val="clear" w:color="auto" w:fill="auto"/>
            <w:noWrap/>
            <w:vAlign w:val="center"/>
            <w:hideMark/>
          </w:tcPr>
          <w:p w14:paraId="155DEAED"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4F0A4E6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3,6</w:t>
            </w:r>
          </w:p>
        </w:tc>
      </w:tr>
      <w:tr w:rsidR="009170B3" w:rsidRPr="00675182" w14:paraId="55110C16" w14:textId="77777777" w:rsidTr="009170B3">
        <w:trPr>
          <w:trHeight w:val="288"/>
        </w:trPr>
        <w:tc>
          <w:tcPr>
            <w:tcW w:w="1474" w:type="pct"/>
            <w:vMerge w:val="restart"/>
            <w:shd w:val="clear" w:color="auto" w:fill="auto"/>
            <w:noWrap/>
            <w:vAlign w:val="center"/>
            <w:hideMark/>
          </w:tcPr>
          <w:p w14:paraId="058145E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Lauksaimniecības teritorija</w:t>
            </w:r>
          </w:p>
        </w:tc>
        <w:tc>
          <w:tcPr>
            <w:tcW w:w="907" w:type="pct"/>
            <w:shd w:val="clear" w:color="auto" w:fill="auto"/>
            <w:vAlign w:val="center"/>
          </w:tcPr>
          <w:p w14:paraId="4B634BD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SRZ</w:t>
            </w:r>
          </w:p>
        </w:tc>
        <w:tc>
          <w:tcPr>
            <w:tcW w:w="907" w:type="pct"/>
            <w:shd w:val="clear" w:color="auto" w:fill="auto"/>
            <w:vAlign w:val="center"/>
          </w:tcPr>
          <w:p w14:paraId="3B61554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29,8</w:t>
            </w:r>
          </w:p>
        </w:tc>
        <w:tc>
          <w:tcPr>
            <w:tcW w:w="907" w:type="pct"/>
            <w:shd w:val="clear" w:color="auto" w:fill="auto"/>
            <w:noWrap/>
            <w:vAlign w:val="center"/>
            <w:hideMark/>
          </w:tcPr>
          <w:p w14:paraId="2011DE1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SRZ</w:t>
            </w:r>
          </w:p>
        </w:tc>
        <w:tc>
          <w:tcPr>
            <w:tcW w:w="805" w:type="pct"/>
            <w:shd w:val="clear" w:color="auto" w:fill="auto"/>
            <w:noWrap/>
            <w:vAlign w:val="center"/>
            <w:hideMark/>
          </w:tcPr>
          <w:p w14:paraId="6881C28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25,1</w:t>
            </w:r>
          </w:p>
        </w:tc>
      </w:tr>
      <w:tr w:rsidR="009170B3" w:rsidRPr="00675182" w14:paraId="2664DE7E" w14:textId="77777777" w:rsidTr="009170B3">
        <w:trPr>
          <w:trHeight w:val="288"/>
        </w:trPr>
        <w:tc>
          <w:tcPr>
            <w:tcW w:w="1474" w:type="pct"/>
            <w:vMerge/>
            <w:vAlign w:val="center"/>
            <w:hideMark/>
          </w:tcPr>
          <w:p w14:paraId="0A098DAC"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2B8CC59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DLZ</w:t>
            </w:r>
          </w:p>
        </w:tc>
        <w:tc>
          <w:tcPr>
            <w:tcW w:w="907" w:type="pct"/>
            <w:shd w:val="clear" w:color="auto" w:fill="auto"/>
            <w:vAlign w:val="center"/>
          </w:tcPr>
          <w:p w14:paraId="528618D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4400,7</w:t>
            </w:r>
          </w:p>
        </w:tc>
        <w:tc>
          <w:tcPr>
            <w:tcW w:w="907" w:type="pct"/>
            <w:shd w:val="clear" w:color="auto" w:fill="auto"/>
            <w:noWrap/>
            <w:vAlign w:val="center"/>
            <w:hideMark/>
          </w:tcPr>
          <w:p w14:paraId="7D73ACC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DLZ</w:t>
            </w:r>
          </w:p>
        </w:tc>
        <w:tc>
          <w:tcPr>
            <w:tcW w:w="805" w:type="pct"/>
            <w:shd w:val="clear" w:color="auto" w:fill="auto"/>
            <w:noWrap/>
            <w:vAlign w:val="center"/>
            <w:hideMark/>
          </w:tcPr>
          <w:p w14:paraId="59B8ECE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966,8</w:t>
            </w:r>
          </w:p>
        </w:tc>
      </w:tr>
      <w:tr w:rsidR="009170B3" w:rsidRPr="00675182" w14:paraId="7F4E866A" w14:textId="77777777" w:rsidTr="009170B3">
        <w:trPr>
          <w:trHeight w:val="288"/>
        </w:trPr>
        <w:tc>
          <w:tcPr>
            <w:tcW w:w="1474" w:type="pct"/>
            <w:vMerge/>
            <w:vAlign w:val="center"/>
            <w:hideMark/>
          </w:tcPr>
          <w:p w14:paraId="06B83E53"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653BB29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3E4047A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1400,1</w:t>
            </w:r>
          </w:p>
        </w:tc>
        <w:tc>
          <w:tcPr>
            <w:tcW w:w="907" w:type="pct"/>
            <w:shd w:val="clear" w:color="auto" w:fill="auto"/>
            <w:noWrap/>
            <w:vAlign w:val="center"/>
            <w:hideMark/>
          </w:tcPr>
          <w:p w14:paraId="43093C2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DPZ</w:t>
            </w:r>
          </w:p>
        </w:tc>
        <w:tc>
          <w:tcPr>
            <w:tcW w:w="805" w:type="pct"/>
            <w:shd w:val="clear" w:color="auto" w:fill="auto"/>
            <w:noWrap/>
            <w:vAlign w:val="center"/>
            <w:hideMark/>
          </w:tcPr>
          <w:p w14:paraId="5455EC1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4296,5</w:t>
            </w:r>
          </w:p>
        </w:tc>
      </w:tr>
      <w:tr w:rsidR="009170B3" w:rsidRPr="00675182" w14:paraId="7E7C14C7" w14:textId="77777777" w:rsidTr="009170B3">
        <w:trPr>
          <w:trHeight w:val="288"/>
        </w:trPr>
        <w:tc>
          <w:tcPr>
            <w:tcW w:w="1474" w:type="pct"/>
            <w:vMerge/>
            <w:vAlign w:val="center"/>
            <w:hideMark/>
          </w:tcPr>
          <w:p w14:paraId="028797D5"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26D87BA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5A0C952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21105,8</w:t>
            </w:r>
          </w:p>
        </w:tc>
        <w:tc>
          <w:tcPr>
            <w:tcW w:w="907" w:type="pct"/>
            <w:shd w:val="clear" w:color="auto" w:fill="auto"/>
            <w:noWrap/>
            <w:vAlign w:val="center"/>
            <w:hideMark/>
          </w:tcPr>
          <w:p w14:paraId="2FC1ED3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3DB5B20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24935,9</w:t>
            </w:r>
          </w:p>
        </w:tc>
      </w:tr>
      <w:tr w:rsidR="009170B3" w:rsidRPr="00675182" w14:paraId="1C453A51" w14:textId="77777777" w:rsidTr="009170B3">
        <w:trPr>
          <w:trHeight w:val="288"/>
        </w:trPr>
        <w:tc>
          <w:tcPr>
            <w:tcW w:w="1474" w:type="pct"/>
            <w:vMerge/>
            <w:vAlign w:val="center"/>
            <w:hideMark/>
          </w:tcPr>
          <w:p w14:paraId="79360CC0"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299428B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33EA13C0"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4736,9</w:t>
            </w:r>
          </w:p>
        </w:tc>
        <w:tc>
          <w:tcPr>
            <w:tcW w:w="907" w:type="pct"/>
            <w:shd w:val="clear" w:color="auto" w:fill="auto"/>
            <w:noWrap/>
            <w:vAlign w:val="center"/>
            <w:hideMark/>
          </w:tcPr>
          <w:p w14:paraId="3604737C"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63CF218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1440,7</w:t>
            </w:r>
          </w:p>
        </w:tc>
      </w:tr>
      <w:tr w:rsidR="009170B3" w:rsidRPr="00675182" w14:paraId="0768EAF2" w14:textId="77777777" w:rsidTr="009170B3">
        <w:trPr>
          <w:trHeight w:val="288"/>
        </w:trPr>
        <w:tc>
          <w:tcPr>
            <w:tcW w:w="1474" w:type="pct"/>
            <w:vMerge w:val="restart"/>
            <w:shd w:val="clear" w:color="auto" w:fill="auto"/>
            <w:noWrap/>
            <w:vAlign w:val="center"/>
          </w:tcPr>
          <w:p w14:paraId="26DAF0D9"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Mazstāvu dzīvojamās apbūves teritorija</w:t>
            </w:r>
          </w:p>
        </w:tc>
        <w:tc>
          <w:tcPr>
            <w:tcW w:w="907" w:type="pct"/>
            <w:shd w:val="clear" w:color="auto" w:fill="auto"/>
            <w:vAlign w:val="center"/>
          </w:tcPr>
          <w:p w14:paraId="385669E2"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DLZ</w:t>
            </w:r>
          </w:p>
        </w:tc>
        <w:tc>
          <w:tcPr>
            <w:tcW w:w="907" w:type="pct"/>
            <w:shd w:val="clear" w:color="auto" w:fill="auto"/>
            <w:vAlign w:val="center"/>
          </w:tcPr>
          <w:p w14:paraId="6628CDA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32,0</w:t>
            </w:r>
          </w:p>
        </w:tc>
        <w:tc>
          <w:tcPr>
            <w:tcW w:w="907" w:type="pct"/>
            <w:vMerge w:val="restart"/>
            <w:shd w:val="clear" w:color="auto" w:fill="auto"/>
            <w:noWrap/>
            <w:vAlign w:val="center"/>
          </w:tcPr>
          <w:p w14:paraId="4666759B"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DPZ</w:t>
            </w:r>
          </w:p>
        </w:tc>
        <w:tc>
          <w:tcPr>
            <w:tcW w:w="805" w:type="pct"/>
            <w:vMerge w:val="restart"/>
            <w:shd w:val="clear" w:color="auto" w:fill="auto"/>
            <w:noWrap/>
            <w:vAlign w:val="center"/>
          </w:tcPr>
          <w:p w14:paraId="63BA9166"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37,3</w:t>
            </w:r>
          </w:p>
        </w:tc>
      </w:tr>
      <w:tr w:rsidR="009170B3" w:rsidRPr="00675182" w14:paraId="1C355D5F" w14:textId="77777777" w:rsidTr="009170B3">
        <w:trPr>
          <w:trHeight w:val="288"/>
        </w:trPr>
        <w:tc>
          <w:tcPr>
            <w:tcW w:w="1474" w:type="pct"/>
            <w:vMerge/>
            <w:shd w:val="clear" w:color="auto" w:fill="auto"/>
            <w:noWrap/>
            <w:vAlign w:val="center"/>
            <w:hideMark/>
          </w:tcPr>
          <w:p w14:paraId="5F0A072D"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1EC22B3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1A004C4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24,7</w:t>
            </w:r>
          </w:p>
        </w:tc>
        <w:tc>
          <w:tcPr>
            <w:tcW w:w="907" w:type="pct"/>
            <w:vMerge/>
            <w:shd w:val="clear" w:color="auto" w:fill="auto"/>
            <w:noWrap/>
            <w:vAlign w:val="center"/>
            <w:hideMark/>
          </w:tcPr>
          <w:p w14:paraId="187ADFDD"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805" w:type="pct"/>
            <w:vMerge/>
            <w:shd w:val="clear" w:color="auto" w:fill="auto"/>
            <w:noWrap/>
            <w:vAlign w:val="center"/>
            <w:hideMark/>
          </w:tcPr>
          <w:p w14:paraId="3CEAF13C"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r>
      <w:tr w:rsidR="009170B3" w:rsidRPr="00675182" w14:paraId="58A63CEC" w14:textId="77777777" w:rsidTr="009170B3">
        <w:trPr>
          <w:trHeight w:val="288"/>
        </w:trPr>
        <w:tc>
          <w:tcPr>
            <w:tcW w:w="1474" w:type="pct"/>
            <w:vMerge/>
            <w:vAlign w:val="center"/>
            <w:hideMark/>
          </w:tcPr>
          <w:p w14:paraId="464BBF6E"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62FBC87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7046271D"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141,1</w:t>
            </w:r>
          </w:p>
        </w:tc>
        <w:tc>
          <w:tcPr>
            <w:tcW w:w="907" w:type="pct"/>
            <w:shd w:val="clear" w:color="auto" w:fill="auto"/>
            <w:noWrap/>
            <w:vAlign w:val="center"/>
            <w:hideMark/>
          </w:tcPr>
          <w:p w14:paraId="4E5771F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0BBC7A2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173,3</w:t>
            </w:r>
          </w:p>
        </w:tc>
      </w:tr>
      <w:tr w:rsidR="009170B3" w:rsidRPr="00675182" w14:paraId="420FB20C" w14:textId="77777777" w:rsidTr="009170B3">
        <w:trPr>
          <w:trHeight w:val="288"/>
        </w:trPr>
        <w:tc>
          <w:tcPr>
            <w:tcW w:w="1474" w:type="pct"/>
            <w:vMerge/>
            <w:vAlign w:val="center"/>
            <w:hideMark/>
          </w:tcPr>
          <w:p w14:paraId="7C7C0A04"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3D9924F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372B74E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206,0</w:t>
            </w:r>
          </w:p>
        </w:tc>
        <w:tc>
          <w:tcPr>
            <w:tcW w:w="907" w:type="pct"/>
            <w:shd w:val="clear" w:color="auto" w:fill="auto"/>
            <w:noWrap/>
            <w:vAlign w:val="center"/>
            <w:hideMark/>
          </w:tcPr>
          <w:p w14:paraId="193016E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64EBB87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188,1</w:t>
            </w:r>
          </w:p>
        </w:tc>
      </w:tr>
      <w:tr w:rsidR="009170B3" w:rsidRPr="00675182" w14:paraId="38AF824A" w14:textId="77777777" w:rsidTr="009170B3">
        <w:trPr>
          <w:trHeight w:val="288"/>
        </w:trPr>
        <w:tc>
          <w:tcPr>
            <w:tcW w:w="1474" w:type="pct"/>
            <w:vMerge w:val="restart"/>
            <w:shd w:val="clear" w:color="auto" w:fill="auto"/>
            <w:noWrap/>
            <w:vAlign w:val="center"/>
            <w:hideMark/>
          </w:tcPr>
          <w:p w14:paraId="6F2E5EE2"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Mežu teritorija</w:t>
            </w:r>
          </w:p>
        </w:tc>
        <w:tc>
          <w:tcPr>
            <w:tcW w:w="907" w:type="pct"/>
            <w:shd w:val="clear" w:color="auto" w:fill="auto"/>
            <w:vAlign w:val="center"/>
          </w:tcPr>
          <w:p w14:paraId="60FAECD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SRZ</w:t>
            </w:r>
          </w:p>
        </w:tc>
        <w:tc>
          <w:tcPr>
            <w:tcW w:w="907" w:type="pct"/>
            <w:shd w:val="clear" w:color="auto" w:fill="auto"/>
            <w:vAlign w:val="center"/>
          </w:tcPr>
          <w:p w14:paraId="155D3EA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3561,9</w:t>
            </w:r>
          </w:p>
        </w:tc>
        <w:tc>
          <w:tcPr>
            <w:tcW w:w="907" w:type="pct"/>
            <w:shd w:val="clear" w:color="auto" w:fill="auto"/>
            <w:noWrap/>
            <w:vAlign w:val="center"/>
            <w:hideMark/>
          </w:tcPr>
          <w:p w14:paraId="3538CC1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SRZ</w:t>
            </w:r>
          </w:p>
        </w:tc>
        <w:tc>
          <w:tcPr>
            <w:tcW w:w="805" w:type="pct"/>
            <w:shd w:val="clear" w:color="auto" w:fill="auto"/>
            <w:noWrap/>
            <w:vAlign w:val="center"/>
            <w:hideMark/>
          </w:tcPr>
          <w:p w14:paraId="5EFA0570"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3563,6</w:t>
            </w:r>
          </w:p>
        </w:tc>
      </w:tr>
      <w:tr w:rsidR="009170B3" w:rsidRPr="00675182" w14:paraId="12EDDEEF" w14:textId="77777777" w:rsidTr="009170B3">
        <w:trPr>
          <w:trHeight w:val="288"/>
        </w:trPr>
        <w:tc>
          <w:tcPr>
            <w:tcW w:w="1474" w:type="pct"/>
            <w:vMerge/>
            <w:vAlign w:val="center"/>
            <w:hideMark/>
          </w:tcPr>
          <w:p w14:paraId="40261A3D"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10C9695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DLZ</w:t>
            </w:r>
          </w:p>
        </w:tc>
        <w:tc>
          <w:tcPr>
            <w:tcW w:w="907" w:type="pct"/>
            <w:shd w:val="clear" w:color="auto" w:fill="auto"/>
            <w:vAlign w:val="center"/>
          </w:tcPr>
          <w:p w14:paraId="19DAAD2F"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24501,2</w:t>
            </w:r>
          </w:p>
        </w:tc>
        <w:tc>
          <w:tcPr>
            <w:tcW w:w="907" w:type="pct"/>
            <w:shd w:val="clear" w:color="auto" w:fill="auto"/>
            <w:noWrap/>
            <w:vAlign w:val="center"/>
            <w:hideMark/>
          </w:tcPr>
          <w:p w14:paraId="7532AC9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DLZ</w:t>
            </w:r>
          </w:p>
        </w:tc>
        <w:tc>
          <w:tcPr>
            <w:tcW w:w="805" w:type="pct"/>
            <w:shd w:val="clear" w:color="auto" w:fill="auto"/>
            <w:noWrap/>
            <w:vAlign w:val="center"/>
            <w:hideMark/>
          </w:tcPr>
          <w:p w14:paraId="3414898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25407,7</w:t>
            </w:r>
          </w:p>
        </w:tc>
      </w:tr>
      <w:tr w:rsidR="009170B3" w:rsidRPr="00675182" w14:paraId="4ECD0998" w14:textId="77777777" w:rsidTr="009170B3">
        <w:trPr>
          <w:trHeight w:val="288"/>
        </w:trPr>
        <w:tc>
          <w:tcPr>
            <w:tcW w:w="1474" w:type="pct"/>
            <w:vMerge/>
            <w:vAlign w:val="center"/>
            <w:hideMark/>
          </w:tcPr>
          <w:p w14:paraId="4A8E4234"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4E8E946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4EDF8F7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765,2</w:t>
            </w:r>
          </w:p>
        </w:tc>
        <w:tc>
          <w:tcPr>
            <w:tcW w:w="907" w:type="pct"/>
            <w:shd w:val="clear" w:color="auto" w:fill="auto"/>
            <w:noWrap/>
            <w:vAlign w:val="center"/>
            <w:hideMark/>
          </w:tcPr>
          <w:p w14:paraId="718F27C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DPZ</w:t>
            </w:r>
          </w:p>
        </w:tc>
        <w:tc>
          <w:tcPr>
            <w:tcW w:w="805" w:type="pct"/>
            <w:shd w:val="clear" w:color="auto" w:fill="auto"/>
            <w:noWrap/>
            <w:vAlign w:val="center"/>
            <w:hideMark/>
          </w:tcPr>
          <w:p w14:paraId="1BF6314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5472,1</w:t>
            </w:r>
          </w:p>
        </w:tc>
      </w:tr>
      <w:tr w:rsidR="009170B3" w:rsidRPr="00675182" w14:paraId="36516C26" w14:textId="77777777" w:rsidTr="009170B3">
        <w:trPr>
          <w:trHeight w:val="288"/>
        </w:trPr>
        <w:tc>
          <w:tcPr>
            <w:tcW w:w="1474" w:type="pct"/>
            <w:vMerge/>
            <w:vAlign w:val="center"/>
            <w:hideMark/>
          </w:tcPr>
          <w:p w14:paraId="2AF5EAC8"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373CB6F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2F4450C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18998,0</w:t>
            </w:r>
          </w:p>
        </w:tc>
        <w:tc>
          <w:tcPr>
            <w:tcW w:w="907" w:type="pct"/>
            <w:shd w:val="clear" w:color="auto" w:fill="auto"/>
            <w:noWrap/>
            <w:vAlign w:val="center"/>
            <w:hideMark/>
          </w:tcPr>
          <w:p w14:paraId="6ADB2EA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759A2A30"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17276,7</w:t>
            </w:r>
          </w:p>
        </w:tc>
      </w:tr>
      <w:tr w:rsidR="009170B3" w:rsidRPr="00675182" w14:paraId="26D46721" w14:textId="77777777" w:rsidTr="009170B3">
        <w:trPr>
          <w:trHeight w:val="288"/>
        </w:trPr>
        <w:tc>
          <w:tcPr>
            <w:tcW w:w="1474" w:type="pct"/>
            <w:vMerge/>
            <w:vAlign w:val="center"/>
            <w:hideMark/>
          </w:tcPr>
          <w:p w14:paraId="6CAEB941"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0605EF7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2CBFB392"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4231,4</w:t>
            </w:r>
          </w:p>
        </w:tc>
        <w:tc>
          <w:tcPr>
            <w:tcW w:w="907" w:type="pct"/>
            <w:shd w:val="clear" w:color="auto" w:fill="auto"/>
            <w:noWrap/>
            <w:vAlign w:val="center"/>
            <w:hideMark/>
          </w:tcPr>
          <w:p w14:paraId="5158A2A2"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5063FC5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331,0</w:t>
            </w:r>
          </w:p>
        </w:tc>
      </w:tr>
      <w:tr w:rsidR="009170B3" w:rsidRPr="00675182" w14:paraId="7159393B" w14:textId="77777777" w:rsidTr="009170B3">
        <w:trPr>
          <w:trHeight w:val="293"/>
        </w:trPr>
        <w:tc>
          <w:tcPr>
            <w:tcW w:w="1474" w:type="pct"/>
            <w:vMerge w:val="restart"/>
            <w:shd w:val="clear" w:color="auto" w:fill="auto"/>
            <w:noWrap/>
            <w:vAlign w:val="center"/>
            <w:hideMark/>
          </w:tcPr>
          <w:p w14:paraId="3D85287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Publiskās apbūves teritorija</w:t>
            </w:r>
          </w:p>
        </w:tc>
        <w:tc>
          <w:tcPr>
            <w:tcW w:w="907" w:type="pct"/>
            <w:shd w:val="clear" w:color="auto" w:fill="auto"/>
            <w:vAlign w:val="center"/>
          </w:tcPr>
          <w:p w14:paraId="386D4D8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DLZ</w:t>
            </w:r>
          </w:p>
        </w:tc>
        <w:tc>
          <w:tcPr>
            <w:tcW w:w="907" w:type="pct"/>
            <w:shd w:val="clear" w:color="auto" w:fill="auto"/>
            <w:vAlign w:val="center"/>
          </w:tcPr>
          <w:p w14:paraId="5443B252"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60,2</w:t>
            </w:r>
          </w:p>
        </w:tc>
        <w:tc>
          <w:tcPr>
            <w:tcW w:w="907" w:type="pct"/>
            <w:vMerge w:val="restart"/>
            <w:shd w:val="clear" w:color="auto" w:fill="auto"/>
            <w:noWrap/>
            <w:vAlign w:val="center"/>
            <w:hideMark/>
          </w:tcPr>
          <w:p w14:paraId="441CC6CF"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DPZ</w:t>
            </w:r>
          </w:p>
        </w:tc>
        <w:tc>
          <w:tcPr>
            <w:tcW w:w="805" w:type="pct"/>
            <w:vMerge w:val="restart"/>
            <w:shd w:val="clear" w:color="auto" w:fill="auto"/>
            <w:noWrap/>
            <w:vAlign w:val="center"/>
            <w:hideMark/>
          </w:tcPr>
          <w:p w14:paraId="1F03D6E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156,8</w:t>
            </w:r>
          </w:p>
        </w:tc>
      </w:tr>
      <w:tr w:rsidR="009170B3" w:rsidRPr="00675182" w14:paraId="697C51D2" w14:textId="77777777" w:rsidTr="009170B3">
        <w:trPr>
          <w:trHeight w:val="12"/>
        </w:trPr>
        <w:tc>
          <w:tcPr>
            <w:tcW w:w="1474" w:type="pct"/>
            <w:vMerge/>
            <w:vAlign w:val="center"/>
            <w:hideMark/>
          </w:tcPr>
          <w:p w14:paraId="06F5854C"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140767A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7B1FA670"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61,7</w:t>
            </w:r>
          </w:p>
        </w:tc>
        <w:tc>
          <w:tcPr>
            <w:tcW w:w="907" w:type="pct"/>
            <w:vMerge/>
            <w:vAlign w:val="center"/>
            <w:hideMark/>
          </w:tcPr>
          <w:p w14:paraId="084108CF"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805" w:type="pct"/>
            <w:vMerge/>
            <w:vAlign w:val="center"/>
            <w:hideMark/>
          </w:tcPr>
          <w:p w14:paraId="41FB92E3"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r>
      <w:tr w:rsidR="009170B3" w:rsidRPr="00675182" w14:paraId="70AE29B2" w14:textId="77777777" w:rsidTr="009170B3">
        <w:trPr>
          <w:trHeight w:val="288"/>
        </w:trPr>
        <w:tc>
          <w:tcPr>
            <w:tcW w:w="1474" w:type="pct"/>
            <w:vMerge/>
            <w:vAlign w:val="center"/>
            <w:hideMark/>
          </w:tcPr>
          <w:p w14:paraId="615BE1BE"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1CF02AE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44AB144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122,2</w:t>
            </w:r>
          </w:p>
        </w:tc>
        <w:tc>
          <w:tcPr>
            <w:tcW w:w="907" w:type="pct"/>
            <w:shd w:val="clear" w:color="auto" w:fill="auto"/>
            <w:noWrap/>
            <w:vAlign w:val="center"/>
            <w:hideMark/>
          </w:tcPr>
          <w:p w14:paraId="72357CEC"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09064C1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46,3</w:t>
            </w:r>
          </w:p>
        </w:tc>
      </w:tr>
      <w:tr w:rsidR="009170B3" w:rsidRPr="00675182" w14:paraId="7E1A72C2" w14:textId="77777777" w:rsidTr="009170B3">
        <w:trPr>
          <w:trHeight w:val="288"/>
        </w:trPr>
        <w:tc>
          <w:tcPr>
            <w:tcW w:w="1474" w:type="pct"/>
            <w:vMerge/>
            <w:vAlign w:val="center"/>
            <w:hideMark/>
          </w:tcPr>
          <w:p w14:paraId="6482867A"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7E6DD70D"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56DFFAA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165,3</w:t>
            </w:r>
          </w:p>
        </w:tc>
        <w:tc>
          <w:tcPr>
            <w:tcW w:w="907" w:type="pct"/>
            <w:shd w:val="clear" w:color="auto" w:fill="auto"/>
            <w:noWrap/>
            <w:vAlign w:val="center"/>
            <w:hideMark/>
          </w:tcPr>
          <w:p w14:paraId="69A0502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462FE6CC"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175,3</w:t>
            </w:r>
          </w:p>
        </w:tc>
      </w:tr>
      <w:tr w:rsidR="009170B3" w:rsidRPr="00675182" w14:paraId="272EAFFD" w14:textId="77777777" w:rsidTr="009170B3">
        <w:trPr>
          <w:trHeight w:val="288"/>
        </w:trPr>
        <w:tc>
          <w:tcPr>
            <w:tcW w:w="1474" w:type="pct"/>
            <w:vMerge w:val="restart"/>
            <w:shd w:val="clear" w:color="auto" w:fill="auto"/>
            <w:noWrap/>
            <w:vAlign w:val="center"/>
          </w:tcPr>
          <w:p w14:paraId="57B16932"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Rūpnieciskās apbūves teritorija</w:t>
            </w:r>
          </w:p>
        </w:tc>
        <w:tc>
          <w:tcPr>
            <w:tcW w:w="907" w:type="pct"/>
            <w:shd w:val="clear" w:color="auto" w:fill="auto"/>
            <w:vAlign w:val="center"/>
          </w:tcPr>
          <w:p w14:paraId="4C1D929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DLZ</w:t>
            </w:r>
          </w:p>
        </w:tc>
        <w:tc>
          <w:tcPr>
            <w:tcW w:w="907" w:type="pct"/>
            <w:shd w:val="clear" w:color="auto" w:fill="auto"/>
            <w:vAlign w:val="center"/>
          </w:tcPr>
          <w:p w14:paraId="258D3BC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8,8</w:t>
            </w:r>
          </w:p>
        </w:tc>
        <w:tc>
          <w:tcPr>
            <w:tcW w:w="907" w:type="pct"/>
            <w:vMerge w:val="restart"/>
            <w:shd w:val="clear" w:color="auto" w:fill="auto"/>
            <w:noWrap/>
            <w:vAlign w:val="center"/>
          </w:tcPr>
          <w:p w14:paraId="363B902C"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vMerge w:val="restart"/>
            <w:shd w:val="clear" w:color="auto" w:fill="auto"/>
            <w:noWrap/>
            <w:vAlign w:val="center"/>
          </w:tcPr>
          <w:p w14:paraId="2616AF05"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204,9</w:t>
            </w:r>
          </w:p>
        </w:tc>
      </w:tr>
      <w:tr w:rsidR="009170B3" w:rsidRPr="00675182" w14:paraId="4F1FC560" w14:textId="77777777" w:rsidTr="009170B3">
        <w:trPr>
          <w:trHeight w:val="288"/>
        </w:trPr>
        <w:tc>
          <w:tcPr>
            <w:tcW w:w="1474" w:type="pct"/>
            <w:vMerge/>
            <w:shd w:val="clear" w:color="auto" w:fill="auto"/>
            <w:noWrap/>
            <w:vAlign w:val="center"/>
          </w:tcPr>
          <w:p w14:paraId="452239D4" w14:textId="77777777" w:rsidR="009170B3" w:rsidRPr="00675182" w:rsidRDefault="009170B3" w:rsidP="009D4F62">
            <w:pPr>
              <w:jc w:val="center"/>
              <w:rPr>
                <w:rFonts w:ascii="Calibri" w:eastAsia="Times New Roman" w:hAnsi="Calibri"/>
                <w:color w:val="000000"/>
                <w:sz w:val="22"/>
                <w:szCs w:val="22"/>
                <w:lang w:eastAsia="de-DE"/>
              </w:rPr>
            </w:pPr>
          </w:p>
        </w:tc>
        <w:tc>
          <w:tcPr>
            <w:tcW w:w="907" w:type="pct"/>
            <w:shd w:val="clear" w:color="auto" w:fill="auto"/>
            <w:vAlign w:val="center"/>
          </w:tcPr>
          <w:p w14:paraId="4D11475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2AEABFD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16,6</w:t>
            </w:r>
          </w:p>
        </w:tc>
        <w:tc>
          <w:tcPr>
            <w:tcW w:w="907" w:type="pct"/>
            <w:vMerge/>
            <w:shd w:val="clear" w:color="auto" w:fill="auto"/>
            <w:noWrap/>
            <w:vAlign w:val="center"/>
          </w:tcPr>
          <w:p w14:paraId="0ACDFF16" w14:textId="77777777" w:rsidR="009170B3" w:rsidRPr="00675182" w:rsidRDefault="009170B3" w:rsidP="009D4F62">
            <w:pPr>
              <w:jc w:val="center"/>
              <w:rPr>
                <w:rFonts w:ascii="Calibri" w:eastAsia="Times New Roman" w:hAnsi="Calibri"/>
                <w:color w:val="000000"/>
                <w:sz w:val="22"/>
                <w:szCs w:val="22"/>
                <w:lang w:eastAsia="de-DE"/>
              </w:rPr>
            </w:pPr>
          </w:p>
        </w:tc>
        <w:tc>
          <w:tcPr>
            <w:tcW w:w="805" w:type="pct"/>
            <w:vMerge/>
            <w:shd w:val="clear" w:color="auto" w:fill="auto"/>
            <w:noWrap/>
            <w:vAlign w:val="center"/>
          </w:tcPr>
          <w:p w14:paraId="1BBFA505" w14:textId="77777777" w:rsidR="009170B3" w:rsidRPr="00675182" w:rsidRDefault="009170B3" w:rsidP="009D4F62">
            <w:pPr>
              <w:jc w:val="center"/>
              <w:rPr>
                <w:rFonts w:ascii="Calibri" w:eastAsia="Times New Roman" w:hAnsi="Calibri"/>
                <w:color w:val="000000"/>
                <w:sz w:val="22"/>
                <w:szCs w:val="22"/>
                <w:lang w:eastAsia="de-DE"/>
              </w:rPr>
            </w:pPr>
          </w:p>
        </w:tc>
      </w:tr>
      <w:tr w:rsidR="009170B3" w:rsidRPr="00675182" w14:paraId="5386D12D" w14:textId="77777777" w:rsidTr="009170B3">
        <w:trPr>
          <w:trHeight w:val="288"/>
        </w:trPr>
        <w:tc>
          <w:tcPr>
            <w:tcW w:w="1474" w:type="pct"/>
            <w:vMerge/>
            <w:shd w:val="clear" w:color="auto" w:fill="auto"/>
            <w:noWrap/>
            <w:vAlign w:val="center"/>
            <w:hideMark/>
          </w:tcPr>
          <w:p w14:paraId="10E3CED7"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0E82D53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4C3A60E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227,0</w:t>
            </w:r>
          </w:p>
        </w:tc>
        <w:tc>
          <w:tcPr>
            <w:tcW w:w="907" w:type="pct"/>
            <w:vMerge/>
            <w:shd w:val="clear" w:color="auto" w:fill="auto"/>
            <w:noWrap/>
            <w:vAlign w:val="center"/>
            <w:hideMark/>
          </w:tcPr>
          <w:p w14:paraId="76A4EB36"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805" w:type="pct"/>
            <w:vMerge/>
            <w:shd w:val="clear" w:color="auto" w:fill="auto"/>
            <w:noWrap/>
            <w:vAlign w:val="center"/>
            <w:hideMark/>
          </w:tcPr>
          <w:p w14:paraId="2FE080A3"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r>
      <w:tr w:rsidR="009170B3" w:rsidRPr="00675182" w14:paraId="59FE7717" w14:textId="77777777" w:rsidTr="009170B3">
        <w:trPr>
          <w:trHeight w:val="288"/>
        </w:trPr>
        <w:tc>
          <w:tcPr>
            <w:tcW w:w="1474" w:type="pct"/>
            <w:vMerge/>
            <w:vAlign w:val="center"/>
            <w:hideMark/>
          </w:tcPr>
          <w:p w14:paraId="76137C0B"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648AA3E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35BE18E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1132,9</w:t>
            </w:r>
          </w:p>
        </w:tc>
        <w:tc>
          <w:tcPr>
            <w:tcW w:w="907" w:type="pct"/>
            <w:shd w:val="clear" w:color="auto" w:fill="auto"/>
            <w:noWrap/>
            <w:vAlign w:val="center"/>
            <w:hideMark/>
          </w:tcPr>
          <w:p w14:paraId="58CE1CCD"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7633B7DD"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1174,2</w:t>
            </w:r>
          </w:p>
        </w:tc>
      </w:tr>
      <w:tr w:rsidR="009170B3" w:rsidRPr="00675182" w14:paraId="4BFB10DA" w14:textId="77777777" w:rsidTr="009170B3">
        <w:trPr>
          <w:trHeight w:val="288"/>
        </w:trPr>
        <w:tc>
          <w:tcPr>
            <w:tcW w:w="1474" w:type="pct"/>
            <w:vMerge w:val="restart"/>
            <w:shd w:val="clear" w:color="auto" w:fill="auto"/>
            <w:noWrap/>
            <w:vAlign w:val="center"/>
            <w:hideMark/>
          </w:tcPr>
          <w:p w14:paraId="122B81B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Savrupmāju apbūves teritorija</w:t>
            </w:r>
          </w:p>
        </w:tc>
        <w:tc>
          <w:tcPr>
            <w:tcW w:w="907" w:type="pct"/>
            <w:shd w:val="clear" w:color="auto" w:fill="auto"/>
            <w:vAlign w:val="center"/>
          </w:tcPr>
          <w:p w14:paraId="2A1C844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230B6B1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75,2</w:t>
            </w:r>
          </w:p>
        </w:tc>
        <w:tc>
          <w:tcPr>
            <w:tcW w:w="907" w:type="pct"/>
            <w:shd w:val="clear" w:color="auto" w:fill="auto"/>
            <w:noWrap/>
            <w:vAlign w:val="center"/>
            <w:hideMark/>
          </w:tcPr>
          <w:p w14:paraId="081910C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DPZ</w:t>
            </w:r>
          </w:p>
        </w:tc>
        <w:tc>
          <w:tcPr>
            <w:tcW w:w="805" w:type="pct"/>
            <w:shd w:val="clear" w:color="auto" w:fill="auto"/>
            <w:noWrap/>
            <w:vAlign w:val="center"/>
            <w:hideMark/>
          </w:tcPr>
          <w:p w14:paraId="44A5629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32,4</w:t>
            </w:r>
          </w:p>
        </w:tc>
      </w:tr>
      <w:tr w:rsidR="009170B3" w:rsidRPr="00675182" w14:paraId="4282EA46" w14:textId="77777777" w:rsidTr="009170B3">
        <w:trPr>
          <w:trHeight w:val="288"/>
        </w:trPr>
        <w:tc>
          <w:tcPr>
            <w:tcW w:w="1474" w:type="pct"/>
            <w:vMerge/>
            <w:vAlign w:val="center"/>
            <w:hideMark/>
          </w:tcPr>
          <w:p w14:paraId="79C2631E"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316173A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029DB98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224,3</w:t>
            </w:r>
          </w:p>
        </w:tc>
        <w:tc>
          <w:tcPr>
            <w:tcW w:w="907" w:type="pct"/>
            <w:shd w:val="clear" w:color="auto" w:fill="auto"/>
            <w:noWrap/>
            <w:vAlign w:val="center"/>
            <w:hideMark/>
          </w:tcPr>
          <w:p w14:paraId="77E392A2"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707D573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90,6</w:t>
            </w:r>
          </w:p>
        </w:tc>
      </w:tr>
      <w:tr w:rsidR="009170B3" w:rsidRPr="00675182" w14:paraId="6667F86D" w14:textId="77777777" w:rsidTr="009170B3">
        <w:trPr>
          <w:trHeight w:val="288"/>
        </w:trPr>
        <w:tc>
          <w:tcPr>
            <w:tcW w:w="1474" w:type="pct"/>
            <w:vMerge/>
            <w:vAlign w:val="center"/>
            <w:hideMark/>
          </w:tcPr>
          <w:p w14:paraId="33624DCE"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5D4FB18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555A4BC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844,4</w:t>
            </w:r>
          </w:p>
        </w:tc>
        <w:tc>
          <w:tcPr>
            <w:tcW w:w="907" w:type="pct"/>
            <w:shd w:val="clear" w:color="auto" w:fill="auto"/>
            <w:noWrap/>
            <w:vAlign w:val="center"/>
            <w:hideMark/>
          </w:tcPr>
          <w:p w14:paraId="0419F2E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72893B92"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1033,1</w:t>
            </w:r>
          </w:p>
        </w:tc>
      </w:tr>
      <w:tr w:rsidR="009170B3" w:rsidRPr="00675182" w14:paraId="4E2A77D3" w14:textId="77777777" w:rsidTr="009170B3">
        <w:trPr>
          <w:trHeight w:val="276"/>
        </w:trPr>
        <w:tc>
          <w:tcPr>
            <w:tcW w:w="1474" w:type="pct"/>
            <w:vMerge w:val="restart"/>
            <w:shd w:val="clear" w:color="auto" w:fill="auto"/>
            <w:noWrap/>
            <w:vAlign w:val="center"/>
          </w:tcPr>
          <w:p w14:paraId="3DB251B4"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Tehniskās apbūves teritorija</w:t>
            </w:r>
          </w:p>
        </w:tc>
        <w:tc>
          <w:tcPr>
            <w:tcW w:w="907" w:type="pct"/>
            <w:shd w:val="clear" w:color="auto" w:fill="auto"/>
            <w:vAlign w:val="center"/>
          </w:tcPr>
          <w:p w14:paraId="7CF533A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DLZ</w:t>
            </w:r>
          </w:p>
        </w:tc>
        <w:tc>
          <w:tcPr>
            <w:tcW w:w="907" w:type="pct"/>
            <w:shd w:val="clear" w:color="auto" w:fill="auto"/>
            <w:vAlign w:val="center"/>
          </w:tcPr>
          <w:p w14:paraId="65CAFED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45,1</w:t>
            </w:r>
          </w:p>
        </w:tc>
        <w:tc>
          <w:tcPr>
            <w:tcW w:w="907" w:type="pct"/>
            <w:vMerge w:val="restart"/>
            <w:shd w:val="clear" w:color="auto" w:fill="auto"/>
            <w:noWrap/>
            <w:vAlign w:val="center"/>
          </w:tcPr>
          <w:p w14:paraId="379F0CB8"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DPZ</w:t>
            </w:r>
          </w:p>
        </w:tc>
        <w:tc>
          <w:tcPr>
            <w:tcW w:w="805" w:type="pct"/>
            <w:vMerge w:val="restart"/>
            <w:shd w:val="clear" w:color="auto" w:fill="auto"/>
            <w:noWrap/>
            <w:vAlign w:val="center"/>
          </w:tcPr>
          <w:p w14:paraId="6BB7B26D"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14,4</w:t>
            </w:r>
          </w:p>
        </w:tc>
      </w:tr>
      <w:tr w:rsidR="009170B3" w:rsidRPr="00675182" w14:paraId="75F5AA89" w14:textId="77777777" w:rsidTr="009170B3">
        <w:trPr>
          <w:trHeight w:val="276"/>
        </w:trPr>
        <w:tc>
          <w:tcPr>
            <w:tcW w:w="1474" w:type="pct"/>
            <w:vMerge/>
            <w:shd w:val="clear" w:color="auto" w:fill="auto"/>
            <w:noWrap/>
            <w:vAlign w:val="center"/>
            <w:hideMark/>
          </w:tcPr>
          <w:p w14:paraId="4E43B2AB"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162A275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6A33C03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4,7</w:t>
            </w:r>
          </w:p>
        </w:tc>
        <w:tc>
          <w:tcPr>
            <w:tcW w:w="907" w:type="pct"/>
            <w:vMerge/>
            <w:shd w:val="clear" w:color="auto" w:fill="auto"/>
            <w:noWrap/>
            <w:vAlign w:val="center"/>
            <w:hideMark/>
          </w:tcPr>
          <w:p w14:paraId="5E62041A"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805" w:type="pct"/>
            <w:vMerge/>
            <w:shd w:val="clear" w:color="auto" w:fill="auto"/>
            <w:noWrap/>
            <w:vAlign w:val="center"/>
            <w:hideMark/>
          </w:tcPr>
          <w:p w14:paraId="71443887"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r>
      <w:tr w:rsidR="009170B3" w:rsidRPr="00675182" w14:paraId="28D8B170" w14:textId="77777777" w:rsidTr="009170B3">
        <w:trPr>
          <w:trHeight w:val="288"/>
        </w:trPr>
        <w:tc>
          <w:tcPr>
            <w:tcW w:w="1474" w:type="pct"/>
            <w:vMerge/>
            <w:vAlign w:val="center"/>
            <w:hideMark/>
          </w:tcPr>
          <w:p w14:paraId="6C9C3238"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3F3F704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7FC316DA"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125,9</w:t>
            </w:r>
          </w:p>
        </w:tc>
        <w:tc>
          <w:tcPr>
            <w:tcW w:w="907" w:type="pct"/>
            <w:shd w:val="clear" w:color="auto" w:fill="auto"/>
            <w:noWrap/>
            <w:vAlign w:val="center"/>
            <w:hideMark/>
          </w:tcPr>
          <w:p w14:paraId="7A5098D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01043C7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68,3</w:t>
            </w:r>
          </w:p>
        </w:tc>
      </w:tr>
      <w:tr w:rsidR="009170B3" w:rsidRPr="00675182" w14:paraId="31BEAFD2" w14:textId="77777777" w:rsidTr="009170B3">
        <w:trPr>
          <w:trHeight w:val="288"/>
        </w:trPr>
        <w:tc>
          <w:tcPr>
            <w:tcW w:w="1474" w:type="pct"/>
            <w:vMerge/>
            <w:vAlign w:val="center"/>
            <w:hideMark/>
          </w:tcPr>
          <w:p w14:paraId="1C1BCE39"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71C3293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67106C7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158,8</w:t>
            </w:r>
          </w:p>
        </w:tc>
        <w:tc>
          <w:tcPr>
            <w:tcW w:w="907" w:type="pct"/>
            <w:shd w:val="clear" w:color="auto" w:fill="auto"/>
            <w:noWrap/>
            <w:vAlign w:val="center"/>
            <w:hideMark/>
          </w:tcPr>
          <w:p w14:paraId="7C1E1F3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2AA0893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241,2</w:t>
            </w:r>
          </w:p>
        </w:tc>
      </w:tr>
      <w:tr w:rsidR="009170B3" w:rsidRPr="00675182" w14:paraId="66C61256" w14:textId="77777777" w:rsidTr="009170B3">
        <w:trPr>
          <w:trHeight w:val="288"/>
        </w:trPr>
        <w:tc>
          <w:tcPr>
            <w:tcW w:w="1474" w:type="pct"/>
            <w:vMerge w:val="restart"/>
            <w:shd w:val="clear" w:color="auto" w:fill="auto"/>
            <w:noWrap/>
            <w:vAlign w:val="center"/>
          </w:tcPr>
          <w:p w14:paraId="7B6BD324"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Transporta infrastuktūras teritorija</w:t>
            </w:r>
          </w:p>
        </w:tc>
        <w:tc>
          <w:tcPr>
            <w:tcW w:w="907" w:type="pct"/>
            <w:vAlign w:val="center"/>
          </w:tcPr>
          <w:p w14:paraId="729013B2"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SRZ</w:t>
            </w:r>
          </w:p>
        </w:tc>
        <w:tc>
          <w:tcPr>
            <w:tcW w:w="907" w:type="pct"/>
            <w:vAlign w:val="center"/>
          </w:tcPr>
          <w:p w14:paraId="1C508B2D"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2,4</w:t>
            </w:r>
          </w:p>
        </w:tc>
        <w:tc>
          <w:tcPr>
            <w:tcW w:w="907" w:type="pct"/>
            <w:vMerge w:val="restart"/>
            <w:shd w:val="clear" w:color="auto" w:fill="auto"/>
            <w:noWrap/>
            <w:vAlign w:val="center"/>
          </w:tcPr>
          <w:p w14:paraId="58F80C65"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vMerge w:val="restart"/>
            <w:shd w:val="clear" w:color="auto" w:fill="auto"/>
            <w:noWrap/>
            <w:vAlign w:val="center"/>
          </w:tcPr>
          <w:p w14:paraId="3F0070BC" w14:textId="77777777" w:rsidR="009170B3" w:rsidRPr="00675182" w:rsidRDefault="009170B3" w:rsidP="009D4F62">
            <w:pPr>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55,1</w:t>
            </w:r>
          </w:p>
        </w:tc>
      </w:tr>
      <w:tr w:rsidR="009170B3" w:rsidRPr="00675182" w14:paraId="60054CA3" w14:textId="77777777" w:rsidTr="009170B3">
        <w:trPr>
          <w:trHeight w:val="288"/>
        </w:trPr>
        <w:tc>
          <w:tcPr>
            <w:tcW w:w="1474" w:type="pct"/>
            <w:vMerge/>
            <w:shd w:val="clear" w:color="auto" w:fill="auto"/>
            <w:noWrap/>
            <w:vAlign w:val="center"/>
          </w:tcPr>
          <w:p w14:paraId="57BA67C0" w14:textId="77777777" w:rsidR="009170B3" w:rsidRPr="00675182" w:rsidRDefault="009170B3" w:rsidP="009D4F62">
            <w:pPr>
              <w:jc w:val="center"/>
              <w:rPr>
                <w:rFonts w:ascii="Calibri" w:eastAsia="Times New Roman" w:hAnsi="Calibri"/>
                <w:color w:val="000000"/>
                <w:sz w:val="22"/>
                <w:szCs w:val="22"/>
                <w:lang w:eastAsia="de-DE"/>
              </w:rPr>
            </w:pPr>
          </w:p>
        </w:tc>
        <w:tc>
          <w:tcPr>
            <w:tcW w:w="907" w:type="pct"/>
            <w:vAlign w:val="center"/>
          </w:tcPr>
          <w:p w14:paraId="252B09EB"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DLZ</w:t>
            </w:r>
          </w:p>
        </w:tc>
        <w:tc>
          <w:tcPr>
            <w:tcW w:w="907" w:type="pct"/>
            <w:vAlign w:val="center"/>
          </w:tcPr>
          <w:p w14:paraId="7F2835B0"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117,3</w:t>
            </w:r>
          </w:p>
        </w:tc>
        <w:tc>
          <w:tcPr>
            <w:tcW w:w="907" w:type="pct"/>
            <w:vMerge/>
            <w:shd w:val="clear" w:color="auto" w:fill="auto"/>
            <w:noWrap/>
            <w:vAlign w:val="center"/>
          </w:tcPr>
          <w:p w14:paraId="44A09F6B" w14:textId="77777777" w:rsidR="009170B3" w:rsidRPr="00675182" w:rsidRDefault="009170B3" w:rsidP="009D4F62">
            <w:pPr>
              <w:jc w:val="center"/>
              <w:rPr>
                <w:rFonts w:ascii="Calibri" w:eastAsia="Times New Roman" w:hAnsi="Calibri"/>
                <w:color w:val="000000"/>
                <w:sz w:val="22"/>
                <w:szCs w:val="22"/>
                <w:lang w:eastAsia="de-DE"/>
              </w:rPr>
            </w:pPr>
          </w:p>
        </w:tc>
        <w:tc>
          <w:tcPr>
            <w:tcW w:w="805" w:type="pct"/>
            <w:vMerge/>
            <w:shd w:val="clear" w:color="auto" w:fill="auto"/>
            <w:noWrap/>
            <w:vAlign w:val="center"/>
          </w:tcPr>
          <w:p w14:paraId="611096B9" w14:textId="77777777" w:rsidR="009170B3" w:rsidRPr="00675182" w:rsidRDefault="009170B3" w:rsidP="009D4F62">
            <w:pPr>
              <w:jc w:val="center"/>
              <w:rPr>
                <w:rFonts w:ascii="Calibri" w:eastAsia="Times New Roman" w:hAnsi="Calibri"/>
                <w:color w:val="000000"/>
                <w:sz w:val="22"/>
                <w:szCs w:val="22"/>
                <w:lang w:eastAsia="de-DE"/>
              </w:rPr>
            </w:pPr>
          </w:p>
        </w:tc>
      </w:tr>
      <w:tr w:rsidR="009170B3" w:rsidRPr="00675182" w14:paraId="5F3D8F76" w14:textId="77777777" w:rsidTr="009170B3">
        <w:trPr>
          <w:trHeight w:val="288"/>
        </w:trPr>
        <w:tc>
          <w:tcPr>
            <w:tcW w:w="1474" w:type="pct"/>
            <w:vMerge/>
            <w:shd w:val="clear" w:color="auto" w:fill="auto"/>
            <w:noWrap/>
            <w:vAlign w:val="center"/>
            <w:hideMark/>
          </w:tcPr>
          <w:p w14:paraId="4659FF9A"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vAlign w:val="center"/>
          </w:tcPr>
          <w:p w14:paraId="05AF907D"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vAlign w:val="center"/>
          </w:tcPr>
          <w:p w14:paraId="3B46C13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37,2</w:t>
            </w:r>
          </w:p>
        </w:tc>
        <w:tc>
          <w:tcPr>
            <w:tcW w:w="907" w:type="pct"/>
            <w:vMerge/>
            <w:shd w:val="clear" w:color="auto" w:fill="auto"/>
            <w:noWrap/>
            <w:vAlign w:val="center"/>
            <w:hideMark/>
          </w:tcPr>
          <w:p w14:paraId="246EF821"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805" w:type="pct"/>
            <w:vMerge/>
            <w:shd w:val="clear" w:color="auto" w:fill="auto"/>
            <w:noWrap/>
            <w:vAlign w:val="center"/>
            <w:hideMark/>
          </w:tcPr>
          <w:p w14:paraId="5031D6B7"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r>
      <w:tr w:rsidR="009170B3" w:rsidRPr="00675182" w14:paraId="2C287FC7" w14:textId="77777777" w:rsidTr="009170B3">
        <w:trPr>
          <w:trHeight w:val="12"/>
        </w:trPr>
        <w:tc>
          <w:tcPr>
            <w:tcW w:w="1474" w:type="pct"/>
            <w:vMerge/>
            <w:vAlign w:val="center"/>
            <w:hideMark/>
          </w:tcPr>
          <w:p w14:paraId="57B57B41"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vAlign w:val="center"/>
          </w:tcPr>
          <w:p w14:paraId="6846613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vAlign w:val="center"/>
          </w:tcPr>
          <w:p w14:paraId="6F0BD3A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600,2</w:t>
            </w:r>
          </w:p>
        </w:tc>
        <w:tc>
          <w:tcPr>
            <w:tcW w:w="907" w:type="pct"/>
            <w:vMerge/>
            <w:vAlign w:val="center"/>
            <w:hideMark/>
          </w:tcPr>
          <w:p w14:paraId="33C32CEB"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805" w:type="pct"/>
            <w:vMerge/>
            <w:vAlign w:val="center"/>
            <w:hideMark/>
          </w:tcPr>
          <w:p w14:paraId="619F1467"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r>
      <w:tr w:rsidR="009170B3" w:rsidRPr="00675182" w14:paraId="3ADE85AF" w14:textId="77777777" w:rsidTr="009170B3">
        <w:trPr>
          <w:trHeight w:val="288"/>
        </w:trPr>
        <w:tc>
          <w:tcPr>
            <w:tcW w:w="1474" w:type="pct"/>
            <w:vMerge/>
            <w:vAlign w:val="center"/>
            <w:hideMark/>
          </w:tcPr>
          <w:p w14:paraId="28BAC11F"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vAlign w:val="center"/>
          </w:tcPr>
          <w:p w14:paraId="1F8F953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vAlign w:val="center"/>
          </w:tcPr>
          <w:p w14:paraId="625BEF03"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263,3</w:t>
            </w:r>
          </w:p>
        </w:tc>
        <w:tc>
          <w:tcPr>
            <w:tcW w:w="907" w:type="pct"/>
            <w:shd w:val="clear" w:color="auto" w:fill="auto"/>
            <w:noWrap/>
            <w:vAlign w:val="center"/>
            <w:hideMark/>
          </w:tcPr>
          <w:p w14:paraId="7BED415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57F0C57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932,5</w:t>
            </w:r>
          </w:p>
        </w:tc>
      </w:tr>
      <w:tr w:rsidR="009170B3" w:rsidRPr="00675182" w14:paraId="2C45AE66" w14:textId="77777777" w:rsidTr="009170B3">
        <w:trPr>
          <w:trHeight w:val="288"/>
        </w:trPr>
        <w:tc>
          <w:tcPr>
            <w:tcW w:w="1474" w:type="pct"/>
            <w:vMerge w:val="restart"/>
            <w:shd w:val="clear" w:color="auto" w:fill="auto"/>
            <w:noWrap/>
            <w:vAlign w:val="center"/>
            <w:hideMark/>
          </w:tcPr>
          <w:p w14:paraId="05BB589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Ūdeņu teritorija</w:t>
            </w:r>
          </w:p>
        </w:tc>
        <w:tc>
          <w:tcPr>
            <w:tcW w:w="907" w:type="pct"/>
            <w:shd w:val="clear" w:color="auto" w:fill="auto"/>
            <w:vAlign w:val="center"/>
          </w:tcPr>
          <w:p w14:paraId="7F41DC9C"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SRZ</w:t>
            </w:r>
          </w:p>
        </w:tc>
        <w:tc>
          <w:tcPr>
            <w:tcW w:w="907" w:type="pct"/>
            <w:shd w:val="clear" w:color="auto" w:fill="auto"/>
            <w:vAlign w:val="center"/>
          </w:tcPr>
          <w:p w14:paraId="1CB94B6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90,4</w:t>
            </w:r>
          </w:p>
        </w:tc>
        <w:tc>
          <w:tcPr>
            <w:tcW w:w="907" w:type="pct"/>
            <w:shd w:val="clear" w:color="auto" w:fill="auto"/>
            <w:noWrap/>
            <w:vAlign w:val="center"/>
            <w:hideMark/>
          </w:tcPr>
          <w:p w14:paraId="0B8D81B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SRZ</w:t>
            </w:r>
          </w:p>
        </w:tc>
        <w:tc>
          <w:tcPr>
            <w:tcW w:w="805" w:type="pct"/>
            <w:shd w:val="clear" w:color="auto" w:fill="auto"/>
            <w:noWrap/>
            <w:vAlign w:val="center"/>
            <w:hideMark/>
          </w:tcPr>
          <w:p w14:paraId="4EB5E2CE"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89,4</w:t>
            </w:r>
          </w:p>
        </w:tc>
      </w:tr>
      <w:tr w:rsidR="009170B3" w:rsidRPr="00675182" w14:paraId="6BCD8E62" w14:textId="77777777" w:rsidTr="009170B3">
        <w:trPr>
          <w:trHeight w:val="288"/>
        </w:trPr>
        <w:tc>
          <w:tcPr>
            <w:tcW w:w="1474" w:type="pct"/>
            <w:vMerge/>
            <w:vAlign w:val="center"/>
            <w:hideMark/>
          </w:tcPr>
          <w:p w14:paraId="08403DA0"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2388C9F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DLZ</w:t>
            </w:r>
          </w:p>
        </w:tc>
        <w:tc>
          <w:tcPr>
            <w:tcW w:w="907" w:type="pct"/>
            <w:shd w:val="clear" w:color="auto" w:fill="auto"/>
            <w:vAlign w:val="center"/>
          </w:tcPr>
          <w:p w14:paraId="51B7D97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1725,2</w:t>
            </w:r>
          </w:p>
        </w:tc>
        <w:tc>
          <w:tcPr>
            <w:tcW w:w="907" w:type="pct"/>
            <w:shd w:val="clear" w:color="auto" w:fill="auto"/>
            <w:noWrap/>
            <w:vAlign w:val="center"/>
            <w:hideMark/>
          </w:tcPr>
          <w:p w14:paraId="151ED645"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DLZ</w:t>
            </w:r>
          </w:p>
        </w:tc>
        <w:tc>
          <w:tcPr>
            <w:tcW w:w="805" w:type="pct"/>
            <w:shd w:val="clear" w:color="auto" w:fill="auto"/>
            <w:noWrap/>
            <w:vAlign w:val="center"/>
            <w:hideMark/>
          </w:tcPr>
          <w:p w14:paraId="5B0ECA5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1648,1</w:t>
            </w:r>
          </w:p>
        </w:tc>
      </w:tr>
      <w:tr w:rsidR="009170B3" w:rsidRPr="00675182" w14:paraId="413CF408" w14:textId="77777777" w:rsidTr="009170B3">
        <w:trPr>
          <w:trHeight w:val="288"/>
        </w:trPr>
        <w:tc>
          <w:tcPr>
            <w:tcW w:w="1474" w:type="pct"/>
            <w:vMerge/>
            <w:vAlign w:val="center"/>
            <w:hideMark/>
          </w:tcPr>
          <w:p w14:paraId="47DC432E"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680A260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KvZ</w:t>
            </w:r>
          </w:p>
        </w:tc>
        <w:tc>
          <w:tcPr>
            <w:tcW w:w="907" w:type="pct"/>
            <w:shd w:val="clear" w:color="auto" w:fill="auto"/>
            <w:vAlign w:val="center"/>
          </w:tcPr>
          <w:p w14:paraId="6861F77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74,9</w:t>
            </w:r>
          </w:p>
        </w:tc>
        <w:tc>
          <w:tcPr>
            <w:tcW w:w="907" w:type="pct"/>
            <w:shd w:val="clear" w:color="auto" w:fill="auto"/>
            <w:noWrap/>
            <w:vAlign w:val="center"/>
            <w:hideMark/>
          </w:tcPr>
          <w:p w14:paraId="115E918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DPZ</w:t>
            </w:r>
          </w:p>
        </w:tc>
        <w:tc>
          <w:tcPr>
            <w:tcW w:w="805" w:type="pct"/>
            <w:shd w:val="clear" w:color="auto" w:fill="auto"/>
            <w:noWrap/>
            <w:vAlign w:val="center"/>
            <w:hideMark/>
          </w:tcPr>
          <w:p w14:paraId="7401BBF6"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222,9</w:t>
            </w:r>
          </w:p>
        </w:tc>
      </w:tr>
      <w:tr w:rsidR="009170B3" w:rsidRPr="00675182" w14:paraId="6DA7C013" w14:textId="77777777" w:rsidTr="009170B3">
        <w:trPr>
          <w:trHeight w:val="288"/>
        </w:trPr>
        <w:tc>
          <w:tcPr>
            <w:tcW w:w="1474" w:type="pct"/>
            <w:vMerge/>
            <w:vAlign w:val="center"/>
            <w:hideMark/>
          </w:tcPr>
          <w:p w14:paraId="5A6AB4DE"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4AA9856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AAZ</w:t>
            </w:r>
          </w:p>
        </w:tc>
        <w:tc>
          <w:tcPr>
            <w:tcW w:w="907" w:type="pct"/>
            <w:shd w:val="clear" w:color="auto" w:fill="auto"/>
            <w:vAlign w:val="center"/>
          </w:tcPr>
          <w:p w14:paraId="646FE209"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506,1</w:t>
            </w:r>
          </w:p>
        </w:tc>
        <w:tc>
          <w:tcPr>
            <w:tcW w:w="907" w:type="pct"/>
            <w:shd w:val="clear" w:color="auto" w:fill="auto"/>
            <w:noWrap/>
            <w:vAlign w:val="center"/>
            <w:hideMark/>
          </w:tcPr>
          <w:p w14:paraId="333F6BC1"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AAZ</w:t>
            </w:r>
          </w:p>
        </w:tc>
        <w:tc>
          <w:tcPr>
            <w:tcW w:w="805" w:type="pct"/>
            <w:shd w:val="clear" w:color="auto" w:fill="auto"/>
            <w:noWrap/>
            <w:vAlign w:val="center"/>
            <w:hideMark/>
          </w:tcPr>
          <w:p w14:paraId="2315A7F4"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549,9</w:t>
            </w:r>
          </w:p>
        </w:tc>
      </w:tr>
      <w:tr w:rsidR="009170B3" w:rsidRPr="00675182" w14:paraId="6C0D533C" w14:textId="77777777" w:rsidTr="009170B3">
        <w:trPr>
          <w:trHeight w:val="288"/>
        </w:trPr>
        <w:tc>
          <w:tcPr>
            <w:tcW w:w="1474" w:type="pct"/>
            <w:vMerge/>
            <w:vAlign w:val="center"/>
            <w:hideMark/>
          </w:tcPr>
          <w:p w14:paraId="57809C7A" w14:textId="77777777" w:rsidR="009170B3" w:rsidRPr="00675182" w:rsidRDefault="009170B3" w:rsidP="009D4F62">
            <w:pPr>
              <w:suppressAutoHyphens w:val="0"/>
              <w:jc w:val="center"/>
              <w:rPr>
                <w:rFonts w:ascii="Calibri" w:eastAsia="Times New Roman" w:hAnsi="Calibri"/>
                <w:color w:val="000000"/>
                <w:sz w:val="22"/>
                <w:szCs w:val="22"/>
                <w:lang w:eastAsia="de-DE"/>
              </w:rPr>
            </w:pPr>
          </w:p>
        </w:tc>
        <w:tc>
          <w:tcPr>
            <w:tcW w:w="907" w:type="pct"/>
            <w:shd w:val="clear" w:color="auto" w:fill="auto"/>
            <w:vAlign w:val="center"/>
          </w:tcPr>
          <w:p w14:paraId="7BFFCCA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NZ</w:t>
            </w:r>
          </w:p>
        </w:tc>
        <w:tc>
          <w:tcPr>
            <w:tcW w:w="907" w:type="pct"/>
            <w:shd w:val="clear" w:color="auto" w:fill="auto"/>
            <w:vAlign w:val="center"/>
          </w:tcPr>
          <w:p w14:paraId="1F5B4F2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hAnsi="Calibri"/>
                <w:color w:val="000000"/>
                <w:sz w:val="22"/>
                <w:szCs w:val="22"/>
              </w:rPr>
              <w:t>191,7</w:t>
            </w:r>
          </w:p>
        </w:tc>
        <w:tc>
          <w:tcPr>
            <w:tcW w:w="907" w:type="pct"/>
            <w:shd w:val="clear" w:color="auto" w:fill="auto"/>
            <w:noWrap/>
            <w:vAlign w:val="center"/>
            <w:hideMark/>
          </w:tcPr>
          <w:p w14:paraId="0CF86A68"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NZ</w:t>
            </w:r>
          </w:p>
        </w:tc>
        <w:tc>
          <w:tcPr>
            <w:tcW w:w="805" w:type="pct"/>
            <w:shd w:val="clear" w:color="auto" w:fill="auto"/>
            <w:noWrap/>
            <w:vAlign w:val="center"/>
            <w:hideMark/>
          </w:tcPr>
          <w:p w14:paraId="3116C617" w14:textId="77777777" w:rsidR="009170B3" w:rsidRPr="00675182" w:rsidRDefault="009170B3" w:rsidP="009D4F62">
            <w:pPr>
              <w:suppressAutoHyphens w:val="0"/>
              <w:jc w:val="center"/>
              <w:rPr>
                <w:rFonts w:ascii="Calibri" w:eastAsia="Times New Roman" w:hAnsi="Calibri"/>
                <w:color w:val="000000"/>
                <w:sz w:val="22"/>
                <w:szCs w:val="22"/>
                <w:lang w:eastAsia="de-DE"/>
              </w:rPr>
            </w:pPr>
            <w:r w:rsidRPr="00675182">
              <w:rPr>
                <w:rFonts w:ascii="Calibri" w:eastAsia="Times New Roman" w:hAnsi="Calibri"/>
                <w:color w:val="000000"/>
                <w:sz w:val="22"/>
                <w:szCs w:val="22"/>
                <w:lang w:eastAsia="de-DE"/>
              </w:rPr>
              <w:t>76,2</w:t>
            </w:r>
          </w:p>
        </w:tc>
      </w:tr>
    </w:tbl>
    <w:p w14:paraId="3B4075B0" w14:textId="77777777" w:rsidR="009170B3" w:rsidRPr="00675182" w:rsidRDefault="009170B3" w:rsidP="00785B6A">
      <w:pPr>
        <w:jc w:val="both"/>
        <w:rPr>
          <w:rFonts w:cstheme="minorHAnsi"/>
          <w:szCs w:val="24"/>
        </w:rPr>
      </w:pPr>
    </w:p>
    <w:p w14:paraId="1C0399A7" w14:textId="77777777" w:rsidR="009170B3" w:rsidRPr="00675182" w:rsidRDefault="009170B3" w:rsidP="00785B6A">
      <w:pPr>
        <w:jc w:val="both"/>
        <w:rPr>
          <w:rFonts w:cstheme="minorHAnsi"/>
          <w:szCs w:val="24"/>
        </w:rPr>
      </w:pPr>
    </w:p>
    <w:p w14:paraId="16DEB1C9" w14:textId="13334A8C" w:rsidR="00785B6A" w:rsidRPr="00675182" w:rsidRDefault="00785B6A" w:rsidP="00785B6A">
      <w:pPr>
        <w:jc w:val="both"/>
        <w:rPr>
          <w:rFonts w:cstheme="minorHAnsi"/>
          <w:szCs w:val="24"/>
        </w:rPr>
      </w:pPr>
      <w:r w:rsidRPr="00675182">
        <w:rPr>
          <w:rFonts w:cstheme="minorHAnsi"/>
          <w:szCs w:val="24"/>
        </w:rPr>
        <w:t>Ainavu pārvaldība Latvijā, kā tas noteikts Ainavu konvencijā un telpiskās plānošanas likumdošanas ietvarā, galvenokārt realizējama caur pašvaldību teritorijas plānojumiem, kuru izstrādes ietvaros veicama ainavu raksturošana un novērtēšana, ainavu kvalitātes mērķu noteikšana, ainavu uzturēšanas, aizsardzības un atjaunošanas pasākumu noteikšana.</w:t>
      </w:r>
    </w:p>
    <w:p w14:paraId="78572BA1" w14:textId="77777777" w:rsidR="00785B6A" w:rsidRPr="00675182" w:rsidRDefault="00785B6A" w:rsidP="00785B6A">
      <w:pPr>
        <w:jc w:val="both"/>
        <w:rPr>
          <w:rFonts w:cstheme="minorHAnsi"/>
          <w:szCs w:val="24"/>
        </w:rPr>
      </w:pPr>
    </w:p>
    <w:p w14:paraId="4331C7DC" w14:textId="5A54649D" w:rsidR="00785B6A" w:rsidRPr="00675182" w:rsidRDefault="00785B6A" w:rsidP="00785B6A">
      <w:pPr>
        <w:jc w:val="both"/>
        <w:rPr>
          <w:rFonts w:cstheme="minorHAnsi"/>
          <w:szCs w:val="24"/>
        </w:rPr>
      </w:pPr>
      <w:r w:rsidRPr="00675182">
        <w:rPr>
          <w:rFonts w:cstheme="minorHAnsi"/>
          <w:szCs w:val="24"/>
        </w:rPr>
        <w:t>GNP ainavu pārvaldības kontekstā būtiski ņemt vērā aspektu, ka ievērojamās platībās unikālo un aizsargājamo dabas vērtību teritorijas pārklājas un to primārais mērķis ir dabas vērtību aizsardzība, kuru nodrošinot tiek saglabātas arī nacionālā parka unikālās dabas ainavas. Tas pats attiecināms uz ainavu kultūrvēsturiskajām vērtībām, kuras jau vēsturiski Cēsu un Siguldas novados tiek pētītas, aizsargātas un apsaimniekotas ar īpašu un atbildīgu pieeju aktīvi iesaistoties arī dažādām ieinteresētajām pusēm.</w:t>
      </w:r>
    </w:p>
    <w:p w14:paraId="72A4B94B" w14:textId="77777777" w:rsidR="00785B6A" w:rsidRPr="00675182" w:rsidRDefault="00785B6A" w:rsidP="00785B6A">
      <w:pPr>
        <w:jc w:val="both"/>
        <w:rPr>
          <w:rFonts w:cstheme="minorHAnsi"/>
          <w:szCs w:val="24"/>
        </w:rPr>
      </w:pPr>
    </w:p>
    <w:p w14:paraId="67CD0CE0" w14:textId="0210F2C2" w:rsidR="00785B6A" w:rsidRPr="00675182" w:rsidRDefault="00785B6A" w:rsidP="00785B6A">
      <w:pPr>
        <w:jc w:val="both"/>
        <w:rPr>
          <w:rFonts w:cstheme="minorHAnsi"/>
          <w:i/>
          <w:szCs w:val="24"/>
        </w:rPr>
      </w:pPr>
      <w:r w:rsidRPr="00675182">
        <w:rPr>
          <w:rFonts w:cstheme="minorHAnsi"/>
          <w:szCs w:val="24"/>
        </w:rPr>
        <w:t xml:space="preserve">Balstoties uz DA plāna ietvaros veikto apkopojumu GNP ainavu pārvaldībā definējams </w:t>
      </w:r>
      <w:r w:rsidRPr="00675182">
        <w:rPr>
          <w:rFonts w:cstheme="minorHAnsi"/>
          <w:b/>
          <w:szCs w:val="24"/>
        </w:rPr>
        <w:t>virsmērķis:</w:t>
      </w:r>
      <w:r w:rsidRPr="00675182">
        <w:rPr>
          <w:rFonts w:cstheme="minorHAnsi"/>
          <w:szCs w:val="24"/>
        </w:rPr>
        <w:t xml:space="preserve"> </w:t>
      </w:r>
      <w:r w:rsidRPr="00675182">
        <w:rPr>
          <w:rFonts w:cstheme="minorHAnsi"/>
          <w:i/>
          <w:szCs w:val="24"/>
        </w:rPr>
        <w:t xml:space="preserve">Ilgtspējīgi pārvaldīta Gaujas Nacionālā parka teritorija – saglabājot unikālo Gaujas senielejas un pieteku upju ieleju dabisko ainavu un vizuālo uztveri, </w:t>
      </w:r>
      <w:r w:rsidRPr="00675182">
        <w:rPr>
          <w:rFonts w:cstheme="minorHAnsi"/>
          <w:i/>
          <w:szCs w:val="24"/>
        </w:rPr>
        <w:lastRenderedPageBreak/>
        <w:t>aizsargājamās dabas, ainaviskās un kultūrvēsturiskās vērtības, prioritāri attīstot dabas tūrismu un veicinot sabalansētu attīstību Nacionālā parka plašajās lauku un apdzīvoto vietu teritorijās.</w:t>
      </w:r>
    </w:p>
    <w:p w14:paraId="70A842A0" w14:textId="77777777" w:rsidR="00785B6A" w:rsidRPr="00675182" w:rsidRDefault="00785B6A" w:rsidP="00785B6A">
      <w:pPr>
        <w:jc w:val="both"/>
        <w:rPr>
          <w:rFonts w:cstheme="minorHAnsi"/>
          <w:szCs w:val="24"/>
        </w:rPr>
      </w:pPr>
    </w:p>
    <w:p w14:paraId="4073D1EE" w14:textId="232429BA" w:rsidR="00785B6A" w:rsidRPr="00675182" w:rsidRDefault="00785B6A" w:rsidP="00785B6A">
      <w:pPr>
        <w:jc w:val="both"/>
        <w:rPr>
          <w:rFonts w:cstheme="minorHAnsi"/>
          <w:szCs w:val="24"/>
        </w:rPr>
      </w:pPr>
      <w:r w:rsidRPr="00675182">
        <w:rPr>
          <w:rFonts w:cstheme="minorHAnsi"/>
          <w:szCs w:val="24"/>
        </w:rPr>
        <w:t xml:space="preserve">Atsevišķām GNP ainavu telpiskajām vienībām </w:t>
      </w:r>
      <w:r w:rsidR="008F3A1B" w:rsidRPr="00675182">
        <w:rPr>
          <w:rFonts w:cstheme="minorHAnsi"/>
          <w:szCs w:val="24"/>
        </w:rPr>
        <w:t>kā ainavu kvalitātes mērķi definējami</w:t>
      </w:r>
      <w:r w:rsidRPr="00675182">
        <w:rPr>
          <w:rFonts w:cstheme="minorHAnsi"/>
          <w:szCs w:val="24"/>
        </w:rPr>
        <w:t>:</w:t>
      </w:r>
    </w:p>
    <w:p w14:paraId="36496829" w14:textId="77777777" w:rsidR="00785B6A" w:rsidRPr="00675182" w:rsidRDefault="00785B6A" w:rsidP="00785B6A">
      <w:pPr>
        <w:jc w:val="both"/>
        <w:rPr>
          <w:rFonts w:cstheme="minorHAnsi"/>
          <w:i/>
          <w:szCs w:val="24"/>
        </w:rPr>
      </w:pPr>
      <w:r w:rsidRPr="00675182">
        <w:rPr>
          <w:rFonts w:cstheme="minorHAnsi"/>
          <w:b/>
          <w:i/>
          <w:szCs w:val="24"/>
        </w:rPr>
        <w:t>Gaujas senielejai</w:t>
      </w:r>
      <w:r w:rsidRPr="00675182">
        <w:rPr>
          <w:rFonts w:cstheme="minorHAnsi"/>
          <w:i/>
          <w:szCs w:val="24"/>
        </w:rPr>
        <w:t xml:space="preserve"> - saglabāt dabisku, nefragmentētu un vizuāli neizmainītu Gaujas upi, tās krastus un Gaujas senieleju ar pietekām un sāngravām. </w:t>
      </w:r>
    </w:p>
    <w:p w14:paraId="392DB86C" w14:textId="77777777" w:rsidR="00785B6A" w:rsidRPr="00675182" w:rsidRDefault="00785B6A" w:rsidP="00785B6A">
      <w:pPr>
        <w:jc w:val="both"/>
        <w:rPr>
          <w:rFonts w:cstheme="minorHAnsi"/>
          <w:i/>
          <w:szCs w:val="24"/>
        </w:rPr>
      </w:pPr>
      <w:r w:rsidRPr="00675182">
        <w:rPr>
          <w:rFonts w:cstheme="minorHAnsi"/>
          <w:b/>
          <w:i/>
          <w:szCs w:val="24"/>
        </w:rPr>
        <w:t xml:space="preserve">Ezeraiņu </w:t>
      </w:r>
      <w:r w:rsidRPr="00675182">
        <w:rPr>
          <w:rFonts w:cstheme="minorHAnsi"/>
          <w:i/>
          <w:szCs w:val="24"/>
        </w:rPr>
        <w:t>ainavām – sabalansēt dabas, rekreācijas un tūrisma attīstību (t.sk., ar vietējo kopienu interesēm), saglabājot ezeru pieejamību, vizuālo pievilcību un ekoloģisko nozīmi.</w:t>
      </w:r>
    </w:p>
    <w:p w14:paraId="2A08E4AC" w14:textId="77777777" w:rsidR="00785B6A" w:rsidRPr="00675182" w:rsidRDefault="00785B6A" w:rsidP="00785B6A">
      <w:pPr>
        <w:jc w:val="both"/>
        <w:rPr>
          <w:rFonts w:cstheme="minorHAnsi"/>
          <w:i/>
          <w:szCs w:val="24"/>
        </w:rPr>
      </w:pPr>
      <w:r w:rsidRPr="00675182">
        <w:rPr>
          <w:rFonts w:cstheme="minorHAnsi"/>
          <w:b/>
          <w:i/>
          <w:szCs w:val="24"/>
        </w:rPr>
        <w:t>Kultūrvēsturiskām</w:t>
      </w:r>
      <w:r w:rsidRPr="00675182">
        <w:rPr>
          <w:rFonts w:cstheme="minorHAnsi"/>
          <w:i/>
          <w:szCs w:val="24"/>
        </w:rPr>
        <w:t xml:space="preserve"> ainavām un objektiem – saglabāt un izcelt kultūrvēsturisko objektu nozīmi ainavā, sagatavojot un ieviešot individuālus apsaimniekošanas pasākumus.</w:t>
      </w:r>
    </w:p>
    <w:p w14:paraId="3239615E" w14:textId="77777777" w:rsidR="00785B6A" w:rsidRPr="00675182" w:rsidRDefault="00785B6A" w:rsidP="00785B6A">
      <w:pPr>
        <w:jc w:val="both"/>
        <w:rPr>
          <w:rFonts w:cstheme="minorHAnsi"/>
          <w:i/>
          <w:szCs w:val="24"/>
        </w:rPr>
      </w:pPr>
      <w:r w:rsidRPr="00675182">
        <w:rPr>
          <w:rFonts w:cstheme="minorHAnsi"/>
          <w:b/>
          <w:i/>
          <w:szCs w:val="24"/>
        </w:rPr>
        <w:t>Mozaīkveida</w:t>
      </w:r>
      <w:r w:rsidRPr="00675182">
        <w:rPr>
          <w:rFonts w:cstheme="minorHAnsi"/>
          <w:i/>
          <w:szCs w:val="24"/>
        </w:rPr>
        <w:t xml:space="preserve"> ainavām – uzturēt atklātas tipiskās pauguraiņu ainavas ar tāliem un daudzveidīgiem skatiem uz Gaujas senieleju un apkārtnes ainavu, veicinot videi draudzīgu LIZ izmantošanu.</w:t>
      </w:r>
    </w:p>
    <w:p w14:paraId="5E59268B" w14:textId="77777777" w:rsidR="00785B6A" w:rsidRPr="00675182" w:rsidRDefault="00785B6A" w:rsidP="00785B6A">
      <w:pPr>
        <w:jc w:val="both"/>
        <w:rPr>
          <w:rFonts w:cstheme="minorHAnsi"/>
          <w:i/>
          <w:szCs w:val="24"/>
        </w:rPr>
      </w:pPr>
      <w:r w:rsidRPr="00675182">
        <w:rPr>
          <w:rFonts w:cstheme="minorHAnsi"/>
          <w:b/>
          <w:i/>
          <w:szCs w:val="24"/>
        </w:rPr>
        <w:t>Ārainēm</w:t>
      </w:r>
      <w:r w:rsidRPr="00675182">
        <w:rPr>
          <w:rFonts w:cstheme="minorHAnsi"/>
          <w:i/>
          <w:szCs w:val="24"/>
        </w:rPr>
        <w:t xml:space="preserve"> – uzturēt atklātas vietai tipiskas LIZ ainavas, saglabājot raksturīgos ainavu elementus un skatus.</w:t>
      </w:r>
    </w:p>
    <w:p w14:paraId="1D2882B5" w14:textId="35D3013B" w:rsidR="00785B6A" w:rsidRPr="00675182" w:rsidRDefault="00785B6A" w:rsidP="00785B6A">
      <w:pPr>
        <w:jc w:val="both"/>
        <w:rPr>
          <w:rFonts w:cstheme="minorHAnsi"/>
          <w:i/>
          <w:szCs w:val="24"/>
        </w:rPr>
      </w:pPr>
      <w:r w:rsidRPr="00675182">
        <w:rPr>
          <w:rFonts w:cstheme="minorHAnsi"/>
          <w:b/>
          <w:i/>
          <w:szCs w:val="24"/>
        </w:rPr>
        <w:t>Rekreācijai un tūrismam nozīmīgām meža</w:t>
      </w:r>
      <w:r w:rsidRPr="00675182">
        <w:rPr>
          <w:rFonts w:cstheme="minorHAnsi"/>
          <w:i/>
          <w:szCs w:val="24"/>
        </w:rPr>
        <w:t xml:space="preserve"> ainavām – ieviest meža ainavu dizaina plānošanas principus mežu apsaimniekošanā.</w:t>
      </w:r>
    </w:p>
    <w:p w14:paraId="5C7176DE" w14:textId="77777777" w:rsidR="00785B6A" w:rsidRPr="00675182" w:rsidRDefault="00785B6A" w:rsidP="00785B6A">
      <w:pPr>
        <w:jc w:val="both"/>
        <w:rPr>
          <w:rFonts w:cstheme="minorHAnsi"/>
          <w:i/>
          <w:szCs w:val="24"/>
        </w:rPr>
      </w:pPr>
    </w:p>
    <w:p w14:paraId="2C6DD081" w14:textId="604541F8" w:rsidR="00E72DDD" w:rsidRPr="00675182" w:rsidRDefault="00E72DDD" w:rsidP="00E72DDD">
      <w:pPr>
        <w:jc w:val="both"/>
        <w:rPr>
          <w:rFonts w:cstheme="minorHAnsi"/>
          <w:szCs w:val="24"/>
        </w:rPr>
      </w:pPr>
      <w:r w:rsidRPr="00675182">
        <w:rPr>
          <w:rFonts w:cstheme="minorHAnsi"/>
          <w:szCs w:val="24"/>
        </w:rPr>
        <w:t xml:space="preserve">Kopumā GNP novadu īstenotā ainavu pārvaldības prakse vērtējama pozitīvi, jo </w:t>
      </w:r>
      <w:r w:rsidR="00E1197A">
        <w:rPr>
          <w:rFonts w:cstheme="minorHAnsi"/>
          <w:szCs w:val="24"/>
        </w:rPr>
        <w:t>TP</w:t>
      </w:r>
      <w:r w:rsidRPr="00675182">
        <w:rPr>
          <w:rFonts w:cstheme="minorHAnsi"/>
          <w:szCs w:val="24"/>
        </w:rPr>
        <w:t xml:space="preserve"> ir un tiek veikts ainaviskais novērtējums un iestrādāti nosacījumi ainavu aizsardzībai. Tāpat pozitīvi vērtējama un turpināma pieeja par lokāla līmeņa ainavu plānu izstrādi (piem., atpūtas kompleksam “Zābaki”, Cēsu dabas un kultūrvēstures parkam), šādu ainavu tematisko plānojumu izstrāde ieteicama praktiski visās ainaviski nozīmīgākajās un jutīgās teritorijās (Krimulda, Raiskuma un Vaidavas un to pieguļošo teritorijas u.c.). Ainavisku vietu saglabāšanas vai pilnveidošanas procesos ieteicams jau projektēšanas stadijā piesaistīt ainavu arhitektus, lai nodrošinātu vietas ainavā iekļaujošu un sabalansētu risinājumu izvēli. Ainavu atzinumu sagatavošana kā prasība jāiestrādā arī novadi TIAN.</w:t>
      </w:r>
    </w:p>
    <w:p w14:paraId="0BE4BCD5" w14:textId="77777777" w:rsidR="00E72DDD" w:rsidRPr="00675182" w:rsidRDefault="00E72DDD" w:rsidP="00E72DDD">
      <w:pPr>
        <w:jc w:val="both"/>
        <w:rPr>
          <w:rFonts w:cstheme="minorHAnsi"/>
          <w:szCs w:val="24"/>
        </w:rPr>
      </w:pPr>
    </w:p>
    <w:p w14:paraId="249FEBAA" w14:textId="39F0E0E7" w:rsidR="00FB31DD" w:rsidRPr="00675182" w:rsidRDefault="00E72DDD" w:rsidP="00E72DDD">
      <w:pPr>
        <w:jc w:val="both"/>
      </w:pPr>
      <w:r w:rsidRPr="00675182">
        <w:t>Dabas aizsardzībā un ainavu pārvaldībā būtiska loma ir teritoriju izmantošanas veidiem, jo tie nosaka vietu ekoloģisko un ainavu vizuālo vērtību. Savukārt teritoriju izmantošanas veidu nosacījumi ir būtisks instruments, kā nodrošināt vēlamos zemes izmantošanas veidus, t.sk., zemes vienību platība ir viens no nozīmīgākajiem kritērijiem, lai ierobežotu fragmentētu, antropogēni pārveidotu un pat blīvi apbūvētu platību veidošanos. Tāpēc teritorijām ar dabisko, ainavisko un kultūrvēsturisko nozīmi pievēršama pastiprināta uzmanība, definējot minimālos jaunveidojamo zemes vienību platību rādītājus. DLZ minimālā platība definēta atbilstoši dabas aizsardzības mērķiem, savukārt DPZ un AAZ primāri vēršama uzmanība definētajiem ainavu kvalitātes mērķiem.</w:t>
      </w:r>
    </w:p>
    <w:p w14:paraId="034910E0" w14:textId="6BF77F4A" w:rsidR="004325CA" w:rsidRPr="00675182" w:rsidRDefault="0089065D" w:rsidP="002B3341">
      <w:pPr>
        <w:rPr>
          <w:rFonts w:cstheme="minorHAnsi"/>
          <w:szCs w:val="24"/>
        </w:rPr>
      </w:pPr>
      <w:r w:rsidRPr="00675182">
        <w:rPr>
          <w:rFonts w:cstheme="minorHAnsi"/>
        </w:rPr>
        <w:br w:type="page"/>
      </w:r>
    </w:p>
    <w:p w14:paraId="2519009F" w14:textId="77777777" w:rsidR="00011E51" w:rsidRPr="00675182" w:rsidRDefault="00011E51" w:rsidP="00A176D9">
      <w:pPr>
        <w:pStyle w:val="Heading1"/>
      </w:pPr>
      <w:bookmarkStart w:id="166" w:name="_Toc116938424"/>
      <w:r w:rsidRPr="00675182">
        <w:lastRenderedPageBreak/>
        <w:t xml:space="preserve">5. </w:t>
      </w:r>
      <w:bookmarkStart w:id="167" w:name="_Hlk6242801"/>
      <w:r w:rsidRPr="00675182">
        <w:t>Priekšlikumi aizsargājamās teritorijas individuālo aizsardzības un izmantošanas noteikumu projektam</w:t>
      </w:r>
      <w:bookmarkEnd w:id="166"/>
      <w:bookmarkEnd w:id="167"/>
    </w:p>
    <w:p w14:paraId="5E390B9A" w14:textId="77777777" w:rsidR="00430653" w:rsidRPr="00675182" w:rsidRDefault="00430653" w:rsidP="00430653">
      <w:pPr>
        <w:rPr>
          <w:rFonts w:cstheme="minorHAnsi"/>
        </w:rPr>
      </w:pPr>
      <w:bookmarkStart w:id="168" w:name="_Toc424661716"/>
    </w:p>
    <w:p w14:paraId="4B39A3CA" w14:textId="2093B951" w:rsidR="003068AA" w:rsidRPr="00675182" w:rsidRDefault="003068AA" w:rsidP="002B3341">
      <w:pPr>
        <w:pStyle w:val="Heading2"/>
        <w:keepNext w:val="0"/>
        <w:rPr>
          <w:rFonts w:cstheme="minorHAnsi"/>
          <w:i w:val="0"/>
          <w:sz w:val="24"/>
          <w:szCs w:val="24"/>
          <w:lang w:val="lv-LV"/>
        </w:rPr>
      </w:pPr>
      <w:bookmarkStart w:id="169" w:name="_Toc116938425"/>
      <w:r w:rsidRPr="00675182">
        <w:rPr>
          <w:rFonts w:cstheme="minorHAnsi"/>
          <w:i w:val="0"/>
          <w:sz w:val="24"/>
          <w:szCs w:val="24"/>
          <w:lang w:val="lv-LV"/>
        </w:rPr>
        <w:t>5.1. Priekšlikums teritorijas zonējumam</w:t>
      </w:r>
      <w:bookmarkEnd w:id="168"/>
      <w:bookmarkEnd w:id="169"/>
    </w:p>
    <w:p w14:paraId="6A572ADE" w14:textId="77777777" w:rsidR="00697261" w:rsidRPr="00675182" w:rsidRDefault="00697261" w:rsidP="00697261">
      <w:pPr>
        <w:shd w:val="clear" w:color="auto" w:fill="FFFFFF"/>
        <w:jc w:val="both"/>
        <w:rPr>
          <w:rFonts w:ascii="Calibri" w:hAnsi="Calibri"/>
          <w:szCs w:val="24"/>
        </w:rPr>
      </w:pPr>
      <w:r w:rsidRPr="00675182">
        <w:rPr>
          <w:rFonts w:ascii="Calibri" w:hAnsi="Calibri"/>
          <w:szCs w:val="24"/>
        </w:rPr>
        <w:t>Funkcionālais zonējums ir viens no instrumentiem, ar ko tiek nodrošināta ĪADT pārvaldība atbilstoši tās aizsardzības mērķiem. Teritorija tiek iedalīta funkcionālajās zonās, ņemot vērā prasības, kuras jau ilgstoši Latvijā ir iestrādātas normatīvajos aktos un tiek pielietotas praksē.</w:t>
      </w:r>
    </w:p>
    <w:p w14:paraId="2D147A44" w14:textId="77777777" w:rsidR="00697261" w:rsidRPr="00675182" w:rsidRDefault="00697261" w:rsidP="00697261">
      <w:pPr>
        <w:rPr>
          <w:rFonts w:ascii="Calibri" w:hAnsi="Calibri"/>
          <w:szCs w:val="24"/>
        </w:rPr>
      </w:pPr>
    </w:p>
    <w:p w14:paraId="05A34099" w14:textId="0B01E9D4" w:rsidR="00697261" w:rsidRPr="00675182" w:rsidRDefault="00697261" w:rsidP="00697261">
      <w:pPr>
        <w:jc w:val="both"/>
        <w:rPr>
          <w:rFonts w:ascii="Calibri" w:hAnsi="Calibri"/>
        </w:rPr>
      </w:pPr>
      <w:bookmarkStart w:id="170" w:name="_Hlk110254744"/>
      <w:r w:rsidRPr="00675182">
        <w:rPr>
          <w:rFonts w:ascii="Calibri" w:hAnsi="Calibri"/>
          <w:szCs w:val="24"/>
        </w:rPr>
        <w:t xml:space="preserve">Pašreizējais GNP teritorijas </w:t>
      </w:r>
      <w:r w:rsidRPr="00675182">
        <w:rPr>
          <w:rFonts w:ascii="Calibri" w:hAnsi="Calibri"/>
        </w:rPr>
        <w:t xml:space="preserve">funkcionālais zonējums ir noteikts Gaujas nacionālā parka likumā (pieņemts 2009. gada 30. aprīlī), kā arī MK 2012. gada 2. maija noteikumos Nr. 317 “Gaujas nacionālā parka individuālie aizsardzības un izmantošanas noteikumi”. </w:t>
      </w:r>
      <w:bookmarkEnd w:id="170"/>
      <w:r w:rsidRPr="00675182">
        <w:rPr>
          <w:rFonts w:ascii="Calibri" w:hAnsi="Calibri"/>
        </w:rPr>
        <w:t xml:space="preserve">Saskaņā ar spēkā esošajiem normatīvajiem aktiem GNP ir noteiktas 5 funkcionālās zonas: dabas rezervāta jeb </w:t>
      </w:r>
      <w:r w:rsidR="00510729">
        <w:rPr>
          <w:rFonts w:ascii="Calibri" w:hAnsi="Calibri"/>
        </w:rPr>
        <w:t>SRZ</w:t>
      </w:r>
      <w:r w:rsidRPr="00675182">
        <w:rPr>
          <w:rFonts w:ascii="Calibri" w:hAnsi="Calibri"/>
        </w:rPr>
        <w:t xml:space="preserve">, </w:t>
      </w:r>
      <w:r w:rsidR="00510729">
        <w:rPr>
          <w:rFonts w:ascii="Calibri" w:hAnsi="Calibri"/>
        </w:rPr>
        <w:t>DLZ</w:t>
      </w:r>
      <w:r w:rsidRPr="00675182">
        <w:rPr>
          <w:rFonts w:ascii="Calibri" w:hAnsi="Calibri"/>
        </w:rPr>
        <w:t xml:space="preserve">, </w:t>
      </w:r>
      <w:r w:rsidR="00510729">
        <w:rPr>
          <w:rFonts w:ascii="Calibri" w:hAnsi="Calibri"/>
        </w:rPr>
        <w:t>AAZ</w:t>
      </w:r>
      <w:r w:rsidRPr="00675182">
        <w:rPr>
          <w:rFonts w:ascii="Calibri" w:hAnsi="Calibri"/>
        </w:rPr>
        <w:t xml:space="preserve">, </w:t>
      </w:r>
      <w:r w:rsidR="00BF7348">
        <w:rPr>
          <w:rFonts w:ascii="Calibri" w:hAnsi="Calibri"/>
        </w:rPr>
        <w:t>KVZ</w:t>
      </w:r>
      <w:r w:rsidR="00BF7348" w:rsidRPr="00675182">
        <w:rPr>
          <w:rFonts w:ascii="Calibri" w:hAnsi="Calibri"/>
        </w:rPr>
        <w:t xml:space="preserve"> </w:t>
      </w:r>
      <w:r w:rsidRPr="00675182">
        <w:rPr>
          <w:rFonts w:ascii="Calibri" w:hAnsi="Calibri"/>
        </w:rPr>
        <w:t xml:space="preserve">un </w:t>
      </w:r>
      <w:r w:rsidR="00BF7348">
        <w:rPr>
          <w:rFonts w:ascii="Calibri" w:hAnsi="Calibri"/>
        </w:rPr>
        <w:t>NZ</w:t>
      </w:r>
      <w:r w:rsidRPr="00675182">
        <w:rPr>
          <w:rFonts w:ascii="Calibri" w:hAnsi="Calibri"/>
        </w:rPr>
        <w:t xml:space="preserve"> (skat. 1.1.4. attēlu).</w:t>
      </w:r>
    </w:p>
    <w:p w14:paraId="62F1E268" w14:textId="77777777" w:rsidR="00697261" w:rsidRPr="00675182" w:rsidRDefault="00697261" w:rsidP="00697261">
      <w:pPr>
        <w:rPr>
          <w:rFonts w:ascii="Calibri" w:hAnsi="Calibri"/>
          <w:szCs w:val="24"/>
        </w:rPr>
      </w:pPr>
    </w:p>
    <w:p w14:paraId="74878BCA" w14:textId="77777777" w:rsidR="00697261" w:rsidRPr="00675182" w:rsidRDefault="00697261" w:rsidP="00697261">
      <w:pPr>
        <w:jc w:val="both"/>
        <w:rPr>
          <w:rFonts w:ascii="Calibri" w:hAnsi="Calibri"/>
          <w:szCs w:val="24"/>
        </w:rPr>
      </w:pPr>
      <w:bookmarkStart w:id="171" w:name="_Hlk110254867"/>
      <w:r w:rsidRPr="00675182">
        <w:rPr>
          <w:rFonts w:ascii="Calibri" w:hAnsi="Calibri"/>
          <w:szCs w:val="24"/>
        </w:rPr>
        <w:t xml:space="preserve">Vērtējot </w:t>
      </w:r>
      <w:r w:rsidRPr="00675182">
        <w:rPr>
          <w:rFonts w:ascii="Calibri" w:hAnsi="Calibri"/>
          <w:szCs w:val="24"/>
          <w:u w:val="single"/>
        </w:rPr>
        <w:t xml:space="preserve">esošo </w:t>
      </w:r>
      <w:r w:rsidRPr="00675182">
        <w:rPr>
          <w:rFonts w:ascii="Calibri" w:hAnsi="Calibri"/>
          <w:szCs w:val="24"/>
        </w:rPr>
        <w:t>funkcionālo zonu sadalījumu, tika secināts, ka :</w:t>
      </w:r>
    </w:p>
    <w:p w14:paraId="0F0AC6B0" w14:textId="78C47AA2" w:rsidR="00697261" w:rsidRPr="00675182" w:rsidRDefault="00697261" w:rsidP="00A84218">
      <w:pPr>
        <w:numPr>
          <w:ilvl w:val="1"/>
          <w:numId w:val="17"/>
        </w:numPr>
        <w:ind w:left="426"/>
        <w:jc w:val="both"/>
        <w:rPr>
          <w:rFonts w:ascii="Calibri" w:hAnsi="Calibri"/>
          <w:szCs w:val="24"/>
        </w:rPr>
      </w:pPr>
      <w:r w:rsidRPr="00675182">
        <w:rPr>
          <w:rFonts w:ascii="Calibri" w:hAnsi="Calibri"/>
          <w:szCs w:val="24"/>
        </w:rPr>
        <w:t xml:space="preserve">esošais GNP zonējums ir izstrādāts, lai aizsargātu tā nozīmīgākās dabas vērtības, iekļaujot Gaujas senieleju, tās sāngravas un upju pieteku ielejas, Sudas purvu, kā arī citas nozīmīgas dabas vērtības (ezeru, mežu, purvu u.c. teritorijas) </w:t>
      </w:r>
      <w:r w:rsidR="00510729">
        <w:rPr>
          <w:rFonts w:ascii="Calibri" w:hAnsi="Calibri"/>
          <w:szCs w:val="24"/>
        </w:rPr>
        <w:t>SRZ</w:t>
      </w:r>
      <w:r w:rsidRPr="00675182">
        <w:rPr>
          <w:rFonts w:ascii="Calibri" w:hAnsi="Calibri"/>
          <w:szCs w:val="24"/>
        </w:rPr>
        <w:t xml:space="preserve"> un </w:t>
      </w:r>
      <w:r w:rsidR="00510729">
        <w:rPr>
          <w:rFonts w:ascii="Calibri" w:hAnsi="Calibri"/>
          <w:szCs w:val="24"/>
        </w:rPr>
        <w:t>DLZ</w:t>
      </w:r>
      <w:r w:rsidRPr="00675182">
        <w:rPr>
          <w:rFonts w:ascii="Calibri" w:hAnsi="Calibri"/>
          <w:szCs w:val="24"/>
        </w:rPr>
        <w:t>. Izvēlētā zonējuma pieeja saglabā un aizsargā nozīmīgas ekoloģiskā tīklojuma daļas plašākā teritorijā;</w:t>
      </w:r>
    </w:p>
    <w:p w14:paraId="2B74FC9F" w14:textId="24A18546" w:rsidR="00697261" w:rsidRPr="00675182" w:rsidRDefault="00697261" w:rsidP="00A84218">
      <w:pPr>
        <w:numPr>
          <w:ilvl w:val="1"/>
          <w:numId w:val="17"/>
        </w:numPr>
        <w:ind w:left="426"/>
        <w:jc w:val="both"/>
        <w:rPr>
          <w:rFonts w:ascii="Calibri" w:hAnsi="Calibri"/>
          <w:szCs w:val="24"/>
        </w:rPr>
      </w:pPr>
      <w:r w:rsidRPr="00675182">
        <w:rPr>
          <w:rFonts w:ascii="Calibri" w:hAnsi="Calibri"/>
          <w:szCs w:val="24"/>
        </w:rPr>
        <w:t xml:space="preserve">GNP teritorijā ir noteikti </w:t>
      </w:r>
      <w:r w:rsidR="00510729">
        <w:rPr>
          <w:rFonts w:ascii="Calibri" w:hAnsi="Calibri"/>
          <w:szCs w:val="24"/>
        </w:rPr>
        <w:t>NZ</w:t>
      </w:r>
      <w:r w:rsidRPr="00675182">
        <w:rPr>
          <w:rFonts w:ascii="Calibri" w:hAnsi="Calibri"/>
          <w:szCs w:val="24"/>
        </w:rPr>
        <w:t xml:space="preserve"> areāli ievērojamās platībās, ietverot ne tikai ciemu, apdzīvotu vietu un būtiski pārveidotu vietu teritorijas, bet arī meža, purvu un lauksaimniecības zemju platībās ar aizsargājamām dabas vērtībām;</w:t>
      </w:r>
    </w:p>
    <w:p w14:paraId="420C1975" w14:textId="2305DD3C" w:rsidR="00697261" w:rsidRPr="00675182" w:rsidRDefault="00697261" w:rsidP="00A84218">
      <w:pPr>
        <w:numPr>
          <w:ilvl w:val="1"/>
          <w:numId w:val="17"/>
        </w:numPr>
        <w:ind w:left="426"/>
        <w:jc w:val="both"/>
        <w:rPr>
          <w:rFonts w:ascii="Calibri" w:hAnsi="Calibri"/>
          <w:szCs w:val="24"/>
        </w:rPr>
      </w:pPr>
      <w:r w:rsidRPr="00675182">
        <w:rPr>
          <w:rFonts w:ascii="Calibri" w:hAnsi="Calibri"/>
          <w:szCs w:val="24"/>
        </w:rPr>
        <w:t xml:space="preserve">GNP ir vienīgā ĪADT Latvijā, kurā ir noteikta kultūrvēsturiskā zona. Pamatojumā nav definēti </w:t>
      </w:r>
      <w:r w:rsidR="00BF7348">
        <w:rPr>
          <w:rFonts w:ascii="Calibri" w:hAnsi="Calibri"/>
          <w:szCs w:val="24"/>
        </w:rPr>
        <w:t>KVZ</w:t>
      </w:r>
      <w:r w:rsidRPr="00675182">
        <w:rPr>
          <w:rFonts w:ascii="Calibri" w:hAnsi="Calibri"/>
          <w:szCs w:val="24"/>
        </w:rPr>
        <w:t xml:space="preserve"> izveides kritēriji un sasaiste ar mērķiem pamatota vispārīgi. Uz </w:t>
      </w:r>
      <w:r w:rsidR="00BF7348">
        <w:rPr>
          <w:rFonts w:ascii="Calibri" w:hAnsi="Calibri"/>
          <w:szCs w:val="24"/>
        </w:rPr>
        <w:t>KVZ</w:t>
      </w:r>
      <w:r w:rsidRPr="00675182">
        <w:rPr>
          <w:rFonts w:ascii="Calibri" w:hAnsi="Calibri"/>
          <w:szCs w:val="24"/>
        </w:rPr>
        <w:t xml:space="preserve"> attiecas </w:t>
      </w:r>
      <w:r w:rsidR="00510729">
        <w:rPr>
          <w:rFonts w:ascii="Calibri" w:hAnsi="Calibri"/>
          <w:szCs w:val="24"/>
        </w:rPr>
        <w:t>DPZ</w:t>
      </w:r>
      <w:r w:rsidRPr="00675182">
        <w:rPr>
          <w:rFonts w:ascii="Calibri" w:hAnsi="Calibri"/>
          <w:szCs w:val="24"/>
        </w:rPr>
        <w:t xml:space="preserve"> nosacījumi;</w:t>
      </w:r>
    </w:p>
    <w:p w14:paraId="65397219" w14:textId="77777777" w:rsidR="00697261" w:rsidRPr="00675182" w:rsidRDefault="00697261" w:rsidP="00A84218">
      <w:pPr>
        <w:numPr>
          <w:ilvl w:val="1"/>
          <w:numId w:val="17"/>
        </w:numPr>
        <w:ind w:left="426"/>
        <w:jc w:val="both"/>
        <w:rPr>
          <w:rFonts w:ascii="Calibri" w:hAnsi="Calibri"/>
          <w:szCs w:val="24"/>
        </w:rPr>
      </w:pPr>
      <w:r w:rsidRPr="00675182">
        <w:rPr>
          <w:rFonts w:ascii="Calibri" w:hAnsi="Calibri"/>
          <w:szCs w:val="24"/>
        </w:rPr>
        <w:t>funkcionālo zonu sadalījums veidots salīdzinoši mazā mērogā pēc konceptuālas pieejas, nefragmentējot to, bet veidojot ērti uztveramus un viengabalainus funkcionālo zonu areālus;</w:t>
      </w:r>
    </w:p>
    <w:p w14:paraId="67DB05B1" w14:textId="33051BEB" w:rsidR="00697261" w:rsidRPr="00675182" w:rsidRDefault="00697261" w:rsidP="00A84218">
      <w:pPr>
        <w:numPr>
          <w:ilvl w:val="1"/>
          <w:numId w:val="17"/>
        </w:numPr>
        <w:ind w:left="426"/>
        <w:jc w:val="both"/>
        <w:rPr>
          <w:rFonts w:ascii="Calibri" w:hAnsi="Calibri"/>
          <w:szCs w:val="24"/>
        </w:rPr>
      </w:pPr>
      <w:r w:rsidRPr="00675182">
        <w:rPr>
          <w:rFonts w:ascii="Calibri" w:hAnsi="Calibri"/>
          <w:szCs w:val="24"/>
        </w:rPr>
        <w:t>zonējuma mērķi un zonu nosacījumi ir atrunāti divos normatīvajos aktos (likums un MK noteikumi), kas apgrūtina to uztveramību un var veidot dažādas nosacījumu piemērošanas interpretācijas;</w:t>
      </w:r>
    </w:p>
    <w:p w14:paraId="5876449F" w14:textId="660CC708" w:rsidR="00697261" w:rsidRPr="00675182" w:rsidRDefault="00697261" w:rsidP="00A84218">
      <w:pPr>
        <w:numPr>
          <w:ilvl w:val="1"/>
          <w:numId w:val="17"/>
        </w:numPr>
        <w:ind w:left="426"/>
        <w:jc w:val="both"/>
        <w:rPr>
          <w:rFonts w:ascii="Calibri" w:hAnsi="Calibri"/>
          <w:szCs w:val="24"/>
        </w:rPr>
      </w:pPr>
      <w:r w:rsidRPr="00675182">
        <w:rPr>
          <w:rFonts w:ascii="Calibri" w:hAnsi="Calibri"/>
          <w:szCs w:val="24"/>
        </w:rPr>
        <w:t xml:space="preserve">daļa </w:t>
      </w:r>
      <w:r w:rsidR="00DE651F">
        <w:rPr>
          <w:rFonts w:ascii="Calibri" w:hAnsi="Calibri"/>
          <w:szCs w:val="24"/>
        </w:rPr>
        <w:t>ĪA</w:t>
      </w:r>
      <w:r w:rsidRPr="00675182">
        <w:rPr>
          <w:rFonts w:ascii="Calibri" w:hAnsi="Calibri"/>
          <w:szCs w:val="24"/>
        </w:rPr>
        <w:t xml:space="preserve"> dabas vērtību sastopamas AAZ vai pat NZ, tādējādi netiek nodrošināta to atbilstoša aizsardzība;</w:t>
      </w:r>
    </w:p>
    <w:p w14:paraId="4C336220" w14:textId="11577A03" w:rsidR="00697261" w:rsidRPr="00675182" w:rsidRDefault="00697261" w:rsidP="00A84218">
      <w:pPr>
        <w:numPr>
          <w:ilvl w:val="1"/>
          <w:numId w:val="17"/>
        </w:numPr>
        <w:ind w:left="426"/>
        <w:jc w:val="both"/>
        <w:rPr>
          <w:rFonts w:ascii="Calibri" w:hAnsi="Calibri"/>
          <w:szCs w:val="24"/>
        </w:rPr>
      </w:pPr>
      <w:r w:rsidRPr="00675182">
        <w:rPr>
          <w:rFonts w:ascii="Calibri" w:hAnsi="Calibri"/>
          <w:szCs w:val="24"/>
        </w:rPr>
        <w:t xml:space="preserve">plašās mežu platībās DLZ tiek pieļauta meža izmantošana koksnes ieguvei, kas nereti pasliktina esošo dabas vērtību, tajā skaitā aizsargājamo biotopu un sugu dzīvotņu, kvalitāti (plašāku informāciju skat. </w:t>
      </w:r>
      <w:r w:rsidR="00510729">
        <w:rPr>
          <w:rFonts w:ascii="Calibri" w:hAnsi="Calibri"/>
          <w:szCs w:val="24"/>
        </w:rPr>
        <w:t>p</w:t>
      </w:r>
      <w:r w:rsidR="00510729" w:rsidRPr="00675182">
        <w:rPr>
          <w:rFonts w:ascii="Calibri" w:hAnsi="Calibri"/>
          <w:szCs w:val="24"/>
        </w:rPr>
        <w:t xml:space="preserve">lāna </w:t>
      </w:r>
      <w:r w:rsidRPr="00675182">
        <w:rPr>
          <w:rFonts w:ascii="Calibri" w:hAnsi="Calibri"/>
          <w:szCs w:val="24"/>
        </w:rPr>
        <w:t>2.3. un 2.4 nodaļās) un nenodrošina platību dabas aizsardzības vērtības palielināšanos.</w:t>
      </w:r>
    </w:p>
    <w:p w14:paraId="6A4841B6" w14:textId="77777777" w:rsidR="00697261" w:rsidRPr="00675182" w:rsidRDefault="00697261" w:rsidP="00697261">
      <w:pPr>
        <w:ind w:left="426"/>
        <w:jc w:val="both"/>
        <w:rPr>
          <w:rFonts w:ascii="Calibri" w:hAnsi="Calibri"/>
          <w:szCs w:val="24"/>
          <w:highlight w:val="yellow"/>
        </w:rPr>
      </w:pPr>
    </w:p>
    <w:p w14:paraId="710DC605" w14:textId="3197E831" w:rsidR="00697261" w:rsidRPr="00675182" w:rsidRDefault="00697261" w:rsidP="00697261">
      <w:pPr>
        <w:jc w:val="both"/>
        <w:rPr>
          <w:rFonts w:ascii="Calibri" w:hAnsi="Calibri"/>
          <w:szCs w:val="24"/>
        </w:rPr>
      </w:pPr>
      <w:bookmarkStart w:id="172" w:name="_Hlk107948766"/>
      <w:r w:rsidRPr="00675182">
        <w:rPr>
          <w:rFonts w:ascii="Calibri" w:hAnsi="Calibri"/>
          <w:szCs w:val="24"/>
        </w:rPr>
        <w:t>DA plāna izstrādes ietvaros tika apkopoti un iegūti jauni dati par dabas vērtībām un to ietekmējošiem faktoriem, daudz augstākā detalizācijā. Ir izstrādāts priekšlikums jaunam zonējumam, ņemot vērā GNP esošo zonējumu, tādējādi nodrošinot spēkā esošā zonējuma pēctecību, bet, precizējot to atbilstoši teritorijas aktuālajam novērtējumam, esošajai situācijai un aktuālajiem datiem.</w:t>
      </w:r>
      <w:bookmarkEnd w:id="172"/>
      <w:r w:rsidRPr="00675182">
        <w:rPr>
          <w:rFonts w:ascii="Calibri" w:hAnsi="Calibri"/>
          <w:szCs w:val="24"/>
        </w:rPr>
        <w:t xml:space="preserve"> Rekreācijas un tūrisma potenciāla attīstībai, kā arī dabas, ainavu un kultūrvēsturisko vērtību saglabāšanai, ir ieviesta </w:t>
      </w:r>
      <w:r w:rsidR="00510729">
        <w:rPr>
          <w:rFonts w:ascii="Calibri" w:hAnsi="Calibri"/>
          <w:szCs w:val="24"/>
        </w:rPr>
        <w:t>DPZ</w:t>
      </w:r>
      <w:r w:rsidRPr="00675182">
        <w:rPr>
          <w:rFonts w:ascii="Calibri" w:hAnsi="Calibri"/>
          <w:szCs w:val="24"/>
        </w:rPr>
        <w:t xml:space="preserve">, kas lielā mērā ietver iepriekš kultūrvēsturiskajā zonā aizsargātās platības. </w:t>
      </w:r>
      <w:r w:rsidRPr="00675182">
        <w:rPr>
          <w:rFonts w:ascii="Calibri" w:hAnsi="Calibri"/>
          <w:szCs w:val="24"/>
        </w:rPr>
        <w:lastRenderedPageBreak/>
        <w:t>Zonējums veidots ar mērķi saglabāt teritorijas unikālās un tipiskās dabas, ainaviskās, rekreatīvās un kultūrvēsturiskās vērtības.</w:t>
      </w:r>
      <w:bookmarkEnd w:id="171"/>
      <w:r w:rsidRPr="00675182">
        <w:rPr>
          <w:rFonts w:ascii="Calibri" w:hAnsi="Calibri"/>
          <w:szCs w:val="24"/>
        </w:rPr>
        <w:t xml:space="preserve"> Tomēr tika ņemts vērā tas, ka kultūrvēsturisko objektu aizsardzība un ainavu pārvaldība daudz lielākā mērā saistās ar citiem normatīviem aktiem un plānošanas dokumentiem, respektīvi, tie nav primārie ĪADT juridiskā ietvara objekti, bet attiecīgi kultūrvēsturiskā mantojuma saglabāšanas un telpiskās plānošanas ietvara objekti. </w:t>
      </w:r>
      <w:bookmarkStart w:id="173" w:name="_Hlk110258378"/>
      <w:r w:rsidRPr="00675182">
        <w:rPr>
          <w:rFonts w:ascii="Calibri" w:hAnsi="Calibri"/>
          <w:szCs w:val="24"/>
        </w:rPr>
        <w:t>Izstrādājot zonējuma priekšlikumu, tika ņemta vērā arī teritorijas īpašā nozīme tūrismam un rekreācijai, gan vietējā, gan arī nacionālā mērogā.</w:t>
      </w:r>
      <w:bookmarkEnd w:id="173"/>
      <w:r w:rsidRPr="00675182">
        <w:rPr>
          <w:rFonts w:ascii="Calibri" w:hAnsi="Calibri"/>
          <w:szCs w:val="24"/>
        </w:rPr>
        <w:t xml:space="preserve"> Kā papildus datu kopa teritorijas zonējuma sagatavošanai un izvērtējumam tika izmantots </w:t>
      </w:r>
      <w:r w:rsidR="000775D3">
        <w:rPr>
          <w:rFonts w:ascii="Calibri" w:hAnsi="Calibri"/>
          <w:szCs w:val="24"/>
        </w:rPr>
        <w:t>EP</w:t>
      </w:r>
      <w:r w:rsidRPr="00675182">
        <w:rPr>
          <w:rFonts w:ascii="Calibri" w:hAnsi="Calibri"/>
          <w:szCs w:val="24"/>
        </w:rPr>
        <w:t xml:space="preserve"> novērtējums GNP. Sagatavotais priekšlikums zonējumam tika izvērtēts ņemot vērā teritoriju nozīmību </w:t>
      </w:r>
      <w:r w:rsidR="00510729">
        <w:rPr>
          <w:rFonts w:ascii="Calibri" w:hAnsi="Calibri"/>
          <w:szCs w:val="24"/>
        </w:rPr>
        <w:t>EP</w:t>
      </w:r>
      <w:r w:rsidRPr="00675182">
        <w:rPr>
          <w:rFonts w:ascii="Calibri" w:hAnsi="Calibri"/>
          <w:szCs w:val="24"/>
        </w:rPr>
        <w:t xml:space="preserve"> nodrošinājumam gan kvalitatīvos aspektos, gan arī funkcionāli. Teritorijas ar plašāko </w:t>
      </w:r>
      <w:r w:rsidR="00510729">
        <w:rPr>
          <w:rFonts w:ascii="Calibri" w:hAnsi="Calibri"/>
          <w:szCs w:val="24"/>
        </w:rPr>
        <w:t>EP</w:t>
      </w:r>
      <w:r w:rsidRPr="00675182">
        <w:rPr>
          <w:rFonts w:ascii="Calibri" w:hAnsi="Calibri"/>
          <w:szCs w:val="24"/>
        </w:rPr>
        <w:t xml:space="preserve"> klāstu, kura saglabāšanu pilnvērtīgi iespējams nodrošināt paredzot noteiktu ierobežojumu kopumu, iekļautas zonās, kam noteikti atbilstoši saimnieciskās darbības ierobežojumi. Piemēram, lai nodrošinātu </w:t>
      </w:r>
      <w:r w:rsidR="00510729">
        <w:rPr>
          <w:rFonts w:ascii="Calibri" w:hAnsi="Calibri"/>
          <w:szCs w:val="24"/>
        </w:rPr>
        <w:t>EP</w:t>
      </w:r>
      <w:r w:rsidRPr="00675182">
        <w:rPr>
          <w:rFonts w:ascii="Calibri" w:hAnsi="Calibri"/>
          <w:szCs w:val="24"/>
        </w:rPr>
        <w:t xml:space="preserve"> nodrošinājuma saglabāšanos, mežu platības ar augstu nozīmību rekreācijas, dabisko ainavu un erozijas aizsardzības nodrošināšanai, tika iekļautas GNP zonās, kurās paredzēti meža apsaimniekošanas ierobežojumi. Vienlaikus, teritorijas, kuru </w:t>
      </w:r>
      <w:r w:rsidR="00510729">
        <w:rPr>
          <w:rFonts w:ascii="Calibri" w:hAnsi="Calibri"/>
          <w:szCs w:val="24"/>
        </w:rPr>
        <w:t>EP</w:t>
      </w:r>
      <w:r w:rsidRPr="00675182">
        <w:rPr>
          <w:rFonts w:ascii="Calibri" w:hAnsi="Calibri"/>
          <w:szCs w:val="24"/>
        </w:rPr>
        <w:t xml:space="preserve"> nodrošinājuma nozīmība primāri tika identificēta vienā konkrētā pakalpojumu blokā, piemēram, apgādes pakalpojumi - lauksaimnieciskās produkcijas, pārtikas ražošana vai kultūras pakalpojumi - raksturīgo kultūrvēsturisko ainavu nodrošināšana, tika iekļautas zonā, kas nodrošina iespējas šo teritoriju pilnvērtīgai apsaimniekošanai. Kopumā funkcionālo zonu definēšanai tika izmantota integrēta pieeja.</w:t>
      </w:r>
    </w:p>
    <w:p w14:paraId="3872A507" w14:textId="77777777" w:rsidR="00697261" w:rsidRPr="00675182" w:rsidRDefault="00697261" w:rsidP="00697261">
      <w:pPr>
        <w:jc w:val="both"/>
        <w:rPr>
          <w:rFonts w:ascii="Calibri" w:hAnsi="Calibri"/>
          <w:szCs w:val="24"/>
        </w:rPr>
      </w:pPr>
    </w:p>
    <w:p w14:paraId="2131D716" w14:textId="2BB3706D" w:rsidR="00697261" w:rsidRPr="00675182" w:rsidRDefault="00697261" w:rsidP="00697261">
      <w:pPr>
        <w:jc w:val="both"/>
        <w:rPr>
          <w:rFonts w:ascii="Calibri" w:hAnsi="Calibri"/>
          <w:b/>
          <w:bCs/>
          <w:i/>
          <w:iCs/>
          <w:szCs w:val="24"/>
        </w:rPr>
      </w:pPr>
      <w:r w:rsidRPr="00675182">
        <w:rPr>
          <w:rFonts w:ascii="Calibri" w:hAnsi="Calibri"/>
          <w:b/>
          <w:bCs/>
          <w:i/>
          <w:iCs/>
          <w:szCs w:val="24"/>
        </w:rPr>
        <w:t xml:space="preserve">GNP </w:t>
      </w:r>
      <w:r w:rsidR="009C1471">
        <w:rPr>
          <w:rFonts w:ascii="Calibri" w:hAnsi="Calibri"/>
          <w:b/>
          <w:bCs/>
          <w:i/>
          <w:iCs/>
          <w:szCs w:val="24"/>
        </w:rPr>
        <w:t>p</w:t>
      </w:r>
      <w:r w:rsidR="009C1471" w:rsidRPr="00675182">
        <w:rPr>
          <w:rFonts w:ascii="Calibri" w:hAnsi="Calibri"/>
          <w:b/>
          <w:bCs/>
          <w:i/>
          <w:iCs/>
          <w:szCs w:val="24"/>
        </w:rPr>
        <w:t xml:space="preserve">riekšlikums </w:t>
      </w:r>
      <w:r w:rsidRPr="00675182">
        <w:rPr>
          <w:rFonts w:ascii="Calibri" w:hAnsi="Calibri"/>
          <w:b/>
          <w:bCs/>
          <w:i/>
          <w:iCs/>
          <w:szCs w:val="24"/>
        </w:rPr>
        <w:t>teritorijas zonējumam</w:t>
      </w:r>
    </w:p>
    <w:p w14:paraId="10151CCB" w14:textId="77777777" w:rsidR="00697261" w:rsidRPr="00675182" w:rsidRDefault="00697261" w:rsidP="00697261">
      <w:pPr>
        <w:jc w:val="both"/>
        <w:rPr>
          <w:rFonts w:ascii="Calibri" w:hAnsi="Calibri"/>
          <w:szCs w:val="24"/>
        </w:rPr>
      </w:pPr>
      <w:r w:rsidRPr="00675182">
        <w:rPr>
          <w:rFonts w:ascii="Calibri" w:hAnsi="Calibri"/>
          <w:szCs w:val="24"/>
        </w:rPr>
        <w:t>GNP tiek piedāvāts izdalīt šādas funkcionālās zonas:</w:t>
      </w:r>
    </w:p>
    <w:p w14:paraId="14FE5B42" w14:textId="77777777" w:rsidR="00697261" w:rsidRPr="00675182" w:rsidRDefault="00697261" w:rsidP="00A84218">
      <w:pPr>
        <w:numPr>
          <w:ilvl w:val="0"/>
          <w:numId w:val="48"/>
        </w:numPr>
        <w:ind w:left="567" w:hanging="567"/>
        <w:contextualSpacing/>
        <w:jc w:val="both"/>
        <w:rPr>
          <w:rFonts w:ascii="Calibri" w:hAnsi="Calibri"/>
          <w:szCs w:val="24"/>
        </w:rPr>
      </w:pPr>
      <w:r w:rsidRPr="00675182">
        <w:rPr>
          <w:rFonts w:ascii="Calibri" w:hAnsi="Calibri"/>
          <w:szCs w:val="24"/>
        </w:rPr>
        <w:t>Stingrā režīma zona (SRZ);</w:t>
      </w:r>
    </w:p>
    <w:p w14:paraId="7CFFBFB3" w14:textId="77777777" w:rsidR="00697261" w:rsidRPr="00675182" w:rsidRDefault="00697261" w:rsidP="00A84218">
      <w:pPr>
        <w:numPr>
          <w:ilvl w:val="0"/>
          <w:numId w:val="48"/>
        </w:numPr>
        <w:ind w:left="567" w:hanging="567"/>
        <w:contextualSpacing/>
        <w:jc w:val="both"/>
        <w:rPr>
          <w:rFonts w:ascii="Calibri" w:hAnsi="Calibri"/>
          <w:szCs w:val="24"/>
        </w:rPr>
      </w:pPr>
      <w:r w:rsidRPr="00675182">
        <w:rPr>
          <w:rFonts w:ascii="Calibri" w:hAnsi="Calibri"/>
          <w:szCs w:val="24"/>
        </w:rPr>
        <w:t>Dabas lieguma zona (DLZ);</w:t>
      </w:r>
    </w:p>
    <w:p w14:paraId="7A6A363A" w14:textId="77777777" w:rsidR="00697261" w:rsidRPr="00675182" w:rsidRDefault="00697261" w:rsidP="00A84218">
      <w:pPr>
        <w:numPr>
          <w:ilvl w:val="0"/>
          <w:numId w:val="48"/>
        </w:numPr>
        <w:ind w:left="567" w:hanging="567"/>
        <w:contextualSpacing/>
        <w:jc w:val="both"/>
        <w:rPr>
          <w:rFonts w:ascii="Calibri" w:hAnsi="Calibri"/>
          <w:szCs w:val="24"/>
        </w:rPr>
      </w:pPr>
      <w:r w:rsidRPr="00675182">
        <w:rPr>
          <w:rFonts w:ascii="Calibri" w:hAnsi="Calibri"/>
          <w:szCs w:val="24"/>
        </w:rPr>
        <w:t>Dabas parka zona (DPZ);</w:t>
      </w:r>
    </w:p>
    <w:p w14:paraId="57AF472E" w14:textId="77777777" w:rsidR="00697261" w:rsidRPr="00675182" w:rsidRDefault="00697261" w:rsidP="00A84218">
      <w:pPr>
        <w:numPr>
          <w:ilvl w:val="0"/>
          <w:numId w:val="48"/>
        </w:numPr>
        <w:ind w:left="567" w:hanging="567"/>
        <w:contextualSpacing/>
        <w:jc w:val="both"/>
        <w:rPr>
          <w:rFonts w:ascii="Calibri" w:hAnsi="Calibri"/>
          <w:szCs w:val="24"/>
        </w:rPr>
      </w:pPr>
      <w:r w:rsidRPr="00675182">
        <w:rPr>
          <w:rFonts w:ascii="Calibri" w:hAnsi="Calibri"/>
          <w:szCs w:val="24"/>
        </w:rPr>
        <w:t>Ainavu aizsardzības zona (AAZ);</w:t>
      </w:r>
    </w:p>
    <w:p w14:paraId="7A4A9024" w14:textId="77777777" w:rsidR="00697261" w:rsidRPr="00675182" w:rsidRDefault="00697261" w:rsidP="00A84218">
      <w:pPr>
        <w:numPr>
          <w:ilvl w:val="0"/>
          <w:numId w:val="48"/>
        </w:numPr>
        <w:ind w:left="567" w:hanging="567"/>
        <w:contextualSpacing/>
        <w:jc w:val="both"/>
        <w:rPr>
          <w:rFonts w:ascii="Calibri" w:hAnsi="Calibri"/>
          <w:szCs w:val="24"/>
        </w:rPr>
      </w:pPr>
      <w:r w:rsidRPr="00675182">
        <w:rPr>
          <w:rFonts w:ascii="Calibri" w:hAnsi="Calibri"/>
          <w:szCs w:val="24"/>
        </w:rPr>
        <w:t>Neitrālā zona (NZ).</w:t>
      </w:r>
    </w:p>
    <w:p w14:paraId="1988AC84" w14:textId="77777777" w:rsidR="00697261" w:rsidRPr="00675182" w:rsidRDefault="00697261" w:rsidP="00697261">
      <w:pPr>
        <w:jc w:val="both"/>
        <w:rPr>
          <w:rFonts w:ascii="Calibri" w:hAnsi="Calibri"/>
          <w:b/>
          <w:bCs/>
          <w:i/>
          <w:iCs/>
          <w:szCs w:val="24"/>
          <w:highlight w:val="yellow"/>
        </w:rPr>
      </w:pPr>
    </w:p>
    <w:p w14:paraId="2B4F0C1C" w14:textId="77777777" w:rsidR="00697261" w:rsidRPr="00675182" w:rsidRDefault="00697261" w:rsidP="00697261">
      <w:pPr>
        <w:jc w:val="both"/>
        <w:rPr>
          <w:rFonts w:ascii="Calibri" w:hAnsi="Calibri"/>
          <w:szCs w:val="24"/>
        </w:rPr>
      </w:pPr>
      <w:r w:rsidRPr="00675182">
        <w:rPr>
          <w:rFonts w:ascii="Calibri" w:hAnsi="Calibri"/>
          <w:b/>
          <w:bCs/>
          <w:i/>
          <w:iCs/>
          <w:szCs w:val="24"/>
        </w:rPr>
        <w:t xml:space="preserve">Stingrās režīma zonas mērķis ir: </w:t>
      </w:r>
    </w:p>
    <w:p w14:paraId="129064F1" w14:textId="20144217" w:rsidR="00697261" w:rsidRPr="00675182" w:rsidRDefault="009C1471" w:rsidP="00A84218">
      <w:pPr>
        <w:numPr>
          <w:ilvl w:val="0"/>
          <w:numId w:val="53"/>
        </w:numPr>
        <w:ind w:left="426" w:hanging="426"/>
        <w:contextualSpacing/>
        <w:jc w:val="both"/>
        <w:rPr>
          <w:rFonts w:ascii="Calibri" w:hAnsi="Calibri"/>
          <w:szCs w:val="24"/>
        </w:rPr>
      </w:pPr>
      <w:r>
        <w:rPr>
          <w:rFonts w:ascii="Calibri" w:hAnsi="Calibri"/>
          <w:szCs w:val="24"/>
        </w:rPr>
        <w:t>n</w:t>
      </w:r>
      <w:r w:rsidRPr="00675182">
        <w:rPr>
          <w:rFonts w:ascii="Calibri" w:hAnsi="Calibri"/>
          <w:szCs w:val="24"/>
        </w:rPr>
        <w:t xml:space="preserve">odrošināt </w:t>
      </w:r>
      <w:r w:rsidR="00697261" w:rsidRPr="00675182">
        <w:rPr>
          <w:rFonts w:ascii="Calibri" w:hAnsi="Calibri"/>
          <w:szCs w:val="24"/>
        </w:rPr>
        <w:t xml:space="preserve">un aizsargāt pret traucējumiem jutīgās </w:t>
      </w:r>
      <w:r w:rsidR="00DE651F">
        <w:rPr>
          <w:rFonts w:ascii="Calibri" w:hAnsi="Calibri"/>
          <w:szCs w:val="24"/>
        </w:rPr>
        <w:t>ĪA</w:t>
      </w:r>
      <w:r w:rsidR="00697261" w:rsidRPr="00675182">
        <w:rPr>
          <w:rFonts w:ascii="Calibri" w:hAnsi="Calibri"/>
          <w:szCs w:val="24"/>
        </w:rPr>
        <w:t xml:space="preserve"> sugas un to dzīvotnes;</w:t>
      </w:r>
    </w:p>
    <w:p w14:paraId="487D3210" w14:textId="443832DD" w:rsidR="00697261" w:rsidRPr="00675182" w:rsidRDefault="009C1471" w:rsidP="00A84218">
      <w:pPr>
        <w:numPr>
          <w:ilvl w:val="0"/>
          <w:numId w:val="53"/>
        </w:numPr>
        <w:ind w:left="426" w:hanging="426"/>
        <w:contextualSpacing/>
        <w:jc w:val="both"/>
        <w:rPr>
          <w:rFonts w:ascii="Calibri" w:hAnsi="Calibri"/>
          <w:szCs w:val="24"/>
        </w:rPr>
      </w:pPr>
      <w:r>
        <w:rPr>
          <w:rFonts w:ascii="Calibri" w:hAnsi="Calibri"/>
          <w:szCs w:val="24"/>
        </w:rPr>
        <w:t>s</w:t>
      </w:r>
      <w:r w:rsidRPr="00675182">
        <w:rPr>
          <w:rFonts w:ascii="Calibri" w:hAnsi="Calibri"/>
          <w:szCs w:val="24"/>
        </w:rPr>
        <w:t xml:space="preserve">aglabāt </w:t>
      </w:r>
      <w:r w:rsidR="00697261" w:rsidRPr="00675182">
        <w:rPr>
          <w:rFonts w:ascii="Calibri" w:hAnsi="Calibri"/>
          <w:szCs w:val="24"/>
        </w:rPr>
        <w:t>cilvēku darbības neskartas un maz pārveidotas teritorijas, kurās tiek nodrošināta netraucēta dabisko procesu attīstība.</w:t>
      </w:r>
    </w:p>
    <w:p w14:paraId="05F678B7" w14:textId="77777777" w:rsidR="00697261" w:rsidRPr="00675182" w:rsidRDefault="00697261" w:rsidP="00697261">
      <w:pPr>
        <w:ind w:left="426"/>
        <w:jc w:val="both"/>
        <w:rPr>
          <w:rFonts w:ascii="Calibri" w:hAnsi="Calibri"/>
          <w:szCs w:val="24"/>
          <w:highlight w:val="yellow"/>
        </w:rPr>
      </w:pPr>
    </w:p>
    <w:p w14:paraId="5B81C358" w14:textId="77777777" w:rsidR="00697261" w:rsidRPr="00675182" w:rsidRDefault="00697261" w:rsidP="00697261">
      <w:pPr>
        <w:jc w:val="both"/>
        <w:rPr>
          <w:rFonts w:ascii="Calibri" w:hAnsi="Calibri"/>
          <w:szCs w:val="24"/>
        </w:rPr>
      </w:pPr>
      <w:r w:rsidRPr="00675182">
        <w:rPr>
          <w:rFonts w:ascii="Calibri" w:hAnsi="Calibri"/>
          <w:szCs w:val="24"/>
        </w:rPr>
        <w:t xml:space="preserve">SRZ ietver teritorijas ar augstu bioloģiskās daudzveidības saglabāšanas nozīmību, teritorijas, kuras maz ietekmējusi cilvēka saimnieciskā darbība un kas veido unikālus ekoloģiskos kompleksus, kuru vērtības saglabāšanas nodrošināšanai ir nepieciešams nodrošināt netraucētu dabisko procesu attīstību. </w:t>
      </w:r>
    </w:p>
    <w:p w14:paraId="1C2FF005" w14:textId="77777777" w:rsidR="00697261" w:rsidRPr="00675182" w:rsidRDefault="00697261" w:rsidP="00697261">
      <w:pPr>
        <w:jc w:val="both"/>
        <w:rPr>
          <w:rFonts w:ascii="Calibri" w:hAnsi="Calibri"/>
          <w:szCs w:val="24"/>
          <w:highlight w:val="yellow"/>
        </w:rPr>
      </w:pPr>
    </w:p>
    <w:p w14:paraId="7617BC9D" w14:textId="77777777" w:rsidR="00697261" w:rsidRPr="00675182" w:rsidRDefault="00697261" w:rsidP="00697261">
      <w:pPr>
        <w:jc w:val="both"/>
        <w:rPr>
          <w:rFonts w:ascii="Calibri" w:hAnsi="Calibri"/>
          <w:szCs w:val="24"/>
        </w:rPr>
      </w:pPr>
      <w:r w:rsidRPr="00675182">
        <w:rPr>
          <w:rFonts w:ascii="Calibri" w:hAnsi="Calibri"/>
          <w:szCs w:val="24"/>
        </w:rPr>
        <w:t>SRZ teritorijās pieļaujama ekoloģisko procesu zinātniskā izpēte un monitorings, kā arī ierobežoti aizsargājamo sugu un biotopu aizsardzības un apsaimniekošanas pasākumi atbilstoši speciāli sagatavotiem pasākumu plāniem.</w:t>
      </w:r>
    </w:p>
    <w:p w14:paraId="07ABDA36" w14:textId="6002EBAC" w:rsidR="00697261" w:rsidRPr="00675182" w:rsidRDefault="00697261" w:rsidP="00697261">
      <w:pPr>
        <w:ind w:left="426" w:hanging="426"/>
        <w:jc w:val="both"/>
        <w:rPr>
          <w:rFonts w:ascii="Calibri" w:hAnsi="Calibri"/>
          <w:szCs w:val="24"/>
          <w:highlight w:val="yellow"/>
        </w:rPr>
      </w:pPr>
    </w:p>
    <w:p w14:paraId="66DEF0CD" w14:textId="77777777" w:rsidR="00697261" w:rsidRPr="00675182" w:rsidRDefault="00697261" w:rsidP="00697261">
      <w:pPr>
        <w:jc w:val="both"/>
        <w:rPr>
          <w:rFonts w:ascii="Calibri" w:hAnsi="Calibri"/>
          <w:szCs w:val="24"/>
        </w:rPr>
      </w:pPr>
      <w:r w:rsidRPr="00675182">
        <w:rPr>
          <w:rFonts w:ascii="Calibri" w:hAnsi="Calibri"/>
          <w:b/>
          <w:bCs/>
          <w:i/>
          <w:iCs/>
          <w:szCs w:val="24"/>
        </w:rPr>
        <w:t xml:space="preserve">Dabas lieguma zonas </w:t>
      </w:r>
      <w:r w:rsidRPr="00675182">
        <w:rPr>
          <w:rFonts w:ascii="Calibri" w:hAnsi="Calibri"/>
          <w:szCs w:val="24"/>
        </w:rPr>
        <w:t>mērķis ir:</w:t>
      </w:r>
    </w:p>
    <w:p w14:paraId="11C8E89A" w14:textId="77777777" w:rsidR="00697261" w:rsidRPr="00675182" w:rsidRDefault="00697261" w:rsidP="00A84218">
      <w:pPr>
        <w:numPr>
          <w:ilvl w:val="0"/>
          <w:numId w:val="54"/>
        </w:numPr>
        <w:jc w:val="both"/>
        <w:rPr>
          <w:rFonts w:ascii="Calibri" w:hAnsi="Calibri"/>
          <w:szCs w:val="24"/>
        </w:rPr>
      </w:pPr>
      <w:r w:rsidRPr="00675182">
        <w:rPr>
          <w:rFonts w:ascii="Calibri" w:hAnsi="Calibri"/>
          <w:szCs w:val="24"/>
        </w:rPr>
        <w:lastRenderedPageBreak/>
        <w:t xml:space="preserve">saglabāt Gaujas senielejai ar tās sāngravām un Gaujas pieteku ielejām raksturīgo ģeoloģisko formu noteikto </w:t>
      </w:r>
      <w:r w:rsidRPr="00675182">
        <w:rPr>
          <w:rFonts w:ascii="Calibri" w:hAnsi="Calibri"/>
          <w:szCs w:val="24"/>
          <w:u w:val="single"/>
        </w:rPr>
        <w:t>dabisko ainavu</w:t>
      </w:r>
      <w:r w:rsidRPr="00675182">
        <w:rPr>
          <w:rFonts w:ascii="Calibri" w:hAnsi="Calibri"/>
          <w:szCs w:val="24"/>
        </w:rPr>
        <w:t>;</w:t>
      </w:r>
    </w:p>
    <w:p w14:paraId="639026A6" w14:textId="77777777" w:rsidR="00697261" w:rsidRPr="00675182" w:rsidRDefault="00697261" w:rsidP="00A84218">
      <w:pPr>
        <w:numPr>
          <w:ilvl w:val="0"/>
          <w:numId w:val="54"/>
        </w:numPr>
        <w:jc w:val="both"/>
        <w:rPr>
          <w:rFonts w:ascii="Calibri" w:hAnsi="Calibri"/>
          <w:szCs w:val="24"/>
        </w:rPr>
      </w:pPr>
      <w:r w:rsidRPr="00675182">
        <w:rPr>
          <w:rFonts w:ascii="Calibri" w:hAnsi="Calibri"/>
          <w:szCs w:val="24"/>
        </w:rPr>
        <w:t>saglabāt mazpārveidotas dabas un cilvēku darbības ietekmētas ekosistēmu mozaīkas struktūras un nodrošināt dabas resursus ilgtspējīgam dabas tūrismam un rekreācijai;</w:t>
      </w:r>
    </w:p>
    <w:p w14:paraId="2C278BD1" w14:textId="3B041F34" w:rsidR="00697261" w:rsidRPr="00675182" w:rsidRDefault="00697261" w:rsidP="00A84218">
      <w:pPr>
        <w:numPr>
          <w:ilvl w:val="0"/>
          <w:numId w:val="55"/>
        </w:numPr>
        <w:jc w:val="both"/>
        <w:rPr>
          <w:rFonts w:ascii="Calibri" w:hAnsi="Calibri"/>
          <w:szCs w:val="24"/>
        </w:rPr>
      </w:pPr>
      <w:r w:rsidRPr="00675182">
        <w:rPr>
          <w:rFonts w:ascii="Calibri" w:hAnsi="Calibri"/>
          <w:szCs w:val="24"/>
        </w:rPr>
        <w:t xml:space="preserve">nodrošināt </w:t>
      </w:r>
      <w:r w:rsidR="009C1471">
        <w:rPr>
          <w:rFonts w:ascii="Calibri" w:hAnsi="Calibri"/>
          <w:szCs w:val="24"/>
        </w:rPr>
        <w:t>ĪA</w:t>
      </w:r>
      <w:r w:rsidRPr="00675182">
        <w:rPr>
          <w:rFonts w:ascii="Calibri" w:hAnsi="Calibri"/>
          <w:szCs w:val="24"/>
        </w:rPr>
        <w:t xml:space="preserve"> biotopu un sugu dzīvotņu aizsardzību un šādām platībām raksturīgo ekoloģisko procesu norisi;</w:t>
      </w:r>
    </w:p>
    <w:p w14:paraId="042B9EC8" w14:textId="77777777" w:rsidR="00697261" w:rsidRPr="00675182" w:rsidRDefault="00697261" w:rsidP="00A84218">
      <w:pPr>
        <w:numPr>
          <w:ilvl w:val="0"/>
          <w:numId w:val="55"/>
        </w:numPr>
        <w:jc w:val="both"/>
        <w:rPr>
          <w:rFonts w:ascii="Calibri" w:hAnsi="Calibri"/>
          <w:szCs w:val="24"/>
        </w:rPr>
      </w:pPr>
      <w:r w:rsidRPr="00675182">
        <w:rPr>
          <w:rFonts w:ascii="Calibri" w:hAnsi="Calibri"/>
          <w:szCs w:val="24"/>
        </w:rPr>
        <w:t>saglabāt šajā teritorijā koncentrētos valsts un vietējās nozīmes ģeoloģiskos un ģeomorfoloģiskos dabas pieminekļus un citus dabas pieminekļus.</w:t>
      </w:r>
    </w:p>
    <w:p w14:paraId="18770792" w14:textId="77777777" w:rsidR="00697261" w:rsidRPr="00675182" w:rsidRDefault="00697261" w:rsidP="00697261">
      <w:pPr>
        <w:ind w:left="720"/>
        <w:jc w:val="both"/>
        <w:rPr>
          <w:rFonts w:ascii="Calibri" w:hAnsi="Calibri"/>
          <w:szCs w:val="24"/>
        </w:rPr>
      </w:pPr>
    </w:p>
    <w:p w14:paraId="296A2643" w14:textId="282DDC58" w:rsidR="00697261" w:rsidRPr="00675182" w:rsidRDefault="00697261" w:rsidP="00697261">
      <w:pPr>
        <w:jc w:val="both"/>
        <w:rPr>
          <w:rFonts w:ascii="Calibri" w:hAnsi="Calibri"/>
          <w:szCs w:val="24"/>
        </w:rPr>
      </w:pPr>
      <w:r w:rsidRPr="00675182">
        <w:rPr>
          <w:rFonts w:ascii="Calibri" w:hAnsi="Calibri"/>
          <w:szCs w:val="24"/>
        </w:rPr>
        <w:t xml:space="preserve">DLZ ir piedāvāts iekļaut teritorijas ar augstu dabas vērtību blīvumu. Šajā funkcionālajā zonā ir iekļautas bioloģiskai daudzveidībai nozīmīgu vērtību koncentrēšanās vietas, piemēram, </w:t>
      </w:r>
      <w:r w:rsidR="009C1471">
        <w:rPr>
          <w:rFonts w:ascii="Calibri" w:hAnsi="Calibri"/>
          <w:szCs w:val="24"/>
        </w:rPr>
        <w:t>ĪA</w:t>
      </w:r>
      <w:r w:rsidRPr="00675182">
        <w:rPr>
          <w:rFonts w:ascii="Calibri" w:hAnsi="Calibri"/>
          <w:szCs w:val="24"/>
        </w:rPr>
        <w:t xml:space="preserve"> biotopu, aizsargājamu un retu sugu dzīvotņu, ģeoloģisko objektu un struktūru kompleksi. Tāpat DLZ ir iekļauti ekoloģiski saistīti mežu masīvi, kas nodrošina mežu un citu ekosistēmu mijiedarbības ekoloģisku procesu kopumu, un ar meža ekosistēmām saistītu sugu un to populāciju ilglaicīgai saglabāšanai labvēlīgus apstākļus.</w:t>
      </w:r>
    </w:p>
    <w:p w14:paraId="684A90FC" w14:textId="77777777" w:rsidR="00697261" w:rsidRPr="00675182" w:rsidRDefault="00697261" w:rsidP="00697261">
      <w:pPr>
        <w:jc w:val="both"/>
        <w:rPr>
          <w:rFonts w:ascii="Calibri" w:hAnsi="Calibri"/>
          <w:szCs w:val="24"/>
        </w:rPr>
      </w:pPr>
    </w:p>
    <w:p w14:paraId="0FA8F9AD" w14:textId="77777777" w:rsidR="00697261" w:rsidRPr="00675182" w:rsidRDefault="00697261" w:rsidP="00697261">
      <w:pPr>
        <w:jc w:val="both"/>
        <w:rPr>
          <w:rFonts w:ascii="Calibri" w:hAnsi="Calibri"/>
          <w:szCs w:val="24"/>
        </w:rPr>
      </w:pPr>
      <w:r w:rsidRPr="00675182">
        <w:rPr>
          <w:rFonts w:ascii="Calibri" w:hAnsi="Calibri"/>
          <w:szCs w:val="24"/>
        </w:rPr>
        <w:t xml:space="preserve">DLZ pamatu veido mežu masīvu platības un to iekļautās teritorijas Gaujas senielejā un Gaujas pieteku ielejās, kā arī meža masīvi un purvu kompleksi, kas piekļaujas Gaujas senielejas kompleksam. </w:t>
      </w:r>
    </w:p>
    <w:p w14:paraId="607F2B6D" w14:textId="77777777" w:rsidR="00697261" w:rsidRPr="00675182" w:rsidRDefault="00697261" w:rsidP="00697261">
      <w:pPr>
        <w:jc w:val="both"/>
        <w:rPr>
          <w:rFonts w:ascii="Calibri" w:hAnsi="Calibri"/>
          <w:szCs w:val="24"/>
        </w:rPr>
      </w:pPr>
    </w:p>
    <w:p w14:paraId="09B1DCAD" w14:textId="026AD644" w:rsidR="00697261" w:rsidRPr="00675182" w:rsidRDefault="00697261" w:rsidP="00697261">
      <w:pPr>
        <w:jc w:val="both"/>
        <w:rPr>
          <w:rFonts w:ascii="Calibri" w:hAnsi="Calibri"/>
          <w:szCs w:val="24"/>
        </w:rPr>
      </w:pPr>
      <w:r w:rsidRPr="00675182">
        <w:rPr>
          <w:rFonts w:ascii="Calibri" w:hAnsi="Calibri"/>
          <w:szCs w:val="24"/>
        </w:rPr>
        <w:t xml:space="preserve">Tāpat DLZ zonā ir piedāvāts iekļaut no Gaujas senielejas kompleksa telpiski nodalītus mežu masīvus un purvu kompleksus, ar tiem piegulošajām teritorijām. Šādu teritoriju aizsardzība ir nozīmīga tādu platību saglabāšanai, kur konstatētas </w:t>
      </w:r>
      <w:r w:rsidR="0056511F">
        <w:rPr>
          <w:rFonts w:ascii="Calibri" w:hAnsi="Calibri"/>
          <w:szCs w:val="24"/>
        </w:rPr>
        <w:t>ĪA</w:t>
      </w:r>
      <w:r w:rsidRPr="00675182">
        <w:rPr>
          <w:rFonts w:ascii="Calibri" w:hAnsi="Calibri"/>
          <w:szCs w:val="24"/>
        </w:rPr>
        <w:t xml:space="preserve"> biotopu platības vai aizsargājamo sugu dzīvotnes, piemēram, pūčveidīgajiem un dzeņveidīgajiem putniem prioritārās teritorijas, kas identificētas attiecīgo sugu aizsardzības plānos. </w:t>
      </w:r>
    </w:p>
    <w:p w14:paraId="076B97CB" w14:textId="77777777" w:rsidR="00697261" w:rsidRPr="00675182" w:rsidRDefault="00697261" w:rsidP="00697261">
      <w:pPr>
        <w:jc w:val="both"/>
        <w:rPr>
          <w:rFonts w:ascii="Calibri" w:hAnsi="Calibri"/>
          <w:szCs w:val="24"/>
        </w:rPr>
      </w:pPr>
    </w:p>
    <w:p w14:paraId="45AAEA0A" w14:textId="49EE3B6F" w:rsidR="00697261" w:rsidRPr="00675182" w:rsidRDefault="00697261" w:rsidP="00697261">
      <w:pPr>
        <w:jc w:val="both"/>
        <w:rPr>
          <w:rFonts w:ascii="Calibri" w:hAnsi="Calibri"/>
          <w:szCs w:val="24"/>
          <w:highlight w:val="yellow"/>
        </w:rPr>
      </w:pPr>
      <w:r w:rsidRPr="00675182">
        <w:rPr>
          <w:rFonts w:ascii="Calibri" w:hAnsi="Calibri"/>
          <w:szCs w:val="24"/>
        </w:rPr>
        <w:t xml:space="preserve">DLZ ir piedāvāts iekļaut arī tās mežaudžu platības, kas šobrīd neatbilst </w:t>
      </w:r>
      <w:r w:rsidR="0056511F">
        <w:rPr>
          <w:rFonts w:ascii="Calibri" w:hAnsi="Calibri"/>
          <w:szCs w:val="24"/>
        </w:rPr>
        <w:t>ĪA</w:t>
      </w:r>
      <w:r w:rsidRPr="00675182">
        <w:rPr>
          <w:rFonts w:ascii="Calibri" w:hAnsi="Calibri"/>
          <w:szCs w:val="24"/>
        </w:rPr>
        <w:t xml:space="preserve"> biotopu izdalīšanas nosacījumiem, bet  kalpo kā īpaši vērtīgo mežaudžu, avotu un avoksnāju vai iežu atsegumu biotopu aizsardzības buferzonas. Šo platību iekļaušana DLZ nodrošina to, ka tiek samazināta bioloģiskai daudzveidībai nozīmīgo platību fragmentācija. Teritoriju fragmentācijas ietekme ir konstatēta kā viens no aizsargājamo sugu populācijas un biotopus negatīvi ietekmējošiem faktoriem, kas tika identificēts </w:t>
      </w:r>
      <w:r w:rsidR="0056511F">
        <w:rPr>
          <w:rFonts w:ascii="Calibri" w:hAnsi="Calibri"/>
          <w:szCs w:val="24"/>
        </w:rPr>
        <w:t>DA</w:t>
      </w:r>
      <w:r w:rsidRPr="00675182">
        <w:rPr>
          <w:rFonts w:ascii="Calibri" w:hAnsi="Calibri"/>
          <w:szCs w:val="24"/>
        </w:rPr>
        <w:t xml:space="preserve"> plāna izstrādes laikā un plašāk skaidrots nodaļās par aizsargājamo sugu un biotopu saglabāšanu ietekmējošiem faktoriem (skat. informāciju 2.3. nodaļā).</w:t>
      </w:r>
    </w:p>
    <w:p w14:paraId="48E14A50" w14:textId="77777777" w:rsidR="00697261" w:rsidRPr="00675182" w:rsidRDefault="00697261" w:rsidP="00697261">
      <w:pPr>
        <w:jc w:val="both"/>
        <w:rPr>
          <w:rFonts w:ascii="Calibri" w:hAnsi="Calibri"/>
          <w:szCs w:val="24"/>
          <w:highlight w:val="yellow"/>
        </w:rPr>
      </w:pPr>
    </w:p>
    <w:p w14:paraId="05ECC040" w14:textId="77777777" w:rsidR="00697261" w:rsidRPr="00675182" w:rsidRDefault="00697261" w:rsidP="00697261">
      <w:pPr>
        <w:jc w:val="both"/>
        <w:rPr>
          <w:rFonts w:ascii="Calibri" w:hAnsi="Calibri"/>
          <w:szCs w:val="24"/>
        </w:rPr>
      </w:pPr>
      <w:r w:rsidRPr="00675182">
        <w:rPr>
          <w:rFonts w:ascii="Calibri" w:hAnsi="Calibri"/>
          <w:szCs w:val="24"/>
        </w:rPr>
        <w:t xml:space="preserve">Tāpat DLZ iekļautas tādas platības, kurām nepieciešams paredzēt saimnieciskās darbības ierobežojumus citu vides vai ekoloģisku apsvērumu dēļ. Piemēram, ja tas nepieciešams, lai samazinātu augsnes erozijas riskus, palu un plūdu negatīvās ietekmes uz saimnieciski izmantotām platībām, vienlaikus nodrošinot nozīmīgo ekoloģisko procesu ietekmes saglabāšanos, piemēram, palu procesus Gaujas ielejas palieņu mežu platībās. Saimnieciskās darbības ierobežojumi ir nepieciešami arī, lai nodrošinātu ekoloģiski īpaši vērtīgu mežaudžu teritoriju, kā, piemēram, īpaši vecu mežaudžu, platlapju dominētu mežaudžu un GNP reti sastopamu meža ekosistēmu, aizsardzību. </w:t>
      </w:r>
    </w:p>
    <w:p w14:paraId="6697FAEA" w14:textId="77777777" w:rsidR="00697261" w:rsidRPr="00675182" w:rsidRDefault="00697261" w:rsidP="00697261">
      <w:pPr>
        <w:jc w:val="both"/>
        <w:rPr>
          <w:rFonts w:ascii="Calibri" w:hAnsi="Calibri"/>
          <w:szCs w:val="24"/>
        </w:rPr>
      </w:pPr>
    </w:p>
    <w:p w14:paraId="6F81CE87" w14:textId="77777777" w:rsidR="00697261" w:rsidRPr="00675182" w:rsidRDefault="00697261" w:rsidP="00697261">
      <w:pPr>
        <w:jc w:val="both"/>
        <w:rPr>
          <w:rFonts w:ascii="Calibri" w:hAnsi="Calibri"/>
          <w:szCs w:val="24"/>
        </w:rPr>
      </w:pPr>
      <w:r w:rsidRPr="00675182">
        <w:rPr>
          <w:rFonts w:ascii="Calibri" w:hAnsi="Calibri"/>
          <w:b/>
          <w:bCs/>
          <w:i/>
          <w:iCs/>
          <w:szCs w:val="24"/>
        </w:rPr>
        <w:lastRenderedPageBreak/>
        <w:t xml:space="preserve">Dabas parka zona </w:t>
      </w:r>
      <w:r w:rsidRPr="00675182">
        <w:rPr>
          <w:rFonts w:ascii="Calibri" w:hAnsi="Calibri"/>
          <w:szCs w:val="24"/>
        </w:rPr>
        <w:t xml:space="preserve">ir izveidota, lai nodrošinātu ilgtspējīgu izziņas, tūrisma un rekreācijas attīstību, kā arī un kultūrvēsturiskā mantojuma saglabāšanu, vienlaikus aizsargājot ainaviski nozīmīgas teritorijas un GNP sastopamo dabas vērtību ekoloģisko integritāti. </w:t>
      </w:r>
    </w:p>
    <w:p w14:paraId="61DD03FB" w14:textId="77777777" w:rsidR="00697261" w:rsidRPr="00675182" w:rsidRDefault="00697261" w:rsidP="00697261">
      <w:pPr>
        <w:jc w:val="both"/>
        <w:rPr>
          <w:rFonts w:ascii="Calibri" w:hAnsi="Calibri"/>
          <w:szCs w:val="24"/>
        </w:rPr>
      </w:pPr>
    </w:p>
    <w:p w14:paraId="76EEA699" w14:textId="77777777" w:rsidR="00697261" w:rsidRPr="00675182" w:rsidRDefault="00697261" w:rsidP="00697261">
      <w:pPr>
        <w:jc w:val="both"/>
        <w:rPr>
          <w:rFonts w:ascii="Calibri" w:hAnsi="Calibri"/>
          <w:szCs w:val="24"/>
        </w:rPr>
      </w:pPr>
      <w:r w:rsidRPr="00675182">
        <w:rPr>
          <w:rFonts w:ascii="Calibri" w:hAnsi="Calibri"/>
          <w:szCs w:val="24"/>
        </w:rPr>
        <w:t>DPZ piedāvāts iekļaut: 1) platības, kur šobrīd atrodas aktīvās atpūtas vai intensīvi apmeklēti izziņas infrastruktūras objekti vai plānots attīstīt jaunus rekreācijas vai dabas izziņas objektus; 2) platības, kuru mērķis ir nodrošināt ekoloģisko buferzonu augstas dabas aizsardzības vērtības teritorijām.</w:t>
      </w:r>
    </w:p>
    <w:p w14:paraId="3C7A236F" w14:textId="77777777" w:rsidR="00697261" w:rsidRPr="00675182" w:rsidRDefault="00697261" w:rsidP="00697261">
      <w:pPr>
        <w:jc w:val="both"/>
        <w:rPr>
          <w:rFonts w:ascii="Calibri" w:hAnsi="Calibri"/>
          <w:szCs w:val="24"/>
        </w:rPr>
      </w:pPr>
    </w:p>
    <w:p w14:paraId="188933F8" w14:textId="536AF248" w:rsidR="00697261" w:rsidRPr="00675182" w:rsidRDefault="00697261" w:rsidP="00697261">
      <w:pPr>
        <w:jc w:val="both"/>
        <w:rPr>
          <w:rFonts w:ascii="Calibri" w:hAnsi="Calibri"/>
          <w:szCs w:val="24"/>
        </w:rPr>
      </w:pPr>
      <w:r w:rsidRPr="00675182">
        <w:rPr>
          <w:rFonts w:ascii="Calibri" w:hAnsi="Calibri"/>
          <w:szCs w:val="24"/>
        </w:rPr>
        <w:t>DPZ iekļauto meža teritoriju aizsardzības un apsaimniekošanas mērķu nodrošināšanai ir piedāvāts veidot ekstensīvi apsaimniekotu mežu apvidus, kuros tiek saglabāta pastāvīga meža vide ar dabisku mežu struktūru un procesu klātbūtni, un attīstīta dažādvecuma mežaudžu struktūra. Šāda pieeja nodrošinās pakāpenisku pāreju no meža platībām ar augstu dabas aizsardzības vērtību uz saimnieciski izmantotu mežu platībām vai lauksaimniecībā izmantotām platībām.</w:t>
      </w:r>
    </w:p>
    <w:p w14:paraId="629B7068" w14:textId="77777777" w:rsidR="00697261" w:rsidRPr="00675182" w:rsidRDefault="00697261" w:rsidP="00697261">
      <w:pPr>
        <w:jc w:val="both"/>
        <w:rPr>
          <w:rFonts w:ascii="Calibri" w:hAnsi="Calibri"/>
          <w:szCs w:val="24"/>
        </w:rPr>
      </w:pPr>
    </w:p>
    <w:p w14:paraId="00343248" w14:textId="77777777" w:rsidR="00697261" w:rsidRPr="00675182" w:rsidRDefault="00697261" w:rsidP="00697261">
      <w:pPr>
        <w:jc w:val="both"/>
        <w:rPr>
          <w:rFonts w:ascii="Calibri" w:hAnsi="Calibri"/>
          <w:szCs w:val="24"/>
        </w:rPr>
      </w:pPr>
      <w:r w:rsidRPr="00675182">
        <w:rPr>
          <w:rFonts w:ascii="Calibri" w:hAnsi="Calibri"/>
          <w:szCs w:val="24"/>
        </w:rPr>
        <w:t>DPZ piedāvāts iekļaut arī platības, kuru apsaimniekošanas un pārvaldības mērķis ir kultūrvēsturisko vērtību saglabāšana. Šajās teritorijās tiek piedāvāts noteikt tādus saimnieciskās darbības un izmantošanas nosacījumus, kas nodrošina attiecīgo kultūrvēsturisko vērtību aizsardzību un atbilstošu teritoriju apsaimniekošanu.</w:t>
      </w:r>
    </w:p>
    <w:p w14:paraId="6D79A83B" w14:textId="77777777" w:rsidR="00697261" w:rsidRPr="00675182" w:rsidRDefault="00697261" w:rsidP="00697261">
      <w:pPr>
        <w:jc w:val="both"/>
        <w:rPr>
          <w:rFonts w:ascii="Calibri" w:hAnsi="Calibri"/>
          <w:szCs w:val="24"/>
        </w:rPr>
      </w:pPr>
    </w:p>
    <w:p w14:paraId="6F37C27D" w14:textId="77777777" w:rsidR="00697261" w:rsidRPr="00675182" w:rsidRDefault="00697261" w:rsidP="00697261">
      <w:pPr>
        <w:jc w:val="both"/>
        <w:rPr>
          <w:rFonts w:ascii="Calibri" w:hAnsi="Calibri"/>
          <w:szCs w:val="24"/>
        </w:rPr>
      </w:pPr>
      <w:r w:rsidRPr="00675182">
        <w:rPr>
          <w:rFonts w:ascii="Calibri" w:hAnsi="Calibri"/>
          <w:szCs w:val="24"/>
        </w:rPr>
        <w:t xml:space="preserve">Tāpat DPZ piedāvāts iekļaut DLZ piegulošo viensētu un lauksaimniecības zemju platības, kuru apsaimniekošanas pieejai būtu jāmazina saimnieciskās darbības ietekme uz dabas vērtībām un dabiskiem procesiem, kuru aizsardzības tiek nodrošināta DLZ. </w:t>
      </w:r>
    </w:p>
    <w:p w14:paraId="492D2295" w14:textId="77777777" w:rsidR="00697261" w:rsidRPr="00675182" w:rsidRDefault="00697261" w:rsidP="00697261">
      <w:pPr>
        <w:jc w:val="both"/>
        <w:rPr>
          <w:rFonts w:ascii="Calibri" w:hAnsi="Calibri"/>
          <w:szCs w:val="24"/>
        </w:rPr>
      </w:pPr>
    </w:p>
    <w:p w14:paraId="63947AA1" w14:textId="77777777" w:rsidR="00697261" w:rsidRPr="00675182" w:rsidRDefault="00697261" w:rsidP="00697261">
      <w:pPr>
        <w:jc w:val="both"/>
        <w:rPr>
          <w:rFonts w:ascii="Calibri" w:hAnsi="Calibri"/>
          <w:szCs w:val="24"/>
        </w:rPr>
      </w:pPr>
      <w:r w:rsidRPr="00675182">
        <w:rPr>
          <w:rFonts w:ascii="Calibri" w:hAnsi="Calibri"/>
          <w:szCs w:val="24"/>
        </w:rPr>
        <w:t>DPZ veido šādu apakškategoriju teritorijas:</w:t>
      </w:r>
    </w:p>
    <w:p w14:paraId="52315DC9" w14:textId="76DC7E76" w:rsidR="00697261" w:rsidRPr="00675182" w:rsidRDefault="00697261" w:rsidP="00697261">
      <w:pPr>
        <w:jc w:val="both"/>
        <w:rPr>
          <w:rFonts w:ascii="Calibri" w:hAnsi="Calibri"/>
          <w:szCs w:val="24"/>
        </w:rPr>
      </w:pPr>
      <w:r w:rsidRPr="00675182">
        <w:rPr>
          <w:rFonts w:ascii="Calibri" w:hAnsi="Calibri"/>
          <w:szCs w:val="24"/>
        </w:rPr>
        <w:t>DPZ</w:t>
      </w:r>
      <w:r w:rsidRPr="00675182">
        <w:rPr>
          <w:rFonts w:ascii="Calibri" w:hAnsi="Calibri"/>
          <w:szCs w:val="24"/>
          <w:vertAlign w:val="subscript"/>
        </w:rPr>
        <w:t>Rekr</w:t>
      </w:r>
      <w:r w:rsidRPr="00675182">
        <w:rPr>
          <w:rFonts w:ascii="Calibri" w:hAnsi="Calibri"/>
          <w:szCs w:val="24"/>
        </w:rPr>
        <w:t xml:space="preserve"> - </w:t>
      </w:r>
      <w:r w:rsidR="00FA4C87">
        <w:rPr>
          <w:rFonts w:ascii="Calibri" w:hAnsi="Calibri"/>
          <w:szCs w:val="24"/>
        </w:rPr>
        <w:t>DPZ</w:t>
      </w:r>
      <w:r w:rsidRPr="00675182">
        <w:rPr>
          <w:rFonts w:ascii="Calibri" w:hAnsi="Calibri"/>
          <w:szCs w:val="24"/>
        </w:rPr>
        <w:t xml:space="preserve"> intensīva tūrisma un rekreācijas teritorijās, kuras nodrošina ilgtspējīga tūrisma un rekreācijas, kā arī sabiedrības izglītošanas funkcijas, vienlaikus saglabājot nozīmīgākās dabas vērtības;</w:t>
      </w:r>
    </w:p>
    <w:p w14:paraId="4AE7C60E" w14:textId="03EC66B0" w:rsidR="00697261" w:rsidRPr="00675182" w:rsidRDefault="00697261" w:rsidP="00697261">
      <w:pPr>
        <w:jc w:val="both"/>
        <w:rPr>
          <w:rFonts w:ascii="Calibri" w:hAnsi="Calibri"/>
          <w:szCs w:val="24"/>
        </w:rPr>
      </w:pPr>
      <w:r w:rsidRPr="00675182">
        <w:rPr>
          <w:rFonts w:ascii="Calibri" w:hAnsi="Calibri"/>
          <w:szCs w:val="24"/>
        </w:rPr>
        <w:t>DPZ</w:t>
      </w:r>
      <w:r w:rsidRPr="00675182">
        <w:rPr>
          <w:rFonts w:ascii="Calibri" w:hAnsi="Calibri"/>
          <w:szCs w:val="24"/>
          <w:vertAlign w:val="subscript"/>
        </w:rPr>
        <w:t>Kult</w:t>
      </w:r>
      <w:r w:rsidRPr="00675182">
        <w:rPr>
          <w:rFonts w:ascii="Calibri" w:hAnsi="Calibri"/>
          <w:szCs w:val="24"/>
        </w:rPr>
        <w:t xml:space="preserve"> - </w:t>
      </w:r>
      <w:r w:rsidR="00FA4C87">
        <w:rPr>
          <w:rFonts w:ascii="Calibri" w:hAnsi="Calibri"/>
          <w:szCs w:val="24"/>
        </w:rPr>
        <w:t>DPZ</w:t>
      </w:r>
      <w:r w:rsidRPr="00675182">
        <w:rPr>
          <w:rFonts w:ascii="Calibri" w:hAnsi="Calibri"/>
          <w:szCs w:val="24"/>
        </w:rPr>
        <w:t xml:space="preserve"> teritorijās ar augstu kultūrvēsturiski nozīmīgu objektu īpatsvaru, kuru galvenais mērķis ir kompleksa kultūrvēsturisko, dabas un ainavisko vērtību saglabāšana un attīstība;</w:t>
      </w:r>
    </w:p>
    <w:p w14:paraId="38A5DF5A" w14:textId="1F2C1E1E" w:rsidR="00697261" w:rsidRPr="00675182" w:rsidRDefault="00697261" w:rsidP="00697261">
      <w:pPr>
        <w:jc w:val="both"/>
        <w:rPr>
          <w:rFonts w:ascii="Calibri" w:hAnsi="Calibri"/>
          <w:szCs w:val="24"/>
        </w:rPr>
      </w:pPr>
      <w:r w:rsidRPr="00675182">
        <w:rPr>
          <w:rFonts w:ascii="Calibri" w:hAnsi="Calibri"/>
          <w:szCs w:val="24"/>
        </w:rPr>
        <w:t>DPZ</w:t>
      </w:r>
      <w:r w:rsidRPr="00675182">
        <w:rPr>
          <w:rFonts w:ascii="Calibri" w:hAnsi="Calibri"/>
          <w:szCs w:val="24"/>
          <w:vertAlign w:val="subscript"/>
        </w:rPr>
        <w:t>Buf</w:t>
      </w:r>
      <w:r w:rsidRPr="00675182">
        <w:rPr>
          <w:rFonts w:ascii="Calibri" w:hAnsi="Calibri"/>
          <w:szCs w:val="24"/>
        </w:rPr>
        <w:t xml:space="preserve"> - </w:t>
      </w:r>
      <w:r w:rsidR="00FA4C87">
        <w:rPr>
          <w:rFonts w:ascii="Calibri" w:hAnsi="Calibri"/>
          <w:szCs w:val="24"/>
        </w:rPr>
        <w:t>DPZ</w:t>
      </w:r>
      <w:r w:rsidRPr="00675182">
        <w:rPr>
          <w:rFonts w:ascii="Calibri" w:hAnsi="Calibri"/>
          <w:szCs w:val="24"/>
        </w:rPr>
        <w:t xml:space="preserve"> teritorijās, kas atrodas blakus un ekoloģiski saistītas (veido buferzonu) ar nozīmīgām un jutīgām dabas vērtību koncentrācijas vietām, un ainavu vērtībām, vai kur vienkopus atrodas nozīmīgas dabas vērtības un apbūves teritorijas.</w:t>
      </w:r>
    </w:p>
    <w:p w14:paraId="4E76587C" w14:textId="77777777" w:rsidR="00697261" w:rsidRPr="00675182" w:rsidRDefault="00697261" w:rsidP="00697261">
      <w:pPr>
        <w:jc w:val="both"/>
        <w:rPr>
          <w:rFonts w:ascii="Calibri" w:hAnsi="Calibri"/>
          <w:szCs w:val="24"/>
        </w:rPr>
      </w:pPr>
    </w:p>
    <w:p w14:paraId="433833F9" w14:textId="7021D7E9" w:rsidR="00697261" w:rsidRPr="00675182" w:rsidRDefault="00697261" w:rsidP="0084477E">
      <w:pPr>
        <w:tabs>
          <w:tab w:val="left" w:pos="5812"/>
        </w:tabs>
        <w:jc w:val="both"/>
        <w:rPr>
          <w:rFonts w:ascii="Calibri" w:hAnsi="Calibri"/>
          <w:szCs w:val="24"/>
        </w:rPr>
      </w:pPr>
      <w:r w:rsidRPr="00675182">
        <w:rPr>
          <w:rFonts w:ascii="Calibri" w:hAnsi="Calibri"/>
          <w:szCs w:val="24"/>
        </w:rPr>
        <w:t>Teritoriju indeksi ir attēloti kartēs, kuras iekļautas DA plāna 21. pielikumā</w:t>
      </w:r>
      <w:r w:rsidR="00AB148F" w:rsidRPr="00675182">
        <w:rPr>
          <w:rFonts w:ascii="Calibri" w:hAnsi="Calibri"/>
          <w:szCs w:val="24"/>
        </w:rPr>
        <w:t xml:space="preserve"> </w:t>
      </w:r>
      <w:r w:rsidRPr="00675182">
        <w:rPr>
          <w:rFonts w:ascii="Calibri" w:hAnsi="Calibri"/>
          <w:szCs w:val="24"/>
        </w:rPr>
        <w:t>(GNP</w:t>
      </w:r>
      <w:r w:rsidR="00FA4C87">
        <w:rPr>
          <w:rFonts w:ascii="Calibri" w:hAnsi="Calibri"/>
          <w:szCs w:val="24"/>
        </w:rPr>
        <w:t xml:space="preserve"> </w:t>
      </w:r>
      <w:r w:rsidRPr="00675182">
        <w:rPr>
          <w:rFonts w:ascii="Calibri" w:hAnsi="Calibri"/>
          <w:szCs w:val="24"/>
        </w:rPr>
        <w:t xml:space="preserve">funkcionālā zonējuma priekšlikums) un ģeodatubāzē, kura iesniegta DAP. </w:t>
      </w:r>
    </w:p>
    <w:p w14:paraId="5E2EA070" w14:textId="77777777" w:rsidR="00697261" w:rsidRPr="00675182" w:rsidRDefault="00697261" w:rsidP="00697261">
      <w:pPr>
        <w:jc w:val="both"/>
        <w:rPr>
          <w:rFonts w:ascii="Calibri" w:hAnsi="Calibri"/>
          <w:szCs w:val="24"/>
        </w:rPr>
      </w:pPr>
    </w:p>
    <w:p w14:paraId="3DCDBF61" w14:textId="77777777" w:rsidR="00697261" w:rsidRPr="00675182" w:rsidRDefault="00697261" w:rsidP="00697261">
      <w:pPr>
        <w:jc w:val="both"/>
        <w:rPr>
          <w:rFonts w:ascii="Calibri" w:hAnsi="Calibri"/>
          <w:szCs w:val="24"/>
        </w:rPr>
      </w:pPr>
      <w:r w:rsidRPr="00675182">
        <w:rPr>
          <w:rFonts w:ascii="Calibri" w:hAnsi="Calibri"/>
          <w:b/>
          <w:bCs/>
          <w:i/>
          <w:iCs/>
          <w:szCs w:val="24"/>
        </w:rPr>
        <w:t>Ainavu aizsardzības zona</w:t>
      </w:r>
      <w:r w:rsidRPr="00675182">
        <w:rPr>
          <w:rFonts w:ascii="Calibri" w:hAnsi="Calibri"/>
          <w:szCs w:val="24"/>
        </w:rPr>
        <w:t xml:space="preserve"> ir izveidota, lai saglabātu raksturīgo </w:t>
      </w:r>
      <w:r w:rsidRPr="00675182">
        <w:rPr>
          <w:rFonts w:ascii="Calibri" w:hAnsi="Calibri"/>
          <w:szCs w:val="24"/>
          <w:u w:val="single"/>
        </w:rPr>
        <w:t>daudzveidīgo ainavu</w:t>
      </w:r>
      <w:r w:rsidRPr="00675182">
        <w:rPr>
          <w:rFonts w:ascii="Calibri" w:hAnsi="Calibri"/>
          <w:szCs w:val="24"/>
        </w:rPr>
        <w:t>, tradicionālo kultūrvidi, rekreācijas un tūrisma resursus, kā arī nodrošinātu nenoplicinošu/ilgtspējīgu saimniecisko darbību GNP teritorijā.</w:t>
      </w:r>
    </w:p>
    <w:p w14:paraId="1933CC26" w14:textId="77777777" w:rsidR="00697261" w:rsidRPr="00675182" w:rsidRDefault="00697261" w:rsidP="00697261">
      <w:pPr>
        <w:jc w:val="both"/>
        <w:rPr>
          <w:rFonts w:ascii="Calibri" w:hAnsi="Calibri"/>
          <w:szCs w:val="24"/>
        </w:rPr>
      </w:pPr>
    </w:p>
    <w:p w14:paraId="732B9476" w14:textId="24EF9282" w:rsidR="00697261" w:rsidRPr="00675182" w:rsidRDefault="00697261" w:rsidP="00697261">
      <w:pPr>
        <w:jc w:val="both"/>
        <w:rPr>
          <w:rFonts w:ascii="Calibri" w:hAnsi="Calibri"/>
          <w:szCs w:val="24"/>
        </w:rPr>
      </w:pPr>
      <w:r w:rsidRPr="00675182">
        <w:rPr>
          <w:rFonts w:ascii="Calibri" w:hAnsi="Calibri"/>
          <w:szCs w:val="24"/>
        </w:rPr>
        <w:t xml:space="preserve">GNP nozīmīgākās ainaviskās teritorijas ir piedāvāts arī iekļaut SRZ, DLZ un DPZ, AAZ ir piedāvāts iekļaut pilsētām un ciematiem pieguļošās lauku teritorijas, kas veido reģionam raksturīgo ainavu. Ainaviski vērtīgo teritoriju saglabāšanas mērķis GNP ir </w:t>
      </w:r>
      <w:r w:rsidRPr="00675182">
        <w:rPr>
          <w:rFonts w:ascii="Calibri" w:hAnsi="Calibri"/>
          <w:szCs w:val="24"/>
        </w:rPr>
        <w:lastRenderedPageBreak/>
        <w:t xml:space="preserve">nodrošināt vietējo tūrisma un rekreācijas resursu saglabāšanu, vienlaikus nodrošinot zemes resursu ilgtspējīgu saimniecisku izmantošanu. </w:t>
      </w:r>
    </w:p>
    <w:p w14:paraId="69EB57B8" w14:textId="77777777" w:rsidR="00697261" w:rsidRPr="00675182" w:rsidRDefault="00697261" w:rsidP="00697261">
      <w:pPr>
        <w:jc w:val="both"/>
        <w:rPr>
          <w:rFonts w:ascii="Calibri" w:hAnsi="Calibri"/>
          <w:szCs w:val="24"/>
        </w:rPr>
      </w:pPr>
    </w:p>
    <w:p w14:paraId="04911A92" w14:textId="77777777" w:rsidR="00697261" w:rsidRPr="00675182" w:rsidRDefault="00697261" w:rsidP="00697261">
      <w:pPr>
        <w:jc w:val="both"/>
        <w:rPr>
          <w:rFonts w:ascii="Calibri" w:hAnsi="Calibri"/>
          <w:szCs w:val="24"/>
        </w:rPr>
      </w:pPr>
      <w:r w:rsidRPr="00675182">
        <w:rPr>
          <w:rFonts w:ascii="Calibri" w:hAnsi="Calibri"/>
          <w:szCs w:val="24"/>
        </w:rPr>
        <w:t xml:space="preserve">Tāpat AAZ ir piedāvāts iekļaut fragmentētas mežu masīvu/mežu puduru teritorijas, kuras mijas mozaīkā ar lauksaimniecībā intensīvi izmatotām platībām, un viensētu un savrupmāju teritorijām. </w:t>
      </w:r>
    </w:p>
    <w:p w14:paraId="4DB4F5A8" w14:textId="77777777" w:rsidR="00697261" w:rsidRPr="00675182" w:rsidRDefault="00697261" w:rsidP="00697261">
      <w:pPr>
        <w:jc w:val="both"/>
        <w:rPr>
          <w:rFonts w:ascii="Calibri" w:hAnsi="Calibri"/>
          <w:szCs w:val="24"/>
        </w:rPr>
      </w:pPr>
    </w:p>
    <w:p w14:paraId="324104B9" w14:textId="2DF0ECC8" w:rsidR="00697261" w:rsidRPr="00675182" w:rsidRDefault="00697261" w:rsidP="00697261">
      <w:pPr>
        <w:jc w:val="both"/>
        <w:rPr>
          <w:rFonts w:ascii="Calibri" w:hAnsi="Calibri"/>
          <w:szCs w:val="24"/>
        </w:rPr>
      </w:pPr>
      <w:r w:rsidRPr="00675182">
        <w:rPr>
          <w:rFonts w:ascii="Calibri" w:hAnsi="Calibri"/>
          <w:szCs w:val="24"/>
        </w:rPr>
        <w:t>AAZ iekļautas teritorijas, kurās ir jāveicina sabalansēta lauku telpas attīstība un pārvaldība, vienlaikus nodrošinot šajās teritorijās izklaidus atrodamo dabas vērtību aizsardzību un teritoriju saimniecisku izmantošanu.</w:t>
      </w:r>
    </w:p>
    <w:p w14:paraId="0EB892C5" w14:textId="59E34870" w:rsidR="00AB148F" w:rsidRPr="00675182" w:rsidRDefault="00AB148F" w:rsidP="00697261">
      <w:pPr>
        <w:jc w:val="both"/>
        <w:rPr>
          <w:rFonts w:ascii="Calibri" w:hAnsi="Calibri"/>
          <w:szCs w:val="24"/>
        </w:rPr>
      </w:pPr>
    </w:p>
    <w:p w14:paraId="7F5EC55A" w14:textId="21D1F13A" w:rsidR="00AB148F" w:rsidRPr="00675182" w:rsidRDefault="00AB148F" w:rsidP="00697261">
      <w:pPr>
        <w:jc w:val="both"/>
        <w:rPr>
          <w:rFonts w:ascii="Calibri" w:hAnsi="Calibri"/>
          <w:szCs w:val="24"/>
        </w:rPr>
      </w:pPr>
      <w:r w:rsidRPr="00675182">
        <w:rPr>
          <w:rFonts w:ascii="Calibri" w:hAnsi="Calibri"/>
          <w:szCs w:val="24"/>
        </w:rPr>
        <w:t xml:space="preserve">AAZ ir iekļautas arī perspektīvās derīgo izrakteņu ieguves teritorijas. </w:t>
      </w:r>
    </w:p>
    <w:p w14:paraId="035F0D1F" w14:textId="77777777" w:rsidR="00697261" w:rsidRPr="00675182" w:rsidRDefault="00697261" w:rsidP="00697261">
      <w:pPr>
        <w:jc w:val="both"/>
        <w:rPr>
          <w:rFonts w:ascii="Calibri" w:hAnsi="Calibri"/>
          <w:szCs w:val="24"/>
        </w:rPr>
      </w:pPr>
    </w:p>
    <w:p w14:paraId="7086FE8E" w14:textId="77777777" w:rsidR="00697261" w:rsidRPr="00675182" w:rsidRDefault="00697261" w:rsidP="00AB148F">
      <w:pPr>
        <w:jc w:val="both"/>
        <w:rPr>
          <w:rFonts w:ascii="Calibri" w:eastAsia="Times New Roman" w:hAnsi="Calibri"/>
          <w:szCs w:val="24"/>
          <w:lang w:eastAsia="en-GB"/>
        </w:rPr>
      </w:pPr>
      <w:r w:rsidRPr="00675182">
        <w:rPr>
          <w:rFonts w:ascii="Calibri" w:hAnsi="Calibri"/>
          <w:b/>
          <w:bCs/>
          <w:i/>
          <w:iCs/>
          <w:szCs w:val="24"/>
        </w:rPr>
        <w:t xml:space="preserve">Neitrālā zona </w:t>
      </w:r>
      <w:r w:rsidRPr="00675182">
        <w:rPr>
          <w:rFonts w:ascii="Calibri" w:hAnsi="Calibri"/>
          <w:szCs w:val="24"/>
        </w:rPr>
        <w:t>ir izveidota, lai veicinātu parkā esošo blīvi apdzīvoto teritoriju, transporta infrastruktūras</w:t>
      </w:r>
      <w:r w:rsidRPr="00675182">
        <w:rPr>
          <w:rFonts w:ascii="Calibri" w:hAnsi="Calibri"/>
          <w:color w:val="FF0000"/>
          <w:szCs w:val="24"/>
        </w:rPr>
        <w:t xml:space="preserve"> </w:t>
      </w:r>
      <w:r w:rsidRPr="00675182">
        <w:rPr>
          <w:rFonts w:ascii="Calibri" w:hAnsi="Calibri"/>
          <w:szCs w:val="24"/>
        </w:rPr>
        <w:t>un rūpniecības teritoriju ilgtspējīgu attīstību.</w:t>
      </w:r>
      <w:r w:rsidRPr="00675182">
        <w:rPr>
          <w:rFonts w:ascii="Calibri" w:eastAsia="Times New Roman" w:hAnsi="Calibri"/>
          <w:szCs w:val="24"/>
          <w:lang w:eastAsia="en-GB"/>
        </w:rPr>
        <w:t xml:space="preserve"> </w:t>
      </w:r>
    </w:p>
    <w:p w14:paraId="05E07271" w14:textId="77777777" w:rsidR="00697261" w:rsidRPr="00675182" w:rsidRDefault="00697261" w:rsidP="00697261">
      <w:pPr>
        <w:jc w:val="both"/>
        <w:rPr>
          <w:rFonts w:ascii="Calibri" w:hAnsi="Calibri"/>
          <w:szCs w:val="24"/>
        </w:rPr>
      </w:pPr>
    </w:p>
    <w:p w14:paraId="0E931F69" w14:textId="77777777" w:rsidR="00697261" w:rsidRPr="00675182" w:rsidRDefault="00697261" w:rsidP="00697261">
      <w:pPr>
        <w:jc w:val="both"/>
        <w:rPr>
          <w:rFonts w:ascii="Calibri" w:hAnsi="Calibri"/>
          <w:szCs w:val="24"/>
        </w:rPr>
      </w:pPr>
      <w:r w:rsidRPr="00675182">
        <w:rPr>
          <w:rFonts w:ascii="Calibri" w:hAnsi="Calibri"/>
          <w:szCs w:val="24"/>
        </w:rPr>
        <w:t>NZ veido šādu apakškategoriju teritorijas:</w:t>
      </w:r>
    </w:p>
    <w:p w14:paraId="3D28C820" w14:textId="5D64E9D2" w:rsidR="00697261" w:rsidRPr="00675182" w:rsidRDefault="00697261" w:rsidP="00697261">
      <w:pPr>
        <w:jc w:val="both"/>
        <w:rPr>
          <w:rFonts w:ascii="Calibri" w:hAnsi="Calibri"/>
          <w:szCs w:val="24"/>
        </w:rPr>
      </w:pPr>
      <w:r w:rsidRPr="00675182">
        <w:rPr>
          <w:rFonts w:ascii="Calibri" w:hAnsi="Calibri"/>
          <w:szCs w:val="24"/>
        </w:rPr>
        <w:t>NZ</w:t>
      </w:r>
      <w:r w:rsidRPr="00675182">
        <w:rPr>
          <w:rFonts w:ascii="Calibri" w:hAnsi="Calibri"/>
          <w:szCs w:val="24"/>
          <w:vertAlign w:val="subscript"/>
        </w:rPr>
        <w:t>Infr</w:t>
      </w:r>
      <w:r w:rsidRPr="00675182">
        <w:rPr>
          <w:rFonts w:ascii="Calibri" w:hAnsi="Calibri"/>
          <w:szCs w:val="24"/>
        </w:rPr>
        <w:t xml:space="preserve"> - </w:t>
      </w:r>
      <w:r w:rsidR="00A57C5E">
        <w:rPr>
          <w:rFonts w:ascii="Calibri" w:hAnsi="Calibri"/>
          <w:szCs w:val="24"/>
        </w:rPr>
        <w:t>v</w:t>
      </w:r>
      <w:r w:rsidR="00A57C5E" w:rsidRPr="00675182">
        <w:rPr>
          <w:rFonts w:ascii="Calibri" w:hAnsi="Calibri"/>
          <w:szCs w:val="24"/>
        </w:rPr>
        <w:t xml:space="preserve">alsts </w:t>
      </w:r>
      <w:r w:rsidRPr="00675182">
        <w:rPr>
          <w:rFonts w:ascii="Calibri" w:hAnsi="Calibri"/>
          <w:szCs w:val="24"/>
        </w:rPr>
        <w:t>un pašvaldības autoceļi, kuriem izdalīta atsevišķa zemes vienība un dzelzceļa līnija “Rīga Pasažieru-Lugaži-valsts robeža”;</w:t>
      </w:r>
    </w:p>
    <w:p w14:paraId="60924A51" w14:textId="036B17F3" w:rsidR="00697261" w:rsidRPr="00675182" w:rsidRDefault="00697261" w:rsidP="00697261">
      <w:pPr>
        <w:jc w:val="both"/>
        <w:rPr>
          <w:rFonts w:ascii="Calibri" w:hAnsi="Calibri"/>
          <w:szCs w:val="24"/>
        </w:rPr>
      </w:pPr>
      <w:r w:rsidRPr="00675182">
        <w:rPr>
          <w:rFonts w:ascii="Calibri" w:hAnsi="Calibri"/>
          <w:szCs w:val="24"/>
        </w:rPr>
        <w:t>NZ</w:t>
      </w:r>
      <w:r w:rsidRPr="00675182">
        <w:rPr>
          <w:rFonts w:ascii="Calibri" w:hAnsi="Calibri"/>
          <w:szCs w:val="24"/>
          <w:vertAlign w:val="subscript"/>
        </w:rPr>
        <w:t>Ciem</w:t>
      </w:r>
      <w:r w:rsidRPr="00675182">
        <w:rPr>
          <w:rFonts w:ascii="Calibri" w:hAnsi="Calibri"/>
          <w:szCs w:val="24"/>
        </w:rPr>
        <w:t xml:space="preserve"> - </w:t>
      </w:r>
      <w:r w:rsidR="00A57C5E">
        <w:rPr>
          <w:rFonts w:ascii="Calibri" w:hAnsi="Calibri"/>
          <w:szCs w:val="24"/>
        </w:rPr>
        <w:t>d</w:t>
      </w:r>
      <w:r w:rsidR="00A57C5E" w:rsidRPr="00675182">
        <w:rPr>
          <w:rFonts w:ascii="Calibri" w:hAnsi="Calibri"/>
          <w:szCs w:val="24"/>
        </w:rPr>
        <w:t xml:space="preserve">aļēji </w:t>
      </w:r>
      <w:r w:rsidRPr="00675182">
        <w:rPr>
          <w:rFonts w:ascii="Calibri" w:hAnsi="Calibri"/>
          <w:szCs w:val="24"/>
        </w:rPr>
        <w:t>ciemu un pilsētas teritorijas (blīvi apbūvētas teritorijas);</w:t>
      </w:r>
    </w:p>
    <w:p w14:paraId="6739E555" w14:textId="3E828604" w:rsidR="00697261" w:rsidRPr="00675182" w:rsidRDefault="00697261" w:rsidP="00697261">
      <w:pPr>
        <w:jc w:val="both"/>
        <w:rPr>
          <w:rFonts w:ascii="Calibri" w:hAnsi="Calibri"/>
          <w:szCs w:val="24"/>
        </w:rPr>
      </w:pPr>
      <w:r w:rsidRPr="00675182">
        <w:rPr>
          <w:rFonts w:ascii="Calibri" w:hAnsi="Calibri"/>
          <w:szCs w:val="24"/>
        </w:rPr>
        <w:t>NZ</w:t>
      </w:r>
      <w:r w:rsidRPr="00675182">
        <w:rPr>
          <w:rFonts w:ascii="Calibri" w:hAnsi="Calibri"/>
          <w:szCs w:val="24"/>
          <w:vertAlign w:val="subscript"/>
        </w:rPr>
        <w:t>Rūpn</w:t>
      </w:r>
      <w:r w:rsidRPr="00675182">
        <w:rPr>
          <w:rFonts w:ascii="Calibri" w:hAnsi="Calibri"/>
          <w:szCs w:val="24"/>
        </w:rPr>
        <w:t xml:space="preserve"> - </w:t>
      </w:r>
      <w:r w:rsidR="00A57C5E">
        <w:rPr>
          <w:rFonts w:ascii="Calibri" w:hAnsi="Calibri"/>
          <w:szCs w:val="24"/>
        </w:rPr>
        <w:t>e</w:t>
      </w:r>
      <w:r w:rsidR="00A57C5E" w:rsidRPr="00675182">
        <w:rPr>
          <w:rFonts w:ascii="Calibri" w:hAnsi="Calibri"/>
          <w:szCs w:val="24"/>
        </w:rPr>
        <w:t xml:space="preserve">sošas </w:t>
      </w:r>
      <w:r w:rsidRPr="00675182">
        <w:rPr>
          <w:rFonts w:ascii="Calibri" w:hAnsi="Calibri"/>
          <w:szCs w:val="24"/>
        </w:rPr>
        <w:t>rūpnieciskās teritorijas, kas tieši piekļaujas ciemu vai pilsētu teritorijām, citas rūpnieciskās teritorijas, tai skaitā derīgo izrakteņu atradnes, kurās notiek aktīva saimnieciskā darbība un kuras aizņem lielu platību.</w:t>
      </w:r>
    </w:p>
    <w:p w14:paraId="104C5722" w14:textId="77777777" w:rsidR="00DB1DDC" w:rsidRPr="00675182" w:rsidRDefault="00DB1DDC" w:rsidP="00DB1DDC">
      <w:pPr>
        <w:jc w:val="both"/>
        <w:rPr>
          <w:rFonts w:ascii="Calibri" w:hAnsi="Calibri"/>
          <w:szCs w:val="24"/>
        </w:rPr>
      </w:pPr>
    </w:p>
    <w:p w14:paraId="73211543" w14:textId="1A3138CD" w:rsidR="00822AE5" w:rsidRPr="00675182" w:rsidRDefault="00822AE5" w:rsidP="00822AE5">
      <w:pPr>
        <w:jc w:val="both"/>
        <w:rPr>
          <w:rFonts w:ascii="Calibri" w:hAnsi="Calibri"/>
          <w:szCs w:val="24"/>
        </w:rPr>
      </w:pPr>
      <w:r w:rsidRPr="00675182">
        <w:rPr>
          <w:rFonts w:ascii="Calibri" w:hAnsi="Calibri"/>
          <w:szCs w:val="24"/>
        </w:rPr>
        <w:t>Lai nodrošinātu teritorijas uzturēšanu, SRZ Nurmižu rezervātā kā NZ ir atsevišķi izdalīts maģistrālais gāzesvads un tā ekspluatācijas aizsargjosla.</w:t>
      </w:r>
    </w:p>
    <w:p w14:paraId="51777C23" w14:textId="77777777" w:rsidR="00822AE5" w:rsidRPr="00675182" w:rsidRDefault="00822AE5" w:rsidP="00BF7348">
      <w:pPr>
        <w:tabs>
          <w:tab w:val="left" w:pos="5812"/>
        </w:tabs>
        <w:jc w:val="both"/>
        <w:rPr>
          <w:rFonts w:ascii="Calibri" w:hAnsi="Calibri"/>
          <w:szCs w:val="24"/>
        </w:rPr>
      </w:pPr>
    </w:p>
    <w:p w14:paraId="2608D32F" w14:textId="305C1EE5" w:rsidR="00DB1DDC" w:rsidRPr="00675182" w:rsidRDefault="00DB1DDC" w:rsidP="00F13E8C">
      <w:pPr>
        <w:tabs>
          <w:tab w:val="left" w:pos="5812"/>
        </w:tabs>
        <w:jc w:val="both"/>
        <w:rPr>
          <w:szCs w:val="24"/>
        </w:rPr>
      </w:pPr>
      <w:r w:rsidRPr="00675182">
        <w:rPr>
          <w:rFonts w:ascii="Calibri" w:hAnsi="Calibri"/>
          <w:szCs w:val="24"/>
        </w:rPr>
        <w:t xml:space="preserve">Teritoriju indeksi ir attēloti kartēs, kuras iekļautas DA plāna 21. pielikumā </w:t>
      </w:r>
      <w:r w:rsidRPr="00675182">
        <w:rPr>
          <w:szCs w:val="24"/>
        </w:rPr>
        <w:t>(GNP</w:t>
      </w:r>
      <w:r w:rsidR="00F13E8C" w:rsidRPr="00675182">
        <w:rPr>
          <w:szCs w:val="24"/>
        </w:rPr>
        <w:t xml:space="preserve"> </w:t>
      </w:r>
      <w:r w:rsidRPr="00675182">
        <w:rPr>
          <w:szCs w:val="24"/>
        </w:rPr>
        <w:t xml:space="preserve">funkcionālā zonējuma priekšlikums) un ģeodatubāzē, kura iesniegta DAP. </w:t>
      </w:r>
    </w:p>
    <w:p w14:paraId="3255C20E" w14:textId="77777777" w:rsidR="00AB148F" w:rsidRPr="00675182" w:rsidRDefault="00AB148F" w:rsidP="00AB148F">
      <w:pPr>
        <w:tabs>
          <w:tab w:val="left" w:pos="5812"/>
        </w:tabs>
        <w:ind w:left="1418" w:hanging="1418"/>
        <w:jc w:val="both"/>
        <w:rPr>
          <w:rFonts w:ascii="Calibri" w:hAnsi="Calibri"/>
          <w:szCs w:val="24"/>
        </w:rPr>
      </w:pPr>
    </w:p>
    <w:p w14:paraId="2ED49146" w14:textId="0E20028F" w:rsidR="00DB1DDC" w:rsidRPr="00675182" w:rsidRDefault="00DB1DDC" w:rsidP="00DB1DDC">
      <w:pPr>
        <w:jc w:val="both"/>
        <w:rPr>
          <w:rFonts w:ascii="Calibri" w:hAnsi="Calibri"/>
          <w:b/>
          <w:bCs/>
          <w:szCs w:val="24"/>
        </w:rPr>
      </w:pPr>
      <w:r w:rsidRPr="00675182">
        <w:rPr>
          <w:rFonts w:ascii="Calibri" w:hAnsi="Calibri"/>
          <w:szCs w:val="24"/>
        </w:rPr>
        <w:t>5.1. tabulā ir iekļauta platību statistika pa zonām, salīdzinot esošo zonējumu ar piedāvāto zonējumu.</w:t>
      </w:r>
    </w:p>
    <w:p w14:paraId="3BCE6BBE" w14:textId="4CAD8CE4" w:rsidR="00CA79C6" w:rsidRPr="00675182" w:rsidRDefault="00CA79C6" w:rsidP="008A3F4F">
      <w:pPr>
        <w:jc w:val="both"/>
        <w:rPr>
          <w:rFonts w:cstheme="minorHAnsi"/>
          <w:szCs w:val="24"/>
        </w:rPr>
        <w:sectPr w:rsidR="00CA79C6" w:rsidRPr="00675182" w:rsidSect="00CD74B1">
          <w:headerReference w:type="even" r:id="rId295"/>
          <w:headerReference w:type="default" r:id="rId296"/>
          <w:footerReference w:type="even" r:id="rId297"/>
          <w:footerReference w:type="default" r:id="rId298"/>
          <w:headerReference w:type="first" r:id="rId299"/>
          <w:footerReference w:type="first" r:id="rId300"/>
          <w:pgSz w:w="11905" w:h="16837"/>
          <w:pgMar w:top="1440" w:right="1797" w:bottom="1440" w:left="1797" w:header="720" w:footer="720" w:gutter="0"/>
          <w:cols w:space="720"/>
          <w:docGrid w:linePitch="360"/>
        </w:sectPr>
      </w:pPr>
    </w:p>
    <w:p w14:paraId="3BFD2CA8" w14:textId="3DFBFC04" w:rsidR="00CE749C" w:rsidRPr="00675182" w:rsidRDefault="00CE749C" w:rsidP="00CE749C">
      <w:pPr>
        <w:pStyle w:val="NormalWeb"/>
        <w:keepNext/>
        <w:keepLines/>
        <w:spacing w:after="0"/>
        <w:rPr>
          <w:rFonts w:cstheme="minorHAnsi"/>
          <w:b/>
          <w:i/>
        </w:rPr>
      </w:pPr>
      <w:r w:rsidRPr="00675182">
        <w:rPr>
          <w:rFonts w:cstheme="minorHAnsi"/>
          <w:b/>
          <w:i/>
        </w:rPr>
        <w:lastRenderedPageBreak/>
        <w:t>5.1. tabula. GNP funkcionālo zonu platības</w:t>
      </w:r>
    </w:p>
    <w:tbl>
      <w:tblPr>
        <w:tblW w:w="5000" w:type="pct"/>
        <w:tblLayout w:type="fixed"/>
        <w:tblLook w:val="04A0" w:firstRow="1" w:lastRow="0" w:firstColumn="1" w:lastColumn="0" w:noHBand="0" w:noVBand="1"/>
      </w:tblPr>
      <w:tblGrid>
        <w:gridCol w:w="2043"/>
        <w:gridCol w:w="1983"/>
        <w:gridCol w:w="1986"/>
        <w:gridCol w:w="1986"/>
        <w:gridCol w:w="1983"/>
        <w:gridCol w:w="1983"/>
        <w:gridCol w:w="1983"/>
      </w:tblGrid>
      <w:tr w:rsidR="00432520" w:rsidRPr="00675182" w14:paraId="3195E3D6" w14:textId="4ED0B5E0" w:rsidTr="003A0EBB">
        <w:trPr>
          <w:trHeight w:val="315"/>
          <w:tblHeader/>
        </w:trPr>
        <w:tc>
          <w:tcPr>
            <w:tcW w:w="732" w:type="pct"/>
            <w:vMerge w:val="restart"/>
            <w:tcBorders>
              <w:top w:val="single" w:sz="4" w:space="0" w:color="auto"/>
              <w:left w:val="single" w:sz="4" w:space="0" w:color="auto"/>
              <w:bottom w:val="single" w:sz="4" w:space="0" w:color="auto"/>
              <w:right w:val="single" w:sz="4" w:space="0" w:color="auto"/>
            </w:tcBorders>
            <w:shd w:val="clear" w:color="auto" w:fill="D6E3BC"/>
            <w:noWrap/>
            <w:vAlign w:val="center"/>
            <w:hideMark/>
          </w:tcPr>
          <w:p w14:paraId="7AA70F74" w14:textId="77777777" w:rsidR="00432520" w:rsidRPr="00675182" w:rsidRDefault="00432520">
            <w:pPr>
              <w:keepNext/>
              <w:keepLines/>
              <w:jc w:val="center"/>
              <w:rPr>
                <w:rFonts w:eastAsia="Times New Roman" w:cstheme="minorHAnsi"/>
                <w:b/>
                <w:szCs w:val="24"/>
                <w:lang w:eastAsia="lv-LV"/>
              </w:rPr>
            </w:pPr>
            <w:r w:rsidRPr="00675182">
              <w:rPr>
                <w:rFonts w:eastAsia="Times New Roman" w:cstheme="minorHAnsi"/>
                <w:b/>
                <w:szCs w:val="24"/>
                <w:lang w:eastAsia="lv-LV"/>
              </w:rPr>
              <w:t>Funkcionālā zona</w:t>
            </w:r>
          </w:p>
        </w:tc>
        <w:tc>
          <w:tcPr>
            <w:tcW w:w="1423" w:type="pct"/>
            <w:gridSpan w:val="2"/>
            <w:tcBorders>
              <w:top w:val="single" w:sz="4" w:space="0" w:color="auto"/>
              <w:left w:val="nil"/>
              <w:bottom w:val="single" w:sz="4" w:space="0" w:color="auto"/>
              <w:right w:val="single" w:sz="4" w:space="0" w:color="auto"/>
            </w:tcBorders>
            <w:shd w:val="clear" w:color="auto" w:fill="D6E3BC"/>
            <w:vAlign w:val="center"/>
            <w:hideMark/>
          </w:tcPr>
          <w:p w14:paraId="7608E0F4" w14:textId="77777777" w:rsidR="00432520" w:rsidRPr="00675182" w:rsidRDefault="00432520">
            <w:pPr>
              <w:keepNext/>
              <w:keepLines/>
              <w:suppressAutoHyphens w:val="0"/>
              <w:jc w:val="center"/>
              <w:rPr>
                <w:rFonts w:eastAsia="Times New Roman" w:cstheme="minorHAnsi"/>
                <w:b/>
                <w:szCs w:val="24"/>
                <w:lang w:eastAsia="lv-LV"/>
              </w:rPr>
            </w:pPr>
            <w:r w:rsidRPr="00675182">
              <w:rPr>
                <w:rFonts w:eastAsia="Times New Roman" w:cstheme="minorHAnsi"/>
                <w:b/>
                <w:szCs w:val="24"/>
                <w:lang w:eastAsia="lv-LV"/>
              </w:rPr>
              <w:t>Esošais zonējums</w:t>
            </w:r>
          </w:p>
        </w:tc>
        <w:tc>
          <w:tcPr>
            <w:tcW w:w="1423" w:type="pct"/>
            <w:gridSpan w:val="2"/>
            <w:tcBorders>
              <w:top w:val="single" w:sz="4" w:space="0" w:color="auto"/>
              <w:left w:val="single" w:sz="4" w:space="0" w:color="auto"/>
              <w:bottom w:val="single" w:sz="4" w:space="0" w:color="auto"/>
              <w:right w:val="single" w:sz="4" w:space="0" w:color="auto"/>
            </w:tcBorders>
            <w:shd w:val="clear" w:color="auto" w:fill="D6E3BC"/>
            <w:noWrap/>
            <w:vAlign w:val="center"/>
            <w:hideMark/>
          </w:tcPr>
          <w:p w14:paraId="4DAAEEBF" w14:textId="77777777" w:rsidR="00432520" w:rsidRPr="00675182" w:rsidRDefault="00432520">
            <w:pPr>
              <w:keepNext/>
              <w:keepLines/>
              <w:suppressAutoHyphens w:val="0"/>
              <w:jc w:val="center"/>
              <w:rPr>
                <w:rFonts w:eastAsia="Times New Roman" w:cstheme="minorHAnsi"/>
                <w:b/>
                <w:szCs w:val="24"/>
                <w:lang w:eastAsia="lv-LV"/>
              </w:rPr>
            </w:pPr>
            <w:r w:rsidRPr="00675182">
              <w:rPr>
                <w:rFonts w:eastAsia="Times New Roman" w:cstheme="minorHAnsi"/>
                <w:b/>
                <w:szCs w:val="24"/>
                <w:lang w:eastAsia="lv-LV"/>
              </w:rPr>
              <w:t>Plānotais zonējums</w:t>
            </w:r>
          </w:p>
        </w:tc>
        <w:tc>
          <w:tcPr>
            <w:tcW w:w="1422" w:type="pct"/>
            <w:gridSpan w:val="2"/>
            <w:tcBorders>
              <w:top w:val="single" w:sz="4" w:space="0" w:color="auto"/>
              <w:left w:val="single" w:sz="4" w:space="0" w:color="auto"/>
              <w:bottom w:val="single" w:sz="4" w:space="0" w:color="auto"/>
              <w:right w:val="single" w:sz="4" w:space="0" w:color="auto"/>
            </w:tcBorders>
            <w:shd w:val="clear" w:color="auto" w:fill="D6E3BC"/>
          </w:tcPr>
          <w:p w14:paraId="5F872058" w14:textId="74F75136" w:rsidR="00432520" w:rsidRPr="00675182" w:rsidRDefault="00432520">
            <w:pPr>
              <w:keepNext/>
              <w:keepLines/>
              <w:suppressAutoHyphens w:val="0"/>
              <w:jc w:val="center"/>
              <w:rPr>
                <w:rFonts w:eastAsia="Times New Roman" w:cstheme="minorHAnsi"/>
                <w:b/>
                <w:szCs w:val="24"/>
                <w:lang w:eastAsia="lv-LV"/>
              </w:rPr>
            </w:pPr>
            <w:r w:rsidRPr="00675182">
              <w:rPr>
                <w:rFonts w:eastAsia="Times New Roman" w:cstheme="minorHAnsi"/>
                <w:b/>
                <w:szCs w:val="24"/>
                <w:lang w:eastAsia="lv-LV"/>
              </w:rPr>
              <w:t>Izmaiņas</w:t>
            </w:r>
          </w:p>
        </w:tc>
      </w:tr>
      <w:tr w:rsidR="0081368F" w:rsidRPr="00675182" w14:paraId="42A66D95" w14:textId="5DF0B08D" w:rsidTr="00DF0F68">
        <w:trPr>
          <w:trHeight w:val="315"/>
          <w:tblHeader/>
        </w:trPr>
        <w:tc>
          <w:tcPr>
            <w:tcW w:w="732" w:type="pct"/>
            <w:vMerge/>
            <w:tcBorders>
              <w:top w:val="single" w:sz="4" w:space="0" w:color="auto"/>
              <w:left w:val="single" w:sz="4" w:space="0" w:color="auto"/>
              <w:bottom w:val="single" w:sz="4" w:space="0" w:color="auto"/>
              <w:right w:val="single" w:sz="4" w:space="0" w:color="auto"/>
            </w:tcBorders>
            <w:vAlign w:val="center"/>
            <w:hideMark/>
          </w:tcPr>
          <w:p w14:paraId="5E526966" w14:textId="77777777" w:rsidR="0081368F" w:rsidRPr="00675182" w:rsidRDefault="0081368F">
            <w:pPr>
              <w:suppressAutoHyphens w:val="0"/>
              <w:rPr>
                <w:rFonts w:eastAsia="Times New Roman" w:cstheme="minorHAnsi"/>
                <w:b/>
                <w:szCs w:val="24"/>
                <w:lang w:eastAsia="lv-LV"/>
              </w:rPr>
            </w:pPr>
          </w:p>
        </w:tc>
        <w:tc>
          <w:tcPr>
            <w:tcW w:w="711" w:type="pct"/>
            <w:tcBorders>
              <w:top w:val="single" w:sz="4" w:space="0" w:color="auto"/>
              <w:left w:val="nil"/>
              <w:bottom w:val="single" w:sz="4" w:space="0" w:color="auto"/>
              <w:right w:val="single" w:sz="4" w:space="0" w:color="auto"/>
            </w:tcBorders>
            <w:shd w:val="clear" w:color="auto" w:fill="D6E3BC"/>
            <w:vAlign w:val="center"/>
            <w:hideMark/>
          </w:tcPr>
          <w:p w14:paraId="1AA25409" w14:textId="77777777" w:rsidR="0081368F" w:rsidRPr="00675182" w:rsidRDefault="0081368F">
            <w:pPr>
              <w:keepNext/>
              <w:keepLines/>
              <w:suppressAutoHyphens w:val="0"/>
              <w:jc w:val="center"/>
              <w:rPr>
                <w:rFonts w:eastAsia="Times New Roman" w:cstheme="minorHAnsi"/>
                <w:b/>
                <w:szCs w:val="24"/>
                <w:lang w:eastAsia="lv-LV"/>
              </w:rPr>
            </w:pPr>
            <w:r w:rsidRPr="00675182">
              <w:rPr>
                <w:rFonts w:eastAsia="Times New Roman" w:cstheme="minorHAnsi"/>
                <w:b/>
                <w:szCs w:val="24"/>
                <w:lang w:eastAsia="lv-LV"/>
              </w:rPr>
              <w:t>Platība, ha</w:t>
            </w:r>
          </w:p>
        </w:tc>
        <w:tc>
          <w:tcPr>
            <w:tcW w:w="712"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607E98E9" w14:textId="54069252" w:rsidR="0081368F" w:rsidRPr="00675182" w:rsidRDefault="0081368F">
            <w:pPr>
              <w:keepNext/>
              <w:keepLines/>
              <w:suppressAutoHyphens w:val="0"/>
              <w:jc w:val="center"/>
              <w:rPr>
                <w:rFonts w:eastAsia="Times New Roman" w:cstheme="minorHAnsi"/>
                <w:b/>
                <w:szCs w:val="24"/>
                <w:lang w:eastAsia="lv-LV"/>
              </w:rPr>
            </w:pPr>
            <w:r w:rsidRPr="00675182">
              <w:rPr>
                <w:rFonts w:eastAsia="Times New Roman" w:cstheme="minorHAnsi"/>
                <w:b/>
                <w:szCs w:val="24"/>
                <w:lang w:eastAsia="lv-LV"/>
              </w:rPr>
              <w:t>Platība no GNP, %</w:t>
            </w:r>
          </w:p>
        </w:tc>
        <w:tc>
          <w:tcPr>
            <w:tcW w:w="712" w:type="pct"/>
            <w:tcBorders>
              <w:top w:val="single" w:sz="4" w:space="0" w:color="auto"/>
              <w:left w:val="single" w:sz="4" w:space="0" w:color="auto"/>
              <w:bottom w:val="single" w:sz="4" w:space="0" w:color="auto"/>
              <w:right w:val="single" w:sz="4" w:space="0" w:color="auto"/>
            </w:tcBorders>
            <w:shd w:val="clear" w:color="auto" w:fill="D6E3BC"/>
            <w:noWrap/>
            <w:vAlign w:val="center"/>
            <w:hideMark/>
          </w:tcPr>
          <w:p w14:paraId="73BD12F6" w14:textId="77777777" w:rsidR="0081368F" w:rsidRPr="00675182" w:rsidRDefault="0081368F">
            <w:pPr>
              <w:keepNext/>
              <w:keepLines/>
              <w:suppressAutoHyphens w:val="0"/>
              <w:jc w:val="center"/>
              <w:rPr>
                <w:rFonts w:eastAsia="Times New Roman" w:cstheme="minorHAnsi"/>
                <w:b/>
                <w:szCs w:val="24"/>
                <w:lang w:eastAsia="lv-LV"/>
              </w:rPr>
            </w:pPr>
            <w:r w:rsidRPr="00675182">
              <w:rPr>
                <w:rFonts w:eastAsia="Times New Roman" w:cstheme="minorHAnsi"/>
                <w:b/>
                <w:szCs w:val="24"/>
                <w:lang w:eastAsia="lv-LV"/>
              </w:rPr>
              <w:t>Platība, ha</w:t>
            </w:r>
          </w:p>
        </w:tc>
        <w:tc>
          <w:tcPr>
            <w:tcW w:w="711" w:type="pct"/>
            <w:tcBorders>
              <w:top w:val="single" w:sz="4" w:space="0" w:color="auto"/>
              <w:left w:val="single" w:sz="4" w:space="0" w:color="auto"/>
              <w:bottom w:val="single" w:sz="4" w:space="0" w:color="auto"/>
              <w:right w:val="single" w:sz="4" w:space="0" w:color="auto"/>
            </w:tcBorders>
            <w:shd w:val="clear" w:color="auto" w:fill="D6E3BC"/>
            <w:noWrap/>
            <w:vAlign w:val="center"/>
            <w:hideMark/>
          </w:tcPr>
          <w:p w14:paraId="378D4BEC" w14:textId="5A11C6B2" w:rsidR="0081368F" w:rsidRPr="00675182" w:rsidRDefault="0081368F">
            <w:pPr>
              <w:keepNext/>
              <w:keepLines/>
              <w:suppressAutoHyphens w:val="0"/>
              <w:jc w:val="center"/>
              <w:rPr>
                <w:rFonts w:eastAsia="Times New Roman" w:cstheme="minorHAnsi"/>
                <w:b/>
                <w:szCs w:val="24"/>
                <w:lang w:eastAsia="lv-LV"/>
              </w:rPr>
            </w:pPr>
            <w:r w:rsidRPr="00675182">
              <w:rPr>
                <w:rFonts w:eastAsia="Times New Roman" w:cstheme="minorHAnsi"/>
                <w:b/>
                <w:szCs w:val="24"/>
                <w:lang w:eastAsia="lv-LV"/>
              </w:rPr>
              <w:t>Platība no GNP, %</w:t>
            </w:r>
          </w:p>
        </w:tc>
        <w:tc>
          <w:tcPr>
            <w:tcW w:w="711" w:type="pct"/>
            <w:tcBorders>
              <w:top w:val="single" w:sz="4" w:space="0" w:color="auto"/>
              <w:left w:val="single" w:sz="4" w:space="0" w:color="auto"/>
              <w:bottom w:val="single" w:sz="4" w:space="0" w:color="auto"/>
              <w:right w:val="single" w:sz="4" w:space="0" w:color="auto"/>
            </w:tcBorders>
            <w:shd w:val="clear" w:color="auto" w:fill="D6E3BC"/>
          </w:tcPr>
          <w:p w14:paraId="75B1F03B" w14:textId="6DFC2C50" w:rsidR="0081368F" w:rsidRPr="00675182" w:rsidRDefault="00432520">
            <w:pPr>
              <w:keepNext/>
              <w:keepLines/>
              <w:suppressAutoHyphens w:val="0"/>
              <w:jc w:val="center"/>
              <w:rPr>
                <w:rFonts w:eastAsia="Times New Roman" w:cstheme="minorHAnsi"/>
                <w:b/>
                <w:szCs w:val="24"/>
                <w:lang w:eastAsia="lv-LV"/>
              </w:rPr>
            </w:pPr>
            <w:r w:rsidRPr="00675182">
              <w:rPr>
                <w:rFonts w:eastAsia="Times New Roman" w:cstheme="minorHAnsi"/>
                <w:b/>
                <w:szCs w:val="24"/>
                <w:lang w:eastAsia="lv-LV"/>
              </w:rPr>
              <w:t>ha</w:t>
            </w:r>
          </w:p>
        </w:tc>
        <w:tc>
          <w:tcPr>
            <w:tcW w:w="711" w:type="pct"/>
            <w:tcBorders>
              <w:top w:val="single" w:sz="4" w:space="0" w:color="auto"/>
              <w:left w:val="single" w:sz="4" w:space="0" w:color="auto"/>
              <w:bottom w:val="single" w:sz="4" w:space="0" w:color="auto"/>
              <w:right w:val="single" w:sz="4" w:space="0" w:color="auto"/>
            </w:tcBorders>
            <w:shd w:val="clear" w:color="auto" w:fill="D6E3BC"/>
          </w:tcPr>
          <w:p w14:paraId="4659ED90" w14:textId="7E3CF5E4" w:rsidR="0081368F" w:rsidRPr="00675182" w:rsidRDefault="00432520">
            <w:pPr>
              <w:keepNext/>
              <w:keepLines/>
              <w:suppressAutoHyphens w:val="0"/>
              <w:jc w:val="center"/>
              <w:rPr>
                <w:rFonts w:eastAsia="Times New Roman" w:cstheme="minorHAnsi"/>
                <w:b/>
                <w:szCs w:val="24"/>
                <w:lang w:eastAsia="lv-LV"/>
              </w:rPr>
            </w:pPr>
            <w:r w:rsidRPr="00675182">
              <w:rPr>
                <w:rFonts w:eastAsia="Times New Roman" w:cstheme="minorHAnsi"/>
                <w:b/>
                <w:szCs w:val="24"/>
                <w:lang w:eastAsia="lv-LV"/>
              </w:rPr>
              <w:t>%</w:t>
            </w:r>
          </w:p>
        </w:tc>
      </w:tr>
      <w:tr w:rsidR="00DF0F68" w:rsidRPr="00675182" w14:paraId="7B10FA10" w14:textId="02FB76F9" w:rsidTr="00DF0F68">
        <w:trPr>
          <w:trHeight w:val="315"/>
        </w:trPr>
        <w:tc>
          <w:tcPr>
            <w:tcW w:w="732" w:type="pct"/>
            <w:tcBorders>
              <w:top w:val="nil"/>
              <w:left w:val="single" w:sz="4" w:space="0" w:color="auto"/>
              <w:bottom w:val="single" w:sz="4" w:space="0" w:color="auto"/>
              <w:right w:val="single" w:sz="4" w:space="0" w:color="auto"/>
            </w:tcBorders>
            <w:noWrap/>
            <w:vAlign w:val="bottom"/>
          </w:tcPr>
          <w:p w14:paraId="05C6C699" w14:textId="160D1C27" w:rsidR="00DF0F68" w:rsidRPr="00675182" w:rsidRDefault="00DF0F68" w:rsidP="00DF0F68">
            <w:pPr>
              <w:keepNext/>
              <w:keepLines/>
              <w:suppressAutoHyphens w:val="0"/>
              <w:rPr>
                <w:rFonts w:eastAsia="Times New Roman" w:cstheme="minorHAnsi"/>
                <w:szCs w:val="24"/>
                <w:lang w:eastAsia="lv-LV"/>
              </w:rPr>
            </w:pPr>
            <w:r w:rsidRPr="00675182">
              <w:rPr>
                <w:rFonts w:cstheme="minorHAnsi"/>
                <w:color w:val="000000"/>
                <w:szCs w:val="24"/>
              </w:rPr>
              <w:t>Dabas rezervāta jeb stingrā režīma zona</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35BD8A6A" w14:textId="165EA9C4" w:rsidR="00DF0F68" w:rsidRPr="00675182" w:rsidRDefault="00DF0F68" w:rsidP="00DF0F68">
            <w:pPr>
              <w:jc w:val="center"/>
              <w:rPr>
                <w:rFonts w:cstheme="minorHAnsi"/>
                <w:szCs w:val="24"/>
              </w:rPr>
            </w:pPr>
            <w:r w:rsidRPr="00675182">
              <w:rPr>
                <w:rFonts w:ascii="Calibri" w:hAnsi="Calibri"/>
                <w:color w:val="000000"/>
                <w:szCs w:val="24"/>
              </w:rPr>
              <w:t>3685</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4373CC24" w14:textId="41FB1268" w:rsidR="00DF0F68" w:rsidRPr="00675182" w:rsidRDefault="00DF0F68" w:rsidP="00DF0F68">
            <w:pPr>
              <w:jc w:val="center"/>
              <w:rPr>
                <w:rFonts w:cstheme="minorHAnsi"/>
                <w:szCs w:val="24"/>
              </w:rPr>
            </w:pPr>
            <w:r w:rsidRPr="00675182">
              <w:rPr>
                <w:rFonts w:ascii="Calibri" w:hAnsi="Calibri"/>
                <w:color w:val="000000"/>
                <w:szCs w:val="24"/>
              </w:rPr>
              <w:t>4</w:t>
            </w:r>
          </w:p>
        </w:tc>
        <w:tc>
          <w:tcPr>
            <w:tcW w:w="712" w:type="pct"/>
            <w:tcBorders>
              <w:top w:val="single" w:sz="4" w:space="0" w:color="auto"/>
              <w:left w:val="nil"/>
              <w:bottom w:val="single" w:sz="4" w:space="0" w:color="auto"/>
              <w:right w:val="single" w:sz="4" w:space="0" w:color="auto"/>
            </w:tcBorders>
            <w:shd w:val="clear" w:color="auto" w:fill="auto"/>
            <w:noWrap/>
            <w:vAlign w:val="center"/>
          </w:tcPr>
          <w:p w14:paraId="4C6B4D6E" w14:textId="5E9CB470" w:rsidR="00DF0F68" w:rsidRPr="00675182" w:rsidRDefault="00DF0F68" w:rsidP="00DF0F68">
            <w:pPr>
              <w:keepNext/>
              <w:keepLines/>
              <w:suppressAutoHyphens w:val="0"/>
              <w:jc w:val="center"/>
              <w:rPr>
                <w:rFonts w:cstheme="minorHAnsi"/>
                <w:szCs w:val="24"/>
              </w:rPr>
            </w:pPr>
            <w:r w:rsidRPr="00675182">
              <w:rPr>
                <w:rFonts w:ascii="Calibri" w:hAnsi="Calibri"/>
                <w:color w:val="000000"/>
                <w:szCs w:val="24"/>
              </w:rPr>
              <w:t>3678</w:t>
            </w:r>
          </w:p>
        </w:tc>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865252" w14:textId="22C9C49A" w:rsidR="00DF0F68" w:rsidRPr="00675182" w:rsidRDefault="00DF0F68" w:rsidP="00DF0F68">
            <w:pPr>
              <w:keepNext/>
              <w:keepLines/>
              <w:suppressAutoHyphens w:val="0"/>
              <w:jc w:val="center"/>
              <w:rPr>
                <w:rFonts w:cstheme="minorHAnsi"/>
                <w:szCs w:val="24"/>
              </w:rPr>
            </w:pPr>
            <w:r w:rsidRPr="00675182">
              <w:rPr>
                <w:rFonts w:ascii="Calibri" w:hAnsi="Calibri"/>
                <w:color w:val="000000"/>
                <w:szCs w:val="24"/>
              </w:rPr>
              <w:t>4</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040FD0C7" w14:textId="4C5466E9" w:rsidR="00DF0F68" w:rsidRPr="00675182" w:rsidRDefault="00DF0F68" w:rsidP="00DF0F68">
            <w:pPr>
              <w:keepNext/>
              <w:keepLines/>
              <w:suppressAutoHyphens w:val="0"/>
              <w:jc w:val="center"/>
              <w:rPr>
                <w:rFonts w:cstheme="minorHAnsi"/>
                <w:color w:val="000000"/>
                <w:szCs w:val="24"/>
              </w:rPr>
            </w:pPr>
            <w:r w:rsidRPr="00675182">
              <w:rPr>
                <w:rFonts w:ascii="Calibri" w:hAnsi="Calibri"/>
                <w:color w:val="000000"/>
                <w:szCs w:val="24"/>
              </w:rPr>
              <w:t>-7</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6DC91D1D" w14:textId="2C5603FD" w:rsidR="00DF0F68" w:rsidRPr="00675182" w:rsidRDefault="00DF0F68" w:rsidP="00DF0F68">
            <w:pPr>
              <w:keepNext/>
              <w:keepLines/>
              <w:suppressAutoHyphens w:val="0"/>
              <w:jc w:val="center"/>
              <w:rPr>
                <w:rFonts w:cstheme="minorHAnsi"/>
                <w:color w:val="000000"/>
                <w:szCs w:val="24"/>
              </w:rPr>
            </w:pPr>
            <w:r w:rsidRPr="00675182">
              <w:rPr>
                <w:rFonts w:ascii="Calibri" w:hAnsi="Calibri"/>
                <w:color w:val="000000"/>
                <w:szCs w:val="24"/>
              </w:rPr>
              <w:t>-0,01</w:t>
            </w:r>
          </w:p>
        </w:tc>
      </w:tr>
      <w:tr w:rsidR="00DF0F68" w:rsidRPr="00675182" w14:paraId="01A6BD9D" w14:textId="576EC28F" w:rsidTr="00DF0F68">
        <w:trPr>
          <w:trHeight w:val="315"/>
        </w:trPr>
        <w:tc>
          <w:tcPr>
            <w:tcW w:w="732" w:type="pct"/>
            <w:tcBorders>
              <w:top w:val="nil"/>
              <w:left w:val="single" w:sz="4" w:space="0" w:color="auto"/>
              <w:bottom w:val="single" w:sz="4" w:space="0" w:color="auto"/>
              <w:right w:val="single" w:sz="4" w:space="0" w:color="auto"/>
            </w:tcBorders>
            <w:noWrap/>
            <w:vAlign w:val="bottom"/>
          </w:tcPr>
          <w:p w14:paraId="555635B1" w14:textId="3049A7F7" w:rsidR="00DF0F68" w:rsidRPr="00675182" w:rsidRDefault="00DF0F68" w:rsidP="00DF0F68">
            <w:pPr>
              <w:keepNext/>
              <w:keepLines/>
              <w:suppressAutoHyphens w:val="0"/>
              <w:rPr>
                <w:rFonts w:eastAsia="Times New Roman" w:cstheme="minorHAnsi"/>
                <w:szCs w:val="24"/>
                <w:lang w:eastAsia="lv-LV"/>
              </w:rPr>
            </w:pPr>
            <w:r w:rsidRPr="00675182">
              <w:rPr>
                <w:rFonts w:cstheme="minorHAnsi"/>
                <w:color w:val="000000"/>
                <w:szCs w:val="24"/>
              </w:rPr>
              <w:t>Dabas lieguma zona</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6756A722" w14:textId="20CFAB9D" w:rsidR="00DF0F68" w:rsidRPr="00675182" w:rsidRDefault="00DF0F68" w:rsidP="00DF0F68">
            <w:pPr>
              <w:jc w:val="center"/>
              <w:rPr>
                <w:rFonts w:cstheme="minorHAnsi"/>
                <w:szCs w:val="24"/>
              </w:rPr>
            </w:pPr>
            <w:r w:rsidRPr="00675182">
              <w:rPr>
                <w:rFonts w:ascii="Calibri" w:hAnsi="Calibri"/>
                <w:color w:val="000000"/>
                <w:szCs w:val="24"/>
              </w:rPr>
              <w:t>31884</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0256A968" w14:textId="00CD2CCB" w:rsidR="00DF0F68" w:rsidRPr="00675182" w:rsidRDefault="00DF0F68" w:rsidP="00DF0F68">
            <w:pPr>
              <w:jc w:val="center"/>
              <w:rPr>
                <w:rFonts w:cstheme="minorHAnsi"/>
                <w:szCs w:val="24"/>
              </w:rPr>
            </w:pPr>
            <w:r w:rsidRPr="00675182">
              <w:rPr>
                <w:rFonts w:ascii="Calibri" w:hAnsi="Calibri"/>
                <w:color w:val="000000"/>
                <w:szCs w:val="24"/>
              </w:rPr>
              <w:t>35</w:t>
            </w:r>
          </w:p>
        </w:tc>
        <w:tc>
          <w:tcPr>
            <w:tcW w:w="712" w:type="pct"/>
            <w:tcBorders>
              <w:top w:val="single" w:sz="4" w:space="0" w:color="auto"/>
              <w:left w:val="nil"/>
              <w:bottom w:val="single" w:sz="4" w:space="0" w:color="auto"/>
              <w:right w:val="single" w:sz="4" w:space="0" w:color="auto"/>
            </w:tcBorders>
            <w:shd w:val="clear" w:color="auto" w:fill="auto"/>
            <w:noWrap/>
            <w:vAlign w:val="center"/>
          </w:tcPr>
          <w:p w14:paraId="51ADBD64" w14:textId="2183521C" w:rsidR="00DF0F68" w:rsidRPr="00675182" w:rsidRDefault="00DF0F68" w:rsidP="00DF0F68">
            <w:pPr>
              <w:jc w:val="center"/>
              <w:rPr>
                <w:rFonts w:cstheme="minorHAnsi"/>
                <w:szCs w:val="24"/>
              </w:rPr>
            </w:pPr>
            <w:r w:rsidRPr="00675182">
              <w:rPr>
                <w:rFonts w:ascii="Calibri" w:hAnsi="Calibri"/>
                <w:color w:val="000000"/>
                <w:szCs w:val="24"/>
              </w:rPr>
              <w:t>2901</w:t>
            </w:r>
            <w:r w:rsidR="004A42EC" w:rsidRPr="00675182">
              <w:rPr>
                <w:rFonts w:ascii="Calibri" w:hAnsi="Calibri"/>
                <w:color w:val="000000"/>
                <w:szCs w:val="24"/>
              </w:rPr>
              <w:t>8</w:t>
            </w:r>
          </w:p>
        </w:tc>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479188" w14:textId="551741E3" w:rsidR="00DF0F68" w:rsidRPr="00675182" w:rsidRDefault="00DF0F68" w:rsidP="00DF0F68">
            <w:pPr>
              <w:jc w:val="center"/>
              <w:rPr>
                <w:rFonts w:cstheme="minorHAnsi"/>
                <w:szCs w:val="24"/>
              </w:rPr>
            </w:pPr>
            <w:r w:rsidRPr="00675182">
              <w:rPr>
                <w:rFonts w:ascii="Calibri" w:hAnsi="Calibri"/>
                <w:color w:val="000000"/>
                <w:szCs w:val="24"/>
              </w:rPr>
              <w:t>32</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4F2ABB32" w14:textId="155B0EA4" w:rsidR="00DF0F68" w:rsidRPr="00675182" w:rsidRDefault="00DF0F68" w:rsidP="00DF0F68">
            <w:pPr>
              <w:jc w:val="center"/>
              <w:rPr>
                <w:rFonts w:cstheme="minorHAnsi"/>
                <w:color w:val="000000"/>
                <w:szCs w:val="24"/>
              </w:rPr>
            </w:pPr>
            <w:r w:rsidRPr="00675182">
              <w:rPr>
                <w:rFonts w:ascii="Calibri" w:hAnsi="Calibri"/>
                <w:color w:val="000000"/>
                <w:szCs w:val="24"/>
              </w:rPr>
              <w:t>-28</w:t>
            </w:r>
            <w:r w:rsidR="004A42EC" w:rsidRPr="00675182">
              <w:rPr>
                <w:rFonts w:ascii="Calibri" w:hAnsi="Calibri"/>
                <w:color w:val="000000"/>
                <w:szCs w:val="24"/>
              </w:rPr>
              <w:t>64</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355C3F70" w14:textId="178C3F7C" w:rsidR="00DF0F68" w:rsidRPr="00675182" w:rsidRDefault="00DF0F68" w:rsidP="00DF0F68">
            <w:pPr>
              <w:jc w:val="center"/>
              <w:rPr>
                <w:rFonts w:cstheme="minorHAnsi"/>
                <w:color w:val="000000"/>
                <w:szCs w:val="24"/>
              </w:rPr>
            </w:pPr>
            <w:r w:rsidRPr="00675182">
              <w:rPr>
                <w:rFonts w:ascii="Calibri" w:hAnsi="Calibri"/>
                <w:color w:val="000000"/>
                <w:szCs w:val="24"/>
              </w:rPr>
              <w:t>-3,4</w:t>
            </w:r>
          </w:p>
        </w:tc>
      </w:tr>
      <w:tr w:rsidR="00DF0F68" w:rsidRPr="00675182" w14:paraId="39570DD0" w14:textId="2EFA7019" w:rsidTr="00DF0F68">
        <w:trPr>
          <w:trHeight w:val="315"/>
        </w:trPr>
        <w:tc>
          <w:tcPr>
            <w:tcW w:w="732" w:type="pct"/>
            <w:tcBorders>
              <w:top w:val="single" w:sz="4" w:space="0" w:color="auto"/>
              <w:left w:val="single" w:sz="4" w:space="0" w:color="auto"/>
              <w:bottom w:val="single" w:sz="4" w:space="0" w:color="auto"/>
              <w:right w:val="single" w:sz="4" w:space="0" w:color="auto"/>
            </w:tcBorders>
            <w:noWrap/>
            <w:vAlign w:val="bottom"/>
          </w:tcPr>
          <w:p w14:paraId="74C4F424" w14:textId="3F16B507" w:rsidR="00DF0F68" w:rsidRPr="00675182" w:rsidRDefault="00DF0F68" w:rsidP="00DF0F68">
            <w:pPr>
              <w:keepNext/>
              <w:keepLines/>
              <w:suppressAutoHyphens w:val="0"/>
              <w:rPr>
                <w:rFonts w:eastAsia="Times New Roman" w:cstheme="minorHAnsi"/>
                <w:szCs w:val="24"/>
                <w:lang w:eastAsia="lv-LV"/>
              </w:rPr>
            </w:pPr>
            <w:r w:rsidRPr="00675182">
              <w:rPr>
                <w:rFonts w:eastAsia="Times New Roman" w:cstheme="minorHAnsi"/>
                <w:szCs w:val="24"/>
                <w:lang w:eastAsia="lv-LV"/>
              </w:rPr>
              <w:t>Dabas parka zona</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42D70D8D" w14:textId="006F51FD" w:rsidR="00DF0F68" w:rsidRPr="00675182" w:rsidRDefault="00DF0F68" w:rsidP="00DF0F68">
            <w:pPr>
              <w:jc w:val="center"/>
              <w:rPr>
                <w:rFonts w:cstheme="minorHAnsi"/>
                <w:szCs w:val="24"/>
              </w:rPr>
            </w:pPr>
            <w:r w:rsidRPr="00675182">
              <w:rPr>
                <w:rFonts w:ascii="Calibri" w:hAnsi="Calibri"/>
                <w:color w:val="000000"/>
                <w:szCs w:val="24"/>
              </w:rPr>
              <w:t>0</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4F2FC4FF" w14:textId="77676DF6" w:rsidR="00DF0F68" w:rsidRPr="00675182" w:rsidRDefault="00DF0F68" w:rsidP="00DF0F68">
            <w:pPr>
              <w:jc w:val="center"/>
              <w:rPr>
                <w:rFonts w:cstheme="minorHAnsi"/>
                <w:szCs w:val="24"/>
              </w:rPr>
            </w:pPr>
            <w:r w:rsidRPr="00675182">
              <w:rPr>
                <w:rFonts w:ascii="Calibri" w:hAnsi="Calibri"/>
                <w:color w:val="000000"/>
                <w:szCs w:val="24"/>
              </w:rPr>
              <w:t>0</w:t>
            </w:r>
          </w:p>
        </w:tc>
        <w:tc>
          <w:tcPr>
            <w:tcW w:w="712" w:type="pct"/>
            <w:tcBorders>
              <w:top w:val="single" w:sz="4" w:space="0" w:color="auto"/>
              <w:left w:val="nil"/>
              <w:bottom w:val="single" w:sz="4" w:space="0" w:color="auto"/>
              <w:right w:val="single" w:sz="4" w:space="0" w:color="auto"/>
            </w:tcBorders>
            <w:shd w:val="clear" w:color="auto" w:fill="auto"/>
            <w:noWrap/>
            <w:vAlign w:val="center"/>
          </w:tcPr>
          <w:p w14:paraId="76A53E41" w14:textId="097F9171" w:rsidR="00DF0F68" w:rsidRPr="00675182" w:rsidRDefault="00DF0F68" w:rsidP="00DF0F68">
            <w:pPr>
              <w:jc w:val="center"/>
              <w:rPr>
                <w:rFonts w:cstheme="minorHAnsi"/>
                <w:szCs w:val="24"/>
              </w:rPr>
            </w:pPr>
            <w:r w:rsidRPr="00675182">
              <w:rPr>
                <w:rFonts w:ascii="Calibri" w:hAnsi="Calibri"/>
                <w:color w:val="000000"/>
                <w:szCs w:val="24"/>
              </w:rPr>
              <w:t>1042</w:t>
            </w:r>
            <w:r w:rsidR="004A42EC" w:rsidRPr="00675182">
              <w:rPr>
                <w:rFonts w:ascii="Calibri" w:hAnsi="Calibri"/>
                <w:color w:val="000000"/>
                <w:szCs w:val="24"/>
              </w:rPr>
              <w:t>2</w:t>
            </w:r>
          </w:p>
        </w:tc>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5238BA" w14:textId="23D5416C" w:rsidR="00DF0F68" w:rsidRPr="00675182" w:rsidRDefault="00DF0F68" w:rsidP="00DF0F68">
            <w:pPr>
              <w:jc w:val="center"/>
              <w:rPr>
                <w:rFonts w:cstheme="minorHAnsi"/>
                <w:szCs w:val="24"/>
              </w:rPr>
            </w:pPr>
            <w:r w:rsidRPr="00675182">
              <w:rPr>
                <w:rFonts w:ascii="Calibri" w:hAnsi="Calibri"/>
                <w:color w:val="000000"/>
                <w:szCs w:val="24"/>
              </w:rPr>
              <w:t>11</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58AB42B3" w14:textId="2E0415C2" w:rsidR="00DF0F68" w:rsidRPr="00675182" w:rsidRDefault="00DF0F68" w:rsidP="00DF0F68">
            <w:pPr>
              <w:jc w:val="center"/>
              <w:rPr>
                <w:rFonts w:cstheme="minorHAnsi"/>
                <w:color w:val="000000"/>
                <w:szCs w:val="24"/>
              </w:rPr>
            </w:pPr>
            <w:r w:rsidRPr="00675182">
              <w:rPr>
                <w:rFonts w:ascii="Calibri" w:hAnsi="Calibri"/>
                <w:color w:val="000000"/>
                <w:szCs w:val="24"/>
              </w:rPr>
              <w:t>1042</w:t>
            </w:r>
            <w:r w:rsidR="004A42EC" w:rsidRPr="00675182">
              <w:rPr>
                <w:rFonts w:ascii="Calibri" w:hAnsi="Calibri"/>
                <w:color w:val="000000"/>
                <w:szCs w:val="24"/>
              </w:rPr>
              <w:t>2</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3D2AC224" w14:textId="56B3D6C3" w:rsidR="00DF0F68" w:rsidRPr="00675182" w:rsidRDefault="00DF0F68" w:rsidP="00DF0F68">
            <w:pPr>
              <w:jc w:val="center"/>
              <w:rPr>
                <w:rFonts w:cstheme="minorHAnsi"/>
                <w:color w:val="000000"/>
                <w:szCs w:val="24"/>
              </w:rPr>
            </w:pPr>
            <w:r w:rsidRPr="00675182">
              <w:rPr>
                <w:rFonts w:ascii="Calibri" w:hAnsi="Calibri"/>
                <w:color w:val="000000"/>
                <w:szCs w:val="24"/>
              </w:rPr>
              <w:t>11,4</w:t>
            </w:r>
          </w:p>
        </w:tc>
      </w:tr>
      <w:tr w:rsidR="00DF0F68" w:rsidRPr="00675182" w14:paraId="2949EB68" w14:textId="2C66B53F" w:rsidTr="00DF0F68">
        <w:trPr>
          <w:trHeight w:val="315"/>
        </w:trPr>
        <w:tc>
          <w:tcPr>
            <w:tcW w:w="732" w:type="pct"/>
            <w:tcBorders>
              <w:top w:val="single" w:sz="4" w:space="0" w:color="auto"/>
              <w:left w:val="single" w:sz="4" w:space="0" w:color="auto"/>
              <w:bottom w:val="single" w:sz="4" w:space="0" w:color="auto"/>
              <w:right w:val="single" w:sz="4" w:space="0" w:color="auto"/>
            </w:tcBorders>
            <w:noWrap/>
            <w:vAlign w:val="bottom"/>
          </w:tcPr>
          <w:p w14:paraId="5BB9C106" w14:textId="54640BA9" w:rsidR="00DF0F68" w:rsidRPr="00675182" w:rsidRDefault="00DF0F68" w:rsidP="00DF0F68">
            <w:pPr>
              <w:keepNext/>
              <w:keepLines/>
              <w:suppressAutoHyphens w:val="0"/>
              <w:rPr>
                <w:rFonts w:eastAsia="Times New Roman" w:cstheme="minorHAnsi"/>
                <w:szCs w:val="24"/>
                <w:lang w:eastAsia="lv-LV"/>
              </w:rPr>
            </w:pPr>
            <w:r w:rsidRPr="00675182">
              <w:rPr>
                <w:rFonts w:cstheme="minorHAnsi"/>
                <w:color w:val="000000"/>
                <w:szCs w:val="24"/>
              </w:rPr>
              <w:t>Ainavu aizsardzības zona</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002EE291" w14:textId="24BBC631" w:rsidR="00DF0F68" w:rsidRPr="00675182" w:rsidRDefault="00DF0F68" w:rsidP="00DF0F68">
            <w:pPr>
              <w:jc w:val="center"/>
              <w:rPr>
                <w:rFonts w:cstheme="minorHAnsi"/>
                <w:szCs w:val="24"/>
              </w:rPr>
            </w:pPr>
            <w:r w:rsidRPr="00675182">
              <w:rPr>
                <w:rFonts w:ascii="Calibri" w:hAnsi="Calibri"/>
                <w:color w:val="000000"/>
                <w:szCs w:val="24"/>
              </w:rPr>
              <w:t>41812</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21B690EC" w14:textId="22D96E33" w:rsidR="00DF0F68" w:rsidRPr="00675182" w:rsidRDefault="00DF0F68" w:rsidP="00DF0F68">
            <w:pPr>
              <w:jc w:val="center"/>
              <w:rPr>
                <w:rFonts w:cstheme="minorHAnsi"/>
                <w:szCs w:val="24"/>
              </w:rPr>
            </w:pPr>
            <w:r w:rsidRPr="00675182">
              <w:rPr>
                <w:rFonts w:ascii="Calibri" w:hAnsi="Calibri"/>
                <w:color w:val="000000"/>
                <w:szCs w:val="24"/>
              </w:rPr>
              <w:t>46</w:t>
            </w:r>
          </w:p>
        </w:tc>
        <w:tc>
          <w:tcPr>
            <w:tcW w:w="712" w:type="pct"/>
            <w:tcBorders>
              <w:top w:val="single" w:sz="4" w:space="0" w:color="auto"/>
              <w:left w:val="nil"/>
              <w:bottom w:val="single" w:sz="4" w:space="0" w:color="auto"/>
              <w:right w:val="single" w:sz="4" w:space="0" w:color="auto"/>
            </w:tcBorders>
            <w:shd w:val="clear" w:color="auto" w:fill="auto"/>
            <w:noWrap/>
            <w:vAlign w:val="center"/>
          </w:tcPr>
          <w:p w14:paraId="73E262B5" w14:textId="007340BA" w:rsidR="00DF0F68" w:rsidRPr="00675182" w:rsidRDefault="00DF0F68" w:rsidP="00DF0F68">
            <w:pPr>
              <w:jc w:val="center"/>
              <w:rPr>
                <w:rFonts w:cstheme="minorHAnsi"/>
                <w:szCs w:val="24"/>
              </w:rPr>
            </w:pPr>
            <w:r w:rsidRPr="00675182">
              <w:rPr>
                <w:rFonts w:ascii="Calibri" w:hAnsi="Calibri"/>
                <w:color w:val="000000"/>
                <w:szCs w:val="24"/>
              </w:rPr>
              <w:t>4306</w:t>
            </w:r>
            <w:r w:rsidR="004A42EC" w:rsidRPr="00675182">
              <w:rPr>
                <w:rFonts w:ascii="Calibri" w:hAnsi="Calibri"/>
                <w:color w:val="000000"/>
                <w:szCs w:val="24"/>
              </w:rPr>
              <w:t>5</w:t>
            </w:r>
          </w:p>
        </w:tc>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F1B217" w14:textId="10B36C6C" w:rsidR="00DF0F68" w:rsidRPr="00675182" w:rsidRDefault="00DF0F68" w:rsidP="00DF0F68">
            <w:pPr>
              <w:jc w:val="center"/>
              <w:rPr>
                <w:rFonts w:cstheme="minorHAnsi"/>
                <w:szCs w:val="24"/>
              </w:rPr>
            </w:pPr>
            <w:r w:rsidRPr="00675182">
              <w:rPr>
                <w:rFonts w:ascii="Calibri" w:hAnsi="Calibri"/>
                <w:color w:val="000000"/>
                <w:szCs w:val="24"/>
              </w:rPr>
              <w:t>47</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7B440760" w14:textId="2C41E8BA" w:rsidR="00DF0F68" w:rsidRPr="00675182" w:rsidRDefault="00DF0F68" w:rsidP="00DF0F68">
            <w:pPr>
              <w:jc w:val="center"/>
              <w:rPr>
                <w:rFonts w:cstheme="minorHAnsi"/>
                <w:color w:val="000000"/>
                <w:szCs w:val="24"/>
              </w:rPr>
            </w:pPr>
            <w:r w:rsidRPr="00675182">
              <w:rPr>
                <w:rFonts w:ascii="Calibri" w:hAnsi="Calibri"/>
                <w:color w:val="000000"/>
                <w:szCs w:val="24"/>
              </w:rPr>
              <w:t>125</w:t>
            </w:r>
            <w:r w:rsidR="004A42EC" w:rsidRPr="00675182">
              <w:rPr>
                <w:rFonts w:ascii="Calibri" w:hAnsi="Calibri"/>
                <w:color w:val="000000"/>
                <w:szCs w:val="24"/>
              </w:rPr>
              <w:t>3</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7BDBF7BD" w14:textId="1C884C75" w:rsidR="00DF0F68" w:rsidRPr="00675182" w:rsidRDefault="00DF0F68" w:rsidP="00DF0F68">
            <w:pPr>
              <w:jc w:val="center"/>
              <w:rPr>
                <w:rFonts w:cstheme="minorHAnsi"/>
                <w:color w:val="000000"/>
                <w:szCs w:val="24"/>
              </w:rPr>
            </w:pPr>
            <w:r w:rsidRPr="00675182">
              <w:rPr>
                <w:rFonts w:ascii="Calibri" w:hAnsi="Calibri"/>
                <w:color w:val="000000"/>
                <w:szCs w:val="24"/>
              </w:rPr>
              <w:t>0,9</w:t>
            </w:r>
          </w:p>
        </w:tc>
      </w:tr>
      <w:tr w:rsidR="00DF0F68" w:rsidRPr="00675182" w14:paraId="687BB769" w14:textId="40BC1641" w:rsidTr="00DF0F68">
        <w:trPr>
          <w:trHeight w:val="315"/>
        </w:trPr>
        <w:tc>
          <w:tcPr>
            <w:tcW w:w="732" w:type="pct"/>
            <w:tcBorders>
              <w:top w:val="single" w:sz="4" w:space="0" w:color="auto"/>
              <w:left w:val="single" w:sz="4" w:space="0" w:color="auto"/>
              <w:bottom w:val="single" w:sz="4" w:space="0" w:color="auto"/>
              <w:right w:val="single" w:sz="4" w:space="0" w:color="auto"/>
            </w:tcBorders>
            <w:noWrap/>
            <w:vAlign w:val="bottom"/>
          </w:tcPr>
          <w:p w14:paraId="0A6F91C7" w14:textId="1349910C" w:rsidR="00DF0F68" w:rsidRPr="00675182" w:rsidRDefault="00DF0F68" w:rsidP="00DF0F68">
            <w:pPr>
              <w:keepNext/>
              <w:keepLines/>
              <w:suppressAutoHyphens w:val="0"/>
              <w:rPr>
                <w:rFonts w:eastAsia="Times New Roman" w:cstheme="minorHAnsi"/>
                <w:szCs w:val="24"/>
                <w:lang w:eastAsia="lv-LV"/>
              </w:rPr>
            </w:pPr>
            <w:r w:rsidRPr="00675182">
              <w:rPr>
                <w:rFonts w:cstheme="minorHAnsi"/>
                <w:color w:val="000000"/>
                <w:szCs w:val="24"/>
              </w:rPr>
              <w:t>Kultūrvēsturiskā zona</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75382B46" w14:textId="38984141" w:rsidR="00DF0F68" w:rsidRPr="00675182" w:rsidRDefault="00DF0F68" w:rsidP="00DF0F68">
            <w:pPr>
              <w:jc w:val="center"/>
              <w:rPr>
                <w:rFonts w:cstheme="minorHAnsi"/>
                <w:szCs w:val="24"/>
              </w:rPr>
            </w:pPr>
            <w:r w:rsidRPr="00675182">
              <w:rPr>
                <w:rFonts w:ascii="Calibri" w:hAnsi="Calibri"/>
                <w:color w:val="000000"/>
                <w:szCs w:val="24"/>
              </w:rPr>
              <w:t>2569</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06E10E2D" w14:textId="2375F59E" w:rsidR="00DF0F68" w:rsidRPr="00675182" w:rsidRDefault="00DF0F68" w:rsidP="00DF0F68">
            <w:pPr>
              <w:jc w:val="center"/>
              <w:rPr>
                <w:rFonts w:cstheme="minorHAnsi"/>
                <w:szCs w:val="24"/>
              </w:rPr>
            </w:pPr>
            <w:r w:rsidRPr="00675182">
              <w:rPr>
                <w:rFonts w:ascii="Calibri" w:hAnsi="Calibri"/>
                <w:color w:val="000000"/>
                <w:szCs w:val="24"/>
              </w:rPr>
              <w:t>3</w:t>
            </w:r>
          </w:p>
        </w:tc>
        <w:tc>
          <w:tcPr>
            <w:tcW w:w="712" w:type="pct"/>
            <w:tcBorders>
              <w:top w:val="single" w:sz="4" w:space="0" w:color="auto"/>
              <w:left w:val="nil"/>
              <w:bottom w:val="single" w:sz="4" w:space="0" w:color="auto"/>
              <w:right w:val="single" w:sz="4" w:space="0" w:color="auto"/>
            </w:tcBorders>
            <w:shd w:val="clear" w:color="auto" w:fill="auto"/>
            <w:noWrap/>
            <w:vAlign w:val="center"/>
          </w:tcPr>
          <w:p w14:paraId="02E97DA3" w14:textId="2EF27421" w:rsidR="00DF0F68" w:rsidRPr="00675182" w:rsidRDefault="00DF0F68" w:rsidP="00DF0F68">
            <w:pPr>
              <w:jc w:val="center"/>
              <w:rPr>
                <w:rFonts w:cstheme="minorHAnsi"/>
                <w:szCs w:val="24"/>
              </w:rPr>
            </w:pPr>
            <w:r w:rsidRPr="00675182">
              <w:rPr>
                <w:rFonts w:ascii="Calibri" w:hAnsi="Calibri"/>
                <w:color w:val="000000"/>
                <w:szCs w:val="24"/>
              </w:rPr>
              <w:t>0</w:t>
            </w:r>
          </w:p>
        </w:tc>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858CE9" w14:textId="7C702D90" w:rsidR="00DF0F68" w:rsidRPr="00675182" w:rsidRDefault="00DF0F68" w:rsidP="00DF0F68">
            <w:pPr>
              <w:jc w:val="center"/>
              <w:rPr>
                <w:rFonts w:cstheme="minorHAnsi"/>
                <w:szCs w:val="24"/>
              </w:rPr>
            </w:pPr>
            <w:r w:rsidRPr="00675182">
              <w:rPr>
                <w:rFonts w:ascii="Calibri" w:hAnsi="Calibri"/>
                <w:color w:val="000000"/>
                <w:szCs w:val="24"/>
              </w:rPr>
              <w:t>0</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0AAE9A8D" w14:textId="322B24BC" w:rsidR="00DF0F68" w:rsidRPr="00675182" w:rsidRDefault="00DF0F68" w:rsidP="00DF0F68">
            <w:pPr>
              <w:jc w:val="center"/>
              <w:rPr>
                <w:rFonts w:cstheme="minorHAnsi"/>
                <w:color w:val="000000"/>
                <w:szCs w:val="24"/>
              </w:rPr>
            </w:pPr>
            <w:r w:rsidRPr="00675182">
              <w:rPr>
                <w:rFonts w:ascii="Calibri" w:hAnsi="Calibri"/>
                <w:color w:val="000000"/>
                <w:szCs w:val="24"/>
              </w:rPr>
              <w:t>-2569</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676BCC04" w14:textId="26D81ED7" w:rsidR="00DF0F68" w:rsidRPr="00675182" w:rsidRDefault="00DF0F68" w:rsidP="00DF0F68">
            <w:pPr>
              <w:jc w:val="center"/>
              <w:rPr>
                <w:rFonts w:cstheme="minorHAnsi"/>
                <w:color w:val="000000"/>
                <w:szCs w:val="24"/>
              </w:rPr>
            </w:pPr>
            <w:r w:rsidRPr="00675182">
              <w:rPr>
                <w:rFonts w:ascii="Calibri" w:hAnsi="Calibri"/>
                <w:color w:val="000000"/>
                <w:szCs w:val="24"/>
              </w:rPr>
              <w:t>-3,0</w:t>
            </w:r>
          </w:p>
        </w:tc>
      </w:tr>
      <w:tr w:rsidR="00DF0F68" w:rsidRPr="00675182" w14:paraId="06FDF7C0" w14:textId="2D7EA985" w:rsidTr="00DF0F68">
        <w:trPr>
          <w:trHeight w:val="315"/>
        </w:trPr>
        <w:tc>
          <w:tcPr>
            <w:tcW w:w="732" w:type="pct"/>
            <w:tcBorders>
              <w:top w:val="single" w:sz="4" w:space="0" w:color="auto"/>
              <w:left w:val="single" w:sz="4" w:space="0" w:color="auto"/>
              <w:bottom w:val="single" w:sz="4" w:space="0" w:color="auto"/>
              <w:right w:val="single" w:sz="4" w:space="0" w:color="auto"/>
            </w:tcBorders>
            <w:noWrap/>
            <w:vAlign w:val="bottom"/>
          </w:tcPr>
          <w:p w14:paraId="7ABF0060" w14:textId="10485878" w:rsidR="00DF0F68" w:rsidRPr="00675182" w:rsidRDefault="00DF0F68" w:rsidP="00DF0F68">
            <w:pPr>
              <w:keepNext/>
              <w:keepLines/>
              <w:suppressAutoHyphens w:val="0"/>
              <w:rPr>
                <w:rFonts w:eastAsia="Times New Roman" w:cstheme="minorHAnsi"/>
                <w:szCs w:val="24"/>
                <w:lang w:eastAsia="lv-LV"/>
              </w:rPr>
            </w:pPr>
            <w:r w:rsidRPr="00675182">
              <w:rPr>
                <w:rFonts w:cstheme="minorHAnsi"/>
                <w:color w:val="000000"/>
                <w:szCs w:val="24"/>
              </w:rPr>
              <w:t>Neitrālā zona</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0C7E4C14" w14:textId="3D33A84E" w:rsidR="00DF0F68" w:rsidRPr="00675182" w:rsidRDefault="00DF0F68" w:rsidP="00DF0F68">
            <w:pPr>
              <w:jc w:val="center"/>
              <w:rPr>
                <w:rFonts w:cstheme="minorHAnsi"/>
                <w:szCs w:val="24"/>
              </w:rPr>
            </w:pPr>
            <w:r w:rsidRPr="00675182">
              <w:rPr>
                <w:rFonts w:ascii="Calibri" w:hAnsi="Calibri"/>
                <w:color w:val="000000"/>
                <w:szCs w:val="24"/>
              </w:rPr>
              <w:t>11838</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64394FA3" w14:textId="2204C385" w:rsidR="00DF0F68" w:rsidRPr="00675182" w:rsidRDefault="00DF0F68" w:rsidP="00DF0F68">
            <w:pPr>
              <w:jc w:val="center"/>
              <w:rPr>
                <w:rFonts w:cstheme="minorHAnsi"/>
                <w:szCs w:val="24"/>
              </w:rPr>
            </w:pPr>
            <w:r w:rsidRPr="00675182">
              <w:rPr>
                <w:rFonts w:ascii="Calibri" w:hAnsi="Calibri"/>
                <w:color w:val="000000"/>
                <w:szCs w:val="24"/>
              </w:rPr>
              <w:t>13</w:t>
            </w:r>
          </w:p>
        </w:tc>
        <w:tc>
          <w:tcPr>
            <w:tcW w:w="712" w:type="pct"/>
            <w:tcBorders>
              <w:top w:val="single" w:sz="4" w:space="0" w:color="auto"/>
              <w:left w:val="nil"/>
              <w:bottom w:val="single" w:sz="4" w:space="0" w:color="auto"/>
              <w:right w:val="single" w:sz="4" w:space="0" w:color="auto"/>
            </w:tcBorders>
            <w:shd w:val="clear" w:color="auto" w:fill="auto"/>
            <w:noWrap/>
            <w:vAlign w:val="center"/>
          </w:tcPr>
          <w:p w14:paraId="05B11F26" w14:textId="04060F17" w:rsidR="00DF0F68" w:rsidRPr="00675182" w:rsidRDefault="00DF0F68" w:rsidP="00DF0F68">
            <w:pPr>
              <w:jc w:val="center"/>
              <w:rPr>
                <w:rFonts w:cstheme="minorHAnsi"/>
                <w:szCs w:val="24"/>
              </w:rPr>
            </w:pPr>
            <w:r w:rsidRPr="00675182">
              <w:rPr>
                <w:rFonts w:ascii="Calibri" w:hAnsi="Calibri"/>
                <w:color w:val="000000"/>
                <w:szCs w:val="24"/>
              </w:rPr>
              <w:t>558</w:t>
            </w:r>
            <w:r w:rsidR="004A42EC" w:rsidRPr="00675182">
              <w:rPr>
                <w:rFonts w:ascii="Calibri" w:hAnsi="Calibri"/>
                <w:color w:val="000000"/>
                <w:szCs w:val="24"/>
              </w:rPr>
              <w:t>5</w:t>
            </w:r>
          </w:p>
        </w:tc>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049CBD" w14:textId="21375BFE" w:rsidR="00DF0F68" w:rsidRPr="00675182" w:rsidRDefault="00DF0F68" w:rsidP="00DF0F68">
            <w:pPr>
              <w:jc w:val="center"/>
              <w:rPr>
                <w:rFonts w:cstheme="minorHAnsi"/>
                <w:szCs w:val="24"/>
              </w:rPr>
            </w:pPr>
            <w:r w:rsidRPr="00675182">
              <w:rPr>
                <w:rFonts w:ascii="Calibri" w:hAnsi="Calibri"/>
                <w:color w:val="000000"/>
                <w:szCs w:val="24"/>
              </w:rPr>
              <w:t>6</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6F3A14A7" w14:textId="25B0D3D5" w:rsidR="00DF0F68" w:rsidRPr="00675182" w:rsidRDefault="00DF0F68" w:rsidP="00DF0F68">
            <w:pPr>
              <w:jc w:val="center"/>
              <w:rPr>
                <w:rFonts w:cstheme="minorHAnsi"/>
                <w:color w:val="000000"/>
                <w:szCs w:val="24"/>
              </w:rPr>
            </w:pPr>
            <w:r w:rsidRPr="00675182">
              <w:rPr>
                <w:rFonts w:ascii="Calibri" w:hAnsi="Calibri"/>
                <w:color w:val="000000"/>
                <w:szCs w:val="24"/>
              </w:rPr>
              <w:t>-625</w:t>
            </w:r>
            <w:r w:rsidR="004A42EC" w:rsidRPr="00675182">
              <w:rPr>
                <w:rFonts w:ascii="Calibri" w:hAnsi="Calibri"/>
                <w:color w:val="000000"/>
                <w:szCs w:val="24"/>
              </w:rPr>
              <w:t>3</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2237337F" w14:textId="0B86272E" w:rsidR="00DF0F68" w:rsidRPr="00675182" w:rsidRDefault="00DF0F68" w:rsidP="00DF0F68">
            <w:pPr>
              <w:jc w:val="center"/>
              <w:rPr>
                <w:rFonts w:cstheme="minorHAnsi"/>
                <w:color w:val="000000"/>
                <w:szCs w:val="24"/>
              </w:rPr>
            </w:pPr>
            <w:r w:rsidRPr="00675182">
              <w:rPr>
                <w:rFonts w:ascii="Calibri" w:hAnsi="Calibri"/>
                <w:color w:val="000000"/>
                <w:szCs w:val="24"/>
              </w:rPr>
              <w:t>-6,9</w:t>
            </w:r>
          </w:p>
        </w:tc>
      </w:tr>
    </w:tbl>
    <w:p w14:paraId="3E45C4C1" w14:textId="77777777" w:rsidR="00CE749C" w:rsidRPr="00675182" w:rsidRDefault="00C30E98">
      <w:pPr>
        <w:suppressAutoHyphens w:val="0"/>
        <w:rPr>
          <w:rFonts w:cstheme="minorHAnsi"/>
          <w:szCs w:val="24"/>
        </w:rPr>
        <w:sectPr w:rsidR="00CE749C" w:rsidRPr="00675182" w:rsidSect="00CA79C6">
          <w:headerReference w:type="default" r:id="rId301"/>
          <w:pgSz w:w="16837" w:h="11905" w:orient="landscape"/>
          <w:pgMar w:top="1797" w:right="1440" w:bottom="1797" w:left="1440" w:header="720" w:footer="720" w:gutter="0"/>
          <w:cols w:space="720"/>
          <w:docGrid w:linePitch="360"/>
        </w:sectPr>
      </w:pPr>
      <w:r w:rsidRPr="00675182">
        <w:rPr>
          <w:rFonts w:cstheme="minorHAnsi"/>
          <w:szCs w:val="24"/>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7"/>
      </w:tblGrid>
      <w:tr w:rsidR="00CE749C" w:rsidRPr="00675182" w14:paraId="0390157D" w14:textId="77777777" w:rsidTr="00A81C97">
        <w:tc>
          <w:tcPr>
            <w:tcW w:w="5000" w:type="pct"/>
          </w:tcPr>
          <w:p w14:paraId="438294B7" w14:textId="103B4D76" w:rsidR="00CE749C" w:rsidRPr="00675182" w:rsidRDefault="00C4557E" w:rsidP="002B3341">
            <w:pPr>
              <w:rPr>
                <w:rFonts w:eastAsia="Times New Roman" w:cstheme="minorHAnsi"/>
                <w:b/>
                <w:i/>
                <w:szCs w:val="24"/>
              </w:rPr>
            </w:pPr>
            <w:r w:rsidRPr="00675182">
              <w:rPr>
                <w:rFonts w:eastAsia="Times New Roman" w:cstheme="minorHAnsi"/>
                <w:b/>
                <w:i/>
                <w:noProof/>
                <w:szCs w:val="24"/>
              </w:rPr>
              <w:lastRenderedPageBreak/>
              <w:drawing>
                <wp:inline distT="0" distB="0" distL="0" distR="0" wp14:anchorId="0DC327C1" wp14:editId="770D2954">
                  <wp:extent cx="7172730" cy="50760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7172730" cy="5076000"/>
                          </a:xfrm>
                          <a:prstGeom prst="rect">
                            <a:avLst/>
                          </a:prstGeom>
                          <a:noFill/>
                          <a:ln>
                            <a:noFill/>
                          </a:ln>
                        </pic:spPr>
                      </pic:pic>
                    </a:graphicData>
                  </a:graphic>
                </wp:inline>
              </w:drawing>
            </w:r>
          </w:p>
        </w:tc>
      </w:tr>
      <w:tr w:rsidR="00CE749C" w:rsidRPr="00675182" w14:paraId="75B4D2F6" w14:textId="77777777" w:rsidTr="00A81C97">
        <w:tc>
          <w:tcPr>
            <w:tcW w:w="5000" w:type="pct"/>
          </w:tcPr>
          <w:p w14:paraId="49950A31" w14:textId="1E10C772" w:rsidR="00CE749C" w:rsidRPr="00675182" w:rsidRDefault="00CE749C" w:rsidP="002B3341">
            <w:pPr>
              <w:rPr>
                <w:rFonts w:eastAsia="Times New Roman" w:cstheme="minorHAnsi"/>
                <w:b/>
                <w:i/>
                <w:szCs w:val="24"/>
              </w:rPr>
            </w:pPr>
            <w:r w:rsidRPr="00675182">
              <w:rPr>
                <w:rFonts w:eastAsia="Times New Roman" w:cstheme="minorHAnsi"/>
                <w:b/>
                <w:i/>
                <w:szCs w:val="24"/>
              </w:rPr>
              <w:t>5.1. attēls. GNP piedāvātais funkcionālais zonējums</w:t>
            </w:r>
          </w:p>
        </w:tc>
      </w:tr>
    </w:tbl>
    <w:p w14:paraId="02C664EB" w14:textId="1E890EA9" w:rsidR="00CE749C" w:rsidRPr="00675182" w:rsidRDefault="00CE749C" w:rsidP="002432CC">
      <w:pPr>
        <w:suppressAutoHyphens w:val="0"/>
        <w:rPr>
          <w:rFonts w:eastAsia="Times New Roman" w:cstheme="minorHAnsi"/>
          <w:b/>
          <w:i/>
          <w:szCs w:val="24"/>
        </w:rPr>
        <w:sectPr w:rsidR="00CE749C" w:rsidRPr="00675182" w:rsidSect="00CE749C">
          <w:headerReference w:type="default" r:id="rId303"/>
          <w:pgSz w:w="16837" w:h="11905" w:orient="landscape"/>
          <w:pgMar w:top="1797" w:right="1440" w:bottom="1797" w:left="1440" w:header="720" w:footer="720" w:gutter="0"/>
          <w:cols w:space="720"/>
          <w:docGrid w:linePitch="360"/>
        </w:sectPr>
      </w:pPr>
    </w:p>
    <w:p w14:paraId="144EE6A4" w14:textId="16375092" w:rsidR="004073D8" w:rsidRPr="00675182" w:rsidRDefault="003068AA" w:rsidP="00BF7348">
      <w:pPr>
        <w:pStyle w:val="Heading2"/>
        <w:keepNext w:val="0"/>
        <w:jc w:val="both"/>
        <w:rPr>
          <w:rFonts w:cstheme="minorHAnsi"/>
          <w:i w:val="0"/>
          <w:sz w:val="24"/>
          <w:szCs w:val="24"/>
          <w:lang w:val="lv-LV"/>
        </w:rPr>
      </w:pPr>
      <w:bookmarkStart w:id="174" w:name="_Toc424661717"/>
      <w:bookmarkStart w:id="175" w:name="_Toc116938426"/>
      <w:r w:rsidRPr="00675182">
        <w:rPr>
          <w:rFonts w:cstheme="minorHAnsi"/>
          <w:i w:val="0"/>
          <w:sz w:val="24"/>
          <w:szCs w:val="24"/>
          <w:lang w:val="lv-LV"/>
        </w:rPr>
        <w:lastRenderedPageBreak/>
        <w:t>5.2. Priekšlikumi teritorijas individuālajiem aizsardzības un izmantošanas noteikumiem</w:t>
      </w:r>
      <w:bookmarkEnd w:id="174"/>
      <w:bookmarkEnd w:id="175"/>
    </w:p>
    <w:p w14:paraId="631AB6B8" w14:textId="12E0AE34" w:rsidR="002432CC" w:rsidRPr="00675182" w:rsidRDefault="002432CC" w:rsidP="002432CC"/>
    <w:p w14:paraId="41C71E91" w14:textId="142AC7BE" w:rsidR="002432CC" w:rsidRPr="00675182" w:rsidRDefault="002432CC" w:rsidP="002432CC">
      <w:pPr>
        <w:jc w:val="both"/>
      </w:pPr>
      <w:r w:rsidRPr="00675182">
        <w:t xml:space="preserve">Gaujas nacionālā parka likums (pieņemts 2009. gada 30. aprīlī) nosaka parka robežas, funkcionālās zonas, kā arī definē dažas aizliegtās un atļautās darbības. Savukārt MK </w:t>
      </w:r>
      <w:r w:rsidR="00BF7348" w:rsidRPr="00675182">
        <w:t xml:space="preserve">2012. gada 2. maija </w:t>
      </w:r>
      <w:r w:rsidRPr="00675182">
        <w:t>noteikumi Nr. 317 “Gaujas nacionālā parka individuālie aizsardzības un izmantošanas noteikumi” nosaka parka funkcionālo zonu platības un robežu aprakstus, kā arī definē individuālo aizsardzības un izmantošanas kārtību.</w:t>
      </w:r>
    </w:p>
    <w:p w14:paraId="0DA5A3E0" w14:textId="77777777" w:rsidR="002432CC" w:rsidRPr="00675182" w:rsidRDefault="002432CC" w:rsidP="002432CC">
      <w:pPr>
        <w:jc w:val="both"/>
      </w:pPr>
    </w:p>
    <w:p w14:paraId="1FF15977" w14:textId="6054615D" w:rsidR="002432CC" w:rsidRPr="00675182" w:rsidRDefault="002432CC" w:rsidP="002432CC">
      <w:pPr>
        <w:jc w:val="both"/>
      </w:pPr>
      <w:r w:rsidRPr="00675182">
        <w:t>DA plāna izstrādes ietvaros ir sagatavots priekšlikums GNP likuma un IAIN projektiem (skat</w:t>
      </w:r>
      <w:r w:rsidR="00F45066" w:rsidRPr="00675182">
        <w:t>.</w:t>
      </w:r>
      <w:r w:rsidRPr="00675182">
        <w:t xml:space="preserve"> tabulas zemāk). Ir izstrādāts priekšlikums, ka likums turpmāk varētu definēt tikai visa GNP un funkcionālo zonu mērķus un robežas, kā arī GNP pārvaldību. Savukārt IAIN projekts iekļauj nosacījumus individuālai aizsardzības un izmantošanas kārtībai gan visā GNP, gan pa zonām.</w:t>
      </w:r>
      <w:r w:rsidR="00C7086C" w:rsidRPr="00675182">
        <w:t xml:space="preserve">  </w:t>
      </w:r>
    </w:p>
    <w:p w14:paraId="0B198EED" w14:textId="6E8CD3A4" w:rsidR="00C7086C" w:rsidRPr="00675182" w:rsidRDefault="00C7086C" w:rsidP="002432CC">
      <w:pPr>
        <w:jc w:val="both"/>
      </w:pPr>
    </w:p>
    <w:p w14:paraId="45D86CFF" w14:textId="30ECFCD9" w:rsidR="00C7086C" w:rsidRPr="00675182" w:rsidRDefault="00C7086C" w:rsidP="00C7086C">
      <w:pPr>
        <w:jc w:val="both"/>
      </w:pPr>
      <w:r w:rsidRPr="00675182">
        <w:t>IAIN projekts šobrīd iekļauj nosacījumus, kuri ir:</w:t>
      </w:r>
    </w:p>
    <w:p w14:paraId="454A03C2" w14:textId="1537976A" w:rsidR="00C7086C" w:rsidRPr="00675182" w:rsidRDefault="00C7086C" w:rsidP="00A84218">
      <w:pPr>
        <w:pStyle w:val="ListParagraph"/>
        <w:numPr>
          <w:ilvl w:val="0"/>
          <w:numId w:val="66"/>
        </w:numPr>
        <w:jc w:val="both"/>
      </w:pPr>
      <w:r w:rsidRPr="00675182">
        <w:t xml:space="preserve">spēkā esošajā </w:t>
      </w:r>
      <w:r w:rsidR="003874C6" w:rsidRPr="00675182">
        <w:t>G</w:t>
      </w:r>
      <w:r w:rsidRPr="00675182">
        <w:t>NP likumā;</w:t>
      </w:r>
    </w:p>
    <w:p w14:paraId="437EFD3F" w14:textId="77777777" w:rsidR="00C7086C" w:rsidRPr="00675182" w:rsidRDefault="00C7086C" w:rsidP="00A84218">
      <w:pPr>
        <w:pStyle w:val="ListParagraph"/>
        <w:numPr>
          <w:ilvl w:val="0"/>
          <w:numId w:val="66"/>
        </w:numPr>
        <w:jc w:val="both"/>
      </w:pPr>
      <w:r w:rsidRPr="00675182">
        <w:t>spēkā esošajos MK noteikumiem Nr. 317 (esošie GNP IAIN);</w:t>
      </w:r>
    </w:p>
    <w:p w14:paraId="79C63692" w14:textId="4B5D2F72" w:rsidR="00C7086C" w:rsidRPr="00675182" w:rsidRDefault="00C7086C" w:rsidP="00A84218">
      <w:pPr>
        <w:pStyle w:val="ListParagraph"/>
        <w:numPr>
          <w:ilvl w:val="0"/>
          <w:numId w:val="66"/>
        </w:numPr>
        <w:jc w:val="both"/>
      </w:pPr>
      <w:r w:rsidRPr="00675182">
        <w:t>MK noteikumos Nr. 264 ‘’Īpaši aizsargājamo dabas teritoriju vispārējie aizsardzības un izmantošanas noteikumi’’.</w:t>
      </w:r>
    </w:p>
    <w:p w14:paraId="44287354" w14:textId="77777777" w:rsidR="00C7086C" w:rsidRPr="00675182" w:rsidRDefault="00C7086C" w:rsidP="00C7086C">
      <w:pPr>
        <w:jc w:val="both"/>
      </w:pPr>
    </w:p>
    <w:p w14:paraId="5EDD33C2" w14:textId="77777777" w:rsidR="00C7086C" w:rsidRPr="00675182" w:rsidRDefault="00C7086C" w:rsidP="00C7086C">
      <w:pPr>
        <w:jc w:val="both"/>
      </w:pPr>
      <w:r w:rsidRPr="00675182">
        <w:t>Papildus iekļauti specifiski nosacījumi:</w:t>
      </w:r>
    </w:p>
    <w:p w14:paraId="0A145793" w14:textId="77777777" w:rsidR="00C7086C" w:rsidRPr="00675182" w:rsidRDefault="00C7086C" w:rsidP="00A84218">
      <w:pPr>
        <w:pStyle w:val="ListParagraph"/>
        <w:numPr>
          <w:ilvl w:val="0"/>
          <w:numId w:val="67"/>
        </w:numPr>
        <w:jc w:val="both"/>
      </w:pPr>
      <w:r w:rsidRPr="00675182">
        <w:t>no darba grupām;</w:t>
      </w:r>
    </w:p>
    <w:p w14:paraId="49705EA5" w14:textId="77777777" w:rsidR="00C7086C" w:rsidRPr="00675182" w:rsidRDefault="00C7086C" w:rsidP="00A84218">
      <w:pPr>
        <w:pStyle w:val="ListParagraph"/>
        <w:numPr>
          <w:ilvl w:val="0"/>
          <w:numId w:val="67"/>
        </w:numPr>
        <w:jc w:val="both"/>
      </w:pPr>
      <w:r w:rsidRPr="00675182">
        <w:t>no ekspertu ierosinājumiem;</w:t>
      </w:r>
    </w:p>
    <w:p w14:paraId="76EBBB47" w14:textId="77777777" w:rsidR="00C7086C" w:rsidRPr="00675182" w:rsidRDefault="00C7086C" w:rsidP="00A84218">
      <w:pPr>
        <w:pStyle w:val="ListParagraph"/>
        <w:numPr>
          <w:ilvl w:val="0"/>
          <w:numId w:val="67"/>
        </w:numPr>
        <w:jc w:val="both"/>
      </w:pPr>
      <w:r w:rsidRPr="00675182">
        <w:t>no zemes īpašniekiem/vietējiem iedzīvotājiem;</w:t>
      </w:r>
    </w:p>
    <w:p w14:paraId="2BA0279A" w14:textId="004BAFC8" w:rsidR="00C7086C" w:rsidRPr="00675182" w:rsidRDefault="00C7086C" w:rsidP="00A84218">
      <w:pPr>
        <w:pStyle w:val="ListParagraph"/>
        <w:numPr>
          <w:ilvl w:val="0"/>
          <w:numId w:val="67"/>
        </w:numPr>
        <w:jc w:val="both"/>
      </w:pPr>
      <w:r w:rsidRPr="00675182">
        <w:t>no pašvaldībām.</w:t>
      </w:r>
    </w:p>
    <w:p w14:paraId="0D982F3A" w14:textId="22587394" w:rsidR="00C7086C" w:rsidRPr="00675182" w:rsidRDefault="00C7086C" w:rsidP="00C7086C">
      <w:pPr>
        <w:jc w:val="both"/>
      </w:pPr>
    </w:p>
    <w:p w14:paraId="665D3ED5" w14:textId="7FC44EB8" w:rsidR="00C7086C" w:rsidRPr="00675182" w:rsidRDefault="00C7086C" w:rsidP="00C7086C">
      <w:pPr>
        <w:jc w:val="both"/>
      </w:pPr>
      <w:r w:rsidRPr="00675182">
        <w:t>Likuma un IAIN redakciju gala versijas tiks sagatavotas pēc tam, kad DA plāns tiks iesniegts VARAM, kur ar šīm redakcijām strādās VARAM juristi. Likums stājās spēkā, ka to apstiprina Saeima</w:t>
      </w:r>
      <w:r w:rsidR="00BB43CC" w:rsidRPr="00675182">
        <w:t xml:space="preserve">, bet </w:t>
      </w:r>
      <w:r w:rsidR="003874C6" w:rsidRPr="00675182">
        <w:t>I</w:t>
      </w:r>
      <w:r w:rsidRPr="00675182">
        <w:t xml:space="preserve">AIN stājas spēkā, kad tos apstiprina </w:t>
      </w:r>
      <w:r w:rsidR="008A538B">
        <w:t>MK</w:t>
      </w:r>
      <w:r w:rsidRPr="00675182">
        <w:t xml:space="preserve">. </w:t>
      </w:r>
      <w:r w:rsidR="00BB43CC" w:rsidRPr="00675182">
        <w:t xml:space="preserve">Tikai tad stājas spēkā ar </w:t>
      </w:r>
      <w:r w:rsidR="008A538B">
        <w:t>DA</w:t>
      </w:r>
      <w:r w:rsidR="00BB43CC" w:rsidRPr="00675182">
        <w:t xml:space="preserve"> plānā piedāvātais zonējums. </w:t>
      </w:r>
    </w:p>
    <w:p w14:paraId="608ADCDA" w14:textId="77777777" w:rsidR="009818CD" w:rsidRPr="00675182" w:rsidRDefault="009818CD" w:rsidP="00430653">
      <w:pPr>
        <w:rPr>
          <w:rFonts w:cstheme="minorHAnsi"/>
          <w:szCs w:val="24"/>
        </w:rPr>
      </w:pPr>
    </w:p>
    <w:p w14:paraId="67660F0A" w14:textId="6E812E97" w:rsidR="009818CD" w:rsidRPr="00675182" w:rsidRDefault="00307846" w:rsidP="00430653">
      <w:pPr>
        <w:rPr>
          <w:rFonts w:cstheme="minorHAnsi"/>
          <w:b/>
          <w:bCs/>
          <w:szCs w:val="24"/>
        </w:rPr>
      </w:pPr>
      <w:r w:rsidRPr="00675182">
        <w:rPr>
          <w:rFonts w:cstheme="minorHAnsi"/>
          <w:b/>
          <w:bCs/>
          <w:szCs w:val="24"/>
          <w:highlight w:val="lightGray"/>
        </w:rPr>
        <w:t xml:space="preserve">Individuālo aizsardzības un izmantošanas noteikumu projekts un GNP likuma projekts ir pievienoti atsevišķos failos kā </w:t>
      </w:r>
      <w:r w:rsidR="00F13E8C" w:rsidRPr="00675182">
        <w:rPr>
          <w:rFonts w:cstheme="minorHAnsi"/>
          <w:b/>
          <w:bCs/>
          <w:szCs w:val="24"/>
          <w:highlight w:val="lightGray"/>
        </w:rPr>
        <w:t>33</w:t>
      </w:r>
      <w:r w:rsidR="00CF2DB2" w:rsidRPr="00675182">
        <w:rPr>
          <w:rFonts w:cstheme="minorHAnsi"/>
          <w:b/>
          <w:bCs/>
          <w:szCs w:val="24"/>
          <w:highlight w:val="lightGray"/>
        </w:rPr>
        <w:t>.</w:t>
      </w:r>
      <w:r w:rsidRPr="00675182">
        <w:rPr>
          <w:rFonts w:cstheme="minorHAnsi"/>
          <w:b/>
          <w:bCs/>
          <w:szCs w:val="24"/>
          <w:highlight w:val="lightGray"/>
        </w:rPr>
        <w:t xml:space="preserve"> un 3</w:t>
      </w:r>
      <w:r w:rsidR="00F13E8C" w:rsidRPr="00675182">
        <w:rPr>
          <w:rFonts w:cstheme="minorHAnsi"/>
          <w:b/>
          <w:bCs/>
          <w:szCs w:val="24"/>
          <w:highlight w:val="lightGray"/>
        </w:rPr>
        <w:t>4</w:t>
      </w:r>
      <w:r w:rsidRPr="00675182">
        <w:rPr>
          <w:rFonts w:cstheme="minorHAnsi"/>
          <w:b/>
          <w:bCs/>
          <w:szCs w:val="24"/>
          <w:highlight w:val="lightGray"/>
        </w:rPr>
        <w:t>. pielikums.</w:t>
      </w:r>
      <w:r w:rsidRPr="00675182">
        <w:rPr>
          <w:rFonts w:cstheme="minorHAnsi"/>
          <w:b/>
          <w:bCs/>
          <w:szCs w:val="24"/>
        </w:rPr>
        <w:t xml:space="preserve"> </w:t>
      </w:r>
    </w:p>
    <w:p w14:paraId="106DFA2E" w14:textId="77777777" w:rsidR="00307846" w:rsidRPr="00675182" w:rsidRDefault="00307846" w:rsidP="00430653">
      <w:pPr>
        <w:rPr>
          <w:rFonts w:cstheme="minorHAnsi"/>
          <w:b/>
          <w:bCs/>
          <w:szCs w:val="24"/>
        </w:rPr>
      </w:pPr>
    </w:p>
    <w:p w14:paraId="77DD212B" w14:textId="4AEA0FD3" w:rsidR="00307846" w:rsidRPr="00675182" w:rsidRDefault="00307846" w:rsidP="00430653">
      <w:pPr>
        <w:rPr>
          <w:rFonts w:cstheme="minorHAnsi"/>
          <w:b/>
          <w:bCs/>
          <w:szCs w:val="24"/>
        </w:rPr>
        <w:sectPr w:rsidR="00307846" w:rsidRPr="00675182" w:rsidSect="002432CC">
          <w:headerReference w:type="default" r:id="rId304"/>
          <w:pgSz w:w="11905" w:h="16837"/>
          <w:pgMar w:top="1440" w:right="1797" w:bottom="1440" w:left="1797" w:header="720" w:footer="720" w:gutter="0"/>
          <w:cols w:space="720"/>
          <w:docGrid w:linePitch="360"/>
        </w:sectPr>
      </w:pPr>
    </w:p>
    <w:p w14:paraId="10011E13" w14:textId="6C3D5262" w:rsidR="00011E51" w:rsidRPr="00675182" w:rsidRDefault="00011E51" w:rsidP="00A176D9">
      <w:pPr>
        <w:pStyle w:val="Heading1"/>
      </w:pPr>
      <w:bookmarkStart w:id="176" w:name="_Toc116938427"/>
      <w:r w:rsidRPr="00675182">
        <w:lastRenderedPageBreak/>
        <w:t>6. Izmantotie informācijas avoti</w:t>
      </w:r>
      <w:bookmarkEnd w:id="176"/>
      <w:r w:rsidRPr="00675182">
        <w:t xml:space="preserve"> </w:t>
      </w:r>
    </w:p>
    <w:p w14:paraId="15EB72AE" w14:textId="1ED54511" w:rsidR="008E54D4" w:rsidRPr="00675182" w:rsidRDefault="008E54D4" w:rsidP="002B3341">
      <w:pPr>
        <w:rPr>
          <w:rFonts w:cstheme="minorHAnsi"/>
        </w:rPr>
      </w:pPr>
    </w:p>
    <w:p w14:paraId="0A0888A3" w14:textId="77777777" w:rsidR="00427B54" w:rsidRPr="00675182" w:rsidRDefault="00427B54" w:rsidP="00A84218">
      <w:pPr>
        <w:pStyle w:val="ListParagraph"/>
        <w:numPr>
          <w:ilvl w:val="0"/>
          <w:numId w:val="52"/>
        </w:numPr>
        <w:suppressAutoHyphens w:val="0"/>
        <w:rPr>
          <w:rFonts w:eastAsia="Times New Roman" w:cstheme="minorHAnsi"/>
          <w:szCs w:val="24"/>
          <w:lang w:eastAsia="en-US"/>
        </w:rPr>
      </w:pPr>
      <w:r w:rsidRPr="00675182">
        <w:rPr>
          <w:rFonts w:eastAsia="Times New Roman" w:cstheme="minorHAnsi"/>
          <w:szCs w:val="24"/>
          <w:lang w:eastAsia="en-US"/>
        </w:rPr>
        <w:t>Āboltiņš O., 1971. Razvitije dolini reki Gauja. Riga. Zinātne. 107 lpp. (in Russian)</w:t>
      </w:r>
    </w:p>
    <w:p w14:paraId="0FB48769" w14:textId="787F854A" w:rsidR="00427B54" w:rsidRPr="00675182" w:rsidRDefault="00427B54" w:rsidP="00A84218">
      <w:pPr>
        <w:pStyle w:val="ListParagraph"/>
        <w:numPr>
          <w:ilvl w:val="0"/>
          <w:numId w:val="52"/>
        </w:numPr>
        <w:suppressAutoHyphens w:val="0"/>
        <w:rPr>
          <w:rFonts w:eastAsia="Times New Roman" w:cstheme="minorHAnsi"/>
          <w:szCs w:val="24"/>
          <w:lang w:eastAsia="en-US"/>
        </w:rPr>
      </w:pPr>
      <w:r w:rsidRPr="00675182">
        <w:rPr>
          <w:rFonts w:eastAsia="Times New Roman" w:cstheme="minorHAnsi"/>
          <w:szCs w:val="24"/>
          <w:lang w:eastAsia="en-US"/>
        </w:rPr>
        <w:t>Āboltiņš O., Eniņš G., 1979. Gaujas Senieleja. Stāsti par dabu. Rīga, Liesma, 135 lpp.</w:t>
      </w:r>
    </w:p>
    <w:p w14:paraId="38A912FF" w14:textId="582E9FC7" w:rsidR="00AA229B" w:rsidRPr="00675182" w:rsidRDefault="00AA229B" w:rsidP="00A84218">
      <w:pPr>
        <w:pStyle w:val="ListParagraph"/>
        <w:numPr>
          <w:ilvl w:val="0"/>
          <w:numId w:val="52"/>
        </w:numPr>
        <w:suppressAutoHyphens w:val="0"/>
        <w:jc w:val="both"/>
        <w:rPr>
          <w:rFonts w:eastAsia="Times New Roman" w:cstheme="minorHAnsi"/>
          <w:szCs w:val="24"/>
          <w:lang w:eastAsia="en-US"/>
        </w:rPr>
      </w:pPr>
      <w:r w:rsidRPr="00675182">
        <w:rPr>
          <w:rFonts w:eastAsia="Times New Roman" w:cstheme="minorHAnsi"/>
          <w:szCs w:val="24"/>
          <w:lang w:eastAsia="en-US"/>
        </w:rPr>
        <w:t>Andrušaitis G., 2003. Latvijas sarkanā grāmata. 3.sējums. Vaskulārie augi. Rīga, LU Bioloģijas institūts.</w:t>
      </w:r>
    </w:p>
    <w:p w14:paraId="494A8665" w14:textId="3A5F3DC4" w:rsidR="00AA229B" w:rsidRPr="00DE519D" w:rsidRDefault="00AA229B" w:rsidP="00A84218">
      <w:pPr>
        <w:pStyle w:val="ListParagraph"/>
        <w:numPr>
          <w:ilvl w:val="0"/>
          <w:numId w:val="52"/>
        </w:numPr>
        <w:suppressAutoHyphens w:val="0"/>
        <w:jc w:val="both"/>
        <w:rPr>
          <w:rFonts w:eastAsia="Times New Roman" w:cstheme="minorHAnsi"/>
          <w:szCs w:val="24"/>
          <w:lang w:eastAsia="en-US"/>
        </w:rPr>
      </w:pPr>
      <w:bookmarkStart w:id="177" w:name="_Hlk53508038"/>
      <w:r w:rsidRPr="00675182">
        <w:rPr>
          <w:rFonts w:cstheme="minorHAnsi"/>
        </w:rPr>
        <w:t>Auniņš A. (red.), 2013. Eiropas Savienības aizsargājamie biotopi Latvijā. Noteikšanas rokasgrāmata. 2. papildināts izdevums. Latvijas Dabas fonds, Vides aizsardzības un reģionālās attīstības ministrija, Rīga, 320 lpp.</w:t>
      </w:r>
      <w:bookmarkEnd w:id="177"/>
    </w:p>
    <w:p w14:paraId="72D162CA" w14:textId="197B5E8B" w:rsidR="00DE519D" w:rsidRPr="00675182" w:rsidRDefault="00DE519D" w:rsidP="00A84218">
      <w:pPr>
        <w:pStyle w:val="ListParagraph"/>
        <w:numPr>
          <w:ilvl w:val="0"/>
          <w:numId w:val="52"/>
        </w:numPr>
        <w:suppressAutoHyphens w:val="0"/>
        <w:jc w:val="both"/>
        <w:rPr>
          <w:rFonts w:eastAsia="Times New Roman" w:cstheme="minorHAnsi"/>
          <w:szCs w:val="24"/>
          <w:lang w:eastAsia="en-US"/>
        </w:rPr>
      </w:pPr>
      <w:r>
        <w:t>Bagrade et al. 2021. Lāču monitorings 2020.-2022. gadā. Pārskats par 2021. gadu. LVMI “Silava”, Salaspils. 20lpp</w:t>
      </w:r>
    </w:p>
    <w:p w14:paraId="4B12AEA7" w14:textId="6DB841C1"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 xml:space="preserve">Balalaikins M. (red.), 2020. Bezmugurkaulnieku monitoringa metodika Natura 2000 teritorijās. </w:t>
      </w:r>
      <w:hyperlink r:id="rId305" w:history="1">
        <w:r w:rsidR="00D777CB" w:rsidRPr="00636BAF">
          <w:rPr>
            <w:rStyle w:val="Hyperlink"/>
            <w:rFonts w:cstheme="minorHAnsi"/>
          </w:rPr>
          <w:t>https://www.daba.gov.lv/lv/natura-2000-vietu-monitoringa-metodikas</w:t>
        </w:r>
      </w:hyperlink>
      <w:r w:rsidR="00D777CB">
        <w:rPr>
          <w:rFonts w:cstheme="minorHAnsi"/>
        </w:rPr>
        <w:t xml:space="preserve"> </w:t>
      </w:r>
    </w:p>
    <w:p w14:paraId="26C30DF8" w14:textId="479D60A7"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 xml:space="preserve">Balalaikins M. (red.), 2022. Pārskats par aizsargājamām, un citādi vērtīgām bezmugurkaulnieku sugām Gaujas nacionālajā parkā, Ķemeru nacionālajā parkā un dabas liegumā “Lubāna mitrājs”. </w:t>
      </w:r>
      <w:hyperlink r:id="rId306" w:history="1">
        <w:r w:rsidR="00D777CB" w:rsidRPr="00636BAF">
          <w:rPr>
            <w:rStyle w:val="Hyperlink"/>
            <w:rFonts w:cstheme="minorHAnsi"/>
          </w:rPr>
          <w:t>https://www.daba.gov.lv/lv/media/14410/download</w:t>
        </w:r>
      </w:hyperlink>
      <w:r w:rsidR="00D777CB">
        <w:rPr>
          <w:rFonts w:cstheme="minorHAnsi"/>
        </w:rPr>
        <w:t xml:space="preserve"> </w:t>
      </w:r>
    </w:p>
    <w:p w14:paraId="23FB99A5" w14:textId="77777777" w:rsidR="00AA229B" w:rsidRPr="00675182" w:rsidRDefault="00AA229B" w:rsidP="00A84218">
      <w:pPr>
        <w:pStyle w:val="ListParagraph"/>
        <w:numPr>
          <w:ilvl w:val="0"/>
          <w:numId w:val="52"/>
        </w:numPr>
        <w:jc w:val="both"/>
        <w:rPr>
          <w:rFonts w:eastAsiaTheme="minorHAnsi" w:cstheme="minorHAnsi"/>
          <w:lang w:eastAsia="en-US"/>
        </w:rPr>
      </w:pPr>
      <w:r w:rsidRPr="00675182">
        <w:rPr>
          <w:rFonts w:cstheme="minorHAnsi"/>
        </w:rPr>
        <w:t>Balalaikins M., 2011. Latvian Curculioninae (Coleoptera: Curculionidae): 1. Tribe Cionini Schoenherr, 1825. Acta Zoologica Lituanica, 21 (1): 15-22.</w:t>
      </w:r>
    </w:p>
    <w:p w14:paraId="06420B6A"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Balalaikins M., 2012a. Latvian Entiminae (Coleoptera: Curculionidae): 4. Tribe Phyllobiini Schönherr, 1826. Acta Biol. Univ. Daugavp., 12 (1): 24 – 38.</w:t>
      </w:r>
    </w:p>
    <w:p w14:paraId="2EBC8506"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Balalaikins M., 2012b. Latvian Entiminae (Coleoptera: Curculionidae): 3. Tribe Sitonini Gistel, 1856. Acta Biol. Univ. Daugavp., 12 (1): 6 – 23.</w:t>
      </w:r>
    </w:p>
    <w:p w14:paraId="114814C5" w14:textId="39AF341D" w:rsidR="00AA229B" w:rsidRPr="00675182" w:rsidRDefault="00AA229B" w:rsidP="00A84218">
      <w:pPr>
        <w:pStyle w:val="nova-e-listitem"/>
        <w:numPr>
          <w:ilvl w:val="0"/>
          <w:numId w:val="52"/>
        </w:numPr>
        <w:shd w:val="clear" w:color="auto" w:fill="FFFFFF"/>
        <w:spacing w:beforeAutospacing="0" w:after="120" w:afterAutospacing="0"/>
        <w:jc w:val="both"/>
        <w:rPr>
          <w:rFonts w:cstheme="minorHAnsi"/>
          <w:color w:val="000000" w:themeColor="text1"/>
          <w:lang w:val="lv-LV"/>
        </w:rPr>
      </w:pPr>
      <w:r w:rsidRPr="00675182">
        <w:rPr>
          <w:rFonts w:cstheme="minorHAnsi"/>
          <w:lang w:val="lv-LV"/>
        </w:rPr>
        <w:t>Balalaikins M., 2013. Latvian Curculioninae (Coleoptera: Curculionidae): 2. Tribe Tychiini Gistel, 1848, Latvijas Entomologs,</w:t>
      </w:r>
      <w:r w:rsidRPr="00675182">
        <w:rPr>
          <w:rFonts w:cstheme="minorHAnsi"/>
          <w:color w:val="777777"/>
          <w:lang w:val="lv-LV"/>
        </w:rPr>
        <w:t xml:space="preserve"> </w:t>
      </w:r>
      <w:r w:rsidRPr="00675182">
        <w:rPr>
          <w:rFonts w:cstheme="minorHAnsi"/>
          <w:color w:val="000000" w:themeColor="text1"/>
          <w:lang w:val="lv-LV"/>
        </w:rPr>
        <w:t>52:98-118.</w:t>
      </w:r>
    </w:p>
    <w:p w14:paraId="1C0B5562" w14:textId="0ABA256E" w:rsidR="009C2095" w:rsidRPr="00675182" w:rsidRDefault="009C2095" w:rsidP="00A84218">
      <w:pPr>
        <w:pStyle w:val="ListParagraph"/>
        <w:numPr>
          <w:ilvl w:val="0"/>
          <w:numId w:val="52"/>
        </w:numPr>
        <w:jc w:val="both"/>
        <w:rPr>
          <w:rFonts w:cstheme="minorHAnsi"/>
          <w:szCs w:val="24"/>
          <w:lang w:eastAsia="zh-CN"/>
        </w:rPr>
      </w:pPr>
      <w:r w:rsidRPr="00675182">
        <w:rPr>
          <w:rFonts w:cstheme="minorHAnsi"/>
          <w:szCs w:val="24"/>
          <w:lang w:eastAsia="zh-CN"/>
        </w:rPr>
        <w:t>Balalaikins M. (red.) 2020. Bezmugurkaulnieku monitoringa metodika Natura 2000 teritorijās. https://www.daba.gov.lv/lv/natura-2000-vietu-monitoringa-metodikas</w:t>
      </w:r>
    </w:p>
    <w:p w14:paraId="116EFC9A" w14:textId="6CBB1782" w:rsidR="009C2095" w:rsidRPr="00675182" w:rsidRDefault="009C2095" w:rsidP="00A84218">
      <w:pPr>
        <w:pStyle w:val="ListParagraph"/>
        <w:numPr>
          <w:ilvl w:val="0"/>
          <w:numId w:val="52"/>
        </w:numPr>
        <w:shd w:val="clear" w:color="auto" w:fill="FFFFFF"/>
        <w:spacing w:after="120"/>
        <w:jc w:val="both"/>
        <w:rPr>
          <w:rFonts w:cstheme="minorHAnsi"/>
          <w:color w:val="000000" w:themeColor="text1"/>
        </w:rPr>
      </w:pPr>
      <w:r w:rsidRPr="00675182">
        <w:rPr>
          <w:rFonts w:cstheme="minorHAnsi"/>
          <w:szCs w:val="24"/>
          <w:lang w:eastAsia="zh-CN"/>
        </w:rPr>
        <w:t xml:space="preserve">Balalaikins M. (red.) 2022. Pārskats par </w:t>
      </w:r>
      <w:bookmarkStart w:id="178" w:name="_Hlk101366080"/>
      <w:r w:rsidRPr="00675182">
        <w:rPr>
          <w:rFonts w:cstheme="minorHAnsi"/>
          <w:szCs w:val="24"/>
          <w:lang w:eastAsia="zh-CN"/>
        </w:rPr>
        <w:t xml:space="preserve">aizsargājamām, un citādi vērtīgām bezmugurkaulnieku sugām </w:t>
      </w:r>
      <w:r w:rsidRPr="00675182">
        <w:rPr>
          <w:rFonts w:cstheme="minorHAnsi"/>
          <w:szCs w:val="24"/>
        </w:rPr>
        <w:t>Gaujas nacionālajā parkā, Ķemeru nacionālajā parkā</w:t>
      </w:r>
      <w:r w:rsidRPr="00675182">
        <w:rPr>
          <w:rFonts w:cstheme="minorHAnsi"/>
          <w:szCs w:val="24"/>
          <w:lang w:eastAsia="zh-CN"/>
        </w:rPr>
        <w:t xml:space="preserve"> un dabas liegumā “Lubāna mitrājs”</w:t>
      </w:r>
      <w:bookmarkEnd w:id="178"/>
      <w:r w:rsidRPr="00675182">
        <w:rPr>
          <w:rFonts w:cstheme="minorHAnsi"/>
          <w:szCs w:val="24"/>
          <w:lang w:eastAsia="zh-CN"/>
        </w:rPr>
        <w:t xml:space="preserve">. https://www.daba.gov.lv/lv/media/14410/download </w:t>
      </w:r>
    </w:p>
    <w:p w14:paraId="15517806" w14:textId="77777777" w:rsidR="00AA229B" w:rsidRPr="00675182" w:rsidRDefault="00AA229B" w:rsidP="00A84218">
      <w:pPr>
        <w:pStyle w:val="ListParagraph"/>
        <w:numPr>
          <w:ilvl w:val="0"/>
          <w:numId w:val="52"/>
        </w:numPr>
        <w:jc w:val="both"/>
        <w:rPr>
          <w:rFonts w:cstheme="minorHAnsi"/>
          <w:color w:val="111111"/>
          <w:szCs w:val="33"/>
          <w:shd w:val="clear" w:color="auto" w:fill="FFFFFF"/>
        </w:rPr>
      </w:pPr>
      <w:r w:rsidRPr="00675182">
        <w:rPr>
          <w:rFonts w:cstheme="minorHAnsi"/>
          <w:color w:val="111111"/>
          <w:szCs w:val="33"/>
          <w:shd w:val="clear" w:color="auto" w:fill="FFFFFF"/>
        </w:rPr>
        <w:t>Balalaikins M., Bukejs A. 2012. Latvian Molytinae (Coleoptera, Curculionidae): research history, fauna and bionomy. Acta Biologica Universitatis Daugavpiliensis, 12 (3): 2-20.</w:t>
      </w:r>
    </w:p>
    <w:p w14:paraId="71764954"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rPr>
        <w:t>Balalaikins M., Telnov D. 2012. Latvian Curculioninae (Coleoptera: Curculionidae): 3. Tribe Curculionini Latreille, 1802, Zoology and Ecology, 22.</w:t>
      </w:r>
    </w:p>
    <w:p w14:paraId="61E822D6" w14:textId="77777777" w:rsidR="00AA229B" w:rsidRPr="00675182" w:rsidRDefault="00AA229B" w:rsidP="00A84218">
      <w:pPr>
        <w:pStyle w:val="nova-e-listitem"/>
        <w:numPr>
          <w:ilvl w:val="0"/>
          <w:numId w:val="52"/>
        </w:numPr>
        <w:shd w:val="clear" w:color="auto" w:fill="FFFFFF"/>
        <w:spacing w:before="0" w:beforeAutospacing="0" w:after="0" w:afterAutospacing="0"/>
        <w:jc w:val="both"/>
        <w:rPr>
          <w:rFonts w:cstheme="minorHAnsi"/>
          <w:color w:val="000000" w:themeColor="text1"/>
          <w:lang w:val="lv-LV"/>
        </w:rPr>
      </w:pPr>
      <w:r w:rsidRPr="00675182">
        <w:rPr>
          <w:rFonts w:cstheme="minorHAnsi"/>
          <w:szCs w:val="23"/>
          <w:lang w:val="lv-LV"/>
        </w:rPr>
        <w:t>Barševskis A., Bukejs A., Anichtchenko A., 2008.  Faunistic records of the beetles (Hexapoda:Coleoptera) in Latvia. 2. Acta Biol. Univ. Daugavp., 8 (2): 227 – 258.</w:t>
      </w:r>
      <w:r w:rsidRPr="00675182">
        <w:rPr>
          <w:rFonts w:cstheme="minorHAnsi"/>
          <w:sz w:val="28"/>
          <w:lang w:val="lv-LV"/>
        </w:rPr>
        <w:t xml:space="preserve"> </w:t>
      </w:r>
    </w:p>
    <w:p w14:paraId="218D4762" w14:textId="77777777" w:rsidR="00AA229B" w:rsidRPr="00675182" w:rsidRDefault="00AA229B" w:rsidP="00A84218">
      <w:pPr>
        <w:pStyle w:val="nova-e-listitem"/>
        <w:numPr>
          <w:ilvl w:val="0"/>
          <w:numId w:val="52"/>
        </w:numPr>
        <w:shd w:val="clear" w:color="auto" w:fill="FFFFFF"/>
        <w:spacing w:before="0" w:beforeAutospacing="0" w:after="0" w:afterAutospacing="0"/>
        <w:jc w:val="both"/>
        <w:rPr>
          <w:rFonts w:cstheme="minorHAnsi"/>
          <w:color w:val="000000" w:themeColor="text1"/>
          <w:lang w:val="lv-LV"/>
        </w:rPr>
      </w:pPr>
      <w:r w:rsidRPr="00675182">
        <w:rPr>
          <w:rFonts w:cstheme="minorHAnsi"/>
          <w:lang w:val="lv-LV"/>
        </w:rPr>
        <w:t xml:space="preserve">Barševskis A., Cibuļskis R., Shavrin A., Anichtchenko A., Valainis U., Balalaikins M., Vorobjova I., Litvinceva J., 2012. Faunistic records of the beetles (Hexapoda: Coleoptera) in Latvia. 4. Acta Biol. Univ. Daugavp., 12 (4): 85 – 117. </w:t>
      </w:r>
    </w:p>
    <w:p w14:paraId="43F833B2" w14:textId="77777777" w:rsidR="00AA229B" w:rsidRPr="00675182" w:rsidRDefault="00AA229B" w:rsidP="00A84218">
      <w:pPr>
        <w:pStyle w:val="nova-e-listitem"/>
        <w:numPr>
          <w:ilvl w:val="0"/>
          <w:numId w:val="52"/>
        </w:numPr>
        <w:shd w:val="clear" w:color="auto" w:fill="FFFFFF"/>
        <w:spacing w:before="0" w:beforeAutospacing="0" w:after="0" w:afterAutospacing="0"/>
        <w:jc w:val="both"/>
        <w:rPr>
          <w:rFonts w:cstheme="minorHAnsi"/>
          <w:color w:val="000000" w:themeColor="text1"/>
          <w:lang w:val="lv-LV"/>
        </w:rPr>
      </w:pPr>
      <w:r w:rsidRPr="00675182">
        <w:rPr>
          <w:rFonts w:cstheme="minorHAnsi"/>
          <w:lang w:val="lv-LV"/>
        </w:rPr>
        <w:lastRenderedPageBreak/>
        <w:t xml:space="preserve">Barševskis A., Janovska M., Aksjuta K., Cibuļskis R., 2009. Faunistic records of the beetles(Hexapoda: Coleoptera) in Latvia. 3. Acta Biol. Univ. Daugavp., 9(2): 139 – 159. </w:t>
      </w:r>
      <w:r w:rsidRPr="00675182">
        <w:rPr>
          <w:rFonts w:cstheme="minorHAnsi"/>
          <w:i/>
          <w:iCs/>
          <w:lang w:val="lv-LV"/>
        </w:rPr>
        <w:t>(2) (PDF) Faunistic records of the beetles (Hexapoda: Coleoptera) in Latvia. 3.</w:t>
      </w:r>
    </w:p>
    <w:p w14:paraId="23E41D3D" w14:textId="169BB104" w:rsidR="00AA229B" w:rsidRDefault="00AA229B" w:rsidP="00A84218">
      <w:pPr>
        <w:pStyle w:val="nova-e-listitem"/>
        <w:numPr>
          <w:ilvl w:val="0"/>
          <w:numId w:val="52"/>
        </w:numPr>
        <w:shd w:val="clear" w:color="auto" w:fill="FFFFFF"/>
        <w:spacing w:before="0" w:beforeAutospacing="0" w:after="0" w:afterAutospacing="0"/>
        <w:jc w:val="both"/>
        <w:rPr>
          <w:rFonts w:cstheme="minorHAnsi"/>
          <w:lang w:val="lv-LV"/>
        </w:rPr>
      </w:pPr>
      <w:r w:rsidRPr="00675182">
        <w:rPr>
          <w:rFonts w:cstheme="minorHAnsi"/>
          <w:lang w:val="lv-LV"/>
        </w:rPr>
        <w:t xml:space="preserve">Barševskis A., Shavrin A., Anichtchenko A., Balalaikins M., Valainis U., Kivleniece I., Avgin S.S., Tamutis V., Huruk S., Cibuļskis R., Kļaviņa D., 2014. Faunistic records of the beetles (Hexapoda: Coleoptera) in Latvia. 5. Acta Biol. Univ. Daugavp., 14 (2): 115 – 122. </w:t>
      </w:r>
    </w:p>
    <w:p w14:paraId="6DE2B640" w14:textId="77777777" w:rsidR="00DE519D" w:rsidRPr="00675182" w:rsidRDefault="00DE519D" w:rsidP="00A84218">
      <w:pPr>
        <w:pStyle w:val="nova-e-listitem"/>
        <w:numPr>
          <w:ilvl w:val="0"/>
          <w:numId w:val="52"/>
        </w:numPr>
        <w:shd w:val="clear" w:color="auto" w:fill="FFFFFF"/>
        <w:spacing w:before="0" w:beforeAutospacing="0" w:after="0" w:afterAutospacing="0"/>
        <w:jc w:val="both"/>
        <w:rPr>
          <w:rFonts w:cstheme="minorHAnsi"/>
          <w:lang w:val="lv-LV"/>
        </w:rPr>
      </w:pPr>
    </w:p>
    <w:p w14:paraId="01428461" w14:textId="77777777"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Berglund H., Jonsson B. G., 2005. Verifying an extinction debt among lichens and fungi in northern swedish boreal forests. Conserv Biol. 19(2):338–48.</w:t>
      </w:r>
    </w:p>
    <w:p w14:paraId="6FDD4132" w14:textId="77777777" w:rsidR="00AA229B" w:rsidRPr="00675182" w:rsidRDefault="00AA229B" w:rsidP="00A84218">
      <w:pPr>
        <w:pStyle w:val="ListParagraph"/>
        <w:numPr>
          <w:ilvl w:val="0"/>
          <w:numId w:val="52"/>
        </w:numPr>
        <w:shd w:val="clear" w:color="auto" w:fill="FFFFFF"/>
        <w:suppressAutoHyphens w:val="0"/>
        <w:jc w:val="both"/>
        <w:rPr>
          <w:rFonts w:cstheme="minorHAnsi"/>
          <w:color w:val="000000" w:themeColor="text1"/>
        </w:rPr>
      </w:pPr>
      <w:r w:rsidRPr="00675182">
        <w:rPr>
          <w:rFonts w:eastAsia="Times New Roman" w:cstheme="minorHAnsi"/>
          <w:szCs w:val="24"/>
          <w:lang w:eastAsia="en-US"/>
        </w:rPr>
        <w:t>Biedrība “Baltijas Vides Forums”, 2006. Cēsu pilsētas dabas un kultūrvēsturiskā parka dabas aizsardzības plāns</w:t>
      </w:r>
    </w:p>
    <w:p w14:paraId="161B11B4" w14:textId="77777777"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color w:val="000000"/>
        </w:rPr>
        <w:t>BIOR Pārskats par Zivju resursu mākslīgās atražošanas plāna 2017. - 2020. gadam īstenošanu.</w:t>
      </w:r>
    </w:p>
    <w:p w14:paraId="2782F30B"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Birzaks J., 2020. Climate Change impact on Salmon (Salmo Salar) and Sea trout (Salmo trutta) in the Salaca river, latvia  Zoology and Ecology, 2020, Volume 30, Number 1 Print ISSN: 2165-8005  Online ISSN: 2165-8013 https://doi.org/10.35513/21658005.2020.1.3</w:t>
      </w:r>
    </w:p>
    <w:p w14:paraId="65B2BFDD" w14:textId="77777777" w:rsidR="00AA229B" w:rsidRPr="00675182" w:rsidRDefault="00AA229B" w:rsidP="00A84218">
      <w:pPr>
        <w:pStyle w:val="ListParagraph"/>
        <w:numPr>
          <w:ilvl w:val="0"/>
          <w:numId w:val="52"/>
        </w:numPr>
        <w:shd w:val="clear" w:color="auto" w:fill="FFFFFF"/>
        <w:suppressAutoHyphens w:val="0"/>
        <w:jc w:val="both"/>
        <w:rPr>
          <w:rFonts w:cstheme="minorHAnsi"/>
          <w:color w:val="000000" w:themeColor="text1"/>
        </w:rPr>
      </w:pPr>
      <w:r w:rsidRPr="00675182">
        <w:rPr>
          <w:rFonts w:cstheme="minorHAnsi"/>
        </w:rPr>
        <w:t>Blindow I., 1991. Interaction between submerged macrophytes and microalgae in shallow lakes. Doctoral Thesis. Lund, 112 p.</w:t>
      </w:r>
    </w:p>
    <w:p w14:paraId="15777D72" w14:textId="77777777" w:rsidR="00AA229B" w:rsidRPr="00675182" w:rsidRDefault="00AA229B" w:rsidP="00A84218">
      <w:pPr>
        <w:pStyle w:val="ListParagraph"/>
        <w:numPr>
          <w:ilvl w:val="0"/>
          <w:numId w:val="52"/>
        </w:numPr>
        <w:jc w:val="both"/>
        <w:rPr>
          <w:rFonts w:cstheme="minorHAnsi"/>
        </w:rPr>
      </w:pPr>
      <w:r w:rsidRPr="00675182">
        <w:rPr>
          <w:rFonts w:cstheme="minorHAnsi"/>
        </w:rPr>
        <w:t xml:space="preserve">Bruņeniece Z., 1987. </w:t>
      </w:r>
      <w:r w:rsidRPr="00675182">
        <w:rPr>
          <w:rFonts w:eastAsia="Times New Roman" w:cstheme="minorHAnsi"/>
          <w:szCs w:val="24"/>
          <w:lang w:eastAsia="en-US"/>
        </w:rPr>
        <w:t>„</w:t>
      </w:r>
      <w:r w:rsidRPr="00675182">
        <w:rPr>
          <w:rFonts w:cstheme="minorHAnsi"/>
        </w:rPr>
        <w:t>Gaujas nacionālā parka rāpuļi.” Diplomdarbs. Pētera Stučkas Latvijas Valsts universitāte, Bioloģijas fakultāte, Zooloģijas un ģenētikas katedra. 89 lpp.</w:t>
      </w:r>
    </w:p>
    <w:p w14:paraId="24143111" w14:textId="77777777" w:rsidR="00AA229B" w:rsidRPr="00675182" w:rsidRDefault="00AA229B" w:rsidP="00A84218">
      <w:pPr>
        <w:pStyle w:val="nova-e-listitem"/>
        <w:numPr>
          <w:ilvl w:val="0"/>
          <w:numId w:val="52"/>
        </w:numPr>
        <w:shd w:val="clear" w:color="auto" w:fill="FFFFFF"/>
        <w:spacing w:before="0" w:beforeAutospacing="0" w:after="0" w:afterAutospacing="0"/>
        <w:jc w:val="both"/>
        <w:rPr>
          <w:rFonts w:cstheme="minorHAnsi"/>
          <w:color w:val="000000" w:themeColor="text1"/>
          <w:lang w:val="lv-LV"/>
        </w:rPr>
      </w:pPr>
      <w:r w:rsidRPr="00675182">
        <w:rPr>
          <w:rFonts w:cstheme="minorHAnsi"/>
          <w:lang w:val="lv-LV"/>
        </w:rPr>
        <w:t>Bukejs A., 2012. Leaf beetles (Coleoptera: Chrysomelidae s. l.) in the collection of Institute of Biology, University of Latvia. Acta Biol. Univ. Daugavp., 12 (3): 35 – 44.</w:t>
      </w:r>
    </w:p>
    <w:p w14:paraId="35AB2AEC" w14:textId="77777777" w:rsidR="00AA229B" w:rsidRPr="00675182" w:rsidRDefault="00AA229B" w:rsidP="00A84218">
      <w:pPr>
        <w:pStyle w:val="nova-e-listitem"/>
        <w:numPr>
          <w:ilvl w:val="0"/>
          <w:numId w:val="52"/>
        </w:numPr>
        <w:shd w:val="clear" w:color="auto" w:fill="FFFFFF"/>
        <w:spacing w:beforeAutospacing="0" w:after="120" w:afterAutospacing="0"/>
        <w:jc w:val="both"/>
        <w:rPr>
          <w:rFonts w:cstheme="minorHAnsi"/>
          <w:lang w:val="lv-LV"/>
        </w:rPr>
      </w:pPr>
      <w:r w:rsidRPr="00675182">
        <w:rPr>
          <w:rFonts w:cstheme="minorHAnsi"/>
          <w:lang w:val="lv-LV"/>
        </w:rPr>
        <w:t>Bukejs A., Telnov D., 2010. On Latvian Chrysomelinae (Coleoptera: Chrysomelidae): 3. Genus Gonioctena Chevrolat, 1836. – Acta Zoologica Lituanica 20, No. 2: 119-132</w:t>
      </w:r>
    </w:p>
    <w:p w14:paraId="029A8019" w14:textId="7413CC01" w:rsidR="00AA229B" w:rsidRPr="00675182" w:rsidRDefault="00AA229B" w:rsidP="00A84218">
      <w:pPr>
        <w:pStyle w:val="nova-e-listitem"/>
        <w:numPr>
          <w:ilvl w:val="0"/>
          <w:numId w:val="52"/>
        </w:numPr>
        <w:shd w:val="clear" w:color="auto" w:fill="FFFFFF"/>
        <w:spacing w:beforeAutospacing="0" w:after="120" w:afterAutospacing="0"/>
        <w:jc w:val="both"/>
        <w:rPr>
          <w:rFonts w:cstheme="minorHAnsi"/>
          <w:lang w:val="lv-LV"/>
        </w:rPr>
      </w:pPr>
      <w:r w:rsidRPr="00675182">
        <w:rPr>
          <w:rFonts w:cstheme="minorHAnsi"/>
          <w:lang w:val="lv-LV"/>
        </w:rPr>
        <w:t xml:space="preserve">Cibuļskis R., 2011. </w:t>
      </w:r>
      <w:r w:rsidRPr="00675182">
        <w:rPr>
          <w:rStyle w:val="Strong"/>
          <w:rFonts w:eastAsia="Calibri" w:cstheme="minorHAnsi"/>
          <w:b w:val="0"/>
          <w:bCs w:val="0"/>
          <w:lang w:val="lv-LV"/>
        </w:rPr>
        <w:t>„Latvijas īsspārņu (Coleoptera: Staphylinidae) faunas revīzija”</w:t>
      </w:r>
      <w:r w:rsidRPr="00675182">
        <w:rPr>
          <w:rFonts w:cstheme="minorHAnsi"/>
          <w:lang w:val="lv-LV"/>
        </w:rPr>
        <w:t>. Promocijas darbs. Daugavpils, Daugavpils Universitāte.</w:t>
      </w:r>
    </w:p>
    <w:p w14:paraId="1A330BA3" w14:textId="1FB87240" w:rsidR="00427B54" w:rsidRPr="00675182" w:rsidRDefault="00427B54" w:rsidP="00A84218">
      <w:pPr>
        <w:pStyle w:val="nova-e-listitem"/>
        <w:numPr>
          <w:ilvl w:val="0"/>
          <w:numId w:val="52"/>
        </w:numPr>
        <w:shd w:val="clear" w:color="auto" w:fill="FFFFFF"/>
        <w:spacing w:beforeAutospacing="0" w:after="120" w:afterAutospacing="0"/>
        <w:rPr>
          <w:rFonts w:cstheme="minorHAnsi"/>
          <w:lang w:val="lv-LV"/>
        </w:rPr>
      </w:pPr>
      <w:r w:rsidRPr="00675182">
        <w:rPr>
          <w:rFonts w:cstheme="minorHAnsi"/>
          <w:lang w:val="lv-LV"/>
        </w:rPr>
        <w:t>Ciseļonoka B., 2015. Aerolāzerskenēšanas datu izmantošana lineārās erozijas formu identificēšanā un to ģeogrāfiskā izvietojuma analīzē Gaujas Nacionālā parka teritorijā. Maģistra darbs. Latvijas Universitātes Ģeogrāfijas un Zemes zinātņu fakultāte, Ģeogrāfijas nodaļa. Rīga, 69 lpp.</w:t>
      </w:r>
    </w:p>
    <w:p w14:paraId="7C30E2D2" w14:textId="77777777" w:rsidR="00AA229B" w:rsidRPr="00675182" w:rsidRDefault="00AA229B" w:rsidP="00A84218">
      <w:pPr>
        <w:pStyle w:val="nova-e-listitem"/>
        <w:numPr>
          <w:ilvl w:val="0"/>
          <w:numId w:val="52"/>
        </w:numPr>
        <w:shd w:val="clear" w:color="auto" w:fill="FFFFFF"/>
        <w:spacing w:beforeAutospacing="0" w:after="120" w:afterAutospacing="0"/>
        <w:jc w:val="both"/>
        <w:rPr>
          <w:rFonts w:cstheme="minorHAnsi"/>
          <w:lang w:val="lv-LV"/>
        </w:rPr>
      </w:pPr>
      <w:r w:rsidRPr="00675182">
        <w:rPr>
          <w:rFonts w:cstheme="minorHAnsi"/>
          <w:lang w:val="lv-LV"/>
        </w:rPr>
        <w:t>Čeirāns A., 2000. The smooth snake (Coronella austriaca Laur.) in Latvia: distribution, habitats, and conservation // Proceedings of the Latvian Academy of Sciences, section B 54 (3): 85-90.</w:t>
      </w:r>
    </w:p>
    <w:p w14:paraId="7A7A84C7" w14:textId="77777777" w:rsidR="00AA229B" w:rsidRPr="00675182" w:rsidRDefault="00AA229B" w:rsidP="00A84218">
      <w:pPr>
        <w:pStyle w:val="ListParagraph"/>
        <w:numPr>
          <w:ilvl w:val="0"/>
          <w:numId w:val="52"/>
        </w:numPr>
        <w:jc w:val="both"/>
        <w:rPr>
          <w:rFonts w:cstheme="minorHAnsi"/>
        </w:rPr>
      </w:pPr>
      <w:r w:rsidRPr="00675182">
        <w:rPr>
          <w:rFonts w:cstheme="minorHAnsi"/>
        </w:rPr>
        <w:t>Čeirāns A., 2002. Reptiles and amphibians of the Gauja National Park, Latvia // Biota, Radoživ 3 (1-2): 17-25.</w:t>
      </w:r>
    </w:p>
    <w:p w14:paraId="4944CC31" w14:textId="77777777" w:rsidR="00AA229B" w:rsidRPr="00675182" w:rsidRDefault="00AA229B" w:rsidP="00A84218">
      <w:pPr>
        <w:pStyle w:val="ListParagraph"/>
        <w:numPr>
          <w:ilvl w:val="0"/>
          <w:numId w:val="52"/>
        </w:numPr>
        <w:jc w:val="both"/>
        <w:rPr>
          <w:rFonts w:cstheme="minorHAnsi"/>
        </w:rPr>
      </w:pPr>
      <w:r w:rsidRPr="00675182">
        <w:rPr>
          <w:rFonts w:cstheme="minorHAnsi"/>
        </w:rPr>
        <w:t>Čeirāns A., 2004. Reptiles in sub-boreal forests of Eastern Europe: patterns of forest type preferences and habitat use in Anguis fragilis, Zootoca vivipara and Natrix natrix // Herpetozoa, Wien 17 (1/2): 65-74.</w:t>
      </w:r>
    </w:p>
    <w:p w14:paraId="6F5A3E0D" w14:textId="77777777" w:rsidR="00AA229B" w:rsidRPr="00675182" w:rsidRDefault="00AA229B" w:rsidP="00A84218">
      <w:pPr>
        <w:pStyle w:val="nova-e-listitem"/>
        <w:numPr>
          <w:ilvl w:val="0"/>
          <w:numId w:val="52"/>
        </w:numPr>
        <w:shd w:val="clear" w:color="auto" w:fill="FFFFFF"/>
        <w:spacing w:beforeAutospacing="0" w:after="120" w:afterAutospacing="0"/>
        <w:jc w:val="both"/>
        <w:rPr>
          <w:rFonts w:cstheme="minorHAnsi"/>
          <w:lang w:val="lv-LV"/>
        </w:rPr>
      </w:pPr>
      <w:r w:rsidRPr="00675182">
        <w:rPr>
          <w:rFonts w:cstheme="minorHAnsi"/>
          <w:lang w:val="lv-LV"/>
        </w:rPr>
        <w:lastRenderedPageBreak/>
        <w:t>Čeirāns A., 2007. Amphibians and Reptiles // In: Pilāts V. (ed.) Biodiversity of the Gauja National Park. Sigulda, Gauja National Park Administration: 194-195.</w:t>
      </w:r>
    </w:p>
    <w:p w14:paraId="740B7926" w14:textId="77777777" w:rsidR="00AA229B" w:rsidRPr="00675182" w:rsidRDefault="00AA229B" w:rsidP="00A84218">
      <w:pPr>
        <w:pStyle w:val="ListParagraph"/>
        <w:numPr>
          <w:ilvl w:val="0"/>
          <w:numId w:val="52"/>
        </w:numPr>
        <w:jc w:val="both"/>
        <w:rPr>
          <w:rFonts w:cstheme="minorHAnsi"/>
        </w:rPr>
      </w:pPr>
      <w:r w:rsidRPr="00675182">
        <w:rPr>
          <w:rFonts w:cstheme="minorHAnsi"/>
        </w:rPr>
        <w:t>Čeirāns A., Pupiņš M., 2020a. Abinieku un rāpuļu fona monitoringa metodiku rokasgrāmata. Otrais, pārstrādātais izdevums. Latgales Ekoloģiskā biedrība: 34 lpp.</w:t>
      </w:r>
    </w:p>
    <w:p w14:paraId="77338D87" w14:textId="77777777" w:rsidR="00AA229B" w:rsidRPr="00675182" w:rsidRDefault="00AA229B" w:rsidP="00A84218">
      <w:pPr>
        <w:pStyle w:val="ListParagraph"/>
        <w:numPr>
          <w:ilvl w:val="0"/>
          <w:numId w:val="52"/>
        </w:numPr>
        <w:jc w:val="both"/>
        <w:rPr>
          <w:rFonts w:cstheme="minorHAnsi"/>
          <w:szCs w:val="22"/>
        </w:rPr>
      </w:pPr>
      <w:r w:rsidRPr="00675182">
        <w:rPr>
          <w:rFonts w:cstheme="minorHAnsi"/>
        </w:rPr>
        <w:t>Čeirāns A., Pupiņš M., 2020b. Abinieku un rāpuļu Natura 2000 teritoriju monitoringa metodiku rokasgrāmata. Otrais, pārstrādātais izdevums. Latgales Ekoloģiskā biedrība: 29 lpp.</w:t>
      </w:r>
    </w:p>
    <w:p w14:paraId="0FC97573" w14:textId="77777777" w:rsidR="00AA229B" w:rsidRPr="00675182" w:rsidRDefault="00AA229B" w:rsidP="00A84218">
      <w:pPr>
        <w:pStyle w:val="ListParagraph"/>
        <w:numPr>
          <w:ilvl w:val="0"/>
          <w:numId w:val="52"/>
        </w:numPr>
        <w:jc w:val="both"/>
        <w:rPr>
          <w:rFonts w:cstheme="minorHAnsi"/>
        </w:rPr>
      </w:pPr>
      <w:r w:rsidRPr="00675182">
        <w:rPr>
          <w:rFonts w:cstheme="minorHAnsi"/>
        </w:rPr>
        <w:t>Čeirāns A., Pupiņš M., 2022. Projekta “Bezmugurkaulnieku, abinieku un rāpuļu monitorings un izpēte dabas liegumā “Lubāna mitrājs”, Gaujas nacionālajā parkā un Ķemeru nacionālajā parkā” ar identifikācijas Nr. DAP 2020/4-AK abinieku un rāpuļu iepirkuma daļas gala atskaite. – Latgales ekoloģiskā biedrība, 32 lpp.</w:t>
      </w:r>
    </w:p>
    <w:p w14:paraId="3EAB6491" w14:textId="77777777" w:rsidR="00AA229B" w:rsidRPr="00675182" w:rsidRDefault="00AA229B" w:rsidP="00A84218">
      <w:pPr>
        <w:pStyle w:val="nova-e-listitem"/>
        <w:numPr>
          <w:ilvl w:val="0"/>
          <w:numId w:val="52"/>
        </w:numPr>
        <w:shd w:val="clear" w:color="auto" w:fill="FFFFFF"/>
        <w:spacing w:beforeAutospacing="0" w:after="120" w:afterAutospacing="0"/>
        <w:jc w:val="both"/>
        <w:rPr>
          <w:rFonts w:cstheme="minorHAnsi"/>
          <w:lang w:val="lv-LV"/>
        </w:rPr>
      </w:pPr>
      <w:r w:rsidRPr="00675182">
        <w:rPr>
          <w:rFonts w:cstheme="minorHAnsi"/>
          <w:lang w:val="lv-LV"/>
        </w:rPr>
        <w:t>Čeirāns A., Pupiņš M., Pupiņa A., 2018. Abinieku un rāpuļu fona monitorings un monitorings Natura 2000 teritorijās (2016. - 2018. gadam). Daugavpils universitāte. 81 lpp.</w:t>
      </w:r>
    </w:p>
    <w:p w14:paraId="503DD376" w14:textId="77777777" w:rsidR="00AA229B" w:rsidRPr="00675182" w:rsidRDefault="00AA229B" w:rsidP="00A84218">
      <w:pPr>
        <w:pStyle w:val="nova-e-listitem"/>
        <w:numPr>
          <w:ilvl w:val="0"/>
          <w:numId w:val="52"/>
        </w:numPr>
        <w:shd w:val="clear" w:color="auto" w:fill="FFFFFF"/>
        <w:spacing w:beforeAutospacing="0" w:after="120" w:afterAutospacing="0"/>
        <w:jc w:val="both"/>
        <w:rPr>
          <w:rFonts w:cstheme="minorHAnsi"/>
          <w:lang w:val="lv-LV"/>
        </w:rPr>
      </w:pPr>
      <w:r w:rsidRPr="00675182">
        <w:rPr>
          <w:rFonts w:cstheme="minorHAnsi"/>
          <w:lang w:val="lv-LV"/>
        </w:rPr>
        <w:t>Čeirāns A., Pupiņš M., Škute A., 2019. Vadlīnijas invazīvo sugu – rotana (Perccottus glenii) un sarkanausu bruņurupuča (Trachemys scripta elegans) apkarošanai apdraudētākajās abinieku un rāpuļu populācijās Latvijā. – Daugavpils Universitāte: 43 lpp.</w:t>
      </w:r>
    </w:p>
    <w:p w14:paraId="6EE625F7" w14:textId="35974043"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Daba un Zinātne Nr. 5 (01.09.1939.). Raksts “Mūsu pagasti. Priekuļu pagasts”, autors nezināms.</w:t>
      </w:r>
    </w:p>
    <w:p w14:paraId="06890B75" w14:textId="0148548B" w:rsidR="00427B54" w:rsidRDefault="00427B54" w:rsidP="00A84218">
      <w:pPr>
        <w:pStyle w:val="ListParagraph"/>
        <w:numPr>
          <w:ilvl w:val="0"/>
          <w:numId w:val="52"/>
        </w:numPr>
        <w:rPr>
          <w:rFonts w:cstheme="minorHAnsi"/>
          <w:szCs w:val="24"/>
        </w:rPr>
      </w:pPr>
      <w:r w:rsidRPr="00675182">
        <w:rPr>
          <w:rFonts w:cstheme="minorHAnsi"/>
          <w:szCs w:val="24"/>
        </w:rPr>
        <w:t>Eberhards G., 1991. Mums tikai viena Gauja. Zinātne, Rīga, 111 lpp.</w:t>
      </w:r>
    </w:p>
    <w:p w14:paraId="4EE01AF6" w14:textId="73586E78" w:rsidR="00CF5A55" w:rsidRPr="00CF5A55" w:rsidRDefault="00CF5A55" w:rsidP="00E368F1">
      <w:pPr>
        <w:pStyle w:val="ListParagraph"/>
        <w:numPr>
          <w:ilvl w:val="0"/>
          <w:numId w:val="52"/>
        </w:numPr>
        <w:suppressAutoHyphens w:val="0"/>
        <w:jc w:val="both"/>
        <w:rPr>
          <w:rFonts w:cstheme="minorHAnsi"/>
          <w:szCs w:val="24"/>
        </w:rPr>
      </w:pPr>
      <w:r>
        <w:t xml:space="preserve">ES LIFE Programmas projekts “Natura 2000 aizsargājamo teritoriju pārvaldības un apsaimniekošanas optimizācija”, 2022. Nacionālās bioloģiskās daudzveidības monitoringa programmas apakšprogrammu pielāgošana ar mērķi konstatēt invazīvās sugas. Pieejams: </w:t>
      </w:r>
      <w:hyperlink r:id="rId307" w:history="1">
        <w:r w:rsidRPr="005702B1">
          <w:rPr>
            <w:rStyle w:val="Hyperlink"/>
          </w:rPr>
          <w:t>https://www.daba.gov.lv/lv/media/15179/download?attachment</w:t>
        </w:r>
      </w:hyperlink>
      <w:r>
        <w:t xml:space="preserve"> </w:t>
      </w:r>
    </w:p>
    <w:p w14:paraId="0E4B553E" w14:textId="77777777"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Freese A., Beneš J., Bolz R., Cizek O., Dolek M., Geyer A., Gros P., Konvicka M., Liegl A., Stettmer C., 2006. Habitat use of the endangered butterfly Euphydryas maturna and forestry in Central Europe. Animal Conservation 9: 388–397. https://doi.org/10.1111/j.1469-1795.2006.00045.x</w:t>
      </w:r>
    </w:p>
    <w:p w14:paraId="7B11DD33" w14:textId="77777777" w:rsidR="00AA229B" w:rsidRPr="00675182" w:rsidRDefault="00AA229B" w:rsidP="00A84218">
      <w:pPr>
        <w:pStyle w:val="ListParagraph"/>
        <w:numPr>
          <w:ilvl w:val="0"/>
          <w:numId w:val="52"/>
        </w:numPr>
        <w:autoSpaceDE w:val="0"/>
        <w:autoSpaceDN w:val="0"/>
        <w:adjustRightInd w:val="0"/>
        <w:jc w:val="both"/>
        <w:rPr>
          <w:rFonts w:eastAsiaTheme="minorHAnsi" w:cstheme="minorHAnsi"/>
          <w:color w:val="000000"/>
          <w:sz w:val="22"/>
          <w:lang w:eastAsia="en-US"/>
        </w:rPr>
      </w:pPr>
      <w:r w:rsidRPr="00675182">
        <w:rPr>
          <w:rFonts w:cstheme="minorHAnsi"/>
        </w:rPr>
        <w:t>Freyhof J. and Brooks E., 2011. European Red List of Freshwater Fishes.  Luxembourg: Publications Office of the European Union.</w:t>
      </w:r>
    </w:p>
    <w:p w14:paraId="775FD7C6"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Gaujas Nacionālā parka dabas aizsardzības plāns. 2004. Sigulda, Gaujas Nacionālais parks, 122 lpp.</w:t>
      </w:r>
    </w:p>
    <w:p w14:paraId="32E5B6A6" w14:textId="2E6FD54F"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Gaujas upju baseinu apgabalu apsaimniekošanas plāns 2016.-2021. gadam. 2015.</w:t>
      </w:r>
    </w:p>
    <w:p w14:paraId="681FE07E" w14:textId="7C1F8666" w:rsidR="00AA229B" w:rsidRPr="00675182" w:rsidRDefault="00AA229B" w:rsidP="00A84218">
      <w:pPr>
        <w:pStyle w:val="ListParagraph"/>
        <w:numPr>
          <w:ilvl w:val="0"/>
          <w:numId w:val="52"/>
        </w:numPr>
        <w:autoSpaceDE w:val="0"/>
        <w:autoSpaceDN w:val="0"/>
        <w:adjustRightInd w:val="0"/>
        <w:jc w:val="both"/>
        <w:rPr>
          <w:rFonts w:cstheme="minorHAnsi"/>
          <w:szCs w:val="22"/>
        </w:rPr>
      </w:pPr>
      <w:r w:rsidRPr="00675182">
        <w:rPr>
          <w:rFonts w:cstheme="minorHAnsi"/>
          <w:color w:val="000000"/>
        </w:rPr>
        <w:t xml:space="preserve">Jacoby D. and Gollock M., 2014. Anguilla anguilla. The IUCN Red List of Threatened Species 2014: e.T60344A45833138. </w:t>
      </w:r>
      <w:hyperlink r:id="rId308" w:history="1">
        <w:r w:rsidR="006B4656" w:rsidRPr="00675182">
          <w:rPr>
            <w:rStyle w:val="Hyperlink"/>
            <w:rFonts w:cstheme="minorHAnsi"/>
          </w:rPr>
          <w:t>http://dx.doi.org/10.2305/IUCN.UK.2014-1.RLTS.T60344A45833138.en</w:t>
        </w:r>
      </w:hyperlink>
    </w:p>
    <w:p w14:paraId="29F42C8C" w14:textId="0B0029F2" w:rsidR="00AA229B" w:rsidRPr="00675182" w:rsidRDefault="00AA229B" w:rsidP="00A84218">
      <w:pPr>
        <w:pStyle w:val="nova-e-listitem"/>
        <w:numPr>
          <w:ilvl w:val="0"/>
          <w:numId w:val="52"/>
        </w:numPr>
        <w:shd w:val="clear" w:color="auto" w:fill="FFFFFF"/>
        <w:spacing w:beforeAutospacing="0" w:after="120" w:afterAutospacing="0"/>
        <w:jc w:val="both"/>
        <w:rPr>
          <w:rFonts w:cstheme="minorHAnsi"/>
          <w:lang w:val="lv-LV"/>
        </w:rPr>
      </w:pPr>
      <w:r w:rsidRPr="00675182">
        <w:rPr>
          <w:rFonts w:cstheme="minorHAnsi"/>
          <w:lang w:val="lv-LV"/>
        </w:rPr>
        <w:t>Järvet A., 2014. Morphological assessment of the quality of running water bodies for the water management planning. Department of Geography, University of Tartu, Estonia. Publicationes Instituti Geographici Universitatis 110: 5 – 32.</w:t>
      </w:r>
    </w:p>
    <w:p w14:paraId="2055DA25" w14:textId="017D7341" w:rsidR="00427B54" w:rsidRPr="00675182" w:rsidRDefault="00145F8A" w:rsidP="00A84218">
      <w:pPr>
        <w:pStyle w:val="nova-e-listitem"/>
        <w:numPr>
          <w:ilvl w:val="0"/>
          <w:numId w:val="52"/>
        </w:numPr>
        <w:shd w:val="clear" w:color="auto" w:fill="FFFFFF"/>
        <w:spacing w:beforeAutospacing="0" w:after="120" w:afterAutospacing="0"/>
        <w:rPr>
          <w:rFonts w:cstheme="minorHAnsi"/>
          <w:lang w:val="lv-LV"/>
        </w:rPr>
      </w:pPr>
      <w:r w:rsidRPr="00675182">
        <w:rPr>
          <w:rFonts w:cstheme="minorHAnsi"/>
          <w:lang w:val="lv-LV"/>
        </w:rPr>
        <w:lastRenderedPageBreak/>
        <w:t>Jurģītis I., 2001. Jauns, papildināts mikrotoponīmu vākums par Inciema apkārtnes objektiem lielo gravu rajonā. Latvijas daba,  16. laidiens, 52. lpp.</w:t>
      </w:r>
    </w:p>
    <w:p w14:paraId="175DCA7B" w14:textId="77777777" w:rsidR="00AA229B" w:rsidRPr="00675182" w:rsidRDefault="00AA229B" w:rsidP="00A84218">
      <w:pPr>
        <w:pStyle w:val="ListParagraph"/>
        <w:numPr>
          <w:ilvl w:val="0"/>
          <w:numId w:val="52"/>
        </w:numPr>
        <w:jc w:val="both"/>
        <w:rPr>
          <w:rFonts w:eastAsia="Times New Roman" w:cstheme="minorHAnsi"/>
          <w:szCs w:val="24"/>
          <w:lang w:eastAsia="en-GB"/>
        </w:rPr>
      </w:pPr>
      <w:r w:rsidRPr="00675182">
        <w:rPr>
          <w:rFonts w:eastAsia="Times New Roman" w:cstheme="minorHAnsi"/>
          <w:szCs w:val="24"/>
          <w:lang w:eastAsia="en-GB"/>
        </w:rPr>
        <w:t>Kalniņš M., 2006a. Protected Aquatic Insects of Latvia - </w:t>
      </w:r>
      <w:r w:rsidRPr="00675182">
        <w:rPr>
          <w:rFonts w:eastAsia="Times New Roman" w:cstheme="minorHAnsi"/>
          <w:i/>
          <w:iCs/>
          <w:szCs w:val="24"/>
          <w:lang w:eastAsia="en-GB"/>
        </w:rPr>
        <w:t>Graphoderus bilineatus </w:t>
      </w:r>
      <w:r w:rsidRPr="00675182">
        <w:rPr>
          <w:rFonts w:eastAsia="Times New Roman" w:cstheme="minorHAnsi"/>
          <w:szCs w:val="24"/>
          <w:lang w:eastAsia="en-GB"/>
        </w:rPr>
        <w:t>(DeGeer, 1774) (Coleoptera: Dytiscidae). Latvijas entomologs: 132-137.</w:t>
      </w:r>
    </w:p>
    <w:p w14:paraId="042D9F70" w14:textId="77777777" w:rsidR="00AA229B" w:rsidRPr="00675182" w:rsidRDefault="00AA229B" w:rsidP="00A84218">
      <w:pPr>
        <w:pStyle w:val="ListParagraph"/>
        <w:numPr>
          <w:ilvl w:val="0"/>
          <w:numId w:val="52"/>
        </w:numPr>
        <w:jc w:val="both"/>
        <w:rPr>
          <w:rFonts w:eastAsia="Times New Roman" w:cstheme="minorHAnsi"/>
          <w:szCs w:val="24"/>
          <w:lang w:eastAsia="en-GB"/>
        </w:rPr>
      </w:pPr>
      <w:r w:rsidRPr="00675182">
        <w:rPr>
          <w:rFonts w:cstheme="minorHAnsi"/>
          <w:szCs w:val="24"/>
        </w:rPr>
        <w:t>Kalniņš M., 2006b. An investigation of dragonfly (Odonata) ecology at the Tītmaņu oxbow, Gauja National park, Latvia. – Acta biologica universitatis daugavpiliensis 6, No. 1/2: 103-108.</w:t>
      </w:r>
    </w:p>
    <w:p w14:paraId="654A3B7D" w14:textId="77777777" w:rsidR="00AA229B" w:rsidRPr="00675182" w:rsidRDefault="00AA229B" w:rsidP="00A84218">
      <w:pPr>
        <w:pStyle w:val="ListParagraph"/>
        <w:numPr>
          <w:ilvl w:val="0"/>
          <w:numId w:val="52"/>
        </w:numPr>
        <w:jc w:val="both"/>
        <w:rPr>
          <w:rFonts w:eastAsia="Times New Roman" w:cstheme="minorHAnsi"/>
          <w:szCs w:val="24"/>
          <w:lang w:eastAsia="en-GB"/>
        </w:rPr>
      </w:pPr>
      <w:r w:rsidRPr="00675182">
        <w:rPr>
          <w:rFonts w:eastAsia="Times New Roman" w:cstheme="minorHAnsi"/>
          <w:szCs w:val="24"/>
          <w:lang w:eastAsia="en-GB"/>
        </w:rPr>
        <w:t xml:space="preserve">Kalniņš M., 2007. Protected Aquatic Insects of Latvia – </w:t>
      </w:r>
      <w:r w:rsidRPr="00675182">
        <w:rPr>
          <w:rFonts w:eastAsia="Times New Roman" w:cstheme="minorHAnsi"/>
          <w:i/>
          <w:szCs w:val="24"/>
          <w:lang w:eastAsia="en-GB"/>
        </w:rPr>
        <w:t>Leucorrhinia pectoralis</w:t>
      </w:r>
      <w:r w:rsidRPr="00675182">
        <w:rPr>
          <w:rFonts w:eastAsia="Times New Roman" w:cstheme="minorHAnsi"/>
          <w:szCs w:val="24"/>
          <w:lang w:eastAsia="en-GB"/>
        </w:rPr>
        <w:t xml:space="preserve"> (CHARPENTIER, 1825) (Odonata: Libellulidae). – Latvijas entomologs 44: 24-30.</w:t>
      </w:r>
    </w:p>
    <w:p w14:paraId="6BD92644" w14:textId="77777777" w:rsidR="00AA229B" w:rsidRPr="00675182" w:rsidRDefault="00AA229B" w:rsidP="00A84218">
      <w:pPr>
        <w:pStyle w:val="ListParagraph"/>
        <w:numPr>
          <w:ilvl w:val="0"/>
          <w:numId w:val="52"/>
        </w:numPr>
        <w:jc w:val="both"/>
        <w:rPr>
          <w:rFonts w:eastAsia="Times New Roman" w:cstheme="minorHAnsi"/>
          <w:szCs w:val="24"/>
          <w:lang w:eastAsia="en-GB"/>
        </w:rPr>
      </w:pPr>
      <w:r w:rsidRPr="00675182">
        <w:rPr>
          <w:rFonts w:cstheme="minorHAnsi"/>
          <w:szCs w:val="24"/>
        </w:rPr>
        <w:t>Kalniņš M., 2008. Protected Aquatic Insects of Latvia - Leucorrhinia albifrons (Burmeister, 1839) and L. caudalis (Charpentier, 1840) (Odonata: Libellulidae). - Latvijas Entomologs 45: 5-13.</w:t>
      </w:r>
    </w:p>
    <w:p w14:paraId="049DE236" w14:textId="77777777" w:rsidR="00AA229B" w:rsidRPr="00675182" w:rsidRDefault="00AA229B" w:rsidP="00A84218">
      <w:pPr>
        <w:pStyle w:val="ListParagraph"/>
        <w:numPr>
          <w:ilvl w:val="0"/>
          <w:numId w:val="52"/>
        </w:numPr>
        <w:jc w:val="both"/>
        <w:rPr>
          <w:rFonts w:cstheme="minorHAnsi"/>
          <w:szCs w:val="24"/>
          <w:shd w:val="clear" w:color="auto" w:fill="FFFFFF"/>
        </w:rPr>
      </w:pPr>
      <w:r w:rsidRPr="00675182">
        <w:rPr>
          <w:rFonts w:cstheme="minorHAnsi"/>
          <w:szCs w:val="24"/>
          <w:shd w:val="clear" w:color="auto" w:fill="FFFFFF"/>
        </w:rPr>
        <w:t xml:space="preserve">Kalniņš M., Bernard R., Miķelsone I., 2011. Protected Aquatic Insects of Latvia – </w:t>
      </w:r>
      <w:r w:rsidRPr="00675182">
        <w:rPr>
          <w:rFonts w:cstheme="minorHAnsi"/>
          <w:i/>
          <w:szCs w:val="24"/>
          <w:shd w:val="clear" w:color="auto" w:fill="FFFFFF"/>
        </w:rPr>
        <w:t>Nehalennia speciosa</w:t>
      </w:r>
      <w:r w:rsidRPr="00675182">
        <w:rPr>
          <w:rFonts w:cstheme="minorHAnsi"/>
          <w:szCs w:val="24"/>
          <w:shd w:val="clear" w:color="auto" w:fill="FFFFFF"/>
        </w:rPr>
        <w:t xml:space="preserve"> (Charpentier, 1840) (Odonata: Coenagrionidae). Latvijas entomologs 50: 41-54.</w:t>
      </w:r>
    </w:p>
    <w:p w14:paraId="37FBED7C" w14:textId="72DE3DFA" w:rsidR="00AA229B" w:rsidRPr="00BF7348" w:rsidRDefault="00AA229B" w:rsidP="00A84218">
      <w:pPr>
        <w:pStyle w:val="ListParagraph"/>
        <w:numPr>
          <w:ilvl w:val="0"/>
          <w:numId w:val="52"/>
        </w:numPr>
        <w:jc w:val="both"/>
        <w:rPr>
          <w:rFonts w:eastAsia="Times New Roman" w:cstheme="minorHAnsi"/>
          <w:szCs w:val="24"/>
          <w:lang w:eastAsia="en-GB"/>
        </w:rPr>
      </w:pPr>
      <w:r w:rsidRPr="00675182">
        <w:rPr>
          <w:rFonts w:cstheme="minorHAnsi"/>
          <w:szCs w:val="24"/>
        </w:rPr>
        <w:t>Karpa, A., V. A. Korneyev, and E. P. Kameneva., 2005. “Materials on Latvian Diptera (Brachycera).” Latvijas entomologs 42: 65–74.</w:t>
      </w:r>
    </w:p>
    <w:p w14:paraId="52FCA4F8" w14:textId="2DC683BF" w:rsidR="009D7DFE" w:rsidRPr="009D7DFE" w:rsidRDefault="009D7DFE" w:rsidP="00A84218">
      <w:pPr>
        <w:pStyle w:val="ListParagraph"/>
        <w:numPr>
          <w:ilvl w:val="0"/>
          <w:numId w:val="52"/>
        </w:numPr>
        <w:jc w:val="both"/>
        <w:rPr>
          <w:rFonts w:eastAsia="Times New Roman" w:cstheme="minorHAnsi"/>
          <w:szCs w:val="24"/>
          <w:lang w:eastAsia="en-GB"/>
        </w:rPr>
      </w:pPr>
      <w:r w:rsidRPr="009D7DFE">
        <w:rPr>
          <w:rFonts w:cstheme="minorHAnsi"/>
          <w:szCs w:val="24"/>
        </w:rPr>
        <w:t>Kļaviņa D., 2021. Meža silpureņu Pulsatilla patens atradņu izpēte, datu aktualizēšana un apsaimniekošanas pasākumu monitorings 2019.–2021. gadam</w:t>
      </w:r>
      <w:r>
        <w:rPr>
          <w:rFonts w:cstheme="minorHAnsi"/>
          <w:szCs w:val="24"/>
        </w:rPr>
        <w:t>. Atskaite. Nacionālais botāniskais dārzs, 48 lp.</w:t>
      </w:r>
    </w:p>
    <w:p w14:paraId="56D28CE8" w14:textId="77777777" w:rsidR="00AA229B" w:rsidRPr="00675182" w:rsidRDefault="00AA229B" w:rsidP="00A84218">
      <w:pPr>
        <w:pStyle w:val="ListParagraph"/>
        <w:numPr>
          <w:ilvl w:val="0"/>
          <w:numId w:val="52"/>
        </w:numPr>
        <w:jc w:val="both"/>
        <w:rPr>
          <w:rFonts w:eastAsia="Times New Roman" w:cstheme="minorHAnsi"/>
          <w:szCs w:val="24"/>
          <w:lang w:eastAsia="en-GB"/>
        </w:rPr>
      </w:pPr>
      <w:r w:rsidRPr="00675182">
        <w:rPr>
          <w:rFonts w:cstheme="minorHAnsi"/>
          <w:szCs w:val="24"/>
        </w:rPr>
        <w:t>Kļaviņš M., Cimdiņš P., 2004. Ūdeņu kvalitāte un tās aizsardzība. Latvijas Universitāte, Rīga, 208 lpp.</w:t>
      </w:r>
    </w:p>
    <w:p w14:paraId="66747878" w14:textId="44BB2535" w:rsidR="00AA229B" w:rsidRPr="00675182" w:rsidRDefault="00AA229B" w:rsidP="00A84218">
      <w:pPr>
        <w:pStyle w:val="ListParagraph"/>
        <w:numPr>
          <w:ilvl w:val="0"/>
          <w:numId w:val="52"/>
        </w:numPr>
        <w:jc w:val="both"/>
        <w:rPr>
          <w:rFonts w:eastAsia="Times New Roman" w:cstheme="minorHAnsi"/>
          <w:szCs w:val="24"/>
          <w:lang w:eastAsia="en-GB"/>
        </w:rPr>
      </w:pPr>
      <w:r w:rsidRPr="00675182">
        <w:rPr>
          <w:rFonts w:cstheme="minorHAnsi"/>
          <w:szCs w:val="24"/>
        </w:rPr>
        <w:t>Leinerte M., 1988. Ezeri deg! Rīga, Zinātne, 92 lpp.</w:t>
      </w:r>
    </w:p>
    <w:p w14:paraId="4CAEA00C" w14:textId="77777777" w:rsidR="00145F8A" w:rsidRPr="00675182" w:rsidRDefault="00145F8A" w:rsidP="00A84218">
      <w:pPr>
        <w:pStyle w:val="FootnoteText"/>
        <w:numPr>
          <w:ilvl w:val="0"/>
          <w:numId w:val="52"/>
        </w:numPr>
        <w:rPr>
          <w:rFonts w:cstheme="minorHAnsi"/>
          <w:sz w:val="24"/>
          <w:szCs w:val="24"/>
        </w:rPr>
      </w:pPr>
      <w:r w:rsidRPr="00675182">
        <w:rPr>
          <w:rFonts w:cstheme="minorHAnsi"/>
          <w:sz w:val="24"/>
          <w:szCs w:val="24"/>
        </w:rPr>
        <w:t>LVĢMC, 2016. Stratēģiskais ietekmes uz vidi novērtējums. Gaujas upju baseinu apgabala apsaimniekošanas plāna 2016.-2021. gadam un Gaujas upju baseinu apgabala plūdu risku pārvaldības plāna 2016.-2021. gadam vides pārskats. Rīga, VARAM, 47 lpp.</w:t>
      </w:r>
    </w:p>
    <w:p w14:paraId="1D3E8BC8" w14:textId="77777777" w:rsidR="00AA229B" w:rsidRPr="00675182" w:rsidRDefault="00AA229B" w:rsidP="00A84218">
      <w:pPr>
        <w:pStyle w:val="FootnoteText"/>
        <w:numPr>
          <w:ilvl w:val="0"/>
          <w:numId w:val="52"/>
        </w:numPr>
        <w:jc w:val="both"/>
        <w:rPr>
          <w:rFonts w:cstheme="minorHAnsi"/>
          <w:sz w:val="24"/>
          <w:szCs w:val="24"/>
        </w:rPr>
      </w:pPr>
      <w:r w:rsidRPr="00675182">
        <w:rPr>
          <w:rFonts w:cstheme="minorHAnsi"/>
          <w:sz w:val="24"/>
          <w:szCs w:val="24"/>
        </w:rPr>
        <w:t>LU Botāniskā dārza raksti Nr. 2-3 (01.01.1927.), autors nezināms.</w:t>
      </w:r>
    </w:p>
    <w:p w14:paraId="038538A0" w14:textId="77777777"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 xml:space="preserve">Meder A., 1925. Perlenfischerei in Liv- und Estland. Baltische Blätter für all. Kullturelle Fragen. 111-116. </w:t>
      </w:r>
    </w:p>
    <w:p w14:paraId="28D9F1BF" w14:textId="77777777" w:rsidR="00AA229B" w:rsidRPr="00675182" w:rsidRDefault="00AA229B" w:rsidP="00A84218">
      <w:pPr>
        <w:pStyle w:val="ListParagraph"/>
        <w:numPr>
          <w:ilvl w:val="0"/>
          <w:numId w:val="52"/>
        </w:numPr>
        <w:jc w:val="both"/>
        <w:rPr>
          <w:rFonts w:eastAsia="Times New Roman" w:cstheme="minorHAnsi"/>
          <w:szCs w:val="24"/>
          <w:lang w:eastAsia="en-GB"/>
        </w:rPr>
      </w:pPr>
      <w:r w:rsidRPr="00675182">
        <w:rPr>
          <w:rFonts w:cstheme="minorHAnsi"/>
          <w:szCs w:val="24"/>
        </w:rPr>
        <w:t>Miķelsone I., 1987. „Dažu Cēsu rajona ezeru vaskulāro ūdensaugu flora.” Diplomdarbs. Rīga, LVU, 75 lpp.</w:t>
      </w:r>
    </w:p>
    <w:p w14:paraId="4C1BF8E3" w14:textId="77777777" w:rsidR="00AA229B" w:rsidRPr="00675182" w:rsidRDefault="00AA229B" w:rsidP="00A84218">
      <w:pPr>
        <w:pStyle w:val="ListParagraph"/>
        <w:numPr>
          <w:ilvl w:val="0"/>
          <w:numId w:val="52"/>
        </w:numPr>
        <w:jc w:val="both"/>
        <w:rPr>
          <w:rFonts w:cstheme="minorHAnsi"/>
          <w:sz w:val="20"/>
        </w:rPr>
      </w:pPr>
      <w:r w:rsidRPr="00675182">
        <w:rPr>
          <w:rFonts w:cstheme="minorHAnsi"/>
        </w:rPr>
        <w:t>Pakalne M., Āboliņa A., Čakare I., Opmanis A., Lācis A., 2002. Eiropas nozīmes un Latvijas aizsargājamie biotopi Gaujas nacionālajā parkā. Projekta atskaite. Rīga</w:t>
      </w:r>
    </w:p>
    <w:p w14:paraId="682807C3" w14:textId="77777777" w:rsidR="00AA229B" w:rsidRPr="00675182" w:rsidRDefault="00AA229B" w:rsidP="00A84218">
      <w:pPr>
        <w:pStyle w:val="ListParagraph"/>
        <w:numPr>
          <w:ilvl w:val="0"/>
          <w:numId w:val="52"/>
        </w:numPr>
        <w:jc w:val="both"/>
        <w:rPr>
          <w:rFonts w:eastAsiaTheme="minorHAnsi" w:cstheme="minorBidi"/>
          <w:szCs w:val="24"/>
          <w:lang w:eastAsia="en-US"/>
        </w:rPr>
      </w:pPr>
      <w:r w:rsidRPr="00675182">
        <w:rPr>
          <w:rFonts w:eastAsiaTheme="minorHAnsi" w:cstheme="minorBidi"/>
          <w:szCs w:val="24"/>
          <w:lang w:eastAsia="en-US"/>
        </w:rPr>
        <w:t>Pakalne M., Čakare I., 2000. Aizsargājamie purvi Gaujas Nacionālajā parkā. Sigulda, GNP, 51 lpp.</w:t>
      </w:r>
    </w:p>
    <w:p w14:paraId="62BEA1E0"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Palmé A., Wennerström L., Guban P., Laikre L. (editors), 2012. Stopping compensatory releases of salmon in the Baltic Sea. Good or bad for Baltic salmon gene pools? Report from the Baltic Salmon 2012 symposium and workshop, Stockholm University. February 9–10, 2012. Davidsons Tryckeri, Växjö, Sweden.</w:t>
      </w:r>
    </w:p>
    <w:p w14:paraId="4654E6A4" w14:textId="77777777"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 xml:space="preserve">Palmé A., Wennerström L., Guban P., Laikre L. (editors), 2012. Stopping compensatory releases of salmon in the Baltic Sea. Good or bad for Baltic salmon gene pools? Report from the Baltic Salmon 2012 symposium and </w:t>
      </w:r>
      <w:r w:rsidRPr="00675182">
        <w:rPr>
          <w:rFonts w:cstheme="minorHAnsi"/>
        </w:rPr>
        <w:lastRenderedPageBreak/>
        <w:t>workshop, Stockholm University February 9–10, 2012. Davidsons Tryckeri, Växjö, Sweden.</w:t>
      </w:r>
    </w:p>
    <w:p w14:paraId="4220FA5E" w14:textId="6A34B564" w:rsidR="00AA229B" w:rsidRPr="00675182" w:rsidRDefault="00AA229B" w:rsidP="00A84218">
      <w:pPr>
        <w:pStyle w:val="ListParagraph"/>
        <w:numPr>
          <w:ilvl w:val="0"/>
          <w:numId w:val="52"/>
        </w:numPr>
        <w:jc w:val="both"/>
        <w:rPr>
          <w:rFonts w:eastAsia="Times New Roman" w:cstheme="minorHAnsi"/>
          <w:szCs w:val="24"/>
          <w:lang w:eastAsia="en-GB"/>
        </w:rPr>
      </w:pPr>
      <w:r w:rsidRPr="00675182">
        <w:rPr>
          <w:rFonts w:cstheme="minorHAnsi"/>
          <w:szCs w:val="24"/>
        </w:rPr>
        <w:t>Palmer M.A., Lettenmaier D.P., LeRoy P.N., Postel S.L., Richter B., Warner R. 2009. Climate Change and River Ecosystems: Protection and Adaptation Options Environmental Management 44:1053–1068 DOI 10.1007/s00267-009-9329-1</w:t>
      </w:r>
      <w:r w:rsidR="00357569" w:rsidRPr="00675182">
        <w:rPr>
          <w:rFonts w:cstheme="minorHAnsi"/>
          <w:szCs w:val="24"/>
        </w:rPr>
        <w:t>.</w:t>
      </w:r>
    </w:p>
    <w:p w14:paraId="031FAB54" w14:textId="54B48993" w:rsidR="00357569" w:rsidRDefault="00357569" w:rsidP="00A84218">
      <w:pPr>
        <w:pStyle w:val="ListParagraph"/>
        <w:numPr>
          <w:ilvl w:val="0"/>
          <w:numId w:val="52"/>
        </w:numPr>
        <w:jc w:val="both"/>
        <w:rPr>
          <w:rFonts w:eastAsia="Times New Roman" w:cstheme="minorHAnsi"/>
          <w:szCs w:val="24"/>
          <w:lang w:eastAsia="en-GB"/>
        </w:rPr>
      </w:pPr>
      <w:r w:rsidRPr="00675182">
        <w:rPr>
          <w:rFonts w:eastAsia="Times New Roman" w:cstheme="minorHAnsi"/>
          <w:szCs w:val="24"/>
          <w:lang w:eastAsia="en-GB"/>
        </w:rPr>
        <w:t>Pastors A. 1995. Hidroloģiskā rajonēšana. Grām: Kavacs G. (red.), Enciklopēdija “Latvija un latvieši. Latvijas daba.” 2. sēj. Rīga, Latvijas enciklopēdija, 148.–151. lpp.</w:t>
      </w:r>
    </w:p>
    <w:p w14:paraId="2D0EADD0" w14:textId="3A4DD390" w:rsidR="00B03A8A" w:rsidRPr="00B03A8A" w:rsidRDefault="00B03A8A" w:rsidP="00A84218">
      <w:pPr>
        <w:pStyle w:val="ListParagraph"/>
        <w:numPr>
          <w:ilvl w:val="0"/>
          <w:numId w:val="52"/>
        </w:numPr>
        <w:jc w:val="both"/>
        <w:rPr>
          <w:rFonts w:eastAsia="Times New Roman" w:cstheme="minorHAnsi"/>
          <w:szCs w:val="24"/>
          <w:lang w:eastAsia="en-GB"/>
        </w:rPr>
      </w:pPr>
      <w:r w:rsidRPr="00B03A8A">
        <w:rPr>
          <w:rFonts w:eastAsia="Times New Roman" w:cstheme="minorHAnsi"/>
          <w:szCs w:val="24"/>
          <w:lang w:eastAsia="en-GB"/>
        </w:rPr>
        <w:t>Pētersons G., Vintulis V., SIA “Dabas eksperti” 2022. Gala atskaite par sikspārņu izpēti dabas liegumā “Lubāna mitrājs”, Gaujas</w:t>
      </w:r>
      <w:r>
        <w:rPr>
          <w:rFonts w:eastAsia="Times New Roman" w:cstheme="minorHAnsi"/>
          <w:szCs w:val="24"/>
          <w:lang w:eastAsia="en-GB"/>
        </w:rPr>
        <w:t xml:space="preserve"> </w:t>
      </w:r>
      <w:r w:rsidRPr="00B03A8A">
        <w:rPr>
          <w:rFonts w:eastAsia="Times New Roman" w:cstheme="minorHAnsi"/>
          <w:szCs w:val="24"/>
          <w:lang w:eastAsia="en-GB"/>
        </w:rPr>
        <w:t>Nacionālajā parkā un Ķemeru Nacionālajā parkā</w:t>
      </w:r>
      <w:r>
        <w:rPr>
          <w:rFonts w:eastAsia="Times New Roman" w:cstheme="minorHAnsi"/>
          <w:szCs w:val="24"/>
          <w:lang w:eastAsia="en-GB"/>
        </w:rPr>
        <w:t>.</w:t>
      </w:r>
    </w:p>
    <w:p w14:paraId="0631CB5B" w14:textId="77777777" w:rsidR="00AA229B" w:rsidRPr="00675182" w:rsidRDefault="00AA229B" w:rsidP="00A84218">
      <w:pPr>
        <w:pStyle w:val="ListParagraph"/>
        <w:numPr>
          <w:ilvl w:val="0"/>
          <w:numId w:val="52"/>
        </w:numPr>
        <w:jc w:val="both"/>
        <w:rPr>
          <w:rFonts w:eastAsiaTheme="minorHAnsi" w:cstheme="minorHAnsi"/>
          <w:szCs w:val="24"/>
          <w:lang w:eastAsia="en-US"/>
        </w:rPr>
      </w:pPr>
      <w:r w:rsidRPr="00675182">
        <w:rPr>
          <w:rFonts w:cstheme="minorHAnsi"/>
          <w:szCs w:val="24"/>
        </w:rPr>
        <w:t>Pilāte D. 2003b. Fauna of terrestrial molluscs in the forests of Gauja National Park. – Acta Biol. Univ. Daugavp., 3, (1): 15-20.</w:t>
      </w:r>
    </w:p>
    <w:p w14:paraId="3F53286B" w14:textId="77777777" w:rsidR="00AA229B" w:rsidRPr="00675182" w:rsidRDefault="00AA229B" w:rsidP="00A84218">
      <w:pPr>
        <w:pStyle w:val="ListParagraph"/>
        <w:numPr>
          <w:ilvl w:val="0"/>
          <w:numId w:val="52"/>
        </w:numPr>
        <w:jc w:val="both"/>
        <w:rPr>
          <w:rFonts w:cstheme="minorHAnsi"/>
          <w:color w:val="000000" w:themeColor="text1"/>
          <w:szCs w:val="41"/>
        </w:rPr>
      </w:pPr>
      <w:r w:rsidRPr="00675182">
        <w:rPr>
          <w:rFonts w:cstheme="minorHAnsi"/>
        </w:rPr>
        <w:t>Pilāte D., Lūkins M. 2009. Zemes lietojuma veidi lielā torņgliemeža Ena montana (Draparnaud, 1801) atradnēs GNP. Latvijas Universitātes 67. Zinātniskā konference. Rīga, Latvija, 28.01. – 04.02. Ģeogrāfija. Ģeoloģija. Vides zinātne: Referātu tēzes. 108-109. lpp.</w:t>
      </w:r>
    </w:p>
    <w:p w14:paraId="744259D9" w14:textId="77777777" w:rsidR="00AA229B" w:rsidRPr="00675182" w:rsidRDefault="00AA229B" w:rsidP="00A84218">
      <w:pPr>
        <w:pStyle w:val="ListParagraph"/>
        <w:numPr>
          <w:ilvl w:val="0"/>
          <w:numId w:val="52"/>
        </w:numPr>
        <w:jc w:val="both"/>
        <w:rPr>
          <w:rFonts w:cstheme="minorHAnsi"/>
          <w:color w:val="000000" w:themeColor="text1"/>
          <w:szCs w:val="41"/>
        </w:rPr>
      </w:pPr>
      <w:r w:rsidRPr="00675182">
        <w:rPr>
          <w:rFonts w:cstheme="minorHAnsi"/>
        </w:rPr>
        <w:t>Pilāts V. (red.) 2007. Bioloģiskā daudzveidība Gaujas Nacionālajā parkā. Sigulda, Gaujas Nacionālā parka administrācija, 225 lpp</w:t>
      </w:r>
    </w:p>
    <w:p w14:paraId="307DD6E3" w14:textId="2C7FF1DB"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Projekts LIFE, 2019. “EcosystemServices”.</w:t>
      </w:r>
      <w:r w:rsidR="00A11FDD" w:rsidRPr="00675182">
        <w:rPr>
          <w:rFonts w:cstheme="minorHAnsi"/>
        </w:rPr>
        <w:t xml:space="preserve"> </w:t>
      </w:r>
    </w:p>
    <w:p w14:paraId="66A9A272" w14:textId="77777777" w:rsidR="00AA229B" w:rsidRPr="00675182" w:rsidRDefault="00AA229B" w:rsidP="00A84218">
      <w:pPr>
        <w:pStyle w:val="ListParagraph"/>
        <w:numPr>
          <w:ilvl w:val="0"/>
          <w:numId w:val="52"/>
        </w:numPr>
        <w:jc w:val="both"/>
        <w:rPr>
          <w:rFonts w:cstheme="minorHAnsi"/>
          <w:color w:val="000000" w:themeColor="text1"/>
          <w:szCs w:val="41"/>
        </w:rPr>
      </w:pPr>
      <w:r w:rsidRPr="00675182">
        <w:rPr>
          <w:rFonts w:cstheme="minorHAnsi"/>
          <w:color w:val="000000" w:themeColor="text1"/>
          <w:szCs w:val="41"/>
        </w:rPr>
        <w:t>Pupins M., Pupina A. 2008a. Distribution of European pond turtle Emys orbicularis (Linnaeus, 1758) on the northern edge of its area in Latvia // Rev. Esp. Herp. 22:149-157</w:t>
      </w:r>
    </w:p>
    <w:p w14:paraId="14C9E368"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color w:val="000000" w:themeColor="text1"/>
          <w:szCs w:val="41"/>
        </w:rPr>
        <w:t xml:space="preserve">Pupins M., Pupina A. 2008b. The data on the observations of the European pond turtle (Emys orbicularis L.) at the northern edge of its area in Latvia // </w:t>
      </w:r>
      <w:r w:rsidRPr="00675182">
        <w:rPr>
          <w:rFonts w:cstheme="minorHAnsi"/>
          <w:szCs w:val="24"/>
        </w:rPr>
        <w:t>Acta Biol. Univ. Daugavp., 8(1): 35 - 46</w:t>
      </w:r>
    </w:p>
    <w:p w14:paraId="2025C727"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 xml:space="preserve">Pupins M., Pupina A. 2012. Distribution of European Pond Turtle Emys orbicularis (Linnaeus 1758) in Latvia // The Problems of Herpetology; Proceedings of the 5th Congress of the Alexander M. Nikolsky Herpetological Society; 24-27 September 2012, Minsk, Belarus: 261-264 [Krievu val.] </w:t>
      </w:r>
    </w:p>
    <w:p w14:paraId="6455E9C0"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Pupins M., Pupina A. 2013. Findings of Emys orbicularis (Linnaeus, 1758) in 2010 – 2011 in wild conditions in Latvia and completing of the breeding group (Cryptodirida: Emydidae) // Scillitani G., Liuzzi C., Lorusso L., Mastropasqua F., Ventrella P. (curatori). Atti IX Congresso Nazionale della Societas Herpetologica Italica (Bari - Conversano, 26-30 settembre 2012). Pineta, Conversano (BA): 342-345</w:t>
      </w:r>
    </w:p>
    <w:p w14:paraId="4EF548A2" w14:textId="55131CBD"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Rendenieks Z., Nikodemus, O., 2012. Spatial Patterns of the Old Stands in the North Vidzeme Biosphere Reserve. Baltic Forestry. 18. 178-186.</w:t>
      </w:r>
    </w:p>
    <w:p w14:paraId="5942502E" w14:textId="0D866E8B" w:rsidR="00357569" w:rsidRPr="00675182" w:rsidRDefault="00357569" w:rsidP="00A84218">
      <w:pPr>
        <w:pStyle w:val="ListParagraph"/>
        <w:numPr>
          <w:ilvl w:val="0"/>
          <w:numId w:val="52"/>
        </w:numPr>
        <w:jc w:val="both"/>
        <w:rPr>
          <w:szCs w:val="24"/>
        </w:rPr>
      </w:pPr>
      <w:r w:rsidRPr="00675182">
        <w:rPr>
          <w:szCs w:val="24"/>
        </w:rPr>
        <w:t>Rosgen D.L., 1994. A classification of natural rivers. CATENA. Vol. 22 (iss. 3), pp. 169-199.</w:t>
      </w:r>
    </w:p>
    <w:p w14:paraId="32F05F8B" w14:textId="77777777" w:rsidR="00AA229B" w:rsidRPr="00675182" w:rsidRDefault="00AA229B" w:rsidP="00A84218">
      <w:pPr>
        <w:pStyle w:val="ListParagraph"/>
        <w:numPr>
          <w:ilvl w:val="0"/>
          <w:numId w:val="52"/>
        </w:numPr>
        <w:spacing w:before="100" w:beforeAutospacing="1" w:after="100" w:afterAutospacing="1"/>
        <w:jc w:val="both"/>
        <w:rPr>
          <w:rFonts w:eastAsia="Times New Roman" w:cstheme="minorHAnsi"/>
          <w:szCs w:val="24"/>
          <w:lang w:eastAsia="en-GB"/>
        </w:rPr>
      </w:pPr>
      <w:r w:rsidRPr="00675182">
        <w:rPr>
          <w:rFonts w:eastAsia="Times New Roman" w:cstheme="minorHAnsi"/>
          <w:szCs w:val="24"/>
          <w:lang w:eastAsia="en-GB"/>
        </w:rPr>
        <w:t>Rudzīte M. 2004. Distribution of the freshwater pearl mussel Margaritifera margaritifera (Linnaeus 1758) in Latvia in relation to water quality. Latvijas Universitātes raksti. Acta Universitatis Latviensis. Bioloģija.Biology. Vol. 676., 79.-85.pp.</w:t>
      </w:r>
    </w:p>
    <w:p w14:paraId="4A8E3887" w14:textId="77777777" w:rsidR="00AA229B" w:rsidRPr="00675182" w:rsidRDefault="00AA229B" w:rsidP="00A84218">
      <w:pPr>
        <w:pStyle w:val="ListParagraph"/>
        <w:numPr>
          <w:ilvl w:val="0"/>
          <w:numId w:val="52"/>
        </w:numPr>
        <w:spacing w:before="100" w:beforeAutospacing="1" w:after="100" w:afterAutospacing="1"/>
        <w:jc w:val="both"/>
        <w:rPr>
          <w:rFonts w:eastAsia="Times New Roman" w:cstheme="minorHAnsi"/>
          <w:szCs w:val="24"/>
          <w:lang w:eastAsia="en-GB"/>
        </w:rPr>
      </w:pPr>
      <w:r w:rsidRPr="00675182">
        <w:rPr>
          <w:rFonts w:eastAsia="Times New Roman" w:cstheme="minorHAnsi"/>
          <w:szCs w:val="24"/>
          <w:lang w:eastAsia="en-GB"/>
        </w:rPr>
        <w:t xml:space="preserve">Rudzīte M. 2005. Assessment of the condition of freshwater pearl mussel Margaritifera margaritifera (Linnaeus 1758) populations in Latvia. Latvijas </w:t>
      </w:r>
      <w:r w:rsidRPr="00675182">
        <w:rPr>
          <w:rFonts w:eastAsia="Times New Roman" w:cstheme="minorHAnsi"/>
          <w:szCs w:val="24"/>
          <w:lang w:eastAsia="en-GB"/>
        </w:rPr>
        <w:lastRenderedPageBreak/>
        <w:t>Universitātes raksti. Acta Universitatis Latviensis. Bioloģija.Biology. Vol. 691., 121-128.pp.</w:t>
      </w:r>
    </w:p>
    <w:p w14:paraId="4D1B7580" w14:textId="77777777" w:rsidR="00AA229B" w:rsidRPr="00675182" w:rsidRDefault="00AA229B" w:rsidP="00A84218">
      <w:pPr>
        <w:pStyle w:val="ListParagraph"/>
        <w:numPr>
          <w:ilvl w:val="0"/>
          <w:numId w:val="52"/>
        </w:numPr>
        <w:spacing w:before="100" w:beforeAutospacing="1" w:after="100" w:afterAutospacing="1"/>
        <w:jc w:val="both"/>
        <w:rPr>
          <w:rFonts w:eastAsia="Times New Roman" w:cstheme="minorHAnsi"/>
          <w:szCs w:val="24"/>
          <w:lang w:eastAsia="en-GB"/>
        </w:rPr>
      </w:pPr>
      <w:r w:rsidRPr="00675182">
        <w:rPr>
          <w:rFonts w:eastAsia="Times New Roman" w:cstheme="minorHAnsi"/>
          <w:szCs w:val="24"/>
          <w:lang w:eastAsia="en-GB"/>
        </w:rPr>
        <w:t>Rudzīte M., Dreijers E., Ozoliņa-Moll L., Parele E., Rudzītis M., Stalažs A., 2010. Latvijas gliemji: sugu noteicējs. A guide to the Molluscs of Latvia. LU Akadēmiskais apgāds, Rīga, 252 lpp.</w:t>
      </w:r>
    </w:p>
    <w:p w14:paraId="31777CE7" w14:textId="77777777"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 xml:space="preserve">Rudzīte M., Rudzītis M., 2012. Der Einfluss der Perlfischerei auf den Rückgang der Population der Perlmuschel in Lettland. Schriften zur Malakozoologie. Haus der Natur Cismar. Heft 27. S. 57-64. </w:t>
      </w:r>
    </w:p>
    <w:p w14:paraId="4FFF75BF" w14:textId="77777777"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Rudzītis M., Rudzīte M., 2012. Saldūdens pērļu ieguves vēsture Latvijā. Latvijas Universitātes raksti. Zinātņu vēsture un muzejniecība. 780.sēj. 228-239 lpp.</w:t>
      </w:r>
    </w:p>
    <w:p w14:paraId="1654F356"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shd w:val="clear" w:color="auto" w:fill="FFFFFF"/>
        </w:rPr>
        <w:t>Salmane I. 2006. New Mesostigmata (Acari, Parasitiformes) Species in the Fauna of Latvia. Latvijas entomologs, 43: 52-56</w:t>
      </w:r>
    </w:p>
    <w:p w14:paraId="5407E0A4" w14:textId="35992C5E" w:rsidR="00AA229B"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Settele J., Feldmann R. &amp; Reinhardt R., 1999. Die Tagfalter Deutschlands – Ein Handbuch fur Freiland ¨ okologen, ¨ Umweltplaner und Naturschutzer ¨. Stuttgart: Ulmer.</w:t>
      </w:r>
    </w:p>
    <w:p w14:paraId="5047E505" w14:textId="06033503" w:rsidR="006B6DC0" w:rsidRPr="00E026A5" w:rsidRDefault="006B6DC0" w:rsidP="008455E6">
      <w:pPr>
        <w:pStyle w:val="ListParagraph"/>
        <w:numPr>
          <w:ilvl w:val="0"/>
          <w:numId w:val="52"/>
        </w:numPr>
        <w:autoSpaceDE w:val="0"/>
        <w:autoSpaceDN w:val="0"/>
        <w:adjustRightInd w:val="0"/>
        <w:jc w:val="both"/>
        <w:rPr>
          <w:rFonts w:cstheme="minorHAnsi"/>
        </w:rPr>
      </w:pPr>
      <w:r w:rsidRPr="00E026A5">
        <w:rPr>
          <w:rFonts w:cstheme="minorHAnsi"/>
        </w:rPr>
        <w:t xml:space="preserve">SIA “Labie koki” 2018. </w:t>
      </w:r>
      <w:r w:rsidR="00E026A5">
        <w:rPr>
          <w:rFonts w:cstheme="minorHAnsi"/>
        </w:rPr>
        <w:t>Ai</w:t>
      </w:r>
      <w:r w:rsidR="00E026A5" w:rsidRPr="00E026A5">
        <w:rPr>
          <w:rFonts w:cstheme="minorHAnsi"/>
        </w:rPr>
        <w:t>zsargājamo dendroloģisko stādījumu “</w:t>
      </w:r>
      <w:r w:rsidR="00E026A5">
        <w:rPr>
          <w:rFonts w:cstheme="minorHAnsi"/>
        </w:rPr>
        <w:t>B</w:t>
      </w:r>
      <w:r w:rsidR="00E026A5" w:rsidRPr="00E026A5">
        <w:rPr>
          <w:rFonts w:cstheme="minorHAnsi"/>
        </w:rPr>
        <w:t>riežmuižas lapegļu stādījumi” novērtējums un priekšlikumi par ĪADT</w:t>
      </w:r>
      <w:r w:rsidR="00E026A5">
        <w:rPr>
          <w:rFonts w:cstheme="minorHAnsi"/>
        </w:rPr>
        <w:t xml:space="preserve"> </w:t>
      </w:r>
      <w:r w:rsidR="00E026A5" w:rsidRPr="00E026A5">
        <w:rPr>
          <w:rFonts w:cstheme="minorHAnsi"/>
        </w:rPr>
        <w:t>aizsardzības režīma maiņ</w:t>
      </w:r>
      <w:r w:rsidR="00E026A5">
        <w:rPr>
          <w:rFonts w:cstheme="minorHAnsi"/>
        </w:rPr>
        <w:t xml:space="preserve">u. </w:t>
      </w:r>
    </w:p>
    <w:p w14:paraId="4D41C879" w14:textId="77777777" w:rsidR="00AA229B" w:rsidRPr="00675182" w:rsidRDefault="00AA229B" w:rsidP="00A84218">
      <w:pPr>
        <w:pStyle w:val="ListParagraph"/>
        <w:numPr>
          <w:ilvl w:val="0"/>
          <w:numId w:val="52"/>
        </w:numPr>
        <w:autoSpaceDE w:val="0"/>
        <w:autoSpaceDN w:val="0"/>
        <w:adjustRightInd w:val="0"/>
        <w:jc w:val="both"/>
        <w:rPr>
          <w:rFonts w:cstheme="minorHAnsi"/>
        </w:rPr>
      </w:pPr>
      <w:r w:rsidRPr="00675182">
        <w:rPr>
          <w:rFonts w:cstheme="minorHAnsi"/>
        </w:rPr>
        <w:t>Siitonen, J., 2001. Forest management, coarse woody debris and saproxylic organisms: Fennoscandian boreal forests as an example. Ecological Bulletins 49:11‐41</w:t>
      </w:r>
    </w:p>
    <w:p w14:paraId="6FB49C13"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Siliņš J., Lamsters V. 1934. Latvijas rāpuļi un abinieki. Rīga, Valtera un rapas akc. sab. 96 lpp.</w:t>
      </w:r>
    </w:p>
    <w:p w14:paraId="7ED48819"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Spuņģis V. 2008. Fauna and ecology of terrestrial invertebrates in raised bogs in Latvia. Rīga, Pertovskis &amp; Co: 80 pp.</w:t>
      </w:r>
    </w:p>
    <w:p w14:paraId="3A762962" w14:textId="77777777" w:rsidR="00AA229B" w:rsidRPr="00675182" w:rsidRDefault="00AA229B" w:rsidP="00A84218">
      <w:pPr>
        <w:pStyle w:val="ListParagraph"/>
        <w:numPr>
          <w:ilvl w:val="0"/>
          <w:numId w:val="52"/>
        </w:numPr>
        <w:jc w:val="both"/>
        <w:rPr>
          <w:rFonts w:cstheme="minorHAnsi"/>
        </w:rPr>
      </w:pPr>
      <w:r w:rsidRPr="00675182">
        <w:rPr>
          <w:rFonts w:cstheme="minorHAnsi"/>
          <w:szCs w:val="24"/>
        </w:rPr>
        <w:t>Sudas-Zviedru purva apsaimniekošanas plāns Gaujas Nacionālajā parkā. 2015. Rīga, Latvijas Universitāte, 151 lpp.</w:t>
      </w:r>
    </w:p>
    <w:p w14:paraId="621E69A5"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 xml:space="preserve">Telnov D. 2001. To the knowledge of Latvian Coleoptera, 1. – Latvijas Entomologs 38: 61-69. </w:t>
      </w:r>
    </w:p>
    <w:p w14:paraId="43C7BF00"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 xml:space="preserve">Telnov D., Bukejs A., Gailis J., Kalniņš M., 2008. Contributions to the knowledge of Latvian Coleoptera. 7. – Latvijas Entomologs 46: 47-58. </w:t>
      </w:r>
    </w:p>
    <w:p w14:paraId="60F73798" w14:textId="77777777" w:rsidR="00AA229B" w:rsidRPr="00675182" w:rsidRDefault="00AA229B" w:rsidP="00A84218">
      <w:pPr>
        <w:pStyle w:val="ListParagraph"/>
        <w:numPr>
          <w:ilvl w:val="0"/>
          <w:numId w:val="52"/>
        </w:numPr>
        <w:suppressAutoHyphens w:val="0"/>
        <w:jc w:val="both"/>
        <w:rPr>
          <w:rFonts w:eastAsia="Times New Roman" w:cstheme="minorHAnsi"/>
          <w:szCs w:val="24"/>
          <w:lang w:eastAsia="en-US"/>
        </w:rPr>
      </w:pPr>
      <w:r w:rsidRPr="00675182">
        <w:rPr>
          <w:rFonts w:cstheme="minorHAnsi"/>
          <w:szCs w:val="24"/>
          <w:shd w:val="clear" w:color="auto" w:fill="FFFFFF"/>
        </w:rPr>
        <w:t>Telnov D., Bukejs A., Gailis J., Kalniņš M., Kirejtshuk A.G., Piterāns U., Savich F., 2016. Contributions to the knowledge of Latvian Coleoptera. 10: 89-121.</w:t>
      </w:r>
    </w:p>
    <w:p w14:paraId="071C9ED5"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 xml:space="preserve">Telnov D., Bukejs A., Gailis J., Kalniņš M., Napolov A., Piterāns U., Vilks K., 2010. Contributions to the knowledge of Latvian Coleoptera. 8. – Latvijas Entomologs 48: 80-91. </w:t>
      </w:r>
    </w:p>
    <w:p w14:paraId="70061855"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Telnov D., Bukejs A., Gailis J., Kalniņš M., Napolov A., Sörensson M. 2007. Contributions to the knowledge of Latvian Coleoptera. 6. – Latvijas Entomologs 44: 45-52.</w:t>
      </w:r>
    </w:p>
    <w:p w14:paraId="34E0759B"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Telnov D., Fägerström C., Gailis J., Kalniņš M., Napolov A., Piterāns U., Vilks K. 2006. Contributions to the knowledge of Latvian Coleoptera. 5. – Latvijas Entomologs 43: 78-125.</w:t>
      </w:r>
    </w:p>
    <w:p w14:paraId="220C978C" w14:textId="77777777" w:rsidR="00AA229B" w:rsidRPr="00675182" w:rsidRDefault="00AA229B" w:rsidP="00A84218">
      <w:pPr>
        <w:pStyle w:val="ListParagraph"/>
        <w:numPr>
          <w:ilvl w:val="0"/>
          <w:numId w:val="52"/>
        </w:numPr>
        <w:jc w:val="both"/>
        <w:rPr>
          <w:rFonts w:cstheme="minorHAnsi"/>
          <w:szCs w:val="24"/>
        </w:rPr>
      </w:pPr>
      <w:r w:rsidRPr="00675182">
        <w:rPr>
          <w:rFonts w:cstheme="minorHAnsi"/>
          <w:szCs w:val="24"/>
        </w:rPr>
        <w:t>Telnov D., Vilks K., Piterāns U., Kalniņš M., Fägerström C., 2011. Contributions to the knowledge of Latvian Coleoptera. 9. – Latvijas Entomologs 50: 20-26.</w:t>
      </w:r>
    </w:p>
    <w:p w14:paraId="581EA056" w14:textId="77777777" w:rsidR="00AA229B" w:rsidRPr="00675182" w:rsidRDefault="00AA229B" w:rsidP="00A84218">
      <w:pPr>
        <w:pStyle w:val="ListParagraph"/>
        <w:numPr>
          <w:ilvl w:val="0"/>
          <w:numId w:val="52"/>
        </w:numPr>
        <w:jc w:val="both"/>
        <w:rPr>
          <w:rFonts w:eastAsiaTheme="minorHAnsi" w:cstheme="minorHAnsi"/>
          <w:lang w:eastAsia="en-US"/>
        </w:rPr>
      </w:pPr>
      <w:r w:rsidRPr="00675182">
        <w:rPr>
          <w:rFonts w:eastAsiaTheme="minorHAnsi" w:cstheme="minorHAnsi"/>
          <w:lang w:eastAsia="en-US"/>
        </w:rPr>
        <w:t xml:space="preserve">Trofimova I., 2000. </w:t>
      </w:r>
      <w:r w:rsidRPr="00675182">
        <w:rPr>
          <w:rFonts w:eastAsia="Times New Roman" w:cstheme="minorHAnsi"/>
          <w:szCs w:val="24"/>
          <w:lang w:eastAsia="en-US"/>
        </w:rPr>
        <w:t>„</w:t>
      </w:r>
      <w:r w:rsidRPr="00675182">
        <w:rPr>
          <w:rFonts w:eastAsiaTheme="minorHAnsi" w:cstheme="minorHAnsi"/>
          <w:lang w:eastAsia="en-US"/>
        </w:rPr>
        <w:t>Latvijas abinieku bojāeja uz Cēsu rajona ceļiem pavasara migrāciju laikā.” Bakalaura darbs. Rīga, Latvijas Universitāte, Bioloģijas fakultāte, Zooloģijas un ģenētikas katedra. 26 lpp.</w:t>
      </w:r>
    </w:p>
    <w:p w14:paraId="29F9F236" w14:textId="77777777" w:rsidR="00AA229B" w:rsidRPr="00675182" w:rsidRDefault="00AA229B" w:rsidP="00A84218">
      <w:pPr>
        <w:pStyle w:val="ListParagraph"/>
        <w:numPr>
          <w:ilvl w:val="0"/>
          <w:numId w:val="52"/>
        </w:numPr>
        <w:suppressAutoHyphens w:val="0"/>
        <w:jc w:val="both"/>
        <w:rPr>
          <w:rFonts w:eastAsia="Times New Roman" w:cstheme="minorHAnsi"/>
          <w:szCs w:val="24"/>
          <w:lang w:eastAsia="en-US"/>
        </w:rPr>
      </w:pPr>
      <w:bookmarkStart w:id="179" w:name="_Hlk53678346"/>
      <w:r w:rsidRPr="00675182">
        <w:rPr>
          <w:rFonts w:cstheme="minorHAnsi"/>
          <w:szCs w:val="24"/>
        </w:rPr>
        <w:lastRenderedPageBreak/>
        <w:t>Urtāns A. V. (red.), 2017. Aizsargājamo biotopu saglabāšanas vadlīnijas Latvijā. II Upes un ezeri. Dabas aizsardzības pārvalde. Sigulda. 208 lpp.</w:t>
      </w:r>
      <w:bookmarkEnd w:id="179"/>
    </w:p>
    <w:p w14:paraId="75A77C09" w14:textId="267075F5" w:rsidR="00A11FDD" w:rsidRPr="00675182" w:rsidRDefault="00A11FDD" w:rsidP="00A84218">
      <w:pPr>
        <w:pStyle w:val="ListParagraph"/>
        <w:numPr>
          <w:ilvl w:val="0"/>
          <w:numId w:val="52"/>
        </w:numPr>
        <w:suppressAutoHyphens w:val="0"/>
        <w:jc w:val="both"/>
        <w:rPr>
          <w:rFonts w:eastAsia="Times New Roman" w:cstheme="minorHAnsi"/>
          <w:szCs w:val="24"/>
          <w:lang w:eastAsia="en-US"/>
        </w:rPr>
      </w:pPr>
      <w:r w:rsidRPr="00675182">
        <w:rPr>
          <w:rFonts w:cstheme="minorHAnsi"/>
        </w:rPr>
        <w:t>Ylisirniö A. L., Mönkkönen M., Hallikainen V., Ranta-Maunus T., Kouki J., 2016. Woodland key habitats in preserving polypore diversity in boreal forests: effects of patch size, stand structure and microclimate. For Ecol Manage. 373:138–48.</w:t>
      </w:r>
    </w:p>
    <w:p w14:paraId="74CDDBD4" w14:textId="2E009001" w:rsidR="00AA229B" w:rsidRDefault="00AA229B" w:rsidP="00A84218">
      <w:pPr>
        <w:pStyle w:val="ListParagraph"/>
        <w:numPr>
          <w:ilvl w:val="0"/>
          <w:numId w:val="52"/>
        </w:numPr>
        <w:suppressAutoHyphens w:val="0"/>
        <w:jc w:val="both"/>
        <w:rPr>
          <w:rFonts w:eastAsia="Times New Roman" w:cstheme="minorHAnsi"/>
          <w:szCs w:val="24"/>
          <w:lang w:eastAsia="en-US"/>
        </w:rPr>
      </w:pPr>
      <w:r w:rsidRPr="00675182">
        <w:rPr>
          <w:rFonts w:eastAsia="Times New Roman" w:cstheme="minorHAnsi"/>
          <w:szCs w:val="24"/>
          <w:lang w:eastAsia="en-US"/>
        </w:rPr>
        <w:t>Zirnis E., 1980. „Latvijas PSR retie rāpuļi un abinieki.” Diplomdarbs. Pētera Stučkas Latvijas Valsts universitāte, Bioloģijas fakultāte, Zooloģijas un ģenētikas katedra. 80 lpp.</w:t>
      </w:r>
    </w:p>
    <w:p w14:paraId="095B230E" w14:textId="77777777" w:rsidR="00975B3B" w:rsidRPr="00675182" w:rsidRDefault="00975B3B" w:rsidP="00975B3B">
      <w:pPr>
        <w:suppressAutoHyphens w:val="0"/>
        <w:rPr>
          <w:rFonts w:eastAsia="Times New Roman" w:cstheme="minorHAnsi"/>
          <w:szCs w:val="24"/>
          <w:lang w:eastAsia="en-US"/>
        </w:rPr>
      </w:pPr>
    </w:p>
    <w:p w14:paraId="4ED1ABE0" w14:textId="1606DFBF" w:rsidR="004F6DA4" w:rsidRPr="00675182" w:rsidRDefault="004F6DA4" w:rsidP="004F6DA4">
      <w:pPr>
        <w:ind w:left="360"/>
        <w:jc w:val="both"/>
        <w:rPr>
          <w:rFonts w:cstheme="minorHAnsi"/>
          <w:szCs w:val="24"/>
        </w:rPr>
      </w:pPr>
    </w:p>
    <w:p w14:paraId="49CA27EF" w14:textId="31E361B2" w:rsidR="00927053" w:rsidRPr="00675182" w:rsidRDefault="00927053" w:rsidP="004F6DA4">
      <w:pPr>
        <w:keepNext/>
        <w:rPr>
          <w:rFonts w:cstheme="minorHAnsi"/>
          <w:b/>
          <w:szCs w:val="24"/>
          <w:u w:val="single"/>
        </w:rPr>
      </w:pPr>
      <w:r w:rsidRPr="00675182">
        <w:rPr>
          <w:rFonts w:cstheme="minorHAnsi"/>
          <w:b/>
          <w:szCs w:val="24"/>
          <w:u w:val="single"/>
        </w:rPr>
        <w:t xml:space="preserve">Interneta informācijas avoti: </w:t>
      </w:r>
    </w:p>
    <w:p w14:paraId="6448C1D2" w14:textId="0192550A" w:rsidR="00371322" w:rsidRPr="00675182" w:rsidRDefault="00371322" w:rsidP="00F91227">
      <w:pPr>
        <w:pStyle w:val="Caption"/>
        <w:keepNext/>
        <w:numPr>
          <w:ilvl w:val="0"/>
          <w:numId w:val="7"/>
        </w:numPr>
        <w:rPr>
          <w:rFonts w:cstheme="minorHAnsi"/>
          <w:color w:val="auto"/>
          <w:sz w:val="24"/>
          <w:szCs w:val="24"/>
          <w:lang w:eastAsia="lv-LV"/>
        </w:rPr>
      </w:pPr>
      <w:r w:rsidRPr="00675182">
        <w:rPr>
          <w:rFonts w:cstheme="minorHAnsi"/>
          <w:b w:val="0"/>
          <w:bCs w:val="0"/>
          <w:color w:val="auto"/>
          <w:sz w:val="24"/>
          <w:szCs w:val="24"/>
        </w:rPr>
        <w:t xml:space="preserve">Birdlife International Bird species' status and trends reporting format for the period 2013-2018. Piejams: </w:t>
      </w:r>
      <w:hyperlink r:id="rId309" w:history="1">
        <w:r w:rsidRPr="00675182">
          <w:rPr>
            <w:rStyle w:val="Hyperlink"/>
            <w:rFonts w:cstheme="minorHAnsi"/>
            <w:color w:val="auto"/>
            <w:sz w:val="24"/>
            <w:szCs w:val="24"/>
          </w:rPr>
          <w:t>https://cdr.eionet.europa.eu/lv/eu/art12/envxtfmg</w:t>
        </w:r>
      </w:hyperlink>
    </w:p>
    <w:p w14:paraId="7C03F2E5" w14:textId="77777777" w:rsidR="00927053" w:rsidRPr="00675182" w:rsidRDefault="00927053" w:rsidP="00F91227">
      <w:pPr>
        <w:pStyle w:val="ListParagraph"/>
        <w:numPr>
          <w:ilvl w:val="0"/>
          <w:numId w:val="7"/>
        </w:numPr>
        <w:spacing w:after="120"/>
        <w:rPr>
          <w:rFonts w:cstheme="minorHAnsi"/>
          <w:szCs w:val="24"/>
        </w:rPr>
      </w:pPr>
      <w:r w:rsidRPr="00675182">
        <w:rPr>
          <w:rFonts w:cstheme="minorHAnsi"/>
          <w:szCs w:val="24"/>
        </w:rPr>
        <w:t xml:space="preserve">Dabas aizsardzības pārvalde. Pieejams: </w:t>
      </w:r>
      <w:hyperlink r:id="rId310" w:history="1">
        <w:r w:rsidRPr="00675182">
          <w:rPr>
            <w:rStyle w:val="Hyperlink"/>
            <w:rFonts w:cstheme="minorHAnsi"/>
            <w:color w:val="auto"/>
            <w:szCs w:val="24"/>
          </w:rPr>
          <w:t>www.daba.gov.lv</w:t>
        </w:r>
      </w:hyperlink>
    </w:p>
    <w:p w14:paraId="3E8A22D1" w14:textId="77777777" w:rsidR="00927053" w:rsidRPr="00675182" w:rsidRDefault="00927053" w:rsidP="00F91227">
      <w:pPr>
        <w:pStyle w:val="ListParagraph"/>
        <w:numPr>
          <w:ilvl w:val="0"/>
          <w:numId w:val="7"/>
        </w:numPr>
        <w:spacing w:after="120"/>
        <w:rPr>
          <w:rStyle w:val="Hyperlink"/>
          <w:rFonts w:cstheme="minorHAnsi"/>
          <w:color w:val="auto"/>
          <w:szCs w:val="24"/>
        </w:rPr>
      </w:pPr>
      <w:r w:rsidRPr="00675182">
        <w:rPr>
          <w:rFonts w:cstheme="minorHAnsi"/>
          <w:szCs w:val="24"/>
        </w:rPr>
        <w:t xml:space="preserve">Dabas datu pārvaldības sistēma „Ozols”. Pieejama </w:t>
      </w:r>
      <w:hyperlink r:id="rId311" w:history="1">
        <w:r w:rsidRPr="00675182">
          <w:rPr>
            <w:rStyle w:val="Hyperlink"/>
            <w:rFonts w:cstheme="minorHAnsi"/>
            <w:color w:val="auto"/>
            <w:szCs w:val="24"/>
          </w:rPr>
          <w:t>http://ozols.daba.gov.lv/pub/</w:t>
        </w:r>
      </w:hyperlink>
    </w:p>
    <w:p w14:paraId="54668DDB" w14:textId="77777777" w:rsidR="00927053" w:rsidRPr="00675182" w:rsidRDefault="00927053" w:rsidP="00F91227">
      <w:pPr>
        <w:pStyle w:val="ListParagraph"/>
        <w:numPr>
          <w:ilvl w:val="0"/>
          <w:numId w:val="7"/>
        </w:numPr>
        <w:spacing w:after="120"/>
        <w:rPr>
          <w:rFonts w:cstheme="minorHAnsi"/>
          <w:szCs w:val="24"/>
        </w:rPr>
      </w:pPr>
      <w:r w:rsidRPr="00675182">
        <w:rPr>
          <w:rFonts w:cstheme="minorHAnsi"/>
          <w:szCs w:val="24"/>
        </w:rPr>
        <w:t>Dabas datu novērojumu portāls „Dabasdati”. Pieejams</w:t>
      </w:r>
      <w:r w:rsidRPr="00675182">
        <w:rPr>
          <w:rStyle w:val="Hyperlink"/>
          <w:rFonts w:cstheme="minorHAnsi"/>
          <w:color w:val="auto"/>
          <w:szCs w:val="24"/>
        </w:rPr>
        <w:t xml:space="preserve"> </w:t>
      </w:r>
      <w:hyperlink r:id="rId312" w:history="1">
        <w:r w:rsidRPr="00675182">
          <w:rPr>
            <w:rStyle w:val="Hyperlink"/>
            <w:rFonts w:cstheme="minorHAnsi"/>
            <w:color w:val="auto"/>
            <w:szCs w:val="24"/>
          </w:rPr>
          <w:t>http://www.dabasdati.lv/</w:t>
        </w:r>
      </w:hyperlink>
    </w:p>
    <w:p w14:paraId="7205F3F4" w14:textId="794B6FE2" w:rsidR="00927053" w:rsidRPr="00675182" w:rsidRDefault="00927053" w:rsidP="00F91227">
      <w:pPr>
        <w:pStyle w:val="ListParagraph"/>
        <w:numPr>
          <w:ilvl w:val="0"/>
          <w:numId w:val="7"/>
        </w:numPr>
        <w:spacing w:after="120"/>
        <w:rPr>
          <w:rStyle w:val="Hyperlink"/>
          <w:rFonts w:cstheme="minorHAnsi"/>
          <w:color w:val="auto"/>
          <w:szCs w:val="24"/>
        </w:rPr>
      </w:pPr>
      <w:r w:rsidRPr="00675182">
        <w:rPr>
          <w:rFonts w:cstheme="minorHAnsi"/>
          <w:szCs w:val="24"/>
        </w:rPr>
        <w:t xml:space="preserve">Latvijas Vides, ģeoloģijas un meteoroloģijas centrs (LVĢMC). Pieejams: </w:t>
      </w:r>
      <w:hyperlink r:id="rId313" w:history="1">
        <w:r w:rsidRPr="00675182">
          <w:rPr>
            <w:rStyle w:val="Hyperlink"/>
            <w:rFonts w:cstheme="minorHAnsi"/>
            <w:color w:val="auto"/>
            <w:szCs w:val="24"/>
          </w:rPr>
          <w:t>www.meteo.lv</w:t>
        </w:r>
      </w:hyperlink>
    </w:p>
    <w:p w14:paraId="5E102371" w14:textId="3CE108CE" w:rsidR="00357569" w:rsidRPr="00675182" w:rsidRDefault="00357569" w:rsidP="00357569">
      <w:pPr>
        <w:pStyle w:val="ListParagraph"/>
        <w:numPr>
          <w:ilvl w:val="0"/>
          <w:numId w:val="7"/>
        </w:numPr>
        <w:spacing w:after="120"/>
        <w:rPr>
          <w:rStyle w:val="Hyperlink"/>
          <w:color w:val="auto"/>
          <w:szCs w:val="24"/>
          <w:u w:val="none"/>
        </w:rPr>
      </w:pPr>
      <w:r w:rsidRPr="00675182">
        <w:rPr>
          <w:szCs w:val="24"/>
        </w:rPr>
        <w:t>Freshwater quality, 2015. European Environment Agency. Pieejams: http://www.eea.europa.eu/soer-2015/europe/freshwater</w:t>
      </w:r>
    </w:p>
    <w:p w14:paraId="7108A2D3" w14:textId="34D8D2AC" w:rsidR="00736725" w:rsidRPr="00675182" w:rsidRDefault="00736725" w:rsidP="00F91227">
      <w:pPr>
        <w:pStyle w:val="ListParagraph"/>
        <w:numPr>
          <w:ilvl w:val="0"/>
          <w:numId w:val="7"/>
        </w:numPr>
        <w:spacing w:after="120"/>
        <w:rPr>
          <w:rFonts w:cstheme="minorHAnsi"/>
          <w:szCs w:val="24"/>
          <w:u w:val="single"/>
        </w:rPr>
      </w:pPr>
      <w:r w:rsidRPr="00675182">
        <w:rPr>
          <w:rStyle w:val="Hyperlink"/>
          <w:rFonts w:cstheme="minorHAnsi"/>
          <w:color w:val="auto"/>
          <w:szCs w:val="24"/>
        </w:rPr>
        <w:t>www.ezeri.lv</w:t>
      </w:r>
    </w:p>
    <w:p w14:paraId="73273F1D" w14:textId="735AF083" w:rsidR="00927053" w:rsidRPr="00675182" w:rsidRDefault="00927053" w:rsidP="00F91227">
      <w:pPr>
        <w:pStyle w:val="ListParagraph"/>
        <w:numPr>
          <w:ilvl w:val="0"/>
          <w:numId w:val="7"/>
        </w:numPr>
        <w:spacing w:after="120"/>
        <w:rPr>
          <w:rStyle w:val="Hyperlink"/>
          <w:rFonts w:cstheme="minorHAnsi"/>
          <w:color w:val="auto"/>
          <w:szCs w:val="24"/>
        </w:rPr>
      </w:pPr>
      <w:r w:rsidRPr="00675182">
        <w:rPr>
          <w:rFonts w:cstheme="minorHAnsi"/>
          <w:szCs w:val="24"/>
        </w:rPr>
        <w:t>„Ziņojums Eiropas Komisijai par biotopu (dzīvotņu) un sugu aizsardzības stāvokli Latvijā. Novērtējums par 20</w:t>
      </w:r>
      <w:r w:rsidR="007728D2" w:rsidRPr="00675182">
        <w:rPr>
          <w:rFonts w:cstheme="minorHAnsi"/>
          <w:szCs w:val="24"/>
        </w:rPr>
        <w:t>13</w:t>
      </w:r>
      <w:r w:rsidRPr="00675182">
        <w:rPr>
          <w:rFonts w:cstheme="minorHAnsi"/>
          <w:szCs w:val="24"/>
        </w:rPr>
        <w:t>.-201</w:t>
      </w:r>
      <w:r w:rsidR="007728D2" w:rsidRPr="00675182">
        <w:rPr>
          <w:rFonts w:cstheme="minorHAnsi"/>
          <w:szCs w:val="24"/>
        </w:rPr>
        <w:t>8</w:t>
      </w:r>
      <w:r w:rsidRPr="00675182">
        <w:rPr>
          <w:rFonts w:cstheme="minorHAnsi"/>
          <w:szCs w:val="24"/>
        </w:rPr>
        <w:t>. gada periodu”</w:t>
      </w:r>
      <w:r w:rsidR="00371322" w:rsidRPr="00675182">
        <w:rPr>
          <w:rFonts w:cstheme="minorHAnsi"/>
          <w:szCs w:val="24"/>
        </w:rPr>
        <w:t>.</w:t>
      </w:r>
      <w:r w:rsidRPr="00675182">
        <w:rPr>
          <w:rFonts w:cstheme="minorHAnsi"/>
          <w:szCs w:val="24"/>
        </w:rPr>
        <w:t xml:space="preserve"> Pieejams: </w:t>
      </w:r>
      <w:hyperlink r:id="rId314" w:history="1">
        <w:r w:rsidRPr="00675182">
          <w:rPr>
            <w:rStyle w:val="Hyperlink"/>
            <w:rFonts w:cstheme="minorHAnsi"/>
            <w:color w:val="auto"/>
            <w:szCs w:val="24"/>
          </w:rPr>
          <w:t>http://www.daba.gov.lv/public/lat/dati1/zinojumi_eiropas_komisijai/</w:t>
        </w:r>
      </w:hyperlink>
      <w:r w:rsidRPr="00675182">
        <w:rPr>
          <w:rFonts w:cstheme="minorHAnsi"/>
          <w:szCs w:val="24"/>
        </w:rPr>
        <w:t xml:space="preserve">; </w:t>
      </w:r>
      <w:hyperlink r:id="rId315" w:history="1">
        <w:r w:rsidR="007728D2" w:rsidRPr="00675182">
          <w:rPr>
            <w:rStyle w:val="Hyperlink"/>
            <w:rFonts w:cstheme="minorHAnsi"/>
            <w:color w:val="auto"/>
            <w:szCs w:val="24"/>
          </w:rPr>
          <w:t>http://cdr.eionet.europa.eu/lv/eu/art17/envxwalvg/</w:t>
        </w:r>
      </w:hyperlink>
      <w:r w:rsidR="007728D2" w:rsidRPr="00675182">
        <w:rPr>
          <w:rFonts w:cstheme="minorHAnsi"/>
          <w:szCs w:val="24"/>
        </w:rPr>
        <w:t xml:space="preserve"> </w:t>
      </w:r>
    </w:p>
    <w:p w14:paraId="43AD2329" w14:textId="7738C939" w:rsidR="00927053" w:rsidRPr="00675182" w:rsidRDefault="00927053" w:rsidP="00F91227">
      <w:pPr>
        <w:pStyle w:val="ListParagraph"/>
        <w:numPr>
          <w:ilvl w:val="0"/>
          <w:numId w:val="7"/>
        </w:numPr>
        <w:spacing w:after="120"/>
        <w:rPr>
          <w:rFonts w:cstheme="minorHAnsi"/>
          <w:szCs w:val="24"/>
        </w:rPr>
      </w:pPr>
      <w:r w:rsidRPr="00675182">
        <w:rPr>
          <w:rFonts w:cstheme="minorHAnsi"/>
          <w:szCs w:val="24"/>
        </w:rPr>
        <w:t xml:space="preserve">Valsts meža dienests. </w:t>
      </w:r>
      <w:r w:rsidRPr="00675182">
        <w:rPr>
          <w:rFonts w:cstheme="minorHAnsi"/>
          <w:szCs w:val="24"/>
        </w:rPr>
        <w:br/>
        <w:t xml:space="preserve">Informācija par ES sfērā esošo sugu monitoringu. </w:t>
      </w:r>
      <w:r w:rsidRPr="00675182">
        <w:rPr>
          <w:rFonts w:cstheme="minorHAnsi"/>
          <w:szCs w:val="24"/>
        </w:rPr>
        <w:br/>
        <w:t xml:space="preserve">Pieejams: </w:t>
      </w:r>
      <w:hyperlink r:id="rId316" w:anchor="jump" w:history="1">
        <w:r w:rsidRPr="00675182">
          <w:rPr>
            <w:rStyle w:val="Hyperlink"/>
            <w:rFonts w:cstheme="minorHAnsi"/>
            <w:color w:val="auto"/>
            <w:szCs w:val="24"/>
          </w:rPr>
          <w:t>http://www.vmd.gov.lv/valsts-meza-dienests/statiskas-lapas/medibas/es-sfera-esoso-sugu-monitorings?nid=1697#jump</w:t>
        </w:r>
      </w:hyperlink>
      <w:r w:rsidRPr="00675182">
        <w:rPr>
          <w:rFonts w:cstheme="minorHAnsi"/>
          <w:szCs w:val="24"/>
        </w:rPr>
        <w:t xml:space="preserve"> </w:t>
      </w:r>
    </w:p>
    <w:p w14:paraId="044B86F1" w14:textId="582C28A4" w:rsidR="001326D3" w:rsidRPr="00675182" w:rsidRDefault="001326D3" w:rsidP="00F91227">
      <w:pPr>
        <w:pStyle w:val="ListParagraph"/>
        <w:numPr>
          <w:ilvl w:val="0"/>
          <w:numId w:val="7"/>
        </w:numPr>
        <w:spacing w:after="120"/>
        <w:rPr>
          <w:rFonts w:cstheme="minorHAnsi"/>
          <w:szCs w:val="24"/>
        </w:rPr>
      </w:pPr>
      <w:r w:rsidRPr="00675182">
        <w:rPr>
          <w:rFonts w:cstheme="minorHAnsi"/>
          <w:szCs w:val="24"/>
        </w:rPr>
        <w:t>http://www.rivergauja.com/lv</w:t>
      </w:r>
    </w:p>
    <w:p w14:paraId="2C36417A" w14:textId="387ABB1D" w:rsidR="004073D8" w:rsidRPr="00675182" w:rsidRDefault="004073D8" w:rsidP="002B3341">
      <w:pPr>
        <w:spacing w:after="120"/>
        <w:rPr>
          <w:rFonts w:cstheme="minorHAnsi"/>
          <w:szCs w:val="24"/>
        </w:rPr>
      </w:pPr>
    </w:p>
    <w:p w14:paraId="771292F7" w14:textId="591B4FE1" w:rsidR="004073D8" w:rsidRPr="00675182" w:rsidRDefault="004073D8" w:rsidP="004073D8">
      <w:pPr>
        <w:rPr>
          <w:rFonts w:cstheme="minorHAnsi"/>
          <w:b/>
          <w:szCs w:val="24"/>
          <w:u w:val="single"/>
        </w:rPr>
      </w:pPr>
      <w:r w:rsidRPr="00675182">
        <w:rPr>
          <w:rFonts w:cstheme="minorHAnsi"/>
          <w:b/>
          <w:szCs w:val="24"/>
          <w:u w:val="single"/>
        </w:rPr>
        <w:t xml:space="preserve">Nepublicētie materiāli: </w:t>
      </w:r>
    </w:p>
    <w:p w14:paraId="07D45537" w14:textId="77777777" w:rsidR="004F6DA4" w:rsidRPr="00675182" w:rsidRDefault="004F6DA4" w:rsidP="004073D8">
      <w:pPr>
        <w:rPr>
          <w:rFonts w:cstheme="minorHAnsi"/>
          <w:b/>
          <w:szCs w:val="24"/>
          <w:u w:val="single"/>
        </w:rPr>
      </w:pPr>
    </w:p>
    <w:p w14:paraId="5769208D" w14:textId="250FBF95" w:rsidR="004073D8" w:rsidRPr="00675182" w:rsidRDefault="004F6DA4" w:rsidP="00A84218">
      <w:pPr>
        <w:pStyle w:val="ListParagraph"/>
        <w:numPr>
          <w:ilvl w:val="0"/>
          <w:numId w:val="24"/>
        </w:numPr>
        <w:spacing w:after="120"/>
        <w:rPr>
          <w:rFonts w:cstheme="minorHAnsi"/>
        </w:rPr>
      </w:pPr>
      <w:r w:rsidRPr="00675182">
        <w:rPr>
          <w:rFonts w:cstheme="minorHAnsi"/>
          <w:bCs/>
          <w:szCs w:val="24"/>
        </w:rPr>
        <w:t>G. Jansones un V. Vilnīša ziņojumi</w:t>
      </w:r>
    </w:p>
    <w:p w14:paraId="68357B50" w14:textId="788D41C8" w:rsidR="004F6DA4" w:rsidRPr="00675182" w:rsidRDefault="00980B67" w:rsidP="00A84218">
      <w:pPr>
        <w:pStyle w:val="ListParagraph"/>
        <w:numPr>
          <w:ilvl w:val="0"/>
          <w:numId w:val="24"/>
        </w:numPr>
        <w:spacing w:after="120"/>
        <w:rPr>
          <w:rFonts w:cstheme="minorHAnsi"/>
        </w:rPr>
      </w:pPr>
      <w:r w:rsidRPr="00675182">
        <w:rPr>
          <w:rFonts w:cstheme="minorHAnsi"/>
          <w:bCs/>
          <w:szCs w:val="24"/>
        </w:rPr>
        <w:t xml:space="preserve">J. </w:t>
      </w:r>
      <w:r w:rsidR="004F6DA4" w:rsidRPr="00675182">
        <w:rPr>
          <w:rFonts w:cstheme="minorHAnsi"/>
          <w:bCs/>
          <w:szCs w:val="24"/>
        </w:rPr>
        <w:t>Smaļinska ziņojums, 1995</w:t>
      </w:r>
    </w:p>
    <w:sectPr w:rsidR="004F6DA4" w:rsidRPr="00675182" w:rsidSect="00A176D9">
      <w:headerReference w:type="default" r:id="rId317"/>
      <w:pgSz w:w="11905" w:h="16837"/>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4883A" w14:textId="77777777" w:rsidR="0069459D" w:rsidRDefault="0069459D">
      <w:r>
        <w:separator/>
      </w:r>
    </w:p>
  </w:endnote>
  <w:endnote w:type="continuationSeparator" w:id="0">
    <w:p w14:paraId="5E981E9D" w14:textId="77777777" w:rsidR="0069459D" w:rsidRDefault="00694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MSBaltTimes">
    <w:altName w:val="Times New Roman"/>
    <w:charset w:val="00"/>
    <w:family w:val="roman"/>
    <w:pitch w:val="variable"/>
    <w:sig w:usb0="00000003" w:usb1="00000000" w:usb2="00000000" w:usb3="00000000" w:csb0="00000001" w:csb1="00000000"/>
  </w:font>
  <w:font w:name="TimesNewRoman">
    <w:altName w:val="Klee One"/>
    <w:panose1 w:val="00000000000000000000"/>
    <w:charset w:val="80"/>
    <w:family w:val="auto"/>
    <w:notTrueType/>
    <w:pitch w:val="default"/>
    <w:sig w:usb0="00000000" w:usb1="08070000" w:usb2="00000010" w:usb3="00000000" w:csb0="00020000" w:csb1="00000000"/>
  </w:font>
  <w:font w:name="MSBaltSouvenir">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inion Pro">
    <w:altName w:val="Cambria"/>
    <w:panose1 w:val="00000000000000000000"/>
    <w:charset w:val="00"/>
    <w:family w:val="roman"/>
    <w:notTrueType/>
    <w:pitch w:val="default"/>
    <w:sig w:usb0="00000007" w:usb1="00000000" w:usb2="00000000" w:usb3="00000000" w:csb0="00000003" w:csb1="00000000"/>
  </w:font>
  <w:font w:name="Arial+1">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3E4E" w14:textId="77777777" w:rsidR="00280001" w:rsidRDefault="00280001"/>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93E7" w14:textId="77777777" w:rsidR="00280001" w:rsidRDefault="00280001"/>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7CA5" w14:textId="77777777" w:rsidR="00280001" w:rsidRPr="00E012D8" w:rsidRDefault="00280001">
    <w:pPr>
      <w:pStyle w:val="Footer"/>
      <w:jc w:val="center"/>
      <w:rPr>
        <w:rFonts w:cstheme="minorHAnsi"/>
      </w:rPr>
    </w:pPr>
    <w:r w:rsidRPr="00E012D8">
      <w:rPr>
        <w:rFonts w:cstheme="minorHAnsi"/>
        <w:noProof/>
      </w:rPr>
      <w:fldChar w:fldCharType="begin"/>
    </w:r>
    <w:r w:rsidRPr="00E012D8">
      <w:rPr>
        <w:rFonts w:cstheme="minorHAnsi"/>
        <w:noProof/>
      </w:rPr>
      <w:instrText xml:space="preserve"> PAGE </w:instrText>
    </w:r>
    <w:r w:rsidRPr="00E012D8">
      <w:rPr>
        <w:rFonts w:cstheme="minorHAnsi"/>
        <w:noProof/>
      </w:rPr>
      <w:fldChar w:fldCharType="separate"/>
    </w:r>
    <w:r>
      <w:rPr>
        <w:rFonts w:cstheme="minorHAnsi"/>
        <w:noProof/>
      </w:rPr>
      <w:t>126</w:t>
    </w:r>
    <w:r w:rsidRPr="00E012D8">
      <w:rPr>
        <w:rFonts w:cstheme="minorHAnsi"/>
        <w:noProof/>
      </w:rPr>
      <w:fldChar w:fldCharType="end"/>
    </w:r>
  </w:p>
  <w:p w14:paraId="334E86D5" w14:textId="77777777" w:rsidR="00280001" w:rsidRDefault="002800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131B" w14:textId="77777777" w:rsidR="00280001" w:rsidRDefault="00280001"/>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9CF1" w14:textId="77777777" w:rsidR="00280001" w:rsidRDefault="00280001"/>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F9D3" w14:textId="77777777" w:rsidR="00280001" w:rsidRPr="00034954" w:rsidRDefault="00280001">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w:instrText>
    </w:r>
    <w:r w:rsidRPr="00034954">
      <w:rPr>
        <w:rFonts w:ascii="Calibri" w:hAnsi="Calibri"/>
      </w:rPr>
      <w:fldChar w:fldCharType="separate"/>
    </w:r>
    <w:r>
      <w:rPr>
        <w:rFonts w:ascii="Calibri" w:hAnsi="Calibri"/>
        <w:noProof/>
      </w:rPr>
      <w:t>129</w:t>
    </w:r>
    <w:r w:rsidRPr="00034954">
      <w:rPr>
        <w:rFonts w:ascii="Calibri" w:hAnsi="Calibri"/>
        <w:noProof/>
      </w:rPr>
      <w:fldChar w:fldCharType="end"/>
    </w:r>
  </w:p>
  <w:p w14:paraId="7D39FB80" w14:textId="77777777" w:rsidR="00280001" w:rsidRDefault="0028000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A076" w14:textId="77777777" w:rsidR="00280001" w:rsidRDefault="00280001"/>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86F05" w14:textId="77777777" w:rsidR="00280001" w:rsidRDefault="00280001"/>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B032E" w14:textId="77777777" w:rsidR="00280001" w:rsidRPr="00034954" w:rsidRDefault="00280001">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w:instrText>
    </w:r>
    <w:r w:rsidRPr="00034954">
      <w:rPr>
        <w:rFonts w:ascii="Calibri" w:hAnsi="Calibri"/>
      </w:rPr>
      <w:fldChar w:fldCharType="separate"/>
    </w:r>
    <w:r>
      <w:rPr>
        <w:rFonts w:ascii="Calibri" w:hAnsi="Calibri"/>
        <w:noProof/>
      </w:rPr>
      <w:t>146</w:t>
    </w:r>
    <w:r w:rsidRPr="00034954">
      <w:rPr>
        <w:rFonts w:ascii="Calibri" w:hAnsi="Calibri"/>
        <w:noProof/>
      </w:rPr>
      <w:fldChar w:fldCharType="end"/>
    </w:r>
  </w:p>
  <w:p w14:paraId="4C15ED01" w14:textId="77777777" w:rsidR="00280001" w:rsidRDefault="0028000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C2B1" w14:textId="77777777" w:rsidR="00280001" w:rsidRDefault="002800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D66E" w14:textId="77777777" w:rsidR="00280001" w:rsidRDefault="0028000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1E5E" w14:textId="77777777" w:rsidR="00280001" w:rsidRDefault="0028000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FF9E" w14:textId="77777777" w:rsidR="00280001" w:rsidRDefault="0028000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36745" w14:textId="77777777" w:rsidR="00280001" w:rsidRDefault="0028000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ADCAE" w14:textId="77777777" w:rsidR="00280001" w:rsidRPr="00034954" w:rsidRDefault="00280001">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 MERGEFORMAT </w:instrText>
    </w:r>
    <w:r w:rsidRPr="00034954">
      <w:rPr>
        <w:rFonts w:ascii="Calibri" w:hAnsi="Calibri"/>
      </w:rPr>
      <w:fldChar w:fldCharType="separate"/>
    </w:r>
    <w:r>
      <w:rPr>
        <w:rFonts w:ascii="Calibri" w:hAnsi="Calibri"/>
        <w:noProof/>
      </w:rPr>
      <w:t>11</w:t>
    </w:r>
    <w:r w:rsidRPr="00034954">
      <w:rPr>
        <w:rFonts w:ascii="Calibri" w:hAnsi="Calibri"/>
        <w:noProof/>
      </w:rPr>
      <w:fldChar w:fldCharType="end"/>
    </w:r>
  </w:p>
  <w:p w14:paraId="2920B72F" w14:textId="77777777" w:rsidR="00280001" w:rsidRDefault="002800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7A87" w14:textId="77777777" w:rsidR="00280001" w:rsidRDefault="0028000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6493" w14:textId="6FABDDEF" w:rsidR="00280001" w:rsidRPr="00034954" w:rsidRDefault="00280001" w:rsidP="0033309E">
    <w:pPr>
      <w:pStyle w:val="Footer"/>
      <w:tabs>
        <w:tab w:val="left" w:pos="4340"/>
        <w:tab w:val="center" w:pos="6978"/>
      </w:tabs>
      <w:jc w:val="center"/>
      <w:rPr>
        <w:rFonts w:ascii="Calibri" w:hAnsi="Calibri"/>
      </w:rPr>
    </w:pPr>
    <w:r w:rsidRPr="00034954">
      <w:rPr>
        <w:rFonts w:ascii="Calibri" w:hAnsi="Calibri"/>
      </w:rPr>
      <w:fldChar w:fldCharType="begin"/>
    </w:r>
    <w:r w:rsidRPr="00034954">
      <w:rPr>
        <w:rFonts w:ascii="Calibri" w:hAnsi="Calibri"/>
      </w:rPr>
      <w:instrText xml:space="preserve"> PAGE </w:instrText>
    </w:r>
    <w:r w:rsidRPr="00034954">
      <w:rPr>
        <w:rFonts w:ascii="Calibri" w:hAnsi="Calibri"/>
      </w:rPr>
      <w:fldChar w:fldCharType="separate"/>
    </w:r>
    <w:r>
      <w:rPr>
        <w:rFonts w:ascii="Calibri" w:hAnsi="Calibri"/>
        <w:noProof/>
      </w:rPr>
      <w:t>52</w:t>
    </w:r>
    <w:r w:rsidRPr="00034954">
      <w:rPr>
        <w:rFonts w:ascii="Calibri" w:hAnsi="Calibri"/>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C44D" w14:textId="77777777" w:rsidR="00280001" w:rsidRDefault="002800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E9DC" w14:textId="77777777" w:rsidR="0069459D" w:rsidRDefault="0069459D">
      <w:r>
        <w:separator/>
      </w:r>
    </w:p>
  </w:footnote>
  <w:footnote w:type="continuationSeparator" w:id="0">
    <w:p w14:paraId="40E210EB" w14:textId="77777777" w:rsidR="0069459D" w:rsidRDefault="0069459D">
      <w:r>
        <w:continuationSeparator/>
      </w:r>
    </w:p>
  </w:footnote>
  <w:footnote w:id="1">
    <w:p w14:paraId="19CF9292" w14:textId="228F6CA7" w:rsidR="000C0481" w:rsidRDefault="000C0481">
      <w:pPr>
        <w:pStyle w:val="FootnoteText"/>
      </w:pPr>
      <w:r>
        <w:rPr>
          <w:rStyle w:val="FootnoteReference"/>
        </w:rPr>
        <w:footnoteRef/>
      </w:r>
      <w:r>
        <w:t xml:space="preserve"> Dabas aizsardzības plānā, apkopojot informāciju par īpaši aizsargājamiem biotopiem un to platībām, par īpaši aizsargājamiem biotopiem tiek uzskatīti </w:t>
      </w:r>
      <w:r w:rsidRPr="000C0481">
        <w:t>ES nozīmes aizsargājamajie biotopi</w:t>
      </w:r>
      <w:r>
        <w:t xml:space="preserve"> </w:t>
      </w:r>
    </w:p>
  </w:footnote>
  <w:footnote w:id="2">
    <w:p w14:paraId="010AC0AF" w14:textId="3A9279B0" w:rsidR="009F5103" w:rsidRDefault="009F5103">
      <w:pPr>
        <w:pStyle w:val="FootnoteText"/>
      </w:pPr>
      <w:r>
        <w:rPr>
          <w:rStyle w:val="FootnoteReference"/>
        </w:rPr>
        <w:footnoteRef/>
      </w:r>
      <w:r>
        <w:t xml:space="preserve"> </w:t>
      </w:r>
      <w:r w:rsidR="00A65F22">
        <w:t>2022. gada augustā ir uzsākta procedūra, lai atceltu dendroloģisko stādījumu statusu dendroloģiskajam stādījumam “Briežmuižas lapegļu stādījumi”, rosinot tajā ietilpstošo lapegļu aleju saglabāt kā īpaši aizsargājamo aleju, bet mežaudzes daļas aizsardzību nodrošinot ar GNP funkcionālo zonējumu</w:t>
      </w:r>
    </w:p>
  </w:footnote>
  <w:footnote w:id="3">
    <w:p w14:paraId="25AB1E34" w14:textId="77777777" w:rsidR="00B84D29" w:rsidRPr="00197F62" w:rsidRDefault="00B84D29" w:rsidP="00B84D29">
      <w:pPr>
        <w:pStyle w:val="FootnoteText"/>
        <w:ind w:left="284" w:hanging="284"/>
        <w:rPr>
          <w:rStyle w:val="SubtleReference"/>
          <w:rFonts w:asciiTheme="minorHAnsi" w:hAnsiTheme="minorHAnsi" w:cstheme="minorHAnsi"/>
        </w:rPr>
      </w:pPr>
      <w:r w:rsidRPr="00197F62">
        <w:rPr>
          <w:rStyle w:val="SubtleReference"/>
          <w:rFonts w:asciiTheme="minorHAnsi" w:hAnsiTheme="minorHAnsi" w:cstheme="minorHAnsi"/>
          <w:specVanish w:val="0"/>
        </w:rPr>
        <w:footnoteRef/>
      </w:r>
      <w:r w:rsidRPr="00197F62">
        <w:rPr>
          <w:rStyle w:val="SubtleReference"/>
          <w:rFonts w:asciiTheme="minorHAnsi" w:hAnsiTheme="minorHAnsi" w:cstheme="minorHAnsi"/>
          <w:specVanish w:val="0"/>
        </w:rPr>
        <w:t xml:space="preserve"> CSP. (2020). Pastāvīgo iedzīvotāju skaits 2019. gada sākumā. Dati telpiskajai analīzei un karšu veidošanai. 1×1 km režģa pārklājums Latvijas teritorijai.</w:t>
      </w:r>
    </w:p>
  </w:footnote>
  <w:footnote w:id="4">
    <w:p w14:paraId="2CB0D87D" w14:textId="77777777" w:rsidR="00C81FDD" w:rsidRDefault="00C81FDD" w:rsidP="00C81FDD">
      <w:pPr>
        <w:pStyle w:val="FootnoteText"/>
        <w:rPr>
          <w:rFonts w:cstheme="minorBidi"/>
          <w:lang w:eastAsia="en-US"/>
        </w:rPr>
      </w:pPr>
      <w:r>
        <w:rPr>
          <w:rStyle w:val="FootnoteReference"/>
        </w:rPr>
        <w:footnoteRef/>
      </w:r>
      <w:r>
        <w:t xml:space="preserve"> https://data.stat.gov.lv/pxweb/lv/OSP_PUB/START__NOZ__TU__TUL/TUL020/</w:t>
      </w:r>
    </w:p>
  </w:footnote>
  <w:footnote w:id="5">
    <w:p w14:paraId="176DF965" w14:textId="77777777" w:rsidR="00C81FDD" w:rsidRDefault="00C81FDD" w:rsidP="00C81FDD">
      <w:pPr>
        <w:pStyle w:val="FootnoteText"/>
      </w:pPr>
      <w:r>
        <w:rPr>
          <w:rStyle w:val="FootnoteReference"/>
        </w:rPr>
        <w:footnoteRef/>
      </w:r>
      <w:r>
        <w:t xml:space="preserve"> https://data.stat.gov.lv/pxweb/lv/OSP_PUB/START__NOZ__TU__TUA/TUA020/</w:t>
      </w:r>
    </w:p>
  </w:footnote>
  <w:footnote w:id="6">
    <w:p w14:paraId="71056431" w14:textId="77777777" w:rsidR="00C81FDD" w:rsidRDefault="00C81FDD" w:rsidP="00C81FDD">
      <w:pPr>
        <w:pStyle w:val="FootnoteText"/>
      </w:pPr>
      <w:r>
        <w:rPr>
          <w:rStyle w:val="FootnoteReference"/>
        </w:rPr>
        <w:footnoteRef/>
      </w:r>
      <w:r>
        <w:t xml:space="preserve"> https://lvportals.lv/dienaskartiba/316849-arvalstu-celojumos-latvijas-iedzivotaji-2019-gada-iztereja-gandriz-800-miljonus-eiro-2020</w:t>
      </w:r>
    </w:p>
  </w:footnote>
  <w:footnote w:id="7">
    <w:p w14:paraId="2DD9F0A5" w14:textId="77777777" w:rsidR="00A65014" w:rsidRDefault="00A65014" w:rsidP="00A65014">
      <w:pPr>
        <w:pStyle w:val="FootnoteText"/>
      </w:pPr>
      <w:r>
        <w:rPr>
          <w:rStyle w:val="FootnoteReference"/>
        </w:rPr>
        <w:footnoteRef/>
      </w:r>
      <w:r>
        <w:t xml:space="preserve"> Meža kaitēkļu un slimību monitorings, Latvijas Valsts mežzinātnes institūts ’’Silava”, Salaspils 2019.</w:t>
      </w:r>
    </w:p>
  </w:footnote>
  <w:footnote w:id="8">
    <w:p w14:paraId="00E21490" w14:textId="77777777" w:rsidR="00C12C83" w:rsidRDefault="00C12C83" w:rsidP="00C12C83">
      <w:pPr>
        <w:pStyle w:val="FootnoteText1"/>
        <w:rPr>
          <w:rFonts w:cstheme="minorBidi"/>
          <w:sz w:val="22"/>
          <w:szCs w:val="22"/>
          <w:lang w:eastAsia="en-US"/>
        </w:rPr>
      </w:pPr>
      <w:r>
        <w:rPr>
          <w:rStyle w:val="FootnoteReference"/>
        </w:rPr>
        <w:footnoteRef/>
      </w:r>
      <w:r>
        <w:t xml:space="preserve"> </w:t>
      </w:r>
      <w:hyperlink r:id="rId1" w:history="1">
        <w:r>
          <w:rPr>
            <w:rStyle w:val="Hyperlink"/>
          </w:rPr>
          <w:t>https://www.sciencedirect.com/science/article/abs/pii/S0378112708008335</w:t>
        </w:r>
      </w:hyperlink>
      <w:r>
        <w:t xml:space="preserve"> </w:t>
      </w:r>
    </w:p>
  </w:footnote>
  <w:footnote w:id="9">
    <w:p w14:paraId="7C3B8C62" w14:textId="77777777" w:rsidR="00C12C83" w:rsidRDefault="00C12C83" w:rsidP="00C12C83">
      <w:pPr>
        <w:pStyle w:val="FootnoteText1"/>
        <w:rPr>
          <w:b/>
          <w:bCs/>
        </w:rPr>
      </w:pPr>
      <w:r>
        <w:rPr>
          <w:rStyle w:val="FootnoteReference"/>
        </w:rPr>
        <w:footnoteRef/>
      </w:r>
      <w:r>
        <w:t xml:space="preserve"> </w:t>
      </w:r>
      <w:hyperlink r:id="rId2" w:history="1">
        <w:r>
          <w:rPr>
            <w:rStyle w:val="Hyperlink"/>
          </w:rPr>
          <w:t>https://econpapers.repec.org/bookchap/cupcbooks/9780521322249.htm</w:t>
        </w:r>
      </w:hyperlink>
      <w:r>
        <w:rPr>
          <w:b/>
          <w:bCs/>
        </w:rPr>
        <w:t xml:space="preserve"> </w:t>
      </w:r>
    </w:p>
  </w:footnote>
  <w:footnote w:id="10">
    <w:p w14:paraId="13859506" w14:textId="77777777" w:rsidR="00C12C83" w:rsidRDefault="00C12C83" w:rsidP="00C12C83">
      <w:pPr>
        <w:pStyle w:val="FootnoteText1"/>
      </w:pPr>
      <w:r>
        <w:rPr>
          <w:rStyle w:val="FootnoteReference"/>
        </w:rPr>
        <w:footnoteRef/>
      </w:r>
      <w:r>
        <w:t xml:space="preserve"> </w:t>
      </w:r>
      <w:hyperlink r:id="rId3" w:anchor="What%20are%20ecosystem%20services" w:history="1">
        <w:r>
          <w:rPr>
            <w:rStyle w:val="Hyperlink"/>
          </w:rPr>
          <w:t>https://seea.un.org/content/frequently-asked-questions#What%20are%20ecosystem%20services</w:t>
        </w:r>
      </w:hyperlink>
      <w:r>
        <w:t xml:space="preserve"> </w:t>
      </w:r>
    </w:p>
  </w:footnote>
  <w:footnote w:id="11">
    <w:p w14:paraId="06B2CB25" w14:textId="77777777" w:rsidR="00C12C83" w:rsidRDefault="00C12C83" w:rsidP="00C12C83">
      <w:pPr>
        <w:pStyle w:val="FootnoteText1"/>
      </w:pPr>
      <w:r>
        <w:rPr>
          <w:rStyle w:val="FootnoteReference"/>
        </w:rPr>
        <w:footnoteRef/>
      </w:r>
      <w:r>
        <w:t xml:space="preserve"> </w:t>
      </w:r>
      <w:hyperlink r:id="rId4" w:history="1">
        <w:r>
          <w:rPr>
            <w:rStyle w:val="Hyperlink"/>
          </w:rPr>
          <w:t>http://riks.ekosistemas.daba.gov.lv/teorija/</w:t>
        </w:r>
      </w:hyperlink>
      <w:r>
        <w:t xml:space="preserve"> </w:t>
      </w:r>
    </w:p>
  </w:footnote>
  <w:footnote w:id="12">
    <w:p w14:paraId="3A2EA797" w14:textId="3F0B4B35" w:rsidR="00280001" w:rsidRDefault="00280001">
      <w:pPr>
        <w:pStyle w:val="FootnoteText"/>
      </w:pPr>
      <w:r>
        <w:rPr>
          <w:rStyle w:val="FootnoteReference"/>
        </w:rPr>
        <w:footnoteRef/>
      </w:r>
      <w:r>
        <w:t xml:space="preserve"> Vērtējums no biotopu apsekošanas anketām</w:t>
      </w:r>
    </w:p>
  </w:footnote>
  <w:footnote w:id="13">
    <w:p w14:paraId="538FA5CB" w14:textId="39DDF0E5" w:rsidR="00280001" w:rsidRDefault="00280001">
      <w:pPr>
        <w:pStyle w:val="FootnoteText"/>
      </w:pPr>
      <w:r>
        <w:rPr>
          <w:rStyle w:val="FootnoteReference"/>
        </w:rPr>
        <w:footnoteRef/>
      </w:r>
      <w:r>
        <w:t xml:space="preserve"> Vērtējums pēc biotopu anketas</w:t>
      </w:r>
    </w:p>
  </w:footnote>
  <w:footnote w:id="14">
    <w:p w14:paraId="3611B500" w14:textId="77777777" w:rsidR="008A68CA" w:rsidRDefault="008A68CA" w:rsidP="008A68CA">
      <w:pPr>
        <w:pStyle w:val="FootnoteText"/>
      </w:pPr>
      <w:r>
        <w:rPr>
          <w:rStyle w:val="FootnoteReference"/>
        </w:rPr>
        <w:footnoteRef/>
      </w:r>
      <w:r>
        <w:t xml:space="preserve"> MK noteikumi 20.06.2017. Nr.350. </w:t>
      </w:r>
      <w:r w:rsidRPr="005F3B59">
        <w:t>Noteikumi par īpaši aizsargājamo biotopu veidu sarakstu</w:t>
      </w:r>
    </w:p>
  </w:footnote>
  <w:footnote w:id="15">
    <w:p w14:paraId="60599212" w14:textId="77777777" w:rsidR="008A68CA" w:rsidRDefault="008A68CA" w:rsidP="008A68CA">
      <w:pPr>
        <w:pStyle w:val="FootnoteText"/>
      </w:pPr>
      <w:r>
        <w:rPr>
          <w:rStyle w:val="FootnoteReference"/>
        </w:rPr>
        <w:footnoteRef/>
      </w:r>
      <w:r>
        <w:t xml:space="preserve"> Čakare I. (red.), 2017. Aizsargājamo biotopu saglabāšana vadlīnijas Latvijā. 5. sējums. Iežu atsegumi un alas. Dabas aizsardzības pārvalde, Sigulda.</w:t>
      </w:r>
    </w:p>
  </w:footnote>
  <w:footnote w:id="16">
    <w:p w14:paraId="30364231" w14:textId="0C8287C0" w:rsidR="0043190C" w:rsidRDefault="0043190C">
      <w:pPr>
        <w:pStyle w:val="FootnoteText"/>
      </w:pPr>
      <w:r>
        <w:rPr>
          <w:rStyle w:val="FootnoteReference"/>
        </w:rPr>
        <w:footnoteRef/>
      </w:r>
      <w:r>
        <w:t xml:space="preserve"> Iekavās norādīts Latvijas īpaši aizsargājamā biotopa kods (MK </w:t>
      </w:r>
      <w:r w:rsidR="00411E51">
        <w:t xml:space="preserve">2017.gada 20.jūnija </w:t>
      </w:r>
      <w:r>
        <w:t>noteikumi Nr. 350 "Noteikumi par īpaši aizsargājamo biotopu veidu sarakstu”)</w:t>
      </w:r>
    </w:p>
  </w:footnote>
  <w:footnote w:id="17">
    <w:p w14:paraId="2F6406CB" w14:textId="2E75C21F" w:rsidR="00D73FA1" w:rsidRDefault="00D73FA1">
      <w:pPr>
        <w:pStyle w:val="FootnoteText"/>
      </w:pPr>
      <w:r>
        <w:rPr>
          <w:rStyle w:val="FootnoteReference"/>
        </w:rPr>
        <w:footnoteRef/>
      </w:r>
      <w:r>
        <w:t xml:space="preserve"> DDPS “Ozols” dati no sugas monitoringa u.c. apsekojumiem</w:t>
      </w:r>
    </w:p>
  </w:footnote>
  <w:footnote w:id="18">
    <w:p w14:paraId="4DC009FD" w14:textId="77777777" w:rsidR="00B045CA" w:rsidRDefault="00B045CA">
      <w:pPr>
        <w:pStyle w:val="FootnoteText"/>
        <w:rPr>
          <w:rFonts w:cs="Calibri"/>
        </w:rPr>
      </w:pPr>
      <w:r>
        <w:rPr>
          <w:rStyle w:val="FootnoteReference"/>
        </w:rPr>
        <w:footnoteRef/>
      </w:r>
      <w:r>
        <w:t xml:space="preserve"> Ziņojumā Eiropas Komisijai par biotopu (dzīvotņu) un sugu aizsardzības stāvokli Latvijā 2013.-2018. nav iekļauta dzīvotnes platība Latvijā, tāpēc nav iespējams aprēķināt šo rādītāju.</w:t>
      </w:r>
    </w:p>
  </w:footnote>
  <w:footnote w:id="19">
    <w:p w14:paraId="52CFF8F6" w14:textId="77777777" w:rsidR="00B045CA" w:rsidRDefault="00B045CA">
      <w:pPr>
        <w:pStyle w:val="FootnoteText"/>
      </w:pPr>
      <w:r>
        <w:rPr>
          <w:rStyle w:val="FootnoteReference"/>
        </w:rPr>
        <w:footnoteRef/>
      </w:r>
      <w:r>
        <w:t xml:space="preserve"> Pieņēmums, ka ~25% gadījumu atsevišķi atzīmētās atradnes faktiski ir tuvu esoši punkti no vienas un tās pašas atradnes; populācijas īpatsvars Latvijā un Natura 2000 rēķināts, izmantojot minimālo GNP populācijas novērtējumu, bet var secināt, ka populācija Latvijā aprēķināta pēc citas metodikas, jo skaits ir pārāk mazs, salīdzinot ar skaitu GNP.</w:t>
      </w:r>
    </w:p>
  </w:footnote>
  <w:footnote w:id="20">
    <w:p w14:paraId="43D2DD21" w14:textId="77777777" w:rsidR="00DD03EC" w:rsidRDefault="00DD03EC">
      <w:pPr>
        <w:pStyle w:val="FootnoteText"/>
        <w:rPr>
          <w:rFonts w:cs="Calibri"/>
        </w:rPr>
      </w:pPr>
      <w:r>
        <w:rPr>
          <w:rStyle w:val="FootnoteReference"/>
        </w:rPr>
        <w:footnoteRef/>
      </w:r>
      <w:r>
        <w:t xml:space="preserve"> Ziņojumā Eiropas Komisijai par biotopu (dzīvotņu) un sugu aizsardzības stāvokli Latvijā 2013.-2018. nav iekļauta dzīvotnes platība Latvijā, tāpēc nav iespējams aprēķināt šo rādītāju.</w:t>
      </w:r>
    </w:p>
  </w:footnote>
  <w:footnote w:id="21">
    <w:p w14:paraId="35A4F7E0" w14:textId="77777777" w:rsidR="00DD03EC" w:rsidRDefault="00DD03EC">
      <w:pPr>
        <w:pStyle w:val="FootnoteText"/>
      </w:pPr>
      <w:r>
        <w:rPr>
          <w:rStyle w:val="FootnoteReference"/>
        </w:rPr>
        <w:footnoteRef/>
      </w:r>
      <w:r>
        <w:t xml:space="preserve"> Populācijas īpatsvara aprēķinam izmantoti atradņu punkti no sugas izvērtējuma pēc IUCN kritērijiem, projekta “LIFE for Species” nepublicēti dati</w:t>
      </w:r>
    </w:p>
  </w:footnote>
  <w:footnote w:id="22">
    <w:p w14:paraId="1691404E" w14:textId="77777777" w:rsidR="00DD03EC" w:rsidRDefault="00DD03EC">
      <w:pPr>
        <w:pStyle w:val="FootnoteText"/>
      </w:pPr>
      <w:r>
        <w:rPr>
          <w:rStyle w:val="FootnoteReference"/>
        </w:rPr>
        <w:footnoteRef/>
      </w:r>
      <w:r>
        <w:t xml:space="preserve"> Sugas populācija valstī no monitoringa datiem </w:t>
      </w:r>
      <w:hyperlink r:id="rId5" w:history="1">
        <w:r>
          <w:rPr>
            <w:rStyle w:val="Hyperlink"/>
          </w:rPr>
          <w:t>https://www.daba.gov.lv/lv/media/13733/download?attachment</w:t>
        </w:r>
      </w:hyperlink>
      <w:r>
        <w:t xml:space="preserve"> un papildus novērojumiem GNP teritorijā Dabasdati.lv portālā pēc monitoringa beigām</w:t>
      </w:r>
    </w:p>
  </w:footnote>
  <w:footnote w:id="23">
    <w:p w14:paraId="7FAB5DAB" w14:textId="77777777" w:rsidR="00DD03EC" w:rsidRDefault="00DD03EC">
      <w:pPr>
        <w:pStyle w:val="FootnoteText"/>
      </w:pPr>
      <w:r>
        <w:rPr>
          <w:rStyle w:val="FootnoteReference"/>
        </w:rPr>
        <w:footnoteRef/>
      </w:r>
      <w:r>
        <w:t xml:space="preserve"> 75% no kartētās purvu un purvaino mežu ES nozīmes biotopu platības</w:t>
      </w:r>
    </w:p>
  </w:footnote>
  <w:footnote w:id="24">
    <w:p w14:paraId="59BA1404" w14:textId="77777777" w:rsidR="00DD03EC" w:rsidRDefault="00DD03EC">
      <w:pPr>
        <w:pStyle w:val="FootnoteText"/>
      </w:pPr>
      <w:r>
        <w:rPr>
          <w:rStyle w:val="FootnoteReference"/>
        </w:rPr>
        <w:footnoteRef/>
      </w:r>
      <w:r>
        <w:t xml:space="preserve"> 75% no aprēķinātās dzīvotnes platības</w:t>
      </w:r>
    </w:p>
  </w:footnote>
  <w:footnote w:id="25">
    <w:p w14:paraId="30B92996" w14:textId="77777777" w:rsidR="00DD03EC" w:rsidRDefault="00DD03EC">
      <w:pPr>
        <w:pStyle w:val="FootnoteText"/>
      </w:pPr>
      <w:r>
        <w:rPr>
          <w:rStyle w:val="FootnoteReference"/>
        </w:rPr>
        <w:footnoteRef/>
      </w:r>
      <w:r>
        <w:t xml:space="preserve"> Aprēķināts pēc tādas pašas metodes kā Ziņojumā Eiropas Komisijai – 1x1 km grida šūnu skaits, kurā ir sugas dzīvotne</w:t>
      </w:r>
    </w:p>
  </w:footnote>
  <w:footnote w:id="26">
    <w:p w14:paraId="4C5D87E4" w14:textId="1AC5AE14" w:rsidR="00E333DE" w:rsidRDefault="00E333DE">
      <w:pPr>
        <w:pStyle w:val="FootnoteText"/>
      </w:pPr>
      <w:r>
        <w:rPr>
          <w:rStyle w:val="FootnoteReference"/>
        </w:rPr>
        <w:footnoteRef/>
      </w:r>
      <w:r>
        <w:t xml:space="preserve"> Tabulā iekļauta informācija par ligzdojošām putnu sugām</w:t>
      </w:r>
    </w:p>
  </w:footnote>
  <w:footnote w:id="27">
    <w:p w14:paraId="50E57CA0" w14:textId="18FF0619" w:rsidR="00E333DE" w:rsidRDefault="00E333DE">
      <w:pPr>
        <w:pStyle w:val="FootnoteText"/>
      </w:pPr>
      <w:r>
        <w:rPr>
          <w:rStyle w:val="FootnoteReference"/>
        </w:rPr>
        <w:footnoteRef/>
      </w:r>
      <w:r>
        <w:t xml:space="preserve"> Tabulā iekļauta informācija par ligzdojošām putnu sugām</w:t>
      </w:r>
    </w:p>
  </w:footnote>
  <w:footnote w:id="28">
    <w:p w14:paraId="772B00DB" w14:textId="77777777" w:rsidR="00E30B04" w:rsidRDefault="00E30B04" w:rsidP="00E30B04">
      <w:pPr>
        <w:pStyle w:val="FootnoteText"/>
      </w:pPr>
      <w:r>
        <w:rPr>
          <w:rStyle w:val="FootnoteReference"/>
        </w:rPr>
        <w:footnoteRef/>
      </w:r>
      <w:r>
        <w:t xml:space="preserve"> </w:t>
      </w:r>
      <w:hyperlink r:id="rId6" w:history="1">
        <w:r>
          <w:rPr>
            <w:rStyle w:val="Hyperlink"/>
            <w:rFonts w:cstheme="minorHAnsi"/>
            <w:szCs w:val="24"/>
          </w:rPr>
          <w:t>http://natura2000.eea.europa.eu</w:t>
        </w:r>
      </w:hyperlink>
    </w:p>
  </w:footnote>
  <w:footnote w:id="29">
    <w:p w14:paraId="3B5BB7C1" w14:textId="510FCD51" w:rsidR="009F5103" w:rsidRDefault="009F5103" w:rsidP="00A65F22">
      <w:pPr>
        <w:pStyle w:val="FootnoteText"/>
        <w:jc w:val="both"/>
      </w:pPr>
      <w:r>
        <w:rPr>
          <w:rStyle w:val="FootnoteReference"/>
        </w:rPr>
        <w:footnoteRef/>
      </w:r>
      <w:r>
        <w:t xml:space="preserve"> 2022. gada augustā ir uzsākta procedūra, lai atceltu dendroloģisko stādījumu statusu dendroloģiskajam stādījumam “Briežmuižas lapegļu stādījumi”, rosinot tajā ietilpstoš</w:t>
      </w:r>
      <w:r w:rsidR="00A65F22">
        <w:t>o</w:t>
      </w:r>
      <w:r>
        <w:t xml:space="preserve"> lapegļu alej</w:t>
      </w:r>
      <w:r w:rsidR="00A65F22">
        <w:t>u saglabāt kā īpaši aizsargājamo aleju, bet mežaudzes daļas aizsardzību nodrošinot ar GNP funkcionālo zonējumu</w:t>
      </w:r>
    </w:p>
  </w:footnote>
  <w:footnote w:id="30">
    <w:p w14:paraId="327755D4" w14:textId="77777777" w:rsidR="00B82817" w:rsidRDefault="00B82817" w:rsidP="00B82817">
      <w:pPr>
        <w:pStyle w:val="FootnoteText"/>
      </w:pPr>
      <w:r>
        <w:rPr>
          <w:rStyle w:val="FootnoteReference"/>
        </w:rPr>
        <w:footnoteRef/>
      </w:r>
      <w:r>
        <w:t xml:space="preserve"> Ņemot vērā EUROPARC ilgtspējīgas tūrisma hartas aizsargājamās teritorijās rekomendācijas u.c.</w:t>
      </w:r>
    </w:p>
  </w:footnote>
  <w:footnote w:id="31">
    <w:p w14:paraId="27247B36" w14:textId="77777777" w:rsidR="00B82817" w:rsidRDefault="00B82817" w:rsidP="00B82817">
      <w:pPr>
        <w:pStyle w:val="FootnoteText"/>
      </w:pPr>
      <w:r>
        <w:rPr>
          <w:rStyle w:val="FootnoteReference"/>
        </w:rPr>
        <w:footnoteRef/>
      </w:r>
      <w:r>
        <w:t xml:space="preserve"> https://www.greengrants.org/what-we-do/local-livelihoods/</w:t>
      </w:r>
    </w:p>
  </w:footnote>
  <w:footnote w:id="32">
    <w:p w14:paraId="1489E35C" w14:textId="77777777" w:rsidR="00473381" w:rsidRDefault="00473381" w:rsidP="00473381">
      <w:pPr>
        <w:pStyle w:val="FootnoteText"/>
      </w:pPr>
      <w:r>
        <w:rPr>
          <w:rStyle w:val="FootnoteReference"/>
        </w:rPr>
        <w:footnoteRef/>
      </w:r>
      <w:r>
        <w:t xml:space="preserve"> https://www.facebook.com/GNPJaunieReindzeri/</w:t>
      </w:r>
    </w:p>
  </w:footnote>
  <w:footnote w:id="33">
    <w:p w14:paraId="08E3F241" w14:textId="77777777" w:rsidR="00473381" w:rsidRDefault="00473381" w:rsidP="00473381">
      <w:pPr>
        <w:pStyle w:val="FootnoteText"/>
      </w:pPr>
      <w:r>
        <w:rPr>
          <w:rStyle w:val="FootnoteReference"/>
        </w:rPr>
        <w:footnoteRef/>
      </w:r>
      <w:r>
        <w:t xml:space="preserve"> https://www.daba.gov.lv/lv/iadt-vienotais-stils</w:t>
      </w:r>
    </w:p>
  </w:footnote>
  <w:footnote w:id="34">
    <w:p w14:paraId="2BD15313" w14:textId="77777777" w:rsidR="00473381" w:rsidRDefault="00473381" w:rsidP="00473381">
      <w:pPr>
        <w:pStyle w:val="FootnoteText"/>
      </w:pPr>
      <w:r>
        <w:rPr>
          <w:rStyle w:val="FootnoteReference"/>
        </w:rPr>
        <w:footnoteRef/>
      </w:r>
      <w:r>
        <w:t xml:space="preserve"> https://mapeirons.eu/wp-content/uploads/2020/11/Vadlinijas.pdf</w:t>
      </w:r>
    </w:p>
  </w:footnote>
  <w:footnote w:id="35">
    <w:p w14:paraId="186CC0DE" w14:textId="77777777" w:rsidR="00473381" w:rsidRDefault="00473381" w:rsidP="00473381">
      <w:pPr>
        <w:pStyle w:val="FootnoteText"/>
      </w:pPr>
      <w:r>
        <w:rPr>
          <w:rStyle w:val="FootnoteReference"/>
        </w:rPr>
        <w:footnoteRef/>
      </w:r>
      <w:r>
        <w:t xml:space="preserve"> https://eurovelo.com/download/document/ECS-Manual-2018_04_16.pdf</w:t>
      </w:r>
    </w:p>
  </w:footnote>
  <w:footnote w:id="36">
    <w:p w14:paraId="1F2FCAA2" w14:textId="77777777" w:rsidR="00473381" w:rsidRDefault="00473381" w:rsidP="00473381">
      <w:pPr>
        <w:pStyle w:val="FootnoteText"/>
      </w:pPr>
      <w:r>
        <w:rPr>
          <w:rStyle w:val="FootnoteReference"/>
        </w:rPr>
        <w:footnoteRef/>
      </w:r>
      <w:r>
        <w:t xml:space="preserve"> https://www.daba.gov.lv/lv/iadt-vienotais-stils</w:t>
      </w:r>
    </w:p>
  </w:footnote>
  <w:footnote w:id="37">
    <w:p w14:paraId="077D755B" w14:textId="77777777" w:rsidR="00473381" w:rsidRDefault="00473381" w:rsidP="00473381">
      <w:pPr>
        <w:pStyle w:val="FootnoteText"/>
      </w:pPr>
      <w:r>
        <w:rPr>
          <w:rStyle w:val="FootnoteReference"/>
        </w:rPr>
        <w:footnoteRef/>
      </w:r>
      <w:r>
        <w:t xml:space="preserve"> https://www.daba.gov.lv/lv/iadt-vienotais-stils</w:t>
      </w:r>
    </w:p>
  </w:footnote>
  <w:footnote w:id="38">
    <w:p w14:paraId="730BE8FD" w14:textId="77777777" w:rsidR="00473381" w:rsidRDefault="00473381" w:rsidP="00473381">
      <w:pPr>
        <w:pStyle w:val="FootnoteText"/>
      </w:pPr>
      <w:r>
        <w:rPr>
          <w:rStyle w:val="FootnoteReference"/>
        </w:rPr>
        <w:footnoteRef/>
      </w:r>
      <w:r>
        <w:t xml:space="preserve"> https://mapeirons.eu/wp-content/uploads/2020/11/Vadlinijas.pdf</w:t>
      </w:r>
    </w:p>
  </w:footnote>
  <w:footnote w:id="39">
    <w:p w14:paraId="609EA832" w14:textId="77777777" w:rsidR="00C74E47" w:rsidRPr="00E343E0" w:rsidRDefault="00C74E47" w:rsidP="00C74E47">
      <w:pPr>
        <w:pStyle w:val="FootnoteText"/>
      </w:pPr>
      <w:r>
        <w:rPr>
          <w:rStyle w:val="FootnoteReference"/>
        </w:rPr>
        <w:footnoteRef/>
      </w:r>
      <w:r>
        <w:t xml:space="preserve"> </w:t>
      </w:r>
      <w:r w:rsidRPr="00E343E0">
        <w:t>https://www.nationalparks.fi/mountainbiking</w:t>
      </w:r>
    </w:p>
  </w:footnote>
  <w:footnote w:id="40">
    <w:p w14:paraId="621DC1EC" w14:textId="77777777" w:rsidR="00063AEB" w:rsidRDefault="00063AEB" w:rsidP="00063AEB">
      <w:pPr>
        <w:pStyle w:val="FootnoteText"/>
      </w:pPr>
      <w:r>
        <w:rPr>
          <w:rStyle w:val="FootnoteReference"/>
        </w:rPr>
        <w:footnoteRef/>
      </w:r>
      <w:r>
        <w:t xml:space="preserve"> </w:t>
      </w:r>
      <w:r w:rsidRPr="00A85329">
        <w:t xml:space="preserve">The EUROPARC Federation </w:t>
      </w:r>
      <w:r>
        <w:t>-</w:t>
      </w:r>
      <w:r w:rsidRPr="00A85329">
        <w:t xml:space="preserve"> the network for Europe’s natural and cultural heritage.</w:t>
      </w:r>
    </w:p>
  </w:footnote>
  <w:footnote w:id="41">
    <w:p w14:paraId="2AA56968" w14:textId="77777777" w:rsidR="00063AEB" w:rsidRDefault="00063AEB" w:rsidP="00063AEB">
      <w:pPr>
        <w:pStyle w:val="FootnoteText"/>
      </w:pPr>
      <w:r>
        <w:rPr>
          <w:rStyle w:val="FootnoteReference"/>
        </w:rPr>
        <w:footnoteRef/>
      </w:r>
      <w:r>
        <w:t xml:space="preserve"> https://www.europarc.org/library/europarc-events-and-programmes/european-charter-for-sustainable-tourism/</w:t>
      </w:r>
    </w:p>
  </w:footnote>
  <w:footnote w:id="42">
    <w:p w14:paraId="26C97920" w14:textId="77777777" w:rsidR="00063AEB" w:rsidRDefault="00063AEB" w:rsidP="00063AEB">
      <w:pPr>
        <w:pStyle w:val="FootnoteText"/>
      </w:pPr>
      <w:r>
        <w:rPr>
          <w:rStyle w:val="FootnoteReference"/>
        </w:rPr>
        <w:footnoteRef/>
      </w:r>
      <w:r>
        <w:t xml:space="preserve"> https://www.sigulda.lv/public/lat/jaunumi/17462/</w:t>
      </w:r>
    </w:p>
  </w:footnote>
  <w:footnote w:id="43">
    <w:p w14:paraId="1A3878E6" w14:textId="77777777" w:rsidR="00063AEB" w:rsidRDefault="00063AEB" w:rsidP="00063AEB">
      <w:pPr>
        <w:pStyle w:val="FootnoteText"/>
      </w:pPr>
      <w:r>
        <w:rPr>
          <w:rStyle w:val="FootnoteReference"/>
        </w:rPr>
        <w:footnoteRef/>
      </w:r>
      <w:r>
        <w:t xml:space="preserve"> https://ec.europa.eu/growth/sectors/tourism/offer/sustainable/indicators_en</w:t>
      </w:r>
    </w:p>
  </w:footnote>
  <w:footnote w:id="44">
    <w:p w14:paraId="0382D2D8" w14:textId="77777777" w:rsidR="00063AEB" w:rsidRDefault="00063AEB" w:rsidP="00063AEB">
      <w:pPr>
        <w:pStyle w:val="FootnoteText"/>
      </w:pPr>
      <w:r>
        <w:rPr>
          <w:rStyle w:val="FootnoteReference"/>
        </w:rPr>
        <w:footnoteRef/>
      </w:r>
      <w:r>
        <w:t xml:space="preserve"> https://mapeirons.eu/wp-content/uploads/2020/11/Vadlinijas.pdf</w:t>
      </w:r>
    </w:p>
  </w:footnote>
  <w:footnote w:id="45">
    <w:p w14:paraId="4CDF604A" w14:textId="77777777" w:rsidR="00063AEB" w:rsidRDefault="00063AEB" w:rsidP="00063AEB">
      <w:pPr>
        <w:pStyle w:val="FootnoteText"/>
      </w:pPr>
      <w:r>
        <w:rPr>
          <w:rStyle w:val="FootnoteReference"/>
        </w:rPr>
        <w:footnoteRef/>
      </w:r>
      <w:r>
        <w:t xml:space="preserve"> https://www.europarc.org/case-studies/project-accessible-nature-experience-in-nature-parks-in-north-rhine-westphalia-germany/</w:t>
      </w:r>
    </w:p>
  </w:footnote>
  <w:footnote w:id="46">
    <w:p w14:paraId="307DDD16" w14:textId="77777777" w:rsidR="00063AEB" w:rsidRDefault="00063AEB" w:rsidP="00063AEB">
      <w:pPr>
        <w:pStyle w:val="FootnoteText"/>
      </w:pPr>
      <w:r>
        <w:rPr>
          <w:rStyle w:val="FootnoteReference"/>
        </w:rPr>
        <w:footnoteRef/>
      </w:r>
      <w:r>
        <w:t xml:space="preserve"> </w:t>
      </w:r>
      <w:r w:rsidRPr="00FB45E0">
        <w:t>http://www.vidzeme.lv/lv/vpr_attistibas_planosanas_dokumenti1</w:t>
      </w:r>
    </w:p>
  </w:footnote>
  <w:footnote w:id="47">
    <w:p w14:paraId="6797658A" w14:textId="77777777" w:rsidR="00063AEB" w:rsidRDefault="00063AEB" w:rsidP="00063AEB">
      <w:pPr>
        <w:pStyle w:val="FootnoteText"/>
      </w:pPr>
      <w:r>
        <w:rPr>
          <w:rStyle w:val="FootnoteReference"/>
        </w:rPr>
        <w:footnoteRef/>
      </w:r>
      <w:r>
        <w:t xml:space="preserve"> </w:t>
      </w:r>
      <w:r w:rsidRPr="0044117D">
        <w:t>https://www.entergauja.com/lv/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C249" w14:textId="77777777" w:rsidR="00280001" w:rsidRDefault="00280001"/>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D9A80" w14:textId="77777777" w:rsidR="00280001" w:rsidRDefault="0028000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1D130" w14:textId="77777777" w:rsidR="00280001" w:rsidRDefault="0028000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79A42236" w14:textId="77777777" w:rsidTr="005879FA">
      <w:trPr>
        <w:trHeight w:val="547"/>
      </w:trPr>
      <w:tc>
        <w:tcPr>
          <w:tcW w:w="2880" w:type="pct"/>
          <w:tcBorders>
            <w:bottom w:val="single" w:sz="4" w:space="0" w:color="000000"/>
          </w:tcBorders>
        </w:tcPr>
        <w:p w14:paraId="423F263E" w14:textId="77777777" w:rsidR="00280001" w:rsidRPr="003871DA" w:rsidRDefault="00280001" w:rsidP="00660418">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395CDD3B" w14:textId="05A37312" w:rsidR="00280001" w:rsidRPr="00351DF4" w:rsidRDefault="00280001" w:rsidP="007B145C">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3AA000DE" w14:textId="77777777" w:rsidR="00280001" w:rsidRPr="003871DA" w:rsidRDefault="00280001" w:rsidP="00660418">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274E15B9" w14:textId="77777777" w:rsidR="00280001" w:rsidRPr="003871DA" w:rsidRDefault="00280001" w:rsidP="00660418">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28C160D0" w14:textId="77777777" w:rsidR="00280001" w:rsidRPr="000D33A8" w:rsidRDefault="00280001" w:rsidP="00F53BE4">
    <w:pPr>
      <w:rPr>
        <w:lang w:val="fi-FI"/>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2F7E318A" w14:textId="77777777" w:rsidTr="00C62D41">
      <w:trPr>
        <w:trHeight w:val="547"/>
      </w:trPr>
      <w:tc>
        <w:tcPr>
          <w:tcW w:w="2884" w:type="pct"/>
          <w:tcBorders>
            <w:bottom w:val="single" w:sz="4" w:space="0" w:color="000000"/>
          </w:tcBorders>
        </w:tcPr>
        <w:p w14:paraId="0BA23D50" w14:textId="77777777" w:rsidR="00280001" w:rsidRPr="003871DA" w:rsidRDefault="00280001" w:rsidP="002944CA">
          <w:pPr>
            <w:pStyle w:val="Header"/>
            <w:snapToGrid w:val="0"/>
            <w:ind w:left="-108"/>
            <w:rPr>
              <w:rFonts w:ascii="Calibri" w:hAnsi="Calibri"/>
              <w:i/>
              <w:sz w:val="20"/>
              <w:lang w:val="lv-LV"/>
            </w:rPr>
          </w:pPr>
          <w:r>
            <w:rPr>
              <w:rFonts w:ascii="Calibri" w:hAnsi="Calibri"/>
              <w:i/>
              <w:sz w:val="20"/>
              <w:lang w:val="lv-LV"/>
            </w:rPr>
            <w:t>Gaujas Nacionālā parka</w:t>
          </w:r>
        </w:p>
        <w:p w14:paraId="0A03308A" w14:textId="2153099E" w:rsidR="00280001" w:rsidRPr="00351DF4" w:rsidRDefault="00280001" w:rsidP="007B145C">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3769E29E" w14:textId="77777777" w:rsidR="00280001" w:rsidRPr="003871DA" w:rsidRDefault="00280001" w:rsidP="002944CA">
          <w:pPr>
            <w:pStyle w:val="Header"/>
            <w:snapToGrid w:val="0"/>
            <w:jc w:val="right"/>
            <w:rPr>
              <w:rFonts w:ascii="Calibri" w:hAnsi="Calibri"/>
              <w:i/>
              <w:sz w:val="20"/>
              <w:lang w:val="lv-LV"/>
            </w:rPr>
          </w:pPr>
          <w:r w:rsidRPr="003871DA">
            <w:rPr>
              <w:rFonts w:ascii="Calibri" w:hAnsi="Calibri"/>
              <w:i/>
              <w:sz w:val="20"/>
              <w:lang w:val="lv-LV"/>
            </w:rPr>
            <w:t>SIA Estonian, Latvian</w:t>
          </w:r>
        </w:p>
        <w:p w14:paraId="7427A1FC" w14:textId="77777777" w:rsidR="00280001" w:rsidRPr="003871DA" w:rsidRDefault="00280001" w:rsidP="002944CA">
          <w:pPr>
            <w:pStyle w:val="Header"/>
            <w:jc w:val="right"/>
            <w:rPr>
              <w:rFonts w:ascii="Calibri" w:hAnsi="Calibri"/>
              <w:i/>
              <w:sz w:val="20"/>
              <w:lang w:val="lv-LV"/>
            </w:rPr>
          </w:pPr>
          <w:r w:rsidRPr="003871DA">
            <w:rPr>
              <w:rFonts w:ascii="Calibri" w:hAnsi="Calibri"/>
              <w:i/>
              <w:sz w:val="20"/>
              <w:lang w:val="lv-LV"/>
            </w:rPr>
            <w:t>&amp; Lithuanian Environment</w:t>
          </w:r>
        </w:p>
      </w:tc>
    </w:tr>
  </w:tbl>
  <w:p w14:paraId="679132ED" w14:textId="77777777" w:rsidR="00280001" w:rsidRPr="002944CA" w:rsidRDefault="00280001" w:rsidP="00F53BE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7B71045A" w14:textId="77777777" w:rsidTr="005879FA">
      <w:trPr>
        <w:trHeight w:val="547"/>
      </w:trPr>
      <w:tc>
        <w:tcPr>
          <w:tcW w:w="2880" w:type="pct"/>
          <w:tcBorders>
            <w:bottom w:val="single" w:sz="4" w:space="0" w:color="000000"/>
          </w:tcBorders>
        </w:tcPr>
        <w:p w14:paraId="256E57B6" w14:textId="77777777" w:rsidR="00280001" w:rsidRPr="003871DA" w:rsidRDefault="00280001" w:rsidP="00660418">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2C3CC8B8" w14:textId="0C4B7640" w:rsidR="00280001" w:rsidRPr="00351DF4" w:rsidRDefault="00280001" w:rsidP="007B145C">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32ECF72A" w14:textId="77777777" w:rsidR="00280001" w:rsidRPr="003871DA" w:rsidRDefault="00280001" w:rsidP="00660418">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47D2C233" w14:textId="77777777" w:rsidR="00280001" w:rsidRPr="003871DA" w:rsidRDefault="00280001" w:rsidP="00660418">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39C0EB21" w14:textId="77777777" w:rsidR="00280001" w:rsidRPr="000D33A8" w:rsidRDefault="00280001" w:rsidP="00F53BE4">
    <w:pPr>
      <w:rPr>
        <w:lang w:val="fi-FI"/>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505E1D61" w14:textId="77777777" w:rsidTr="00C62D41">
      <w:trPr>
        <w:trHeight w:val="547"/>
      </w:trPr>
      <w:tc>
        <w:tcPr>
          <w:tcW w:w="2884" w:type="pct"/>
          <w:tcBorders>
            <w:bottom w:val="single" w:sz="4" w:space="0" w:color="000000"/>
          </w:tcBorders>
        </w:tcPr>
        <w:p w14:paraId="52E04924" w14:textId="77777777" w:rsidR="00280001" w:rsidRPr="003871DA" w:rsidRDefault="00280001" w:rsidP="0090463E">
          <w:pPr>
            <w:pStyle w:val="Header"/>
            <w:snapToGrid w:val="0"/>
            <w:ind w:left="-108"/>
            <w:rPr>
              <w:rFonts w:ascii="Calibri" w:hAnsi="Calibri"/>
              <w:i/>
              <w:sz w:val="20"/>
              <w:lang w:val="lv-LV"/>
            </w:rPr>
          </w:pPr>
          <w:r>
            <w:rPr>
              <w:rFonts w:ascii="Calibri" w:hAnsi="Calibri"/>
              <w:i/>
              <w:sz w:val="20"/>
              <w:lang w:val="lv-LV"/>
            </w:rPr>
            <w:t>Gaujas Nacionālā parka</w:t>
          </w:r>
        </w:p>
        <w:p w14:paraId="46AC4CE7" w14:textId="040F93F9" w:rsidR="00280001" w:rsidRPr="00351DF4" w:rsidRDefault="00280001" w:rsidP="007B145C">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5B0F1734" w14:textId="77777777" w:rsidR="00280001" w:rsidRPr="003871DA" w:rsidRDefault="00280001" w:rsidP="0090463E">
          <w:pPr>
            <w:pStyle w:val="Header"/>
            <w:snapToGrid w:val="0"/>
            <w:jc w:val="right"/>
            <w:rPr>
              <w:rFonts w:ascii="Calibri" w:hAnsi="Calibri"/>
              <w:i/>
              <w:sz w:val="20"/>
              <w:lang w:val="lv-LV"/>
            </w:rPr>
          </w:pPr>
          <w:r w:rsidRPr="003871DA">
            <w:rPr>
              <w:rFonts w:ascii="Calibri" w:hAnsi="Calibri"/>
              <w:i/>
              <w:sz w:val="20"/>
              <w:lang w:val="lv-LV"/>
            </w:rPr>
            <w:t>SIA Estonian, Latvian</w:t>
          </w:r>
        </w:p>
        <w:p w14:paraId="6CFA10A9" w14:textId="77777777" w:rsidR="00280001" w:rsidRPr="003871DA" w:rsidRDefault="00280001" w:rsidP="0090463E">
          <w:pPr>
            <w:pStyle w:val="Header"/>
            <w:jc w:val="right"/>
            <w:rPr>
              <w:rFonts w:ascii="Calibri" w:hAnsi="Calibri"/>
              <w:i/>
              <w:sz w:val="20"/>
              <w:lang w:val="lv-LV"/>
            </w:rPr>
          </w:pPr>
          <w:r w:rsidRPr="003871DA">
            <w:rPr>
              <w:rFonts w:ascii="Calibri" w:hAnsi="Calibri"/>
              <w:i/>
              <w:sz w:val="20"/>
              <w:lang w:val="lv-LV"/>
            </w:rPr>
            <w:t>&amp; Lithuanian Environment</w:t>
          </w:r>
        </w:p>
      </w:tc>
    </w:tr>
  </w:tbl>
  <w:p w14:paraId="1888C616" w14:textId="77777777" w:rsidR="00280001" w:rsidRPr="0090463E" w:rsidRDefault="00280001" w:rsidP="00F53BE4"/>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7F9B2C08" w14:textId="77777777" w:rsidTr="007B145C">
      <w:trPr>
        <w:trHeight w:val="547"/>
      </w:trPr>
      <w:tc>
        <w:tcPr>
          <w:tcW w:w="2880" w:type="pct"/>
          <w:tcBorders>
            <w:bottom w:val="single" w:sz="4" w:space="0" w:color="000000"/>
          </w:tcBorders>
        </w:tcPr>
        <w:p w14:paraId="70D862F2" w14:textId="77777777" w:rsidR="00280001" w:rsidRPr="003871DA" w:rsidRDefault="00280001" w:rsidP="00660418">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4481B451" w14:textId="79CE8D4C" w:rsidR="00280001" w:rsidRPr="00351DF4" w:rsidRDefault="00280001" w:rsidP="007B145C">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120" w:type="pct"/>
          <w:tcBorders>
            <w:bottom w:val="single" w:sz="4" w:space="0" w:color="000000"/>
          </w:tcBorders>
        </w:tcPr>
        <w:p w14:paraId="3EEF6A55" w14:textId="77777777" w:rsidR="00280001" w:rsidRPr="003871DA" w:rsidRDefault="00280001" w:rsidP="00660418">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01CF0FBB" w14:textId="77777777" w:rsidR="00280001" w:rsidRPr="003871DA" w:rsidRDefault="00280001" w:rsidP="00660418">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7EF52A76" w14:textId="77777777" w:rsidR="00280001" w:rsidRPr="000D33A8" w:rsidRDefault="00280001" w:rsidP="00F53BE4">
    <w:pPr>
      <w:rPr>
        <w:lang w:val="fi-FI"/>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22F049D9" w14:textId="77777777" w:rsidTr="00C62D41">
      <w:trPr>
        <w:trHeight w:val="547"/>
      </w:trPr>
      <w:tc>
        <w:tcPr>
          <w:tcW w:w="2884" w:type="pct"/>
          <w:tcBorders>
            <w:bottom w:val="single" w:sz="4" w:space="0" w:color="000000"/>
          </w:tcBorders>
        </w:tcPr>
        <w:p w14:paraId="6D66A452" w14:textId="77777777" w:rsidR="00280001" w:rsidRPr="003871DA" w:rsidRDefault="00280001" w:rsidP="0090463E">
          <w:pPr>
            <w:pStyle w:val="Header"/>
            <w:snapToGrid w:val="0"/>
            <w:ind w:left="-108"/>
            <w:rPr>
              <w:rFonts w:ascii="Calibri" w:hAnsi="Calibri"/>
              <w:i/>
              <w:sz w:val="20"/>
              <w:lang w:val="lv-LV"/>
            </w:rPr>
          </w:pPr>
          <w:r>
            <w:rPr>
              <w:rFonts w:ascii="Calibri" w:hAnsi="Calibri"/>
              <w:i/>
              <w:sz w:val="20"/>
              <w:lang w:val="lv-LV"/>
            </w:rPr>
            <w:t>Gaujas Nacionālā parka</w:t>
          </w:r>
        </w:p>
        <w:p w14:paraId="3BCF3770" w14:textId="64AC7891" w:rsidR="00280001" w:rsidRPr="00351DF4" w:rsidRDefault="00280001" w:rsidP="007B145C">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178E89AC" w14:textId="77777777" w:rsidR="00280001" w:rsidRPr="003871DA" w:rsidRDefault="00280001" w:rsidP="0090463E">
          <w:pPr>
            <w:pStyle w:val="Header"/>
            <w:snapToGrid w:val="0"/>
            <w:jc w:val="right"/>
            <w:rPr>
              <w:rFonts w:ascii="Calibri" w:hAnsi="Calibri"/>
              <w:i/>
              <w:sz w:val="20"/>
              <w:lang w:val="lv-LV"/>
            </w:rPr>
          </w:pPr>
          <w:r w:rsidRPr="003871DA">
            <w:rPr>
              <w:rFonts w:ascii="Calibri" w:hAnsi="Calibri"/>
              <w:i/>
              <w:sz w:val="20"/>
              <w:lang w:val="lv-LV"/>
            </w:rPr>
            <w:t>SIA Estonian, Latvian</w:t>
          </w:r>
        </w:p>
        <w:p w14:paraId="524457FC" w14:textId="77777777" w:rsidR="00280001" w:rsidRPr="003871DA" w:rsidRDefault="00280001" w:rsidP="0090463E">
          <w:pPr>
            <w:pStyle w:val="Header"/>
            <w:jc w:val="right"/>
            <w:rPr>
              <w:rFonts w:ascii="Calibri" w:hAnsi="Calibri"/>
              <w:i/>
              <w:sz w:val="20"/>
              <w:lang w:val="lv-LV"/>
            </w:rPr>
          </w:pPr>
          <w:r w:rsidRPr="003871DA">
            <w:rPr>
              <w:rFonts w:ascii="Calibri" w:hAnsi="Calibri"/>
              <w:i/>
              <w:sz w:val="20"/>
              <w:lang w:val="lv-LV"/>
            </w:rPr>
            <w:t>&amp; Lithuanian Environment</w:t>
          </w:r>
        </w:p>
      </w:tc>
    </w:tr>
  </w:tbl>
  <w:p w14:paraId="268A6661" w14:textId="77777777" w:rsidR="00280001" w:rsidRPr="0090463E" w:rsidRDefault="00280001" w:rsidP="00F53BE4"/>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4AB50989" w14:textId="77777777" w:rsidTr="00C62D41">
      <w:trPr>
        <w:trHeight w:val="547"/>
      </w:trPr>
      <w:tc>
        <w:tcPr>
          <w:tcW w:w="2880" w:type="pct"/>
          <w:tcBorders>
            <w:bottom w:val="single" w:sz="4" w:space="0" w:color="000000"/>
          </w:tcBorders>
        </w:tcPr>
        <w:p w14:paraId="54770D7F" w14:textId="77777777" w:rsidR="00280001" w:rsidRPr="003871DA" w:rsidRDefault="00280001" w:rsidP="00C07530">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1A4D99D9" w14:textId="479A4CF5" w:rsidR="00280001" w:rsidRPr="00351DF4" w:rsidRDefault="00280001" w:rsidP="007B145C">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2E13DEB1" w14:textId="77777777" w:rsidR="00280001" w:rsidRPr="003871DA" w:rsidRDefault="00280001" w:rsidP="00C07530">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4B53035E" w14:textId="77777777" w:rsidR="00280001" w:rsidRPr="003871DA" w:rsidRDefault="00280001" w:rsidP="00C07530">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001F44B4" w14:textId="77777777" w:rsidR="00280001" w:rsidRPr="0090463E" w:rsidRDefault="00280001" w:rsidP="00F53BE4"/>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4EFD6550" w14:textId="77777777" w:rsidTr="00252C42">
      <w:trPr>
        <w:trHeight w:val="547"/>
      </w:trPr>
      <w:tc>
        <w:tcPr>
          <w:tcW w:w="2884" w:type="pct"/>
          <w:tcBorders>
            <w:bottom w:val="single" w:sz="4" w:space="0" w:color="000000"/>
          </w:tcBorders>
        </w:tcPr>
        <w:p w14:paraId="49E84DCC" w14:textId="77777777" w:rsidR="00280001" w:rsidRPr="003871DA" w:rsidRDefault="00280001" w:rsidP="00C75348">
          <w:pPr>
            <w:pStyle w:val="Header"/>
            <w:snapToGrid w:val="0"/>
            <w:ind w:left="-108"/>
            <w:rPr>
              <w:rFonts w:ascii="Calibri" w:hAnsi="Calibri"/>
              <w:i/>
              <w:sz w:val="20"/>
              <w:lang w:val="lv-LV"/>
            </w:rPr>
          </w:pPr>
          <w:r>
            <w:rPr>
              <w:rFonts w:ascii="Calibri" w:hAnsi="Calibri"/>
              <w:i/>
              <w:sz w:val="20"/>
              <w:lang w:val="lv-LV"/>
            </w:rPr>
            <w:t>Gaujas Nacionālā parka</w:t>
          </w:r>
        </w:p>
        <w:p w14:paraId="6589E1CB" w14:textId="05873DA1" w:rsidR="00280001" w:rsidRPr="00351DF4" w:rsidRDefault="00280001" w:rsidP="007B145C">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75A821C1" w14:textId="77777777" w:rsidR="00280001" w:rsidRPr="003871DA" w:rsidRDefault="00280001" w:rsidP="00C75348">
          <w:pPr>
            <w:pStyle w:val="Header"/>
            <w:snapToGrid w:val="0"/>
            <w:jc w:val="right"/>
            <w:rPr>
              <w:rFonts w:ascii="Calibri" w:hAnsi="Calibri"/>
              <w:i/>
              <w:sz w:val="20"/>
              <w:lang w:val="lv-LV"/>
            </w:rPr>
          </w:pPr>
          <w:r w:rsidRPr="003871DA">
            <w:rPr>
              <w:rFonts w:ascii="Calibri" w:hAnsi="Calibri"/>
              <w:i/>
              <w:sz w:val="20"/>
              <w:lang w:val="lv-LV"/>
            </w:rPr>
            <w:t>SIA Estonian, Latvian</w:t>
          </w:r>
        </w:p>
        <w:p w14:paraId="4E23D05D" w14:textId="77777777" w:rsidR="00280001" w:rsidRPr="003871DA" w:rsidRDefault="00280001" w:rsidP="00C75348">
          <w:pPr>
            <w:pStyle w:val="Header"/>
            <w:jc w:val="right"/>
            <w:rPr>
              <w:rFonts w:ascii="Calibri" w:hAnsi="Calibri"/>
              <w:i/>
              <w:sz w:val="20"/>
              <w:lang w:val="lv-LV"/>
            </w:rPr>
          </w:pPr>
          <w:r w:rsidRPr="003871DA">
            <w:rPr>
              <w:rFonts w:ascii="Calibri" w:hAnsi="Calibri"/>
              <w:i/>
              <w:sz w:val="20"/>
              <w:lang w:val="lv-LV"/>
            </w:rPr>
            <w:t>&amp; Lithuanian Environment</w:t>
          </w:r>
        </w:p>
      </w:tc>
    </w:tr>
  </w:tbl>
  <w:p w14:paraId="231E2E56" w14:textId="77777777" w:rsidR="00280001" w:rsidRPr="0090463E" w:rsidRDefault="00280001" w:rsidP="00F53B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908"/>
      <w:gridCol w:w="3600"/>
    </w:tblGrid>
    <w:tr w:rsidR="00280001" w:rsidRPr="003871DA" w14:paraId="473A9EFB" w14:textId="77777777" w:rsidTr="00F53BE4">
      <w:trPr>
        <w:trHeight w:val="547"/>
      </w:trPr>
      <w:tc>
        <w:tcPr>
          <w:tcW w:w="4908" w:type="dxa"/>
          <w:tcBorders>
            <w:bottom w:val="single" w:sz="4" w:space="0" w:color="000000"/>
          </w:tcBorders>
        </w:tcPr>
        <w:p w14:paraId="2FF55FB5" w14:textId="46D239DD" w:rsidR="00280001" w:rsidRPr="003871DA" w:rsidRDefault="00280001" w:rsidP="0051112C">
          <w:pPr>
            <w:pStyle w:val="Header"/>
            <w:snapToGrid w:val="0"/>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12DA9966" w14:textId="044E09E0" w:rsidR="00280001" w:rsidRPr="001C51D7" w:rsidRDefault="00280001" w:rsidP="007B145C">
          <w:pPr>
            <w:pStyle w:val="Header"/>
            <w:jc w:val="both"/>
            <w:rPr>
              <w:rFonts w:ascii="Calibri" w:hAnsi="Calibri"/>
              <w:i/>
              <w:color w:val="FF0000"/>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w:t>
          </w:r>
          <w:r w:rsidR="00026351">
            <w:rPr>
              <w:rFonts w:ascii="Calibri" w:hAnsi="Calibri"/>
              <w:i/>
              <w:sz w:val="20"/>
              <w:lang w:val="lv-LV"/>
            </w:rPr>
            <w:t xml:space="preserve"> </w:t>
          </w:r>
          <w:r w:rsidRPr="003871DA">
            <w:rPr>
              <w:rFonts w:ascii="Calibri" w:hAnsi="Calibri"/>
              <w:i/>
              <w:sz w:val="20"/>
              <w:lang w:val="lv-LV"/>
            </w:rPr>
            <w:t>gadam</w:t>
          </w:r>
        </w:p>
      </w:tc>
      <w:tc>
        <w:tcPr>
          <w:tcW w:w="3600" w:type="dxa"/>
          <w:tcBorders>
            <w:bottom w:val="single" w:sz="4" w:space="0" w:color="000000"/>
          </w:tcBorders>
        </w:tcPr>
        <w:p w14:paraId="673BA89B"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76C0383E"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EF1D1C9" w14:textId="77777777" w:rsidR="00280001" w:rsidRPr="000D33A8" w:rsidRDefault="00280001" w:rsidP="00F53BE4">
    <w:pPr>
      <w:pStyle w:val="Header"/>
      <w:rPr>
        <w:lang w:val="fi-FI"/>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6894F87D" w14:textId="77777777" w:rsidTr="00C62D41">
      <w:trPr>
        <w:trHeight w:val="547"/>
      </w:trPr>
      <w:tc>
        <w:tcPr>
          <w:tcW w:w="2880" w:type="pct"/>
          <w:tcBorders>
            <w:bottom w:val="single" w:sz="4" w:space="0" w:color="000000"/>
          </w:tcBorders>
        </w:tcPr>
        <w:p w14:paraId="2A156DCE" w14:textId="77777777" w:rsidR="00280001" w:rsidRPr="003871DA" w:rsidRDefault="00280001" w:rsidP="00C07530">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23A4AE0D" w14:textId="23D6E1FA" w:rsidR="00280001" w:rsidRPr="00351DF4" w:rsidRDefault="00280001" w:rsidP="007B145C">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7FB5F5E5" w14:textId="77777777" w:rsidR="00280001" w:rsidRPr="003871DA" w:rsidRDefault="00280001" w:rsidP="00C07530">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02A755D8" w14:textId="77777777" w:rsidR="00280001" w:rsidRPr="003871DA" w:rsidRDefault="00280001" w:rsidP="00C07530">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7110AD8C" w14:textId="77777777" w:rsidR="00280001" w:rsidRPr="0090463E" w:rsidRDefault="00280001" w:rsidP="00F53BE4"/>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688BEEDF" w14:textId="77777777" w:rsidTr="00C62D41">
      <w:trPr>
        <w:trHeight w:val="547"/>
      </w:trPr>
      <w:tc>
        <w:tcPr>
          <w:tcW w:w="2884" w:type="pct"/>
          <w:tcBorders>
            <w:bottom w:val="single" w:sz="4" w:space="0" w:color="000000"/>
          </w:tcBorders>
        </w:tcPr>
        <w:p w14:paraId="0889DC81" w14:textId="77777777" w:rsidR="00280001" w:rsidRPr="003871DA" w:rsidRDefault="00280001" w:rsidP="0090463E">
          <w:pPr>
            <w:pStyle w:val="Header"/>
            <w:snapToGrid w:val="0"/>
            <w:ind w:left="-108"/>
            <w:rPr>
              <w:rFonts w:ascii="Calibri" w:hAnsi="Calibri"/>
              <w:i/>
              <w:sz w:val="20"/>
              <w:lang w:val="lv-LV"/>
            </w:rPr>
          </w:pPr>
          <w:r>
            <w:rPr>
              <w:rFonts w:ascii="Calibri" w:hAnsi="Calibri"/>
              <w:i/>
              <w:sz w:val="20"/>
              <w:lang w:val="lv-LV"/>
            </w:rPr>
            <w:t>Gaujas Nacionālā parka</w:t>
          </w:r>
        </w:p>
        <w:p w14:paraId="55600D3E" w14:textId="19A0CE88"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60E8F3FD" w14:textId="77777777" w:rsidR="00280001" w:rsidRPr="003871DA" w:rsidRDefault="00280001" w:rsidP="0090463E">
          <w:pPr>
            <w:pStyle w:val="Header"/>
            <w:snapToGrid w:val="0"/>
            <w:jc w:val="right"/>
            <w:rPr>
              <w:rFonts w:ascii="Calibri" w:hAnsi="Calibri"/>
              <w:i/>
              <w:sz w:val="20"/>
              <w:lang w:val="lv-LV"/>
            </w:rPr>
          </w:pPr>
          <w:r w:rsidRPr="003871DA">
            <w:rPr>
              <w:rFonts w:ascii="Calibri" w:hAnsi="Calibri"/>
              <w:i/>
              <w:sz w:val="20"/>
              <w:lang w:val="lv-LV"/>
            </w:rPr>
            <w:t>SIA Estonian, Latvian</w:t>
          </w:r>
        </w:p>
        <w:p w14:paraId="63E52366" w14:textId="77777777" w:rsidR="00280001" w:rsidRPr="003871DA" w:rsidRDefault="00280001" w:rsidP="0090463E">
          <w:pPr>
            <w:pStyle w:val="Header"/>
            <w:jc w:val="right"/>
            <w:rPr>
              <w:rFonts w:ascii="Calibri" w:hAnsi="Calibri"/>
              <w:i/>
              <w:sz w:val="20"/>
              <w:lang w:val="lv-LV"/>
            </w:rPr>
          </w:pPr>
          <w:r w:rsidRPr="003871DA">
            <w:rPr>
              <w:rFonts w:ascii="Calibri" w:hAnsi="Calibri"/>
              <w:i/>
              <w:sz w:val="20"/>
              <w:lang w:val="lv-LV"/>
            </w:rPr>
            <w:t>&amp; Lithuanian Environment</w:t>
          </w:r>
        </w:p>
      </w:tc>
    </w:tr>
  </w:tbl>
  <w:p w14:paraId="5B57D3A7" w14:textId="77777777" w:rsidR="00280001" w:rsidRPr="0090463E" w:rsidRDefault="00280001" w:rsidP="00F53BE4"/>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79BF59B0" w14:textId="77777777" w:rsidTr="00C62D41">
      <w:trPr>
        <w:trHeight w:val="547"/>
      </w:trPr>
      <w:tc>
        <w:tcPr>
          <w:tcW w:w="2880" w:type="pct"/>
          <w:tcBorders>
            <w:bottom w:val="single" w:sz="4" w:space="0" w:color="000000"/>
          </w:tcBorders>
        </w:tcPr>
        <w:p w14:paraId="3B76A8BD" w14:textId="77777777" w:rsidR="00280001" w:rsidRPr="003871DA" w:rsidRDefault="00280001" w:rsidP="009A184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371F8C10" w14:textId="491FE902"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504D0A0B" w14:textId="77777777" w:rsidR="00280001" w:rsidRPr="003871DA" w:rsidRDefault="00280001" w:rsidP="009A184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368725BB" w14:textId="77777777" w:rsidR="00280001" w:rsidRPr="003871DA" w:rsidRDefault="00280001" w:rsidP="009A184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41647A34" w14:textId="77777777" w:rsidR="00280001" w:rsidRPr="0090463E" w:rsidRDefault="00280001" w:rsidP="00F53BE4"/>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65FB1971" w14:textId="77777777" w:rsidTr="00C62D41">
      <w:trPr>
        <w:trHeight w:val="547"/>
      </w:trPr>
      <w:tc>
        <w:tcPr>
          <w:tcW w:w="2884" w:type="pct"/>
          <w:tcBorders>
            <w:bottom w:val="single" w:sz="4" w:space="0" w:color="000000"/>
          </w:tcBorders>
        </w:tcPr>
        <w:p w14:paraId="46B104E4" w14:textId="77777777" w:rsidR="00280001" w:rsidRPr="003871DA" w:rsidRDefault="00280001" w:rsidP="009A184E">
          <w:pPr>
            <w:pStyle w:val="Header"/>
            <w:snapToGrid w:val="0"/>
            <w:ind w:left="-108"/>
            <w:rPr>
              <w:rFonts w:ascii="Calibri" w:hAnsi="Calibri"/>
              <w:i/>
              <w:sz w:val="20"/>
              <w:lang w:val="lv-LV"/>
            </w:rPr>
          </w:pPr>
          <w:r>
            <w:rPr>
              <w:rFonts w:ascii="Calibri" w:hAnsi="Calibri"/>
              <w:i/>
              <w:sz w:val="20"/>
              <w:lang w:val="lv-LV"/>
            </w:rPr>
            <w:t>Gaujas Nacionālā parka</w:t>
          </w:r>
        </w:p>
        <w:p w14:paraId="236F8209" w14:textId="683AD501"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07DC5B94" w14:textId="77777777" w:rsidR="00280001" w:rsidRPr="003871DA" w:rsidRDefault="00280001" w:rsidP="009A184E">
          <w:pPr>
            <w:pStyle w:val="Header"/>
            <w:snapToGrid w:val="0"/>
            <w:jc w:val="right"/>
            <w:rPr>
              <w:rFonts w:ascii="Calibri" w:hAnsi="Calibri"/>
              <w:i/>
              <w:sz w:val="20"/>
              <w:lang w:val="lv-LV"/>
            </w:rPr>
          </w:pPr>
          <w:r w:rsidRPr="003871DA">
            <w:rPr>
              <w:rFonts w:ascii="Calibri" w:hAnsi="Calibri"/>
              <w:i/>
              <w:sz w:val="20"/>
              <w:lang w:val="lv-LV"/>
            </w:rPr>
            <w:t>SIA Estonian, Latvian</w:t>
          </w:r>
        </w:p>
        <w:p w14:paraId="2BB1FB1C" w14:textId="77777777" w:rsidR="00280001" w:rsidRPr="003871DA" w:rsidRDefault="00280001" w:rsidP="009A184E">
          <w:pPr>
            <w:pStyle w:val="Header"/>
            <w:jc w:val="right"/>
            <w:rPr>
              <w:rFonts w:ascii="Calibri" w:hAnsi="Calibri"/>
              <w:i/>
              <w:sz w:val="20"/>
              <w:lang w:val="lv-LV"/>
            </w:rPr>
          </w:pPr>
          <w:r w:rsidRPr="003871DA">
            <w:rPr>
              <w:rFonts w:ascii="Calibri" w:hAnsi="Calibri"/>
              <w:i/>
              <w:sz w:val="20"/>
              <w:lang w:val="lv-LV"/>
            </w:rPr>
            <w:t>&amp; Lithuanian Environment</w:t>
          </w:r>
        </w:p>
      </w:tc>
    </w:tr>
  </w:tbl>
  <w:p w14:paraId="4F53AF14" w14:textId="77777777" w:rsidR="00280001" w:rsidRPr="009A184E" w:rsidRDefault="00280001" w:rsidP="00F53BE4"/>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499011E8" w14:textId="77777777" w:rsidTr="00C62D41">
      <w:trPr>
        <w:trHeight w:val="547"/>
      </w:trPr>
      <w:tc>
        <w:tcPr>
          <w:tcW w:w="2880" w:type="pct"/>
          <w:tcBorders>
            <w:bottom w:val="single" w:sz="4" w:space="0" w:color="000000"/>
          </w:tcBorders>
        </w:tcPr>
        <w:p w14:paraId="1C9001E5" w14:textId="77777777" w:rsidR="00280001" w:rsidRPr="003871DA" w:rsidRDefault="00280001" w:rsidP="009A184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7397E3AB" w14:textId="340A7B0E"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25060DBC" w14:textId="77777777" w:rsidR="00280001" w:rsidRPr="003871DA" w:rsidRDefault="00280001" w:rsidP="009A184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7449AD73" w14:textId="77777777" w:rsidR="00280001" w:rsidRPr="003871DA" w:rsidRDefault="00280001" w:rsidP="009A184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5EE10ED9" w14:textId="77777777" w:rsidR="00280001" w:rsidRPr="009A184E" w:rsidRDefault="00280001" w:rsidP="00F53BE4"/>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41"/>
      <w:gridCol w:w="5919"/>
    </w:tblGrid>
    <w:tr w:rsidR="00E326E5" w:rsidRPr="003871DA" w14:paraId="57FA85DC" w14:textId="77777777" w:rsidTr="00FC4F86">
      <w:trPr>
        <w:trHeight w:val="547"/>
      </w:trPr>
      <w:tc>
        <w:tcPr>
          <w:tcW w:w="2880" w:type="pct"/>
          <w:tcBorders>
            <w:bottom w:val="single" w:sz="4" w:space="0" w:color="000000"/>
          </w:tcBorders>
        </w:tcPr>
        <w:p w14:paraId="28B5DD14" w14:textId="77777777" w:rsidR="00E326E5" w:rsidRPr="003871DA" w:rsidRDefault="00E326E5" w:rsidP="009A184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683B74A2" w14:textId="111F8CF3" w:rsidR="00E326E5" w:rsidRPr="00351DF4" w:rsidRDefault="00E326E5"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4BF65CAB" w14:textId="77777777" w:rsidR="00E326E5" w:rsidRPr="003871DA" w:rsidRDefault="00E326E5" w:rsidP="009A184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454DE297" w14:textId="77777777" w:rsidR="00E326E5" w:rsidRPr="003871DA" w:rsidRDefault="00E326E5" w:rsidP="009A184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40EE1BF1" w14:textId="77777777" w:rsidR="00E326E5" w:rsidRPr="009A184E" w:rsidRDefault="00E326E5" w:rsidP="00F53BE4"/>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FC4F86" w:rsidRPr="003871DA" w14:paraId="0BB040F1" w14:textId="77777777" w:rsidTr="00C62D41">
      <w:trPr>
        <w:trHeight w:val="547"/>
      </w:trPr>
      <w:tc>
        <w:tcPr>
          <w:tcW w:w="2880" w:type="pct"/>
          <w:tcBorders>
            <w:bottom w:val="single" w:sz="4" w:space="0" w:color="000000"/>
          </w:tcBorders>
        </w:tcPr>
        <w:p w14:paraId="6B2C5997" w14:textId="77777777" w:rsidR="00FC4F86" w:rsidRPr="003871DA" w:rsidRDefault="00FC4F86" w:rsidP="009A184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0B05F3DB" w14:textId="026EF6FC" w:rsidR="00FC4F86" w:rsidRPr="00351DF4" w:rsidRDefault="00FC4F86"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7E68CD74" w14:textId="77777777" w:rsidR="00FC4F86" w:rsidRPr="003871DA" w:rsidRDefault="00FC4F86" w:rsidP="009A184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159EE47D" w14:textId="77777777" w:rsidR="00FC4F86" w:rsidRPr="003871DA" w:rsidRDefault="00FC4F86" w:rsidP="009A184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03B81381" w14:textId="77777777" w:rsidR="00FC4F86" w:rsidRPr="009A184E" w:rsidRDefault="00FC4F86" w:rsidP="00F53BE4"/>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15EF8FA6" w14:textId="77777777" w:rsidTr="002008F9">
      <w:trPr>
        <w:trHeight w:val="547"/>
      </w:trPr>
      <w:tc>
        <w:tcPr>
          <w:tcW w:w="2884" w:type="pct"/>
          <w:tcBorders>
            <w:bottom w:val="single" w:sz="4" w:space="0" w:color="000000"/>
          </w:tcBorders>
        </w:tcPr>
        <w:p w14:paraId="65AA273B" w14:textId="77777777" w:rsidR="00280001" w:rsidRPr="003871DA" w:rsidRDefault="00280001" w:rsidP="002D4B02">
          <w:pPr>
            <w:pStyle w:val="Header"/>
            <w:snapToGrid w:val="0"/>
            <w:ind w:left="-108"/>
            <w:rPr>
              <w:rFonts w:ascii="Calibri" w:hAnsi="Calibri"/>
              <w:i/>
              <w:sz w:val="20"/>
              <w:lang w:val="lv-LV"/>
            </w:rPr>
          </w:pPr>
          <w:r>
            <w:rPr>
              <w:rFonts w:ascii="Calibri" w:hAnsi="Calibri"/>
              <w:i/>
              <w:sz w:val="20"/>
              <w:lang w:val="lv-LV"/>
            </w:rPr>
            <w:t>Gaujas Nacionālā parka</w:t>
          </w:r>
        </w:p>
        <w:p w14:paraId="36E1213D" w14:textId="7605D791"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75C4E7F7" w14:textId="77777777" w:rsidR="00280001" w:rsidRPr="003871DA" w:rsidRDefault="00280001" w:rsidP="002D4B02">
          <w:pPr>
            <w:pStyle w:val="Header"/>
            <w:snapToGrid w:val="0"/>
            <w:jc w:val="right"/>
            <w:rPr>
              <w:rFonts w:ascii="Calibri" w:hAnsi="Calibri"/>
              <w:i/>
              <w:sz w:val="20"/>
              <w:lang w:val="lv-LV"/>
            </w:rPr>
          </w:pPr>
          <w:r w:rsidRPr="003871DA">
            <w:rPr>
              <w:rFonts w:ascii="Calibri" w:hAnsi="Calibri"/>
              <w:i/>
              <w:sz w:val="20"/>
              <w:lang w:val="lv-LV"/>
            </w:rPr>
            <w:t>SIA Estonian, Latvian</w:t>
          </w:r>
        </w:p>
        <w:p w14:paraId="1E03E186" w14:textId="77777777" w:rsidR="00280001" w:rsidRPr="003871DA" w:rsidRDefault="00280001" w:rsidP="002D4B02">
          <w:pPr>
            <w:pStyle w:val="Header"/>
            <w:jc w:val="right"/>
            <w:rPr>
              <w:rFonts w:ascii="Calibri" w:hAnsi="Calibri"/>
              <w:i/>
              <w:sz w:val="20"/>
              <w:lang w:val="lv-LV"/>
            </w:rPr>
          </w:pPr>
          <w:r w:rsidRPr="003871DA">
            <w:rPr>
              <w:rFonts w:ascii="Calibri" w:hAnsi="Calibri"/>
              <w:i/>
              <w:sz w:val="20"/>
              <w:lang w:val="lv-LV"/>
            </w:rPr>
            <w:t>&amp; Lithuanian Environment</w:t>
          </w:r>
        </w:p>
      </w:tc>
    </w:tr>
  </w:tbl>
  <w:p w14:paraId="7A8521DA" w14:textId="77777777" w:rsidR="00280001" w:rsidRPr="009A184E" w:rsidRDefault="00280001" w:rsidP="00F53BE4"/>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6A2F98AF" w14:textId="77777777" w:rsidTr="00C62D41">
      <w:trPr>
        <w:trHeight w:val="547"/>
      </w:trPr>
      <w:tc>
        <w:tcPr>
          <w:tcW w:w="2880" w:type="pct"/>
          <w:tcBorders>
            <w:bottom w:val="single" w:sz="4" w:space="0" w:color="000000"/>
          </w:tcBorders>
        </w:tcPr>
        <w:p w14:paraId="01EBB6D8" w14:textId="77777777" w:rsidR="00280001" w:rsidRPr="003871DA" w:rsidRDefault="00280001" w:rsidP="009A184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7BC2B161" w14:textId="4CAB6989"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771BD251" w14:textId="77777777" w:rsidR="00280001" w:rsidRPr="003871DA" w:rsidRDefault="00280001" w:rsidP="009A184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016065D7" w14:textId="77777777" w:rsidR="00280001" w:rsidRPr="003871DA" w:rsidRDefault="00280001" w:rsidP="009A184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3F015887" w14:textId="77777777" w:rsidR="00280001" w:rsidRPr="009A184E" w:rsidRDefault="00280001" w:rsidP="00F53BE4"/>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7DB6923C" w14:textId="77777777" w:rsidTr="002008F9">
      <w:trPr>
        <w:trHeight w:val="547"/>
      </w:trPr>
      <w:tc>
        <w:tcPr>
          <w:tcW w:w="2884" w:type="pct"/>
          <w:tcBorders>
            <w:bottom w:val="single" w:sz="4" w:space="0" w:color="000000"/>
          </w:tcBorders>
        </w:tcPr>
        <w:p w14:paraId="5E9D4EB3" w14:textId="77777777" w:rsidR="00280001" w:rsidRPr="003871DA" w:rsidRDefault="00280001" w:rsidP="00511EB2">
          <w:pPr>
            <w:pStyle w:val="Header"/>
            <w:snapToGrid w:val="0"/>
            <w:ind w:left="-108"/>
            <w:rPr>
              <w:rFonts w:ascii="Calibri" w:hAnsi="Calibri"/>
              <w:i/>
              <w:sz w:val="20"/>
              <w:lang w:val="lv-LV"/>
            </w:rPr>
          </w:pPr>
          <w:r>
            <w:rPr>
              <w:rFonts w:ascii="Calibri" w:hAnsi="Calibri"/>
              <w:i/>
              <w:sz w:val="20"/>
              <w:lang w:val="lv-LV"/>
            </w:rPr>
            <w:t>Gaujas Nacionālā parka</w:t>
          </w:r>
        </w:p>
        <w:p w14:paraId="79E47411" w14:textId="66FC96A4"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4C45B459" w14:textId="77777777" w:rsidR="00280001" w:rsidRPr="003871DA" w:rsidRDefault="00280001" w:rsidP="00511EB2">
          <w:pPr>
            <w:pStyle w:val="Header"/>
            <w:snapToGrid w:val="0"/>
            <w:jc w:val="right"/>
            <w:rPr>
              <w:rFonts w:ascii="Calibri" w:hAnsi="Calibri"/>
              <w:i/>
              <w:sz w:val="20"/>
              <w:lang w:val="lv-LV"/>
            </w:rPr>
          </w:pPr>
          <w:r w:rsidRPr="003871DA">
            <w:rPr>
              <w:rFonts w:ascii="Calibri" w:hAnsi="Calibri"/>
              <w:i/>
              <w:sz w:val="20"/>
              <w:lang w:val="lv-LV"/>
            </w:rPr>
            <w:t>SIA Estonian, Latvian</w:t>
          </w:r>
        </w:p>
        <w:p w14:paraId="2924A40F" w14:textId="77777777" w:rsidR="00280001" w:rsidRPr="003871DA" w:rsidRDefault="00280001" w:rsidP="00511EB2">
          <w:pPr>
            <w:pStyle w:val="Header"/>
            <w:jc w:val="right"/>
            <w:rPr>
              <w:rFonts w:ascii="Calibri" w:hAnsi="Calibri"/>
              <w:i/>
              <w:sz w:val="20"/>
              <w:lang w:val="lv-LV"/>
            </w:rPr>
          </w:pPr>
          <w:r w:rsidRPr="003871DA">
            <w:rPr>
              <w:rFonts w:ascii="Calibri" w:hAnsi="Calibri"/>
              <w:i/>
              <w:sz w:val="20"/>
              <w:lang w:val="lv-LV"/>
            </w:rPr>
            <w:t>&amp; Lithuanian Environment</w:t>
          </w:r>
        </w:p>
      </w:tc>
    </w:tr>
  </w:tbl>
  <w:p w14:paraId="23C0CA28" w14:textId="77777777" w:rsidR="00280001" w:rsidRPr="009A184E" w:rsidRDefault="00280001" w:rsidP="00F53B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C798" w14:textId="77777777" w:rsidR="00280001" w:rsidRDefault="00280001"/>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65162192" w14:textId="77777777" w:rsidTr="00C62D41">
      <w:trPr>
        <w:trHeight w:val="547"/>
      </w:trPr>
      <w:tc>
        <w:tcPr>
          <w:tcW w:w="2880" w:type="pct"/>
          <w:tcBorders>
            <w:bottom w:val="single" w:sz="4" w:space="0" w:color="000000"/>
          </w:tcBorders>
        </w:tcPr>
        <w:p w14:paraId="57996A9D" w14:textId="77777777" w:rsidR="00280001" w:rsidRPr="003871DA" w:rsidRDefault="00280001" w:rsidP="009A184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7D5308F1" w14:textId="032C04AC"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758B00CE" w14:textId="77777777" w:rsidR="00280001" w:rsidRPr="003871DA" w:rsidRDefault="00280001" w:rsidP="009A184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70AAD765" w14:textId="77777777" w:rsidR="00280001" w:rsidRPr="003871DA" w:rsidRDefault="00280001" w:rsidP="009A184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1D12BCD3" w14:textId="77777777" w:rsidR="00280001" w:rsidRPr="009A184E" w:rsidRDefault="00280001" w:rsidP="00F53BE4"/>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15C02E55" w14:textId="77777777" w:rsidTr="00A20129">
      <w:trPr>
        <w:trHeight w:val="547"/>
      </w:trPr>
      <w:tc>
        <w:tcPr>
          <w:tcW w:w="2884" w:type="pct"/>
          <w:tcBorders>
            <w:bottom w:val="single" w:sz="4" w:space="0" w:color="000000"/>
          </w:tcBorders>
        </w:tcPr>
        <w:p w14:paraId="0AA70901" w14:textId="77777777" w:rsidR="00280001" w:rsidRPr="003871DA" w:rsidRDefault="00280001" w:rsidP="00F50BD9">
          <w:pPr>
            <w:pStyle w:val="Header"/>
            <w:snapToGrid w:val="0"/>
            <w:ind w:left="-108"/>
            <w:rPr>
              <w:rFonts w:ascii="Calibri" w:hAnsi="Calibri"/>
              <w:i/>
              <w:sz w:val="20"/>
              <w:lang w:val="lv-LV"/>
            </w:rPr>
          </w:pPr>
          <w:r>
            <w:rPr>
              <w:rFonts w:ascii="Calibri" w:hAnsi="Calibri"/>
              <w:i/>
              <w:sz w:val="20"/>
              <w:lang w:val="lv-LV"/>
            </w:rPr>
            <w:t>Gaujas Nacionālā parka</w:t>
          </w:r>
        </w:p>
        <w:p w14:paraId="3DD30487" w14:textId="4ABBEDF6"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63617B2B" w14:textId="77777777" w:rsidR="00280001" w:rsidRPr="003871DA" w:rsidRDefault="00280001" w:rsidP="00F50BD9">
          <w:pPr>
            <w:pStyle w:val="Header"/>
            <w:snapToGrid w:val="0"/>
            <w:jc w:val="right"/>
            <w:rPr>
              <w:rFonts w:ascii="Calibri" w:hAnsi="Calibri"/>
              <w:i/>
              <w:sz w:val="20"/>
              <w:lang w:val="lv-LV"/>
            </w:rPr>
          </w:pPr>
          <w:r w:rsidRPr="003871DA">
            <w:rPr>
              <w:rFonts w:ascii="Calibri" w:hAnsi="Calibri"/>
              <w:i/>
              <w:sz w:val="20"/>
              <w:lang w:val="lv-LV"/>
            </w:rPr>
            <w:t>SIA Estonian, Latvian</w:t>
          </w:r>
        </w:p>
        <w:p w14:paraId="2DBF0F71" w14:textId="77777777" w:rsidR="00280001" w:rsidRPr="003871DA" w:rsidRDefault="00280001" w:rsidP="00F50BD9">
          <w:pPr>
            <w:pStyle w:val="Header"/>
            <w:jc w:val="right"/>
            <w:rPr>
              <w:rFonts w:ascii="Calibri" w:hAnsi="Calibri"/>
              <w:i/>
              <w:sz w:val="20"/>
              <w:lang w:val="lv-LV"/>
            </w:rPr>
          </w:pPr>
          <w:r w:rsidRPr="003871DA">
            <w:rPr>
              <w:rFonts w:ascii="Calibri" w:hAnsi="Calibri"/>
              <w:i/>
              <w:sz w:val="20"/>
              <w:lang w:val="lv-LV"/>
            </w:rPr>
            <w:t>&amp; Lithuanian Environment</w:t>
          </w:r>
        </w:p>
      </w:tc>
    </w:tr>
  </w:tbl>
  <w:p w14:paraId="3FC10A4C" w14:textId="77777777" w:rsidR="00280001" w:rsidRPr="009A184E" w:rsidRDefault="00280001" w:rsidP="00F53BE4"/>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5D203744" w14:textId="77777777" w:rsidTr="00C62D41">
      <w:trPr>
        <w:trHeight w:val="547"/>
      </w:trPr>
      <w:tc>
        <w:tcPr>
          <w:tcW w:w="2880" w:type="pct"/>
          <w:tcBorders>
            <w:bottom w:val="single" w:sz="4" w:space="0" w:color="000000"/>
          </w:tcBorders>
        </w:tcPr>
        <w:p w14:paraId="1E213FE5" w14:textId="77777777" w:rsidR="00280001" w:rsidRPr="003871DA" w:rsidRDefault="00280001" w:rsidP="009A184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2CE020BB" w14:textId="26A4C80B"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2D54737C" w14:textId="77777777" w:rsidR="00280001" w:rsidRPr="003871DA" w:rsidRDefault="00280001" w:rsidP="009A184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1BDF35D0" w14:textId="77777777" w:rsidR="00280001" w:rsidRPr="003871DA" w:rsidRDefault="00280001" w:rsidP="009A184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37F50937" w14:textId="77777777" w:rsidR="00280001" w:rsidRPr="009A184E" w:rsidRDefault="00280001" w:rsidP="00F53BE4"/>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6C545A18" w14:textId="77777777" w:rsidTr="00DD71C3">
      <w:trPr>
        <w:trHeight w:val="547"/>
      </w:trPr>
      <w:tc>
        <w:tcPr>
          <w:tcW w:w="2884" w:type="pct"/>
          <w:tcBorders>
            <w:bottom w:val="single" w:sz="4" w:space="0" w:color="000000"/>
          </w:tcBorders>
        </w:tcPr>
        <w:p w14:paraId="6AA4E821" w14:textId="77777777" w:rsidR="00280001" w:rsidRPr="003871DA" w:rsidRDefault="00280001" w:rsidP="00701237">
          <w:pPr>
            <w:pStyle w:val="Header"/>
            <w:snapToGrid w:val="0"/>
            <w:ind w:left="-108"/>
            <w:rPr>
              <w:rFonts w:ascii="Calibri" w:hAnsi="Calibri"/>
              <w:i/>
              <w:sz w:val="20"/>
              <w:lang w:val="lv-LV"/>
            </w:rPr>
          </w:pPr>
          <w:r>
            <w:rPr>
              <w:rFonts w:ascii="Calibri" w:hAnsi="Calibri"/>
              <w:i/>
              <w:sz w:val="20"/>
              <w:lang w:val="lv-LV"/>
            </w:rPr>
            <w:t>Gaujas Nacionālā parka</w:t>
          </w:r>
        </w:p>
        <w:p w14:paraId="2AAC597A" w14:textId="1A9B1807"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30F173B7" w14:textId="77777777" w:rsidR="00280001" w:rsidRPr="003871DA" w:rsidRDefault="00280001" w:rsidP="00701237">
          <w:pPr>
            <w:pStyle w:val="Header"/>
            <w:snapToGrid w:val="0"/>
            <w:jc w:val="right"/>
            <w:rPr>
              <w:rFonts w:ascii="Calibri" w:hAnsi="Calibri"/>
              <w:i/>
              <w:sz w:val="20"/>
              <w:lang w:val="lv-LV"/>
            </w:rPr>
          </w:pPr>
          <w:r w:rsidRPr="003871DA">
            <w:rPr>
              <w:rFonts w:ascii="Calibri" w:hAnsi="Calibri"/>
              <w:i/>
              <w:sz w:val="20"/>
              <w:lang w:val="lv-LV"/>
            </w:rPr>
            <w:t>SIA Estonian, Latvian</w:t>
          </w:r>
        </w:p>
        <w:p w14:paraId="39F0F784" w14:textId="77777777" w:rsidR="00280001" w:rsidRPr="003871DA" w:rsidRDefault="00280001" w:rsidP="00701237">
          <w:pPr>
            <w:pStyle w:val="Header"/>
            <w:jc w:val="right"/>
            <w:rPr>
              <w:rFonts w:ascii="Calibri" w:hAnsi="Calibri"/>
              <w:i/>
              <w:sz w:val="20"/>
              <w:lang w:val="lv-LV"/>
            </w:rPr>
          </w:pPr>
          <w:r w:rsidRPr="003871DA">
            <w:rPr>
              <w:rFonts w:ascii="Calibri" w:hAnsi="Calibri"/>
              <w:i/>
              <w:sz w:val="20"/>
              <w:lang w:val="lv-LV"/>
            </w:rPr>
            <w:t>&amp; Lithuanian Environment</w:t>
          </w:r>
        </w:p>
      </w:tc>
    </w:tr>
  </w:tbl>
  <w:p w14:paraId="45AFE477" w14:textId="77777777" w:rsidR="00280001" w:rsidRPr="00A6776A" w:rsidRDefault="00280001" w:rsidP="00F53BE4"/>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2BC87645" w14:textId="77777777" w:rsidTr="00C62D41">
      <w:trPr>
        <w:trHeight w:val="547"/>
      </w:trPr>
      <w:tc>
        <w:tcPr>
          <w:tcW w:w="2880" w:type="pct"/>
          <w:tcBorders>
            <w:bottom w:val="single" w:sz="4" w:space="0" w:color="000000"/>
          </w:tcBorders>
        </w:tcPr>
        <w:p w14:paraId="41C7FF63" w14:textId="77777777" w:rsidR="00280001" w:rsidRPr="003871DA" w:rsidRDefault="00280001" w:rsidP="009D6BD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1C200CCD" w14:textId="4AF589B4"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1497D7FC" w14:textId="77777777" w:rsidR="00280001" w:rsidRPr="003871DA" w:rsidRDefault="00280001" w:rsidP="009D6BD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2045AB47" w14:textId="77777777" w:rsidR="00280001" w:rsidRPr="003871DA" w:rsidRDefault="00280001" w:rsidP="009D6BD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446E06BD" w14:textId="77777777" w:rsidR="00280001" w:rsidRPr="00A6776A" w:rsidRDefault="00280001" w:rsidP="00F53BE4"/>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0C7B139F" w14:textId="77777777" w:rsidTr="00280001">
      <w:trPr>
        <w:trHeight w:val="547"/>
      </w:trPr>
      <w:tc>
        <w:tcPr>
          <w:tcW w:w="2884" w:type="pct"/>
          <w:tcBorders>
            <w:bottom w:val="single" w:sz="4" w:space="0" w:color="000000"/>
          </w:tcBorders>
        </w:tcPr>
        <w:p w14:paraId="08D57D53" w14:textId="77777777" w:rsidR="00280001" w:rsidRPr="003871DA" w:rsidRDefault="00280001" w:rsidP="0065770E">
          <w:pPr>
            <w:pStyle w:val="Header"/>
            <w:snapToGrid w:val="0"/>
            <w:ind w:left="-108"/>
            <w:rPr>
              <w:rFonts w:ascii="Calibri" w:hAnsi="Calibri"/>
              <w:i/>
              <w:sz w:val="20"/>
              <w:lang w:val="lv-LV"/>
            </w:rPr>
          </w:pPr>
          <w:r>
            <w:rPr>
              <w:rFonts w:ascii="Calibri" w:hAnsi="Calibri"/>
              <w:i/>
              <w:sz w:val="20"/>
              <w:lang w:val="lv-LV"/>
            </w:rPr>
            <w:t>Gaujas Nacionālā parka</w:t>
          </w:r>
        </w:p>
        <w:p w14:paraId="7E554EAD" w14:textId="48B08AF8"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29B82CB9" w14:textId="77777777" w:rsidR="00280001" w:rsidRPr="003871DA" w:rsidRDefault="00280001" w:rsidP="0065770E">
          <w:pPr>
            <w:pStyle w:val="Header"/>
            <w:snapToGrid w:val="0"/>
            <w:jc w:val="right"/>
            <w:rPr>
              <w:rFonts w:ascii="Calibri" w:hAnsi="Calibri"/>
              <w:i/>
              <w:sz w:val="20"/>
              <w:lang w:val="lv-LV"/>
            </w:rPr>
          </w:pPr>
          <w:r w:rsidRPr="003871DA">
            <w:rPr>
              <w:rFonts w:ascii="Calibri" w:hAnsi="Calibri"/>
              <w:i/>
              <w:sz w:val="20"/>
              <w:lang w:val="lv-LV"/>
            </w:rPr>
            <w:t>SIA Estonian, Latvian</w:t>
          </w:r>
        </w:p>
        <w:p w14:paraId="19988D8D" w14:textId="77777777" w:rsidR="00280001" w:rsidRPr="003871DA" w:rsidRDefault="00280001" w:rsidP="0065770E">
          <w:pPr>
            <w:pStyle w:val="Header"/>
            <w:jc w:val="right"/>
            <w:rPr>
              <w:rFonts w:ascii="Calibri" w:hAnsi="Calibri"/>
              <w:i/>
              <w:sz w:val="20"/>
              <w:lang w:val="lv-LV"/>
            </w:rPr>
          </w:pPr>
          <w:r w:rsidRPr="003871DA">
            <w:rPr>
              <w:rFonts w:ascii="Calibri" w:hAnsi="Calibri"/>
              <w:i/>
              <w:sz w:val="20"/>
              <w:lang w:val="lv-LV"/>
            </w:rPr>
            <w:t>&amp; Lithuanian Environment</w:t>
          </w:r>
        </w:p>
      </w:tc>
    </w:tr>
  </w:tbl>
  <w:p w14:paraId="3E489549" w14:textId="77777777" w:rsidR="00280001" w:rsidRPr="00A6776A" w:rsidRDefault="00280001" w:rsidP="00F53BE4"/>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3872ED09" w14:textId="77777777" w:rsidTr="00C62D41">
      <w:trPr>
        <w:trHeight w:val="547"/>
      </w:trPr>
      <w:tc>
        <w:tcPr>
          <w:tcW w:w="2880" w:type="pct"/>
          <w:tcBorders>
            <w:bottom w:val="single" w:sz="4" w:space="0" w:color="000000"/>
          </w:tcBorders>
        </w:tcPr>
        <w:p w14:paraId="1061A2F1" w14:textId="77777777" w:rsidR="00280001" w:rsidRPr="003871DA" w:rsidRDefault="00280001" w:rsidP="009D6BD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09D87FCE" w14:textId="37D017FF"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51ABBA8E" w14:textId="77777777" w:rsidR="00280001" w:rsidRPr="003871DA" w:rsidRDefault="00280001" w:rsidP="009D6BD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4420C6AE" w14:textId="77777777" w:rsidR="00280001" w:rsidRPr="003871DA" w:rsidRDefault="00280001" w:rsidP="009D6BD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2BFC345C" w14:textId="77777777" w:rsidR="00280001" w:rsidRPr="00A6776A" w:rsidRDefault="00280001" w:rsidP="00F53BE4"/>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1E61916E" w14:textId="77777777" w:rsidTr="00280001">
      <w:trPr>
        <w:trHeight w:val="547"/>
      </w:trPr>
      <w:tc>
        <w:tcPr>
          <w:tcW w:w="2884" w:type="pct"/>
          <w:tcBorders>
            <w:bottom w:val="single" w:sz="4" w:space="0" w:color="000000"/>
          </w:tcBorders>
        </w:tcPr>
        <w:p w14:paraId="0557AD55" w14:textId="77777777" w:rsidR="00280001" w:rsidRPr="003871DA" w:rsidRDefault="00280001" w:rsidP="005D36CF">
          <w:pPr>
            <w:pStyle w:val="Header"/>
            <w:snapToGrid w:val="0"/>
            <w:ind w:left="-108"/>
            <w:rPr>
              <w:rFonts w:ascii="Calibri" w:hAnsi="Calibri"/>
              <w:i/>
              <w:sz w:val="20"/>
              <w:lang w:val="lv-LV"/>
            </w:rPr>
          </w:pPr>
          <w:r>
            <w:rPr>
              <w:rFonts w:ascii="Calibri" w:hAnsi="Calibri"/>
              <w:i/>
              <w:sz w:val="20"/>
              <w:lang w:val="lv-LV"/>
            </w:rPr>
            <w:t>Gaujas Nacionālā parka</w:t>
          </w:r>
        </w:p>
        <w:p w14:paraId="37C78DE8" w14:textId="45356B8D"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7D9BCD60" w14:textId="77777777" w:rsidR="00280001" w:rsidRPr="003871DA" w:rsidRDefault="00280001" w:rsidP="005D36CF">
          <w:pPr>
            <w:pStyle w:val="Header"/>
            <w:snapToGrid w:val="0"/>
            <w:jc w:val="right"/>
            <w:rPr>
              <w:rFonts w:ascii="Calibri" w:hAnsi="Calibri"/>
              <w:i/>
              <w:sz w:val="20"/>
              <w:lang w:val="lv-LV"/>
            </w:rPr>
          </w:pPr>
          <w:r w:rsidRPr="003871DA">
            <w:rPr>
              <w:rFonts w:ascii="Calibri" w:hAnsi="Calibri"/>
              <w:i/>
              <w:sz w:val="20"/>
              <w:lang w:val="lv-LV"/>
            </w:rPr>
            <w:t>SIA Estonian, Latvian</w:t>
          </w:r>
        </w:p>
        <w:p w14:paraId="5D22E2BF" w14:textId="77777777" w:rsidR="00280001" w:rsidRPr="003871DA" w:rsidRDefault="00280001" w:rsidP="005D36CF">
          <w:pPr>
            <w:pStyle w:val="Header"/>
            <w:jc w:val="right"/>
            <w:rPr>
              <w:rFonts w:ascii="Calibri" w:hAnsi="Calibri"/>
              <w:i/>
              <w:sz w:val="20"/>
              <w:lang w:val="lv-LV"/>
            </w:rPr>
          </w:pPr>
          <w:r w:rsidRPr="003871DA">
            <w:rPr>
              <w:rFonts w:ascii="Calibri" w:hAnsi="Calibri"/>
              <w:i/>
              <w:sz w:val="20"/>
              <w:lang w:val="lv-LV"/>
            </w:rPr>
            <w:t>&amp; Lithuanian Environment</w:t>
          </w:r>
        </w:p>
      </w:tc>
    </w:tr>
  </w:tbl>
  <w:p w14:paraId="0E57E643" w14:textId="77777777" w:rsidR="00280001" w:rsidRPr="00A6776A" w:rsidRDefault="00280001" w:rsidP="00F53BE4"/>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59EE9080" w14:textId="77777777" w:rsidTr="00C62D41">
      <w:trPr>
        <w:trHeight w:val="547"/>
      </w:trPr>
      <w:tc>
        <w:tcPr>
          <w:tcW w:w="2880" w:type="pct"/>
          <w:tcBorders>
            <w:bottom w:val="single" w:sz="4" w:space="0" w:color="000000"/>
          </w:tcBorders>
        </w:tcPr>
        <w:p w14:paraId="5EFF7CF0" w14:textId="77777777" w:rsidR="00280001" w:rsidRPr="003871DA" w:rsidRDefault="00280001" w:rsidP="009D6BD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78D3AF16" w14:textId="2D6BD8DD"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6BF0C6EA" w14:textId="77777777" w:rsidR="00280001" w:rsidRPr="003871DA" w:rsidRDefault="00280001" w:rsidP="009D6BD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0F0BFCD1" w14:textId="77777777" w:rsidR="00280001" w:rsidRPr="003871DA" w:rsidRDefault="00280001" w:rsidP="009D6BD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302A6FA5" w14:textId="77777777" w:rsidR="00280001" w:rsidRPr="00A6776A" w:rsidRDefault="00280001" w:rsidP="00F53BE4"/>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47C7CB80" w14:textId="77777777" w:rsidTr="00DD71C3">
      <w:trPr>
        <w:trHeight w:val="547"/>
      </w:trPr>
      <w:tc>
        <w:tcPr>
          <w:tcW w:w="2884" w:type="pct"/>
          <w:tcBorders>
            <w:bottom w:val="single" w:sz="4" w:space="0" w:color="000000"/>
          </w:tcBorders>
        </w:tcPr>
        <w:p w14:paraId="4D655634" w14:textId="77777777" w:rsidR="00280001" w:rsidRPr="003871DA" w:rsidRDefault="00280001" w:rsidP="00B131F5">
          <w:pPr>
            <w:pStyle w:val="Header"/>
            <w:snapToGrid w:val="0"/>
            <w:ind w:left="-108"/>
            <w:rPr>
              <w:rFonts w:ascii="Calibri" w:hAnsi="Calibri"/>
              <w:i/>
              <w:sz w:val="20"/>
              <w:lang w:val="lv-LV"/>
            </w:rPr>
          </w:pPr>
          <w:r>
            <w:rPr>
              <w:rFonts w:ascii="Calibri" w:hAnsi="Calibri"/>
              <w:i/>
              <w:sz w:val="20"/>
              <w:lang w:val="lv-LV"/>
            </w:rPr>
            <w:t>Gaujas Nacionālā parka</w:t>
          </w:r>
        </w:p>
        <w:p w14:paraId="42ACDEFC" w14:textId="1D6B6B8E"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7CF330F3" w14:textId="77777777" w:rsidR="00280001" w:rsidRPr="003871DA" w:rsidRDefault="00280001" w:rsidP="00B131F5">
          <w:pPr>
            <w:pStyle w:val="Header"/>
            <w:snapToGrid w:val="0"/>
            <w:jc w:val="right"/>
            <w:rPr>
              <w:rFonts w:ascii="Calibri" w:hAnsi="Calibri"/>
              <w:i/>
              <w:sz w:val="20"/>
              <w:lang w:val="lv-LV"/>
            </w:rPr>
          </w:pPr>
          <w:r w:rsidRPr="003871DA">
            <w:rPr>
              <w:rFonts w:ascii="Calibri" w:hAnsi="Calibri"/>
              <w:i/>
              <w:sz w:val="20"/>
              <w:lang w:val="lv-LV"/>
            </w:rPr>
            <w:t>SIA Estonian, Latvian</w:t>
          </w:r>
        </w:p>
        <w:p w14:paraId="18A9DE74" w14:textId="77777777" w:rsidR="00280001" w:rsidRPr="003871DA" w:rsidRDefault="00280001" w:rsidP="00B131F5">
          <w:pPr>
            <w:pStyle w:val="Header"/>
            <w:jc w:val="right"/>
            <w:rPr>
              <w:rFonts w:ascii="Calibri" w:hAnsi="Calibri"/>
              <w:i/>
              <w:sz w:val="20"/>
              <w:lang w:val="lv-LV"/>
            </w:rPr>
          </w:pPr>
          <w:r w:rsidRPr="003871DA">
            <w:rPr>
              <w:rFonts w:ascii="Calibri" w:hAnsi="Calibri"/>
              <w:i/>
              <w:sz w:val="20"/>
              <w:lang w:val="lv-LV"/>
            </w:rPr>
            <w:t>&amp; Lithuanian Environment</w:t>
          </w:r>
        </w:p>
      </w:tc>
    </w:tr>
  </w:tbl>
  <w:p w14:paraId="4954C884" w14:textId="77777777" w:rsidR="00280001" w:rsidRPr="00A6776A" w:rsidRDefault="00280001" w:rsidP="00F53BE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014B" w14:textId="77777777" w:rsidR="00280001" w:rsidRDefault="00280001"/>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011F5AD0" w14:textId="77777777" w:rsidTr="00C62D41">
      <w:trPr>
        <w:trHeight w:val="547"/>
      </w:trPr>
      <w:tc>
        <w:tcPr>
          <w:tcW w:w="2880" w:type="pct"/>
          <w:tcBorders>
            <w:bottom w:val="single" w:sz="4" w:space="0" w:color="000000"/>
          </w:tcBorders>
        </w:tcPr>
        <w:p w14:paraId="7C493E3F" w14:textId="77777777" w:rsidR="00280001" w:rsidRPr="003871DA" w:rsidRDefault="00280001" w:rsidP="009D6BD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2ED53B3E" w14:textId="3D09F530"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454E8666" w14:textId="77777777" w:rsidR="00280001" w:rsidRPr="003871DA" w:rsidRDefault="00280001" w:rsidP="009D6BD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7086DED4" w14:textId="77777777" w:rsidR="00280001" w:rsidRPr="003871DA" w:rsidRDefault="00280001" w:rsidP="009D6BD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2AEB9157" w14:textId="77777777" w:rsidR="00280001" w:rsidRPr="00A6776A" w:rsidRDefault="00280001" w:rsidP="00F53BE4"/>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D447AC" w:rsidRPr="003871DA" w14:paraId="3CD48BED" w14:textId="77777777" w:rsidTr="00C62D41">
      <w:trPr>
        <w:trHeight w:val="547"/>
      </w:trPr>
      <w:tc>
        <w:tcPr>
          <w:tcW w:w="2880" w:type="pct"/>
          <w:tcBorders>
            <w:bottom w:val="single" w:sz="4" w:space="0" w:color="000000"/>
          </w:tcBorders>
        </w:tcPr>
        <w:p w14:paraId="59530906" w14:textId="77777777" w:rsidR="00D447AC" w:rsidRPr="003871DA" w:rsidRDefault="00D447AC" w:rsidP="009D6BD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2237ED69" w14:textId="4E7ECD5B" w:rsidR="00D447AC" w:rsidRPr="00351DF4" w:rsidRDefault="00D447AC"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569B9AFA" w14:textId="77777777" w:rsidR="00D447AC" w:rsidRPr="003871DA" w:rsidRDefault="00D447AC" w:rsidP="009D6BD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2A954DC0" w14:textId="77777777" w:rsidR="00D447AC" w:rsidRPr="003871DA" w:rsidRDefault="00D447AC" w:rsidP="009D6BD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4108E062" w14:textId="77777777" w:rsidR="00D447AC" w:rsidRPr="00A6776A" w:rsidRDefault="00D447AC" w:rsidP="00F53BE4"/>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D447AC" w:rsidRPr="003871DA" w14:paraId="6754BA5D" w14:textId="77777777" w:rsidTr="00C62D41">
      <w:trPr>
        <w:trHeight w:val="547"/>
      </w:trPr>
      <w:tc>
        <w:tcPr>
          <w:tcW w:w="2880" w:type="pct"/>
          <w:tcBorders>
            <w:bottom w:val="single" w:sz="4" w:space="0" w:color="000000"/>
          </w:tcBorders>
        </w:tcPr>
        <w:p w14:paraId="075EEF19" w14:textId="77777777" w:rsidR="00D447AC" w:rsidRPr="003871DA" w:rsidRDefault="00D447AC" w:rsidP="009D6BDE">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1390FEC7" w14:textId="2660FF54" w:rsidR="00D447AC" w:rsidRPr="00351DF4" w:rsidRDefault="00D447AC"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3C8AD210" w14:textId="77777777" w:rsidR="00D447AC" w:rsidRPr="003871DA" w:rsidRDefault="00D447AC" w:rsidP="009D6BD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34A98B60" w14:textId="77777777" w:rsidR="00D447AC" w:rsidRPr="003871DA" w:rsidRDefault="00D447AC" w:rsidP="009D6BD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387E6F7B" w14:textId="77777777" w:rsidR="00D447AC" w:rsidRPr="00A6776A" w:rsidRDefault="00D447AC" w:rsidP="00F53BE4"/>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123E7B73" w14:textId="77777777" w:rsidTr="002008F9">
      <w:trPr>
        <w:trHeight w:val="547"/>
      </w:trPr>
      <w:tc>
        <w:tcPr>
          <w:tcW w:w="2884" w:type="pct"/>
          <w:tcBorders>
            <w:bottom w:val="single" w:sz="4" w:space="0" w:color="000000"/>
          </w:tcBorders>
        </w:tcPr>
        <w:p w14:paraId="77603378" w14:textId="77777777" w:rsidR="00280001" w:rsidRPr="003871DA" w:rsidRDefault="00280001" w:rsidP="00C5131C">
          <w:pPr>
            <w:pStyle w:val="Header"/>
            <w:snapToGrid w:val="0"/>
            <w:ind w:left="-108"/>
            <w:rPr>
              <w:rFonts w:ascii="Calibri" w:hAnsi="Calibri"/>
              <w:i/>
              <w:sz w:val="20"/>
              <w:lang w:val="lv-LV"/>
            </w:rPr>
          </w:pPr>
          <w:r>
            <w:rPr>
              <w:rFonts w:ascii="Calibri" w:hAnsi="Calibri"/>
              <w:i/>
              <w:sz w:val="20"/>
              <w:lang w:val="lv-LV"/>
            </w:rPr>
            <w:t>Gaujas Nacionālā parka</w:t>
          </w:r>
        </w:p>
        <w:p w14:paraId="5BDD9DDB" w14:textId="722FF382"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5FFDBAEA" w14:textId="77777777" w:rsidR="00280001" w:rsidRPr="003871DA" w:rsidRDefault="00280001" w:rsidP="00C5131C">
          <w:pPr>
            <w:pStyle w:val="Header"/>
            <w:snapToGrid w:val="0"/>
            <w:jc w:val="right"/>
            <w:rPr>
              <w:rFonts w:ascii="Calibri" w:hAnsi="Calibri"/>
              <w:i/>
              <w:sz w:val="20"/>
              <w:lang w:val="lv-LV"/>
            </w:rPr>
          </w:pPr>
          <w:r w:rsidRPr="003871DA">
            <w:rPr>
              <w:rFonts w:ascii="Calibri" w:hAnsi="Calibri"/>
              <w:i/>
              <w:sz w:val="20"/>
              <w:lang w:val="lv-LV"/>
            </w:rPr>
            <w:t>SIA Estonian, Latvian</w:t>
          </w:r>
        </w:p>
        <w:p w14:paraId="23F8937A" w14:textId="77777777" w:rsidR="00280001" w:rsidRPr="003871DA" w:rsidRDefault="00280001" w:rsidP="00C5131C">
          <w:pPr>
            <w:pStyle w:val="Header"/>
            <w:jc w:val="right"/>
            <w:rPr>
              <w:rFonts w:ascii="Calibri" w:hAnsi="Calibri"/>
              <w:i/>
              <w:sz w:val="20"/>
              <w:lang w:val="lv-LV"/>
            </w:rPr>
          </w:pPr>
          <w:r w:rsidRPr="003871DA">
            <w:rPr>
              <w:rFonts w:ascii="Calibri" w:hAnsi="Calibri"/>
              <w:i/>
              <w:sz w:val="20"/>
              <w:lang w:val="lv-LV"/>
            </w:rPr>
            <w:t>&amp; Lithuanian Environment</w:t>
          </w:r>
        </w:p>
      </w:tc>
    </w:tr>
  </w:tbl>
  <w:p w14:paraId="06F9FD31" w14:textId="77777777" w:rsidR="00280001" w:rsidRPr="00A6776A" w:rsidRDefault="00280001" w:rsidP="00F53BE4"/>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5147A02A" w14:textId="77777777" w:rsidTr="00C62D41">
      <w:trPr>
        <w:trHeight w:val="547"/>
      </w:trPr>
      <w:tc>
        <w:tcPr>
          <w:tcW w:w="2880" w:type="pct"/>
          <w:tcBorders>
            <w:bottom w:val="single" w:sz="4" w:space="0" w:color="000000"/>
          </w:tcBorders>
        </w:tcPr>
        <w:p w14:paraId="132F3173" w14:textId="77777777" w:rsidR="00280001" w:rsidRPr="003871DA" w:rsidRDefault="00280001" w:rsidP="00F050AD">
          <w:pPr>
            <w:pStyle w:val="Header"/>
            <w:tabs>
              <w:tab w:val="clear" w:pos="4320"/>
              <w:tab w:val="clear" w:pos="8640"/>
              <w:tab w:val="left" w:pos="3210"/>
            </w:tabs>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r>
            <w:rPr>
              <w:rFonts w:ascii="Calibri" w:hAnsi="Calibri"/>
              <w:i/>
              <w:sz w:val="20"/>
              <w:lang w:val="lv-LV"/>
            </w:rPr>
            <w:tab/>
          </w:r>
        </w:p>
        <w:p w14:paraId="5B380BF8" w14:textId="349DB2B2" w:rsidR="00280001" w:rsidRPr="00351DF4" w:rsidRDefault="00280001"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102FFD04" w14:textId="77777777" w:rsidR="00280001" w:rsidRPr="003871DA" w:rsidRDefault="00280001" w:rsidP="009D6BD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1C0A46B7" w14:textId="77777777" w:rsidR="00280001" w:rsidRPr="003871DA" w:rsidRDefault="00280001" w:rsidP="009D6BD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43D84240" w14:textId="77777777" w:rsidR="00280001" w:rsidRPr="00A6776A" w:rsidRDefault="00280001" w:rsidP="00F53BE4"/>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49719C" w:rsidRPr="003871DA" w14:paraId="6567C544" w14:textId="77777777" w:rsidTr="000E2D89">
      <w:trPr>
        <w:trHeight w:val="547"/>
      </w:trPr>
      <w:tc>
        <w:tcPr>
          <w:tcW w:w="2884" w:type="pct"/>
          <w:tcBorders>
            <w:bottom w:val="single" w:sz="4" w:space="0" w:color="000000"/>
          </w:tcBorders>
        </w:tcPr>
        <w:p w14:paraId="2EE24EDB" w14:textId="77777777" w:rsidR="0049719C" w:rsidRPr="003871DA" w:rsidRDefault="0049719C" w:rsidP="0049719C">
          <w:pPr>
            <w:pStyle w:val="Header"/>
            <w:snapToGrid w:val="0"/>
            <w:ind w:left="-108"/>
            <w:rPr>
              <w:rFonts w:ascii="Calibri" w:hAnsi="Calibri"/>
              <w:i/>
              <w:sz w:val="20"/>
              <w:lang w:val="lv-LV"/>
            </w:rPr>
          </w:pPr>
          <w:r>
            <w:rPr>
              <w:rFonts w:ascii="Calibri" w:hAnsi="Calibri"/>
              <w:i/>
              <w:sz w:val="20"/>
              <w:lang w:val="lv-LV"/>
            </w:rPr>
            <w:t>Gaujas Nacionālā parka</w:t>
          </w:r>
        </w:p>
        <w:p w14:paraId="54ED93A9" w14:textId="20DD22DE" w:rsidR="0049719C" w:rsidRPr="00351DF4" w:rsidRDefault="0049719C"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39469B94" w14:textId="77777777" w:rsidR="0049719C" w:rsidRPr="003871DA" w:rsidRDefault="0049719C" w:rsidP="0049719C">
          <w:pPr>
            <w:pStyle w:val="Header"/>
            <w:snapToGrid w:val="0"/>
            <w:jc w:val="right"/>
            <w:rPr>
              <w:rFonts w:ascii="Calibri" w:hAnsi="Calibri"/>
              <w:i/>
              <w:sz w:val="20"/>
              <w:lang w:val="lv-LV"/>
            </w:rPr>
          </w:pPr>
          <w:r w:rsidRPr="003871DA">
            <w:rPr>
              <w:rFonts w:ascii="Calibri" w:hAnsi="Calibri"/>
              <w:i/>
              <w:sz w:val="20"/>
              <w:lang w:val="lv-LV"/>
            </w:rPr>
            <w:t>SIA Estonian, Latvian</w:t>
          </w:r>
        </w:p>
        <w:p w14:paraId="64CB46CB" w14:textId="77777777" w:rsidR="0049719C" w:rsidRPr="003871DA" w:rsidRDefault="0049719C" w:rsidP="0049719C">
          <w:pPr>
            <w:pStyle w:val="Header"/>
            <w:jc w:val="right"/>
            <w:rPr>
              <w:rFonts w:ascii="Calibri" w:hAnsi="Calibri"/>
              <w:i/>
              <w:sz w:val="20"/>
              <w:lang w:val="lv-LV"/>
            </w:rPr>
          </w:pPr>
          <w:r w:rsidRPr="003871DA">
            <w:rPr>
              <w:rFonts w:ascii="Calibri" w:hAnsi="Calibri"/>
              <w:i/>
              <w:sz w:val="20"/>
              <w:lang w:val="lv-LV"/>
            </w:rPr>
            <w:t>&amp; Lithuanian Environment</w:t>
          </w:r>
        </w:p>
      </w:tc>
    </w:tr>
  </w:tbl>
  <w:p w14:paraId="0FB26BA3" w14:textId="77777777" w:rsidR="0049719C" w:rsidRPr="00A6776A" w:rsidRDefault="0049719C" w:rsidP="00F53BE4"/>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49719C" w:rsidRPr="003871DA" w14:paraId="2A62F895" w14:textId="77777777" w:rsidTr="00C62D41">
      <w:trPr>
        <w:trHeight w:val="547"/>
      </w:trPr>
      <w:tc>
        <w:tcPr>
          <w:tcW w:w="2880" w:type="pct"/>
          <w:tcBorders>
            <w:bottom w:val="single" w:sz="4" w:space="0" w:color="000000"/>
          </w:tcBorders>
        </w:tcPr>
        <w:p w14:paraId="773885ED" w14:textId="77777777" w:rsidR="0049719C" w:rsidRPr="003871DA" w:rsidRDefault="0049719C" w:rsidP="00F050AD">
          <w:pPr>
            <w:pStyle w:val="Header"/>
            <w:tabs>
              <w:tab w:val="clear" w:pos="4320"/>
              <w:tab w:val="clear" w:pos="8640"/>
              <w:tab w:val="left" w:pos="3210"/>
            </w:tabs>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r>
            <w:rPr>
              <w:rFonts w:ascii="Calibri" w:hAnsi="Calibri"/>
              <w:i/>
              <w:sz w:val="20"/>
              <w:lang w:val="lv-LV"/>
            </w:rPr>
            <w:tab/>
          </w:r>
        </w:p>
        <w:p w14:paraId="3BD416DF" w14:textId="5E8F6E12" w:rsidR="0049719C" w:rsidRPr="00351DF4" w:rsidRDefault="0049719C" w:rsidP="00940648">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527E38E2" w14:textId="77777777" w:rsidR="0049719C" w:rsidRPr="003871DA" w:rsidRDefault="0049719C" w:rsidP="009D6BDE">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4F592811" w14:textId="77777777" w:rsidR="0049719C" w:rsidRPr="003871DA" w:rsidRDefault="0049719C" w:rsidP="009D6BDE">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31E72EE4" w14:textId="77777777" w:rsidR="0049719C" w:rsidRPr="00A6776A" w:rsidRDefault="0049719C" w:rsidP="00F53BE4"/>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36B9590D" w14:textId="77777777" w:rsidTr="002008F9">
      <w:trPr>
        <w:trHeight w:val="547"/>
      </w:trPr>
      <w:tc>
        <w:tcPr>
          <w:tcW w:w="2884" w:type="pct"/>
          <w:tcBorders>
            <w:bottom w:val="single" w:sz="4" w:space="0" w:color="000000"/>
          </w:tcBorders>
        </w:tcPr>
        <w:p w14:paraId="645A0C98" w14:textId="77777777" w:rsidR="00280001" w:rsidRPr="003871DA" w:rsidRDefault="00280001" w:rsidP="00C5131C">
          <w:pPr>
            <w:pStyle w:val="Header"/>
            <w:snapToGrid w:val="0"/>
            <w:ind w:left="-108"/>
            <w:rPr>
              <w:rFonts w:ascii="Calibri" w:hAnsi="Calibri"/>
              <w:i/>
              <w:sz w:val="20"/>
              <w:lang w:val="lv-LV"/>
            </w:rPr>
          </w:pPr>
          <w:r>
            <w:rPr>
              <w:rFonts w:ascii="Calibri" w:hAnsi="Calibri"/>
              <w:i/>
              <w:sz w:val="20"/>
              <w:lang w:val="lv-LV"/>
            </w:rPr>
            <w:t>Gaujas Nacionālā parka</w:t>
          </w:r>
        </w:p>
        <w:p w14:paraId="7F38C349" w14:textId="3F7E970F"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3FA8B271" w14:textId="77777777" w:rsidR="00280001" w:rsidRPr="003871DA" w:rsidRDefault="00280001" w:rsidP="00C5131C">
          <w:pPr>
            <w:pStyle w:val="Header"/>
            <w:snapToGrid w:val="0"/>
            <w:jc w:val="right"/>
            <w:rPr>
              <w:rFonts w:ascii="Calibri" w:hAnsi="Calibri"/>
              <w:i/>
              <w:sz w:val="20"/>
              <w:lang w:val="lv-LV"/>
            </w:rPr>
          </w:pPr>
          <w:r w:rsidRPr="003871DA">
            <w:rPr>
              <w:rFonts w:ascii="Calibri" w:hAnsi="Calibri"/>
              <w:i/>
              <w:sz w:val="20"/>
              <w:lang w:val="lv-LV"/>
            </w:rPr>
            <w:t>SIA Estonian, Latvian</w:t>
          </w:r>
        </w:p>
        <w:p w14:paraId="45D27AAF" w14:textId="77777777" w:rsidR="00280001" w:rsidRPr="003871DA" w:rsidRDefault="00280001" w:rsidP="00C5131C">
          <w:pPr>
            <w:pStyle w:val="Header"/>
            <w:jc w:val="right"/>
            <w:rPr>
              <w:rFonts w:ascii="Calibri" w:hAnsi="Calibri"/>
              <w:i/>
              <w:sz w:val="20"/>
              <w:lang w:val="lv-LV"/>
            </w:rPr>
          </w:pPr>
          <w:r w:rsidRPr="003871DA">
            <w:rPr>
              <w:rFonts w:ascii="Calibri" w:hAnsi="Calibri"/>
              <w:i/>
              <w:sz w:val="20"/>
              <w:lang w:val="lv-LV"/>
            </w:rPr>
            <w:t>&amp; Lithuanian Environment</w:t>
          </w:r>
        </w:p>
      </w:tc>
    </w:tr>
  </w:tbl>
  <w:p w14:paraId="5E89ED81" w14:textId="77777777" w:rsidR="00280001" w:rsidRPr="00C5131C" w:rsidRDefault="00280001" w:rsidP="00F53BE4"/>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280001" w:rsidRPr="003871DA" w14:paraId="6AD13CD1" w14:textId="77777777" w:rsidTr="00927855">
      <w:trPr>
        <w:trHeight w:val="547"/>
      </w:trPr>
      <w:tc>
        <w:tcPr>
          <w:tcW w:w="2884" w:type="pct"/>
          <w:tcBorders>
            <w:bottom w:val="single" w:sz="4" w:space="0" w:color="000000"/>
          </w:tcBorders>
        </w:tcPr>
        <w:p w14:paraId="1DB438C8" w14:textId="20D0DB7E" w:rsidR="00280001" w:rsidRPr="003871DA" w:rsidRDefault="00280001" w:rsidP="00415466">
          <w:pPr>
            <w:pStyle w:val="Header"/>
            <w:snapToGrid w:val="0"/>
            <w:ind w:left="-108"/>
            <w:rPr>
              <w:rFonts w:ascii="Calibri" w:hAnsi="Calibri"/>
              <w:i/>
              <w:sz w:val="20"/>
              <w:lang w:val="lv-LV"/>
            </w:rPr>
          </w:pPr>
          <w:r>
            <w:rPr>
              <w:rFonts w:ascii="Calibri" w:hAnsi="Calibri"/>
              <w:i/>
              <w:sz w:val="20"/>
              <w:lang w:val="lv-LV"/>
            </w:rPr>
            <w:t>Gaujas Nacionālā parka</w:t>
          </w:r>
        </w:p>
        <w:p w14:paraId="785C8DBA" w14:textId="7675F137" w:rsidR="00280001" w:rsidRPr="00351DF4" w:rsidRDefault="00280001" w:rsidP="00940648">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11B603CC"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0EBC59E4"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78171895" w14:textId="77777777" w:rsidR="00280001" w:rsidRPr="000D33A8" w:rsidRDefault="00280001" w:rsidP="00F53BE4">
    <w:pPr>
      <w:rPr>
        <w:lang w:val="fi-FI"/>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0E396F" w:rsidRPr="003871DA" w14:paraId="7AFDACE2" w14:textId="77777777" w:rsidTr="00F413EA">
      <w:trPr>
        <w:trHeight w:val="547"/>
      </w:trPr>
      <w:tc>
        <w:tcPr>
          <w:tcW w:w="2884" w:type="pct"/>
          <w:tcBorders>
            <w:bottom w:val="single" w:sz="4" w:space="0" w:color="000000"/>
          </w:tcBorders>
        </w:tcPr>
        <w:p w14:paraId="5E037058" w14:textId="77777777" w:rsidR="000E396F" w:rsidRPr="003871DA" w:rsidRDefault="000E396F" w:rsidP="000E396F">
          <w:pPr>
            <w:pStyle w:val="Header"/>
            <w:snapToGrid w:val="0"/>
            <w:ind w:left="-108"/>
            <w:rPr>
              <w:rFonts w:ascii="Calibri" w:hAnsi="Calibri"/>
              <w:i/>
              <w:sz w:val="20"/>
              <w:lang w:val="lv-LV"/>
            </w:rPr>
          </w:pPr>
          <w:r>
            <w:rPr>
              <w:rFonts w:ascii="Calibri" w:hAnsi="Calibri"/>
              <w:i/>
              <w:sz w:val="20"/>
              <w:lang w:val="lv-LV"/>
            </w:rPr>
            <w:t>Gaujas Nacionālā parka</w:t>
          </w:r>
        </w:p>
        <w:p w14:paraId="402294C7" w14:textId="79E6B1F6" w:rsidR="000E396F" w:rsidRPr="00351DF4" w:rsidRDefault="000E396F" w:rsidP="00E55535">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09B278D4" w14:textId="77777777" w:rsidR="000E396F" w:rsidRPr="003871DA" w:rsidRDefault="000E396F" w:rsidP="000E396F">
          <w:pPr>
            <w:pStyle w:val="Header"/>
            <w:snapToGrid w:val="0"/>
            <w:jc w:val="right"/>
            <w:rPr>
              <w:rFonts w:ascii="Calibri" w:hAnsi="Calibri"/>
              <w:i/>
              <w:sz w:val="20"/>
              <w:lang w:val="lv-LV"/>
            </w:rPr>
          </w:pPr>
          <w:r w:rsidRPr="003871DA">
            <w:rPr>
              <w:rFonts w:ascii="Calibri" w:hAnsi="Calibri"/>
              <w:i/>
              <w:sz w:val="20"/>
              <w:lang w:val="lv-LV"/>
            </w:rPr>
            <w:t>SIA Estonian, Latvian</w:t>
          </w:r>
        </w:p>
        <w:p w14:paraId="1ED20B06" w14:textId="77777777" w:rsidR="000E396F" w:rsidRPr="003871DA" w:rsidRDefault="000E396F" w:rsidP="000E396F">
          <w:pPr>
            <w:pStyle w:val="Header"/>
            <w:jc w:val="right"/>
            <w:rPr>
              <w:rFonts w:ascii="Calibri" w:hAnsi="Calibri"/>
              <w:i/>
              <w:sz w:val="20"/>
              <w:lang w:val="lv-LV"/>
            </w:rPr>
          </w:pPr>
          <w:r w:rsidRPr="003871DA">
            <w:rPr>
              <w:rFonts w:ascii="Calibri" w:hAnsi="Calibri"/>
              <w:i/>
              <w:sz w:val="20"/>
              <w:lang w:val="lv-LV"/>
            </w:rPr>
            <w:t>&amp; Lithuanian Environment</w:t>
          </w:r>
        </w:p>
      </w:tc>
    </w:tr>
  </w:tbl>
  <w:p w14:paraId="69582080" w14:textId="77777777" w:rsidR="008639E1" w:rsidRPr="000D33A8" w:rsidRDefault="008639E1" w:rsidP="00F53BE4">
    <w:pPr>
      <w:rPr>
        <w:lang w:val="fi-F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5280518C" w14:textId="77777777" w:rsidTr="005879FA">
      <w:trPr>
        <w:trHeight w:val="547"/>
      </w:trPr>
      <w:tc>
        <w:tcPr>
          <w:tcW w:w="2880" w:type="pct"/>
          <w:tcBorders>
            <w:bottom w:val="single" w:sz="4" w:space="0" w:color="000000"/>
          </w:tcBorders>
        </w:tcPr>
        <w:p w14:paraId="4BACD43E" w14:textId="77777777" w:rsidR="00280001" w:rsidRPr="003871DA" w:rsidRDefault="00280001" w:rsidP="00660418">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688A892C" w14:textId="2F2BA60B" w:rsidR="00280001" w:rsidRPr="00351DF4" w:rsidRDefault="00280001" w:rsidP="007B145C">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25BD406B" w14:textId="77777777" w:rsidR="00280001" w:rsidRPr="003871DA" w:rsidRDefault="00280001" w:rsidP="00660418">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685CFDC5" w14:textId="77777777" w:rsidR="00280001" w:rsidRPr="003871DA" w:rsidRDefault="00280001" w:rsidP="00660418">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1FC53FAD" w14:textId="77777777" w:rsidR="00280001" w:rsidRPr="000D33A8" w:rsidRDefault="00280001" w:rsidP="00F53BE4">
    <w:pPr>
      <w:rPr>
        <w:lang w:val="fi-FI"/>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8639E1" w:rsidRPr="003871DA" w14:paraId="661E954B" w14:textId="77777777" w:rsidTr="00927855">
      <w:trPr>
        <w:trHeight w:val="547"/>
      </w:trPr>
      <w:tc>
        <w:tcPr>
          <w:tcW w:w="2884" w:type="pct"/>
          <w:tcBorders>
            <w:bottom w:val="single" w:sz="4" w:space="0" w:color="000000"/>
          </w:tcBorders>
        </w:tcPr>
        <w:p w14:paraId="01497664" w14:textId="77777777" w:rsidR="008639E1" w:rsidRPr="003871DA" w:rsidRDefault="008639E1" w:rsidP="00415466">
          <w:pPr>
            <w:pStyle w:val="Header"/>
            <w:snapToGrid w:val="0"/>
            <w:ind w:left="-108"/>
            <w:rPr>
              <w:rFonts w:ascii="Calibri" w:hAnsi="Calibri"/>
              <w:i/>
              <w:sz w:val="20"/>
              <w:lang w:val="lv-LV"/>
            </w:rPr>
          </w:pPr>
          <w:r>
            <w:rPr>
              <w:rFonts w:ascii="Calibri" w:hAnsi="Calibri"/>
              <w:i/>
              <w:sz w:val="20"/>
              <w:lang w:val="lv-LV"/>
            </w:rPr>
            <w:t>Gaujas Nacionālā parka</w:t>
          </w:r>
        </w:p>
        <w:p w14:paraId="59F43E84" w14:textId="25900326" w:rsidR="008639E1" w:rsidRPr="00351DF4" w:rsidRDefault="008639E1" w:rsidP="00E55535">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0A0F2DF1" w14:textId="77777777" w:rsidR="008639E1" w:rsidRPr="003871DA" w:rsidRDefault="008639E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03621DD1" w14:textId="77777777" w:rsidR="008639E1" w:rsidRPr="003871DA" w:rsidRDefault="008639E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E524B31" w14:textId="77777777" w:rsidR="008639E1" w:rsidRPr="000D33A8" w:rsidRDefault="008639E1" w:rsidP="00F53BE4">
    <w:pPr>
      <w:rPr>
        <w:lang w:val="fi-FI"/>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3B9143A5" w14:textId="77777777" w:rsidTr="00A727D5">
      <w:trPr>
        <w:trHeight w:val="547"/>
      </w:trPr>
      <w:tc>
        <w:tcPr>
          <w:tcW w:w="2884" w:type="pct"/>
          <w:tcBorders>
            <w:bottom w:val="single" w:sz="4" w:space="0" w:color="000000"/>
          </w:tcBorders>
        </w:tcPr>
        <w:p w14:paraId="2040B97B" w14:textId="77777777" w:rsidR="00280001" w:rsidRPr="003871DA" w:rsidRDefault="00280001" w:rsidP="00415466">
          <w:pPr>
            <w:pStyle w:val="Header"/>
            <w:snapToGrid w:val="0"/>
            <w:ind w:left="-108"/>
            <w:rPr>
              <w:rFonts w:ascii="Calibri" w:hAnsi="Calibri"/>
              <w:i/>
              <w:sz w:val="20"/>
              <w:lang w:val="lv-LV"/>
            </w:rPr>
          </w:pPr>
          <w:r>
            <w:rPr>
              <w:rFonts w:ascii="Calibri" w:hAnsi="Calibri"/>
              <w:i/>
              <w:sz w:val="20"/>
              <w:lang w:val="lv-LV"/>
            </w:rPr>
            <w:t>Gaujas Nacionālā parka</w:t>
          </w:r>
        </w:p>
        <w:p w14:paraId="36E8B0A9" w14:textId="4CFF33A9" w:rsidR="00280001" w:rsidRPr="00351DF4" w:rsidRDefault="00280001" w:rsidP="00E55535">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17CE2661"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AA308B1"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EDCE682" w14:textId="77777777" w:rsidR="00280001" w:rsidRPr="000D33A8" w:rsidRDefault="00280001" w:rsidP="00F53BE4">
    <w:pPr>
      <w:rPr>
        <w:lang w:val="fi-FI"/>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280001" w:rsidRPr="003871DA" w14:paraId="70A30F84" w14:textId="77777777" w:rsidTr="00927855">
      <w:trPr>
        <w:trHeight w:val="547"/>
      </w:trPr>
      <w:tc>
        <w:tcPr>
          <w:tcW w:w="2884" w:type="pct"/>
          <w:tcBorders>
            <w:bottom w:val="single" w:sz="4" w:space="0" w:color="000000"/>
          </w:tcBorders>
        </w:tcPr>
        <w:p w14:paraId="5589D97D" w14:textId="77777777" w:rsidR="00280001" w:rsidRPr="003871DA" w:rsidRDefault="00280001" w:rsidP="00415466">
          <w:pPr>
            <w:pStyle w:val="Header"/>
            <w:snapToGrid w:val="0"/>
            <w:ind w:left="-108"/>
            <w:rPr>
              <w:rFonts w:ascii="Calibri" w:hAnsi="Calibri"/>
              <w:i/>
              <w:sz w:val="20"/>
              <w:lang w:val="lv-LV"/>
            </w:rPr>
          </w:pPr>
          <w:r>
            <w:rPr>
              <w:rFonts w:ascii="Calibri" w:hAnsi="Calibri"/>
              <w:i/>
              <w:sz w:val="20"/>
              <w:lang w:val="lv-LV"/>
            </w:rPr>
            <w:t>Gaujas Nacionālā parka</w:t>
          </w:r>
        </w:p>
        <w:p w14:paraId="7E7C441F" w14:textId="756DBEDF" w:rsidR="00280001" w:rsidRPr="00351DF4" w:rsidRDefault="00280001" w:rsidP="00E55535">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004E5054"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76C4BC1"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A973277" w14:textId="77777777" w:rsidR="00280001" w:rsidRPr="000D33A8" w:rsidRDefault="00280001" w:rsidP="00F53BE4">
    <w:pPr>
      <w:rPr>
        <w:lang w:val="fi-FI"/>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E55535" w:rsidRPr="003871DA" w14:paraId="12A04960" w14:textId="77777777" w:rsidTr="00BB1A73">
      <w:trPr>
        <w:trHeight w:val="547"/>
      </w:trPr>
      <w:tc>
        <w:tcPr>
          <w:tcW w:w="2884" w:type="pct"/>
          <w:tcBorders>
            <w:bottom w:val="single" w:sz="4" w:space="0" w:color="000000"/>
          </w:tcBorders>
        </w:tcPr>
        <w:p w14:paraId="42FBC3CD" w14:textId="77777777" w:rsidR="00E55535" w:rsidRPr="003871DA" w:rsidRDefault="00E55535" w:rsidP="00415466">
          <w:pPr>
            <w:pStyle w:val="Header"/>
            <w:snapToGrid w:val="0"/>
            <w:ind w:left="-108"/>
            <w:rPr>
              <w:rFonts w:ascii="Calibri" w:hAnsi="Calibri"/>
              <w:i/>
              <w:sz w:val="20"/>
              <w:lang w:val="lv-LV"/>
            </w:rPr>
          </w:pPr>
          <w:r>
            <w:rPr>
              <w:rFonts w:ascii="Calibri" w:hAnsi="Calibri"/>
              <w:i/>
              <w:sz w:val="20"/>
              <w:lang w:val="lv-LV"/>
            </w:rPr>
            <w:t>Gaujas Nacionālā parka</w:t>
          </w:r>
        </w:p>
        <w:p w14:paraId="4F936EEE" w14:textId="77777777" w:rsidR="00E55535" w:rsidRPr="00351DF4" w:rsidRDefault="00E55535" w:rsidP="00E55535">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66138A08" w14:textId="77777777" w:rsidR="00E55535" w:rsidRPr="003871DA" w:rsidRDefault="00E5553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16A3527D" w14:textId="77777777" w:rsidR="00E55535" w:rsidRPr="003871DA" w:rsidRDefault="00E5553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A2B91B0" w14:textId="77777777" w:rsidR="00E55535" w:rsidRPr="000D33A8" w:rsidRDefault="00E55535" w:rsidP="00F53BE4">
    <w:pPr>
      <w:rPr>
        <w:lang w:val="fi-FI"/>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E55535" w:rsidRPr="003871DA" w14:paraId="2608BE26" w14:textId="77777777" w:rsidTr="00927855">
      <w:trPr>
        <w:trHeight w:val="547"/>
      </w:trPr>
      <w:tc>
        <w:tcPr>
          <w:tcW w:w="2884" w:type="pct"/>
          <w:tcBorders>
            <w:bottom w:val="single" w:sz="4" w:space="0" w:color="000000"/>
          </w:tcBorders>
        </w:tcPr>
        <w:p w14:paraId="11E40405" w14:textId="77777777" w:rsidR="00E55535" w:rsidRPr="003871DA" w:rsidRDefault="00E55535" w:rsidP="00415466">
          <w:pPr>
            <w:pStyle w:val="Header"/>
            <w:snapToGrid w:val="0"/>
            <w:ind w:left="-108"/>
            <w:rPr>
              <w:rFonts w:ascii="Calibri" w:hAnsi="Calibri"/>
              <w:i/>
              <w:sz w:val="20"/>
              <w:lang w:val="lv-LV"/>
            </w:rPr>
          </w:pPr>
          <w:r>
            <w:rPr>
              <w:rFonts w:ascii="Calibri" w:hAnsi="Calibri"/>
              <w:i/>
              <w:sz w:val="20"/>
              <w:lang w:val="lv-LV"/>
            </w:rPr>
            <w:t>Gaujas Nacionālā parka</w:t>
          </w:r>
        </w:p>
        <w:p w14:paraId="737AE98A" w14:textId="77777777" w:rsidR="00E55535" w:rsidRPr="00351DF4" w:rsidRDefault="00E55535" w:rsidP="00E55535">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4D5E360A" w14:textId="77777777" w:rsidR="00E55535" w:rsidRPr="003871DA" w:rsidRDefault="00E5553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324BEE7B" w14:textId="77777777" w:rsidR="00E55535" w:rsidRPr="003871DA" w:rsidRDefault="00E5553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8738D00" w14:textId="77777777" w:rsidR="00E55535" w:rsidRPr="000D33A8" w:rsidRDefault="00E55535" w:rsidP="00F53BE4">
    <w:pPr>
      <w:rPr>
        <w:lang w:val="fi-FI"/>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280001" w:rsidRPr="003871DA" w14:paraId="7EE1ECCF" w14:textId="77777777" w:rsidTr="005D6782">
      <w:trPr>
        <w:trHeight w:val="547"/>
      </w:trPr>
      <w:tc>
        <w:tcPr>
          <w:tcW w:w="2884" w:type="pct"/>
          <w:tcBorders>
            <w:bottom w:val="single" w:sz="4" w:space="0" w:color="000000"/>
          </w:tcBorders>
        </w:tcPr>
        <w:p w14:paraId="14260431" w14:textId="77777777" w:rsidR="00280001" w:rsidRPr="003871DA" w:rsidRDefault="00280001" w:rsidP="00415466">
          <w:pPr>
            <w:pStyle w:val="Header"/>
            <w:snapToGrid w:val="0"/>
            <w:ind w:left="-108"/>
            <w:rPr>
              <w:rFonts w:ascii="Calibri" w:hAnsi="Calibri"/>
              <w:i/>
              <w:sz w:val="20"/>
              <w:lang w:val="lv-LV"/>
            </w:rPr>
          </w:pPr>
          <w:r>
            <w:rPr>
              <w:rFonts w:ascii="Calibri" w:hAnsi="Calibri"/>
              <w:i/>
              <w:sz w:val="20"/>
              <w:lang w:val="lv-LV"/>
            </w:rPr>
            <w:t>Gaujas Nacionālā parka</w:t>
          </w:r>
        </w:p>
        <w:p w14:paraId="4898266F" w14:textId="0D04E04D" w:rsidR="00280001" w:rsidRPr="00351DF4" w:rsidRDefault="00280001" w:rsidP="00BB1A73">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10073A6E"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00595A18"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C46B3D7" w14:textId="77777777" w:rsidR="00280001" w:rsidRPr="000D33A8" w:rsidRDefault="00280001" w:rsidP="00F53BE4">
    <w:pPr>
      <w:rPr>
        <w:lang w:val="fi-FI"/>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3B069C43" w14:textId="77777777" w:rsidTr="00CB46DB">
      <w:trPr>
        <w:trHeight w:val="547"/>
      </w:trPr>
      <w:tc>
        <w:tcPr>
          <w:tcW w:w="2884" w:type="pct"/>
          <w:tcBorders>
            <w:bottom w:val="single" w:sz="4" w:space="0" w:color="000000"/>
          </w:tcBorders>
        </w:tcPr>
        <w:p w14:paraId="2E0D7888" w14:textId="77777777" w:rsidR="00280001" w:rsidRPr="003871DA" w:rsidRDefault="00280001" w:rsidP="00516BE7">
          <w:pPr>
            <w:pStyle w:val="Header"/>
            <w:snapToGrid w:val="0"/>
            <w:ind w:left="-108"/>
            <w:rPr>
              <w:rFonts w:ascii="Calibri" w:hAnsi="Calibri"/>
              <w:i/>
              <w:sz w:val="20"/>
              <w:lang w:val="lv-LV"/>
            </w:rPr>
          </w:pPr>
          <w:r>
            <w:rPr>
              <w:rFonts w:ascii="Calibri" w:hAnsi="Calibri"/>
              <w:i/>
              <w:sz w:val="20"/>
              <w:lang w:val="lv-LV"/>
            </w:rPr>
            <w:t>Gaujas Nacionālā parka</w:t>
          </w:r>
        </w:p>
        <w:p w14:paraId="078BC443" w14:textId="1ECACADA" w:rsidR="00280001" w:rsidRPr="00351DF4" w:rsidRDefault="00280001" w:rsidP="00BB1A73">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17F4E1DC" w14:textId="77777777" w:rsidR="00280001" w:rsidRPr="003871DA" w:rsidRDefault="00280001" w:rsidP="00516BE7">
          <w:pPr>
            <w:pStyle w:val="Header"/>
            <w:snapToGrid w:val="0"/>
            <w:jc w:val="right"/>
            <w:rPr>
              <w:rFonts w:ascii="Calibri" w:hAnsi="Calibri"/>
              <w:i/>
              <w:sz w:val="20"/>
              <w:lang w:val="lv-LV"/>
            </w:rPr>
          </w:pPr>
          <w:r w:rsidRPr="003871DA">
            <w:rPr>
              <w:rFonts w:ascii="Calibri" w:hAnsi="Calibri"/>
              <w:i/>
              <w:sz w:val="20"/>
              <w:lang w:val="lv-LV"/>
            </w:rPr>
            <w:t>SIA Estonian, Latvian</w:t>
          </w:r>
        </w:p>
        <w:p w14:paraId="28896C25" w14:textId="77777777" w:rsidR="00280001" w:rsidRPr="003871DA" w:rsidRDefault="00280001" w:rsidP="00516BE7">
          <w:pPr>
            <w:pStyle w:val="Header"/>
            <w:jc w:val="right"/>
            <w:rPr>
              <w:rFonts w:ascii="Calibri" w:hAnsi="Calibri"/>
              <w:i/>
              <w:sz w:val="20"/>
              <w:lang w:val="lv-LV"/>
            </w:rPr>
          </w:pPr>
          <w:r w:rsidRPr="003871DA">
            <w:rPr>
              <w:rFonts w:ascii="Calibri" w:hAnsi="Calibri"/>
              <w:i/>
              <w:sz w:val="20"/>
              <w:lang w:val="lv-LV"/>
            </w:rPr>
            <w:t>&amp; Lithuanian Environment</w:t>
          </w:r>
        </w:p>
      </w:tc>
    </w:tr>
  </w:tbl>
  <w:p w14:paraId="02D8A166" w14:textId="77777777" w:rsidR="00280001" w:rsidRPr="00516BE7" w:rsidRDefault="00280001" w:rsidP="00F53BE4"/>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280001" w:rsidRPr="003871DA" w14:paraId="1C474D50" w14:textId="77777777" w:rsidTr="005D6782">
      <w:trPr>
        <w:trHeight w:val="547"/>
      </w:trPr>
      <w:tc>
        <w:tcPr>
          <w:tcW w:w="2884" w:type="pct"/>
          <w:tcBorders>
            <w:bottom w:val="single" w:sz="4" w:space="0" w:color="000000"/>
          </w:tcBorders>
        </w:tcPr>
        <w:p w14:paraId="72F28F43" w14:textId="77777777" w:rsidR="00280001" w:rsidRPr="003871DA" w:rsidRDefault="00280001" w:rsidP="00415466">
          <w:pPr>
            <w:pStyle w:val="Header"/>
            <w:snapToGrid w:val="0"/>
            <w:ind w:left="-108"/>
            <w:rPr>
              <w:rFonts w:ascii="Calibri" w:hAnsi="Calibri"/>
              <w:i/>
              <w:sz w:val="20"/>
              <w:lang w:val="lv-LV"/>
            </w:rPr>
          </w:pPr>
          <w:r>
            <w:rPr>
              <w:rFonts w:ascii="Calibri" w:hAnsi="Calibri"/>
              <w:i/>
              <w:sz w:val="20"/>
              <w:lang w:val="lv-LV"/>
            </w:rPr>
            <w:t>Gaujas Nacionālā parka</w:t>
          </w:r>
        </w:p>
        <w:p w14:paraId="62AB531F" w14:textId="64D4E0F7" w:rsidR="00280001" w:rsidRPr="00351DF4" w:rsidRDefault="00280001" w:rsidP="00BB1A73">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61A0B529"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D52CB1F"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766DC303" w14:textId="77777777" w:rsidR="00280001" w:rsidRPr="000D33A8" w:rsidRDefault="00280001" w:rsidP="00F53BE4">
    <w:pPr>
      <w:rPr>
        <w:lang w:val="fi-FI"/>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451B77DF" w14:textId="77777777" w:rsidTr="00B633E7">
      <w:trPr>
        <w:trHeight w:val="203"/>
      </w:trPr>
      <w:tc>
        <w:tcPr>
          <w:tcW w:w="2884" w:type="pct"/>
          <w:tcBorders>
            <w:bottom w:val="single" w:sz="4" w:space="0" w:color="000000"/>
          </w:tcBorders>
        </w:tcPr>
        <w:p w14:paraId="2B622302" w14:textId="05D8FD83" w:rsidR="00280001" w:rsidRPr="003871DA" w:rsidRDefault="00280001" w:rsidP="0051112C">
          <w:pPr>
            <w:pStyle w:val="Header"/>
            <w:snapToGrid w:val="0"/>
            <w:rPr>
              <w:rFonts w:ascii="Calibri" w:hAnsi="Calibri"/>
              <w:i/>
              <w:sz w:val="20"/>
              <w:lang w:val="lv-LV"/>
            </w:rPr>
          </w:pPr>
          <w:r>
            <w:rPr>
              <w:rFonts w:ascii="Calibri" w:hAnsi="Calibri"/>
              <w:i/>
              <w:sz w:val="20"/>
              <w:lang w:val="lv-LV"/>
            </w:rPr>
            <w:t>Gaujas Nacionālā parka</w:t>
          </w:r>
        </w:p>
        <w:p w14:paraId="7EF12934" w14:textId="54950443" w:rsidR="00280001" w:rsidRPr="00351DF4" w:rsidRDefault="00280001" w:rsidP="00BB1A73">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04C6B2A5"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5C01611"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9D27CDA" w14:textId="12C8AD4C" w:rsidR="00280001" w:rsidRPr="000D33A8" w:rsidRDefault="00280001" w:rsidP="00D859C2">
    <w:pPr>
      <w:tabs>
        <w:tab w:val="left" w:pos="12264"/>
      </w:tabs>
      <w:rPr>
        <w:lang w:val="fi-FI"/>
      </w:rPr>
    </w:pPr>
    <w:r w:rsidRPr="000D33A8">
      <w:rPr>
        <w:lang w:val="fi-FI"/>
      </w:rPr>
      <w:tab/>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280001" w:rsidRPr="003871DA" w14:paraId="7A35EB5C" w14:textId="77777777" w:rsidTr="00055246">
      <w:trPr>
        <w:trHeight w:val="547"/>
      </w:trPr>
      <w:tc>
        <w:tcPr>
          <w:tcW w:w="2884" w:type="pct"/>
          <w:tcBorders>
            <w:bottom w:val="single" w:sz="4" w:space="0" w:color="000000"/>
          </w:tcBorders>
        </w:tcPr>
        <w:p w14:paraId="1F24556A" w14:textId="512651BE" w:rsidR="00280001" w:rsidRPr="003871DA" w:rsidRDefault="00280001" w:rsidP="0051112C">
          <w:pPr>
            <w:pStyle w:val="Header"/>
            <w:snapToGrid w:val="0"/>
            <w:rPr>
              <w:rFonts w:ascii="Calibri" w:hAnsi="Calibri"/>
              <w:i/>
              <w:sz w:val="20"/>
              <w:lang w:val="lv-LV"/>
            </w:rPr>
          </w:pPr>
          <w:r>
            <w:rPr>
              <w:rFonts w:ascii="Calibri" w:hAnsi="Calibri"/>
              <w:i/>
              <w:sz w:val="20"/>
              <w:lang w:val="lv-LV"/>
            </w:rPr>
            <w:t>Gaujas Nacionālā parka</w:t>
          </w:r>
        </w:p>
        <w:p w14:paraId="65BDBEEA" w14:textId="73D16FC7" w:rsidR="00280001" w:rsidRPr="00351DF4" w:rsidRDefault="00280001" w:rsidP="00BB1A73">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3B51F591"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2469E5B"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193349E" w14:textId="77777777" w:rsidR="00280001" w:rsidRPr="000D33A8" w:rsidRDefault="00280001" w:rsidP="00F53BE4">
    <w:pPr>
      <w:rPr>
        <w:lang w:val="fi-F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3EF6" w14:textId="77777777" w:rsidR="00280001" w:rsidRDefault="00280001"/>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7BBAA493" w14:textId="77777777" w:rsidTr="000C5B10">
      <w:trPr>
        <w:trHeight w:val="547"/>
      </w:trPr>
      <w:tc>
        <w:tcPr>
          <w:tcW w:w="4794" w:type="dxa"/>
          <w:tcBorders>
            <w:bottom w:val="single" w:sz="4" w:space="0" w:color="000000"/>
          </w:tcBorders>
        </w:tcPr>
        <w:p w14:paraId="12C2A0E1" w14:textId="0AFA5610" w:rsidR="00280001" w:rsidRPr="003871DA" w:rsidRDefault="00280001" w:rsidP="0051112C">
          <w:pPr>
            <w:pStyle w:val="Header"/>
            <w:snapToGrid w:val="0"/>
            <w:rPr>
              <w:rFonts w:ascii="Calibri" w:hAnsi="Calibri"/>
              <w:i/>
              <w:sz w:val="20"/>
              <w:lang w:val="lv-LV"/>
            </w:rPr>
          </w:pPr>
          <w:r>
            <w:rPr>
              <w:rFonts w:ascii="Calibri" w:hAnsi="Calibri"/>
              <w:i/>
              <w:sz w:val="20"/>
              <w:lang w:val="lv-LV"/>
            </w:rPr>
            <w:t>Gaujas Nacionālā parka</w:t>
          </w:r>
        </w:p>
        <w:p w14:paraId="2C5D00B7" w14:textId="44BA25A5" w:rsidR="00280001" w:rsidRPr="00351DF4" w:rsidRDefault="00280001" w:rsidP="00BB1A73">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3517" w:type="dxa"/>
          <w:tcBorders>
            <w:bottom w:val="single" w:sz="4" w:space="0" w:color="000000"/>
          </w:tcBorders>
        </w:tcPr>
        <w:p w14:paraId="06F137B6"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EF302AD"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24893D0" w14:textId="77777777" w:rsidR="00280001" w:rsidRPr="000D33A8" w:rsidRDefault="00280001" w:rsidP="00F53BE4">
    <w:pPr>
      <w:rPr>
        <w:lang w:val="fi-FI"/>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280001" w:rsidRPr="003871DA" w14:paraId="38EEC8CB" w14:textId="77777777" w:rsidTr="00055246">
      <w:trPr>
        <w:trHeight w:val="547"/>
      </w:trPr>
      <w:tc>
        <w:tcPr>
          <w:tcW w:w="2884" w:type="pct"/>
          <w:tcBorders>
            <w:bottom w:val="single" w:sz="4" w:space="0" w:color="000000"/>
          </w:tcBorders>
        </w:tcPr>
        <w:p w14:paraId="4EC503D0" w14:textId="4A971E0D" w:rsidR="00280001" w:rsidRPr="003871DA" w:rsidRDefault="00280001" w:rsidP="0051112C">
          <w:pPr>
            <w:pStyle w:val="Header"/>
            <w:snapToGrid w:val="0"/>
            <w:rPr>
              <w:rFonts w:ascii="Calibri" w:hAnsi="Calibri"/>
              <w:i/>
              <w:sz w:val="20"/>
              <w:lang w:val="lv-LV"/>
            </w:rPr>
          </w:pPr>
          <w:r>
            <w:rPr>
              <w:rFonts w:ascii="Calibri" w:hAnsi="Calibri"/>
              <w:i/>
              <w:sz w:val="20"/>
              <w:lang w:val="lv-LV"/>
            </w:rPr>
            <w:t>Gaujas Nacionālā parka</w:t>
          </w:r>
        </w:p>
        <w:p w14:paraId="0F1146D0" w14:textId="34430AA0" w:rsidR="00280001" w:rsidRPr="00351DF4" w:rsidRDefault="00280001" w:rsidP="00BB1A73">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24D65488"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4D75BD5F"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B99E113" w14:textId="77777777" w:rsidR="00280001" w:rsidRPr="000D33A8" w:rsidRDefault="00280001" w:rsidP="00F53BE4">
    <w:pPr>
      <w:rPr>
        <w:lang w:val="fi-FI"/>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02D107AC" w14:textId="77777777" w:rsidTr="00CB46DB">
      <w:trPr>
        <w:trHeight w:val="547"/>
      </w:trPr>
      <w:tc>
        <w:tcPr>
          <w:tcW w:w="2884" w:type="pct"/>
          <w:tcBorders>
            <w:bottom w:val="single" w:sz="4" w:space="0" w:color="000000"/>
          </w:tcBorders>
        </w:tcPr>
        <w:p w14:paraId="31C9648C" w14:textId="77777777" w:rsidR="00280001" w:rsidRPr="003871DA" w:rsidRDefault="00280001" w:rsidP="00AD4C88">
          <w:pPr>
            <w:pStyle w:val="Header"/>
            <w:snapToGrid w:val="0"/>
            <w:ind w:left="-108"/>
            <w:rPr>
              <w:rFonts w:ascii="Calibri" w:hAnsi="Calibri"/>
              <w:i/>
              <w:sz w:val="20"/>
              <w:lang w:val="lv-LV"/>
            </w:rPr>
          </w:pPr>
          <w:r>
            <w:rPr>
              <w:rFonts w:ascii="Calibri" w:hAnsi="Calibri"/>
              <w:i/>
              <w:sz w:val="20"/>
              <w:lang w:val="lv-LV"/>
            </w:rPr>
            <w:t>Gaujas Nacionālā parka</w:t>
          </w:r>
        </w:p>
        <w:p w14:paraId="5EF3A42E" w14:textId="1DC9714B" w:rsidR="00280001" w:rsidRPr="00351DF4" w:rsidRDefault="00280001" w:rsidP="00BB1A73">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43EE568F" w14:textId="77777777" w:rsidR="00280001" w:rsidRPr="003871DA" w:rsidRDefault="00280001" w:rsidP="00AD4C88">
          <w:pPr>
            <w:pStyle w:val="Header"/>
            <w:snapToGrid w:val="0"/>
            <w:jc w:val="right"/>
            <w:rPr>
              <w:rFonts w:ascii="Calibri" w:hAnsi="Calibri"/>
              <w:i/>
              <w:sz w:val="20"/>
              <w:lang w:val="lv-LV"/>
            </w:rPr>
          </w:pPr>
          <w:r w:rsidRPr="003871DA">
            <w:rPr>
              <w:rFonts w:ascii="Calibri" w:hAnsi="Calibri"/>
              <w:i/>
              <w:sz w:val="20"/>
              <w:lang w:val="lv-LV"/>
            </w:rPr>
            <w:t>SIA Estonian, Latvian</w:t>
          </w:r>
        </w:p>
        <w:p w14:paraId="297B8604" w14:textId="77777777" w:rsidR="00280001" w:rsidRPr="003871DA" w:rsidRDefault="00280001" w:rsidP="00AD4C88">
          <w:pPr>
            <w:pStyle w:val="Header"/>
            <w:jc w:val="right"/>
            <w:rPr>
              <w:rFonts w:ascii="Calibri" w:hAnsi="Calibri"/>
              <w:i/>
              <w:sz w:val="20"/>
              <w:lang w:val="lv-LV"/>
            </w:rPr>
          </w:pPr>
          <w:r w:rsidRPr="003871DA">
            <w:rPr>
              <w:rFonts w:ascii="Calibri" w:hAnsi="Calibri"/>
              <w:i/>
              <w:sz w:val="20"/>
              <w:lang w:val="lv-LV"/>
            </w:rPr>
            <w:t>&amp; Lithuanian Environment</w:t>
          </w:r>
        </w:p>
      </w:tc>
    </w:tr>
  </w:tbl>
  <w:p w14:paraId="2B1B16FD" w14:textId="77777777" w:rsidR="00280001" w:rsidRPr="00AD4C88" w:rsidRDefault="00280001" w:rsidP="00F53BE4"/>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280001" w:rsidRPr="003871DA" w14:paraId="57BBF594" w14:textId="77777777" w:rsidTr="00CB46DB">
      <w:trPr>
        <w:trHeight w:val="547"/>
      </w:trPr>
      <w:tc>
        <w:tcPr>
          <w:tcW w:w="2884" w:type="pct"/>
          <w:tcBorders>
            <w:bottom w:val="single" w:sz="4" w:space="0" w:color="000000"/>
          </w:tcBorders>
        </w:tcPr>
        <w:p w14:paraId="5A77229E" w14:textId="77777777" w:rsidR="00280001" w:rsidRPr="003871DA" w:rsidRDefault="00280001" w:rsidP="002210E8">
          <w:pPr>
            <w:pStyle w:val="Header"/>
            <w:snapToGrid w:val="0"/>
            <w:rPr>
              <w:rFonts w:ascii="Calibri" w:hAnsi="Calibri"/>
              <w:i/>
              <w:sz w:val="20"/>
              <w:lang w:val="lv-LV"/>
            </w:rPr>
          </w:pPr>
          <w:r>
            <w:rPr>
              <w:rFonts w:ascii="Calibri" w:hAnsi="Calibri"/>
              <w:i/>
              <w:sz w:val="20"/>
              <w:lang w:val="lv-LV"/>
            </w:rPr>
            <w:t>Gaujas Nacionālā parka</w:t>
          </w:r>
        </w:p>
        <w:p w14:paraId="3D958C7F" w14:textId="2D6FA6D5" w:rsidR="00280001" w:rsidRPr="00351DF4" w:rsidRDefault="00280001" w:rsidP="00BB1A73">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2D3BB36A" w14:textId="77777777" w:rsidR="00280001" w:rsidRPr="003871DA" w:rsidRDefault="00280001" w:rsidP="002210E8">
          <w:pPr>
            <w:pStyle w:val="Header"/>
            <w:snapToGrid w:val="0"/>
            <w:jc w:val="right"/>
            <w:rPr>
              <w:rFonts w:ascii="Calibri" w:hAnsi="Calibri"/>
              <w:i/>
              <w:sz w:val="20"/>
              <w:lang w:val="lv-LV"/>
            </w:rPr>
          </w:pPr>
          <w:r w:rsidRPr="003871DA">
            <w:rPr>
              <w:rFonts w:ascii="Calibri" w:hAnsi="Calibri"/>
              <w:i/>
              <w:sz w:val="20"/>
              <w:lang w:val="lv-LV"/>
            </w:rPr>
            <w:t>SIA Estonian, Latvian</w:t>
          </w:r>
        </w:p>
        <w:p w14:paraId="665EA3BA" w14:textId="77777777" w:rsidR="00280001" w:rsidRPr="003871DA" w:rsidRDefault="00280001" w:rsidP="002210E8">
          <w:pPr>
            <w:pStyle w:val="Header"/>
            <w:jc w:val="right"/>
            <w:rPr>
              <w:rFonts w:ascii="Calibri" w:hAnsi="Calibri"/>
              <w:i/>
              <w:sz w:val="20"/>
              <w:lang w:val="lv-LV"/>
            </w:rPr>
          </w:pPr>
          <w:r w:rsidRPr="003871DA">
            <w:rPr>
              <w:rFonts w:ascii="Calibri" w:hAnsi="Calibri"/>
              <w:i/>
              <w:sz w:val="20"/>
              <w:lang w:val="lv-LV"/>
            </w:rPr>
            <w:t>&amp; Lithuanian Environment</w:t>
          </w:r>
        </w:p>
      </w:tc>
    </w:tr>
  </w:tbl>
  <w:p w14:paraId="40B6A9C5" w14:textId="77777777" w:rsidR="00280001" w:rsidRPr="002210E8" w:rsidRDefault="00280001" w:rsidP="00F53BE4"/>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5399"/>
      <w:gridCol w:w="3961"/>
    </w:tblGrid>
    <w:tr w:rsidR="00280001" w:rsidRPr="003871DA" w14:paraId="002DC6F5" w14:textId="77777777" w:rsidTr="00445563">
      <w:trPr>
        <w:trHeight w:val="479"/>
      </w:trPr>
      <w:tc>
        <w:tcPr>
          <w:tcW w:w="2884" w:type="pct"/>
          <w:tcBorders>
            <w:bottom w:val="single" w:sz="4" w:space="0" w:color="000000"/>
          </w:tcBorders>
        </w:tcPr>
        <w:p w14:paraId="7D85B6B7" w14:textId="77777777" w:rsidR="00280001" w:rsidRPr="003871DA" w:rsidRDefault="00280001" w:rsidP="002210E8">
          <w:pPr>
            <w:pStyle w:val="Header"/>
            <w:snapToGrid w:val="0"/>
            <w:rPr>
              <w:rFonts w:ascii="Calibri" w:hAnsi="Calibri"/>
              <w:i/>
              <w:sz w:val="20"/>
              <w:lang w:val="lv-LV"/>
            </w:rPr>
          </w:pPr>
          <w:r>
            <w:rPr>
              <w:rFonts w:ascii="Calibri" w:hAnsi="Calibri"/>
              <w:i/>
              <w:sz w:val="20"/>
              <w:lang w:val="lv-LV"/>
            </w:rPr>
            <w:t>Gaujas Nacionālā parka</w:t>
          </w:r>
        </w:p>
        <w:p w14:paraId="0566ADB6" w14:textId="2F601611" w:rsidR="00280001" w:rsidRPr="00351DF4" w:rsidRDefault="00280001" w:rsidP="00BB1A73">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4F22D0B8" w14:textId="77777777" w:rsidR="00280001" w:rsidRPr="003871DA" w:rsidRDefault="00280001" w:rsidP="002210E8">
          <w:pPr>
            <w:pStyle w:val="Header"/>
            <w:snapToGrid w:val="0"/>
            <w:jc w:val="right"/>
            <w:rPr>
              <w:rFonts w:ascii="Calibri" w:hAnsi="Calibri"/>
              <w:i/>
              <w:sz w:val="20"/>
              <w:lang w:val="lv-LV"/>
            </w:rPr>
          </w:pPr>
          <w:r w:rsidRPr="003871DA">
            <w:rPr>
              <w:rFonts w:ascii="Calibri" w:hAnsi="Calibri"/>
              <w:i/>
              <w:sz w:val="20"/>
              <w:lang w:val="lv-LV"/>
            </w:rPr>
            <w:t>SIA Estonian, Latvian</w:t>
          </w:r>
        </w:p>
        <w:p w14:paraId="05AE0621" w14:textId="77777777" w:rsidR="00280001" w:rsidRPr="003871DA" w:rsidRDefault="00280001" w:rsidP="002210E8">
          <w:pPr>
            <w:pStyle w:val="Header"/>
            <w:jc w:val="right"/>
            <w:rPr>
              <w:rFonts w:ascii="Calibri" w:hAnsi="Calibri"/>
              <w:i/>
              <w:sz w:val="20"/>
              <w:lang w:val="lv-LV"/>
            </w:rPr>
          </w:pPr>
          <w:r w:rsidRPr="003871DA">
            <w:rPr>
              <w:rFonts w:ascii="Calibri" w:hAnsi="Calibri"/>
              <w:i/>
              <w:sz w:val="20"/>
              <w:lang w:val="lv-LV"/>
            </w:rPr>
            <w:t>&amp; Lithuanian Environment</w:t>
          </w:r>
        </w:p>
      </w:tc>
    </w:tr>
  </w:tbl>
  <w:p w14:paraId="4A812395" w14:textId="77777777" w:rsidR="00280001" w:rsidRPr="002210E8" w:rsidRDefault="00280001" w:rsidP="00BB1A73"/>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699" w:type="dxa"/>
      <w:tblLook w:val="0000" w:firstRow="0" w:lastRow="0" w:firstColumn="0" w:lastColumn="0" w:noHBand="0" w:noVBand="0"/>
    </w:tblPr>
    <w:tblGrid>
      <w:gridCol w:w="7902"/>
      <w:gridCol w:w="5797"/>
    </w:tblGrid>
    <w:tr w:rsidR="00BB1A73" w:rsidRPr="003871DA" w14:paraId="65032EE5" w14:textId="77777777" w:rsidTr="005918C0">
      <w:trPr>
        <w:trHeight w:val="479"/>
      </w:trPr>
      <w:tc>
        <w:tcPr>
          <w:tcW w:w="2884" w:type="pct"/>
          <w:tcBorders>
            <w:bottom w:val="single" w:sz="4" w:space="0" w:color="000000"/>
          </w:tcBorders>
        </w:tcPr>
        <w:p w14:paraId="463A0D56" w14:textId="77777777" w:rsidR="00BB1A73" w:rsidRPr="003871DA" w:rsidRDefault="00BB1A73" w:rsidP="002210E8">
          <w:pPr>
            <w:pStyle w:val="Header"/>
            <w:snapToGrid w:val="0"/>
            <w:rPr>
              <w:rFonts w:ascii="Calibri" w:hAnsi="Calibri"/>
              <w:i/>
              <w:sz w:val="20"/>
              <w:lang w:val="lv-LV"/>
            </w:rPr>
          </w:pPr>
          <w:r>
            <w:rPr>
              <w:rFonts w:ascii="Calibri" w:hAnsi="Calibri"/>
              <w:i/>
              <w:sz w:val="20"/>
              <w:lang w:val="lv-LV"/>
            </w:rPr>
            <w:t>Gaujas Nacionālā parka</w:t>
          </w:r>
        </w:p>
        <w:p w14:paraId="3C1E6EF7" w14:textId="77777777" w:rsidR="00BB1A73" w:rsidRPr="00351DF4" w:rsidRDefault="00BB1A73" w:rsidP="00BB1A73">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7693C195" w14:textId="77777777" w:rsidR="00BB1A73" w:rsidRPr="003871DA" w:rsidRDefault="00BB1A73" w:rsidP="002210E8">
          <w:pPr>
            <w:pStyle w:val="Header"/>
            <w:snapToGrid w:val="0"/>
            <w:jc w:val="right"/>
            <w:rPr>
              <w:rFonts w:ascii="Calibri" w:hAnsi="Calibri"/>
              <w:i/>
              <w:sz w:val="20"/>
              <w:lang w:val="lv-LV"/>
            </w:rPr>
          </w:pPr>
          <w:r w:rsidRPr="003871DA">
            <w:rPr>
              <w:rFonts w:ascii="Calibri" w:hAnsi="Calibri"/>
              <w:i/>
              <w:sz w:val="20"/>
              <w:lang w:val="lv-LV"/>
            </w:rPr>
            <w:t>SIA Estonian, Latvian</w:t>
          </w:r>
        </w:p>
        <w:p w14:paraId="1D7678C0" w14:textId="77777777" w:rsidR="00BB1A73" w:rsidRPr="003871DA" w:rsidRDefault="00BB1A73" w:rsidP="002210E8">
          <w:pPr>
            <w:pStyle w:val="Header"/>
            <w:jc w:val="right"/>
            <w:rPr>
              <w:rFonts w:ascii="Calibri" w:hAnsi="Calibri"/>
              <w:i/>
              <w:sz w:val="20"/>
              <w:lang w:val="lv-LV"/>
            </w:rPr>
          </w:pPr>
          <w:r w:rsidRPr="003871DA">
            <w:rPr>
              <w:rFonts w:ascii="Calibri" w:hAnsi="Calibri"/>
              <w:i/>
              <w:sz w:val="20"/>
              <w:lang w:val="lv-LV"/>
            </w:rPr>
            <w:t>&amp; Lithuanian Environment</w:t>
          </w:r>
        </w:p>
      </w:tc>
    </w:tr>
  </w:tbl>
  <w:p w14:paraId="462AFC87" w14:textId="77777777" w:rsidR="00BB1A73" w:rsidRPr="002210E8" w:rsidRDefault="00BB1A73" w:rsidP="00BB1A73"/>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280001" w:rsidRPr="003871DA" w14:paraId="4619C45D" w14:textId="77777777" w:rsidTr="00806799">
      <w:trPr>
        <w:trHeight w:val="547"/>
      </w:trPr>
      <w:tc>
        <w:tcPr>
          <w:tcW w:w="2884" w:type="pct"/>
          <w:tcBorders>
            <w:bottom w:val="single" w:sz="4" w:space="0" w:color="000000"/>
          </w:tcBorders>
        </w:tcPr>
        <w:p w14:paraId="2C32E709" w14:textId="77777777" w:rsidR="00280001" w:rsidRPr="003871DA" w:rsidRDefault="00280001" w:rsidP="00D115E7">
          <w:pPr>
            <w:pStyle w:val="Header"/>
            <w:snapToGrid w:val="0"/>
            <w:rPr>
              <w:rFonts w:ascii="Calibri" w:hAnsi="Calibri"/>
              <w:i/>
              <w:sz w:val="20"/>
              <w:lang w:val="lv-LV"/>
            </w:rPr>
          </w:pPr>
          <w:r>
            <w:rPr>
              <w:rFonts w:ascii="Calibri" w:hAnsi="Calibri"/>
              <w:i/>
              <w:sz w:val="20"/>
              <w:lang w:val="lv-LV"/>
            </w:rPr>
            <w:t>Gaujas Nacionālā parka</w:t>
          </w:r>
        </w:p>
        <w:p w14:paraId="278560F0" w14:textId="6A2EDD25" w:rsidR="00280001" w:rsidRPr="00351DF4" w:rsidRDefault="00280001" w:rsidP="005918C0">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42E4A770" w14:textId="77777777" w:rsidR="00280001" w:rsidRPr="003871DA" w:rsidRDefault="00280001" w:rsidP="00D115E7">
          <w:pPr>
            <w:pStyle w:val="Header"/>
            <w:snapToGrid w:val="0"/>
            <w:jc w:val="right"/>
            <w:rPr>
              <w:rFonts w:ascii="Calibri" w:hAnsi="Calibri"/>
              <w:i/>
              <w:sz w:val="20"/>
              <w:lang w:val="lv-LV"/>
            </w:rPr>
          </w:pPr>
          <w:r w:rsidRPr="003871DA">
            <w:rPr>
              <w:rFonts w:ascii="Calibri" w:hAnsi="Calibri"/>
              <w:i/>
              <w:sz w:val="20"/>
              <w:lang w:val="lv-LV"/>
            </w:rPr>
            <w:t>SIA Estonian, Latvian</w:t>
          </w:r>
        </w:p>
        <w:p w14:paraId="58F83BC4" w14:textId="77777777" w:rsidR="00280001" w:rsidRPr="003871DA" w:rsidRDefault="00280001" w:rsidP="00D115E7">
          <w:pPr>
            <w:pStyle w:val="Header"/>
            <w:jc w:val="right"/>
            <w:rPr>
              <w:rFonts w:ascii="Calibri" w:hAnsi="Calibri"/>
              <w:i/>
              <w:sz w:val="20"/>
              <w:lang w:val="lv-LV"/>
            </w:rPr>
          </w:pPr>
          <w:r w:rsidRPr="003871DA">
            <w:rPr>
              <w:rFonts w:ascii="Calibri" w:hAnsi="Calibri"/>
              <w:i/>
              <w:sz w:val="20"/>
              <w:lang w:val="lv-LV"/>
            </w:rPr>
            <w:t>&amp; Lithuanian Environment</w:t>
          </w:r>
        </w:p>
      </w:tc>
    </w:tr>
  </w:tbl>
  <w:p w14:paraId="0FAFAFA9" w14:textId="77777777" w:rsidR="00280001" w:rsidRPr="00D115E7" w:rsidRDefault="00280001" w:rsidP="00F53BE4"/>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9D399A" w:rsidRPr="003871DA" w14:paraId="504D93B6" w14:textId="77777777" w:rsidTr="00F413EA">
      <w:trPr>
        <w:trHeight w:val="547"/>
      </w:trPr>
      <w:tc>
        <w:tcPr>
          <w:tcW w:w="2884" w:type="pct"/>
          <w:tcBorders>
            <w:bottom w:val="single" w:sz="4" w:space="0" w:color="000000"/>
          </w:tcBorders>
        </w:tcPr>
        <w:p w14:paraId="58B66B8A" w14:textId="77777777" w:rsidR="009D399A" w:rsidRPr="003871DA" w:rsidRDefault="009D399A" w:rsidP="009D399A">
          <w:pPr>
            <w:pStyle w:val="Header"/>
            <w:snapToGrid w:val="0"/>
            <w:ind w:left="-108"/>
            <w:rPr>
              <w:rFonts w:ascii="Calibri" w:hAnsi="Calibri"/>
              <w:i/>
              <w:sz w:val="20"/>
              <w:lang w:val="lv-LV"/>
            </w:rPr>
          </w:pPr>
          <w:r>
            <w:rPr>
              <w:rFonts w:ascii="Calibri" w:hAnsi="Calibri"/>
              <w:i/>
              <w:sz w:val="20"/>
              <w:lang w:val="lv-LV"/>
            </w:rPr>
            <w:t>Gaujas Nacionālā parka</w:t>
          </w:r>
        </w:p>
        <w:p w14:paraId="1B8BDA25" w14:textId="22E6C2E3" w:rsidR="009D399A" w:rsidRPr="00351DF4" w:rsidRDefault="009D399A" w:rsidP="005918C0">
          <w:pPr>
            <w:pStyle w:val="Header"/>
            <w:ind w:left="-108"/>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5F3C8CCA" w14:textId="77777777" w:rsidR="009D399A" w:rsidRPr="003871DA" w:rsidRDefault="009D399A" w:rsidP="009D399A">
          <w:pPr>
            <w:pStyle w:val="Header"/>
            <w:snapToGrid w:val="0"/>
            <w:jc w:val="right"/>
            <w:rPr>
              <w:rFonts w:ascii="Calibri" w:hAnsi="Calibri"/>
              <w:i/>
              <w:sz w:val="20"/>
              <w:lang w:val="lv-LV"/>
            </w:rPr>
          </w:pPr>
          <w:r w:rsidRPr="003871DA">
            <w:rPr>
              <w:rFonts w:ascii="Calibri" w:hAnsi="Calibri"/>
              <w:i/>
              <w:sz w:val="20"/>
              <w:lang w:val="lv-LV"/>
            </w:rPr>
            <w:t>SIA Estonian, Latvian</w:t>
          </w:r>
        </w:p>
        <w:p w14:paraId="30F208EF" w14:textId="77777777" w:rsidR="009D399A" w:rsidRPr="003871DA" w:rsidRDefault="009D399A" w:rsidP="009D399A">
          <w:pPr>
            <w:pStyle w:val="Header"/>
            <w:jc w:val="right"/>
            <w:rPr>
              <w:rFonts w:ascii="Calibri" w:hAnsi="Calibri"/>
              <w:i/>
              <w:sz w:val="20"/>
              <w:lang w:val="lv-LV"/>
            </w:rPr>
          </w:pPr>
          <w:r w:rsidRPr="003871DA">
            <w:rPr>
              <w:rFonts w:ascii="Calibri" w:hAnsi="Calibri"/>
              <w:i/>
              <w:sz w:val="20"/>
              <w:lang w:val="lv-LV"/>
            </w:rPr>
            <w:t>&amp; Lithuanian Environment</w:t>
          </w:r>
        </w:p>
      </w:tc>
    </w:tr>
  </w:tbl>
  <w:p w14:paraId="6F009CF1" w14:textId="77777777" w:rsidR="00280001" w:rsidRPr="000D33A8" w:rsidRDefault="00280001" w:rsidP="00F53BE4">
    <w:pPr>
      <w:rPr>
        <w:lang w:val="fi-FI"/>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6CE5" w14:textId="77777777" w:rsidR="00280001" w:rsidRDefault="00280001"/>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905"/>
      <w:gridCol w:w="3598"/>
    </w:tblGrid>
    <w:tr w:rsidR="00280001" w:rsidRPr="003871DA" w14:paraId="3CE07175" w14:textId="77777777" w:rsidTr="00055246">
      <w:trPr>
        <w:trHeight w:val="547"/>
      </w:trPr>
      <w:tc>
        <w:tcPr>
          <w:tcW w:w="2884" w:type="pct"/>
          <w:tcBorders>
            <w:bottom w:val="single" w:sz="4" w:space="0" w:color="000000"/>
          </w:tcBorders>
        </w:tcPr>
        <w:p w14:paraId="0C50A88B" w14:textId="01F573E8" w:rsidR="00280001" w:rsidRPr="003871DA" w:rsidRDefault="00280001" w:rsidP="0051112C">
          <w:pPr>
            <w:pStyle w:val="Header"/>
            <w:snapToGrid w:val="0"/>
            <w:rPr>
              <w:rFonts w:ascii="Calibri" w:hAnsi="Calibri"/>
              <w:i/>
              <w:sz w:val="20"/>
              <w:lang w:val="lv-LV"/>
            </w:rPr>
          </w:pPr>
          <w:r>
            <w:rPr>
              <w:rFonts w:ascii="Calibri" w:hAnsi="Calibri"/>
              <w:i/>
              <w:sz w:val="20"/>
              <w:lang w:val="lv-LV"/>
            </w:rPr>
            <w:t>Gaujas Nacionālā parka</w:t>
          </w:r>
        </w:p>
        <w:p w14:paraId="7E2DE77D" w14:textId="09CF4E44" w:rsidR="00280001" w:rsidRPr="00351DF4" w:rsidRDefault="00280001" w:rsidP="005918C0">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4216AFE7" w14:textId="77777777" w:rsidR="00280001" w:rsidRPr="003871DA" w:rsidRDefault="00280001"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7B6716BE" w14:textId="77777777" w:rsidR="00280001" w:rsidRPr="003871DA" w:rsidRDefault="00280001"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96D67DB" w14:textId="77777777" w:rsidR="00280001" w:rsidRPr="000D33A8" w:rsidRDefault="00280001" w:rsidP="00F53BE4">
    <w:pPr>
      <w:rPr>
        <w:lang w:val="fi-FI"/>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280001" w:rsidRPr="003871DA" w14:paraId="429DAD4A" w14:textId="77777777" w:rsidTr="00C62D41">
      <w:trPr>
        <w:trHeight w:val="547"/>
      </w:trPr>
      <w:tc>
        <w:tcPr>
          <w:tcW w:w="4794" w:type="dxa"/>
          <w:tcBorders>
            <w:bottom w:val="single" w:sz="4" w:space="0" w:color="000000"/>
          </w:tcBorders>
        </w:tcPr>
        <w:p w14:paraId="67A13650" w14:textId="77777777" w:rsidR="00280001" w:rsidRPr="003871DA" w:rsidRDefault="00280001" w:rsidP="001F3A84">
          <w:pPr>
            <w:pStyle w:val="Header"/>
            <w:snapToGrid w:val="0"/>
            <w:rPr>
              <w:rFonts w:ascii="Calibri" w:hAnsi="Calibri"/>
              <w:i/>
              <w:sz w:val="20"/>
              <w:lang w:val="lv-LV"/>
            </w:rPr>
          </w:pPr>
          <w:bookmarkStart w:id="8" w:name="_Hlk83312403"/>
          <w:r>
            <w:rPr>
              <w:rFonts w:ascii="Calibri" w:hAnsi="Calibri"/>
              <w:i/>
              <w:sz w:val="20"/>
              <w:lang w:val="lv-LV"/>
            </w:rPr>
            <w:t>Gaujas Nacionālā parka</w:t>
          </w:r>
        </w:p>
        <w:p w14:paraId="5275908B" w14:textId="7501898A" w:rsidR="00280001" w:rsidRPr="00351DF4" w:rsidRDefault="00280001" w:rsidP="007B145C">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3517" w:type="dxa"/>
          <w:tcBorders>
            <w:bottom w:val="single" w:sz="4" w:space="0" w:color="000000"/>
          </w:tcBorders>
        </w:tcPr>
        <w:p w14:paraId="0336F99E" w14:textId="77777777" w:rsidR="00280001" w:rsidRPr="003871DA" w:rsidRDefault="00280001" w:rsidP="001F3A84">
          <w:pPr>
            <w:pStyle w:val="Header"/>
            <w:snapToGrid w:val="0"/>
            <w:jc w:val="right"/>
            <w:rPr>
              <w:rFonts w:ascii="Calibri" w:hAnsi="Calibri"/>
              <w:i/>
              <w:sz w:val="20"/>
              <w:lang w:val="lv-LV"/>
            </w:rPr>
          </w:pPr>
          <w:r w:rsidRPr="003871DA">
            <w:rPr>
              <w:rFonts w:ascii="Calibri" w:hAnsi="Calibri"/>
              <w:i/>
              <w:sz w:val="20"/>
              <w:lang w:val="lv-LV"/>
            </w:rPr>
            <w:t>SIA Estonian, Latvian</w:t>
          </w:r>
        </w:p>
        <w:p w14:paraId="6F12E30F" w14:textId="77777777" w:rsidR="00280001" w:rsidRPr="003871DA" w:rsidRDefault="00280001" w:rsidP="001F3A84">
          <w:pPr>
            <w:pStyle w:val="Header"/>
            <w:jc w:val="right"/>
            <w:rPr>
              <w:rFonts w:ascii="Calibri" w:hAnsi="Calibri"/>
              <w:i/>
              <w:sz w:val="20"/>
              <w:lang w:val="lv-LV"/>
            </w:rPr>
          </w:pPr>
          <w:r w:rsidRPr="003871DA">
            <w:rPr>
              <w:rFonts w:ascii="Calibri" w:hAnsi="Calibri"/>
              <w:i/>
              <w:sz w:val="20"/>
              <w:lang w:val="lv-LV"/>
            </w:rPr>
            <w:t>&amp; Lithuanian Environment</w:t>
          </w:r>
        </w:p>
      </w:tc>
    </w:tr>
    <w:bookmarkEnd w:id="8"/>
  </w:tbl>
  <w:p w14:paraId="071BE2C5" w14:textId="77777777" w:rsidR="00280001" w:rsidRPr="001F3A84" w:rsidRDefault="00280001" w:rsidP="00F53BE4"/>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EB50" w14:textId="77777777" w:rsidR="00280001" w:rsidRDefault="00280001"/>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D2F57" w14:textId="77777777" w:rsidR="00280001" w:rsidRDefault="00280001"/>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C32BDF" w:rsidRPr="003871DA" w14:paraId="223B3AE6" w14:textId="77777777" w:rsidTr="005E3502">
      <w:trPr>
        <w:trHeight w:val="547"/>
      </w:trPr>
      <w:tc>
        <w:tcPr>
          <w:tcW w:w="2884" w:type="pct"/>
          <w:tcBorders>
            <w:bottom w:val="single" w:sz="4" w:space="0" w:color="000000"/>
          </w:tcBorders>
        </w:tcPr>
        <w:p w14:paraId="6C78F6AD" w14:textId="77777777" w:rsidR="00C32BDF" w:rsidRPr="003871DA" w:rsidRDefault="00C32BDF" w:rsidP="00C32BDF">
          <w:pPr>
            <w:pStyle w:val="Header"/>
            <w:snapToGrid w:val="0"/>
            <w:rPr>
              <w:rFonts w:ascii="Calibri" w:hAnsi="Calibri"/>
              <w:i/>
              <w:sz w:val="20"/>
              <w:lang w:val="lv-LV"/>
            </w:rPr>
          </w:pPr>
          <w:r>
            <w:rPr>
              <w:rFonts w:ascii="Calibri" w:hAnsi="Calibri"/>
              <w:i/>
              <w:sz w:val="20"/>
              <w:lang w:val="lv-LV"/>
            </w:rPr>
            <w:t>Gaujas Nacionālā parka</w:t>
          </w:r>
        </w:p>
        <w:p w14:paraId="3E3DAE68" w14:textId="70FA4B56" w:rsidR="00C32BDF" w:rsidRPr="00351DF4" w:rsidRDefault="00C32BDF" w:rsidP="005918C0">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5F589F53" w14:textId="77777777" w:rsidR="00C32BDF" w:rsidRPr="003871DA" w:rsidRDefault="00C32BDF" w:rsidP="00C32BDF">
          <w:pPr>
            <w:pStyle w:val="Header"/>
            <w:snapToGrid w:val="0"/>
            <w:jc w:val="right"/>
            <w:rPr>
              <w:rFonts w:ascii="Calibri" w:hAnsi="Calibri"/>
              <w:i/>
              <w:sz w:val="20"/>
              <w:lang w:val="lv-LV"/>
            </w:rPr>
          </w:pPr>
          <w:r w:rsidRPr="003871DA">
            <w:rPr>
              <w:rFonts w:ascii="Calibri" w:hAnsi="Calibri"/>
              <w:i/>
              <w:sz w:val="20"/>
              <w:lang w:val="lv-LV"/>
            </w:rPr>
            <w:t>SIA Estonian, Latvian</w:t>
          </w:r>
        </w:p>
        <w:p w14:paraId="65E5214C" w14:textId="77777777" w:rsidR="00C32BDF" w:rsidRPr="003871DA" w:rsidRDefault="00C32BDF" w:rsidP="00C32BDF">
          <w:pPr>
            <w:pStyle w:val="Header"/>
            <w:jc w:val="right"/>
            <w:rPr>
              <w:rFonts w:ascii="Calibri" w:hAnsi="Calibri"/>
              <w:i/>
              <w:sz w:val="20"/>
              <w:lang w:val="lv-LV"/>
            </w:rPr>
          </w:pPr>
          <w:r w:rsidRPr="003871DA">
            <w:rPr>
              <w:rFonts w:ascii="Calibri" w:hAnsi="Calibri"/>
              <w:i/>
              <w:sz w:val="20"/>
              <w:lang w:val="lv-LV"/>
            </w:rPr>
            <w:t>&amp; Lithuanian Environment</w:t>
          </w:r>
        </w:p>
      </w:tc>
    </w:tr>
  </w:tbl>
  <w:p w14:paraId="17830859" w14:textId="77777777" w:rsidR="00280001" w:rsidRPr="000D33A8" w:rsidRDefault="00280001" w:rsidP="00042BB3">
    <w:pPr>
      <w:tabs>
        <w:tab w:val="left" w:pos="7860"/>
      </w:tabs>
      <w:rPr>
        <w:lang w:val="fi-FI"/>
      </w:rPr>
    </w:pPr>
    <w:r w:rsidRPr="000D33A8">
      <w:rPr>
        <w:lang w:val="fi-FI"/>
      </w:rPr>
      <w:tab/>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7646F" w14:textId="77777777" w:rsidR="00280001" w:rsidRDefault="00280001"/>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A65A5A" w:rsidRPr="003871DA" w14:paraId="59556438" w14:textId="77777777" w:rsidTr="00496C6E">
      <w:trPr>
        <w:trHeight w:val="547"/>
      </w:trPr>
      <w:tc>
        <w:tcPr>
          <w:tcW w:w="2880" w:type="pct"/>
          <w:tcBorders>
            <w:bottom w:val="single" w:sz="4" w:space="0" w:color="000000"/>
          </w:tcBorders>
        </w:tcPr>
        <w:p w14:paraId="1A638ACA" w14:textId="77777777" w:rsidR="00A65A5A" w:rsidRPr="003871DA" w:rsidRDefault="00A65A5A" w:rsidP="00A65A5A">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08329E1C" w14:textId="4D290AC4" w:rsidR="00A65A5A" w:rsidRPr="00351DF4" w:rsidRDefault="00A65A5A" w:rsidP="005918C0">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18E85ED5" w14:textId="77777777" w:rsidR="00A65A5A" w:rsidRPr="003871DA" w:rsidRDefault="00A65A5A" w:rsidP="00A65A5A">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258ACFDF" w14:textId="77777777" w:rsidR="00A65A5A" w:rsidRPr="003871DA" w:rsidRDefault="00A65A5A" w:rsidP="00A65A5A">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79A06C31" w14:textId="77777777" w:rsidR="00A65A5A" w:rsidRPr="000D33A8" w:rsidRDefault="00A65A5A" w:rsidP="00042BB3">
    <w:pPr>
      <w:tabs>
        <w:tab w:val="left" w:pos="7860"/>
      </w:tabs>
      <w:rPr>
        <w:lang w:val="fi-FI"/>
      </w:rPr>
    </w:pPr>
    <w:r w:rsidRPr="000D33A8">
      <w:rPr>
        <w:lang w:val="fi-FI"/>
      </w:rPr>
      <w:tab/>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CDCE" w14:textId="77777777" w:rsidR="00280001" w:rsidRDefault="00280001"/>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CA79C6" w:rsidRPr="003871DA" w14:paraId="03EE36D9" w14:textId="77777777" w:rsidTr="001815EA">
      <w:trPr>
        <w:trHeight w:val="547"/>
      </w:trPr>
      <w:tc>
        <w:tcPr>
          <w:tcW w:w="2884" w:type="pct"/>
          <w:tcBorders>
            <w:bottom w:val="single" w:sz="4" w:space="0" w:color="000000"/>
          </w:tcBorders>
        </w:tcPr>
        <w:p w14:paraId="1E9D8E58" w14:textId="77777777" w:rsidR="00CA79C6" w:rsidRPr="003871DA" w:rsidRDefault="00CA79C6" w:rsidP="00CA79C6">
          <w:pPr>
            <w:pStyle w:val="Header"/>
            <w:snapToGrid w:val="0"/>
            <w:rPr>
              <w:rFonts w:ascii="Calibri" w:hAnsi="Calibri"/>
              <w:i/>
              <w:sz w:val="20"/>
              <w:lang w:val="lv-LV"/>
            </w:rPr>
          </w:pPr>
          <w:r>
            <w:rPr>
              <w:rFonts w:ascii="Calibri" w:hAnsi="Calibri"/>
              <w:i/>
              <w:sz w:val="20"/>
              <w:lang w:val="lv-LV"/>
            </w:rPr>
            <w:t>Gaujas Nacionālā parka</w:t>
          </w:r>
        </w:p>
        <w:p w14:paraId="1A402AE3" w14:textId="128E0D3D" w:rsidR="00CA79C6" w:rsidRPr="00351DF4" w:rsidRDefault="00CA79C6" w:rsidP="005918C0">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2ABA14D7" w14:textId="77777777" w:rsidR="00CA79C6" w:rsidRPr="003871DA" w:rsidRDefault="00CA79C6" w:rsidP="00CA79C6">
          <w:pPr>
            <w:pStyle w:val="Header"/>
            <w:snapToGrid w:val="0"/>
            <w:jc w:val="right"/>
            <w:rPr>
              <w:rFonts w:ascii="Calibri" w:hAnsi="Calibri"/>
              <w:i/>
              <w:sz w:val="20"/>
              <w:lang w:val="lv-LV"/>
            </w:rPr>
          </w:pPr>
          <w:r w:rsidRPr="003871DA">
            <w:rPr>
              <w:rFonts w:ascii="Calibri" w:hAnsi="Calibri"/>
              <w:i/>
              <w:sz w:val="20"/>
              <w:lang w:val="lv-LV"/>
            </w:rPr>
            <w:t>SIA Estonian, Latvian</w:t>
          </w:r>
        </w:p>
        <w:p w14:paraId="3FBE55CC" w14:textId="77777777" w:rsidR="00CA79C6" w:rsidRPr="003871DA" w:rsidRDefault="00CA79C6" w:rsidP="00CA79C6">
          <w:pPr>
            <w:pStyle w:val="Header"/>
            <w:jc w:val="right"/>
            <w:rPr>
              <w:rFonts w:ascii="Calibri" w:hAnsi="Calibri"/>
              <w:i/>
              <w:sz w:val="20"/>
              <w:lang w:val="lv-LV"/>
            </w:rPr>
          </w:pPr>
          <w:r w:rsidRPr="003871DA">
            <w:rPr>
              <w:rFonts w:ascii="Calibri" w:hAnsi="Calibri"/>
              <w:i/>
              <w:sz w:val="20"/>
              <w:lang w:val="lv-LV"/>
            </w:rPr>
            <w:t>&amp; Lithuanian Environment</w:t>
          </w:r>
        </w:p>
      </w:tc>
    </w:tr>
  </w:tbl>
  <w:p w14:paraId="3E50B084" w14:textId="77777777" w:rsidR="00280001" w:rsidRPr="00CA79C6" w:rsidRDefault="00280001" w:rsidP="00F53BE4"/>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C95C" w14:textId="77777777" w:rsidR="00280001" w:rsidRDefault="00280001"/>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4A735D" w:rsidRPr="003871DA" w14:paraId="4ED47412" w14:textId="77777777" w:rsidTr="00146315">
      <w:trPr>
        <w:trHeight w:val="547"/>
      </w:trPr>
      <w:tc>
        <w:tcPr>
          <w:tcW w:w="2884" w:type="pct"/>
          <w:tcBorders>
            <w:bottom w:val="single" w:sz="4" w:space="0" w:color="000000"/>
          </w:tcBorders>
        </w:tcPr>
        <w:p w14:paraId="4B8DA256" w14:textId="77777777" w:rsidR="004A735D" w:rsidRPr="003871DA" w:rsidRDefault="004A735D" w:rsidP="00CA79C6">
          <w:pPr>
            <w:pStyle w:val="Header"/>
            <w:snapToGrid w:val="0"/>
            <w:rPr>
              <w:rFonts w:ascii="Calibri" w:hAnsi="Calibri"/>
              <w:i/>
              <w:sz w:val="20"/>
              <w:lang w:val="lv-LV"/>
            </w:rPr>
          </w:pPr>
          <w:r>
            <w:rPr>
              <w:rFonts w:ascii="Calibri" w:hAnsi="Calibri"/>
              <w:i/>
              <w:sz w:val="20"/>
              <w:lang w:val="lv-LV"/>
            </w:rPr>
            <w:t>Gaujas Nacionālā parka</w:t>
          </w:r>
        </w:p>
        <w:p w14:paraId="08A736E3" w14:textId="6E9E88C4" w:rsidR="004A735D" w:rsidRPr="00351DF4" w:rsidRDefault="004A735D" w:rsidP="005918C0">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11F15E30" w14:textId="77777777" w:rsidR="004A735D" w:rsidRPr="003871DA" w:rsidRDefault="004A735D" w:rsidP="00CA79C6">
          <w:pPr>
            <w:pStyle w:val="Header"/>
            <w:snapToGrid w:val="0"/>
            <w:jc w:val="right"/>
            <w:rPr>
              <w:rFonts w:ascii="Calibri" w:hAnsi="Calibri"/>
              <w:i/>
              <w:sz w:val="20"/>
              <w:lang w:val="lv-LV"/>
            </w:rPr>
          </w:pPr>
          <w:r w:rsidRPr="003871DA">
            <w:rPr>
              <w:rFonts w:ascii="Calibri" w:hAnsi="Calibri"/>
              <w:i/>
              <w:sz w:val="20"/>
              <w:lang w:val="lv-LV"/>
            </w:rPr>
            <w:t>SIA Estonian, Latvian</w:t>
          </w:r>
        </w:p>
        <w:p w14:paraId="73B701FE" w14:textId="77777777" w:rsidR="004A735D" w:rsidRPr="003871DA" w:rsidRDefault="004A735D" w:rsidP="00CA79C6">
          <w:pPr>
            <w:pStyle w:val="Header"/>
            <w:jc w:val="right"/>
            <w:rPr>
              <w:rFonts w:ascii="Calibri" w:hAnsi="Calibri"/>
              <w:i/>
              <w:sz w:val="20"/>
              <w:lang w:val="lv-LV"/>
            </w:rPr>
          </w:pPr>
          <w:r w:rsidRPr="003871DA">
            <w:rPr>
              <w:rFonts w:ascii="Calibri" w:hAnsi="Calibri"/>
              <w:i/>
              <w:sz w:val="20"/>
              <w:lang w:val="lv-LV"/>
            </w:rPr>
            <w:t>&amp; Lithuanian Environment</w:t>
          </w:r>
        </w:p>
      </w:tc>
    </w:tr>
  </w:tbl>
  <w:p w14:paraId="4775A7B0" w14:textId="77777777" w:rsidR="004A735D" w:rsidRPr="00CA79C6" w:rsidRDefault="004A735D" w:rsidP="00F53BE4"/>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60" w:type="dxa"/>
      <w:tblLook w:val="0000" w:firstRow="0" w:lastRow="0" w:firstColumn="0" w:lastColumn="0" w:noHBand="0" w:noVBand="0"/>
    </w:tblPr>
    <w:tblGrid>
      <w:gridCol w:w="8052"/>
      <w:gridCol w:w="5908"/>
    </w:tblGrid>
    <w:tr w:rsidR="00146315" w:rsidRPr="003871DA" w14:paraId="5FC9D8BA" w14:textId="77777777" w:rsidTr="006F338A">
      <w:trPr>
        <w:trHeight w:val="547"/>
      </w:trPr>
      <w:tc>
        <w:tcPr>
          <w:tcW w:w="2884" w:type="pct"/>
          <w:tcBorders>
            <w:bottom w:val="single" w:sz="4" w:space="0" w:color="000000"/>
          </w:tcBorders>
        </w:tcPr>
        <w:p w14:paraId="6832E214" w14:textId="77777777" w:rsidR="00146315" w:rsidRPr="003871DA" w:rsidRDefault="00146315" w:rsidP="00146315">
          <w:pPr>
            <w:pStyle w:val="Header"/>
            <w:snapToGrid w:val="0"/>
            <w:rPr>
              <w:rFonts w:ascii="Calibri" w:hAnsi="Calibri"/>
              <w:i/>
              <w:sz w:val="20"/>
              <w:lang w:val="lv-LV"/>
            </w:rPr>
          </w:pPr>
          <w:r>
            <w:rPr>
              <w:rFonts w:ascii="Calibri" w:hAnsi="Calibri"/>
              <w:i/>
              <w:sz w:val="20"/>
              <w:lang w:val="lv-LV"/>
            </w:rPr>
            <w:t>Gaujas Nacionālā parka</w:t>
          </w:r>
        </w:p>
        <w:p w14:paraId="4B0C6B01" w14:textId="52F1BC77" w:rsidR="00146315" w:rsidRPr="00351DF4" w:rsidRDefault="00146315" w:rsidP="005918C0">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3671D889" w14:textId="77777777" w:rsidR="00146315" w:rsidRPr="003871DA" w:rsidRDefault="00146315" w:rsidP="00146315">
          <w:pPr>
            <w:pStyle w:val="Header"/>
            <w:snapToGrid w:val="0"/>
            <w:jc w:val="right"/>
            <w:rPr>
              <w:rFonts w:ascii="Calibri" w:hAnsi="Calibri"/>
              <w:i/>
              <w:sz w:val="20"/>
              <w:lang w:val="lv-LV"/>
            </w:rPr>
          </w:pPr>
          <w:r w:rsidRPr="003871DA">
            <w:rPr>
              <w:rFonts w:ascii="Calibri" w:hAnsi="Calibri"/>
              <w:i/>
              <w:sz w:val="20"/>
              <w:lang w:val="lv-LV"/>
            </w:rPr>
            <w:t>SIA Estonian, Latvian</w:t>
          </w:r>
        </w:p>
        <w:p w14:paraId="488CE213" w14:textId="77777777" w:rsidR="00146315" w:rsidRPr="003871DA" w:rsidRDefault="00146315" w:rsidP="00146315">
          <w:pPr>
            <w:pStyle w:val="Header"/>
            <w:jc w:val="right"/>
            <w:rPr>
              <w:rFonts w:ascii="Calibri" w:hAnsi="Calibri"/>
              <w:i/>
              <w:sz w:val="20"/>
              <w:lang w:val="lv-LV"/>
            </w:rPr>
          </w:pPr>
          <w:r w:rsidRPr="003871DA">
            <w:rPr>
              <w:rFonts w:ascii="Calibri" w:hAnsi="Calibri"/>
              <w:i/>
              <w:sz w:val="20"/>
              <w:lang w:val="lv-LV"/>
            </w:rPr>
            <w:t>&amp; Lithuanian Environment</w:t>
          </w:r>
        </w:p>
      </w:tc>
    </w:tr>
  </w:tbl>
  <w:p w14:paraId="7F640E45" w14:textId="77777777" w:rsidR="00A81C97" w:rsidRPr="000D33A8" w:rsidRDefault="00A81C97" w:rsidP="00F53BE4">
    <w:pPr>
      <w:rPr>
        <w:lang w:val="fi-FI"/>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87"/>
      <w:gridCol w:w="3524"/>
    </w:tblGrid>
    <w:tr w:rsidR="00280001" w:rsidRPr="003871DA" w14:paraId="26605E5D" w14:textId="77777777" w:rsidTr="005879FA">
      <w:trPr>
        <w:trHeight w:val="547"/>
      </w:trPr>
      <w:tc>
        <w:tcPr>
          <w:tcW w:w="2880" w:type="pct"/>
          <w:tcBorders>
            <w:bottom w:val="single" w:sz="4" w:space="0" w:color="000000"/>
          </w:tcBorders>
        </w:tcPr>
        <w:p w14:paraId="27C7484C" w14:textId="77777777" w:rsidR="00280001" w:rsidRPr="003871DA" w:rsidRDefault="00280001" w:rsidP="00660418">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1F51E1AF" w14:textId="53B2B4B9" w:rsidR="00280001" w:rsidRPr="00351DF4" w:rsidRDefault="00280001" w:rsidP="007B145C">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gadam</w:t>
          </w:r>
        </w:p>
      </w:tc>
      <w:tc>
        <w:tcPr>
          <w:tcW w:w="2880" w:type="pct"/>
          <w:tcBorders>
            <w:bottom w:val="single" w:sz="4" w:space="0" w:color="000000"/>
          </w:tcBorders>
        </w:tcPr>
        <w:p w14:paraId="234BC3E7" w14:textId="77777777" w:rsidR="00280001" w:rsidRPr="003871DA" w:rsidRDefault="00280001" w:rsidP="00660418">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2CA739C7" w14:textId="77777777" w:rsidR="00280001" w:rsidRPr="003871DA" w:rsidRDefault="00280001" w:rsidP="00660418">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5A10CBCF" w14:textId="77777777" w:rsidR="00280001" w:rsidRPr="000D33A8" w:rsidRDefault="00280001" w:rsidP="00F53BE4">
    <w:pPr>
      <w:rPr>
        <w:lang w:val="fi-FI"/>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146315" w:rsidRPr="003871DA" w14:paraId="0FBBB6BE" w14:textId="77777777" w:rsidTr="006F338A">
      <w:trPr>
        <w:trHeight w:val="547"/>
      </w:trPr>
      <w:tc>
        <w:tcPr>
          <w:tcW w:w="2884" w:type="pct"/>
          <w:tcBorders>
            <w:bottom w:val="single" w:sz="4" w:space="0" w:color="000000"/>
          </w:tcBorders>
        </w:tcPr>
        <w:p w14:paraId="2C6263E2" w14:textId="77777777" w:rsidR="00146315" w:rsidRPr="003871DA" w:rsidRDefault="00146315" w:rsidP="00146315">
          <w:pPr>
            <w:pStyle w:val="Header"/>
            <w:snapToGrid w:val="0"/>
            <w:rPr>
              <w:rFonts w:ascii="Calibri" w:hAnsi="Calibri"/>
              <w:i/>
              <w:sz w:val="20"/>
              <w:lang w:val="lv-LV"/>
            </w:rPr>
          </w:pPr>
          <w:r>
            <w:rPr>
              <w:rFonts w:ascii="Calibri" w:hAnsi="Calibri"/>
              <w:i/>
              <w:sz w:val="20"/>
              <w:lang w:val="lv-LV"/>
            </w:rPr>
            <w:t>Gaujas Nacionālā parka</w:t>
          </w:r>
        </w:p>
        <w:p w14:paraId="43202B6E" w14:textId="1ED80569" w:rsidR="00146315" w:rsidRPr="00351DF4" w:rsidRDefault="00146315" w:rsidP="005918C0">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442EFA58" w14:textId="77777777" w:rsidR="00146315" w:rsidRPr="003871DA" w:rsidRDefault="00146315" w:rsidP="00146315">
          <w:pPr>
            <w:pStyle w:val="Header"/>
            <w:snapToGrid w:val="0"/>
            <w:jc w:val="right"/>
            <w:rPr>
              <w:rFonts w:ascii="Calibri" w:hAnsi="Calibri"/>
              <w:i/>
              <w:sz w:val="20"/>
              <w:lang w:val="lv-LV"/>
            </w:rPr>
          </w:pPr>
          <w:r w:rsidRPr="003871DA">
            <w:rPr>
              <w:rFonts w:ascii="Calibri" w:hAnsi="Calibri"/>
              <w:i/>
              <w:sz w:val="20"/>
              <w:lang w:val="lv-LV"/>
            </w:rPr>
            <w:t>SIA Estonian, Latvian</w:t>
          </w:r>
        </w:p>
        <w:p w14:paraId="5946E493" w14:textId="77777777" w:rsidR="00146315" w:rsidRPr="003871DA" w:rsidRDefault="00146315" w:rsidP="00146315">
          <w:pPr>
            <w:pStyle w:val="Header"/>
            <w:jc w:val="right"/>
            <w:rPr>
              <w:rFonts w:ascii="Calibri" w:hAnsi="Calibri"/>
              <w:i/>
              <w:sz w:val="20"/>
              <w:lang w:val="lv-LV"/>
            </w:rPr>
          </w:pPr>
          <w:r w:rsidRPr="003871DA">
            <w:rPr>
              <w:rFonts w:ascii="Calibri" w:hAnsi="Calibri"/>
              <w:i/>
              <w:sz w:val="20"/>
              <w:lang w:val="lv-LV"/>
            </w:rPr>
            <w:t>&amp; Lithuanian Environment</w:t>
          </w:r>
        </w:p>
      </w:tc>
    </w:tr>
  </w:tbl>
  <w:p w14:paraId="3FE8D533" w14:textId="77777777" w:rsidR="00146315" w:rsidRPr="000D33A8" w:rsidRDefault="00146315" w:rsidP="00F53BE4">
    <w:pPr>
      <w:rPr>
        <w:lang w:val="fi-FI"/>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4794"/>
      <w:gridCol w:w="3517"/>
    </w:tblGrid>
    <w:tr w:rsidR="00CF559D" w:rsidRPr="003871DA" w14:paraId="684135CD" w14:textId="77777777" w:rsidTr="006F338A">
      <w:trPr>
        <w:trHeight w:val="547"/>
      </w:trPr>
      <w:tc>
        <w:tcPr>
          <w:tcW w:w="2884" w:type="pct"/>
          <w:tcBorders>
            <w:bottom w:val="single" w:sz="4" w:space="0" w:color="000000"/>
          </w:tcBorders>
        </w:tcPr>
        <w:p w14:paraId="5BFC235F" w14:textId="77777777" w:rsidR="00CF559D" w:rsidRPr="003871DA" w:rsidRDefault="00CF559D" w:rsidP="00146315">
          <w:pPr>
            <w:pStyle w:val="Header"/>
            <w:snapToGrid w:val="0"/>
            <w:rPr>
              <w:rFonts w:ascii="Calibri" w:hAnsi="Calibri"/>
              <w:i/>
              <w:sz w:val="20"/>
              <w:lang w:val="lv-LV"/>
            </w:rPr>
          </w:pPr>
          <w:r>
            <w:rPr>
              <w:rFonts w:ascii="Calibri" w:hAnsi="Calibri"/>
              <w:i/>
              <w:sz w:val="20"/>
              <w:lang w:val="lv-LV"/>
            </w:rPr>
            <w:t>Gaujas Nacionālā parka</w:t>
          </w:r>
        </w:p>
        <w:p w14:paraId="79BB110C" w14:textId="725A4C73" w:rsidR="00CF559D" w:rsidRPr="00351DF4" w:rsidRDefault="00CF559D" w:rsidP="005918C0">
          <w:pPr>
            <w:pStyle w:val="Header"/>
            <w:jc w:val="both"/>
            <w:rPr>
              <w:rFonts w:ascii="Calibri" w:hAnsi="Calibri"/>
              <w:i/>
              <w:sz w:val="20"/>
              <w:lang w:val="lv-LV"/>
            </w:rPr>
          </w:pPr>
          <w:r>
            <w:rPr>
              <w:rFonts w:ascii="Calibri" w:hAnsi="Calibri"/>
              <w:i/>
              <w:sz w:val="20"/>
              <w:lang w:val="lv-LV"/>
            </w:rPr>
            <w:t>dabas aizsardzības plāns no 2023. gada līdz 2035. gadam</w:t>
          </w:r>
        </w:p>
      </w:tc>
      <w:tc>
        <w:tcPr>
          <w:tcW w:w="2116" w:type="pct"/>
          <w:tcBorders>
            <w:bottom w:val="single" w:sz="4" w:space="0" w:color="000000"/>
          </w:tcBorders>
        </w:tcPr>
        <w:p w14:paraId="1889F4C5" w14:textId="77777777" w:rsidR="00CF559D" w:rsidRPr="003871DA" w:rsidRDefault="00CF559D" w:rsidP="00146315">
          <w:pPr>
            <w:pStyle w:val="Header"/>
            <w:snapToGrid w:val="0"/>
            <w:jc w:val="right"/>
            <w:rPr>
              <w:rFonts w:ascii="Calibri" w:hAnsi="Calibri"/>
              <w:i/>
              <w:sz w:val="20"/>
              <w:lang w:val="lv-LV"/>
            </w:rPr>
          </w:pPr>
          <w:r w:rsidRPr="003871DA">
            <w:rPr>
              <w:rFonts w:ascii="Calibri" w:hAnsi="Calibri"/>
              <w:i/>
              <w:sz w:val="20"/>
              <w:lang w:val="lv-LV"/>
            </w:rPr>
            <w:t>SIA Estonian, Latvian</w:t>
          </w:r>
        </w:p>
        <w:p w14:paraId="7F7FE355" w14:textId="77777777" w:rsidR="00CF559D" w:rsidRPr="003871DA" w:rsidRDefault="00CF559D" w:rsidP="00146315">
          <w:pPr>
            <w:pStyle w:val="Header"/>
            <w:jc w:val="right"/>
            <w:rPr>
              <w:rFonts w:ascii="Calibri" w:hAnsi="Calibri"/>
              <w:i/>
              <w:sz w:val="20"/>
              <w:lang w:val="lv-LV"/>
            </w:rPr>
          </w:pPr>
          <w:r w:rsidRPr="003871DA">
            <w:rPr>
              <w:rFonts w:ascii="Calibri" w:hAnsi="Calibri"/>
              <w:i/>
              <w:sz w:val="20"/>
              <w:lang w:val="lv-LV"/>
            </w:rPr>
            <w:t>&amp; Lithuanian Environment</w:t>
          </w:r>
        </w:p>
      </w:tc>
    </w:tr>
  </w:tbl>
  <w:p w14:paraId="28B9F87A" w14:textId="77777777" w:rsidR="00CF559D" w:rsidRPr="000D33A8" w:rsidRDefault="00CF559D" w:rsidP="00F53BE4">
    <w:pPr>
      <w:rPr>
        <w:lang w:val="fi-FI"/>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8039"/>
      <w:gridCol w:w="5918"/>
    </w:tblGrid>
    <w:tr w:rsidR="00280001" w:rsidRPr="003871DA" w14:paraId="5A33B4A8" w14:textId="77777777" w:rsidTr="005879FA">
      <w:trPr>
        <w:trHeight w:val="547"/>
      </w:trPr>
      <w:tc>
        <w:tcPr>
          <w:tcW w:w="2880" w:type="pct"/>
          <w:tcBorders>
            <w:bottom w:val="single" w:sz="4" w:space="0" w:color="000000"/>
          </w:tcBorders>
        </w:tcPr>
        <w:p w14:paraId="65870E1F" w14:textId="77777777" w:rsidR="00280001" w:rsidRPr="003871DA" w:rsidRDefault="00280001" w:rsidP="00660418">
          <w:pPr>
            <w:pStyle w:val="Header"/>
            <w:snapToGrid w:val="0"/>
            <w:ind w:left="-107"/>
            <w:rPr>
              <w:rFonts w:ascii="Calibri" w:hAnsi="Calibri"/>
              <w:i/>
              <w:sz w:val="20"/>
              <w:lang w:val="lv-LV"/>
            </w:rPr>
          </w:pPr>
          <w:r>
            <w:rPr>
              <w:rFonts w:ascii="Calibri" w:hAnsi="Calibri"/>
              <w:i/>
              <w:sz w:val="20"/>
              <w:lang w:val="lv-LV"/>
            </w:rPr>
            <w:t>Gaujas Nacionālā parka</w:t>
          </w:r>
          <w:r w:rsidRPr="003871DA">
            <w:rPr>
              <w:rFonts w:ascii="Calibri" w:hAnsi="Calibri"/>
              <w:i/>
              <w:sz w:val="20"/>
              <w:lang w:val="lv-LV"/>
            </w:rPr>
            <w:t xml:space="preserve"> </w:t>
          </w:r>
        </w:p>
        <w:p w14:paraId="69D37F07" w14:textId="2F037EA8" w:rsidR="00280001" w:rsidRPr="00351DF4" w:rsidRDefault="00280001" w:rsidP="007B145C">
          <w:pPr>
            <w:pStyle w:val="Header"/>
            <w:ind w:left="-107"/>
            <w:jc w:val="both"/>
            <w:rPr>
              <w:rFonts w:ascii="Calibri" w:hAnsi="Calibri"/>
              <w:i/>
              <w:sz w:val="20"/>
              <w:lang w:val="lv-LV"/>
            </w:rPr>
          </w:pPr>
          <w:r>
            <w:rPr>
              <w:rFonts w:ascii="Calibri" w:hAnsi="Calibri"/>
              <w:i/>
              <w:sz w:val="20"/>
              <w:lang w:val="lv-LV"/>
            </w:rPr>
            <w:t>dabas aizsardzības plāns no 2023</w:t>
          </w:r>
          <w:r w:rsidRPr="003871DA">
            <w:rPr>
              <w:rFonts w:ascii="Calibri" w:hAnsi="Calibri"/>
              <w:i/>
              <w:sz w:val="20"/>
              <w:lang w:val="lv-LV"/>
            </w:rPr>
            <w:t>. gada līdz 20</w:t>
          </w:r>
          <w:r>
            <w:rPr>
              <w:rFonts w:ascii="Calibri" w:hAnsi="Calibri"/>
              <w:i/>
              <w:sz w:val="20"/>
              <w:lang w:val="lv-LV"/>
            </w:rPr>
            <w:t>35</w:t>
          </w:r>
          <w:r w:rsidRPr="003871DA">
            <w:rPr>
              <w:rFonts w:ascii="Calibri" w:hAnsi="Calibri"/>
              <w:i/>
              <w:sz w:val="20"/>
              <w:lang w:val="lv-LV"/>
            </w:rPr>
            <w:t>. gada</w:t>
          </w:r>
          <w:r w:rsidR="007B145C">
            <w:rPr>
              <w:rFonts w:ascii="Calibri" w:hAnsi="Calibri"/>
              <w:i/>
              <w:sz w:val="20"/>
              <w:lang w:val="lv-LV"/>
            </w:rPr>
            <w:t>m</w:t>
          </w:r>
        </w:p>
      </w:tc>
      <w:tc>
        <w:tcPr>
          <w:tcW w:w="2880" w:type="pct"/>
          <w:tcBorders>
            <w:bottom w:val="single" w:sz="4" w:space="0" w:color="000000"/>
          </w:tcBorders>
        </w:tcPr>
        <w:p w14:paraId="71BD0F13" w14:textId="77777777" w:rsidR="00280001" w:rsidRPr="003871DA" w:rsidRDefault="00280001" w:rsidP="00660418">
          <w:pPr>
            <w:pStyle w:val="Header"/>
            <w:snapToGrid w:val="0"/>
            <w:ind w:left="-107"/>
            <w:jc w:val="right"/>
            <w:rPr>
              <w:rFonts w:ascii="Calibri" w:hAnsi="Calibri"/>
              <w:i/>
              <w:sz w:val="20"/>
              <w:lang w:val="lv-LV"/>
            </w:rPr>
          </w:pPr>
          <w:r w:rsidRPr="003871DA">
            <w:rPr>
              <w:rFonts w:ascii="Calibri" w:hAnsi="Calibri"/>
              <w:i/>
              <w:sz w:val="20"/>
              <w:lang w:val="lv-LV"/>
            </w:rPr>
            <w:t>SIA Estonian, Latvian</w:t>
          </w:r>
        </w:p>
        <w:p w14:paraId="7CF83C71" w14:textId="77777777" w:rsidR="00280001" w:rsidRPr="003871DA" w:rsidRDefault="00280001" w:rsidP="00660418">
          <w:pPr>
            <w:pStyle w:val="Header"/>
            <w:ind w:left="-107"/>
            <w:jc w:val="right"/>
            <w:rPr>
              <w:rFonts w:ascii="Calibri" w:hAnsi="Calibri"/>
              <w:i/>
              <w:sz w:val="20"/>
              <w:lang w:val="lv-LV"/>
            </w:rPr>
          </w:pPr>
          <w:r w:rsidRPr="003871DA">
            <w:rPr>
              <w:rFonts w:ascii="Calibri" w:hAnsi="Calibri"/>
              <w:i/>
              <w:sz w:val="20"/>
              <w:lang w:val="lv-LV"/>
            </w:rPr>
            <w:t>&amp; Lithuanian Environment</w:t>
          </w:r>
        </w:p>
      </w:tc>
    </w:tr>
  </w:tbl>
  <w:p w14:paraId="0CA689BF" w14:textId="77777777" w:rsidR="00280001" w:rsidRPr="000D33A8" w:rsidRDefault="00280001" w:rsidP="00F53BE4">
    <w:pPr>
      <w:rPr>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82AA4BE"/>
    <w:lvl w:ilvl="0">
      <w:start w:val="1"/>
      <w:numFmt w:val="decimal"/>
      <w:lvlText w:val="%1."/>
      <w:lvlJc w:val="left"/>
      <w:pPr>
        <w:ind w:left="7371" w:hanging="360"/>
      </w:pPr>
    </w:lvl>
    <w:lvl w:ilvl="1">
      <w:start w:val="1"/>
      <w:numFmt w:val="none"/>
      <w:lvlText w:val=""/>
      <w:lvlJc w:val="left"/>
      <w:pPr>
        <w:tabs>
          <w:tab w:val="num" w:pos="7587"/>
        </w:tabs>
        <w:ind w:left="7587" w:hanging="576"/>
      </w:pPr>
    </w:lvl>
    <w:lvl w:ilvl="2">
      <w:start w:val="1"/>
      <w:numFmt w:val="none"/>
      <w:pStyle w:val="Heading3"/>
      <w:lvlText w:val=""/>
      <w:lvlJc w:val="left"/>
      <w:pPr>
        <w:tabs>
          <w:tab w:val="num" w:pos="7731"/>
        </w:tabs>
        <w:ind w:left="7731" w:hanging="720"/>
      </w:pPr>
    </w:lvl>
    <w:lvl w:ilvl="3">
      <w:start w:val="1"/>
      <w:numFmt w:val="none"/>
      <w:pStyle w:val="Heading4"/>
      <w:lvlText w:val=""/>
      <w:lvlJc w:val="left"/>
      <w:pPr>
        <w:tabs>
          <w:tab w:val="num" w:pos="7875"/>
        </w:tabs>
        <w:ind w:left="7875" w:hanging="864"/>
      </w:pPr>
    </w:lvl>
    <w:lvl w:ilvl="4">
      <w:start w:val="1"/>
      <w:numFmt w:val="none"/>
      <w:pStyle w:val="Heading5"/>
      <w:lvlText w:val=""/>
      <w:lvlJc w:val="left"/>
      <w:pPr>
        <w:tabs>
          <w:tab w:val="num" w:pos="8019"/>
        </w:tabs>
        <w:ind w:left="8019" w:hanging="1008"/>
      </w:pPr>
    </w:lvl>
    <w:lvl w:ilvl="5">
      <w:start w:val="1"/>
      <w:numFmt w:val="none"/>
      <w:pStyle w:val="Heading6"/>
      <w:lvlText w:val=""/>
      <w:lvlJc w:val="left"/>
      <w:pPr>
        <w:tabs>
          <w:tab w:val="num" w:pos="8163"/>
        </w:tabs>
        <w:ind w:left="8163" w:hanging="1152"/>
      </w:pPr>
    </w:lvl>
    <w:lvl w:ilvl="6">
      <w:start w:val="1"/>
      <w:numFmt w:val="none"/>
      <w:pStyle w:val="Heading7"/>
      <w:lvlText w:val=""/>
      <w:lvlJc w:val="left"/>
      <w:pPr>
        <w:tabs>
          <w:tab w:val="num" w:pos="8307"/>
        </w:tabs>
        <w:ind w:left="8307" w:hanging="1296"/>
      </w:pPr>
    </w:lvl>
    <w:lvl w:ilvl="7">
      <w:start w:val="1"/>
      <w:numFmt w:val="none"/>
      <w:pStyle w:val="Heading8"/>
      <w:lvlText w:val=""/>
      <w:lvlJc w:val="left"/>
      <w:pPr>
        <w:tabs>
          <w:tab w:val="num" w:pos="8451"/>
        </w:tabs>
        <w:ind w:left="8451" w:hanging="1440"/>
      </w:pPr>
    </w:lvl>
    <w:lvl w:ilvl="8">
      <w:start w:val="1"/>
      <w:numFmt w:val="none"/>
      <w:pStyle w:val="Heading9"/>
      <w:lvlText w:val=""/>
      <w:lvlJc w:val="left"/>
      <w:pPr>
        <w:tabs>
          <w:tab w:val="num" w:pos="8595"/>
        </w:tabs>
        <w:ind w:left="8595"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92"/>
        </w:tabs>
        <w:ind w:left="792"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sz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Times New Roman" w:hAnsi="Times New Roman"/>
        <w:sz w:val="18"/>
      </w:rPr>
    </w:lvl>
  </w:abstractNum>
  <w:abstractNum w:abstractNumId="5" w15:restartNumberingAfterBreak="0">
    <w:nsid w:val="00000006"/>
    <w:multiLevelType w:val="singleLevel"/>
    <w:tmpl w:val="00000006"/>
    <w:name w:val="WW8Num6"/>
    <w:lvl w:ilvl="0">
      <w:start w:val="1"/>
      <w:numFmt w:val="bullet"/>
      <w:lvlText w:val=""/>
      <w:lvlJc w:val="left"/>
      <w:pPr>
        <w:tabs>
          <w:tab w:val="num" w:pos="780"/>
        </w:tabs>
        <w:ind w:left="780" w:hanging="360"/>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780"/>
        </w:tabs>
        <w:ind w:left="780" w:hanging="360"/>
      </w:pPr>
      <w:rPr>
        <w:rFonts w:ascii="Symbol" w:hAnsi="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Times New Roman" w:hAnsi="Times New Roman"/>
      </w:rPr>
    </w:lvl>
  </w:abstractNum>
  <w:abstractNum w:abstractNumId="1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D"/>
    <w:multiLevelType w:val="multilevel"/>
    <w:tmpl w:val="0000000D"/>
    <w:name w:val="WW8Num13"/>
    <w:lvl w:ilvl="0">
      <w:start w:val="1"/>
      <w:numFmt w:val="decimal"/>
      <w:pStyle w:val="normal"/>
      <w:lvlText w:val="(%1)"/>
      <w:lvlJc w:val="left"/>
      <w:pPr>
        <w:tabs>
          <w:tab w:val="num" w:pos="1440"/>
        </w:tabs>
        <w:ind w:left="1440" w:hanging="720"/>
      </w:pPr>
    </w:lvl>
    <w:lvl w:ilvl="1">
      <w:start w:val="1"/>
      <w:numFmt w:val="lowerLetter"/>
      <w:lvlText w:val="%2."/>
      <w:lvlJc w:val="left"/>
      <w:pPr>
        <w:tabs>
          <w:tab w:val="num" w:pos="1440"/>
        </w:tabs>
        <w:ind w:left="1440" w:hanging="360"/>
      </w:pPr>
    </w:lvl>
    <w:lvl w:ilvl="2">
      <w:start w:val="1"/>
      <w:numFmt w:val="decimal"/>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792"/>
        </w:tabs>
        <w:ind w:left="792" w:hanging="360"/>
      </w:pPr>
      <w:rPr>
        <w:rFonts w:ascii="Symbol" w:hAnsi="Symbol"/>
        <w:color w:val="auto"/>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rPr>
    </w:lvl>
  </w:abstractNum>
  <w:abstractNum w:abstractNumId="17" w15:restartNumberingAfterBreak="0">
    <w:nsid w:val="00000012"/>
    <w:multiLevelType w:val="singleLevel"/>
    <w:tmpl w:val="00000012"/>
    <w:name w:val="WW8Num18"/>
    <w:lvl w:ilvl="0">
      <w:start w:val="1"/>
      <w:numFmt w:val="bullet"/>
      <w:lvlText w:val=""/>
      <w:lvlJc w:val="left"/>
      <w:pPr>
        <w:tabs>
          <w:tab w:val="num" w:pos="780"/>
        </w:tabs>
        <w:ind w:left="780" w:hanging="360"/>
      </w:pPr>
      <w:rPr>
        <w:rFonts w:ascii="Symbol" w:hAnsi="Symbol"/>
        <w:sz w:val="18"/>
      </w:rPr>
    </w:lvl>
  </w:abstractNum>
  <w:abstractNum w:abstractNumId="18"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9"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0" w15:restartNumberingAfterBreak="0">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olor w:val="auto"/>
      </w:rPr>
    </w:lvl>
  </w:abstractNum>
  <w:abstractNum w:abstractNumId="22" w15:restartNumberingAfterBreak="0">
    <w:nsid w:val="00000017"/>
    <w:multiLevelType w:val="singleLevel"/>
    <w:tmpl w:val="00000017"/>
    <w:name w:val="WW8Num23"/>
    <w:lvl w:ilvl="0">
      <w:start w:val="1"/>
      <w:numFmt w:val="bullet"/>
      <w:lvlText w:val=""/>
      <w:lvlJc w:val="left"/>
      <w:pPr>
        <w:tabs>
          <w:tab w:val="num" w:pos="360"/>
        </w:tabs>
        <w:ind w:left="360" w:hanging="360"/>
      </w:pPr>
      <w:rPr>
        <w:rFonts w:ascii="Symbol" w:hAnsi="Symbol"/>
      </w:rPr>
    </w:lvl>
  </w:abstractNum>
  <w:abstractNum w:abstractNumId="23" w15:restartNumberingAfterBreak="0">
    <w:nsid w:val="02C447BC"/>
    <w:multiLevelType w:val="hybridMultilevel"/>
    <w:tmpl w:val="45566C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37B2298"/>
    <w:multiLevelType w:val="hybridMultilevel"/>
    <w:tmpl w:val="B82CF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54A1378"/>
    <w:multiLevelType w:val="hybridMultilevel"/>
    <w:tmpl w:val="8AF8CB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7DA5896"/>
    <w:multiLevelType w:val="hybridMultilevel"/>
    <w:tmpl w:val="58DA05A6"/>
    <w:lvl w:ilvl="0" w:tplc="0426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8BE18AF"/>
    <w:multiLevelType w:val="hybridMultilevel"/>
    <w:tmpl w:val="567A0310"/>
    <w:lvl w:ilvl="0" w:tplc="A992DCC8">
      <w:start w:val="1"/>
      <w:numFmt w:val="lowerLetter"/>
      <w:lvlText w:val="%1)"/>
      <w:lvlJc w:val="left"/>
      <w:pPr>
        <w:tabs>
          <w:tab w:val="num" w:pos="1440"/>
        </w:tabs>
        <w:ind w:left="144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AF92D2B"/>
    <w:multiLevelType w:val="hybridMultilevel"/>
    <w:tmpl w:val="E8E8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C2F0CB8"/>
    <w:multiLevelType w:val="hybridMultilevel"/>
    <w:tmpl w:val="D17C38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0CF65CB6"/>
    <w:multiLevelType w:val="hybridMultilevel"/>
    <w:tmpl w:val="0F8A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0DC2037F"/>
    <w:multiLevelType w:val="hybridMultilevel"/>
    <w:tmpl w:val="97FE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E475F10"/>
    <w:multiLevelType w:val="hybridMultilevel"/>
    <w:tmpl w:val="6AEA19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0E4F2D4A"/>
    <w:multiLevelType w:val="hybridMultilevel"/>
    <w:tmpl w:val="36F845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0E917E80"/>
    <w:multiLevelType w:val="hybridMultilevel"/>
    <w:tmpl w:val="B06C9F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112863B7"/>
    <w:multiLevelType w:val="hybridMultilevel"/>
    <w:tmpl w:val="59963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193743F"/>
    <w:multiLevelType w:val="hybridMultilevel"/>
    <w:tmpl w:val="E92E46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2865946"/>
    <w:multiLevelType w:val="hybridMultilevel"/>
    <w:tmpl w:val="11184738"/>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352"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146C399D"/>
    <w:multiLevelType w:val="hybridMultilevel"/>
    <w:tmpl w:val="09F0B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785101D"/>
    <w:multiLevelType w:val="hybridMultilevel"/>
    <w:tmpl w:val="A56CA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7C169BE"/>
    <w:multiLevelType w:val="hybridMultilevel"/>
    <w:tmpl w:val="55146DC6"/>
    <w:lvl w:ilvl="0" w:tplc="0409000F">
      <w:start w:val="1"/>
      <w:numFmt w:val="decimal"/>
      <w:lvlText w:val="%1."/>
      <w:lvlJc w:val="left"/>
      <w:pPr>
        <w:tabs>
          <w:tab w:val="num" w:pos="720"/>
        </w:tabs>
        <w:ind w:left="720" w:hanging="360"/>
      </w:pPr>
      <w:rPr>
        <w:rFonts w:hint="default"/>
      </w:rPr>
    </w:lvl>
    <w:lvl w:ilvl="1" w:tplc="A992DCC8">
      <w:start w:val="1"/>
      <w:numFmt w:val="lowerLetter"/>
      <w:lvlText w:val="%2)"/>
      <w:lvlJc w:val="left"/>
      <w:pPr>
        <w:tabs>
          <w:tab w:val="num" w:pos="1440"/>
        </w:tabs>
        <w:ind w:left="1440" w:hanging="360"/>
      </w:pPr>
      <w:rPr>
        <w:rFonts w:ascii="Calibri" w:eastAsia="Times New Roman" w:hAnsi="Calibri" w:cs="Calibri"/>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B21C63D6">
      <w:start w:val="1"/>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19550D8A"/>
    <w:multiLevelType w:val="hybridMultilevel"/>
    <w:tmpl w:val="5928D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ADE67DE"/>
    <w:multiLevelType w:val="hybridMultilevel"/>
    <w:tmpl w:val="47B41C86"/>
    <w:lvl w:ilvl="0" w:tplc="0A247FE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1B12499E"/>
    <w:multiLevelType w:val="hybridMultilevel"/>
    <w:tmpl w:val="2DAA3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1C5C3478"/>
    <w:multiLevelType w:val="hybridMultilevel"/>
    <w:tmpl w:val="4A26F7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1D6321A4"/>
    <w:multiLevelType w:val="hybridMultilevel"/>
    <w:tmpl w:val="A6CEDB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1DFB6232"/>
    <w:multiLevelType w:val="hybridMultilevel"/>
    <w:tmpl w:val="A2E6C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E717963"/>
    <w:multiLevelType w:val="hybridMultilevel"/>
    <w:tmpl w:val="1F94ED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20A76428"/>
    <w:multiLevelType w:val="hybridMultilevel"/>
    <w:tmpl w:val="3FCA8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1480837"/>
    <w:multiLevelType w:val="hybridMultilevel"/>
    <w:tmpl w:val="C80E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5E50D4F"/>
    <w:multiLevelType w:val="hybridMultilevel"/>
    <w:tmpl w:val="7F00B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680280F"/>
    <w:multiLevelType w:val="hybridMultilevel"/>
    <w:tmpl w:val="0A60876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6E43CEE"/>
    <w:multiLevelType w:val="hybridMultilevel"/>
    <w:tmpl w:val="7DC2E830"/>
    <w:lvl w:ilvl="0" w:tplc="04260011">
      <w:start w:val="1"/>
      <w:numFmt w:val="decimal"/>
      <w:lvlText w:val="%1)"/>
      <w:lvlJc w:val="left"/>
      <w:pPr>
        <w:ind w:left="107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274E1F90"/>
    <w:multiLevelType w:val="hybridMultilevel"/>
    <w:tmpl w:val="193C7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EE1182"/>
    <w:multiLevelType w:val="hybridMultilevel"/>
    <w:tmpl w:val="D5362C70"/>
    <w:lvl w:ilvl="0" w:tplc="B21C63D6">
      <w:start w:val="1"/>
      <w:numFmt w:val="decimal"/>
      <w:lvlText w:val="%1)"/>
      <w:lvlJc w:val="left"/>
      <w:pPr>
        <w:ind w:left="360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2EFD590F"/>
    <w:multiLevelType w:val="hybridMultilevel"/>
    <w:tmpl w:val="D86054FE"/>
    <w:lvl w:ilvl="0" w:tplc="0407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30B12803"/>
    <w:multiLevelType w:val="hybridMultilevel"/>
    <w:tmpl w:val="857421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0EF048C"/>
    <w:multiLevelType w:val="hybridMultilevel"/>
    <w:tmpl w:val="DDEE73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31204F67"/>
    <w:multiLevelType w:val="hybridMultilevel"/>
    <w:tmpl w:val="0F3E04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56E00B0"/>
    <w:multiLevelType w:val="hybridMultilevel"/>
    <w:tmpl w:val="11FC35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0" w15:restartNumberingAfterBreak="0">
    <w:nsid w:val="363262F4"/>
    <w:multiLevelType w:val="hybridMultilevel"/>
    <w:tmpl w:val="F0AA5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73B21D5"/>
    <w:multiLevelType w:val="hybridMultilevel"/>
    <w:tmpl w:val="31D2C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38956D14"/>
    <w:multiLevelType w:val="hybridMultilevel"/>
    <w:tmpl w:val="288CE852"/>
    <w:lvl w:ilvl="0" w:tplc="9B9882D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3" w15:restartNumberingAfterBreak="0">
    <w:nsid w:val="3B2B339B"/>
    <w:multiLevelType w:val="hybridMultilevel"/>
    <w:tmpl w:val="07801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3CC338F4"/>
    <w:multiLevelType w:val="hybridMultilevel"/>
    <w:tmpl w:val="57BC2636"/>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3F734D37"/>
    <w:multiLevelType w:val="hybridMultilevel"/>
    <w:tmpl w:val="D1A2CD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6" w15:restartNumberingAfterBreak="0">
    <w:nsid w:val="44291B76"/>
    <w:multiLevelType w:val="hybridMultilevel"/>
    <w:tmpl w:val="0672ABA0"/>
    <w:lvl w:ilvl="0" w:tplc="E050FF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476D6707"/>
    <w:multiLevelType w:val="hybridMultilevel"/>
    <w:tmpl w:val="9E26B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8D67F5E"/>
    <w:multiLevelType w:val="hybridMultilevel"/>
    <w:tmpl w:val="0ADAB828"/>
    <w:lvl w:ilvl="0" w:tplc="04260001">
      <w:start w:val="1"/>
      <w:numFmt w:val="bullet"/>
      <w:lvlText w:val=""/>
      <w:lvlJc w:val="left"/>
      <w:pPr>
        <w:ind w:left="720" w:hanging="360"/>
      </w:pPr>
      <w:rPr>
        <w:rFonts w:ascii="Symbol" w:hAnsi="Symbol" w:hint="default"/>
      </w:rPr>
    </w:lvl>
    <w:lvl w:ilvl="1" w:tplc="2026C504">
      <w:numFmt w:val="bullet"/>
      <w:lvlText w:val="•"/>
      <w:lvlJc w:val="left"/>
      <w:pPr>
        <w:ind w:left="1440" w:hanging="360"/>
      </w:pPr>
      <w:rPr>
        <w:rFonts w:ascii="Cambria" w:eastAsiaTheme="minorHAnsi" w:hAnsi="Cambria" w:cstheme="minorBidi"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9" w15:restartNumberingAfterBreak="0">
    <w:nsid w:val="4D474F12"/>
    <w:multiLevelType w:val="hybridMultilevel"/>
    <w:tmpl w:val="4CBE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D6F67B9"/>
    <w:multiLevelType w:val="hybridMultilevel"/>
    <w:tmpl w:val="DD1030A4"/>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EED0F4A"/>
    <w:multiLevelType w:val="hybridMultilevel"/>
    <w:tmpl w:val="90C8CDEA"/>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514744A8"/>
    <w:multiLevelType w:val="hybridMultilevel"/>
    <w:tmpl w:val="38A8F692"/>
    <w:lvl w:ilvl="0" w:tplc="D99269BE">
      <w:start w:val="2018"/>
      <w:numFmt w:val="bullet"/>
      <w:lvlText w:val="-"/>
      <w:lvlJc w:val="left"/>
      <w:pPr>
        <w:ind w:left="1069" w:hanging="360"/>
      </w:pPr>
      <w:rPr>
        <w:rFonts w:ascii="Times New Roman" w:eastAsia="Times New Roman" w:hAnsi="Times New Roman" w:cs="Times New Roman"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73" w15:restartNumberingAfterBreak="0">
    <w:nsid w:val="524D0D65"/>
    <w:multiLevelType w:val="hybridMultilevel"/>
    <w:tmpl w:val="D130B962"/>
    <w:lvl w:ilvl="0" w:tplc="775A454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31218C1"/>
    <w:multiLevelType w:val="hybridMultilevel"/>
    <w:tmpl w:val="BE6231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4B025A9"/>
    <w:multiLevelType w:val="hybridMultilevel"/>
    <w:tmpl w:val="F4BC86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563E4958"/>
    <w:multiLevelType w:val="hybridMultilevel"/>
    <w:tmpl w:val="2B5A77C8"/>
    <w:lvl w:ilvl="0" w:tplc="F31C2678">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7" w15:restartNumberingAfterBreak="0">
    <w:nsid w:val="577155B7"/>
    <w:multiLevelType w:val="hybridMultilevel"/>
    <w:tmpl w:val="F81048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9252225"/>
    <w:multiLevelType w:val="hybridMultilevel"/>
    <w:tmpl w:val="2752F2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9653938"/>
    <w:multiLevelType w:val="hybridMultilevel"/>
    <w:tmpl w:val="40985A9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0" w15:restartNumberingAfterBreak="0">
    <w:nsid w:val="59EA2FE8"/>
    <w:multiLevelType w:val="hybridMultilevel"/>
    <w:tmpl w:val="49A486A4"/>
    <w:lvl w:ilvl="0" w:tplc="B21C63D6">
      <w:start w:val="1"/>
      <w:numFmt w:val="decimal"/>
      <w:lvlText w:val="%1)"/>
      <w:lvlJc w:val="left"/>
      <w:pPr>
        <w:ind w:left="360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1" w15:restartNumberingAfterBreak="0">
    <w:nsid w:val="59FA0EB5"/>
    <w:multiLevelType w:val="hybridMultilevel"/>
    <w:tmpl w:val="D30E6D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2" w15:restartNumberingAfterBreak="0">
    <w:nsid w:val="5A4842EF"/>
    <w:multiLevelType w:val="hybridMultilevel"/>
    <w:tmpl w:val="917EF11A"/>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A8567DC"/>
    <w:multiLevelType w:val="hybridMultilevel"/>
    <w:tmpl w:val="3EF23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C003C25"/>
    <w:multiLevelType w:val="hybridMultilevel"/>
    <w:tmpl w:val="140679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5" w15:restartNumberingAfterBreak="0">
    <w:nsid w:val="5C697916"/>
    <w:multiLevelType w:val="hybridMultilevel"/>
    <w:tmpl w:val="11D43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6" w15:restartNumberingAfterBreak="0">
    <w:nsid w:val="5DD32864"/>
    <w:multiLevelType w:val="hybridMultilevel"/>
    <w:tmpl w:val="6EE85A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EC31C91"/>
    <w:multiLevelType w:val="hybridMultilevel"/>
    <w:tmpl w:val="5AE2EB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8" w15:restartNumberingAfterBreak="0">
    <w:nsid w:val="688201CA"/>
    <w:multiLevelType w:val="hybridMultilevel"/>
    <w:tmpl w:val="6944ED2A"/>
    <w:lvl w:ilvl="0" w:tplc="08090001">
      <w:start w:val="1"/>
      <w:numFmt w:val="bullet"/>
      <w:lvlText w:val=""/>
      <w:lvlJc w:val="left"/>
      <w:pPr>
        <w:ind w:left="720" w:hanging="360"/>
      </w:pPr>
      <w:rPr>
        <w:rFonts w:ascii="Symbol" w:hAnsi="Symbol" w:hint="default"/>
      </w:rPr>
    </w:lvl>
    <w:lvl w:ilvl="1" w:tplc="266C6202">
      <w:start w:val="3130"/>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91D3E6E"/>
    <w:multiLevelType w:val="hybridMultilevel"/>
    <w:tmpl w:val="9584745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0" w15:restartNumberingAfterBreak="0">
    <w:nsid w:val="6D39684C"/>
    <w:multiLevelType w:val="hybridMultilevel"/>
    <w:tmpl w:val="F91E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E754067"/>
    <w:multiLevelType w:val="hybridMultilevel"/>
    <w:tmpl w:val="F5EE56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2" w15:restartNumberingAfterBreak="0">
    <w:nsid w:val="70303302"/>
    <w:multiLevelType w:val="multilevel"/>
    <w:tmpl w:val="4D3C7194"/>
    <w:lvl w:ilvl="0">
      <w:start w:val="1"/>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70426D10"/>
    <w:multiLevelType w:val="hybridMultilevel"/>
    <w:tmpl w:val="B8F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2BA2814"/>
    <w:multiLevelType w:val="hybridMultilevel"/>
    <w:tmpl w:val="83F00F28"/>
    <w:lvl w:ilvl="0" w:tplc="0426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3B2514D"/>
    <w:multiLevelType w:val="hybridMultilevel"/>
    <w:tmpl w:val="8BEEBD42"/>
    <w:lvl w:ilvl="0" w:tplc="04260001">
      <w:start w:val="1"/>
      <w:numFmt w:val="bullet"/>
      <w:lvlText w:val=""/>
      <w:lvlJc w:val="left"/>
      <w:pPr>
        <w:ind w:left="720" w:hanging="360"/>
      </w:pPr>
      <w:rPr>
        <w:rFonts w:ascii="Symbol" w:hAnsi="Symbol" w:hint="default"/>
      </w:rPr>
    </w:lvl>
    <w:lvl w:ilvl="1" w:tplc="3B3CCCF0">
      <w:numFmt w:val="bullet"/>
      <w:lvlText w:val="•"/>
      <w:lvlJc w:val="left"/>
      <w:pPr>
        <w:ind w:left="1779" w:hanging="360"/>
      </w:pPr>
      <w:rPr>
        <w:rFonts w:ascii="Calibri" w:eastAsia="Calibr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73F67A0C"/>
    <w:multiLevelType w:val="hybridMultilevel"/>
    <w:tmpl w:val="4278714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7" w15:restartNumberingAfterBreak="0">
    <w:nsid w:val="75A81075"/>
    <w:multiLevelType w:val="hybridMultilevel"/>
    <w:tmpl w:val="01465A64"/>
    <w:lvl w:ilvl="0" w:tplc="376CAA7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15:restartNumberingAfterBreak="0">
    <w:nsid w:val="7A23739C"/>
    <w:multiLevelType w:val="hybridMultilevel"/>
    <w:tmpl w:val="BD002A56"/>
    <w:lvl w:ilvl="0" w:tplc="C254953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9" w15:restartNumberingAfterBreak="0">
    <w:nsid w:val="7DB67AFD"/>
    <w:multiLevelType w:val="hybridMultilevel"/>
    <w:tmpl w:val="30C41CC0"/>
    <w:lvl w:ilvl="0" w:tplc="0809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0" w15:restartNumberingAfterBreak="0">
    <w:nsid w:val="7DDF2D27"/>
    <w:multiLevelType w:val="hybridMultilevel"/>
    <w:tmpl w:val="1A5CB1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8727543">
    <w:abstractNumId w:val="0"/>
  </w:num>
  <w:num w:numId="2" w16cid:durableId="100995431">
    <w:abstractNumId w:val="12"/>
  </w:num>
  <w:num w:numId="3" w16cid:durableId="1945764743">
    <w:abstractNumId w:val="92"/>
  </w:num>
  <w:num w:numId="4" w16cid:durableId="513030141">
    <w:abstractNumId w:val="25"/>
  </w:num>
  <w:num w:numId="5" w16cid:durableId="659191035">
    <w:abstractNumId w:val="69"/>
  </w:num>
  <w:num w:numId="6" w16cid:durableId="1860122968">
    <w:abstractNumId w:val="88"/>
  </w:num>
  <w:num w:numId="7" w16cid:durableId="2099667268">
    <w:abstractNumId w:val="29"/>
  </w:num>
  <w:num w:numId="8" w16cid:durableId="18340282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98148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8539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8739824">
    <w:abstractNumId w:val="93"/>
  </w:num>
  <w:num w:numId="12" w16cid:durableId="369888431">
    <w:abstractNumId w:val="35"/>
  </w:num>
  <w:num w:numId="13" w16cid:durableId="2099715756">
    <w:abstractNumId w:val="40"/>
  </w:num>
  <w:num w:numId="14" w16cid:durableId="820119746">
    <w:abstractNumId w:val="27"/>
  </w:num>
  <w:num w:numId="15" w16cid:durableId="1164323990">
    <w:abstractNumId w:val="28"/>
  </w:num>
  <w:num w:numId="16" w16cid:durableId="1900361579">
    <w:abstractNumId w:val="74"/>
  </w:num>
  <w:num w:numId="17" w16cid:durableId="1616715927">
    <w:abstractNumId w:val="95"/>
  </w:num>
  <w:num w:numId="18" w16cid:durableId="1100179413">
    <w:abstractNumId w:val="39"/>
  </w:num>
  <w:num w:numId="19" w16cid:durableId="1069618772">
    <w:abstractNumId w:val="83"/>
  </w:num>
  <w:num w:numId="20" w16cid:durableId="1202091341">
    <w:abstractNumId w:val="29"/>
  </w:num>
  <w:num w:numId="21" w16cid:durableId="80952672">
    <w:abstractNumId w:val="44"/>
  </w:num>
  <w:num w:numId="22" w16cid:durableId="1422872810">
    <w:abstractNumId w:val="34"/>
  </w:num>
  <w:num w:numId="23" w16cid:durableId="114893588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7351353">
    <w:abstractNumId w:val="61"/>
  </w:num>
  <w:num w:numId="25" w16cid:durableId="1145317978">
    <w:abstractNumId w:val="37"/>
  </w:num>
  <w:num w:numId="26" w16cid:durableId="1504589098">
    <w:abstractNumId w:val="67"/>
  </w:num>
  <w:num w:numId="27" w16cid:durableId="1332948148">
    <w:abstractNumId w:val="45"/>
  </w:num>
  <w:num w:numId="28" w16cid:durableId="1950699067">
    <w:abstractNumId w:val="48"/>
  </w:num>
  <w:num w:numId="29" w16cid:durableId="1993942659">
    <w:abstractNumId w:val="94"/>
  </w:num>
  <w:num w:numId="30" w16cid:durableId="1493372069">
    <w:abstractNumId w:val="51"/>
  </w:num>
  <w:num w:numId="31" w16cid:durableId="844829657">
    <w:abstractNumId w:val="70"/>
  </w:num>
  <w:num w:numId="32" w16cid:durableId="1195382352">
    <w:abstractNumId w:val="72"/>
  </w:num>
  <w:num w:numId="33" w16cid:durableId="1176312774">
    <w:abstractNumId w:val="26"/>
  </w:num>
  <w:num w:numId="34" w16cid:durableId="985550220">
    <w:abstractNumId w:val="62"/>
  </w:num>
  <w:num w:numId="35" w16cid:durableId="1242134910">
    <w:abstractNumId w:val="63"/>
  </w:num>
  <w:num w:numId="36" w16cid:durableId="898246815">
    <w:abstractNumId w:val="49"/>
  </w:num>
  <w:num w:numId="37" w16cid:durableId="702902804">
    <w:abstractNumId w:val="43"/>
  </w:num>
  <w:num w:numId="38" w16cid:durableId="1978800729">
    <w:abstractNumId w:val="65"/>
  </w:num>
  <w:num w:numId="39" w16cid:durableId="1637106311">
    <w:abstractNumId w:val="60"/>
  </w:num>
  <w:num w:numId="40" w16cid:durableId="1023436898">
    <w:abstractNumId w:val="90"/>
  </w:num>
  <w:num w:numId="41" w16cid:durableId="1471049118">
    <w:abstractNumId w:val="52"/>
  </w:num>
  <w:num w:numId="42" w16cid:durableId="15099049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4967901">
    <w:abstractNumId w:val="89"/>
  </w:num>
  <w:num w:numId="44" w16cid:durableId="8455116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34146641">
    <w:abstractNumId w:val="46"/>
  </w:num>
  <w:num w:numId="46" w16cid:durableId="1925408090">
    <w:abstractNumId w:val="87"/>
  </w:num>
  <w:num w:numId="47" w16cid:durableId="190317343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0450334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14553091">
    <w:abstractNumId w:val="88"/>
  </w:num>
  <w:num w:numId="50" w16cid:durableId="2130467341">
    <w:abstractNumId w:val="30"/>
  </w:num>
  <w:num w:numId="51" w16cid:durableId="1111778331">
    <w:abstractNumId w:val="50"/>
  </w:num>
  <w:num w:numId="52" w16cid:durableId="9818151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10224733">
    <w:abstractNumId w:val="47"/>
  </w:num>
  <w:num w:numId="54" w16cid:durableId="760181303">
    <w:abstractNumId w:val="86"/>
  </w:num>
  <w:num w:numId="55" w16cid:durableId="790788651">
    <w:abstractNumId w:val="56"/>
  </w:num>
  <w:num w:numId="56" w16cid:durableId="1586643963">
    <w:abstractNumId w:val="91"/>
  </w:num>
  <w:num w:numId="57" w16cid:durableId="374701337">
    <w:abstractNumId w:val="68"/>
  </w:num>
  <w:num w:numId="58" w16cid:durableId="88148369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20219042">
    <w:abstractNumId w:val="42"/>
  </w:num>
  <w:num w:numId="60" w16cid:durableId="730226230">
    <w:abstractNumId w:val="85"/>
  </w:num>
  <w:num w:numId="61" w16cid:durableId="372776157">
    <w:abstractNumId w:val="99"/>
  </w:num>
  <w:num w:numId="62" w16cid:durableId="1922062016">
    <w:abstractNumId w:val="71"/>
  </w:num>
  <w:num w:numId="63" w16cid:durableId="1263806398">
    <w:abstractNumId w:val="80"/>
  </w:num>
  <w:num w:numId="64" w16cid:durableId="370299585">
    <w:abstractNumId w:val="66"/>
  </w:num>
  <w:num w:numId="65" w16cid:durableId="85808654">
    <w:abstractNumId w:val="97"/>
  </w:num>
  <w:num w:numId="66" w16cid:durableId="519204180">
    <w:abstractNumId w:val="31"/>
  </w:num>
  <w:num w:numId="67" w16cid:durableId="390154811">
    <w:abstractNumId w:val="24"/>
  </w:num>
  <w:num w:numId="68" w16cid:durableId="2101830612">
    <w:abstractNumId w:val="77"/>
  </w:num>
  <w:num w:numId="69" w16cid:durableId="1308363846">
    <w:abstractNumId w:val="100"/>
  </w:num>
  <w:num w:numId="70" w16cid:durableId="1290043254">
    <w:abstractNumId w:val="23"/>
  </w:num>
  <w:num w:numId="71" w16cid:durableId="421462238">
    <w:abstractNumId w:val="38"/>
  </w:num>
  <w:num w:numId="72" w16cid:durableId="8854753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55579323">
    <w:abstractNumId w:val="96"/>
  </w:num>
  <w:num w:numId="74" w16cid:durableId="1326665803">
    <w:abstractNumId w:val="36"/>
  </w:num>
  <w:num w:numId="75" w16cid:durableId="1413814579">
    <w:abstractNumId w:val="55"/>
  </w:num>
  <w:num w:numId="76" w16cid:durableId="609899919">
    <w:abstractNumId w:val="78"/>
  </w:num>
  <w:num w:numId="77" w16cid:durableId="439687471">
    <w:abstractNumId w:val="57"/>
  </w:num>
  <w:num w:numId="78" w16cid:durableId="858083817">
    <w:abstractNumId w:val="54"/>
  </w:num>
  <w:num w:numId="79" w16cid:durableId="823858134">
    <w:abstractNumId w:val="64"/>
  </w:num>
  <w:num w:numId="80" w16cid:durableId="1762607754">
    <w:abstractNumId w:val="53"/>
  </w:num>
  <w:num w:numId="81" w16cid:durableId="1046104713">
    <w:abstractNumId w:val="32"/>
  </w:num>
  <w:num w:numId="82" w16cid:durableId="989216403">
    <w:abstractNumId w:val="75"/>
  </w:num>
  <w:num w:numId="83" w16cid:durableId="1178807904">
    <w:abstractNumId w:val="8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fr-BE" w:vendorID="64" w:dllVersion="0" w:nlCheck="1" w:checkStyle="0"/>
  <w:activeWritingStyle w:appName="MSWord" w:lang="fr-BE" w:vendorID="64" w:dllVersion="4096" w:nlCheck="1" w:checkStyle="0"/>
  <w:activeWritingStyle w:appName="MSWord" w:lang="en-US" w:vendorID="64" w:dllVersion="0" w:nlCheck="1" w:checkStyle="0"/>
  <w:activeWritingStyle w:appName="MSWord" w:lang="fr-FR" w:vendorID="64" w:dllVersion="0" w:nlCheck="1" w:checkStyle="0"/>
  <w:activeWritingStyle w:appName="MSWord" w:lang="fr-FR" w:vendorID="64" w:dllVersion="4096" w:nlCheck="1" w:checkStyle="0"/>
  <w:activeWritingStyle w:appName="MSWord" w:lang="de-DE" w:vendorID="64" w:dllVersion="0" w:nlCheck="1" w:checkStyle="0"/>
  <w:activeWritingStyle w:appName="MSWord" w:lang="lv-LV" w:vendorID="71" w:dllVersion="512"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17"/>
    <w:rsid w:val="00000230"/>
    <w:rsid w:val="00000D9F"/>
    <w:rsid w:val="00000DA5"/>
    <w:rsid w:val="00000F11"/>
    <w:rsid w:val="00001596"/>
    <w:rsid w:val="00002380"/>
    <w:rsid w:val="00002BD3"/>
    <w:rsid w:val="000033B4"/>
    <w:rsid w:val="0000358B"/>
    <w:rsid w:val="00003D5F"/>
    <w:rsid w:val="000045C5"/>
    <w:rsid w:val="000046FD"/>
    <w:rsid w:val="0000494E"/>
    <w:rsid w:val="00005D71"/>
    <w:rsid w:val="00006589"/>
    <w:rsid w:val="00006C5F"/>
    <w:rsid w:val="00007051"/>
    <w:rsid w:val="0000710F"/>
    <w:rsid w:val="00007D85"/>
    <w:rsid w:val="00007F4C"/>
    <w:rsid w:val="000101F0"/>
    <w:rsid w:val="000111F0"/>
    <w:rsid w:val="000114CE"/>
    <w:rsid w:val="000116B5"/>
    <w:rsid w:val="0001174E"/>
    <w:rsid w:val="00011975"/>
    <w:rsid w:val="00011E51"/>
    <w:rsid w:val="00011ED6"/>
    <w:rsid w:val="000125E3"/>
    <w:rsid w:val="000126AF"/>
    <w:rsid w:val="00012885"/>
    <w:rsid w:val="00012A8A"/>
    <w:rsid w:val="00013024"/>
    <w:rsid w:val="00013671"/>
    <w:rsid w:val="000137FF"/>
    <w:rsid w:val="00013BDD"/>
    <w:rsid w:val="000145DF"/>
    <w:rsid w:val="00014F08"/>
    <w:rsid w:val="000151C6"/>
    <w:rsid w:val="00015206"/>
    <w:rsid w:val="000157ED"/>
    <w:rsid w:val="00015E35"/>
    <w:rsid w:val="00015FA2"/>
    <w:rsid w:val="00016778"/>
    <w:rsid w:val="00016844"/>
    <w:rsid w:val="00016E62"/>
    <w:rsid w:val="0001710E"/>
    <w:rsid w:val="00017208"/>
    <w:rsid w:val="00017A67"/>
    <w:rsid w:val="00017C5A"/>
    <w:rsid w:val="00020302"/>
    <w:rsid w:val="00020BD5"/>
    <w:rsid w:val="00020F60"/>
    <w:rsid w:val="00021066"/>
    <w:rsid w:val="00021866"/>
    <w:rsid w:val="00022453"/>
    <w:rsid w:val="000224CE"/>
    <w:rsid w:val="000225B9"/>
    <w:rsid w:val="00023872"/>
    <w:rsid w:val="00023A06"/>
    <w:rsid w:val="00023CB2"/>
    <w:rsid w:val="00023D5E"/>
    <w:rsid w:val="0002486E"/>
    <w:rsid w:val="00024BBD"/>
    <w:rsid w:val="00024DCE"/>
    <w:rsid w:val="00025BA9"/>
    <w:rsid w:val="00025F14"/>
    <w:rsid w:val="00026351"/>
    <w:rsid w:val="000271E0"/>
    <w:rsid w:val="0002730E"/>
    <w:rsid w:val="00027361"/>
    <w:rsid w:val="000276D8"/>
    <w:rsid w:val="00027B18"/>
    <w:rsid w:val="00030027"/>
    <w:rsid w:val="00030128"/>
    <w:rsid w:val="00030320"/>
    <w:rsid w:val="0003192E"/>
    <w:rsid w:val="0003194A"/>
    <w:rsid w:val="000319EB"/>
    <w:rsid w:val="000319F1"/>
    <w:rsid w:val="00031AD5"/>
    <w:rsid w:val="00032115"/>
    <w:rsid w:val="00032520"/>
    <w:rsid w:val="000327A1"/>
    <w:rsid w:val="00033084"/>
    <w:rsid w:val="000331C2"/>
    <w:rsid w:val="00033740"/>
    <w:rsid w:val="000339ED"/>
    <w:rsid w:val="0003411D"/>
    <w:rsid w:val="00034327"/>
    <w:rsid w:val="00034954"/>
    <w:rsid w:val="00034C47"/>
    <w:rsid w:val="00035ED5"/>
    <w:rsid w:val="00035EF2"/>
    <w:rsid w:val="000372A0"/>
    <w:rsid w:val="0003735D"/>
    <w:rsid w:val="000373D8"/>
    <w:rsid w:val="000403E3"/>
    <w:rsid w:val="00040CD1"/>
    <w:rsid w:val="000412C9"/>
    <w:rsid w:val="00041E38"/>
    <w:rsid w:val="00041E6F"/>
    <w:rsid w:val="000421F3"/>
    <w:rsid w:val="000424D1"/>
    <w:rsid w:val="00042534"/>
    <w:rsid w:val="0004271E"/>
    <w:rsid w:val="00042BB3"/>
    <w:rsid w:val="00042D9B"/>
    <w:rsid w:val="00042E10"/>
    <w:rsid w:val="00042FA9"/>
    <w:rsid w:val="0004315D"/>
    <w:rsid w:val="000440E8"/>
    <w:rsid w:val="0004461E"/>
    <w:rsid w:val="00044931"/>
    <w:rsid w:val="000451BC"/>
    <w:rsid w:val="000452E2"/>
    <w:rsid w:val="000452F7"/>
    <w:rsid w:val="000455C3"/>
    <w:rsid w:val="00046684"/>
    <w:rsid w:val="000470FE"/>
    <w:rsid w:val="000478DD"/>
    <w:rsid w:val="00047F1F"/>
    <w:rsid w:val="0005061B"/>
    <w:rsid w:val="000507D8"/>
    <w:rsid w:val="00051218"/>
    <w:rsid w:val="00051295"/>
    <w:rsid w:val="00051761"/>
    <w:rsid w:val="00051E10"/>
    <w:rsid w:val="0005208C"/>
    <w:rsid w:val="000538B9"/>
    <w:rsid w:val="00053A30"/>
    <w:rsid w:val="00053B60"/>
    <w:rsid w:val="00053C4F"/>
    <w:rsid w:val="0005443A"/>
    <w:rsid w:val="00055246"/>
    <w:rsid w:val="00055A06"/>
    <w:rsid w:val="0005720E"/>
    <w:rsid w:val="000578F4"/>
    <w:rsid w:val="000579CE"/>
    <w:rsid w:val="000602D0"/>
    <w:rsid w:val="00060A3C"/>
    <w:rsid w:val="00061320"/>
    <w:rsid w:val="0006142C"/>
    <w:rsid w:val="00061443"/>
    <w:rsid w:val="000615F0"/>
    <w:rsid w:val="00061760"/>
    <w:rsid w:val="00061CC5"/>
    <w:rsid w:val="0006292D"/>
    <w:rsid w:val="000629FA"/>
    <w:rsid w:val="00062AE5"/>
    <w:rsid w:val="00062B57"/>
    <w:rsid w:val="0006366C"/>
    <w:rsid w:val="00063A45"/>
    <w:rsid w:val="00063A5C"/>
    <w:rsid w:val="00063A5E"/>
    <w:rsid w:val="00063AEB"/>
    <w:rsid w:val="00063CBD"/>
    <w:rsid w:val="000641D2"/>
    <w:rsid w:val="000652BC"/>
    <w:rsid w:val="0006537E"/>
    <w:rsid w:val="000656A2"/>
    <w:rsid w:val="00065E2B"/>
    <w:rsid w:val="00066E94"/>
    <w:rsid w:val="0006715D"/>
    <w:rsid w:val="000671B2"/>
    <w:rsid w:val="00067A73"/>
    <w:rsid w:val="00067BEB"/>
    <w:rsid w:val="00070832"/>
    <w:rsid w:val="00070CB8"/>
    <w:rsid w:val="00070E8D"/>
    <w:rsid w:val="00070F06"/>
    <w:rsid w:val="000711C2"/>
    <w:rsid w:val="000722D4"/>
    <w:rsid w:val="00072448"/>
    <w:rsid w:val="00072BC0"/>
    <w:rsid w:val="00073142"/>
    <w:rsid w:val="00073731"/>
    <w:rsid w:val="00073D55"/>
    <w:rsid w:val="00074A70"/>
    <w:rsid w:val="00074AAC"/>
    <w:rsid w:val="00074AD6"/>
    <w:rsid w:val="000750F0"/>
    <w:rsid w:val="000757AA"/>
    <w:rsid w:val="00075BF8"/>
    <w:rsid w:val="000763FC"/>
    <w:rsid w:val="00076C54"/>
    <w:rsid w:val="000775D3"/>
    <w:rsid w:val="00077991"/>
    <w:rsid w:val="0008028C"/>
    <w:rsid w:val="000806CF"/>
    <w:rsid w:val="000807B1"/>
    <w:rsid w:val="00080F2D"/>
    <w:rsid w:val="0008199E"/>
    <w:rsid w:val="00081F49"/>
    <w:rsid w:val="00082445"/>
    <w:rsid w:val="00082786"/>
    <w:rsid w:val="000830F5"/>
    <w:rsid w:val="000834AE"/>
    <w:rsid w:val="00083634"/>
    <w:rsid w:val="000840EA"/>
    <w:rsid w:val="000852AA"/>
    <w:rsid w:val="000855A4"/>
    <w:rsid w:val="00085607"/>
    <w:rsid w:val="000856FC"/>
    <w:rsid w:val="00086AF0"/>
    <w:rsid w:val="000876AF"/>
    <w:rsid w:val="00087FB5"/>
    <w:rsid w:val="00090DDD"/>
    <w:rsid w:val="0009118F"/>
    <w:rsid w:val="000917FF"/>
    <w:rsid w:val="00091969"/>
    <w:rsid w:val="00091FE2"/>
    <w:rsid w:val="00092EDA"/>
    <w:rsid w:val="000937B6"/>
    <w:rsid w:val="000944B4"/>
    <w:rsid w:val="000950A8"/>
    <w:rsid w:val="000956AC"/>
    <w:rsid w:val="000956BC"/>
    <w:rsid w:val="00095F5C"/>
    <w:rsid w:val="000978F8"/>
    <w:rsid w:val="000979B5"/>
    <w:rsid w:val="00097D8D"/>
    <w:rsid w:val="000A0AF1"/>
    <w:rsid w:val="000A134C"/>
    <w:rsid w:val="000A13F3"/>
    <w:rsid w:val="000A14CC"/>
    <w:rsid w:val="000A2397"/>
    <w:rsid w:val="000A267E"/>
    <w:rsid w:val="000A305B"/>
    <w:rsid w:val="000A3416"/>
    <w:rsid w:val="000A357A"/>
    <w:rsid w:val="000A3C7E"/>
    <w:rsid w:val="000A4BEA"/>
    <w:rsid w:val="000A5220"/>
    <w:rsid w:val="000A534D"/>
    <w:rsid w:val="000B075F"/>
    <w:rsid w:val="000B0CED"/>
    <w:rsid w:val="000B0D8F"/>
    <w:rsid w:val="000B115A"/>
    <w:rsid w:val="000B158B"/>
    <w:rsid w:val="000B1A01"/>
    <w:rsid w:val="000B22AF"/>
    <w:rsid w:val="000B2370"/>
    <w:rsid w:val="000B3528"/>
    <w:rsid w:val="000B35D0"/>
    <w:rsid w:val="000B3CE4"/>
    <w:rsid w:val="000B3F91"/>
    <w:rsid w:val="000B42AA"/>
    <w:rsid w:val="000B44CE"/>
    <w:rsid w:val="000B4D56"/>
    <w:rsid w:val="000B5237"/>
    <w:rsid w:val="000B544E"/>
    <w:rsid w:val="000B57C3"/>
    <w:rsid w:val="000B5ABF"/>
    <w:rsid w:val="000B6A4D"/>
    <w:rsid w:val="000B6E93"/>
    <w:rsid w:val="000B789D"/>
    <w:rsid w:val="000B79C4"/>
    <w:rsid w:val="000B7B53"/>
    <w:rsid w:val="000C01AB"/>
    <w:rsid w:val="000C028B"/>
    <w:rsid w:val="000C0343"/>
    <w:rsid w:val="000C0481"/>
    <w:rsid w:val="000C10F3"/>
    <w:rsid w:val="000C2434"/>
    <w:rsid w:val="000C24E5"/>
    <w:rsid w:val="000C2A9B"/>
    <w:rsid w:val="000C2DA8"/>
    <w:rsid w:val="000C33F3"/>
    <w:rsid w:val="000C3D75"/>
    <w:rsid w:val="000C3FD3"/>
    <w:rsid w:val="000C47C3"/>
    <w:rsid w:val="000C482B"/>
    <w:rsid w:val="000C4BED"/>
    <w:rsid w:val="000C517E"/>
    <w:rsid w:val="000C5B10"/>
    <w:rsid w:val="000C62D9"/>
    <w:rsid w:val="000C63BA"/>
    <w:rsid w:val="000C7306"/>
    <w:rsid w:val="000C75CF"/>
    <w:rsid w:val="000C7BC0"/>
    <w:rsid w:val="000D0220"/>
    <w:rsid w:val="000D14E6"/>
    <w:rsid w:val="000D1CA8"/>
    <w:rsid w:val="000D1D11"/>
    <w:rsid w:val="000D1D22"/>
    <w:rsid w:val="000D242A"/>
    <w:rsid w:val="000D2652"/>
    <w:rsid w:val="000D290A"/>
    <w:rsid w:val="000D2EAE"/>
    <w:rsid w:val="000D32D0"/>
    <w:rsid w:val="000D33A8"/>
    <w:rsid w:val="000D3FA3"/>
    <w:rsid w:val="000D40D4"/>
    <w:rsid w:val="000D41E7"/>
    <w:rsid w:val="000D491A"/>
    <w:rsid w:val="000D5020"/>
    <w:rsid w:val="000D582D"/>
    <w:rsid w:val="000D59C7"/>
    <w:rsid w:val="000D5B03"/>
    <w:rsid w:val="000D5FCD"/>
    <w:rsid w:val="000D63AE"/>
    <w:rsid w:val="000D641A"/>
    <w:rsid w:val="000D64E7"/>
    <w:rsid w:val="000D6757"/>
    <w:rsid w:val="000D6D27"/>
    <w:rsid w:val="000D748C"/>
    <w:rsid w:val="000D7B1E"/>
    <w:rsid w:val="000D7DDA"/>
    <w:rsid w:val="000E01C9"/>
    <w:rsid w:val="000E1364"/>
    <w:rsid w:val="000E1E8B"/>
    <w:rsid w:val="000E2CA6"/>
    <w:rsid w:val="000E2DAF"/>
    <w:rsid w:val="000E32EC"/>
    <w:rsid w:val="000E33C5"/>
    <w:rsid w:val="000E396F"/>
    <w:rsid w:val="000E419F"/>
    <w:rsid w:val="000E4429"/>
    <w:rsid w:val="000E4532"/>
    <w:rsid w:val="000E459F"/>
    <w:rsid w:val="000E48B0"/>
    <w:rsid w:val="000E4F53"/>
    <w:rsid w:val="000E5166"/>
    <w:rsid w:val="000E57C8"/>
    <w:rsid w:val="000E59C9"/>
    <w:rsid w:val="000E75C7"/>
    <w:rsid w:val="000E7B4D"/>
    <w:rsid w:val="000E7F67"/>
    <w:rsid w:val="000F039A"/>
    <w:rsid w:val="000F0D0E"/>
    <w:rsid w:val="000F2336"/>
    <w:rsid w:val="000F2EDA"/>
    <w:rsid w:val="000F2F97"/>
    <w:rsid w:val="000F377C"/>
    <w:rsid w:val="000F3868"/>
    <w:rsid w:val="000F3B74"/>
    <w:rsid w:val="000F4058"/>
    <w:rsid w:val="000F4CD9"/>
    <w:rsid w:val="000F5328"/>
    <w:rsid w:val="000F573C"/>
    <w:rsid w:val="000F5C89"/>
    <w:rsid w:val="000F616D"/>
    <w:rsid w:val="000F6E77"/>
    <w:rsid w:val="000F6FC5"/>
    <w:rsid w:val="000F71C8"/>
    <w:rsid w:val="000F756F"/>
    <w:rsid w:val="000F7BAA"/>
    <w:rsid w:val="000F7BB5"/>
    <w:rsid w:val="0010068D"/>
    <w:rsid w:val="001009EA"/>
    <w:rsid w:val="00100E4C"/>
    <w:rsid w:val="001015AC"/>
    <w:rsid w:val="00101900"/>
    <w:rsid w:val="0010232D"/>
    <w:rsid w:val="001033F3"/>
    <w:rsid w:val="0010352B"/>
    <w:rsid w:val="00103E15"/>
    <w:rsid w:val="00103F4A"/>
    <w:rsid w:val="00103FB1"/>
    <w:rsid w:val="0010458F"/>
    <w:rsid w:val="00104DF7"/>
    <w:rsid w:val="00105A18"/>
    <w:rsid w:val="00105ADE"/>
    <w:rsid w:val="00105EB5"/>
    <w:rsid w:val="0010682A"/>
    <w:rsid w:val="00106BA2"/>
    <w:rsid w:val="00106C67"/>
    <w:rsid w:val="00106C76"/>
    <w:rsid w:val="00107AFC"/>
    <w:rsid w:val="0011005F"/>
    <w:rsid w:val="00110388"/>
    <w:rsid w:val="00110576"/>
    <w:rsid w:val="001107C0"/>
    <w:rsid w:val="001112C6"/>
    <w:rsid w:val="00111B03"/>
    <w:rsid w:val="00112401"/>
    <w:rsid w:val="00112403"/>
    <w:rsid w:val="00112720"/>
    <w:rsid w:val="00112E80"/>
    <w:rsid w:val="00112FF8"/>
    <w:rsid w:val="00113220"/>
    <w:rsid w:val="00113E4C"/>
    <w:rsid w:val="00114DAF"/>
    <w:rsid w:val="00114E83"/>
    <w:rsid w:val="00115183"/>
    <w:rsid w:val="00115D99"/>
    <w:rsid w:val="001162B3"/>
    <w:rsid w:val="00116374"/>
    <w:rsid w:val="00116607"/>
    <w:rsid w:val="001169CB"/>
    <w:rsid w:val="00116DFE"/>
    <w:rsid w:val="00116F32"/>
    <w:rsid w:val="00117116"/>
    <w:rsid w:val="001200F6"/>
    <w:rsid w:val="00120630"/>
    <w:rsid w:val="001206EA"/>
    <w:rsid w:val="00121A14"/>
    <w:rsid w:val="00121CE7"/>
    <w:rsid w:val="0012213B"/>
    <w:rsid w:val="001232E1"/>
    <w:rsid w:val="00123362"/>
    <w:rsid w:val="001239E9"/>
    <w:rsid w:val="00123A7B"/>
    <w:rsid w:val="00124E8F"/>
    <w:rsid w:val="00125398"/>
    <w:rsid w:val="001255A2"/>
    <w:rsid w:val="00125EAD"/>
    <w:rsid w:val="001260AF"/>
    <w:rsid w:val="001261F3"/>
    <w:rsid w:val="0012630E"/>
    <w:rsid w:val="00126723"/>
    <w:rsid w:val="0012682C"/>
    <w:rsid w:val="0012708C"/>
    <w:rsid w:val="0012771F"/>
    <w:rsid w:val="001279AA"/>
    <w:rsid w:val="00127C30"/>
    <w:rsid w:val="00130296"/>
    <w:rsid w:val="001304BF"/>
    <w:rsid w:val="00130900"/>
    <w:rsid w:val="00131753"/>
    <w:rsid w:val="00131B56"/>
    <w:rsid w:val="00131C75"/>
    <w:rsid w:val="00132085"/>
    <w:rsid w:val="00132591"/>
    <w:rsid w:val="001326D3"/>
    <w:rsid w:val="001331ED"/>
    <w:rsid w:val="00133666"/>
    <w:rsid w:val="00133DE0"/>
    <w:rsid w:val="00133EE1"/>
    <w:rsid w:val="00133FC2"/>
    <w:rsid w:val="00133FFF"/>
    <w:rsid w:val="00135B31"/>
    <w:rsid w:val="00135CA8"/>
    <w:rsid w:val="00136094"/>
    <w:rsid w:val="001362B0"/>
    <w:rsid w:val="001367BC"/>
    <w:rsid w:val="001370FB"/>
    <w:rsid w:val="00137244"/>
    <w:rsid w:val="00137555"/>
    <w:rsid w:val="00137968"/>
    <w:rsid w:val="00137B3D"/>
    <w:rsid w:val="00137FEA"/>
    <w:rsid w:val="001407BE"/>
    <w:rsid w:val="00140927"/>
    <w:rsid w:val="00140EE7"/>
    <w:rsid w:val="00140F33"/>
    <w:rsid w:val="00141330"/>
    <w:rsid w:val="00142A92"/>
    <w:rsid w:val="00142D51"/>
    <w:rsid w:val="001434CC"/>
    <w:rsid w:val="00144458"/>
    <w:rsid w:val="00145094"/>
    <w:rsid w:val="00145D20"/>
    <w:rsid w:val="00145F8A"/>
    <w:rsid w:val="00146315"/>
    <w:rsid w:val="00146649"/>
    <w:rsid w:val="0014716E"/>
    <w:rsid w:val="0015014E"/>
    <w:rsid w:val="00150181"/>
    <w:rsid w:val="00151C79"/>
    <w:rsid w:val="00152A09"/>
    <w:rsid w:val="00152B9E"/>
    <w:rsid w:val="00152E66"/>
    <w:rsid w:val="001532F4"/>
    <w:rsid w:val="00153705"/>
    <w:rsid w:val="00153B64"/>
    <w:rsid w:val="00153B70"/>
    <w:rsid w:val="00153DA2"/>
    <w:rsid w:val="001541CB"/>
    <w:rsid w:val="00155482"/>
    <w:rsid w:val="00155656"/>
    <w:rsid w:val="001557D7"/>
    <w:rsid w:val="00155AB0"/>
    <w:rsid w:val="0015633B"/>
    <w:rsid w:val="0015652E"/>
    <w:rsid w:val="0015666D"/>
    <w:rsid w:val="00156C40"/>
    <w:rsid w:val="00157450"/>
    <w:rsid w:val="00157A9F"/>
    <w:rsid w:val="00157C9B"/>
    <w:rsid w:val="00160021"/>
    <w:rsid w:val="001602D1"/>
    <w:rsid w:val="001607E7"/>
    <w:rsid w:val="001610EF"/>
    <w:rsid w:val="00161EA1"/>
    <w:rsid w:val="00162901"/>
    <w:rsid w:val="00162D38"/>
    <w:rsid w:val="001634AA"/>
    <w:rsid w:val="001639D8"/>
    <w:rsid w:val="00163CBE"/>
    <w:rsid w:val="00163DDF"/>
    <w:rsid w:val="0016471B"/>
    <w:rsid w:val="00165118"/>
    <w:rsid w:val="00165654"/>
    <w:rsid w:val="00165880"/>
    <w:rsid w:val="00166061"/>
    <w:rsid w:val="00166071"/>
    <w:rsid w:val="001675D4"/>
    <w:rsid w:val="001675E9"/>
    <w:rsid w:val="00167A20"/>
    <w:rsid w:val="00167AC4"/>
    <w:rsid w:val="00167AD6"/>
    <w:rsid w:val="00167C84"/>
    <w:rsid w:val="001700C6"/>
    <w:rsid w:val="00170814"/>
    <w:rsid w:val="00170ADF"/>
    <w:rsid w:val="00170BDC"/>
    <w:rsid w:val="001718A5"/>
    <w:rsid w:val="00172008"/>
    <w:rsid w:val="00172EB7"/>
    <w:rsid w:val="001745B3"/>
    <w:rsid w:val="0017509E"/>
    <w:rsid w:val="00175F81"/>
    <w:rsid w:val="00177281"/>
    <w:rsid w:val="00177307"/>
    <w:rsid w:val="0017789C"/>
    <w:rsid w:val="00177B63"/>
    <w:rsid w:val="0018083C"/>
    <w:rsid w:val="00180B98"/>
    <w:rsid w:val="00181771"/>
    <w:rsid w:val="001823B7"/>
    <w:rsid w:val="00182AF1"/>
    <w:rsid w:val="00183C77"/>
    <w:rsid w:val="001849A3"/>
    <w:rsid w:val="0018506B"/>
    <w:rsid w:val="00185391"/>
    <w:rsid w:val="00185D89"/>
    <w:rsid w:val="0018643B"/>
    <w:rsid w:val="001867C1"/>
    <w:rsid w:val="00186FFB"/>
    <w:rsid w:val="001872F9"/>
    <w:rsid w:val="00187DCC"/>
    <w:rsid w:val="00187EA8"/>
    <w:rsid w:val="00190546"/>
    <w:rsid w:val="00190CC3"/>
    <w:rsid w:val="00191493"/>
    <w:rsid w:val="00191D2D"/>
    <w:rsid w:val="00192569"/>
    <w:rsid w:val="0019296F"/>
    <w:rsid w:val="0019367C"/>
    <w:rsid w:val="0019437B"/>
    <w:rsid w:val="001943BF"/>
    <w:rsid w:val="001943F9"/>
    <w:rsid w:val="0019454D"/>
    <w:rsid w:val="001951A5"/>
    <w:rsid w:val="001953F8"/>
    <w:rsid w:val="0019564C"/>
    <w:rsid w:val="001959DB"/>
    <w:rsid w:val="001963E6"/>
    <w:rsid w:val="00196463"/>
    <w:rsid w:val="00196D16"/>
    <w:rsid w:val="00196FF7"/>
    <w:rsid w:val="001970F0"/>
    <w:rsid w:val="00197F62"/>
    <w:rsid w:val="001A1092"/>
    <w:rsid w:val="001A114B"/>
    <w:rsid w:val="001A132C"/>
    <w:rsid w:val="001A13C5"/>
    <w:rsid w:val="001A1F7C"/>
    <w:rsid w:val="001A2C4F"/>
    <w:rsid w:val="001A2F52"/>
    <w:rsid w:val="001A2FC3"/>
    <w:rsid w:val="001A3686"/>
    <w:rsid w:val="001A3918"/>
    <w:rsid w:val="001A3DEF"/>
    <w:rsid w:val="001A412A"/>
    <w:rsid w:val="001A46A1"/>
    <w:rsid w:val="001A5677"/>
    <w:rsid w:val="001A5F9D"/>
    <w:rsid w:val="001A67E1"/>
    <w:rsid w:val="001A69E0"/>
    <w:rsid w:val="001A6CEB"/>
    <w:rsid w:val="001A6FE8"/>
    <w:rsid w:val="001A785B"/>
    <w:rsid w:val="001A787B"/>
    <w:rsid w:val="001B06ED"/>
    <w:rsid w:val="001B27A8"/>
    <w:rsid w:val="001B456F"/>
    <w:rsid w:val="001B49F7"/>
    <w:rsid w:val="001B4B68"/>
    <w:rsid w:val="001B4C06"/>
    <w:rsid w:val="001B4F01"/>
    <w:rsid w:val="001B51DE"/>
    <w:rsid w:val="001B63B4"/>
    <w:rsid w:val="001B6764"/>
    <w:rsid w:val="001B706A"/>
    <w:rsid w:val="001B738A"/>
    <w:rsid w:val="001C0EA0"/>
    <w:rsid w:val="001C129B"/>
    <w:rsid w:val="001C15E5"/>
    <w:rsid w:val="001C1935"/>
    <w:rsid w:val="001C2BC0"/>
    <w:rsid w:val="001C2E69"/>
    <w:rsid w:val="001C313B"/>
    <w:rsid w:val="001C3D7B"/>
    <w:rsid w:val="001C4676"/>
    <w:rsid w:val="001C4957"/>
    <w:rsid w:val="001C4D40"/>
    <w:rsid w:val="001C51D7"/>
    <w:rsid w:val="001C52C2"/>
    <w:rsid w:val="001C558F"/>
    <w:rsid w:val="001C5655"/>
    <w:rsid w:val="001C5F19"/>
    <w:rsid w:val="001C7257"/>
    <w:rsid w:val="001D121C"/>
    <w:rsid w:val="001D148A"/>
    <w:rsid w:val="001D164D"/>
    <w:rsid w:val="001D2550"/>
    <w:rsid w:val="001D2D32"/>
    <w:rsid w:val="001D2DFE"/>
    <w:rsid w:val="001D32CE"/>
    <w:rsid w:val="001D439A"/>
    <w:rsid w:val="001D570B"/>
    <w:rsid w:val="001D6690"/>
    <w:rsid w:val="001D6D47"/>
    <w:rsid w:val="001D72D5"/>
    <w:rsid w:val="001D77BF"/>
    <w:rsid w:val="001D7E36"/>
    <w:rsid w:val="001D7EB5"/>
    <w:rsid w:val="001D7EE1"/>
    <w:rsid w:val="001E00DE"/>
    <w:rsid w:val="001E0CEC"/>
    <w:rsid w:val="001E10E3"/>
    <w:rsid w:val="001E1286"/>
    <w:rsid w:val="001E13C1"/>
    <w:rsid w:val="001E1639"/>
    <w:rsid w:val="001E2107"/>
    <w:rsid w:val="001E22EE"/>
    <w:rsid w:val="001E23E8"/>
    <w:rsid w:val="001E2992"/>
    <w:rsid w:val="001E34A9"/>
    <w:rsid w:val="001E3612"/>
    <w:rsid w:val="001E3A9D"/>
    <w:rsid w:val="001E3AAA"/>
    <w:rsid w:val="001E5443"/>
    <w:rsid w:val="001E6322"/>
    <w:rsid w:val="001E639D"/>
    <w:rsid w:val="001E775B"/>
    <w:rsid w:val="001E7F15"/>
    <w:rsid w:val="001F000C"/>
    <w:rsid w:val="001F0255"/>
    <w:rsid w:val="001F0956"/>
    <w:rsid w:val="001F0D4E"/>
    <w:rsid w:val="001F1085"/>
    <w:rsid w:val="001F1425"/>
    <w:rsid w:val="001F15E2"/>
    <w:rsid w:val="001F1C6D"/>
    <w:rsid w:val="001F1DFA"/>
    <w:rsid w:val="001F24E4"/>
    <w:rsid w:val="001F2859"/>
    <w:rsid w:val="001F2ABB"/>
    <w:rsid w:val="001F2CCA"/>
    <w:rsid w:val="001F3A84"/>
    <w:rsid w:val="001F40F4"/>
    <w:rsid w:val="001F4D4F"/>
    <w:rsid w:val="001F560A"/>
    <w:rsid w:val="001F5E44"/>
    <w:rsid w:val="001F5E71"/>
    <w:rsid w:val="001F6067"/>
    <w:rsid w:val="001F6625"/>
    <w:rsid w:val="001F7DE6"/>
    <w:rsid w:val="001F7F9B"/>
    <w:rsid w:val="002008F9"/>
    <w:rsid w:val="00200BC0"/>
    <w:rsid w:val="002015AE"/>
    <w:rsid w:val="00201DC5"/>
    <w:rsid w:val="0020291D"/>
    <w:rsid w:val="00202A34"/>
    <w:rsid w:val="0020465A"/>
    <w:rsid w:val="002047BA"/>
    <w:rsid w:val="00205A7B"/>
    <w:rsid w:val="00205C53"/>
    <w:rsid w:val="00205FB7"/>
    <w:rsid w:val="0020652D"/>
    <w:rsid w:val="00206712"/>
    <w:rsid w:val="00206C16"/>
    <w:rsid w:val="00206CEA"/>
    <w:rsid w:val="00207AAC"/>
    <w:rsid w:val="00207FA7"/>
    <w:rsid w:val="00210535"/>
    <w:rsid w:val="0021091F"/>
    <w:rsid w:val="00210DCB"/>
    <w:rsid w:val="00210FE9"/>
    <w:rsid w:val="0021168E"/>
    <w:rsid w:val="00211B7E"/>
    <w:rsid w:val="00211FA2"/>
    <w:rsid w:val="002127E1"/>
    <w:rsid w:val="0021294C"/>
    <w:rsid w:val="00212AF9"/>
    <w:rsid w:val="00213C51"/>
    <w:rsid w:val="002143E3"/>
    <w:rsid w:val="00214921"/>
    <w:rsid w:val="00214C4A"/>
    <w:rsid w:val="00215197"/>
    <w:rsid w:val="002164B2"/>
    <w:rsid w:val="002169CA"/>
    <w:rsid w:val="00217004"/>
    <w:rsid w:val="00220076"/>
    <w:rsid w:val="002209EC"/>
    <w:rsid w:val="00220B87"/>
    <w:rsid w:val="002210E8"/>
    <w:rsid w:val="00221634"/>
    <w:rsid w:val="00221DD2"/>
    <w:rsid w:val="00221E3E"/>
    <w:rsid w:val="00223157"/>
    <w:rsid w:val="002234E0"/>
    <w:rsid w:val="00223573"/>
    <w:rsid w:val="00223750"/>
    <w:rsid w:val="00223F42"/>
    <w:rsid w:val="00225776"/>
    <w:rsid w:val="00225C07"/>
    <w:rsid w:val="002268AA"/>
    <w:rsid w:val="00227E90"/>
    <w:rsid w:val="002309D9"/>
    <w:rsid w:val="00230E2A"/>
    <w:rsid w:val="00230E72"/>
    <w:rsid w:val="0023144A"/>
    <w:rsid w:val="002315DE"/>
    <w:rsid w:val="00231AC4"/>
    <w:rsid w:val="00232925"/>
    <w:rsid w:val="00232B34"/>
    <w:rsid w:val="00232C45"/>
    <w:rsid w:val="00232D36"/>
    <w:rsid w:val="0023316A"/>
    <w:rsid w:val="00234A61"/>
    <w:rsid w:val="00235ADD"/>
    <w:rsid w:val="00236411"/>
    <w:rsid w:val="00236544"/>
    <w:rsid w:val="00236E06"/>
    <w:rsid w:val="00237523"/>
    <w:rsid w:val="00237633"/>
    <w:rsid w:val="00240116"/>
    <w:rsid w:val="002411FE"/>
    <w:rsid w:val="002432CC"/>
    <w:rsid w:val="00243CF3"/>
    <w:rsid w:val="00244AC9"/>
    <w:rsid w:val="00245115"/>
    <w:rsid w:val="00245166"/>
    <w:rsid w:val="00246134"/>
    <w:rsid w:val="002462FB"/>
    <w:rsid w:val="002468A4"/>
    <w:rsid w:val="00246ECC"/>
    <w:rsid w:val="00247138"/>
    <w:rsid w:val="00247C8E"/>
    <w:rsid w:val="00250218"/>
    <w:rsid w:val="00250FB2"/>
    <w:rsid w:val="002510C3"/>
    <w:rsid w:val="002510E3"/>
    <w:rsid w:val="00251128"/>
    <w:rsid w:val="00251590"/>
    <w:rsid w:val="002516E2"/>
    <w:rsid w:val="002517C8"/>
    <w:rsid w:val="00251D1A"/>
    <w:rsid w:val="00252C42"/>
    <w:rsid w:val="00253276"/>
    <w:rsid w:val="00253480"/>
    <w:rsid w:val="002537CA"/>
    <w:rsid w:val="002537F2"/>
    <w:rsid w:val="00253EF4"/>
    <w:rsid w:val="002550EC"/>
    <w:rsid w:val="00257461"/>
    <w:rsid w:val="00257CCF"/>
    <w:rsid w:val="00260376"/>
    <w:rsid w:val="002607AA"/>
    <w:rsid w:val="00260FDA"/>
    <w:rsid w:val="00260FFF"/>
    <w:rsid w:val="00261386"/>
    <w:rsid w:val="00261955"/>
    <w:rsid w:val="00261A59"/>
    <w:rsid w:val="00261B54"/>
    <w:rsid w:val="00261C88"/>
    <w:rsid w:val="00261CEB"/>
    <w:rsid w:val="00261D5A"/>
    <w:rsid w:val="0026246B"/>
    <w:rsid w:val="002626AD"/>
    <w:rsid w:val="002629D1"/>
    <w:rsid w:val="0026300C"/>
    <w:rsid w:val="002641C8"/>
    <w:rsid w:val="0026427B"/>
    <w:rsid w:val="002647AB"/>
    <w:rsid w:val="00264A9B"/>
    <w:rsid w:val="00265141"/>
    <w:rsid w:val="00266997"/>
    <w:rsid w:val="00266D06"/>
    <w:rsid w:val="00266EDF"/>
    <w:rsid w:val="00267058"/>
    <w:rsid w:val="00267652"/>
    <w:rsid w:val="00267C18"/>
    <w:rsid w:val="00267D2A"/>
    <w:rsid w:val="00267DE4"/>
    <w:rsid w:val="00270A66"/>
    <w:rsid w:val="00271192"/>
    <w:rsid w:val="002719B5"/>
    <w:rsid w:val="00271E02"/>
    <w:rsid w:val="002722C8"/>
    <w:rsid w:val="00272317"/>
    <w:rsid w:val="002734BD"/>
    <w:rsid w:val="002736BD"/>
    <w:rsid w:val="0027378F"/>
    <w:rsid w:val="002741D8"/>
    <w:rsid w:val="002747F3"/>
    <w:rsid w:val="00274959"/>
    <w:rsid w:val="00274CD2"/>
    <w:rsid w:val="00275013"/>
    <w:rsid w:val="00275145"/>
    <w:rsid w:val="00275419"/>
    <w:rsid w:val="002772F8"/>
    <w:rsid w:val="00277C64"/>
    <w:rsid w:val="00277CA6"/>
    <w:rsid w:val="00277D05"/>
    <w:rsid w:val="00280001"/>
    <w:rsid w:val="002800A2"/>
    <w:rsid w:val="00280331"/>
    <w:rsid w:val="0028060D"/>
    <w:rsid w:val="00280E63"/>
    <w:rsid w:val="00281149"/>
    <w:rsid w:val="00281EF5"/>
    <w:rsid w:val="002827D9"/>
    <w:rsid w:val="002827E6"/>
    <w:rsid w:val="00282823"/>
    <w:rsid w:val="0028287C"/>
    <w:rsid w:val="00282B95"/>
    <w:rsid w:val="00282BE8"/>
    <w:rsid w:val="00282D7B"/>
    <w:rsid w:val="0028304D"/>
    <w:rsid w:val="002832A1"/>
    <w:rsid w:val="00283396"/>
    <w:rsid w:val="002835CB"/>
    <w:rsid w:val="002844CE"/>
    <w:rsid w:val="00284888"/>
    <w:rsid w:val="002848D5"/>
    <w:rsid w:val="002849D7"/>
    <w:rsid w:val="002857FF"/>
    <w:rsid w:val="00285A97"/>
    <w:rsid w:val="0028609A"/>
    <w:rsid w:val="0028684F"/>
    <w:rsid w:val="002868B7"/>
    <w:rsid w:val="002878A5"/>
    <w:rsid w:val="0029004A"/>
    <w:rsid w:val="002901C9"/>
    <w:rsid w:val="00290C21"/>
    <w:rsid w:val="00290C64"/>
    <w:rsid w:val="0029173E"/>
    <w:rsid w:val="00292900"/>
    <w:rsid w:val="00292CB9"/>
    <w:rsid w:val="00292DDF"/>
    <w:rsid w:val="00292FD8"/>
    <w:rsid w:val="002944CA"/>
    <w:rsid w:val="002948AC"/>
    <w:rsid w:val="00294C2F"/>
    <w:rsid w:val="00294D21"/>
    <w:rsid w:val="00296248"/>
    <w:rsid w:val="00296693"/>
    <w:rsid w:val="0029770E"/>
    <w:rsid w:val="00297AB8"/>
    <w:rsid w:val="002A06CD"/>
    <w:rsid w:val="002A0A81"/>
    <w:rsid w:val="002A0B37"/>
    <w:rsid w:val="002A1B40"/>
    <w:rsid w:val="002A1CB5"/>
    <w:rsid w:val="002A1D2C"/>
    <w:rsid w:val="002A268E"/>
    <w:rsid w:val="002A2943"/>
    <w:rsid w:val="002A2D33"/>
    <w:rsid w:val="002A2E9E"/>
    <w:rsid w:val="002A30A5"/>
    <w:rsid w:val="002A3DDD"/>
    <w:rsid w:val="002A4B78"/>
    <w:rsid w:val="002A4C30"/>
    <w:rsid w:val="002A54C2"/>
    <w:rsid w:val="002A5B43"/>
    <w:rsid w:val="002A5B91"/>
    <w:rsid w:val="002A5F17"/>
    <w:rsid w:val="002A69F1"/>
    <w:rsid w:val="002A71F6"/>
    <w:rsid w:val="002A7F0C"/>
    <w:rsid w:val="002B09FA"/>
    <w:rsid w:val="002B0EA8"/>
    <w:rsid w:val="002B0FCC"/>
    <w:rsid w:val="002B194C"/>
    <w:rsid w:val="002B26E6"/>
    <w:rsid w:val="002B28A5"/>
    <w:rsid w:val="002B2C03"/>
    <w:rsid w:val="002B3341"/>
    <w:rsid w:val="002B4C55"/>
    <w:rsid w:val="002B5471"/>
    <w:rsid w:val="002B5D00"/>
    <w:rsid w:val="002B5D47"/>
    <w:rsid w:val="002B5DAB"/>
    <w:rsid w:val="002B5E94"/>
    <w:rsid w:val="002B64E1"/>
    <w:rsid w:val="002B676F"/>
    <w:rsid w:val="002B6AA2"/>
    <w:rsid w:val="002B6EB1"/>
    <w:rsid w:val="002B7AA1"/>
    <w:rsid w:val="002C01EF"/>
    <w:rsid w:val="002C0868"/>
    <w:rsid w:val="002C09DC"/>
    <w:rsid w:val="002C0CB7"/>
    <w:rsid w:val="002C1292"/>
    <w:rsid w:val="002C194E"/>
    <w:rsid w:val="002C1B18"/>
    <w:rsid w:val="002C2958"/>
    <w:rsid w:val="002C384B"/>
    <w:rsid w:val="002C4240"/>
    <w:rsid w:val="002C426A"/>
    <w:rsid w:val="002C4734"/>
    <w:rsid w:val="002C4738"/>
    <w:rsid w:val="002C5987"/>
    <w:rsid w:val="002C608C"/>
    <w:rsid w:val="002C6923"/>
    <w:rsid w:val="002D062A"/>
    <w:rsid w:val="002D06AE"/>
    <w:rsid w:val="002D0745"/>
    <w:rsid w:val="002D0AEC"/>
    <w:rsid w:val="002D1160"/>
    <w:rsid w:val="002D13A2"/>
    <w:rsid w:val="002D191A"/>
    <w:rsid w:val="002D29B9"/>
    <w:rsid w:val="002D2CFA"/>
    <w:rsid w:val="002D35C1"/>
    <w:rsid w:val="002D385A"/>
    <w:rsid w:val="002D3BD2"/>
    <w:rsid w:val="002D3D21"/>
    <w:rsid w:val="002D4752"/>
    <w:rsid w:val="002D4B02"/>
    <w:rsid w:val="002D4CA5"/>
    <w:rsid w:val="002D4ECC"/>
    <w:rsid w:val="002D4F71"/>
    <w:rsid w:val="002D51B8"/>
    <w:rsid w:val="002D539A"/>
    <w:rsid w:val="002D5449"/>
    <w:rsid w:val="002D55F7"/>
    <w:rsid w:val="002D5E86"/>
    <w:rsid w:val="002D6101"/>
    <w:rsid w:val="002D62B6"/>
    <w:rsid w:val="002D64D9"/>
    <w:rsid w:val="002D6EAD"/>
    <w:rsid w:val="002D77E1"/>
    <w:rsid w:val="002E0726"/>
    <w:rsid w:val="002E0E2B"/>
    <w:rsid w:val="002E14F8"/>
    <w:rsid w:val="002E1AAF"/>
    <w:rsid w:val="002E1E5D"/>
    <w:rsid w:val="002E2184"/>
    <w:rsid w:val="002E240D"/>
    <w:rsid w:val="002E243D"/>
    <w:rsid w:val="002E2525"/>
    <w:rsid w:val="002E25CB"/>
    <w:rsid w:val="002E299A"/>
    <w:rsid w:val="002E39A0"/>
    <w:rsid w:val="002E3C91"/>
    <w:rsid w:val="002E3D1B"/>
    <w:rsid w:val="002E40BE"/>
    <w:rsid w:val="002E42EB"/>
    <w:rsid w:val="002E4BE0"/>
    <w:rsid w:val="002E5C8C"/>
    <w:rsid w:val="002E5EE6"/>
    <w:rsid w:val="002E5F41"/>
    <w:rsid w:val="002E683C"/>
    <w:rsid w:val="002E7540"/>
    <w:rsid w:val="002F0941"/>
    <w:rsid w:val="002F1F3A"/>
    <w:rsid w:val="002F2568"/>
    <w:rsid w:val="002F28B6"/>
    <w:rsid w:val="002F32D9"/>
    <w:rsid w:val="002F3A59"/>
    <w:rsid w:val="002F51D1"/>
    <w:rsid w:val="002F5273"/>
    <w:rsid w:val="002F546C"/>
    <w:rsid w:val="002F5F6D"/>
    <w:rsid w:val="002F7380"/>
    <w:rsid w:val="002F793C"/>
    <w:rsid w:val="002F7A41"/>
    <w:rsid w:val="00300C13"/>
    <w:rsid w:val="00300DBC"/>
    <w:rsid w:val="00300FDE"/>
    <w:rsid w:val="00301607"/>
    <w:rsid w:val="00301C42"/>
    <w:rsid w:val="003021C0"/>
    <w:rsid w:val="003026F3"/>
    <w:rsid w:val="00302BFD"/>
    <w:rsid w:val="00302F1A"/>
    <w:rsid w:val="00303030"/>
    <w:rsid w:val="003031EE"/>
    <w:rsid w:val="0030336E"/>
    <w:rsid w:val="00303A70"/>
    <w:rsid w:val="00303F17"/>
    <w:rsid w:val="00304935"/>
    <w:rsid w:val="00304D76"/>
    <w:rsid w:val="0030568A"/>
    <w:rsid w:val="00305761"/>
    <w:rsid w:val="003060C4"/>
    <w:rsid w:val="003068AA"/>
    <w:rsid w:val="00306D9F"/>
    <w:rsid w:val="003075E4"/>
    <w:rsid w:val="00307846"/>
    <w:rsid w:val="0030790A"/>
    <w:rsid w:val="00307A3C"/>
    <w:rsid w:val="003102E8"/>
    <w:rsid w:val="00310430"/>
    <w:rsid w:val="003108AF"/>
    <w:rsid w:val="00311754"/>
    <w:rsid w:val="00311BBE"/>
    <w:rsid w:val="003122F0"/>
    <w:rsid w:val="00313747"/>
    <w:rsid w:val="00314245"/>
    <w:rsid w:val="003142FE"/>
    <w:rsid w:val="00314EDF"/>
    <w:rsid w:val="003155A4"/>
    <w:rsid w:val="00315743"/>
    <w:rsid w:val="0031591F"/>
    <w:rsid w:val="00315BC7"/>
    <w:rsid w:val="00315DA4"/>
    <w:rsid w:val="003162C5"/>
    <w:rsid w:val="00316716"/>
    <w:rsid w:val="00316742"/>
    <w:rsid w:val="00316DEB"/>
    <w:rsid w:val="003176B0"/>
    <w:rsid w:val="003178F9"/>
    <w:rsid w:val="00317F81"/>
    <w:rsid w:val="00317FAB"/>
    <w:rsid w:val="00320939"/>
    <w:rsid w:val="00321630"/>
    <w:rsid w:val="00321CED"/>
    <w:rsid w:val="00322738"/>
    <w:rsid w:val="00322869"/>
    <w:rsid w:val="003228F4"/>
    <w:rsid w:val="00322BE5"/>
    <w:rsid w:val="00322CAB"/>
    <w:rsid w:val="00322E68"/>
    <w:rsid w:val="0032321E"/>
    <w:rsid w:val="003233C5"/>
    <w:rsid w:val="00323819"/>
    <w:rsid w:val="00323DEE"/>
    <w:rsid w:val="00323EA8"/>
    <w:rsid w:val="0032439D"/>
    <w:rsid w:val="003250F9"/>
    <w:rsid w:val="003256A0"/>
    <w:rsid w:val="00325F27"/>
    <w:rsid w:val="00325FF4"/>
    <w:rsid w:val="00326745"/>
    <w:rsid w:val="00326857"/>
    <w:rsid w:val="003271B3"/>
    <w:rsid w:val="003273E2"/>
    <w:rsid w:val="00327C6F"/>
    <w:rsid w:val="00330373"/>
    <w:rsid w:val="0033083B"/>
    <w:rsid w:val="003309AA"/>
    <w:rsid w:val="00330B6F"/>
    <w:rsid w:val="00330D1E"/>
    <w:rsid w:val="00330DF7"/>
    <w:rsid w:val="00330DF8"/>
    <w:rsid w:val="003318AA"/>
    <w:rsid w:val="00331B5E"/>
    <w:rsid w:val="00331EF3"/>
    <w:rsid w:val="0033205A"/>
    <w:rsid w:val="0033236B"/>
    <w:rsid w:val="00332E5E"/>
    <w:rsid w:val="00332EB1"/>
    <w:rsid w:val="0033309E"/>
    <w:rsid w:val="00333525"/>
    <w:rsid w:val="003336B5"/>
    <w:rsid w:val="00333EBE"/>
    <w:rsid w:val="00334D1C"/>
    <w:rsid w:val="003358C3"/>
    <w:rsid w:val="00335A5B"/>
    <w:rsid w:val="00335A83"/>
    <w:rsid w:val="00335B86"/>
    <w:rsid w:val="00335F70"/>
    <w:rsid w:val="00336EBF"/>
    <w:rsid w:val="00337A23"/>
    <w:rsid w:val="00337B09"/>
    <w:rsid w:val="00340221"/>
    <w:rsid w:val="00340D1A"/>
    <w:rsid w:val="0034187A"/>
    <w:rsid w:val="00341A4F"/>
    <w:rsid w:val="00341B87"/>
    <w:rsid w:val="00341C23"/>
    <w:rsid w:val="00343BB0"/>
    <w:rsid w:val="00343D48"/>
    <w:rsid w:val="00343F8D"/>
    <w:rsid w:val="00344002"/>
    <w:rsid w:val="0034403D"/>
    <w:rsid w:val="003440C7"/>
    <w:rsid w:val="00344FD7"/>
    <w:rsid w:val="0034524A"/>
    <w:rsid w:val="00345910"/>
    <w:rsid w:val="0034631B"/>
    <w:rsid w:val="00346A53"/>
    <w:rsid w:val="00346C0D"/>
    <w:rsid w:val="00347126"/>
    <w:rsid w:val="00347212"/>
    <w:rsid w:val="0034780B"/>
    <w:rsid w:val="00347CB0"/>
    <w:rsid w:val="00350A78"/>
    <w:rsid w:val="00351DF4"/>
    <w:rsid w:val="003530B0"/>
    <w:rsid w:val="0035366E"/>
    <w:rsid w:val="00353713"/>
    <w:rsid w:val="00353CB2"/>
    <w:rsid w:val="00354446"/>
    <w:rsid w:val="0035560A"/>
    <w:rsid w:val="00355636"/>
    <w:rsid w:val="00355C21"/>
    <w:rsid w:val="0035631F"/>
    <w:rsid w:val="00356DB9"/>
    <w:rsid w:val="00357569"/>
    <w:rsid w:val="0036019E"/>
    <w:rsid w:val="003608DD"/>
    <w:rsid w:val="00360AEE"/>
    <w:rsid w:val="003610E9"/>
    <w:rsid w:val="00361602"/>
    <w:rsid w:val="00362563"/>
    <w:rsid w:val="00362965"/>
    <w:rsid w:val="00362F31"/>
    <w:rsid w:val="00362FB9"/>
    <w:rsid w:val="00363A4E"/>
    <w:rsid w:val="00363D83"/>
    <w:rsid w:val="00363F4D"/>
    <w:rsid w:val="0036427E"/>
    <w:rsid w:val="00364B67"/>
    <w:rsid w:val="00365338"/>
    <w:rsid w:val="0036575F"/>
    <w:rsid w:val="00365D08"/>
    <w:rsid w:val="00365D94"/>
    <w:rsid w:val="00365F76"/>
    <w:rsid w:val="00366033"/>
    <w:rsid w:val="0036622E"/>
    <w:rsid w:val="0036622F"/>
    <w:rsid w:val="00366D20"/>
    <w:rsid w:val="00366E66"/>
    <w:rsid w:val="00367027"/>
    <w:rsid w:val="00371322"/>
    <w:rsid w:val="003718DC"/>
    <w:rsid w:val="00371D44"/>
    <w:rsid w:val="00372237"/>
    <w:rsid w:val="0037230E"/>
    <w:rsid w:val="00372F49"/>
    <w:rsid w:val="00373083"/>
    <w:rsid w:val="00373264"/>
    <w:rsid w:val="003737D8"/>
    <w:rsid w:val="00373A3B"/>
    <w:rsid w:val="00373F29"/>
    <w:rsid w:val="00375301"/>
    <w:rsid w:val="003753D1"/>
    <w:rsid w:val="003756D2"/>
    <w:rsid w:val="00375E6C"/>
    <w:rsid w:val="0037623E"/>
    <w:rsid w:val="00376CBA"/>
    <w:rsid w:val="003778CB"/>
    <w:rsid w:val="003779A0"/>
    <w:rsid w:val="00377C8F"/>
    <w:rsid w:val="0038096A"/>
    <w:rsid w:val="00380D56"/>
    <w:rsid w:val="0038126E"/>
    <w:rsid w:val="00381CDC"/>
    <w:rsid w:val="003824F9"/>
    <w:rsid w:val="00382926"/>
    <w:rsid w:val="003833FC"/>
    <w:rsid w:val="00383A7F"/>
    <w:rsid w:val="003842D7"/>
    <w:rsid w:val="00384BBF"/>
    <w:rsid w:val="00385796"/>
    <w:rsid w:val="00385CDA"/>
    <w:rsid w:val="0038608D"/>
    <w:rsid w:val="00386192"/>
    <w:rsid w:val="00386BE6"/>
    <w:rsid w:val="0038705A"/>
    <w:rsid w:val="003871DA"/>
    <w:rsid w:val="003874C6"/>
    <w:rsid w:val="003908C1"/>
    <w:rsid w:val="00391323"/>
    <w:rsid w:val="00391385"/>
    <w:rsid w:val="00391768"/>
    <w:rsid w:val="003921F7"/>
    <w:rsid w:val="00393379"/>
    <w:rsid w:val="003935D1"/>
    <w:rsid w:val="003937D6"/>
    <w:rsid w:val="00393906"/>
    <w:rsid w:val="0039394A"/>
    <w:rsid w:val="00393F55"/>
    <w:rsid w:val="0039419D"/>
    <w:rsid w:val="00394C61"/>
    <w:rsid w:val="0039530D"/>
    <w:rsid w:val="0039540C"/>
    <w:rsid w:val="003963AC"/>
    <w:rsid w:val="00396B7C"/>
    <w:rsid w:val="00396FCB"/>
    <w:rsid w:val="0039740D"/>
    <w:rsid w:val="003A02D1"/>
    <w:rsid w:val="003A07EA"/>
    <w:rsid w:val="003A0C08"/>
    <w:rsid w:val="003A0EBB"/>
    <w:rsid w:val="003A14DB"/>
    <w:rsid w:val="003A181A"/>
    <w:rsid w:val="003A1EF5"/>
    <w:rsid w:val="003A302B"/>
    <w:rsid w:val="003A31D7"/>
    <w:rsid w:val="003A336D"/>
    <w:rsid w:val="003A3F59"/>
    <w:rsid w:val="003A4717"/>
    <w:rsid w:val="003A4AA5"/>
    <w:rsid w:val="003A69CE"/>
    <w:rsid w:val="003A6F25"/>
    <w:rsid w:val="003A7478"/>
    <w:rsid w:val="003A751B"/>
    <w:rsid w:val="003B0316"/>
    <w:rsid w:val="003B0E07"/>
    <w:rsid w:val="003B1725"/>
    <w:rsid w:val="003B205D"/>
    <w:rsid w:val="003B21C2"/>
    <w:rsid w:val="003B240A"/>
    <w:rsid w:val="003B385A"/>
    <w:rsid w:val="003B3DFD"/>
    <w:rsid w:val="003B3FD0"/>
    <w:rsid w:val="003B466B"/>
    <w:rsid w:val="003B47C3"/>
    <w:rsid w:val="003B4B08"/>
    <w:rsid w:val="003B5670"/>
    <w:rsid w:val="003B5EEC"/>
    <w:rsid w:val="003B6D46"/>
    <w:rsid w:val="003B6ECD"/>
    <w:rsid w:val="003B7F6F"/>
    <w:rsid w:val="003C0685"/>
    <w:rsid w:val="003C0B9D"/>
    <w:rsid w:val="003C121D"/>
    <w:rsid w:val="003C166A"/>
    <w:rsid w:val="003C1DB1"/>
    <w:rsid w:val="003C1E29"/>
    <w:rsid w:val="003C36F1"/>
    <w:rsid w:val="003C3A93"/>
    <w:rsid w:val="003C3EC0"/>
    <w:rsid w:val="003C4EDD"/>
    <w:rsid w:val="003C574C"/>
    <w:rsid w:val="003C5D57"/>
    <w:rsid w:val="003C61E8"/>
    <w:rsid w:val="003C6B4A"/>
    <w:rsid w:val="003C72C6"/>
    <w:rsid w:val="003C7421"/>
    <w:rsid w:val="003C76FD"/>
    <w:rsid w:val="003C77CE"/>
    <w:rsid w:val="003C7A72"/>
    <w:rsid w:val="003C7B0C"/>
    <w:rsid w:val="003D070B"/>
    <w:rsid w:val="003D09F9"/>
    <w:rsid w:val="003D0E8C"/>
    <w:rsid w:val="003D11DE"/>
    <w:rsid w:val="003D138B"/>
    <w:rsid w:val="003D1CCD"/>
    <w:rsid w:val="003D1E22"/>
    <w:rsid w:val="003D20D9"/>
    <w:rsid w:val="003D211D"/>
    <w:rsid w:val="003D2A70"/>
    <w:rsid w:val="003D2C0C"/>
    <w:rsid w:val="003D4496"/>
    <w:rsid w:val="003D4853"/>
    <w:rsid w:val="003D4AD6"/>
    <w:rsid w:val="003D4BCE"/>
    <w:rsid w:val="003D4EFA"/>
    <w:rsid w:val="003D63FF"/>
    <w:rsid w:val="003D66FF"/>
    <w:rsid w:val="003E00C3"/>
    <w:rsid w:val="003E01D5"/>
    <w:rsid w:val="003E01E0"/>
    <w:rsid w:val="003E09EE"/>
    <w:rsid w:val="003E0D5A"/>
    <w:rsid w:val="003E1113"/>
    <w:rsid w:val="003E18DD"/>
    <w:rsid w:val="003E2BE2"/>
    <w:rsid w:val="003E41FC"/>
    <w:rsid w:val="003E4373"/>
    <w:rsid w:val="003E46AD"/>
    <w:rsid w:val="003E4F2D"/>
    <w:rsid w:val="003E54A7"/>
    <w:rsid w:val="003E60AC"/>
    <w:rsid w:val="003E6165"/>
    <w:rsid w:val="003E6E14"/>
    <w:rsid w:val="003E73DC"/>
    <w:rsid w:val="003E780E"/>
    <w:rsid w:val="003E7DC3"/>
    <w:rsid w:val="003F0129"/>
    <w:rsid w:val="003F0374"/>
    <w:rsid w:val="003F0418"/>
    <w:rsid w:val="003F0679"/>
    <w:rsid w:val="003F06E0"/>
    <w:rsid w:val="003F0754"/>
    <w:rsid w:val="003F0A79"/>
    <w:rsid w:val="003F10FA"/>
    <w:rsid w:val="003F1277"/>
    <w:rsid w:val="003F1870"/>
    <w:rsid w:val="003F1B60"/>
    <w:rsid w:val="003F21D2"/>
    <w:rsid w:val="003F23B4"/>
    <w:rsid w:val="003F23C8"/>
    <w:rsid w:val="003F357F"/>
    <w:rsid w:val="003F3788"/>
    <w:rsid w:val="003F399E"/>
    <w:rsid w:val="003F3FA8"/>
    <w:rsid w:val="003F4807"/>
    <w:rsid w:val="003F4B46"/>
    <w:rsid w:val="003F62ED"/>
    <w:rsid w:val="003F7773"/>
    <w:rsid w:val="003F7835"/>
    <w:rsid w:val="003F7E50"/>
    <w:rsid w:val="004003F4"/>
    <w:rsid w:val="00400BE9"/>
    <w:rsid w:val="00400CD9"/>
    <w:rsid w:val="004011DF"/>
    <w:rsid w:val="00401771"/>
    <w:rsid w:val="00401B7F"/>
    <w:rsid w:val="004028EF"/>
    <w:rsid w:val="00403002"/>
    <w:rsid w:val="00403818"/>
    <w:rsid w:val="00403DC0"/>
    <w:rsid w:val="00404A46"/>
    <w:rsid w:val="004054E5"/>
    <w:rsid w:val="00405972"/>
    <w:rsid w:val="00405AEB"/>
    <w:rsid w:val="004061E7"/>
    <w:rsid w:val="004073D8"/>
    <w:rsid w:val="0040745F"/>
    <w:rsid w:val="00407C0F"/>
    <w:rsid w:val="004104FB"/>
    <w:rsid w:val="00410800"/>
    <w:rsid w:val="004111AF"/>
    <w:rsid w:val="00411809"/>
    <w:rsid w:val="00411BC3"/>
    <w:rsid w:val="00411D1B"/>
    <w:rsid w:val="00411E51"/>
    <w:rsid w:val="0041206B"/>
    <w:rsid w:val="0041297E"/>
    <w:rsid w:val="00412EA7"/>
    <w:rsid w:val="0041335C"/>
    <w:rsid w:val="00413CF8"/>
    <w:rsid w:val="004144A1"/>
    <w:rsid w:val="00414F9A"/>
    <w:rsid w:val="0041520F"/>
    <w:rsid w:val="00415466"/>
    <w:rsid w:val="00415F53"/>
    <w:rsid w:val="004173A2"/>
    <w:rsid w:val="00420275"/>
    <w:rsid w:val="004207E0"/>
    <w:rsid w:val="004211D4"/>
    <w:rsid w:val="0042146D"/>
    <w:rsid w:val="004216CD"/>
    <w:rsid w:val="00421BE9"/>
    <w:rsid w:val="00421D36"/>
    <w:rsid w:val="00421D69"/>
    <w:rsid w:val="00421D81"/>
    <w:rsid w:val="00421E42"/>
    <w:rsid w:val="004220D3"/>
    <w:rsid w:val="00422F60"/>
    <w:rsid w:val="00423B43"/>
    <w:rsid w:val="00423BAF"/>
    <w:rsid w:val="00423E45"/>
    <w:rsid w:val="0042456B"/>
    <w:rsid w:val="004251E5"/>
    <w:rsid w:val="004253AC"/>
    <w:rsid w:val="00425684"/>
    <w:rsid w:val="00425731"/>
    <w:rsid w:val="00425AE6"/>
    <w:rsid w:val="00425B7A"/>
    <w:rsid w:val="00425F75"/>
    <w:rsid w:val="00425F88"/>
    <w:rsid w:val="004261A1"/>
    <w:rsid w:val="0042652A"/>
    <w:rsid w:val="00426C0B"/>
    <w:rsid w:val="00426C7F"/>
    <w:rsid w:val="00426D66"/>
    <w:rsid w:val="00427522"/>
    <w:rsid w:val="00427766"/>
    <w:rsid w:val="00427823"/>
    <w:rsid w:val="00427B54"/>
    <w:rsid w:val="00427B78"/>
    <w:rsid w:val="00430086"/>
    <w:rsid w:val="004300E5"/>
    <w:rsid w:val="00430653"/>
    <w:rsid w:val="0043190C"/>
    <w:rsid w:val="00431F66"/>
    <w:rsid w:val="00432520"/>
    <w:rsid w:val="004325CA"/>
    <w:rsid w:val="004327E3"/>
    <w:rsid w:val="00432A5A"/>
    <w:rsid w:val="00432C7D"/>
    <w:rsid w:val="00432DFA"/>
    <w:rsid w:val="004331BA"/>
    <w:rsid w:val="004333DD"/>
    <w:rsid w:val="00433691"/>
    <w:rsid w:val="0043387D"/>
    <w:rsid w:val="00434693"/>
    <w:rsid w:val="00434AD0"/>
    <w:rsid w:val="00434B4B"/>
    <w:rsid w:val="00434C35"/>
    <w:rsid w:val="00435230"/>
    <w:rsid w:val="00435D13"/>
    <w:rsid w:val="00436C65"/>
    <w:rsid w:val="00437002"/>
    <w:rsid w:val="0043728A"/>
    <w:rsid w:val="00437565"/>
    <w:rsid w:val="004375B4"/>
    <w:rsid w:val="004401F9"/>
    <w:rsid w:val="00440791"/>
    <w:rsid w:val="00440CD2"/>
    <w:rsid w:val="004411A4"/>
    <w:rsid w:val="00441210"/>
    <w:rsid w:val="0044176C"/>
    <w:rsid w:val="0044186A"/>
    <w:rsid w:val="00441888"/>
    <w:rsid w:val="0044218A"/>
    <w:rsid w:val="00442819"/>
    <w:rsid w:val="00442B10"/>
    <w:rsid w:val="00442D0B"/>
    <w:rsid w:val="00442ECB"/>
    <w:rsid w:val="00443889"/>
    <w:rsid w:val="00443A3D"/>
    <w:rsid w:val="00443FEC"/>
    <w:rsid w:val="004442F2"/>
    <w:rsid w:val="004443FC"/>
    <w:rsid w:val="0044480B"/>
    <w:rsid w:val="004449A7"/>
    <w:rsid w:val="00445546"/>
    <w:rsid w:val="00445563"/>
    <w:rsid w:val="00445570"/>
    <w:rsid w:val="004458AA"/>
    <w:rsid w:val="00445CDA"/>
    <w:rsid w:val="00446257"/>
    <w:rsid w:val="004471D5"/>
    <w:rsid w:val="00447725"/>
    <w:rsid w:val="0044781D"/>
    <w:rsid w:val="004478AD"/>
    <w:rsid w:val="00447AFB"/>
    <w:rsid w:val="004510B8"/>
    <w:rsid w:val="00451C8F"/>
    <w:rsid w:val="0045247C"/>
    <w:rsid w:val="00452683"/>
    <w:rsid w:val="00452E1C"/>
    <w:rsid w:val="00453A87"/>
    <w:rsid w:val="00454A6E"/>
    <w:rsid w:val="004550AE"/>
    <w:rsid w:val="00455DD8"/>
    <w:rsid w:val="00456243"/>
    <w:rsid w:val="0045637D"/>
    <w:rsid w:val="00456BBA"/>
    <w:rsid w:val="00456E6E"/>
    <w:rsid w:val="0045741B"/>
    <w:rsid w:val="0045761C"/>
    <w:rsid w:val="004579EA"/>
    <w:rsid w:val="0046129A"/>
    <w:rsid w:val="0046173E"/>
    <w:rsid w:val="00461A14"/>
    <w:rsid w:val="00462267"/>
    <w:rsid w:val="00463574"/>
    <w:rsid w:val="00463D11"/>
    <w:rsid w:val="00463F9A"/>
    <w:rsid w:val="004641E1"/>
    <w:rsid w:val="004646AD"/>
    <w:rsid w:val="00464A76"/>
    <w:rsid w:val="00465016"/>
    <w:rsid w:val="004655BD"/>
    <w:rsid w:val="004655E8"/>
    <w:rsid w:val="004656F2"/>
    <w:rsid w:val="00465D32"/>
    <w:rsid w:val="00466803"/>
    <w:rsid w:val="004670C7"/>
    <w:rsid w:val="00467319"/>
    <w:rsid w:val="00467380"/>
    <w:rsid w:val="0046787A"/>
    <w:rsid w:val="00467D56"/>
    <w:rsid w:val="004703F8"/>
    <w:rsid w:val="00470951"/>
    <w:rsid w:val="00472826"/>
    <w:rsid w:val="00472858"/>
    <w:rsid w:val="004731EE"/>
    <w:rsid w:val="00473307"/>
    <w:rsid w:val="00473381"/>
    <w:rsid w:val="0047356D"/>
    <w:rsid w:val="00473ACA"/>
    <w:rsid w:val="00473EED"/>
    <w:rsid w:val="00474915"/>
    <w:rsid w:val="00474B0A"/>
    <w:rsid w:val="00474E75"/>
    <w:rsid w:val="00475DD0"/>
    <w:rsid w:val="0047606E"/>
    <w:rsid w:val="004770DC"/>
    <w:rsid w:val="00477867"/>
    <w:rsid w:val="00477BA6"/>
    <w:rsid w:val="00480011"/>
    <w:rsid w:val="0048081F"/>
    <w:rsid w:val="00480C87"/>
    <w:rsid w:val="00481073"/>
    <w:rsid w:val="004814AD"/>
    <w:rsid w:val="004819B8"/>
    <w:rsid w:val="00481A07"/>
    <w:rsid w:val="00482078"/>
    <w:rsid w:val="00482409"/>
    <w:rsid w:val="00482570"/>
    <w:rsid w:val="004828CB"/>
    <w:rsid w:val="004837EA"/>
    <w:rsid w:val="004840F4"/>
    <w:rsid w:val="0048424E"/>
    <w:rsid w:val="004847A3"/>
    <w:rsid w:val="004856D2"/>
    <w:rsid w:val="00487143"/>
    <w:rsid w:val="00487215"/>
    <w:rsid w:val="00487311"/>
    <w:rsid w:val="0048790C"/>
    <w:rsid w:val="00487A0D"/>
    <w:rsid w:val="00487D6B"/>
    <w:rsid w:val="0049001E"/>
    <w:rsid w:val="00490B51"/>
    <w:rsid w:val="00491483"/>
    <w:rsid w:val="00491906"/>
    <w:rsid w:val="004920A9"/>
    <w:rsid w:val="00492990"/>
    <w:rsid w:val="00492C2E"/>
    <w:rsid w:val="004932DD"/>
    <w:rsid w:val="00493890"/>
    <w:rsid w:val="004948BC"/>
    <w:rsid w:val="004956B4"/>
    <w:rsid w:val="00495FE9"/>
    <w:rsid w:val="00496672"/>
    <w:rsid w:val="00496AC5"/>
    <w:rsid w:val="0049719C"/>
    <w:rsid w:val="00497CFF"/>
    <w:rsid w:val="004A045F"/>
    <w:rsid w:val="004A07BC"/>
    <w:rsid w:val="004A0AAE"/>
    <w:rsid w:val="004A0B02"/>
    <w:rsid w:val="004A0DB8"/>
    <w:rsid w:val="004A12BF"/>
    <w:rsid w:val="004A16C7"/>
    <w:rsid w:val="004A17A3"/>
    <w:rsid w:val="004A1F2C"/>
    <w:rsid w:val="004A21C1"/>
    <w:rsid w:val="004A2455"/>
    <w:rsid w:val="004A42EC"/>
    <w:rsid w:val="004A444C"/>
    <w:rsid w:val="004A4B26"/>
    <w:rsid w:val="004A547B"/>
    <w:rsid w:val="004A55D9"/>
    <w:rsid w:val="004A578E"/>
    <w:rsid w:val="004A5E1B"/>
    <w:rsid w:val="004A625A"/>
    <w:rsid w:val="004A6993"/>
    <w:rsid w:val="004A6F16"/>
    <w:rsid w:val="004A6FD6"/>
    <w:rsid w:val="004A72D6"/>
    <w:rsid w:val="004A735D"/>
    <w:rsid w:val="004A739B"/>
    <w:rsid w:val="004A7964"/>
    <w:rsid w:val="004B04B8"/>
    <w:rsid w:val="004B0FF6"/>
    <w:rsid w:val="004B1C94"/>
    <w:rsid w:val="004B25E7"/>
    <w:rsid w:val="004B2CF6"/>
    <w:rsid w:val="004B2FD1"/>
    <w:rsid w:val="004B348C"/>
    <w:rsid w:val="004B39BC"/>
    <w:rsid w:val="004B3C7B"/>
    <w:rsid w:val="004B3E7D"/>
    <w:rsid w:val="004B49D0"/>
    <w:rsid w:val="004B4B98"/>
    <w:rsid w:val="004B4CF3"/>
    <w:rsid w:val="004B511D"/>
    <w:rsid w:val="004B553D"/>
    <w:rsid w:val="004B6555"/>
    <w:rsid w:val="004B69D2"/>
    <w:rsid w:val="004B7584"/>
    <w:rsid w:val="004C0558"/>
    <w:rsid w:val="004C18E0"/>
    <w:rsid w:val="004C1DC3"/>
    <w:rsid w:val="004C2494"/>
    <w:rsid w:val="004C3025"/>
    <w:rsid w:val="004C39F1"/>
    <w:rsid w:val="004C3C9D"/>
    <w:rsid w:val="004C3EFF"/>
    <w:rsid w:val="004C43AD"/>
    <w:rsid w:val="004C4B10"/>
    <w:rsid w:val="004C4E2A"/>
    <w:rsid w:val="004C5DA8"/>
    <w:rsid w:val="004C615E"/>
    <w:rsid w:val="004C6761"/>
    <w:rsid w:val="004C6942"/>
    <w:rsid w:val="004C7AF3"/>
    <w:rsid w:val="004C7C22"/>
    <w:rsid w:val="004D0228"/>
    <w:rsid w:val="004D06B2"/>
    <w:rsid w:val="004D0A7E"/>
    <w:rsid w:val="004D0C9C"/>
    <w:rsid w:val="004D2C2F"/>
    <w:rsid w:val="004D3BE8"/>
    <w:rsid w:val="004D3F73"/>
    <w:rsid w:val="004D4639"/>
    <w:rsid w:val="004D5E29"/>
    <w:rsid w:val="004D5F0B"/>
    <w:rsid w:val="004D679A"/>
    <w:rsid w:val="004D70F5"/>
    <w:rsid w:val="004D78F7"/>
    <w:rsid w:val="004E03EB"/>
    <w:rsid w:val="004E0412"/>
    <w:rsid w:val="004E0AB8"/>
    <w:rsid w:val="004E0BE5"/>
    <w:rsid w:val="004E122B"/>
    <w:rsid w:val="004E13DA"/>
    <w:rsid w:val="004E1568"/>
    <w:rsid w:val="004E2659"/>
    <w:rsid w:val="004E2704"/>
    <w:rsid w:val="004E2CA4"/>
    <w:rsid w:val="004E3A38"/>
    <w:rsid w:val="004E3B46"/>
    <w:rsid w:val="004E4199"/>
    <w:rsid w:val="004E489A"/>
    <w:rsid w:val="004E66B7"/>
    <w:rsid w:val="004E733E"/>
    <w:rsid w:val="004E763F"/>
    <w:rsid w:val="004F03AA"/>
    <w:rsid w:val="004F045C"/>
    <w:rsid w:val="004F06E4"/>
    <w:rsid w:val="004F14CA"/>
    <w:rsid w:val="004F15D2"/>
    <w:rsid w:val="004F1698"/>
    <w:rsid w:val="004F1F08"/>
    <w:rsid w:val="004F1F77"/>
    <w:rsid w:val="004F26EF"/>
    <w:rsid w:val="004F2721"/>
    <w:rsid w:val="004F28AB"/>
    <w:rsid w:val="004F30FB"/>
    <w:rsid w:val="004F3D8B"/>
    <w:rsid w:val="004F43B4"/>
    <w:rsid w:val="004F4EC3"/>
    <w:rsid w:val="004F4FBE"/>
    <w:rsid w:val="004F5148"/>
    <w:rsid w:val="004F51D3"/>
    <w:rsid w:val="004F542B"/>
    <w:rsid w:val="004F5446"/>
    <w:rsid w:val="004F5E89"/>
    <w:rsid w:val="004F6292"/>
    <w:rsid w:val="004F6341"/>
    <w:rsid w:val="004F6BB7"/>
    <w:rsid w:val="004F6DA4"/>
    <w:rsid w:val="004F777F"/>
    <w:rsid w:val="004F7803"/>
    <w:rsid w:val="004F7A3E"/>
    <w:rsid w:val="004F7C48"/>
    <w:rsid w:val="00500993"/>
    <w:rsid w:val="0050217C"/>
    <w:rsid w:val="00502805"/>
    <w:rsid w:val="00502D2D"/>
    <w:rsid w:val="0050300D"/>
    <w:rsid w:val="00503C2E"/>
    <w:rsid w:val="00503C37"/>
    <w:rsid w:val="005041B0"/>
    <w:rsid w:val="0050479C"/>
    <w:rsid w:val="005056D3"/>
    <w:rsid w:val="00505831"/>
    <w:rsid w:val="00506503"/>
    <w:rsid w:val="0050655C"/>
    <w:rsid w:val="00506650"/>
    <w:rsid w:val="00506728"/>
    <w:rsid w:val="00506B4D"/>
    <w:rsid w:val="00506D35"/>
    <w:rsid w:val="005074F1"/>
    <w:rsid w:val="00507B8F"/>
    <w:rsid w:val="00510729"/>
    <w:rsid w:val="00510820"/>
    <w:rsid w:val="00510B46"/>
    <w:rsid w:val="00510F67"/>
    <w:rsid w:val="0051112C"/>
    <w:rsid w:val="00511379"/>
    <w:rsid w:val="00511A01"/>
    <w:rsid w:val="00511E24"/>
    <w:rsid w:val="00511E5A"/>
    <w:rsid w:val="00511EB2"/>
    <w:rsid w:val="005120CB"/>
    <w:rsid w:val="00512320"/>
    <w:rsid w:val="00512BBF"/>
    <w:rsid w:val="00512CCB"/>
    <w:rsid w:val="00512D09"/>
    <w:rsid w:val="0051315F"/>
    <w:rsid w:val="005132D7"/>
    <w:rsid w:val="005139B8"/>
    <w:rsid w:val="00513CC2"/>
    <w:rsid w:val="00513D22"/>
    <w:rsid w:val="00513D6E"/>
    <w:rsid w:val="00513FED"/>
    <w:rsid w:val="00514190"/>
    <w:rsid w:val="0051459E"/>
    <w:rsid w:val="00515431"/>
    <w:rsid w:val="005160F5"/>
    <w:rsid w:val="00516219"/>
    <w:rsid w:val="005164F3"/>
    <w:rsid w:val="00516BD3"/>
    <w:rsid w:val="00516BE7"/>
    <w:rsid w:val="005170A8"/>
    <w:rsid w:val="005172AC"/>
    <w:rsid w:val="00517374"/>
    <w:rsid w:val="0051790A"/>
    <w:rsid w:val="00520266"/>
    <w:rsid w:val="00520ACE"/>
    <w:rsid w:val="00521458"/>
    <w:rsid w:val="00521DF3"/>
    <w:rsid w:val="005222B1"/>
    <w:rsid w:val="00522D6F"/>
    <w:rsid w:val="005236D1"/>
    <w:rsid w:val="00523C43"/>
    <w:rsid w:val="00523EE1"/>
    <w:rsid w:val="005240DC"/>
    <w:rsid w:val="005243B8"/>
    <w:rsid w:val="0052525A"/>
    <w:rsid w:val="005253E9"/>
    <w:rsid w:val="0052555F"/>
    <w:rsid w:val="00527154"/>
    <w:rsid w:val="00527435"/>
    <w:rsid w:val="0052757B"/>
    <w:rsid w:val="005278D3"/>
    <w:rsid w:val="00527D32"/>
    <w:rsid w:val="00527DD1"/>
    <w:rsid w:val="00530F5C"/>
    <w:rsid w:val="005311CF"/>
    <w:rsid w:val="00531C32"/>
    <w:rsid w:val="00531FAD"/>
    <w:rsid w:val="00532137"/>
    <w:rsid w:val="005329B8"/>
    <w:rsid w:val="005329CB"/>
    <w:rsid w:val="00532D66"/>
    <w:rsid w:val="005332BC"/>
    <w:rsid w:val="00533360"/>
    <w:rsid w:val="00533FE2"/>
    <w:rsid w:val="005340B6"/>
    <w:rsid w:val="00534182"/>
    <w:rsid w:val="00534456"/>
    <w:rsid w:val="005345C2"/>
    <w:rsid w:val="0053499D"/>
    <w:rsid w:val="00534AEE"/>
    <w:rsid w:val="00534F2A"/>
    <w:rsid w:val="0053624E"/>
    <w:rsid w:val="00537B36"/>
    <w:rsid w:val="00537B6E"/>
    <w:rsid w:val="00540347"/>
    <w:rsid w:val="005406C5"/>
    <w:rsid w:val="00540A13"/>
    <w:rsid w:val="005413D2"/>
    <w:rsid w:val="00541582"/>
    <w:rsid w:val="005415E2"/>
    <w:rsid w:val="0054172A"/>
    <w:rsid w:val="00541BFB"/>
    <w:rsid w:val="005424E8"/>
    <w:rsid w:val="0054261A"/>
    <w:rsid w:val="00543ABE"/>
    <w:rsid w:val="005440D3"/>
    <w:rsid w:val="005441FA"/>
    <w:rsid w:val="0054457F"/>
    <w:rsid w:val="005447A0"/>
    <w:rsid w:val="00544ECC"/>
    <w:rsid w:val="005450C5"/>
    <w:rsid w:val="00545496"/>
    <w:rsid w:val="005458CB"/>
    <w:rsid w:val="00545F4C"/>
    <w:rsid w:val="00546617"/>
    <w:rsid w:val="00546950"/>
    <w:rsid w:val="00547221"/>
    <w:rsid w:val="00547646"/>
    <w:rsid w:val="005477D9"/>
    <w:rsid w:val="00547BA5"/>
    <w:rsid w:val="00551998"/>
    <w:rsid w:val="00551DC7"/>
    <w:rsid w:val="005534C8"/>
    <w:rsid w:val="00553A89"/>
    <w:rsid w:val="00553E6B"/>
    <w:rsid w:val="00554493"/>
    <w:rsid w:val="005545CB"/>
    <w:rsid w:val="00554F35"/>
    <w:rsid w:val="0055518F"/>
    <w:rsid w:val="0055521A"/>
    <w:rsid w:val="00556840"/>
    <w:rsid w:val="00557A17"/>
    <w:rsid w:val="00557AAE"/>
    <w:rsid w:val="0056092A"/>
    <w:rsid w:val="0056127E"/>
    <w:rsid w:val="00561550"/>
    <w:rsid w:val="00561DD0"/>
    <w:rsid w:val="005621BF"/>
    <w:rsid w:val="005634FE"/>
    <w:rsid w:val="005635EB"/>
    <w:rsid w:val="005649C9"/>
    <w:rsid w:val="00564ABA"/>
    <w:rsid w:val="00564D1C"/>
    <w:rsid w:val="00564DB4"/>
    <w:rsid w:val="00564FD1"/>
    <w:rsid w:val="0056511F"/>
    <w:rsid w:val="00565DC0"/>
    <w:rsid w:val="00565DEB"/>
    <w:rsid w:val="00566548"/>
    <w:rsid w:val="005665FD"/>
    <w:rsid w:val="00567302"/>
    <w:rsid w:val="00567C15"/>
    <w:rsid w:val="00567F30"/>
    <w:rsid w:val="0057054C"/>
    <w:rsid w:val="00570A78"/>
    <w:rsid w:val="0057110E"/>
    <w:rsid w:val="005711C7"/>
    <w:rsid w:val="005712B2"/>
    <w:rsid w:val="00571D7D"/>
    <w:rsid w:val="00571DF6"/>
    <w:rsid w:val="005722F3"/>
    <w:rsid w:val="0057237E"/>
    <w:rsid w:val="00572802"/>
    <w:rsid w:val="00572AC2"/>
    <w:rsid w:val="00572C00"/>
    <w:rsid w:val="005732E0"/>
    <w:rsid w:val="00574289"/>
    <w:rsid w:val="005752B0"/>
    <w:rsid w:val="005755CA"/>
    <w:rsid w:val="005759E0"/>
    <w:rsid w:val="00576909"/>
    <w:rsid w:val="00576A9D"/>
    <w:rsid w:val="00576BFA"/>
    <w:rsid w:val="00576E39"/>
    <w:rsid w:val="0057740C"/>
    <w:rsid w:val="0057754F"/>
    <w:rsid w:val="00577FC9"/>
    <w:rsid w:val="00580067"/>
    <w:rsid w:val="0058060C"/>
    <w:rsid w:val="00580A61"/>
    <w:rsid w:val="00580FED"/>
    <w:rsid w:val="00581524"/>
    <w:rsid w:val="005818C4"/>
    <w:rsid w:val="00581BAB"/>
    <w:rsid w:val="005820C6"/>
    <w:rsid w:val="0058255E"/>
    <w:rsid w:val="005835F2"/>
    <w:rsid w:val="0058367F"/>
    <w:rsid w:val="005836C2"/>
    <w:rsid w:val="0058386F"/>
    <w:rsid w:val="005844A9"/>
    <w:rsid w:val="005846FE"/>
    <w:rsid w:val="00584E59"/>
    <w:rsid w:val="005851F9"/>
    <w:rsid w:val="00585534"/>
    <w:rsid w:val="00585CC9"/>
    <w:rsid w:val="00586147"/>
    <w:rsid w:val="00587499"/>
    <w:rsid w:val="005879FA"/>
    <w:rsid w:val="00587C6B"/>
    <w:rsid w:val="0059007E"/>
    <w:rsid w:val="00590407"/>
    <w:rsid w:val="00590D89"/>
    <w:rsid w:val="00590DF2"/>
    <w:rsid w:val="00590FB2"/>
    <w:rsid w:val="005918C0"/>
    <w:rsid w:val="00591902"/>
    <w:rsid w:val="00591DC6"/>
    <w:rsid w:val="00592A84"/>
    <w:rsid w:val="00592FD0"/>
    <w:rsid w:val="00593560"/>
    <w:rsid w:val="005939C0"/>
    <w:rsid w:val="00594C97"/>
    <w:rsid w:val="005956F7"/>
    <w:rsid w:val="005957EC"/>
    <w:rsid w:val="00595C7E"/>
    <w:rsid w:val="00595D48"/>
    <w:rsid w:val="00595FE9"/>
    <w:rsid w:val="005960BD"/>
    <w:rsid w:val="0059636C"/>
    <w:rsid w:val="005963A7"/>
    <w:rsid w:val="00596999"/>
    <w:rsid w:val="005973B5"/>
    <w:rsid w:val="00597D21"/>
    <w:rsid w:val="005A03DE"/>
    <w:rsid w:val="005A0678"/>
    <w:rsid w:val="005A1ADF"/>
    <w:rsid w:val="005A275F"/>
    <w:rsid w:val="005A2EEF"/>
    <w:rsid w:val="005A314F"/>
    <w:rsid w:val="005A331C"/>
    <w:rsid w:val="005A39CD"/>
    <w:rsid w:val="005A540E"/>
    <w:rsid w:val="005A58B0"/>
    <w:rsid w:val="005A5C53"/>
    <w:rsid w:val="005A5D65"/>
    <w:rsid w:val="005A5EBE"/>
    <w:rsid w:val="005A5F3B"/>
    <w:rsid w:val="005A6C4A"/>
    <w:rsid w:val="005A720D"/>
    <w:rsid w:val="005A7557"/>
    <w:rsid w:val="005B0361"/>
    <w:rsid w:val="005B0699"/>
    <w:rsid w:val="005B0967"/>
    <w:rsid w:val="005B0A56"/>
    <w:rsid w:val="005B1718"/>
    <w:rsid w:val="005B18CC"/>
    <w:rsid w:val="005B2421"/>
    <w:rsid w:val="005B24FB"/>
    <w:rsid w:val="005B283D"/>
    <w:rsid w:val="005B3E23"/>
    <w:rsid w:val="005B4141"/>
    <w:rsid w:val="005B4344"/>
    <w:rsid w:val="005B56F4"/>
    <w:rsid w:val="005B58FB"/>
    <w:rsid w:val="005B5936"/>
    <w:rsid w:val="005B6343"/>
    <w:rsid w:val="005B72BA"/>
    <w:rsid w:val="005B7611"/>
    <w:rsid w:val="005B7C01"/>
    <w:rsid w:val="005B7D69"/>
    <w:rsid w:val="005C0290"/>
    <w:rsid w:val="005C0879"/>
    <w:rsid w:val="005C101E"/>
    <w:rsid w:val="005C1612"/>
    <w:rsid w:val="005C1693"/>
    <w:rsid w:val="005C1A2F"/>
    <w:rsid w:val="005C2744"/>
    <w:rsid w:val="005C40CD"/>
    <w:rsid w:val="005C4B61"/>
    <w:rsid w:val="005C5136"/>
    <w:rsid w:val="005C5B84"/>
    <w:rsid w:val="005C63B5"/>
    <w:rsid w:val="005C65C0"/>
    <w:rsid w:val="005C691C"/>
    <w:rsid w:val="005C7270"/>
    <w:rsid w:val="005C7282"/>
    <w:rsid w:val="005C7C19"/>
    <w:rsid w:val="005D000F"/>
    <w:rsid w:val="005D059B"/>
    <w:rsid w:val="005D09CD"/>
    <w:rsid w:val="005D0F74"/>
    <w:rsid w:val="005D1A2A"/>
    <w:rsid w:val="005D239E"/>
    <w:rsid w:val="005D2B18"/>
    <w:rsid w:val="005D2CB1"/>
    <w:rsid w:val="005D2EF2"/>
    <w:rsid w:val="005D3094"/>
    <w:rsid w:val="005D3350"/>
    <w:rsid w:val="005D33C3"/>
    <w:rsid w:val="005D342A"/>
    <w:rsid w:val="005D36CF"/>
    <w:rsid w:val="005D3757"/>
    <w:rsid w:val="005D37D9"/>
    <w:rsid w:val="005D3BDD"/>
    <w:rsid w:val="005D3DE9"/>
    <w:rsid w:val="005D400A"/>
    <w:rsid w:val="005D4339"/>
    <w:rsid w:val="005D4396"/>
    <w:rsid w:val="005D46E2"/>
    <w:rsid w:val="005D4866"/>
    <w:rsid w:val="005D48C6"/>
    <w:rsid w:val="005D4908"/>
    <w:rsid w:val="005D4BD0"/>
    <w:rsid w:val="005D5244"/>
    <w:rsid w:val="005D576E"/>
    <w:rsid w:val="005D5B34"/>
    <w:rsid w:val="005D63E3"/>
    <w:rsid w:val="005D6428"/>
    <w:rsid w:val="005D6782"/>
    <w:rsid w:val="005D6AF0"/>
    <w:rsid w:val="005D79F9"/>
    <w:rsid w:val="005D7F9B"/>
    <w:rsid w:val="005E12FB"/>
    <w:rsid w:val="005E2458"/>
    <w:rsid w:val="005E2BC6"/>
    <w:rsid w:val="005E2DA6"/>
    <w:rsid w:val="005E322E"/>
    <w:rsid w:val="005E3502"/>
    <w:rsid w:val="005E4B7D"/>
    <w:rsid w:val="005E595A"/>
    <w:rsid w:val="005E646D"/>
    <w:rsid w:val="005E6915"/>
    <w:rsid w:val="005E7B57"/>
    <w:rsid w:val="005F00A2"/>
    <w:rsid w:val="005F0173"/>
    <w:rsid w:val="005F0BDF"/>
    <w:rsid w:val="005F0CA6"/>
    <w:rsid w:val="005F0D3E"/>
    <w:rsid w:val="005F12FE"/>
    <w:rsid w:val="005F17DB"/>
    <w:rsid w:val="005F19EC"/>
    <w:rsid w:val="005F1DF4"/>
    <w:rsid w:val="005F23B8"/>
    <w:rsid w:val="005F3259"/>
    <w:rsid w:val="005F364A"/>
    <w:rsid w:val="005F36B9"/>
    <w:rsid w:val="005F39DB"/>
    <w:rsid w:val="005F3FC5"/>
    <w:rsid w:val="005F481D"/>
    <w:rsid w:val="005F5516"/>
    <w:rsid w:val="005F5817"/>
    <w:rsid w:val="005F5C2C"/>
    <w:rsid w:val="005F7CDC"/>
    <w:rsid w:val="006000C8"/>
    <w:rsid w:val="00600586"/>
    <w:rsid w:val="006009E3"/>
    <w:rsid w:val="00601420"/>
    <w:rsid w:val="00601484"/>
    <w:rsid w:val="00601E0F"/>
    <w:rsid w:val="00602B76"/>
    <w:rsid w:val="00602E03"/>
    <w:rsid w:val="00603CE2"/>
    <w:rsid w:val="00603EE6"/>
    <w:rsid w:val="00604527"/>
    <w:rsid w:val="0060456A"/>
    <w:rsid w:val="006046C2"/>
    <w:rsid w:val="00604826"/>
    <w:rsid w:val="00604B2F"/>
    <w:rsid w:val="00604EBB"/>
    <w:rsid w:val="00604F42"/>
    <w:rsid w:val="006060F1"/>
    <w:rsid w:val="006068C3"/>
    <w:rsid w:val="006072B1"/>
    <w:rsid w:val="00607BCB"/>
    <w:rsid w:val="00610A6A"/>
    <w:rsid w:val="00610D2D"/>
    <w:rsid w:val="00611281"/>
    <w:rsid w:val="00611399"/>
    <w:rsid w:val="00611541"/>
    <w:rsid w:val="00611F82"/>
    <w:rsid w:val="006124B9"/>
    <w:rsid w:val="00612FDF"/>
    <w:rsid w:val="00613124"/>
    <w:rsid w:val="006131A1"/>
    <w:rsid w:val="006142AE"/>
    <w:rsid w:val="006148E0"/>
    <w:rsid w:val="00614972"/>
    <w:rsid w:val="00614B9C"/>
    <w:rsid w:val="00614CAC"/>
    <w:rsid w:val="006152F2"/>
    <w:rsid w:val="006154B7"/>
    <w:rsid w:val="006155B5"/>
    <w:rsid w:val="00615620"/>
    <w:rsid w:val="00615B3C"/>
    <w:rsid w:val="00615C04"/>
    <w:rsid w:val="00615DF6"/>
    <w:rsid w:val="00615E35"/>
    <w:rsid w:val="00615F79"/>
    <w:rsid w:val="00616FE4"/>
    <w:rsid w:val="00617374"/>
    <w:rsid w:val="0061741B"/>
    <w:rsid w:val="006179B9"/>
    <w:rsid w:val="00617D95"/>
    <w:rsid w:val="0062078F"/>
    <w:rsid w:val="00621A89"/>
    <w:rsid w:val="00623869"/>
    <w:rsid w:val="00623A65"/>
    <w:rsid w:val="00623D84"/>
    <w:rsid w:val="006240C5"/>
    <w:rsid w:val="00624399"/>
    <w:rsid w:val="006246B6"/>
    <w:rsid w:val="006252B7"/>
    <w:rsid w:val="0062541D"/>
    <w:rsid w:val="00625B54"/>
    <w:rsid w:val="00625C4D"/>
    <w:rsid w:val="006263F8"/>
    <w:rsid w:val="006273C3"/>
    <w:rsid w:val="0063008C"/>
    <w:rsid w:val="00630750"/>
    <w:rsid w:val="006309F1"/>
    <w:rsid w:val="00631038"/>
    <w:rsid w:val="006314AE"/>
    <w:rsid w:val="006327C3"/>
    <w:rsid w:val="00633F57"/>
    <w:rsid w:val="006343D8"/>
    <w:rsid w:val="006353DB"/>
    <w:rsid w:val="00635FB1"/>
    <w:rsid w:val="006362BA"/>
    <w:rsid w:val="00636753"/>
    <w:rsid w:val="00636B41"/>
    <w:rsid w:val="0064154F"/>
    <w:rsid w:val="006415E9"/>
    <w:rsid w:val="0064199F"/>
    <w:rsid w:val="00641E86"/>
    <w:rsid w:val="00642021"/>
    <w:rsid w:val="0064221D"/>
    <w:rsid w:val="00642510"/>
    <w:rsid w:val="0064266B"/>
    <w:rsid w:val="006428BF"/>
    <w:rsid w:val="006435D6"/>
    <w:rsid w:val="00643637"/>
    <w:rsid w:val="00643F1E"/>
    <w:rsid w:val="00643F44"/>
    <w:rsid w:val="00644949"/>
    <w:rsid w:val="00645035"/>
    <w:rsid w:val="0064580F"/>
    <w:rsid w:val="0064622A"/>
    <w:rsid w:val="0064684C"/>
    <w:rsid w:val="006478DC"/>
    <w:rsid w:val="0065017F"/>
    <w:rsid w:val="00650D57"/>
    <w:rsid w:val="00650E53"/>
    <w:rsid w:val="0065189C"/>
    <w:rsid w:val="00651C11"/>
    <w:rsid w:val="00652586"/>
    <w:rsid w:val="0065284F"/>
    <w:rsid w:val="006529D9"/>
    <w:rsid w:val="00652DD9"/>
    <w:rsid w:val="00652EC2"/>
    <w:rsid w:val="006536A3"/>
    <w:rsid w:val="00654179"/>
    <w:rsid w:val="006545DA"/>
    <w:rsid w:val="00655BA1"/>
    <w:rsid w:val="00655BB4"/>
    <w:rsid w:val="00655C3B"/>
    <w:rsid w:val="00656888"/>
    <w:rsid w:val="0065744C"/>
    <w:rsid w:val="0065770E"/>
    <w:rsid w:val="00657AEB"/>
    <w:rsid w:val="00657B78"/>
    <w:rsid w:val="00657DA7"/>
    <w:rsid w:val="00660418"/>
    <w:rsid w:val="00660694"/>
    <w:rsid w:val="00660B2D"/>
    <w:rsid w:val="00660EDE"/>
    <w:rsid w:val="00660F7B"/>
    <w:rsid w:val="0066183C"/>
    <w:rsid w:val="006618A0"/>
    <w:rsid w:val="00661BBF"/>
    <w:rsid w:val="00661CA6"/>
    <w:rsid w:val="00661F35"/>
    <w:rsid w:val="00662487"/>
    <w:rsid w:val="00663065"/>
    <w:rsid w:val="0066430D"/>
    <w:rsid w:val="0066474A"/>
    <w:rsid w:val="00664827"/>
    <w:rsid w:val="00664C95"/>
    <w:rsid w:val="00664CB8"/>
    <w:rsid w:val="00665700"/>
    <w:rsid w:val="00665A5D"/>
    <w:rsid w:val="00665CA2"/>
    <w:rsid w:val="00666351"/>
    <w:rsid w:val="00666942"/>
    <w:rsid w:val="00666946"/>
    <w:rsid w:val="006673C3"/>
    <w:rsid w:val="00667C0C"/>
    <w:rsid w:val="0067023B"/>
    <w:rsid w:val="00670C33"/>
    <w:rsid w:val="006713AE"/>
    <w:rsid w:val="00671C3E"/>
    <w:rsid w:val="006725B5"/>
    <w:rsid w:val="006726BE"/>
    <w:rsid w:val="0067277A"/>
    <w:rsid w:val="00673C84"/>
    <w:rsid w:val="00673FB2"/>
    <w:rsid w:val="006740BA"/>
    <w:rsid w:val="0067489A"/>
    <w:rsid w:val="00674E6B"/>
    <w:rsid w:val="00674F9D"/>
    <w:rsid w:val="00675028"/>
    <w:rsid w:val="00675182"/>
    <w:rsid w:val="0067539A"/>
    <w:rsid w:val="006754D3"/>
    <w:rsid w:val="0067560B"/>
    <w:rsid w:val="00675A0F"/>
    <w:rsid w:val="00675A49"/>
    <w:rsid w:val="00675B9A"/>
    <w:rsid w:val="00675BB1"/>
    <w:rsid w:val="00676612"/>
    <w:rsid w:val="0067684F"/>
    <w:rsid w:val="0067696F"/>
    <w:rsid w:val="00676C7D"/>
    <w:rsid w:val="006770AD"/>
    <w:rsid w:val="0067715C"/>
    <w:rsid w:val="00677AA8"/>
    <w:rsid w:val="006804E7"/>
    <w:rsid w:val="00680BEE"/>
    <w:rsid w:val="006814A7"/>
    <w:rsid w:val="0068184E"/>
    <w:rsid w:val="00681FFE"/>
    <w:rsid w:val="00683397"/>
    <w:rsid w:val="00684054"/>
    <w:rsid w:val="00684AC7"/>
    <w:rsid w:val="00685AE0"/>
    <w:rsid w:val="00686B63"/>
    <w:rsid w:val="006875A3"/>
    <w:rsid w:val="0068775F"/>
    <w:rsid w:val="00687DAB"/>
    <w:rsid w:val="00687E74"/>
    <w:rsid w:val="006902BF"/>
    <w:rsid w:val="00690B14"/>
    <w:rsid w:val="00690C82"/>
    <w:rsid w:val="00690FAD"/>
    <w:rsid w:val="0069197D"/>
    <w:rsid w:val="00691FCB"/>
    <w:rsid w:val="00692FDB"/>
    <w:rsid w:val="00693153"/>
    <w:rsid w:val="00693C08"/>
    <w:rsid w:val="0069459D"/>
    <w:rsid w:val="00694D2A"/>
    <w:rsid w:val="00695413"/>
    <w:rsid w:val="006955EA"/>
    <w:rsid w:val="006957BB"/>
    <w:rsid w:val="006958CF"/>
    <w:rsid w:val="0069692E"/>
    <w:rsid w:val="00696B35"/>
    <w:rsid w:val="00696CEE"/>
    <w:rsid w:val="00697261"/>
    <w:rsid w:val="00697328"/>
    <w:rsid w:val="006A059E"/>
    <w:rsid w:val="006A0FCA"/>
    <w:rsid w:val="006A1E36"/>
    <w:rsid w:val="006A1EA7"/>
    <w:rsid w:val="006A2230"/>
    <w:rsid w:val="006A275F"/>
    <w:rsid w:val="006A289D"/>
    <w:rsid w:val="006A2A5F"/>
    <w:rsid w:val="006A37B5"/>
    <w:rsid w:val="006A4A8A"/>
    <w:rsid w:val="006A4CCA"/>
    <w:rsid w:val="006A4D91"/>
    <w:rsid w:val="006A50D2"/>
    <w:rsid w:val="006A5B30"/>
    <w:rsid w:val="006A5BE3"/>
    <w:rsid w:val="006A5E8D"/>
    <w:rsid w:val="006A6281"/>
    <w:rsid w:val="006A63BD"/>
    <w:rsid w:val="006A6689"/>
    <w:rsid w:val="006A69A8"/>
    <w:rsid w:val="006A7282"/>
    <w:rsid w:val="006A7EA1"/>
    <w:rsid w:val="006B0261"/>
    <w:rsid w:val="006B077C"/>
    <w:rsid w:val="006B0898"/>
    <w:rsid w:val="006B0A74"/>
    <w:rsid w:val="006B0CAE"/>
    <w:rsid w:val="006B11C2"/>
    <w:rsid w:val="006B1293"/>
    <w:rsid w:val="006B1E59"/>
    <w:rsid w:val="006B276F"/>
    <w:rsid w:val="006B2CE0"/>
    <w:rsid w:val="006B3077"/>
    <w:rsid w:val="006B31A7"/>
    <w:rsid w:val="006B3215"/>
    <w:rsid w:val="006B39F2"/>
    <w:rsid w:val="006B3D88"/>
    <w:rsid w:val="006B4492"/>
    <w:rsid w:val="006B4656"/>
    <w:rsid w:val="006B4F17"/>
    <w:rsid w:val="006B509A"/>
    <w:rsid w:val="006B57EF"/>
    <w:rsid w:val="006B58C1"/>
    <w:rsid w:val="006B5C31"/>
    <w:rsid w:val="006B6DC0"/>
    <w:rsid w:val="006B7BB4"/>
    <w:rsid w:val="006C04EC"/>
    <w:rsid w:val="006C0527"/>
    <w:rsid w:val="006C0CB6"/>
    <w:rsid w:val="006C0DA4"/>
    <w:rsid w:val="006C0FAC"/>
    <w:rsid w:val="006C21C5"/>
    <w:rsid w:val="006C301E"/>
    <w:rsid w:val="006C33FE"/>
    <w:rsid w:val="006C4032"/>
    <w:rsid w:val="006C455B"/>
    <w:rsid w:val="006C4A44"/>
    <w:rsid w:val="006C5213"/>
    <w:rsid w:val="006C5305"/>
    <w:rsid w:val="006C5FF9"/>
    <w:rsid w:val="006C6444"/>
    <w:rsid w:val="006C6E32"/>
    <w:rsid w:val="006C75CD"/>
    <w:rsid w:val="006C7845"/>
    <w:rsid w:val="006C7C24"/>
    <w:rsid w:val="006C7EBF"/>
    <w:rsid w:val="006D0F98"/>
    <w:rsid w:val="006D1378"/>
    <w:rsid w:val="006D1AFC"/>
    <w:rsid w:val="006D1E83"/>
    <w:rsid w:val="006D20E3"/>
    <w:rsid w:val="006D256F"/>
    <w:rsid w:val="006D26DC"/>
    <w:rsid w:val="006D29A7"/>
    <w:rsid w:val="006D2BC9"/>
    <w:rsid w:val="006D2D32"/>
    <w:rsid w:val="006D3B02"/>
    <w:rsid w:val="006D3C7A"/>
    <w:rsid w:val="006D4282"/>
    <w:rsid w:val="006D45A7"/>
    <w:rsid w:val="006D5036"/>
    <w:rsid w:val="006D5117"/>
    <w:rsid w:val="006D5527"/>
    <w:rsid w:val="006D58AD"/>
    <w:rsid w:val="006D5D4B"/>
    <w:rsid w:val="006D5F7E"/>
    <w:rsid w:val="006D6077"/>
    <w:rsid w:val="006D6576"/>
    <w:rsid w:val="006D6778"/>
    <w:rsid w:val="006D78BA"/>
    <w:rsid w:val="006D7992"/>
    <w:rsid w:val="006E04FB"/>
    <w:rsid w:val="006E0D5A"/>
    <w:rsid w:val="006E1216"/>
    <w:rsid w:val="006E129C"/>
    <w:rsid w:val="006E1474"/>
    <w:rsid w:val="006E16B7"/>
    <w:rsid w:val="006E17E3"/>
    <w:rsid w:val="006E2560"/>
    <w:rsid w:val="006E35C4"/>
    <w:rsid w:val="006E3C18"/>
    <w:rsid w:val="006E4289"/>
    <w:rsid w:val="006E4831"/>
    <w:rsid w:val="006E48AC"/>
    <w:rsid w:val="006E5072"/>
    <w:rsid w:val="006E573F"/>
    <w:rsid w:val="006E5BD7"/>
    <w:rsid w:val="006E6339"/>
    <w:rsid w:val="006E661E"/>
    <w:rsid w:val="006E662F"/>
    <w:rsid w:val="006E67FE"/>
    <w:rsid w:val="006F02FA"/>
    <w:rsid w:val="006F0684"/>
    <w:rsid w:val="006F114D"/>
    <w:rsid w:val="006F13B9"/>
    <w:rsid w:val="006F2429"/>
    <w:rsid w:val="006F2B9B"/>
    <w:rsid w:val="006F2F04"/>
    <w:rsid w:val="006F320F"/>
    <w:rsid w:val="006F3302"/>
    <w:rsid w:val="006F49D7"/>
    <w:rsid w:val="006F61D7"/>
    <w:rsid w:val="006F682B"/>
    <w:rsid w:val="006F780A"/>
    <w:rsid w:val="006F79CC"/>
    <w:rsid w:val="006F7D6E"/>
    <w:rsid w:val="006F7EAB"/>
    <w:rsid w:val="00700469"/>
    <w:rsid w:val="007008CE"/>
    <w:rsid w:val="00700B14"/>
    <w:rsid w:val="00701237"/>
    <w:rsid w:val="007015CD"/>
    <w:rsid w:val="00701D55"/>
    <w:rsid w:val="007028E5"/>
    <w:rsid w:val="0070299F"/>
    <w:rsid w:val="007029C9"/>
    <w:rsid w:val="00702D83"/>
    <w:rsid w:val="0070338F"/>
    <w:rsid w:val="00703E3F"/>
    <w:rsid w:val="007047EF"/>
    <w:rsid w:val="007049A8"/>
    <w:rsid w:val="0070541F"/>
    <w:rsid w:val="00705ED1"/>
    <w:rsid w:val="00705F1F"/>
    <w:rsid w:val="007060D5"/>
    <w:rsid w:val="007065AF"/>
    <w:rsid w:val="007065C0"/>
    <w:rsid w:val="00706E66"/>
    <w:rsid w:val="007072B8"/>
    <w:rsid w:val="00707534"/>
    <w:rsid w:val="007079BE"/>
    <w:rsid w:val="00707CFE"/>
    <w:rsid w:val="00707EF2"/>
    <w:rsid w:val="007108C9"/>
    <w:rsid w:val="007109C7"/>
    <w:rsid w:val="00710E66"/>
    <w:rsid w:val="00711343"/>
    <w:rsid w:val="00711FE3"/>
    <w:rsid w:val="00712386"/>
    <w:rsid w:val="0071269B"/>
    <w:rsid w:val="007127E0"/>
    <w:rsid w:val="00712E6F"/>
    <w:rsid w:val="007135CD"/>
    <w:rsid w:val="00714113"/>
    <w:rsid w:val="00714BCA"/>
    <w:rsid w:val="00714C65"/>
    <w:rsid w:val="00715AED"/>
    <w:rsid w:val="00716CCD"/>
    <w:rsid w:val="00717391"/>
    <w:rsid w:val="00717A82"/>
    <w:rsid w:val="00720ACF"/>
    <w:rsid w:val="00720BDF"/>
    <w:rsid w:val="00721021"/>
    <w:rsid w:val="00721A7F"/>
    <w:rsid w:val="00721F04"/>
    <w:rsid w:val="00721FD8"/>
    <w:rsid w:val="007224EE"/>
    <w:rsid w:val="00723C51"/>
    <w:rsid w:val="0072440B"/>
    <w:rsid w:val="0072476C"/>
    <w:rsid w:val="0072476F"/>
    <w:rsid w:val="00724937"/>
    <w:rsid w:val="00724C77"/>
    <w:rsid w:val="00724CF7"/>
    <w:rsid w:val="00725E67"/>
    <w:rsid w:val="0072708E"/>
    <w:rsid w:val="0073016A"/>
    <w:rsid w:val="00730687"/>
    <w:rsid w:val="00731123"/>
    <w:rsid w:val="00731A5C"/>
    <w:rsid w:val="00731C98"/>
    <w:rsid w:val="00731F6C"/>
    <w:rsid w:val="00732143"/>
    <w:rsid w:val="00732406"/>
    <w:rsid w:val="0073283B"/>
    <w:rsid w:val="007328DA"/>
    <w:rsid w:val="00732940"/>
    <w:rsid w:val="00732E20"/>
    <w:rsid w:val="00734253"/>
    <w:rsid w:val="00734D78"/>
    <w:rsid w:val="00734E01"/>
    <w:rsid w:val="00735D43"/>
    <w:rsid w:val="00736722"/>
    <w:rsid w:val="00736725"/>
    <w:rsid w:val="00736FA7"/>
    <w:rsid w:val="00737995"/>
    <w:rsid w:val="00737EED"/>
    <w:rsid w:val="00740D00"/>
    <w:rsid w:val="00740D34"/>
    <w:rsid w:val="007415D0"/>
    <w:rsid w:val="00742C48"/>
    <w:rsid w:val="00744484"/>
    <w:rsid w:val="00744546"/>
    <w:rsid w:val="00744B28"/>
    <w:rsid w:val="00746905"/>
    <w:rsid w:val="00746A0D"/>
    <w:rsid w:val="00746D6E"/>
    <w:rsid w:val="00746FF7"/>
    <w:rsid w:val="00747D0A"/>
    <w:rsid w:val="00750704"/>
    <w:rsid w:val="007509F2"/>
    <w:rsid w:val="00751281"/>
    <w:rsid w:val="007513B7"/>
    <w:rsid w:val="00752985"/>
    <w:rsid w:val="00752F9D"/>
    <w:rsid w:val="00753153"/>
    <w:rsid w:val="007536BB"/>
    <w:rsid w:val="007538AB"/>
    <w:rsid w:val="0075397A"/>
    <w:rsid w:val="0075558F"/>
    <w:rsid w:val="00755627"/>
    <w:rsid w:val="007558F0"/>
    <w:rsid w:val="00755DB6"/>
    <w:rsid w:val="00756157"/>
    <w:rsid w:val="0075622A"/>
    <w:rsid w:val="00756BB4"/>
    <w:rsid w:val="00756C6D"/>
    <w:rsid w:val="0075720E"/>
    <w:rsid w:val="00757A5E"/>
    <w:rsid w:val="00757CB7"/>
    <w:rsid w:val="00757D8F"/>
    <w:rsid w:val="00757EB7"/>
    <w:rsid w:val="00757FC9"/>
    <w:rsid w:val="0076042C"/>
    <w:rsid w:val="007604D3"/>
    <w:rsid w:val="00760605"/>
    <w:rsid w:val="00760926"/>
    <w:rsid w:val="007624AA"/>
    <w:rsid w:val="0076288C"/>
    <w:rsid w:val="00763F47"/>
    <w:rsid w:val="00763FDE"/>
    <w:rsid w:val="00764645"/>
    <w:rsid w:val="00764C7B"/>
    <w:rsid w:val="007653E8"/>
    <w:rsid w:val="0076565C"/>
    <w:rsid w:val="007663C4"/>
    <w:rsid w:val="00766589"/>
    <w:rsid w:val="0076778F"/>
    <w:rsid w:val="00767A33"/>
    <w:rsid w:val="00770518"/>
    <w:rsid w:val="007714D0"/>
    <w:rsid w:val="00771BEF"/>
    <w:rsid w:val="007721D8"/>
    <w:rsid w:val="00772512"/>
    <w:rsid w:val="00772664"/>
    <w:rsid w:val="007726AD"/>
    <w:rsid w:val="007728D2"/>
    <w:rsid w:val="0077302E"/>
    <w:rsid w:val="00773223"/>
    <w:rsid w:val="00773568"/>
    <w:rsid w:val="0077389C"/>
    <w:rsid w:val="00773AB7"/>
    <w:rsid w:val="00773DF4"/>
    <w:rsid w:val="00773FE4"/>
    <w:rsid w:val="00774145"/>
    <w:rsid w:val="00774E00"/>
    <w:rsid w:val="00774F1E"/>
    <w:rsid w:val="007755A8"/>
    <w:rsid w:val="00775963"/>
    <w:rsid w:val="00775B3F"/>
    <w:rsid w:val="00775FEC"/>
    <w:rsid w:val="007761BA"/>
    <w:rsid w:val="0077635D"/>
    <w:rsid w:val="0077659A"/>
    <w:rsid w:val="00776AA5"/>
    <w:rsid w:val="00777097"/>
    <w:rsid w:val="00777280"/>
    <w:rsid w:val="00777C4F"/>
    <w:rsid w:val="00780B83"/>
    <w:rsid w:val="00780CB4"/>
    <w:rsid w:val="007820EF"/>
    <w:rsid w:val="007821B1"/>
    <w:rsid w:val="00782341"/>
    <w:rsid w:val="007824C1"/>
    <w:rsid w:val="00782763"/>
    <w:rsid w:val="00782BBD"/>
    <w:rsid w:val="00782C6A"/>
    <w:rsid w:val="00783751"/>
    <w:rsid w:val="00784277"/>
    <w:rsid w:val="00784AF9"/>
    <w:rsid w:val="00785B6A"/>
    <w:rsid w:val="007865A6"/>
    <w:rsid w:val="007867CE"/>
    <w:rsid w:val="00786FA1"/>
    <w:rsid w:val="007900C1"/>
    <w:rsid w:val="007904E7"/>
    <w:rsid w:val="0079057A"/>
    <w:rsid w:val="0079057D"/>
    <w:rsid w:val="007914AB"/>
    <w:rsid w:val="00791535"/>
    <w:rsid w:val="00792546"/>
    <w:rsid w:val="00792D5A"/>
    <w:rsid w:val="0079352A"/>
    <w:rsid w:val="00793C33"/>
    <w:rsid w:val="00793ED6"/>
    <w:rsid w:val="00795872"/>
    <w:rsid w:val="00795D4B"/>
    <w:rsid w:val="007963CA"/>
    <w:rsid w:val="00797080"/>
    <w:rsid w:val="007975BD"/>
    <w:rsid w:val="0079776A"/>
    <w:rsid w:val="007A02D2"/>
    <w:rsid w:val="007A0374"/>
    <w:rsid w:val="007A038C"/>
    <w:rsid w:val="007A0BC5"/>
    <w:rsid w:val="007A105B"/>
    <w:rsid w:val="007A1775"/>
    <w:rsid w:val="007A1DD2"/>
    <w:rsid w:val="007A2C3B"/>
    <w:rsid w:val="007A2E2D"/>
    <w:rsid w:val="007A3608"/>
    <w:rsid w:val="007A3784"/>
    <w:rsid w:val="007A37C5"/>
    <w:rsid w:val="007A38F8"/>
    <w:rsid w:val="007A3A88"/>
    <w:rsid w:val="007A3A98"/>
    <w:rsid w:val="007A3C21"/>
    <w:rsid w:val="007A3F96"/>
    <w:rsid w:val="007A4956"/>
    <w:rsid w:val="007A4D66"/>
    <w:rsid w:val="007A5508"/>
    <w:rsid w:val="007A58C2"/>
    <w:rsid w:val="007A5E16"/>
    <w:rsid w:val="007A6373"/>
    <w:rsid w:val="007A6F5B"/>
    <w:rsid w:val="007A78F7"/>
    <w:rsid w:val="007B10B2"/>
    <w:rsid w:val="007B145C"/>
    <w:rsid w:val="007B240E"/>
    <w:rsid w:val="007B2CFB"/>
    <w:rsid w:val="007B2E65"/>
    <w:rsid w:val="007B2FA4"/>
    <w:rsid w:val="007B3BE1"/>
    <w:rsid w:val="007B438B"/>
    <w:rsid w:val="007B6790"/>
    <w:rsid w:val="007B6EE3"/>
    <w:rsid w:val="007B74C7"/>
    <w:rsid w:val="007B7867"/>
    <w:rsid w:val="007B7E10"/>
    <w:rsid w:val="007C0047"/>
    <w:rsid w:val="007C12AE"/>
    <w:rsid w:val="007C12CE"/>
    <w:rsid w:val="007C1CD9"/>
    <w:rsid w:val="007C23A5"/>
    <w:rsid w:val="007C2587"/>
    <w:rsid w:val="007C2689"/>
    <w:rsid w:val="007C3711"/>
    <w:rsid w:val="007C40C9"/>
    <w:rsid w:val="007C46E0"/>
    <w:rsid w:val="007C5609"/>
    <w:rsid w:val="007C5CD0"/>
    <w:rsid w:val="007C5D91"/>
    <w:rsid w:val="007C641D"/>
    <w:rsid w:val="007D0469"/>
    <w:rsid w:val="007D09AB"/>
    <w:rsid w:val="007D0B8E"/>
    <w:rsid w:val="007D11C4"/>
    <w:rsid w:val="007D1652"/>
    <w:rsid w:val="007D1AD4"/>
    <w:rsid w:val="007D1CC5"/>
    <w:rsid w:val="007D1D0C"/>
    <w:rsid w:val="007D2A7E"/>
    <w:rsid w:val="007D2CEE"/>
    <w:rsid w:val="007D34CE"/>
    <w:rsid w:val="007D3AEF"/>
    <w:rsid w:val="007D40C9"/>
    <w:rsid w:val="007D43FB"/>
    <w:rsid w:val="007D44FE"/>
    <w:rsid w:val="007D512F"/>
    <w:rsid w:val="007D61EE"/>
    <w:rsid w:val="007D6990"/>
    <w:rsid w:val="007D6ABF"/>
    <w:rsid w:val="007D6B12"/>
    <w:rsid w:val="007D709F"/>
    <w:rsid w:val="007D7197"/>
    <w:rsid w:val="007D7310"/>
    <w:rsid w:val="007E02B9"/>
    <w:rsid w:val="007E0533"/>
    <w:rsid w:val="007E1322"/>
    <w:rsid w:val="007E1678"/>
    <w:rsid w:val="007E171F"/>
    <w:rsid w:val="007E1AFA"/>
    <w:rsid w:val="007E1E67"/>
    <w:rsid w:val="007E1FBB"/>
    <w:rsid w:val="007E3045"/>
    <w:rsid w:val="007E3113"/>
    <w:rsid w:val="007E3513"/>
    <w:rsid w:val="007E35A5"/>
    <w:rsid w:val="007E3974"/>
    <w:rsid w:val="007E45BF"/>
    <w:rsid w:val="007E49A1"/>
    <w:rsid w:val="007E4C98"/>
    <w:rsid w:val="007E5C87"/>
    <w:rsid w:val="007E5C9B"/>
    <w:rsid w:val="007E5FB2"/>
    <w:rsid w:val="007E6019"/>
    <w:rsid w:val="007E6CC4"/>
    <w:rsid w:val="007E7B18"/>
    <w:rsid w:val="007E7D07"/>
    <w:rsid w:val="007E7F0C"/>
    <w:rsid w:val="007F01AC"/>
    <w:rsid w:val="007F0265"/>
    <w:rsid w:val="007F04AF"/>
    <w:rsid w:val="007F1B89"/>
    <w:rsid w:val="007F1BBD"/>
    <w:rsid w:val="007F1CCD"/>
    <w:rsid w:val="007F2A34"/>
    <w:rsid w:val="007F2CDA"/>
    <w:rsid w:val="007F391F"/>
    <w:rsid w:val="007F398F"/>
    <w:rsid w:val="007F3DB3"/>
    <w:rsid w:val="007F4FC6"/>
    <w:rsid w:val="007F5ADB"/>
    <w:rsid w:val="007F5F53"/>
    <w:rsid w:val="007F6008"/>
    <w:rsid w:val="007F6242"/>
    <w:rsid w:val="007F6B8C"/>
    <w:rsid w:val="007F7565"/>
    <w:rsid w:val="007F7DE5"/>
    <w:rsid w:val="00800ADD"/>
    <w:rsid w:val="00800DF2"/>
    <w:rsid w:val="00800F41"/>
    <w:rsid w:val="00800F8F"/>
    <w:rsid w:val="008015CD"/>
    <w:rsid w:val="00801B64"/>
    <w:rsid w:val="00802051"/>
    <w:rsid w:val="00802884"/>
    <w:rsid w:val="00802BD7"/>
    <w:rsid w:val="00802FAE"/>
    <w:rsid w:val="00803827"/>
    <w:rsid w:val="00803CA5"/>
    <w:rsid w:val="00803EC7"/>
    <w:rsid w:val="00803FEB"/>
    <w:rsid w:val="008042C9"/>
    <w:rsid w:val="00804741"/>
    <w:rsid w:val="008059C2"/>
    <w:rsid w:val="008060C1"/>
    <w:rsid w:val="00806799"/>
    <w:rsid w:val="00807355"/>
    <w:rsid w:val="008073E1"/>
    <w:rsid w:val="008075F4"/>
    <w:rsid w:val="00807C07"/>
    <w:rsid w:val="00807D5D"/>
    <w:rsid w:val="00807E60"/>
    <w:rsid w:val="00807E63"/>
    <w:rsid w:val="00807F33"/>
    <w:rsid w:val="008101E3"/>
    <w:rsid w:val="00810505"/>
    <w:rsid w:val="0081061D"/>
    <w:rsid w:val="0081063D"/>
    <w:rsid w:val="00810F5B"/>
    <w:rsid w:val="008110B4"/>
    <w:rsid w:val="008110CC"/>
    <w:rsid w:val="0081183E"/>
    <w:rsid w:val="00811B69"/>
    <w:rsid w:val="00811E02"/>
    <w:rsid w:val="00813208"/>
    <w:rsid w:val="0081368F"/>
    <w:rsid w:val="00813C7A"/>
    <w:rsid w:val="00814CDF"/>
    <w:rsid w:val="00815305"/>
    <w:rsid w:val="00815719"/>
    <w:rsid w:val="008163B3"/>
    <w:rsid w:val="00816438"/>
    <w:rsid w:val="00817676"/>
    <w:rsid w:val="00820264"/>
    <w:rsid w:val="0082097D"/>
    <w:rsid w:val="00820D1F"/>
    <w:rsid w:val="008215EA"/>
    <w:rsid w:val="00822736"/>
    <w:rsid w:val="00822A37"/>
    <w:rsid w:val="00822AE5"/>
    <w:rsid w:val="0082362E"/>
    <w:rsid w:val="00823A82"/>
    <w:rsid w:val="00823A9D"/>
    <w:rsid w:val="00824001"/>
    <w:rsid w:val="00825A4A"/>
    <w:rsid w:val="00826369"/>
    <w:rsid w:val="00826A2E"/>
    <w:rsid w:val="00827189"/>
    <w:rsid w:val="008272A1"/>
    <w:rsid w:val="008274C1"/>
    <w:rsid w:val="00830EEA"/>
    <w:rsid w:val="008316A6"/>
    <w:rsid w:val="00831D52"/>
    <w:rsid w:val="00832AF7"/>
    <w:rsid w:val="008336EF"/>
    <w:rsid w:val="00833CF1"/>
    <w:rsid w:val="00833EF8"/>
    <w:rsid w:val="00834129"/>
    <w:rsid w:val="00834339"/>
    <w:rsid w:val="0083454D"/>
    <w:rsid w:val="00834B6C"/>
    <w:rsid w:val="00834C33"/>
    <w:rsid w:val="00834FC4"/>
    <w:rsid w:val="00835DA5"/>
    <w:rsid w:val="00836492"/>
    <w:rsid w:val="00836AD2"/>
    <w:rsid w:val="00836F65"/>
    <w:rsid w:val="00836F79"/>
    <w:rsid w:val="00837273"/>
    <w:rsid w:val="00837878"/>
    <w:rsid w:val="00837A39"/>
    <w:rsid w:val="0084001E"/>
    <w:rsid w:val="00840A60"/>
    <w:rsid w:val="00840D0A"/>
    <w:rsid w:val="00840ED0"/>
    <w:rsid w:val="00840FB2"/>
    <w:rsid w:val="008413BD"/>
    <w:rsid w:val="008414DE"/>
    <w:rsid w:val="00841867"/>
    <w:rsid w:val="00841E89"/>
    <w:rsid w:val="00841FD1"/>
    <w:rsid w:val="008422A4"/>
    <w:rsid w:val="008427CE"/>
    <w:rsid w:val="008438E5"/>
    <w:rsid w:val="00843B98"/>
    <w:rsid w:val="0084477E"/>
    <w:rsid w:val="00844EE8"/>
    <w:rsid w:val="00845552"/>
    <w:rsid w:val="00845818"/>
    <w:rsid w:val="00845862"/>
    <w:rsid w:val="00845C59"/>
    <w:rsid w:val="00845F48"/>
    <w:rsid w:val="00846347"/>
    <w:rsid w:val="008467A7"/>
    <w:rsid w:val="0084754D"/>
    <w:rsid w:val="00847F9F"/>
    <w:rsid w:val="00847FA5"/>
    <w:rsid w:val="0085022A"/>
    <w:rsid w:val="008503B6"/>
    <w:rsid w:val="0085070B"/>
    <w:rsid w:val="00850781"/>
    <w:rsid w:val="0085087A"/>
    <w:rsid w:val="00850B4F"/>
    <w:rsid w:val="00850DE1"/>
    <w:rsid w:val="00851C80"/>
    <w:rsid w:val="0085403B"/>
    <w:rsid w:val="008541A1"/>
    <w:rsid w:val="00855862"/>
    <w:rsid w:val="00855C35"/>
    <w:rsid w:val="00856648"/>
    <w:rsid w:val="008567AC"/>
    <w:rsid w:val="00856E70"/>
    <w:rsid w:val="0085718F"/>
    <w:rsid w:val="0085722E"/>
    <w:rsid w:val="008601EE"/>
    <w:rsid w:val="008603D5"/>
    <w:rsid w:val="0086094A"/>
    <w:rsid w:val="00860F04"/>
    <w:rsid w:val="00860FEB"/>
    <w:rsid w:val="008617B3"/>
    <w:rsid w:val="00861EFC"/>
    <w:rsid w:val="00862127"/>
    <w:rsid w:val="0086259E"/>
    <w:rsid w:val="008639E1"/>
    <w:rsid w:val="00864049"/>
    <w:rsid w:val="00864289"/>
    <w:rsid w:val="00864418"/>
    <w:rsid w:val="00864E55"/>
    <w:rsid w:val="00865312"/>
    <w:rsid w:val="00865DCC"/>
    <w:rsid w:val="00865EEE"/>
    <w:rsid w:val="0086774D"/>
    <w:rsid w:val="00867BEC"/>
    <w:rsid w:val="0087007B"/>
    <w:rsid w:val="0087066A"/>
    <w:rsid w:val="008707B6"/>
    <w:rsid w:val="008714D1"/>
    <w:rsid w:val="0087208D"/>
    <w:rsid w:val="00872649"/>
    <w:rsid w:val="008729C4"/>
    <w:rsid w:val="00872B90"/>
    <w:rsid w:val="00872C0C"/>
    <w:rsid w:val="00873EEB"/>
    <w:rsid w:val="00874B4B"/>
    <w:rsid w:val="00875226"/>
    <w:rsid w:val="00875A7F"/>
    <w:rsid w:val="008766BE"/>
    <w:rsid w:val="00876BDF"/>
    <w:rsid w:val="008775E1"/>
    <w:rsid w:val="00880A11"/>
    <w:rsid w:val="0088163A"/>
    <w:rsid w:val="00881816"/>
    <w:rsid w:val="00881D70"/>
    <w:rsid w:val="00882A71"/>
    <w:rsid w:val="00882B59"/>
    <w:rsid w:val="00882B86"/>
    <w:rsid w:val="00882D9E"/>
    <w:rsid w:val="00883353"/>
    <w:rsid w:val="0088390D"/>
    <w:rsid w:val="00883DD8"/>
    <w:rsid w:val="00884295"/>
    <w:rsid w:val="008843A1"/>
    <w:rsid w:val="0088454F"/>
    <w:rsid w:val="00884A06"/>
    <w:rsid w:val="0088516A"/>
    <w:rsid w:val="00885BEE"/>
    <w:rsid w:val="00886539"/>
    <w:rsid w:val="0088662C"/>
    <w:rsid w:val="00886FCB"/>
    <w:rsid w:val="008879F5"/>
    <w:rsid w:val="008901C1"/>
    <w:rsid w:val="00890235"/>
    <w:rsid w:val="0089065D"/>
    <w:rsid w:val="00890772"/>
    <w:rsid w:val="00890B7B"/>
    <w:rsid w:val="00891239"/>
    <w:rsid w:val="008916A6"/>
    <w:rsid w:val="00891D7F"/>
    <w:rsid w:val="00891DB2"/>
    <w:rsid w:val="008921D4"/>
    <w:rsid w:val="0089273A"/>
    <w:rsid w:val="008927B8"/>
    <w:rsid w:val="008928A7"/>
    <w:rsid w:val="00892B8D"/>
    <w:rsid w:val="008935AC"/>
    <w:rsid w:val="00893775"/>
    <w:rsid w:val="00893F7D"/>
    <w:rsid w:val="0089476D"/>
    <w:rsid w:val="00894940"/>
    <w:rsid w:val="00894D79"/>
    <w:rsid w:val="008950D5"/>
    <w:rsid w:val="0089545A"/>
    <w:rsid w:val="008954EE"/>
    <w:rsid w:val="008955B0"/>
    <w:rsid w:val="00895828"/>
    <w:rsid w:val="00895DAD"/>
    <w:rsid w:val="0089658A"/>
    <w:rsid w:val="00896649"/>
    <w:rsid w:val="0089684F"/>
    <w:rsid w:val="00896EE6"/>
    <w:rsid w:val="00897299"/>
    <w:rsid w:val="008A0E88"/>
    <w:rsid w:val="008A0F48"/>
    <w:rsid w:val="008A1174"/>
    <w:rsid w:val="008A1C2C"/>
    <w:rsid w:val="008A1CBA"/>
    <w:rsid w:val="008A2455"/>
    <w:rsid w:val="008A2797"/>
    <w:rsid w:val="008A29B4"/>
    <w:rsid w:val="008A37A5"/>
    <w:rsid w:val="008A37F9"/>
    <w:rsid w:val="008A38DE"/>
    <w:rsid w:val="008A3F4F"/>
    <w:rsid w:val="008A4867"/>
    <w:rsid w:val="008A4D79"/>
    <w:rsid w:val="008A4FA0"/>
    <w:rsid w:val="008A4FF0"/>
    <w:rsid w:val="008A538B"/>
    <w:rsid w:val="008A54F3"/>
    <w:rsid w:val="008A5AD7"/>
    <w:rsid w:val="008A5D56"/>
    <w:rsid w:val="008A68CA"/>
    <w:rsid w:val="008A6FDA"/>
    <w:rsid w:val="008A7595"/>
    <w:rsid w:val="008A7902"/>
    <w:rsid w:val="008A7C39"/>
    <w:rsid w:val="008B0B44"/>
    <w:rsid w:val="008B38B6"/>
    <w:rsid w:val="008B3ADD"/>
    <w:rsid w:val="008B4107"/>
    <w:rsid w:val="008B4B88"/>
    <w:rsid w:val="008B5128"/>
    <w:rsid w:val="008B5691"/>
    <w:rsid w:val="008B59D0"/>
    <w:rsid w:val="008B5AF8"/>
    <w:rsid w:val="008B776B"/>
    <w:rsid w:val="008B797D"/>
    <w:rsid w:val="008C0787"/>
    <w:rsid w:val="008C090E"/>
    <w:rsid w:val="008C0976"/>
    <w:rsid w:val="008C131C"/>
    <w:rsid w:val="008C2061"/>
    <w:rsid w:val="008C2722"/>
    <w:rsid w:val="008C359E"/>
    <w:rsid w:val="008C35B7"/>
    <w:rsid w:val="008C3747"/>
    <w:rsid w:val="008C3CF2"/>
    <w:rsid w:val="008C3F23"/>
    <w:rsid w:val="008C3F78"/>
    <w:rsid w:val="008C3F96"/>
    <w:rsid w:val="008C4555"/>
    <w:rsid w:val="008C4614"/>
    <w:rsid w:val="008C4E64"/>
    <w:rsid w:val="008C4EA5"/>
    <w:rsid w:val="008C5536"/>
    <w:rsid w:val="008C561E"/>
    <w:rsid w:val="008C56A6"/>
    <w:rsid w:val="008C6317"/>
    <w:rsid w:val="008C7398"/>
    <w:rsid w:val="008C7C55"/>
    <w:rsid w:val="008D0325"/>
    <w:rsid w:val="008D05C8"/>
    <w:rsid w:val="008D0924"/>
    <w:rsid w:val="008D1626"/>
    <w:rsid w:val="008D1D4C"/>
    <w:rsid w:val="008D219D"/>
    <w:rsid w:val="008D28B0"/>
    <w:rsid w:val="008D35A5"/>
    <w:rsid w:val="008D430F"/>
    <w:rsid w:val="008D4774"/>
    <w:rsid w:val="008D4EA9"/>
    <w:rsid w:val="008D516B"/>
    <w:rsid w:val="008D580D"/>
    <w:rsid w:val="008D5E93"/>
    <w:rsid w:val="008D5EA7"/>
    <w:rsid w:val="008D6252"/>
    <w:rsid w:val="008D6B05"/>
    <w:rsid w:val="008D6D56"/>
    <w:rsid w:val="008D722F"/>
    <w:rsid w:val="008D7637"/>
    <w:rsid w:val="008D7660"/>
    <w:rsid w:val="008D7744"/>
    <w:rsid w:val="008D7B57"/>
    <w:rsid w:val="008D7D52"/>
    <w:rsid w:val="008E00F7"/>
    <w:rsid w:val="008E089C"/>
    <w:rsid w:val="008E0C7E"/>
    <w:rsid w:val="008E0E1D"/>
    <w:rsid w:val="008E0E50"/>
    <w:rsid w:val="008E0F66"/>
    <w:rsid w:val="008E2197"/>
    <w:rsid w:val="008E2D3C"/>
    <w:rsid w:val="008E312A"/>
    <w:rsid w:val="008E350C"/>
    <w:rsid w:val="008E3569"/>
    <w:rsid w:val="008E379B"/>
    <w:rsid w:val="008E3974"/>
    <w:rsid w:val="008E4878"/>
    <w:rsid w:val="008E4BB1"/>
    <w:rsid w:val="008E4BF8"/>
    <w:rsid w:val="008E54D4"/>
    <w:rsid w:val="008E59DA"/>
    <w:rsid w:val="008E6754"/>
    <w:rsid w:val="008E6D57"/>
    <w:rsid w:val="008E709C"/>
    <w:rsid w:val="008E7C11"/>
    <w:rsid w:val="008F0979"/>
    <w:rsid w:val="008F0A32"/>
    <w:rsid w:val="008F0B02"/>
    <w:rsid w:val="008F0C1C"/>
    <w:rsid w:val="008F11D9"/>
    <w:rsid w:val="008F13E1"/>
    <w:rsid w:val="008F16D9"/>
    <w:rsid w:val="008F17BD"/>
    <w:rsid w:val="008F17C6"/>
    <w:rsid w:val="008F1A1D"/>
    <w:rsid w:val="008F1FA0"/>
    <w:rsid w:val="008F20E5"/>
    <w:rsid w:val="008F2E5E"/>
    <w:rsid w:val="008F2FBD"/>
    <w:rsid w:val="008F2FFF"/>
    <w:rsid w:val="008F3A1B"/>
    <w:rsid w:val="008F4D4D"/>
    <w:rsid w:val="008F51CF"/>
    <w:rsid w:val="008F5704"/>
    <w:rsid w:val="008F5817"/>
    <w:rsid w:val="008F5978"/>
    <w:rsid w:val="008F5A65"/>
    <w:rsid w:val="008F60CF"/>
    <w:rsid w:val="008F664A"/>
    <w:rsid w:val="008F667D"/>
    <w:rsid w:val="008F68CC"/>
    <w:rsid w:val="008F6F87"/>
    <w:rsid w:val="008F7998"/>
    <w:rsid w:val="008F7BC1"/>
    <w:rsid w:val="008F7EB1"/>
    <w:rsid w:val="009001A0"/>
    <w:rsid w:val="00900A6B"/>
    <w:rsid w:val="00900C0C"/>
    <w:rsid w:val="009022F2"/>
    <w:rsid w:val="009023BC"/>
    <w:rsid w:val="00902B16"/>
    <w:rsid w:val="00903048"/>
    <w:rsid w:val="00903211"/>
    <w:rsid w:val="009037AB"/>
    <w:rsid w:val="00903A17"/>
    <w:rsid w:val="00903DC5"/>
    <w:rsid w:val="00904289"/>
    <w:rsid w:val="0090436D"/>
    <w:rsid w:val="00904630"/>
    <w:rsid w:val="0090463E"/>
    <w:rsid w:val="0090498C"/>
    <w:rsid w:val="00905D83"/>
    <w:rsid w:val="00905FE3"/>
    <w:rsid w:val="00906883"/>
    <w:rsid w:val="009078BE"/>
    <w:rsid w:val="0091091A"/>
    <w:rsid w:val="00911236"/>
    <w:rsid w:val="0091166A"/>
    <w:rsid w:val="0091207A"/>
    <w:rsid w:val="00912157"/>
    <w:rsid w:val="009123EC"/>
    <w:rsid w:val="00912474"/>
    <w:rsid w:val="00912E9F"/>
    <w:rsid w:val="00913B16"/>
    <w:rsid w:val="009142E5"/>
    <w:rsid w:val="00914A1E"/>
    <w:rsid w:val="00914E53"/>
    <w:rsid w:val="00914F59"/>
    <w:rsid w:val="00915564"/>
    <w:rsid w:val="00915D62"/>
    <w:rsid w:val="009170B3"/>
    <w:rsid w:val="00920895"/>
    <w:rsid w:val="00920B70"/>
    <w:rsid w:val="00920F09"/>
    <w:rsid w:val="00921224"/>
    <w:rsid w:val="009213C3"/>
    <w:rsid w:val="009215C2"/>
    <w:rsid w:val="00921A30"/>
    <w:rsid w:val="009220FE"/>
    <w:rsid w:val="00922A9E"/>
    <w:rsid w:val="00922AA5"/>
    <w:rsid w:val="00923F14"/>
    <w:rsid w:val="00924645"/>
    <w:rsid w:val="00924A47"/>
    <w:rsid w:val="0092521A"/>
    <w:rsid w:val="00925734"/>
    <w:rsid w:val="00925992"/>
    <w:rsid w:val="009259DB"/>
    <w:rsid w:val="00925D53"/>
    <w:rsid w:val="00925E28"/>
    <w:rsid w:val="00925EDE"/>
    <w:rsid w:val="00926641"/>
    <w:rsid w:val="00926EB8"/>
    <w:rsid w:val="00927053"/>
    <w:rsid w:val="00927685"/>
    <w:rsid w:val="00927855"/>
    <w:rsid w:val="00927D7E"/>
    <w:rsid w:val="00927F7F"/>
    <w:rsid w:val="0093003D"/>
    <w:rsid w:val="009306C6"/>
    <w:rsid w:val="0093071E"/>
    <w:rsid w:val="00930976"/>
    <w:rsid w:val="00931682"/>
    <w:rsid w:val="009318AE"/>
    <w:rsid w:val="00931EE3"/>
    <w:rsid w:val="0093271A"/>
    <w:rsid w:val="00932D1D"/>
    <w:rsid w:val="00932F2E"/>
    <w:rsid w:val="0093376D"/>
    <w:rsid w:val="009342EC"/>
    <w:rsid w:val="00934C66"/>
    <w:rsid w:val="00934D04"/>
    <w:rsid w:val="0093552A"/>
    <w:rsid w:val="0093599D"/>
    <w:rsid w:val="00936462"/>
    <w:rsid w:val="009367D0"/>
    <w:rsid w:val="00936880"/>
    <w:rsid w:val="00937305"/>
    <w:rsid w:val="00937781"/>
    <w:rsid w:val="00937FA2"/>
    <w:rsid w:val="00940648"/>
    <w:rsid w:val="00940663"/>
    <w:rsid w:val="0094077C"/>
    <w:rsid w:val="00940DD9"/>
    <w:rsid w:val="00941ECB"/>
    <w:rsid w:val="009421E1"/>
    <w:rsid w:val="00942928"/>
    <w:rsid w:val="00942950"/>
    <w:rsid w:val="00942A4D"/>
    <w:rsid w:val="0094304F"/>
    <w:rsid w:val="00943651"/>
    <w:rsid w:val="00943F85"/>
    <w:rsid w:val="00944817"/>
    <w:rsid w:val="009449D6"/>
    <w:rsid w:val="00944F37"/>
    <w:rsid w:val="009464FB"/>
    <w:rsid w:val="00946C5C"/>
    <w:rsid w:val="00946E3F"/>
    <w:rsid w:val="009473F5"/>
    <w:rsid w:val="009474AE"/>
    <w:rsid w:val="009475D3"/>
    <w:rsid w:val="0095014A"/>
    <w:rsid w:val="00950CBD"/>
    <w:rsid w:val="00951027"/>
    <w:rsid w:val="0095109A"/>
    <w:rsid w:val="009510BF"/>
    <w:rsid w:val="009512EF"/>
    <w:rsid w:val="00951DED"/>
    <w:rsid w:val="00952937"/>
    <w:rsid w:val="00952FDA"/>
    <w:rsid w:val="009533E1"/>
    <w:rsid w:val="00953606"/>
    <w:rsid w:val="009537FE"/>
    <w:rsid w:val="00953F1D"/>
    <w:rsid w:val="009544DC"/>
    <w:rsid w:val="00954B17"/>
    <w:rsid w:val="00955C15"/>
    <w:rsid w:val="00955E58"/>
    <w:rsid w:val="0095623C"/>
    <w:rsid w:val="00957262"/>
    <w:rsid w:val="00957426"/>
    <w:rsid w:val="0095752F"/>
    <w:rsid w:val="0095783D"/>
    <w:rsid w:val="00957E35"/>
    <w:rsid w:val="0096078A"/>
    <w:rsid w:val="009609E8"/>
    <w:rsid w:val="00960C71"/>
    <w:rsid w:val="00961809"/>
    <w:rsid w:val="00961FE4"/>
    <w:rsid w:val="00962970"/>
    <w:rsid w:val="009631E1"/>
    <w:rsid w:val="00964090"/>
    <w:rsid w:val="0096443B"/>
    <w:rsid w:val="00964CF6"/>
    <w:rsid w:val="00964EA3"/>
    <w:rsid w:val="009653F8"/>
    <w:rsid w:val="00965B1E"/>
    <w:rsid w:val="009666D8"/>
    <w:rsid w:val="00966A1C"/>
    <w:rsid w:val="00966D26"/>
    <w:rsid w:val="00967448"/>
    <w:rsid w:val="009709FA"/>
    <w:rsid w:val="0097162D"/>
    <w:rsid w:val="0097192F"/>
    <w:rsid w:val="00971B1E"/>
    <w:rsid w:val="00971DA3"/>
    <w:rsid w:val="0097226E"/>
    <w:rsid w:val="00972A95"/>
    <w:rsid w:val="00972B0A"/>
    <w:rsid w:val="00972B84"/>
    <w:rsid w:val="00972BBF"/>
    <w:rsid w:val="00972E40"/>
    <w:rsid w:val="009736D6"/>
    <w:rsid w:val="00973BCD"/>
    <w:rsid w:val="00973FA9"/>
    <w:rsid w:val="0097417F"/>
    <w:rsid w:val="009750A6"/>
    <w:rsid w:val="009753FE"/>
    <w:rsid w:val="00975699"/>
    <w:rsid w:val="00975B3B"/>
    <w:rsid w:val="00976050"/>
    <w:rsid w:val="009767CA"/>
    <w:rsid w:val="00976F71"/>
    <w:rsid w:val="00976FAD"/>
    <w:rsid w:val="00977077"/>
    <w:rsid w:val="009778B1"/>
    <w:rsid w:val="009806B1"/>
    <w:rsid w:val="00980AFE"/>
    <w:rsid w:val="00980B67"/>
    <w:rsid w:val="00981137"/>
    <w:rsid w:val="009818CD"/>
    <w:rsid w:val="00981E0D"/>
    <w:rsid w:val="009822AD"/>
    <w:rsid w:val="0098296C"/>
    <w:rsid w:val="009834A0"/>
    <w:rsid w:val="00983F13"/>
    <w:rsid w:val="0098408B"/>
    <w:rsid w:val="009841E9"/>
    <w:rsid w:val="0098580F"/>
    <w:rsid w:val="00986321"/>
    <w:rsid w:val="00986B68"/>
    <w:rsid w:val="00986BDD"/>
    <w:rsid w:val="00986DB5"/>
    <w:rsid w:val="009874AD"/>
    <w:rsid w:val="009875B6"/>
    <w:rsid w:val="00987648"/>
    <w:rsid w:val="00987830"/>
    <w:rsid w:val="00990D63"/>
    <w:rsid w:val="00991309"/>
    <w:rsid w:val="00991ABE"/>
    <w:rsid w:val="00991E57"/>
    <w:rsid w:val="00993CB6"/>
    <w:rsid w:val="009943F6"/>
    <w:rsid w:val="00994911"/>
    <w:rsid w:val="009950F5"/>
    <w:rsid w:val="009954F1"/>
    <w:rsid w:val="00995505"/>
    <w:rsid w:val="0099563D"/>
    <w:rsid w:val="009956DF"/>
    <w:rsid w:val="00995741"/>
    <w:rsid w:val="00995858"/>
    <w:rsid w:val="0099712E"/>
    <w:rsid w:val="009973AE"/>
    <w:rsid w:val="0099793C"/>
    <w:rsid w:val="009A0919"/>
    <w:rsid w:val="009A184E"/>
    <w:rsid w:val="009A1A37"/>
    <w:rsid w:val="009A1A67"/>
    <w:rsid w:val="009A1FB5"/>
    <w:rsid w:val="009A218B"/>
    <w:rsid w:val="009A2A08"/>
    <w:rsid w:val="009A2B85"/>
    <w:rsid w:val="009A3090"/>
    <w:rsid w:val="009A317D"/>
    <w:rsid w:val="009A392B"/>
    <w:rsid w:val="009A3C92"/>
    <w:rsid w:val="009A400C"/>
    <w:rsid w:val="009A43FE"/>
    <w:rsid w:val="009A52A9"/>
    <w:rsid w:val="009A737E"/>
    <w:rsid w:val="009A7584"/>
    <w:rsid w:val="009B03D7"/>
    <w:rsid w:val="009B05C4"/>
    <w:rsid w:val="009B07BE"/>
    <w:rsid w:val="009B1008"/>
    <w:rsid w:val="009B1C28"/>
    <w:rsid w:val="009B1F73"/>
    <w:rsid w:val="009B2BDB"/>
    <w:rsid w:val="009B2F50"/>
    <w:rsid w:val="009B3047"/>
    <w:rsid w:val="009B3824"/>
    <w:rsid w:val="009B3827"/>
    <w:rsid w:val="009B3B62"/>
    <w:rsid w:val="009B3BF0"/>
    <w:rsid w:val="009B43E9"/>
    <w:rsid w:val="009B4BDC"/>
    <w:rsid w:val="009B5366"/>
    <w:rsid w:val="009B54DB"/>
    <w:rsid w:val="009B5B92"/>
    <w:rsid w:val="009B5EBA"/>
    <w:rsid w:val="009B7E75"/>
    <w:rsid w:val="009C002F"/>
    <w:rsid w:val="009C04BC"/>
    <w:rsid w:val="009C066D"/>
    <w:rsid w:val="009C0AAA"/>
    <w:rsid w:val="009C0D19"/>
    <w:rsid w:val="009C1471"/>
    <w:rsid w:val="009C1D3E"/>
    <w:rsid w:val="009C2053"/>
    <w:rsid w:val="009C2095"/>
    <w:rsid w:val="009C40A5"/>
    <w:rsid w:val="009C4F55"/>
    <w:rsid w:val="009C59E7"/>
    <w:rsid w:val="009C6021"/>
    <w:rsid w:val="009C64A8"/>
    <w:rsid w:val="009C64FC"/>
    <w:rsid w:val="009C67A6"/>
    <w:rsid w:val="009C695F"/>
    <w:rsid w:val="009C7C42"/>
    <w:rsid w:val="009D0D52"/>
    <w:rsid w:val="009D0E16"/>
    <w:rsid w:val="009D0F73"/>
    <w:rsid w:val="009D1F5F"/>
    <w:rsid w:val="009D2032"/>
    <w:rsid w:val="009D2336"/>
    <w:rsid w:val="009D25C5"/>
    <w:rsid w:val="009D2844"/>
    <w:rsid w:val="009D3149"/>
    <w:rsid w:val="009D33E0"/>
    <w:rsid w:val="009D33E9"/>
    <w:rsid w:val="009D399A"/>
    <w:rsid w:val="009D3F84"/>
    <w:rsid w:val="009D4025"/>
    <w:rsid w:val="009D4145"/>
    <w:rsid w:val="009D4D7C"/>
    <w:rsid w:val="009D4F07"/>
    <w:rsid w:val="009D500E"/>
    <w:rsid w:val="009D525F"/>
    <w:rsid w:val="009D5C1A"/>
    <w:rsid w:val="009D6BDE"/>
    <w:rsid w:val="009D6FAD"/>
    <w:rsid w:val="009D70FF"/>
    <w:rsid w:val="009D7281"/>
    <w:rsid w:val="009D7633"/>
    <w:rsid w:val="009D7715"/>
    <w:rsid w:val="009D7DFE"/>
    <w:rsid w:val="009E02D5"/>
    <w:rsid w:val="009E0825"/>
    <w:rsid w:val="009E1DD2"/>
    <w:rsid w:val="009E2044"/>
    <w:rsid w:val="009E28B8"/>
    <w:rsid w:val="009E2C42"/>
    <w:rsid w:val="009E3197"/>
    <w:rsid w:val="009E37ED"/>
    <w:rsid w:val="009E38BC"/>
    <w:rsid w:val="009E42FF"/>
    <w:rsid w:val="009E473E"/>
    <w:rsid w:val="009E4B55"/>
    <w:rsid w:val="009E50C1"/>
    <w:rsid w:val="009E547F"/>
    <w:rsid w:val="009E5A60"/>
    <w:rsid w:val="009E5BDF"/>
    <w:rsid w:val="009E5E15"/>
    <w:rsid w:val="009E703A"/>
    <w:rsid w:val="009E7111"/>
    <w:rsid w:val="009E7347"/>
    <w:rsid w:val="009E7440"/>
    <w:rsid w:val="009F0318"/>
    <w:rsid w:val="009F04E3"/>
    <w:rsid w:val="009F0798"/>
    <w:rsid w:val="009F10FF"/>
    <w:rsid w:val="009F1BB3"/>
    <w:rsid w:val="009F1FF4"/>
    <w:rsid w:val="009F25AB"/>
    <w:rsid w:val="009F354F"/>
    <w:rsid w:val="009F3610"/>
    <w:rsid w:val="009F3C96"/>
    <w:rsid w:val="009F3E2C"/>
    <w:rsid w:val="009F3F55"/>
    <w:rsid w:val="009F42FF"/>
    <w:rsid w:val="009F43CE"/>
    <w:rsid w:val="009F4880"/>
    <w:rsid w:val="009F4882"/>
    <w:rsid w:val="009F4889"/>
    <w:rsid w:val="009F48F6"/>
    <w:rsid w:val="009F4C31"/>
    <w:rsid w:val="009F4DCC"/>
    <w:rsid w:val="009F508B"/>
    <w:rsid w:val="009F5103"/>
    <w:rsid w:val="009F5670"/>
    <w:rsid w:val="009F5CA9"/>
    <w:rsid w:val="009F609B"/>
    <w:rsid w:val="009F619B"/>
    <w:rsid w:val="009F6268"/>
    <w:rsid w:val="009F6E4F"/>
    <w:rsid w:val="009F7370"/>
    <w:rsid w:val="009F75F4"/>
    <w:rsid w:val="009F7694"/>
    <w:rsid w:val="009F7746"/>
    <w:rsid w:val="00A00A8D"/>
    <w:rsid w:val="00A014FE"/>
    <w:rsid w:val="00A01FB3"/>
    <w:rsid w:val="00A0226D"/>
    <w:rsid w:val="00A0279E"/>
    <w:rsid w:val="00A02F3D"/>
    <w:rsid w:val="00A03028"/>
    <w:rsid w:val="00A035B4"/>
    <w:rsid w:val="00A0364F"/>
    <w:rsid w:val="00A03E4A"/>
    <w:rsid w:val="00A04ABC"/>
    <w:rsid w:val="00A05575"/>
    <w:rsid w:val="00A05B2B"/>
    <w:rsid w:val="00A061BC"/>
    <w:rsid w:val="00A065CB"/>
    <w:rsid w:val="00A0675D"/>
    <w:rsid w:val="00A06892"/>
    <w:rsid w:val="00A06978"/>
    <w:rsid w:val="00A075E8"/>
    <w:rsid w:val="00A0794E"/>
    <w:rsid w:val="00A079DE"/>
    <w:rsid w:val="00A10B95"/>
    <w:rsid w:val="00A10DE2"/>
    <w:rsid w:val="00A11279"/>
    <w:rsid w:val="00A11994"/>
    <w:rsid w:val="00A11C67"/>
    <w:rsid w:val="00A11F18"/>
    <w:rsid w:val="00A11FDD"/>
    <w:rsid w:val="00A12B69"/>
    <w:rsid w:val="00A135FB"/>
    <w:rsid w:val="00A14048"/>
    <w:rsid w:val="00A1441B"/>
    <w:rsid w:val="00A14902"/>
    <w:rsid w:val="00A151C3"/>
    <w:rsid w:val="00A15BC0"/>
    <w:rsid w:val="00A16D04"/>
    <w:rsid w:val="00A176D9"/>
    <w:rsid w:val="00A17C8E"/>
    <w:rsid w:val="00A20129"/>
    <w:rsid w:val="00A209E5"/>
    <w:rsid w:val="00A20A7E"/>
    <w:rsid w:val="00A21108"/>
    <w:rsid w:val="00A21AB7"/>
    <w:rsid w:val="00A2257B"/>
    <w:rsid w:val="00A22C9C"/>
    <w:rsid w:val="00A2442D"/>
    <w:rsid w:val="00A24596"/>
    <w:rsid w:val="00A24F8B"/>
    <w:rsid w:val="00A2518C"/>
    <w:rsid w:val="00A2530E"/>
    <w:rsid w:val="00A258EB"/>
    <w:rsid w:val="00A25A76"/>
    <w:rsid w:val="00A25C96"/>
    <w:rsid w:val="00A26020"/>
    <w:rsid w:val="00A2611F"/>
    <w:rsid w:val="00A2635A"/>
    <w:rsid w:val="00A2665C"/>
    <w:rsid w:val="00A26A0F"/>
    <w:rsid w:val="00A2703E"/>
    <w:rsid w:val="00A27589"/>
    <w:rsid w:val="00A27E1E"/>
    <w:rsid w:val="00A30DD4"/>
    <w:rsid w:val="00A30DD6"/>
    <w:rsid w:val="00A3106E"/>
    <w:rsid w:val="00A3157F"/>
    <w:rsid w:val="00A31736"/>
    <w:rsid w:val="00A31B49"/>
    <w:rsid w:val="00A31BF1"/>
    <w:rsid w:val="00A32151"/>
    <w:rsid w:val="00A3237D"/>
    <w:rsid w:val="00A32563"/>
    <w:rsid w:val="00A32588"/>
    <w:rsid w:val="00A33125"/>
    <w:rsid w:val="00A3316E"/>
    <w:rsid w:val="00A3379D"/>
    <w:rsid w:val="00A340AA"/>
    <w:rsid w:val="00A3421A"/>
    <w:rsid w:val="00A349CF"/>
    <w:rsid w:val="00A35340"/>
    <w:rsid w:val="00A3544F"/>
    <w:rsid w:val="00A356F7"/>
    <w:rsid w:val="00A35F6B"/>
    <w:rsid w:val="00A360C7"/>
    <w:rsid w:val="00A366C3"/>
    <w:rsid w:val="00A36AE9"/>
    <w:rsid w:val="00A36B29"/>
    <w:rsid w:val="00A371BE"/>
    <w:rsid w:val="00A37457"/>
    <w:rsid w:val="00A37B90"/>
    <w:rsid w:val="00A37BA7"/>
    <w:rsid w:val="00A37BF0"/>
    <w:rsid w:val="00A4091B"/>
    <w:rsid w:val="00A40AC3"/>
    <w:rsid w:val="00A40DBF"/>
    <w:rsid w:val="00A411AD"/>
    <w:rsid w:val="00A4163B"/>
    <w:rsid w:val="00A41E87"/>
    <w:rsid w:val="00A42014"/>
    <w:rsid w:val="00A4223B"/>
    <w:rsid w:val="00A4226C"/>
    <w:rsid w:val="00A4251A"/>
    <w:rsid w:val="00A42596"/>
    <w:rsid w:val="00A42C69"/>
    <w:rsid w:val="00A44815"/>
    <w:rsid w:val="00A44CEE"/>
    <w:rsid w:val="00A44F42"/>
    <w:rsid w:val="00A452F3"/>
    <w:rsid w:val="00A45473"/>
    <w:rsid w:val="00A45AD7"/>
    <w:rsid w:val="00A465C1"/>
    <w:rsid w:val="00A46841"/>
    <w:rsid w:val="00A4705A"/>
    <w:rsid w:val="00A4740D"/>
    <w:rsid w:val="00A47A29"/>
    <w:rsid w:val="00A47A72"/>
    <w:rsid w:val="00A47EB3"/>
    <w:rsid w:val="00A5033D"/>
    <w:rsid w:val="00A50ED7"/>
    <w:rsid w:val="00A52AAF"/>
    <w:rsid w:val="00A537CD"/>
    <w:rsid w:val="00A539B4"/>
    <w:rsid w:val="00A53EB8"/>
    <w:rsid w:val="00A5446E"/>
    <w:rsid w:val="00A545C5"/>
    <w:rsid w:val="00A54B97"/>
    <w:rsid w:val="00A54E21"/>
    <w:rsid w:val="00A55CA6"/>
    <w:rsid w:val="00A55DA2"/>
    <w:rsid w:val="00A55E7A"/>
    <w:rsid w:val="00A56047"/>
    <w:rsid w:val="00A57241"/>
    <w:rsid w:val="00A5735C"/>
    <w:rsid w:val="00A573F4"/>
    <w:rsid w:val="00A5787A"/>
    <w:rsid w:val="00A57C5E"/>
    <w:rsid w:val="00A57E7B"/>
    <w:rsid w:val="00A60370"/>
    <w:rsid w:val="00A60EC6"/>
    <w:rsid w:val="00A6114E"/>
    <w:rsid w:val="00A61309"/>
    <w:rsid w:val="00A6161B"/>
    <w:rsid w:val="00A61B14"/>
    <w:rsid w:val="00A63334"/>
    <w:rsid w:val="00A636A3"/>
    <w:rsid w:val="00A63A19"/>
    <w:rsid w:val="00A63C28"/>
    <w:rsid w:val="00A63E77"/>
    <w:rsid w:val="00A64684"/>
    <w:rsid w:val="00A64A99"/>
    <w:rsid w:val="00A65014"/>
    <w:rsid w:val="00A65A5A"/>
    <w:rsid w:val="00A65F22"/>
    <w:rsid w:val="00A65F8B"/>
    <w:rsid w:val="00A66290"/>
    <w:rsid w:val="00A676AE"/>
    <w:rsid w:val="00A6776A"/>
    <w:rsid w:val="00A67C41"/>
    <w:rsid w:val="00A67D43"/>
    <w:rsid w:val="00A67F2D"/>
    <w:rsid w:val="00A71450"/>
    <w:rsid w:val="00A727D5"/>
    <w:rsid w:val="00A730E2"/>
    <w:rsid w:val="00A7345F"/>
    <w:rsid w:val="00A73BD3"/>
    <w:rsid w:val="00A7477B"/>
    <w:rsid w:val="00A747E9"/>
    <w:rsid w:val="00A749C3"/>
    <w:rsid w:val="00A74E8F"/>
    <w:rsid w:val="00A75662"/>
    <w:rsid w:val="00A7579B"/>
    <w:rsid w:val="00A75CDF"/>
    <w:rsid w:val="00A7625F"/>
    <w:rsid w:val="00A769F3"/>
    <w:rsid w:val="00A76B2F"/>
    <w:rsid w:val="00A771A7"/>
    <w:rsid w:val="00A8035A"/>
    <w:rsid w:val="00A80737"/>
    <w:rsid w:val="00A80DBC"/>
    <w:rsid w:val="00A81B6C"/>
    <w:rsid w:val="00A81C97"/>
    <w:rsid w:val="00A81CB2"/>
    <w:rsid w:val="00A81D87"/>
    <w:rsid w:val="00A825A9"/>
    <w:rsid w:val="00A82E48"/>
    <w:rsid w:val="00A82FA6"/>
    <w:rsid w:val="00A83A5E"/>
    <w:rsid w:val="00A83B54"/>
    <w:rsid w:val="00A83F09"/>
    <w:rsid w:val="00A84218"/>
    <w:rsid w:val="00A84548"/>
    <w:rsid w:val="00A85329"/>
    <w:rsid w:val="00A85333"/>
    <w:rsid w:val="00A853BC"/>
    <w:rsid w:val="00A8595C"/>
    <w:rsid w:val="00A85EAB"/>
    <w:rsid w:val="00A8622B"/>
    <w:rsid w:val="00A86D0C"/>
    <w:rsid w:val="00A90116"/>
    <w:rsid w:val="00A905F8"/>
    <w:rsid w:val="00A90C98"/>
    <w:rsid w:val="00A90CF5"/>
    <w:rsid w:val="00A90DFC"/>
    <w:rsid w:val="00A91D50"/>
    <w:rsid w:val="00A91EF7"/>
    <w:rsid w:val="00A92567"/>
    <w:rsid w:val="00A92BA0"/>
    <w:rsid w:val="00A9308C"/>
    <w:rsid w:val="00A939F9"/>
    <w:rsid w:val="00A93CC2"/>
    <w:rsid w:val="00A93EF0"/>
    <w:rsid w:val="00A9426F"/>
    <w:rsid w:val="00A9563B"/>
    <w:rsid w:val="00A96935"/>
    <w:rsid w:val="00A971D1"/>
    <w:rsid w:val="00A97477"/>
    <w:rsid w:val="00A97A4B"/>
    <w:rsid w:val="00AA0571"/>
    <w:rsid w:val="00AA07DB"/>
    <w:rsid w:val="00AA1722"/>
    <w:rsid w:val="00AA184A"/>
    <w:rsid w:val="00AA1E37"/>
    <w:rsid w:val="00AA1F8E"/>
    <w:rsid w:val="00AA2138"/>
    <w:rsid w:val="00AA21BE"/>
    <w:rsid w:val="00AA229B"/>
    <w:rsid w:val="00AA2DC7"/>
    <w:rsid w:val="00AA3197"/>
    <w:rsid w:val="00AA3632"/>
    <w:rsid w:val="00AA38CF"/>
    <w:rsid w:val="00AA3C20"/>
    <w:rsid w:val="00AA4240"/>
    <w:rsid w:val="00AA4D21"/>
    <w:rsid w:val="00AA5858"/>
    <w:rsid w:val="00AA5C44"/>
    <w:rsid w:val="00AA62E8"/>
    <w:rsid w:val="00AA79C0"/>
    <w:rsid w:val="00AA7EF2"/>
    <w:rsid w:val="00AB0391"/>
    <w:rsid w:val="00AB11CB"/>
    <w:rsid w:val="00AB148F"/>
    <w:rsid w:val="00AB1FF5"/>
    <w:rsid w:val="00AB2792"/>
    <w:rsid w:val="00AB2808"/>
    <w:rsid w:val="00AB2E76"/>
    <w:rsid w:val="00AB2F7A"/>
    <w:rsid w:val="00AB2FBE"/>
    <w:rsid w:val="00AB30DA"/>
    <w:rsid w:val="00AB3AF3"/>
    <w:rsid w:val="00AB4839"/>
    <w:rsid w:val="00AB5422"/>
    <w:rsid w:val="00AB5610"/>
    <w:rsid w:val="00AB6284"/>
    <w:rsid w:val="00AB636B"/>
    <w:rsid w:val="00AB645F"/>
    <w:rsid w:val="00AB6C69"/>
    <w:rsid w:val="00AB6FC2"/>
    <w:rsid w:val="00AB70E6"/>
    <w:rsid w:val="00AB72C3"/>
    <w:rsid w:val="00AB74DB"/>
    <w:rsid w:val="00AB7647"/>
    <w:rsid w:val="00AC010C"/>
    <w:rsid w:val="00AC063F"/>
    <w:rsid w:val="00AC0BC8"/>
    <w:rsid w:val="00AC11BD"/>
    <w:rsid w:val="00AC2057"/>
    <w:rsid w:val="00AC20D8"/>
    <w:rsid w:val="00AC2D00"/>
    <w:rsid w:val="00AC2E24"/>
    <w:rsid w:val="00AC34A5"/>
    <w:rsid w:val="00AC419D"/>
    <w:rsid w:val="00AC42CC"/>
    <w:rsid w:val="00AC44FE"/>
    <w:rsid w:val="00AC48B2"/>
    <w:rsid w:val="00AC4C51"/>
    <w:rsid w:val="00AC5350"/>
    <w:rsid w:val="00AC5A08"/>
    <w:rsid w:val="00AC61B8"/>
    <w:rsid w:val="00AC6602"/>
    <w:rsid w:val="00AC7857"/>
    <w:rsid w:val="00AC790B"/>
    <w:rsid w:val="00AC7B8F"/>
    <w:rsid w:val="00AC7CC8"/>
    <w:rsid w:val="00AD0456"/>
    <w:rsid w:val="00AD18E8"/>
    <w:rsid w:val="00AD1D95"/>
    <w:rsid w:val="00AD22A9"/>
    <w:rsid w:val="00AD26D7"/>
    <w:rsid w:val="00AD2D48"/>
    <w:rsid w:val="00AD2E1A"/>
    <w:rsid w:val="00AD392A"/>
    <w:rsid w:val="00AD415A"/>
    <w:rsid w:val="00AD41DA"/>
    <w:rsid w:val="00AD4AC9"/>
    <w:rsid w:val="00AD4B71"/>
    <w:rsid w:val="00AD4C88"/>
    <w:rsid w:val="00AD52B6"/>
    <w:rsid w:val="00AD5971"/>
    <w:rsid w:val="00AD6F1F"/>
    <w:rsid w:val="00AD71D7"/>
    <w:rsid w:val="00AD749B"/>
    <w:rsid w:val="00AD775D"/>
    <w:rsid w:val="00AE0A35"/>
    <w:rsid w:val="00AE1088"/>
    <w:rsid w:val="00AE1818"/>
    <w:rsid w:val="00AE270C"/>
    <w:rsid w:val="00AE3500"/>
    <w:rsid w:val="00AE3913"/>
    <w:rsid w:val="00AE39E4"/>
    <w:rsid w:val="00AE3B0F"/>
    <w:rsid w:val="00AE3CDE"/>
    <w:rsid w:val="00AE447C"/>
    <w:rsid w:val="00AE4630"/>
    <w:rsid w:val="00AE4AB5"/>
    <w:rsid w:val="00AE4F07"/>
    <w:rsid w:val="00AE4F2F"/>
    <w:rsid w:val="00AE61BE"/>
    <w:rsid w:val="00AE686A"/>
    <w:rsid w:val="00AE7077"/>
    <w:rsid w:val="00AE7221"/>
    <w:rsid w:val="00AE7D1C"/>
    <w:rsid w:val="00AE7E10"/>
    <w:rsid w:val="00AF085B"/>
    <w:rsid w:val="00AF0A29"/>
    <w:rsid w:val="00AF0A89"/>
    <w:rsid w:val="00AF2543"/>
    <w:rsid w:val="00AF2629"/>
    <w:rsid w:val="00AF299C"/>
    <w:rsid w:val="00AF2E99"/>
    <w:rsid w:val="00AF2ED7"/>
    <w:rsid w:val="00AF3078"/>
    <w:rsid w:val="00AF3EEC"/>
    <w:rsid w:val="00AF4D6C"/>
    <w:rsid w:val="00AF578A"/>
    <w:rsid w:val="00AF5B4C"/>
    <w:rsid w:val="00AF6465"/>
    <w:rsid w:val="00AF65CF"/>
    <w:rsid w:val="00AF6957"/>
    <w:rsid w:val="00AF69C8"/>
    <w:rsid w:val="00AF78D8"/>
    <w:rsid w:val="00B00ABB"/>
    <w:rsid w:val="00B00E6E"/>
    <w:rsid w:val="00B0179B"/>
    <w:rsid w:val="00B01896"/>
    <w:rsid w:val="00B02066"/>
    <w:rsid w:val="00B02532"/>
    <w:rsid w:val="00B02FB7"/>
    <w:rsid w:val="00B0307A"/>
    <w:rsid w:val="00B03A8A"/>
    <w:rsid w:val="00B03C48"/>
    <w:rsid w:val="00B04471"/>
    <w:rsid w:val="00B045CA"/>
    <w:rsid w:val="00B05150"/>
    <w:rsid w:val="00B0524F"/>
    <w:rsid w:val="00B052E5"/>
    <w:rsid w:val="00B05CEB"/>
    <w:rsid w:val="00B05EC9"/>
    <w:rsid w:val="00B06266"/>
    <w:rsid w:val="00B06294"/>
    <w:rsid w:val="00B065E4"/>
    <w:rsid w:val="00B0679E"/>
    <w:rsid w:val="00B0692E"/>
    <w:rsid w:val="00B06FFF"/>
    <w:rsid w:val="00B1008F"/>
    <w:rsid w:val="00B11BE1"/>
    <w:rsid w:val="00B12312"/>
    <w:rsid w:val="00B12531"/>
    <w:rsid w:val="00B131F5"/>
    <w:rsid w:val="00B1440D"/>
    <w:rsid w:val="00B14EBD"/>
    <w:rsid w:val="00B15566"/>
    <w:rsid w:val="00B15605"/>
    <w:rsid w:val="00B15691"/>
    <w:rsid w:val="00B15EA0"/>
    <w:rsid w:val="00B15F54"/>
    <w:rsid w:val="00B1628B"/>
    <w:rsid w:val="00B16AD7"/>
    <w:rsid w:val="00B17230"/>
    <w:rsid w:val="00B17427"/>
    <w:rsid w:val="00B176CE"/>
    <w:rsid w:val="00B1776F"/>
    <w:rsid w:val="00B17B76"/>
    <w:rsid w:val="00B17F36"/>
    <w:rsid w:val="00B20746"/>
    <w:rsid w:val="00B20FD0"/>
    <w:rsid w:val="00B2116D"/>
    <w:rsid w:val="00B2132F"/>
    <w:rsid w:val="00B21C86"/>
    <w:rsid w:val="00B21F81"/>
    <w:rsid w:val="00B22523"/>
    <w:rsid w:val="00B231E6"/>
    <w:rsid w:val="00B23337"/>
    <w:rsid w:val="00B2495F"/>
    <w:rsid w:val="00B249DD"/>
    <w:rsid w:val="00B24D95"/>
    <w:rsid w:val="00B24DD6"/>
    <w:rsid w:val="00B252CE"/>
    <w:rsid w:val="00B254AA"/>
    <w:rsid w:val="00B25713"/>
    <w:rsid w:val="00B259DC"/>
    <w:rsid w:val="00B25C85"/>
    <w:rsid w:val="00B264A0"/>
    <w:rsid w:val="00B267A9"/>
    <w:rsid w:val="00B268F2"/>
    <w:rsid w:val="00B26E06"/>
    <w:rsid w:val="00B26F21"/>
    <w:rsid w:val="00B270C3"/>
    <w:rsid w:val="00B2731C"/>
    <w:rsid w:val="00B27378"/>
    <w:rsid w:val="00B27938"/>
    <w:rsid w:val="00B27A47"/>
    <w:rsid w:val="00B27A95"/>
    <w:rsid w:val="00B27D00"/>
    <w:rsid w:val="00B27D47"/>
    <w:rsid w:val="00B302C1"/>
    <w:rsid w:val="00B30920"/>
    <w:rsid w:val="00B30A8C"/>
    <w:rsid w:val="00B31571"/>
    <w:rsid w:val="00B315F4"/>
    <w:rsid w:val="00B32355"/>
    <w:rsid w:val="00B3239C"/>
    <w:rsid w:val="00B333AD"/>
    <w:rsid w:val="00B33980"/>
    <w:rsid w:val="00B33E2B"/>
    <w:rsid w:val="00B35218"/>
    <w:rsid w:val="00B3531A"/>
    <w:rsid w:val="00B35482"/>
    <w:rsid w:val="00B36053"/>
    <w:rsid w:val="00B368B8"/>
    <w:rsid w:val="00B36C8F"/>
    <w:rsid w:val="00B3711E"/>
    <w:rsid w:val="00B3765C"/>
    <w:rsid w:val="00B3774F"/>
    <w:rsid w:val="00B37A67"/>
    <w:rsid w:val="00B37B33"/>
    <w:rsid w:val="00B400EC"/>
    <w:rsid w:val="00B403F9"/>
    <w:rsid w:val="00B4069F"/>
    <w:rsid w:val="00B40B38"/>
    <w:rsid w:val="00B4137C"/>
    <w:rsid w:val="00B42387"/>
    <w:rsid w:val="00B42687"/>
    <w:rsid w:val="00B42FCD"/>
    <w:rsid w:val="00B4356B"/>
    <w:rsid w:val="00B43C68"/>
    <w:rsid w:val="00B44BB2"/>
    <w:rsid w:val="00B44E7D"/>
    <w:rsid w:val="00B450C1"/>
    <w:rsid w:val="00B45890"/>
    <w:rsid w:val="00B45993"/>
    <w:rsid w:val="00B465C5"/>
    <w:rsid w:val="00B4687E"/>
    <w:rsid w:val="00B46FBC"/>
    <w:rsid w:val="00B4716E"/>
    <w:rsid w:val="00B47555"/>
    <w:rsid w:val="00B47950"/>
    <w:rsid w:val="00B479E6"/>
    <w:rsid w:val="00B47AF5"/>
    <w:rsid w:val="00B47DD0"/>
    <w:rsid w:val="00B47E4C"/>
    <w:rsid w:val="00B50318"/>
    <w:rsid w:val="00B50DFE"/>
    <w:rsid w:val="00B51310"/>
    <w:rsid w:val="00B5187F"/>
    <w:rsid w:val="00B520EE"/>
    <w:rsid w:val="00B52D2D"/>
    <w:rsid w:val="00B5313A"/>
    <w:rsid w:val="00B5412A"/>
    <w:rsid w:val="00B54135"/>
    <w:rsid w:val="00B54DF6"/>
    <w:rsid w:val="00B55446"/>
    <w:rsid w:val="00B556E6"/>
    <w:rsid w:val="00B558F0"/>
    <w:rsid w:val="00B56544"/>
    <w:rsid w:val="00B56AAB"/>
    <w:rsid w:val="00B56CF3"/>
    <w:rsid w:val="00B57A63"/>
    <w:rsid w:val="00B57AEF"/>
    <w:rsid w:val="00B57EB6"/>
    <w:rsid w:val="00B60A1B"/>
    <w:rsid w:val="00B61347"/>
    <w:rsid w:val="00B615BA"/>
    <w:rsid w:val="00B629AD"/>
    <w:rsid w:val="00B62B90"/>
    <w:rsid w:val="00B62BEB"/>
    <w:rsid w:val="00B633E7"/>
    <w:rsid w:val="00B63676"/>
    <w:rsid w:val="00B63A2D"/>
    <w:rsid w:val="00B643D9"/>
    <w:rsid w:val="00B64C5E"/>
    <w:rsid w:val="00B64E04"/>
    <w:rsid w:val="00B64EE9"/>
    <w:rsid w:val="00B65B4F"/>
    <w:rsid w:val="00B65E2D"/>
    <w:rsid w:val="00B65F55"/>
    <w:rsid w:val="00B667D8"/>
    <w:rsid w:val="00B703FA"/>
    <w:rsid w:val="00B7041F"/>
    <w:rsid w:val="00B70422"/>
    <w:rsid w:val="00B70596"/>
    <w:rsid w:val="00B71266"/>
    <w:rsid w:val="00B71E77"/>
    <w:rsid w:val="00B72548"/>
    <w:rsid w:val="00B73005"/>
    <w:rsid w:val="00B73917"/>
    <w:rsid w:val="00B73B31"/>
    <w:rsid w:val="00B73CFA"/>
    <w:rsid w:val="00B74AED"/>
    <w:rsid w:val="00B74F6B"/>
    <w:rsid w:val="00B7518D"/>
    <w:rsid w:val="00B751E8"/>
    <w:rsid w:val="00B755AC"/>
    <w:rsid w:val="00B757DE"/>
    <w:rsid w:val="00B75BBC"/>
    <w:rsid w:val="00B75DE0"/>
    <w:rsid w:val="00B76258"/>
    <w:rsid w:val="00B76E32"/>
    <w:rsid w:val="00B76F63"/>
    <w:rsid w:val="00B77B6E"/>
    <w:rsid w:val="00B77DDE"/>
    <w:rsid w:val="00B8023A"/>
    <w:rsid w:val="00B803DC"/>
    <w:rsid w:val="00B80497"/>
    <w:rsid w:val="00B81886"/>
    <w:rsid w:val="00B81B6C"/>
    <w:rsid w:val="00B81CB7"/>
    <w:rsid w:val="00B82817"/>
    <w:rsid w:val="00B8287C"/>
    <w:rsid w:val="00B8306C"/>
    <w:rsid w:val="00B839E7"/>
    <w:rsid w:val="00B840A4"/>
    <w:rsid w:val="00B8461D"/>
    <w:rsid w:val="00B847B8"/>
    <w:rsid w:val="00B847F4"/>
    <w:rsid w:val="00B84D29"/>
    <w:rsid w:val="00B84E55"/>
    <w:rsid w:val="00B867F1"/>
    <w:rsid w:val="00B86A8D"/>
    <w:rsid w:val="00B86EBE"/>
    <w:rsid w:val="00B874C2"/>
    <w:rsid w:val="00B875B7"/>
    <w:rsid w:val="00B8792C"/>
    <w:rsid w:val="00B87C68"/>
    <w:rsid w:val="00B90011"/>
    <w:rsid w:val="00B9097B"/>
    <w:rsid w:val="00B90BFE"/>
    <w:rsid w:val="00B91090"/>
    <w:rsid w:val="00B913E5"/>
    <w:rsid w:val="00B91F51"/>
    <w:rsid w:val="00B92590"/>
    <w:rsid w:val="00B92B9C"/>
    <w:rsid w:val="00B933BE"/>
    <w:rsid w:val="00B9387E"/>
    <w:rsid w:val="00B94649"/>
    <w:rsid w:val="00B95265"/>
    <w:rsid w:val="00B957E0"/>
    <w:rsid w:val="00B9600D"/>
    <w:rsid w:val="00B96761"/>
    <w:rsid w:val="00B969E9"/>
    <w:rsid w:val="00B96AD4"/>
    <w:rsid w:val="00B96D30"/>
    <w:rsid w:val="00B9733C"/>
    <w:rsid w:val="00B97F30"/>
    <w:rsid w:val="00BA0402"/>
    <w:rsid w:val="00BA05CC"/>
    <w:rsid w:val="00BA062F"/>
    <w:rsid w:val="00BA0832"/>
    <w:rsid w:val="00BA1090"/>
    <w:rsid w:val="00BA14C8"/>
    <w:rsid w:val="00BA1DEE"/>
    <w:rsid w:val="00BA2CD9"/>
    <w:rsid w:val="00BA30A5"/>
    <w:rsid w:val="00BA3137"/>
    <w:rsid w:val="00BA3869"/>
    <w:rsid w:val="00BA3D0B"/>
    <w:rsid w:val="00BA49D1"/>
    <w:rsid w:val="00BA4FB6"/>
    <w:rsid w:val="00BA515B"/>
    <w:rsid w:val="00BA52FD"/>
    <w:rsid w:val="00BA67D3"/>
    <w:rsid w:val="00BA68F5"/>
    <w:rsid w:val="00BA6ADF"/>
    <w:rsid w:val="00BA73E5"/>
    <w:rsid w:val="00BA7846"/>
    <w:rsid w:val="00BB03AC"/>
    <w:rsid w:val="00BB10AC"/>
    <w:rsid w:val="00BB10AE"/>
    <w:rsid w:val="00BB1A73"/>
    <w:rsid w:val="00BB2085"/>
    <w:rsid w:val="00BB2601"/>
    <w:rsid w:val="00BB37FC"/>
    <w:rsid w:val="00BB3A05"/>
    <w:rsid w:val="00BB3BCF"/>
    <w:rsid w:val="00BB3E28"/>
    <w:rsid w:val="00BB40A8"/>
    <w:rsid w:val="00BB40C1"/>
    <w:rsid w:val="00BB43BF"/>
    <w:rsid w:val="00BB43CC"/>
    <w:rsid w:val="00BB507F"/>
    <w:rsid w:val="00BB527F"/>
    <w:rsid w:val="00BB5382"/>
    <w:rsid w:val="00BB5B8A"/>
    <w:rsid w:val="00BB67D1"/>
    <w:rsid w:val="00BB6B23"/>
    <w:rsid w:val="00BB730E"/>
    <w:rsid w:val="00BC0014"/>
    <w:rsid w:val="00BC038A"/>
    <w:rsid w:val="00BC119F"/>
    <w:rsid w:val="00BC176C"/>
    <w:rsid w:val="00BC1A1F"/>
    <w:rsid w:val="00BC1E70"/>
    <w:rsid w:val="00BC22F5"/>
    <w:rsid w:val="00BC3042"/>
    <w:rsid w:val="00BC3338"/>
    <w:rsid w:val="00BC3793"/>
    <w:rsid w:val="00BC3B0B"/>
    <w:rsid w:val="00BC45B7"/>
    <w:rsid w:val="00BC4604"/>
    <w:rsid w:val="00BC5087"/>
    <w:rsid w:val="00BC51C7"/>
    <w:rsid w:val="00BC52CE"/>
    <w:rsid w:val="00BC58C6"/>
    <w:rsid w:val="00BC64D3"/>
    <w:rsid w:val="00BC68FA"/>
    <w:rsid w:val="00BC7204"/>
    <w:rsid w:val="00BC7819"/>
    <w:rsid w:val="00BD0822"/>
    <w:rsid w:val="00BD0A62"/>
    <w:rsid w:val="00BD0B85"/>
    <w:rsid w:val="00BD0F44"/>
    <w:rsid w:val="00BD13EF"/>
    <w:rsid w:val="00BD167E"/>
    <w:rsid w:val="00BD176B"/>
    <w:rsid w:val="00BD1C53"/>
    <w:rsid w:val="00BD1F6F"/>
    <w:rsid w:val="00BD288B"/>
    <w:rsid w:val="00BD34EE"/>
    <w:rsid w:val="00BD3A06"/>
    <w:rsid w:val="00BD3F28"/>
    <w:rsid w:val="00BD40C9"/>
    <w:rsid w:val="00BD43F0"/>
    <w:rsid w:val="00BD43FA"/>
    <w:rsid w:val="00BD4C35"/>
    <w:rsid w:val="00BD5DAD"/>
    <w:rsid w:val="00BD60C2"/>
    <w:rsid w:val="00BD6E98"/>
    <w:rsid w:val="00BD6EFF"/>
    <w:rsid w:val="00BD765B"/>
    <w:rsid w:val="00BD7862"/>
    <w:rsid w:val="00BD7AAE"/>
    <w:rsid w:val="00BD7D19"/>
    <w:rsid w:val="00BE10BD"/>
    <w:rsid w:val="00BE1B36"/>
    <w:rsid w:val="00BE1BFF"/>
    <w:rsid w:val="00BE1C8E"/>
    <w:rsid w:val="00BE1E70"/>
    <w:rsid w:val="00BE28C8"/>
    <w:rsid w:val="00BE2F8C"/>
    <w:rsid w:val="00BE300A"/>
    <w:rsid w:val="00BE3187"/>
    <w:rsid w:val="00BE34AE"/>
    <w:rsid w:val="00BE37FF"/>
    <w:rsid w:val="00BE3F72"/>
    <w:rsid w:val="00BE48AD"/>
    <w:rsid w:val="00BE4990"/>
    <w:rsid w:val="00BE4E8A"/>
    <w:rsid w:val="00BE5016"/>
    <w:rsid w:val="00BE520F"/>
    <w:rsid w:val="00BE5239"/>
    <w:rsid w:val="00BE6290"/>
    <w:rsid w:val="00BE6501"/>
    <w:rsid w:val="00BE679F"/>
    <w:rsid w:val="00BE6849"/>
    <w:rsid w:val="00BE72FC"/>
    <w:rsid w:val="00BE7C3E"/>
    <w:rsid w:val="00BF0522"/>
    <w:rsid w:val="00BF0B13"/>
    <w:rsid w:val="00BF0F55"/>
    <w:rsid w:val="00BF1838"/>
    <w:rsid w:val="00BF1E3D"/>
    <w:rsid w:val="00BF2AE6"/>
    <w:rsid w:val="00BF2D29"/>
    <w:rsid w:val="00BF3884"/>
    <w:rsid w:val="00BF3BC4"/>
    <w:rsid w:val="00BF49E5"/>
    <w:rsid w:val="00BF5F08"/>
    <w:rsid w:val="00BF66D8"/>
    <w:rsid w:val="00BF6DA3"/>
    <w:rsid w:val="00BF704F"/>
    <w:rsid w:val="00BF7348"/>
    <w:rsid w:val="00BF73E6"/>
    <w:rsid w:val="00BF7D19"/>
    <w:rsid w:val="00C0027D"/>
    <w:rsid w:val="00C005B2"/>
    <w:rsid w:val="00C00C5E"/>
    <w:rsid w:val="00C00E73"/>
    <w:rsid w:val="00C010DF"/>
    <w:rsid w:val="00C0112F"/>
    <w:rsid w:val="00C01580"/>
    <w:rsid w:val="00C02096"/>
    <w:rsid w:val="00C02ED9"/>
    <w:rsid w:val="00C0316D"/>
    <w:rsid w:val="00C033DA"/>
    <w:rsid w:val="00C0346B"/>
    <w:rsid w:val="00C037F5"/>
    <w:rsid w:val="00C039A9"/>
    <w:rsid w:val="00C06200"/>
    <w:rsid w:val="00C07530"/>
    <w:rsid w:val="00C07945"/>
    <w:rsid w:val="00C07E39"/>
    <w:rsid w:val="00C10AAE"/>
    <w:rsid w:val="00C10D2A"/>
    <w:rsid w:val="00C11107"/>
    <w:rsid w:val="00C119E7"/>
    <w:rsid w:val="00C12420"/>
    <w:rsid w:val="00C12908"/>
    <w:rsid w:val="00C12C83"/>
    <w:rsid w:val="00C1329F"/>
    <w:rsid w:val="00C13468"/>
    <w:rsid w:val="00C1354F"/>
    <w:rsid w:val="00C1396A"/>
    <w:rsid w:val="00C13E5C"/>
    <w:rsid w:val="00C13E82"/>
    <w:rsid w:val="00C1422B"/>
    <w:rsid w:val="00C14E84"/>
    <w:rsid w:val="00C14E9E"/>
    <w:rsid w:val="00C15577"/>
    <w:rsid w:val="00C161E0"/>
    <w:rsid w:val="00C166E9"/>
    <w:rsid w:val="00C16D76"/>
    <w:rsid w:val="00C17E74"/>
    <w:rsid w:val="00C20D93"/>
    <w:rsid w:val="00C21BA0"/>
    <w:rsid w:val="00C21E60"/>
    <w:rsid w:val="00C21EA4"/>
    <w:rsid w:val="00C2240B"/>
    <w:rsid w:val="00C225C7"/>
    <w:rsid w:val="00C22B26"/>
    <w:rsid w:val="00C230DB"/>
    <w:rsid w:val="00C23630"/>
    <w:rsid w:val="00C23E75"/>
    <w:rsid w:val="00C24E34"/>
    <w:rsid w:val="00C24F5E"/>
    <w:rsid w:val="00C250C6"/>
    <w:rsid w:val="00C25168"/>
    <w:rsid w:val="00C25748"/>
    <w:rsid w:val="00C25936"/>
    <w:rsid w:val="00C25F16"/>
    <w:rsid w:val="00C26581"/>
    <w:rsid w:val="00C26896"/>
    <w:rsid w:val="00C26B27"/>
    <w:rsid w:val="00C26E0D"/>
    <w:rsid w:val="00C2745B"/>
    <w:rsid w:val="00C27DBE"/>
    <w:rsid w:val="00C30063"/>
    <w:rsid w:val="00C30387"/>
    <w:rsid w:val="00C30E98"/>
    <w:rsid w:val="00C30EB7"/>
    <w:rsid w:val="00C31E6B"/>
    <w:rsid w:val="00C32148"/>
    <w:rsid w:val="00C3258D"/>
    <w:rsid w:val="00C327EA"/>
    <w:rsid w:val="00C327F3"/>
    <w:rsid w:val="00C32BDF"/>
    <w:rsid w:val="00C333A9"/>
    <w:rsid w:val="00C33402"/>
    <w:rsid w:val="00C338DB"/>
    <w:rsid w:val="00C34285"/>
    <w:rsid w:val="00C34D32"/>
    <w:rsid w:val="00C34D65"/>
    <w:rsid w:val="00C35297"/>
    <w:rsid w:val="00C35853"/>
    <w:rsid w:val="00C35C93"/>
    <w:rsid w:val="00C37D8D"/>
    <w:rsid w:val="00C40086"/>
    <w:rsid w:val="00C40505"/>
    <w:rsid w:val="00C4060C"/>
    <w:rsid w:val="00C40B6C"/>
    <w:rsid w:val="00C40BC0"/>
    <w:rsid w:val="00C40CBD"/>
    <w:rsid w:val="00C40D41"/>
    <w:rsid w:val="00C41BB1"/>
    <w:rsid w:val="00C41F9C"/>
    <w:rsid w:val="00C4218F"/>
    <w:rsid w:val="00C421CC"/>
    <w:rsid w:val="00C42685"/>
    <w:rsid w:val="00C4286B"/>
    <w:rsid w:val="00C43306"/>
    <w:rsid w:val="00C437C2"/>
    <w:rsid w:val="00C43E3A"/>
    <w:rsid w:val="00C44F05"/>
    <w:rsid w:val="00C452A1"/>
    <w:rsid w:val="00C45387"/>
    <w:rsid w:val="00C454CE"/>
    <w:rsid w:val="00C4557E"/>
    <w:rsid w:val="00C471E1"/>
    <w:rsid w:val="00C474FB"/>
    <w:rsid w:val="00C47AE1"/>
    <w:rsid w:val="00C47B93"/>
    <w:rsid w:val="00C506C0"/>
    <w:rsid w:val="00C50A53"/>
    <w:rsid w:val="00C50CA1"/>
    <w:rsid w:val="00C5121D"/>
    <w:rsid w:val="00C5131C"/>
    <w:rsid w:val="00C51EEC"/>
    <w:rsid w:val="00C522DF"/>
    <w:rsid w:val="00C525D8"/>
    <w:rsid w:val="00C542E6"/>
    <w:rsid w:val="00C54A10"/>
    <w:rsid w:val="00C54BFD"/>
    <w:rsid w:val="00C55164"/>
    <w:rsid w:val="00C5566F"/>
    <w:rsid w:val="00C55ABD"/>
    <w:rsid w:val="00C56C54"/>
    <w:rsid w:val="00C56FC4"/>
    <w:rsid w:val="00C5737E"/>
    <w:rsid w:val="00C577D2"/>
    <w:rsid w:val="00C60424"/>
    <w:rsid w:val="00C605EE"/>
    <w:rsid w:val="00C60B31"/>
    <w:rsid w:val="00C60DE0"/>
    <w:rsid w:val="00C613E6"/>
    <w:rsid w:val="00C620B0"/>
    <w:rsid w:val="00C62D41"/>
    <w:rsid w:val="00C62E26"/>
    <w:rsid w:val="00C634B1"/>
    <w:rsid w:val="00C63F38"/>
    <w:rsid w:val="00C64553"/>
    <w:rsid w:val="00C6495D"/>
    <w:rsid w:val="00C64972"/>
    <w:rsid w:val="00C64CF0"/>
    <w:rsid w:val="00C64D5B"/>
    <w:rsid w:val="00C6529F"/>
    <w:rsid w:val="00C65EFC"/>
    <w:rsid w:val="00C66870"/>
    <w:rsid w:val="00C671AE"/>
    <w:rsid w:val="00C67497"/>
    <w:rsid w:val="00C67D11"/>
    <w:rsid w:val="00C67DA4"/>
    <w:rsid w:val="00C70692"/>
    <w:rsid w:val="00C7072E"/>
    <w:rsid w:val="00C7086C"/>
    <w:rsid w:val="00C70B5D"/>
    <w:rsid w:val="00C70D25"/>
    <w:rsid w:val="00C70E86"/>
    <w:rsid w:val="00C70F12"/>
    <w:rsid w:val="00C7112C"/>
    <w:rsid w:val="00C71DEF"/>
    <w:rsid w:val="00C72167"/>
    <w:rsid w:val="00C722B6"/>
    <w:rsid w:val="00C7247F"/>
    <w:rsid w:val="00C725CD"/>
    <w:rsid w:val="00C72CF3"/>
    <w:rsid w:val="00C73318"/>
    <w:rsid w:val="00C7333B"/>
    <w:rsid w:val="00C745C6"/>
    <w:rsid w:val="00C74E47"/>
    <w:rsid w:val="00C74E69"/>
    <w:rsid w:val="00C75348"/>
    <w:rsid w:val="00C75947"/>
    <w:rsid w:val="00C75DA1"/>
    <w:rsid w:val="00C7670C"/>
    <w:rsid w:val="00C7728A"/>
    <w:rsid w:val="00C7762A"/>
    <w:rsid w:val="00C77BEE"/>
    <w:rsid w:val="00C804C4"/>
    <w:rsid w:val="00C80D48"/>
    <w:rsid w:val="00C818C8"/>
    <w:rsid w:val="00C81FDD"/>
    <w:rsid w:val="00C8330C"/>
    <w:rsid w:val="00C838C5"/>
    <w:rsid w:val="00C839C1"/>
    <w:rsid w:val="00C83FB5"/>
    <w:rsid w:val="00C84535"/>
    <w:rsid w:val="00C85A30"/>
    <w:rsid w:val="00C85F42"/>
    <w:rsid w:val="00C862CD"/>
    <w:rsid w:val="00C8658A"/>
    <w:rsid w:val="00C8719D"/>
    <w:rsid w:val="00C871BA"/>
    <w:rsid w:val="00C87207"/>
    <w:rsid w:val="00C879CA"/>
    <w:rsid w:val="00C87B45"/>
    <w:rsid w:val="00C87BBB"/>
    <w:rsid w:val="00C87ECF"/>
    <w:rsid w:val="00C90859"/>
    <w:rsid w:val="00C90930"/>
    <w:rsid w:val="00C91DE5"/>
    <w:rsid w:val="00C91F08"/>
    <w:rsid w:val="00C922D9"/>
    <w:rsid w:val="00C93280"/>
    <w:rsid w:val="00C93834"/>
    <w:rsid w:val="00C93D54"/>
    <w:rsid w:val="00C94024"/>
    <w:rsid w:val="00C941C5"/>
    <w:rsid w:val="00C94A95"/>
    <w:rsid w:val="00C94D91"/>
    <w:rsid w:val="00C95067"/>
    <w:rsid w:val="00C950DE"/>
    <w:rsid w:val="00C95A22"/>
    <w:rsid w:val="00C95CB0"/>
    <w:rsid w:val="00C95EBB"/>
    <w:rsid w:val="00C96077"/>
    <w:rsid w:val="00C9687A"/>
    <w:rsid w:val="00C971C2"/>
    <w:rsid w:val="00C972B1"/>
    <w:rsid w:val="00C97C58"/>
    <w:rsid w:val="00CA02E7"/>
    <w:rsid w:val="00CA06D7"/>
    <w:rsid w:val="00CA1136"/>
    <w:rsid w:val="00CA15A9"/>
    <w:rsid w:val="00CA15BA"/>
    <w:rsid w:val="00CA18F5"/>
    <w:rsid w:val="00CA1B21"/>
    <w:rsid w:val="00CA1D80"/>
    <w:rsid w:val="00CA2235"/>
    <w:rsid w:val="00CA2AA5"/>
    <w:rsid w:val="00CA2BA1"/>
    <w:rsid w:val="00CA2C65"/>
    <w:rsid w:val="00CA321B"/>
    <w:rsid w:val="00CA338D"/>
    <w:rsid w:val="00CA4482"/>
    <w:rsid w:val="00CA46BA"/>
    <w:rsid w:val="00CA4AD1"/>
    <w:rsid w:val="00CA4B5F"/>
    <w:rsid w:val="00CA532F"/>
    <w:rsid w:val="00CA68D3"/>
    <w:rsid w:val="00CA73DA"/>
    <w:rsid w:val="00CA7467"/>
    <w:rsid w:val="00CA79C6"/>
    <w:rsid w:val="00CA7CAF"/>
    <w:rsid w:val="00CB00A8"/>
    <w:rsid w:val="00CB02D8"/>
    <w:rsid w:val="00CB2400"/>
    <w:rsid w:val="00CB350B"/>
    <w:rsid w:val="00CB3D88"/>
    <w:rsid w:val="00CB3DEC"/>
    <w:rsid w:val="00CB42C7"/>
    <w:rsid w:val="00CB445A"/>
    <w:rsid w:val="00CB46DB"/>
    <w:rsid w:val="00CB47AD"/>
    <w:rsid w:val="00CB4F44"/>
    <w:rsid w:val="00CB56EA"/>
    <w:rsid w:val="00CB5C3E"/>
    <w:rsid w:val="00CB66BA"/>
    <w:rsid w:val="00CB673B"/>
    <w:rsid w:val="00CB684D"/>
    <w:rsid w:val="00CB6970"/>
    <w:rsid w:val="00CC0016"/>
    <w:rsid w:val="00CC01DB"/>
    <w:rsid w:val="00CC098A"/>
    <w:rsid w:val="00CC0A83"/>
    <w:rsid w:val="00CC0D61"/>
    <w:rsid w:val="00CC1456"/>
    <w:rsid w:val="00CC14E5"/>
    <w:rsid w:val="00CC14FF"/>
    <w:rsid w:val="00CC17DC"/>
    <w:rsid w:val="00CC1A3E"/>
    <w:rsid w:val="00CC245D"/>
    <w:rsid w:val="00CC3C9A"/>
    <w:rsid w:val="00CC42CB"/>
    <w:rsid w:val="00CC4521"/>
    <w:rsid w:val="00CC4B65"/>
    <w:rsid w:val="00CC5344"/>
    <w:rsid w:val="00CC6D7C"/>
    <w:rsid w:val="00CC6FBC"/>
    <w:rsid w:val="00CC7B1F"/>
    <w:rsid w:val="00CD0238"/>
    <w:rsid w:val="00CD02D0"/>
    <w:rsid w:val="00CD0C44"/>
    <w:rsid w:val="00CD0D92"/>
    <w:rsid w:val="00CD1490"/>
    <w:rsid w:val="00CD204E"/>
    <w:rsid w:val="00CD2117"/>
    <w:rsid w:val="00CD2781"/>
    <w:rsid w:val="00CD2CB8"/>
    <w:rsid w:val="00CD3F9E"/>
    <w:rsid w:val="00CD53B6"/>
    <w:rsid w:val="00CD564A"/>
    <w:rsid w:val="00CD579E"/>
    <w:rsid w:val="00CD5864"/>
    <w:rsid w:val="00CD5E15"/>
    <w:rsid w:val="00CD689F"/>
    <w:rsid w:val="00CD6B35"/>
    <w:rsid w:val="00CD74B1"/>
    <w:rsid w:val="00CD78C1"/>
    <w:rsid w:val="00CD7FFE"/>
    <w:rsid w:val="00CE16A5"/>
    <w:rsid w:val="00CE19B2"/>
    <w:rsid w:val="00CE1A20"/>
    <w:rsid w:val="00CE248B"/>
    <w:rsid w:val="00CE2A20"/>
    <w:rsid w:val="00CE3768"/>
    <w:rsid w:val="00CE3BE8"/>
    <w:rsid w:val="00CE3F15"/>
    <w:rsid w:val="00CE442F"/>
    <w:rsid w:val="00CE4593"/>
    <w:rsid w:val="00CE4BA6"/>
    <w:rsid w:val="00CE4CD5"/>
    <w:rsid w:val="00CE4D15"/>
    <w:rsid w:val="00CE5405"/>
    <w:rsid w:val="00CE54D1"/>
    <w:rsid w:val="00CE5B8A"/>
    <w:rsid w:val="00CE62DC"/>
    <w:rsid w:val="00CE699B"/>
    <w:rsid w:val="00CE6B21"/>
    <w:rsid w:val="00CE749C"/>
    <w:rsid w:val="00CF00FA"/>
    <w:rsid w:val="00CF04D0"/>
    <w:rsid w:val="00CF05E1"/>
    <w:rsid w:val="00CF09FF"/>
    <w:rsid w:val="00CF187D"/>
    <w:rsid w:val="00CF1F03"/>
    <w:rsid w:val="00CF2DB2"/>
    <w:rsid w:val="00CF30D0"/>
    <w:rsid w:val="00CF3135"/>
    <w:rsid w:val="00CF32C0"/>
    <w:rsid w:val="00CF3B22"/>
    <w:rsid w:val="00CF3EA3"/>
    <w:rsid w:val="00CF4262"/>
    <w:rsid w:val="00CF4C62"/>
    <w:rsid w:val="00CF525D"/>
    <w:rsid w:val="00CF5298"/>
    <w:rsid w:val="00CF5379"/>
    <w:rsid w:val="00CF559D"/>
    <w:rsid w:val="00CF5A40"/>
    <w:rsid w:val="00CF5A4B"/>
    <w:rsid w:val="00CF5A55"/>
    <w:rsid w:val="00CF67EF"/>
    <w:rsid w:val="00CF68A5"/>
    <w:rsid w:val="00CF6E71"/>
    <w:rsid w:val="00CF7AF9"/>
    <w:rsid w:val="00D00575"/>
    <w:rsid w:val="00D005AC"/>
    <w:rsid w:val="00D00C03"/>
    <w:rsid w:val="00D0114C"/>
    <w:rsid w:val="00D01250"/>
    <w:rsid w:val="00D01C27"/>
    <w:rsid w:val="00D01D81"/>
    <w:rsid w:val="00D02915"/>
    <w:rsid w:val="00D02DAF"/>
    <w:rsid w:val="00D03D78"/>
    <w:rsid w:val="00D03EA3"/>
    <w:rsid w:val="00D040AE"/>
    <w:rsid w:val="00D0477B"/>
    <w:rsid w:val="00D04963"/>
    <w:rsid w:val="00D04F8E"/>
    <w:rsid w:val="00D04F9D"/>
    <w:rsid w:val="00D05113"/>
    <w:rsid w:val="00D05228"/>
    <w:rsid w:val="00D05570"/>
    <w:rsid w:val="00D05755"/>
    <w:rsid w:val="00D0634F"/>
    <w:rsid w:val="00D06592"/>
    <w:rsid w:val="00D066F8"/>
    <w:rsid w:val="00D068EA"/>
    <w:rsid w:val="00D071EB"/>
    <w:rsid w:val="00D1013D"/>
    <w:rsid w:val="00D10331"/>
    <w:rsid w:val="00D106B6"/>
    <w:rsid w:val="00D10AE9"/>
    <w:rsid w:val="00D10BA6"/>
    <w:rsid w:val="00D115E7"/>
    <w:rsid w:val="00D1160C"/>
    <w:rsid w:val="00D11F7B"/>
    <w:rsid w:val="00D121A8"/>
    <w:rsid w:val="00D123B2"/>
    <w:rsid w:val="00D1277C"/>
    <w:rsid w:val="00D12C3E"/>
    <w:rsid w:val="00D13524"/>
    <w:rsid w:val="00D13812"/>
    <w:rsid w:val="00D13D5B"/>
    <w:rsid w:val="00D14803"/>
    <w:rsid w:val="00D14BCE"/>
    <w:rsid w:val="00D15434"/>
    <w:rsid w:val="00D15583"/>
    <w:rsid w:val="00D15867"/>
    <w:rsid w:val="00D15B5B"/>
    <w:rsid w:val="00D15DCA"/>
    <w:rsid w:val="00D1607A"/>
    <w:rsid w:val="00D162DA"/>
    <w:rsid w:val="00D162DE"/>
    <w:rsid w:val="00D167DC"/>
    <w:rsid w:val="00D174AF"/>
    <w:rsid w:val="00D20446"/>
    <w:rsid w:val="00D20590"/>
    <w:rsid w:val="00D21049"/>
    <w:rsid w:val="00D2108E"/>
    <w:rsid w:val="00D21940"/>
    <w:rsid w:val="00D22220"/>
    <w:rsid w:val="00D226C8"/>
    <w:rsid w:val="00D228E2"/>
    <w:rsid w:val="00D239B7"/>
    <w:rsid w:val="00D23C29"/>
    <w:rsid w:val="00D23D05"/>
    <w:rsid w:val="00D2500F"/>
    <w:rsid w:val="00D25053"/>
    <w:rsid w:val="00D25C53"/>
    <w:rsid w:val="00D262B1"/>
    <w:rsid w:val="00D308CC"/>
    <w:rsid w:val="00D30B8D"/>
    <w:rsid w:val="00D31417"/>
    <w:rsid w:val="00D3181A"/>
    <w:rsid w:val="00D31F26"/>
    <w:rsid w:val="00D32312"/>
    <w:rsid w:val="00D324A0"/>
    <w:rsid w:val="00D3263D"/>
    <w:rsid w:val="00D32DAC"/>
    <w:rsid w:val="00D3329C"/>
    <w:rsid w:val="00D33DC8"/>
    <w:rsid w:val="00D340E6"/>
    <w:rsid w:val="00D34671"/>
    <w:rsid w:val="00D34BB9"/>
    <w:rsid w:val="00D35698"/>
    <w:rsid w:val="00D35DF1"/>
    <w:rsid w:val="00D35ED8"/>
    <w:rsid w:val="00D36057"/>
    <w:rsid w:val="00D360E3"/>
    <w:rsid w:val="00D36408"/>
    <w:rsid w:val="00D36701"/>
    <w:rsid w:val="00D36B67"/>
    <w:rsid w:val="00D36D55"/>
    <w:rsid w:val="00D36E0C"/>
    <w:rsid w:val="00D36E94"/>
    <w:rsid w:val="00D3762C"/>
    <w:rsid w:val="00D413AD"/>
    <w:rsid w:val="00D415B3"/>
    <w:rsid w:val="00D4166C"/>
    <w:rsid w:val="00D41CE6"/>
    <w:rsid w:val="00D42651"/>
    <w:rsid w:val="00D4267D"/>
    <w:rsid w:val="00D427A4"/>
    <w:rsid w:val="00D427C0"/>
    <w:rsid w:val="00D42B8C"/>
    <w:rsid w:val="00D42C7E"/>
    <w:rsid w:val="00D42D4E"/>
    <w:rsid w:val="00D42DBE"/>
    <w:rsid w:val="00D42FD6"/>
    <w:rsid w:val="00D432AA"/>
    <w:rsid w:val="00D43D08"/>
    <w:rsid w:val="00D447AC"/>
    <w:rsid w:val="00D4482C"/>
    <w:rsid w:val="00D44C3C"/>
    <w:rsid w:val="00D44D05"/>
    <w:rsid w:val="00D44D9B"/>
    <w:rsid w:val="00D45A10"/>
    <w:rsid w:val="00D464D6"/>
    <w:rsid w:val="00D46907"/>
    <w:rsid w:val="00D478F2"/>
    <w:rsid w:val="00D47A26"/>
    <w:rsid w:val="00D47F35"/>
    <w:rsid w:val="00D50A7E"/>
    <w:rsid w:val="00D50CAE"/>
    <w:rsid w:val="00D50CB4"/>
    <w:rsid w:val="00D50F6A"/>
    <w:rsid w:val="00D51D20"/>
    <w:rsid w:val="00D51F06"/>
    <w:rsid w:val="00D523C6"/>
    <w:rsid w:val="00D52600"/>
    <w:rsid w:val="00D53715"/>
    <w:rsid w:val="00D53757"/>
    <w:rsid w:val="00D537D5"/>
    <w:rsid w:val="00D5411B"/>
    <w:rsid w:val="00D545DB"/>
    <w:rsid w:val="00D54601"/>
    <w:rsid w:val="00D5487C"/>
    <w:rsid w:val="00D554F5"/>
    <w:rsid w:val="00D55669"/>
    <w:rsid w:val="00D55996"/>
    <w:rsid w:val="00D5627E"/>
    <w:rsid w:val="00D5637C"/>
    <w:rsid w:val="00D563E4"/>
    <w:rsid w:val="00D571A3"/>
    <w:rsid w:val="00D573AA"/>
    <w:rsid w:val="00D5743E"/>
    <w:rsid w:val="00D57591"/>
    <w:rsid w:val="00D5785A"/>
    <w:rsid w:val="00D57945"/>
    <w:rsid w:val="00D57E1B"/>
    <w:rsid w:val="00D6030A"/>
    <w:rsid w:val="00D6171A"/>
    <w:rsid w:val="00D62100"/>
    <w:rsid w:val="00D621F5"/>
    <w:rsid w:val="00D62440"/>
    <w:rsid w:val="00D62B1D"/>
    <w:rsid w:val="00D63CA9"/>
    <w:rsid w:val="00D63CC6"/>
    <w:rsid w:val="00D644F2"/>
    <w:rsid w:val="00D64847"/>
    <w:rsid w:val="00D6685C"/>
    <w:rsid w:val="00D66C6C"/>
    <w:rsid w:val="00D66D90"/>
    <w:rsid w:val="00D675BC"/>
    <w:rsid w:val="00D679B1"/>
    <w:rsid w:val="00D70C7B"/>
    <w:rsid w:val="00D70D45"/>
    <w:rsid w:val="00D70F48"/>
    <w:rsid w:val="00D71086"/>
    <w:rsid w:val="00D71367"/>
    <w:rsid w:val="00D71830"/>
    <w:rsid w:val="00D71E01"/>
    <w:rsid w:val="00D72702"/>
    <w:rsid w:val="00D72C46"/>
    <w:rsid w:val="00D730FA"/>
    <w:rsid w:val="00D7394A"/>
    <w:rsid w:val="00D73FA1"/>
    <w:rsid w:val="00D7409B"/>
    <w:rsid w:val="00D74A57"/>
    <w:rsid w:val="00D74C65"/>
    <w:rsid w:val="00D75512"/>
    <w:rsid w:val="00D7771B"/>
    <w:rsid w:val="00D777CB"/>
    <w:rsid w:val="00D77C93"/>
    <w:rsid w:val="00D77CF7"/>
    <w:rsid w:val="00D8006F"/>
    <w:rsid w:val="00D80AC3"/>
    <w:rsid w:val="00D81096"/>
    <w:rsid w:val="00D8123A"/>
    <w:rsid w:val="00D82015"/>
    <w:rsid w:val="00D820A0"/>
    <w:rsid w:val="00D826DC"/>
    <w:rsid w:val="00D836B7"/>
    <w:rsid w:val="00D839CA"/>
    <w:rsid w:val="00D84C98"/>
    <w:rsid w:val="00D84EDF"/>
    <w:rsid w:val="00D85550"/>
    <w:rsid w:val="00D859C2"/>
    <w:rsid w:val="00D85CC3"/>
    <w:rsid w:val="00D863A3"/>
    <w:rsid w:val="00D863BC"/>
    <w:rsid w:val="00D86A8A"/>
    <w:rsid w:val="00D86B55"/>
    <w:rsid w:val="00D86CFD"/>
    <w:rsid w:val="00D86D68"/>
    <w:rsid w:val="00D878DE"/>
    <w:rsid w:val="00D87956"/>
    <w:rsid w:val="00D879D4"/>
    <w:rsid w:val="00D903BD"/>
    <w:rsid w:val="00D90ECC"/>
    <w:rsid w:val="00D9145C"/>
    <w:rsid w:val="00D915FB"/>
    <w:rsid w:val="00D92CCD"/>
    <w:rsid w:val="00D92CDC"/>
    <w:rsid w:val="00D92FE3"/>
    <w:rsid w:val="00D93B0B"/>
    <w:rsid w:val="00D9486D"/>
    <w:rsid w:val="00D9497A"/>
    <w:rsid w:val="00D95632"/>
    <w:rsid w:val="00D95A30"/>
    <w:rsid w:val="00D95B3D"/>
    <w:rsid w:val="00D95D23"/>
    <w:rsid w:val="00D96356"/>
    <w:rsid w:val="00D96C50"/>
    <w:rsid w:val="00D96DAF"/>
    <w:rsid w:val="00D971C4"/>
    <w:rsid w:val="00D97C85"/>
    <w:rsid w:val="00DA0677"/>
    <w:rsid w:val="00DA0915"/>
    <w:rsid w:val="00DA0EDD"/>
    <w:rsid w:val="00DA0F14"/>
    <w:rsid w:val="00DA1436"/>
    <w:rsid w:val="00DA16CF"/>
    <w:rsid w:val="00DA1797"/>
    <w:rsid w:val="00DA1B92"/>
    <w:rsid w:val="00DA1C62"/>
    <w:rsid w:val="00DA210A"/>
    <w:rsid w:val="00DA248F"/>
    <w:rsid w:val="00DA271D"/>
    <w:rsid w:val="00DA2772"/>
    <w:rsid w:val="00DA34A9"/>
    <w:rsid w:val="00DA3A37"/>
    <w:rsid w:val="00DA42C8"/>
    <w:rsid w:val="00DA4393"/>
    <w:rsid w:val="00DA5393"/>
    <w:rsid w:val="00DA5D61"/>
    <w:rsid w:val="00DA6DCB"/>
    <w:rsid w:val="00DA71C0"/>
    <w:rsid w:val="00DA7580"/>
    <w:rsid w:val="00DA77E4"/>
    <w:rsid w:val="00DA7922"/>
    <w:rsid w:val="00DA7CAB"/>
    <w:rsid w:val="00DA7FF2"/>
    <w:rsid w:val="00DB00B0"/>
    <w:rsid w:val="00DB00B5"/>
    <w:rsid w:val="00DB1210"/>
    <w:rsid w:val="00DB1790"/>
    <w:rsid w:val="00DB1D21"/>
    <w:rsid w:val="00DB1DDC"/>
    <w:rsid w:val="00DB2863"/>
    <w:rsid w:val="00DB2B68"/>
    <w:rsid w:val="00DB380F"/>
    <w:rsid w:val="00DB3DFE"/>
    <w:rsid w:val="00DB46D1"/>
    <w:rsid w:val="00DB46E1"/>
    <w:rsid w:val="00DB49A8"/>
    <w:rsid w:val="00DB5176"/>
    <w:rsid w:val="00DB58E4"/>
    <w:rsid w:val="00DB5E31"/>
    <w:rsid w:val="00DB5FD7"/>
    <w:rsid w:val="00DB6278"/>
    <w:rsid w:val="00DB679B"/>
    <w:rsid w:val="00DB6B2D"/>
    <w:rsid w:val="00DB6F72"/>
    <w:rsid w:val="00DB7C07"/>
    <w:rsid w:val="00DC1279"/>
    <w:rsid w:val="00DC1433"/>
    <w:rsid w:val="00DC15A7"/>
    <w:rsid w:val="00DC218F"/>
    <w:rsid w:val="00DC2324"/>
    <w:rsid w:val="00DC2B3D"/>
    <w:rsid w:val="00DC2DD2"/>
    <w:rsid w:val="00DC3428"/>
    <w:rsid w:val="00DC4946"/>
    <w:rsid w:val="00DC4DA0"/>
    <w:rsid w:val="00DC5180"/>
    <w:rsid w:val="00DC51D6"/>
    <w:rsid w:val="00DC530A"/>
    <w:rsid w:val="00DC547B"/>
    <w:rsid w:val="00DC5875"/>
    <w:rsid w:val="00DC5BFE"/>
    <w:rsid w:val="00DC5D6D"/>
    <w:rsid w:val="00DC6938"/>
    <w:rsid w:val="00DC721C"/>
    <w:rsid w:val="00DC78E1"/>
    <w:rsid w:val="00DC7E5D"/>
    <w:rsid w:val="00DC7F91"/>
    <w:rsid w:val="00DD03EC"/>
    <w:rsid w:val="00DD078E"/>
    <w:rsid w:val="00DD07FB"/>
    <w:rsid w:val="00DD0B12"/>
    <w:rsid w:val="00DD0F9D"/>
    <w:rsid w:val="00DD12E9"/>
    <w:rsid w:val="00DD2095"/>
    <w:rsid w:val="00DD29A0"/>
    <w:rsid w:val="00DD2AE0"/>
    <w:rsid w:val="00DD3CA7"/>
    <w:rsid w:val="00DD4071"/>
    <w:rsid w:val="00DD497E"/>
    <w:rsid w:val="00DD4B2E"/>
    <w:rsid w:val="00DD4F64"/>
    <w:rsid w:val="00DD54B6"/>
    <w:rsid w:val="00DD62CF"/>
    <w:rsid w:val="00DD64C8"/>
    <w:rsid w:val="00DD67C8"/>
    <w:rsid w:val="00DD6812"/>
    <w:rsid w:val="00DD6DD5"/>
    <w:rsid w:val="00DD6E9F"/>
    <w:rsid w:val="00DD7080"/>
    <w:rsid w:val="00DD71B4"/>
    <w:rsid w:val="00DD71C3"/>
    <w:rsid w:val="00DD791B"/>
    <w:rsid w:val="00DE00F6"/>
    <w:rsid w:val="00DE050F"/>
    <w:rsid w:val="00DE0C27"/>
    <w:rsid w:val="00DE0D00"/>
    <w:rsid w:val="00DE2A72"/>
    <w:rsid w:val="00DE2DA5"/>
    <w:rsid w:val="00DE3B8F"/>
    <w:rsid w:val="00DE3B96"/>
    <w:rsid w:val="00DE3C5F"/>
    <w:rsid w:val="00DE3CCF"/>
    <w:rsid w:val="00DE479C"/>
    <w:rsid w:val="00DE519D"/>
    <w:rsid w:val="00DE651F"/>
    <w:rsid w:val="00DE693F"/>
    <w:rsid w:val="00DE749F"/>
    <w:rsid w:val="00DE7D4F"/>
    <w:rsid w:val="00DE7F28"/>
    <w:rsid w:val="00DF0F68"/>
    <w:rsid w:val="00DF18BE"/>
    <w:rsid w:val="00DF2525"/>
    <w:rsid w:val="00DF2563"/>
    <w:rsid w:val="00DF2B81"/>
    <w:rsid w:val="00DF2F9D"/>
    <w:rsid w:val="00DF3287"/>
    <w:rsid w:val="00DF3D44"/>
    <w:rsid w:val="00DF3E50"/>
    <w:rsid w:val="00DF44A0"/>
    <w:rsid w:val="00DF4A44"/>
    <w:rsid w:val="00DF4FF2"/>
    <w:rsid w:val="00DF510F"/>
    <w:rsid w:val="00DF53EE"/>
    <w:rsid w:val="00DF63E1"/>
    <w:rsid w:val="00DF65BC"/>
    <w:rsid w:val="00DF7310"/>
    <w:rsid w:val="00DF7351"/>
    <w:rsid w:val="00DF73F8"/>
    <w:rsid w:val="00DF7652"/>
    <w:rsid w:val="00DF781D"/>
    <w:rsid w:val="00DF7C05"/>
    <w:rsid w:val="00DF7CD7"/>
    <w:rsid w:val="00E000A4"/>
    <w:rsid w:val="00E003A9"/>
    <w:rsid w:val="00E00503"/>
    <w:rsid w:val="00E00704"/>
    <w:rsid w:val="00E00963"/>
    <w:rsid w:val="00E00A08"/>
    <w:rsid w:val="00E01104"/>
    <w:rsid w:val="00E012D8"/>
    <w:rsid w:val="00E01E6B"/>
    <w:rsid w:val="00E02240"/>
    <w:rsid w:val="00E026A5"/>
    <w:rsid w:val="00E02C89"/>
    <w:rsid w:val="00E035BD"/>
    <w:rsid w:val="00E03758"/>
    <w:rsid w:val="00E0386A"/>
    <w:rsid w:val="00E03B07"/>
    <w:rsid w:val="00E03FAC"/>
    <w:rsid w:val="00E042B4"/>
    <w:rsid w:val="00E046E6"/>
    <w:rsid w:val="00E04A97"/>
    <w:rsid w:val="00E056BC"/>
    <w:rsid w:val="00E05862"/>
    <w:rsid w:val="00E05CD8"/>
    <w:rsid w:val="00E06038"/>
    <w:rsid w:val="00E0622E"/>
    <w:rsid w:val="00E0760E"/>
    <w:rsid w:val="00E07965"/>
    <w:rsid w:val="00E109A2"/>
    <w:rsid w:val="00E1132D"/>
    <w:rsid w:val="00E1151E"/>
    <w:rsid w:val="00E1170E"/>
    <w:rsid w:val="00E1197A"/>
    <w:rsid w:val="00E11B9E"/>
    <w:rsid w:val="00E126DB"/>
    <w:rsid w:val="00E12B2C"/>
    <w:rsid w:val="00E13092"/>
    <w:rsid w:val="00E131F4"/>
    <w:rsid w:val="00E13817"/>
    <w:rsid w:val="00E14478"/>
    <w:rsid w:val="00E14866"/>
    <w:rsid w:val="00E159D4"/>
    <w:rsid w:val="00E160D4"/>
    <w:rsid w:val="00E161F5"/>
    <w:rsid w:val="00E16329"/>
    <w:rsid w:val="00E16869"/>
    <w:rsid w:val="00E16E6D"/>
    <w:rsid w:val="00E17171"/>
    <w:rsid w:val="00E175E5"/>
    <w:rsid w:val="00E2025E"/>
    <w:rsid w:val="00E20859"/>
    <w:rsid w:val="00E21287"/>
    <w:rsid w:val="00E2130A"/>
    <w:rsid w:val="00E218D8"/>
    <w:rsid w:val="00E2194B"/>
    <w:rsid w:val="00E21C15"/>
    <w:rsid w:val="00E21D8F"/>
    <w:rsid w:val="00E220EF"/>
    <w:rsid w:val="00E223F6"/>
    <w:rsid w:val="00E2242F"/>
    <w:rsid w:val="00E22763"/>
    <w:rsid w:val="00E23B74"/>
    <w:rsid w:val="00E23D6F"/>
    <w:rsid w:val="00E23E85"/>
    <w:rsid w:val="00E24007"/>
    <w:rsid w:val="00E24B15"/>
    <w:rsid w:val="00E25289"/>
    <w:rsid w:val="00E25C3E"/>
    <w:rsid w:val="00E26226"/>
    <w:rsid w:val="00E265EE"/>
    <w:rsid w:val="00E2668A"/>
    <w:rsid w:val="00E2697E"/>
    <w:rsid w:val="00E26A90"/>
    <w:rsid w:val="00E275D3"/>
    <w:rsid w:val="00E27A80"/>
    <w:rsid w:val="00E27C9A"/>
    <w:rsid w:val="00E27D04"/>
    <w:rsid w:val="00E30308"/>
    <w:rsid w:val="00E30597"/>
    <w:rsid w:val="00E3075C"/>
    <w:rsid w:val="00E30B04"/>
    <w:rsid w:val="00E30E72"/>
    <w:rsid w:val="00E31095"/>
    <w:rsid w:val="00E31BB7"/>
    <w:rsid w:val="00E3230A"/>
    <w:rsid w:val="00E32536"/>
    <w:rsid w:val="00E32573"/>
    <w:rsid w:val="00E326E5"/>
    <w:rsid w:val="00E32BD0"/>
    <w:rsid w:val="00E333DE"/>
    <w:rsid w:val="00E34114"/>
    <w:rsid w:val="00E34B71"/>
    <w:rsid w:val="00E34CFF"/>
    <w:rsid w:val="00E3517D"/>
    <w:rsid w:val="00E3521C"/>
    <w:rsid w:val="00E35E71"/>
    <w:rsid w:val="00E3612F"/>
    <w:rsid w:val="00E3637A"/>
    <w:rsid w:val="00E36448"/>
    <w:rsid w:val="00E37698"/>
    <w:rsid w:val="00E37AEE"/>
    <w:rsid w:val="00E37B19"/>
    <w:rsid w:val="00E40150"/>
    <w:rsid w:val="00E40ADA"/>
    <w:rsid w:val="00E4156F"/>
    <w:rsid w:val="00E428E3"/>
    <w:rsid w:val="00E42FF9"/>
    <w:rsid w:val="00E4300D"/>
    <w:rsid w:val="00E43731"/>
    <w:rsid w:val="00E450C5"/>
    <w:rsid w:val="00E45287"/>
    <w:rsid w:val="00E45404"/>
    <w:rsid w:val="00E456E7"/>
    <w:rsid w:val="00E45DEC"/>
    <w:rsid w:val="00E46047"/>
    <w:rsid w:val="00E46367"/>
    <w:rsid w:val="00E4690D"/>
    <w:rsid w:val="00E46A45"/>
    <w:rsid w:val="00E470A4"/>
    <w:rsid w:val="00E50917"/>
    <w:rsid w:val="00E50F37"/>
    <w:rsid w:val="00E51145"/>
    <w:rsid w:val="00E5121F"/>
    <w:rsid w:val="00E51687"/>
    <w:rsid w:val="00E52424"/>
    <w:rsid w:val="00E528E1"/>
    <w:rsid w:val="00E52B31"/>
    <w:rsid w:val="00E52F50"/>
    <w:rsid w:val="00E532E1"/>
    <w:rsid w:val="00E534E8"/>
    <w:rsid w:val="00E53B6A"/>
    <w:rsid w:val="00E54B3F"/>
    <w:rsid w:val="00E54ED8"/>
    <w:rsid w:val="00E55535"/>
    <w:rsid w:val="00E55B7A"/>
    <w:rsid w:val="00E55DAF"/>
    <w:rsid w:val="00E5643C"/>
    <w:rsid w:val="00E56C2A"/>
    <w:rsid w:val="00E56D8F"/>
    <w:rsid w:val="00E56DAA"/>
    <w:rsid w:val="00E57D8A"/>
    <w:rsid w:val="00E57DAB"/>
    <w:rsid w:val="00E6096E"/>
    <w:rsid w:val="00E60DD7"/>
    <w:rsid w:val="00E612F9"/>
    <w:rsid w:val="00E61A5D"/>
    <w:rsid w:val="00E61AC2"/>
    <w:rsid w:val="00E6239F"/>
    <w:rsid w:val="00E635FD"/>
    <w:rsid w:val="00E6402A"/>
    <w:rsid w:val="00E6415F"/>
    <w:rsid w:val="00E641CA"/>
    <w:rsid w:val="00E6451A"/>
    <w:rsid w:val="00E64565"/>
    <w:rsid w:val="00E64BA3"/>
    <w:rsid w:val="00E652D3"/>
    <w:rsid w:val="00E6535E"/>
    <w:rsid w:val="00E65A85"/>
    <w:rsid w:val="00E65F52"/>
    <w:rsid w:val="00E660A3"/>
    <w:rsid w:val="00E66505"/>
    <w:rsid w:val="00E70471"/>
    <w:rsid w:val="00E706B9"/>
    <w:rsid w:val="00E70D61"/>
    <w:rsid w:val="00E71147"/>
    <w:rsid w:val="00E713E3"/>
    <w:rsid w:val="00E71847"/>
    <w:rsid w:val="00E72073"/>
    <w:rsid w:val="00E7233B"/>
    <w:rsid w:val="00E72DDD"/>
    <w:rsid w:val="00E737B6"/>
    <w:rsid w:val="00E7415D"/>
    <w:rsid w:val="00E74295"/>
    <w:rsid w:val="00E74548"/>
    <w:rsid w:val="00E74A47"/>
    <w:rsid w:val="00E752AD"/>
    <w:rsid w:val="00E75CAC"/>
    <w:rsid w:val="00E769F3"/>
    <w:rsid w:val="00E77813"/>
    <w:rsid w:val="00E778A7"/>
    <w:rsid w:val="00E77E31"/>
    <w:rsid w:val="00E80087"/>
    <w:rsid w:val="00E812FE"/>
    <w:rsid w:val="00E817A0"/>
    <w:rsid w:val="00E81F16"/>
    <w:rsid w:val="00E827D0"/>
    <w:rsid w:val="00E82DC8"/>
    <w:rsid w:val="00E83176"/>
    <w:rsid w:val="00E84083"/>
    <w:rsid w:val="00E848DA"/>
    <w:rsid w:val="00E84B62"/>
    <w:rsid w:val="00E84C13"/>
    <w:rsid w:val="00E856AF"/>
    <w:rsid w:val="00E858A8"/>
    <w:rsid w:val="00E85C0F"/>
    <w:rsid w:val="00E86266"/>
    <w:rsid w:val="00E86725"/>
    <w:rsid w:val="00E869B2"/>
    <w:rsid w:val="00E87278"/>
    <w:rsid w:val="00E87EBA"/>
    <w:rsid w:val="00E918BC"/>
    <w:rsid w:val="00E918E0"/>
    <w:rsid w:val="00E92790"/>
    <w:rsid w:val="00E93516"/>
    <w:rsid w:val="00E93D38"/>
    <w:rsid w:val="00E94D9C"/>
    <w:rsid w:val="00E95C47"/>
    <w:rsid w:val="00E96A98"/>
    <w:rsid w:val="00E96B89"/>
    <w:rsid w:val="00E96DF3"/>
    <w:rsid w:val="00E96FAE"/>
    <w:rsid w:val="00E9713A"/>
    <w:rsid w:val="00E97144"/>
    <w:rsid w:val="00E9781F"/>
    <w:rsid w:val="00E97B92"/>
    <w:rsid w:val="00E97CC5"/>
    <w:rsid w:val="00EA0210"/>
    <w:rsid w:val="00EA079E"/>
    <w:rsid w:val="00EA08FE"/>
    <w:rsid w:val="00EA0F1B"/>
    <w:rsid w:val="00EA2533"/>
    <w:rsid w:val="00EA2CD0"/>
    <w:rsid w:val="00EA3731"/>
    <w:rsid w:val="00EA4489"/>
    <w:rsid w:val="00EA63CD"/>
    <w:rsid w:val="00EA648A"/>
    <w:rsid w:val="00EA7DC4"/>
    <w:rsid w:val="00EB01EC"/>
    <w:rsid w:val="00EB055F"/>
    <w:rsid w:val="00EB07DE"/>
    <w:rsid w:val="00EB0CFC"/>
    <w:rsid w:val="00EB1035"/>
    <w:rsid w:val="00EB14F8"/>
    <w:rsid w:val="00EB1773"/>
    <w:rsid w:val="00EB2014"/>
    <w:rsid w:val="00EB2783"/>
    <w:rsid w:val="00EB2D31"/>
    <w:rsid w:val="00EB30AA"/>
    <w:rsid w:val="00EB323B"/>
    <w:rsid w:val="00EB3595"/>
    <w:rsid w:val="00EB3DD2"/>
    <w:rsid w:val="00EB3F06"/>
    <w:rsid w:val="00EB4A1D"/>
    <w:rsid w:val="00EB53CA"/>
    <w:rsid w:val="00EB608C"/>
    <w:rsid w:val="00EB6749"/>
    <w:rsid w:val="00EB7442"/>
    <w:rsid w:val="00EB7568"/>
    <w:rsid w:val="00EC0157"/>
    <w:rsid w:val="00EC016A"/>
    <w:rsid w:val="00EC0BBB"/>
    <w:rsid w:val="00EC0EC3"/>
    <w:rsid w:val="00EC14F3"/>
    <w:rsid w:val="00EC1D96"/>
    <w:rsid w:val="00EC2004"/>
    <w:rsid w:val="00EC228A"/>
    <w:rsid w:val="00EC2753"/>
    <w:rsid w:val="00EC2E6A"/>
    <w:rsid w:val="00EC3276"/>
    <w:rsid w:val="00EC347F"/>
    <w:rsid w:val="00EC372D"/>
    <w:rsid w:val="00EC3890"/>
    <w:rsid w:val="00EC40FB"/>
    <w:rsid w:val="00EC4329"/>
    <w:rsid w:val="00EC43EE"/>
    <w:rsid w:val="00EC4F02"/>
    <w:rsid w:val="00EC5044"/>
    <w:rsid w:val="00EC507E"/>
    <w:rsid w:val="00EC5184"/>
    <w:rsid w:val="00EC5263"/>
    <w:rsid w:val="00EC58D7"/>
    <w:rsid w:val="00EC5D6B"/>
    <w:rsid w:val="00EC5FBC"/>
    <w:rsid w:val="00EC6717"/>
    <w:rsid w:val="00EC6825"/>
    <w:rsid w:val="00EC6B91"/>
    <w:rsid w:val="00EC6DAD"/>
    <w:rsid w:val="00EC7580"/>
    <w:rsid w:val="00EC775A"/>
    <w:rsid w:val="00EC7F61"/>
    <w:rsid w:val="00ED0B2D"/>
    <w:rsid w:val="00ED0D5A"/>
    <w:rsid w:val="00ED12B9"/>
    <w:rsid w:val="00ED150A"/>
    <w:rsid w:val="00ED1598"/>
    <w:rsid w:val="00ED199D"/>
    <w:rsid w:val="00ED21CF"/>
    <w:rsid w:val="00ED22CD"/>
    <w:rsid w:val="00ED2955"/>
    <w:rsid w:val="00ED3FC6"/>
    <w:rsid w:val="00ED4366"/>
    <w:rsid w:val="00ED4E00"/>
    <w:rsid w:val="00ED50D5"/>
    <w:rsid w:val="00ED539D"/>
    <w:rsid w:val="00ED548D"/>
    <w:rsid w:val="00ED5BCA"/>
    <w:rsid w:val="00ED609A"/>
    <w:rsid w:val="00ED63AD"/>
    <w:rsid w:val="00ED6567"/>
    <w:rsid w:val="00ED66BF"/>
    <w:rsid w:val="00ED6BD1"/>
    <w:rsid w:val="00ED7009"/>
    <w:rsid w:val="00ED768A"/>
    <w:rsid w:val="00ED7820"/>
    <w:rsid w:val="00ED7AB2"/>
    <w:rsid w:val="00ED7F5A"/>
    <w:rsid w:val="00EE09EB"/>
    <w:rsid w:val="00EE0B45"/>
    <w:rsid w:val="00EE0C83"/>
    <w:rsid w:val="00EE13B3"/>
    <w:rsid w:val="00EE15E1"/>
    <w:rsid w:val="00EE2399"/>
    <w:rsid w:val="00EE2881"/>
    <w:rsid w:val="00EE2964"/>
    <w:rsid w:val="00EE29AB"/>
    <w:rsid w:val="00EE2A0E"/>
    <w:rsid w:val="00EE2C2C"/>
    <w:rsid w:val="00EE3056"/>
    <w:rsid w:val="00EE357E"/>
    <w:rsid w:val="00EE3761"/>
    <w:rsid w:val="00EE3DB7"/>
    <w:rsid w:val="00EE400C"/>
    <w:rsid w:val="00EE461E"/>
    <w:rsid w:val="00EE4934"/>
    <w:rsid w:val="00EE5BDD"/>
    <w:rsid w:val="00EE5CA7"/>
    <w:rsid w:val="00EE62C9"/>
    <w:rsid w:val="00EE6C4E"/>
    <w:rsid w:val="00EE6FC7"/>
    <w:rsid w:val="00EE728B"/>
    <w:rsid w:val="00EE72DC"/>
    <w:rsid w:val="00EE76A3"/>
    <w:rsid w:val="00EE7AF6"/>
    <w:rsid w:val="00EE7B28"/>
    <w:rsid w:val="00EF0264"/>
    <w:rsid w:val="00EF03F7"/>
    <w:rsid w:val="00EF0A82"/>
    <w:rsid w:val="00EF0B2F"/>
    <w:rsid w:val="00EF112A"/>
    <w:rsid w:val="00EF144B"/>
    <w:rsid w:val="00EF1CD2"/>
    <w:rsid w:val="00EF1D16"/>
    <w:rsid w:val="00EF1DFD"/>
    <w:rsid w:val="00EF1E39"/>
    <w:rsid w:val="00EF1FCC"/>
    <w:rsid w:val="00EF3628"/>
    <w:rsid w:val="00EF3942"/>
    <w:rsid w:val="00EF46D6"/>
    <w:rsid w:val="00EF46E0"/>
    <w:rsid w:val="00EF478E"/>
    <w:rsid w:val="00EF5655"/>
    <w:rsid w:val="00EF56A3"/>
    <w:rsid w:val="00EF59E9"/>
    <w:rsid w:val="00EF5DCF"/>
    <w:rsid w:val="00EF6181"/>
    <w:rsid w:val="00EF622F"/>
    <w:rsid w:val="00EF6519"/>
    <w:rsid w:val="00EF659E"/>
    <w:rsid w:val="00EF681B"/>
    <w:rsid w:val="00EF6B9D"/>
    <w:rsid w:val="00F001FA"/>
    <w:rsid w:val="00F0059A"/>
    <w:rsid w:val="00F00F45"/>
    <w:rsid w:val="00F014B8"/>
    <w:rsid w:val="00F01BC9"/>
    <w:rsid w:val="00F0227A"/>
    <w:rsid w:val="00F02597"/>
    <w:rsid w:val="00F02619"/>
    <w:rsid w:val="00F030CE"/>
    <w:rsid w:val="00F03665"/>
    <w:rsid w:val="00F03739"/>
    <w:rsid w:val="00F03B45"/>
    <w:rsid w:val="00F04B20"/>
    <w:rsid w:val="00F050AD"/>
    <w:rsid w:val="00F0526B"/>
    <w:rsid w:val="00F05550"/>
    <w:rsid w:val="00F05AE3"/>
    <w:rsid w:val="00F06967"/>
    <w:rsid w:val="00F06A6B"/>
    <w:rsid w:val="00F06E44"/>
    <w:rsid w:val="00F07009"/>
    <w:rsid w:val="00F072BF"/>
    <w:rsid w:val="00F07FE5"/>
    <w:rsid w:val="00F100E0"/>
    <w:rsid w:val="00F117FD"/>
    <w:rsid w:val="00F1186D"/>
    <w:rsid w:val="00F121C6"/>
    <w:rsid w:val="00F1220C"/>
    <w:rsid w:val="00F12751"/>
    <w:rsid w:val="00F12FCE"/>
    <w:rsid w:val="00F1308D"/>
    <w:rsid w:val="00F1317F"/>
    <w:rsid w:val="00F133BD"/>
    <w:rsid w:val="00F13965"/>
    <w:rsid w:val="00F13E8C"/>
    <w:rsid w:val="00F14267"/>
    <w:rsid w:val="00F142C0"/>
    <w:rsid w:val="00F1487D"/>
    <w:rsid w:val="00F16DEC"/>
    <w:rsid w:val="00F17FC3"/>
    <w:rsid w:val="00F20947"/>
    <w:rsid w:val="00F20E4B"/>
    <w:rsid w:val="00F2142E"/>
    <w:rsid w:val="00F21597"/>
    <w:rsid w:val="00F21D3A"/>
    <w:rsid w:val="00F2263F"/>
    <w:rsid w:val="00F229C9"/>
    <w:rsid w:val="00F22BD3"/>
    <w:rsid w:val="00F23389"/>
    <w:rsid w:val="00F23524"/>
    <w:rsid w:val="00F24538"/>
    <w:rsid w:val="00F247AB"/>
    <w:rsid w:val="00F247B5"/>
    <w:rsid w:val="00F25006"/>
    <w:rsid w:val="00F25392"/>
    <w:rsid w:val="00F25483"/>
    <w:rsid w:val="00F25529"/>
    <w:rsid w:val="00F25805"/>
    <w:rsid w:val="00F25D8D"/>
    <w:rsid w:val="00F279BD"/>
    <w:rsid w:val="00F27A2D"/>
    <w:rsid w:val="00F306B1"/>
    <w:rsid w:val="00F30A95"/>
    <w:rsid w:val="00F3169F"/>
    <w:rsid w:val="00F31EE0"/>
    <w:rsid w:val="00F3273F"/>
    <w:rsid w:val="00F32E9F"/>
    <w:rsid w:val="00F33730"/>
    <w:rsid w:val="00F33757"/>
    <w:rsid w:val="00F33B62"/>
    <w:rsid w:val="00F34238"/>
    <w:rsid w:val="00F34549"/>
    <w:rsid w:val="00F3498E"/>
    <w:rsid w:val="00F34DA4"/>
    <w:rsid w:val="00F351C9"/>
    <w:rsid w:val="00F3533F"/>
    <w:rsid w:val="00F35A23"/>
    <w:rsid w:val="00F35F91"/>
    <w:rsid w:val="00F36FE1"/>
    <w:rsid w:val="00F378BA"/>
    <w:rsid w:val="00F379C0"/>
    <w:rsid w:val="00F37CC5"/>
    <w:rsid w:val="00F403B2"/>
    <w:rsid w:val="00F40A2F"/>
    <w:rsid w:val="00F41014"/>
    <w:rsid w:val="00F413A0"/>
    <w:rsid w:val="00F413EA"/>
    <w:rsid w:val="00F41517"/>
    <w:rsid w:val="00F418DE"/>
    <w:rsid w:val="00F41A45"/>
    <w:rsid w:val="00F41FDF"/>
    <w:rsid w:val="00F41FF9"/>
    <w:rsid w:val="00F42129"/>
    <w:rsid w:val="00F430C0"/>
    <w:rsid w:val="00F4330C"/>
    <w:rsid w:val="00F437CC"/>
    <w:rsid w:val="00F43C80"/>
    <w:rsid w:val="00F43DAC"/>
    <w:rsid w:val="00F44523"/>
    <w:rsid w:val="00F447E6"/>
    <w:rsid w:val="00F44C74"/>
    <w:rsid w:val="00F44CF8"/>
    <w:rsid w:val="00F45066"/>
    <w:rsid w:val="00F455DF"/>
    <w:rsid w:val="00F4608D"/>
    <w:rsid w:val="00F4632F"/>
    <w:rsid w:val="00F468A0"/>
    <w:rsid w:val="00F46A43"/>
    <w:rsid w:val="00F47260"/>
    <w:rsid w:val="00F47929"/>
    <w:rsid w:val="00F47A9C"/>
    <w:rsid w:val="00F47AC0"/>
    <w:rsid w:val="00F47D28"/>
    <w:rsid w:val="00F47E21"/>
    <w:rsid w:val="00F47E9A"/>
    <w:rsid w:val="00F5001A"/>
    <w:rsid w:val="00F500E5"/>
    <w:rsid w:val="00F50768"/>
    <w:rsid w:val="00F5098F"/>
    <w:rsid w:val="00F50BD9"/>
    <w:rsid w:val="00F5204A"/>
    <w:rsid w:val="00F520A6"/>
    <w:rsid w:val="00F52688"/>
    <w:rsid w:val="00F52757"/>
    <w:rsid w:val="00F53755"/>
    <w:rsid w:val="00F53BE4"/>
    <w:rsid w:val="00F53D6B"/>
    <w:rsid w:val="00F542C5"/>
    <w:rsid w:val="00F54569"/>
    <w:rsid w:val="00F5464C"/>
    <w:rsid w:val="00F54771"/>
    <w:rsid w:val="00F549AC"/>
    <w:rsid w:val="00F55180"/>
    <w:rsid w:val="00F55402"/>
    <w:rsid w:val="00F56404"/>
    <w:rsid w:val="00F56705"/>
    <w:rsid w:val="00F56C52"/>
    <w:rsid w:val="00F56D6A"/>
    <w:rsid w:val="00F56F7E"/>
    <w:rsid w:val="00F5786F"/>
    <w:rsid w:val="00F60B49"/>
    <w:rsid w:val="00F60C78"/>
    <w:rsid w:val="00F60D2F"/>
    <w:rsid w:val="00F611CB"/>
    <w:rsid w:val="00F61A90"/>
    <w:rsid w:val="00F61BD1"/>
    <w:rsid w:val="00F621C1"/>
    <w:rsid w:val="00F627EB"/>
    <w:rsid w:val="00F629C8"/>
    <w:rsid w:val="00F64848"/>
    <w:rsid w:val="00F6561C"/>
    <w:rsid w:val="00F65CAF"/>
    <w:rsid w:val="00F65FFF"/>
    <w:rsid w:val="00F66B96"/>
    <w:rsid w:val="00F66F35"/>
    <w:rsid w:val="00F676DF"/>
    <w:rsid w:val="00F67891"/>
    <w:rsid w:val="00F70B03"/>
    <w:rsid w:val="00F7117E"/>
    <w:rsid w:val="00F71272"/>
    <w:rsid w:val="00F71460"/>
    <w:rsid w:val="00F71E12"/>
    <w:rsid w:val="00F720BF"/>
    <w:rsid w:val="00F72EA8"/>
    <w:rsid w:val="00F730B3"/>
    <w:rsid w:val="00F73121"/>
    <w:rsid w:val="00F73E07"/>
    <w:rsid w:val="00F740AA"/>
    <w:rsid w:val="00F74475"/>
    <w:rsid w:val="00F74562"/>
    <w:rsid w:val="00F75A42"/>
    <w:rsid w:val="00F766AB"/>
    <w:rsid w:val="00F77308"/>
    <w:rsid w:val="00F773BC"/>
    <w:rsid w:val="00F775AC"/>
    <w:rsid w:val="00F77C9B"/>
    <w:rsid w:val="00F8013B"/>
    <w:rsid w:val="00F802C0"/>
    <w:rsid w:val="00F8055F"/>
    <w:rsid w:val="00F808E3"/>
    <w:rsid w:val="00F80C95"/>
    <w:rsid w:val="00F80DE3"/>
    <w:rsid w:val="00F81596"/>
    <w:rsid w:val="00F817C8"/>
    <w:rsid w:val="00F81ADA"/>
    <w:rsid w:val="00F81D26"/>
    <w:rsid w:val="00F82B03"/>
    <w:rsid w:val="00F82B98"/>
    <w:rsid w:val="00F83037"/>
    <w:rsid w:val="00F83232"/>
    <w:rsid w:val="00F849EE"/>
    <w:rsid w:val="00F84B5B"/>
    <w:rsid w:val="00F8563F"/>
    <w:rsid w:val="00F863A2"/>
    <w:rsid w:val="00F863B5"/>
    <w:rsid w:val="00F864C2"/>
    <w:rsid w:val="00F86F1F"/>
    <w:rsid w:val="00F87335"/>
    <w:rsid w:val="00F878E1"/>
    <w:rsid w:val="00F87D72"/>
    <w:rsid w:val="00F87DAF"/>
    <w:rsid w:val="00F9004F"/>
    <w:rsid w:val="00F9080F"/>
    <w:rsid w:val="00F908CC"/>
    <w:rsid w:val="00F91227"/>
    <w:rsid w:val="00F91912"/>
    <w:rsid w:val="00F919A6"/>
    <w:rsid w:val="00F91F69"/>
    <w:rsid w:val="00F926CE"/>
    <w:rsid w:val="00F933C3"/>
    <w:rsid w:val="00F934EB"/>
    <w:rsid w:val="00F93789"/>
    <w:rsid w:val="00F944F8"/>
    <w:rsid w:val="00F94620"/>
    <w:rsid w:val="00F94CE2"/>
    <w:rsid w:val="00F95773"/>
    <w:rsid w:val="00F957B2"/>
    <w:rsid w:val="00F95AEA"/>
    <w:rsid w:val="00F95F7B"/>
    <w:rsid w:val="00F95FC4"/>
    <w:rsid w:val="00F96A62"/>
    <w:rsid w:val="00F975CA"/>
    <w:rsid w:val="00F97E7E"/>
    <w:rsid w:val="00FA0859"/>
    <w:rsid w:val="00FA09AA"/>
    <w:rsid w:val="00FA0DEC"/>
    <w:rsid w:val="00FA0EA1"/>
    <w:rsid w:val="00FA0FF1"/>
    <w:rsid w:val="00FA13D7"/>
    <w:rsid w:val="00FA17FB"/>
    <w:rsid w:val="00FA1994"/>
    <w:rsid w:val="00FA1E70"/>
    <w:rsid w:val="00FA2212"/>
    <w:rsid w:val="00FA2349"/>
    <w:rsid w:val="00FA26CC"/>
    <w:rsid w:val="00FA28E3"/>
    <w:rsid w:val="00FA2D42"/>
    <w:rsid w:val="00FA30AE"/>
    <w:rsid w:val="00FA3761"/>
    <w:rsid w:val="00FA4525"/>
    <w:rsid w:val="00FA4A9C"/>
    <w:rsid w:val="00FA4B3A"/>
    <w:rsid w:val="00FA4C87"/>
    <w:rsid w:val="00FA4D31"/>
    <w:rsid w:val="00FA566B"/>
    <w:rsid w:val="00FA62DC"/>
    <w:rsid w:val="00FA6FE7"/>
    <w:rsid w:val="00FA766F"/>
    <w:rsid w:val="00FA7B74"/>
    <w:rsid w:val="00FA7C16"/>
    <w:rsid w:val="00FB044B"/>
    <w:rsid w:val="00FB087A"/>
    <w:rsid w:val="00FB0A6D"/>
    <w:rsid w:val="00FB0D3F"/>
    <w:rsid w:val="00FB14FB"/>
    <w:rsid w:val="00FB1BD9"/>
    <w:rsid w:val="00FB24C1"/>
    <w:rsid w:val="00FB2667"/>
    <w:rsid w:val="00FB2D4F"/>
    <w:rsid w:val="00FB31DD"/>
    <w:rsid w:val="00FB400F"/>
    <w:rsid w:val="00FB4250"/>
    <w:rsid w:val="00FB4255"/>
    <w:rsid w:val="00FB43A1"/>
    <w:rsid w:val="00FB5565"/>
    <w:rsid w:val="00FB5C32"/>
    <w:rsid w:val="00FB5F54"/>
    <w:rsid w:val="00FB61D1"/>
    <w:rsid w:val="00FB645C"/>
    <w:rsid w:val="00FB692C"/>
    <w:rsid w:val="00FB7432"/>
    <w:rsid w:val="00FB7A1D"/>
    <w:rsid w:val="00FB7B1D"/>
    <w:rsid w:val="00FB7B6F"/>
    <w:rsid w:val="00FC0A8B"/>
    <w:rsid w:val="00FC1272"/>
    <w:rsid w:val="00FC14CD"/>
    <w:rsid w:val="00FC1A12"/>
    <w:rsid w:val="00FC2521"/>
    <w:rsid w:val="00FC2661"/>
    <w:rsid w:val="00FC26BF"/>
    <w:rsid w:val="00FC2812"/>
    <w:rsid w:val="00FC355D"/>
    <w:rsid w:val="00FC43C4"/>
    <w:rsid w:val="00FC4524"/>
    <w:rsid w:val="00FC4B89"/>
    <w:rsid w:val="00FC4F86"/>
    <w:rsid w:val="00FC54B8"/>
    <w:rsid w:val="00FC55E7"/>
    <w:rsid w:val="00FC5689"/>
    <w:rsid w:val="00FC6047"/>
    <w:rsid w:val="00FC60C0"/>
    <w:rsid w:val="00FC6A04"/>
    <w:rsid w:val="00FC6C46"/>
    <w:rsid w:val="00FC71F8"/>
    <w:rsid w:val="00FC738A"/>
    <w:rsid w:val="00FC769E"/>
    <w:rsid w:val="00FC7F11"/>
    <w:rsid w:val="00FD0AB2"/>
    <w:rsid w:val="00FD0BE6"/>
    <w:rsid w:val="00FD1845"/>
    <w:rsid w:val="00FD1CA9"/>
    <w:rsid w:val="00FD2990"/>
    <w:rsid w:val="00FD2C16"/>
    <w:rsid w:val="00FD2D64"/>
    <w:rsid w:val="00FD2EDC"/>
    <w:rsid w:val="00FD3586"/>
    <w:rsid w:val="00FD3CED"/>
    <w:rsid w:val="00FD3D19"/>
    <w:rsid w:val="00FD467F"/>
    <w:rsid w:val="00FD4CED"/>
    <w:rsid w:val="00FD598D"/>
    <w:rsid w:val="00FD5A32"/>
    <w:rsid w:val="00FD7D7F"/>
    <w:rsid w:val="00FD7E7E"/>
    <w:rsid w:val="00FE0436"/>
    <w:rsid w:val="00FE044C"/>
    <w:rsid w:val="00FE07BF"/>
    <w:rsid w:val="00FE084A"/>
    <w:rsid w:val="00FE1090"/>
    <w:rsid w:val="00FE12B6"/>
    <w:rsid w:val="00FE1473"/>
    <w:rsid w:val="00FE1955"/>
    <w:rsid w:val="00FE1C9A"/>
    <w:rsid w:val="00FE1FBF"/>
    <w:rsid w:val="00FE202D"/>
    <w:rsid w:val="00FE22D1"/>
    <w:rsid w:val="00FE23E8"/>
    <w:rsid w:val="00FE2E05"/>
    <w:rsid w:val="00FE3B62"/>
    <w:rsid w:val="00FE4231"/>
    <w:rsid w:val="00FE482B"/>
    <w:rsid w:val="00FE4FC7"/>
    <w:rsid w:val="00FE53DD"/>
    <w:rsid w:val="00FE59B2"/>
    <w:rsid w:val="00FE616B"/>
    <w:rsid w:val="00FE61A7"/>
    <w:rsid w:val="00FE6E35"/>
    <w:rsid w:val="00FE6FB9"/>
    <w:rsid w:val="00FE7297"/>
    <w:rsid w:val="00FE7D7D"/>
    <w:rsid w:val="00FF0A2B"/>
    <w:rsid w:val="00FF0DC3"/>
    <w:rsid w:val="00FF1277"/>
    <w:rsid w:val="00FF16D7"/>
    <w:rsid w:val="00FF18FE"/>
    <w:rsid w:val="00FF20F1"/>
    <w:rsid w:val="00FF2318"/>
    <w:rsid w:val="00FF2644"/>
    <w:rsid w:val="00FF2EEF"/>
    <w:rsid w:val="00FF336D"/>
    <w:rsid w:val="00FF392E"/>
    <w:rsid w:val="00FF3EF7"/>
    <w:rsid w:val="00FF418D"/>
    <w:rsid w:val="00FF52F6"/>
    <w:rsid w:val="00FF62CC"/>
    <w:rsid w:val="00FF71A1"/>
    <w:rsid w:val="00FF7D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14:docId w14:val="68379346"/>
  <w15:docId w15:val="{AE6CE4CB-4F72-464B-A767-4335BDBD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0">
    <w:name w:val="Normal"/>
    <w:qFormat/>
    <w:rsid w:val="00292FD8"/>
    <w:pPr>
      <w:suppressAutoHyphens/>
    </w:pPr>
    <w:rPr>
      <w:rFonts w:asciiTheme="minorHAnsi" w:eastAsia="Calibri" w:hAnsiTheme="minorHAnsi" w:cs="Calibri"/>
      <w:sz w:val="24"/>
      <w:lang w:val="lv-LV" w:eastAsia="ar-SA"/>
    </w:rPr>
  </w:style>
  <w:style w:type="paragraph" w:styleId="Heading1">
    <w:name w:val="heading 1"/>
    <w:basedOn w:val="Normal0"/>
    <w:next w:val="Normal0"/>
    <w:autoRedefine/>
    <w:uiPriority w:val="9"/>
    <w:qFormat/>
    <w:rsid w:val="00A176D9"/>
    <w:pPr>
      <w:outlineLvl w:val="0"/>
    </w:pPr>
    <w:rPr>
      <w:b/>
      <w:bCs/>
    </w:rPr>
  </w:style>
  <w:style w:type="paragraph" w:styleId="Heading2">
    <w:name w:val="heading 2"/>
    <w:basedOn w:val="Normal0"/>
    <w:next w:val="Normal0"/>
    <w:link w:val="Heading2Char1"/>
    <w:uiPriority w:val="9"/>
    <w:qFormat/>
    <w:rsid w:val="00061443"/>
    <w:pPr>
      <w:keepNext/>
      <w:outlineLvl w:val="1"/>
    </w:pPr>
    <w:rPr>
      <w:rFonts w:cs="Arial"/>
      <w:b/>
      <w:bCs/>
      <w:i/>
      <w:iCs/>
      <w:sz w:val="28"/>
      <w:szCs w:val="28"/>
      <w:lang w:val="en-GB"/>
    </w:rPr>
  </w:style>
  <w:style w:type="paragraph" w:styleId="Heading3">
    <w:name w:val="heading 3"/>
    <w:basedOn w:val="Normal0"/>
    <w:next w:val="Normal0"/>
    <w:uiPriority w:val="9"/>
    <w:qFormat/>
    <w:rsid w:val="00061443"/>
    <w:pPr>
      <w:keepNext/>
      <w:numPr>
        <w:ilvl w:val="2"/>
        <w:numId w:val="1"/>
      </w:numPr>
      <w:ind w:left="0" w:firstLine="0"/>
      <w:outlineLvl w:val="2"/>
    </w:pPr>
    <w:rPr>
      <w:rFonts w:cs="Arial"/>
      <w:bCs/>
      <w:i/>
      <w:sz w:val="28"/>
      <w:szCs w:val="26"/>
      <w:lang w:val="en-GB"/>
    </w:rPr>
  </w:style>
  <w:style w:type="paragraph" w:styleId="Heading4">
    <w:name w:val="heading 4"/>
    <w:basedOn w:val="Normal0"/>
    <w:next w:val="Normal0"/>
    <w:link w:val="Heading4Char"/>
    <w:uiPriority w:val="9"/>
    <w:qFormat/>
    <w:rsid w:val="00CC0016"/>
    <w:pPr>
      <w:keepNext/>
      <w:numPr>
        <w:ilvl w:val="3"/>
        <w:numId w:val="1"/>
      </w:numPr>
      <w:tabs>
        <w:tab w:val="left" w:pos="720"/>
      </w:tabs>
      <w:ind w:left="0" w:firstLine="0"/>
      <w:outlineLvl w:val="3"/>
    </w:pPr>
    <w:rPr>
      <w:rFonts w:ascii="Calibri" w:hAnsi="Calibri"/>
      <w:b/>
      <w:bCs/>
      <w:i/>
      <w:iCs/>
    </w:rPr>
  </w:style>
  <w:style w:type="paragraph" w:styleId="Heading5">
    <w:name w:val="heading 5"/>
    <w:basedOn w:val="Normal0"/>
    <w:next w:val="Normal0"/>
    <w:link w:val="Heading5Char"/>
    <w:uiPriority w:val="9"/>
    <w:qFormat/>
    <w:rsid w:val="00AA7EF2"/>
    <w:pPr>
      <w:keepNext/>
      <w:numPr>
        <w:ilvl w:val="4"/>
        <w:numId w:val="1"/>
      </w:numPr>
      <w:outlineLvl w:val="4"/>
    </w:pPr>
    <w:rPr>
      <w:i/>
      <w:iCs/>
    </w:rPr>
  </w:style>
  <w:style w:type="paragraph" w:styleId="Heading6">
    <w:name w:val="heading 6"/>
    <w:basedOn w:val="Normal0"/>
    <w:next w:val="Normal0"/>
    <w:link w:val="Heading6Char"/>
    <w:uiPriority w:val="9"/>
    <w:qFormat/>
    <w:rsid w:val="00AA7EF2"/>
    <w:pPr>
      <w:keepNext/>
      <w:numPr>
        <w:ilvl w:val="5"/>
        <w:numId w:val="1"/>
      </w:numPr>
      <w:jc w:val="right"/>
      <w:outlineLvl w:val="5"/>
    </w:pPr>
    <w:rPr>
      <w:b/>
      <w:bCs/>
    </w:rPr>
  </w:style>
  <w:style w:type="paragraph" w:styleId="Heading7">
    <w:name w:val="heading 7"/>
    <w:basedOn w:val="Normal0"/>
    <w:next w:val="Normal0"/>
    <w:link w:val="Heading7Char"/>
    <w:uiPriority w:val="9"/>
    <w:qFormat/>
    <w:rsid w:val="00AA7EF2"/>
    <w:pPr>
      <w:keepNext/>
      <w:numPr>
        <w:ilvl w:val="6"/>
        <w:numId w:val="1"/>
      </w:numPr>
      <w:jc w:val="center"/>
      <w:outlineLvl w:val="6"/>
    </w:pPr>
    <w:rPr>
      <w:b/>
      <w:bCs/>
    </w:rPr>
  </w:style>
  <w:style w:type="paragraph" w:styleId="Heading8">
    <w:name w:val="heading 8"/>
    <w:basedOn w:val="Normal0"/>
    <w:next w:val="Normal0"/>
    <w:link w:val="Heading8Char"/>
    <w:uiPriority w:val="9"/>
    <w:qFormat/>
    <w:rsid w:val="00AA7EF2"/>
    <w:pPr>
      <w:keepNext/>
      <w:numPr>
        <w:ilvl w:val="7"/>
        <w:numId w:val="1"/>
      </w:numPr>
      <w:ind w:left="170" w:firstLine="0"/>
      <w:outlineLvl w:val="7"/>
    </w:pPr>
    <w:rPr>
      <w:b/>
      <w:bCs/>
      <w:u w:val="single"/>
    </w:rPr>
  </w:style>
  <w:style w:type="paragraph" w:styleId="Heading9">
    <w:name w:val="heading 9"/>
    <w:basedOn w:val="Normal0"/>
    <w:next w:val="Normal0"/>
    <w:link w:val="Heading9Char"/>
    <w:uiPriority w:val="9"/>
    <w:qFormat/>
    <w:rsid w:val="00AA7EF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AA7EF2"/>
    <w:rPr>
      <w:rFonts w:ascii="Symbol" w:hAnsi="Symbol"/>
      <w:color w:val="auto"/>
    </w:rPr>
  </w:style>
  <w:style w:type="character" w:customStyle="1" w:styleId="WW8Num3z0">
    <w:name w:val="WW8Num3z0"/>
    <w:rsid w:val="00AA7EF2"/>
    <w:rPr>
      <w:rFonts w:ascii="Symbol" w:hAnsi="Symbol"/>
    </w:rPr>
  </w:style>
  <w:style w:type="character" w:customStyle="1" w:styleId="WW8Num4z0">
    <w:name w:val="WW8Num4z0"/>
    <w:rsid w:val="00AA7EF2"/>
    <w:rPr>
      <w:rFonts w:ascii="Times New Roman" w:eastAsia="Times New Roman" w:hAnsi="Times New Roman"/>
      <w:sz w:val="18"/>
    </w:rPr>
  </w:style>
  <w:style w:type="character" w:customStyle="1" w:styleId="WW8Num5z0">
    <w:name w:val="WW8Num5z0"/>
    <w:rsid w:val="00AA7EF2"/>
    <w:rPr>
      <w:rFonts w:ascii="Symbol" w:hAnsi="Symbol"/>
      <w:sz w:val="18"/>
    </w:rPr>
  </w:style>
  <w:style w:type="character" w:customStyle="1" w:styleId="WW8Num6z0">
    <w:name w:val="WW8Num6z0"/>
    <w:rsid w:val="00AA7EF2"/>
    <w:rPr>
      <w:rFonts w:ascii="Symbol" w:hAnsi="Symbol"/>
    </w:rPr>
  </w:style>
  <w:style w:type="character" w:customStyle="1" w:styleId="WW8Num7z0">
    <w:name w:val="WW8Num7z0"/>
    <w:rsid w:val="00AA7EF2"/>
    <w:rPr>
      <w:rFonts w:ascii="Times New Roman" w:eastAsia="Times New Roman" w:hAnsi="Times New Roman"/>
    </w:rPr>
  </w:style>
  <w:style w:type="character" w:customStyle="1" w:styleId="WW8Num8z0">
    <w:name w:val="WW8Num8z0"/>
    <w:rsid w:val="00AA7EF2"/>
    <w:rPr>
      <w:rFonts w:ascii="Symbol" w:hAnsi="Symbol"/>
    </w:rPr>
  </w:style>
  <w:style w:type="character" w:customStyle="1" w:styleId="WW8Num9z0">
    <w:name w:val="WW8Num9z0"/>
    <w:rsid w:val="00AA7EF2"/>
    <w:rPr>
      <w:rFonts w:ascii="Symbol" w:hAnsi="Symbol"/>
    </w:rPr>
  </w:style>
  <w:style w:type="character" w:customStyle="1" w:styleId="WW8Num10z0">
    <w:name w:val="WW8Num10z0"/>
    <w:rsid w:val="00AA7EF2"/>
    <w:rPr>
      <w:rFonts w:ascii="Symbol" w:hAnsi="Symbol"/>
    </w:rPr>
  </w:style>
  <w:style w:type="character" w:customStyle="1" w:styleId="WW8Num11z0">
    <w:name w:val="WW8Num11z0"/>
    <w:rsid w:val="00AA7EF2"/>
    <w:rPr>
      <w:rFonts w:ascii="Symbol" w:hAnsi="Symbol"/>
    </w:rPr>
  </w:style>
  <w:style w:type="character" w:customStyle="1" w:styleId="WW8Num12z0">
    <w:name w:val="WW8Num12z0"/>
    <w:rsid w:val="00AA7EF2"/>
    <w:rPr>
      <w:rFonts w:ascii="Symbol" w:hAnsi="Symbol"/>
    </w:rPr>
  </w:style>
  <w:style w:type="character" w:customStyle="1" w:styleId="WW8Num14z0">
    <w:name w:val="WW8Num14z0"/>
    <w:rsid w:val="00AA7EF2"/>
    <w:rPr>
      <w:rFonts w:ascii="Symbol" w:hAnsi="Symbol"/>
    </w:rPr>
  </w:style>
  <w:style w:type="character" w:customStyle="1" w:styleId="WW8Num15z0">
    <w:name w:val="WW8Num15z0"/>
    <w:rsid w:val="00AA7EF2"/>
    <w:rPr>
      <w:rFonts w:ascii="Symbol" w:hAnsi="Symbol"/>
      <w:color w:val="auto"/>
    </w:rPr>
  </w:style>
  <w:style w:type="character" w:customStyle="1" w:styleId="WW8Num16z0">
    <w:name w:val="WW8Num16z0"/>
    <w:rsid w:val="00AA7EF2"/>
    <w:rPr>
      <w:rFonts w:ascii="Symbol" w:hAnsi="Symbol"/>
    </w:rPr>
  </w:style>
  <w:style w:type="character" w:customStyle="1" w:styleId="WW8Num17z0">
    <w:name w:val="WW8Num17z0"/>
    <w:rsid w:val="00AA7EF2"/>
    <w:rPr>
      <w:rFonts w:ascii="Times New Roman" w:eastAsia="Times New Roman" w:hAnsi="Times New Roman"/>
    </w:rPr>
  </w:style>
  <w:style w:type="character" w:customStyle="1" w:styleId="WW8Num18z0">
    <w:name w:val="WW8Num18z0"/>
    <w:rsid w:val="00AA7EF2"/>
    <w:rPr>
      <w:sz w:val="18"/>
    </w:rPr>
  </w:style>
  <w:style w:type="character" w:customStyle="1" w:styleId="WW8Num19z0">
    <w:name w:val="WW8Num19z0"/>
    <w:rsid w:val="00AA7EF2"/>
    <w:rPr>
      <w:rFonts w:ascii="Symbol" w:hAnsi="Symbol"/>
    </w:rPr>
  </w:style>
  <w:style w:type="character" w:customStyle="1" w:styleId="WW8Num20z0">
    <w:name w:val="WW8Num20z0"/>
    <w:rsid w:val="00AA7EF2"/>
    <w:rPr>
      <w:rFonts w:ascii="Symbol" w:hAnsi="Symbol"/>
    </w:rPr>
  </w:style>
  <w:style w:type="character" w:customStyle="1" w:styleId="WW8Num21z0">
    <w:name w:val="WW8Num21z0"/>
    <w:rsid w:val="00AA7EF2"/>
    <w:rPr>
      <w:rFonts w:ascii="Symbol" w:hAnsi="Symbol"/>
    </w:rPr>
  </w:style>
  <w:style w:type="character" w:customStyle="1" w:styleId="WW8Num22z0">
    <w:name w:val="WW8Num22z0"/>
    <w:rsid w:val="00AA7EF2"/>
    <w:rPr>
      <w:rFonts w:ascii="Symbol" w:hAnsi="Symbol"/>
      <w:color w:val="auto"/>
    </w:rPr>
  </w:style>
  <w:style w:type="character" w:customStyle="1" w:styleId="WW8Num23z0">
    <w:name w:val="WW8Num23z0"/>
    <w:rsid w:val="00AA7EF2"/>
    <w:rPr>
      <w:rFonts w:ascii="Symbol" w:hAnsi="Symbol"/>
    </w:rPr>
  </w:style>
  <w:style w:type="character" w:customStyle="1" w:styleId="Absatz-Standardschriftart">
    <w:name w:val="Absatz-Standardschriftart"/>
    <w:rsid w:val="00AA7EF2"/>
  </w:style>
  <w:style w:type="character" w:customStyle="1" w:styleId="WW8Num1z0">
    <w:name w:val="WW8Num1z0"/>
    <w:rsid w:val="00AA7EF2"/>
    <w:rPr>
      <w:rFonts w:ascii="Symbol" w:hAnsi="Symbol"/>
      <w:sz w:val="18"/>
    </w:rPr>
  </w:style>
  <w:style w:type="character" w:customStyle="1" w:styleId="WW8Num1z1">
    <w:name w:val="WW8Num1z1"/>
    <w:rsid w:val="00AA7EF2"/>
    <w:rPr>
      <w:rFonts w:ascii="Courier New" w:hAnsi="Courier New"/>
    </w:rPr>
  </w:style>
  <w:style w:type="character" w:customStyle="1" w:styleId="WW8Num1z2">
    <w:name w:val="WW8Num1z2"/>
    <w:rsid w:val="00AA7EF2"/>
    <w:rPr>
      <w:rFonts w:ascii="Wingdings" w:hAnsi="Wingdings"/>
    </w:rPr>
  </w:style>
  <w:style w:type="character" w:customStyle="1" w:styleId="WW8Num1z3">
    <w:name w:val="WW8Num1z3"/>
    <w:rsid w:val="00AA7EF2"/>
    <w:rPr>
      <w:rFonts w:ascii="Symbol" w:hAnsi="Symbol"/>
    </w:rPr>
  </w:style>
  <w:style w:type="character" w:customStyle="1" w:styleId="WW8Num2z1">
    <w:name w:val="WW8Num2z1"/>
    <w:rsid w:val="00AA7EF2"/>
    <w:rPr>
      <w:rFonts w:ascii="Courier New" w:hAnsi="Courier New"/>
    </w:rPr>
  </w:style>
  <w:style w:type="character" w:customStyle="1" w:styleId="WW8Num2z2">
    <w:name w:val="WW8Num2z2"/>
    <w:rsid w:val="00AA7EF2"/>
    <w:rPr>
      <w:rFonts w:ascii="Wingdings" w:hAnsi="Wingdings"/>
    </w:rPr>
  </w:style>
  <w:style w:type="character" w:customStyle="1" w:styleId="WW8Num2z3">
    <w:name w:val="WW8Num2z3"/>
    <w:rsid w:val="00AA7EF2"/>
    <w:rPr>
      <w:rFonts w:ascii="Symbol" w:hAnsi="Symbol"/>
    </w:rPr>
  </w:style>
  <w:style w:type="character" w:customStyle="1" w:styleId="WW8Num3z1">
    <w:name w:val="WW8Num3z1"/>
    <w:rsid w:val="00AA7EF2"/>
    <w:rPr>
      <w:rFonts w:ascii="Courier New" w:hAnsi="Courier New"/>
    </w:rPr>
  </w:style>
  <w:style w:type="character" w:customStyle="1" w:styleId="WW8Num3z2">
    <w:name w:val="WW8Num3z2"/>
    <w:rsid w:val="00AA7EF2"/>
    <w:rPr>
      <w:rFonts w:ascii="Wingdings" w:hAnsi="Wingdings"/>
    </w:rPr>
  </w:style>
  <w:style w:type="character" w:customStyle="1" w:styleId="WW8Num4z1">
    <w:name w:val="WW8Num4z1"/>
    <w:rsid w:val="00AA7EF2"/>
    <w:rPr>
      <w:rFonts w:ascii="Courier New" w:hAnsi="Courier New"/>
    </w:rPr>
  </w:style>
  <w:style w:type="character" w:customStyle="1" w:styleId="WW8Num4z2">
    <w:name w:val="WW8Num4z2"/>
    <w:rsid w:val="00AA7EF2"/>
    <w:rPr>
      <w:rFonts w:ascii="Wingdings" w:hAnsi="Wingdings"/>
    </w:rPr>
  </w:style>
  <w:style w:type="character" w:customStyle="1" w:styleId="WW8Num4z3">
    <w:name w:val="WW8Num4z3"/>
    <w:rsid w:val="00AA7EF2"/>
    <w:rPr>
      <w:rFonts w:ascii="Symbol" w:hAnsi="Symbol"/>
    </w:rPr>
  </w:style>
  <w:style w:type="character" w:customStyle="1" w:styleId="WW8Num5z1">
    <w:name w:val="WW8Num5z1"/>
    <w:rsid w:val="00AA7EF2"/>
    <w:rPr>
      <w:rFonts w:ascii="Courier New" w:hAnsi="Courier New"/>
    </w:rPr>
  </w:style>
  <w:style w:type="character" w:customStyle="1" w:styleId="WW8Num5z2">
    <w:name w:val="WW8Num5z2"/>
    <w:rsid w:val="00AA7EF2"/>
    <w:rPr>
      <w:rFonts w:ascii="Wingdings" w:hAnsi="Wingdings"/>
    </w:rPr>
  </w:style>
  <w:style w:type="character" w:customStyle="1" w:styleId="WW8Num5z3">
    <w:name w:val="WW8Num5z3"/>
    <w:rsid w:val="00AA7EF2"/>
    <w:rPr>
      <w:rFonts w:ascii="Symbol" w:hAnsi="Symbol"/>
    </w:rPr>
  </w:style>
  <w:style w:type="character" w:customStyle="1" w:styleId="WW8Num6z1">
    <w:name w:val="WW8Num6z1"/>
    <w:rsid w:val="00AA7EF2"/>
    <w:rPr>
      <w:rFonts w:ascii="Courier New" w:hAnsi="Courier New" w:cs="Courier New"/>
    </w:rPr>
  </w:style>
  <w:style w:type="character" w:customStyle="1" w:styleId="WW8Num6z2">
    <w:name w:val="WW8Num6z2"/>
    <w:rsid w:val="00AA7EF2"/>
    <w:rPr>
      <w:rFonts w:ascii="Wingdings" w:hAnsi="Wingdings"/>
    </w:rPr>
  </w:style>
  <w:style w:type="character" w:customStyle="1" w:styleId="WW8Num7z1">
    <w:name w:val="WW8Num7z1"/>
    <w:rsid w:val="00AA7EF2"/>
    <w:rPr>
      <w:rFonts w:ascii="Courier New" w:hAnsi="Courier New" w:cs="Courier New"/>
    </w:rPr>
  </w:style>
  <w:style w:type="character" w:customStyle="1" w:styleId="WW8Num7z2">
    <w:name w:val="WW8Num7z2"/>
    <w:rsid w:val="00AA7EF2"/>
    <w:rPr>
      <w:rFonts w:ascii="Wingdings" w:hAnsi="Wingdings"/>
    </w:rPr>
  </w:style>
  <w:style w:type="character" w:customStyle="1" w:styleId="WW8Num7z3">
    <w:name w:val="WW8Num7z3"/>
    <w:rsid w:val="00AA7EF2"/>
    <w:rPr>
      <w:rFonts w:ascii="Symbol" w:hAnsi="Symbol"/>
    </w:rPr>
  </w:style>
  <w:style w:type="character" w:customStyle="1" w:styleId="WW8Num10z1">
    <w:name w:val="WW8Num10z1"/>
    <w:rsid w:val="00AA7EF2"/>
    <w:rPr>
      <w:rFonts w:ascii="Courier New" w:hAnsi="Courier New" w:cs="Courier New"/>
    </w:rPr>
  </w:style>
  <w:style w:type="character" w:customStyle="1" w:styleId="WW8Num10z2">
    <w:name w:val="WW8Num10z2"/>
    <w:rsid w:val="00AA7EF2"/>
    <w:rPr>
      <w:rFonts w:ascii="Wingdings" w:hAnsi="Wingdings"/>
    </w:rPr>
  </w:style>
  <w:style w:type="character" w:customStyle="1" w:styleId="WW8Num11z1">
    <w:name w:val="WW8Num11z1"/>
    <w:rsid w:val="00AA7EF2"/>
    <w:rPr>
      <w:rFonts w:ascii="Courier New" w:hAnsi="Courier New"/>
    </w:rPr>
  </w:style>
  <w:style w:type="character" w:customStyle="1" w:styleId="WW8Num11z2">
    <w:name w:val="WW8Num11z2"/>
    <w:rsid w:val="00AA7EF2"/>
    <w:rPr>
      <w:rFonts w:ascii="Wingdings" w:hAnsi="Wingdings"/>
    </w:rPr>
  </w:style>
  <w:style w:type="character" w:customStyle="1" w:styleId="WW8Num13z0">
    <w:name w:val="WW8Num13z0"/>
    <w:rsid w:val="00AA7EF2"/>
    <w:rPr>
      <w:rFonts w:ascii="Symbol" w:hAnsi="Symbol"/>
    </w:rPr>
  </w:style>
  <w:style w:type="character" w:customStyle="1" w:styleId="WW8Num13z1">
    <w:name w:val="WW8Num13z1"/>
    <w:rsid w:val="00AA7EF2"/>
    <w:rPr>
      <w:rFonts w:ascii="Courier New" w:hAnsi="Courier New" w:cs="Courier New"/>
    </w:rPr>
  </w:style>
  <w:style w:type="character" w:customStyle="1" w:styleId="WW8Num13z2">
    <w:name w:val="WW8Num13z2"/>
    <w:rsid w:val="00AA7EF2"/>
    <w:rPr>
      <w:rFonts w:ascii="Wingdings" w:hAnsi="Wingdings"/>
    </w:rPr>
  </w:style>
  <w:style w:type="character" w:customStyle="1" w:styleId="WW8Num14z1">
    <w:name w:val="WW8Num14z1"/>
    <w:rsid w:val="00AA7EF2"/>
    <w:rPr>
      <w:rFonts w:ascii="Courier New" w:hAnsi="Courier New"/>
    </w:rPr>
  </w:style>
  <w:style w:type="character" w:customStyle="1" w:styleId="WW8Num14z2">
    <w:name w:val="WW8Num14z2"/>
    <w:rsid w:val="00AA7EF2"/>
    <w:rPr>
      <w:rFonts w:ascii="Wingdings" w:hAnsi="Wingdings"/>
    </w:rPr>
  </w:style>
  <w:style w:type="character" w:customStyle="1" w:styleId="WW8Num16z1">
    <w:name w:val="WW8Num16z1"/>
    <w:rsid w:val="00AA7EF2"/>
    <w:rPr>
      <w:rFonts w:ascii="Courier New" w:hAnsi="Courier New"/>
    </w:rPr>
  </w:style>
  <w:style w:type="character" w:customStyle="1" w:styleId="WW8Num16z2">
    <w:name w:val="WW8Num16z2"/>
    <w:rsid w:val="00AA7EF2"/>
    <w:rPr>
      <w:rFonts w:ascii="Wingdings" w:hAnsi="Wingdings"/>
    </w:rPr>
  </w:style>
  <w:style w:type="character" w:customStyle="1" w:styleId="WW8Num17z1">
    <w:name w:val="WW8Num17z1"/>
    <w:rsid w:val="00AA7EF2"/>
    <w:rPr>
      <w:rFonts w:ascii="Courier New" w:hAnsi="Courier New" w:cs="Courier New"/>
    </w:rPr>
  </w:style>
  <w:style w:type="character" w:customStyle="1" w:styleId="WW8Num17z2">
    <w:name w:val="WW8Num17z2"/>
    <w:rsid w:val="00AA7EF2"/>
    <w:rPr>
      <w:rFonts w:ascii="Wingdings" w:hAnsi="Wingdings"/>
    </w:rPr>
  </w:style>
  <w:style w:type="character" w:customStyle="1" w:styleId="WW8Num17z3">
    <w:name w:val="WW8Num17z3"/>
    <w:rsid w:val="00AA7EF2"/>
    <w:rPr>
      <w:rFonts w:ascii="Symbol" w:hAnsi="Symbol"/>
    </w:rPr>
  </w:style>
  <w:style w:type="character" w:customStyle="1" w:styleId="WW8Num18z1">
    <w:name w:val="WW8Num18z1"/>
    <w:rsid w:val="00AA7EF2"/>
    <w:rPr>
      <w:rFonts w:ascii="Courier New" w:hAnsi="Courier New"/>
    </w:rPr>
  </w:style>
  <w:style w:type="character" w:customStyle="1" w:styleId="WW8Num18z2">
    <w:name w:val="WW8Num18z2"/>
    <w:rsid w:val="00AA7EF2"/>
    <w:rPr>
      <w:rFonts w:ascii="Wingdings" w:hAnsi="Wingdings"/>
    </w:rPr>
  </w:style>
  <w:style w:type="character" w:customStyle="1" w:styleId="WW8Num18z3">
    <w:name w:val="WW8Num18z3"/>
    <w:rsid w:val="00AA7EF2"/>
    <w:rPr>
      <w:rFonts w:ascii="Symbol" w:hAnsi="Symbol"/>
    </w:rPr>
  </w:style>
  <w:style w:type="character" w:customStyle="1" w:styleId="WW8Num19z1">
    <w:name w:val="WW8Num19z1"/>
    <w:rsid w:val="00AA7EF2"/>
    <w:rPr>
      <w:rFonts w:ascii="Courier New" w:hAnsi="Courier New"/>
    </w:rPr>
  </w:style>
  <w:style w:type="character" w:customStyle="1" w:styleId="WW8Num19z2">
    <w:name w:val="WW8Num19z2"/>
    <w:rsid w:val="00AA7EF2"/>
    <w:rPr>
      <w:rFonts w:ascii="Wingdings" w:hAnsi="Wingdings"/>
    </w:rPr>
  </w:style>
  <w:style w:type="character" w:customStyle="1" w:styleId="WW8Num21z1">
    <w:name w:val="WW8Num21z1"/>
    <w:rsid w:val="00AA7EF2"/>
    <w:rPr>
      <w:rFonts w:ascii="Courier New" w:hAnsi="Courier New" w:cs="Courier New"/>
    </w:rPr>
  </w:style>
  <w:style w:type="character" w:customStyle="1" w:styleId="WW8Num21z2">
    <w:name w:val="WW8Num21z2"/>
    <w:rsid w:val="00AA7EF2"/>
    <w:rPr>
      <w:rFonts w:ascii="Wingdings" w:hAnsi="Wingdings"/>
    </w:rPr>
  </w:style>
  <w:style w:type="character" w:customStyle="1" w:styleId="WW8Num22z1">
    <w:name w:val="WW8Num22z1"/>
    <w:rsid w:val="00AA7EF2"/>
    <w:rPr>
      <w:rFonts w:ascii="Courier New" w:hAnsi="Courier New"/>
    </w:rPr>
  </w:style>
  <w:style w:type="character" w:customStyle="1" w:styleId="WW8Num22z2">
    <w:name w:val="WW8Num22z2"/>
    <w:rsid w:val="00AA7EF2"/>
    <w:rPr>
      <w:rFonts w:ascii="Wingdings" w:hAnsi="Wingdings"/>
    </w:rPr>
  </w:style>
  <w:style w:type="character" w:customStyle="1" w:styleId="WW8Num22z3">
    <w:name w:val="WW8Num22z3"/>
    <w:rsid w:val="00AA7EF2"/>
    <w:rPr>
      <w:rFonts w:ascii="Symbol" w:hAnsi="Symbol"/>
    </w:rPr>
  </w:style>
  <w:style w:type="character" w:customStyle="1" w:styleId="WW8Num23z1">
    <w:name w:val="WW8Num23z1"/>
    <w:rsid w:val="00AA7EF2"/>
    <w:rPr>
      <w:rFonts w:ascii="Courier New" w:hAnsi="Courier New" w:cs="Courier New"/>
    </w:rPr>
  </w:style>
  <w:style w:type="character" w:customStyle="1" w:styleId="WW8Num23z2">
    <w:name w:val="WW8Num23z2"/>
    <w:rsid w:val="00AA7EF2"/>
    <w:rPr>
      <w:rFonts w:ascii="Wingdings" w:hAnsi="Wingdings"/>
    </w:rPr>
  </w:style>
  <w:style w:type="character" w:customStyle="1" w:styleId="WW8Num24z0">
    <w:name w:val="WW8Num24z0"/>
    <w:rsid w:val="00AA7EF2"/>
    <w:rPr>
      <w:rFonts w:ascii="Symbol" w:hAnsi="Symbol"/>
    </w:rPr>
  </w:style>
  <w:style w:type="character" w:customStyle="1" w:styleId="WW8Num25z0">
    <w:name w:val="WW8Num25z0"/>
    <w:rsid w:val="00AA7EF2"/>
    <w:rPr>
      <w:rFonts w:ascii="Symbol" w:hAnsi="Symbol"/>
    </w:rPr>
  </w:style>
  <w:style w:type="character" w:customStyle="1" w:styleId="WW8Num26z0">
    <w:name w:val="WW8Num26z0"/>
    <w:rsid w:val="00AA7EF2"/>
    <w:rPr>
      <w:rFonts w:ascii="Symbol" w:hAnsi="Symbol"/>
    </w:rPr>
  </w:style>
  <w:style w:type="character" w:customStyle="1" w:styleId="WW8Num26z1">
    <w:name w:val="WW8Num26z1"/>
    <w:rsid w:val="00AA7EF2"/>
    <w:rPr>
      <w:rFonts w:ascii="Courier New" w:hAnsi="Courier New"/>
    </w:rPr>
  </w:style>
  <w:style w:type="character" w:customStyle="1" w:styleId="WW8Num26z2">
    <w:name w:val="WW8Num26z2"/>
    <w:rsid w:val="00AA7EF2"/>
    <w:rPr>
      <w:rFonts w:ascii="Wingdings" w:hAnsi="Wingdings"/>
    </w:rPr>
  </w:style>
  <w:style w:type="character" w:customStyle="1" w:styleId="WW8Num27z0">
    <w:name w:val="WW8Num27z0"/>
    <w:rsid w:val="00AA7EF2"/>
    <w:rPr>
      <w:rFonts w:ascii="Symbol" w:hAnsi="Symbol"/>
    </w:rPr>
  </w:style>
  <w:style w:type="character" w:customStyle="1" w:styleId="WW8Num27z1">
    <w:name w:val="WW8Num27z1"/>
    <w:rsid w:val="00AA7EF2"/>
    <w:rPr>
      <w:rFonts w:ascii="Courier New" w:hAnsi="Courier New"/>
    </w:rPr>
  </w:style>
  <w:style w:type="character" w:customStyle="1" w:styleId="WW8Num27z2">
    <w:name w:val="WW8Num27z2"/>
    <w:rsid w:val="00AA7EF2"/>
    <w:rPr>
      <w:rFonts w:ascii="Wingdings" w:hAnsi="Wingdings"/>
    </w:rPr>
  </w:style>
  <w:style w:type="character" w:customStyle="1" w:styleId="WW8Num28z0">
    <w:name w:val="WW8Num28z0"/>
    <w:rsid w:val="00AA7EF2"/>
    <w:rPr>
      <w:rFonts w:ascii="Symbol" w:hAnsi="Symbol"/>
    </w:rPr>
  </w:style>
  <w:style w:type="character" w:customStyle="1" w:styleId="WW8Num28z1">
    <w:name w:val="WW8Num28z1"/>
    <w:rsid w:val="00AA7EF2"/>
    <w:rPr>
      <w:rFonts w:ascii="Courier New" w:hAnsi="Courier New"/>
    </w:rPr>
  </w:style>
  <w:style w:type="character" w:customStyle="1" w:styleId="WW8Num28z2">
    <w:name w:val="WW8Num28z2"/>
    <w:rsid w:val="00AA7EF2"/>
    <w:rPr>
      <w:rFonts w:ascii="Wingdings" w:hAnsi="Wingdings"/>
    </w:rPr>
  </w:style>
  <w:style w:type="character" w:customStyle="1" w:styleId="WW8Num29z0">
    <w:name w:val="WW8Num29z0"/>
    <w:rsid w:val="00AA7EF2"/>
    <w:rPr>
      <w:rFonts w:ascii="Symbol" w:hAnsi="Symbol"/>
    </w:rPr>
  </w:style>
  <w:style w:type="character" w:customStyle="1" w:styleId="WW8Num29z1">
    <w:name w:val="WW8Num29z1"/>
    <w:rsid w:val="00AA7EF2"/>
    <w:rPr>
      <w:rFonts w:ascii="Courier New" w:hAnsi="Courier New" w:cs="Courier New"/>
    </w:rPr>
  </w:style>
  <w:style w:type="character" w:customStyle="1" w:styleId="WW8Num29z2">
    <w:name w:val="WW8Num29z2"/>
    <w:rsid w:val="00AA7EF2"/>
    <w:rPr>
      <w:rFonts w:ascii="Wingdings" w:hAnsi="Wingdings"/>
    </w:rPr>
  </w:style>
  <w:style w:type="character" w:customStyle="1" w:styleId="WW8Num30z0">
    <w:name w:val="WW8Num30z0"/>
    <w:rsid w:val="00AA7EF2"/>
    <w:rPr>
      <w:rFonts w:ascii="Symbol" w:hAnsi="Symbol"/>
    </w:rPr>
  </w:style>
  <w:style w:type="character" w:styleId="Hyperlink">
    <w:name w:val="Hyperlink"/>
    <w:uiPriority w:val="99"/>
    <w:rsid w:val="00AA7EF2"/>
    <w:rPr>
      <w:color w:val="0000FF"/>
      <w:u w:val="single"/>
    </w:rPr>
  </w:style>
  <w:style w:type="character" w:styleId="FollowedHyperlink">
    <w:name w:val="FollowedHyperlink"/>
    <w:uiPriority w:val="99"/>
    <w:rsid w:val="00AA7EF2"/>
    <w:rPr>
      <w:color w:val="800080"/>
      <w:u w:val="single"/>
    </w:rPr>
  </w:style>
  <w:style w:type="character" w:customStyle="1" w:styleId="FootnoteCharacters">
    <w:name w:val="Footnote Characters"/>
    <w:rsid w:val="00AA7EF2"/>
    <w:rPr>
      <w:vertAlign w:val="superscript"/>
    </w:rPr>
  </w:style>
  <w:style w:type="character" w:styleId="PageNumber">
    <w:name w:val="page number"/>
    <w:basedOn w:val="DefaultParagraphFont"/>
    <w:rsid w:val="00AA7EF2"/>
  </w:style>
  <w:style w:type="character" w:styleId="Strong">
    <w:name w:val="Strong"/>
    <w:uiPriority w:val="22"/>
    <w:qFormat/>
    <w:rsid w:val="00AA7EF2"/>
    <w:rPr>
      <w:b/>
      <w:bCs/>
    </w:rPr>
  </w:style>
  <w:style w:type="character" w:customStyle="1" w:styleId="Char">
    <w:name w:val="Char"/>
    <w:rsid w:val="00AA7EF2"/>
    <w:rPr>
      <w:b/>
      <w:sz w:val="24"/>
      <w:szCs w:val="24"/>
      <w:lang w:val="lv-LV" w:eastAsia="ar-SA" w:bidi="ar-SA"/>
    </w:rPr>
  </w:style>
  <w:style w:type="character" w:customStyle="1" w:styleId="CharChar">
    <w:name w:val="Char Char"/>
    <w:rsid w:val="00AA7EF2"/>
    <w:rPr>
      <w:sz w:val="24"/>
      <w:szCs w:val="24"/>
      <w:lang w:val="en-GB"/>
    </w:rPr>
  </w:style>
  <w:style w:type="character" w:customStyle="1" w:styleId="FontStyle14">
    <w:name w:val="Font Style14"/>
    <w:rsid w:val="00AA7EF2"/>
    <w:rPr>
      <w:rFonts w:ascii="Times New Roman" w:hAnsi="Times New Roman" w:cs="Times New Roman"/>
      <w:sz w:val="22"/>
      <w:szCs w:val="22"/>
    </w:rPr>
  </w:style>
  <w:style w:type="character" w:customStyle="1" w:styleId="CharChar1">
    <w:name w:val="Char Char1"/>
    <w:rsid w:val="00AA7EF2"/>
    <w:rPr>
      <w:b/>
      <w:bCs/>
      <w:sz w:val="24"/>
      <w:szCs w:val="24"/>
      <w:lang w:val="en-US"/>
    </w:rPr>
  </w:style>
  <w:style w:type="character" w:customStyle="1" w:styleId="BodyText3Char">
    <w:name w:val="Body Text 3 Char"/>
    <w:rsid w:val="00AA7EF2"/>
    <w:rPr>
      <w:b/>
      <w:sz w:val="24"/>
      <w:szCs w:val="24"/>
    </w:rPr>
  </w:style>
  <w:style w:type="character" w:customStyle="1" w:styleId="Heading1Char">
    <w:name w:val="Heading 1 Char"/>
    <w:uiPriority w:val="9"/>
    <w:rsid w:val="00AA7EF2"/>
    <w:rPr>
      <w:rFonts w:ascii="Times New Roman" w:hAnsi="Times New Roman" w:cs="Arial"/>
      <w:b/>
      <w:bCs/>
      <w:kern w:val="1"/>
      <w:sz w:val="36"/>
      <w:szCs w:val="32"/>
    </w:rPr>
  </w:style>
  <w:style w:type="character" w:customStyle="1" w:styleId="Heading2Char">
    <w:name w:val="Heading 2 Char"/>
    <w:uiPriority w:val="9"/>
    <w:rsid w:val="00AA7EF2"/>
    <w:rPr>
      <w:rFonts w:ascii="Times New Roman" w:hAnsi="Times New Roman" w:cs="Arial"/>
      <w:b/>
      <w:bCs/>
      <w:i/>
      <w:iCs/>
      <w:sz w:val="32"/>
      <w:szCs w:val="28"/>
      <w:lang w:val="en-GB"/>
    </w:rPr>
  </w:style>
  <w:style w:type="character" w:customStyle="1" w:styleId="Heading3Char">
    <w:name w:val="Heading 3 Char"/>
    <w:uiPriority w:val="9"/>
    <w:rsid w:val="00AA7EF2"/>
    <w:rPr>
      <w:rFonts w:ascii="Times New Roman" w:hAnsi="Times New Roman" w:cs="Arial"/>
      <w:bCs/>
      <w:i/>
      <w:sz w:val="28"/>
      <w:szCs w:val="26"/>
      <w:lang w:val="en-GB"/>
    </w:rPr>
  </w:style>
  <w:style w:type="character" w:customStyle="1" w:styleId="spelle">
    <w:name w:val="spelle"/>
    <w:basedOn w:val="DefaultParagraphFont"/>
    <w:rsid w:val="00AA7EF2"/>
  </w:style>
  <w:style w:type="character" w:customStyle="1" w:styleId="PlainTextChar">
    <w:name w:val="Plain Text Char"/>
    <w:rsid w:val="00AA7EF2"/>
    <w:rPr>
      <w:rFonts w:ascii="Courier New" w:eastAsia="Times New Roman" w:hAnsi="Courier New"/>
      <w:lang w:val="en-US"/>
    </w:rPr>
  </w:style>
  <w:style w:type="character" w:customStyle="1" w:styleId="FooterChar">
    <w:name w:val="Footer Char"/>
    <w:uiPriority w:val="99"/>
    <w:rsid w:val="00AA7EF2"/>
    <w:rPr>
      <w:rFonts w:ascii="Times New Roman" w:hAnsi="Times New Roman"/>
      <w:sz w:val="24"/>
      <w:lang w:val="en-GB"/>
    </w:rPr>
  </w:style>
  <w:style w:type="character" w:customStyle="1" w:styleId="CharChar2">
    <w:name w:val="Char Char2"/>
    <w:rsid w:val="00AA7EF2"/>
    <w:rPr>
      <w:sz w:val="24"/>
      <w:szCs w:val="24"/>
      <w:lang w:val="en-GB"/>
    </w:rPr>
  </w:style>
  <w:style w:type="character" w:customStyle="1" w:styleId="CharChar11">
    <w:name w:val="Char Char11"/>
    <w:rsid w:val="00AA7EF2"/>
    <w:rPr>
      <w:b/>
      <w:bCs/>
      <w:sz w:val="24"/>
      <w:szCs w:val="24"/>
      <w:lang w:val="en-US"/>
    </w:rPr>
  </w:style>
  <w:style w:type="character" w:customStyle="1" w:styleId="izcelumsi">
    <w:name w:val="izcelums_i"/>
    <w:rsid w:val="00AA7EF2"/>
    <w:rPr>
      <w:i/>
    </w:rPr>
  </w:style>
  <w:style w:type="character" w:customStyle="1" w:styleId="BodyTextChar">
    <w:name w:val="Body Text Char"/>
    <w:rsid w:val="00AA7EF2"/>
    <w:rPr>
      <w:rFonts w:ascii="Times New Roman" w:hAnsi="Times New Roman"/>
      <w:sz w:val="24"/>
      <w:lang w:val="en-GB"/>
    </w:rPr>
  </w:style>
  <w:style w:type="character" w:styleId="FootnoteReference">
    <w:name w:val="footnote reference"/>
    <w:uiPriority w:val="99"/>
    <w:qFormat/>
    <w:rsid w:val="00AA7EF2"/>
    <w:rPr>
      <w:vertAlign w:val="superscript"/>
    </w:rPr>
  </w:style>
  <w:style w:type="character" w:customStyle="1" w:styleId="EndnoteCharacters">
    <w:name w:val="Endnote Characters"/>
    <w:rsid w:val="00AA7EF2"/>
    <w:rPr>
      <w:vertAlign w:val="superscript"/>
    </w:rPr>
  </w:style>
  <w:style w:type="character" w:customStyle="1" w:styleId="WW-EndnoteCharacters">
    <w:name w:val="WW-Endnote Characters"/>
    <w:rsid w:val="00AA7EF2"/>
  </w:style>
  <w:style w:type="character" w:styleId="EndnoteReference">
    <w:name w:val="endnote reference"/>
    <w:rsid w:val="00AA7EF2"/>
    <w:rPr>
      <w:vertAlign w:val="superscript"/>
    </w:rPr>
  </w:style>
  <w:style w:type="paragraph" w:customStyle="1" w:styleId="Heading">
    <w:name w:val="Heading"/>
    <w:basedOn w:val="Normal0"/>
    <w:next w:val="BodyText"/>
    <w:rsid w:val="00AA7EF2"/>
    <w:pPr>
      <w:keepNext/>
      <w:spacing w:before="240" w:after="120"/>
    </w:pPr>
    <w:rPr>
      <w:rFonts w:ascii="Arial" w:eastAsia="Lucida Sans Unicode" w:hAnsi="Arial" w:cs="Tahoma"/>
      <w:sz w:val="28"/>
      <w:szCs w:val="28"/>
    </w:rPr>
  </w:style>
  <w:style w:type="paragraph" w:styleId="BodyText">
    <w:name w:val="Body Text"/>
    <w:basedOn w:val="Normal0"/>
    <w:rsid w:val="00AA7EF2"/>
    <w:pPr>
      <w:spacing w:after="120"/>
    </w:pPr>
    <w:rPr>
      <w:lang w:val="en-GB"/>
    </w:rPr>
  </w:style>
  <w:style w:type="paragraph" w:styleId="List">
    <w:name w:val="List"/>
    <w:basedOn w:val="BodyText"/>
    <w:uiPriority w:val="99"/>
    <w:rsid w:val="00AA7EF2"/>
    <w:rPr>
      <w:rFonts w:cs="Tahoma"/>
    </w:rPr>
  </w:style>
  <w:style w:type="paragraph" w:styleId="Caption">
    <w:name w:val="caption"/>
    <w:basedOn w:val="Normal0"/>
    <w:qFormat/>
    <w:rsid w:val="00AA7EF2"/>
    <w:pPr>
      <w:spacing w:after="200"/>
    </w:pPr>
    <w:rPr>
      <w:rFonts w:cs="Tahoma"/>
      <w:b/>
      <w:bCs/>
      <w:color w:val="4F81BD"/>
      <w:sz w:val="18"/>
      <w:szCs w:val="18"/>
    </w:rPr>
  </w:style>
  <w:style w:type="paragraph" w:customStyle="1" w:styleId="Index">
    <w:name w:val="Index"/>
    <w:basedOn w:val="Normal0"/>
    <w:rsid w:val="00AA7EF2"/>
    <w:pPr>
      <w:suppressLineNumbers/>
    </w:pPr>
    <w:rPr>
      <w:rFonts w:cs="Tahoma"/>
    </w:rPr>
  </w:style>
  <w:style w:type="paragraph" w:customStyle="1" w:styleId="naisf">
    <w:name w:val="naisf"/>
    <w:basedOn w:val="Normal0"/>
    <w:rsid w:val="00AA7EF2"/>
    <w:pPr>
      <w:spacing w:before="100" w:after="100"/>
      <w:ind w:firstLine="500"/>
      <w:jc w:val="both"/>
    </w:pPr>
    <w:rPr>
      <w:rFonts w:eastAsia="Arial Unicode MS"/>
      <w:lang w:val="en-GB"/>
    </w:rPr>
  </w:style>
  <w:style w:type="paragraph" w:styleId="TOC1">
    <w:name w:val="toc 1"/>
    <w:basedOn w:val="Normal0"/>
    <w:next w:val="Normal0"/>
    <w:uiPriority w:val="39"/>
    <w:rsid w:val="00AA7EF2"/>
    <w:rPr>
      <w:b/>
      <w:bCs/>
      <w:i/>
      <w:iCs/>
    </w:rPr>
  </w:style>
  <w:style w:type="paragraph" w:styleId="TOC2">
    <w:name w:val="toc 2"/>
    <w:basedOn w:val="Normal0"/>
    <w:next w:val="Normal0"/>
    <w:uiPriority w:val="39"/>
    <w:rsid w:val="00AA7EF2"/>
    <w:pPr>
      <w:ind w:left="240"/>
    </w:pPr>
    <w:rPr>
      <w:smallCaps/>
    </w:rPr>
  </w:style>
  <w:style w:type="paragraph" w:styleId="TOC3">
    <w:name w:val="toc 3"/>
    <w:basedOn w:val="Normal0"/>
    <w:next w:val="Normal0"/>
    <w:uiPriority w:val="39"/>
    <w:rsid w:val="00AA7EF2"/>
    <w:pPr>
      <w:ind w:left="480"/>
    </w:pPr>
    <w:rPr>
      <w:i/>
      <w:iCs/>
    </w:rPr>
  </w:style>
  <w:style w:type="paragraph" w:styleId="TOC4">
    <w:name w:val="toc 4"/>
    <w:basedOn w:val="Normal0"/>
    <w:next w:val="Normal0"/>
    <w:rsid w:val="00AA7EF2"/>
    <w:pPr>
      <w:ind w:left="720"/>
    </w:pPr>
    <w:rPr>
      <w:szCs w:val="21"/>
    </w:rPr>
  </w:style>
  <w:style w:type="paragraph" w:styleId="TOC5">
    <w:name w:val="toc 5"/>
    <w:basedOn w:val="Normal0"/>
    <w:next w:val="Normal0"/>
    <w:rsid w:val="00AA7EF2"/>
    <w:pPr>
      <w:ind w:left="960"/>
    </w:pPr>
    <w:rPr>
      <w:szCs w:val="21"/>
    </w:rPr>
  </w:style>
  <w:style w:type="paragraph" w:styleId="TOC6">
    <w:name w:val="toc 6"/>
    <w:basedOn w:val="Normal0"/>
    <w:next w:val="Normal0"/>
    <w:rsid w:val="00AA7EF2"/>
    <w:pPr>
      <w:ind w:left="1200"/>
    </w:pPr>
    <w:rPr>
      <w:szCs w:val="21"/>
    </w:rPr>
  </w:style>
  <w:style w:type="paragraph" w:styleId="TOC7">
    <w:name w:val="toc 7"/>
    <w:basedOn w:val="Normal0"/>
    <w:next w:val="Normal0"/>
    <w:rsid w:val="00AA7EF2"/>
    <w:pPr>
      <w:ind w:left="1440"/>
    </w:pPr>
    <w:rPr>
      <w:szCs w:val="21"/>
    </w:rPr>
  </w:style>
  <w:style w:type="paragraph" w:styleId="TOC8">
    <w:name w:val="toc 8"/>
    <w:basedOn w:val="Normal0"/>
    <w:next w:val="Normal0"/>
    <w:rsid w:val="00AA7EF2"/>
    <w:pPr>
      <w:ind w:left="1680"/>
    </w:pPr>
    <w:rPr>
      <w:szCs w:val="21"/>
    </w:rPr>
  </w:style>
  <w:style w:type="paragraph" w:styleId="TOC9">
    <w:name w:val="toc 9"/>
    <w:basedOn w:val="Normal0"/>
    <w:next w:val="Normal0"/>
    <w:rsid w:val="00AA7EF2"/>
    <w:pPr>
      <w:ind w:left="1920"/>
    </w:pPr>
    <w:rPr>
      <w:szCs w:val="21"/>
    </w:rPr>
  </w:style>
  <w:style w:type="paragraph" w:styleId="Footer">
    <w:name w:val="footer"/>
    <w:basedOn w:val="Normal0"/>
    <w:link w:val="FooterChar1"/>
    <w:uiPriority w:val="99"/>
    <w:rsid w:val="00AA7EF2"/>
    <w:pPr>
      <w:tabs>
        <w:tab w:val="center" w:pos="4153"/>
        <w:tab w:val="right" w:pos="8306"/>
      </w:tabs>
    </w:pPr>
    <w:rPr>
      <w:lang w:val="en-GB"/>
    </w:rPr>
  </w:style>
  <w:style w:type="paragraph" w:customStyle="1" w:styleId="Rindkopa">
    <w:name w:val="Rindkopa"/>
    <w:basedOn w:val="Normal0"/>
    <w:rsid w:val="00AA7EF2"/>
    <w:pPr>
      <w:keepNext/>
    </w:pPr>
    <w:rPr>
      <w:rFonts w:eastAsia="Times New Roman"/>
      <w:szCs w:val="24"/>
    </w:rPr>
  </w:style>
  <w:style w:type="paragraph" w:styleId="FootnoteText">
    <w:name w:val="footnote text"/>
    <w:basedOn w:val="Normal0"/>
    <w:link w:val="FootnoteTextChar1"/>
    <w:uiPriority w:val="99"/>
    <w:rsid w:val="00AA7EF2"/>
    <w:rPr>
      <w:rFonts w:cs="Times New Roman"/>
      <w:sz w:val="20"/>
    </w:rPr>
  </w:style>
  <w:style w:type="paragraph" w:styleId="NormalWeb">
    <w:name w:val="Normal (Web)"/>
    <w:basedOn w:val="Normal0"/>
    <w:uiPriority w:val="99"/>
    <w:rsid w:val="00AA7EF2"/>
    <w:pPr>
      <w:spacing w:before="280" w:after="280"/>
    </w:pPr>
  </w:style>
  <w:style w:type="paragraph" w:customStyle="1" w:styleId="Style1">
    <w:name w:val="Style1"/>
    <w:basedOn w:val="Normal0"/>
    <w:next w:val="Normal0"/>
    <w:rsid w:val="00AA7EF2"/>
    <w:pPr>
      <w:pageBreakBefore/>
      <w:overflowPunct w:val="0"/>
      <w:autoSpaceDE w:val="0"/>
      <w:spacing w:after="240"/>
      <w:jc w:val="center"/>
      <w:textAlignment w:val="baseline"/>
    </w:pPr>
    <w:rPr>
      <w:rFonts w:ascii="MSBaltTimes" w:hAnsi="MSBaltTimes"/>
    </w:rPr>
  </w:style>
  <w:style w:type="paragraph" w:styleId="Header">
    <w:name w:val="header"/>
    <w:basedOn w:val="Normal0"/>
    <w:link w:val="HeaderChar"/>
    <w:uiPriority w:val="99"/>
    <w:rsid w:val="00AA7EF2"/>
    <w:pPr>
      <w:tabs>
        <w:tab w:val="center" w:pos="4320"/>
        <w:tab w:val="right" w:pos="8640"/>
      </w:tabs>
    </w:pPr>
    <w:rPr>
      <w:lang w:val="en-GB"/>
    </w:rPr>
  </w:style>
  <w:style w:type="paragraph" w:styleId="BodyTextIndent2">
    <w:name w:val="Body Text Indent 2"/>
    <w:basedOn w:val="Normal0"/>
    <w:rsid w:val="00AA7EF2"/>
    <w:pPr>
      <w:ind w:left="170"/>
    </w:pPr>
  </w:style>
  <w:style w:type="paragraph" w:customStyle="1" w:styleId="TableContents">
    <w:name w:val="Table Contents"/>
    <w:basedOn w:val="BodyText"/>
    <w:rsid w:val="00AA7EF2"/>
    <w:pPr>
      <w:suppressLineNumbers/>
    </w:pPr>
  </w:style>
  <w:style w:type="paragraph" w:customStyle="1" w:styleId="TableHeading">
    <w:name w:val="Table Heading"/>
    <w:basedOn w:val="TableContents"/>
    <w:rsid w:val="00AA7EF2"/>
    <w:pPr>
      <w:jc w:val="center"/>
    </w:pPr>
    <w:rPr>
      <w:b/>
      <w:bCs/>
      <w:i/>
      <w:iCs/>
    </w:rPr>
  </w:style>
  <w:style w:type="paragraph" w:styleId="Title">
    <w:name w:val="Title"/>
    <w:basedOn w:val="Normal0"/>
    <w:next w:val="Subtitle"/>
    <w:link w:val="TitleChar"/>
    <w:qFormat/>
    <w:rsid w:val="00AA7EF2"/>
    <w:pPr>
      <w:jc w:val="center"/>
    </w:pPr>
    <w:rPr>
      <w:rFonts w:cs="Times New Roman"/>
      <w:b/>
      <w:bCs/>
    </w:rPr>
  </w:style>
  <w:style w:type="paragraph" w:styleId="Subtitle">
    <w:name w:val="Subtitle"/>
    <w:basedOn w:val="Normal0"/>
    <w:next w:val="BodyText"/>
    <w:link w:val="SubtitleChar"/>
    <w:qFormat/>
    <w:rsid w:val="00AA7EF2"/>
    <w:rPr>
      <w:b/>
      <w:bCs/>
    </w:rPr>
  </w:style>
  <w:style w:type="paragraph" w:styleId="BodyText3">
    <w:name w:val="Body Text 3"/>
    <w:basedOn w:val="Normal0"/>
    <w:rsid w:val="00AA7EF2"/>
    <w:pPr>
      <w:spacing w:after="120"/>
      <w:jc w:val="center"/>
    </w:pPr>
    <w:rPr>
      <w:b/>
    </w:rPr>
  </w:style>
  <w:style w:type="paragraph" w:styleId="BodyText2">
    <w:name w:val="Body Text 2"/>
    <w:basedOn w:val="Normal0"/>
    <w:rsid w:val="00AA7EF2"/>
    <w:rPr>
      <w:i/>
      <w:iCs/>
    </w:rPr>
  </w:style>
  <w:style w:type="paragraph" w:styleId="CommentText">
    <w:name w:val="annotation text"/>
    <w:basedOn w:val="Normal0"/>
    <w:link w:val="CommentTextChar"/>
    <w:uiPriority w:val="99"/>
    <w:rsid w:val="00AA7EF2"/>
    <w:rPr>
      <w:rFonts w:cs="Times New Roman"/>
      <w:sz w:val="20"/>
      <w:lang w:val="en-GB"/>
    </w:rPr>
  </w:style>
  <w:style w:type="paragraph" w:styleId="BodyTextIndent3">
    <w:name w:val="Body Text Indent 3"/>
    <w:basedOn w:val="Normal0"/>
    <w:rsid w:val="00AA7EF2"/>
    <w:pPr>
      <w:spacing w:after="120"/>
      <w:ind w:left="720"/>
    </w:pPr>
  </w:style>
  <w:style w:type="paragraph" w:styleId="TableofFigures">
    <w:name w:val="table of figures"/>
    <w:basedOn w:val="Normal0"/>
    <w:next w:val="Normal0"/>
    <w:uiPriority w:val="99"/>
    <w:qFormat/>
    <w:rsid w:val="00AA7EF2"/>
    <w:pPr>
      <w:ind w:left="480" w:hanging="480"/>
    </w:pPr>
  </w:style>
  <w:style w:type="paragraph" w:styleId="BodyTextIndent">
    <w:name w:val="Body Text Indent"/>
    <w:basedOn w:val="Normal0"/>
    <w:rsid w:val="00AA7EF2"/>
    <w:pPr>
      <w:ind w:left="360"/>
      <w:jc w:val="both"/>
    </w:pPr>
    <w:rPr>
      <w:color w:val="000000"/>
    </w:rPr>
  </w:style>
  <w:style w:type="paragraph" w:styleId="BalloonText">
    <w:name w:val="Balloon Text"/>
    <w:basedOn w:val="Normal0"/>
    <w:rsid w:val="00AA7EF2"/>
    <w:rPr>
      <w:rFonts w:ascii="Tahoma" w:hAnsi="Tahoma" w:cs="Tahoma"/>
      <w:sz w:val="16"/>
      <w:szCs w:val="16"/>
    </w:rPr>
  </w:style>
  <w:style w:type="paragraph" w:customStyle="1" w:styleId="naisnod">
    <w:name w:val="naisnod"/>
    <w:basedOn w:val="Normal0"/>
    <w:rsid w:val="00AA7EF2"/>
    <w:pPr>
      <w:spacing w:before="450" w:after="225"/>
      <w:jc w:val="center"/>
    </w:pPr>
    <w:rPr>
      <w:b/>
      <w:bCs/>
    </w:rPr>
  </w:style>
  <w:style w:type="paragraph" w:customStyle="1" w:styleId="daps">
    <w:name w:val="daps"/>
    <w:basedOn w:val="Normal0"/>
    <w:next w:val="Normal0"/>
    <w:uiPriority w:val="99"/>
    <w:rsid w:val="00AA7EF2"/>
    <w:pPr>
      <w:spacing w:after="120"/>
      <w:ind w:right="-284" w:firstLine="567"/>
      <w:jc w:val="both"/>
    </w:pPr>
  </w:style>
  <w:style w:type="paragraph" w:customStyle="1" w:styleId="WW-Default">
    <w:name w:val="WW-Default"/>
    <w:rsid w:val="00AA7EF2"/>
    <w:pPr>
      <w:suppressAutoHyphens/>
      <w:autoSpaceDE w:val="0"/>
    </w:pPr>
    <w:rPr>
      <w:rFonts w:ascii="TimesNewRoman" w:eastAsia="Calibri" w:hAnsi="TimesNewRoman" w:cs="Calibri"/>
      <w:lang w:eastAsia="ar-SA"/>
    </w:rPr>
  </w:style>
  <w:style w:type="paragraph" w:customStyle="1" w:styleId="normal">
    <w:name w:val="normal++"/>
    <w:basedOn w:val="Normal0"/>
    <w:rsid w:val="00AA7EF2"/>
    <w:pPr>
      <w:numPr>
        <w:numId w:val="2"/>
      </w:numPr>
      <w:spacing w:after="120"/>
      <w:jc w:val="both"/>
    </w:pPr>
  </w:style>
  <w:style w:type="paragraph" w:customStyle="1" w:styleId="xl25">
    <w:name w:val="xl25"/>
    <w:basedOn w:val="Normal0"/>
    <w:rsid w:val="00AA7EF2"/>
    <w:pPr>
      <w:spacing w:before="280" w:after="280"/>
    </w:pPr>
    <w:rPr>
      <w:rFonts w:ascii="Arial" w:eastAsia="Arial Unicode MS" w:hAnsi="Arial" w:cs="Arial"/>
      <w:sz w:val="18"/>
      <w:szCs w:val="18"/>
      <w:lang w:val="en-GB"/>
    </w:rPr>
  </w:style>
  <w:style w:type="paragraph" w:styleId="Revision">
    <w:name w:val="Revision"/>
    <w:uiPriority w:val="99"/>
    <w:rsid w:val="00AA7EF2"/>
    <w:pPr>
      <w:suppressAutoHyphens/>
    </w:pPr>
    <w:rPr>
      <w:rFonts w:ascii="Calibri" w:eastAsia="Calibri" w:hAnsi="Calibri" w:cs="Calibri"/>
      <w:sz w:val="24"/>
      <w:szCs w:val="24"/>
      <w:lang w:eastAsia="ar-SA"/>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Syle 1,Str"/>
    <w:basedOn w:val="Normal0"/>
    <w:link w:val="ListParagraphChar"/>
    <w:uiPriority w:val="99"/>
    <w:qFormat/>
    <w:rsid w:val="00AA7EF2"/>
    <w:pPr>
      <w:ind w:left="720"/>
    </w:pPr>
  </w:style>
  <w:style w:type="paragraph" w:customStyle="1" w:styleId="teksts">
    <w:name w:val="teksts"/>
    <w:basedOn w:val="Normal0"/>
    <w:rsid w:val="00AA7EF2"/>
    <w:pPr>
      <w:tabs>
        <w:tab w:val="left" w:pos="4820"/>
      </w:tabs>
      <w:spacing w:line="360" w:lineRule="atLeast"/>
    </w:pPr>
    <w:rPr>
      <w:rFonts w:ascii="MSBaltSouvenir" w:eastAsia="Times New Roman" w:hAnsi="MSBaltSouvenir"/>
      <w:sz w:val="22"/>
      <w:lang w:val="en-US"/>
    </w:rPr>
  </w:style>
  <w:style w:type="paragraph" w:styleId="PlainText">
    <w:name w:val="Plain Text"/>
    <w:basedOn w:val="Normal0"/>
    <w:rsid w:val="00AA7EF2"/>
    <w:rPr>
      <w:rFonts w:ascii="Courier New" w:eastAsia="Times New Roman" w:hAnsi="Courier New"/>
      <w:sz w:val="20"/>
      <w:lang w:val="en-US"/>
    </w:rPr>
  </w:style>
  <w:style w:type="paragraph" w:customStyle="1" w:styleId="naisc">
    <w:name w:val="naisc"/>
    <w:basedOn w:val="Normal0"/>
    <w:rsid w:val="00AA7EF2"/>
    <w:pPr>
      <w:spacing w:before="75" w:after="75"/>
      <w:jc w:val="center"/>
    </w:pPr>
    <w:rPr>
      <w:rFonts w:eastAsia="Times New Roman"/>
      <w:szCs w:val="24"/>
    </w:rPr>
  </w:style>
  <w:style w:type="paragraph" w:customStyle="1" w:styleId="RakstzCharRakstzCharRakstzCharCharRakstzCharCharRakstzCharCharRakstz">
    <w:name w:val="Rakstz. Char Rakstz. Char Rakstz. Char Char Rakstz. Char Char Rakstz. Char Char Rakstz."/>
    <w:basedOn w:val="Normal0"/>
    <w:next w:val="BlockText"/>
    <w:rsid w:val="00AA7EF2"/>
    <w:pPr>
      <w:spacing w:before="120" w:after="160" w:line="240" w:lineRule="exact"/>
      <w:ind w:firstLine="720"/>
      <w:jc w:val="both"/>
    </w:pPr>
    <w:rPr>
      <w:rFonts w:ascii="Verdana" w:eastAsia="Times New Roman" w:hAnsi="Verdana"/>
      <w:sz w:val="20"/>
      <w:lang w:val="en-US"/>
    </w:rPr>
  </w:style>
  <w:style w:type="paragraph" w:styleId="BlockText">
    <w:name w:val="Block Text"/>
    <w:basedOn w:val="Normal0"/>
    <w:rsid w:val="00AA7EF2"/>
    <w:pPr>
      <w:spacing w:after="120"/>
      <w:ind w:left="1440" w:right="1440"/>
    </w:pPr>
  </w:style>
  <w:style w:type="paragraph" w:customStyle="1" w:styleId="bullets">
    <w:name w:val="bullets"/>
    <w:basedOn w:val="WW-Default"/>
    <w:next w:val="WW-Default"/>
    <w:rsid w:val="00AA7EF2"/>
    <w:rPr>
      <w:rFonts w:ascii="Arial" w:hAnsi="Arial" w:cs="Arial"/>
      <w:sz w:val="24"/>
      <w:szCs w:val="24"/>
      <w:lang w:val="lv-LV"/>
    </w:rPr>
  </w:style>
  <w:style w:type="paragraph" w:customStyle="1" w:styleId="Bullet">
    <w:name w:val="Bullet"/>
    <w:basedOn w:val="Normal0"/>
    <w:rsid w:val="00AA7EF2"/>
    <w:pPr>
      <w:tabs>
        <w:tab w:val="left" w:pos="1571"/>
      </w:tabs>
      <w:ind w:left="1571" w:hanging="720"/>
    </w:pPr>
    <w:rPr>
      <w:rFonts w:eastAsia="Times New Roman"/>
      <w:szCs w:val="24"/>
    </w:rPr>
  </w:style>
  <w:style w:type="paragraph" w:customStyle="1" w:styleId="1nodalasatteli">
    <w:name w:val="1 nodalas atteli"/>
    <w:basedOn w:val="TOC1"/>
    <w:rsid w:val="00AA7EF2"/>
    <w:pPr>
      <w:tabs>
        <w:tab w:val="left" w:pos="720"/>
      </w:tabs>
    </w:pPr>
  </w:style>
  <w:style w:type="paragraph" w:customStyle="1" w:styleId="Contents10">
    <w:name w:val="Contents 10"/>
    <w:basedOn w:val="Index"/>
    <w:rsid w:val="00AA7EF2"/>
    <w:pPr>
      <w:tabs>
        <w:tab w:val="right" w:leader="dot" w:pos="7090"/>
      </w:tabs>
      <w:ind w:left="2547"/>
    </w:pPr>
  </w:style>
  <w:style w:type="paragraph" w:customStyle="1" w:styleId="Framecontents">
    <w:name w:val="Frame contents"/>
    <w:basedOn w:val="BodyText"/>
    <w:rsid w:val="00AA7EF2"/>
  </w:style>
  <w:style w:type="paragraph" w:customStyle="1" w:styleId="tvhtml">
    <w:name w:val="tv_html"/>
    <w:basedOn w:val="Normal0"/>
    <w:rsid w:val="00CB6970"/>
    <w:pPr>
      <w:suppressAutoHyphens w:val="0"/>
      <w:spacing w:before="100" w:beforeAutospacing="1" w:after="100" w:afterAutospacing="1"/>
    </w:pPr>
    <w:rPr>
      <w:rFonts w:eastAsia="Times New Roman" w:cs="Times New Roman"/>
      <w:szCs w:val="24"/>
      <w:lang w:eastAsia="lv-LV"/>
    </w:rPr>
  </w:style>
  <w:style w:type="paragraph" w:styleId="EndnoteText">
    <w:name w:val="endnote text"/>
    <w:basedOn w:val="Normal0"/>
    <w:link w:val="EndnoteTextChar"/>
    <w:uiPriority w:val="99"/>
    <w:semiHidden/>
    <w:unhideWhenUsed/>
    <w:rsid w:val="004D0228"/>
    <w:rPr>
      <w:rFonts w:cs="Times New Roman"/>
      <w:sz w:val="20"/>
    </w:rPr>
  </w:style>
  <w:style w:type="character" w:customStyle="1" w:styleId="EndnoteTextChar">
    <w:name w:val="Endnote Text Char"/>
    <w:link w:val="EndnoteText"/>
    <w:uiPriority w:val="99"/>
    <w:semiHidden/>
    <w:rsid w:val="004D0228"/>
    <w:rPr>
      <w:rFonts w:eastAsia="Calibri" w:cs="Calibri"/>
      <w:lang w:eastAsia="ar-SA"/>
    </w:rPr>
  </w:style>
  <w:style w:type="table" w:styleId="TableGrid">
    <w:name w:val="Table Grid"/>
    <w:basedOn w:val="TableNormal"/>
    <w:uiPriority w:val="39"/>
    <w:rsid w:val="00972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0"/>
    <w:rsid w:val="00D01250"/>
    <w:pPr>
      <w:suppressAutoHyphens w:val="0"/>
      <w:spacing w:before="100" w:beforeAutospacing="1" w:after="100" w:afterAutospacing="1"/>
    </w:pPr>
    <w:rPr>
      <w:rFonts w:eastAsia="Times New Roman" w:cs="Times New Roman"/>
      <w:szCs w:val="24"/>
      <w:lang w:eastAsia="lv-LV"/>
    </w:rPr>
  </w:style>
  <w:style w:type="paragraph" w:customStyle="1" w:styleId="tv213">
    <w:name w:val="tv213"/>
    <w:basedOn w:val="Normal0"/>
    <w:rsid w:val="00401B7F"/>
    <w:pPr>
      <w:suppressAutoHyphens w:val="0"/>
      <w:spacing w:before="100" w:beforeAutospacing="1" w:after="100" w:afterAutospacing="1"/>
    </w:pPr>
    <w:rPr>
      <w:rFonts w:eastAsia="Times New Roman" w:cs="Times New Roman"/>
      <w:szCs w:val="24"/>
      <w:lang w:eastAsia="lv-LV"/>
    </w:rPr>
  </w:style>
  <w:style w:type="character" w:customStyle="1" w:styleId="apple-converted-space">
    <w:name w:val="apple-converted-space"/>
    <w:rsid w:val="002D1160"/>
  </w:style>
  <w:style w:type="paragraph" w:customStyle="1" w:styleId="prastasis">
    <w:name w:val="Įprastasis"/>
    <w:rsid w:val="00EC6B91"/>
    <w:pPr>
      <w:widowControl w:val="0"/>
      <w:suppressAutoHyphens/>
      <w:autoSpaceDN w:val="0"/>
      <w:textAlignment w:val="baseline"/>
    </w:pPr>
    <w:rPr>
      <w:rFonts w:eastAsia="Arial Unicode MS"/>
      <w:kern w:val="3"/>
      <w:sz w:val="24"/>
      <w:szCs w:val="24"/>
      <w:lang w:eastAsia="zh-CN"/>
    </w:rPr>
  </w:style>
  <w:style w:type="character" w:customStyle="1" w:styleId="Numatytasispastraiposriftas">
    <w:name w:val="Numatytasis pastraipos šriftas"/>
    <w:rsid w:val="00EC6B91"/>
  </w:style>
  <w:style w:type="character" w:customStyle="1" w:styleId="FootnoteTextChar1">
    <w:name w:val="Footnote Text Char1"/>
    <w:link w:val="FootnoteText"/>
    <w:uiPriority w:val="99"/>
    <w:rsid w:val="00DD7080"/>
    <w:rPr>
      <w:rFonts w:eastAsia="Calibri" w:cs="Calibri"/>
      <w:lang w:eastAsia="ar-SA"/>
    </w:rPr>
  </w:style>
  <w:style w:type="paragraph" w:customStyle="1" w:styleId="Pamatteksts1">
    <w:name w:val="Pamatteksts1"/>
    <w:basedOn w:val="Normal0"/>
    <w:rsid w:val="00294C2F"/>
    <w:pPr>
      <w:suppressAutoHyphens w:val="0"/>
      <w:spacing w:line="360" w:lineRule="auto"/>
      <w:ind w:firstLine="720"/>
      <w:jc w:val="both"/>
    </w:pPr>
    <w:rPr>
      <w:rFonts w:eastAsia="Times New Roman" w:cs="Times New Roman"/>
      <w:szCs w:val="24"/>
      <w:lang w:eastAsia="lv-LV"/>
    </w:rPr>
  </w:style>
  <w:style w:type="character" w:styleId="CommentReference">
    <w:name w:val="annotation reference"/>
    <w:uiPriority w:val="99"/>
    <w:semiHidden/>
    <w:unhideWhenUsed/>
    <w:rsid w:val="003A31D7"/>
    <w:rPr>
      <w:sz w:val="16"/>
      <w:szCs w:val="16"/>
    </w:rPr>
  </w:style>
  <w:style w:type="paragraph" w:styleId="CommentSubject">
    <w:name w:val="annotation subject"/>
    <w:basedOn w:val="CommentText"/>
    <w:next w:val="CommentText"/>
    <w:link w:val="CommentSubjectChar"/>
    <w:uiPriority w:val="99"/>
    <w:semiHidden/>
    <w:unhideWhenUsed/>
    <w:rsid w:val="003A31D7"/>
    <w:rPr>
      <w:b/>
      <w:bCs/>
    </w:rPr>
  </w:style>
  <w:style w:type="character" w:customStyle="1" w:styleId="CommentTextChar">
    <w:name w:val="Comment Text Char"/>
    <w:link w:val="CommentText"/>
    <w:uiPriority w:val="99"/>
    <w:rsid w:val="003A31D7"/>
    <w:rPr>
      <w:rFonts w:eastAsia="Calibri" w:cs="Calibri"/>
      <w:lang w:val="en-GB" w:eastAsia="ar-SA"/>
    </w:rPr>
  </w:style>
  <w:style w:type="character" w:customStyle="1" w:styleId="CommentSubjectChar">
    <w:name w:val="Comment Subject Char"/>
    <w:link w:val="CommentSubject"/>
    <w:uiPriority w:val="99"/>
    <w:semiHidden/>
    <w:rsid w:val="003A31D7"/>
    <w:rPr>
      <w:rFonts w:eastAsia="Calibri" w:cs="Calibri"/>
      <w:b/>
      <w:bCs/>
      <w:lang w:val="en-GB" w:eastAsia="ar-SA"/>
    </w:rPr>
  </w:style>
  <w:style w:type="character" w:customStyle="1" w:styleId="TitleChar">
    <w:name w:val="Title Char"/>
    <w:link w:val="Title"/>
    <w:rsid w:val="00FB692C"/>
    <w:rPr>
      <w:rFonts w:eastAsia="Calibri" w:cs="Calibri"/>
      <w:b/>
      <w:bCs/>
      <w:sz w:val="24"/>
      <w:lang w:eastAsia="ar-SA"/>
    </w:rPr>
  </w:style>
  <w:style w:type="character" w:customStyle="1" w:styleId="st">
    <w:name w:val="st"/>
    <w:rsid w:val="00EE3761"/>
  </w:style>
  <w:style w:type="paragraph" w:customStyle="1" w:styleId="Default">
    <w:name w:val="Default"/>
    <w:rsid w:val="00AA0571"/>
    <w:pPr>
      <w:autoSpaceDE w:val="0"/>
      <w:autoSpaceDN w:val="0"/>
      <w:adjustRightInd w:val="0"/>
    </w:pPr>
    <w:rPr>
      <w:color w:val="000000"/>
      <w:sz w:val="24"/>
      <w:szCs w:val="24"/>
      <w:lang w:val="en-GB" w:eastAsia="lv-LV"/>
    </w:rPr>
  </w:style>
  <w:style w:type="character" w:styleId="Emphasis">
    <w:name w:val="Emphasis"/>
    <w:uiPriority w:val="20"/>
    <w:qFormat/>
    <w:rsid w:val="00D50CAE"/>
    <w:rPr>
      <w:i/>
      <w:iCs/>
    </w:rPr>
  </w:style>
  <w:style w:type="paragraph" w:styleId="DocumentMap">
    <w:name w:val="Document Map"/>
    <w:basedOn w:val="Normal0"/>
    <w:link w:val="DocumentMapChar"/>
    <w:uiPriority w:val="99"/>
    <w:semiHidden/>
    <w:unhideWhenUsed/>
    <w:rsid w:val="009E0825"/>
    <w:rPr>
      <w:rFonts w:ascii="Tahoma" w:hAnsi="Tahoma" w:cs="Times New Roman"/>
      <w:sz w:val="16"/>
      <w:szCs w:val="16"/>
    </w:rPr>
  </w:style>
  <w:style w:type="character" w:customStyle="1" w:styleId="DocumentMapChar">
    <w:name w:val="Document Map Char"/>
    <w:link w:val="DocumentMap"/>
    <w:uiPriority w:val="99"/>
    <w:semiHidden/>
    <w:rsid w:val="009E0825"/>
    <w:rPr>
      <w:rFonts w:ascii="Tahoma" w:eastAsia="Calibri" w:hAnsi="Tahoma" w:cs="Tahoma"/>
      <w:sz w:val="16"/>
      <w:szCs w:val="16"/>
      <w:lang w:eastAsia="ar-SA"/>
    </w:rPr>
  </w:style>
  <w:style w:type="character" w:customStyle="1" w:styleId="Neatrisintapieminana1">
    <w:name w:val="Neatrisināta pieminēšana1"/>
    <w:basedOn w:val="DefaultParagraphFont"/>
    <w:uiPriority w:val="99"/>
    <w:semiHidden/>
    <w:unhideWhenUsed/>
    <w:rsid w:val="003B4B08"/>
    <w:rPr>
      <w:color w:val="605E5C"/>
      <w:shd w:val="clear" w:color="auto" w:fill="E1DFDD"/>
    </w:rPr>
  </w:style>
  <w:style w:type="character" w:customStyle="1" w:styleId="Heading2Char1">
    <w:name w:val="Heading 2 Char1"/>
    <w:basedOn w:val="DefaultParagraphFont"/>
    <w:link w:val="Heading2"/>
    <w:rsid w:val="00061443"/>
    <w:rPr>
      <w:rFonts w:asciiTheme="minorHAnsi" w:eastAsia="Calibri" w:hAnsiTheme="minorHAnsi" w:cs="Arial"/>
      <w:b/>
      <w:bCs/>
      <w:i/>
      <w:iCs/>
      <w:sz w:val="28"/>
      <w:szCs w:val="28"/>
      <w:lang w:val="en-GB" w:eastAsia="ar-SA"/>
    </w:rPr>
  </w:style>
  <w:style w:type="character" w:customStyle="1" w:styleId="FooterChar1">
    <w:name w:val="Footer Char1"/>
    <w:basedOn w:val="DefaultParagraphFont"/>
    <w:link w:val="Footer"/>
    <w:uiPriority w:val="99"/>
    <w:rsid w:val="003068AA"/>
    <w:rPr>
      <w:rFonts w:eastAsia="Calibri" w:cs="Calibri"/>
      <w:sz w:val="24"/>
      <w:lang w:val="en-GB" w:eastAsia="ar-SA"/>
    </w:rPr>
  </w:style>
  <w:style w:type="paragraph" w:customStyle="1" w:styleId="Standarts">
    <w:name w:val="Standarts"/>
    <w:basedOn w:val="NoSpacing"/>
    <w:qFormat/>
    <w:rsid w:val="002B5471"/>
    <w:pPr>
      <w:suppressAutoHyphens w:val="0"/>
      <w:spacing w:line="360" w:lineRule="auto"/>
      <w:ind w:firstLine="567"/>
    </w:pPr>
    <w:rPr>
      <w:rFonts w:cs="Times New Roman"/>
      <w:szCs w:val="24"/>
      <w:lang w:eastAsia="en-US"/>
    </w:rPr>
  </w:style>
  <w:style w:type="paragraph" w:styleId="NoSpacing">
    <w:name w:val="No Spacing"/>
    <w:uiPriority w:val="1"/>
    <w:qFormat/>
    <w:rsid w:val="002B5471"/>
    <w:pPr>
      <w:suppressAutoHyphens/>
    </w:pPr>
    <w:rPr>
      <w:rFonts w:eastAsia="Calibri" w:cs="Calibri"/>
      <w:sz w:val="24"/>
      <w:lang w:val="lv-LV" w:eastAsia="ar-SA"/>
    </w:rPr>
  </w:style>
  <w:style w:type="character" w:customStyle="1" w:styleId="UnresolvedMention1">
    <w:name w:val="Unresolved Mention1"/>
    <w:basedOn w:val="DefaultParagraphFont"/>
    <w:uiPriority w:val="99"/>
    <w:semiHidden/>
    <w:unhideWhenUsed/>
    <w:rsid w:val="00BD34EE"/>
    <w:rPr>
      <w:color w:val="605E5C"/>
      <w:shd w:val="clear" w:color="auto" w:fill="E1DFDD"/>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Syle 1 Char"/>
    <w:link w:val="ListParagraph"/>
    <w:uiPriority w:val="99"/>
    <w:qFormat/>
    <w:locked/>
    <w:rsid w:val="00421D36"/>
    <w:rPr>
      <w:rFonts w:eastAsia="Calibri" w:cs="Calibri"/>
      <w:sz w:val="24"/>
      <w:lang w:val="lv-LV" w:eastAsia="ar-SA"/>
    </w:rPr>
  </w:style>
  <w:style w:type="character" w:customStyle="1" w:styleId="A4">
    <w:name w:val="A4"/>
    <w:uiPriority w:val="99"/>
    <w:rsid w:val="00FD0AB2"/>
    <w:rPr>
      <w:rFonts w:cs="Minion Pro"/>
      <w:color w:val="000000"/>
    </w:rPr>
  </w:style>
  <w:style w:type="paragraph" w:customStyle="1" w:styleId="Pa2">
    <w:name w:val="Pa2"/>
    <w:basedOn w:val="Default"/>
    <w:next w:val="Default"/>
    <w:uiPriority w:val="99"/>
    <w:rsid w:val="008E379B"/>
    <w:pPr>
      <w:spacing w:line="221" w:lineRule="atLeast"/>
    </w:pPr>
    <w:rPr>
      <w:rFonts w:ascii="Minion Pro" w:eastAsiaTheme="minorHAnsi" w:hAnsi="Minion Pro" w:cstheme="minorBidi"/>
      <w:color w:val="auto"/>
      <w:lang w:val="en-US" w:eastAsia="en-US"/>
    </w:rPr>
  </w:style>
  <w:style w:type="character" w:customStyle="1" w:styleId="A3">
    <w:name w:val="A3"/>
    <w:uiPriority w:val="99"/>
    <w:rsid w:val="00322CAB"/>
    <w:rPr>
      <w:rFonts w:cs="Minion Pro"/>
      <w:color w:val="000000"/>
    </w:rPr>
  </w:style>
  <w:style w:type="character" w:customStyle="1" w:styleId="Neatrisintapieminana2">
    <w:name w:val="Neatrisināta pieminēšana2"/>
    <w:basedOn w:val="DefaultParagraphFont"/>
    <w:uiPriority w:val="99"/>
    <w:semiHidden/>
    <w:unhideWhenUsed/>
    <w:rsid w:val="007728D2"/>
    <w:rPr>
      <w:color w:val="605E5C"/>
      <w:shd w:val="clear" w:color="auto" w:fill="E1DFDD"/>
    </w:rPr>
  </w:style>
  <w:style w:type="character" w:customStyle="1" w:styleId="A5">
    <w:name w:val="A5"/>
    <w:uiPriority w:val="99"/>
    <w:rsid w:val="006252B7"/>
    <w:rPr>
      <w:rFonts w:cs="Minion Pro"/>
      <w:color w:val="000000"/>
      <w:sz w:val="18"/>
      <w:szCs w:val="18"/>
    </w:rPr>
  </w:style>
  <w:style w:type="character" w:styleId="UnresolvedMention">
    <w:name w:val="Unresolved Mention"/>
    <w:basedOn w:val="DefaultParagraphFont"/>
    <w:uiPriority w:val="99"/>
    <w:semiHidden/>
    <w:unhideWhenUsed/>
    <w:rsid w:val="00875226"/>
    <w:rPr>
      <w:color w:val="605E5C"/>
      <w:shd w:val="clear" w:color="auto" w:fill="E1DFDD"/>
    </w:rPr>
  </w:style>
  <w:style w:type="paragraph" w:customStyle="1" w:styleId="nova-e-listitem">
    <w:name w:val="nova-e-list__item"/>
    <w:basedOn w:val="Normal0"/>
    <w:rsid w:val="00FE07BF"/>
    <w:pPr>
      <w:suppressAutoHyphens w:val="0"/>
      <w:spacing w:before="100" w:beforeAutospacing="1" w:after="100" w:afterAutospacing="1"/>
    </w:pPr>
    <w:rPr>
      <w:rFonts w:eastAsia="Times New Roman" w:cs="Times New Roman"/>
      <w:szCs w:val="24"/>
      <w:lang w:val="en-GB" w:eastAsia="en-GB"/>
    </w:rPr>
  </w:style>
  <w:style w:type="character" w:customStyle="1" w:styleId="HeaderChar">
    <w:name w:val="Header Char"/>
    <w:basedOn w:val="DefaultParagraphFont"/>
    <w:link w:val="Header"/>
    <w:uiPriority w:val="99"/>
    <w:rsid w:val="004A16C7"/>
    <w:rPr>
      <w:rFonts w:asciiTheme="minorHAnsi" w:eastAsia="Calibri" w:hAnsiTheme="minorHAnsi" w:cs="Calibri"/>
      <w:sz w:val="24"/>
      <w:lang w:val="en-GB" w:eastAsia="ar-SA"/>
    </w:rPr>
  </w:style>
  <w:style w:type="character" w:styleId="SubtleReference">
    <w:name w:val="Subtle Reference"/>
    <w:basedOn w:val="DefaultParagraphFont"/>
    <w:uiPriority w:val="31"/>
    <w:qFormat/>
    <w:rsid w:val="0044176C"/>
    <w:rPr>
      <w:rFonts w:ascii="Times New Roman" w:hAnsi="Times New Roman" w:cs="Times New Roman" w:hint="default"/>
      <w:caps w:val="0"/>
      <w:smallCaps w:val="0"/>
      <w:strike w:val="0"/>
      <w:dstrike w:val="0"/>
      <w:vanish w:val="0"/>
      <w:webHidden w:val="0"/>
      <w:color w:val="4A442A" w:themeColor="background2" w:themeShade="40"/>
      <w:sz w:val="20"/>
      <w:u w:val="none"/>
      <w:effect w:val="none"/>
      <w:vertAlign w:val="baseline"/>
      <w:specVanish w:val="0"/>
    </w:rPr>
  </w:style>
  <w:style w:type="character" w:customStyle="1" w:styleId="fontstyle01">
    <w:name w:val="fontstyle01"/>
    <w:basedOn w:val="DefaultParagraphFont"/>
    <w:rsid w:val="005B1718"/>
    <w:rPr>
      <w:rFonts w:ascii="Arial" w:hAnsi="Arial" w:cs="Arial" w:hint="default"/>
      <w:b w:val="0"/>
      <w:bCs w:val="0"/>
      <w:i w:val="0"/>
      <w:iCs w:val="0"/>
      <w:color w:val="000000"/>
      <w:sz w:val="20"/>
      <w:szCs w:val="20"/>
    </w:rPr>
  </w:style>
  <w:style w:type="character" w:customStyle="1" w:styleId="fontstyle21">
    <w:name w:val="fontstyle21"/>
    <w:basedOn w:val="DefaultParagraphFont"/>
    <w:rsid w:val="005B1718"/>
    <w:rPr>
      <w:rFonts w:ascii="Arial+1" w:hAnsi="Arial+1" w:hint="default"/>
      <w:b w:val="0"/>
      <w:bCs w:val="0"/>
      <w:i w:val="0"/>
      <w:iCs w:val="0"/>
      <w:color w:val="000000"/>
      <w:sz w:val="20"/>
      <w:szCs w:val="20"/>
    </w:rPr>
  </w:style>
  <w:style w:type="table" w:styleId="GridTable1Light-Accent5">
    <w:name w:val="Grid Table 1 Light Accent 5"/>
    <w:basedOn w:val="TableNormal"/>
    <w:uiPriority w:val="46"/>
    <w:rsid w:val="00280331"/>
    <w:rPr>
      <w:rFonts w:asciiTheme="minorHAnsi" w:eastAsiaTheme="minorHAnsi" w:hAnsiTheme="minorHAnsi" w:cstheme="minorBidi"/>
      <w:sz w:val="22"/>
      <w:szCs w:val="22"/>
      <w:lang w:val="lv-LV"/>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8033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Quote">
    <w:name w:val="Quote"/>
    <w:basedOn w:val="Normal0"/>
    <w:next w:val="Normal0"/>
    <w:link w:val="QuoteChar"/>
    <w:uiPriority w:val="29"/>
    <w:qFormat/>
    <w:rsid w:val="00D573AA"/>
    <w:pPr>
      <w:suppressAutoHyphens w:val="0"/>
      <w:spacing w:before="200" w:after="160"/>
      <w:ind w:left="864" w:right="864"/>
      <w:jc w:val="center"/>
    </w:pPr>
    <w:rPr>
      <w:rFonts w:ascii="Times New Roman" w:eastAsiaTheme="minorHAnsi" w:hAnsi="Times New Roman" w:cstheme="minorBidi"/>
      <w:i/>
      <w:iCs/>
      <w:color w:val="404040" w:themeColor="text1" w:themeTint="BF"/>
      <w:szCs w:val="22"/>
      <w:lang w:eastAsia="en-US"/>
    </w:rPr>
  </w:style>
  <w:style w:type="character" w:customStyle="1" w:styleId="QuoteChar">
    <w:name w:val="Quote Char"/>
    <w:basedOn w:val="DefaultParagraphFont"/>
    <w:link w:val="Quote"/>
    <w:uiPriority w:val="29"/>
    <w:rsid w:val="00D573AA"/>
    <w:rPr>
      <w:rFonts w:eastAsiaTheme="minorHAnsi" w:cstheme="minorBidi"/>
      <w:i/>
      <w:iCs/>
      <w:color w:val="404040" w:themeColor="text1" w:themeTint="BF"/>
      <w:sz w:val="24"/>
      <w:szCs w:val="22"/>
      <w:lang w:val="lv-LV"/>
    </w:rPr>
  </w:style>
  <w:style w:type="character" w:customStyle="1" w:styleId="acopre">
    <w:name w:val="acopre"/>
    <w:basedOn w:val="DefaultParagraphFont"/>
    <w:rsid w:val="008274C1"/>
  </w:style>
  <w:style w:type="paragraph" w:customStyle="1" w:styleId="NoSpacing1">
    <w:name w:val="No Spacing1"/>
    <w:rsid w:val="00CF5A4B"/>
    <w:rPr>
      <w:rFonts w:ascii="Calibri" w:hAnsi="Calibri"/>
      <w:sz w:val="22"/>
      <w:szCs w:val="22"/>
      <w:lang w:val="lv-LV"/>
    </w:rPr>
  </w:style>
  <w:style w:type="character" w:customStyle="1" w:styleId="normaltextrun">
    <w:name w:val="normaltextrun"/>
    <w:basedOn w:val="DefaultParagraphFont"/>
    <w:rsid w:val="00C12908"/>
  </w:style>
  <w:style w:type="character" w:customStyle="1" w:styleId="jsgrdq">
    <w:name w:val="jsgrdq"/>
    <w:basedOn w:val="DefaultParagraphFont"/>
    <w:rsid w:val="00432C7D"/>
  </w:style>
  <w:style w:type="table" w:styleId="GridTable4-Accent6">
    <w:name w:val="Grid Table 4 Accent 6"/>
    <w:basedOn w:val="TableNormal"/>
    <w:uiPriority w:val="49"/>
    <w:rsid w:val="00432C7D"/>
    <w:rPr>
      <w:rFonts w:asciiTheme="minorHAnsi" w:eastAsiaTheme="minorHAnsi" w:hAnsiTheme="minorHAnsi" w:cstheme="minorBidi"/>
      <w:sz w:val="22"/>
      <w:szCs w:val="22"/>
      <w:lang w:val="en-GB"/>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6">
    <w:name w:val="Grid Table 5 Dark Accent 6"/>
    <w:basedOn w:val="TableNormal"/>
    <w:uiPriority w:val="50"/>
    <w:rsid w:val="00432C7D"/>
    <w:rPr>
      <w:rFonts w:asciiTheme="minorHAnsi" w:eastAsiaTheme="minorHAnsi" w:hAnsiTheme="minorHAnsi" w:cstheme="minorBidi"/>
      <w:sz w:val="22"/>
      <w:szCs w:val="22"/>
      <w:lang w:val="en-GB"/>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Heading4Char">
    <w:name w:val="Heading 4 Char"/>
    <w:basedOn w:val="DefaultParagraphFont"/>
    <w:link w:val="Heading4"/>
    <w:uiPriority w:val="9"/>
    <w:rsid w:val="00732143"/>
    <w:rPr>
      <w:rFonts w:ascii="Calibri" w:eastAsia="Calibri" w:hAnsi="Calibri" w:cs="Calibri"/>
      <w:b/>
      <w:bCs/>
      <w:i/>
      <w:iCs/>
      <w:sz w:val="24"/>
      <w:lang w:val="lv-LV" w:eastAsia="ar-SA"/>
    </w:rPr>
  </w:style>
  <w:style w:type="table" w:styleId="GridTable4-Accent3">
    <w:name w:val="Grid Table 4 Accent 3"/>
    <w:basedOn w:val="TableNormal"/>
    <w:uiPriority w:val="49"/>
    <w:rsid w:val="00F25D8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eatabula1gaia1">
    <w:name w:val="Režģa tabula 1 gaiša1"/>
    <w:basedOn w:val="TableNormal"/>
    <w:next w:val="GridTable1Light"/>
    <w:uiPriority w:val="46"/>
    <w:rsid w:val="00373264"/>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ubtitleChar">
    <w:name w:val="Subtitle Char"/>
    <w:basedOn w:val="DefaultParagraphFont"/>
    <w:link w:val="Subtitle"/>
    <w:rsid w:val="001872F9"/>
    <w:rPr>
      <w:rFonts w:asciiTheme="minorHAnsi" w:eastAsia="Calibri" w:hAnsiTheme="minorHAnsi" w:cs="Calibri"/>
      <w:b/>
      <w:bCs/>
      <w:sz w:val="24"/>
      <w:lang w:val="lv-LV" w:eastAsia="ar-SA"/>
    </w:rPr>
  </w:style>
  <w:style w:type="character" w:customStyle="1" w:styleId="FootnoteTextChar">
    <w:name w:val="Footnote Text Char"/>
    <w:basedOn w:val="DefaultParagraphFont"/>
    <w:link w:val="FootnoteText1"/>
    <w:uiPriority w:val="99"/>
    <w:locked/>
    <w:rsid w:val="00C12C83"/>
    <w:rPr>
      <w:rFonts w:ascii="Calibri" w:eastAsia="Calibri" w:hAnsi="Calibri" w:cs="Calibri"/>
      <w:lang w:val="lv-LV" w:eastAsia="ar-SA"/>
    </w:rPr>
  </w:style>
  <w:style w:type="paragraph" w:customStyle="1" w:styleId="FootnoteText1">
    <w:name w:val="Footnote Text1"/>
    <w:basedOn w:val="Normal0"/>
    <w:next w:val="FootnoteText"/>
    <w:link w:val="FootnoteTextChar"/>
    <w:uiPriority w:val="99"/>
    <w:rsid w:val="00C12C83"/>
    <w:rPr>
      <w:rFonts w:ascii="Calibri" w:hAnsi="Calibri"/>
      <w:sz w:val="20"/>
    </w:rPr>
  </w:style>
  <w:style w:type="character" w:styleId="SubtleEmphasis">
    <w:name w:val="Subtle Emphasis"/>
    <w:basedOn w:val="DefaultParagraphFont"/>
    <w:uiPriority w:val="19"/>
    <w:qFormat/>
    <w:rsid w:val="00C12C83"/>
    <w:rPr>
      <w:i/>
      <w:iCs/>
      <w:color w:val="404040" w:themeColor="text1" w:themeTint="BF"/>
    </w:rPr>
  </w:style>
  <w:style w:type="table" w:customStyle="1" w:styleId="GridTable4-Accent31">
    <w:name w:val="Grid Table 4 - Accent 31"/>
    <w:basedOn w:val="TableNormal"/>
    <w:uiPriority w:val="49"/>
    <w:rsid w:val="00C12C83"/>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Heading5Char">
    <w:name w:val="Heading 5 Char"/>
    <w:basedOn w:val="DefaultParagraphFont"/>
    <w:link w:val="Heading5"/>
    <w:uiPriority w:val="9"/>
    <w:rsid w:val="00A176D9"/>
    <w:rPr>
      <w:rFonts w:asciiTheme="minorHAnsi" w:eastAsia="Calibri" w:hAnsiTheme="minorHAnsi" w:cs="Calibri"/>
      <w:i/>
      <w:iCs/>
      <w:sz w:val="24"/>
      <w:lang w:val="lv-LV" w:eastAsia="ar-SA"/>
    </w:rPr>
  </w:style>
  <w:style w:type="character" w:customStyle="1" w:styleId="Heading6Char">
    <w:name w:val="Heading 6 Char"/>
    <w:basedOn w:val="DefaultParagraphFont"/>
    <w:link w:val="Heading6"/>
    <w:uiPriority w:val="9"/>
    <w:rsid w:val="00A176D9"/>
    <w:rPr>
      <w:rFonts w:asciiTheme="minorHAnsi" w:eastAsia="Calibri" w:hAnsiTheme="minorHAnsi" w:cs="Calibri"/>
      <w:b/>
      <w:bCs/>
      <w:sz w:val="24"/>
      <w:lang w:val="lv-LV" w:eastAsia="ar-SA"/>
    </w:rPr>
  </w:style>
  <w:style w:type="character" w:customStyle="1" w:styleId="Heading7Char">
    <w:name w:val="Heading 7 Char"/>
    <w:basedOn w:val="DefaultParagraphFont"/>
    <w:link w:val="Heading7"/>
    <w:uiPriority w:val="9"/>
    <w:rsid w:val="00A176D9"/>
    <w:rPr>
      <w:rFonts w:asciiTheme="minorHAnsi" w:eastAsia="Calibri" w:hAnsiTheme="minorHAnsi" w:cs="Calibri"/>
      <w:b/>
      <w:bCs/>
      <w:sz w:val="24"/>
      <w:lang w:val="lv-LV" w:eastAsia="ar-SA"/>
    </w:rPr>
  </w:style>
  <w:style w:type="character" w:customStyle="1" w:styleId="Heading8Char">
    <w:name w:val="Heading 8 Char"/>
    <w:basedOn w:val="DefaultParagraphFont"/>
    <w:link w:val="Heading8"/>
    <w:uiPriority w:val="9"/>
    <w:rsid w:val="00A176D9"/>
    <w:rPr>
      <w:rFonts w:asciiTheme="minorHAnsi" w:eastAsia="Calibri" w:hAnsiTheme="minorHAnsi" w:cs="Calibri"/>
      <w:b/>
      <w:bCs/>
      <w:sz w:val="24"/>
      <w:u w:val="single"/>
      <w:lang w:val="lv-LV" w:eastAsia="ar-SA"/>
    </w:rPr>
  </w:style>
  <w:style w:type="character" w:customStyle="1" w:styleId="Heading9Char">
    <w:name w:val="Heading 9 Char"/>
    <w:basedOn w:val="DefaultParagraphFont"/>
    <w:link w:val="Heading9"/>
    <w:uiPriority w:val="9"/>
    <w:rsid w:val="00A176D9"/>
    <w:rPr>
      <w:rFonts w:asciiTheme="minorHAnsi" w:eastAsia="Calibri" w:hAnsiTheme="minorHAnsi" w:cs="Calibri"/>
      <w:sz w:val="24"/>
      <w:u w:val="single"/>
      <w:lang w:val="lv-LV" w:eastAsia="ar-SA"/>
    </w:rPr>
  </w:style>
  <w:style w:type="character" w:customStyle="1" w:styleId="cf01">
    <w:name w:val="cf01"/>
    <w:basedOn w:val="DefaultParagraphFont"/>
    <w:rsid w:val="00A176D9"/>
    <w:rPr>
      <w:rFonts w:ascii="Segoe UI" w:hAnsi="Segoe UI" w:cs="Segoe UI" w:hint="default"/>
      <w:sz w:val="18"/>
      <w:szCs w:val="18"/>
    </w:rPr>
  </w:style>
  <w:style w:type="paragraph" w:customStyle="1" w:styleId="pf0">
    <w:name w:val="pf0"/>
    <w:basedOn w:val="Normal0"/>
    <w:rsid w:val="00A176D9"/>
    <w:pPr>
      <w:suppressAutoHyphens w:val="0"/>
      <w:spacing w:before="100" w:beforeAutospacing="1" w:after="100" w:afterAutospacing="1"/>
    </w:pPr>
    <w:rPr>
      <w:rFonts w:ascii="Times New Roman" w:eastAsia="Times New Roman" w:hAnsi="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272">
      <w:bodyDiv w:val="1"/>
      <w:marLeft w:val="0"/>
      <w:marRight w:val="0"/>
      <w:marTop w:val="0"/>
      <w:marBottom w:val="0"/>
      <w:divBdr>
        <w:top w:val="none" w:sz="0" w:space="0" w:color="auto"/>
        <w:left w:val="none" w:sz="0" w:space="0" w:color="auto"/>
        <w:bottom w:val="none" w:sz="0" w:space="0" w:color="auto"/>
        <w:right w:val="none" w:sz="0" w:space="0" w:color="auto"/>
      </w:divBdr>
    </w:div>
    <w:div w:id="5405823">
      <w:bodyDiv w:val="1"/>
      <w:marLeft w:val="0"/>
      <w:marRight w:val="0"/>
      <w:marTop w:val="0"/>
      <w:marBottom w:val="0"/>
      <w:divBdr>
        <w:top w:val="none" w:sz="0" w:space="0" w:color="auto"/>
        <w:left w:val="none" w:sz="0" w:space="0" w:color="auto"/>
        <w:bottom w:val="none" w:sz="0" w:space="0" w:color="auto"/>
        <w:right w:val="none" w:sz="0" w:space="0" w:color="auto"/>
      </w:divBdr>
    </w:div>
    <w:div w:id="10960283">
      <w:bodyDiv w:val="1"/>
      <w:marLeft w:val="0"/>
      <w:marRight w:val="0"/>
      <w:marTop w:val="0"/>
      <w:marBottom w:val="0"/>
      <w:divBdr>
        <w:top w:val="none" w:sz="0" w:space="0" w:color="auto"/>
        <w:left w:val="none" w:sz="0" w:space="0" w:color="auto"/>
        <w:bottom w:val="none" w:sz="0" w:space="0" w:color="auto"/>
        <w:right w:val="none" w:sz="0" w:space="0" w:color="auto"/>
      </w:divBdr>
    </w:div>
    <w:div w:id="17315642">
      <w:bodyDiv w:val="1"/>
      <w:marLeft w:val="0"/>
      <w:marRight w:val="0"/>
      <w:marTop w:val="0"/>
      <w:marBottom w:val="0"/>
      <w:divBdr>
        <w:top w:val="none" w:sz="0" w:space="0" w:color="auto"/>
        <w:left w:val="none" w:sz="0" w:space="0" w:color="auto"/>
        <w:bottom w:val="none" w:sz="0" w:space="0" w:color="auto"/>
        <w:right w:val="none" w:sz="0" w:space="0" w:color="auto"/>
      </w:divBdr>
    </w:div>
    <w:div w:id="17778268">
      <w:bodyDiv w:val="1"/>
      <w:marLeft w:val="0"/>
      <w:marRight w:val="0"/>
      <w:marTop w:val="0"/>
      <w:marBottom w:val="0"/>
      <w:divBdr>
        <w:top w:val="none" w:sz="0" w:space="0" w:color="auto"/>
        <w:left w:val="none" w:sz="0" w:space="0" w:color="auto"/>
        <w:bottom w:val="none" w:sz="0" w:space="0" w:color="auto"/>
        <w:right w:val="none" w:sz="0" w:space="0" w:color="auto"/>
      </w:divBdr>
    </w:div>
    <w:div w:id="18091776">
      <w:bodyDiv w:val="1"/>
      <w:marLeft w:val="0"/>
      <w:marRight w:val="0"/>
      <w:marTop w:val="0"/>
      <w:marBottom w:val="0"/>
      <w:divBdr>
        <w:top w:val="none" w:sz="0" w:space="0" w:color="auto"/>
        <w:left w:val="none" w:sz="0" w:space="0" w:color="auto"/>
        <w:bottom w:val="none" w:sz="0" w:space="0" w:color="auto"/>
        <w:right w:val="none" w:sz="0" w:space="0" w:color="auto"/>
      </w:divBdr>
    </w:div>
    <w:div w:id="18095377">
      <w:bodyDiv w:val="1"/>
      <w:marLeft w:val="0"/>
      <w:marRight w:val="0"/>
      <w:marTop w:val="0"/>
      <w:marBottom w:val="0"/>
      <w:divBdr>
        <w:top w:val="none" w:sz="0" w:space="0" w:color="auto"/>
        <w:left w:val="none" w:sz="0" w:space="0" w:color="auto"/>
        <w:bottom w:val="none" w:sz="0" w:space="0" w:color="auto"/>
        <w:right w:val="none" w:sz="0" w:space="0" w:color="auto"/>
      </w:divBdr>
    </w:div>
    <w:div w:id="22023692">
      <w:bodyDiv w:val="1"/>
      <w:marLeft w:val="0"/>
      <w:marRight w:val="0"/>
      <w:marTop w:val="0"/>
      <w:marBottom w:val="0"/>
      <w:divBdr>
        <w:top w:val="none" w:sz="0" w:space="0" w:color="auto"/>
        <w:left w:val="none" w:sz="0" w:space="0" w:color="auto"/>
        <w:bottom w:val="none" w:sz="0" w:space="0" w:color="auto"/>
        <w:right w:val="none" w:sz="0" w:space="0" w:color="auto"/>
      </w:divBdr>
    </w:div>
    <w:div w:id="24453649">
      <w:bodyDiv w:val="1"/>
      <w:marLeft w:val="0"/>
      <w:marRight w:val="0"/>
      <w:marTop w:val="0"/>
      <w:marBottom w:val="0"/>
      <w:divBdr>
        <w:top w:val="none" w:sz="0" w:space="0" w:color="auto"/>
        <w:left w:val="none" w:sz="0" w:space="0" w:color="auto"/>
        <w:bottom w:val="none" w:sz="0" w:space="0" w:color="auto"/>
        <w:right w:val="none" w:sz="0" w:space="0" w:color="auto"/>
      </w:divBdr>
    </w:div>
    <w:div w:id="25448825">
      <w:bodyDiv w:val="1"/>
      <w:marLeft w:val="0"/>
      <w:marRight w:val="0"/>
      <w:marTop w:val="0"/>
      <w:marBottom w:val="0"/>
      <w:divBdr>
        <w:top w:val="none" w:sz="0" w:space="0" w:color="auto"/>
        <w:left w:val="none" w:sz="0" w:space="0" w:color="auto"/>
        <w:bottom w:val="none" w:sz="0" w:space="0" w:color="auto"/>
        <w:right w:val="none" w:sz="0" w:space="0" w:color="auto"/>
      </w:divBdr>
    </w:div>
    <w:div w:id="26638442">
      <w:bodyDiv w:val="1"/>
      <w:marLeft w:val="0"/>
      <w:marRight w:val="0"/>
      <w:marTop w:val="0"/>
      <w:marBottom w:val="0"/>
      <w:divBdr>
        <w:top w:val="none" w:sz="0" w:space="0" w:color="auto"/>
        <w:left w:val="none" w:sz="0" w:space="0" w:color="auto"/>
        <w:bottom w:val="none" w:sz="0" w:space="0" w:color="auto"/>
        <w:right w:val="none" w:sz="0" w:space="0" w:color="auto"/>
      </w:divBdr>
    </w:div>
    <w:div w:id="29575253">
      <w:bodyDiv w:val="1"/>
      <w:marLeft w:val="0"/>
      <w:marRight w:val="0"/>
      <w:marTop w:val="0"/>
      <w:marBottom w:val="0"/>
      <w:divBdr>
        <w:top w:val="none" w:sz="0" w:space="0" w:color="auto"/>
        <w:left w:val="none" w:sz="0" w:space="0" w:color="auto"/>
        <w:bottom w:val="none" w:sz="0" w:space="0" w:color="auto"/>
        <w:right w:val="none" w:sz="0" w:space="0" w:color="auto"/>
      </w:divBdr>
    </w:div>
    <w:div w:id="31343222">
      <w:bodyDiv w:val="1"/>
      <w:marLeft w:val="0"/>
      <w:marRight w:val="0"/>
      <w:marTop w:val="0"/>
      <w:marBottom w:val="0"/>
      <w:divBdr>
        <w:top w:val="none" w:sz="0" w:space="0" w:color="auto"/>
        <w:left w:val="none" w:sz="0" w:space="0" w:color="auto"/>
        <w:bottom w:val="none" w:sz="0" w:space="0" w:color="auto"/>
        <w:right w:val="none" w:sz="0" w:space="0" w:color="auto"/>
      </w:divBdr>
    </w:div>
    <w:div w:id="31537064">
      <w:bodyDiv w:val="1"/>
      <w:marLeft w:val="0"/>
      <w:marRight w:val="0"/>
      <w:marTop w:val="0"/>
      <w:marBottom w:val="0"/>
      <w:divBdr>
        <w:top w:val="none" w:sz="0" w:space="0" w:color="auto"/>
        <w:left w:val="none" w:sz="0" w:space="0" w:color="auto"/>
        <w:bottom w:val="none" w:sz="0" w:space="0" w:color="auto"/>
        <w:right w:val="none" w:sz="0" w:space="0" w:color="auto"/>
      </w:divBdr>
    </w:div>
    <w:div w:id="32192978">
      <w:bodyDiv w:val="1"/>
      <w:marLeft w:val="0"/>
      <w:marRight w:val="0"/>
      <w:marTop w:val="0"/>
      <w:marBottom w:val="0"/>
      <w:divBdr>
        <w:top w:val="none" w:sz="0" w:space="0" w:color="auto"/>
        <w:left w:val="none" w:sz="0" w:space="0" w:color="auto"/>
        <w:bottom w:val="none" w:sz="0" w:space="0" w:color="auto"/>
        <w:right w:val="none" w:sz="0" w:space="0" w:color="auto"/>
      </w:divBdr>
    </w:div>
    <w:div w:id="32703238">
      <w:bodyDiv w:val="1"/>
      <w:marLeft w:val="0"/>
      <w:marRight w:val="0"/>
      <w:marTop w:val="0"/>
      <w:marBottom w:val="0"/>
      <w:divBdr>
        <w:top w:val="none" w:sz="0" w:space="0" w:color="auto"/>
        <w:left w:val="none" w:sz="0" w:space="0" w:color="auto"/>
        <w:bottom w:val="none" w:sz="0" w:space="0" w:color="auto"/>
        <w:right w:val="none" w:sz="0" w:space="0" w:color="auto"/>
      </w:divBdr>
    </w:div>
    <w:div w:id="39284439">
      <w:bodyDiv w:val="1"/>
      <w:marLeft w:val="0"/>
      <w:marRight w:val="0"/>
      <w:marTop w:val="0"/>
      <w:marBottom w:val="0"/>
      <w:divBdr>
        <w:top w:val="none" w:sz="0" w:space="0" w:color="auto"/>
        <w:left w:val="none" w:sz="0" w:space="0" w:color="auto"/>
        <w:bottom w:val="none" w:sz="0" w:space="0" w:color="auto"/>
        <w:right w:val="none" w:sz="0" w:space="0" w:color="auto"/>
      </w:divBdr>
    </w:div>
    <w:div w:id="41366939">
      <w:bodyDiv w:val="1"/>
      <w:marLeft w:val="0"/>
      <w:marRight w:val="0"/>
      <w:marTop w:val="0"/>
      <w:marBottom w:val="0"/>
      <w:divBdr>
        <w:top w:val="none" w:sz="0" w:space="0" w:color="auto"/>
        <w:left w:val="none" w:sz="0" w:space="0" w:color="auto"/>
        <w:bottom w:val="none" w:sz="0" w:space="0" w:color="auto"/>
        <w:right w:val="none" w:sz="0" w:space="0" w:color="auto"/>
      </w:divBdr>
    </w:div>
    <w:div w:id="42754833">
      <w:bodyDiv w:val="1"/>
      <w:marLeft w:val="0"/>
      <w:marRight w:val="0"/>
      <w:marTop w:val="0"/>
      <w:marBottom w:val="0"/>
      <w:divBdr>
        <w:top w:val="none" w:sz="0" w:space="0" w:color="auto"/>
        <w:left w:val="none" w:sz="0" w:space="0" w:color="auto"/>
        <w:bottom w:val="none" w:sz="0" w:space="0" w:color="auto"/>
        <w:right w:val="none" w:sz="0" w:space="0" w:color="auto"/>
      </w:divBdr>
    </w:div>
    <w:div w:id="43991553">
      <w:bodyDiv w:val="1"/>
      <w:marLeft w:val="0"/>
      <w:marRight w:val="0"/>
      <w:marTop w:val="0"/>
      <w:marBottom w:val="0"/>
      <w:divBdr>
        <w:top w:val="none" w:sz="0" w:space="0" w:color="auto"/>
        <w:left w:val="none" w:sz="0" w:space="0" w:color="auto"/>
        <w:bottom w:val="none" w:sz="0" w:space="0" w:color="auto"/>
        <w:right w:val="none" w:sz="0" w:space="0" w:color="auto"/>
      </w:divBdr>
    </w:div>
    <w:div w:id="53550308">
      <w:bodyDiv w:val="1"/>
      <w:marLeft w:val="0"/>
      <w:marRight w:val="0"/>
      <w:marTop w:val="0"/>
      <w:marBottom w:val="0"/>
      <w:divBdr>
        <w:top w:val="none" w:sz="0" w:space="0" w:color="auto"/>
        <w:left w:val="none" w:sz="0" w:space="0" w:color="auto"/>
        <w:bottom w:val="none" w:sz="0" w:space="0" w:color="auto"/>
        <w:right w:val="none" w:sz="0" w:space="0" w:color="auto"/>
      </w:divBdr>
    </w:div>
    <w:div w:id="56514920">
      <w:bodyDiv w:val="1"/>
      <w:marLeft w:val="0"/>
      <w:marRight w:val="0"/>
      <w:marTop w:val="0"/>
      <w:marBottom w:val="0"/>
      <w:divBdr>
        <w:top w:val="none" w:sz="0" w:space="0" w:color="auto"/>
        <w:left w:val="none" w:sz="0" w:space="0" w:color="auto"/>
        <w:bottom w:val="none" w:sz="0" w:space="0" w:color="auto"/>
        <w:right w:val="none" w:sz="0" w:space="0" w:color="auto"/>
      </w:divBdr>
    </w:div>
    <w:div w:id="58986199">
      <w:bodyDiv w:val="1"/>
      <w:marLeft w:val="0"/>
      <w:marRight w:val="0"/>
      <w:marTop w:val="0"/>
      <w:marBottom w:val="0"/>
      <w:divBdr>
        <w:top w:val="none" w:sz="0" w:space="0" w:color="auto"/>
        <w:left w:val="none" w:sz="0" w:space="0" w:color="auto"/>
        <w:bottom w:val="none" w:sz="0" w:space="0" w:color="auto"/>
        <w:right w:val="none" w:sz="0" w:space="0" w:color="auto"/>
      </w:divBdr>
    </w:div>
    <w:div w:id="59059069">
      <w:bodyDiv w:val="1"/>
      <w:marLeft w:val="0"/>
      <w:marRight w:val="0"/>
      <w:marTop w:val="0"/>
      <w:marBottom w:val="0"/>
      <w:divBdr>
        <w:top w:val="none" w:sz="0" w:space="0" w:color="auto"/>
        <w:left w:val="none" w:sz="0" w:space="0" w:color="auto"/>
        <w:bottom w:val="none" w:sz="0" w:space="0" w:color="auto"/>
        <w:right w:val="none" w:sz="0" w:space="0" w:color="auto"/>
      </w:divBdr>
    </w:div>
    <w:div w:id="60564259">
      <w:bodyDiv w:val="1"/>
      <w:marLeft w:val="0"/>
      <w:marRight w:val="0"/>
      <w:marTop w:val="0"/>
      <w:marBottom w:val="0"/>
      <w:divBdr>
        <w:top w:val="none" w:sz="0" w:space="0" w:color="auto"/>
        <w:left w:val="none" w:sz="0" w:space="0" w:color="auto"/>
        <w:bottom w:val="none" w:sz="0" w:space="0" w:color="auto"/>
        <w:right w:val="none" w:sz="0" w:space="0" w:color="auto"/>
      </w:divBdr>
    </w:div>
    <w:div w:id="63646911">
      <w:bodyDiv w:val="1"/>
      <w:marLeft w:val="0"/>
      <w:marRight w:val="0"/>
      <w:marTop w:val="0"/>
      <w:marBottom w:val="0"/>
      <w:divBdr>
        <w:top w:val="none" w:sz="0" w:space="0" w:color="auto"/>
        <w:left w:val="none" w:sz="0" w:space="0" w:color="auto"/>
        <w:bottom w:val="none" w:sz="0" w:space="0" w:color="auto"/>
        <w:right w:val="none" w:sz="0" w:space="0" w:color="auto"/>
      </w:divBdr>
    </w:div>
    <w:div w:id="66608987">
      <w:bodyDiv w:val="1"/>
      <w:marLeft w:val="0"/>
      <w:marRight w:val="0"/>
      <w:marTop w:val="0"/>
      <w:marBottom w:val="0"/>
      <w:divBdr>
        <w:top w:val="none" w:sz="0" w:space="0" w:color="auto"/>
        <w:left w:val="none" w:sz="0" w:space="0" w:color="auto"/>
        <w:bottom w:val="none" w:sz="0" w:space="0" w:color="auto"/>
        <w:right w:val="none" w:sz="0" w:space="0" w:color="auto"/>
      </w:divBdr>
    </w:div>
    <w:div w:id="68121568">
      <w:bodyDiv w:val="1"/>
      <w:marLeft w:val="0"/>
      <w:marRight w:val="0"/>
      <w:marTop w:val="0"/>
      <w:marBottom w:val="0"/>
      <w:divBdr>
        <w:top w:val="none" w:sz="0" w:space="0" w:color="auto"/>
        <w:left w:val="none" w:sz="0" w:space="0" w:color="auto"/>
        <w:bottom w:val="none" w:sz="0" w:space="0" w:color="auto"/>
        <w:right w:val="none" w:sz="0" w:space="0" w:color="auto"/>
      </w:divBdr>
    </w:div>
    <w:div w:id="68315257">
      <w:bodyDiv w:val="1"/>
      <w:marLeft w:val="0"/>
      <w:marRight w:val="0"/>
      <w:marTop w:val="0"/>
      <w:marBottom w:val="0"/>
      <w:divBdr>
        <w:top w:val="none" w:sz="0" w:space="0" w:color="auto"/>
        <w:left w:val="none" w:sz="0" w:space="0" w:color="auto"/>
        <w:bottom w:val="none" w:sz="0" w:space="0" w:color="auto"/>
        <w:right w:val="none" w:sz="0" w:space="0" w:color="auto"/>
      </w:divBdr>
    </w:div>
    <w:div w:id="76560349">
      <w:bodyDiv w:val="1"/>
      <w:marLeft w:val="0"/>
      <w:marRight w:val="0"/>
      <w:marTop w:val="0"/>
      <w:marBottom w:val="0"/>
      <w:divBdr>
        <w:top w:val="none" w:sz="0" w:space="0" w:color="auto"/>
        <w:left w:val="none" w:sz="0" w:space="0" w:color="auto"/>
        <w:bottom w:val="none" w:sz="0" w:space="0" w:color="auto"/>
        <w:right w:val="none" w:sz="0" w:space="0" w:color="auto"/>
      </w:divBdr>
    </w:div>
    <w:div w:id="76751242">
      <w:bodyDiv w:val="1"/>
      <w:marLeft w:val="0"/>
      <w:marRight w:val="0"/>
      <w:marTop w:val="0"/>
      <w:marBottom w:val="0"/>
      <w:divBdr>
        <w:top w:val="none" w:sz="0" w:space="0" w:color="auto"/>
        <w:left w:val="none" w:sz="0" w:space="0" w:color="auto"/>
        <w:bottom w:val="none" w:sz="0" w:space="0" w:color="auto"/>
        <w:right w:val="none" w:sz="0" w:space="0" w:color="auto"/>
      </w:divBdr>
      <w:divsChild>
        <w:div w:id="605306263">
          <w:marLeft w:val="0"/>
          <w:marRight w:val="0"/>
          <w:marTop w:val="480"/>
          <w:marBottom w:val="240"/>
          <w:divBdr>
            <w:top w:val="none" w:sz="0" w:space="0" w:color="auto"/>
            <w:left w:val="none" w:sz="0" w:space="0" w:color="auto"/>
            <w:bottom w:val="none" w:sz="0" w:space="0" w:color="auto"/>
            <w:right w:val="none" w:sz="0" w:space="0" w:color="auto"/>
          </w:divBdr>
        </w:div>
        <w:div w:id="1436487538">
          <w:marLeft w:val="0"/>
          <w:marRight w:val="0"/>
          <w:marTop w:val="0"/>
          <w:marBottom w:val="567"/>
          <w:divBdr>
            <w:top w:val="none" w:sz="0" w:space="0" w:color="auto"/>
            <w:left w:val="none" w:sz="0" w:space="0" w:color="auto"/>
            <w:bottom w:val="none" w:sz="0" w:space="0" w:color="auto"/>
            <w:right w:val="none" w:sz="0" w:space="0" w:color="auto"/>
          </w:divBdr>
        </w:div>
      </w:divsChild>
    </w:div>
    <w:div w:id="79062014">
      <w:bodyDiv w:val="1"/>
      <w:marLeft w:val="0"/>
      <w:marRight w:val="0"/>
      <w:marTop w:val="0"/>
      <w:marBottom w:val="0"/>
      <w:divBdr>
        <w:top w:val="none" w:sz="0" w:space="0" w:color="auto"/>
        <w:left w:val="none" w:sz="0" w:space="0" w:color="auto"/>
        <w:bottom w:val="none" w:sz="0" w:space="0" w:color="auto"/>
        <w:right w:val="none" w:sz="0" w:space="0" w:color="auto"/>
      </w:divBdr>
    </w:div>
    <w:div w:id="81610265">
      <w:bodyDiv w:val="1"/>
      <w:marLeft w:val="0"/>
      <w:marRight w:val="0"/>
      <w:marTop w:val="0"/>
      <w:marBottom w:val="0"/>
      <w:divBdr>
        <w:top w:val="none" w:sz="0" w:space="0" w:color="auto"/>
        <w:left w:val="none" w:sz="0" w:space="0" w:color="auto"/>
        <w:bottom w:val="none" w:sz="0" w:space="0" w:color="auto"/>
        <w:right w:val="none" w:sz="0" w:space="0" w:color="auto"/>
      </w:divBdr>
    </w:div>
    <w:div w:id="86191272">
      <w:bodyDiv w:val="1"/>
      <w:marLeft w:val="0"/>
      <w:marRight w:val="0"/>
      <w:marTop w:val="0"/>
      <w:marBottom w:val="0"/>
      <w:divBdr>
        <w:top w:val="none" w:sz="0" w:space="0" w:color="auto"/>
        <w:left w:val="none" w:sz="0" w:space="0" w:color="auto"/>
        <w:bottom w:val="none" w:sz="0" w:space="0" w:color="auto"/>
        <w:right w:val="none" w:sz="0" w:space="0" w:color="auto"/>
      </w:divBdr>
    </w:div>
    <w:div w:id="87309533">
      <w:bodyDiv w:val="1"/>
      <w:marLeft w:val="0"/>
      <w:marRight w:val="0"/>
      <w:marTop w:val="0"/>
      <w:marBottom w:val="0"/>
      <w:divBdr>
        <w:top w:val="none" w:sz="0" w:space="0" w:color="auto"/>
        <w:left w:val="none" w:sz="0" w:space="0" w:color="auto"/>
        <w:bottom w:val="none" w:sz="0" w:space="0" w:color="auto"/>
        <w:right w:val="none" w:sz="0" w:space="0" w:color="auto"/>
      </w:divBdr>
    </w:div>
    <w:div w:id="89815729">
      <w:bodyDiv w:val="1"/>
      <w:marLeft w:val="0"/>
      <w:marRight w:val="0"/>
      <w:marTop w:val="0"/>
      <w:marBottom w:val="0"/>
      <w:divBdr>
        <w:top w:val="none" w:sz="0" w:space="0" w:color="auto"/>
        <w:left w:val="none" w:sz="0" w:space="0" w:color="auto"/>
        <w:bottom w:val="none" w:sz="0" w:space="0" w:color="auto"/>
        <w:right w:val="none" w:sz="0" w:space="0" w:color="auto"/>
      </w:divBdr>
    </w:div>
    <w:div w:id="98335530">
      <w:bodyDiv w:val="1"/>
      <w:marLeft w:val="0"/>
      <w:marRight w:val="0"/>
      <w:marTop w:val="0"/>
      <w:marBottom w:val="0"/>
      <w:divBdr>
        <w:top w:val="none" w:sz="0" w:space="0" w:color="auto"/>
        <w:left w:val="none" w:sz="0" w:space="0" w:color="auto"/>
        <w:bottom w:val="none" w:sz="0" w:space="0" w:color="auto"/>
        <w:right w:val="none" w:sz="0" w:space="0" w:color="auto"/>
      </w:divBdr>
    </w:div>
    <w:div w:id="102850823">
      <w:bodyDiv w:val="1"/>
      <w:marLeft w:val="0"/>
      <w:marRight w:val="0"/>
      <w:marTop w:val="0"/>
      <w:marBottom w:val="0"/>
      <w:divBdr>
        <w:top w:val="none" w:sz="0" w:space="0" w:color="auto"/>
        <w:left w:val="none" w:sz="0" w:space="0" w:color="auto"/>
        <w:bottom w:val="none" w:sz="0" w:space="0" w:color="auto"/>
        <w:right w:val="none" w:sz="0" w:space="0" w:color="auto"/>
      </w:divBdr>
    </w:div>
    <w:div w:id="116604210">
      <w:bodyDiv w:val="1"/>
      <w:marLeft w:val="0"/>
      <w:marRight w:val="0"/>
      <w:marTop w:val="0"/>
      <w:marBottom w:val="0"/>
      <w:divBdr>
        <w:top w:val="none" w:sz="0" w:space="0" w:color="auto"/>
        <w:left w:val="none" w:sz="0" w:space="0" w:color="auto"/>
        <w:bottom w:val="none" w:sz="0" w:space="0" w:color="auto"/>
        <w:right w:val="none" w:sz="0" w:space="0" w:color="auto"/>
      </w:divBdr>
    </w:div>
    <w:div w:id="120537644">
      <w:bodyDiv w:val="1"/>
      <w:marLeft w:val="0"/>
      <w:marRight w:val="0"/>
      <w:marTop w:val="0"/>
      <w:marBottom w:val="0"/>
      <w:divBdr>
        <w:top w:val="none" w:sz="0" w:space="0" w:color="auto"/>
        <w:left w:val="none" w:sz="0" w:space="0" w:color="auto"/>
        <w:bottom w:val="none" w:sz="0" w:space="0" w:color="auto"/>
        <w:right w:val="none" w:sz="0" w:space="0" w:color="auto"/>
      </w:divBdr>
    </w:div>
    <w:div w:id="121963238">
      <w:bodyDiv w:val="1"/>
      <w:marLeft w:val="0"/>
      <w:marRight w:val="0"/>
      <w:marTop w:val="0"/>
      <w:marBottom w:val="0"/>
      <w:divBdr>
        <w:top w:val="none" w:sz="0" w:space="0" w:color="auto"/>
        <w:left w:val="none" w:sz="0" w:space="0" w:color="auto"/>
        <w:bottom w:val="none" w:sz="0" w:space="0" w:color="auto"/>
        <w:right w:val="none" w:sz="0" w:space="0" w:color="auto"/>
      </w:divBdr>
    </w:div>
    <w:div w:id="128939556">
      <w:bodyDiv w:val="1"/>
      <w:marLeft w:val="0"/>
      <w:marRight w:val="0"/>
      <w:marTop w:val="0"/>
      <w:marBottom w:val="0"/>
      <w:divBdr>
        <w:top w:val="none" w:sz="0" w:space="0" w:color="auto"/>
        <w:left w:val="none" w:sz="0" w:space="0" w:color="auto"/>
        <w:bottom w:val="none" w:sz="0" w:space="0" w:color="auto"/>
        <w:right w:val="none" w:sz="0" w:space="0" w:color="auto"/>
      </w:divBdr>
    </w:div>
    <w:div w:id="130053971">
      <w:bodyDiv w:val="1"/>
      <w:marLeft w:val="0"/>
      <w:marRight w:val="0"/>
      <w:marTop w:val="0"/>
      <w:marBottom w:val="0"/>
      <w:divBdr>
        <w:top w:val="none" w:sz="0" w:space="0" w:color="auto"/>
        <w:left w:val="none" w:sz="0" w:space="0" w:color="auto"/>
        <w:bottom w:val="none" w:sz="0" w:space="0" w:color="auto"/>
        <w:right w:val="none" w:sz="0" w:space="0" w:color="auto"/>
      </w:divBdr>
    </w:div>
    <w:div w:id="141195496">
      <w:bodyDiv w:val="1"/>
      <w:marLeft w:val="0"/>
      <w:marRight w:val="0"/>
      <w:marTop w:val="0"/>
      <w:marBottom w:val="0"/>
      <w:divBdr>
        <w:top w:val="none" w:sz="0" w:space="0" w:color="auto"/>
        <w:left w:val="none" w:sz="0" w:space="0" w:color="auto"/>
        <w:bottom w:val="none" w:sz="0" w:space="0" w:color="auto"/>
        <w:right w:val="none" w:sz="0" w:space="0" w:color="auto"/>
      </w:divBdr>
    </w:div>
    <w:div w:id="143812292">
      <w:bodyDiv w:val="1"/>
      <w:marLeft w:val="0"/>
      <w:marRight w:val="0"/>
      <w:marTop w:val="0"/>
      <w:marBottom w:val="0"/>
      <w:divBdr>
        <w:top w:val="none" w:sz="0" w:space="0" w:color="auto"/>
        <w:left w:val="none" w:sz="0" w:space="0" w:color="auto"/>
        <w:bottom w:val="none" w:sz="0" w:space="0" w:color="auto"/>
        <w:right w:val="none" w:sz="0" w:space="0" w:color="auto"/>
      </w:divBdr>
    </w:div>
    <w:div w:id="145320103">
      <w:bodyDiv w:val="1"/>
      <w:marLeft w:val="0"/>
      <w:marRight w:val="0"/>
      <w:marTop w:val="0"/>
      <w:marBottom w:val="0"/>
      <w:divBdr>
        <w:top w:val="none" w:sz="0" w:space="0" w:color="auto"/>
        <w:left w:val="none" w:sz="0" w:space="0" w:color="auto"/>
        <w:bottom w:val="none" w:sz="0" w:space="0" w:color="auto"/>
        <w:right w:val="none" w:sz="0" w:space="0" w:color="auto"/>
      </w:divBdr>
    </w:div>
    <w:div w:id="146480520">
      <w:bodyDiv w:val="1"/>
      <w:marLeft w:val="0"/>
      <w:marRight w:val="0"/>
      <w:marTop w:val="0"/>
      <w:marBottom w:val="0"/>
      <w:divBdr>
        <w:top w:val="none" w:sz="0" w:space="0" w:color="auto"/>
        <w:left w:val="none" w:sz="0" w:space="0" w:color="auto"/>
        <w:bottom w:val="none" w:sz="0" w:space="0" w:color="auto"/>
        <w:right w:val="none" w:sz="0" w:space="0" w:color="auto"/>
      </w:divBdr>
    </w:div>
    <w:div w:id="150682718">
      <w:bodyDiv w:val="1"/>
      <w:marLeft w:val="0"/>
      <w:marRight w:val="0"/>
      <w:marTop w:val="0"/>
      <w:marBottom w:val="0"/>
      <w:divBdr>
        <w:top w:val="none" w:sz="0" w:space="0" w:color="auto"/>
        <w:left w:val="none" w:sz="0" w:space="0" w:color="auto"/>
        <w:bottom w:val="none" w:sz="0" w:space="0" w:color="auto"/>
        <w:right w:val="none" w:sz="0" w:space="0" w:color="auto"/>
      </w:divBdr>
    </w:div>
    <w:div w:id="154734210">
      <w:bodyDiv w:val="1"/>
      <w:marLeft w:val="0"/>
      <w:marRight w:val="0"/>
      <w:marTop w:val="0"/>
      <w:marBottom w:val="0"/>
      <w:divBdr>
        <w:top w:val="none" w:sz="0" w:space="0" w:color="auto"/>
        <w:left w:val="none" w:sz="0" w:space="0" w:color="auto"/>
        <w:bottom w:val="none" w:sz="0" w:space="0" w:color="auto"/>
        <w:right w:val="none" w:sz="0" w:space="0" w:color="auto"/>
      </w:divBdr>
    </w:div>
    <w:div w:id="163403914">
      <w:bodyDiv w:val="1"/>
      <w:marLeft w:val="0"/>
      <w:marRight w:val="0"/>
      <w:marTop w:val="0"/>
      <w:marBottom w:val="0"/>
      <w:divBdr>
        <w:top w:val="none" w:sz="0" w:space="0" w:color="auto"/>
        <w:left w:val="none" w:sz="0" w:space="0" w:color="auto"/>
        <w:bottom w:val="none" w:sz="0" w:space="0" w:color="auto"/>
        <w:right w:val="none" w:sz="0" w:space="0" w:color="auto"/>
      </w:divBdr>
    </w:div>
    <w:div w:id="171989274">
      <w:bodyDiv w:val="1"/>
      <w:marLeft w:val="0"/>
      <w:marRight w:val="0"/>
      <w:marTop w:val="0"/>
      <w:marBottom w:val="0"/>
      <w:divBdr>
        <w:top w:val="none" w:sz="0" w:space="0" w:color="auto"/>
        <w:left w:val="none" w:sz="0" w:space="0" w:color="auto"/>
        <w:bottom w:val="none" w:sz="0" w:space="0" w:color="auto"/>
        <w:right w:val="none" w:sz="0" w:space="0" w:color="auto"/>
      </w:divBdr>
    </w:div>
    <w:div w:id="176970474">
      <w:bodyDiv w:val="1"/>
      <w:marLeft w:val="0"/>
      <w:marRight w:val="0"/>
      <w:marTop w:val="0"/>
      <w:marBottom w:val="0"/>
      <w:divBdr>
        <w:top w:val="none" w:sz="0" w:space="0" w:color="auto"/>
        <w:left w:val="none" w:sz="0" w:space="0" w:color="auto"/>
        <w:bottom w:val="none" w:sz="0" w:space="0" w:color="auto"/>
        <w:right w:val="none" w:sz="0" w:space="0" w:color="auto"/>
      </w:divBdr>
    </w:div>
    <w:div w:id="179784067">
      <w:bodyDiv w:val="1"/>
      <w:marLeft w:val="0"/>
      <w:marRight w:val="0"/>
      <w:marTop w:val="0"/>
      <w:marBottom w:val="0"/>
      <w:divBdr>
        <w:top w:val="none" w:sz="0" w:space="0" w:color="auto"/>
        <w:left w:val="none" w:sz="0" w:space="0" w:color="auto"/>
        <w:bottom w:val="none" w:sz="0" w:space="0" w:color="auto"/>
        <w:right w:val="none" w:sz="0" w:space="0" w:color="auto"/>
      </w:divBdr>
    </w:div>
    <w:div w:id="187916902">
      <w:bodyDiv w:val="1"/>
      <w:marLeft w:val="0"/>
      <w:marRight w:val="0"/>
      <w:marTop w:val="0"/>
      <w:marBottom w:val="0"/>
      <w:divBdr>
        <w:top w:val="none" w:sz="0" w:space="0" w:color="auto"/>
        <w:left w:val="none" w:sz="0" w:space="0" w:color="auto"/>
        <w:bottom w:val="none" w:sz="0" w:space="0" w:color="auto"/>
        <w:right w:val="none" w:sz="0" w:space="0" w:color="auto"/>
      </w:divBdr>
    </w:div>
    <w:div w:id="192571961">
      <w:bodyDiv w:val="1"/>
      <w:marLeft w:val="0"/>
      <w:marRight w:val="0"/>
      <w:marTop w:val="0"/>
      <w:marBottom w:val="0"/>
      <w:divBdr>
        <w:top w:val="none" w:sz="0" w:space="0" w:color="auto"/>
        <w:left w:val="none" w:sz="0" w:space="0" w:color="auto"/>
        <w:bottom w:val="none" w:sz="0" w:space="0" w:color="auto"/>
        <w:right w:val="none" w:sz="0" w:space="0" w:color="auto"/>
      </w:divBdr>
    </w:div>
    <w:div w:id="192891013">
      <w:bodyDiv w:val="1"/>
      <w:marLeft w:val="0"/>
      <w:marRight w:val="0"/>
      <w:marTop w:val="0"/>
      <w:marBottom w:val="0"/>
      <w:divBdr>
        <w:top w:val="none" w:sz="0" w:space="0" w:color="auto"/>
        <w:left w:val="none" w:sz="0" w:space="0" w:color="auto"/>
        <w:bottom w:val="none" w:sz="0" w:space="0" w:color="auto"/>
        <w:right w:val="none" w:sz="0" w:space="0" w:color="auto"/>
      </w:divBdr>
    </w:div>
    <w:div w:id="196740436">
      <w:bodyDiv w:val="1"/>
      <w:marLeft w:val="0"/>
      <w:marRight w:val="0"/>
      <w:marTop w:val="0"/>
      <w:marBottom w:val="0"/>
      <w:divBdr>
        <w:top w:val="none" w:sz="0" w:space="0" w:color="auto"/>
        <w:left w:val="none" w:sz="0" w:space="0" w:color="auto"/>
        <w:bottom w:val="none" w:sz="0" w:space="0" w:color="auto"/>
        <w:right w:val="none" w:sz="0" w:space="0" w:color="auto"/>
      </w:divBdr>
    </w:div>
    <w:div w:id="200630688">
      <w:bodyDiv w:val="1"/>
      <w:marLeft w:val="0"/>
      <w:marRight w:val="0"/>
      <w:marTop w:val="0"/>
      <w:marBottom w:val="0"/>
      <w:divBdr>
        <w:top w:val="none" w:sz="0" w:space="0" w:color="auto"/>
        <w:left w:val="none" w:sz="0" w:space="0" w:color="auto"/>
        <w:bottom w:val="none" w:sz="0" w:space="0" w:color="auto"/>
        <w:right w:val="none" w:sz="0" w:space="0" w:color="auto"/>
      </w:divBdr>
    </w:div>
    <w:div w:id="207106564">
      <w:bodyDiv w:val="1"/>
      <w:marLeft w:val="0"/>
      <w:marRight w:val="0"/>
      <w:marTop w:val="0"/>
      <w:marBottom w:val="0"/>
      <w:divBdr>
        <w:top w:val="none" w:sz="0" w:space="0" w:color="auto"/>
        <w:left w:val="none" w:sz="0" w:space="0" w:color="auto"/>
        <w:bottom w:val="none" w:sz="0" w:space="0" w:color="auto"/>
        <w:right w:val="none" w:sz="0" w:space="0" w:color="auto"/>
      </w:divBdr>
    </w:div>
    <w:div w:id="207953479">
      <w:bodyDiv w:val="1"/>
      <w:marLeft w:val="0"/>
      <w:marRight w:val="0"/>
      <w:marTop w:val="0"/>
      <w:marBottom w:val="0"/>
      <w:divBdr>
        <w:top w:val="none" w:sz="0" w:space="0" w:color="auto"/>
        <w:left w:val="none" w:sz="0" w:space="0" w:color="auto"/>
        <w:bottom w:val="none" w:sz="0" w:space="0" w:color="auto"/>
        <w:right w:val="none" w:sz="0" w:space="0" w:color="auto"/>
      </w:divBdr>
    </w:div>
    <w:div w:id="208343863">
      <w:bodyDiv w:val="1"/>
      <w:marLeft w:val="0"/>
      <w:marRight w:val="0"/>
      <w:marTop w:val="0"/>
      <w:marBottom w:val="0"/>
      <w:divBdr>
        <w:top w:val="none" w:sz="0" w:space="0" w:color="auto"/>
        <w:left w:val="none" w:sz="0" w:space="0" w:color="auto"/>
        <w:bottom w:val="none" w:sz="0" w:space="0" w:color="auto"/>
        <w:right w:val="none" w:sz="0" w:space="0" w:color="auto"/>
      </w:divBdr>
    </w:div>
    <w:div w:id="212232056">
      <w:bodyDiv w:val="1"/>
      <w:marLeft w:val="0"/>
      <w:marRight w:val="0"/>
      <w:marTop w:val="0"/>
      <w:marBottom w:val="0"/>
      <w:divBdr>
        <w:top w:val="none" w:sz="0" w:space="0" w:color="auto"/>
        <w:left w:val="none" w:sz="0" w:space="0" w:color="auto"/>
        <w:bottom w:val="none" w:sz="0" w:space="0" w:color="auto"/>
        <w:right w:val="none" w:sz="0" w:space="0" w:color="auto"/>
      </w:divBdr>
    </w:div>
    <w:div w:id="216747568">
      <w:bodyDiv w:val="1"/>
      <w:marLeft w:val="0"/>
      <w:marRight w:val="0"/>
      <w:marTop w:val="0"/>
      <w:marBottom w:val="0"/>
      <w:divBdr>
        <w:top w:val="none" w:sz="0" w:space="0" w:color="auto"/>
        <w:left w:val="none" w:sz="0" w:space="0" w:color="auto"/>
        <w:bottom w:val="none" w:sz="0" w:space="0" w:color="auto"/>
        <w:right w:val="none" w:sz="0" w:space="0" w:color="auto"/>
      </w:divBdr>
    </w:div>
    <w:div w:id="216935454">
      <w:bodyDiv w:val="1"/>
      <w:marLeft w:val="0"/>
      <w:marRight w:val="0"/>
      <w:marTop w:val="0"/>
      <w:marBottom w:val="0"/>
      <w:divBdr>
        <w:top w:val="none" w:sz="0" w:space="0" w:color="auto"/>
        <w:left w:val="none" w:sz="0" w:space="0" w:color="auto"/>
        <w:bottom w:val="none" w:sz="0" w:space="0" w:color="auto"/>
        <w:right w:val="none" w:sz="0" w:space="0" w:color="auto"/>
      </w:divBdr>
    </w:div>
    <w:div w:id="221914242">
      <w:bodyDiv w:val="1"/>
      <w:marLeft w:val="0"/>
      <w:marRight w:val="0"/>
      <w:marTop w:val="0"/>
      <w:marBottom w:val="0"/>
      <w:divBdr>
        <w:top w:val="none" w:sz="0" w:space="0" w:color="auto"/>
        <w:left w:val="none" w:sz="0" w:space="0" w:color="auto"/>
        <w:bottom w:val="none" w:sz="0" w:space="0" w:color="auto"/>
        <w:right w:val="none" w:sz="0" w:space="0" w:color="auto"/>
      </w:divBdr>
    </w:div>
    <w:div w:id="222176420">
      <w:bodyDiv w:val="1"/>
      <w:marLeft w:val="0"/>
      <w:marRight w:val="0"/>
      <w:marTop w:val="0"/>
      <w:marBottom w:val="0"/>
      <w:divBdr>
        <w:top w:val="none" w:sz="0" w:space="0" w:color="auto"/>
        <w:left w:val="none" w:sz="0" w:space="0" w:color="auto"/>
        <w:bottom w:val="none" w:sz="0" w:space="0" w:color="auto"/>
        <w:right w:val="none" w:sz="0" w:space="0" w:color="auto"/>
      </w:divBdr>
    </w:div>
    <w:div w:id="222915581">
      <w:bodyDiv w:val="1"/>
      <w:marLeft w:val="0"/>
      <w:marRight w:val="0"/>
      <w:marTop w:val="0"/>
      <w:marBottom w:val="0"/>
      <w:divBdr>
        <w:top w:val="none" w:sz="0" w:space="0" w:color="auto"/>
        <w:left w:val="none" w:sz="0" w:space="0" w:color="auto"/>
        <w:bottom w:val="none" w:sz="0" w:space="0" w:color="auto"/>
        <w:right w:val="none" w:sz="0" w:space="0" w:color="auto"/>
      </w:divBdr>
    </w:div>
    <w:div w:id="230621474">
      <w:bodyDiv w:val="1"/>
      <w:marLeft w:val="0"/>
      <w:marRight w:val="0"/>
      <w:marTop w:val="0"/>
      <w:marBottom w:val="0"/>
      <w:divBdr>
        <w:top w:val="none" w:sz="0" w:space="0" w:color="auto"/>
        <w:left w:val="none" w:sz="0" w:space="0" w:color="auto"/>
        <w:bottom w:val="none" w:sz="0" w:space="0" w:color="auto"/>
        <w:right w:val="none" w:sz="0" w:space="0" w:color="auto"/>
      </w:divBdr>
    </w:div>
    <w:div w:id="230653630">
      <w:bodyDiv w:val="1"/>
      <w:marLeft w:val="0"/>
      <w:marRight w:val="0"/>
      <w:marTop w:val="0"/>
      <w:marBottom w:val="0"/>
      <w:divBdr>
        <w:top w:val="none" w:sz="0" w:space="0" w:color="auto"/>
        <w:left w:val="none" w:sz="0" w:space="0" w:color="auto"/>
        <w:bottom w:val="none" w:sz="0" w:space="0" w:color="auto"/>
        <w:right w:val="none" w:sz="0" w:space="0" w:color="auto"/>
      </w:divBdr>
    </w:div>
    <w:div w:id="234125761">
      <w:bodyDiv w:val="1"/>
      <w:marLeft w:val="0"/>
      <w:marRight w:val="0"/>
      <w:marTop w:val="0"/>
      <w:marBottom w:val="0"/>
      <w:divBdr>
        <w:top w:val="none" w:sz="0" w:space="0" w:color="auto"/>
        <w:left w:val="none" w:sz="0" w:space="0" w:color="auto"/>
        <w:bottom w:val="none" w:sz="0" w:space="0" w:color="auto"/>
        <w:right w:val="none" w:sz="0" w:space="0" w:color="auto"/>
      </w:divBdr>
    </w:div>
    <w:div w:id="239488902">
      <w:bodyDiv w:val="1"/>
      <w:marLeft w:val="0"/>
      <w:marRight w:val="0"/>
      <w:marTop w:val="0"/>
      <w:marBottom w:val="0"/>
      <w:divBdr>
        <w:top w:val="none" w:sz="0" w:space="0" w:color="auto"/>
        <w:left w:val="none" w:sz="0" w:space="0" w:color="auto"/>
        <w:bottom w:val="none" w:sz="0" w:space="0" w:color="auto"/>
        <w:right w:val="none" w:sz="0" w:space="0" w:color="auto"/>
      </w:divBdr>
    </w:div>
    <w:div w:id="243993509">
      <w:bodyDiv w:val="1"/>
      <w:marLeft w:val="0"/>
      <w:marRight w:val="0"/>
      <w:marTop w:val="0"/>
      <w:marBottom w:val="0"/>
      <w:divBdr>
        <w:top w:val="none" w:sz="0" w:space="0" w:color="auto"/>
        <w:left w:val="none" w:sz="0" w:space="0" w:color="auto"/>
        <w:bottom w:val="none" w:sz="0" w:space="0" w:color="auto"/>
        <w:right w:val="none" w:sz="0" w:space="0" w:color="auto"/>
      </w:divBdr>
    </w:div>
    <w:div w:id="244190247">
      <w:bodyDiv w:val="1"/>
      <w:marLeft w:val="0"/>
      <w:marRight w:val="0"/>
      <w:marTop w:val="0"/>
      <w:marBottom w:val="0"/>
      <w:divBdr>
        <w:top w:val="none" w:sz="0" w:space="0" w:color="auto"/>
        <w:left w:val="none" w:sz="0" w:space="0" w:color="auto"/>
        <w:bottom w:val="none" w:sz="0" w:space="0" w:color="auto"/>
        <w:right w:val="none" w:sz="0" w:space="0" w:color="auto"/>
      </w:divBdr>
    </w:div>
    <w:div w:id="248200268">
      <w:bodyDiv w:val="1"/>
      <w:marLeft w:val="0"/>
      <w:marRight w:val="0"/>
      <w:marTop w:val="0"/>
      <w:marBottom w:val="0"/>
      <w:divBdr>
        <w:top w:val="none" w:sz="0" w:space="0" w:color="auto"/>
        <w:left w:val="none" w:sz="0" w:space="0" w:color="auto"/>
        <w:bottom w:val="none" w:sz="0" w:space="0" w:color="auto"/>
        <w:right w:val="none" w:sz="0" w:space="0" w:color="auto"/>
      </w:divBdr>
    </w:div>
    <w:div w:id="250896640">
      <w:bodyDiv w:val="1"/>
      <w:marLeft w:val="0"/>
      <w:marRight w:val="0"/>
      <w:marTop w:val="0"/>
      <w:marBottom w:val="0"/>
      <w:divBdr>
        <w:top w:val="none" w:sz="0" w:space="0" w:color="auto"/>
        <w:left w:val="none" w:sz="0" w:space="0" w:color="auto"/>
        <w:bottom w:val="none" w:sz="0" w:space="0" w:color="auto"/>
        <w:right w:val="none" w:sz="0" w:space="0" w:color="auto"/>
      </w:divBdr>
    </w:div>
    <w:div w:id="252671659">
      <w:bodyDiv w:val="1"/>
      <w:marLeft w:val="0"/>
      <w:marRight w:val="0"/>
      <w:marTop w:val="0"/>
      <w:marBottom w:val="0"/>
      <w:divBdr>
        <w:top w:val="none" w:sz="0" w:space="0" w:color="auto"/>
        <w:left w:val="none" w:sz="0" w:space="0" w:color="auto"/>
        <w:bottom w:val="none" w:sz="0" w:space="0" w:color="auto"/>
        <w:right w:val="none" w:sz="0" w:space="0" w:color="auto"/>
      </w:divBdr>
    </w:div>
    <w:div w:id="255410997">
      <w:bodyDiv w:val="1"/>
      <w:marLeft w:val="0"/>
      <w:marRight w:val="0"/>
      <w:marTop w:val="0"/>
      <w:marBottom w:val="0"/>
      <w:divBdr>
        <w:top w:val="none" w:sz="0" w:space="0" w:color="auto"/>
        <w:left w:val="none" w:sz="0" w:space="0" w:color="auto"/>
        <w:bottom w:val="none" w:sz="0" w:space="0" w:color="auto"/>
        <w:right w:val="none" w:sz="0" w:space="0" w:color="auto"/>
      </w:divBdr>
    </w:div>
    <w:div w:id="258215737">
      <w:bodyDiv w:val="1"/>
      <w:marLeft w:val="0"/>
      <w:marRight w:val="0"/>
      <w:marTop w:val="0"/>
      <w:marBottom w:val="0"/>
      <w:divBdr>
        <w:top w:val="none" w:sz="0" w:space="0" w:color="auto"/>
        <w:left w:val="none" w:sz="0" w:space="0" w:color="auto"/>
        <w:bottom w:val="none" w:sz="0" w:space="0" w:color="auto"/>
        <w:right w:val="none" w:sz="0" w:space="0" w:color="auto"/>
      </w:divBdr>
    </w:div>
    <w:div w:id="273829393">
      <w:bodyDiv w:val="1"/>
      <w:marLeft w:val="0"/>
      <w:marRight w:val="0"/>
      <w:marTop w:val="0"/>
      <w:marBottom w:val="0"/>
      <w:divBdr>
        <w:top w:val="none" w:sz="0" w:space="0" w:color="auto"/>
        <w:left w:val="none" w:sz="0" w:space="0" w:color="auto"/>
        <w:bottom w:val="none" w:sz="0" w:space="0" w:color="auto"/>
        <w:right w:val="none" w:sz="0" w:space="0" w:color="auto"/>
      </w:divBdr>
    </w:div>
    <w:div w:id="280920045">
      <w:bodyDiv w:val="1"/>
      <w:marLeft w:val="0"/>
      <w:marRight w:val="0"/>
      <w:marTop w:val="0"/>
      <w:marBottom w:val="0"/>
      <w:divBdr>
        <w:top w:val="none" w:sz="0" w:space="0" w:color="auto"/>
        <w:left w:val="none" w:sz="0" w:space="0" w:color="auto"/>
        <w:bottom w:val="none" w:sz="0" w:space="0" w:color="auto"/>
        <w:right w:val="none" w:sz="0" w:space="0" w:color="auto"/>
      </w:divBdr>
    </w:div>
    <w:div w:id="281805657">
      <w:bodyDiv w:val="1"/>
      <w:marLeft w:val="0"/>
      <w:marRight w:val="0"/>
      <w:marTop w:val="0"/>
      <w:marBottom w:val="0"/>
      <w:divBdr>
        <w:top w:val="none" w:sz="0" w:space="0" w:color="auto"/>
        <w:left w:val="none" w:sz="0" w:space="0" w:color="auto"/>
        <w:bottom w:val="none" w:sz="0" w:space="0" w:color="auto"/>
        <w:right w:val="none" w:sz="0" w:space="0" w:color="auto"/>
      </w:divBdr>
    </w:div>
    <w:div w:id="285821982">
      <w:bodyDiv w:val="1"/>
      <w:marLeft w:val="0"/>
      <w:marRight w:val="0"/>
      <w:marTop w:val="0"/>
      <w:marBottom w:val="0"/>
      <w:divBdr>
        <w:top w:val="none" w:sz="0" w:space="0" w:color="auto"/>
        <w:left w:val="none" w:sz="0" w:space="0" w:color="auto"/>
        <w:bottom w:val="none" w:sz="0" w:space="0" w:color="auto"/>
        <w:right w:val="none" w:sz="0" w:space="0" w:color="auto"/>
      </w:divBdr>
    </w:div>
    <w:div w:id="287593661">
      <w:bodyDiv w:val="1"/>
      <w:marLeft w:val="0"/>
      <w:marRight w:val="0"/>
      <w:marTop w:val="0"/>
      <w:marBottom w:val="0"/>
      <w:divBdr>
        <w:top w:val="none" w:sz="0" w:space="0" w:color="auto"/>
        <w:left w:val="none" w:sz="0" w:space="0" w:color="auto"/>
        <w:bottom w:val="none" w:sz="0" w:space="0" w:color="auto"/>
        <w:right w:val="none" w:sz="0" w:space="0" w:color="auto"/>
      </w:divBdr>
    </w:div>
    <w:div w:id="291638237">
      <w:bodyDiv w:val="1"/>
      <w:marLeft w:val="0"/>
      <w:marRight w:val="0"/>
      <w:marTop w:val="0"/>
      <w:marBottom w:val="0"/>
      <w:divBdr>
        <w:top w:val="none" w:sz="0" w:space="0" w:color="auto"/>
        <w:left w:val="none" w:sz="0" w:space="0" w:color="auto"/>
        <w:bottom w:val="none" w:sz="0" w:space="0" w:color="auto"/>
        <w:right w:val="none" w:sz="0" w:space="0" w:color="auto"/>
      </w:divBdr>
    </w:div>
    <w:div w:id="293872355">
      <w:bodyDiv w:val="1"/>
      <w:marLeft w:val="0"/>
      <w:marRight w:val="0"/>
      <w:marTop w:val="0"/>
      <w:marBottom w:val="0"/>
      <w:divBdr>
        <w:top w:val="none" w:sz="0" w:space="0" w:color="auto"/>
        <w:left w:val="none" w:sz="0" w:space="0" w:color="auto"/>
        <w:bottom w:val="none" w:sz="0" w:space="0" w:color="auto"/>
        <w:right w:val="none" w:sz="0" w:space="0" w:color="auto"/>
      </w:divBdr>
    </w:div>
    <w:div w:id="298539346">
      <w:bodyDiv w:val="1"/>
      <w:marLeft w:val="0"/>
      <w:marRight w:val="0"/>
      <w:marTop w:val="0"/>
      <w:marBottom w:val="0"/>
      <w:divBdr>
        <w:top w:val="none" w:sz="0" w:space="0" w:color="auto"/>
        <w:left w:val="none" w:sz="0" w:space="0" w:color="auto"/>
        <w:bottom w:val="none" w:sz="0" w:space="0" w:color="auto"/>
        <w:right w:val="none" w:sz="0" w:space="0" w:color="auto"/>
      </w:divBdr>
    </w:div>
    <w:div w:id="300233236">
      <w:bodyDiv w:val="1"/>
      <w:marLeft w:val="0"/>
      <w:marRight w:val="0"/>
      <w:marTop w:val="0"/>
      <w:marBottom w:val="0"/>
      <w:divBdr>
        <w:top w:val="none" w:sz="0" w:space="0" w:color="auto"/>
        <w:left w:val="none" w:sz="0" w:space="0" w:color="auto"/>
        <w:bottom w:val="none" w:sz="0" w:space="0" w:color="auto"/>
        <w:right w:val="none" w:sz="0" w:space="0" w:color="auto"/>
      </w:divBdr>
    </w:div>
    <w:div w:id="300811484">
      <w:bodyDiv w:val="1"/>
      <w:marLeft w:val="0"/>
      <w:marRight w:val="0"/>
      <w:marTop w:val="0"/>
      <w:marBottom w:val="0"/>
      <w:divBdr>
        <w:top w:val="none" w:sz="0" w:space="0" w:color="auto"/>
        <w:left w:val="none" w:sz="0" w:space="0" w:color="auto"/>
        <w:bottom w:val="none" w:sz="0" w:space="0" w:color="auto"/>
        <w:right w:val="none" w:sz="0" w:space="0" w:color="auto"/>
      </w:divBdr>
    </w:div>
    <w:div w:id="301425362">
      <w:bodyDiv w:val="1"/>
      <w:marLeft w:val="0"/>
      <w:marRight w:val="0"/>
      <w:marTop w:val="0"/>
      <w:marBottom w:val="0"/>
      <w:divBdr>
        <w:top w:val="none" w:sz="0" w:space="0" w:color="auto"/>
        <w:left w:val="none" w:sz="0" w:space="0" w:color="auto"/>
        <w:bottom w:val="none" w:sz="0" w:space="0" w:color="auto"/>
        <w:right w:val="none" w:sz="0" w:space="0" w:color="auto"/>
      </w:divBdr>
    </w:div>
    <w:div w:id="304360443">
      <w:bodyDiv w:val="1"/>
      <w:marLeft w:val="0"/>
      <w:marRight w:val="0"/>
      <w:marTop w:val="0"/>
      <w:marBottom w:val="0"/>
      <w:divBdr>
        <w:top w:val="none" w:sz="0" w:space="0" w:color="auto"/>
        <w:left w:val="none" w:sz="0" w:space="0" w:color="auto"/>
        <w:bottom w:val="none" w:sz="0" w:space="0" w:color="auto"/>
        <w:right w:val="none" w:sz="0" w:space="0" w:color="auto"/>
      </w:divBdr>
    </w:div>
    <w:div w:id="304969874">
      <w:bodyDiv w:val="1"/>
      <w:marLeft w:val="0"/>
      <w:marRight w:val="0"/>
      <w:marTop w:val="0"/>
      <w:marBottom w:val="0"/>
      <w:divBdr>
        <w:top w:val="none" w:sz="0" w:space="0" w:color="auto"/>
        <w:left w:val="none" w:sz="0" w:space="0" w:color="auto"/>
        <w:bottom w:val="none" w:sz="0" w:space="0" w:color="auto"/>
        <w:right w:val="none" w:sz="0" w:space="0" w:color="auto"/>
      </w:divBdr>
    </w:div>
    <w:div w:id="305594430">
      <w:bodyDiv w:val="1"/>
      <w:marLeft w:val="0"/>
      <w:marRight w:val="0"/>
      <w:marTop w:val="0"/>
      <w:marBottom w:val="0"/>
      <w:divBdr>
        <w:top w:val="none" w:sz="0" w:space="0" w:color="auto"/>
        <w:left w:val="none" w:sz="0" w:space="0" w:color="auto"/>
        <w:bottom w:val="none" w:sz="0" w:space="0" w:color="auto"/>
        <w:right w:val="none" w:sz="0" w:space="0" w:color="auto"/>
      </w:divBdr>
    </w:div>
    <w:div w:id="306862841">
      <w:bodyDiv w:val="1"/>
      <w:marLeft w:val="0"/>
      <w:marRight w:val="0"/>
      <w:marTop w:val="0"/>
      <w:marBottom w:val="0"/>
      <w:divBdr>
        <w:top w:val="none" w:sz="0" w:space="0" w:color="auto"/>
        <w:left w:val="none" w:sz="0" w:space="0" w:color="auto"/>
        <w:bottom w:val="none" w:sz="0" w:space="0" w:color="auto"/>
        <w:right w:val="none" w:sz="0" w:space="0" w:color="auto"/>
      </w:divBdr>
    </w:div>
    <w:div w:id="314261885">
      <w:bodyDiv w:val="1"/>
      <w:marLeft w:val="0"/>
      <w:marRight w:val="0"/>
      <w:marTop w:val="0"/>
      <w:marBottom w:val="0"/>
      <w:divBdr>
        <w:top w:val="none" w:sz="0" w:space="0" w:color="auto"/>
        <w:left w:val="none" w:sz="0" w:space="0" w:color="auto"/>
        <w:bottom w:val="none" w:sz="0" w:space="0" w:color="auto"/>
        <w:right w:val="none" w:sz="0" w:space="0" w:color="auto"/>
      </w:divBdr>
    </w:div>
    <w:div w:id="314459755">
      <w:bodyDiv w:val="1"/>
      <w:marLeft w:val="0"/>
      <w:marRight w:val="0"/>
      <w:marTop w:val="0"/>
      <w:marBottom w:val="0"/>
      <w:divBdr>
        <w:top w:val="none" w:sz="0" w:space="0" w:color="auto"/>
        <w:left w:val="none" w:sz="0" w:space="0" w:color="auto"/>
        <w:bottom w:val="none" w:sz="0" w:space="0" w:color="auto"/>
        <w:right w:val="none" w:sz="0" w:space="0" w:color="auto"/>
      </w:divBdr>
    </w:div>
    <w:div w:id="322048818">
      <w:bodyDiv w:val="1"/>
      <w:marLeft w:val="0"/>
      <w:marRight w:val="0"/>
      <w:marTop w:val="0"/>
      <w:marBottom w:val="0"/>
      <w:divBdr>
        <w:top w:val="none" w:sz="0" w:space="0" w:color="auto"/>
        <w:left w:val="none" w:sz="0" w:space="0" w:color="auto"/>
        <w:bottom w:val="none" w:sz="0" w:space="0" w:color="auto"/>
        <w:right w:val="none" w:sz="0" w:space="0" w:color="auto"/>
      </w:divBdr>
    </w:div>
    <w:div w:id="322440124">
      <w:bodyDiv w:val="1"/>
      <w:marLeft w:val="0"/>
      <w:marRight w:val="0"/>
      <w:marTop w:val="0"/>
      <w:marBottom w:val="0"/>
      <w:divBdr>
        <w:top w:val="none" w:sz="0" w:space="0" w:color="auto"/>
        <w:left w:val="none" w:sz="0" w:space="0" w:color="auto"/>
        <w:bottom w:val="none" w:sz="0" w:space="0" w:color="auto"/>
        <w:right w:val="none" w:sz="0" w:space="0" w:color="auto"/>
      </w:divBdr>
    </w:div>
    <w:div w:id="329716727">
      <w:bodyDiv w:val="1"/>
      <w:marLeft w:val="0"/>
      <w:marRight w:val="0"/>
      <w:marTop w:val="0"/>
      <w:marBottom w:val="0"/>
      <w:divBdr>
        <w:top w:val="none" w:sz="0" w:space="0" w:color="auto"/>
        <w:left w:val="none" w:sz="0" w:space="0" w:color="auto"/>
        <w:bottom w:val="none" w:sz="0" w:space="0" w:color="auto"/>
        <w:right w:val="none" w:sz="0" w:space="0" w:color="auto"/>
      </w:divBdr>
    </w:div>
    <w:div w:id="342241191">
      <w:bodyDiv w:val="1"/>
      <w:marLeft w:val="0"/>
      <w:marRight w:val="0"/>
      <w:marTop w:val="0"/>
      <w:marBottom w:val="0"/>
      <w:divBdr>
        <w:top w:val="none" w:sz="0" w:space="0" w:color="auto"/>
        <w:left w:val="none" w:sz="0" w:space="0" w:color="auto"/>
        <w:bottom w:val="none" w:sz="0" w:space="0" w:color="auto"/>
        <w:right w:val="none" w:sz="0" w:space="0" w:color="auto"/>
      </w:divBdr>
    </w:div>
    <w:div w:id="344403035">
      <w:bodyDiv w:val="1"/>
      <w:marLeft w:val="0"/>
      <w:marRight w:val="0"/>
      <w:marTop w:val="0"/>
      <w:marBottom w:val="0"/>
      <w:divBdr>
        <w:top w:val="none" w:sz="0" w:space="0" w:color="auto"/>
        <w:left w:val="none" w:sz="0" w:space="0" w:color="auto"/>
        <w:bottom w:val="none" w:sz="0" w:space="0" w:color="auto"/>
        <w:right w:val="none" w:sz="0" w:space="0" w:color="auto"/>
      </w:divBdr>
      <w:divsChild>
        <w:div w:id="1681858626">
          <w:marLeft w:val="547"/>
          <w:marRight w:val="0"/>
          <w:marTop w:val="0"/>
          <w:marBottom w:val="0"/>
          <w:divBdr>
            <w:top w:val="none" w:sz="0" w:space="0" w:color="auto"/>
            <w:left w:val="none" w:sz="0" w:space="0" w:color="auto"/>
            <w:bottom w:val="none" w:sz="0" w:space="0" w:color="auto"/>
            <w:right w:val="none" w:sz="0" w:space="0" w:color="auto"/>
          </w:divBdr>
        </w:div>
        <w:div w:id="1996639141">
          <w:marLeft w:val="547"/>
          <w:marRight w:val="0"/>
          <w:marTop w:val="0"/>
          <w:marBottom w:val="0"/>
          <w:divBdr>
            <w:top w:val="none" w:sz="0" w:space="0" w:color="auto"/>
            <w:left w:val="none" w:sz="0" w:space="0" w:color="auto"/>
            <w:bottom w:val="none" w:sz="0" w:space="0" w:color="auto"/>
            <w:right w:val="none" w:sz="0" w:space="0" w:color="auto"/>
          </w:divBdr>
        </w:div>
      </w:divsChild>
    </w:div>
    <w:div w:id="346979300">
      <w:bodyDiv w:val="1"/>
      <w:marLeft w:val="0"/>
      <w:marRight w:val="0"/>
      <w:marTop w:val="0"/>
      <w:marBottom w:val="0"/>
      <w:divBdr>
        <w:top w:val="none" w:sz="0" w:space="0" w:color="auto"/>
        <w:left w:val="none" w:sz="0" w:space="0" w:color="auto"/>
        <w:bottom w:val="none" w:sz="0" w:space="0" w:color="auto"/>
        <w:right w:val="none" w:sz="0" w:space="0" w:color="auto"/>
      </w:divBdr>
    </w:div>
    <w:div w:id="347371158">
      <w:bodyDiv w:val="1"/>
      <w:marLeft w:val="0"/>
      <w:marRight w:val="0"/>
      <w:marTop w:val="0"/>
      <w:marBottom w:val="0"/>
      <w:divBdr>
        <w:top w:val="none" w:sz="0" w:space="0" w:color="auto"/>
        <w:left w:val="none" w:sz="0" w:space="0" w:color="auto"/>
        <w:bottom w:val="none" w:sz="0" w:space="0" w:color="auto"/>
        <w:right w:val="none" w:sz="0" w:space="0" w:color="auto"/>
      </w:divBdr>
    </w:div>
    <w:div w:id="347410823">
      <w:bodyDiv w:val="1"/>
      <w:marLeft w:val="0"/>
      <w:marRight w:val="0"/>
      <w:marTop w:val="0"/>
      <w:marBottom w:val="0"/>
      <w:divBdr>
        <w:top w:val="none" w:sz="0" w:space="0" w:color="auto"/>
        <w:left w:val="none" w:sz="0" w:space="0" w:color="auto"/>
        <w:bottom w:val="none" w:sz="0" w:space="0" w:color="auto"/>
        <w:right w:val="none" w:sz="0" w:space="0" w:color="auto"/>
      </w:divBdr>
    </w:div>
    <w:div w:id="351273172">
      <w:bodyDiv w:val="1"/>
      <w:marLeft w:val="0"/>
      <w:marRight w:val="0"/>
      <w:marTop w:val="0"/>
      <w:marBottom w:val="0"/>
      <w:divBdr>
        <w:top w:val="none" w:sz="0" w:space="0" w:color="auto"/>
        <w:left w:val="none" w:sz="0" w:space="0" w:color="auto"/>
        <w:bottom w:val="none" w:sz="0" w:space="0" w:color="auto"/>
        <w:right w:val="none" w:sz="0" w:space="0" w:color="auto"/>
      </w:divBdr>
    </w:div>
    <w:div w:id="354430906">
      <w:bodyDiv w:val="1"/>
      <w:marLeft w:val="0"/>
      <w:marRight w:val="0"/>
      <w:marTop w:val="0"/>
      <w:marBottom w:val="0"/>
      <w:divBdr>
        <w:top w:val="none" w:sz="0" w:space="0" w:color="auto"/>
        <w:left w:val="none" w:sz="0" w:space="0" w:color="auto"/>
        <w:bottom w:val="none" w:sz="0" w:space="0" w:color="auto"/>
        <w:right w:val="none" w:sz="0" w:space="0" w:color="auto"/>
      </w:divBdr>
    </w:div>
    <w:div w:id="359206913">
      <w:bodyDiv w:val="1"/>
      <w:marLeft w:val="0"/>
      <w:marRight w:val="0"/>
      <w:marTop w:val="0"/>
      <w:marBottom w:val="0"/>
      <w:divBdr>
        <w:top w:val="none" w:sz="0" w:space="0" w:color="auto"/>
        <w:left w:val="none" w:sz="0" w:space="0" w:color="auto"/>
        <w:bottom w:val="none" w:sz="0" w:space="0" w:color="auto"/>
        <w:right w:val="none" w:sz="0" w:space="0" w:color="auto"/>
      </w:divBdr>
    </w:div>
    <w:div w:id="359934976">
      <w:bodyDiv w:val="1"/>
      <w:marLeft w:val="0"/>
      <w:marRight w:val="0"/>
      <w:marTop w:val="0"/>
      <w:marBottom w:val="0"/>
      <w:divBdr>
        <w:top w:val="none" w:sz="0" w:space="0" w:color="auto"/>
        <w:left w:val="none" w:sz="0" w:space="0" w:color="auto"/>
        <w:bottom w:val="none" w:sz="0" w:space="0" w:color="auto"/>
        <w:right w:val="none" w:sz="0" w:space="0" w:color="auto"/>
      </w:divBdr>
    </w:div>
    <w:div w:id="362365866">
      <w:bodyDiv w:val="1"/>
      <w:marLeft w:val="0"/>
      <w:marRight w:val="0"/>
      <w:marTop w:val="0"/>
      <w:marBottom w:val="0"/>
      <w:divBdr>
        <w:top w:val="none" w:sz="0" w:space="0" w:color="auto"/>
        <w:left w:val="none" w:sz="0" w:space="0" w:color="auto"/>
        <w:bottom w:val="none" w:sz="0" w:space="0" w:color="auto"/>
        <w:right w:val="none" w:sz="0" w:space="0" w:color="auto"/>
      </w:divBdr>
    </w:div>
    <w:div w:id="362484034">
      <w:bodyDiv w:val="1"/>
      <w:marLeft w:val="0"/>
      <w:marRight w:val="0"/>
      <w:marTop w:val="0"/>
      <w:marBottom w:val="0"/>
      <w:divBdr>
        <w:top w:val="none" w:sz="0" w:space="0" w:color="auto"/>
        <w:left w:val="none" w:sz="0" w:space="0" w:color="auto"/>
        <w:bottom w:val="none" w:sz="0" w:space="0" w:color="auto"/>
        <w:right w:val="none" w:sz="0" w:space="0" w:color="auto"/>
      </w:divBdr>
    </w:div>
    <w:div w:id="363679445">
      <w:bodyDiv w:val="1"/>
      <w:marLeft w:val="0"/>
      <w:marRight w:val="0"/>
      <w:marTop w:val="0"/>
      <w:marBottom w:val="0"/>
      <w:divBdr>
        <w:top w:val="none" w:sz="0" w:space="0" w:color="auto"/>
        <w:left w:val="none" w:sz="0" w:space="0" w:color="auto"/>
        <w:bottom w:val="none" w:sz="0" w:space="0" w:color="auto"/>
        <w:right w:val="none" w:sz="0" w:space="0" w:color="auto"/>
      </w:divBdr>
    </w:div>
    <w:div w:id="363990413">
      <w:bodyDiv w:val="1"/>
      <w:marLeft w:val="0"/>
      <w:marRight w:val="0"/>
      <w:marTop w:val="0"/>
      <w:marBottom w:val="0"/>
      <w:divBdr>
        <w:top w:val="none" w:sz="0" w:space="0" w:color="auto"/>
        <w:left w:val="none" w:sz="0" w:space="0" w:color="auto"/>
        <w:bottom w:val="none" w:sz="0" w:space="0" w:color="auto"/>
        <w:right w:val="none" w:sz="0" w:space="0" w:color="auto"/>
      </w:divBdr>
    </w:div>
    <w:div w:id="369426576">
      <w:bodyDiv w:val="1"/>
      <w:marLeft w:val="0"/>
      <w:marRight w:val="0"/>
      <w:marTop w:val="0"/>
      <w:marBottom w:val="0"/>
      <w:divBdr>
        <w:top w:val="none" w:sz="0" w:space="0" w:color="auto"/>
        <w:left w:val="none" w:sz="0" w:space="0" w:color="auto"/>
        <w:bottom w:val="none" w:sz="0" w:space="0" w:color="auto"/>
        <w:right w:val="none" w:sz="0" w:space="0" w:color="auto"/>
      </w:divBdr>
    </w:div>
    <w:div w:id="375131056">
      <w:bodyDiv w:val="1"/>
      <w:marLeft w:val="0"/>
      <w:marRight w:val="0"/>
      <w:marTop w:val="0"/>
      <w:marBottom w:val="0"/>
      <w:divBdr>
        <w:top w:val="none" w:sz="0" w:space="0" w:color="auto"/>
        <w:left w:val="none" w:sz="0" w:space="0" w:color="auto"/>
        <w:bottom w:val="none" w:sz="0" w:space="0" w:color="auto"/>
        <w:right w:val="none" w:sz="0" w:space="0" w:color="auto"/>
      </w:divBdr>
    </w:div>
    <w:div w:id="385568166">
      <w:bodyDiv w:val="1"/>
      <w:marLeft w:val="0"/>
      <w:marRight w:val="0"/>
      <w:marTop w:val="0"/>
      <w:marBottom w:val="0"/>
      <w:divBdr>
        <w:top w:val="none" w:sz="0" w:space="0" w:color="auto"/>
        <w:left w:val="none" w:sz="0" w:space="0" w:color="auto"/>
        <w:bottom w:val="none" w:sz="0" w:space="0" w:color="auto"/>
        <w:right w:val="none" w:sz="0" w:space="0" w:color="auto"/>
      </w:divBdr>
    </w:div>
    <w:div w:id="388849237">
      <w:bodyDiv w:val="1"/>
      <w:marLeft w:val="0"/>
      <w:marRight w:val="0"/>
      <w:marTop w:val="0"/>
      <w:marBottom w:val="0"/>
      <w:divBdr>
        <w:top w:val="none" w:sz="0" w:space="0" w:color="auto"/>
        <w:left w:val="none" w:sz="0" w:space="0" w:color="auto"/>
        <w:bottom w:val="none" w:sz="0" w:space="0" w:color="auto"/>
        <w:right w:val="none" w:sz="0" w:space="0" w:color="auto"/>
      </w:divBdr>
    </w:div>
    <w:div w:id="392630778">
      <w:bodyDiv w:val="1"/>
      <w:marLeft w:val="0"/>
      <w:marRight w:val="0"/>
      <w:marTop w:val="0"/>
      <w:marBottom w:val="0"/>
      <w:divBdr>
        <w:top w:val="none" w:sz="0" w:space="0" w:color="auto"/>
        <w:left w:val="none" w:sz="0" w:space="0" w:color="auto"/>
        <w:bottom w:val="none" w:sz="0" w:space="0" w:color="auto"/>
        <w:right w:val="none" w:sz="0" w:space="0" w:color="auto"/>
      </w:divBdr>
    </w:div>
    <w:div w:id="393431327">
      <w:bodyDiv w:val="1"/>
      <w:marLeft w:val="0"/>
      <w:marRight w:val="0"/>
      <w:marTop w:val="0"/>
      <w:marBottom w:val="0"/>
      <w:divBdr>
        <w:top w:val="none" w:sz="0" w:space="0" w:color="auto"/>
        <w:left w:val="none" w:sz="0" w:space="0" w:color="auto"/>
        <w:bottom w:val="none" w:sz="0" w:space="0" w:color="auto"/>
        <w:right w:val="none" w:sz="0" w:space="0" w:color="auto"/>
      </w:divBdr>
    </w:div>
    <w:div w:id="394738399">
      <w:bodyDiv w:val="1"/>
      <w:marLeft w:val="0"/>
      <w:marRight w:val="0"/>
      <w:marTop w:val="0"/>
      <w:marBottom w:val="0"/>
      <w:divBdr>
        <w:top w:val="none" w:sz="0" w:space="0" w:color="auto"/>
        <w:left w:val="none" w:sz="0" w:space="0" w:color="auto"/>
        <w:bottom w:val="none" w:sz="0" w:space="0" w:color="auto"/>
        <w:right w:val="none" w:sz="0" w:space="0" w:color="auto"/>
      </w:divBdr>
    </w:div>
    <w:div w:id="397283939">
      <w:bodyDiv w:val="1"/>
      <w:marLeft w:val="0"/>
      <w:marRight w:val="0"/>
      <w:marTop w:val="0"/>
      <w:marBottom w:val="0"/>
      <w:divBdr>
        <w:top w:val="none" w:sz="0" w:space="0" w:color="auto"/>
        <w:left w:val="none" w:sz="0" w:space="0" w:color="auto"/>
        <w:bottom w:val="none" w:sz="0" w:space="0" w:color="auto"/>
        <w:right w:val="none" w:sz="0" w:space="0" w:color="auto"/>
      </w:divBdr>
    </w:div>
    <w:div w:id="398066443">
      <w:bodyDiv w:val="1"/>
      <w:marLeft w:val="0"/>
      <w:marRight w:val="0"/>
      <w:marTop w:val="0"/>
      <w:marBottom w:val="0"/>
      <w:divBdr>
        <w:top w:val="none" w:sz="0" w:space="0" w:color="auto"/>
        <w:left w:val="none" w:sz="0" w:space="0" w:color="auto"/>
        <w:bottom w:val="none" w:sz="0" w:space="0" w:color="auto"/>
        <w:right w:val="none" w:sz="0" w:space="0" w:color="auto"/>
      </w:divBdr>
    </w:div>
    <w:div w:id="398207854">
      <w:bodyDiv w:val="1"/>
      <w:marLeft w:val="0"/>
      <w:marRight w:val="0"/>
      <w:marTop w:val="0"/>
      <w:marBottom w:val="0"/>
      <w:divBdr>
        <w:top w:val="none" w:sz="0" w:space="0" w:color="auto"/>
        <w:left w:val="none" w:sz="0" w:space="0" w:color="auto"/>
        <w:bottom w:val="none" w:sz="0" w:space="0" w:color="auto"/>
        <w:right w:val="none" w:sz="0" w:space="0" w:color="auto"/>
      </w:divBdr>
    </w:div>
    <w:div w:id="401561231">
      <w:bodyDiv w:val="1"/>
      <w:marLeft w:val="0"/>
      <w:marRight w:val="0"/>
      <w:marTop w:val="0"/>
      <w:marBottom w:val="0"/>
      <w:divBdr>
        <w:top w:val="none" w:sz="0" w:space="0" w:color="auto"/>
        <w:left w:val="none" w:sz="0" w:space="0" w:color="auto"/>
        <w:bottom w:val="none" w:sz="0" w:space="0" w:color="auto"/>
        <w:right w:val="none" w:sz="0" w:space="0" w:color="auto"/>
      </w:divBdr>
    </w:div>
    <w:div w:id="402610299">
      <w:bodyDiv w:val="1"/>
      <w:marLeft w:val="0"/>
      <w:marRight w:val="0"/>
      <w:marTop w:val="0"/>
      <w:marBottom w:val="0"/>
      <w:divBdr>
        <w:top w:val="none" w:sz="0" w:space="0" w:color="auto"/>
        <w:left w:val="none" w:sz="0" w:space="0" w:color="auto"/>
        <w:bottom w:val="none" w:sz="0" w:space="0" w:color="auto"/>
        <w:right w:val="none" w:sz="0" w:space="0" w:color="auto"/>
      </w:divBdr>
    </w:div>
    <w:div w:id="402718898">
      <w:bodyDiv w:val="1"/>
      <w:marLeft w:val="0"/>
      <w:marRight w:val="0"/>
      <w:marTop w:val="0"/>
      <w:marBottom w:val="0"/>
      <w:divBdr>
        <w:top w:val="none" w:sz="0" w:space="0" w:color="auto"/>
        <w:left w:val="none" w:sz="0" w:space="0" w:color="auto"/>
        <w:bottom w:val="none" w:sz="0" w:space="0" w:color="auto"/>
        <w:right w:val="none" w:sz="0" w:space="0" w:color="auto"/>
      </w:divBdr>
    </w:div>
    <w:div w:id="405616152">
      <w:bodyDiv w:val="1"/>
      <w:marLeft w:val="0"/>
      <w:marRight w:val="0"/>
      <w:marTop w:val="0"/>
      <w:marBottom w:val="0"/>
      <w:divBdr>
        <w:top w:val="none" w:sz="0" w:space="0" w:color="auto"/>
        <w:left w:val="none" w:sz="0" w:space="0" w:color="auto"/>
        <w:bottom w:val="none" w:sz="0" w:space="0" w:color="auto"/>
        <w:right w:val="none" w:sz="0" w:space="0" w:color="auto"/>
      </w:divBdr>
    </w:div>
    <w:div w:id="406389852">
      <w:bodyDiv w:val="1"/>
      <w:marLeft w:val="0"/>
      <w:marRight w:val="0"/>
      <w:marTop w:val="0"/>
      <w:marBottom w:val="0"/>
      <w:divBdr>
        <w:top w:val="none" w:sz="0" w:space="0" w:color="auto"/>
        <w:left w:val="none" w:sz="0" w:space="0" w:color="auto"/>
        <w:bottom w:val="none" w:sz="0" w:space="0" w:color="auto"/>
        <w:right w:val="none" w:sz="0" w:space="0" w:color="auto"/>
      </w:divBdr>
    </w:div>
    <w:div w:id="409469876">
      <w:bodyDiv w:val="1"/>
      <w:marLeft w:val="0"/>
      <w:marRight w:val="0"/>
      <w:marTop w:val="0"/>
      <w:marBottom w:val="0"/>
      <w:divBdr>
        <w:top w:val="none" w:sz="0" w:space="0" w:color="auto"/>
        <w:left w:val="none" w:sz="0" w:space="0" w:color="auto"/>
        <w:bottom w:val="none" w:sz="0" w:space="0" w:color="auto"/>
        <w:right w:val="none" w:sz="0" w:space="0" w:color="auto"/>
      </w:divBdr>
    </w:div>
    <w:div w:id="410351263">
      <w:bodyDiv w:val="1"/>
      <w:marLeft w:val="0"/>
      <w:marRight w:val="0"/>
      <w:marTop w:val="0"/>
      <w:marBottom w:val="0"/>
      <w:divBdr>
        <w:top w:val="none" w:sz="0" w:space="0" w:color="auto"/>
        <w:left w:val="none" w:sz="0" w:space="0" w:color="auto"/>
        <w:bottom w:val="none" w:sz="0" w:space="0" w:color="auto"/>
        <w:right w:val="none" w:sz="0" w:space="0" w:color="auto"/>
      </w:divBdr>
    </w:div>
    <w:div w:id="410662988">
      <w:bodyDiv w:val="1"/>
      <w:marLeft w:val="0"/>
      <w:marRight w:val="0"/>
      <w:marTop w:val="0"/>
      <w:marBottom w:val="0"/>
      <w:divBdr>
        <w:top w:val="none" w:sz="0" w:space="0" w:color="auto"/>
        <w:left w:val="none" w:sz="0" w:space="0" w:color="auto"/>
        <w:bottom w:val="none" w:sz="0" w:space="0" w:color="auto"/>
        <w:right w:val="none" w:sz="0" w:space="0" w:color="auto"/>
      </w:divBdr>
    </w:div>
    <w:div w:id="426274157">
      <w:bodyDiv w:val="1"/>
      <w:marLeft w:val="0"/>
      <w:marRight w:val="0"/>
      <w:marTop w:val="0"/>
      <w:marBottom w:val="0"/>
      <w:divBdr>
        <w:top w:val="none" w:sz="0" w:space="0" w:color="auto"/>
        <w:left w:val="none" w:sz="0" w:space="0" w:color="auto"/>
        <w:bottom w:val="none" w:sz="0" w:space="0" w:color="auto"/>
        <w:right w:val="none" w:sz="0" w:space="0" w:color="auto"/>
      </w:divBdr>
    </w:div>
    <w:div w:id="430123798">
      <w:bodyDiv w:val="1"/>
      <w:marLeft w:val="0"/>
      <w:marRight w:val="0"/>
      <w:marTop w:val="0"/>
      <w:marBottom w:val="0"/>
      <w:divBdr>
        <w:top w:val="none" w:sz="0" w:space="0" w:color="auto"/>
        <w:left w:val="none" w:sz="0" w:space="0" w:color="auto"/>
        <w:bottom w:val="none" w:sz="0" w:space="0" w:color="auto"/>
        <w:right w:val="none" w:sz="0" w:space="0" w:color="auto"/>
      </w:divBdr>
    </w:div>
    <w:div w:id="434132204">
      <w:bodyDiv w:val="1"/>
      <w:marLeft w:val="0"/>
      <w:marRight w:val="0"/>
      <w:marTop w:val="0"/>
      <w:marBottom w:val="0"/>
      <w:divBdr>
        <w:top w:val="none" w:sz="0" w:space="0" w:color="auto"/>
        <w:left w:val="none" w:sz="0" w:space="0" w:color="auto"/>
        <w:bottom w:val="none" w:sz="0" w:space="0" w:color="auto"/>
        <w:right w:val="none" w:sz="0" w:space="0" w:color="auto"/>
      </w:divBdr>
    </w:div>
    <w:div w:id="434833042">
      <w:bodyDiv w:val="1"/>
      <w:marLeft w:val="0"/>
      <w:marRight w:val="0"/>
      <w:marTop w:val="0"/>
      <w:marBottom w:val="0"/>
      <w:divBdr>
        <w:top w:val="none" w:sz="0" w:space="0" w:color="auto"/>
        <w:left w:val="none" w:sz="0" w:space="0" w:color="auto"/>
        <w:bottom w:val="none" w:sz="0" w:space="0" w:color="auto"/>
        <w:right w:val="none" w:sz="0" w:space="0" w:color="auto"/>
      </w:divBdr>
    </w:div>
    <w:div w:id="437261950">
      <w:bodyDiv w:val="1"/>
      <w:marLeft w:val="0"/>
      <w:marRight w:val="0"/>
      <w:marTop w:val="0"/>
      <w:marBottom w:val="0"/>
      <w:divBdr>
        <w:top w:val="none" w:sz="0" w:space="0" w:color="auto"/>
        <w:left w:val="none" w:sz="0" w:space="0" w:color="auto"/>
        <w:bottom w:val="none" w:sz="0" w:space="0" w:color="auto"/>
        <w:right w:val="none" w:sz="0" w:space="0" w:color="auto"/>
      </w:divBdr>
      <w:divsChild>
        <w:div w:id="146556290">
          <w:marLeft w:val="0"/>
          <w:marRight w:val="0"/>
          <w:marTop w:val="0"/>
          <w:marBottom w:val="0"/>
          <w:divBdr>
            <w:top w:val="none" w:sz="0" w:space="0" w:color="auto"/>
            <w:left w:val="none" w:sz="0" w:space="0" w:color="auto"/>
            <w:bottom w:val="none" w:sz="0" w:space="0" w:color="auto"/>
            <w:right w:val="none" w:sz="0" w:space="0" w:color="auto"/>
          </w:divBdr>
        </w:div>
        <w:div w:id="263536702">
          <w:marLeft w:val="0"/>
          <w:marRight w:val="0"/>
          <w:marTop w:val="0"/>
          <w:marBottom w:val="0"/>
          <w:divBdr>
            <w:top w:val="none" w:sz="0" w:space="0" w:color="auto"/>
            <w:left w:val="none" w:sz="0" w:space="0" w:color="auto"/>
            <w:bottom w:val="none" w:sz="0" w:space="0" w:color="auto"/>
            <w:right w:val="none" w:sz="0" w:space="0" w:color="auto"/>
          </w:divBdr>
        </w:div>
        <w:div w:id="391777031">
          <w:marLeft w:val="0"/>
          <w:marRight w:val="0"/>
          <w:marTop w:val="0"/>
          <w:marBottom w:val="0"/>
          <w:divBdr>
            <w:top w:val="none" w:sz="0" w:space="0" w:color="auto"/>
            <w:left w:val="none" w:sz="0" w:space="0" w:color="auto"/>
            <w:bottom w:val="none" w:sz="0" w:space="0" w:color="auto"/>
            <w:right w:val="none" w:sz="0" w:space="0" w:color="auto"/>
          </w:divBdr>
        </w:div>
        <w:div w:id="720403574">
          <w:marLeft w:val="0"/>
          <w:marRight w:val="0"/>
          <w:marTop w:val="0"/>
          <w:marBottom w:val="0"/>
          <w:divBdr>
            <w:top w:val="none" w:sz="0" w:space="0" w:color="auto"/>
            <w:left w:val="none" w:sz="0" w:space="0" w:color="auto"/>
            <w:bottom w:val="none" w:sz="0" w:space="0" w:color="auto"/>
            <w:right w:val="none" w:sz="0" w:space="0" w:color="auto"/>
          </w:divBdr>
        </w:div>
        <w:div w:id="1770659669">
          <w:marLeft w:val="0"/>
          <w:marRight w:val="0"/>
          <w:marTop w:val="0"/>
          <w:marBottom w:val="0"/>
          <w:divBdr>
            <w:top w:val="none" w:sz="0" w:space="0" w:color="auto"/>
            <w:left w:val="none" w:sz="0" w:space="0" w:color="auto"/>
            <w:bottom w:val="none" w:sz="0" w:space="0" w:color="auto"/>
            <w:right w:val="none" w:sz="0" w:space="0" w:color="auto"/>
          </w:divBdr>
        </w:div>
      </w:divsChild>
    </w:div>
    <w:div w:id="444693891">
      <w:bodyDiv w:val="1"/>
      <w:marLeft w:val="0"/>
      <w:marRight w:val="0"/>
      <w:marTop w:val="0"/>
      <w:marBottom w:val="0"/>
      <w:divBdr>
        <w:top w:val="none" w:sz="0" w:space="0" w:color="auto"/>
        <w:left w:val="none" w:sz="0" w:space="0" w:color="auto"/>
        <w:bottom w:val="none" w:sz="0" w:space="0" w:color="auto"/>
        <w:right w:val="none" w:sz="0" w:space="0" w:color="auto"/>
      </w:divBdr>
    </w:div>
    <w:div w:id="453252623">
      <w:bodyDiv w:val="1"/>
      <w:marLeft w:val="0"/>
      <w:marRight w:val="0"/>
      <w:marTop w:val="0"/>
      <w:marBottom w:val="0"/>
      <w:divBdr>
        <w:top w:val="none" w:sz="0" w:space="0" w:color="auto"/>
        <w:left w:val="none" w:sz="0" w:space="0" w:color="auto"/>
        <w:bottom w:val="none" w:sz="0" w:space="0" w:color="auto"/>
        <w:right w:val="none" w:sz="0" w:space="0" w:color="auto"/>
      </w:divBdr>
    </w:div>
    <w:div w:id="454837985">
      <w:bodyDiv w:val="1"/>
      <w:marLeft w:val="0"/>
      <w:marRight w:val="0"/>
      <w:marTop w:val="0"/>
      <w:marBottom w:val="0"/>
      <w:divBdr>
        <w:top w:val="none" w:sz="0" w:space="0" w:color="auto"/>
        <w:left w:val="none" w:sz="0" w:space="0" w:color="auto"/>
        <w:bottom w:val="none" w:sz="0" w:space="0" w:color="auto"/>
        <w:right w:val="none" w:sz="0" w:space="0" w:color="auto"/>
      </w:divBdr>
    </w:div>
    <w:div w:id="458455272">
      <w:bodyDiv w:val="1"/>
      <w:marLeft w:val="0"/>
      <w:marRight w:val="0"/>
      <w:marTop w:val="0"/>
      <w:marBottom w:val="0"/>
      <w:divBdr>
        <w:top w:val="none" w:sz="0" w:space="0" w:color="auto"/>
        <w:left w:val="none" w:sz="0" w:space="0" w:color="auto"/>
        <w:bottom w:val="none" w:sz="0" w:space="0" w:color="auto"/>
        <w:right w:val="none" w:sz="0" w:space="0" w:color="auto"/>
      </w:divBdr>
    </w:div>
    <w:div w:id="459568368">
      <w:bodyDiv w:val="1"/>
      <w:marLeft w:val="0"/>
      <w:marRight w:val="0"/>
      <w:marTop w:val="0"/>
      <w:marBottom w:val="0"/>
      <w:divBdr>
        <w:top w:val="none" w:sz="0" w:space="0" w:color="auto"/>
        <w:left w:val="none" w:sz="0" w:space="0" w:color="auto"/>
        <w:bottom w:val="none" w:sz="0" w:space="0" w:color="auto"/>
        <w:right w:val="none" w:sz="0" w:space="0" w:color="auto"/>
      </w:divBdr>
    </w:div>
    <w:div w:id="461506407">
      <w:bodyDiv w:val="1"/>
      <w:marLeft w:val="0"/>
      <w:marRight w:val="0"/>
      <w:marTop w:val="0"/>
      <w:marBottom w:val="0"/>
      <w:divBdr>
        <w:top w:val="none" w:sz="0" w:space="0" w:color="auto"/>
        <w:left w:val="none" w:sz="0" w:space="0" w:color="auto"/>
        <w:bottom w:val="none" w:sz="0" w:space="0" w:color="auto"/>
        <w:right w:val="none" w:sz="0" w:space="0" w:color="auto"/>
      </w:divBdr>
    </w:div>
    <w:div w:id="463037160">
      <w:bodyDiv w:val="1"/>
      <w:marLeft w:val="0"/>
      <w:marRight w:val="0"/>
      <w:marTop w:val="0"/>
      <w:marBottom w:val="0"/>
      <w:divBdr>
        <w:top w:val="none" w:sz="0" w:space="0" w:color="auto"/>
        <w:left w:val="none" w:sz="0" w:space="0" w:color="auto"/>
        <w:bottom w:val="none" w:sz="0" w:space="0" w:color="auto"/>
        <w:right w:val="none" w:sz="0" w:space="0" w:color="auto"/>
      </w:divBdr>
    </w:div>
    <w:div w:id="466821417">
      <w:bodyDiv w:val="1"/>
      <w:marLeft w:val="0"/>
      <w:marRight w:val="0"/>
      <w:marTop w:val="0"/>
      <w:marBottom w:val="0"/>
      <w:divBdr>
        <w:top w:val="none" w:sz="0" w:space="0" w:color="auto"/>
        <w:left w:val="none" w:sz="0" w:space="0" w:color="auto"/>
        <w:bottom w:val="none" w:sz="0" w:space="0" w:color="auto"/>
        <w:right w:val="none" w:sz="0" w:space="0" w:color="auto"/>
      </w:divBdr>
    </w:div>
    <w:div w:id="480653829">
      <w:bodyDiv w:val="1"/>
      <w:marLeft w:val="0"/>
      <w:marRight w:val="0"/>
      <w:marTop w:val="0"/>
      <w:marBottom w:val="0"/>
      <w:divBdr>
        <w:top w:val="none" w:sz="0" w:space="0" w:color="auto"/>
        <w:left w:val="none" w:sz="0" w:space="0" w:color="auto"/>
        <w:bottom w:val="none" w:sz="0" w:space="0" w:color="auto"/>
        <w:right w:val="none" w:sz="0" w:space="0" w:color="auto"/>
      </w:divBdr>
    </w:div>
    <w:div w:id="483199821">
      <w:bodyDiv w:val="1"/>
      <w:marLeft w:val="0"/>
      <w:marRight w:val="0"/>
      <w:marTop w:val="0"/>
      <w:marBottom w:val="0"/>
      <w:divBdr>
        <w:top w:val="none" w:sz="0" w:space="0" w:color="auto"/>
        <w:left w:val="none" w:sz="0" w:space="0" w:color="auto"/>
        <w:bottom w:val="none" w:sz="0" w:space="0" w:color="auto"/>
        <w:right w:val="none" w:sz="0" w:space="0" w:color="auto"/>
      </w:divBdr>
    </w:div>
    <w:div w:id="494420873">
      <w:bodyDiv w:val="1"/>
      <w:marLeft w:val="0"/>
      <w:marRight w:val="0"/>
      <w:marTop w:val="0"/>
      <w:marBottom w:val="0"/>
      <w:divBdr>
        <w:top w:val="none" w:sz="0" w:space="0" w:color="auto"/>
        <w:left w:val="none" w:sz="0" w:space="0" w:color="auto"/>
        <w:bottom w:val="none" w:sz="0" w:space="0" w:color="auto"/>
        <w:right w:val="none" w:sz="0" w:space="0" w:color="auto"/>
      </w:divBdr>
    </w:div>
    <w:div w:id="495414818">
      <w:bodyDiv w:val="1"/>
      <w:marLeft w:val="0"/>
      <w:marRight w:val="0"/>
      <w:marTop w:val="0"/>
      <w:marBottom w:val="0"/>
      <w:divBdr>
        <w:top w:val="none" w:sz="0" w:space="0" w:color="auto"/>
        <w:left w:val="none" w:sz="0" w:space="0" w:color="auto"/>
        <w:bottom w:val="none" w:sz="0" w:space="0" w:color="auto"/>
        <w:right w:val="none" w:sz="0" w:space="0" w:color="auto"/>
      </w:divBdr>
    </w:div>
    <w:div w:id="503473057">
      <w:bodyDiv w:val="1"/>
      <w:marLeft w:val="0"/>
      <w:marRight w:val="0"/>
      <w:marTop w:val="0"/>
      <w:marBottom w:val="0"/>
      <w:divBdr>
        <w:top w:val="none" w:sz="0" w:space="0" w:color="auto"/>
        <w:left w:val="none" w:sz="0" w:space="0" w:color="auto"/>
        <w:bottom w:val="none" w:sz="0" w:space="0" w:color="auto"/>
        <w:right w:val="none" w:sz="0" w:space="0" w:color="auto"/>
      </w:divBdr>
    </w:div>
    <w:div w:id="504132731">
      <w:bodyDiv w:val="1"/>
      <w:marLeft w:val="0"/>
      <w:marRight w:val="0"/>
      <w:marTop w:val="0"/>
      <w:marBottom w:val="0"/>
      <w:divBdr>
        <w:top w:val="none" w:sz="0" w:space="0" w:color="auto"/>
        <w:left w:val="none" w:sz="0" w:space="0" w:color="auto"/>
        <w:bottom w:val="none" w:sz="0" w:space="0" w:color="auto"/>
        <w:right w:val="none" w:sz="0" w:space="0" w:color="auto"/>
      </w:divBdr>
    </w:div>
    <w:div w:id="507453738">
      <w:bodyDiv w:val="1"/>
      <w:marLeft w:val="0"/>
      <w:marRight w:val="0"/>
      <w:marTop w:val="0"/>
      <w:marBottom w:val="0"/>
      <w:divBdr>
        <w:top w:val="none" w:sz="0" w:space="0" w:color="auto"/>
        <w:left w:val="none" w:sz="0" w:space="0" w:color="auto"/>
        <w:bottom w:val="none" w:sz="0" w:space="0" w:color="auto"/>
        <w:right w:val="none" w:sz="0" w:space="0" w:color="auto"/>
      </w:divBdr>
    </w:div>
    <w:div w:id="510268162">
      <w:bodyDiv w:val="1"/>
      <w:marLeft w:val="0"/>
      <w:marRight w:val="0"/>
      <w:marTop w:val="0"/>
      <w:marBottom w:val="0"/>
      <w:divBdr>
        <w:top w:val="none" w:sz="0" w:space="0" w:color="auto"/>
        <w:left w:val="none" w:sz="0" w:space="0" w:color="auto"/>
        <w:bottom w:val="none" w:sz="0" w:space="0" w:color="auto"/>
        <w:right w:val="none" w:sz="0" w:space="0" w:color="auto"/>
      </w:divBdr>
    </w:div>
    <w:div w:id="515078673">
      <w:bodyDiv w:val="1"/>
      <w:marLeft w:val="0"/>
      <w:marRight w:val="0"/>
      <w:marTop w:val="0"/>
      <w:marBottom w:val="0"/>
      <w:divBdr>
        <w:top w:val="none" w:sz="0" w:space="0" w:color="auto"/>
        <w:left w:val="none" w:sz="0" w:space="0" w:color="auto"/>
        <w:bottom w:val="none" w:sz="0" w:space="0" w:color="auto"/>
        <w:right w:val="none" w:sz="0" w:space="0" w:color="auto"/>
      </w:divBdr>
    </w:div>
    <w:div w:id="525752724">
      <w:bodyDiv w:val="1"/>
      <w:marLeft w:val="0"/>
      <w:marRight w:val="0"/>
      <w:marTop w:val="0"/>
      <w:marBottom w:val="0"/>
      <w:divBdr>
        <w:top w:val="none" w:sz="0" w:space="0" w:color="auto"/>
        <w:left w:val="none" w:sz="0" w:space="0" w:color="auto"/>
        <w:bottom w:val="none" w:sz="0" w:space="0" w:color="auto"/>
        <w:right w:val="none" w:sz="0" w:space="0" w:color="auto"/>
      </w:divBdr>
    </w:div>
    <w:div w:id="527179864">
      <w:bodyDiv w:val="1"/>
      <w:marLeft w:val="0"/>
      <w:marRight w:val="0"/>
      <w:marTop w:val="0"/>
      <w:marBottom w:val="0"/>
      <w:divBdr>
        <w:top w:val="none" w:sz="0" w:space="0" w:color="auto"/>
        <w:left w:val="none" w:sz="0" w:space="0" w:color="auto"/>
        <w:bottom w:val="none" w:sz="0" w:space="0" w:color="auto"/>
        <w:right w:val="none" w:sz="0" w:space="0" w:color="auto"/>
      </w:divBdr>
    </w:div>
    <w:div w:id="527186756">
      <w:bodyDiv w:val="1"/>
      <w:marLeft w:val="0"/>
      <w:marRight w:val="0"/>
      <w:marTop w:val="0"/>
      <w:marBottom w:val="0"/>
      <w:divBdr>
        <w:top w:val="none" w:sz="0" w:space="0" w:color="auto"/>
        <w:left w:val="none" w:sz="0" w:space="0" w:color="auto"/>
        <w:bottom w:val="none" w:sz="0" w:space="0" w:color="auto"/>
        <w:right w:val="none" w:sz="0" w:space="0" w:color="auto"/>
      </w:divBdr>
    </w:div>
    <w:div w:id="530146135">
      <w:bodyDiv w:val="1"/>
      <w:marLeft w:val="0"/>
      <w:marRight w:val="0"/>
      <w:marTop w:val="0"/>
      <w:marBottom w:val="0"/>
      <w:divBdr>
        <w:top w:val="none" w:sz="0" w:space="0" w:color="auto"/>
        <w:left w:val="none" w:sz="0" w:space="0" w:color="auto"/>
        <w:bottom w:val="none" w:sz="0" w:space="0" w:color="auto"/>
        <w:right w:val="none" w:sz="0" w:space="0" w:color="auto"/>
      </w:divBdr>
    </w:div>
    <w:div w:id="532234166">
      <w:bodyDiv w:val="1"/>
      <w:marLeft w:val="0"/>
      <w:marRight w:val="0"/>
      <w:marTop w:val="0"/>
      <w:marBottom w:val="0"/>
      <w:divBdr>
        <w:top w:val="none" w:sz="0" w:space="0" w:color="auto"/>
        <w:left w:val="none" w:sz="0" w:space="0" w:color="auto"/>
        <w:bottom w:val="none" w:sz="0" w:space="0" w:color="auto"/>
        <w:right w:val="none" w:sz="0" w:space="0" w:color="auto"/>
      </w:divBdr>
    </w:div>
    <w:div w:id="540872496">
      <w:bodyDiv w:val="1"/>
      <w:marLeft w:val="0"/>
      <w:marRight w:val="0"/>
      <w:marTop w:val="0"/>
      <w:marBottom w:val="0"/>
      <w:divBdr>
        <w:top w:val="none" w:sz="0" w:space="0" w:color="auto"/>
        <w:left w:val="none" w:sz="0" w:space="0" w:color="auto"/>
        <w:bottom w:val="none" w:sz="0" w:space="0" w:color="auto"/>
        <w:right w:val="none" w:sz="0" w:space="0" w:color="auto"/>
      </w:divBdr>
      <w:divsChild>
        <w:div w:id="462313820">
          <w:marLeft w:val="0"/>
          <w:marRight w:val="0"/>
          <w:marTop w:val="480"/>
          <w:marBottom w:val="240"/>
          <w:divBdr>
            <w:top w:val="none" w:sz="0" w:space="0" w:color="auto"/>
            <w:left w:val="none" w:sz="0" w:space="0" w:color="auto"/>
            <w:bottom w:val="none" w:sz="0" w:space="0" w:color="auto"/>
            <w:right w:val="none" w:sz="0" w:space="0" w:color="auto"/>
          </w:divBdr>
        </w:div>
        <w:div w:id="1149514396">
          <w:marLeft w:val="0"/>
          <w:marRight w:val="0"/>
          <w:marTop w:val="0"/>
          <w:marBottom w:val="567"/>
          <w:divBdr>
            <w:top w:val="none" w:sz="0" w:space="0" w:color="auto"/>
            <w:left w:val="none" w:sz="0" w:space="0" w:color="auto"/>
            <w:bottom w:val="none" w:sz="0" w:space="0" w:color="auto"/>
            <w:right w:val="none" w:sz="0" w:space="0" w:color="auto"/>
          </w:divBdr>
        </w:div>
      </w:divsChild>
    </w:div>
    <w:div w:id="543714366">
      <w:bodyDiv w:val="1"/>
      <w:marLeft w:val="0"/>
      <w:marRight w:val="0"/>
      <w:marTop w:val="0"/>
      <w:marBottom w:val="0"/>
      <w:divBdr>
        <w:top w:val="none" w:sz="0" w:space="0" w:color="auto"/>
        <w:left w:val="none" w:sz="0" w:space="0" w:color="auto"/>
        <w:bottom w:val="none" w:sz="0" w:space="0" w:color="auto"/>
        <w:right w:val="none" w:sz="0" w:space="0" w:color="auto"/>
      </w:divBdr>
    </w:div>
    <w:div w:id="549070396">
      <w:bodyDiv w:val="1"/>
      <w:marLeft w:val="0"/>
      <w:marRight w:val="0"/>
      <w:marTop w:val="0"/>
      <w:marBottom w:val="0"/>
      <w:divBdr>
        <w:top w:val="none" w:sz="0" w:space="0" w:color="auto"/>
        <w:left w:val="none" w:sz="0" w:space="0" w:color="auto"/>
        <w:bottom w:val="none" w:sz="0" w:space="0" w:color="auto"/>
        <w:right w:val="none" w:sz="0" w:space="0" w:color="auto"/>
      </w:divBdr>
    </w:div>
    <w:div w:id="549194762">
      <w:bodyDiv w:val="1"/>
      <w:marLeft w:val="0"/>
      <w:marRight w:val="0"/>
      <w:marTop w:val="0"/>
      <w:marBottom w:val="0"/>
      <w:divBdr>
        <w:top w:val="none" w:sz="0" w:space="0" w:color="auto"/>
        <w:left w:val="none" w:sz="0" w:space="0" w:color="auto"/>
        <w:bottom w:val="none" w:sz="0" w:space="0" w:color="auto"/>
        <w:right w:val="none" w:sz="0" w:space="0" w:color="auto"/>
      </w:divBdr>
    </w:div>
    <w:div w:id="562637968">
      <w:bodyDiv w:val="1"/>
      <w:marLeft w:val="0"/>
      <w:marRight w:val="0"/>
      <w:marTop w:val="0"/>
      <w:marBottom w:val="0"/>
      <w:divBdr>
        <w:top w:val="none" w:sz="0" w:space="0" w:color="auto"/>
        <w:left w:val="none" w:sz="0" w:space="0" w:color="auto"/>
        <w:bottom w:val="none" w:sz="0" w:space="0" w:color="auto"/>
        <w:right w:val="none" w:sz="0" w:space="0" w:color="auto"/>
      </w:divBdr>
      <w:divsChild>
        <w:div w:id="14608048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397923">
      <w:bodyDiv w:val="1"/>
      <w:marLeft w:val="0"/>
      <w:marRight w:val="0"/>
      <w:marTop w:val="0"/>
      <w:marBottom w:val="0"/>
      <w:divBdr>
        <w:top w:val="none" w:sz="0" w:space="0" w:color="auto"/>
        <w:left w:val="none" w:sz="0" w:space="0" w:color="auto"/>
        <w:bottom w:val="none" w:sz="0" w:space="0" w:color="auto"/>
        <w:right w:val="none" w:sz="0" w:space="0" w:color="auto"/>
      </w:divBdr>
    </w:div>
    <w:div w:id="578170719">
      <w:bodyDiv w:val="1"/>
      <w:marLeft w:val="0"/>
      <w:marRight w:val="0"/>
      <w:marTop w:val="0"/>
      <w:marBottom w:val="0"/>
      <w:divBdr>
        <w:top w:val="none" w:sz="0" w:space="0" w:color="auto"/>
        <w:left w:val="none" w:sz="0" w:space="0" w:color="auto"/>
        <w:bottom w:val="none" w:sz="0" w:space="0" w:color="auto"/>
        <w:right w:val="none" w:sz="0" w:space="0" w:color="auto"/>
      </w:divBdr>
    </w:div>
    <w:div w:id="578946931">
      <w:bodyDiv w:val="1"/>
      <w:marLeft w:val="0"/>
      <w:marRight w:val="0"/>
      <w:marTop w:val="0"/>
      <w:marBottom w:val="0"/>
      <w:divBdr>
        <w:top w:val="none" w:sz="0" w:space="0" w:color="auto"/>
        <w:left w:val="none" w:sz="0" w:space="0" w:color="auto"/>
        <w:bottom w:val="none" w:sz="0" w:space="0" w:color="auto"/>
        <w:right w:val="none" w:sz="0" w:space="0" w:color="auto"/>
      </w:divBdr>
    </w:div>
    <w:div w:id="579945441">
      <w:bodyDiv w:val="1"/>
      <w:marLeft w:val="0"/>
      <w:marRight w:val="0"/>
      <w:marTop w:val="0"/>
      <w:marBottom w:val="0"/>
      <w:divBdr>
        <w:top w:val="none" w:sz="0" w:space="0" w:color="auto"/>
        <w:left w:val="none" w:sz="0" w:space="0" w:color="auto"/>
        <w:bottom w:val="none" w:sz="0" w:space="0" w:color="auto"/>
        <w:right w:val="none" w:sz="0" w:space="0" w:color="auto"/>
      </w:divBdr>
    </w:div>
    <w:div w:id="587273740">
      <w:bodyDiv w:val="1"/>
      <w:marLeft w:val="0"/>
      <w:marRight w:val="0"/>
      <w:marTop w:val="0"/>
      <w:marBottom w:val="0"/>
      <w:divBdr>
        <w:top w:val="none" w:sz="0" w:space="0" w:color="auto"/>
        <w:left w:val="none" w:sz="0" w:space="0" w:color="auto"/>
        <w:bottom w:val="none" w:sz="0" w:space="0" w:color="auto"/>
        <w:right w:val="none" w:sz="0" w:space="0" w:color="auto"/>
      </w:divBdr>
    </w:div>
    <w:div w:id="591356081">
      <w:bodyDiv w:val="1"/>
      <w:marLeft w:val="0"/>
      <w:marRight w:val="0"/>
      <w:marTop w:val="0"/>
      <w:marBottom w:val="0"/>
      <w:divBdr>
        <w:top w:val="none" w:sz="0" w:space="0" w:color="auto"/>
        <w:left w:val="none" w:sz="0" w:space="0" w:color="auto"/>
        <w:bottom w:val="none" w:sz="0" w:space="0" w:color="auto"/>
        <w:right w:val="none" w:sz="0" w:space="0" w:color="auto"/>
      </w:divBdr>
    </w:div>
    <w:div w:id="592663769">
      <w:bodyDiv w:val="1"/>
      <w:marLeft w:val="0"/>
      <w:marRight w:val="0"/>
      <w:marTop w:val="0"/>
      <w:marBottom w:val="0"/>
      <w:divBdr>
        <w:top w:val="none" w:sz="0" w:space="0" w:color="auto"/>
        <w:left w:val="none" w:sz="0" w:space="0" w:color="auto"/>
        <w:bottom w:val="none" w:sz="0" w:space="0" w:color="auto"/>
        <w:right w:val="none" w:sz="0" w:space="0" w:color="auto"/>
      </w:divBdr>
    </w:div>
    <w:div w:id="596013595">
      <w:bodyDiv w:val="1"/>
      <w:marLeft w:val="0"/>
      <w:marRight w:val="0"/>
      <w:marTop w:val="0"/>
      <w:marBottom w:val="0"/>
      <w:divBdr>
        <w:top w:val="none" w:sz="0" w:space="0" w:color="auto"/>
        <w:left w:val="none" w:sz="0" w:space="0" w:color="auto"/>
        <w:bottom w:val="none" w:sz="0" w:space="0" w:color="auto"/>
        <w:right w:val="none" w:sz="0" w:space="0" w:color="auto"/>
      </w:divBdr>
    </w:div>
    <w:div w:id="597178993">
      <w:bodyDiv w:val="1"/>
      <w:marLeft w:val="0"/>
      <w:marRight w:val="0"/>
      <w:marTop w:val="0"/>
      <w:marBottom w:val="0"/>
      <w:divBdr>
        <w:top w:val="none" w:sz="0" w:space="0" w:color="auto"/>
        <w:left w:val="none" w:sz="0" w:space="0" w:color="auto"/>
        <w:bottom w:val="none" w:sz="0" w:space="0" w:color="auto"/>
        <w:right w:val="none" w:sz="0" w:space="0" w:color="auto"/>
      </w:divBdr>
      <w:divsChild>
        <w:div w:id="1930190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069263">
      <w:bodyDiv w:val="1"/>
      <w:marLeft w:val="0"/>
      <w:marRight w:val="0"/>
      <w:marTop w:val="0"/>
      <w:marBottom w:val="0"/>
      <w:divBdr>
        <w:top w:val="none" w:sz="0" w:space="0" w:color="auto"/>
        <w:left w:val="none" w:sz="0" w:space="0" w:color="auto"/>
        <w:bottom w:val="none" w:sz="0" w:space="0" w:color="auto"/>
        <w:right w:val="none" w:sz="0" w:space="0" w:color="auto"/>
      </w:divBdr>
    </w:div>
    <w:div w:id="599266632">
      <w:bodyDiv w:val="1"/>
      <w:marLeft w:val="0"/>
      <w:marRight w:val="0"/>
      <w:marTop w:val="0"/>
      <w:marBottom w:val="0"/>
      <w:divBdr>
        <w:top w:val="none" w:sz="0" w:space="0" w:color="auto"/>
        <w:left w:val="none" w:sz="0" w:space="0" w:color="auto"/>
        <w:bottom w:val="none" w:sz="0" w:space="0" w:color="auto"/>
        <w:right w:val="none" w:sz="0" w:space="0" w:color="auto"/>
      </w:divBdr>
    </w:div>
    <w:div w:id="599486691">
      <w:bodyDiv w:val="1"/>
      <w:marLeft w:val="0"/>
      <w:marRight w:val="0"/>
      <w:marTop w:val="0"/>
      <w:marBottom w:val="0"/>
      <w:divBdr>
        <w:top w:val="none" w:sz="0" w:space="0" w:color="auto"/>
        <w:left w:val="none" w:sz="0" w:space="0" w:color="auto"/>
        <w:bottom w:val="none" w:sz="0" w:space="0" w:color="auto"/>
        <w:right w:val="none" w:sz="0" w:space="0" w:color="auto"/>
      </w:divBdr>
    </w:div>
    <w:div w:id="599604568">
      <w:bodyDiv w:val="1"/>
      <w:marLeft w:val="0"/>
      <w:marRight w:val="0"/>
      <w:marTop w:val="0"/>
      <w:marBottom w:val="0"/>
      <w:divBdr>
        <w:top w:val="none" w:sz="0" w:space="0" w:color="auto"/>
        <w:left w:val="none" w:sz="0" w:space="0" w:color="auto"/>
        <w:bottom w:val="none" w:sz="0" w:space="0" w:color="auto"/>
        <w:right w:val="none" w:sz="0" w:space="0" w:color="auto"/>
      </w:divBdr>
    </w:div>
    <w:div w:id="607204249">
      <w:bodyDiv w:val="1"/>
      <w:marLeft w:val="0"/>
      <w:marRight w:val="0"/>
      <w:marTop w:val="0"/>
      <w:marBottom w:val="0"/>
      <w:divBdr>
        <w:top w:val="none" w:sz="0" w:space="0" w:color="auto"/>
        <w:left w:val="none" w:sz="0" w:space="0" w:color="auto"/>
        <w:bottom w:val="none" w:sz="0" w:space="0" w:color="auto"/>
        <w:right w:val="none" w:sz="0" w:space="0" w:color="auto"/>
      </w:divBdr>
    </w:div>
    <w:div w:id="611327699">
      <w:bodyDiv w:val="1"/>
      <w:marLeft w:val="0"/>
      <w:marRight w:val="0"/>
      <w:marTop w:val="0"/>
      <w:marBottom w:val="0"/>
      <w:divBdr>
        <w:top w:val="none" w:sz="0" w:space="0" w:color="auto"/>
        <w:left w:val="none" w:sz="0" w:space="0" w:color="auto"/>
        <w:bottom w:val="none" w:sz="0" w:space="0" w:color="auto"/>
        <w:right w:val="none" w:sz="0" w:space="0" w:color="auto"/>
      </w:divBdr>
    </w:div>
    <w:div w:id="618995061">
      <w:bodyDiv w:val="1"/>
      <w:marLeft w:val="0"/>
      <w:marRight w:val="0"/>
      <w:marTop w:val="0"/>
      <w:marBottom w:val="0"/>
      <w:divBdr>
        <w:top w:val="none" w:sz="0" w:space="0" w:color="auto"/>
        <w:left w:val="none" w:sz="0" w:space="0" w:color="auto"/>
        <w:bottom w:val="none" w:sz="0" w:space="0" w:color="auto"/>
        <w:right w:val="none" w:sz="0" w:space="0" w:color="auto"/>
      </w:divBdr>
    </w:div>
    <w:div w:id="619579345">
      <w:bodyDiv w:val="1"/>
      <w:marLeft w:val="0"/>
      <w:marRight w:val="0"/>
      <w:marTop w:val="0"/>
      <w:marBottom w:val="0"/>
      <w:divBdr>
        <w:top w:val="none" w:sz="0" w:space="0" w:color="auto"/>
        <w:left w:val="none" w:sz="0" w:space="0" w:color="auto"/>
        <w:bottom w:val="none" w:sz="0" w:space="0" w:color="auto"/>
        <w:right w:val="none" w:sz="0" w:space="0" w:color="auto"/>
      </w:divBdr>
    </w:div>
    <w:div w:id="622005712">
      <w:bodyDiv w:val="1"/>
      <w:marLeft w:val="0"/>
      <w:marRight w:val="0"/>
      <w:marTop w:val="0"/>
      <w:marBottom w:val="0"/>
      <w:divBdr>
        <w:top w:val="none" w:sz="0" w:space="0" w:color="auto"/>
        <w:left w:val="none" w:sz="0" w:space="0" w:color="auto"/>
        <w:bottom w:val="none" w:sz="0" w:space="0" w:color="auto"/>
        <w:right w:val="none" w:sz="0" w:space="0" w:color="auto"/>
      </w:divBdr>
    </w:div>
    <w:div w:id="626470880">
      <w:bodyDiv w:val="1"/>
      <w:marLeft w:val="0"/>
      <w:marRight w:val="0"/>
      <w:marTop w:val="0"/>
      <w:marBottom w:val="0"/>
      <w:divBdr>
        <w:top w:val="none" w:sz="0" w:space="0" w:color="auto"/>
        <w:left w:val="none" w:sz="0" w:space="0" w:color="auto"/>
        <w:bottom w:val="none" w:sz="0" w:space="0" w:color="auto"/>
        <w:right w:val="none" w:sz="0" w:space="0" w:color="auto"/>
      </w:divBdr>
    </w:div>
    <w:div w:id="628895691">
      <w:bodyDiv w:val="1"/>
      <w:marLeft w:val="0"/>
      <w:marRight w:val="0"/>
      <w:marTop w:val="0"/>
      <w:marBottom w:val="0"/>
      <w:divBdr>
        <w:top w:val="none" w:sz="0" w:space="0" w:color="auto"/>
        <w:left w:val="none" w:sz="0" w:space="0" w:color="auto"/>
        <w:bottom w:val="none" w:sz="0" w:space="0" w:color="auto"/>
        <w:right w:val="none" w:sz="0" w:space="0" w:color="auto"/>
      </w:divBdr>
    </w:div>
    <w:div w:id="636303775">
      <w:bodyDiv w:val="1"/>
      <w:marLeft w:val="0"/>
      <w:marRight w:val="0"/>
      <w:marTop w:val="0"/>
      <w:marBottom w:val="0"/>
      <w:divBdr>
        <w:top w:val="none" w:sz="0" w:space="0" w:color="auto"/>
        <w:left w:val="none" w:sz="0" w:space="0" w:color="auto"/>
        <w:bottom w:val="none" w:sz="0" w:space="0" w:color="auto"/>
        <w:right w:val="none" w:sz="0" w:space="0" w:color="auto"/>
      </w:divBdr>
    </w:div>
    <w:div w:id="640691956">
      <w:bodyDiv w:val="1"/>
      <w:marLeft w:val="0"/>
      <w:marRight w:val="0"/>
      <w:marTop w:val="0"/>
      <w:marBottom w:val="0"/>
      <w:divBdr>
        <w:top w:val="none" w:sz="0" w:space="0" w:color="auto"/>
        <w:left w:val="none" w:sz="0" w:space="0" w:color="auto"/>
        <w:bottom w:val="none" w:sz="0" w:space="0" w:color="auto"/>
        <w:right w:val="none" w:sz="0" w:space="0" w:color="auto"/>
      </w:divBdr>
    </w:div>
    <w:div w:id="643242513">
      <w:bodyDiv w:val="1"/>
      <w:marLeft w:val="0"/>
      <w:marRight w:val="0"/>
      <w:marTop w:val="0"/>
      <w:marBottom w:val="0"/>
      <w:divBdr>
        <w:top w:val="none" w:sz="0" w:space="0" w:color="auto"/>
        <w:left w:val="none" w:sz="0" w:space="0" w:color="auto"/>
        <w:bottom w:val="none" w:sz="0" w:space="0" w:color="auto"/>
        <w:right w:val="none" w:sz="0" w:space="0" w:color="auto"/>
      </w:divBdr>
    </w:div>
    <w:div w:id="643700166">
      <w:bodyDiv w:val="1"/>
      <w:marLeft w:val="0"/>
      <w:marRight w:val="0"/>
      <w:marTop w:val="0"/>
      <w:marBottom w:val="0"/>
      <w:divBdr>
        <w:top w:val="none" w:sz="0" w:space="0" w:color="auto"/>
        <w:left w:val="none" w:sz="0" w:space="0" w:color="auto"/>
        <w:bottom w:val="none" w:sz="0" w:space="0" w:color="auto"/>
        <w:right w:val="none" w:sz="0" w:space="0" w:color="auto"/>
      </w:divBdr>
    </w:div>
    <w:div w:id="645936881">
      <w:bodyDiv w:val="1"/>
      <w:marLeft w:val="0"/>
      <w:marRight w:val="0"/>
      <w:marTop w:val="0"/>
      <w:marBottom w:val="0"/>
      <w:divBdr>
        <w:top w:val="none" w:sz="0" w:space="0" w:color="auto"/>
        <w:left w:val="none" w:sz="0" w:space="0" w:color="auto"/>
        <w:bottom w:val="none" w:sz="0" w:space="0" w:color="auto"/>
        <w:right w:val="none" w:sz="0" w:space="0" w:color="auto"/>
      </w:divBdr>
    </w:div>
    <w:div w:id="652830769">
      <w:bodyDiv w:val="1"/>
      <w:marLeft w:val="0"/>
      <w:marRight w:val="0"/>
      <w:marTop w:val="0"/>
      <w:marBottom w:val="0"/>
      <w:divBdr>
        <w:top w:val="none" w:sz="0" w:space="0" w:color="auto"/>
        <w:left w:val="none" w:sz="0" w:space="0" w:color="auto"/>
        <w:bottom w:val="none" w:sz="0" w:space="0" w:color="auto"/>
        <w:right w:val="none" w:sz="0" w:space="0" w:color="auto"/>
      </w:divBdr>
    </w:div>
    <w:div w:id="654143690">
      <w:bodyDiv w:val="1"/>
      <w:marLeft w:val="0"/>
      <w:marRight w:val="0"/>
      <w:marTop w:val="0"/>
      <w:marBottom w:val="0"/>
      <w:divBdr>
        <w:top w:val="none" w:sz="0" w:space="0" w:color="auto"/>
        <w:left w:val="none" w:sz="0" w:space="0" w:color="auto"/>
        <w:bottom w:val="none" w:sz="0" w:space="0" w:color="auto"/>
        <w:right w:val="none" w:sz="0" w:space="0" w:color="auto"/>
      </w:divBdr>
    </w:div>
    <w:div w:id="654795737">
      <w:bodyDiv w:val="1"/>
      <w:marLeft w:val="0"/>
      <w:marRight w:val="0"/>
      <w:marTop w:val="0"/>
      <w:marBottom w:val="0"/>
      <w:divBdr>
        <w:top w:val="none" w:sz="0" w:space="0" w:color="auto"/>
        <w:left w:val="none" w:sz="0" w:space="0" w:color="auto"/>
        <w:bottom w:val="none" w:sz="0" w:space="0" w:color="auto"/>
        <w:right w:val="none" w:sz="0" w:space="0" w:color="auto"/>
      </w:divBdr>
    </w:div>
    <w:div w:id="658771155">
      <w:bodyDiv w:val="1"/>
      <w:marLeft w:val="0"/>
      <w:marRight w:val="0"/>
      <w:marTop w:val="0"/>
      <w:marBottom w:val="0"/>
      <w:divBdr>
        <w:top w:val="none" w:sz="0" w:space="0" w:color="auto"/>
        <w:left w:val="none" w:sz="0" w:space="0" w:color="auto"/>
        <w:bottom w:val="none" w:sz="0" w:space="0" w:color="auto"/>
        <w:right w:val="none" w:sz="0" w:space="0" w:color="auto"/>
      </w:divBdr>
      <w:divsChild>
        <w:div w:id="1327325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1012537">
      <w:bodyDiv w:val="1"/>
      <w:marLeft w:val="0"/>
      <w:marRight w:val="0"/>
      <w:marTop w:val="0"/>
      <w:marBottom w:val="0"/>
      <w:divBdr>
        <w:top w:val="none" w:sz="0" w:space="0" w:color="auto"/>
        <w:left w:val="none" w:sz="0" w:space="0" w:color="auto"/>
        <w:bottom w:val="none" w:sz="0" w:space="0" w:color="auto"/>
        <w:right w:val="none" w:sz="0" w:space="0" w:color="auto"/>
      </w:divBdr>
    </w:div>
    <w:div w:id="670445596">
      <w:bodyDiv w:val="1"/>
      <w:marLeft w:val="0"/>
      <w:marRight w:val="0"/>
      <w:marTop w:val="0"/>
      <w:marBottom w:val="0"/>
      <w:divBdr>
        <w:top w:val="none" w:sz="0" w:space="0" w:color="auto"/>
        <w:left w:val="none" w:sz="0" w:space="0" w:color="auto"/>
        <w:bottom w:val="none" w:sz="0" w:space="0" w:color="auto"/>
        <w:right w:val="none" w:sz="0" w:space="0" w:color="auto"/>
      </w:divBdr>
    </w:div>
    <w:div w:id="672994601">
      <w:bodyDiv w:val="1"/>
      <w:marLeft w:val="0"/>
      <w:marRight w:val="0"/>
      <w:marTop w:val="0"/>
      <w:marBottom w:val="0"/>
      <w:divBdr>
        <w:top w:val="none" w:sz="0" w:space="0" w:color="auto"/>
        <w:left w:val="none" w:sz="0" w:space="0" w:color="auto"/>
        <w:bottom w:val="none" w:sz="0" w:space="0" w:color="auto"/>
        <w:right w:val="none" w:sz="0" w:space="0" w:color="auto"/>
      </w:divBdr>
    </w:div>
    <w:div w:id="682711307">
      <w:bodyDiv w:val="1"/>
      <w:marLeft w:val="0"/>
      <w:marRight w:val="0"/>
      <w:marTop w:val="0"/>
      <w:marBottom w:val="0"/>
      <w:divBdr>
        <w:top w:val="none" w:sz="0" w:space="0" w:color="auto"/>
        <w:left w:val="none" w:sz="0" w:space="0" w:color="auto"/>
        <w:bottom w:val="none" w:sz="0" w:space="0" w:color="auto"/>
        <w:right w:val="none" w:sz="0" w:space="0" w:color="auto"/>
      </w:divBdr>
    </w:div>
    <w:div w:id="682711994">
      <w:bodyDiv w:val="1"/>
      <w:marLeft w:val="0"/>
      <w:marRight w:val="0"/>
      <w:marTop w:val="0"/>
      <w:marBottom w:val="0"/>
      <w:divBdr>
        <w:top w:val="none" w:sz="0" w:space="0" w:color="auto"/>
        <w:left w:val="none" w:sz="0" w:space="0" w:color="auto"/>
        <w:bottom w:val="none" w:sz="0" w:space="0" w:color="auto"/>
        <w:right w:val="none" w:sz="0" w:space="0" w:color="auto"/>
      </w:divBdr>
    </w:div>
    <w:div w:id="683016848">
      <w:bodyDiv w:val="1"/>
      <w:marLeft w:val="0"/>
      <w:marRight w:val="0"/>
      <w:marTop w:val="0"/>
      <w:marBottom w:val="0"/>
      <w:divBdr>
        <w:top w:val="none" w:sz="0" w:space="0" w:color="auto"/>
        <w:left w:val="none" w:sz="0" w:space="0" w:color="auto"/>
        <w:bottom w:val="none" w:sz="0" w:space="0" w:color="auto"/>
        <w:right w:val="none" w:sz="0" w:space="0" w:color="auto"/>
      </w:divBdr>
    </w:div>
    <w:div w:id="684787004">
      <w:bodyDiv w:val="1"/>
      <w:marLeft w:val="0"/>
      <w:marRight w:val="0"/>
      <w:marTop w:val="0"/>
      <w:marBottom w:val="0"/>
      <w:divBdr>
        <w:top w:val="none" w:sz="0" w:space="0" w:color="auto"/>
        <w:left w:val="none" w:sz="0" w:space="0" w:color="auto"/>
        <w:bottom w:val="none" w:sz="0" w:space="0" w:color="auto"/>
        <w:right w:val="none" w:sz="0" w:space="0" w:color="auto"/>
      </w:divBdr>
    </w:div>
    <w:div w:id="685326863">
      <w:bodyDiv w:val="1"/>
      <w:marLeft w:val="0"/>
      <w:marRight w:val="0"/>
      <w:marTop w:val="0"/>
      <w:marBottom w:val="0"/>
      <w:divBdr>
        <w:top w:val="none" w:sz="0" w:space="0" w:color="auto"/>
        <w:left w:val="none" w:sz="0" w:space="0" w:color="auto"/>
        <w:bottom w:val="none" w:sz="0" w:space="0" w:color="auto"/>
        <w:right w:val="none" w:sz="0" w:space="0" w:color="auto"/>
      </w:divBdr>
    </w:div>
    <w:div w:id="687371454">
      <w:bodyDiv w:val="1"/>
      <w:marLeft w:val="0"/>
      <w:marRight w:val="0"/>
      <w:marTop w:val="0"/>
      <w:marBottom w:val="0"/>
      <w:divBdr>
        <w:top w:val="none" w:sz="0" w:space="0" w:color="auto"/>
        <w:left w:val="none" w:sz="0" w:space="0" w:color="auto"/>
        <w:bottom w:val="none" w:sz="0" w:space="0" w:color="auto"/>
        <w:right w:val="none" w:sz="0" w:space="0" w:color="auto"/>
      </w:divBdr>
    </w:div>
    <w:div w:id="690031252">
      <w:bodyDiv w:val="1"/>
      <w:marLeft w:val="0"/>
      <w:marRight w:val="0"/>
      <w:marTop w:val="0"/>
      <w:marBottom w:val="0"/>
      <w:divBdr>
        <w:top w:val="none" w:sz="0" w:space="0" w:color="auto"/>
        <w:left w:val="none" w:sz="0" w:space="0" w:color="auto"/>
        <w:bottom w:val="none" w:sz="0" w:space="0" w:color="auto"/>
        <w:right w:val="none" w:sz="0" w:space="0" w:color="auto"/>
      </w:divBdr>
    </w:div>
    <w:div w:id="690180747">
      <w:bodyDiv w:val="1"/>
      <w:marLeft w:val="0"/>
      <w:marRight w:val="0"/>
      <w:marTop w:val="0"/>
      <w:marBottom w:val="0"/>
      <w:divBdr>
        <w:top w:val="none" w:sz="0" w:space="0" w:color="auto"/>
        <w:left w:val="none" w:sz="0" w:space="0" w:color="auto"/>
        <w:bottom w:val="none" w:sz="0" w:space="0" w:color="auto"/>
        <w:right w:val="none" w:sz="0" w:space="0" w:color="auto"/>
      </w:divBdr>
    </w:div>
    <w:div w:id="692343889">
      <w:bodyDiv w:val="1"/>
      <w:marLeft w:val="0"/>
      <w:marRight w:val="0"/>
      <w:marTop w:val="0"/>
      <w:marBottom w:val="0"/>
      <w:divBdr>
        <w:top w:val="none" w:sz="0" w:space="0" w:color="auto"/>
        <w:left w:val="none" w:sz="0" w:space="0" w:color="auto"/>
        <w:bottom w:val="none" w:sz="0" w:space="0" w:color="auto"/>
        <w:right w:val="none" w:sz="0" w:space="0" w:color="auto"/>
      </w:divBdr>
    </w:div>
    <w:div w:id="692653922">
      <w:bodyDiv w:val="1"/>
      <w:marLeft w:val="0"/>
      <w:marRight w:val="0"/>
      <w:marTop w:val="0"/>
      <w:marBottom w:val="0"/>
      <w:divBdr>
        <w:top w:val="none" w:sz="0" w:space="0" w:color="auto"/>
        <w:left w:val="none" w:sz="0" w:space="0" w:color="auto"/>
        <w:bottom w:val="none" w:sz="0" w:space="0" w:color="auto"/>
        <w:right w:val="none" w:sz="0" w:space="0" w:color="auto"/>
      </w:divBdr>
    </w:div>
    <w:div w:id="694422860">
      <w:bodyDiv w:val="1"/>
      <w:marLeft w:val="0"/>
      <w:marRight w:val="0"/>
      <w:marTop w:val="0"/>
      <w:marBottom w:val="0"/>
      <w:divBdr>
        <w:top w:val="none" w:sz="0" w:space="0" w:color="auto"/>
        <w:left w:val="none" w:sz="0" w:space="0" w:color="auto"/>
        <w:bottom w:val="none" w:sz="0" w:space="0" w:color="auto"/>
        <w:right w:val="none" w:sz="0" w:space="0" w:color="auto"/>
      </w:divBdr>
    </w:div>
    <w:div w:id="694817863">
      <w:bodyDiv w:val="1"/>
      <w:marLeft w:val="0"/>
      <w:marRight w:val="0"/>
      <w:marTop w:val="0"/>
      <w:marBottom w:val="0"/>
      <w:divBdr>
        <w:top w:val="none" w:sz="0" w:space="0" w:color="auto"/>
        <w:left w:val="none" w:sz="0" w:space="0" w:color="auto"/>
        <w:bottom w:val="none" w:sz="0" w:space="0" w:color="auto"/>
        <w:right w:val="none" w:sz="0" w:space="0" w:color="auto"/>
      </w:divBdr>
    </w:div>
    <w:div w:id="696078940">
      <w:bodyDiv w:val="1"/>
      <w:marLeft w:val="0"/>
      <w:marRight w:val="0"/>
      <w:marTop w:val="0"/>
      <w:marBottom w:val="0"/>
      <w:divBdr>
        <w:top w:val="none" w:sz="0" w:space="0" w:color="auto"/>
        <w:left w:val="none" w:sz="0" w:space="0" w:color="auto"/>
        <w:bottom w:val="none" w:sz="0" w:space="0" w:color="auto"/>
        <w:right w:val="none" w:sz="0" w:space="0" w:color="auto"/>
      </w:divBdr>
    </w:div>
    <w:div w:id="699478464">
      <w:bodyDiv w:val="1"/>
      <w:marLeft w:val="0"/>
      <w:marRight w:val="0"/>
      <w:marTop w:val="0"/>
      <w:marBottom w:val="0"/>
      <w:divBdr>
        <w:top w:val="none" w:sz="0" w:space="0" w:color="auto"/>
        <w:left w:val="none" w:sz="0" w:space="0" w:color="auto"/>
        <w:bottom w:val="none" w:sz="0" w:space="0" w:color="auto"/>
        <w:right w:val="none" w:sz="0" w:space="0" w:color="auto"/>
      </w:divBdr>
    </w:div>
    <w:div w:id="700786058">
      <w:bodyDiv w:val="1"/>
      <w:marLeft w:val="0"/>
      <w:marRight w:val="0"/>
      <w:marTop w:val="0"/>
      <w:marBottom w:val="0"/>
      <w:divBdr>
        <w:top w:val="none" w:sz="0" w:space="0" w:color="auto"/>
        <w:left w:val="none" w:sz="0" w:space="0" w:color="auto"/>
        <w:bottom w:val="none" w:sz="0" w:space="0" w:color="auto"/>
        <w:right w:val="none" w:sz="0" w:space="0" w:color="auto"/>
      </w:divBdr>
    </w:div>
    <w:div w:id="700789009">
      <w:bodyDiv w:val="1"/>
      <w:marLeft w:val="0"/>
      <w:marRight w:val="0"/>
      <w:marTop w:val="0"/>
      <w:marBottom w:val="0"/>
      <w:divBdr>
        <w:top w:val="none" w:sz="0" w:space="0" w:color="auto"/>
        <w:left w:val="none" w:sz="0" w:space="0" w:color="auto"/>
        <w:bottom w:val="none" w:sz="0" w:space="0" w:color="auto"/>
        <w:right w:val="none" w:sz="0" w:space="0" w:color="auto"/>
      </w:divBdr>
    </w:div>
    <w:div w:id="703213090">
      <w:bodyDiv w:val="1"/>
      <w:marLeft w:val="0"/>
      <w:marRight w:val="0"/>
      <w:marTop w:val="0"/>
      <w:marBottom w:val="0"/>
      <w:divBdr>
        <w:top w:val="none" w:sz="0" w:space="0" w:color="auto"/>
        <w:left w:val="none" w:sz="0" w:space="0" w:color="auto"/>
        <w:bottom w:val="none" w:sz="0" w:space="0" w:color="auto"/>
        <w:right w:val="none" w:sz="0" w:space="0" w:color="auto"/>
      </w:divBdr>
    </w:div>
    <w:div w:id="704721577">
      <w:bodyDiv w:val="1"/>
      <w:marLeft w:val="0"/>
      <w:marRight w:val="0"/>
      <w:marTop w:val="0"/>
      <w:marBottom w:val="0"/>
      <w:divBdr>
        <w:top w:val="none" w:sz="0" w:space="0" w:color="auto"/>
        <w:left w:val="none" w:sz="0" w:space="0" w:color="auto"/>
        <w:bottom w:val="none" w:sz="0" w:space="0" w:color="auto"/>
        <w:right w:val="none" w:sz="0" w:space="0" w:color="auto"/>
      </w:divBdr>
    </w:div>
    <w:div w:id="707605517">
      <w:bodyDiv w:val="1"/>
      <w:marLeft w:val="0"/>
      <w:marRight w:val="0"/>
      <w:marTop w:val="0"/>
      <w:marBottom w:val="0"/>
      <w:divBdr>
        <w:top w:val="none" w:sz="0" w:space="0" w:color="auto"/>
        <w:left w:val="none" w:sz="0" w:space="0" w:color="auto"/>
        <w:bottom w:val="none" w:sz="0" w:space="0" w:color="auto"/>
        <w:right w:val="none" w:sz="0" w:space="0" w:color="auto"/>
      </w:divBdr>
    </w:div>
    <w:div w:id="710350322">
      <w:bodyDiv w:val="1"/>
      <w:marLeft w:val="0"/>
      <w:marRight w:val="0"/>
      <w:marTop w:val="0"/>
      <w:marBottom w:val="0"/>
      <w:divBdr>
        <w:top w:val="none" w:sz="0" w:space="0" w:color="auto"/>
        <w:left w:val="none" w:sz="0" w:space="0" w:color="auto"/>
        <w:bottom w:val="none" w:sz="0" w:space="0" w:color="auto"/>
        <w:right w:val="none" w:sz="0" w:space="0" w:color="auto"/>
      </w:divBdr>
    </w:div>
    <w:div w:id="726492731">
      <w:bodyDiv w:val="1"/>
      <w:marLeft w:val="0"/>
      <w:marRight w:val="0"/>
      <w:marTop w:val="0"/>
      <w:marBottom w:val="0"/>
      <w:divBdr>
        <w:top w:val="none" w:sz="0" w:space="0" w:color="auto"/>
        <w:left w:val="none" w:sz="0" w:space="0" w:color="auto"/>
        <w:bottom w:val="none" w:sz="0" w:space="0" w:color="auto"/>
        <w:right w:val="none" w:sz="0" w:space="0" w:color="auto"/>
      </w:divBdr>
    </w:div>
    <w:div w:id="728379527">
      <w:bodyDiv w:val="1"/>
      <w:marLeft w:val="0"/>
      <w:marRight w:val="0"/>
      <w:marTop w:val="0"/>
      <w:marBottom w:val="0"/>
      <w:divBdr>
        <w:top w:val="none" w:sz="0" w:space="0" w:color="auto"/>
        <w:left w:val="none" w:sz="0" w:space="0" w:color="auto"/>
        <w:bottom w:val="none" w:sz="0" w:space="0" w:color="auto"/>
        <w:right w:val="none" w:sz="0" w:space="0" w:color="auto"/>
      </w:divBdr>
    </w:div>
    <w:div w:id="728842200">
      <w:bodyDiv w:val="1"/>
      <w:marLeft w:val="0"/>
      <w:marRight w:val="0"/>
      <w:marTop w:val="0"/>
      <w:marBottom w:val="0"/>
      <w:divBdr>
        <w:top w:val="none" w:sz="0" w:space="0" w:color="auto"/>
        <w:left w:val="none" w:sz="0" w:space="0" w:color="auto"/>
        <w:bottom w:val="none" w:sz="0" w:space="0" w:color="auto"/>
        <w:right w:val="none" w:sz="0" w:space="0" w:color="auto"/>
      </w:divBdr>
    </w:div>
    <w:div w:id="730810744">
      <w:bodyDiv w:val="1"/>
      <w:marLeft w:val="0"/>
      <w:marRight w:val="0"/>
      <w:marTop w:val="0"/>
      <w:marBottom w:val="0"/>
      <w:divBdr>
        <w:top w:val="none" w:sz="0" w:space="0" w:color="auto"/>
        <w:left w:val="none" w:sz="0" w:space="0" w:color="auto"/>
        <w:bottom w:val="none" w:sz="0" w:space="0" w:color="auto"/>
        <w:right w:val="none" w:sz="0" w:space="0" w:color="auto"/>
      </w:divBdr>
    </w:div>
    <w:div w:id="732122679">
      <w:bodyDiv w:val="1"/>
      <w:marLeft w:val="0"/>
      <w:marRight w:val="0"/>
      <w:marTop w:val="0"/>
      <w:marBottom w:val="0"/>
      <w:divBdr>
        <w:top w:val="none" w:sz="0" w:space="0" w:color="auto"/>
        <w:left w:val="none" w:sz="0" w:space="0" w:color="auto"/>
        <w:bottom w:val="none" w:sz="0" w:space="0" w:color="auto"/>
        <w:right w:val="none" w:sz="0" w:space="0" w:color="auto"/>
      </w:divBdr>
    </w:div>
    <w:div w:id="737870142">
      <w:bodyDiv w:val="1"/>
      <w:marLeft w:val="0"/>
      <w:marRight w:val="0"/>
      <w:marTop w:val="0"/>
      <w:marBottom w:val="0"/>
      <w:divBdr>
        <w:top w:val="none" w:sz="0" w:space="0" w:color="auto"/>
        <w:left w:val="none" w:sz="0" w:space="0" w:color="auto"/>
        <w:bottom w:val="none" w:sz="0" w:space="0" w:color="auto"/>
        <w:right w:val="none" w:sz="0" w:space="0" w:color="auto"/>
      </w:divBdr>
    </w:div>
    <w:div w:id="739331905">
      <w:bodyDiv w:val="1"/>
      <w:marLeft w:val="0"/>
      <w:marRight w:val="0"/>
      <w:marTop w:val="0"/>
      <w:marBottom w:val="0"/>
      <w:divBdr>
        <w:top w:val="none" w:sz="0" w:space="0" w:color="auto"/>
        <w:left w:val="none" w:sz="0" w:space="0" w:color="auto"/>
        <w:bottom w:val="none" w:sz="0" w:space="0" w:color="auto"/>
        <w:right w:val="none" w:sz="0" w:space="0" w:color="auto"/>
      </w:divBdr>
    </w:div>
    <w:div w:id="748966600">
      <w:bodyDiv w:val="1"/>
      <w:marLeft w:val="0"/>
      <w:marRight w:val="0"/>
      <w:marTop w:val="0"/>
      <w:marBottom w:val="0"/>
      <w:divBdr>
        <w:top w:val="none" w:sz="0" w:space="0" w:color="auto"/>
        <w:left w:val="none" w:sz="0" w:space="0" w:color="auto"/>
        <w:bottom w:val="none" w:sz="0" w:space="0" w:color="auto"/>
        <w:right w:val="none" w:sz="0" w:space="0" w:color="auto"/>
      </w:divBdr>
    </w:div>
    <w:div w:id="751660660">
      <w:bodyDiv w:val="1"/>
      <w:marLeft w:val="0"/>
      <w:marRight w:val="0"/>
      <w:marTop w:val="0"/>
      <w:marBottom w:val="0"/>
      <w:divBdr>
        <w:top w:val="none" w:sz="0" w:space="0" w:color="auto"/>
        <w:left w:val="none" w:sz="0" w:space="0" w:color="auto"/>
        <w:bottom w:val="none" w:sz="0" w:space="0" w:color="auto"/>
        <w:right w:val="none" w:sz="0" w:space="0" w:color="auto"/>
      </w:divBdr>
      <w:divsChild>
        <w:div w:id="421611229">
          <w:marLeft w:val="446"/>
          <w:marRight w:val="0"/>
          <w:marTop w:val="0"/>
          <w:marBottom w:val="160"/>
          <w:divBdr>
            <w:top w:val="none" w:sz="0" w:space="0" w:color="auto"/>
            <w:left w:val="none" w:sz="0" w:space="0" w:color="auto"/>
            <w:bottom w:val="none" w:sz="0" w:space="0" w:color="auto"/>
            <w:right w:val="none" w:sz="0" w:space="0" w:color="auto"/>
          </w:divBdr>
        </w:div>
        <w:div w:id="982924387">
          <w:marLeft w:val="446"/>
          <w:marRight w:val="0"/>
          <w:marTop w:val="0"/>
          <w:marBottom w:val="160"/>
          <w:divBdr>
            <w:top w:val="none" w:sz="0" w:space="0" w:color="auto"/>
            <w:left w:val="none" w:sz="0" w:space="0" w:color="auto"/>
            <w:bottom w:val="none" w:sz="0" w:space="0" w:color="auto"/>
            <w:right w:val="none" w:sz="0" w:space="0" w:color="auto"/>
          </w:divBdr>
        </w:div>
        <w:div w:id="1128400470">
          <w:marLeft w:val="446"/>
          <w:marRight w:val="0"/>
          <w:marTop w:val="0"/>
          <w:marBottom w:val="160"/>
          <w:divBdr>
            <w:top w:val="none" w:sz="0" w:space="0" w:color="auto"/>
            <w:left w:val="none" w:sz="0" w:space="0" w:color="auto"/>
            <w:bottom w:val="none" w:sz="0" w:space="0" w:color="auto"/>
            <w:right w:val="none" w:sz="0" w:space="0" w:color="auto"/>
          </w:divBdr>
        </w:div>
        <w:div w:id="2058237021">
          <w:marLeft w:val="446"/>
          <w:marRight w:val="0"/>
          <w:marTop w:val="0"/>
          <w:marBottom w:val="160"/>
          <w:divBdr>
            <w:top w:val="none" w:sz="0" w:space="0" w:color="auto"/>
            <w:left w:val="none" w:sz="0" w:space="0" w:color="auto"/>
            <w:bottom w:val="none" w:sz="0" w:space="0" w:color="auto"/>
            <w:right w:val="none" w:sz="0" w:space="0" w:color="auto"/>
          </w:divBdr>
        </w:div>
      </w:divsChild>
    </w:div>
    <w:div w:id="757094586">
      <w:bodyDiv w:val="1"/>
      <w:marLeft w:val="0"/>
      <w:marRight w:val="0"/>
      <w:marTop w:val="0"/>
      <w:marBottom w:val="0"/>
      <w:divBdr>
        <w:top w:val="none" w:sz="0" w:space="0" w:color="auto"/>
        <w:left w:val="none" w:sz="0" w:space="0" w:color="auto"/>
        <w:bottom w:val="none" w:sz="0" w:space="0" w:color="auto"/>
        <w:right w:val="none" w:sz="0" w:space="0" w:color="auto"/>
      </w:divBdr>
    </w:div>
    <w:div w:id="758058927">
      <w:bodyDiv w:val="1"/>
      <w:marLeft w:val="0"/>
      <w:marRight w:val="0"/>
      <w:marTop w:val="0"/>
      <w:marBottom w:val="0"/>
      <w:divBdr>
        <w:top w:val="none" w:sz="0" w:space="0" w:color="auto"/>
        <w:left w:val="none" w:sz="0" w:space="0" w:color="auto"/>
        <w:bottom w:val="none" w:sz="0" w:space="0" w:color="auto"/>
        <w:right w:val="none" w:sz="0" w:space="0" w:color="auto"/>
      </w:divBdr>
    </w:div>
    <w:div w:id="758526488">
      <w:bodyDiv w:val="1"/>
      <w:marLeft w:val="0"/>
      <w:marRight w:val="0"/>
      <w:marTop w:val="0"/>
      <w:marBottom w:val="0"/>
      <w:divBdr>
        <w:top w:val="none" w:sz="0" w:space="0" w:color="auto"/>
        <w:left w:val="none" w:sz="0" w:space="0" w:color="auto"/>
        <w:bottom w:val="none" w:sz="0" w:space="0" w:color="auto"/>
        <w:right w:val="none" w:sz="0" w:space="0" w:color="auto"/>
      </w:divBdr>
    </w:div>
    <w:div w:id="763914757">
      <w:bodyDiv w:val="1"/>
      <w:marLeft w:val="0"/>
      <w:marRight w:val="0"/>
      <w:marTop w:val="0"/>
      <w:marBottom w:val="0"/>
      <w:divBdr>
        <w:top w:val="none" w:sz="0" w:space="0" w:color="auto"/>
        <w:left w:val="none" w:sz="0" w:space="0" w:color="auto"/>
        <w:bottom w:val="none" w:sz="0" w:space="0" w:color="auto"/>
        <w:right w:val="none" w:sz="0" w:space="0" w:color="auto"/>
      </w:divBdr>
    </w:div>
    <w:div w:id="782305145">
      <w:bodyDiv w:val="1"/>
      <w:marLeft w:val="0"/>
      <w:marRight w:val="0"/>
      <w:marTop w:val="0"/>
      <w:marBottom w:val="0"/>
      <w:divBdr>
        <w:top w:val="none" w:sz="0" w:space="0" w:color="auto"/>
        <w:left w:val="none" w:sz="0" w:space="0" w:color="auto"/>
        <w:bottom w:val="none" w:sz="0" w:space="0" w:color="auto"/>
        <w:right w:val="none" w:sz="0" w:space="0" w:color="auto"/>
      </w:divBdr>
    </w:div>
    <w:div w:id="788281313">
      <w:bodyDiv w:val="1"/>
      <w:marLeft w:val="0"/>
      <w:marRight w:val="0"/>
      <w:marTop w:val="0"/>
      <w:marBottom w:val="0"/>
      <w:divBdr>
        <w:top w:val="none" w:sz="0" w:space="0" w:color="auto"/>
        <w:left w:val="none" w:sz="0" w:space="0" w:color="auto"/>
        <w:bottom w:val="none" w:sz="0" w:space="0" w:color="auto"/>
        <w:right w:val="none" w:sz="0" w:space="0" w:color="auto"/>
      </w:divBdr>
    </w:div>
    <w:div w:id="797332121">
      <w:bodyDiv w:val="1"/>
      <w:marLeft w:val="0"/>
      <w:marRight w:val="0"/>
      <w:marTop w:val="0"/>
      <w:marBottom w:val="0"/>
      <w:divBdr>
        <w:top w:val="none" w:sz="0" w:space="0" w:color="auto"/>
        <w:left w:val="none" w:sz="0" w:space="0" w:color="auto"/>
        <w:bottom w:val="none" w:sz="0" w:space="0" w:color="auto"/>
        <w:right w:val="none" w:sz="0" w:space="0" w:color="auto"/>
      </w:divBdr>
    </w:div>
    <w:div w:id="799688170">
      <w:bodyDiv w:val="1"/>
      <w:marLeft w:val="0"/>
      <w:marRight w:val="0"/>
      <w:marTop w:val="0"/>
      <w:marBottom w:val="0"/>
      <w:divBdr>
        <w:top w:val="none" w:sz="0" w:space="0" w:color="auto"/>
        <w:left w:val="none" w:sz="0" w:space="0" w:color="auto"/>
        <w:bottom w:val="none" w:sz="0" w:space="0" w:color="auto"/>
        <w:right w:val="none" w:sz="0" w:space="0" w:color="auto"/>
      </w:divBdr>
      <w:divsChild>
        <w:div w:id="523634066">
          <w:marLeft w:val="0"/>
          <w:marRight w:val="0"/>
          <w:marTop w:val="0"/>
          <w:marBottom w:val="0"/>
          <w:divBdr>
            <w:top w:val="none" w:sz="0" w:space="0" w:color="auto"/>
            <w:left w:val="none" w:sz="0" w:space="0" w:color="auto"/>
            <w:bottom w:val="none" w:sz="0" w:space="0" w:color="auto"/>
            <w:right w:val="none" w:sz="0" w:space="0" w:color="auto"/>
          </w:divBdr>
        </w:div>
      </w:divsChild>
    </w:div>
    <w:div w:id="802238551">
      <w:bodyDiv w:val="1"/>
      <w:marLeft w:val="0"/>
      <w:marRight w:val="0"/>
      <w:marTop w:val="0"/>
      <w:marBottom w:val="0"/>
      <w:divBdr>
        <w:top w:val="none" w:sz="0" w:space="0" w:color="auto"/>
        <w:left w:val="none" w:sz="0" w:space="0" w:color="auto"/>
        <w:bottom w:val="none" w:sz="0" w:space="0" w:color="auto"/>
        <w:right w:val="none" w:sz="0" w:space="0" w:color="auto"/>
      </w:divBdr>
    </w:div>
    <w:div w:id="803353741">
      <w:bodyDiv w:val="1"/>
      <w:marLeft w:val="0"/>
      <w:marRight w:val="0"/>
      <w:marTop w:val="0"/>
      <w:marBottom w:val="0"/>
      <w:divBdr>
        <w:top w:val="none" w:sz="0" w:space="0" w:color="auto"/>
        <w:left w:val="none" w:sz="0" w:space="0" w:color="auto"/>
        <w:bottom w:val="none" w:sz="0" w:space="0" w:color="auto"/>
        <w:right w:val="none" w:sz="0" w:space="0" w:color="auto"/>
      </w:divBdr>
    </w:div>
    <w:div w:id="803543825">
      <w:bodyDiv w:val="1"/>
      <w:marLeft w:val="0"/>
      <w:marRight w:val="0"/>
      <w:marTop w:val="0"/>
      <w:marBottom w:val="0"/>
      <w:divBdr>
        <w:top w:val="none" w:sz="0" w:space="0" w:color="auto"/>
        <w:left w:val="none" w:sz="0" w:space="0" w:color="auto"/>
        <w:bottom w:val="none" w:sz="0" w:space="0" w:color="auto"/>
        <w:right w:val="none" w:sz="0" w:space="0" w:color="auto"/>
      </w:divBdr>
    </w:div>
    <w:div w:id="811556301">
      <w:bodyDiv w:val="1"/>
      <w:marLeft w:val="0"/>
      <w:marRight w:val="0"/>
      <w:marTop w:val="0"/>
      <w:marBottom w:val="0"/>
      <w:divBdr>
        <w:top w:val="none" w:sz="0" w:space="0" w:color="auto"/>
        <w:left w:val="none" w:sz="0" w:space="0" w:color="auto"/>
        <w:bottom w:val="none" w:sz="0" w:space="0" w:color="auto"/>
        <w:right w:val="none" w:sz="0" w:space="0" w:color="auto"/>
      </w:divBdr>
    </w:div>
    <w:div w:id="821963522">
      <w:bodyDiv w:val="1"/>
      <w:marLeft w:val="0"/>
      <w:marRight w:val="0"/>
      <w:marTop w:val="0"/>
      <w:marBottom w:val="0"/>
      <w:divBdr>
        <w:top w:val="none" w:sz="0" w:space="0" w:color="auto"/>
        <w:left w:val="none" w:sz="0" w:space="0" w:color="auto"/>
        <w:bottom w:val="none" w:sz="0" w:space="0" w:color="auto"/>
        <w:right w:val="none" w:sz="0" w:space="0" w:color="auto"/>
      </w:divBdr>
    </w:div>
    <w:div w:id="823427047">
      <w:bodyDiv w:val="1"/>
      <w:marLeft w:val="0"/>
      <w:marRight w:val="0"/>
      <w:marTop w:val="0"/>
      <w:marBottom w:val="0"/>
      <w:divBdr>
        <w:top w:val="none" w:sz="0" w:space="0" w:color="auto"/>
        <w:left w:val="none" w:sz="0" w:space="0" w:color="auto"/>
        <w:bottom w:val="none" w:sz="0" w:space="0" w:color="auto"/>
        <w:right w:val="none" w:sz="0" w:space="0" w:color="auto"/>
      </w:divBdr>
    </w:div>
    <w:div w:id="847794018">
      <w:bodyDiv w:val="1"/>
      <w:marLeft w:val="0"/>
      <w:marRight w:val="0"/>
      <w:marTop w:val="0"/>
      <w:marBottom w:val="0"/>
      <w:divBdr>
        <w:top w:val="none" w:sz="0" w:space="0" w:color="auto"/>
        <w:left w:val="none" w:sz="0" w:space="0" w:color="auto"/>
        <w:bottom w:val="none" w:sz="0" w:space="0" w:color="auto"/>
        <w:right w:val="none" w:sz="0" w:space="0" w:color="auto"/>
      </w:divBdr>
    </w:div>
    <w:div w:id="851190432">
      <w:bodyDiv w:val="1"/>
      <w:marLeft w:val="0"/>
      <w:marRight w:val="0"/>
      <w:marTop w:val="0"/>
      <w:marBottom w:val="0"/>
      <w:divBdr>
        <w:top w:val="none" w:sz="0" w:space="0" w:color="auto"/>
        <w:left w:val="none" w:sz="0" w:space="0" w:color="auto"/>
        <w:bottom w:val="none" w:sz="0" w:space="0" w:color="auto"/>
        <w:right w:val="none" w:sz="0" w:space="0" w:color="auto"/>
      </w:divBdr>
    </w:div>
    <w:div w:id="852110020">
      <w:bodyDiv w:val="1"/>
      <w:marLeft w:val="0"/>
      <w:marRight w:val="0"/>
      <w:marTop w:val="0"/>
      <w:marBottom w:val="0"/>
      <w:divBdr>
        <w:top w:val="none" w:sz="0" w:space="0" w:color="auto"/>
        <w:left w:val="none" w:sz="0" w:space="0" w:color="auto"/>
        <w:bottom w:val="none" w:sz="0" w:space="0" w:color="auto"/>
        <w:right w:val="none" w:sz="0" w:space="0" w:color="auto"/>
      </w:divBdr>
    </w:div>
    <w:div w:id="852496027">
      <w:bodyDiv w:val="1"/>
      <w:marLeft w:val="0"/>
      <w:marRight w:val="0"/>
      <w:marTop w:val="0"/>
      <w:marBottom w:val="0"/>
      <w:divBdr>
        <w:top w:val="none" w:sz="0" w:space="0" w:color="auto"/>
        <w:left w:val="none" w:sz="0" w:space="0" w:color="auto"/>
        <w:bottom w:val="none" w:sz="0" w:space="0" w:color="auto"/>
        <w:right w:val="none" w:sz="0" w:space="0" w:color="auto"/>
      </w:divBdr>
    </w:div>
    <w:div w:id="854929473">
      <w:bodyDiv w:val="1"/>
      <w:marLeft w:val="0"/>
      <w:marRight w:val="0"/>
      <w:marTop w:val="0"/>
      <w:marBottom w:val="0"/>
      <w:divBdr>
        <w:top w:val="none" w:sz="0" w:space="0" w:color="auto"/>
        <w:left w:val="none" w:sz="0" w:space="0" w:color="auto"/>
        <w:bottom w:val="none" w:sz="0" w:space="0" w:color="auto"/>
        <w:right w:val="none" w:sz="0" w:space="0" w:color="auto"/>
      </w:divBdr>
    </w:div>
    <w:div w:id="856118196">
      <w:bodyDiv w:val="1"/>
      <w:marLeft w:val="0"/>
      <w:marRight w:val="0"/>
      <w:marTop w:val="0"/>
      <w:marBottom w:val="0"/>
      <w:divBdr>
        <w:top w:val="none" w:sz="0" w:space="0" w:color="auto"/>
        <w:left w:val="none" w:sz="0" w:space="0" w:color="auto"/>
        <w:bottom w:val="none" w:sz="0" w:space="0" w:color="auto"/>
        <w:right w:val="none" w:sz="0" w:space="0" w:color="auto"/>
      </w:divBdr>
    </w:div>
    <w:div w:id="860164032">
      <w:bodyDiv w:val="1"/>
      <w:marLeft w:val="0"/>
      <w:marRight w:val="0"/>
      <w:marTop w:val="0"/>
      <w:marBottom w:val="0"/>
      <w:divBdr>
        <w:top w:val="none" w:sz="0" w:space="0" w:color="auto"/>
        <w:left w:val="none" w:sz="0" w:space="0" w:color="auto"/>
        <w:bottom w:val="none" w:sz="0" w:space="0" w:color="auto"/>
        <w:right w:val="none" w:sz="0" w:space="0" w:color="auto"/>
      </w:divBdr>
    </w:div>
    <w:div w:id="860435954">
      <w:bodyDiv w:val="1"/>
      <w:marLeft w:val="0"/>
      <w:marRight w:val="0"/>
      <w:marTop w:val="0"/>
      <w:marBottom w:val="0"/>
      <w:divBdr>
        <w:top w:val="none" w:sz="0" w:space="0" w:color="auto"/>
        <w:left w:val="none" w:sz="0" w:space="0" w:color="auto"/>
        <w:bottom w:val="none" w:sz="0" w:space="0" w:color="auto"/>
        <w:right w:val="none" w:sz="0" w:space="0" w:color="auto"/>
      </w:divBdr>
    </w:div>
    <w:div w:id="862745928">
      <w:bodyDiv w:val="1"/>
      <w:marLeft w:val="0"/>
      <w:marRight w:val="0"/>
      <w:marTop w:val="0"/>
      <w:marBottom w:val="0"/>
      <w:divBdr>
        <w:top w:val="none" w:sz="0" w:space="0" w:color="auto"/>
        <w:left w:val="none" w:sz="0" w:space="0" w:color="auto"/>
        <w:bottom w:val="none" w:sz="0" w:space="0" w:color="auto"/>
        <w:right w:val="none" w:sz="0" w:space="0" w:color="auto"/>
      </w:divBdr>
    </w:div>
    <w:div w:id="867451767">
      <w:bodyDiv w:val="1"/>
      <w:marLeft w:val="0"/>
      <w:marRight w:val="0"/>
      <w:marTop w:val="0"/>
      <w:marBottom w:val="0"/>
      <w:divBdr>
        <w:top w:val="none" w:sz="0" w:space="0" w:color="auto"/>
        <w:left w:val="none" w:sz="0" w:space="0" w:color="auto"/>
        <w:bottom w:val="none" w:sz="0" w:space="0" w:color="auto"/>
        <w:right w:val="none" w:sz="0" w:space="0" w:color="auto"/>
      </w:divBdr>
    </w:div>
    <w:div w:id="869757376">
      <w:bodyDiv w:val="1"/>
      <w:marLeft w:val="0"/>
      <w:marRight w:val="0"/>
      <w:marTop w:val="0"/>
      <w:marBottom w:val="0"/>
      <w:divBdr>
        <w:top w:val="none" w:sz="0" w:space="0" w:color="auto"/>
        <w:left w:val="none" w:sz="0" w:space="0" w:color="auto"/>
        <w:bottom w:val="none" w:sz="0" w:space="0" w:color="auto"/>
        <w:right w:val="none" w:sz="0" w:space="0" w:color="auto"/>
      </w:divBdr>
    </w:div>
    <w:div w:id="870806486">
      <w:bodyDiv w:val="1"/>
      <w:marLeft w:val="0"/>
      <w:marRight w:val="0"/>
      <w:marTop w:val="0"/>
      <w:marBottom w:val="0"/>
      <w:divBdr>
        <w:top w:val="none" w:sz="0" w:space="0" w:color="auto"/>
        <w:left w:val="none" w:sz="0" w:space="0" w:color="auto"/>
        <w:bottom w:val="none" w:sz="0" w:space="0" w:color="auto"/>
        <w:right w:val="none" w:sz="0" w:space="0" w:color="auto"/>
      </w:divBdr>
    </w:div>
    <w:div w:id="875973375">
      <w:bodyDiv w:val="1"/>
      <w:marLeft w:val="0"/>
      <w:marRight w:val="0"/>
      <w:marTop w:val="0"/>
      <w:marBottom w:val="0"/>
      <w:divBdr>
        <w:top w:val="none" w:sz="0" w:space="0" w:color="auto"/>
        <w:left w:val="none" w:sz="0" w:space="0" w:color="auto"/>
        <w:bottom w:val="none" w:sz="0" w:space="0" w:color="auto"/>
        <w:right w:val="none" w:sz="0" w:space="0" w:color="auto"/>
      </w:divBdr>
    </w:div>
    <w:div w:id="883326192">
      <w:bodyDiv w:val="1"/>
      <w:marLeft w:val="0"/>
      <w:marRight w:val="0"/>
      <w:marTop w:val="0"/>
      <w:marBottom w:val="0"/>
      <w:divBdr>
        <w:top w:val="none" w:sz="0" w:space="0" w:color="auto"/>
        <w:left w:val="none" w:sz="0" w:space="0" w:color="auto"/>
        <w:bottom w:val="none" w:sz="0" w:space="0" w:color="auto"/>
        <w:right w:val="none" w:sz="0" w:space="0" w:color="auto"/>
      </w:divBdr>
    </w:div>
    <w:div w:id="883784751">
      <w:bodyDiv w:val="1"/>
      <w:marLeft w:val="0"/>
      <w:marRight w:val="0"/>
      <w:marTop w:val="0"/>
      <w:marBottom w:val="0"/>
      <w:divBdr>
        <w:top w:val="none" w:sz="0" w:space="0" w:color="auto"/>
        <w:left w:val="none" w:sz="0" w:space="0" w:color="auto"/>
        <w:bottom w:val="none" w:sz="0" w:space="0" w:color="auto"/>
        <w:right w:val="none" w:sz="0" w:space="0" w:color="auto"/>
      </w:divBdr>
    </w:div>
    <w:div w:id="890732066">
      <w:bodyDiv w:val="1"/>
      <w:marLeft w:val="0"/>
      <w:marRight w:val="0"/>
      <w:marTop w:val="0"/>
      <w:marBottom w:val="0"/>
      <w:divBdr>
        <w:top w:val="none" w:sz="0" w:space="0" w:color="auto"/>
        <w:left w:val="none" w:sz="0" w:space="0" w:color="auto"/>
        <w:bottom w:val="none" w:sz="0" w:space="0" w:color="auto"/>
        <w:right w:val="none" w:sz="0" w:space="0" w:color="auto"/>
      </w:divBdr>
    </w:div>
    <w:div w:id="892353889">
      <w:bodyDiv w:val="1"/>
      <w:marLeft w:val="0"/>
      <w:marRight w:val="0"/>
      <w:marTop w:val="0"/>
      <w:marBottom w:val="0"/>
      <w:divBdr>
        <w:top w:val="none" w:sz="0" w:space="0" w:color="auto"/>
        <w:left w:val="none" w:sz="0" w:space="0" w:color="auto"/>
        <w:bottom w:val="none" w:sz="0" w:space="0" w:color="auto"/>
        <w:right w:val="none" w:sz="0" w:space="0" w:color="auto"/>
      </w:divBdr>
    </w:div>
    <w:div w:id="897475722">
      <w:bodyDiv w:val="1"/>
      <w:marLeft w:val="0"/>
      <w:marRight w:val="0"/>
      <w:marTop w:val="0"/>
      <w:marBottom w:val="0"/>
      <w:divBdr>
        <w:top w:val="none" w:sz="0" w:space="0" w:color="auto"/>
        <w:left w:val="none" w:sz="0" w:space="0" w:color="auto"/>
        <w:bottom w:val="none" w:sz="0" w:space="0" w:color="auto"/>
        <w:right w:val="none" w:sz="0" w:space="0" w:color="auto"/>
      </w:divBdr>
    </w:div>
    <w:div w:id="903375904">
      <w:bodyDiv w:val="1"/>
      <w:marLeft w:val="0"/>
      <w:marRight w:val="0"/>
      <w:marTop w:val="0"/>
      <w:marBottom w:val="0"/>
      <w:divBdr>
        <w:top w:val="none" w:sz="0" w:space="0" w:color="auto"/>
        <w:left w:val="none" w:sz="0" w:space="0" w:color="auto"/>
        <w:bottom w:val="none" w:sz="0" w:space="0" w:color="auto"/>
        <w:right w:val="none" w:sz="0" w:space="0" w:color="auto"/>
      </w:divBdr>
    </w:div>
    <w:div w:id="908273105">
      <w:bodyDiv w:val="1"/>
      <w:marLeft w:val="0"/>
      <w:marRight w:val="0"/>
      <w:marTop w:val="0"/>
      <w:marBottom w:val="0"/>
      <w:divBdr>
        <w:top w:val="none" w:sz="0" w:space="0" w:color="auto"/>
        <w:left w:val="none" w:sz="0" w:space="0" w:color="auto"/>
        <w:bottom w:val="none" w:sz="0" w:space="0" w:color="auto"/>
        <w:right w:val="none" w:sz="0" w:space="0" w:color="auto"/>
      </w:divBdr>
    </w:div>
    <w:div w:id="918372060">
      <w:bodyDiv w:val="1"/>
      <w:marLeft w:val="0"/>
      <w:marRight w:val="0"/>
      <w:marTop w:val="0"/>
      <w:marBottom w:val="0"/>
      <w:divBdr>
        <w:top w:val="none" w:sz="0" w:space="0" w:color="auto"/>
        <w:left w:val="none" w:sz="0" w:space="0" w:color="auto"/>
        <w:bottom w:val="none" w:sz="0" w:space="0" w:color="auto"/>
        <w:right w:val="none" w:sz="0" w:space="0" w:color="auto"/>
      </w:divBdr>
    </w:div>
    <w:div w:id="918978000">
      <w:bodyDiv w:val="1"/>
      <w:marLeft w:val="0"/>
      <w:marRight w:val="0"/>
      <w:marTop w:val="0"/>
      <w:marBottom w:val="0"/>
      <w:divBdr>
        <w:top w:val="none" w:sz="0" w:space="0" w:color="auto"/>
        <w:left w:val="none" w:sz="0" w:space="0" w:color="auto"/>
        <w:bottom w:val="none" w:sz="0" w:space="0" w:color="auto"/>
        <w:right w:val="none" w:sz="0" w:space="0" w:color="auto"/>
      </w:divBdr>
    </w:div>
    <w:div w:id="920793602">
      <w:bodyDiv w:val="1"/>
      <w:marLeft w:val="0"/>
      <w:marRight w:val="0"/>
      <w:marTop w:val="0"/>
      <w:marBottom w:val="0"/>
      <w:divBdr>
        <w:top w:val="none" w:sz="0" w:space="0" w:color="auto"/>
        <w:left w:val="none" w:sz="0" w:space="0" w:color="auto"/>
        <w:bottom w:val="none" w:sz="0" w:space="0" w:color="auto"/>
        <w:right w:val="none" w:sz="0" w:space="0" w:color="auto"/>
      </w:divBdr>
    </w:div>
    <w:div w:id="926887496">
      <w:bodyDiv w:val="1"/>
      <w:marLeft w:val="0"/>
      <w:marRight w:val="0"/>
      <w:marTop w:val="0"/>
      <w:marBottom w:val="0"/>
      <w:divBdr>
        <w:top w:val="none" w:sz="0" w:space="0" w:color="auto"/>
        <w:left w:val="none" w:sz="0" w:space="0" w:color="auto"/>
        <w:bottom w:val="none" w:sz="0" w:space="0" w:color="auto"/>
        <w:right w:val="none" w:sz="0" w:space="0" w:color="auto"/>
      </w:divBdr>
    </w:div>
    <w:div w:id="933974582">
      <w:bodyDiv w:val="1"/>
      <w:marLeft w:val="0"/>
      <w:marRight w:val="0"/>
      <w:marTop w:val="0"/>
      <w:marBottom w:val="0"/>
      <w:divBdr>
        <w:top w:val="none" w:sz="0" w:space="0" w:color="auto"/>
        <w:left w:val="none" w:sz="0" w:space="0" w:color="auto"/>
        <w:bottom w:val="none" w:sz="0" w:space="0" w:color="auto"/>
        <w:right w:val="none" w:sz="0" w:space="0" w:color="auto"/>
      </w:divBdr>
    </w:div>
    <w:div w:id="935939713">
      <w:bodyDiv w:val="1"/>
      <w:marLeft w:val="0"/>
      <w:marRight w:val="0"/>
      <w:marTop w:val="0"/>
      <w:marBottom w:val="0"/>
      <w:divBdr>
        <w:top w:val="none" w:sz="0" w:space="0" w:color="auto"/>
        <w:left w:val="none" w:sz="0" w:space="0" w:color="auto"/>
        <w:bottom w:val="none" w:sz="0" w:space="0" w:color="auto"/>
        <w:right w:val="none" w:sz="0" w:space="0" w:color="auto"/>
      </w:divBdr>
    </w:div>
    <w:div w:id="938608784">
      <w:bodyDiv w:val="1"/>
      <w:marLeft w:val="0"/>
      <w:marRight w:val="0"/>
      <w:marTop w:val="0"/>
      <w:marBottom w:val="0"/>
      <w:divBdr>
        <w:top w:val="none" w:sz="0" w:space="0" w:color="auto"/>
        <w:left w:val="none" w:sz="0" w:space="0" w:color="auto"/>
        <w:bottom w:val="none" w:sz="0" w:space="0" w:color="auto"/>
        <w:right w:val="none" w:sz="0" w:space="0" w:color="auto"/>
      </w:divBdr>
    </w:div>
    <w:div w:id="940842946">
      <w:bodyDiv w:val="1"/>
      <w:marLeft w:val="0"/>
      <w:marRight w:val="0"/>
      <w:marTop w:val="0"/>
      <w:marBottom w:val="0"/>
      <w:divBdr>
        <w:top w:val="none" w:sz="0" w:space="0" w:color="auto"/>
        <w:left w:val="none" w:sz="0" w:space="0" w:color="auto"/>
        <w:bottom w:val="none" w:sz="0" w:space="0" w:color="auto"/>
        <w:right w:val="none" w:sz="0" w:space="0" w:color="auto"/>
      </w:divBdr>
    </w:div>
    <w:div w:id="941301129">
      <w:bodyDiv w:val="1"/>
      <w:marLeft w:val="0"/>
      <w:marRight w:val="0"/>
      <w:marTop w:val="0"/>
      <w:marBottom w:val="0"/>
      <w:divBdr>
        <w:top w:val="none" w:sz="0" w:space="0" w:color="auto"/>
        <w:left w:val="none" w:sz="0" w:space="0" w:color="auto"/>
        <w:bottom w:val="none" w:sz="0" w:space="0" w:color="auto"/>
        <w:right w:val="none" w:sz="0" w:space="0" w:color="auto"/>
      </w:divBdr>
    </w:div>
    <w:div w:id="945700166">
      <w:bodyDiv w:val="1"/>
      <w:marLeft w:val="0"/>
      <w:marRight w:val="0"/>
      <w:marTop w:val="0"/>
      <w:marBottom w:val="0"/>
      <w:divBdr>
        <w:top w:val="none" w:sz="0" w:space="0" w:color="auto"/>
        <w:left w:val="none" w:sz="0" w:space="0" w:color="auto"/>
        <w:bottom w:val="none" w:sz="0" w:space="0" w:color="auto"/>
        <w:right w:val="none" w:sz="0" w:space="0" w:color="auto"/>
      </w:divBdr>
    </w:div>
    <w:div w:id="946352777">
      <w:bodyDiv w:val="1"/>
      <w:marLeft w:val="0"/>
      <w:marRight w:val="0"/>
      <w:marTop w:val="0"/>
      <w:marBottom w:val="0"/>
      <w:divBdr>
        <w:top w:val="none" w:sz="0" w:space="0" w:color="auto"/>
        <w:left w:val="none" w:sz="0" w:space="0" w:color="auto"/>
        <w:bottom w:val="none" w:sz="0" w:space="0" w:color="auto"/>
        <w:right w:val="none" w:sz="0" w:space="0" w:color="auto"/>
      </w:divBdr>
    </w:div>
    <w:div w:id="949358926">
      <w:bodyDiv w:val="1"/>
      <w:marLeft w:val="0"/>
      <w:marRight w:val="0"/>
      <w:marTop w:val="0"/>
      <w:marBottom w:val="0"/>
      <w:divBdr>
        <w:top w:val="none" w:sz="0" w:space="0" w:color="auto"/>
        <w:left w:val="none" w:sz="0" w:space="0" w:color="auto"/>
        <w:bottom w:val="none" w:sz="0" w:space="0" w:color="auto"/>
        <w:right w:val="none" w:sz="0" w:space="0" w:color="auto"/>
      </w:divBdr>
    </w:div>
    <w:div w:id="952322026">
      <w:bodyDiv w:val="1"/>
      <w:marLeft w:val="0"/>
      <w:marRight w:val="0"/>
      <w:marTop w:val="0"/>
      <w:marBottom w:val="0"/>
      <w:divBdr>
        <w:top w:val="none" w:sz="0" w:space="0" w:color="auto"/>
        <w:left w:val="none" w:sz="0" w:space="0" w:color="auto"/>
        <w:bottom w:val="none" w:sz="0" w:space="0" w:color="auto"/>
        <w:right w:val="none" w:sz="0" w:space="0" w:color="auto"/>
      </w:divBdr>
      <w:divsChild>
        <w:div w:id="148912176">
          <w:marLeft w:val="0"/>
          <w:marRight w:val="0"/>
          <w:marTop w:val="480"/>
          <w:marBottom w:val="240"/>
          <w:divBdr>
            <w:top w:val="none" w:sz="0" w:space="0" w:color="auto"/>
            <w:left w:val="none" w:sz="0" w:space="0" w:color="auto"/>
            <w:bottom w:val="none" w:sz="0" w:space="0" w:color="auto"/>
            <w:right w:val="none" w:sz="0" w:space="0" w:color="auto"/>
          </w:divBdr>
        </w:div>
        <w:div w:id="561017962">
          <w:marLeft w:val="0"/>
          <w:marRight w:val="0"/>
          <w:marTop w:val="0"/>
          <w:marBottom w:val="567"/>
          <w:divBdr>
            <w:top w:val="none" w:sz="0" w:space="0" w:color="auto"/>
            <w:left w:val="none" w:sz="0" w:space="0" w:color="auto"/>
            <w:bottom w:val="none" w:sz="0" w:space="0" w:color="auto"/>
            <w:right w:val="none" w:sz="0" w:space="0" w:color="auto"/>
          </w:divBdr>
        </w:div>
      </w:divsChild>
    </w:div>
    <w:div w:id="953026621">
      <w:bodyDiv w:val="1"/>
      <w:marLeft w:val="0"/>
      <w:marRight w:val="0"/>
      <w:marTop w:val="0"/>
      <w:marBottom w:val="0"/>
      <w:divBdr>
        <w:top w:val="none" w:sz="0" w:space="0" w:color="auto"/>
        <w:left w:val="none" w:sz="0" w:space="0" w:color="auto"/>
        <w:bottom w:val="none" w:sz="0" w:space="0" w:color="auto"/>
        <w:right w:val="none" w:sz="0" w:space="0" w:color="auto"/>
      </w:divBdr>
    </w:div>
    <w:div w:id="955136523">
      <w:bodyDiv w:val="1"/>
      <w:marLeft w:val="0"/>
      <w:marRight w:val="0"/>
      <w:marTop w:val="0"/>
      <w:marBottom w:val="0"/>
      <w:divBdr>
        <w:top w:val="none" w:sz="0" w:space="0" w:color="auto"/>
        <w:left w:val="none" w:sz="0" w:space="0" w:color="auto"/>
        <w:bottom w:val="none" w:sz="0" w:space="0" w:color="auto"/>
        <w:right w:val="none" w:sz="0" w:space="0" w:color="auto"/>
      </w:divBdr>
    </w:div>
    <w:div w:id="957613084">
      <w:bodyDiv w:val="1"/>
      <w:marLeft w:val="0"/>
      <w:marRight w:val="0"/>
      <w:marTop w:val="0"/>
      <w:marBottom w:val="0"/>
      <w:divBdr>
        <w:top w:val="none" w:sz="0" w:space="0" w:color="auto"/>
        <w:left w:val="none" w:sz="0" w:space="0" w:color="auto"/>
        <w:bottom w:val="none" w:sz="0" w:space="0" w:color="auto"/>
        <w:right w:val="none" w:sz="0" w:space="0" w:color="auto"/>
      </w:divBdr>
    </w:div>
    <w:div w:id="958998839">
      <w:bodyDiv w:val="1"/>
      <w:marLeft w:val="0"/>
      <w:marRight w:val="0"/>
      <w:marTop w:val="0"/>
      <w:marBottom w:val="0"/>
      <w:divBdr>
        <w:top w:val="none" w:sz="0" w:space="0" w:color="auto"/>
        <w:left w:val="none" w:sz="0" w:space="0" w:color="auto"/>
        <w:bottom w:val="none" w:sz="0" w:space="0" w:color="auto"/>
        <w:right w:val="none" w:sz="0" w:space="0" w:color="auto"/>
      </w:divBdr>
    </w:div>
    <w:div w:id="961769790">
      <w:bodyDiv w:val="1"/>
      <w:marLeft w:val="0"/>
      <w:marRight w:val="0"/>
      <w:marTop w:val="0"/>
      <w:marBottom w:val="0"/>
      <w:divBdr>
        <w:top w:val="none" w:sz="0" w:space="0" w:color="auto"/>
        <w:left w:val="none" w:sz="0" w:space="0" w:color="auto"/>
        <w:bottom w:val="none" w:sz="0" w:space="0" w:color="auto"/>
        <w:right w:val="none" w:sz="0" w:space="0" w:color="auto"/>
      </w:divBdr>
    </w:div>
    <w:div w:id="970330821">
      <w:bodyDiv w:val="1"/>
      <w:marLeft w:val="0"/>
      <w:marRight w:val="0"/>
      <w:marTop w:val="0"/>
      <w:marBottom w:val="0"/>
      <w:divBdr>
        <w:top w:val="none" w:sz="0" w:space="0" w:color="auto"/>
        <w:left w:val="none" w:sz="0" w:space="0" w:color="auto"/>
        <w:bottom w:val="none" w:sz="0" w:space="0" w:color="auto"/>
        <w:right w:val="none" w:sz="0" w:space="0" w:color="auto"/>
      </w:divBdr>
    </w:div>
    <w:div w:id="975840628">
      <w:bodyDiv w:val="1"/>
      <w:marLeft w:val="0"/>
      <w:marRight w:val="0"/>
      <w:marTop w:val="0"/>
      <w:marBottom w:val="0"/>
      <w:divBdr>
        <w:top w:val="none" w:sz="0" w:space="0" w:color="auto"/>
        <w:left w:val="none" w:sz="0" w:space="0" w:color="auto"/>
        <w:bottom w:val="none" w:sz="0" w:space="0" w:color="auto"/>
        <w:right w:val="none" w:sz="0" w:space="0" w:color="auto"/>
      </w:divBdr>
    </w:div>
    <w:div w:id="976421820">
      <w:bodyDiv w:val="1"/>
      <w:marLeft w:val="0"/>
      <w:marRight w:val="0"/>
      <w:marTop w:val="0"/>
      <w:marBottom w:val="0"/>
      <w:divBdr>
        <w:top w:val="none" w:sz="0" w:space="0" w:color="auto"/>
        <w:left w:val="none" w:sz="0" w:space="0" w:color="auto"/>
        <w:bottom w:val="none" w:sz="0" w:space="0" w:color="auto"/>
        <w:right w:val="none" w:sz="0" w:space="0" w:color="auto"/>
      </w:divBdr>
    </w:div>
    <w:div w:id="977150800">
      <w:bodyDiv w:val="1"/>
      <w:marLeft w:val="0"/>
      <w:marRight w:val="0"/>
      <w:marTop w:val="0"/>
      <w:marBottom w:val="0"/>
      <w:divBdr>
        <w:top w:val="none" w:sz="0" w:space="0" w:color="auto"/>
        <w:left w:val="none" w:sz="0" w:space="0" w:color="auto"/>
        <w:bottom w:val="none" w:sz="0" w:space="0" w:color="auto"/>
        <w:right w:val="none" w:sz="0" w:space="0" w:color="auto"/>
      </w:divBdr>
    </w:div>
    <w:div w:id="984512190">
      <w:bodyDiv w:val="1"/>
      <w:marLeft w:val="0"/>
      <w:marRight w:val="0"/>
      <w:marTop w:val="0"/>
      <w:marBottom w:val="0"/>
      <w:divBdr>
        <w:top w:val="none" w:sz="0" w:space="0" w:color="auto"/>
        <w:left w:val="none" w:sz="0" w:space="0" w:color="auto"/>
        <w:bottom w:val="none" w:sz="0" w:space="0" w:color="auto"/>
        <w:right w:val="none" w:sz="0" w:space="0" w:color="auto"/>
      </w:divBdr>
    </w:div>
    <w:div w:id="986864796">
      <w:bodyDiv w:val="1"/>
      <w:marLeft w:val="0"/>
      <w:marRight w:val="0"/>
      <w:marTop w:val="0"/>
      <w:marBottom w:val="0"/>
      <w:divBdr>
        <w:top w:val="none" w:sz="0" w:space="0" w:color="auto"/>
        <w:left w:val="none" w:sz="0" w:space="0" w:color="auto"/>
        <w:bottom w:val="none" w:sz="0" w:space="0" w:color="auto"/>
        <w:right w:val="none" w:sz="0" w:space="0" w:color="auto"/>
      </w:divBdr>
    </w:div>
    <w:div w:id="988751386">
      <w:bodyDiv w:val="1"/>
      <w:marLeft w:val="0"/>
      <w:marRight w:val="0"/>
      <w:marTop w:val="0"/>
      <w:marBottom w:val="0"/>
      <w:divBdr>
        <w:top w:val="none" w:sz="0" w:space="0" w:color="auto"/>
        <w:left w:val="none" w:sz="0" w:space="0" w:color="auto"/>
        <w:bottom w:val="none" w:sz="0" w:space="0" w:color="auto"/>
        <w:right w:val="none" w:sz="0" w:space="0" w:color="auto"/>
      </w:divBdr>
    </w:div>
    <w:div w:id="990328796">
      <w:bodyDiv w:val="1"/>
      <w:marLeft w:val="0"/>
      <w:marRight w:val="0"/>
      <w:marTop w:val="0"/>
      <w:marBottom w:val="0"/>
      <w:divBdr>
        <w:top w:val="none" w:sz="0" w:space="0" w:color="auto"/>
        <w:left w:val="none" w:sz="0" w:space="0" w:color="auto"/>
        <w:bottom w:val="none" w:sz="0" w:space="0" w:color="auto"/>
        <w:right w:val="none" w:sz="0" w:space="0" w:color="auto"/>
      </w:divBdr>
    </w:div>
    <w:div w:id="990715941">
      <w:bodyDiv w:val="1"/>
      <w:marLeft w:val="0"/>
      <w:marRight w:val="0"/>
      <w:marTop w:val="0"/>
      <w:marBottom w:val="0"/>
      <w:divBdr>
        <w:top w:val="none" w:sz="0" w:space="0" w:color="auto"/>
        <w:left w:val="none" w:sz="0" w:space="0" w:color="auto"/>
        <w:bottom w:val="none" w:sz="0" w:space="0" w:color="auto"/>
        <w:right w:val="none" w:sz="0" w:space="0" w:color="auto"/>
      </w:divBdr>
    </w:div>
    <w:div w:id="991983661">
      <w:bodyDiv w:val="1"/>
      <w:marLeft w:val="0"/>
      <w:marRight w:val="0"/>
      <w:marTop w:val="0"/>
      <w:marBottom w:val="0"/>
      <w:divBdr>
        <w:top w:val="none" w:sz="0" w:space="0" w:color="auto"/>
        <w:left w:val="none" w:sz="0" w:space="0" w:color="auto"/>
        <w:bottom w:val="none" w:sz="0" w:space="0" w:color="auto"/>
        <w:right w:val="none" w:sz="0" w:space="0" w:color="auto"/>
      </w:divBdr>
    </w:div>
    <w:div w:id="992954924">
      <w:bodyDiv w:val="1"/>
      <w:marLeft w:val="0"/>
      <w:marRight w:val="0"/>
      <w:marTop w:val="0"/>
      <w:marBottom w:val="0"/>
      <w:divBdr>
        <w:top w:val="none" w:sz="0" w:space="0" w:color="auto"/>
        <w:left w:val="none" w:sz="0" w:space="0" w:color="auto"/>
        <w:bottom w:val="none" w:sz="0" w:space="0" w:color="auto"/>
        <w:right w:val="none" w:sz="0" w:space="0" w:color="auto"/>
      </w:divBdr>
    </w:div>
    <w:div w:id="994181929">
      <w:bodyDiv w:val="1"/>
      <w:marLeft w:val="0"/>
      <w:marRight w:val="0"/>
      <w:marTop w:val="0"/>
      <w:marBottom w:val="0"/>
      <w:divBdr>
        <w:top w:val="none" w:sz="0" w:space="0" w:color="auto"/>
        <w:left w:val="none" w:sz="0" w:space="0" w:color="auto"/>
        <w:bottom w:val="none" w:sz="0" w:space="0" w:color="auto"/>
        <w:right w:val="none" w:sz="0" w:space="0" w:color="auto"/>
      </w:divBdr>
      <w:divsChild>
        <w:div w:id="1958875038">
          <w:marLeft w:val="0"/>
          <w:marRight w:val="0"/>
          <w:marTop w:val="0"/>
          <w:marBottom w:val="0"/>
          <w:divBdr>
            <w:top w:val="none" w:sz="0" w:space="0" w:color="auto"/>
            <w:left w:val="none" w:sz="0" w:space="0" w:color="auto"/>
            <w:bottom w:val="none" w:sz="0" w:space="0" w:color="auto"/>
            <w:right w:val="none" w:sz="0" w:space="0" w:color="auto"/>
          </w:divBdr>
          <w:divsChild>
            <w:div w:id="914321135">
              <w:marLeft w:val="0"/>
              <w:marRight w:val="0"/>
              <w:marTop w:val="0"/>
              <w:marBottom w:val="0"/>
              <w:divBdr>
                <w:top w:val="none" w:sz="0" w:space="0" w:color="auto"/>
                <w:left w:val="none" w:sz="0" w:space="0" w:color="auto"/>
                <w:bottom w:val="none" w:sz="0" w:space="0" w:color="auto"/>
                <w:right w:val="none" w:sz="0" w:space="0" w:color="auto"/>
              </w:divBdr>
            </w:div>
            <w:div w:id="18719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1836">
      <w:bodyDiv w:val="1"/>
      <w:marLeft w:val="0"/>
      <w:marRight w:val="0"/>
      <w:marTop w:val="0"/>
      <w:marBottom w:val="0"/>
      <w:divBdr>
        <w:top w:val="none" w:sz="0" w:space="0" w:color="auto"/>
        <w:left w:val="none" w:sz="0" w:space="0" w:color="auto"/>
        <w:bottom w:val="none" w:sz="0" w:space="0" w:color="auto"/>
        <w:right w:val="none" w:sz="0" w:space="0" w:color="auto"/>
      </w:divBdr>
    </w:div>
    <w:div w:id="994726233">
      <w:bodyDiv w:val="1"/>
      <w:marLeft w:val="0"/>
      <w:marRight w:val="0"/>
      <w:marTop w:val="0"/>
      <w:marBottom w:val="0"/>
      <w:divBdr>
        <w:top w:val="none" w:sz="0" w:space="0" w:color="auto"/>
        <w:left w:val="none" w:sz="0" w:space="0" w:color="auto"/>
        <w:bottom w:val="none" w:sz="0" w:space="0" w:color="auto"/>
        <w:right w:val="none" w:sz="0" w:space="0" w:color="auto"/>
      </w:divBdr>
    </w:div>
    <w:div w:id="995062718">
      <w:bodyDiv w:val="1"/>
      <w:marLeft w:val="0"/>
      <w:marRight w:val="0"/>
      <w:marTop w:val="0"/>
      <w:marBottom w:val="0"/>
      <w:divBdr>
        <w:top w:val="none" w:sz="0" w:space="0" w:color="auto"/>
        <w:left w:val="none" w:sz="0" w:space="0" w:color="auto"/>
        <w:bottom w:val="none" w:sz="0" w:space="0" w:color="auto"/>
        <w:right w:val="none" w:sz="0" w:space="0" w:color="auto"/>
      </w:divBdr>
    </w:div>
    <w:div w:id="996883712">
      <w:bodyDiv w:val="1"/>
      <w:marLeft w:val="0"/>
      <w:marRight w:val="0"/>
      <w:marTop w:val="0"/>
      <w:marBottom w:val="0"/>
      <w:divBdr>
        <w:top w:val="none" w:sz="0" w:space="0" w:color="auto"/>
        <w:left w:val="none" w:sz="0" w:space="0" w:color="auto"/>
        <w:bottom w:val="none" w:sz="0" w:space="0" w:color="auto"/>
        <w:right w:val="none" w:sz="0" w:space="0" w:color="auto"/>
      </w:divBdr>
    </w:div>
    <w:div w:id="999887508">
      <w:bodyDiv w:val="1"/>
      <w:marLeft w:val="0"/>
      <w:marRight w:val="0"/>
      <w:marTop w:val="0"/>
      <w:marBottom w:val="0"/>
      <w:divBdr>
        <w:top w:val="none" w:sz="0" w:space="0" w:color="auto"/>
        <w:left w:val="none" w:sz="0" w:space="0" w:color="auto"/>
        <w:bottom w:val="none" w:sz="0" w:space="0" w:color="auto"/>
        <w:right w:val="none" w:sz="0" w:space="0" w:color="auto"/>
      </w:divBdr>
    </w:div>
    <w:div w:id="1003776183">
      <w:bodyDiv w:val="1"/>
      <w:marLeft w:val="0"/>
      <w:marRight w:val="0"/>
      <w:marTop w:val="0"/>
      <w:marBottom w:val="0"/>
      <w:divBdr>
        <w:top w:val="none" w:sz="0" w:space="0" w:color="auto"/>
        <w:left w:val="none" w:sz="0" w:space="0" w:color="auto"/>
        <w:bottom w:val="none" w:sz="0" w:space="0" w:color="auto"/>
        <w:right w:val="none" w:sz="0" w:space="0" w:color="auto"/>
      </w:divBdr>
    </w:div>
    <w:div w:id="1007829803">
      <w:bodyDiv w:val="1"/>
      <w:marLeft w:val="0"/>
      <w:marRight w:val="0"/>
      <w:marTop w:val="0"/>
      <w:marBottom w:val="0"/>
      <w:divBdr>
        <w:top w:val="none" w:sz="0" w:space="0" w:color="auto"/>
        <w:left w:val="none" w:sz="0" w:space="0" w:color="auto"/>
        <w:bottom w:val="none" w:sz="0" w:space="0" w:color="auto"/>
        <w:right w:val="none" w:sz="0" w:space="0" w:color="auto"/>
      </w:divBdr>
    </w:div>
    <w:div w:id="1008563843">
      <w:bodyDiv w:val="1"/>
      <w:marLeft w:val="0"/>
      <w:marRight w:val="0"/>
      <w:marTop w:val="0"/>
      <w:marBottom w:val="0"/>
      <w:divBdr>
        <w:top w:val="none" w:sz="0" w:space="0" w:color="auto"/>
        <w:left w:val="none" w:sz="0" w:space="0" w:color="auto"/>
        <w:bottom w:val="none" w:sz="0" w:space="0" w:color="auto"/>
        <w:right w:val="none" w:sz="0" w:space="0" w:color="auto"/>
      </w:divBdr>
    </w:div>
    <w:div w:id="1010641795">
      <w:bodyDiv w:val="1"/>
      <w:marLeft w:val="0"/>
      <w:marRight w:val="0"/>
      <w:marTop w:val="0"/>
      <w:marBottom w:val="0"/>
      <w:divBdr>
        <w:top w:val="none" w:sz="0" w:space="0" w:color="auto"/>
        <w:left w:val="none" w:sz="0" w:space="0" w:color="auto"/>
        <w:bottom w:val="none" w:sz="0" w:space="0" w:color="auto"/>
        <w:right w:val="none" w:sz="0" w:space="0" w:color="auto"/>
      </w:divBdr>
    </w:div>
    <w:div w:id="1016611902">
      <w:bodyDiv w:val="1"/>
      <w:marLeft w:val="0"/>
      <w:marRight w:val="0"/>
      <w:marTop w:val="0"/>
      <w:marBottom w:val="0"/>
      <w:divBdr>
        <w:top w:val="none" w:sz="0" w:space="0" w:color="auto"/>
        <w:left w:val="none" w:sz="0" w:space="0" w:color="auto"/>
        <w:bottom w:val="none" w:sz="0" w:space="0" w:color="auto"/>
        <w:right w:val="none" w:sz="0" w:space="0" w:color="auto"/>
      </w:divBdr>
    </w:div>
    <w:div w:id="1016881731">
      <w:bodyDiv w:val="1"/>
      <w:marLeft w:val="0"/>
      <w:marRight w:val="0"/>
      <w:marTop w:val="0"/>
      <w:marBottom w:val="0"/>
      <w:divBdr>
        <w:top w:val="none" w:sz="0" w:space="0" w:color="auto"/>
        <w:left w:val="none" w:sz="0" w:space="0" w:color="auto"/>
        <w:bottom w:val="none" w:sz="0" w:space="0" w:color="auto"/>
        <w:right w:val="none" w:sz="0" w:space="0" w:color="auto"/>
      </w:divBdr>
    </w:div>
    <w:div w:id="1023048243">
      <w:bodyDiv w:val="1"/>
      <w:marLeft w:val="0"/>
      <w:marRight w:val="0"/>
      <w:marTop w:val="0"/>
      <w:marBottom w:val="0"/>
      <w:divBdr>
        <w:top w:val="none" w:sz="0" w:space="0" w:color="auto"/>
        <w:left w:val="none" w:sz="0" w:space="0" w:color="auto"/>
        <w:bottom w:val="none" w:sz="0" w:space="0" w:color="auto"/>
        <w:right w:val="none" w:sz="0" w:space="0" w:color="auto"/>
      </w:divBdr>
      <w:divsChild>
        <w:div w:id="397363433">
          <w:marLeft w:val="547"/>
          <w:marRight w:val="0"/>
          <w:marTop w:val="0"/>
          <w:marBottom w:val="0"/>
          <w:divBdr>
            <w:top w:val="none" w:sz="0" w:space="0" w:color="auto"/>
            <w:left w:val="none" w:sz="0" w:space="0" w:color="auto"/>
            <w:bottom w:val="none" w:sz="0" w:space="0" w:color="auto"/>
            <w:right w:val="none" w:sz="0" w:space="0" w:color="auto"/>
          </w:divBdr>
        </w:div>
        <w:div w:id="1878153558">
          <w:marLeft w:val="547"/>
          <w:marRight w:val="0"/>
          <w:marTop w:val="0"/>
          <w:marBottom w:val="0"/>
          <w:divBdr>
            <w:top w:val="none" w:sz="0" w:space="0" w:color="auto"/>
            <w:left w:val="none" w:sz="0" w:space="0" w:color="auto"/>
            <w:bottom w:val="none" w:sz="0" w:space="0" w:color="auto"/>
            <w:right w:val="none" w:sz="0" w:space="0" w:color="auto"/>
          </w:divBdr>
        </w:div>
        <w:div w:id="2055764712">
          <w:marLeft w:val="547"/>
          <w:marRight w:val="0"/>
          <w:marTop w:val="0"/>
          <w:marBottom w:val="0"/>
          <w:divBdr>
            <w:top w:val="none" w:sz="0" w:space="0" w:color="auto"/>
            <w:left w:val="none" w:sz="0" w:space="0" w:color="auto"/>
            <w:bottom w:val="none" w:sz="0" w:space="0" w:color="auto"/>
            <w:right w:val="none" w:sz="0" w:space="0" w:color="auto"/>
          </w:divBdr>
        </w:div>
      </w:divsChild>
    </w:div>
    <w:div w:id="1027634037">
      <w:bodyDiv w:val="1"/>
      <w:marLeft w:val="0"/>
      <w:marRight w:val="0"/>
      <w:marTop w:val="0"/>
      <w:marBottom w:val="0"/>
      <w:divBdr>
        <w:top w:val="none" w:sz="0" w:space="0" w:color="auto"/>
        <w:left w:val="none" w:sz="0" w:space="0" w:color="auto"/>
        <w:bottom w:val="none" w:sz="0" w:space="0" w:color="auto"/>
        <w:right w:val="none" w:sz="0" w:space="0" w:color="auto"/>
      </w:divBdr>
    </w:div>
    <w:div w:id="1029179314">
      <w:bodyDiv w:val="1"/>
      <w:marLeft w:val="0"/>
      <w:marRight w:val="0"/>
      <w:marTop w:val="0"/>
      <w:marBottom w:val="0"/>
      <w:divBdr>
        <w:top w:val="none" w:sz="0" w:space="0" w:color="auto"/>
        <w:left w:val="none" w:sz="0" w:space="0" w:color="auto"/>
        <w:bottom w:val="none" w:sz="0" w:space="0" w:color="auto"/>
        <w:right w:val="none" w:sz="0" w:space="0" w:color="auto"/>
      </w:divBdr>
    </w:div>
    <w:div w:id="1031489819">
      <w:bodyDiv w:val="1"/>
      <w:marLeft w:val="0"/>
      <w:marRight w:val="0"/>
      <w:marTop w:val="0"/>
      <w:marBottom w:val="0"/>
      <w:divBdr>
        <w:top w:val="none" w:sz="0" w:space="0" w:color="auto"/>
        <w:left w:val="none" w:sz="0" w:space="0" w:color="auto"/>
        <w:bottom w:val="none" w:sz="0" w:space="0" w:color="auto"/>
        <w:right w:val="none" w:sz="0" w:space="0" w:color="auto"/>
      </w:divBdr>
    </w:div>
    <w:div w:id="1033113839">
      <w:bodyDiv w:val="1"/>
      <w:marLeft w:val="0"/>
      <w:marRight w:val="0"/>
      <w:marTop w:val="0"/>
      <w:marBottom w:val="0"/>
      <w:divBdr>
        <w:top w:val="none" w:sz="0" w:space="0" w:color="auto"/>
        <w:left w:val="none" w:sz="0" w:space="0" w:color="auto"/>
        <w:bottom w:val="none" w:sz="0" w:space="0" w:color="auto"/>
        <w:right w:val="none" w:sz="0" w:space="0" w:color="auto"/>
      </w:divBdr>
    </w:div>
    <w:div w:id="1033843540">
      <w:bodyDiv w:val="1"/>
      <w:marLeft w:val="0"/>
      <w:marRight w:val="0"/>
      <w:marTop w:val="0"/>
      <w:marBottom w:val="0"/>
      <w:divBdr>
        <w:top w:val="none" w:sz="0" w:space="0" w:color="auto"/>
        <w:left w:val="none" w:sz="0" w:space="0" w:color="auto"/>
        <w:bottom w:val="none" w:sz="0" w:space="0" w:color="auto"/>
        <w:right w:val="none" w:sz="0" w:space="0" w:color="auto"/>
      </w:divBdr>
    </w:div>
    <w:div w:id="1047491835">
      <w:bodyDiv w:val="1"/>
      <w:marLeft w:val="0"/>
      <w:marRight w:val="0"/>
      <w:marTop w:val="0"/>
      <w:marBottom w:val="0"/>
      <w:divBdr>
        <w:top w:val="none" w:sz="0" w:space="0" w:color="auto"/>
        <w:left w:val="none" w:sz="0" w:space="0" w:color="auto"/>
        <w:bottom w:val="none" w:sz="0" w:space="0" w:color="auto"/>
        <w:right w:val="none" w:sz="0" w:space="0" w:color="auto"/>
      </w:divBdr>
    </w:div>
    <w:div w:id="1052968348">
      <w:bodyDiv w:val="1"/>
      <w:marLeft w:val="0"/>
      <w:marRight w:val="0"/>
      <w:marTop w:val="0"/>
      <w:marBottom w:val="0"/>
      <w:divBdr>
        <w:top w:val="none" w:sz="0" w:space="0" w:color="auto"/>
        <w:left w:val="none" w:sz="0" w:space="0" w:color="auto"/>
        <w:bottom w:val="none" w:sz="0" w:space="0" w:color="auto"/>
        <w:right w:val="none" w:sz="0" w:space="0" w:color="auto"/>
      </w:divBdr>
    </w:div>
    <w:div w:id="1055203442">
      <w:bodyDiv w:val="1"/>
      <w:marLeft w:val="0"/>
      <w:marRight w:val="0"/>
      <w:marTop w:val="0"/>
      <w:marBottom w:val="0"/>
      <w:divBdr>
        <w:top w:val="none" w:sz="0" w:space="0" w:color="auto"/>
        <w:left w:val="none" w:sz="0" w:space="0" w:color="auto"/>
        <w:bottom w:val="none" w:sz="0" w:space="0" w:color="auto"/>
        <w:right w:val="none" w:sz="0" w:space="0" w:color="auto"/>
      </w:divBdr>
    </w:div>
    <w:div w:id="1060128418">
      <w:bodyDiv w:val="1"/>
      <w:marLeft w:val="0"/>
      <w:marRight w:val="0"/>
      <w:marTop w:val="0"/>
      <w:marBottom w:val="0"/>
      <w:divBdr>
        <w:top w:val="none" w:sz="0" w:space="0" w:color="auto"/>
        <w:left w:val="none" w:sz="0" w:space="0" w:color="auto"/>
        <w:bottom w:val="none" w:sz="0" w:space="0" w:color="auto"/>
        <w:right w:val="none" w:sz="0" w:space="0" w:color="auto"/>
      </w:divBdr>
    </w:div>
    <w:div w:id="1064259936">
      <w:bodyDiv w:val="1"/>
      <w:marLeft w:val="0"/>
      <w:marRight w:val="0"/>
      <w:marTop w:val="0"/>
      <w:marBottom w:val="0"/>
      <w:divBdr>
        <w:top w:val="none" w:sz="0" w:space="0" w:color="auto"/>
        <w:left w:val="none" w:sz="0" w:space="0" w:color="auto"/>
        <w:bottom w:val="none" w:sz="0" w:space="0" w:color="auto"/>
        <w:right w:val="none" w:sz="0" w:space="0" w:color="auto"/>
      </w:divBdr>
    </w:div>
    <w:div w:id="1077703396">
      <w:bodyDiv w:val="1"/>
      <w:marLeft w:val="0"/>
      <w:marRight w:val="0"/>
      <w:marTop w:val="0"/>
      <w:marBottom w:val="0"/>
      <w:divBdr>
        <w:top w:val="none" w:sz="0" w:space="0" w:color="auto"/>
        <w:left w:val="none" w:sz="0" w:space="0" w:color="auto"/>
        <w:bottom w:val="none" w:sz="0" w:space="0" w:color="auto"/>
        <w:right w:val="none" w:sz="0" w:space="0" w:color="auto"/>
      </w:divBdr>
    </w:div>
    <w:div w:id="1079600798">
      <w:bodyDiv w:val="1"/>
      <w:marLeft w:val="0"/>
      <w:marRight w:val="0"/>
      <w:marTop w:val="0"/>
      <w:marBottom w:val="0"/>
      <w:divBdr>
        <w:top w:val="none" w:sz="0" w:space="0" w:color="auto"/>
        <w:left w:val="none" w:sz="0" w:space="0" w:color="auto"/>
        <w:bottom w:val="none" w:sz="0" w:space="0" w:color="auto"/>
        <w:right w:val="none" w:sz="0" w:space="0" w:color="auto"/>
      </w:divBdr>
    </w:div>
    <w:div w:id="1085883641">
      <w:bodyDiv w:val="1"/>
      <w:marLeft w:val="0"/>
      <w:marRight w:val="0"/>
      <w:marTop w:val="0"/>
      <w:marBottom w:val="0"/>
      <w:divBdr>
        <w:top w:val="none" w:sz="0" w:space="0" w:color="auto"/>
        <w:left w:val="none" w:sz="0" w:space="0" w:color="auto"/>
        <w:bottom w:val="none" w:sz="0" w:space="0" w:color="auto"/>
        <w:right w:val="none" w:sz="0" w:space="0" w:color="auto"/>
      </w:divBdr>
    </w:div>
    <w:div w:id="1089159817">
      <w:bodyDiv w:val="1"/>
      <w:marLeft w:val="0"/>
      <w:marRight w:val="0"/>
      <w:marTop w:val="0"/>
      <w:marBottom w:val="0"/>
      <w:divBdr>
        <w:top w:val="none" w:sz="0" w:space="0" w:color="auto"/>
        <w:left w:val="none" w:sz="0" w:space="0" w:color="auto"/>
        <w:bottom w:val="none" w:sz="0" w:space="0" w:color="auto"/>
        <w:right w:val="none" w:sz="0" w:space="0" w:color="auto"/>
      </w:divBdr>
    </w:div>
    <w:div w:id="1090665397">
      <w:bodyDiv w:val="1"/>
      <w:marLeft w:val="0"/>
      <w:marRight w:val="0"/>
      <w:marTop w:val="0"/>
      <w:marBottom w:val="0"/>
      <w:divBdr>
        <w:top w:val="none" w:sz="0" w:space="0" w:color="auto"/>
        <w:left w:val="none" w:sz="0" w:space="0" w:color="auto"/>
        <w:bottom w:val="none" w:sz="0" w:space="0" w:color="auto"/>
        <w:right w:val="none" w:sz="0" w:space="0" w:color="auto"/>
      </w:divBdr>
    </w:div>
    <w:div w:id="1092816279">
      <w:bodyDiv w:val="1"/>
      <w:marLeft w:val="0"/>
      <w:marRight w:val="0"/>
      <w:marTop w:val="0"/>
      <w:marBottom w:val="0"/>
      <w:divBdr>
        <w:top w:val="none" w:sz="0" w:space="0" w:color="auto"/>
        <w:left w:val="none" w:sz="0" w:space="0" w:color="auto"/>
        <w:bottom w:val="none" w:sz="0" w:space="0" w:color="auto"/>
        <w:right w:val="none" w:sz="0" w:space="0" w:color="auto"/>
      </w:divBdr>
    </w:div>
    <w:div w:id="1094284153">
      <w:bodyDiv w:val="1"/>
      <w:marLeft w:val="0"/>
      <w:marRight w:val="0"/>
      <w:marTop w:val="0"/>
      <w:marBottom w:val="0"/>
      <w:divBdr>
        <w:top w:val="none" w:sz="0" w:space="0" w:color="auto"/>
        <w:left w:val="none" w:sz="0" w:space="0" w:color="auto"/>
        <w:bottom w:val="none" w:sz="0" w:space="0" w:color="auto"/>
        <w:right w:val="none" w:sz="0" w:space="0" w:color="auto"/>
      </w:divBdr>
    </w:div>
    <w:div w:id="1094546704">
      <w:bodyDiv w:val="1"/>
      <w:marLeft w:val="0"/>
      <w:marRight w:val="0"/>
      <w:marTop w:val="0"/>
      <w:marBottom w:val="0"/>
      <w:divBdr>
        <w:top w:val="none" w:sz="0" w:space="0" w:color="auto"/>
        <w:left w:val="none" w:sz="0" w:space="0" w:color="auto"/>
        <w:bottom w:val="none" w:sz="0" w:space="0" w:color="auto"/>
        <w:right w:val="none" w:sz="0" w:space="0" w:color="auto"/>
      </w:divBdr>
    </w:div>
    <w:div w:id="1097098099">
      <w:bodyDiv w:val="1"/>
      <w:marLeft w:val="0"/>
      <w:marRight w:val="0"/>
      <w:marTop w:val="0"/>
      <w:marBottom w:val="0"/>
      <w:divBdr>
        <w:top w:val="none" w:sz="0" w:space="0" w:color="auto"/>
        <w:left w:val="none" w:sz="0" w:space="0" w:color="auto"/>
        <w:bottom w:val="none" w:sz="0" w:space="0" w:color="auto"/>
        <w:right w:val="none" w:sz="0" w:space="0" w:color="auto"/>
      </w:divBdr>
    </w:div>
    <w:div w:id="1099058242">
      <w:bodyDiv w:val="1"/>
      <w:marLeft w:val="0"/>
      <w:marRight w:val="0"/>
      <w:marTop w:val="0"/>
      <w:marBottom w:val="0"/>
      <w:divBdr>
        <w:top w:val="none" w:sz="0" w:space="0" w:color="auto"/>
        <w:left w:val="none" w:sz="0" w:space="0" w:color="auto"/>
        <w:bottom w:val="none" w:sz="0" w:space="0" w:color="auto"/>
        <w:right w:val="none" w:sz="0" w:space="0" w:color="auto"/>
      </w:divBdr>
    </w:div>
    <w:div w:id="1102074222">
      <w:bodyDiv w:val="1"/>
      <w:marLeft w:val="0"/>
      <w:marRight w:val="0"/>
      <w:marTop w:val="0"/>
      <w:marBottom w:val="0"/>
      <w:divBdr>
        <w:top w:val="none" w:sz="0" w:space="0" w:color="auto"/>
        <w:left w:val="none" w:sz="0" w:space="0" w:color="auto"/>
        <w:bottom w:val="none" w:sz="0" w:space="0" w:color="auto"/>
        <w:right w:val="none" w:sz="0" w:space="0" w:color="auto"/>
      </w:divBdr>
    </w:div>
    <w:div w:id="1115178442">
      <w:bodyDiv w:val="1"/>
      <w:marLeft w:val="0"/>
      <w:marRight w:val="0"/>
      <w:marTop w:val="0"/>
      <w:marBottom w:val="0"/>
      <w:divBdr>
        <w:top w:val="none" w:sz="0" w:space="0" w:color="auto"/>
        <w:left w:val="none" w:sz="0" w:space="0" w:color="auto"/>
        <w:bottom w:val="none" w:sz="0" w:space="0" w:color="auto"/>
        <w:right w:val="none" w:sz="0" w:space="0" w:color="auto"/>
      </w:divBdr>
    </w:div>
    <w:div w:id="1116558821">
      <w:bodyDiv w:val="1"/>
      <w:marLeft w:val="0"/>
      <w:marRight w:val="0"/>
      <w:marTop w:val="0"/>
      <w:marBottom w:val="0"/>
      <w:divBdr>
        <w:top w:val="none" w:sz="0" w:space="0" w:color="auto"/>
        <w:left w:val="none" w:sz="0" w:space="0" w:color="auto"/>
        <w:bottom w:val="none" w:sz="0" w:space="0" w:color="auto"/>
        <w:right w:val="none" w:sz="0" w:space="0" w:color="auto"/>
      </w:divBdr>
    </w:div>
    <w:div w:id="1124230267">
      <w:bodyDiv w:val="1"/>
      <w:marLeft w:val="0"/>
      <w:marRight w:val="0"/>
      <w:marTop w:val="0"/>
      <w:marBottom w:val="0"/>
      <w:divBdr>
        <w:top w:val="none" w:sz="0" w:space="0" w:color="auto"/>
        <w:left w:val="none" w:sz="0" w:space="0" w:color="auto"/>
        <w:bottom w:val="none" w:sz="0" w:space="0" w:color="auto"/>
        <w:right w:val="none" w:sz="0" w:space="0" w:color="auto"/>
      </w:divBdr>
    </w:div>
    <w:div w:id="1130632744">
      <w:bodyDiv w:val="1"/>
      <w:marLeft w:val="0"/>
      <w:marRight w:val="0"/>
      <w:marTop w:val="0"/>
      <w:marBottom w:val="0"/>
      <w:divBdr>
        <w:top w:val="none" w:sz="0" w:space="0" w:color="auto"/>
        <w:left w:val="none" w:sz="0" w:space="0" w:color="auto"/>
        <w:bottom w:val="none" w:sz="0" w:space="0" w:color="auto"/>
        <w:right w:val="none" w:sz="0" w:space="0" w:color="auto"/>
      </w:divBdr>
    </w:div>
    <w:div w:id="1146974472">
      <w:bodyDiv w:val="1"/>
      <w:marLeft w:val="0"/>
      <w:marRight w:val="0"/>
      <w:marTop w:val="0"/>
      <w:marBottom w:val="0"/>
      <w:divBdr>
        <w:top w:val="none" w:sz="0" w:space="0" w:color="auto"/>
        <w:left w:val="none" w:sz="0" w:space="0" w:color="auto"/>
        <w:bottom w:val="none" w:sz="0" w:space="0" w:color="auto"/>
        <w:right w:val="none" w:sz="0" w:space="0" w:color="auto"/>
      </w:divBdr>
    </w:div>
    <w:div w:id="1148279489">
      <w:bodyDiv w:val="1"/>
      <w:marLeft w:val="0"/>
      <w:marRight w:val="0"/>
      <w:marTop w:val="0"/>
      <w:marBottom w:val="0"/>
      <w:divBdr>
        <w:top w:val="none" w:sz="0" w:space="0" w:color="auto"/>
        <w:left w:val="none" w:sz="0" w:space="0" w:color="auto"/>
        <w:bottom w:val="none" w:sz="0" w:space="0" w:color="auto"/>
        <w:right w:val="none" w:sz="0" w:space="0" w:color="auto"/>
      </w:divBdr>
    </w:div>
    <w:div w:id="1150444760">
      <w:bodyDiv w:val="1"/>
      <w:marLeft w:val="0"/>
      <w:marRight w:val="0"/>
      <w:marTop w:val="0"/>
      <w:marBottom w:val="0"/>
      <w:divBdr>
        <w:top w:val="none" w:sz="0" w:space="0" w:color="auto"/>
        <w:left w:val="none" w:sz="0" w:space="0" w:color="auto"/>
        <w:bottom w:val="none" w:sz="0" w:space="0" w:color="auto"/>
        <w:right w:val="none" w:sz="0" w:space="0" w:color="auto"/>
      </w:divBdr>
    </w:div>
    <w:div w:id="1159887058">
      <w:bodyDiv w:val="1"/>
      <w:marLeft w:val="0"/>
      <w:marRight w:val="0"/>
      <w:marTop w:val="0"/>
      <w:marBottom w:val="0"/>
      <w:divBdr>
        <w:top w:val="none" w:sz="0" w:space="0" w:color="auto"/>
        <w:left w:val="none" w:sz="0" w:space="0" w:color="auto"/>
        <w:bottom w:val="none" w:sz="0" w:space="0" w:color="auto"/>
        <w:right w:val="none" w:sz="0" w:space="0" w:color="auto"/>
      </w:divBdr>
    </w:div>
    <w:div w:id="1160803680">
      <w:bodyDiv w:val="1"/>
      <w:marLeft w:val="0"/>
      <w:marRight w:val="0"/>
      <w:marTop w:val="0"/>
      <w:marBottom w:val="0"/>
      <w:divBdr>
        <w:top w:val="none" w:sz="0" w:space="0" w:color="auto"/>
        <w:left w:val="none" w:sz="0" w:space="0" w:color="auto"/>
        <w:bottom w:val="none" w:sz="0" w:space="0" w:color="auto"/>
        <w:right w:val="none" w:sz="0" w:space="0" w:color="auto"/>
      </w:divBdr>
    </w:div>
    <w:div w:id="1162163946">
      <w:bodyDiv w:val="1"/>
      <w:marLeft w:val="0"/>
      <w:marRight w:val="0"/>
      <w:marTop w:val="0"/>
      <w:marBottom w:val="0"/>
      <w:divBdr>
        <w:top w:val="none" w:sz="0" w:space="0" w:color="auto"/>
        <w:left w:val="none" w:sz="0" w:space="0" w:color="auto"/>
        <w:bottom w:val="none" w:sz="0" w:space="0" w:color="auto"/>
        <w:right w:val="none" w:sz="0" w:space="0" w:color="auto"/>
      </w:divBdr>
    </w:div>
    <w:div w:id="1162238698">
      <w:bodyDiv w:val="1"/>
      <w:marLeft w:val="0"/>
      <w:marRight w:val="0"/>
      <w:marTop w:val="0"/>
      <w:marBottom w:val="0"/>
      <w:divBdr>
        <w:top w:val="none" w:sz="0" w:space="0" w:color="auto"/>
        <w:left w:val="none" w:sz="0" w:space="0" w:color="auto"/>
        <w:bottom w:val="none" w:sz="0" w:space="0" w:color="auto"/>
        <w:right w:val="none" w:sz="0" w:space="0" w:color="auto"/>
      </w:divBdr>
    </w:div>
    <w:div w:id="1175463363">
      <w:bodyDiv w:val="1"/>
      <w:marLeft w:val="0"/>
      <w:marRight w:val="0"/>
      <w:marTop w:val="0"/>
      <w:marBottom w:val="0"/>
      <w:divBdr>
        <w:top w:val="none" w:sz="0" w:space="0" w:color="auto"/>
        <w:left w:val="none" w:sz="0" w:space="0" w:color="auto"/>
        <w:bottom w:val="none" w:sz="0" w:space="0" w:color="auto"/>
        <w:right w:val="none" w:sz="0" w:space="0" w:color="auto"/>
      </w:divBdr>
    </w:div>
    <w:div w:id="1182821017">
      <w:bodyDiv w:val="1"/>
      <w:marLeft w:val="0"/>
      <w:marRight w:val="0"/>
      <w:marTop w:val="0"/>
      <w:marBottom w:val="0"/>
      <w:divBdr>
        <w:top w:val="none" w:sz="0" w:space="0" w:color="auto"/>
        <w:left w:val="none" w:sz="0" w:space="0" w:color="auto"/>
        <w:bottom w:val="none" w:sz="0" w:space="0" w:color="auto"/>
        <w:right w:val="none" w:sz="0" w:space="0" w:color="auto"/>
      </w:divBdr>
    </w:div>
    <w:div w:id="1185706720">
      <w:bodyDiv w:val="1"/>
      <w:marLeft w:val="0"/>
      <w:marRight w:val="0"/>
      <w:marTop w:val="0"/>
      <w:marBottom w:val="0"/>
      <w:divBdr>
        <w:top w:val="none" w:sz="0" w:space="0" w:color="auto"/>
        <w:left w:val="none" w:sz="0" w:space="0" w:color="auto"/>
        <w:bottom w:val="none" w:sz="0" w:space="0" w:color="auto"/>
        <w:right w:val="none" w:sz="0" w:space="0" w:color="auto"/>
      </w:divBdr>
    </w:div>
    <w:div w:id="1186938652">
      <w:bodyDiv w:val="1"/>
      <w:marLeft w:val="0"/>
      <w:marRight w:val="0"/>
      <w:marTop w:val="0"/>
      <w:marBottom w:val="0"/>
      <w:divBdr>
        <w:top w:val="none" w:sz="0" w:space="0" w:color="auto"/>
        <w:left w:val="none" w:sz="0" w:space="0" w:color="auto"/>
        <w:bottom w:val="none" w:sz="0" w:space="0" w:color="auto"/>
        <w:right w:val="none" w:sz="0" w:space="0" w:color="auto"/>
      </w:divBdr>
    </w:div>
    <w:div w:id="1195998379">
      <w:bodyDiv w:val="1"/>
      <w:marLeft w:val="0"/>
      <w:marRight w:val="0"/>
      <w:marTop w:val="0"/>
      <w:marBottom w:val="0"/>
      <w:divBdr>
        <w:top w:val="none" w:sz="0" w:space="0" w:color="auto"/>
        <w:left w:val="none" w:sz="0" w:space="0" w:color="auto"/>
        <w:bottom w:val="none" w:sz="0" w:space="0" w:color="auto"/>
        <w:right w:val="none" w:sz="0" w:space="0" w:color="auto"/>
      </w:divBdr>
    </w:div>
    <w:div w:id="1198935237">
      <w:bodyDiv w:val="1"/>
      <w:marLeft w:val="0"/>
      <w:marRight w:val="0"/>
      <w:marTop w:val="0"/>
      <w:marBottom w:val="0"/>
      <w:divBdr>
        <w:top w:val="none" w:sz="0" w:space="0" w:color="auto"/>
        <w:left w:val="none" w:sz="0" w:space="0" w:color="auto"/>
        <w:bottom w:val="none" w:sz="0" w:space="0" w:color="auto"/>
        <w:right w:val="none" w:sz="0" w:space="0" w:color="auto"/>
      </w:divBdr>
    </w:div>
    <w:div w:id="1199590054">
      <w:bodyDiv w:val="1"/>
      <w:marLeft w:val="0"/>
      <w:marRight w:val="0"/>
      <w:marTop w:val="0"/>
      <w:marBottom w:val="0"/>
      <w:divBdr>
        <w:top w:val="none" w:sz="0" w:space="0" w:color="auto"/>
        <w:left w:val="none" w:sz="0" w:space="0" w:color="auto"/>
        <w:bottom w:val="none" w:sz="0" w:space="0" w:color="auto"/>
        <w:right w:val="none" w:sz="0" w:space="0" w:color="auto"/>
      </w:divBdr>
    </w:div>
    <w:div w:id="1200431208">
      <w:bodyDiv w:val="1"/>
      <w:marLeft w:val="0"/>
      <w:marRight w:val="0"/>
      <w:marTop w:val="0"/>
      <w:marBottom w:val="0"/>
      <w:divBdr>
        <w:top w:val="none" w:sz="0" w:space="0" w:color="auto"/>
        <w:left w:val="none" w:sz="0" w:space="0" w:color="auto"/>
        <w:bottom w:val="none" w:sz="0" w:space="0" w:color="auto"/>
        <w:right w:val="none" w:sz="0" w:space="0" w:color="auto"/>
      </w:divBdr>
    </w:div>
    <w:div w:id="1200820002">
      <w:bodyDiv w:val="1"/>
      <w:marLeft w:val="0"/>
      <w:marRight w:val="0"/>
      <w:marTop w:val="0"/>
      <w:marBottom w:val="0"/>
      <w:divBdr>
        <w:top w:val="none" w:sz="0" w:space="0" w:color="auto"/>
        <w:left w:val="none" w:sz="0" w:space="0" w:color="auto"/>
        <w:bottom w:val="none" w:sz="0" w:space="0" w:color="auto"/>
        <w:right w:val="none" w:sz="0" w:space="0" w:color="auto"/>
      </w:divBdr>
    </w:div>
    <w:div w:id="1203396116">
      <w:bodyDiv w:val="1"/>
      <w:marLeft w:val="0"/>
      <w:marRight w:val="0"/>
      <w:marTop w:val="0"/>
      <w:marBottom w:val="0"/>
      <w:divBdr>
        <w:top w:val="none" w:sz="0" w:space="0" w:color="auto"/>
        <w:left w:val="none" w:sz="0" w:space="0" w:color="auto"/>
        <w:bottom w:val="none" w:sz="0" w:space="0" w:color="auto"/>
        <w:right w:val="none" w:sz="0" w:space="0" w:color="auto"/>
      </w:divBdr>
    </w:div>
    <w:div w:id="1204441605">
      <w:bodyDiv w:val="1"/>
      <w:marLeft w:val="0"/>
      <w:marRight w:val="0"/>
      <w:marTop w:val="0"/>
      <w:marBottom w:val="0"/>
      <w:divBdr>
        <w:top w:val="none" w:sz="0" w:space="0" w:color="auto"/>
        <w:left w:val="none" w:sz="0" w:space="0" w:color="auto"/>
        <w:bottom w:val="none" w:sz="0" w:space="0" w:color="auto"/>
        <w:right w:val="none" w:sz="0" w:space="0" w:color="auto"/>
      </w:divBdr>
    </w:div>
    <w:div w:id="1206528791">
      <w:bodyDiv w:val="1"/>
      <w:marLeft w:val="0"/>
      <w:marRight w:val="0"/>
      <w:marTop w:val="0"/>
      <w:marBottom w:val="0"/>
      <w:divBdr>
        <w:top w:val="none" w:sz="0" w:space="0" w:color="auto"/>
        <w:left w:val="none" w:sz="0" w:space="0" w:color="auto"/>
        <w:bottom w:val="none" w:sz="0" w:space="0" w:color="auto"/>
        <w:right w:val="none" w:sz="0" w:space="0" w:color="auto"/>
      </w:divBdr>
    </w:div>
    <w:div w:id="1211768726">
      <w:bodyDiv w:val="1"/>
      <w:marLeft w:val="0"/>
      <w:marRight w:val="0"/>
      <w:marTop w:val="0"/>
      <w:marBottom w:val="0"/>
      <w:divBdr>
        <w:top w:val="none" w:sz="0" w:space="0" w:color="auto"/>
        <w:left w:val="none" w:sz="0" w:space="0" w:color="auto"/>
        <w:bottom w:val="none" w:sz="0" w:space="0" w:color="auto"/>
        <w:right w:val="none" w:sz="0" w:space="0" w:color="auto"/>
      </w:divBdr>
    </w:div>
    <w:div w:id="1214807052">
      <w:bodyDiv w:val="1"/>
      <w:marLeft w:val="0"/>
      <w:marRight w:val="0"/>
      <w:marTop w:val="0"/>
      <w:marBottom w:val="0"/>
      <w:divBdr>
        <w:top w:val="none" w:sz="0" w:space="0" w:color="auto"/>
        <w:left w:val="none" w:sz="0" w:space="0" w:color="auto"/>
        <w:bottom w:val="none" w:sz="0" w:space="0" w:color="auto"/>
        <w:right w:val="none" w:sz="0" w:space="0" w:color="auto"/>
      </w:divBdr>
    </w:div>
    <w:div w:id="1227960630">
      <w:bodyDiv w:val="1"/>
      <w:marLeft w:val="0"/>
      <w:marRight w:val="0"/>
      <w:marTop w:val="0"/>
      <w:marBottom w:val="0"/>
      <w:divBdr>
        <w:top w:val="none" w:sz="0" w:space="0" w:color="auto"/>
        <w:left w:val="none" w:sz="0" w:space="0" w:color="auto"/>
        <w:bottom w:val="none" w:sz="0" w:space="0" w:color="auto"/>
        <w:right w:val="none" w:sz="0" w:space="0" w:color="auto"/>
      </w:divBdr>
    </w:div>
    <w:div w:id="1233731500">
      <w:bodyDiv w:val="1"/>
      <w:marLeft w:val="0"/>
      <w:marRight w:val="0"/>
      <w:marTop w:val="0"/>
      <w:marBottom w:val="0"/>
      <w:divBdr>
        <w:top w:val="none" w:sz="0" w:space="0" w:color="auto"/>
        <w:left w:val="none" w:sz="0" w:space="0" w:color="auto"/>
        <w:bottom w:val="none" w:sz="0" w:space="0" w:color="auto"/>
        <w:right w:val="none" w:sz="0" w:space="0" w:color="auto"/>
      </w:divBdr>
    </w:div>
    <w:div w:id="1234200902">
      <w:bodyDiv w:val="1"/>
      <w:marLeft w:val="0"/>
      <w:marRight w:val="0"/>
      <w:marTop w:val="0"/>
      <w:marBottom w:val="0"/>
      <w:divBdr>
        <w:top w:val="none" w:sz="0" w:space="0" w:color="auto"/>
        <w:left w:val="none" w:sz="0" w:space="0" w:color="auto"/>
        <w:bottom w:val="none" w:sz="0" w:space="0" w:color="auto"/>
        <w:right w:val="none" w:sz="0" w:space="0" w:color="auto"/>
      </w:divBdr>
    </w:div>
    <w:div w:id="1248078999">
      <w:bodyDiv w:val="1"/>
      <w:marLeft w:val="0"/>
      <w:marRight w:val="0"/>
      <w:marTop w:val="0"/>
      <w:marBottom w:val="0"/>
      <w:divBdr>
        <w:top w:val="none" w:sz="0" w:space="0" w:color="auto"/>
        <w:left w:val="none" w:sz="0" w:space="0" w:color="auto"/>
        <w:bottom w:val="none" w:sz="0" w:space="0" w:color="auto"/>
        <w:right w:val="none" w:sz="0" w:space="0" w:color="auto"/>
      </w:divBdr>
    </w:div>
    <w:div w:id="1250120703">
      <w:bodyDiv w:val="1"/>
      <w:marLeft w:val="0"/>
      <w:marRight w:val="0"/>
      <w:marTop w:val="0"/>
      <w:marBottom w:val="0"/>
      <w:divBdr>
        <w:top w:val="none" w:sz="0" w:space="0" w:color="auto"/>
        <w:left w:val="none" w:sz="0" w:space="0" w:color="auto"/>
        <w:bottom w:val="none" w:sz="0" w:space="0" w:color="auto"/>
        <w:right w:val="none" w:sz="0" w:space="0" w:color="auto"/>
      </w:divBdr>
    </w:div>
    <w:div w:id="1250654683">
      <w:bodyDiv w:val="1"/>
      <w:marLeft w:val="0"/>
      <w:marRight w:val="0"/>
      <w:marTop w:val="0"/>
      <w:marBottom w:val="0"/>
      <w:divBdr>
        <w:top w:val="none" w:sz="0" w:space="0" w:color="auto"/>
        <w:left w:val="none" w:sz="0" w:space="0" w:color="auto"/>
        <w:bottom w:val="none" w:sz="0" w:space="0" w:color="auto"/>
        <w:right w:val="none" w:sz="0" w:space="0" w:color="auto"/>
      </w:divBdr>
    </w:div>
    <w:div w:id="1252929587">
      <w:bodyDiv w:val="1"/>
      <w:marLeft w:val="0"/>
      <w:marRight w:val="0"/>
      <w:marTop w:val="0"/>
      <w:marBottom w:val="0"/>
      <w:divBdr>
        <w:top w:val="none" w:sz="0" w:space="0" w:color="auto"/>
        <w:left w:val="none" w:sz="0" w:space="0" w:color="auto"/>
        <w:bottom w:val="none" w:sz="0" w:space="0" w:color="auto"/>
        <w:right w:val="none" w:sz="0" w:space="0" w:color="auto"/>
      </w:divBdr>
    </w:div>
    <w:div w:id="1255168698">
      <w:bodyDiv w:val="1"/>
      <w:marLeft w:val="0"/>
      <w:marRight w:val="0"/>
      <w:marTop w:val="0"/>
      <w:marBottom w:val="0"/>
      <w:divBdr>
        <w:top w:val="none" w:sz="0" w:space="0" w:color="auto"/>
        <w:left w:val="none" w:sz="0" w:space="0" w:color="auto"/>
        <w:bottom w:val="none" w:sz="0" w:space="0" w:color="auto"/>
        <w:right w:val="none" w:sz="0" w:space="0" w:color="auto"/>
      </w:divBdr>
    </w:div>
    <w:div w:id="1255746370">
      <w:bodyDiv w:val="1"/>
      <w:marLeft w:val="0"/>
      <w:marRight w:val="0"/>
      <w:marTop w:val="0"/>
      <w:marBottom w:val="0"/>
      <w:divBdr>
        <w:top w:val="none" w:sz="0" w:space="0" w:color="auto"/>
        <w:left w:val="none" w:sz="0" w:space="0" w:color="auto"/>
        <w:bottom w:val="none" w:sz="0" w:space="0" w:color="auto"/>
        <w:right w:val="none" w:sz="0" w:space="0" w:color="auto"/>
      </w:divBdr>
    </w:div>
    <w:div w:id="1260603173">
      <w:bodyDiv w:val="1"/>
      <w:marLeft w:val="0"/>
      <w:marRight w:val="0"/>
      <w:marTop w:val="0"/>
      <w:marBottom w:val="0"/>
      <w:divBdr>
        <w:top w:val="none" w:sz="0" w:space="0" w:color="auto"/>
        <w:left w:val="none" w:sz="0" w:space="0" w:color="auto"/>
        <w:bottom w:val="none" w:sz="0" w:space="0" w:color="auto"/>
        <w:right w:val="none" w:sz="0" w:space="0" w:color="auto"/>
      </w:divBdr>
    </w:div>
    <w:div w:id="1260991119">
      <w:bodyDiv w:val="1"/>
      <w:marLeft w:val="0"/>
      <w:marRight w:val="0"/>
      <w:marTop w:val="0"/>
      <w:marBottom w:val="0"/>
      <w:divBdr>
        <w:top w:val="none" w:sz="0" w:space="0" w:color="auto"/>
        <w:left w:val="none" w:sz="0" w:space="0" w:color="auto"/>
        <w:bottom w:val="none" w:sz="0" w:space="0" w:color="auto"/>
        <w:right w:val="none" w:sz="0" w:space="0" w:color="auto"/>
      </w:divBdr>
    </w:div>
    <w:div w:id="1262373717">
      <w:bodyDiv w:val="1"/>
      <w:marLeft w:val="0"/>
      <w:marRight w:val="0"/>
      <w:marTop w:val="0"/>
      <w:marBottom w:val="0"/>
      <w:divBdr>
        <w:top w:val="none" w:sz="0" w:space="0" w:color="auto"/>
        <w:left w:val="none" w:sz="0" w:space="0" w:color="auto"/>
        <w:bottom w:val="none" w:sz="0" w:space="0" w:color="auto"/>
        <w:right w:val="none" w:sz="0" w:space="0" w:color="auto"/>
      </w:divBdr>
    </w:div>
    <w:div w:id="1262565781">
      <w:bodyDiv w:val="1"/>
      <w:marLeft w:val="0"/>
      <w:marRight w:val="0"/>
      <w:marTop w:val="0"/>
      <w:marBottom w:val="0"/>
      <w:divBdr>
        <w:top w:val="none" w:sz="0" w:space="0" w:color="auto"/>
        <w:left w:val="none" w:sz="0" w:space="0" w:color="auto"/>
        <w:bottom w:val="none" w:sz="0" w:space="0" w:color="auto"/>
        <w:right w:val="none" w:sz="0" w:space="0" w:color="auto"/>
      </w:divBdr>
    </w:div>
    <w:div w:id="1264342610">
      <w:bodyDiv w:val="1"/>
      <w:marLeft w:val="0"/>
      <w:marRight w:val="0"/>
      <w:marTop w:val="0"/>
      <w:marBottom w:val="0"/>
      <w:divBdr>
        <w:top w:val="none" w:sz="0" w:space="0" w:color="auto"/>
        <w:left w:val="none" w:sz="0" w:space="0" w:color="auto"/>
        <w:bottom w:val="none" w:sz="0" w:space="0" w:color="auto"/>
        <w:right w:val="none" w:sz="0" w:space="0" w:color="auto"/>
      </w:divBdr>
    </w:div>
    <w:div w:id="1267427208">
      <w:bodyDiv w:val="1"/>
      <w:marLeft w:val="0"/>
      <w:marRight w:val="0"/>
      <w:marTop w:val="0"/>
      <w:marBottom w:val="0"/>
      <w:divBdr>
        <w:top w:val="none" w:sz="0" w:space="0" w:color="auto"/>
        <w:left w:val="none" w:sz="0" w:space="0" w:color="auto"/>
        <w:bottom w:val="none" w:sz="0" w:space="0" w:color="auto"/>
        <w:right w:val="none" w:sz="0" w:space="0" w:color="auto"/>
      </w:divBdr>
    </w:div>
    <w:div w:id="1271469539">
      <w:bodyDiv w:val="1"/>
      <w:marLeft w:val="0"/>
      <w:marRight w:val="0"/>
      <w:marTop w:val="0"/>
      <w:marBottom w:val="0"/>
      <w:divBdr>
        <w:top w:val="none" w:sz="0" w:space="0" w:color="auto"/>
        <w:left w:val="none" w:sz="0" w:space="0" w:color="auto"/>
        <w:bottom w:val="none" w:sz="0" w:space="0" w:color="auto"/>
        <w:right w:val="none" w:sz="0" w:space="0" w:color="auto"/>
      </w:divBdr>
    </w:div>
    <w:div w:id="1278832290">
      <w:bodyDiv w:val="1"/>
      <w:marLeft w:val="0"/>
      <w:marRight w:val="0"/>
      <w:marTop w:val="0"/>
      <w:marBottom w:val="0"/>
      <w:divBdr>
        <w:top w:val="none" w:sz="0" w:space="0" w:color="auto"/>
        <w:left w:val="none" w:sz="0" w:space="0" w:color="auto"/>
        <w:bottom w:val="none" w:sz="0" w:space="0" w:color="auto"/>
        <w:right w:val="none" w:sz="0" w:space="0" w:color="auto"/>
      </w:divBdr>
    </w:div>
    <w:div w:id="1279143093">
      <w:bodyDiv w:val="1"/>
      <w:marLeft w:val="0"/>
      <w:marRight w:val="0"/>
      <w:marTop w:val="0"/>
      <w:marBottom w:val="0"/>
      <w:divBdr>
        <w:top w:val="none" w:sz="0" w:space="0" w:color="auto"/>
        <w:left w:val="none" w:sz="0" w:space="0" w:color="auto"/>
        <w:bottom w:val="none" w:sz="0" w:space="0" w:color="auto"/>
        <w:right w:val="none" w:sz="0" w:space="0" w:color="auto"/>
      </w:divBdr>
    </w:div>
    <w:div w:id="1283421871">
      <w:bodyDiv w:val="1"/>
      <w:marLeft w:val="0"/>
      <w:marRight w:val="0"/>
      <w:marTop w:val="0"/>
      <w:marBottom w:val="0"/>
      <w:divBdr>
        <w:top w:val="none" w:sz="0" w:space="0" w:color="auto"/>
        <w:left w:val="none" w:sz="0" w:space="0" w:color="auto"/>
        <w:bottom w:val="none" w:sz="0" w:space="0" w:color="auto"/>
        <w:right w:val="none" w:sz="0" w:space="0" w:color="auto"/>
      </w:divBdr>
    </w:div>
    <w:div w:id="1284995722">
      <w:bodyDiv w:val="1"/>
      <w:marLeft w:val="0"/>
      <w:marRight w:val="0"/>
      <w:marTop w:val="0"/>
      <w:marBottom w:val="0"/>
      <w:divBdr>
        <w:top w:val="none" w:sz="0" w:space="0" w:color="auto"/>
        <w:left w:val="none" w:sz="0" w:space="0" w:color="auto"/>
        <w:bottom w:val="none" w:sz="0" w:space="0" w:color="auto"/>
        <w:right w:val="none" w:sz="0" w:space="0" w:color="auto"/>
      </w:divBdr>
    </w:div>
    <w:div w:id="1285887076">
      <w:bodyDiv w:val="1"/>
      <w:marLeft w:val="0"/>
      <w:marRight w:val="0"/>
      <w:marTop w:val="0"/>
      <w:marBottom w:val="0"/>
      <w:divBdr>
        <w:top w:val="none" w:sz="0" w:space="0" w:color="auto"/>
        <w:left w:val="none" w:sz="0" w:space="0" w:color="auto"/>
        <w:bottom w:val="none" w:sz="0" w:space="0" w:color="auto"/>
        <w:right w:val="none" w:sz="0" w:space="0" w:color="auto"/>
      </w:divBdr>
    </w:div>
    <w:div w:id="1292442867">
      <w:bodyDiv w:val="1"/>
      <w:marLeft w:val="0"/>
      <w:marRight w:val="0"/>
      <w:marTop w:val="0"/>
      <w:marBottom w:val="0"/>
      <w:divBdr>
        <w:top w:val="none" w:sz="0" w:space="0" w:color="auto"/>
        <w:left w:val="none" w:sz="0" w:space="0" w:color="auto"/>
        <w:bottom w:val="none" w:sz="0" w:space="0" w:color="auto"/>
        <w:right w:val="none" w:sz="0" w:space="0" w:color="auto"/>
      </w:divBdr>
    </w:div>
    <w:div w:id="1294873451">
      <w:bodyDiv w:val="1"/>
      <w:marLeft w:val="0"/>
      <w:marRight w:val="0"/>
      <w:marTop w:val="0"/>
      <w:marBottom w:val="0"/>
      <w:divBdr>
        <w:top w:val="none" w:sz="0" w:space="0" w:color="auto"/>
        <w:left w:val="none" w:sz="0" w:space="0" w:color="auto"/>
        <w:bottom w:val="none" w:sz="0" w:space="0" w:color="auto"/>
        <w:right w:val="none" w:sz="0" w:space="0" w:color="auto"/>
      </w:divBdr>
    </w:div>
    <w:div w:id="1300064496">
      <w:bodyDiv w:val="1"/>
      <w:marLeft w:val="0"/>
      <w:marRight w:val="0"/>
      <w:marTop w:val="0"/>
      <w:marBottom w:val="0"/>
      <w:divBdr>
        <w:top w:val="none" w:sz="0" w:space="0" w:color="auto"/>
        <w:left w:val="none" w:sz="0" w:space="0" w:color="auto"/>
        <w:bottom w:val="none" w:sz="0" w:space="0" w:color="auto"/>
        <w:right w:val="none" w:sz="0" w:space="0" w:color="auto"/>
      </w:divBdr>
    </w:div>
    <w:div w:id="1303392558">
      <w:bodyDiv w:val="1"/>
      <w:marLeft w:val="0"/>
      <w:marRight w:val="0"/>
      <w:marTop w:val="0"/>
      <w:marBottom w:val="0"/>
      <w:divBdr>
        <w:top w:val="none" w:sz="0" w:space="0" w:color="auto"/>
        <w:left w:val="none" w:sz="0" w:space="0" w:color="auto"/>
        <w:bottom w:val="none" w:sz="0" w:space="0" w:color="auto"/>
        <w:right w:val="none" w:sz="0" w:space="0" w:color="auto"/>
      </w:divBdr>
    </w:div>
    <w:div w:id="1318338621">
      <w:bodyDiv w:val="1"/>
      <w:marLeft w:val="0"/>
      <w:marRight w:val="0"/>
      <w:marTop w:val="0"/>
      <w:marBottom w:val="0"/>
      <w:divBdr>
        <w:top w:val="none" w:sz="0" w:space="0" w:color="auto"/>
        <w:left w:val="none" w:sz="0" w:space="0" w:color="auto"/>
        <w:bottom w:val="none" w:sz="0" w:space="0" w:color="auto"/>
        <w:right w:val="none" w:sz="0" w:space="0" w:color="auto"/>
      </w:divBdr>
    </w:div>
    <w:div w:id="1319336604">
      <w:bodyDiv w:val="1"/>
      <w:marLeft w:val="0"/>
      <w:marRight w:val="0"/>
      <w:marTop w:val="0"/>
      <w:marBottom w:val="0"/>
      <w:divBdr>
        <w:top w:val="none" w:sz="0" w:space="0" w:color="auto"/>
        <w:left w:val="none" w:sz="0" w:space="0" w:color="auto"/>
        <w:bottom w:val="none" w:sz="0" w:space="0" w:color="auto"/>
        <w:right w:val="none" w:sz="0" w:space="0" w:color="auto"/>
      </w:divBdr>
    </w:div>
    <w:div w:id="1325546634">
      <w:bodyDiv w:val="1"/>
      <w:marLeft w:val="0"/>
      <w:marRight w:val="0"/>
      <w:marTop w:val="0"/>
      <w:marBottom w:val="0"/>
      <w:divBdr>
        <w:top w:val="none" w:sz="0" w:space="0" w:color="auto"/>
        <w:left w:val="none" w:sz="0" w:space="0" w:color="auto"/>
        <w:bottom w:val="none" w:sz="0" w:space="0" w:color="auto"/>
        <w:right w:val="none" w:sz="0" w:space="0" w:color="auto"/>
      </w:divBdr>
    </w:div>
    <w:div w:id="1330255428">
      <w:bodyDiv w:val="1"/>
      <w:marLeft w:val="0"/>
      <w:marRight w:val="0"/>
      <w:marTop w:val="0"/>
      <w:marBottom w:val="0"/>
      <w:divBdr>
        <w:top w:val="none" w:sz="0" w:space="0" w:color="auto"/>
        <w:left w:val="none" w:sz="0" w:space="0" w:color="auto"/>
        <w:bottom w:val="none" w:sz="0" w:space="0" w:color="auto"/>
        <w:right w:val="none" w:sz="0" w:space="0" w:color="auto"/>
      </w:divBdr>
    </w:div>
    <w:div w:id="1331103356">
      <w:bodyDiv w:val="1"/>
      <w:marLeft w:val="0"/>
      <w:marRight w:val="0"/>
      <w:marTop w:val="0"/>
      <w:marBottom w:val="0"/>
      <w:divBdr>
        <w:top w:val="none" w:sz="0" w:space="0" w:color="auto"/>
        <w:left w:val="none" w:sz="0" w:space="0" w:color="auto"/>
        <w:bottom w:val="none" w:sz="0" w:space="0" w:color="auto"/>
        <w:right w:val="none" w:sz="0" w:space="0" w:color="auto"/>
      </w:divBdr>
    </w:div>
    <w:div w:id="1332175747">
      <w:bodyDiv w:val="1"/>
      <w:marLeft w:val="0"/>
      <w:marRight w:val="0"/>
      <w:marTop w:val="0"/>
      <w:marBottom w:val="0"/>
      <w:divBdr>
        <w:top w:val="none" w:sz="0" w:space="0" w:color="auto"/>
        <w:left w:val="none" w:sz="0" w:space="0" w:color="auto"/>
        <w:bottom w:val="none" w:sz="0" w:space="0" w:color="auto"/>
        <w:right w:val="none" w:sz="0" w:space="0" w:color="auto"/>
      </w:divBdr>
    </w:div>
    <w:div w:id="1335642029">
      <w:bodyDiv w:val="1"/>
      <w:marLeft w:val="0"/>
      <w:marRight w:val="0"/>
      <w:marTop w:val="0"/>
      <w:marBottom w:val="0"/>
      <w:divBdr>
        <w:top w:val="none" w:sz="0" w:space="0" w:color="auto"/>
        <w:left w:val="none" w:sz="0" w:space="0" w:color="auto"/>
        <w:bottom w:val="none" w:sz="0" w:space="0" w:color="auto"/>
        <w:right w:val="none" w:sz="0" w:space="0" w:color="auto"/>
      </w:divBdr>
    </w:div>
    <w:div w:id="1338921208">
      <w:bodyDiv w:val="1"/>
      <w:marLeft w:val="0"/>
      <w:marRight w:val="0"/>
      <w:marTop w:val="0"/>
      <w:marBottom w:val="0"/>
      <w:divBdr>
        <w:top w:val="none" w:sz="0" w:space="0" w:color="auto"/>
        <w:left w:val="none" w:sz="0" w:space="0" w:color="auto"/>
        <w:bottom w:val="none" w:sz="0" w:space="0" w:color="auto"/>
        <w:right w:val="none" w:sz="0" w:space="0" w:color="auto"/>
      </w:divBdr>
    </w:div>
    <w:div w:id="1342851724">
      <w:bodyDiv w:val="1"/>
      <w:marLeft w:val="0"/>
      <w:marRight w:val="0"/>
      <w:marTop w:val="0"/>
      <w:marBottom w:val="0"/>
      <w:divBdr>
        <w:top w:val="none" w:sz="0" w:space="0" w:color="auto"/>
        <w:left w:val="none" w:sz="0" w:space="0" w:color="auto"/>
        <w:bottom w:val="none" w:sz="0" w:space="0" w:color="auto"/>
        <w:right w:val="none" w:sz="0" w:space="0" w:color="auto"/>
      </w:divBdr>
    </w:div>
    <w:div w:id="1343161127">
      <w:bodyDiv w:val="1"/>
      <w:marLeft w:val="0"/>
      <w:marRight w:val="0"/>
      <w:marTop w:val="0"/>
      <w:marBottom w:val="0"/>
      <w:divBdr>
        <w:top w:val="none" w:sz="0" w:space="0" w:color="auto"/>
        <w:left w:val="none" w:sz="0" w:space="0" w:color="auto"/>
        <w:bottom w:val="none" w:sz="0" w:space="0" w:color="auto"/>
        <w:right w:val="none" w:sz="0" w:space="0" w:color="auto"/>
      </w:divBdr>
    </w:div>
    <w:div w:id="1350181473">
      <w:bodyDiv w:val="1"/>
      <w:marLeft w:val="0"/>
      <w:marRight w:val="0"/>
      <w:marTop w:val="0"/>
      <w:marBottom w:val="0"/>
      <w:divBdr>
        <w:top w:val="none" w:sz="0" w:space="0" w:color="auto"/>
        <w:left w:val="none" w:sz="0" w:space="0" w:color="auto"/>
        <w:bottom w:val="none" w:sz="0" w:space="0" w:color="auto"/>
        <w:right w:val="none" w:sz="0" w:space="0" w:color="auto"/>
      </w:divBdr>
    </w:div>
    <w:div w:id="1351180525">
      <w:bodyDiv w:val="1"/>
      <w:marLeft w:val="0"/>
      <w:marRight w:val="0"/>
      <w:marTop w:val="0"/>
      <w:marBottom w:val="0"/>
      <w:divBdr>
        <w:top w:val="none" w:sz="0" w:space="0" w:color="auto"/>
        <w:left w:val="none" w:sz="0" w:space="0" w:color="auto"/>
        <w:bottom w:val="none" w:sz="0" w:space="0" w:color="auto"/>
        <w:right w:val="none" w:sz="0" w:space="0" w:color="auto"/>
      </w:divBdr>
    </w:div>
    <w:div w:id="1352755541">
      <w:bodyDiv w:val="1"/>
      <w:marLeft w:val="0"/>
      <w:marRight w:val="0"/>
      <w:marTop w:val="0"/>
      <w:marBottom w:val="0"/>
      <w:divBdr>
        <w:top w:val="none" w:sz="0" w:space="0" w:color="auto"/>
        <w:left w:val="none" w:sz="0" w:space="0" w:color="auto"/>
        <w:bottom w:val="none" w:sz="0" w:space="0" w:color="auto"/>
        <w:right w:val="none" w:sz="0" w:space="0" w:color="auto"/>
      </w:divBdr>
    </w:div>
    <w:div w:id="1356224175">
      <w:bodyDiv w:val="1"/>
      <w:marLeft w:val="0"/>
      <w:marRight w:val="0"/>
      <w:marTop w:val="0"/>
      <w:marBottom w:val="0"/>
      <w:divBdr>
        <w:top w:val="none" w:sz="0" w:space="0" w:color="auto"/>
        <w:left w:val="none" w:sz="0" w:space="0" w:color="auto"/>
        <w:bottom w:val="none" w:sz="0" w:space="0" w:color="auto"/>
        <w:right w:val="none" w:sz="0" w:space="0" w:color="auto"/>
      </w:divBdr>
    </w:div>
    <w:div w:id="1362896180">
      <w:bodyDiv w:val="1"/>
      <w:marLeft w:val="0"/>
      <w:marRight w:val="0"/>
      <w:marTop w:val="0"/>
      <w:marBottom w:val="0"/>
      <w:divBdr>
        <w:top w:val="none" w:sz="0" w:space="0" w:color="auto"/>
        <w:left w:val="none" w:sz="0" w:space="0" w:color="auto"/>
        <w:bottom w:val="none" w:sz="0" w:space="0" w:color="auto"/>
        <w:right w:val="none" w:sz="0" w:space="0" w:color="auto"/>
      </w:divBdr>
    </w:div>
    <w:div w:id="1369137062">
      <w:bodyDiv w:val="1"/>
      <w:marLeft w:val="0"/>
      <w:marRight w:val="0"/>
      <w:marTop w:val="0"/>
      <w:marBottom w:val="0"/>
      <w:divBdr>
        <w:top w:val="none" w:sz="0" w:space="0" w:color="auto"/>
        <w:left w:val="none" w:sz="0" w:space="0" w:color="auto"/>
        <w:bottom w:val="none" w:sz="0" w:space="0" w:color="auto"/>
        <w:right w:val="none" w:sz="0" w:space="0" w:color="auto"/>
      </w:divBdr>
    </w:div>
    <w:div w:id="1380670963">
      <w:bodyDiv w:val="1"/>
      <w:marLeft w:val="0"/>
      <w:marRight w:val="0"/>
      <w:marTop w:val="0"/>
      <w:marBottom w:val="0"/>
      <w:divBdr>
        <w:top w:val="none" w:sz="0" w:space="0" w:color="auto"/>
        <w:left w:val="none" w:sz="0" w:space="0" w:color="auto"/>
        <w:bottom w:val="none" w:sz="0" w:space="0" w:color="auto"/>
        <w:right w:val="none" w:sz="0" w:space="0" w:color="auto"/>
      </w:divBdr>
    </w:div>
    <w:div w:id="1381054769">
      <w:bodyDiv w:val="1"/>
      <w:marLeft w:val="0"/>
      <w:marRight w:val="0"/>
      <w:marTop w:val="0"/>
      <w:marBottom w:val="0"/>
      <w:divBdr>
        <w:top w:val="none" w:sz="0" w:space="0" w:color="auto"/>
        <w:left w:val="none" w:sz="0" w:space="0" w:color="auto"/>
        <w:bottom w:val="none" w:sz="0" w:space="0" w:color="auto"/>
        <w:right w:val="none" w:sz="0" w:space="0" w:color="auto"/>
      </w:divBdr>
    </w:div>
    <w:div w:id="1382175159">
      <w:bodyDiv w:val="1"/>
      <w:marLeft w:val="0"/>
      <w:marRight w:val="0"/>
      <w:marTop w:val="0"/>
      <w:marBottom w:val="0"/>
      <w:divBdr>
        <w:top w:val="none" w:sz="0" w:space="0" w:color="auto"/>
        <w:left w:val="none" w:sz="0" w:space="0" w:color="auto"/>
        <w:bottom w:val="none" w:sz="0" w:space="0" w:color="auto"/>
        <w:right w:val="none" w:sz="0" w:space="0" w:color="auto"/>
      </w:divBdr>
    </w:div>
    <w:div w:id="1383560812">
      <w:bodyDiv w:val="1"/>
      <w:marLeft w:val="0"/>
      <w:marRight w:val="0"/>
      <w:marTop w:val="0"/>
      <w:marBottom w:val="0"/>
      <w:divBdr>
        <w:top w:val="none" w:sz="0" w:space="0" w:color="auto"/>
        <w:left w:val="none" w:sz="0" w:space="0" w:color="auto"/>
        <w:bottom w:val="none" w:sz="0" w:space="0" w:color="auto"/>
        <w:right w:val="none" w:sz="0" w:space="0" w:color="auto"/>
      </w:divBdr>
    </w:div>
    <w:div w:id="1384400772">
      <w:bodyDiv w:val="1"/>
      <w:marLeft w:val="0"/>
      <w:marRight w:val="0"/>
      <w:marTop w:val="0"/>
      <w:marBottom w:val="0"/>
      <w:divBdr>
        <w:top w:val="none" w:sz="0" w:space="0" w:color="auto"/>
        <w:left w:val="none" w:sz="0" w:space="0" w:color="auto"/>
        <w:bottom w:val="none" w:sz="0" w:space="0" w:color="auto"/>
        <w:right w:val="none" w:sz="0" w:space="0" w:color="auto"/>
      </w:divBdr>
    </w:div>
    <w:div w:id="1392387802">
      <w:bodyDiv w:val="1"/>
      <w:marLeft w:val="0"/>
      <w:marRight w:val="0"/>
      <w:marTop w:val="0"/>
      <w:marBottom w:val="0"/>
      <w:divBdr>
        <w:top w:val="none" w:sz="0" w:space="0" w:color="auto"/>
        <w:left w:val="none" w:sz="0" w:space="0" w:color="auto"/>
        <w:bottom w:val="none" w:sz="0" w:space="0" w:color="auto"/>
        <w:right w:val="none" w:sz="0" w:space="0" w:color="auto"/>
      </w:divBdr>
    </w:div>
    <w:div w:id="1399549101">
      <w:bodyDiv w:val="1"/>
      <w:marLeft w:val="0"/>
      <w:marRight w:val="0"/>
      <w:marTop w:val="0"/>
      <w:marBottom w:val="0"/>
      <w:divBdr>
        <w:top w:val="none" w:sz="0" w:space="0" w:color="auto"/>
        <w:left w:val="none" w:sz="0" w:space="0" w:color="auto"/>
        <w:bottom w:val="none" w:sz="0" w:space="0" w:color="auto"/>
        <w:right w:val="none" w:sz="0" w:space="0" w:color="auto"/>
      </w:divBdr>
    </w:div>
    <w:div w:id="1408267627">
      <w:bodyDiv w:val="1"/>
      <w:marLeft w:val="0"/>
      <w:marRight w:val="0"/>
      <w:marTop w:val="0"/>
      <w:marBottom w:val="0"/>
      <w:divBdr>
        <w:top w:val="none" w:sz="0" w:space="0" w:color="auto"/>
        <w:left w:val="none" w:sz="0" w:space="0" w:color="auto"/>
        <w:bottom w:val="none" w:sz="0" w:space="0" w:color="auto"/>
        <w:right w:val="none" w:sz="0" w:space="0" w:color="auto"/>
      </w:divBdr>
    </w:div>
    <w:div w:id="1408771002">
      <w:bodyDiv w:val="1"/>
      <w:marLeft w:val="0"/>
      <w:marRight w:val="0"/>
      <w:marTop w:val="0"/>
      <w:marBottom w:val="0"/>
      <w:divBdr>
        <w:top w:val="none" w:sz="0" w:space="0" w:color="auto"/>
        <w:left w:val="none" w:sz="0" w:space="0" w:color="auto"/>
        <w:bottom w:val="none" w:sz="0" w:space="0" w:color="auto"/>
        <w:right w:val="none" w:sz="0" w:space="0" w:color="auto"/>
      </w:divBdr>
    </w:div>
    <w:div w:id="1413162865">
      <w:bodyDiv w:val="1"/>
      <w:marLeft w:val="0"/>
      <w:marRight w:val="0"/>
      <w:marTop w:val="0"/>
      <w:marBottom w:val="0"/>
      <w:divBdr>
        <w:top w:val="none" w:sz="0" w:space="0" w:color="auto"/>
        <w:left w:val="none" w:sz="0" w:space="0" w:color="auto"/>
        <w:bottom w:val="none" w:sz="0" w:space="0" w:color="auto"/>
        <w:right w:val="none" w:sz="0" w:space="0" w:color="auto"/>
      </w:divBdr>
    </w:div>
    <w:div w:id="1416591708">
      <w:bodyDiv w:val="1"/>
      <w:marLeft w:val="0"/>
      <w:marRight w:val="0"/>
      <w:marTop w:val="0"/>
      <w:marBottom w:val="0"/>
      <w:divBdr>
        <w:top w:val="none" w:sz="0" w:space="0" w:color="auto"/>
        <w:left w:val="none" w:sz="0" w:space="0" w:color="auto"/>
        <w:bottom w:val="none" w:sz="0" w:space="0" w:color="auto"/>
        <w:right w:val="none" w:sz="0" w:space="0" w:color="auto"/>
      </w:divBdr>
    </w:div>
    <w:div w:id="1427455009">
      <w:bodyDiv w:val="1"/>
      <w:marLeft w:val="0"/>
      <w:marRight w:val="0"/>
      <w:marTop w:val="0"/>
      <w:marBottom w:val="0"/>
      <w:divBdr>
        <w:top w:val="none" w:sz="0" w:space="0" w:color="auto"/>
        <w:left w:val="none" w:sz="0" w:space="0" w:color="auto"/>
        <w:bottom w:val="none" w:sz="0" w:space="0" w:color="auto"/>
        <w:right w:val="none" w:sz="0" w:space="0" w:color="auto"/>
      </w:divBdr>
    </w:div>
    <w:div w:id="1427459231">
      <w:bodyDiv w:val="1"/>
      <w:marLeft w:val="0"/>
      <w:marRight w:val="0"/>
      <w:marTop w:val="0"/>
      <w:marBottom w:val="0"/>
      <w:divBdr>
        <w:top w:val="none" w:sz="0" w:space="0" w:color="auto"/>
        <w:left w:val="none" w:sz="0" w:space="0" w:color="auto"/>
        <w:bottom w:val="none" w:sz="0" w:space="0" w:color="auto"/>
        <w:right w:val="none" w:sz="0" w:space="0" w:color="auto"/>
      </w:divBdr>
    </w:div>
    <w:div w:id="1429230442">
      <w:bodyDiv w:val="1"/>
      <w:marLeft w:val="0"/>
      <w:marRight w:val="0"/>
      <w:marTop w:val="0"/>
      <w:marBottom w:val="0"/>
      <w:divBdr>
        <w:top w:val="none" w:sz="0" w:space="0" w:color="auto"/>
        <w:left w:val="none" w:sz="0" w:space="0" w:color="auto"/>
        <w:bottom w:val="none" w:sz="0" w:space="0" w:color="auto"/>
        <w:right w:val="none" w:sz="0" w:space="0" w:color="auto"/>
      </w:divBdr>
    </w:div>
    <w:div w:id="1432160679">
      <w:bodyDiv w:val="1"/>
      <w:marLeft w:val="0"/>
      <w:marRight w:val="0"/>
      <w:marTop w:val="0"/>
      <w:marBottom w:val="0"/>
      <w:divBdr>
        <w:top w:val="none" w:sz="0" w:space="0" w:color="auto"/>
        <w:left w:val="none" w:sz="0" w:space="0" w:color="auto"/>
        <w:bottom w:val="none" w:sz="0" w:space="0" w:color="auto"/>
        <w:right w:val="none" w:sz="0" w:space="0" w:color="auto"/>
      </w:divBdr>
    </w:div>
    <w:div w:id="1433863184">
      <w:bodyDiv w:val="1"/>
      <w:marLeft w:val="0"/>
      <w:marRight w:val="0"/>
      <w:marTop w:val="0"/>
      <w:marBottom w:val="0"/>
      <w:divBdr>
        <w:top w:val="none" w:sz="0" w:space="0" w:color="auto"/>
        <w:left w:val="none" w:sz="0" w:space="0" w:color="auto"/>
        <w:bottom w:val="none" w:sz="0" w:space="0" w:color="auto"/>
        <w:right w:val="none" w:sz="0" w:space="0" w:color="auto"/>
      </w:divBdr>
    </w:div>
    <w:div w:id="1434090251">
      <w:bodyDiv w:val="1"/>
      <w:marLeft w:val="0"/>
      <w:marRight w:val="0"/>
      <w:marTop w:val="0"/>
      <w:marBottom w:val="0"/>
      <w:divBdr>
        <w:top w:val="none" w:sz="0" w:space="0" w:color="auto"/>
        <w:left w:val="none" w:sz="0" w:space="0" w:color="auto"/>
        <w:bottom w:val="none" w:sz="0" w:space="0" w:color="auto"/>
        <w:right w:val="none" w:sz="0" w:space="0" w:color="auto"/>
      </w:divBdr>
    </w:div>
    <w:div w:id="1456019151">
      <w:bodyDiv w:val="1"/>
      <w:marLeft w:val="0"/>
      <w:marRight w:val="0"/>
      <w:marTop w:val="0"/>
      <w:marBottom w:val="0"/>
      <w:divBdr>
        <w:top w:val="none" w:sz="0" w:space="0" w:color="auto"/>
        <w:left w:val="none" w:sz="0" w:space="0" w:color="auto"/>
        <w:bottom w:val="none" w:sz="0" w:space="0" w:color="auto"/>
        <w:right w:val="none" w:sz="0" w:space="0" w:color="auto"/>
      </w:divBdr>
    </w:div>
    <w:div w:id="1456870113">
      <w:bodyDiv w:val="1"/>
      <w:marLeft w:val="0"/>
      <w:marRight w:val="0"/>
      <w:marTop w:val="0"/>
      <w:marBottom w:val="0"/>
      <w:divBdr>
        <w:top w:val="none" w:sz="0" w:space="0" w:color="auto"/>
        <w:left w:val="none" w:sz="0" w:space="0" w:color="auto"/>
        <w:bottom w:val="none" w:sz="0" w:space="0" w:color="auto"/>
        <w:right w:val="none" w:sz="0" w:space="0" w:color="auto"/>
      </w:divBdr>
    </w:div>
    <w:div w:id="1463571127">
      <w:bodyDiv w:val="1"/>
      <w:marLeft w:val="0"/>
      <w:marRight w:val="0"/>
      <w:marTop w:val="0"/>
      <w:marBottom w:val="0"/>
      <w:divBdr>
        <w:top w:val="none" w:sz="0" w:space="0" w:color="auto"/>
        <w:left w:val="none" w:sz="0" w:space="0" w:color="auto"/>
        <w:bottom w:val="none" w:sz="0" w:space="0" w:color="auto"/>
        <w:right w:val="none" w:sz="0" w:space="0" w:color="auto"/>
      </w:divBdr>
    </w:div>
    <w:div w:id="1470055028">
      <w:bodyDiv w:val="1"/>
      <w:marLeft w:val="0"/>
      <w:marRight w:val="0"/>
      <w:marTop w:val="0"/>
      <w:marBottom w:val="0"/>
      <w:divBdr>
        <w:top w:val="none" w:sz="0" w:space="0" w:color="auto"/>
        <w:left w:val="none" w:sz="0" w:space="0" w:color="auto"/>
        <w:bottom w:val="none" w:sz="0" w:space="0" w:color="auto"/>
        <w:right w:val="none" w:sz="0" w:space="0" w:color="auto"/>
      </w:divBdr>
    </w:div>
    <w:div w:id="1470169495">
      <w:bodyDiv w:val="1"/>
      <w:marLeft w:val="0"/>
      <w:marRight w:val="0"/>
      <w:marTop w:val="0"/>
      <w:marBottom w:val="0"/>
      <w:divBdr>
        <w:top w:val="none" w:sz="0" w:space="0" w:color="auto"/>
        <w:left w:val="none" w:sz="0" w:space="0" w:color="auto"/>
        <w:bottom w:val="none" w:sz="0" w:space="0" w:color="auto"/>
        <w:right w:val="none" w:sz="0" w:space="0" w:color="auto"/>
      </w:divBdr>
    </w:div>
    <w:div w:id="1477182841">
      <w:bodyDiv w:val="1"/>
      <w:marLeft w:val="0"/>
      <w:marRight w:val="0"/>
      <w:marTop w:val="0"/>
      <w:marBottom w:val="0"/>
      <w:divBdr>
        <w:top w:val="none" w:sz="0" w:space="0" w:color="auto"/>
        <w:left w:val="none" w:sz="0" w:space="0" w:color="auto"/>
        <w:bottom w:val="none" w:sz="0" w:space="0" w:color="auto"/>
        <w:right w:val="none" w:sz="0" w:space="0" w:color="auto"/>
      </w:divBdr>
    </w:div>
    <w:div w:id="1479375252">
      <w:bodyDiv w:val="1"/>
      <w:marLeft w:val="0"/>
      <w:marRight w:val="0"/>
      <w:marTop w:val="0"/>
      <w:marBottom w:val="0"/>
      <w:divBdr>
        <w:top w:val="none" w:sz="0" w:space="0" w:color="auto"/>
        <w:left w:val="none" w:sz="0" w:space="0" w:color="auto"/>
        <w:bottom w:val="none" w:sz="0" w:space="0" w:color="auto"/>
        <w:right w:val="none" w:sz="0" w:space="0" w:color="auto"/>
      </w:divBdr>
      <w:divsChild>
        <w:div w:id="1815485911">
          <w:marLeft w:val="0"/>
          <w:marRight w:val="0"/>
          <w:marTop w:val="0"/>
          <w:marBottom w:val="0"/>
          <w:divBdr>
            <w:top w:val="none" w:sz="0" w:space="0" w:color="auto"/>
            <w:left w:val="none" w:sz="0" w:space="0" w:color="auto"/>
            <w:bottom w:val="none" w:sz="0" w:space="0" w:color="auto"/>
            <w:right w:val="none" w:sz="0" w:space="0" w:color="auto"/>
          </w:divBdr>
          <w:divsChild>
            <w:div w:id="1823497228">
              <w:marLeft w:val="0"/>
              <w:marRight w:val="0"/>
              <w:marTop w:val="0"/>
              <w:marBottom w:val="0"/>
              <w:divBdr>
                <w:top w:val="none" w:sz="0" w:space="0" w:color="auto"/>
                <w:left w:val="none" w:sz="0" w:space="0" w:color="auto"/>
                <w:bottom w:val="none" w:sz="0" w:space="0" w:color="auto"/>
                <w:right w:val="none" w:sz="0" w:space="0" w:color="auto"/>
              </w:divBdr>
              <w:divsChild>
                <w:div w:id="433481635">
                  <w:marLeft w:val="0"/>
                  <w:marRight w:val="0"/>
                  <w:marTop w:val="0"/>
                  <w:marBottom w:val="0"/>
                  <w:divBdr>
                    <w:top w:val="none" w:sz="0" w:space="0" w:color="auto"/>
                    <w:left w:val="none" w:sz="0" w:space="0" w:color="auto"/>
                    <w:bottom w:val="none" w:sz="0" w:space="0" w:color="auto"/>
                    <w:right w:val="none" w:sz="0" w:space="0" w:color="auto"/>
                  </w:divBdr>
                  <w:divsChild>
                    <w:div w:id="1325551872">
                      <w:marLeft w:val="0"/>
                      <w:marRight w:val="0"/>
                      <w:marTop w:val="0"/>
                      <w:marBottom w:val="0"/>
                      <w:divBdr>
                        <w:top w:val="none" w:sz="0" w:space="0" w:color="auto"/>
                        <w:left w:val="none" w:sz="0" w:space="0" w:color="auto"/>
                        <w:bottom w:val="none" w:sz="0" w:space="0" w:color="auto"/>
                        <w:right w:val="none" w:sz="0" w:space="0" w:color="auto"/>
                      </w:divBdr>
                      <w:divsChild>
                        <w:div w:id="129131880">
                          <w:marLeft w:val="0"/>
                          <w:marRight w:val="0"/>
                          <w:marTop w:val="0"/>
                          <w:marBottom w:val="0"/>
                          <w:divBdr>
                            <w:top w:val="none" w:sz="0" w:space="0" w:color="auto"/>
                            <w:left w:val="none" w:sz="0" w:space="0" w:color="auto"/>
                            <w:bottom w:val="none" w:sz="0" w:space="0" w:color="auto"/>
                            <w:right w:val="none" w:sz="0" w:space="0" w:color="auto"/>
                          </w:divBdr>
                          <w:divsChild>
                            <w:div w:id="669602061">
                              <w:marLeft w:val="0"/>
                              <w:marRight w:val="0"/>
                              <w:marTop w:val="0"/>
                              <w:marBottom w:val="0"/>
                              <w:divBdr>
                                <w:top w:val="none" w:sz="0" w:space="0" w:color="auto"/>
                                <w:left w:val="none" w:sz="0" w:space="0" w:color="auto"/>
                                <w:bottom w:val="none" w:sz="0" w:space="0" w:color="auto"/>
                                <w:right w:val="none" w:sz="0" w:space="0" w:color="auto"/>
                              </w:divBdr>
                            </w:div>
                          </w:divsChild>
                        </w:div>
                        <w:div w:id="2110849680">
                          <w:marLeft w:val="0"/>
                          <w:marRight w:val="0"/>
                          <w:marTop w:val="0"/>
                          <w:marBottom w:val="0"/>
                          <w:divBdr>
                            <w:top w:val="none" w:sz="0" w:space="0" w:color="auto"/>
                            <w:left w:val="none" w:sz="0" w:space="0" w:color="auto"/>
                            <w:bottom w:val="none" w:sz="0" w:space="0" w:color="auto"/>
                            <w:right w:val="none" w:sz="0" w:space="0" w:color="auto"/>
                          </w:divBdr>
                          <w:divsChild>
                            <w:div w:id="17567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114980">
      <w:bodyDiv w:val="1"/>
      <w:marLeft w:val="0"/>
      <w:marRight w:val="0"/>
      <w:marTop w:val="0"/>
      <w:marBottom w:val="0"/>
      <w:divBdr>
        <w:top w:val="none" w:sz="0" w:space="0" w:color="auto"/>
        <w:left w:val="none" w:sz="0" w:space="0" w:color="auto"/>
        <w:bottom w:val="none" w:sz="0" w:space="0" w:color="auto"/>
        <w:right w:val="none" w:sz="0" w:space="0" w:color="auto"/>
      </w:divBdr>
    </w:div>
    <w:div w:id="1483035412">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493453024">
      <w:bodyDiv w:val="1"/>
      <w:marLeft w:val="0"/>
      <w:marRight w:val="0"/>
      <w:marTop w:val="0"/>
      <w:marBottom w:val="0"/>
      <w:divBdr>
        <w:top w:val="none" w:sz="0" w:space="0" w:color="auto"/>
        <w:left w:val="none" w:sz="0" w:space="0" w:color="auto"/>
        <w:bottom w:val="none" w:sz="0" w:space="0" w:color="auto"/>
        <w:right w:val="none" w:sz="0" w:space="0" w:color="auto"/>
      </w:divBdr>
    </w:div>
    <w:div w:id="1502239007">
      <w:bodyDiv w:val="1"/>
      <w:marLeft w:val="0"/>
      <w:marRight w:val="0"/>
      <w:marTop w:val="0"/>
      <w:marBottom w:val="0"/>
      <w:divBdr>
        <w:top w:val="none" w:sz="0" w:space="0" w:color="auto"/>
        <w:left w:val="none" w:sz="0" w:space="0" w:color="auto"/>
        <w:bottom w:val="none" w:sz="0" w:space="0" w:color="auto"/>
        <w:right w:val="none" w:sz="0" w:space="0" w:color="auto"/>
      </w:divBdr>
    </w:div>
    <w:div w:id="1503010642">
      <w:bodyDiv w:val="1"/>
      <w:marLeft w:val="0"/>
      <w:marRight w:val="0"/>
      <w:marTop w:val="0"/>
      <w:marBottom w:val="0"/>
      <w:divBdr>
        <w:top w:val="none" w:sz="0" w:space="0" w:color="auto"/>
        <w:left w:val="none" w:sz="0" w:space="0" w:color="auto"/>
        <w:bottom w:val="none" w:sz="0" w:space="0" w:color="auto"/>
        <w:right w:val="none" w:sz="0" w:space="0" w:color="auto"/>
      </w:divBdr>
    </w:div>
    <w:div w:id="1510755811">
      <w:bodyDiv w:val="1"/>
      <w:marLeft w:val="0"/>
      <w:marRight w:val="0"/>
      <w:marTop w:val="0"/>
      <w:marBottom w:val="0"/>
      <w:divBdr>
        <w:top w:val="none" w:sz="0" w:space="0" w:color="auto"/>
        <w:left w:val="none" w:sz="0" w:space="0" w:color="auto"/>
        <w:bottom w:val="none" w:sz="0" w:space="0" w:color="auto"/>
        <w:right w:val="none" w:sz="0" w:space="0" w:color="auto"/>
      </w:divBdr>
    </w:div>
    <w:div w:id="1512454982">
      <w:bodyDiv w:val="1"/>
      <w:marLeft w:val="0"/>
      <w:marRight w:val="0"/>
      <w:marTop w:val="0"/>
      <w:marBottom w:val="0"/>
      <w:divBdr>
        <w:top w:val="none" w:sz="0" w:space="0" w:color="auto"/>
        <w:left w:val="none" w:sz="0" w:space="0" w:color="auto"/>
        <w:bottom w:val="none" w:sz="0" w:space="0" w:color="auto"/>
        <w:right w:val="none" w:sz="0" w:space="0" w:color="auto"/>
      </w:divBdr>
    </w:div>
    <w:div w:id="1517889230">
      <w:bodyDiv w:val="1"/>
      <w:marLeft w:val="0"/>
      <w:marRight w:val="0"/>
      <w:marTop w:val="0"/>
      <w:marBottom w:val="0"/>
      <w:divBdr>
        <w:top w:val="none" w:sz="0" w:space="0" w:color="auto"/>
        <w:left w:val="none" w:sz="0" w:space="0" w:color="auto"/>
        <w:bottom w:val="none" w:sz="0" w:space="0" w:color="auto"/>
        <w:right w:val="none" w:sz="0" w:space="0" w:color="auto"/>
      </w:divBdr>
    </w:div>
    <w:div w:id="1523397062">
      <w:bodyDiv w:val="1"/>
      <w:marLeft w:val="0"/>
      <w:marRight w:val="0"/>
      <w:marTop w:val="0"/>
      <w:marBottom w:val="0"/>
      <w:divBdr>
        <w:top w:val="none" w:sz="0" w:space="0" w:color="auto"/>
        <w:left w:val="none" w:sz="0" w:space="0" w:color="auto"/>
        <w:bottom w:val="none" w:sz="0" w:space="0" w:color="auto"/>
        <w:right w:val="none" w:sz="0" w:space="0" w:color="auto"/>
      </w:divBdr>
    </w:div>
    <w:div w:id="1525971911">
      <w:bodyDiv w:val="1"/>
      <w:marLeft w:val="0"/>
      <w:marRight w:val="0"/>
      <w:marTop w:val="0"/>
      <w:marBottom w:val="0"/>
      <w:divBdr>
        <w:top w:val="none" w:sz="0" w:space="0" w:color="auto"/>
        <w:left w:val="none" w:sz="0" w:space="0" w:color="auto"/>
        <w:bottom w:val="none" w:sz="0" w:space="0" w:color="auto"/>
        <w:right w:val="none" w:sz="0" w:space="0" w:color="auto"/>
      </w:divBdr>
    </w:div>
    <w:div w:id="1534997006">
      <w:bodyDiv w:val="1"/>
      <w:marLeft w:val="0"/>
      <w:marRight w:val="0"/>
      <w:marTop w:val="0"/>
      <w:marBottom w:val="0"/>
      <w:divBdr>
        <w:top w:val="none" w:sz="0" w:space="0" w:color="auto"/>
        <w:left w:val="none" w:sz="0" w:space="0" w:color="auto"/>
        <w:bottom w:val="none" w:sz="0" w:space="0" w:color="auto"/>
        <w:right w:val="none" w:sz="0" w:space="0" w:color="auto"/>
      </w:divBdr>
      <w:divsChild>
        <w:div w:id="1619214246">
          <w:marLeft w:val="0"/>
          <w:marRight w:val="0"/>
          <w:marTop w:val="240"/>
          <w:marBottom w:val="0"/>
          <w:divBdr>
            <w:top w:val="none" w:sz="0" w:space="0" w:color="auto"/>
            <w:left w:val="none" w:sz="0" w:space="0" w:color="auto"/>
            <w:bottom w:val="none" w:sz="0" w:space="0" w:color="auto"/>
            <w:right w:val="none" w:sz="0" w:space="0" w:color="auto"/>
          </w:divBdr>
        </w:div>
      </w:divsChild>
    </w:div>
    <w:div w:id="1536383370">
      <w:bodyDiv w:val="1"/>
      <w:marLeft w:val="0"/>
      <w:marRight w:val="0"/>
      <w:marTop w:val="0"/>
      <w:marBottom w:val="0"/>
      <w:divBdr>
        <w:top w:val="none" w:sz="0" w:space="0" w:color="auto"/>
        <w:left w:val="none" w:sz="0" w:space="0" w:color="auto"/>
        <w:bottom w:val="none" w:sz="0" w:space="0" w:color="auto"/>
        <w:right w:val="none" w:sz="0" w:space="0" w:color="auto"/>
      </w:divBdr>
    </w:div>
    <w:div w:id="1536426593">
      <w:bodyDiv w:val="1"/>
      <w:marLeft w:val="0"/>
      <w:marRight w:val="0"/>
      <w:marTop w:val="0"/>
      <w:marBottom w:val="0"/>
      <w:divBdr>
        <w:top w:val="none" w:sz="0" w:space="0" w:color="auto"/>
        <w:left w:val="none" w:sz="0" w:space="0" w:color="auto"/>
        <w:bottom w:val="none" w:sz="0" w:space="0" w:color="auto"/>
        <w:right w:val="none" w:sz="0" w:space="0" w:color="auto"/>
      </w:divBdr>
      <w:divsChild>
        <w:div w:id="1241060122">
          <w:marLeft w:val="0"/>
          <w:marRight w:val="0"/>
          <w:marTop w:val="0"/>
          <w:marBottom w:val="567"/>
          <w:divBdr>
            <w:top w:val="none" w:sz="0" w:space="0" w:color="auto"/>
            <w:left w:val="none" w:sz="0" w:space="0" w:color="auto"/>
            <w:bottom w:val="none" w:sz="0" w:space="0" w:color="auto"/>
            <w:right w:val="none" w:sz="0" w:space="0" w:color="auto"/>
          </w:divBdr>
        </w:div>
        <w:div w:id="1256476199">
          <w:marLeft w:val="0"/>
          <w:marRight w:val="0"/>
          <w:marTop w:val="480"/>
          <w:marBottom w:val="240"/>
          <w:divBdr>
            <w:top w:val="none" w:sz="0" w:space="0" w:color="auto"/>
            <w:left w:val="none" w:sz="0" w:space="0" w:color="auto"/>
            <w:bottom w:val="none" w:sz="0" w:space="0" w:color="auto"/>
            <w:right w:val="none" w:sz="0" w:space="0" w:color="auto"/>
          </w:divBdr>
        </w:div>
      </w:divsChild>
    </w:div>
    <w:div w:id="1537430486">
      <w:bodyDiv w:val="1"/>
      <w:marLeft w:val="0"/>
      <w:marRight w:val="0"/>
      <w:marTop w:val="0"/>
      <w:marBottom w:val="0"/>
      <w:divBdr>
        <w:top w:val="none" w:sz="0" w:space="0" w:color="auto"/>
        <w:left w:val="none" w:sz="0" w:space="0" w:color="auto"/>
        <w:bottom w:val="none" w:sz="0" w:space="0" w:color="auto"/>
        <w:right w:val="none" w:sz="0" w:space="0" w:color="auto"/>
      </w:divBdr>
    </w:div>
    <w:div w:id="1539077215">
      <w:bodyDiv w:val="1"/>
      <w:marLeft w:val="0"/>
      <w:marRight w:val="0"/>
      <w:marTop w:val="0"/>
      <w:marBottom w:val="0"/>
      <w:divBdr>
        <w:top w:val="none" w:sz="0" w:space="0" w:color="auto"/>
        <w:left w:val="none" w:sz="0" w:space="0" w:color="auto"/>
        <w:bottom w:val="none" w:sz="0" w:space="0" w:color="auto"/>
        <w:right w:val="none" w:sz="0" w:space="0" w:color="auto"/>
      </w:divBdr>
    </w:div>
    <w:div w:id="1540169531">
      <w:bodyDiv w:val="1"/>
      <w:marLeft w:val="0"/>
      <w:marRight w:val="0"/>
      <w:marTop w:val="0"/>
      <w:marBottom w:val="0"/>
      <w:divBdr>
        <w:top w:val="none" w:sz="0" w:space="0" w:color="auto"/>
        <w:left w:val="none" w:sz="0" w:space="0" w:color="auto"/>
        <w:bottom w:val="none" w:sz="0" w:space="0" w:color="auto"/>
        <w:right w:val="none" w:sz="0" w:space="0" w:color="auto"/>
      </w:divBdr>
    </w:div>
    <w:div w:id="1546603886">
      <w:bodyDiv w:val="1"/>
      <w:marLeft w:val="0"/>
      <w:marRight w:val="0"/>
      <w:marTop w:val="0"/>
      <w:marBottom w:val="0"/>
      <w:divBdr>
        <w:top w:val="none" w:sz="0" w:space="0" w:color="auto"/>
        <w:left w:val="none" w:sz="0" w:space="0" w:color="auto"/>
        <w:bottom w:val="none" w:sz="0" w:space="0" w:color="auto"/>
        <w:right w:val="none" w:sz="0" w:space="0" w:color="auto"/>
      </w:divBdr>
    </w:div>
    <w:div w:id="1553351499">
      <w:bodyDiv w:val="1"/>
      <w:marLeft w:val="0"/>
      <w:marRight w:val="0"/>
      <w:marTop w:val="0"/>
      <w:marBottom w:val="0"/>
      <w:divBdr>
        <w:top w:val="none" w:sz="0" w:space="0" w:color="auto"/>
        <w:left w:val="none" w:sz="0" w:space="0" w:color="auto"/>
        <w:bottom w:val="none" w:sz="0" w:space="0" w:color="auto"/>
        <w:right w:val="none" w:sz="0" w:space="0" w:color="auto"/>
      </w:divBdr>
    </w:div>
    <w:div w:id="1554609863">
      <w:bodyDiv w:val="1"/>
      <w:marLeft w:val="0"/>
      <w:marRight w:val="0"/>
      <w:marTop w:val="0"/>
      <w:marBottom w:val="0"/>
      <w:divBdr>
        <w:top w:val="none" w:sz="0" w:space="0" w:color="auto"/>
        <w:left w:val="none" w:sz="0" w:space="0" w:color="auto"/>
        <w:bottom w:val="none" w:sz="0" w:space="0" w:color="auto"/>
        <w:right w:val="none" w:sz="0" w:space="0" w:color="auto"/>
      </w:divBdr>
    </w:div>
    <w:div w:id="1554806947">
      <w:bodyDiv w:val="1"/>
      <w:marLeft w:val="0"/>
      <w:marRight w:val="0"/>
      <w:marTop w:val="0"/>
      <w:marBottom w:val="0"/>
      <w:divBdr>
        <w:top w:val="none" w:sz="0" w:space="0" w:color="auto"/>
        <w:left w:val="none" w:sz="0" w:space="0" w:color="auto"/>
        <w:bottom w:val="none" w:sz="0" w:space="0" w:color="auto"/>
        <w:right w:val="none" w:sz="0" w:space="0" w:color="auto"/>
      </w:divBdr>
    </w:div>
    <w:div w:id="1558467701">
      <w:bodyDiv w:val="1"/>
      <w:marLeft w:val="0"/>
      <w:marRight w:val="0"/>
      <w:marTop w:val="0"/>
      <w:marBottom w:val="0"/>
      <w:divBdr>
        <w:top w:val="none" w:sz="0" w:space="0" w:color="auto"/>
        <w:left w:val="none" w:sz="0" w:space="0" w:color="auto"/>
        <w:bottom w:val="none" w:sz="0" w:space="0" w:color="auto"/>
        <w:right w:val="none" w:sz="0" w:space="0" w:color="auto"/>
      </w:divBdr>
    </w:div>
    <w:div w:id="1561408121">
      <w:bodyDiv w:val="1"/>
      <w:marLeft w:val="0"/>
      <w:marRight w:val="0"/>
      <w:marTop w:val="0"/>
      <w:marBottom w:val="0"/>
      <w:divBdr>
        <w:top w:val="none" w:sz="0" w:space="0" w:color="auto"/>
        <w:left w:val="none" w:sz="0" w:space="0" w:color="auto"/>
        <w:bottom w:val="none" w:sz="0" w:space="0" w:color="auto"/>
        <w:right w:val="none" w:sz="0" w:space="0" w:color="auto"/>
      </w:divBdr>
    </w:div>
    <w:div w:id="1576017330">
      <w:bodyDiv w:val="1"/>
      <w:marLeft w:val="0"/>
      <w:marRight w:val="0"/>
      <w:marTop w:val="0"/>
      <w:marBottom w:val="0"/>
      <w:divBdr>
        <w:top w:val="none" w:sz="0" w:space="0" w:color="auto"/>
        <w:left w:val="none" w:sz="0" w:space="0" w:color="auto"/>
        <w:bottom w:val="none" w:sz="0" w:space="0" w:color="auto"/>
        <w:right w:val="none" w:sz="0" w:space="0" w:color="auto"/>
      </w:divBdr>
    </w:div>
    <w:div w:id="1579366593">
      <w:bodyDiv w:val="1"/>
      <w:marLeft w:val="0"/>
      <w:marRight w:val="0"/>
      <w:marTop w:val="0"/>
      <w:marBottom w:val="0"/>
      <w:divBdr>
        <w:top w:val="none" w:sz="0" w:space="0" w:color="auto"/>
        <w:left w:val="none" w:sz="0" w:space="0" w:color="auto"/>
        <w:bottom w:val="none" w:sz="0" w:space="0" w:color="auto"/>
        <w:right w:val="none" w:sz="0" w:space="0" w:color="auto"/>
      </w:divBdr>
    </w:div>
    <w:div w:id="1590966369">
      <w:bodyDiv w:val="1"/>
      <w:marLeft w:val="0"/>
      <w:marRight w:val="0"/>
      <w:marTop w:val="0"/>
      <w:marBottom w:val="0"/>
      <w:divBdr>
        <w:top w:val="none" w:sz="0" w:space="0" w:color="auto"/>
        <w:left w:val="none" w:sz="0" w:space="0" w:color="auto"/>
        <w:bottom w:val="none" w:sz="0" w:space="0" w:color="auto"/>
        <w:right w:val="none" w:sz="0" w:space="0" w:color="auto"/>
      </w:divBdr>
    </w:div>
    <w:div w:id="1592085045">
      <w:bodyDiv w:val="1"/>
      <w:marLeft w:val="0"/>
      <w:marRight w:val="0"/>
      <w:marTop w:val="0"/>
      <w:marBottom w:val="0"/>
      <w:divBdr>
        <w:top w:val="none" w:sz="0" w:space="0" w:color="auto"/>
        <w:left w:val="none" w:sz="0" w:space="0" w:color="auto"/>
        <w:bottom w:val="none" w:sz="0" w:space="0" w:color="auto"/>
        <w:right w:val="none" w:sz="0" w:space="0" w:color="auto"/>
      </w:divBdr>
    </w:div>
    <w:div w:id="1595555915">
      <w:bodyDiv w:val="1"/>
      <w:marLeft w:val="0"/>
      <w:marRight w:val="0"/>
      <w:marTop w:val="0"/>
      <w:marBottom w:val="0"/>
      <w:divBdr>
        <w:top w:val="none" w:sz="0" w:space="0" w:color="auto"/>
        <w:left w:val="none" w:sz="0" w:space="0" w:color="auto"/>
        <w:bottom w:val="none" w:sz="0" w:space="0" w:color="auto"/>
        <w:right w:val="none" w:sz="0" w:space="0" w:color="auto"/>
      </w:divBdr>
    </w:div>
    <w:div w:id="1600064452">
      <w:bodyDiv w:val="1"/>
      <w:marLeft w:val="0"/>
      <w:marRight w:val="0"/>
      <w:marTop w:val="0"/>
      <w:marBottom w:val="0"/>
      <w:divBdr>
        <w:top w:val="none" w:sz="0" w:space="0" w:color="auto"/>
        <w:left w:val="none" w:sz="0" w:space="0" w:color="auto"/>
        <w:bottom w:val="none" w:sz="0" w:space="0" w:color="auto"/>
        <w:right w:val="none" w:sz="0" w:space="0" w:color="auto"/>
      </w:divBdr>
    </w:div>
    <w:div w:id="1601599253">
      <w:bodyDiv w:val="1"/>
      <w:marLeft w:val="0"/>
      <w:marRight w:val="0"/>
      <w:marTop w:val="0"/>
      <w:marBottom w:val="0"/>
      <w:divBdr>
        <w:top w:val="none" w:sz="0" w:space="0" w:color="auto"/>
        <w:left w:val="none" w:sz="0" w:space="0" w:color="auto"/>
        <w:bottom w:val="none" w:sz="0" w:space="0" w:color="auto"/>
        <w:right w:val="none" w:sz="0" w:space="0" w:color="auto"/>
      </w:divBdr>
    </w:div>
    <w:div w:id="1601991707">
      <w:bodyDiv w:val="1"/>
      <w:marLeft w:val="0"/>
      <w:marRight w:val="0"/>
      <w:marTop w:val="0"/>
      <w:marBottom w:val="0"/>
      <w:divBdr>
        <w:top w:val="none" w:sz="0" w:space="0" w:color="auto"/>
        <w:left w:val="none" w:sz="0" w:space="0" w:color="auto"/>
        <w:bottom w:val="none" w:sz="0" w:space="0" w:color="auto"/>
        <w:right w:val="none" w:sz="0" w:space="0" w:color="auto"/>
      </w:divBdr>
    </w:div>
    <w:div w:id="1606377489">
      <w:bodyDiv w:val="1"/>
      <w:marLeft w:val="0"/>
      <w:marRight w:val="0"/>
      <w:marTop w:val="0"/>
      <w:marBottom w:val="0"/>
      <w:divBdr>
        <w:top w:val="none" w:sz="0" w:space="0" w:color="auto"/>
        <w:left w:val="none" w:sz="0" w:space="0" w:color="auto"/>
        <w:bottom w:val="none" w:sz="0" w:space="0" w:color="auto"/>
        <w:right w:val="none" w:sz="0" w:space="0" w:color="auto"/>
      </w:divBdr>
      <w:divsChild>
        <w:div w:id="180359343">
          <w:marLeft w:val="0"/>
          <w:marRight w:val="0"/>
          <w:marTop w:val="480"/>
          <w:marBottom w:val="240"/>
          <w:divBdr>
            <w:top w:val="none" w:sz="0" w:space="0" w:color="auto"/>
            <w:left w:val="none" w:sz="0" w:space="0" w:color="auto"/>
            <w:bottom w:val="none" w:sz="0" w:space="0" w:color="auto"/>
            <w:right w:val="none" w:sz="0" w:space="0" w:color="auto"/>
          </w:divBdr>
        </w:div>
        <w:div w:id="625546584">
          <w:marLeft w:val="0"/>
          <w:marRight w:val="0"/>
          <w:marTop w:val="0"/>
          <w:marBottom w:val="567"/>
          <w:divBdr>
            <w:top w:val="none" w:sz="0" w:space="0" w:color="auto"/>
            <w:left w:val="none" w:sz="0" w:space="0" w:color="auto"/>
            <w:bottom w:val="none" w:sz="0" w:space="0" w:color="auto"/>
            <w:right w:val="none" w:sz="0" w:space="0" w:color="auto"/>
          </w:divBdr>
        </w:div>
      </w:divsChild>
    </w:div>
    <w:div w:id="1610046759">
      <w:bodyDiv w:val="1"/>
      <w:marLeft w:val="0"/>
      <w:marRight w:val="0"/>
      <w:marTop w:val="0"/>
      <w:marBottom w:val="0"/>
      <w:divBdr>
        <w:top w:val="none" w:sz="0" w:space="0" w:color="auto"/>
        <w:left w:val="none" w:sz="0" w:space="0" w:color="auto"/>
        <w:bottom w:val="none" w:sz="0" w:space="0" w:color="auto"/>
        <w:right w:val="none" w:sz="0" w:space="0" w:color="auto"/>
      </w:divBdr>
    </w:div>
    <w:div w:id="1612127293">
      <w:bodyDiv w:val="1"/>
      <w:marLeft w:val="0"/>
      <w:marRight w:val="0"/>
      <w:marTop w:val="0"/>
      <w:marBottom w:val="0"/>
      <w:divBdr>
        <w:top w:val="none" w:sz="0" w:space="0" w:color="auto"/>
        <w:left w:val="none" w:sz="0" w:space="0" w:color="auto"/>
        <w:bottom w:val="none" w:sz="0" w:space="0" w:color="auto"/>
        <w:right w:val="none" w:sz="0" w:space="0" w:color="auto"/>
      </w:divBdr>
    </w:div>
    <w:div w:id="1614819580">
      <w:bodyDiv w:val="1"/>
      <w:marLeft w:val="0"/>
      <w:marRight w:val="0"/>
      <w:marTop w:val="0"/>
      <w:marBottom w:val="0"/>
      <w:divBdr>
        <w:top w:val="none" w:sz="0" w:space="0" w:color="auto"/>
        <w:left w:val="none" w:sz="0" w:space="0" w:color="auto"/>
        <w:bottom w:val="none" w:sz="0" w:space="0" w:color="auto"/>
        <w:right w:val="none" w:sz="0" w:space="0" w:color="auto"/>
      </w:divBdr>
    </w:div>
    <w:div w:id="1615209827">
      <w:bodyDiv w:val="1"/>
      <w:marLeft w:val="0"/>
      <w:marRight w:val="0"/>
      <w:marTop w:val="0"/>
      <w:marBottom w:val="0"/>
      <w:divBdr>
        <w:top w:val="none" w:sz="0" w:space="0" w:color="auto"/>
        <w:left w:val="none" w:sz="0" w:space="0" w:color="auto"/>
        <w:bottom w:val="none" w:sz="0" w:space="0" w:color="auto"/>
        <w:right w:val="none" w:sz="0" w:space="0" w:color="auto"/>
      </w:divBdr>
    </w:div>
    <w:div w:id="1617171578">
      <w:bodyDiv w:val="1"/>
      <w:marLeft w:val="0"/>
      <w:marRight w:val="0"/>
      <w:marTop w:val="0"/>
      <w:marBottom w:val="0"/>
      <w:divBdr>
        <w:top w:val="none" w:sz="0" w:space="0" w:color="auto"/>
        <w:left w:val="none" w:sz="0" w:space="0" w:color="auto"/>
        <w:bottom w:val="none" w:sz="0" w:space="0" w:color="auto"/>
        <w:right w:val="none" w:sz="0" w:space="0" w:color="auto"/>
      </w:divBdr>
    </w:div>
    <w:div w:id="1618947470">
      <w:bodyDiv w:val="1"/>
      <w:marLeft w:val="0"/>
      <w:marRight w:val="0"/>
      <w:marTop w:val="0"/>
      <w:marBottom w:val="0"/>
      <w:divBdr>
        <w:top w:val="none" w:sz="0" w:space="0" w:color="auto"/>
        <w:left w:val="none" w:sz="0" w:space="0" w:color="auto"/>
        <w:bottom w:val="none" w:sz="0" w:space="0" w:color="auto"/>
        <w:right w:val="none" w:sz="0" w:space="0" w:color="auto"/>
      </w:divBdr>
    </w:div>
    <w:div w:id="1625040666">
      <w:bodyDiv w:val="1"/>
      <w:marLeft w:val="0"/>
      <w:marRight w:val="0"/>
      <w:marTop w:val="0"/>
      <w:marBottom w:val="0"/>
      <w:divBdr>
        <w:top w:val="none" w:sz="0" w:space="0" w:color="auto"/>
        <w:left w:val="none" w:sz="0" w:space="0" w:color="auto"/>
        <w:bottom w:val="none" w:sz="0" w:space="0" w:color="auto"/>
        <w:right w:val="none" w:sz="0" w:space="0" w:color="auto"/>
      </w:divBdr>
    </w:div>
    <w:div w:id="1626037761">
      <w:bodyDiv w:val="1"/>
      <w:marLeft w:val="0"/>
      <w:marRight w:val="0"/>
      <w:marTop w:val="0"/>
      <w:marBottom w:val="0"/>
      <w:divBdr>
        <w:top w:val="none" w:sz="0" w:space="0" w:color="auto"/>
        <w:left w:val="none" w:sz="0" w:space="0" w:color="auto"/>
        <w:bottom w:val="none" w:sz="0" w:space="0" w:color="auto"/>
        <w:right w:val="none" w:sz="0" w:space="0" w:color="auto"/>
      </w:divBdr>
    </w:div>
    <w:div w:id="1631859005">
      <w:bodyDiv w:val="1"/>
      <w:marLeft w:val="0"/>
      <w:marRight w:val="0"/>
      <w:marTop w:val="0"/>
      <w:marBottom w:val="0"/>
      <w:divBdr>
        <w:top w:val="none" w:sz="0" w:space="0" w:color="auto"/>
        <w:left w:val="none" w:sz="0" w:space="0" w:color="auto"/>
        <w:bottom w:val="none" w:sz="0" w:space="0" w:color="auto"/>
        <w:right w:val="none" w:sz="0" w:space="0" w:color="auto"/>
      </w:divBdr>
    </w:div>
    <w:div w:id="1633899475">
      <w:bodyDiv w:val="1"/>
      <w:marLeft w:val="0"/>
      <w:marRight w:val="0"/>
      <w:marTop w:val="0"/>
      <w:marBottom w:val="0"/>
      <w:divBdr>
        <w:top w:val="none" w:sz="0" w:space="0" w:color="auto"/>
        <w:left w:val="none" w:sz="0" w:space="0" w:color="auto"/>
        <w:bottom w:val="none" w:sz="0" w:space="0" w:color="auto"/>
        <w:right w:val="none" w:sz="0" w:space="0" w:color="auto"/>
      </w:divBdr>
    </w:div>
    <w:div w:id="1636566365">
      <w:bodyDiv w:val="1"/>
      <w:marLeft w:val="0"/>
      <w:marRight w:val="0"/>
      <w:marTop w:val="0"/>
      <w:marBottom w:val="0"/>
      <w:divBdr>
        <w:top w:val="none" w:sz="0" w:space="0" w:color="auto"/>
        <w:left w:val="none" w:sz="0" w:space="0" w:color="auto"/>
        <w:bottom w:val="none" w:sz="0" w:space="0" w:color="auto"/>
        <w:right w:val="none" w:sz="0" w:space="0" w:color="auto"/>
      </w:divBdr>
    </w:div>
    <w:div w:id="1637178426">
      <w:bodyDiv w:val="1"/>
      <w:marLeft w:val="0"/>
      <w:marRight w:val="0"/>
      <w:marTop w:val="0"/>
      <w:marBottom w:val="0"/>
      <w:divBdr>
        <w:top w:val="none" w:sz="0" w:space="0" w:color="auto"/>
        <w:left w:val="none" w:sz="0" w:space="0" w:color="auto"/>
        <w:bottom w:val="none" w:sz="0" w:space="0" w:color="auto"/>
        <w:right w:val="none" w:sz="0" w:space="0" w:color="auto"/>
      </w:divBdr>
    </w:div>
    <w:div w:id="1638947210">
      <w:bodyDiv w:val="1"/>
      <w:marLeft w:val="0"/>
      <w:marRight w:val="0"/>
      <w:marTop w:val="0"/>
      <w:marBottom w:val="0"/>
      <w:divBdr>
        <w:top w:val="none" w:sz="0" w:space="0" w:color="auto"/>
        <w:left w:val="none" w:sz="0" w:space="0" w:color="auto"/>
        <w:bottom w:val="none" w:sz="0" w:space="0" w:color="auto"/>
        <w:right w:val="none" w:sz="0" w:space="0" w:color="auto"/>
      </w:divBdr>
    </w:div>
    <w:div w:id="1643146494">
      <w:bodyDiv w:val="1"/>
      <w:marLeft w:val="0"/>
      <w:marRight w:val="0"/>
      <w:marTop w:val="0"/>
      <w:marBottom w:val="0"/>
      <w:divBdr>
        <w:top w:val="none" w:sz="0" w:space="0" w:color="auto"/>
        <w:left w:val="none" w:sz="0" w:space="0" w:color="auto"/>
        <w:bottom w:val="none" w:sz="0" w:space="0" w:color="auto"/>
        <w:right w:val="none" w:sz="0" w:space="0" w:color="auto"/>
      </w:divBdr>
    </w:div>
    <w:div w:id="1643852202">
      <w:bodyDiv w:val="1"/>
      <w:marLeft w:val="0"/>
      <w:marRight w:val="0"/>
      <w:marTop w:val="0"/>
      <w:marBottom w:val="0"/>
      <w:divBdr>
        <w:top w:val="none" w:sz="0" w:space="0" w:color="auto"/>
        <w:left w:val="none" w:sz="0" w:space="0" w:color="auto"/>
        <w:bottom w:val="none" w:sz="0" w:space="0" w:color="auto"/>
        <w:right w:val="none" w:sz="0" w:space="0" w:color="auto"/>
      </w:divBdr>
    </w:div>
    <w:div w:id="1644039633">
      <w:bodyDiv w:val="1"/>
      <w:marLeft w:val="0"/>
      <w:marRight w:val="0"/>
      <w:marTop w:val="0"/>
      <w:marBottom w:val="0"/>
      <w:divBdr>
        <w:top w:val="none" w:sz="0" w:space="0" w:color="auto"/>
        <w:left w:val="none" w:sz="0" w:space="0" w:color="auto"/>
        <w:bottom w:val="none" w:sz="0" w:space="0" w:color="auto"/>
        <w:right w:val="none" w:sz="0" w:space="0" w:color="auto"/>
      </w:divBdr>
    </w:div>
    <w:div w:id="1645965808">
      <w:bodyDiv w:val="1"/>
      <w:marLeft w:val="0"/>
      <w:marRight w:val="0"/>
      <w:marTop w:val="0"/>
      <w:marBottom w:val="0"/>
      <w:divBdr>
        <w:top w:val="none" w:sz="0" w:space="0" w:color="auto"/>
        <w:left w:val="none" w:sz="0" w:space="0" w:color="auto"/>
        <w:bottom w:val="none" w:sz="0" w:space="0" w:color="auto"/>
        <w:right w:val="none" w:sz="0" w:space="0" w:color="auto"/>
      </w:divBdr>
    </w:div>
    <w:div w:id="1646231130">
      <w:bodyDiv w:val="1"/>
      <w:marLeft w:val="0"/>
      <w:marRight w:val="0"/>
      <w:marTop w:val="0"/>
      <w:marBottom w:val="0"/>
      <w:divBdr>
        <w:top w:val="none" w:sz="0" w:space="0" w:color="auto"/>
        <w:left w:val="none" w:sz="0" w:space="0" w:color="auto"/>
        <w:bottom w:val="none" w:sz="0" w:space="0" w:color="auto"/>
        <w:right w:val="none" w:sz="0" w:space="0" w:color="auto"/>
      </w:divBdr>
    </w:div>
    <w:div w:id="1659453121">
      <w:bodyDiv w:val="1"/>
      <w:marLeft w:val="0"/>
      <w:marRight w:val="0"/>
      <w:marTop w:val="0"/>
      <w:marBottom w:val="0"/>
      <w:divBdr>
        <w:top w:val="none" w:sz="0" w:space="0" w:color="auto"/>
        <w:left w:val="none" w:sz="0" w:space="0" w:color="auto"/>
        <w:bottom w:val="none" w:sz="0" w:space="0" w:color="auto"/>
        <w:right w:val="none" w:sz="0" w:space="0" w:color="auto"/>
      </w:divBdr>
    </w:div>
    <w:div w:id="1661931818">
      <w:bodyDiv w:val="1"/>
      <w:marLeft w:val="0"/>
      <w:marRight w:val="0"/>
      <w:marTop w:val="0"/>
      <w:marBottom w:val="0"/>
      <w:divBdr>
        <w:top w:val="none" w:sz="0" w:space="0" w:color="auto"/>
        <w:left w:val="none" w:sz="0" w:space="0" w:color="auto"/>
        <w:bottom w:val="none" w:sz="0" w:space="0" w:color="auto"/>
        <w:right w:val="none" w:sz="0" w:space="0" w:color="auto"/>
      </w:divBdr>
    </w:div>
    <w:div w:id="1662149690">
      <w:bodyDiv w:val="1"/>
      <w:marLeft w:val="0"/>
      <w:marRight w:val="0"/>
      <w:marTop w:val="0"/>
      <w:marBottom w:val="0"/>
      <w:divBdr>
        <w:top w:val="none" w:sz="0" w:space="0" w:color="auto"/>
        <w:left w:val="none" w:sz="0" w:space="0" w:color="auto"/>
        <w:bottom w:val="none" w:sz="0" w:space="0" w:color="auto"/>
        <w:right w:val="none" w:sz="0" w:space="0" w:color="auto"/>
      </w:divBdr>
    </w:div>
    <w:div w:id="1669670863">
      <w:bodyDiv w:val="1"/>
      <w:marLeft w:val="0"/>
      <w:marRight w:val="0"/>
      <w:marTop w:val="0"/>
      <w:marBottom w:val="0"/>
      <w:divBdr>
        <w:top w:val="none" w:sz="0" w:space="0" w:color="auto"/>
        <w:left w:val="none" w:sz="0" w:space="0" w:color="auto"/>
        <w:bottom w:val="none" w:sz="0" w:space="0" w:color="auto"/>
        <w:right w:val="none" w:sz="0" w:space="0" w:color="auto"/>
      </w:divBdr>
    </w:div>
    <w:div w:id="1676226985">
      <w:bodyDiv w:val="1"/>
      <w:marLeft w:val="0"/>
      <w:marRight w:val="0"/>
      <w:marTop w:val="0"/>
      <w:marBottom w:val="0"/>
      <w:divBdr>
        <w:top w:val="none" w:sz="0" w:space="0" w:color="auto"/>
        <w:left w:val="none" w:sz="0" w:space="0" w:color="auto"/>
        <w:bottom w:val="none" w:sz="0" w:space="0" w:color="auto"/>
        <w:right w:val="none" w:sz="0" w:space="0" w:color="auto"/>
      </w:divBdr>
    </w:div>
    <w:div w:id="1690646427">
      <w:bodyDiv w:val="1"/>
      <w:marLeft w:val="0"/>
      <w:marRight w:val="0"/>
      <w:marTop w:val="0"/>
      <w:marBottom w:val="0"/>
      <w:divBdr>
        <w:top w:val="none" w:sz="0" w:space="0" w:color="auto"/>
        <w:left w:val="none" w:sz="0" w:space="0" w:color="auto"/>
        <w:bottom w:val="none" w:sz="0" w:space="0" w:color="auto"/>
        <w:right w:val="none" w:sz="0" w:space="0" w:color="auto"/>
      </w:divBdr>
    </w:div>
    <w:div w:id="1692997804">
      <w:bodyDiv w:val="1"/>
      <w:marLeft w:val="0"/>
      <w:marRight w:val="0"/>
      <w:marTop w:val="0"/>
      <w:marBottom w:val="0"/>
      <w:divBdr>
        <w:top w:val="none" w:sz="0" w:space="0" w:color="auto"/>
        <w:left w:val="none" w:sz="0" w:space="0" w:color="auto"/>
        <w:bottom w:val="none" w:sz="0" w:space="0" w:color="auto"/>
        <w:right w:val="none" w:sz="0" w:space="0" w:color="auto"/>
      </w:divBdr>
    </w:div>
    <w:div w:id="1700813342">
      <w:bodyDiv w:val="1"/>
      <w:marLeft w:val="0"/>
      <w:marRight w:val="0"/>
      <w:marTop w:val="0"/>
      <w:marBottom w:val="0"/>
      <w:divBdr>
        <w:top w:val="none" w:sz="0" w:space="0" w:color="auto"/>
        <w:left w:val="none" w:sz="0" w:space="0" w:color="auto"/>
        <w:bottom w:val="none" w:sz="0" w:space="0" w:color="auto"/>
        <w:right w:val="none" w:sz="0" w:space="0" w:color="auto"/>
      </w:divBdr>
    </w:div>
    <w:div w:id="1703092728">
      <w:bodyDiv w:val="1"/>
      <w:marLeft w:val="0"/>
      <w:marRight w:val="0"/>
      <w:marTop w:val="0"/>
      <w:marBottom w:val="0"/>
      <w:divBdr>
        <w:top w:val="none" w:sz="0" w:space="0" w:color="auto"/>
        <w:left w:val="none" w:sz="0" w:space="0" w:color="auto"/>
        <w:bottom w:val="none" w:sz="0" w:space="0" w:color="auto"/>
        <w:right w:val="none" w:sz="0" w:space="0" w:color="auto"/>
      </w:divBdr>
    </w:div>
    <w:div w:id="1703435329">
      <w:bodyDiv w:val="1"/>
      <w:marLeft w:val="0"/>
      <w:marRight w:val="0"/>
      <w:marTop w:val="0"/>
      <w:marBottom w:val="0"/>
      <w:divBdr>
        <w:top w:val="none" w:sz="0" w:space="0" w:color="auto"/>
        <w:left w:val="none" w:sz="0" w:space="0" w:color="auto"/>
        <w:bottom w:val="none" w:sz="0" w:space="0" w:color="auto"/>
        <w:right w:val="none" w:sz="0" w:space="0" w:color="auto"/>
      </w:divBdr>
    </w:div>
    <w:div w:id="1705516101">
      <w:bodyDiv w:val="1"/>
      <w:marLeft w:val="0"/>
      <w:marRight w:val="0"/>
      <w:marTop w:val="0"/>
      <w:marBottom w:val="0"/>
      <w:divBdr>
        <w:top w:val="none" w:sz="0" w:space="0" w:color="auto"/>
        <w:left w:val="none" w:sz="0" w:space="0" w:color="auto"/>
        <w:bottom w:val="none" w:sz="0" w:space="0" w:color="auto"/>
        <w:right w:val="none" w:sz="0" w:space="0" w:color="auto"/>
      </w:divBdr>
    </w:div>
    <w:div w:id="1708480003">
      <w:bodyDiv w:val="1"/>
      <w:marLeft w:val="0"/>
      <w:marRight w:val="0"/>
      <w:marTop w:val="0"/>
      <w:marBottom w:val="0"/>
      <w:divBdr>
        <w:top w:val="none" w:sz="0" w:space="0" w:color="auto"/>
        <w:left w:val="none" w:sz="0" w:space="0" w:color="auto"/>
        <w:bottom w:val="none" w:sz="0" w:space="0" w:color="auto"/>
        <w:right w:val="none" w:sz="0" w:space="0" w:color="auto"/>
      </w:divBdr>
    </w:div>
    <w:div w:id="1708526543">
      <w:bodyDiv w:val="1"/>
      <w:marLeft w:val="0"/>
      <w:marRight w:val="0"/>
      <w:marTop w:val="0"/>
      <w:marBottom w:val="0"/>
      <w:divBdr>
        <w:top w:val="none" w:sz="0" w:space="0" w:color="auto"/>
        <w:left w:val="none" w:sz="0" w:space="0" w:color="auto"/>
        <w:bottom w:val="none" w:sz="0" w:space="0" w:color="auto"/>
        <w:right w:val="none" w:sz="0" w:space="0" w:color="auto"/>
      </w:divBdr>
    </w:div>
    <w:div w:id="1710227617">
      <w:bodyDiv w:val="1"/>
      <w:marLeft w:val="0"/>
      <w:marRight w:val="0"/>
      <w:marTop w:val="0"/>
      <w:marBottom w:val="0"/>
      <w:divBdr>
        <w:top w:val="none" w:sz="0" w:space="0" w:color="auto"/>
        <w:left w:val="none" w:sz="0" w:space="0" w:color="auto"/>
        <w:bottom w:val="none" w:sz="0" w:space="0" w:color="auto"/>
        <w:right w:val="none" w:sz="0" w:space="0" w:color="auto"/>
      </w:divBdr>
    </w:div>
    <w:div w:id="1715157342">
      <w:bodyDiv w:val="1"/>
      <w:marLeft w:val="0"/>
      <w:marRight w:val="0"/>
      <w:marTop w:val="0"/>
      <w:marBottom w:val="0"/>
      <w:divBdr>
        <w:top w:val="none" w:sz="0" w:space="0" w:color="auto"/>
        <w:left w:val="none" w:sz="0" w:space="0" w:color="auto"/>
        <w:bottom w:val="none" w:sz="0" w:space="0" w:color="auto"/>
        <w:right w:val="none" w:sz="0" w:space="0" w:color="auto"/>
      </w:divBdr>
    </w:div>
    <w:div w:id="1718897250">
      <w:bodyDiv w:val="1"/>
      <w:marLeft w:val="0"/>
      <w:marRight w:val="0"/>
      <w:marTop w:val="0"/>
      <w:marBottom w:val="0"/>
      <w:divBdr>
        <w:top w:val="none" w:sz="0" w:space="0" w:color="auto"/>
        <w:left w:val="none" w:sz="0" w:space="0" w:color="auto"/>
        <w:bottom w:val="none" w:sz="0" w:space="0" w:color="auto"/>
        <w:right w:val="none" w:sz="0" w:space="0" w:color="auto"/>
      </w:divBdr>
    </w:div>
    <w:div w:id="1724983421">
      <w:bodyDiv w:val="1"/>
      <w:marLeft w:val="0"/>
      <w:marRight w:val="0"/>
      <w:marTop w:val="0"/>
      <w:marBottom w:val="0"/>
      <w:divBdr>
        <w:top w:val="none" w:sz="0" w:space="0" w:color="auto"/>
        <w:left w:val="none" w:sz="0" w:space="0" w:color="auto"/>
        <w:bottom w:val="none" w:sz="0" w:space="0" w:color="auto"/>
        <w:right w:val="none" w:sz="0" w:space="0" w:color="auto"/>
      </w:divBdr>
    </w:div>
    <w:div w:id="1727758245">
      <w:bodyDiv w:val="1"/>
      <w:marLeft w:val="0"/>
      <w:marRight w:val="0"/>
      <w:marTop w:val="0"/>
      <w:marBottom w:val="0"/>
      <w:divBdr>
        <w:top w:val="none" w:sz="0" w:space="0" w:color="auto"/>
        <w:left w:val="none" w:sz="0" w:space="0" w:color="auto"/>
        <w:bottom w:val="none" w:sz="0" w:space="0" w:color="auto"/>
        <w:right w:val="none" w:sz="0" w:space="0" w:color="auto"/>
      </w:divBdr>
    </w:div>
    <w:div w:id="1729497084">
      <w:bodyDiv w:val="1"/>
      <w:marLeft w:val="0"/>
      <w:marRight w:val="0"/>
      <w:marTop w:val="0"/>
      <w:marBottom w:val="0"/>
      <w:divBdr>
        <w:top w:val="none" w:sz="0" w:space="0" w:color="auto"/>
        <w:left w:val="none" w:sz="0" w:space="0" w:color="auto"/>
        <w:bottom w:val="none" w:sz="0" w:space="0" w:color="auto"/>
        <w:right w:val="none" w:sz="0" w:space="0" w:color="auto"/>
      </w:divBdr>
    </w:div>
    <w:div w:id="1730571589">
      <w:bodyDiv w:val="1"/>
      <w:marLeft w:val="0"/>
      <w:marRight w:val="0"/>
      <w:marTop w:val="0"/>
      <w:marBottom w:val="0"/>
      <w:divBdr>
        <w:top w:val="none" w:sz="0" w:space="0" w:color="auto"/>
        <w:left w:val="none" w:sz="0" w:space="0" w:color="auto"/>
        <w:bottom w:val="none" w:sz="0" w:space="0" w:color="auto"/>
        <w:right w:val="none" w:sz="0" w:space="0" w:color="auto"/>
      </w:divBdr>
    </w:div>
    <w:div w:id="1731034983">
      <w:bodyDiv w:val="1"/>
      <w:marLeft w:val="0"/>
      <w:marRight w:val="0"/>
      <w:marTop w:val="0"/>
      <w:marBottom w:val="0"/>
      <w:divBdr>
        <w:top w:val="none" w:sz="0" w:space="0" w:color="auto"/>
        <w:left w:val="none" w:sz="0" w:space="0" w:color="auto"/>
        <w:bottom w:val="none" w:sz="0" w:space="0" w:color="auto"/>
        <w:right w:val="none" w:sz="0" w:space="0" w:color="auto"/>
      </w:divBdr>
    </w:div>
    <w:div w:id="1732918961">
      <w:bodyDiv w:val="1"/>
      <w:marLeft w:val="0"/>
      <w:marRight w:val="0"/>
      <w:marTop w:val="0"/>
      <w:marBottom w:val="0"/>
      <w:divBdr>
        <w:top w:val="none" w:sz="0" w:space="0" w:color="auto"/>
        <w:left w:val="none" w:sz="0" w:space="0" w:color="auto"/>
        <w:bottom w:val="none" w:sz="0" w:space="0" w:color="auto"/>
        <w:right w:val="none" w:sz="0" w:space="0" w:color="auto"/>
      </w:divBdr>
    </w:div>
    <w:div w:id="1735275996">
      <w:bodyDiv w:val="1"/>
      <w:marLeft w:val="0"/>
      <w:marRight w:val="0"/>
      <w:marTop w:val="0"/>
      <w:marBottom w:val="0"/>
      <w:divBdr>
        <w:top w:val="none" w:sz="0" w:space="0" w:color="auto"/>
        <w:left w:val="none" w:sz="0" w:space="0" w:color="auto"/>
        <w:bottom w:val="none" w:sz="0" w:space="0" w:color="auto"/>
        <w:right w:val="none" w:sz="0" w:space="0" w:color="auto"/>
      </w:divBdr>
    </w:div>
    <w:div w:id="1741096243">
      <w:bodyDiv w:val="1"/>
      <w:marLeft w:val="0"/>
      <w:marRight w:val="0"/>
      <w:marTop w:val="0"/>
      <w:marBottom w:val="0"/>
      <w:divBdr>
        <w:top w:val="none" w:sz="0" w:space="0" w:color="auto"/>
        <w:left w:val="none" w:sz="0" w:space="0" w:color="auto"/>
        <w:bottom w:val="none" w:sz="0" w:space="0" w:color="auto"/>
        <w:right w:val="none" w:sz="0" w:space="0" w:color="auto"/>
      </w:divBdr>
    </w:div>
    <w:div w:id="1742866311">
      <w:bodyDiv w:val="1"/>
      <w:marLeft w:val="0"/>
      <w:marRight w:val="0"/>
      <w:marTop w:val="0"/>
      <w:marBottom w:val="0"/>
      <w:divBdr>
        <w:top w:val="none" w:sz="0" w:space="0" w:color="auto"/>
        <w:left w:val="none" w:sz="0" w:space="0" w:color="auto"/>
        <w:bottom w:val="none" w:sz="0" w:space="0" w:color="auto"/>
        <w:right w:val="none" w:sz="0" w:space="0" w:color="auto"/>
      </w:divBdr>
    </w:div>
    <w:div w:id="1752121379">
      <w:bodyDiv w:val="1"/>
      <w:marLeft w:val="0"/>
      <w:marRight w:val="0"/>
      <w:marTop w:val="0"/>
      <w:marBottom w:val="0"/>
      <w:divBdr>
        <w:top w:val="none" w:sz="0" w:space="0" w:color="auto"/>
        <w:left w:val="none" w:sz="0" w:space="0" w:color="auto"/>
        <w:bottom w:val="none" w:sz="0" w:space="0" w:color="auto"/>
        <w:right w:val="none" w:sz="0" w:space="0" w:color="auto"/>
      </w:divBdr>
    </w:div>
    <w:div w:id="1752585531">
      <w:bodyDiv w:val="1"/>
      <w:marLeft w:val="0"/>
      <w:marRight w:val="0"/>
      <w:marTop w:val="0"/>
      <w:marBottom w:val="0"/>
      <w:divBdr>
        <w:top w:val="none" w:sz="0" w:space="0" w:color="auto"/>
        <w:left w:val="none" w:sz="0" w:space="0" w:color="auto"/>
        <w:bottom w:val="none" w:sz="0" w:space="0" w:color="auto"/>
        <w:right w:val="none" w:sz="0" w:space="0" w:color="auto"/>
      </w:divBdr>
    </w:div>
    <w:div w:id="1754357850">
      <w:bodyDiv w:val="1"/>
      <w:marLeft w:val="0"/>
      <w:marRight w:val="0"/>
      <w:marTop w:val="0"/>
      <w:marBottom w:val="0"/>
      <w:divBdr>
        <w:top w:val="none" w:sz="0" w:space="0" w:color="auto"/>
        <w:left w:val="none" w:sz="0" w:space="0" w:color="auto"/>
        <w:bottom w:val="none" w:sz="0" w:space="0" w:color="auto"/>
        <w:right w:val="none" w:sz="0" w:space="0" w:color="auto"/>
      </w:divBdr>
    </w:div>
    <w:div w:id="1760911160">
      <w:bodyDiv w:val="1"/>
      <w:marLeft w:val="0"/>
      <w:marRight w:val="0"/>
      <w:marTop w:val="0"/>
      <w:marBottom w:val="0"/>
      <w:divBdr>
        <w:top w:val="none" w:sz="0" w:space="0" w:color="auto"/>
        <w:left w:val="none" w:sz="0" w:space="0" w:color="auto"/>
        <w:bottom w:val="none" w:sz="0" w:space="0" w:color="auto"/>
        <w:right w:val="none" w:sz="0" w:space="0" w:color="auto"/>
      </w:divBdr>
    </w:div>
    <w:div w:id="1761293569">
      <w:bodyDiv w:val="1"/>
      <w:marLeft w:val="0"/>
      <w:marRight w:val="0"/>
      <w:marTop w:val="0"/>
      <w:marBottom w:val="0"/>
      <w:divBdr>
        <w:top w:val="none" w:sz="0" w:space="0" w:color="auto"/>
        <w:left w:val="none" w:sz="0" w:space="0" w:color="auto"/>
        <w:bottom w:val="none" w:sz="0" w:space="0" w:color="auto"/>
        <w:right w:val="none" w:sz="0" w:space="0" w:color="auto"/>
      </w:divBdr>
    </w:div>
    <w:div w:id="1761296488">
      <w:bodyDiv w:val="1"/>
      <w:marLeft w:val="0"/>
      <w:marRight w:val="0"/>
      <w:marTop w:val="0"/>
      <w:marBottom w:val="0"/>
      <w:divBdr>
        <w:top w:val="none" w:sz="0" w:space="0" w:color="auto"/>
        <w:left w:val="none" w:sz="0" w:space="0" w:color="auto"/>
        <w:bottom w:val="none" w:sz="0" w:space="0" w:color="auto"/>
        <w:right w:val="none" w:sz="0" w:space="0" w:color="auto"/>
      </w:divBdr>
    </w:div>
    <w:div w:id="1769765206">
      <w:bodyDiv w:val="1"/>
      <w:marLeft w:val="0"/>
      <w:marRight w:val="0"/>
      <w:marTop w:val="0"/>
      <w:marBottom w:val="0"/>
      <w:divBdr>
        <w:top w:val="none" w:sz="0" w:space="0" w:color="auto"/>
        <w:left w:val="none" w:sz="0" w:space="0" w:color="auto"/>
        <w:bottom w:val="none" w:sz="0" w:space="0" w:color="auto"/>
        <w:right w:val="none" w:sz="0" w:space="0" w:color="auto"/>
      </w:divBdr>
    </w:div>
    <w:div w:id="1770467167">
      <w:bodyDiv w:val="1"/>
      <w:marLeft w:val="0"/>
      <w:marRight w:val="0"/>
      <w:marTop w:val="0"/>
      <w:marBottom w:val="0"/>
      <w:divBdr>
        <w:top w:val="none" w:sz="0" w:space="0" w:color="auto"/>
        <w:left w:val="none" w:sz="0" w:space="0" w:color="auto"/>
        <w:bottom w:val="none" w:sz="0" w:space="0" w:color="auto"/>
        <w:right w:val="none" w:sz="0" w:space="0" w:color="auto"/>
      </w:divBdr>
    </w:div>
    <w:div w:id="1773163095">
      <w:bodyDiv w:val="1"/>
      <w:marLeft w:val="0"/>
      <w:marRight w:val="0"/>
      <w:marTop w:val="0"/>
      <w:marBottom w:val="0"/>
      <w:divBdr>
        <w:top w:val="none" w:sz="0" w:space="0" w:color="auto"/>
        <w:left w:val="none" w:sz="0" w:space="0" w:color="auto"/>
        <w:bottom w:val="none" w:sz="0" w:space="0" w:color="auto"/>
        <w:right w:val="none" w:sz="0" w:space="0" w:color="auto"/>
      </w:divBdr>
    </w:div>
    <w:div w:id="1773282592">
      <w:bodyDiv w:val="1"/>
      <w:marLeft w:val="0"/>
      <w:marRight w:val="0"/>
      <w:marTop w:val="0"/>
      <w:marBottom w:val="0"/>
      <w:divBdr>
        <w:top w:val="none" w:sz="0" w:space="0" w:color="auto"/>
        <w:left w:val="none" w:sz="0" w:space="0" w:color="auto"/>
        <w:bottom w:val="none" w:sz="0" w:space="0" w:color="auto"/>
        <w:right w:val="none" w:sz="0" w:space="0" w:color="auto"/>
      </w:divBdr>
    </w:div>
    <w:div w:id="1774397785">
      <w:bodyDiv w:val="1"/>
      <w:marLeft w:val="0"/>
      <w:marRight w:val="0"/>
      <w:marTop w:val="0"/>
      <w:marBottom w:val="0"/>
      <w:divBdr>
        <w:top w:val="none" w:sz="0" w:space="0" w:color="auto"/>
        <w:left w:val="none" w:sz="0" w:space="0" w:color="auto"/>
        <w:bottom w:val="none" w:sz="0" w:space="0" w:color="auto"/>
        <w:right w:val="none" w:sz="0" w:space="0" w:color="auto"/>
      </w:divBdr>
    </w:div>
    <w:div w:id="1776975322">
      <w:bodyDiv w:val="1"/>
      <w:marLeft w:val="0"/>
      <w:marRight w:val="0"/>
      <w:marTop w:val="0"/>
      <w:marBottom w:val="0"/>
      <w:divBdr>
        <w:top w:val="none" w:sz="0" w:space="0" w:color="auto"/>
        <w:left w:val="none" w:sz="0" w:space="0" w:color="auto"/>
        <w:bottom w:val="none" w:sz="0" w:space="0" w:color="auto"/>
        <w:right w:val="none" w:sz="0" w:space="0" w:color="auto"/>
      </w:divBdr>
    </w:div>
    <w:div w:id="1781950798">
      <w:bodyDiv w:val="1"/>
      <w:marLeft w:val="0"/>
      <w:marRight w:val="0"/>
      <w:marTop w:val="0"/>
      <w:marBottom w:val="0"/>
      <w:divBdr>
        <w:top w:val="none" w:sz="0" w:space="0" w:color="auto"/>
        <w:left w:val="none" w:sz="0" w:space="0" w:color="auto"/>
        <w:bottom w:val="none" w:sz="0" w:space="0" w:color="auto"/>
        <w:right w:val="none" w:sz="0" w:space="0" w:color="auto"/>
      </w:divBdr>
    </w:div>
    <w:div w:id="1784687984">
      <w:bodyDiv w:val="1"/>
      <w:marLeft w:val="0"/>
      <w:marRight w:val="0"/>
      <w:marTop w:val="0"/>
      <w:marBottom w:val="0"/>
      <w:divBdr>
        <w:top w:val="none" w:sz="0" w:space="0" w:color="auto"/>
        <w:left w:val="none" w:sz="0" w:space="0" w:color="auto"/>
        <w:bottom w:val="none" w:sz="0" w:space="0" w:color="auto"/>
        <w:right w:val="none" w:sz="0" w:space="0" w:color="auto"/>
      </w:divBdr>
    </w:div>
    <w:div w:id="1785734751">
      <w:bodyDiv w:val="1"/>
      <w:marLeft w:val="0"/>
      <w:marRight w:val="0"/>
      <w:marTop w:val="0"/>
      <w:marBottom w:val="0"/>
      <w:divBdr>
        <w:top w:val="none" w:sz="0" w:space="0" w:color="auto"/>
        <w:left w:val="none" w:sz="0" w:space="0" w:color="auto"/>
        <w:bottom w:val="none" w:sz="0" w:space="0" w:color="auto"/>
        <w:right w:val="none" w:sz="0" w:space="0" w:color="auto"/>
      </w:divBdr>
    </w:div>
    <w:div w:id="1786263772">
      <w:bodyDiv w:val="1"/>
      <w:marLeft w:val="0"/>
      <w:marRight w:val="0"/>
      <w:marTop w:val="0"/>
      <w:marBottom w:val="0"/>
      <w:divBdr>
        <w:top w:val="none" w:sz="0" w:space="0" w:color="auto"/>
        <w:left w:val="none" w:sz="0" w:space="0" w:color="auto"/>
        <w:bottom w:val="none" w:sz="0" w:space="0" w:color="auto"/>
        <w:right w:val="none" w:sz="0" w:space="0" w:color="auto"/>
      </w:divBdr>
    </w:div>
    <w:div w:id="1788507937">
      <w:bodyDiv w:val="1"/>
      <w:marLeft w:val="0"/>
      <w:marRight w:val="0"/>
      <w:marTop w:val="0"/>
      <w:marBottom w:val="0"/>
      <w:divBdr>
        <w:top w:val="none" w:sz="0" w:space="0" w:color="auto"/>
        <w:left w:val="none" w:sz="0" w:space="0" w:color="auto"/>
        <w:bottom w:val="none" w:sz="0" w:space="0" w:color="auto"/>
        <w:right w:val="none" w:sz="0" w:space="0" w:color="auto"/>
      </w:divBdr>
    </w:div>
    <w:div w:id="1789157820">
      <w:bodyDiv w:val="1"/>
      <w:marLeft w:val="0"/>
      <w:marRight w:val="0"/>
      <w:marTop w:val="0"/>
      <w:marBottom w:val="0"/>
      <w:divBdr>
        <w:top w:val="none" w:sz="0" w:space="0" w:color="auto"/>
        <w:left w:val="none" w:sz="0" w:space="0" w:color="auto"/>
        <w:bottom w:val="none" w:sz="0" w:space="0" w:color="auto"/>
        <w:right w:val="none" w:sz="0" w:space="0" w:color="auto"/>
      </w:divBdr>
    </w:div>
    <w:div w:id="1791975167">
      <w:bodyDiv w:val="1"/>
      <w:marLeft w:val="0"/>
      <w:marRight w:val="0"/>
      <w:marTop w:val="0"/>
      <w:marBottom w:val="0"/>
      <w:divBdr>
        <w:top w:val="none" w:sz="0" w:space="0" w:color="auto"/>
        <w:left w:val="none" w:sz="0" w:space="0" w:color="auto"/>
        <w:bottom w:val="none" w:sz="0" w:space="0" w:color="auto"/>
        <w:right w:val="none" w:sz="0" w:space="0" w:color="auto"/>
      </w:divBdr>
    </w:div>
    <w:div w:id="1794667476">
      <w:bodyDiv w:val="1"/>
      <w:marLeft w:val="0"/>
      <w:marRight w:val="0"/>
      <w:marTop w:val="0"/>
      <w:marBottom w:val="0"/>
      <w:divBdr>
        <w:top w:val="none" w:sz="0" w:space="0" w:color="auto"/>
        <w:left w:val="none" w:sz="0" w:space="0" w:color="auto"/>
        <w:bottom w:val="none" w:sz="0" w:space="0" w:color="auto"/>
        <w:right w:val="none" w:sz="0" w:space="0" w:color="auto"/>
      </w:divBdr>
    </w:div>
    <w:div w:id="1794864297">
      <w:bodyDiv w:val="1"/>
      <w:marLeft w:val="0"/>
      <w:marRight w:val="0"/>
      <w:marTop w:val="0"/>
      <w:marBottom w:val="0"/>
      <w:divBdr>
        <w:top w:val="none" w:sz="0" w:space="0" w:color="auto"/>
        <w:left w:val="none" w:sz="0" w:space="0" w:color="auto"/>
        <w:bottom w:val="none" w:sz="0" w:space="0" w:color="auto"/>
        <w:right w:val="none" w:sz="0" w:space="0" w:color="auto"/>
      </w:divBdr>
    </w:div>
    <w:div w:id="1804928332">
      <w:bodyDiv w:val="1"/>
      <w:marLeft w:val="0"/>
      <w:marRight w:val="0"/>
      <w:marTop w:val="0"/>
      <w:marBottom w:val="0"/>
      <w:divBdr>
        <w:top w:val="none" w:sz="0" w:space="0" w:color="auto"/>
        <w:left w:val="none" w:sz="0" w:space="0" w:color="auto"/>
        <w:bottom w:val="none" w:sz="0" w:space="0" w:color="auto"/>
        <w:right w:val="none" w:sz="0" w:space="0" w:color="auto"/>
      </w:divBdr>
    </w:div>
    <w:div w:id="1805613542">
      <w:bodyDiv w:val="1"/>
      <w:marLeft w:val="0"/>
      <w:marRight w:val="0"/>
      <w:marTop w:val="0"/>
      <w:marBottom w:val="0"/>
      <w:divBdr>
        <w:top w:val="none" w:sz="0" w:space="0" w:color="auto"/>
        <w:left w:val="none" w:sz="0" w:space="0" w:color="auto"/>
        <w:bottom w:val="none" w:sz="0" w:space="0" w:color="auto"/>
        <w:right w:val="none" w:sz="0" w:space="0" w:color="auto"/>
      </w:divBdr>
    </w:div>
    <w:div w:id="1806003887">
      <w:bodyDiv w:val="1"/>
      <w:marLeft w:val="0"/>
      <w:marRight w:val="0"/>
      <w:marTop w:val="0"/>
      <w:marBottom w:val="0"/>
      <w:divBdr>
        <w:top w:val="none" w:sz="0" w:space="0" w:color="auto"/>
        <w:left w:val="none" w:sz="0" w:space="0" w:color="auto"/>
        <w:bottom w:val="none" w:sz="0" w:space="0" w:color="auto"/>
        <w:right w:val="none" w:sz="0" w:space="0" w:color="auto"/>
      </w:divBdr>
    </w:div>
    <w:div w:id="1809980388">
      <w:bodyDiv w:val="1"/>
      <w:marLeft w:val="0"/>
      <w:marRight w:val="0"/>
      <w:marTop w:val="0"/>
      <w:marBottom w:val="0"/>
      <w:divBdr>
        <w:top w:val="none" w:sz="0" w:space="0" w:color="auto"/>
        <w:left w:val="none" w:sz="0" w:space="0" w:color="auto"/>
        <w:bottom w:val="none" w:sz="0" w:space="0" w:color="auto"/>
        <w:right w:val="none" w:sz="0" w:space="0" w:color="auto"/>
      </w:divBdr>
      <w:divsChild>
        <w:div w:id="668172200">
          <w:marLeft w:val="0"/>
          <w:marRight w:val="0"/>
          <w:marTop w:val="0"/>
          <w:marBottom w:val="0"/>
          <w:divBdr>
            <w:top w:val="none" w:sz="0" w:space="0" w:color="auto"/>
            <w:left w:val="none" w:sz="0" w:space="0" w:color="auto"/>
            <w:bottom w:val="none" w:sz="0" w:space="0" w:color="auto"/>
            <w:right w:val="none" w:sz="0" w:space="0" w:color="auto"/>
          </w:divBdr>
        </w:div>
        <w:div w:id="2029140468">
          <w:marLeft w:val="0"/>
          <w:marRight w:val="0"/>
          <w:marTop w:val="0"/>
          <w:marBottom w:val="0"/>
          <w:divBdr>
            <w:top w:val="none" w:sz="0" w:space="0" w:color="auto"/>
            <w:left w:val="none" w:sz="0" w:space="0" w:color="auto"/>
            <w:bottom w:val="none" w:sz="0" w:space="0" w:color="auto"/>
            <w:right w:val="none" w:sz="0" w:space="0" w:color="auto"/>
          </w:divBdr>
        </w:div>
      </w:divsChild>
    </w:div>
    <w:div w:id="1811366677">
      <w:bodyDiv w:val="1"/>
      <w:marLeft w:val="0"/>
      <w:marRight w:val="0"/>
      <w:marTop w:val="0"/>
      <w:marBottom w:val="0"/>
      <w:divBdr>
        <w:top w:val="none" w:sz="0" w:space="0" w:color="auto"/>
        <w:left w:val="none" w:sz="0" w:space="0" w:color="auto"/>
        <w:bottom w:val="none" w:sz="0" w:space="0" w:color="auto"/>
        <w:right w:val="none" w:sz="0" w:space="0" w:color="auto"/>
      </w:divBdr>
    </w:div>
    <w:div w:id="1812167678">
      <w:bodyDiv w:val="1"/>
      <w:marLeft w:val="0"/>
      <w:marRight w:val="0"/>
      <w:marTop w:val="0"/>
      <w:marBottom w:val="0"/>
      <w:divBdr>
        <w:top w:val="none" w:sz="0" w:space="0" w:color="auto"/>
        <w:left w:val="none" w:sz="0" w:space="0" w:color="auto"/>
        <w:bottom w:val="none" w:sz="0" w:space="0" w:color="auto"/>
        <w:right w:val="none" w:sz="0" w:space="0" w:color="auto"/>
      </w:divBdr>
    </w:div>
    <w:div w:id="1815677748">
      <w:bodyDiv w:val="1"/>
      <w:marLeft w:val="0"/>
      <w:marRight w:val="0"/>
      <w:marTop w:val="0"/>
      <w:marBottom w:val="0"/>
      <w:divBdr>
        <w:top w:val="none" w:sz="0" w:space="0" w:color="auto"/>
        <w:left w:val="none" w:sz="0" w:space="0" w:color="auto"/>
        <w:bottom w:val="none" w:sz="0" w:space="0" w:color="auto"/>
        <w:right w:val="none" w:sz="0" w:space="0" w:color="auto"/>
      </w:divBdr>
    </w:div>
    <w:div w:id="1823812620">
      <w:bodyDiv w:val="1"/>
      <w:marLeft w:val="0"/>
      <w:marRight w:val="0"/>
      <w:marTop w:val="0"/>
      <w:marBottom w:val="0"/>
      <w:divBdr>
        <w:top w:val="none" w:sz="0" w:space="0" w:color="auto"/>
        <w:left w:val="none" w:sz="0" w:space="0" w:color="auto"/>
        <w:bottom w:val="none" w:sz="0" w:space="0" w:color="auto"/>
        <w:right w:val="none" w:sz="0" w:space="0" w:color="auto"/>
      </w:divBdr>
    </w:div>
    <w:div w:id="1825929676">
      <w:bodyDiv w:val="1"/>
      <w:marLeft w:val="0"/>
      <w:marRight w:val="0"/>
      <w:marTop w:val="0"/>
      <w:marBottom w:val="0"/>
      <w:divBdr>
        <w:top w:val="none" w:sz="0" w:space="0" w:color="auto"/>
        <w:left w:val="none" w:sz="0" w:space="0" w:color="auto"/>
        <w:bottom w:val="none" w:sz="0" w:space="0" w:color="auto"/>
        <w:right w:val="none" w:sz="0" w:space="0" w:color="auto"/>
      </w:divBdr>
    </w:div>
    <w:div w:id="1833836452">
      <w:bodyDiv w:val="1"/>
      <w:marLeft w:val="0"/>
      <w:marRight w:val="0"/>
      <w:marTop w:val="0"/>
      <w:marBottom w:val="0"/>
      <w:divBdr>
        <w:top w:val="none" w:sz="0" w:space="0" w:color="auto"/>
        <w:left w:val="none" w:sz="0" w:space="0" w:color="auto"/>
        <w:bottom w:val="none" w:sz="0" w:space="0" w:color="auto"/>
        <w:right w:val="none" w:sz="0" w:space="0" w:color="auto"/>
      </w:divBdr>
    </w:div>
    <w:div w:id="1834489465">
      <w:bodyDiv w:val="1"/>
      <w:marLeft w:val="0"/>
      <w:marRight w:val="0"/>
      <w:marTop w:val="0"/>
      <w:marBottom w:val="0"/>
      <w:divBdr>
        <w:top w:val="none" w:sz="0" w:space="0" w:color="auto"/>
        <w:left w:val="none" w:sz="0" w:space="0" w:color="auto"/>
        <w:bottom w:val="none" w:sz="0" w:space="0" w:color="auto"/>
        <w:right w:val="none" w:sz="0" w:space="0" w:color="auto"/>
      </w:divBdr>
    </w:div>
    <w:div w:id="1835224854">
      <w:bodyDiv w:val="1"/>
      <w:marLeft w:val="0"/>
      <w:marRight w:val="0"/>
      <w:marTop w:val="0"/>
      <w:marBottom w:val="0"/>
      <w:divBdr>
        <w:top w:val="none" w:sz="0" w:space="0" w:color="auto"/>
        <w:left w:val="none" w:sz="0" w:space="0" w:color="auto"/>
        <w:bottom w:val="none" w:sz="0" w:space="0" w:color="auto"/>
        <w:right w:val="none" w:sz="0" w:space="0" w:color="auto"/>
      </w:divBdr>
    </w:div>
    <w:div w:id="1842237399">
      <w:bodyDiv w:val="1"/>
      <w:marLeft w:val="0"/>
      <w:marRight w:val="0"/>
      <w:marTop w:val="0"/>
      <w:marBottom w:val="0"/>
      <w:divBdr>
        <w:top w:val="none" w:sz="0" w:space="0" w:color="auto"/>
        <w:left w:val="none" w:sz="0" w:space="0" w:color="auto"/>
        <w:bottom w:val="none" w:sz="0" w:space="0" w:color="auto"/>
        <w:right w:val="none" w:sz="0" w:space="0" w:color="auto"/>
      </w:divBdr>
    </w:div>
    <w:div w:id="1850177665">
      <w:bodyDiv w:val="1"/>
      <w:marLeft w:val="0"/>
      <w:marRight w:val="0"/>
      <w:marTop w:val="0"/>
      <w:marBottom w:val="0"/>
      <w:divBdr>
        <w:top w:val="none" w:sz="0" w:space="0" w:color="auto"/>
        <w:left w:val="none" w:sz="0" w:space="0" w:color="auto"/>
        <w:bottom w:val="none" w:sz="0" w:space="0" w:color="auto"/>
        <w:right w:val="none" w:sz="0" w:space="0" w:color="auto"/>
      </w:divBdr>
    </w:div>
    <w:div w:id="1854223778">
      <w:bodyDiv w:val="1"/>
      <w:marLeft w:val="0"/>
      <w:marRight w:val="0"/>
      <w:marTop w:val="0"/>
      <w:marBottom w:val="0"/>
      <w:divBdr>
        <w:top w:val="none" w:sz="0" w:space="0" w:color="auto"/>
        <w:left w:val="none" w:sz="0" w:space="0" w:color="auto"/>
        <w:bottom w:val="none" w:sz="0" w:space="0" w:color="auto"/>
        <w:right w:val="none" w:sz="0" w:space="0" w:color="auto"/>
      </w:divBdr>
    </w:div>
    <w:div w:id="1860001366">
      <w:bodyDiv w:val="1"/>
      <w:marLeft w:val="0"/>
      <w:marRight w:val="0"/>
      <w:marTop w:val="0"/>
      <w:marBottom w:val="0"/>
      <w:divBdr>
        <w:top w:val="none" w:sz="0" w:space="0" w:color="auto"/>
        <w:left w:val="none" w:sz="0" w:space="0" w:color="auto"/>
        <w:bottom w:val="none" w:sz="0" w:space="0" w:color="auto"/>
        <w:right w:val="none" w:sz="0" w:space="0" w:color="auto"/>
      </w:divBdr>
    </w:div>
    <w:div w:id="1861551555">
      <w:bodyDiv w:val="1"/>
      <w:marLeft w:val="0"/>
      <w:marRight w:val="0"/>
      <w:marTop w:val="0"/>
      <w:marBottom w:val="0"/>
      <w:divBdr>
        <w:top w:val="none" w:sz="0" w:space="0" w:color="auto"/>
        <w:left w:val="none" w:sz="0" w:space="0" w:color="auto"/>
        <w:bottom w:val="none" w:sz="0" w:space="0" w:color="auto"/>
        <w:right w:val="none" w:sz="0" w:space="0" w:color="auto"/>
      </w:divBdr>
    </w:div>
    <w:div w:id="1862931621">
      <w:bodyDiv w:val="1"/>
      <w:marLeft w:val="0"/>
      <w:marRight w:val="0"/>
      <w:marTop w:val="0"/>
      <w:marBottom w:val="0"/>
      <w:divBdr>
        <w:top w:val="none" w:sz="0" w:space="0" w:color="auto"/>
        <w:left w:val="none" w:sz="0" w:space="0" w:color="auto"/>
        <w:bottom w:val="none" w:sz="0" w:space="0" w:color="auto"/>
        <w:right w:val="none" w:sz="0" w:space="0" w:color="auto"/>
      </w:divBdr>
    </w:div>
    <w:div w:id="1864517235">
      <w:bodyDiv w:val="1"/>
      <w:marLeft w:val="0"/>
      <w:marRight w:val="0"/>
      <w:marTop w:val="0"/>
      <w:marBottom w:val="0"/>
      <w:divBdr>
        <w:top w:val="none" w:sz="0" w:space="0" w:color="auto"/>
        <w:left w:val="none" w:sz="0" w:space="0" w:color="auto"/>
        <w:bottom w:val="none" w:sz="0" w:space="0" w:color="auto"/>
        <w:right w:val="none" w:sz="0" w:space="0" w:color="auto"/>
      </w:divBdr>
    </w:div>
    <w:div w:id="1865286701">
      <w:bodyDiv w:val="1"/>
      <w:marLeft w:val="0"/>
      <w:marRight w:val="0"/>
      <w:marTop w:val="0"/>
      <w:marBottom w:val="0"/>
      <w:divBdr>
        <w:top w:val="none" w:sz="0" w:space="0" w:color="auto"/>
        <w:left w:val="none" w:sz="0" w:space="0" w:color="auto"/>
        <w:bottom w:val="none" w:sz="0" w:space="0" w:color="auto"/>
        <w:right w:val="none" w:sz="0" w:space="0" w:color="auto"/>
      </w:divBdr>
    </w:div>
    <w:div w:id="1865947352">
      <w:bodyDiv w:val="1"/>
      <w:marLeft w:val="0"/>
      <w:marRight w:val="0"/>
      <w:marTop w:val="0"/>
      <w:marBottom w:val="0"/>
      <w:divBdr>
        <w:top w:val="none" w:sz="0" w:space="0" w:color="auto"/>
        <w:left w:val="none" w:sz="0" w:space="0" w:color="auto"/>
        <w:bottom w:val="none" w:sz="0" w:space="0" w:color="auto"/>
        <w:right w:val="none" w:sz="0" w:space="0" w:color="auto"/>
      </w:divBdr>
    </w:div>
    <w:div w:id="1869416280">
      <w:bodyDiv w:val="1"/>
      <w:marLeft w:val="0"/>
      <w:marRight w:val="0"/>
      <w:marTop w:val="0"/>
      <w:marBottom w:val="0"/>
      <w:divBdr>
        <w:top w:val="none" w:sz="0" w:space="0" w:color="auto"/>
        <w:left w:val="none" w:sz="0" w:space="0" w:color="auto"/>
        <w:bottom w:val="none" w:sz="0" w:space="0" w:color="auto"/>
        <w:right w:val="none" w:sz="0" w:space="0" w:color="auto"/>
      </w:divBdr>
    </w:div>
    <w:div w:id="1880819875">
      <w:bodyDiv w:val="1"/>
      <w:marLeft w:val="0"/>
      <w:marRight w:val="0"/>
      <w:marTop w:val="0"/>
      <w:marBottom w:val="0"/>
      <w:divBdr>
        <w:top w:val="none" w:sz="0" w:space="0" w:color="auto"/>
        <w:left w:val="none" w:sz="0" w:space="0" w:color="auto"/>
        <w:bottom w:val="none" w:sz="0" w:space="0" w:color="auto"/>
        <w:right w:val="none" w:sz="0" w:space="0" w:color="auto"/>
      </w:divBdr>
    </w:div>
    <w:div w:id="1883707351">
      <w:bodyDiv w:val="1"/>
      <w:marLeft w:val="0"/>
      <w:marRight w:val="0"/>
      <w:marTop w:val="0"/>
      <w:marBottom w:val="0"/>
      <w:divBdr>
        <w:top w:val="none" w:sz="0" w:space="0" w:color="auto"/>
        <w:left w:val="none" w:sz="0" w:space="0" w:color="auto"/>
        <w:bottom w:val="none" w:sz="0" w:space="0" w:color="auto"/>
        <w:right w:val="none" w:sz="0" w:space="0" w:color="auto"/>
      </w:divBdr>
    </w:div>
    <w:div w:id="1885020324">
      <w:bodyDiv w:val="1"/>
      <w:marLeft w:val="0"/>
      <w:marRight w:val="0"/>
      <w:marTop w:val="0"/>
      <w:marBottom w:val="0"/>
      <w:divBdr>
        <w:top w:val="none" w:sz="0" w:space="0" w:color="auto"/>
        <w:left w:val="none" w:sz="0" w:space="0" w:color="auto"/>
        <w:bottom w:val="none" w:sz="0" w:space="0" w:color="auto"/>
        <w:right w:val="none" w:sz="0" w:space="0" w:color="auto"/>
      </w:divBdr>
    </w:div>
    <w:div w:id="1886872074">
      <w:bodyDiv w:val="1"/>
      <w:marLeft w:val="0"/>
      <w:marRight w:val="0"/>
      <w:marTop w:val="0"/>
      <w:marBottom w:val="0"/>
      <w:divBdr>
        <w:top w:val="none" w:sz="0" w:space="0" w:color="auto"/>
        <w:left w:val="none" w:sz="0" w:space="0" w:color="auto"/>
        <w:bottom w:val="none" w:sz="0" w:space="0" w:color="auto"/>
        <w:right w:val="none" w:sz="0" w:space="0" w:color="auto"/>
      </w:divBdr>
    </w:div>
    <w:div w:id="1887637115">
      <w:bodyDiv w:val="1"/>
      <w:marLeft w:val="0"/>
      <w:marRight w:val="0"/>
      <w:marTop w:val="0"/>
      <w:marBottom w:val="0"/>
      <w:divBdr>
        <w:top w:val="none" w:sz="0" w:space="0" w:color="auto"/>
        <w:left w:val="none" w:sz="0" w:space="0" w:color="auto"/>
        <w:bottom w:val="none" w:sz="0" w:space="0" w:color="auto"/>
        <w:right w:val="none" w:sz="0" w:space="0" w:color="auto"/>
      </w:divBdr>
    </w:div>
    <w:div w:id="1890801698">
      <w:bodyDiv w:val="1"/>
      <w:marLeft w:val="0"/>
      <w:marRight w:val="0"/>
      <w:marTop w:val="0"/>
      <w:marBottom w:val="0"/>
      <w:divBdr>
        <w:top w:val="none" w:sz="0" w:space="0" w:color="auto"/>
        <w:left w:val="none" w:sz="0" w:space="0" w:color="auto"/>
        <w:bottom w:val="none" w:sz="0" w:space="0" w:color="auto"/>
        <w:right w:val="none" w:sz="0" w:space="0" w:color="auto"/>
      </w:divBdr>
    </w:div>
    <w:div w:id="1898079701">
      <w:bodyDiv w:val="1"/>
      <w:marLeft w:val="0"/>
      <w:marRight w:val="0"/>
      <w:marTop w:val="0"/>
      <w:marBottom w:val="0"/>
      <w:divBdr>
        <w:top w:val="none" w:sz="0" w:space="0" w:color="auto"/>
        <w:left w:val="none" w:sz="0" w:space="0" w:color="auto"/>
        <w:bottom w:val="none" w:sz="0" w:space="0" w:color="auto"/>
        <w:right w:val="none" w:sz="0" w:space="0" w:color="auto"/>
      </w:divBdr>
    </w:div>
    <w:div w:id="1909879644">
      <w:bodyDiv w:val="1"/>
      <w:marLeft w:val="0"/>
      <w:marRight w:val="0"/>
      <w:marTop w:val="0"/>
      <w:marBottom w:val="0"/>
      <w:divBdr>
        <w:top w:val="none" w:sz="0" w:space="0" w:color="auto"/>
        <w:left w:val="none" w:sz="0" w:space="0" w:color="auto"/>
        <w:bottom w:val="none" w:sz="0" w:space="0" w:color="auto"/>
        <w:right w:val="none" w:sz="0" w:space="0" w:color="auto"/>
      </w:divBdr>
    </w:div>
    <w:div w:id="1913194585">
      <w:bodyDiv w:val="1"/>
      <w:marLeft w:val="0"/>
      <w:marRight w:val="0"/>
      <w:marTop w:val="0"/>
      <w:marBottom w:val="0"/>
      <w:divBdr>
        <w:top w:val="none" w:sz="0" w:space="0" w:color="auto"/>
        <w:left w:val="none" w:sz="0" w:space="0" w:color="auto"/>
        <w:bottom w:val="none" w:sz="0" w:space="0" w:color="auto"/>
        <w:right w:val="none" w:sz="0" w:space="0" w:color="auto"/>
      </w:divBdr>
    </w:div>
    <w:div w:id="1913392513">
      <w:bodyDiv w:val="1"/>
      <w:marLeft w:val="0"/>
      <w:marRight w:val="0"/>
      <w:marTop w:val="0"/>
      <w:marBottom w:val="0"/>
      <w:divBdr>
        <w:top w:val="none" w:sz="0" w:space="0" w:color="auto"/>
        <w:left w:val="none" w:sz="0" w:space="0" w:color="auto"/>
        <w:bottom w:val="none" w:sz="0" w:space="0" w:color="auto"/>
        <w:right w:val="none" w:sz="0" w:space="0" w:color="auto"/>
      </w:divBdr>
    </w:div>
    <w:div w:id="1914312877">
      <w:bodyDiv w:val="1"/>
      <w:marLeft w:val="0"/>
      <w:marRight w:val="0"/>
      <w:marTop w:val="0"/>
      <w:marBottom w:val="0"/>
      <w:divBdr>
        <w:top w:val="none" w:sz="0" w:space="0" w:color="auto"/>
        <w:left w:val="none" w:sz="0" w:space="0" w:color="auto"/>
        <w:bottom w:val="none" w:sz="0" w:space="0" w:color="auto"/>
        <w:right w:val="none" w:sz="0" w:space="0" w:color="auto"/>
      </w:divBdr>
    </w:div>
    <w:div w:id="1921790030">
      <w:bodyDiv w:val="1"/>
      <w:marLeft w:val="0"/>
      <w:marRight w:val="0"/>
      <w:marTop w:val="0"/>
      <w:marBottom w:val="0"/>
      <w:divBdr>
        <w:top w:val="none" w:sz="0" w:space="0" w:color="auto"/>
        <w:left w:val="none" w:sz="0" w:space="0" w:color="auto"/>
        <w:bottom w:val="none" w:sz="0" w:space="0" w:color="auto"/>
        <w:right w:val="none" w:sz="0" w:space="0" w:color="auto"/>
      </w:divBdr>
    </w:div>
    <w:div w:id="1922179948">
      <w:bodyDiv w:val="1"/>
      <w:marLeft w:val="0"/>
      <w:marRight w:val="0"/>
      <w:marTop w:val="0"/>
      <w:marBottom w:val="0"/>
      <w:divBdr>
        <w:top w:val="none" w:sz="0" w:space="0" w:color="auto"/>
        <w:left w:val="none" w:sz="0" w:space="0" w:color="auto"/>
        <w:bottom w:val="none" w:sz="0" w:space="0" w:color="auto"/>
        <w:right w:val="none" w:sz="0" w:space="0" w:color="auto"/>
      </w:divBdr>
    </w:div>
    <w:div w:id="1940209732">
      <w:bodyDiv w:val="1"/>
      <w:marLeft w:val="0"/>
      <w:marRight w:val="0"/>
      <w:marTop w:val="0"/>
      <w:marBottom w:val="0"/>
      <w:divBdr>
        <w:top w:val="none" w:sz="0" w:space="0" w:color="auto"/>
        <w:left w:val="none" w:sz="0" w:space="0" w:color="auto"/>
        <w:bottom w:val="none" w:sz="0" w:space="0" w:color="auto"/>
        <w:right w:val="none" w:sz="0" w:space="0" w:color="auto"/>
      </w:divBdr>
    </w:div>
    <w:div w:id="1943611909">
      <w:bodyDiv w:val="1"/>
      <w:marLeft w:val="0"/>
      <w:marRight w:val="0"/>
      <w:marTop w:val="0"/>
      <w:marBottom w:val="0"/>
      <w:divBdr>
        <w:top w:val="none" w:sz="0" w:space="0" w:color="auto"/>
        <w:left w:val="none" w:sz="0" w:space="0" w:color="auto"/>
        <w:bottom w:val="none" w:sz="0" w:space="0" w:color="auto"/>
        <w:right w:val="none" w:sz="0" w:space="0" w:color="auto"/>
      </w:divBdr>
    </w:div>
    <w:div w:id="1948921870">
      <w:bodyDiv w:val="1"/>
      <w:marLeft w:val="0"/>
      <w:marRight w:val="0"/>
      <w:marTop w:val="0"/>
      <w:marBottom w:val="0"/>
      <w:divBdr>
        <w:top w:val="none" w:sz="0" w:space="0" w:color="auto"/>
        <w:left w:val="none" w:sz="0" w:space="0" w:color="auto"/>
        <w:bottom w:val="none" w:sz="0" w:space="0" w:color="auto"/>
        <w:right w:val="none" w:sz="0" w:space="0" w:color="auto"/>
      </w:divBdr>
    </w:div>
    <w:div w:id="1955165118">
      <w:bodyDiv w:val="1"/>
      <w:marLeft w:val="0"/>
      <w:marRight w:val="0"/>
      <w:marTop w:val="0"/>
      <w:marBottom w:val="0"/>
      <w:divBdr>
        <w:top w:val="none" w:sz="0" w:space="0" w:color="auto"/>
        <w:left w:val="none" w:sz="0" w:space="0" w:color="auto"/>
        <w:bottom w:val="none" w:sz="0" w:space="0" w:color="auto"/>
        <w:right w:val="none" w:sz="0" w:space="0" w:color="auto"/>
      </w:divBdr>
    </w:div>
    <w:div w:id="1955558005">
      <w:bodyDiv w:val="1"/>
      <w:marLeft w:val="0"/>
      <w:marRight w:val="0"/>
      <w:marTop w:val="0"/>
      <w:marBottom w:val="0"/>
      <w:divBdr>
        <w:top w:val="none" w:sz="0" w:space="0" w:color="auto"/>
        <w:left w:val="none" w:sz="0" w:space="0" w:color="auto"/>
        <w:bottom w:val="none" w:sz="0" w:space="0" w:color="auto"/>
        <w:right w:val="none" w:sz="0" w:space="0" w:color="auto"/>
      </w:divBdr>
    </w:div>
    <w:div w:id="1956211632">
      <w:bodyDiv w:val="1"/>
      <w:marLeft w:val="0"/>
      <w:marRight w:val="0"/>
      <w:marTop w:val="0"/>
      <w:marBottom w:val="0"/>
      <w:divBdr>
        <w:top w:val="none" w:sz="0" w:space="0" w:color="auto"/>
        <w:left w:val="none" w:sz="0" w:space="0" w:color="auto"/>
        <w:bottom w:val="none" w:sz="0" w:space="0" w:color="auto"/>
        <w:right w:val="none" w:sz="0" w:space="0" w:color="auto"/>
      </w:divBdr>
    </w:div>
    <w:div w:id="1979146020">
      <w:bodyDiv w:val="1"/>
      <w:marLeft w:val="0"/>
      <w:marRight w:val="0"/>
      <w:marTop w:val="0"/>
      <w:marBottom w:val="0"/>
      <w:divBdr>
        <w:top w:val="none" w:sz="0" w:space="0" w:color="auto"/>
        <w:left w:val="none" w:sz="0" w:space="0" w:color="auto"/>
        <w:bottom w:val="none" w:sz="0" w:space="0" w:color="auto"/>
        <w:right w:val="none" w:sz="0" w:space="0" w:color="auto"/>
      </w:divBdr>
    </w:div>
    <w:div w:id="1979260349">
      <w:bodyDiv w:val="1"/>
      <w:marLeft w:val="0"/>
      <w:marRight w:val="0"/>
      <w:marTop w:val="0"/>
      <w:marBottom w:val="0"/>
      <w:divBdr>
        <w:top w:val="none" w:sz="0" w:space="0" w:color="auto"/>
        <w:left w:val="none" w:sz="0" w:space="0" w:color="auto"/>
        <w:bottom w:val="none" w:sz="0" w:space="0" w:color="auto"/>
        <w:right w:val="none" w:sz="0" w:space="0" w:color="auto"/>
      </w:divBdr>
    </w:div>
    <w:div w:id="1979921486">
      <w:bodyDiv w:val="1"/>
      <w:marLeft w:val="0"/>
      <w:marRight w:val="0"/>
      <w:marTop w:val="0"/>
      <w:marBottom w:val="0"/>
      <w:divBdr>
        <w:top w:val="none" w:sz="0" w:space="0" w:color="auto"/>
        <w:left w:val="none" w:sz="0" w:space="0" w:color="auto"/>
        <w:bottom w:val="none" w:sz="0" w:space="0" w:color="auto"/>
        <w:right w:val="none" w:sz="0" w:space="0" w:color="auto"/>
      </w:divBdr>
    </w:div>
    <w:div w:id="1980768815">
      <w:bodyDiv w:val="1"/>
      <w:marLeft w:val="0"/>
      <w:marRight w:val="0"/>
      <w:marTop w:val="0"/>
      <w:marBottom w:val="0"/>
      <w:divBdr>
        <w:top w:val="none" w:sz="0" w:space="0" w:color="auto"/>
        <w:left w:val="none" w:sz="0" w:space="0" w:color="auto"/>
        <w:bottom w:val="none" w:sz="0" w:space="0" w:color="auto"/>
        <w:right w:val="none" w:sz="0" w:space="0" w:color="auto"/>
      </w:divBdr>
    </w:div>
    <w:div w:id="1982731072">
      <w:bodyDiv w:val="1"/>
      <w:marLeft w:val="0"/>
      <w:marRight w:val="0"/>
      <w:marTop w:val="0"/>
      <w:marBottom w:val="0"/>
      <w:divBdr>
        <w:top w:val="none" w:sz="0" w:space="0" w:color="auto"/>
        <w:left w:val="none" w:sz="0" w:space="0" w:color="auto"/>
        <w:bottom w:val="none" w:sz="0" w:space="0" w:color="auto"/>
        <w:right w:val="none" w:sz="0" w:space="0" w:color="auto"/>
      </w:divBdr>
    </w:div>
    <w:div w:id="1986347825">
      <w:bodyDiv w:val="1"/>
      <w:marLeft w:val="0"/>
      <w:marRight w:val="0"/>
      <w:marTop w:val="0"/>
      <w:marBottom w:val="0"/>
      <w:divBdr>
        <w:top w:val="none" w:sz="0" w:space="0" w:color="auto"/>
        <w:left w:val="none" w:sz="0" w:space="0" w:color="auto"/>
        <w:bottom w:val="none" w:sz="0" w:space="0" w:color="auto"/>
        <w:right w:val="none" w:sz="0" w:space="0" w:color="auto"/>
      </w:divBdr>
    </w:div>
    <w:div w:id="1993826666">
      <w:bodyDiv w:val="1"/>
      <w:marLeft w:val="0"/>
      <w:marRight w:val="0"/>
      <w:marTop w:val="0"/>
      <w:marBottom w:val="0"/>
      <w:divBdr>
        <w:top w:val="none" w:sz="0" w:space="0" w:color="auto"/>
        <w:left w:val="none" w:sz="0" w:space="0" w:color="auto"/>
        <w:bottom w:val="none" w:sz="0" w:space="0" w:color="auto"/>
        <w:right w:val="none" w:sz="0" w:space="0" w:color="auto"/>
      </w:divBdr>
    </w:div>
    <w:div w:id="1995864990">
      <w:bodyDiv w:val="1"/>
      <w:marLeft w:val="0"/>
      <w:marRight w:val="0"/>
      <w:marTop w:val="0"/>
      <w:marBottom w:val="0"/>
      <w:divBdr>
        <w:top w:val="none" w:sz="0" w:space="0" w:color="auto"/>
        <w:left w:val="none" w:sz="0" w:space="0" w:color="auto"/>
        <w:bottom w:val="none" w:sz="0" w:space="0" w:color="auto"/>
        <w:right w:val="none" w:sz="0" w:space="0" w:color="auto"/>
      </w:divBdr>
    </w:div>
    <w:div w:id="1997372446">
      <w:bodyDiv w:val="1"/>
      <w:marLeft w:val="0"/>
      <w:marRight w:val="0"/>
      <w:marTop w:val="0"/>
      <w:marBottom w:val="0"/>
      <w:divBdr>
        <w:top w:val="none" w:sz="0" w:space="0" w:color="auto"/>
        <w:left w:val="none" w:sz="0" w:space="0" w:color="auto"/>
        <w:bottom w:val="none" w:sz="0" w:space="0" w:color="auto"/>
        <w:right w:val="none" w:sz="0" w:space="0" w:color="auto"/>
      </w:divBdr>
    </w:div>
    <w:div w:id="1998805006">
      <w:bodyDiv w:val="1"/>
      <w:marLeft w:val="0"/>
      <w:marRight w:val="0"/>
      <w:marTop w:val="0"/>
      <w:marBottom w:val="0"/>
      <w:divBdr>
        <w:top w:val="none" w:sz="0" w:space="0" w:color="auto"/>
        <w:left w:val="none" w:sz="0" w:space="0" w:color="auto"/>
        <w:bottom w:val="none" w:sz="0" w:space="0" w:color="auto"/>
        <w:right w:val="none" w:sz="0" w:space="0" w:color="auto"/>
      </w:divBdr>
    </w:div>
    <w:div w:id="2005624631">
      <w:bodyDiv w:val="1"/>
      <w:marLeft w:val="0"/>
      <w:marRight w:val="0"/>
      <w:marTop w:val="0"/>
      <w:marBottom w:val="0"/>
      <w:divBdr>
        <w:top w:val="none" w:sz="0" w:space="0" w:color="auto"/>
        <w:left w:val="none" w:sz="0" w:space="0" w:color="auto"/>
        <w:bottom w:val="none" w:sz="0" w:space="0" w:color="auto"/>
        <w:right w:val="none" w:sz="0" w:space="0" w:color="auto"/>
      </w:divBdr>
    </w:div>
    <w:div w:id="2006400119">
      <w:bodyDiv w:val="1"/>
      <w:marLeft w:val="0"/>
      <w:marRight w:val="0"/>
      <w:marTop w:val="0"/>
      <w:marBottom w:val="0"/>
      <w:divBdr>
        <w:top w:val="none" w:sz="0" w:space="0" w:color="auto"/>
        <w:left w:val="none" w:sz="0" w:space="0" w:color="auto"/>
        <w:bottom w:val="none" w:sz="0" w:space="0" w:color="auto"/>
        <w:right w:val="none" w:sz="0" w:space="0" w:color="auto"/>
      </w:divBdr>
    </w:div>
    <w:div w:id="2006933366">
      <w:bodyDiv w:val="1"/>
      <w:marLeft w:val="0"/>
      <w:marRight w:val="0"/>
      <w:marTop w:val="0"/>
      <w:marBottom w:val="0"/>
      <w:divBdr>
        <w:top w:val="none" w:sz="0" w:space="0" w:color="auto"/>
        <w:left w:val="none" w:sz="0" w:space="0" w:color="auto"/>
        <w:bottom w:val="none" w:sz="0" w:space="0" w:color="auto"/>
        <w:right w:val="none" w:sz="0" w:space="0" w:color="auto"/>
      </w:divBdr>
    </w:div>
    <w:div w:id="2014451206">
      <w:bodyDiv w:val="1"/>
      <w:marLeft w:val="0"/>
      <w:marRight w:val="0"/>
      <w:marTop w:val="0"/>
      <w:marBottom w:val="0"/>
      <w:divBdr>
        <w:top w:val="none" w:sz="0" w:space="0" w:color="auto"/>
        <w:left w:val="none" w:sz="0" w:space="0" w:color="auto"/>
        <w:bottom w:val="none" w:sz="0" w:space="0" w:color="auto"/>
        <w:right w:val="none" w:sz="0" w:space="0" w:color="auto"/>
      </w:divBdr>
    </w:div>
    <w:div w:id="2016491775">
      <w:bodyDiv w:val="1"/>
      <w:marLeft w:val="0"/>
      <w:marRight w:val="0"/>
      <w:marTop w:val="0"/>
      <w:marBottom w:val="0"/>
      <w:divBdr>
        <w:top w:val="none" w:sz="0" w:space="0" w:color="auto"/>
        <w:left w:val="none" w:sz="0" w:space="0" w:color="auto"/>
        <w:bottom w:val="none" w:sz="0" w:space="0" w:color="auto"/>
        <w:right w:val="none" w:sz="0" w:space="0" w:color="auto"/>
      </w:divBdr>
    </w:div>
    <w:div w:id="2019112250">
      <w:bodyDiv w:val="1"/>
      <w:marLeft w:val="0"/>
      <w:marRight w:val="0"/>
      <w:marTop w:val="0"/>
      <w:marBottom w:val="0"/>
      <w:divBdr>
        <w:top w:val="none" w:sz="0" w:space="0" w:color="auto"/>
        <w:left w:val="none" w:sz="0" w:space="0" w:color="auto"/>
        <w:bottom w:val="none" w:sz="0" w:space="0" w:color="auto"/>
        <w:right w:val="none" w:sz="0" w:space="0" w:color="auto"/>
      </w:divBdr>
    </w:div>
    <w:div w:id="2019961464">
      <w:bodyDiv w:val="1"/>
      <w:marLeft w:val="0"/>
      <w:marRight w:val="0"/>
      <w:marTop w:val="0"/>
      <w:marBottom w:val="0"/>
      <w:divBdr>
        <w:top w:val="none" w:sz="0" w:space="0" w:color="auto"/>
        <w:left w:val="none" w:sz="0" w:space="0" w:color="auto"/>
        <w:bottom w:val="none" w:sz="0" w:space="0" w:color="auto"/>
        <w:right w:val="none" w:sz="0" w:space="0" w:color="auto"/>
      </w:divBdr>
    </w:div>
    <w:div w:id="2030593958">
      <w:bodyDiv w:val="1"/>
      <w:marLeft w:val="0"/>
      <w:marRight w:val="0"/>
      <w:marTop w:val="0"/>
      <w:marBottom w:val="0"/>
      <w:divBdr>
        <w:top w:val="none" w:sz="0" w:space="0" w:color="auto"/>
        <w:left w:val="none" w:sz="0" w:space="0" w:color="auto"/>
        <w:bottom w:val="none" w:sz="0" w:space="0" w:color="auto"/>
        <w:right w:val="none" w:sz="0" w:space="0" w:color="auto"/>
      </w:divBdr>
    </w:div>
    <w:div w:id="2036736485">
      <w:bodyDiv w:val="1"/>
      <w:marLeft w:val="0"/>
      <w:marRight w:val="0"/>
      <w:marTop w:val="0"/>
      <w:marBottom w:val="0"/>
      <w:divBdr>
        <w:top w:val="none" w:sz="0" w:space="0" w:color="auto"/>
        <w:left w:val="none" w:sz="0" w:space="0" w:color="auto"/>
        <w:bottom w:val="none" w:sz="0" w:space="0" w:color="auto"/>
        <w:right w:val="none" w:sz="0" w:space="0" w:color="auto"/>
      </w:divBdr>
    </w:div>
    <w:div w:id="2038969681">
      <w:bodyDiv w:val="1"/>
      <w:marLeft w:val="0"/>
      <w:marRight w:val="0"/>
      <w:marTop w:val="0"/>
      <w:marBottom w:val="0"/>
      <w:divBdr>
        <w:top w:val="none" w:sz="0" w:space="0" w:color="auto"/>
        <w:left w:val="none" w:sz="0" w:space="0" w:color="auto"/>
        <w:bottom w:val="none" w:sz="0" w:space="0" w:color="auto"/>
        <w:right w:val="none" w:sz="0" w:space="0" w:color="auto"/>
      </w:divBdr>
    </w:div>
    <w:div w:id="2039162126">
      <w:bodyDiv w:val="1"/>
      <w:marLeft w:val="0"/>
      <w:marRight w:val="0"/>
      <w:marTop w:val="0"/>
      <w:marBottom w:val="0"/>
      <w:divBdr>
        <w:top w:val="none" w:sz="0" w:space="0" w:color="auto"/>
        <w:left w:val="none" w:sz="0" w:space="0" w:color="auto"/>
        <w:bottom w:val="none" w:sz="0" w:space="0" w:color="auto"/>
        <w:right w:val="none" w:sz="0" w:space="0" w:color="auto"/>
      </w:divBdr>
    </w:div>
    <w:div w:id="2048724600">
      <w:bodyDiv w:val="1"/>
      <w:marLeft w:val="0"/>
      <w:marRight w:val="0"/>
      <w:marTop w:val="0"/>
      <w:marBottom w:val="0"/>
      <w:divBdr>
        <w:top w:val="none" w:sz="0" w:space="0" w:color="auto"/>
        <w:left w:val="none" w:sz="0" w:space="0" w:color="auto"/>
        <w:bottom w:val="none" w:sz="0" w:space="0" w:color="auto"/>
        <w:right w:val="none" w:sz="0" w:space="0" w:color="auto"/>
      </w:divBdr>
    </w:div>
    <w:div w:id="2058822195">
      <w:bodyDiv w:val="1"/>
      <w:marLeft w:val="0"/>
      <w:marRight w:val="0"/>
      <w:marTop w:val="0"/>
      <w:marBottom w:val="0"/>
      <w:divBdr>
        <w:top w:val="none" w:sz="0" w:space="0" w:color="auto"/>
        <w:left w:val="none" w:sz="0" w:space="0" w:color="auto"/>
        <w:bottom w:val="none" w:sz="0" w:space="0" w:color="auto"/>
        <w:right w:val="none" w:sz="0" w:space="0" w:color="auto"/>
      </w:divBdr>
    </w:div>
    <w:div w:id="2059889156">
      <w:bodyDiv w:val="1"/>
      <w:marLeft w:val="0"/>
      <w:marRight w:val="0"/>
      <w:marTop w:val="0"/>
      <w:marBottom w:val="0"/>
      <w:divBdr>
        <w:top w:val="none" w:sz="0" w:space="0" w:color="auto"/>
        <w:left w:val="none" w:sz="0" w:space="0" w:color="auto"/>
        <w:bottom w:val="none" w:sz="0" w:space="0" w:color="auto"/>
        <w:right w:val="none" w:sz="0" w:space="0" w:color="auto"/>
      </w:divBdr>
    </w:div>
    <w:div w:id="2061782087">
      <w:bodyDiv w:val="1"/>
      <w:marLeft w:val="0"/>
      <w:marRight w:val="0"/>
      <w:marTop w:val="0"/>
      <w:marBottom w:val="0"/>
      <w:divBdr>
        <w:top w:val="none" w:sz="0" w:space="0" w:color="auto"/>
        <w:left w:val="none" w:sz="0" w:space="0" w:color="auto"/>
        <w:bottom w:val="none" w:sz="0" w:space="0" w:color="auto"/>
        <w:right w:val="none" w:sz="0" w:space="0" w:color="auto"/>
      </w:divBdr>
    </w:div>
    <w:div w:id="2064209644">
      <w:bodyDiv w:val="1"/>
      <w:marLeft w:val="0"/>
      <w:marRight w:val="0"/>
      <w:marTop w:val="0"/>
      <w:marBottom w:val="0"/>
      <w:divBdr>
        <w:top w:val="none" w:sz="0" w:space="0" w:color="auto"/>
        <w:left w:val="none" w:sz="0" w:space="0" w:color="auto"/>
        <w:bottom w:val="none" w:sz="0" w:space="0" w:color="auto"/>
        <w:right w:val="none" w:sz="0" w:space="0" w:color="auto"/>
      </w:divBdr>
    </w:div>
    <w:div w:id="2064450040">
      <w:bodyDiv w:val="1"/>
      <w:marLeft w:val="0"/>
      <w:marRight w:val="0"/>
      <w:marTop w:val="0"/>
      <w:marBottom w:val="0"/>
      <w:divBdr>
        <w:top w:val="none" w:sz="0" w:space="0" w:color="auto"/>
        <w:left w:val="none" w:sz="0" w:space="0" w:color="auto"/>
        <w:bottom w:val="none" w:sz="0" w:space="0" w:color="auto"/>
        <w:right w:val="none" w:sz="0" w:space="0" w:color="auto"/>
      </w:divBdr>
    </w:div>
    <w:div w:id="2068724787">
      <w:bodyDiv w:val="1"/>
      <w:marLeft w:val="0"/>
      <w:marRight w:val="0"/>
      <w:marTop w:val="0"/>
      <w:marBottom w:val="0"/>
      <w:divBdr>
        <w:top w:val="none" w:sz="0" w:space="0" w:color="auto"/>
        <w:left w:val="none" w:sz="0" w:space="0" w:color="auto"/>
        <w:bottom w:val="none" w:sz="0" w:space="0" w:color="auto"/>
        <w:right w:val="none" w:sz="0" w:space="0" w:color="auto"/>
      </w:divBdr>
    </w:div>
    <w:div w:id="2072576781">
      <w:bodyDiv w:val="1"/>
      <w:marLeft w:val="0"/>
      <w:marRight w:val="0"/>
      <w:marTop w:val="0"/>
      <w:marBottom w:val="0"/>
      <w:divBdr>
        <w:top w:val="none" w:sz="0" w:space="0" w:color="auto"/>
        <w:left w:val="none" w:sz="0" w:space="0" w:color="auto"/>
        <w:bottom w:val="none" w:sz="0" w:space="0" w:color="auto"/>
        <w:right w:val="none" w:sz="0" w:space="0" w:color="auto"/>
      </w:divBdr>
    </w:div>
    <w:div w:id="2079663682">
      <w:bodyDiv w:val="1"/>
      <w:marLeft w:val="0"/>
      <w:marRight w:val="0"/>
      <w:marTop w:val="0"/>
      <w:marBottom w:val="0"/>
      <w:divBdr>
        <w:top w:val="none" w:sz="0" w:space="0" w:color="auto"/>
        <w:left w:val="none" w:sz="0" w:space="0" w:color="auto"/>
        <w:bottom w:val="none" w:sz="0" w:space="0" w:color="auto"/>
        <w:right w:val="none" w:sz="0" w:space="0" w:color="auto"/>
      </w:divBdr>
    </w:div>
    <w:div w:id="2080637034">
      <w:bodyDiv w:val="1"/>
      <w:marLeft w:val="0"/>
      <w:marRight w:val="0"/>
      <w:marTop w:val="0"/>
      <w:marBottom w:val="0"/>
      <w:divBdr>
        <w:top w:val="none" w:sz="0" w:space="0" w:color="auto"/>
        <w:left w:val="none" w:sz="0" w:space="0" w:color="auto"/>
        <w:bottom w:val="none" w:sz="0" w:space="0" w:color="auto"/>
        <w:right w:val="none" w:sz="0" w:space="0" w:color="auto"/>
      </w:divBdr>
    </w:div>
    <w:div w:id="2088260979">
      <w:bodyDiv w:val="1"/>
      <w:marLeft w:val="0"/>
      <w:marRight w:val="0"/>
      <w:marTop w:val="0"/>
      <w:marBottom w:val="0"/>
      <w:divBdr>
        <w:top w:val="none" w:sz="0" w:space="0" w:color="auto"/>
        <w:left w:val="none" w:sz="0" w:space="0" w:color="auto"/>
        <w:bottom w:val="none" w:sz="0" w:space="0" w:color="auto"/>
        <w:right w:val="none" w:sz="0" w:space="0" w:color="auto"/>
      </w:divBdr>
      <w:divsChild>
        <w:div w:id="142239049">
          <w:marLeft w:val="446"/>
          <w:marRight w:val="0"/>
          <w:marTop w:val="0"/>
          <w:marBottom w:val="0"/>
          <w:divBdr>
            <w:top w:val="none" w:sz="0" w:space="0" w:color="auto"/>
            <w:left w:val="none" w:sz="0" w:space="0" w:color="auto"/>
            <w:bottom w:val="none" w:sz="0" w:space="0" w:color="auto"/>
            <w:right w:val="none" w:sz="0" w:space="0" w:color="auto"/>
          </w:divBdr>
        </w:div>
        <w:div w:id="1454058209">
          <w:marLeft w:val="446"/>
          <w:marRight w:val="0"/>
          <w:marTop w:val="0"/>
          <w:marBottom w:val="0"/>
          <w:divBdr>
            <w:top w:val="none" w:sz="0" w:space="0" w:color="auto"/>
            <w:left w:val="none" w:sz="0" w:space="0" w:color="auto"/>
            <w:bottom w:val="none" w:sz="0" w:space="0" w:color="auto"/>
            <w:right w:val="none" w:sz="0" w:space="0" w:color="auto"/>
          </w:divBdr>
        </w:div>
        <w:div w:id="1912931929">
          <w:marLeft w:val="446"/>
          <w:marRight w:val="0"/>
          <w:marTop w:val="0"/>
          <w:marBottom w:val="0"/>
          <w:divBdr>
            <w:top w:val="none" w:sz="0" w:space="0" w:color="auto"/>
            <w:left w:val="none" w:sz="0" w:space="0" w:color="auto"/>
            <w:bottom w:val="none" w:sz="0" w:space="0" w:color="auto"/>
            <w:right w:val="none" w:sz="0" w:space="0" w:color="auto"/>
          </w:divBdr>
        </w:div>
        <w:div w:id="1974216223">
          <w:marLeft w:val="446"/>
          <w:marRight w:val="0"/>
          <w:marTop w:val="0"/>
          <w:marBottom w:val="0"/>
          <w:divBdr>
            <w:top w:val="none" w:sz="0" w:space="0" w:color="auto"/>
            <w:left w:val="none" w:sz="0" w:space="0" w:color="auto"/>
            <w:bottom w:val="none" w:sz="0" w:space="0" w:color="auto"/>
            <w:right w:val="none" w:sz="0" w:space="0" w:color="auto"/>
          </w:divBdr>
        </w:div>
      </w:divsChild>
    </w:div>
    <w:div w:id="2090537288">
      <w:bodyDiv w:val="1"/>
      <w:marLeft w:val="0"/>
      <w:marRight w:val="0"/>
      <w:marTop w:val="0"/>
      <w:marBottom w:val="0"/>
      <w:divBdr>
        <w:top w:val="none" w:sz="0" w:space="0" w:color="auto"/>
        <w:left w:val="none" w:sz="0" w:space="0" w:color="auto"/>
        <w:bottom w:val="none" w:sz="0" w:space="0" w:color="auto"/>
        <w:right w:val="none" w:sz="0" w:space="0" w:color="auto"/>
      </w:divBdr>
    </w:div>
    <w:div w:id="2100638552">
      <w:bodyDiv w:val="1"/>
      <w:marLeft w:val="0"/>
      <w:marRight w:val="0"/>
      <w:marTop w:val="0"/>
      <w:marBottom w:val="0"/>
      <w:divBdr>
        <w:top w:val="none" w:sz="0" w:space="0" w:color="auto"/>
        <w:left w:val="none" w:sz="0" w:space="0" w:color="auto"/>
        <w:bottom w:val="none" w:sz="0" w:space="0" w:color="auto"/>
        <w:right w:val="none" w:sz="0" w:space="0" w:color="auto"/>
      </w:divBdr>
    </w:div>
    <w:div w:id="2108454383">
      <w:bodyDiv w:val="1"/>
      <w:marLeft w:val="0"/>
      <w:marRight w:val="0"/>
      <w:marTop w:val="0"/>
      <w:marBottom w:val="0"/>
      <w:divBdr>
        <w:top w:val="none" w:sz="0" w:space="0" w:color="auto"/>
        <w:left w:val="none" w:sz="0" w:space="0" w:color="auto"/>
        <w:bottom w:val="none" w:sz="0" w:space="0" w:color="auto"/>
        <w:right w:val="none" w:sz="0" w:space="0" w:color="auto"/>
      </w:divBdr>
    </w:div>
    <w:div w:id="2112241051">
      <w:bodyDiv w:val="1"/>
      <w:marLeft w:val="0"/>
      <w:marRight w:val="0"/>
      <w:marTop w:val="0"/>
      <w:marBottom w:val="0"/>
      <w:divBdr>
        <w:top w:val="none" w:sz="0" w:space="0" w:color="auto"/>
        <w:left w:val="none" w:sz="0" w:space="0" w:color="auto"/>
        <w:bottom w:val="none" w:sz="0" w:space="0" w:color="auto"/>
        <w:right w:val="none" w:sz="0" w:space="0" w:color="auto"/>
      </w:divBdr>
    </w:div>
    <w:div w:id="2115974761">
      <w:bodyDiv w:val="1"/>
      <w:marLeft w:val="0"/>
      <w:marRight w:val="0"/>
      <w:marTop w:val="0"/>
      <w:marBottom w:val="0"/>
      <w:divBdr>
        <w:top w:val="none" w:sz="0" w:space="0" w:color="auto"/>
        <w:left w:val="none" w:sz="0" w:space="0" w:color="auto"/>
        <w:bottom w:val="none" w:sz="0" w:space="0" w:color="auto"/>
        <w:right w:val="none" w:sz="0" w:space="0" w:color="auto"/>
      </w:divBdr>
    </w:div>
    <w:div w:id="2116514886">
      <w:bodyDiv w:val="1"/>
      <w:marLeft w:val="0"/>
      <w:marRight w:val="0"/>
      <w:marTop w:val="0"/>
      <w:marBottom w:val="0"/>
      <w:divBdr>
        <w:top w:val="none" w:sz="0" w:space="0" w:color="auto"/>
        <w:left w:val="none" w:sz="0" w:space="0" w:color="auto"/>
        <w:bottom w:val="none" w:sz="0" w:space="0" w:color="auto"/>
        <w:right w:val="none" w:sz="0" w:space="0" w:color="auto"/>
      </w:divBdr>
    </w:div>
    <w:div w:id="2118060941">
      <w:bodyDiv w:val="1"/>
      <w:marLeft w:val="0"/>
      <w:marRight w:val="0"/>
      <w:marTop w:val="0"/>
      <w:marBottom w:val="0"/>
      <w:divBdr>
        <w:top w:val="none" w:sz="0" w:space="0" w:color="auto"/>
        <w:left w:val="none" w:sz="0" w:space="0" w:color="auto"/>
        <w:bottom w:val="none" w:sz="0" w:space="0" w:color="auto"/>
        <w:right w:val="none" w:sz="0" w:space="0" w:color="auto"/>
      </w:divBdr>
    </w:div>
    <w:div w:id="2121562624">
      <w:bodyDiv w:val="1"/>
      <w:marLeft w:val="0"/>
      <w:marRight w:val="0"/>
      <w:marTop w:val="0"/>
      <w:marBottom w:val="0"/>
      <w:divBdr>
        <w:top w:val="none" w:sz="0" w:space="0" w:color="auto"/>
        <w:left w:val="none" w:sz="0" w:space="0" w:color="auto"/>
        <w:bottom w:val="none" w:sz="0" w:space="0" w:color="auto"/>
        <w:right w:val="none" w:sz="0" w:space="0" w:color="auto"/>
      </w:divBdr>
    </w:div>
    <w:div w:id="2127852058">
      <w:bodyDiv w:val="1"/>
      <w:marLeft w:val="0"/>
      <w:marRight w:val="0"/>
      <w:marTop w:val="0"/>
      <w:marBottom w:val="0"/>
      <w:divBdr>
        <w:top w:val="none" w:sz="0" w:space="0" w:color="auto"/>
        <w:left w:val="none" w:sz="0" w:space="0" w:color="auto"/>
        <w:bottom w:val="none" w:sz="0" w:space="0" w:color="auto"/>
        <w:right w:val="none" w:sz="0" w:space="0" w:color="auto"/>
      </w:divBdr>
    </w:div>
    <w:div w:id="2128959601">
      <w:bodyDiv w:val="1"/>
      <w:marLeft w:val="0"/>
      <w:marRight w:val="0"/>
      <w:marTop w:val="0"/>
      <w:marBottom w:val="0"/>
      <w:divBdr>
        <w:top w:val="none" w:sz="0" w:space="0" w:color="auto"/>
        <w:left w:val="none" w:sz="0" w:space="0" w:color="auto"/>
        <w:bottom w:val="none" w:sz="0" w:space="0" w:color="auto"/>
        <w:right w:val="none" w:sz="0" w:space="0" w:color="auto"/>
      </w:divBdr>
    </w:div>
    <w:div w:id="2131700845">
      <w:bodyDiv w:val="1"/>
      <w:marLeft w:val="0"/>
      <w:marRight w:val="0"/>
      <w:marTop w:val="0"/>
      <w:marBottom w:val="0"/>
      <w:divBdr>
        <w:top w:val="none" w:sz="0" w:space="0" w:color="auto"/>
        <w:left w:val="none" w:sz="0" w:space="0" w:color="auto"/>
        <w:bottom w:val="none" w:sz="0" w:space="0" w:color="auto"/>
        <w:right w:val="none" w:sz="0" w:space="0" w:color="auto"/>
      </w:divBdr>
    </w:div>
    <w:div w:id="2137940902">
      <w:bodyDiv w:val="1"/>
      <w:marLeft w:val="0"/>
      <w:marRight w:val="0"/>
      <w:marTop w:val="0"/>
      <w:marBottom w:val="0"/>
      <w:divBdr>
        <w:top w:val="none" w:sz="0" w:space="0" w:color="auto"/>
        <w:left w:val="none" w:sz="0" w:space="0" w:color="auto"/>
        <w:bottom w:val="none" w:sz="0" w:space="0" w:color="auto"/>
        <w:right w:val="none" w:sz="0" w:space="0" w:color="auto"/>
      </w:divBdr>
    </w:div>
    <w:div w:id="2142379114">
      <w:bodyDiv w:val="1"/>
      <w:marLeft w:val="0"/>
      <w:marRight w:val="0"/>
      <w:marTop w:val="0"/>
      <w:marBottom w:val="0"/>
      <w:divBdr>
        <w:top w:val="none" w:sz="0" w:space="0" w:color="auto"/>
        <w:left w:val="none" w:sz="0" w:space="0" w:color="auto"/>
        <w:bottom w:val="none" w:sz="0" w:space="0" w:color="auto"/>
        <w:right w:val="none" w:sz="0" w:space="0" w:color="auto"/>
      </w:divBdr>
    </w:div>
    <w:div w:id="2145811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jpeg"/><Relationship Id="rId299" Type="http://schemas.openxmlformats.org/officeDocument/2006/relationships/header" Target="header77.xml"/><Relationship Id="rId21" Type="http://schemas.openxmlformats.org/officeDocument/2006/relationships/footer" Target="footer4.xml"/><Relationship Id="rId63" Type="http://schemas.openxmlformats.org/officeDocument/2006/relationships/image" Target="media/image16.jpeg"/><Relationship Id="rId159" Type="http://schemas.openxmlformats.org/officeDocument/2006/relationships/image" Target="media/image81.jpeg"/><Relationship Id="rId170" Type="http://schemas.openxmlformats.org/officeDocument/2006/relationships/image" Target="media/image92.jpeg"/><Relationship Id="rId226" Type="http://schemas.openxmlformats.org/officeDocument/2006/relationships/header" Target="header53.xml"/><Relationship Id="rId268" Type="http://schemas.openxmlformats.org/officeDocument/2006/relationships/image" Target="media/image156.jpeg"/><Relationship Id="rId32" Type="http://schemas.openxmlformats.org/officeDocument/2006/relationships/footer" Target="footer7.xml"/><Relationship Id="rId74" Type="http://schemas.openxmlformats.org/officeDocument/2006/relationships/chart" Target="charts/chart2.xml"/><Relationship Id="rId128" Type="http://schemas.openxmlformats.org/officeDocument/2006/relationships/image" Target="media/image55.jpeg"/><Relationship Id="rId5" Type="http://schemas.openxmlformats.org/officeDocument/2006/relationships/numbering" Target="numbering.xml"/><Relationship Id="rId181" Type="http://schemas.openxmlformats.org/officeDocument/2006/relationships/image" Target="media/image103.jpeg"/><Relationship Id="rId237" Type="http://schemas.openxmlformats.org/officeDocument/2006/relationships/header" Target="header60.xml"/><Relationship Id="rId279" Type="http://schemas.openxmlformats.org/officeDocument/2006/relationships/hyperlink" Target="https://ozols.gov.lv/kartes/apps/sites/" TargetMode="External"/><Relationship Id="rId43" Type="http://schemas.openxmlformats.org/officeDocument/2006/relationships/hyperlink" Target="https://eunis.eea.europa.eu/species/Xylomoia%20strix" TargetMode="External"/><Relationship Id="rId139" Type="http://schemas.openxmlformats.org/officeDocument/2006/relationships/image" Target="media/image66.jpeg"/><Relationship Id="rId290" Type="http://schemas.openxmlformats.org/officeDocument/2006/relationships/image" Target="media/image176.jpeg"/><Relationship Id="rId304" Type="http://schemas.openxmlformats.org/officeDocument/2006/relationships/header" Target="header80.xml"/><Relationship Id="rId85" Type="http://schemas.openxmlformats.org/officeDocument/2006/relationships/image" Target="media/image28.jpeg"/><Relationship Id="rId150" Type="http://schemas.openxmlformats.org/officeDocument/2006/relationships/header" Target="header46.xml"/><Relationship Id="rId192" Type="http://schemas.openxmlformats.org/officeDocument/2006/relationships/image" Target="media/image114.jpeg"/><Relationship Id="rId206" Type="http://schemas.openxmlformats.org/officeDocument/2006/relationships/image" Target="media/image128.jpeg"/><Relationship Id="rId248" Type="http://schemas.openxmlformats.org/officeDocument/2006/relationships/image" Target="media/image151.jpeg"/><Relationship Id="rId12" Type="http://schemas.openxmlformats.org/officeDocument/2006/relationships/image" Target="media/image2.jpeg"/><Relationship Id="rId108" Type="http://schemas.openxmlformats.org/officeDocument/2006/relationships/header" Target="header38.xml"/><Relationship Id="rId315" Type="http://schemas.openxmlformats.org/officeDocument/2006/relationships/hyperlink" Target="http://cdr.eionet.europa.eu/lv/eu/art17/envxwalvg/" TargetMode="External"/><Relationship Id="rId54" Type="http://schemas.openxmlformats.org/officeDocument/2006/relationships/header" Target="header21.xml"/><Relationship Id="rId96" Type="http://schemas.openxmlformats.org/officeDocument/2006/relationships/chart" Target="charts/chart7.xml"/><Relationship Id="rId161" Type="http://schemas.openxmlformats.org/officeDocument/2006/relationships/image" Target="media/image83.jpeg"/><Relationship Id="rId217" Type="http://schemas.openxmlformats.org/officeDocument/2006/relationships/image" Target="media/image135.jpeg"/><Relationship Id="rId259" Type="http://schemas.openxmlformats.org/officeDocument/2006/relationships/footer" Target="footer11.xml"/><Relationship Id="rId23" Type="http://schemas.openxmlformats.org/officeDocument/2006/relationships/footer" Target="footer5.xml"/><Relationship Id="rId119" Type="http://schemas.openxmlformats.org/officeDocument/2006/relationships/image" Target="media/image48.jpeg"/><Relationship Id="rId270" Type="http://schemas.openxmlformats.org/officeDocument/2006/relationships/image" Target="media/image158.jpeg"/><Relationship Id="rId65" Type="http://schemas.openxmlformats.org/officeDocument/2006/relationships/image" Target="media/image17.jpeg"/><Relationship Id="rId130" Type="http://schemas.openxmlformats.org/officeDocument/2006/relationships/image" Target="media/image57.jpeg"/><Relationship Id="rId172" Type="http://schemas.openxmlformats.org/officeDocument/2006/relationships/image" Target="media/image94.jpeg"/><Relationship Id="rId228" Type="http://schemas.openxmlformats.org/officeDocument/2006/relationships/image" Target="media/image141.jpeg"/><Relationship Id="rId13" Type="http://schemas.openxmlformats.org/officeDocument/2006/relationships/header" Target="header1.xml"/><Relationship Id="rId109" Type="http://schemas.openxmlformats.org/officeDocument/2006/relationships/image" Target="media/image41.jpeg"/><Relationship Id="rId260" Type="http://schemas.openxmlformats.org/officeDocument/2006/relationships/header" Target="header70.xml"/><Relationship Id="rId281" Type="http://schemas.openxmlformats.org/officeDocument/2006/relationships/image" Target="media/image167.jpeg"/><Relationship Id="rId316" Type="http://schemas.openxmlformats.org/officeDocument/2006/relationships/hyperlink" Target="http://www.vmd.gov.lv/valsts-meza-dienests/statiskas-lapas/medibas/es-sfera-esoso-sugu-monitorings?nid=1697" TargetMode="External"/><Relationship Id="rId34" Type="http://schemas.openxmlformats.org/officeDocument/2006/relationships/header" Target="header11.xml"/><Relationship Id="rId55" Type="http://schemas.openxmlformats.org/officeDocument/2006/relationships/chart" Target="charts/chart1.xml"/><Relationship Id="rId76" Type="http://schemas.openxmlformats.org/officeDocument/2006/relationships/header" Target="header32.xml"/><Relationship Id="rId97" Type="http://schemas.openxmlformats.org/officeDocument/2006/relationships/image" Target="media/image34.png"/><Relationship Id="rId120" Type="http://schemas.openxmlformats.org/officeDocument/2006/relationships/image" Target="media/image49.jpeg"/><Relationship Id="rId141" Type="http://schemas.openxmlformats.org/officeDocument/2006/relationships/image" Target="media/image68.jpeg"/><Relationship Id="rId7" Type="http://schemas.openxmlformats.org/officeDocument/2006/relationships/settings" Target="settings.xml"/><Relationship Id="rId162" Type="http://schemas.openxmlformats.org/officeDocument/2006/relationships/image" Target="media/image84.jpeg"/><Relationship Id="rId183" Type="http://schemas.openxmlformats.org/officeDocument/2006/relationships/image" Target="media/image105.jpeg"/><Relationship Id="rId218" Type="http://schemas.openxmlformats.org/officeDocument/2006/relationships/header" Target="header51.xml"/><Relationship Id="rId239" Type="http://schemas.openxmlformats.org/officeDocument/2006/relationships/header" Target="header61.xml"/><Relationship Id="rId250" Type="http://schemas.openxmlformats.org/officeDocument/2006/relationships/image" Target="media/image153.jpeg"/><Relationship Id="rId271" Type="http://schemas.openxmlformats.org/officeDocument/2006/relationships/image" Target="media/image159.jpeg"/><Relationship Id="rId292" Type="http://schemas.openxmlformats.org/officeDocument/2006/relationships/image" Target="media/image178.jpeg"/><Relationship Id="rId306" Type="http://schemas.openxmlformats.org/officeDocument/2006/relationships/hyperlink" Target="https://www.daba.gov.lv/lv/media/14410/download" TargetMode="External"/><Relationship Id="rId24" Type="http://schemas.openxmlformats.org/officeDocument/2006/relationships/footer" Target="footer6.xml"/><Relationship Id="rId45" Type="http://schemas.openxmlformats.org/officeDocument/2006/relationships/image" Target="media/image8.jpeg"/><Relationship Id="rId66" Type="http://schemas.openxmlformats.org/officeDocument/2006/relationships/image" Target="media/image18.jpeg"/><Relationship Id="rId87" Type="http://schemas.openxmlformats.org/officeDocument/2006/relationships/chart" Target="charts/chart3.xml"/><Relationship Id="rId110" Type="http://schemas.openxmlformats.org/officeDocument/2006/relationships/header" Target="header39.xml"/><Relationship Id="rId131" Type="http://schemas.openxmlformats.org/officeDocument/2006/relationships/image" Target="media/image58.jpeg"/><Relationship Id="rId152" Type="http://schemas.openxmlformats.org/officeDocument/2006/relationships/image" Target="media/image75.jpeg"/><Relationship Id="rId173" Type="http://schemas.openxmlformats.org/officeDocument/2006/relationships/image" Target="media/image95.jpeg"/><Relationship Id="rId194" Type="http://schemas.openxmlformats.org/officeDocument/2006/relationships/image" Target="media/image116.jpeg"/><Relationship Id="rId208" Type="http://schemas.openxmlformats.org/officeDocument/2006/relationships/header" Target="header48.xml"/><Relationship Id="rId229" Type="http://schemas.openxmlformats.org/officeDocument/2006/relationships/image" Target="media/image142.jpeg"/><Relationship Id="rId240" Type="http://schemas.openxmlformats.org/officeDocument/2006/relationships/header" Target="header62.xml"/><Relationship Id="rId261" Type="http://schemas.openxmlformats.org/officeDocument/2006/relationships/footer" Target="footer12.xml"/><Relationship Id="rId14" Type="http://schemas.openxmlformats.org/officeDocument/2006/relationships/header" Target="header2.xml"/><Relationship Id="rId35" Type="http://schemas.openxmlformats.org/officeDocument/2006/relationships/footer" Target="footer9.xml"/><Relationship Id="rId56" Type="http://schemas.openxmlformats.org/officeDocument/2006/relationships/header" Target="header22.xml"/><Relationship Id="rId77" Type="http://schemas.openxmlformats.org/officeDocument/2006/relationships/image" Target="media/image22.jpeg"/><Relationship Id="rId100" Type="http://schemas.openxmlformats.org/officeDocument/2006/relationships/header" Target="header36.xml"/><Relationship Id="rId282" Type="http://schemas.openxmlformats.org/officeDocument/2006/relationships/image" Target="media/image168.jpeg"/><Relationship Id="rId317" Type="http://schemas.openxmlformats.org/officeDocument/2006/relationships/header" Target="header81.xml"/><Relationship Id="rId8" Type="http://schemas.openxmlformats.org/officeDocument/2006/relationships/webSettings" Target="webSettings.xml"/><Relationship Id="rId98" Type="http://schemas.openxmlformats.org/officeDocument/2006/relationships/image" Target="media/image35.png"/><Relationship Id="rId121" Type="http://schemas.openxmlformats.org/officeDocument/2006/relationships/image" Target="media/image50.jpeg"/><Relationship Id="rId142" Type="http://schemas.openxmlformats.org/officeDocument/2006/relationships/image" Target="media/image69.jpeg"/><Relationship Id="rId163" Type="http://schemas.openxmlformats.org/officeDocument/2006/relationships/image" Target="media/image85.jpeg"/><Relationship Id="rId184" Type="http://schemas.openxmlformats.org/officeDocument/2006/relationships/image" Target="media/image106.jpeg"/><Relationship Id="rId219" Type="http://schemas.openxmlformats.org/officeDocument/2006/relationships/chart" Target="charts/chart11.xml"/><Relationship Id="rId230" Type="http://schemas.openxmlformats.org/officeDocument/2006/relationships/image" Target="media/image143.jpeg"/><Relationship Id="rId251" Type="http://schemas.openxmlformats.org/officeDocument/2006/relationships/image" Target="media/image154.png"/><Relationship Id="rId25" Type="http://schemas.openxmlformats.org/officeDocument/2006/relationships/image" Target="media/image3.jpeg"/><Relationship Id="rId46" Type="http://schemas.openxmlformats.org/officeDocument/2006/relationships/header" Target="header17.xml"/><Relationship Id="rId67" Type="http://schemas.openxmlformats.org/officeDocument/2006/relationships/header" Target="header27.xml"/><Relationship Id="rId272" Type="http://schemas.openxmlformats.org/officeDocument/2006/relationships/image" Target="media/image160.jpeg"/><Relationship Id="rId293" Type="http://schemas.openxmlformats.org/officeDocument/2006/relationships/hyperlink" Target="http://www.daba.gov.lv/public/lat/iadt/iadtvienotais_stils/" TargetMode="External"/><Relationship Id="rId307" Type="http://schemas.openxmlformats.org/officeDocument/2006/relationships/hyperlink" Target="https://www.daba.gov.lv/lv/media/15179/download?attachment" TargetMode="External"/><Relationship Id="rId88" Type="http://schemas.openxmlformats.org/officeDocument/2006/relationships/chart" Target="charts/chart4.xml"/><Relationship Id="rId111" Type="http://schemas.openxmlformats.org/officeDocument/2006/relationships/image" Target="media/image42.png"/><Relationship Id="rId132" Type="http://schemas.openxmlformats.org/officeDocument/2006/relationships/image" Target="media/image59.png"/><Relationship Id="rId153" Type="http://schemas.openxmlformats.org/officeDocument/2006/relationships/hyperlink" Target="http://www.ezeri.lv" TargetMode="External"/><Relationship Id="rId174" Type="http://schemas.openxmlformats.org/officeDocument/2006/relationships/image" Target="media/image96.jpeg"/><Relationship Id="rId195" Type="http://schemas.openxmlformats.org/officeDocument/2006/relationships/image" Target="media/image117.jpg"/><Relationship Id="rId209" Type="http://schemas.openxmlformats.org/officeDocument/2006/relationships/image" Target="media/image130.jpeg"/><Relationship Id="rId220" Type="http://schemas.openxmlformats.org/officeDocument/2006/relationships/image" Target="media/image136.jpeg"/><Relationship Id="rId241" Type="http://schemas.openxmlformats.org/officeDocument/2006/relationships/image" Target="media/image146.jpeg"/><Relationship Id="rId15" Type="http://schemas.openxmlformats.org/officeDocument/2006/relationships/footer" Target="footer1.xml"/><Relationship Id="rId36" Type="http://schemas.openxmlformats.org/officeDocument/2006/relationships/header" Target="header12.xml"/><Relationship Id="rId57" Type="http://schemas.openxmlformats.org/officeDocument/2006/relationships/image" Target="media/image13.jpeg"/><Relationship Id="rId262" Type="http://schemas.openxmlformats.org/officeDocument/2006/relationships/header" Target="header71.xml"/><Relationship Id="rId283" Type="http://schemas.openxmlformats.org/officeDocument/2006/relationships/image" Target="media/image169.jpeg"/><Relationship Id="rId318" Type="http://schemas.openxmlformats.org/officeDocument/2006/relationships/fontTable" Target="fontTable.xml"/><Relationship Id="rId78" Type="http://schemas.openxmlformats.org/officeDocument/2006/relationships/image" Target="media/image23.jpeg"/><Relationship Id="rId99" Type="http://schemas.openxmlformats.org/officeDocument/2006/relationships/image" Target="media/image36.png"/><Relationship Id="rId101" Type="http://schemas.openxmlformats.org/officeDocument/2006/relationships/image" Target="media/image37.jpeg"/><Relationship Id="rId122" Type="http://schemas.openxmlformats.org/officeDocument/2006/relationships/image" Target="media/image51.jpeg"/><Relationship Id="rId143" Type="http://schemas.openxmlformats.org/officeDocument/2006/relationships/image" Target="media/image70.jpeg"/><Relationship Id="rId164" Type="http://schemas.openxmlformats.org/officeDocument/2006/relationships/image" Target="media/image86.jpeg"/><Relationship Id="rId185" Type="http://schemas.openxmlformats.org/officeDocument/2006/relationships/image" Target="media/image107.jpeg"/><Relationship Id="rId9" Type="http://schemas.openxmlformats.org/officeDocument/2006/relationships/footnotes" Target="footnotes.xml"/><Relationship Id="rId210" Type="http://schemas.openxmlformats.org/officeDocument/2006/relationships/header" Target="header49.xml"/><Relationship Id="rId26" Type="http://schemas.openxmlformats.org/officeDocument/2006/relationships/header" Target="header7.xml"/><Relationship Id="rId231" Type="http://schemas.openxmlformats.org/officeDocument/2006/relationships/image" Target="media/image144.jpeg"/><Relationship Id="rId252" Type="http://schemas.openxmlformats.org/officeDocument/2006/relationships/image" Target="media/image155.jpeg"/><Relationship Id="rId273" Type="http://schemas.openxmlformats.org/officeDocument/2006/relationships/image" Target="media/image161.jpeg"/><Relationship Id="rId294" Type="http://schemas.openxmlformats.org/officeDocument/2006/relationships/header" Target="header74.xml"/><Relationship Id="rId308" Type="http://schemas.openxmlformats.org/officeDocument/2006/relationships/hyperlink" Target="http://dx.doi.org/10.2305/IUCN.UK.2014-1.RLTS.T60344A45833138.en" TargetMode="External"/><Relationship Id="rId47" Type="http://schemas.openxmlformats.org/officeDocument/2006/relationships/header" Target="header18.xml"/><Relationship Id="rId68" Type="http://schemas.openxmlformats.org/officeDocument/2006/relationships/header" Target="header28.xml"/><Relationship Id="rId89" Type="http://schemas.openxmlformats.org/officeDocument/2006/relationships/chart" Target="charts/chart5.xml"/><Relationship Id="rId112" Type="http://schemas.openxmlformats.org/officeDocument/2006/relationships/image" Target="media/image43.png"/><Relationship Id="rId133" Type="http://schemas.openxmlformats.org/officeDocument/2006/relationships/image" Target="media/image60.jpeg"/><Relationship Id="rId154" Type="http://schemas.openxmlformats.org/officeDocument/2006/relationships/image" Target="media/image76.jpeg"/><Relationship Id="rId175" Type="http://schemas.openxmlformats.org/officeDocument/2006/relationships/image" Target="media/image97.jpeg"/><Relationship Id="rId196" Type="http://schemas.openxmlformats.org/officeDocument/2006/relationships/image" Target="media/image118.jpg"/><Relationship Id="rId200" Type="http://schemas.openxmlformats.org/officeDocument/2006/relationships/image" Target="media/image122.jpeg"/><Relationship Id="rId16" Type="http://schemas.openxmlformats.org/officeDocument/2006/relationships/header" Target="header3.xml"/><Relationship Id="rId221" Type="http://schemas.openxmlformats.org/officeDocument/2006/relationships/image" Target="media/image137.jpeg"/><Relationship Id="rId242" Type="http://schemas.openxmlformats.org/officeDocument/2006/relationships/header" Target="header63.xml"/><Relationship Id="rId263" Type="http://schemas.openxmlformats.org/officeDocument/2006/relationships/header" Target="header72.xml"/><Relationship Id="rId284" Type="http://schemas.openxmlformats.org/officeDocument/2006/relationships/image" Target="media/image170.jpeg"/><Relationship Id="rId319" Type="http://schemas.openxmlformats.org/officeDocument/2006/relationships/theme" Target="theme/theme1.xml"/><Relationship Id="rId37" Type="http://schemas.openxmlformats.org/officeDocument/2006/relationships/image" Target="media/image6.jpeg"/><Relationship Id="rId58" Type="http://schemas.openxmlformats.org/officeDocument/2006/relationships/header" Target="header23.xml"/><Relationship Id="rId79" Type="http://schemas.openxmlformats.org/officeDocument/2006/relationships/image" Target="media/image24.jpeg"/><Relationship Id="rId102" Type="http://schemas.openxmlformats.org/officeDocument/2006/relationships/image" Target="media/image38.jpeg"/><Relationship Id="rId123" Type="http://schemas.openxmlformats.org/officeDocument/2006/relationships/image" Target="media/image52.jpeg"/><Relationship Id="rId144" Type="http://schemas.openxmlformats.org/officeDocument/2006/relationships/image" Target="media/image71.jpeg"/><Relationship Id="rId90" Type="http://schemas.openxmlformats.org/officeDocument/2006/relationships/chart" Target="charts/chart6.xml"/><Relationship Id="rId165" Type="http://schemas.openxmlformats.org/officeDocument/2006/relationships/image" Target="media/image87.jpeg"/><Relationship Id="rId186" Type="http://schemas.openxmlformats.org/officeDocument/2006/relationships/image" Target="media/image108.jpeg"/><Relationship Id="rId211" Type="http://schemas.openxmlformats.org/officeDocument/2006/relationships/image" Target="media/image131.png"/><Relationship Id="rId232" Type="http://schemas.openxmlformats.org/officeDocument/2006/relationships/header" Target="header55.xml"/><Relationship Id="rId253" Type="http://schemas.openxmlformats.org/officeDocument/2006/relationships/header" Target="header65.xml"/><Relationship Id="rId274" Type="http://schemas.openxmlformats.org/officeDocument/2006/relationships/image" Target="media/image162.png"/><Relationship Id="rId295" Type="http://schemas.openxmlformats.org/officeDocument/2006/relationships/header" Target="header75.xml"/><Relationship Id="rId309" Type="http://schemas.openxmlformats.org/officeDocument/2006/relationships/hyperlink" Target="https://cdr.eionet.europa.eu/lv/eu/art12/envxtfmg" TargetMode="External"/><Relationship Id="rId27" Type="http://schemas.openxmlformats.org/officeDocument/2006/relationships/header" Target="header8.xml"/><Relationship Id="rId48" Type="http://schemas.openxmlformats.org/officeDocument/2006/relationships/image" Target="media/image9.jpeg"/><Relationship Id="rId69" Type="http://schemas.openxmlformats.org/officeDocument/2006/relationships/image" Target="media/image19.jpeg"/><Relationship Id="rId113" Type="http://schemas.openxmlformats.org/officeDocument/2006/relationships/image" Target="media/image44.png"/><Relationship Id="rId134" Type="http://schemas.openxmlformats.org/officeDocument/2006/relationships/image" Target="media/image61.jpeg"/><Relationship Id="rId80" Type="http://schemas.openxmlformats.org/officeDocument/2006/relationships/header" Target="header33.xml"/><Relationship Id="rId155" Type="http://schemas.openxmlformats.org/officeDocument/2006/relationships/image" Target="media/image77.jpeg"/><Relationship Id="rId176" Type="http://schemas.openxmlformats.org/officeDocument/2006/relationships/image" Target="media/image98.jpeg"/><Relationship Id="rId197" Type="http://schemas.openxmlformats.org/officeDocument/2006/relationships/image" Target="media/image119.jpg"/><Relationship Id="rId201" Type="http://schemas.openxmlformats.org/officeDocument/2006/relationships/image" Target="media/image123.png"/><Relationship Id="rId222" Type="http://schemas.openxmlformats.org/officeDocument/2006/relationships/image" Target="media/image138.jpeg"/><Relationship Id="rId243" Type="http://schemas.openxmlformats.org/officeDocument/2006/relationships/header" Target="header64.xml"/><Relationship Id="rId264" Type="http://schemas.openxmlformats.org/officeDocument/2006/relationships/footer" Target="footer13.xml"/><Relationship Id="rId285" Type="http://schemas.openxmlformats.org/officeDocument/2006/relationships/image" Target="media/image171.jpeg"/><Relationship Id="rId17" Type="http://schemas.openxmlformats.org/officeDocument/2006/relationships/footer" Target="footer2.xml"/><Relationship Id="rId38" Type="http://schemas.openxmlformats.org/officeDocument/2006/relationships/header" Target="header13.xml"/><Relationship Id="rId59" Type="http://schemas.openxmlformats.org/officeDocument/2006/relationships/image" Target="media/image14.png"/><Relationship Id="rId103" Type="http://schemas.openxmlformats.org/officeDocument/2006/relationships/image" Target="media/image39.jpeg"/><Relationship Id="rId124" Type="http://schemas.openxmlformats.org/officeDocument/2006/relationships/header" Target="header42.xml"/><Relationship Id="rId310" Type="http://schemas.openxmlformats.org/officeDocument/2006/relationships/hyperlink" Target="http://www.daba.gov.lv" TargetMode="External"/><Relationship Id="rId70" Type="http://schemas.openxmlformats.org/officeDocument/2006/relationships/header" Target="header29.xml"/><Relationship Id="rId91" Type="http://schemas.openxmlformats.org/officeDocument/2006/relationships/image" Target="media/image29.png"/><Relationship Id="rId145" Type="http://schemas.openxmlformats.org/officeDocument/2006/relationships/image" Target="media/image72.jpeg"/><Relationship Id="rId166" Type="http://schemas.openxmlformats.org/officeDocument/2006/relationships/image" Target="media/image88.jpeg"/><Relationship Id="rId187" Type="http://schemas.openxmlformats.org/officeDocument/2006/relationships/image" Target="media/image109.jpeg"/><Relationship Id="rId1" Type="http://schemas.openxmlformats.org/officeDocument/2006/relationships/customXml" Target="../customXml/item1.xml"/><Relationship Id="rId212" Type="http://schemas.openxmlformats.org/officeDocument/2006/relationships/image" Target="media/image132.png"/><Relationship Id="rId233" Type="http://schemas.openxmlformats.org/officeDocument/2006/relationships/header" Target="header56.xml"/><Relationship Id="rId254" Type="http://schemas.openxmlformats.org/officeDocument/2006/relationships/header" Target="header66.xml"/><Relationship Id="rId28" Type="http://schemas.openxmlformats.org/officeDocument/2006/relationships/image" Target="media/image4.jpeg"/><Relationship Id="rId49" Type="http://schemas.openxmlformats.org/officeDocument/2006/relationships/header" Target="header19.xml"/><Relationship Id="rId114" Type="http://schemas.openxmlformats.org/officeDocument/2006/relationships/image" Target="media/image45.png"/><Relationship Id="rId275" Type="http://schemas.openxmlformats.org/officeDocument/2006/relationships/oleObject" Target="embeddings/oleObject1.bin"/><Relationship Id="rId296" Type="http://schemas.openxmlformats.org/officeDocument/2006/relationships/header" Target="header76.xml"/><Relationship Id="rId300" Type="http://schemas.openxmlformats.org/officeDocument/2006/relationships/footer" Target="footer18.xml"/><Relationship Id="rId60" Type="http://schemas.openxmlformats.org/officeDocument/2006/relationships/image" Target="media/image15.png"/><Relationship Id="rId81" Type="http://schemas.openxmlformats.org/officeDocument/2006/relationships/image" Target="media/image25.png"/><Relationship Id="rId135" Type="http://schemas.openxmlformats.org/officeDocument/2006/relationships/image" Target="media/image62.jpeg"/><Relationship Id="rId156" Type="http://schemas.openxmlformats.org/officeDocument/2006/relationships/image" Target="media/image78.jpeg"/><Relationship Id="rId177" Type="http://schemas.openxmlformats.org/officeDocument/2006/relationships/image" Target="media/image99.jpeg"/><Relationship Id="rId198" Type="http://schemas.openxmlformats.org/officeDocument/2006/relationships/image" Target="media/image120.jpg"/><Relationship Id="rId202" Type="http://schemas.openxmlformats.org/officeDocument/2006/relationships/image" Target="media/image124.jpeg"/><Relationship Id="rId223" Type="http://schemas.openxmlformats.org/officeDocument/2006/relationships/image" Target="media/image139.jpeg"/><Relationship Id="rId244" Type="http://schemas.openxmlformats.org/officeDocument/2006/relationships/image" Target="media/image147.jpeg"/><Relationship Id="rId18" Type="http://schemas.openxmlformats.org/officeDocument/2006/relationships/header" Target="header4.xml"/><Relationship Id="rId39" Type="http://schemas.openxmlformats.org/officeDocument/2006/relationships/header" Target="header14.xml"/><Relationship Id="rId265" Type="http://schemas.openxmlformats.org/officeDocument/2006/relationships/footer" Target="footer14.xml"/><Relationship Id="rId286" Type="http://schemas.openxmlformats.org/officeDocument/2006/relationships/image" Target="media/image172.jpeg"/><Relationship Id="rId50" Type="http://schemas.openxmlformats.org/officeDocument/2006/relationships/image" Target="media/image10.tiff"/><Relationship Id="rId104" Type="http://schemas.openxmlformats.org/officeDocument/2006/relationships/image" Target="media/image40.jpeg"/><Relationship Id="rId125" Type="http://schemas.openxmlformats.org/officeDocument/2006/relationships/image" Target="media/image53.jpeg"/><Relationship Id="rId146" Type="http://schemas.openxmlformats.org/officeDocument/2006/relationships/image" Target="media/image73.jpeg"/><Relationship Id="rId167" Type="http://schemas.openxmlformats.org/officeDocument/2006/relationships/image" Target="media/image89.jpeg"/><Relationship Id="rId188" Type="http://schemas.openxmlformats.org/officeDocument/2006/relationships/image" Target="media/image110.jpeg"/><Relationship Id="rId311" Type="http://schemas.openxmlformats.org/officeDocument/2006/relationships/hyperlink" Target="http://ozols.daba.gov.lv/pub/" TargetMode="External"/><Relationship Id="rId71" Type="http://schemas.openxmlformats.org/officeDocument/2006/relationships/header" Target="header30.xml"/><Relationship Id="rId92" Type="http://schemas.openxmlformats.org/officeDocument/2006/relationships/image" Target="media/image30.png"/><Relationship Id="rId213" Type="http://schemas.openxmlformats.org/officeDocument/2006/relationships/chart" Target="charts/chart10.xml"/><Relationship Id="rId234" Type="http://schemas.openxmlformats.org/officeDocument/2006/relationships/header" Target="header57.xml"/><Relationship Id="rId2" Type="http://schemas.openxmlformats.org/officeDocument/2006/relationships/customXml" Target="../customXml/item2.xml"/><Relationship Id="rId29" Type="http://schemas.openxmlformats.org/officeDocument/2006/relationships/header" Target="header9.xml"/><Relationship Id="rId255" Type="http://schemas.openxmlformats.org/officeDocument/2006/relationships/header" Target="header67.xml"/><Relationship Id="rId276" Type="http://schemas.openxmlformats.org/officeDocument/2006/relationships/image" Target="media/image163.jpeg"/><Relationship Id="rId297" Type="http://schemas.openxmlformats.org/officeDocument/2006/relationships/footer" Target="footer16.xml"/><Relationship Id="rId40" Type="http://schemas.openxmlformats.org/officeDocument/2006/relationships/image" Target="media/image7.jpeg"/><Relationship Id="rId115" Type="http://schemas.openxmlformats.org/officeDocument/2006/relationships/header" Target="header40.xml"/><Relationship Id="rId136" Type="http://schemas.openxmlformats.org/officeDocument/2006/relationships/image" Target="media/image63.jpeg"/><Relationship Id="rId157" Type="http://schemas.openxmlformats.org/officeDocument/2006/relationships/image" Target="media/image79.jpeg"/><Relationship Id="rId178" Type="http://schemas.openxmlformats.org/officeDocument/2006/relationships/image" Target="media/image100.jpeg"/><Relationship Id="rId301" Type="http://schemas.openxmlformats.org/officeDocument/2006/relationships/header" Target="header78.xml"/><Relationship Id="rId61" Type="http://schemas.openxmlformats.org/officeDocument/2006/relationships/header" Target="header24.xml"/><Relationship Id="rId82" Type="http://schemas.openxmlformats.org/officeDocument/2006/relationships/image" Target="media/image26.tiff"/><Relationship Id="rId199" Type="http://schemas.openxmlformats.org/officeDocument/2006/relationships/image" Target="media/image121.jpeg"/><Relationship Id="rId203" Type="http://schemas.openxmlformats.org/officeDocument/2006/relationships/image" Target="media/image125.jpeg"/><Relationship Id="rId19" Type="http://schemas.openxmlformats.org/officeDocument/2006/relationships/header" Target="header5.xml"/><Relationship Id="rId224" Type="http://schemas.openxmlformats.org/officeDocument/2006/relationships/image" Target="media/image140.jpeg"/><Relationship Id="rId245" Type="http://schemas.openxmlformats.org/officeDocument/2006/relationships/image" Target="media/image148.jpeg"/><Relationship Id="rId266" Type="http://schemas.openxmlformats.org/officeDocument/2006/relationships/header" Target="header73.xml"/><Relationship Id="rId287" Type="http://schemas.openxmlformats.org/officeDocument/2006/relationships/image" Target="media/image173.jpeg"/><Relationship Id="rId30" Type="http://schemas.openxmlformats.org/officeDocument/2006/relationships/image" Target="media/image5.jpeg"/><Relationship Id="rId105" Type="http://schemas.openxmlformats.org/officeDocument/2006/relationships/header" Target="header37.xml"/><Relationship Id="rId126" Type="http://schemas.openxmlformats.org/officeDocument/2006/relationships/header" Target="header43.xml"/><Relationship Id="rId147" Type="http://schemas.openxmlformats.org/officeDocument/2006/relationships/header" Target="header44.xml"/><Relationship Id="rId168" Type="http://schemas.openxmlformats.org/officeDocument/2006/relationships/image" Target="media/image90.jpeg"/><Relationship Id="rId312" Type="http://schemas.openxmlformats.org/officeDocument/2006/relationships/hyperlink" Target="http://www.dabasdati.lv/" TargetMode="External"/><Relationship Id="rId51" Type="http://schemas.openxmlformats.org/officeDocument/2006/relationships/header" Target="header20.xml"/><Relationship Id="rId72" Type="http://schemas.openxmlformats.org/officeDocument/2006/relationships/image" Target="media/image20.jpeg"/><Relationship Id="rId93" Type="http://schemas.openxmlformats.org/officeDocument/2006/relationships/image" Target="media/image31.png"/><Relationship Id="rId189" Type="http://schemas.openxmlformats.org/officeDocument/2006/relationships/image" Target="media/image111.jpeg"/><Relationship Id="rId3" Type="http://schemas.openxmlformats.org/officeDocument/2006/relationships/customXml" Target="../customXml/item3.xml"/><Relationship Id="rId214" Type="http://schemas.openxmlformats.org/officeDocument/2006/relationships/image" Target="media/image133.png"/><Relationship Id="rId235" Type="http://schemas.openxmlformats.org/officeDocument/2006/relationships/header" Target="header58.xml"/><Relationship Id="rId256" Type="http://schemas.openxmlformats.org/officeDocument/2006/relationships/header" Target="header68.xml"/><Relationship Id="rId277" Type="http://schemas.openxmlformats.org/officeDocument/2006/relationships/image" Target="media/image164.jpeg"/><Relationship Id="rId298" Type="http://schemas.openxmlformats.org/officeDocument/2006/relationships/footer" Target="footer17.xml"/><Relationship Id="rId116" Type="http://schemas.openxmlformats.org/officeDocument/2006/relationships/header" Target="header41.xml"/><Relationship Id="rId137" Type="http://schemas.openxmlformats.org/officeDocument/2006/relationships/image" Target="media/image64.jpeg"/><Relationship Id="rId158" Type="http://schemas.openxmlformats.org/officeDocument/2006/relationships/image" Target="media/image80.jpeg"/><Relationship Id="rId302" Type="http://schemas.openxmlformats.org/officeDocument/2006/relationships/image" Target="media/image179.jpeg"/><Relationship Id="rId20" Type="http://schemas.openxmlformats.org/officeDocument/2006/relationships/footer" Target="footer3.xml"/><Relationship Id="rId41" Type="http://schemas.openxmlformats.org/officeDocument/2006/relationships/header" Target="header15.xml"/><Relationship Id="rId62" Type="http://schemas.openxmlformats.org/officeDocument/2006/relationships/header" Target="header25.xml"/><Relationship Id="rId83" Type="http://schemas.openxmlformats.org/officeDocument/2006/relationships/image" Target="media/image27.jpg"/><Relationship Id="rId179" Type="http://schemas.openxmlformats.org/officeDocument/2006/relationships/image" Target="media/image101.jpeg"/><Relationship Id="rId190" Type="http://schemas.openxmlformats.org/officeDocument/2006/relationships/image" Target="media/image112.jpeg"/><Relationship Id="rId204" Type="http://schemas.openxmlformats.org/officeDocument/2006/relationships/image" Target="media/image126.jpeg"/><Relationship Id="rId225" Type="http://schemas.openxmlformats.org/officeDocument/2006/relationships/header" Target="header52.xml"/><Relationship Id="rId246" Type="http://schemas.openxmlformats.org/officeDocument/2006/relationships/image" Target="media/image149.jpeg"/><Relationship Id="rId267" Type="http://schemas.openxmlformats.org/officeDocument/2006/relationships/footer" Target="footer15.xml"/><Relationship Id="rId288" Type="http://schemas.openxmlformats.org/officeDocument/2006/relationships/image" Target="media/image174.jpeg"/><Relationship Id="rId106" Type="http://schemas.openxmlformats.org/officeDocument/2006/relationships/chart" Target="charts/chart8.xml"/><Relationship Id="rId127" Type="http://schemas.openxmlformats.org/officeDocument/2006/relationships/image" Target="media/image54.jpeg"/><Relationship Id="rId313" Type="http://schemas.openxmlformats.org/officeDocument/2006/relationships/hyperlink" Target="http://www.meteo.lv" TargetMode="External"/><Relationship Id="rId10" Type="http://schemas.openxmlformats.org/officeDocument/2006/relationships/endnotes" Target="endnotes.xml"/><Relationship Id="rId31" Type="http://schemas.openxmlformats.org/officeDocument/2006/relationships/header" Target="header10.xml"/><Relationship Id="rId52" Type="http://schemas.openxmlformats.org/officeDocument/2006/relationships/image" Target="media/image11.jpeg"/><Relationship Id="rId73" Type="http://schemas.openxmlformats.org/officeDocument/2006/relationships/header" Target="header31.xml"/><Relationship Id="rId94" Type="http://schemas.openxmlformats.org/officeDocument/2006/relationships/image" Target="media/image32.png"/><Relationship Id="rId148" Type="http://schemas.openxmlformats.org/officeDocument/2006/relationships/image" Target="media/image74.jpeg"/><Relationship Id="rId169" Type="http://schemas.openxmlformats.org/officeDocument/2006/relationships/image" Target="media/image91.jpeg"/><Relationship Id="rId4" Type="http://schemas.openxmlformats.org/officeDocument/2006/relationships/customXml" Target="../customXml/item4.xml"/><Relationship Id="rId180" Type="http://schemas.openxmlformats.org/officeDocument/2006/relationships/image" Target="media/image102.jpeg"/><Relationship Id="rId215" Type="http://schemas.openxmlformats.org/officeDocument/2006/relationships/header" Target="header50.xml"/><Relationship Id="rId236" Type="http://schemas.openxmlformats.org/officeDocument/2006/relationships/header" Target="header59.xml"/><Relationship Id="rId257" Type="http://schemas.openxmlformats.org/officeDocument/2006/relationships/header" Target="header69.xml"/><Relationship Id="rId278" Type="http://schemas.openxmlformats.org/officeDocument/2006/relationships/image" Target="media/image165.jpeg"/><Relationship Id="rId303" Type="http://schemas.openxmlformats.org/officeDocument/2006/relationships/header" Target="header79.xml"/><Relationship Id="rId42" Type="http://schemas.openxmlformats.org/officeDocument/2006/relationships/hyperlink" Target="https://natura2000.eea.europa.eu/" TargetMode="External"/><Relationship Id="rId84" Type="http://schemas.openxmlformats.org/officeDocument/2006/relationships/header" Target="header34.xml"/><Relationship Id="rId138" Type="http://schemas.openxmlformats.org/officeDocument/2006/relationships/image" Target="media/image65.jpeg"/><Relationship Id="rId191" Type="http://schemas.openxmlformats.org/officeDocument/2006/relationships/image" Target="media/image113.jpeg"/><Relationship Id="rId205" Type="http://schemas.openxmlformats.org/officeDocument/2006/relationships/image" Target="media/image127.jpeg"/><Relationship Id="rId247" Type="http://schemas.openxmlformats.org/officeDocument/2006/relationships/image" Target="media/image150.jpeg"/><Relationship Id="rId107" Type="http://schemas.openxmlformats.org/officeDocument/2006/relationships/chart" Target="charts/chart9.xml"/><Relationship Id="rId289" Type="http://schemas.openxmlformats.org/officeDocument/2006/relationships/image" Target="media/image175.jpeg"/><Relationship Id="rId11" Type="http://schemas.openxmlformats.org/officeDocument/2006/relationships/image" Target="media/image1.jpeg"/><Relationship Id="rId53" Type="http://schemas.openxmlformats.org/officeDocument/2006/relationships/image" Target="media/image12.jpeg"/><Relationship Id="rId149" Type="http://schemas.openxmlformats.org/officeDocument/2006/relationships/header" Target="header45.xml"/><Relationship Id="rId314" Type="http://schemas.openxmlformats.org/officeDocument/2006/relationships/hyperlink" Target="http://www.daba.gov.lv/public/lat/dati1/zinojumi_eiropas_komisijai/" TargetMode="External"/><Relationship Id="rId95" Type="http://schemas.openxmlformats.org/officeDocument/2006/relationships/image" Target="media/image33.png"/><Relationship Id="rId160" Type="http://schemas.openxmlformats.org/officeDocument/2006/relationships/image" Target="media/image82.jpeg"/><Relationship Id="rId216" Type="http://schemas.openxmlformats.org/officeDocument/2006/relationships/image" Target="media/image134.jpeg"/><Relationship Id="rId258" Type="http://schemas.openxmlformats.org/officeDocument/2006/relationships/footer" Target="footer10.xml"/><Relationship Id="rId22" Type="http://schemas.openxmlformats.org/officeDocument/2006/relationships/header" Target="header6.xml"/><Relationship Id="rId64" Type="http://schemas.openxmlformats.org/officeDocument/2006/relationships/header" Target="header26.xml"/><Relationship Id="rId118" Type="http://schemas.openxmlformats.org/officeDocument/2006/relationships/image" Target="media/image47.png"/><Relationship Id="rId171" Type="http://schemas.openxmlformats.org/officeDocument/2006/relationships/image" Target="media/image93.jpeg"/><Relationship Id="rId227" Type="http://schemas.openxmlformats.org/officeDocument/2006/relationships/header" Target="header54.xml"/><Relationship Id="rId269" Type="http://schemas.openxmlformats.org/officeDocument/2006/relationships/image" Target="media/image157.jpeg"/><Relationship Id="rId33" Type="http://schemas.openxmlformats.org/officeDocument/2006/relationships/footer" Target="footer8.xml"/><Relationship Id="rId129" Type="http://schemas.openxmlformats.org/officeDocument/2006/relationships/image" Target="media/image56.jpeg"/><Relationship Id="rId280" Type="http://schemas.openxmlformats.org/officeDocument/2006/relationships/image" Target="media/image166.jpeg"/><Relationship Id="rId75" Type="http://schemas.openxmlformats.org/officeDocument/2006/relationships/image" Target="media/image21.jpeg"/><Relationship Id="rId140" Type="http://schemas.openxmlformats.org/officeDocument/2006/relationships/image" Target="media/image67.jpeg"/><Relationship Id="rId182" Type="http://schemas.openxmlformats.org/officeDocument/2006/relationships/image" Target="media/image104.jpeg"/><Relationship Id="rId6" Type="http://schemas.openxmlformats.org/officeDocument/2006/relationships/styles" Target="styles.xml"/><Relationship Id="rId238" Type="http://schemas.openxmlformats.org/officeDocument/2006/relationships/image" Target="media/image145.png"/><Relationship Id="rId291" Type="http://schemas.openxmlformats.org/officeDocument/2006/relationships/image" Target="media/image177.jpeg"/><Relationship Id="rId305" Type="http://schemas.openxmlformats.org/officeDocument/2006/relationships/hyperlink" Target="https://www.daba.gov.lv/lv/natura-2000-vietu-monitoringa-metodikas" TargetMode="External"/><Relationship Id="rId44" Type="http://schemas.openxmlformats.org/officeDocument/2006/relationships/header" Target="header16.xml"/><Relationship Id="rId86" Type="http://schemas.openxmlformats.org/officeDocument/2006/relationships/header" Target="header35.xml"/><Relationship Id="rId151" Type="http://schemas.openxmlformats.org/officeDocument/2006/relationships/header" Target="header47.xml"/><Relationship Id="rId193" Type="http://schemas.openxmlformats.org/officeDocument/2006/relationships/image" Target="media/image115.jpeg"/><Relationship Id="rId207" Type="http://schemas.openxmlformats.org/officeDocument/2006/relationships/image" Target="media/image129.jpeg"/><Relationship Id="rId249" Type="http://schemas.openxmlformats.org/officeDocument/2006/relationships/image" Target="media/image152.jpeg"/></Relationships>
</file>

<file path=word/_rels/footnotes.xml.rels><?xml version="1.0" encoding="UTF-8" standalone="yes"?>
<Relationships xmlns="http://schemas.openxmlformats.org/package/2006/relationships"><Relationship Id="rId3" Type="http://schemas.openxmlformats.org/officeDocument/2006/relationships/hyperlink" Target="https://seea.un.org/content/frequently-asked-questions" TargetMode="External"/><Relationship Id="rId2" Type="http://schemas.openxmlformats.org/officeDocument/2006/relationships/hyperlink" Target="https://econpapers.repec.org/bookchap/cupcbooks/9780521322249.htm" TargetMode="External"/><Relationship Id="rId1" Type="http://schemas.openxmlformats.org/officeDocument/2006/relationships/hyperlink" Target="https://www.sciencedirect.com/science/article/abs/pii/S0378112708008335" TargetMode="External"/><Relationship Id="rId6" Type="http://schemas.openxmlformats.org/officeDocument/2006/relationships/hyperlink" Target="http://natura2000.eea.europa.eu/" TargetMode="External"/><Relationship Id="rId5" Type="http://schemas.openxmlformats.org/officeDocument/2006/relationships/hyperlink" Target="https://www.daba.gov.lv/lv/media/13733/download?attachment" TargetMode="External"/><Relationship Id="rId4" Type="http://schemas.openxmlformats.org/officeDocument/2006/relationships/hyperlink" Target="http://riks.ekosistemas.daba.gov.lv/teorij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dmin\Dropbox\My%20PC%20(Gatis2017)\Documents\ELLE_GE\GNP_DA_plans%202019-2023\Mezi_purvi_DA%20planam\GNP%20DA%20pl&#257;ns%202.red\meza_biotopu_kvalitate_gnp_16092021_GE.xls"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SERVER\public\Projekti\19LK26%20%20Gaujas%20NP%20DAP\Dabas%20aizsardz&#299;bas%20pl&#257;ns\Tabulas\LAD%20dat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dmin\Documents\ELLE_GE\GNP_DA_plans%202019-2023\Mezi_purvi_DA%20planam\GNP_nogabali_pilna_info_GE.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Admin\Documents\ELLE_GE\GNP_DA_plans%202019-2023\Mezi_purvi_DA%20planam\GNP_nogabali_pilna_info_GE.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dmin\Documents\ELLE_GE\GNP_DA_plans%202019-2023\Mezi_purvi_DA%20planam\GNP_nogabali_pilna_info_GE.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dmin\Documents\ELLE_GE\GNP_DA_plans%202019-2023\Mezi_purvi_DA%20planam\GNP_nogabali_pilna_info_GE.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Gatis\Dropbox\My%20PC%20(Gatis2017)\Documents\ELLE_GE\GNP_DA_plans%202019-2023\Mezi_purvi_DA%20planam\Mezizmantoshana%20GNP\Dati%20MD%20analize%20240322\GNP_statistika_MD240322_v2803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igam\Desktop\Aktu&#257;lais%20darbs\Dabas%20pl&#257;ni\GNP\Nomed&#299;tie%20dz&#299;vnieki%20VMD\nomedito%20dzivnieku%20sadalijums%20pa%20menesiem%20GNP.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igam\Desktop\Aktu&#257;lais%20darbs\Dabas%20pl&#257;ni\GNP\Nomed&#299;tie%20dz&#299;vnieki%20VMD\UV%20saraksts%20GNP%20limitetie%20dzivn%202021%20aprekin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Sheet3!$E$1</c:f>
              <c:strCache>
                <c:ptCount val="1"/>
                <c:pt idx="0">
                  <c:v>2000</c:v>
                </c:pt>
              </c:strCache>
            </c:strRef>
          </c:tx>
          <c:spPr>
            <a:solidFill>
              <a:schemeClr val="accent1"/>
            </a:solidFill>
            <a:ln>
              <a:noFill/>
            </a:ln>
            <a:effectLst/>
          </c:spPr>
          <c:invertIfNegative val="0"/>
          <c:cat>
            <c:strRef>
              <c:f>Sheet3!$D$2:$D$22</c:f>
              <c:strCache>
                <c:ptCount val="21"/>
                <c:pt idx="0">
                  <c:v>Cēsis</c:v>
                </c:pt>
                <c:pt idx="1">
                  <c:v>Drabešu pagasts</c:v>
                </c:pt>
                <c:pt idx="2">
                  <c:v>Inčukalna pagasts</c:v>
                </c:pt>
                <c:pt idx="3">
                  <c:v>Kauguru pagasts</c:v>
                </c:pt>
                <c:pt idx="4">
                  <c:v>Kocēnu pagasts</c:v>
                </c:pt>
                <c:pt idx="5">
                  <c:v>Krimuldas pagasts</c:v>
                </c:pt>
                <c:pt idx="6">
                  <c:v>Liepas pagasts</c:v>
                </c:pt>
                <c:pt idx="7">
                  <c:v>Līgatne</c:v>
                </c:pt>
                <c:pt idx="8">
                  <c:v>Līgatnes pagasts</c:v>
                </c:pt>
                <c:pt idx="9">
                  <c:v>Mores pagasts</c:v>
                </c:pt>
                <c:pt idx="10">
                  <c:v>Nītaures pagasts</c:v>
                </c:pt>
                <c:pt idx="11">
                  <c:v>Priekuļu pagasts</c:v>
                </c:pt>
                <c:pt idx="12">
                  <c:v>Raiskuma pagasts</c:v>
                </c:pt>
                <c:pt idx="13">
                  <c:v>Sējas pagasts</c:v>
                </c:pt>
                <c:pt idx="14">
                  <c:v>Sigulda</c:v>
                </c:pt>
                <c:pt idx="15">
                  <c:v>Siguldas pagasts</c:v>
                </c:pt>
                <c:pt idx="16">
                  <c:v>Stalbes pagasts</c:v>
                </c:pt>
                <c:pt idx="17">
                  <c:v>Straupes pagasts</c:v>
                </c:pt>
                <c:pt idx="18">
                  <c:v>Vaidavas pagasts</c:v>
                </c:pt>
                <c:pt idx="19">
                  <c:v>Vaives pagasts</c:v>
                </c:pt>
                <c:pt idx="20">
                  <c:v>Veselavas pagasts</c:v>
                </c:pt>
              </c:strCache>
            </c:strRef>
          </c:cat>
          <c:val>
            <c:numRef>
              <c:f>Sheet3!$E$2:$E$22</c:f>
              <c:numCache>
                <c:formatCode>General</c:formatCode>
                <c:ptCount val="21"/>
                <c:pt idx="0">
                  <c:v>18721</c:v>
                </c:pt>
                <c:pt idx="1">
                  <c:v>2663</c:v>
                </c:pt>
                <c:pt idx="2">
                  <c:v>3839</c:v>
                </c:pt>
                <c:pt idx="3">
                  <c:v>1528</c:v>
                </c:pt>
                <c:pt idx="4">
                  <c:v>3087</c:v>
                </c:pt>
                <c:pt idx="5">
                  <c:v>4297</c:v>
                </c:pt>
                <c:pt idx="6">
                  <c:v>3401</c:v>
                </c:pt>
                <c:pt idx="7">
                  <c:v>1467</c:v>
                </c:pt>
                <c:pt idx="8">
                  <c:v>3043</c:v>
                </c:pt>
                <c:pt idx="9">
                  <c:v>681</c:v>
                </c:pt>
                <c:pt idx="10">
                  <c:v>1099</c:v>
                </c:pt>
                <c:pt idx="11">
                  <c:v>5025</c:v>
                </c:pt>
                <c:pt idx="12">
                  <c:v>1782</c:v>
                </c:pt>
                <c:pt idx="13">
                  <c:v>2398</c:v>
                </c:pt>
                <c:pt idx="14">
                  <c:v>12896</c:v>
                </c:pt>
                <c:pt idx="15">
                  <c:v>1208</c:v>
                </c:pt>
                <c:pt idx="16">
                  <c:v>1371</c:v>
                </c:pt>
                <c:pt idx="17">
                  <c:v>1628</c:v>
                </c:pt>
                <c:pt idx="18">
                  <c:v>1179</c:v>
                </c:pt>
                <c:pt idx="19">
                  <c:v>1617</c:v>
                </c:pt>
                <c:pt idx="20">
                  <c:v>763</c:v>
                </c:pt>
              </c:numCache>
            </c:numRef>
          </c:val>
          <c:extLst>
            <c:ext xmlns:c16="http://schemas.microsoft.com/office/drawing/2014/chart" uri="{C3380CC4-5D6E-409C-BE32-E72D297353CC}">
              <c16:uniqueId val="{00000000-C8B9-403A-9DB8-ED982F29CDD7}"/>
            </c:ext>
          </c:extLst>
        </c:ser>
        <c:ser>
          <c:idx val="1"/>
          <c:order val="1"/>
          <c:tx>
            <c:strRef>
              <c:f>Sheet3!$F$1</c:f>
              <c:strCache>
                <c:ptCount val="1"/>
                <c:pt idx="0">
                  <c:v>2011</c:v>
                </c:pt>
              </c:strCache>
            </c:strRef>
          </c:tx>
          <c:spPr>
            <a:solidFill>
              <a:schemeClr val="accent2"/>
            </a:solidFill>
            <a:ln>
              <a:noFill/>
            </a:ln>
            <a:effectLst/>
          </c:spPr>
          <c:invertIfNegative val="0"/>
          <c:cat>
            <c:strRef>
              <c:f>Sheet3!$D$2:$D$22</c:f>
              <c:strCache>
                <c:ptCount val="21"/>
                <c:pt idx="0">
                  <c:v>Cēsis</c:v>
                </c:pt>
                <c:pt idx="1">
                  <c:v>Drabešu pagasts</c:v>
                </c:pt>
                <c:pt idx="2">
                  <c:v>Inčukalna pagasts</c:v>
                </c:pt>
                <c:pt idx="3">
                  <c:v>Kauguru pagasts</c:v>
                </c:pt>
                <c:pt idx="4">
                  <c:v>Kocēnu pagasts</c:v>
                </c:pt>
                <c:pt idx="5">
                  <c:v>Krimuldas pagasts</c:v>
                </c:pt>
                <c:pt idx="6">
                  <c:v>Liepas pagasts</c:v>
                </c:pt>
                <c:pt idx="7">
                  <c:v>Līgatne</c:v>
                </c:pt>
                <c:pt idx="8">
                  <c:v>Līgatnes pagasts</c:v>
                </c:pt>
                <c:pt idx="9">
                  <c:v>Mores pagasts</c:v>
                </c:pt>
                <c:pt idx="10">
                  <c:v>Nītaures pagasts</c:v>
                </c:pt>
                <c:pt idx="11">
                  <c:v>Priekuļu pagasts</c:v>
                </c:pt>
                <c:pt idx="12">
                  <c:v>Raiskuma pagasts</c:v>
                </c:pt>
                <c:pt idx="13">
                  <c:v>Sējas pagasts</c:v>
                </c:pt>
                <c:pt idx="14">
                  <c:v>Sigulda</c:v>
                </c:pt>
                <c:pt idx="15">
                  <c:v>Siguldas pagasts</c:v>
                </c:pt>
                <c:pt idx="16">
                  <c:v>Stalbes pagasts</c:v>
                </c:pt>
                <c:pt idx="17">
                  <c:v>Straupes pagasts</c:v>
                </c:pt>
                <c:pt idx="18">
                  <c:v>Vaidavas pagasts</c:v>
                </c:pt>
                <c:pt idx="19">
                  <c:v>Vaives pagasts</c:v>
                </c:pt>
                <c:pt idx="20">
                  <c:v>Veselavas pagasts</c:v>
                </c:pt>
              </c:strCache>
            </c:strRef>
          </c:cat>
          <c:val>
            <c:numRef>
              <c:f>Sheet3!$F$2:$F$22</c:f>
              <c:numCache>
                <c:formatCode>General</c:formatCode>
                <c:ptCount val="21"/>
                <c:pt idx="0">
                  <c:v>16764</c:v>
                </c:pt>
                <c:pt idx="1">
                  <c:v>2460</c:v>
                </c:pt>
                <c:pt idx="2">
                  <c:v>4333</c:v>
                </c:pt>
                <c:pt idx="3">
                  <c:v>1424</c:v>
                </c:pt>
                <c:pt idx="4">
                  <c:v>2895</c:v>
                </c:pt>
                <c:pt idx="5">
                  <c:v>3874</c:v>
                </c:pt>
                <c:pt idx="6">
                  <c:v>2937</c:v>
                </c:pt>
                <c:pt idx="7">
                  <c:v>1142</c:v>
                </c:pt>
                <c:pt idx="8">
                  <c:v>2542</c:v>
                </c:pt>
                <c:pt idx="9">
                  <c:v>605</c:v>
                </c:pt>
                <c:pt idx="10">
                  <c:v>857</c:v>
                </c:pt>
                <c:pt idx="11">
                  <c:v>4045</c:v>
                </c:pt>
                <c:pt idx="12">
                  <c:v>1467</c:v>
                </c:pt>
                <c:pt idx="13">
                  <c:v>2292</c:v>
                </c:pt>
                <c:pt idx="14">
                  <c:v>13056</c:v>
                </c:pt>
                <c:pt idx="15">
                  <c:v>1230</c:v>
                </c:pt>
                <c:pt idx="16">
                  <c:v>1133</c:v>
                </c:pt>
                <c:pt idx="17">
                  <c:v>1353</c:v>
                </c:pt>
                <c:pt idx="18">
                  <c:v>958</c:v>
                </c:pt>
                <c:pt idx="19">
                  <c:v>1482</c:v>
                </c:pt>
                <c:pt idx="20">
                  <c:v>597</c:v>
                </c:pt>
              </c:numCache>
            </c:numRef>
          </c:val>
          <c:extLst>
            <c:ext xmlns:c16="http://schemas.microsoft.com/office/drawing/2014/chart" uri="{C3380CC4-5D6E-409C-BE32-E72D297353CC}">
              <c16:uniqueId val="{00000001-C8B9-403A-9DB8-ED982F29CDD7}"/>
            </c:ext>
          </c:extLst>
        </c:ser>
        <c:ser>
          <c:idx val="2"/>
          <c:order val="2"/>
          <c:tx>
            <c:strRef>
              <c:f>Sheet3!$G$1</c:f>
              <c:strCache>
                <c:ptCount val="1"/>
                <c:pt idx="0">
                  <c:v>2016</c:v>
                </c:pt>
              </c:strCache>
            </c:strRef>
          </c:tx>
          <c:spPr>
            <a:solidFill>
              <a:schemeClr val="accent3"/>
            </a:solidFill>
            <a:ln>
              <a:noFill/>
            </a:ln>
            <a:effectLst/>
          </c:spPr>
          <c:invertIfNegative val="0"/>
          <c:cat>
            <c:strRef>
              <c:f>Sheet3!$D$2:$D$22</c:f>
              <c:strCache>
                <c:ptCount val="21"/>
                <c:pt idx="0">
                  <c:v>Cēsis</c:v>
                </c:pt>
                <c:pt idx="1">
                  <c:v>Drabešu pagasts</c:v>
                </c:pt>
                <c:pt idx="2">
                  <c:v>Inčukalna pagasts</c:v>
                </c:pt>
                <c:pt idx="3">
                  <c:v>Kauguru pagasts</c:v>
                </c:pt>
                <c:pt idx="4">
                  <c:v>Kocēnu pagasts</c:v>
                </c:pt>
                <c:pt idx="5">
                  <c:v>Krimuldas pagasts</c:v>
                </c:pt>
                <c:pt idx="6">
                  <c:v>Liepas pagasts</c:v>
                </c:pt>
                <c:pt idx="7">
                  <c:v>Līgatne</c:v>
                </c:pt>
                <c:pt idx="8">
                  <c:v>Līgatnes pagasts</c:v>
                </c:pt>
                <c:pt idx="9">
                  <c:v>Mores pagasts</c:v>
                </c:pt>
                <c:pt idx="10">
                  <c:v>Nītaures pagasts</c:v>
                </c:pt>
                <c:pt idx="11">
                  <c:v>Priekuļu pagasts</c:v>
                </c:pt>
                <c:pt idx="12">
                  <c:v>Raiskuma pagasts</c:v>
                </c:pt>
                <c:pt idx="13">
                  <c:v>Sējas pagasts</c:v>
                </c:pt>
                <c:pt idx="14">
                  <c:v>Sigulda</c:v>
                </c:pt>
                <c:pt idx="15">
                  <c:v>Siguldas pagasts</c:v>
                </c:pt>
                <c:pt idx="16">
                  <c:v>Stalbes pagasts</c:v>
                </c:pt>
                <c:pt idx="17">
                  <c:v>Straupes pagasts</c:v>
                </c:pt>
                <c:pt idx="18">
                  <c:v>Vaidavas pagasts</c:v>
                </c:pt>
                <c:pt idx="19">
                  <c:v>Vaives pagasts</c:v>
                </c:pt>
                <c:pt idx="20">
                  <c:v>Veselavas pagasts</c:v>
                </c:pt>
              </c:strCache>
            </c:strRef>
          </c:cat>
          <c:val>
            <c:numRef>
              <c:f>Sheet3!$G$2:$G$22</c:f>
              <c:numCache>
                <c:formatCode>General</c:formatCode>
                <c:ptCount val="21"/>
                <c:pt idx="0">
                  <c:v>15387</c:v>
                </c:pt>
                <c:pt idx="1">
                  <c:v>2346</c:v>
                </c:pt>
                <c:pt idx="2">
                  <c:v>4264</c:v>
                </c:pt>
                <c:pt idx="3">
                  <c:v>1380</c:v>
                </c:pt>
                <c:pt idx="4">
                  <c:v>2860</c:v>
                </c:pt>
                <c:pt idx="5">
                  <c:v>3763</c:v>
                </c:pt>
                <c:pt idx="6">
                  <c:v>2805</c:v>
                </c:pt>
                <c:pt idx="7">
                  <c:v>1057</c:v>
                </c:pt>
                <c:pt idx="8">
                  <c:v>2346</c:v>
                </c:pt>
                <c:pt idx="9">
                  <c:v>613</c:v>
                </c:pt>
                <c:pt idx="10">
                  <c:v>795</c:v>
                </c:pt>
                <c:pt idx="11">
                  <c:v>3866</c:v>
                </c:pt>
                <c:pt idx="12">
                  <c:v>1435</c:v>
                </c:pt>
                <c:pt idx="13">
                  <c:v>2242</c:v>
                </c:pt>
                <c:pt idx="14">
                  <c:v>13650</c:v>
                </c:pt>
                <c:pt idx="15">
                  <c:v>1269</c:v>
                </c:pt>
                <c:pt idx="16">
                  <c:v>1091</c:v>
                </c:pt>
                <c:pt idx="17">
                  <c:v>1291</c:v>
                </c:pt>
                <c:pt idx="18">
                  <c:v>913</c:v>
                </c:pt>
                <c:pt idx="19">
                  <c:v>1361</c:v>
                </c:pt>
                <c:pt idx="20">
                  <c:v>569</c:v>
                </c:pt>
              </c:numCache>
            </c:numRef>
          </c:val>
          <c:extLst>
            <c:ext xmlns:c16="http://schemas.microsoft.com/office/drawing/2014/chart" uri="{C3380CC4-5D6E-409C-BE32-E72D297353CC}">
              <c16:uniqueId val="{00000002-C8B9-403A-9DB8-ED982F29CDD7}"/>
            </c:ext>
          </c:extLst>
        </c:ser>
        <c:ser>
          <c:idx val="3"/>
          <c:order val="3"/>
          <c:tx>
            <c:strRef>
              <c:f>Sheet3!$H$1</c:f>
              <c:strCache>
                <c:ptCount val="1"/>
                <c:pt idx="0">
                  <c:v>2021</c:v>
                </c:pt>
              </c:strCache>
            </c:strRef>
          </c:tx>
          <c:spPr>
            <a:solidFill>
              <a:schemeClr val="accent4"/>
            </a:solidFill>
            <a:ln>
              <a:noFill/>
            </a:ln>
            <a:effectLst/>
          </c:spPr>
          <c:invertIfNegative val="0"/>
          <c:cat>
            <c:strRef>
              <c:f>Sheet3!$D$2:$D$22</c:f>
              <c:strCache>
                <c:ptCount val="21"/>
                <c:pt idx="0">
                  <c:v>Cēsis</c:v>
                </c:pt>
                <c:pt idx="1">
                  <c:v>Drabešu pagasts</c:v>
                </c:pt>
                <c:pt idx="2">
                  <c:v>Inčukalna pagasts</c:v>
                </c:pt>
                <c:pt idx="3">
                  <c:v>Kauguru pagasts</c:v>
                </c:pt>
                <c:pt idx="4">
                  <c:v>Kocēnu pagasts</c:v>
                </c:pt>
                <c:pt idx="5">
                  <c:v>Krimuldas pagasts</c:v>
                </c:pt>
                <c:pt idx="6">
                  <c:v>Liepas pagasts</c:v>
                </c:pt>
                <c:pt idx="7">
                  <c:v>Līgatne</c:v>
                </c:pt>
                <c:pt idx="8">
                  <c:v>Līgatnes pagasts</c:v>
                </c:pt>
                <c:pt idx="9">
                  <c:v>Mores pagasts</c:v>
                </c:pt>
                <c:pt idx="10">
                  <c:v>Nītaures pagasts</c:v>
                </c:pt>
                <c:pt idx="11">
                  <c:v>Priekuļu pagasts</c:v>
                </c:pt>
                <c:pt idx="12">
                  <c:v>Raiskuma pagasts</c:v>
                </c:pt>
                <c:pt idx="13">
                  <c:v>Sējas pagasts</c:v>
                </c:pt>
                <c:pt idx="14">
                  <c:v>Sigulda</c:v>
                </c:pt>
                <c:pt idx="15">
                  <c:v>Siguldas pagasts</c:v>
                </c:pt>
                <c:pt idx="16">
                  <c:v>Stalbes pagasts</c:v>
                </c:pt>
                <c:pt idx="17">
                  <c:v>Straupes pagasts</c:v>
                </c:pt>
                <c:pt idx="18">
                  <c:v>Vaidavas pagasts</c:v>
                </c:pt>
                <c:pt idx="19">
                  <c:v>Vaives pagasts</c:v>
                </c:pt>
                <c:pt idx="20">
                  <c:v>Veselavas pagasts</c:v>
                </c:pt>
              </c:strCache>
            </c:strRef>
          </c:cat>
          <c:val>
            <c:numRef>
              <c:f>Sheet3!$H$2:$H$22</c:f>
              <c:numCache>
                <c:formatCode>General</c:formatCode>
                <c:ptCount val="21"/>
                <c:pt idx="0">
                  <c:v>14842</c:v>
                </c:pt>
                <c:pt idx="1">
                  <c:v>2151</c:v>
                </c:pt>
                <c:pt idx="2">
                  <c:v>4352</c:v>
                </c:pt>
                <c:pt idx="3">
                  <c:v>1262</c:v>
                </c:pt>
                <c:pt idx="4">
                  <c:v>2702</c:v>
                </c:pt>
                <c:pt idx="5">
                  <c:v>3485</c:v>
                </c:pt>
                <c:pt idx="6">
                  <c:v>2631</c:v>
                </c:pt>
                <c:pt idx="7">
                  <c:v>1010</c:v>
                </c:pt>
                <c:pt idx="8">
                  <c:v>2229</c:v>
                </c:pt>
                <c:pt idx="9">
                  <c:v>624</c:v>
                </c:pt>
                <c:pt idx="10">
                  <c:v>698</c:v>
                </c:pt>
                <c:pt idx="11">
                  <c:v>3647</c:v>
                </c:pt>
                <c:pt idx="12">
                  <c:v>1299</c:v>
                </c:pt>
                <c:pt idx="13">
                  <c:v>2138</c:v>
                </c:pt>
                <c:pt idx="14">
                  <c:v>14370</c:v>
                </c:pt>
                <c:pt idx="15">
                  <c:v>1253</c:v>
                </c:pt>
                <c:pt idx="16">
                  <c:v>991</c:v>
                </c:pt>
                <c:pt idx="17">
                  <c:v>1239</c:v>
                </c:pt>
                <c:pt idx="18">
                  <c:v>879</c:v>
                </c:pt>
                <c:pt idx="19">
                  <c:v>1309</c:v>
                </c:pt>
                <c:pt idx="20">
                  <c:v>491</c:v>
                </c:pt>
              </c:numCache>
            </c:numRef>
          </c:val>
          <c:extLst>
            <c:ext xmlns:c16="http://schemas.microsoft.com/office/drawing/2014/chart" uri="{C3380CC4-5D6E-409C-BE32-E72D297353CC}">
              <c16:uniqueId val="{00000003-C8B9-403A-9DB8-ED982F29CDD7}"/>
            </c:ext>
          </c:extLst>
        </c:ser>
        <c:dLbls>
          <c:showLegendKey val="0"/>
          <c:showVal val="0"/>
          <c:showCatName val="0"/>
          <c:showSerName val="0"/>
          <c:showPercent val="0"/>
          <c:showBubbleSize val="0"/>
        </c:dLbls>
        <c:gapWidth val="219"/>
        <c:overlap val="-27"/>
        <c:axId val="1182928960"/>
        <c:axId val="1182929376"/>
      </c:barChart>
      <c:catAx>
        <c:axId val="118292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crossAx val="1182929376"/>
        <c:crosses val="autoZero"/>
        <c:auto val="1"/>
        <c:lblAlgn val="ctr"/>
        <c:lblOffset val="100"/>
        <c:noMultiLvlLbl val="0"/>
      </c:catAx>
      <c:valAx>
        <c:axId val="1182929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1182928960"/>
        <c:crosses val="autoZero"/>
        <c:crossBetween val="between"/>
      </c:valAx>
      <c:spPr>
        <a:noFill/>
        <a:ln>
          <a:noFill/>
        </a:ln>
        <a:effectLst/>
      </c:spPr>
    </c:plotArea>
    <c:legend>
      <c:legendPos val="b"/>
      <c:layout>
        <c:manualLayout>
          <c:xMode val="edge"/>
          <c:yMode val="edge"/>
          <c:x val="0.60582254804356339"/>
          <c:y val="1.856923434716717E-2"/>
          <c:w val="0.3831932167482896"/>
          <c:h val="6.6548339198593362E-2"/>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01-8753-4244-B979-43E3F6DEE691}"/>
              </c:ext>
            </c:extLst>
          </c:dPt>
          <c:dPt>
            <c:idx val="1"/>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3-8753-4244-B979-43E3F6DEE691}"/>
              </c:ext>
            </c:extLst>
          </c:dPt>
          <c:dPt>
            <c:idx val="2"/>
            <c:bubble3D val="0"/>
            <c:spPr>
              <a:solidFill>
                <a:schemeClr val="accent2">
                  <a:lumMod val="50000"/>
                </a:schemeClr>
              </a:solidFill>
              <a:ln w="19050">
                <a:solidFill>
                  <a:schemeClr val="lt1"/>
                </a:solidFill>
              </a:ln>
              <a:effectLst/>
            </c:spPr>
            <c:extLst>
              <c:ext xmlns:c16="http://schemas.microsoft.com/office/drawing/2014/chart" uri="{C3380CC4-5D6E-409C-BE32-E72D297353CC}">
                <c16:uniqueId val="{00000005-8753-4244-B979-43E3F6DEE69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753-4244-B979-43E3F6DEE691}"/>
              </c:ext>
            </c:extLst>
          </c:dPt>
          <c:dPt>
            <c:idx val="4"/>
            <c:bubble3D val="0"/>
            <c:spPr>
              <a:solidFill>
                <a:schemeClr val="bg2">
                  <a:lumMod val="25000"/>
                </a:schemeClr>
              </a:solidFill>
              <a:ln w="19050">
                <a:solidFill>
                  <a:schemeClr val="lt1"/>
                </a:solidFill>
              </a:ln>
              <a:effectLst/>
            </c:spPr>
            <c:extLst>
              <c:ext xmlns:c16="http://schemas.microsoft.com/office/drawing/2014/chart" uri="{C3380CC4-5D6E-409C-BE32-E72D297353CC}">
                <c16:uniqueId val="{00000009-8753-4244-B979-43E3F6DEE69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753-4244-B979-43E3F6DEE69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753-4244-B979-43E3F6DEE691}"/>
              </c:ext>
            </c:extLst>
          </c:dPt>
          <c:dPt>
            <c:idx val="7"/>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F-8753-4244-B979-43E3F6DEE691}"/>
              </c:ext>
            </c:extLst>
          </c:dPt>
          <c:dPt>
            <c:idx val="8"/>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11-8753-4244-B979-43E3F6DEE691}"/>
              </c:ext>
            </c:extLst>
          </c:dPt>
          <c:dLbls>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4.1052880075542968E-2"/>
                      <c:h val="8.8117457540029712E-2"/>
                    </c:manualLayout>
                  </c15:layout>
                </c:ext>
                <c:ext xmlns:c16="http://schemas.microsoft.com/office/drawing/2014/chart" uri="{C3380CC4-5D6E-409C-BE32-E72D297353CC}">
                  <c16:uniqueId val="{00000007-8753-4244-B979-43E3F6DEE691}"/>
                </c:ext>
              </c:extLst>
            </c:dLbl>
            <c:dLbl>
              <c:idx val="4"/>
              <c:layout>
                <c:manualLayout>
                  <c:x val="-3.0689329556185082E-2"/>
                  <c:y val="-4.409171075837742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753-4244-B979-43E3F6DEE6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meza_biotopu_kvalitate_gnp_1609!$H$2:$H$10</c:f>
              <c:strCache>
                <c:ptCount val="9"/>
                <c:pt idx="0">
                  <c:v>9010*</c:v>
                </c:pt>
                <c:pt idx="1">
                  <c:v>9020*</c:v>
                </c:pt>
                <c:pt idx="2">
                  <c:v>9050</c:v>
                </c:pt>
                <c:pt idx="3">
                  <c:v>9080*</c:v>
                </c:pt>
                <c:pt idx="4">
                  <c:v>9160</c:v>
                </c:pt>
                <c:pt idx="5">
                  <c:v>9180*</c:v>
                </c:pt>
                <c:pt idx="6">
                  <c:v>91D0*</c:v>
                </c:pt>
                <c:pt idx="7">
                  <c:v>91E0*</c:v>
                </c:pt>
                <c:pt idx="8">
                  <c:v>91F0</c:v>
                </c:pt>
              </c:strCache>
            </c:strRef>
          </c:cat>
          <c:val>
            <c:numRef>
              <c:f>meza_biotopu_kvalitate_gnp_1609!$J$2:$J$10</c:f>
              <c:numCache>
                <c:formatCode>0</c:formatCode>
                <c:ptCount val="9"/>
                <c:pt idx="0">
                  <c:v>54.470666777935406</c:v>
                </c:pt>
                <c:pt idx="1">
                  <c:v>1.0186931486272219</c:v>
                </c:pt>
                <c:pt idx="2">
                  <c:v>11.027789368271719</c:v>
                </c:pt>
                <c:pt idx="3">
                  <c:v>0.36701994492197276</c:v>
                </c:pt>
                <c:pt idx="4">
                  <c:v>1.2432612868229993</c:v>
                </c:pt>
                <c:pt idx="5">
                  <c:v>14.938412751397815</c:v>
                </c:pt>
                <c:pt idx="6">
                  <c:v>11.190436451639824</c:v>
                </c:pt>
                <c:pt idx="7">
                  <c:v>4.440791120754402</c:v>
                </c:pt>
                <c:pt idx="8">
                  <c:v>1.3015939247266961</c:v>
                </c:pt>
              </c:numCache>
            </c:numRef>
          </c:val>
          <c:extLst>
            <c:ext xmlns:c16="http://schemas.microsoft.com/office/drawing/2014/chart" uri="{C3380CC4-5D6E-409C-BE32-E72D297353CC}">
              <c16:uniqueId val="{00000012-8753-4244-B979-43E3F6DEE691}"/>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'Analize plus biotopi'!$C$47</c:f>
              <c:strCache>
                <c:ptCount val="1"/>
                <c:pt idx="0">
                  <c:v>Audzes bez saimn.darb.</c:v>
                </c:pt>
              </c:strCache>
            </c:strRef>
          </c:tx>
          <c:spPr>
            <a:solidFill>
              <a:schemeClr val="accent3">
                <a:lumMod val="60000"/>
                <a:lumOff val="40000"/>
              </a:schemeClr>
            </a:solidFill>
            <a:ln>
              <a:noFill/>
            </a:ln>
            <a:effectLst/>
          </c:spPr>
          <c:invertIfNegative val="0"/>
          <c:cat>
            <c:strRef>
              <c:f>'Analize plus biotopi'!$B$48:$B$49</c:f>
              <c:strCache>
                <c:ptCount val="2"/>
                <c:pt idx="0">
                  <c:v>AAZ</c:v>
                </c:pt>
                <c:pt idx="1">
                  <c:v>DLZ</c:v>
                </c:pt>
              </c:strCache>
            </c:strRef>
          </c:cat>
          <c:val>
            <c:numRef>
              <c:f>'Analize plus biotopi'!$C$48:$C$49</c:f>
              <c:numCache>
                <c:formatCode>0.0</c:formatCode>
                <c:ptCount val="2"/>
                <c:pt idx="0">
                  <c:v>3542.3</c:v>
                </c:pt>
                <c:pt idx="1">
                  <c:v>10897</c:v>
                </c:pt>
              </c:numCache>
            </c:numRef>
          </c:val>
          <c:extLst>
            <c:ext xmlns:c16="http://schemas.microsoft.com/office/drawing/2014/chart" uri="{C3380CC4-5D6E-409C-BE32-E72D297353CC}">
              <c16:uniqueId val="{00000000-5C9E-42E0-95E6-17FB0456D40D}"/>
            </c:ext>
          </c:extLst>
        </c:ser>
        <c:ser>
          <c:idx val="1"/>
          <c:order val="1"/>
          <c:tx>
            <c:strRef>
              <c:f>'Analize plus biotopi'!$D$47</c:f>
              <c:strCache>
                <c:ptCount val="1"/>
                <c:pt idx="0">
                  <c:v>No tām meža biotopi</c:v>
                </c:pt>
              </c:strCache>
            </c:strRef>
          </c:tx>
          <c:spPr>
            <a:solidFill>
              <a:schemeClr val="accent3">
                <a:lumMod val="50000"/>
              </a:schemeClr>
            </a:solidFill>
            <a:ln>
              <a:noFill/>
            </a:ln>
            <a:effectLst/>
          </c:spPr>
          <c:invertIfNegative val="0"/>
          <c:cat>
            <c:strRef>
              <c:f>'Analize plus biotopi'!$B$48:$B$49</c:f>
              <c:strCache>
                <c:ptCount val="2"/>
                <c:pt idx="0">
                  <c:v>AAZ</c:v>
                </c:pt>
                <c:pt idx="1">
                  <c:v>DLZ</c:v>
                </c:pt>
              </c:strCache>
            </c:strRef>
          </c:cat>
          <c:val>
            <c:numRef>
              <c:f>'Analize plus biotopi'!$D$48:$D$49</c:f>
              <c:numCache>
                <c:formatCode>0.0</c:formatCode>
                <c:ptCount val="2"/>
                <c:pt idx="0">
                  <c:v>969.1</c:v>
                </c:pt>
                <c:pt idx="1">
                  <c:v>5643</c:v>
                </c:pt>
              </c:numCache>
            </c:numRef>
          </c:val>
          <c:extLst>
            <c:ext xmlns:c16="http://schemas.microsoft.com/office/drawing/2014/chart" uri="{C3380CC4-5D6E-409C-BE32-E72D297353CC}">
              <c16:uniqueId val="{00000001-5C9E-42E0-95E6-17FB0456D40D}"/>
            </c:ext>
          </c:extLst>
        </c:ser>
        <c:ser>
          <c:idx val="2"/>
          <c:order val="2"/>
          <c:tx>
            <c:strRef>
              <c:f>'Analize plus biotopi'!$F$47</c:f>
              <c:strCache>
                <c:ptCount val="1"/>
                <c:pt idx="0">
                  <c:v>Audzes ar saimn.darb.</c:v>
                </c:pt>
              </c:strCache>
            </c:strRef>
          </c:tx>
          <c:spPr>
            <a:solidFill>
              <a:schemeClr val="accent2">
                <a:lumMod val="60000"/>
                <a:lumOff val="40000"/>
              </a:schemeClr>
            </a:solidFill>
            <a:ln>
              <a:noFill/>
            </a:ln>
            <a:effectLst/>
          </c:spPr>
          <c:invertIfNegative val="0"/>
          <c:cat>
            <c:strRef>
              <c:f>'Analize plus biotopi'!$B$48:$B$49</c:f>
              <c:strCache>
                <c:ptCount val="2"/>
                <c:pt idx="0">
                  <c:v>AAZ</c:v>
                </c:pt>
                <c:pt idx="1">
                  <c:v>DLZ</c:v>
                </c:pt>
              </c:strCache>
            </c:strRef>
          </c:cat>
          <c:val>
            <c:numRef>
              <c:f>'Analize plus biotopi'!$F$48:$F$49</c:f>
              <c:numCache>
                <c:formatCode>0.0</c:formatCode>
                <c:ptCount val="2"/>
                <c:pt idx="0">
                  <c:v>3500.8999999999996</c:v>
                </c:pt>
                <c:pt idx="1">
                  <c:v>4925.3999999999996</c:v>
                </c:pt>
              </c:numCache>
            </c:numRef>
          </c:val>
          <c:extLst>
            <c:ext xmlns:c16="http://schemas.microsoft.com/office/drawing/2014/chart" uri="{C3380CC4-5D6E-409C-BE32-E72D297353CC}">
              <c16:uniqueId val="{00000002-5C9E-42E0-95E6-17FB0456D40D}"/>
            </c:ext>
          </c:extLst>
        </c:ser>
        <c:ser>
          <c:idx val="3"/>
          <c:order val="3"/>
          <c:tx>
            <c:strRef>
              <c:f>'Analize plus biotopi'!$G$47</c:f>
              <c:strCache>
                <c:ptCount val="1"/>
                <c:pt idx="0">
                  <c:v>No tām meža biotopi</c:v>
                </c:pt>
              </c:strCache>
            </c:strRef>
          </c:tx>
          <c:spPr>
            <a:solidFill>
              <a:schemeClr val="accent3">
                <a:lumMod val="50000"/>
              </a:schemeClr>
            </a:solidFill>
            <a:ln>
              <a:noFill/>
            </a:ln>
            <a:effectLst/>
          </c:spPr>
          <c:invertIfNegative val="0"/>
          <c:cat>
            <c:strRef>
              <c:f>'Analize plus biotopi'!$B$48:$B$49</c:f>
              <c:strCache>
                <c:ptCount val="2"/>
                <c:pt idx="0">
                  <c:v>AAZ</c:v>
                </c:pt>
                <c:pt idx="1">
                  <c:v>DLZ</c:v>
                </c:pt>
              </c:strCache>
            </c:strRef>
          </c:cat>
          <c:val>
            <c:numRef>
              <c:f>'Analize plus biotopi'!$G$48:$G$49</c:f>
              <c:numCache>
                <c:formatCode>0.0</c:formatCode>
                <c:ptCount val="2"/>
                <c:pt idx="0">
                  <c:v>511.8</c:v>
                </c:pt>
                <c:pt idx="1">
                  <c:v>985</c:v>
                </c:pt>
              </c:numCache>
            </c:numRef>
          </c:val>
          <c:extLst>
            <c:ext xmlns:c16="http://schemas.microsoft.com/office/drawing/2014/chart" uri="{C3380CC4-5D6E-409C-BE32-E72D297353CC}">
              <c16:uniqueId val="{00000003-5C9E-42E0-95E6-17FB0456D40D}"/>
            </c:ext>
          </c:extLst>
        </c:ser>
        <c:dLbls>
          <c:showLegendKey val="0"/>
          <c:showVal val="0"/>
          <c:showCatName val="0"/>
          <c:showSerName val="0"/>
          <c:showPercent val="0"/>
          <c:showBubbleSize val="0"/>
        </c:dLbls>
        <c:gapWidth val="219"/>
        <c:overlap val="-27"/>
        <c:axId val="2114455120"/>
        <c:axId val="1"/>
      </c:barChart>
      <c:catAx>
        <c:axId val="211445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14455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Sheet10!$C$2:$C$12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Sheet10!$F$2:$F$12</c:f>
              <c:numCache>
                <c:formatCode>0</c:formatCode>
                <c:ptCount val="11"/>
                <c:pt idx="0">
                  <c:v>2232.9088245359999</c:v>
                </c:pt>
                <c:pt idx="1">
                  <c:v>2196.2063811028997</c:v>
                </c:pt>
                <c:pt idx="2">
                  <c:v>2176.9599907207003</c:v>
                </c:pt>
                <c:pt idx="3">
                  <c:v>2968.4882506403001</c:v>
                </c:pt>
                <c:pt idx="4">
                  <c:v>3633.6693326800005</c:v>
                </c:pt>
                <c:pt idx="5">
                  <c:v>3770.0062970072004</c:v>
                </c:pt>
                <c:pt idx="6">
                  <c:v>3979.8115409847001</c:v>
                </c:pt>
                <c:pt idx="7">
                  <c:v>4231.1674982807008</c:v>
                </c:pt>
                <c:pt idx="8">
                  <c:v>4518.7</c:v>
                </c:pt>
                <c:pt idx="9">
                  <c:v>5083.74125</c:v>
                </c:pt>
                <c:pt idx="10">
                  <c:v>5301.8436799999999</c:v>
                </c:pt>
              </c:numCache>
            </c:numRef>
          </c:val>
          <c:extLst>
            <c:ext xmlns:c16="http://schemas.microsoft.com/office/drawing/2014/chart" uri="{C3380CC4-5D6E-409C-BE32-E72D297353CC}">
              <c16:uniqueId val="{00000000-A00E-47BC-8BE5-1FDFB393D8FB}"/>
            </c:ext>
          </c:extLst>
        </c:ser>
        <c:dLbls>
          <c:showLegendKey val="0"/>
          <c:showVal val="0"/>
          <c:showCatName val="0"/>
          <c:showSerName val="0"/>
          <c:showPercent val="0"/>
          <c:showBubbleSize val="0"/>
        </c:dLbls>
        <c:gapWidth val="219"/>
        <c:overlap val="-27"/>
        <c:axId val="79521712"/>
        <c:axId val="79530448"/>
      </c:barChart>
      <c:catAx>
        <c:axId val="7952171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lv-LV" b="1"/>
                  <a:t>Gads</a:t>
                </a:r>
                <a:endParaRPr lang="de-DE"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79530448"/>
        <c:crosses val="autoZero"/>
        <c:auto val="1"/>
        <c:lblAlgn val="ctr"/>
        <c:lblOffset val="100"/>
        <c:noMultiLvlLbl val="0"/>
      </c:catAx>
      <c:valAx>
        <c:axId val="7953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lv-LV" b="1"/>
                  <a:t>Pieteiktās platības, ha</a:t>
                </a:r>
                <a:endParaRPr lang="de-DE"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79521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29"/>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2BF-4FCF-8AD5-16BABC15FD6B}"/>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B2BF-4FCF-8AD5-16BABC15FD6B}"/>
              </c:ext>
            </c:extLst>
          </c:dPt>
          <c:dPt>
            <c:idx val="2"/>
            <c:bubble3D val="0"/>
            <c:spPr>
              <a:solidFill>
                <a:schemeClr val="accent4">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B2BF-4FCF-8AD5-16BABC15FD6B}"/>
              </c:ext>
            </c:extLst>
          </c:dPt>
          <c:dLbls>
            <c:dLbl>
              <c:idx val="0"/>
              <c:layout>
                <c:manualLayout>
                  <c:x val="0.21973753280839894"/>
                  <c:y val="-0.1248014165140582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2BF-4FCF-8AD5-16BABC15FD6B}"/>
                </c:ext>
              </c:extLst>
            </c:dLbl>
            <c:dLbl>
              <c:idx val="1"/>
              <c:layout>
                <c:manualLayout>
                  <c:x val="-2.076824195858204E-2"/>
                  <c:y val="1.614227149400201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2BF-4FCF-8AD5-16BABC15FD6B}"/>
                </c:ext>
              </c:extLst>
            </c:dLbl>
            <c:dLbl>
              <c:idx val="2"/>
              <c:layout>
                <c:manualLayout>
                  <c:x val="0.1562015083310116"/>
                  <c:y val="1.11465142917878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2BF-4FCF-8AD5-16BABC15FD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('zemes kat %'!$A$2,'zemes kat %'!$A$4,'zemes kat %'!$A$6)</c:f>
              <c:strCache>
                <c:ptCount val="3"/>
                <c:pt idx="0">
                  <c:v>Mežaudze</c:v>
                </c:pt>
                <c:pt idx="1">
                  <c:v>Izcirtums</c:v>
                </c:pt>
                <c:pt idx="2">
                  <c:v>Sūnu purvs</c:v>
                </c:pt>
              </c:strCache>
            </c:strRef>
          </c:cat>
          <c:val>
            <c:numRef>
              <c:f>('zemes kat %'!$D$2,'zemes kat %'!$D$4,'zemes kat %'!$D$6)</c:f>
              <c:numCache>
                <c:formatCode>0.0</c:formatCode>
                <c:ptCount val="3"/>
                <c:pt idx="0">
                  <c:v>90.803762326006506</c:v>
                </c:pt>
                <c:pt idx="1">
                  <c:v>1.4978438296484495</c:v>
                </c:pt>
                <c:pt idx="2">
                  <c:v>6.0576106169747579</c:v>
                </c:pt>
              </c:numCache>
            </c:numRef>
          </c:val>
          <c:extLst>
            <c:ext xmlns:c16="http://schemas.microsoft.com/office/drawing/2014/chart" uri="{C3380CC4-5D6E-409C-BE32-E72D297353CC}">
              <c16:uniqueId val="{00000006-B2BF-4FCF-8AD5-16BABC15FD6B}"/>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('aat %'!$C$2,'aat %'!$C$4,'aat %'!$C$5,'aat %'!$C$6,'aat %'!$C$7,'aat %'!$C$8,'aat %'!$C$11,'aat %'!$C$12,'aat %'!$C$14,'aat %'!$C$15,'aat %'!$C$19,'aat %'!$C$21,'aat %'!$C$22,'aat %'!$C$23)</c:f>
              <c:strCache>
                <c:ptCount val="14"/>
                <c:pt idx="0">
                  <c:v>Purvi</c:v>
                </c:pt>
                <c:pt idx="1">
                  <c:v>Mētrājs</c:v>
                </c:pt>
                <c:pt idx="2">
                  <c:v>Lāns</c:v>
                </c:pt>
                <c:pt idx="3">
                  <c:v>Damaksnis</c:v>
                </c:pt>
                <c:pt idx="4">
                  <c:v>Vēris</c:v>
                </c:pt>
                <c:pt idx="5">
                  <c:v>Gārša</c:v>
                </c:pt>
                <c:pt idx="6">
                  <c:v>Slapjais damaksnis</c:v>
                </c:pt>
                <c:pt idx="7">
                  <c:v>Slapjais vēris</c:v>
                </c:pt>
                <c:pt idx="8">
                  <c:v>Purvājs</c:v>
                </c:pt>
                <c:pt idx="9">
                  <c:v>Niedrājs</c:v>
                </c:pt>
                <c:pt idx="10">
                  <c:v>Šaurlapu ārenis</c:v>
                </c:pt>
                <c:pt idx="11">
                  <c:v>Viršu kūdrenis</c:v>
                </c:pt>
                <c:pt idx="12">
                  <c:v>Mētru kūdrenis</c:v>
                </c:pt>
                <c:pt idx="13">
                  <c:v>Šaurlapju kūdrenis</c:v>
                </c:pt>
              </c:strCache>
            </c:strRef>
          </c:cat>
          <c:val>
            <c:numRef>
              <c:f>('aat %'!$F$2,'aat %'!$F$4,'aat %'!$F$5,'aat %'!$F$6,'aat %'!$F$7,'aat %'!$F$8,'aat %'!$F$11,'aat %'!$F$12,'aat %'!$F$14,'aat %'!$F$15,'aat %'!$F$19,'aat %'!$F$21,'aat %'!$F$22,'aat %'!$F$23)</c:f>
              <c:numCache>
                <c:formatCode>0</c:formatCode>
                <c:ptCount val="14"/>
                <c:pt idx="0">
                  <c:v>7.3631908905325796</c:v>
                </c:pt>
                <c:pt idx="1">
                  <c:v>1.9663226726043557</c:v>
                </c:pt>
                <c:pt idx="2">
                  <c:v>11.80115720515226</c:v>
                </c:pt>
                <c:pt idx="3">
                  <c:v>43.087370196934252</c:v>
                </c:pt>
                <c:pt idx="4">
                  <c:v>19.913873979795213</c:v>
                </c:pt>
                <c:pt idx="5">
                  <c:v>2.5566019882668902</c:v>
                </c:pt>
                <c:pt idx="6">
                  <c:v>1.1813639237065996</c:v>
                </c:pt>
                <c:pt idx="7">
                  <c:v>0.84757023156182432</c:v>
                </c:pt>
                <c:pt idx="8">
                  <c:v>2.0694000974403783</c:v>
                </c:pt>
                <c:pt idx="9">
                  <c:v>2.5384829096824331</c:v>
                </c:pt>
                <c:pt idx="10">
                  <c:v>1.3025604271270792</c:v>
                </c:pt>
                <c:pt idx="11">
                  <c:v>0.59611768542863708</c:v>
                </c:pt>
                <c:pt idx="12">
                  <c:v>0.56612054421659141</c:v>
                </c:pt>
                <c:pt idx="13">
                  <c:v>2.3248791054812226</c:v>
                </c:pt>
              </c:numCache>
            </c:numRef>
          </c:val>
          <c:extLst>
            <c:ext xmlns:c16="http://schemas.microsoft.com/office/drawing/2014/chart" uri="{C3380CC4-5D6E-409C-BE32-E72D297353CC}">
              <c16:uniqueId val="{00000000-3B2B-4421-AE56-AC2EF3D13656}"/>
            </c:ext>
          </c:extLst>
        </c:ser>
        <c:dLbls>
          <c:dLblPos val="outEnd"/>
          <c:showLegendKey val="0"/>
          <c:showVal val="1"/>
          <c:showCatName val="0"/>
          <c:showSerName val="0"/>
          <c:showPercent val="0"/>
          <c:showBubbleSize val="0"/>
        </c:dLbls>
        <c:gapWidth val="444"/>
        <c:overlap val="-90"/>
        <c:axId val="600334360"/>
        <c:axId val="600334688"/>
      </c:barChart>
      <c:catAx>
        <c:axId val="600334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600334688"/>
        <c:crosses val="autoZero"/>
        <c:auto val="1"/>
        <c:lblAlgn val="ctr"/>
        <c:lblOffset val="100"/>
        <c:noMultiLvlLbl val="0"/>
      </c:catAx>
      <c:valAx>
        <c:axId val="600334688"/>
        <c:scaling>
          <c:orientation val="minMax"/>
        </c:scaling>
        <c:delete val="1"/>
        <c:axPos val="l"/>
        <c:numFmt formatCode="0" sourceLinked="1"/>
        <c:majorTickMark val="none"/>
        <c:minorTickMark val="none"/>
        <c:tickLblPos val="nextTo"/>
        <c:crossAx val="600334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C9F0-4B7C-9ADD-075E8C68948D}"/>
              </c:ext>
            </c:extLst>
          </c:dPt>
          <c:dPt>
            <c:idx val="1"/>
            <c:bubble3D val="0"/>
            <c:spPr>
              <a:solidFill>
                <a:srgbClr val="990033"/>
              </a:solidFill>
              <a:ln w="25400">
                <a:solidFill>
                  <a:schemeClr val="lt1"/>
                </a:solidFill>
              </a:ln>
              <a:effectLst/>
              <a:sp3d contourW="25400">
                <a:contourClr>
                  <a:schemeClr val="lt1"/>
                </a:contourClr>
              </a:sp3d>
            </c:spPr>
            <c:extLst>
              <c:ext xmlns:c16="http://schemas.microsoft.com/office/drawing/2014/chart" uri="{C3380CC4-5D6E-409C-BE32-E72D297353CC}">
                <c16:uniqueId val="{00000003-C9F0-4B7C-9ADD-075E8C68948D}"/>
              </c:ext>
            </c:extLst>
          </c:dPt>
          <c:dPt>
            <c:idx val="2"/>
            <c:bubble3D val="0"/>
            <c:spPr>
              <a:solidFill>
                <a:srgbClr val="0099FF"/>
              </a:solidFill>
              <a:ln w="25400">
                <a:solidFill>
                  <a:schemeClr val="lt1"/>
                </a:solidFill>
              </a:ln>
              <a:effectLst/>
              <a:sp3d contourW="25400">
                <a:contourClr>
                  <a:schemeClr val="lt1"/>
                </a:contourClr>
              </a:sp3d>
            </c:spPr>
            <c:extLst>
              <c:ext xmlns:c16="http://schemas.microsoft.com/office/drawing/2014/chart" uri="{C3380CC4-5D6E-409C-BE32-E72D297353CC}">
                <c16:uniqueId val="{00000005-C9F0-4B7C-9ADD-075E8C68948D}"/>
              </c:ext>
            </c:extLst>
          </c:dPt>
          <c:dPt>
            <c:idx val="3"/>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7-C9F0-4B7C-9ADD-075E8C68948D}"/>
              </c:ext>
            </c:extLst>
          </c:dPt>
          <c:dPt>
            <c:idx val="4"/>
            <c:bubble3D val="0"/>
            <c:spPr>
              <a:solidFill>
                <a:srgbClr val="808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9-C9F0-4B7C-9ADD-075E8C68948D}"/>
              </c:ext>
            </c:extLst>
          </c:dPt>
          <c:dPt>
            <c:idx val="5"/>
            <c:bubble3D val="0"/>
            <c:spPr>
              <a:solidFill>
                <a:schemeClr val="tx1">
                  <a:lumMod val="65000"/>
                  <a:lumOff val="3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C9F0-4B7C-9ADD-075E8C68948D}"/>
              </c:ext>
            </c:extLst>
          </c:dPt>
          <c:dPt>
            <c:idx val="6"/>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D-C9F0-4B7C-9ADD-075E8C68948D}"/>
              </c:ext>
            </c:extLst>
          </c:dPt>
          <c:dLbls>
            <c:dLbl>
              <c:idx val="3"/>
              <c:layout>
                <c:manualLayout>
                  <c:x val="-4.1666666666666692E-2"/>
                  <c:y val="-2.777777777777777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9F0-4B7C-9ADD-075E8C68948D}"/>
                </c:ext>
              </c:extLst>
            </c:dLbl>
            <c:dLbl>
              <c:idx val="4"/>
              <c:layout>
                <c:manualLayout>
                  <c:x val="-1.9444444444444445E-2"/>
                  <c:y val="-5.555555555555553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9F0-4B7C-9ADD-075E8C68948D}"/>
                </c:ext>
              </c:extLst>
            </c:dLbl>
            <c:dLbl>
              <c:idx val="5"/>
              <c:layout>
                <c:manualLayout>
                  <c:x val="-1.6119746689694962E-2"/>
                  <c:y val="-5.08259280000704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9F0-4B7C-9ADD-075E8C68948D}"/>
                </c:ext>
              </c:extLst>
            </c:dLbl>
            <c:dLbl>
              <c:idx val="6"/>
              <c:layout>
                <c:manualLayout>
                  <c:x val="4.8359240069084632E-2"/>
                  <c:y val="-2.710716160003756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9F0-4B7C-9ADD-075E8C6894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('vald suga %'!$B$2,'vald suga %'!$B$3,'vald suga %'!$B$4,'vald suga %'!$B$6,'vald suga %'!$B$7,'vald suga %'!$B$8,'vald suga %'!$B$14)</c:f>
              <c:strCache>
                <c:ptCount val="7"/>
                <c:pt idx="0">
                  <c:v>Priede</c:v>
                </c:pt>
                <c:pt idx="1">
                  <c:v>Egle</c:v>
                </c:pt>
                <c:pt idx="2">
                  <c:v>Bērzs</c:v>
                </c:pt>
                <c:pt idx="3">
                  <c:v>Apse</c:v>
                </c:pt>
                <c:pt idx="4">
                  <c:v>Baltalksnis</c:v>
                </c:pt>
                <c:pt idx="5">
                  <c:v>Ozols</c:v>
                </c:pt>
                <c:pt idx="6">
                  <c:v>Goba, vīksna</c:v>
                </c:pt>
              </c:strCache>
            </c:strRef>
          </c:cat>
          <c:val>
            <c:numRef>
              <c:f>('vald suga %'!$E$2,'vald suga %'!$E$3,'vald suga %'!$E$4,'vald suga %'!$E$6,'vald suga %'!$E$7,'vald suga %'!$E$8,'vald suga %'!$E$14)</c:f>
              <c:numCache>
                <c:formatCode>General</c:formatCode>
                <c:ptCount val="7"/>
                <c:pt idx="0">
                  <c:v>21477.599999999999</c:v>
                </c:pt>
                <c:pt idx="1">
                  <c:v>7966.9</c:v>
                </c:pt>
                <c:pt idx="2">
                  <c:v>9273.2000000000007</c:v>
                </c:pt>
                <c:pt idx="3">
                  <c:v>1771.8</c:v>
                </c:pt>
                <c:pt idx="4">
                  <c:v>3018.3</c:v>
                </c:pt>
                <c:pt idx="5">
                  <c:v>636.1</c:v>
                </c:pt>
                <c:pt idx="6">
                  <c:v>303.3</c:v>
                </c:pt>
              </c:numCache>
            </c:numRef>
          </c:val>
          <c:extLst>
            <c:ext xmlns:c16="http://schemas.microsoft.com/office/drawing/2014/chart" uri="{C3380CC4-5D6E-409C-BE32-E72D297353CC}">
              <c16:uniqueId val="{0000000E-C9F0-4B7C-9ADD-075E8C68948D}"/>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98C-4106-94BC-56E419B03BF9}"/>
              </c:ext>
            </c:extLst>
          </c:dPt>
          <c:dPt>
            <c:idx val="1"/>
            <c:bubble3D val="0"/>
            <c:spPr>
              <a:solidFill>
                <a:schemeClr val="accent6">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F98C-4106-94BC-56E419B03BF9}"/>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F98C-4106-94BC-56E419B03BF9}"/>
              </c:ext>
            </c:extLst>
          </c:dPt>
          <c:dPt>
            <c:idx val="3"/>
            <c:bubble3D val="0"/>
            <c:spPr>
              <a:solidFill>
                <a:schemeClr val="accent6">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F98C-4106-94BC-56E419B03BF9}"/>
              </c:ext>
            </c:extLst>
          </c:dPt>
          <c:dPt>
            <c:idx val="4"/>
            <c:bubble3D val="0"/>
            <c:spPr>
              <a:solidFill>
                <a:schemeClr val="accent6">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F98C-4106-94BC-56E419B03BF9}"/>
              </c:ext>
            </c:extLst>
          </c:dPt>
          <c:dLbls>
            <c:spPr>
              <a:noFill/>
              <a:ln>
                <a:noFill/>
              </a:ln>
              <a:effectLst/>
            </c:spPr>
            <c:txPr>
              <a:bodyPr rot="0" spcFirstLastPara="1" vertOverflow="ellipsis" vert="horz" wrap="square" lIns="38100" tIns="19050" rIns="38100" bIns="19050" anchor="ctr" anchorCtr="1">
                <a:spAutoFit/>
              </a:bodyPr>
              <a:lstStyle/>
              <a:p>
                <a:pPr>
                  <a:defRPr sz="900" b="1" i="1"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'vecums %'!$B$2:$B$6</c:f>
              <c:strCache>
                <c:ptCount val="5"/>
                <c:pt idx="0">
                  <c:v>Jaunaudze</c:v>
                </c:pt>
                <c:pt idx="1">
                  <c:v>Vidēja vecuma audze</c:v>
                </c:pt>
                <c:pt idx="2">
                  <c:v>Briestaudze</c:v>
                </c:pt>
                <c:pt idx="3">
                  <c:v>Pieaugusi audze</c:v>
                </c:pt>
                <c:pt idx="4">
                  <c:v>Pāraugusi audze</c:v>
                </c:pt>
              </c:strCache>
            </c:strRef>
          </c:cat>
          <c:val>
            <c:numRef>
              <c:f>'vecums %'!$E$2:$E$6</c:f>
              <c:numCache>
                <c:formatCode>General</c:formatCode>
                <c:ptCount val="5"/>
                <c:pt idx="0">
                  <c:v>5824.2</c:v>
                </c:pt>
                <c:pt idx="1">
                  <c:v>7290.4</c:v>
                </c:pt>
                <c:pt idx="2">
                  <c:v>6266.8</c:v>
                </c:pt>
                <c:pt idx="3">
                  <c:v>14306.9</c:v>
                </c:pt>
                <c:pt idx="4">
                  <c:v>11415.4</c:v>
                </c:pt>
              </c:numCache>
            </c:numRef>
          </c:val>
          <c:extLst>
            <c:ext xmlns:c16="http://schemas.microsoft.com/office/drawing/2014/chart" uri="{C3380CC4-5D6E-409C-BE32-E72D297353CC}">
              <c16:uniqueId val="{0000000A-F98C-4106-94BC-56E419B03BF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1"/>
          <c:order val="1"/>
          <c:tx>
            <c:strRef>
              <c:f>'Kopējā statistika'!$D$38</c:f>
              <c:strCache>
                <c:ptCount val="1"/>
                <c:pt idx="0">
                  <c:v>Veikta koksnes ieguve</c:v>
                </c:pt>
              </c:strCache>
            </c:strRef>
          </c:tx>
          <c:spPr>
            <a:solidFill>
              <a:schemeClr val="accent2"/>
            </a:solidFill>
            <a:ln>
              <a:noFill/>
            </a:ln>
            <a:effectLst/>
          </c:spPr>
          <c:invertIfNegative val="0"/>
          <c:cat>
            <c:strRef>
              <c:f>'Kopējā statistika'!$B$39:$B$42</c:f>
              <c:strCache>
                <c:ptCount val="4"/>
                <c:pt idx="0">
                  <c:v>Dabas lieguma zona</c:v>
                </c:pt>
                <c:pt idx="1">
                  <c:v>Ainavu aizsardzības zona</c:v>
                </c:pt>
                <c:pt idx="2">
                  <c:v>Kultūrvēsturiskā zona</c:v>
                </c:pt>
                <c:pt idx="3">
                  <c:v>Neitrālā zona</c:v>
                </c:pt>
              </c:strCache>
            </c:strRef>
          </c:cat>
          <c:val>
            <c:numRef>
              <c:f>'Kopējā statistika'!$D$39:$D$42</c:f>
              <c:numCache>
                <c:formatCode>0.0</c:formatCode>
                <c:ptCount val="4"/>
                <c:pt idx="0">
                  <c:v>29.451382813335936</c:v>
                </c:pt>
                <c:pt idx="1">
                  <c:v>55.87802104762514</c:v>
                </c:pt>
                <c:pt idx="2">
                  <c:v>43.261557459288419</c:v>
                </c:pt>
                <c:pt idx="3">
                  <c:v>51.779470425012732</c:v>
                </c:pt>
              </c:numCache>
            </c:numRef>
          </c:val>
          <c:extLst>
            <c:ext xmlns:c16="http://schemas.microsoft.com/office/drawing/2014/chart" uri="{C3380CC4-5D6E-409C-BE32-E72D297353CC}">
              <c16:uniqueId val="{00000000-6DFE-4EB2-89C0-FD54A62D1EA1}"/>
            </c:ext>
          </c:extLst>
        </c:ser>
        <c:ser>
          <c:idx val="2"/>
          <c:order val="2"/>
          <c:tx>
            <c:strRef>
              <c:f>'Kopējā statistika'!$E$38</c:f>
              <c:strCache>
                <c:ptCount val="1"/>
                <c:pt idx="0">
                  <c:v>Bez koksnes ieguves</c:v>
                </c:pt>
              </c:strCache>
            </c:strRef>
          </c:tx>
          <c:spPr>
            <a:solidFill>
              <a:schemeClr val="accent3"/>
            </a:solidFill>
            <a:ln>
              <a:noFill/>
            </a:ln>
            <a:effectLst/>
          </c:spPr>
          <c:invertIfNegative val="0"/>
          <c:cat>
            <c:strRef>
              <c:f>'Kopējā statistika'!$B$39:$B$42</c:f>
              <c:strCache>
                <c:ptCount val="4"/>
                <c:pt idx="0">
                  <c:v>Dabas lieguma zona</c:v>
                </c:pt>
                <c:pt idx="1">
                  <c:v>Ainavu aizsardzības zona</c:v>
                </c:pt>
                <c:pt idx="2">
                  <c:v>Kultūrvēsturiskā zona</c:v>
                </c:pt>
                <c:pt idx="3">
                  <c:v>Neitrālā zona</c:v>
                </c:pt>
              </c:strCache>
            </c:strRef>
          </c:cat>
          <c:val>
            <c:numRef>
              <c:f>'Kopējā statistika'!$E$39:$E$42</c:f>
              <c:numCache>
                <c:formatCode>0.0</c:formatCode>
                <c:ptCount val="4"/>
                <c:pt idx="0">
                  <c:v>70.54861718666406</c:v>
                </c:pt>
                <c:pt idx="1">
                  <c:v>44.12197895237486</c:v>
                </c:pt>
                <c:pt idx="2">
                  <c:v>56.738442540711588</c:v>
                </c:pt>
                <c:pt idx="3">
                  <c:v>48.220529574987268</c:v>
                </c:pt>
              </c:numCache>
            </c:numRef>
          </c:val>
          <c:extLst>
            <c:ext xmlns:c16="http://schemas.microsoft.com/office/drawing/2014/chart" uri="{C3380CC4-5D6E-409C-BE32-E72D297353CC}">
              <c16:uniqueId val="{00000001-6DFE-4EB2-89C0-FD54A62D1EA1}"/>
            </c:ext>
          </c:extLst>
        </c:ser>
        <c:dLbls>
          <c:showLegendKey val="0"/>
          <c:showVal val="0"/>
          <c:showCatName val="0"/>
          <c:showSerName val="0"/>
          <c:showPercent val="0"/>
          <c:showBubbleSize val="0"/>
        </c:dLbls>
        <c:gapWidth val="150"/>
        <c:overlap val="100"/>
        <c:axId val="93508896"/>
        <c:axId val="93499328"/>
        <c:extLst>
          <c:ext xmlns:c15="http://schemas.microsoft.com/office/drawing/2012/chart" uri="{02D57815-91ED-43cb-92C2-25804820EDAC}">
            <c15:filteredBarSeries>
              <c15:ser>
                <c:idx val="0"/>
                <c:order val="0"/>
                <c:tx>
                  <c:strRef>
                    <c:extLst>
                      <c:ext uri="{02D57815-91ED-43cb-92C2-25804820EDAC}">
                        <c15:formulaRef>
                          <c15:sqref>'Kopējā statistika'!$C$38</c15:sqref>
                        </c15:formulaRef>
                      </c:ext>
                    </c:extLst>
                    <c:strCache>
                      <c:ptCount val="1"/>
                    </c:strCache>
                  </c:strRef>
                </c:tx>
                <c:spPr>
                  <a:solidFill>
                    <a:schemeClr val="accent1"/>
                  </a:solidFill>
                  <a:ln>
                    <a:noFill/>
                  </a:ln>
                  <a:effectLst/>
                </c:spPr>
                <c:invertIfNegative val="0"/>
                <c:cat>
                  <c:strRef>
                    <c:extLst>
                      <c:ext uri="{02D57815-91ED-43cb-92C2-25804820EDAC}">
                        <c15:formulaRef>
                          <c15:sqref>'Kopējā statistika'!$B$39:$B$42</c15:sqref>
                        </c15:formulaRef>
                      </c:ext>
                    </c:extLst>
                    <c:strCache>
                      <c:ptCount val="4"/>
                      <c:pt idx="0">
                        <c:v>Dabas lieguma zona</c:v>
                      </c:pt>
                      <c:pt idx="1">
                        <c:v>Ainavu aizsardzības zona</c:v>
                      </c:pt>
                      <c:pt idx="2">
                        <c:v>Kultūrvēsturiskā zona</c:v>
                      </c:pt>
                      <c:pt idx="3">
                        <c:v>Neitrālā zona</c:v>
                      </c:pt>
                    </c:strCache>
                  </c:strRef>
                </c:cat>
                <c:val>
                  <c:numRef>
                    <c:extLst>
                      <c:ext uri="{02D57815-91ED-43cb-92C2-25804820EDAC}">
                        <c15:formulaRef>
                          <c15:sqref>'Kopējā statistika'!$C$39:$C$42</c15:sqref>
                        </c15:formulaRef>
                      </c:ext>
                    </c:extLst>
                    <c:numCache>
                      <c:formatCode>General</c:formatCode>
                      <c:ptCount val="4"/>
                    </c:numCache>
                  </c:numRef>
                </c:val>
                <c:extLst>
                  <c:ext xmlns:c16="http://schemas.microsoft.com/office/drawing/2014/chart" uri="{C3380CC4-5D6E-409C-BE32-E72D297353CC}">
                    <c16:uniqueId val="{00000002-6DFE-4EB2-89C0-FD54A62D1EA1}"/>
                  </c:ext>
                </c:extLst>
              </c15:ser>
            </c15:filteredBarSeries>
          </c:ext>
        </c:extLst>
      </c:barChart>
      <c:catAx>
        <c:axId val="93508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499328"/>
        <c:crosses val="autoZero"/>
        <c:auto val="1"/>
        <c:lblAlgn val="ctr"/>
        <c:lblOffset val="100"/>
        <c:noMultiLvlLbl val="0"/>
      </c:catAx>
      <c:valAx>
        <c:axId val="93499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50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'2018-2019'!$A$16</c:f>
              <c:strCache>
                <c:ptCount val="1"/>
                <c:pt idx="0">
                  <c:v>2018/2019</c:v>
                </c:pt>
              </c:strCache>
            </c:strRef>
          </c:tx>
          <c:spPr>
            <a:solidFill>
              <a:schemeClr val="accent1"/>
            </a:solidFill>
            <a:ln>
              <a:noFill/>
            </a:ln>
            <a:effectLst/>
          </c:spPr>
          <c:invertIfNegative val="0"/>
          <c:cat>
            <c:strRef>
              <c:f>'2018-2019'!$B$2:$M$2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'2018-2019'!$B$16:$M$16</c:f>
              <c:numCache>
                <c:formatCode>0</c:formatCode>
                <c:ptCount val="12"/>
                <c:pt idx="0">
                  <c:v>22.454545454545453</c:v>
                </c:pt>
                <c:pt idx="1">
                  <c:v>3.5555555555555554</c:v>
                </c:pt>
                <c:pt idx="2">
                  <c:v>1</c:v>
                </c:pt>
                <c:pt idx="3">
                  <c:v>2.3333333333333335</c:v>
                </c:pt>
                <c:pt idx="4">
                  <c:v>2</c:v>
                </c:pt>
                <c:pt idx="5">
                  <c:v>6.3</c:v>
                </c:pt>
                <c:pt idx="6">
                  <c:v>5.4</c:v>
                </c:pt>
                <c:pt idx="7">
                  <c:v>7.6363636363636367</c:v>
                </c:pt>
                <c:pt idx="8">
                  <c:v>12.25</c:v>
                </c:pt>
                <c:pt idx="9">
                  <c:v>18.083333333333332</c:v>
                </c:pt>
                <c:pt idx="10">
                  <c:v>38.666666666666664</c:v>
                </c:pt>
                <c:pt idx="11">
                  <c:v>18.916666666666668</c:v>
                </c:pt>
              </c:numCache>
            </c:numRef>
          </c:val>
          <c:extLst>
            <c:ext xmlns:c16="http://schemas.microsoft.com/office/drawing/2014/chart" uri="{C3380CC4-5D6E-409C-BE32-E72D297353CC}">
              <c16:uniqueId val="{00000000-C891-4EE9-91CE-D26C75C596C5}"/>
            </c:ext>
          </c:extLst>
        </c:ser>
        <c:ser>
          <c:idx val="1"/>
          <c:order val="1"/>
          <c:tx>
            <c:strRef>
              <c:f>'2018-2019'!$A$17</c:f>
              <c:strCache>
                <c:ptCount val="1"/>
                <c:pt idx="0">
                  <c:v>2019/2020</c:v>
                </c:pt>
              </c:strCache>
            </c:strRef>
          </c:tx>
          <c:spPr>
            <a:solidFill>
              <a:schemeClr val="accent2"/>
            </a:solidFill>
            <a:ln>
              <a:noFill/>
            </a:ln>
            <a:effectLst/>
          </c:spPr>
          <c:invertIfNegative val="0"/>
          <c:cat>
            <c:strRef>
              <c:f>'2018-2019'!$B$2:$M$2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'2018-2019'!$B$17:$M$17</c:f>
              <c:numCache>
                <c:formatCode>0</c:formatCode>
                <c:ptCount val="12"/>
                <c:pt idx="0">
                  <c:v>19.333333333333332</c:v>
                </c:pt>
                <c:pt idx="1">
                  <c:v>3.6363636363636362</c:v>
                </c:pt>
                <c:pt idx="2">
                  <c:v>1.8</c:v>
                </c:pt>
                <c:pt idx="3">
                  <c:v>2</c:v>
                </c:pt>
                <c:pt idx="4">
                  <c:v>3.75</c:v>
                </c:pt>
                <c:pt idx="5">
                  <c:v>8.3636363636363633</c:v>
                </c:pt>
                <c:pt idx="6">
                  <c:v>9.1666666666666661</c:v>
                </c:pt>
                <c:pt idx="7">
                  <c:v>8.6666666666666661</c:v>
                </c:pt>
                <c:pt idx="8">
                  <c:v>19.583333333333332</c:v>
                </c:pt>
                <c:pt idx="9">
                  <c:v>28.083333333333332</c:v>
                </c:pt>
                <c:pt idx="10">
                  <c:v>54.333333333333336</c:v>
                </c:pt>
                <c:pt idx="11">
                  <c:v>17.166666666666668</c:v>
                </c:pt>
              </c:numCache>
            </c:numRef>
          </c:val>
          <c:extLst>
            <c:ext xmlns:c16="http://schemas.microsoft.com/office/drawing/2014/chart" uri="{C3380CC4-5D6E-409C-BE32-E72D297353CC}">
              <c16:uniqueId val="{00000001-C891-4EE9-91CE-D26C75C596C5}"/>
            </c:ext>
          </c:extLst>
        </c:ser>
        <c:ser>
          <c:idx val="2"/>
          <c:order val="2"/>
          <c:tx>
            <c:strRef>
              <c:f>'2018-2019'!$A$18</c:f>
              <c:strCache>
                <c:ptCount val="1"/>
                <c:pt idx="0">
                  <c:v>2020/2021</c:v>
                </c:pt>
              </c:strCache>
            </c:strRef>
          </c:tx>
          <c:spPr>
            <a:solidFill>
              <a:schemeClr val="accent3"/>
            </a:solidFill>
            <a:ln>
              <a:noFill/>
            </a:ln>
            <a:effectLst/>
          </c:spPr>
          <c:invertIfNegative val="0"/>
          <c:cat>
            <c:strRef>
              <c:f>'2018-2019'!$B$2:$M$2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'2018-2019'!$B$18:$M$18</c:f>
              <c:numCache>
                <c:formatCode>0</c:formatCode>
                <c:ptCount val="12"/>
                <c:pt idx="0">
                  <c:v>14.75</c:v>
                </c:pt>
                <c:pt idx="1">
                  <c:v>10</c:v>
                </c:pt>
                <c:pt idx="2">
                  <c:v>3.875</c:v>
                </c:pt>
                <c:pt idx="3">
                  <c:v>2.6666666666666665</c:v>
                </c:pt>
                <c:pt idx="4">
                  <c:v>4.75</c:v>
                </c:pt>
                <c:pt idx="5">
                  <c:v>8.0909090909090917</c:v>
                </c:pt>
                <c:pt idx="6">
                  <c:v>11.25</c:v>
                </c:pt>
                <c:pt idx="7">
                  <c:v>12.333333333333334</c:v>
                </c:pt>
                <c:pt idx="8">
                  <c:v>19.90909090909091</c:v>
                </c:pt>
                <c:pt idx="9">
                  <c:v>29.75</c:v>
                </c:pt>
                <c:pt idx="10">
                  <c:v>54.666666666666664</c:v>
                </c:pt>
                <c:pt idx="11">
                  <c:v>28.75</c:v>
                </c:pt>
              </c:numCache>
            </c:numRef>
          </c:val>
          <c:extLst>
            <c:ext xmlns:c16="http://schemas.microsoft.com/office/drawing/2014/chart" uri="{C3380CC4-5D6E-409C-BE32-E72D297353CC}">
              <c16:uniqueId val="{00000002-C891-4EE9-91CE-D26C75C596C5}"/>
            </c:ext>
          </c:extLst>
        </c:ser>
        <c:dLbls>
          <c:showLegendKey val="0"/>
          <c:showVal val="0"/>
          <c:showCatName val="0"/>
          <c:showSerName val="0"/>
          <c:showPercent val="0"/>
          <c:showBubbleSize val="0"/>
        </c:dLbls>
        <c:gapWidth val="219"/>
        <c:overlap val="-27"/>
        <c:axId val="1547196719"/>
        <c:axId val="1547204623"/>
      </c:barChart>
      <c:catAx>
        <c:axId val="1547196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7204623"/>
        <c:crosses val="autoZero"/>
        <c:auto val="1"/>
        <c:lblAlgn val="ctr"/>
        <c:lblOffset val="100"/>
        <c:noMultiLvlLbl val="0"/>
      </c:catAx>
      <c:valAx>
        <c:axId val="15472046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Indivīdu</a:t>
                </a:r>
                <a:r>
                  <a:rPr lang="en-GB" baseline="0"/>
                  <a:t> skaits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7196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Sheet2!$C$2</c:f>
              <c:strCache>
                <c:ptCount val="1"/>
                <c:pt idx="0">
                  <c:v>Alnis</c:v>
                </c:pt>
              </c:strCache>
            </c:strRef>
          </c:tx>
          <c:spPr>
            <a:solidFill>
              <a:schemeClr val="accent1"/>
            </a:solidFill>
            <a:ln>
              <a:noFill/>
            </a:ln>
            <a:effectLst/>
          </c:spPr>
          <c:invertIfNegative val="0"/>
          <c:cat>
            <c:numRef>
              <c:f>Sheet2!$B$3:$B$14</c:f>
              <c:numCache>
                <c:formatCode>General</c:formatCode>
                <c:ptCount val="12"/>
                <c:pt idx="0">
                  <c:v>7601</c:v>
                </c:pt>
                <c:pt idx="1">
                  <c:v>7602</c:v>
                </c:pt>
                <c:pt idx="2">
                  <c:v>7603</c:v>
                </c:pt>
                <c:pt idx="3">
                  <c:v>7604</c:v>
                </c:pt>
                <c:pt idx="4">
                  <c:v>8009</c:v>
                </c:pt>
                <c:pt idx="5">
                  <c:v>8010</c:v>
                </c:pt>
                <c:pt idx="6">
                  <c:v>8012</c:v>
                </c:pt>
                <c:pt idx="7">
                  <c:v>8015</c:v>
                </c:pt>
                <c:pt idx="8">
                  <c:v>8514</c:v>
                </c:pt>
                <c:pt idx="9">
                  <c:v>8526</c:v>
                </c:pt>
                <c:pt idx="10">
                  <c:v>8528</c:v>
                </c:pt>
                <c:pt idx="11">
                  <c:v>8529</c:v>
                </c:pt>
              </c:numCache>
            </c:numRef>
          </c:cat>
          <c:val>
            <c:numRef>
              <c:f>Sheet2!$C$3:$C$14</c:f>
              <c:numCache>
                <c:formatCode>0</c:formatCode>
                <c:ptCount val="12"/>
                <c:pt idx="0">
                  <c:v>9.5</c:v>
                </c:pt>
                <c:pt idx="1">
                  <c:v>6</c:v>
                </c:pt>
                <c:pt idx="2">
                  <c:v>24.75</c:v>
                </c:pt>
                <c:pt idx="3">
                  <c:v>130.25</c:v>
                </c:pt>
                <c:pt idx="4">
                  <c:v>40</c:v>
                </c:pt>
                <c:pt idx="5">
                  <c:v>2.25</c:v>
                </c:pt>
                <c:pt idx="6">
                  <c:v>24.75</c:v>
                </c:pt>
                <c:pt idx="7">
                  <c:v>43.75</c:v>
                </c:pt>
                <c:pt idx="8">
                  <c:v>55</c:v>
                </c:pt>
                <c:pt idx="9">
                  <c:v>27</c:v>
                </c:pt>
                <c:pt idx="10">
                  <c:v>29</c:v>
                </c:pt>
                <c:pt idx="11">
                  <c:v>20</c:v>
                </c:pt>
              </c:numCache>
            </c:numRef>
          </c:val>
          <c:extLst>
            <c:ext xmlns:c16="http://schemas.microsoft.com/office/drawing/2014/chart" uri="{C3380CC4-5D6E-409C-BE32-E72D297353CC}">
              <c16:uniqueId val="{00000000-431A-4FCD-AD22-78273D455795}"/>
            </c:ext>
          </c:extLst>
        </c:ser>
        <c:ser>
          <c:idx val="1"/>
          <c:order val="1"/>
          <c:tx>
            <c:strRef>
              <c:f>Sheet2!$D$2</c:f>
              <c:strCache>
                <c:ptCount val="1"/>
                <c:pt idx="0">
                  <c:v>Staltbriedis</c:v>
                </c:pt>
              </c:strCache>
            </c:strRef>
          </c:tx>
          <c:spPr>
            <a:solidFill>
              <a:schemeClr val="accent2"/>
            </a:solidFill>
            <a:ln>
              <a:noFill/>
            </a:ln>
            <a:effectLst/>
          </c:spPr>
          <c:invertIfNegative val="0"/>
          <c:cat>
            <c:numRef>
              <c:f>Sheet2!$B$3:$B$14</c:f>
              <c:numCache>
                <c:formatCode>General</c:formatCode>
                <c:ptCount val="12"/>
                <c:pt idx="0">
                  <c:v>7601</c:v>
                </c:pt>
                <c:pt idx="1">
                  <c:v>7602</c:v>
                </c:pt>
                <c:pt idx="2">
                  <c:v>7603</c:v>
                </c:pt>
                <c:pt idx="3">
                  <c:v>7604</c:v>
                </c:pt>
                <c:pt idx="4">
                  <c:v>8009</c:v>
                </c:pt>
                <c:pt idx="5">
                  <c:v>8010</c:v>
                </c:pt>
                <c:pt idx="6">
                  <c:v>8012</c:v>
                </c:pt>
                <c:pt idx="7">
                  <c:v>8015</c:v>
                </c:pt>
                <c:pt idx="8">
                  <c:v>8514</c:v>
                </c:pt>
                <c:pt idx="9">
                  <c:v>8526</c:v>
                </c:pt>
                <c:pt idx="10">
                  <c:v>8528</c:v>
                </c:pt>
                <c:pt idx="11">
                  <c:v>8529</c:v>
                </c:pt>
              </c:numCache>
            </c:numRef>
          </c:cat>
          <c:val>
            <c:numRef>
              <c:f>Sheet2!$D$3:$D$14</c:f>
              <c:numCache>
                <c:formatCode>0</c:formatCode>
                <c:ptCount val="12"/>
                <c:pt idx="0">
                  <c:v>141</c:v>
                </c:pt>
                <c:pt idx="1">
                  <c:v>220.25</c:v>
                </c:pt>
                <c:pt idx="2">
                  <c:v>108.75</c:v>
                </c:pt>
                <c:pt idx="3">
                  <c:v>193.5</c:v>
                </c:pt>
                <c:pt idx="4">
                  <c:v>50</c:v>
                </c:pt>
                <c:pt idx="5">
                  <c:v>215</c:v>
                </c:pt>
                <c:pt idx="6">
                  <c:v>40</c:v>
                </c:pt>
                <c:pt idx="7">
                  <c:v>77.5</c:v>
                </c:pt>
                <c:pt idx="8">
                  <c:v>100.25</c:v>
                </c:pt>
                <c:pt idx="9">
                  <c:v>212</c:v>
                </c:pt>
                <c:pt idx="10">
                  <c:v>333</c:v>
                </c:pt>
                <c:pt idx="11">
                  <c:v>285</c:v>
                </c:pt>
              </c:numCache>
            </c:numRef>
          </c:val>
          <c:extLst>
            <c:ext xmlns:c16="http://schemas.microsoft.com/office/drawing/2014/chart" uri="{C3380CC4-5D6E-409C-BE32-E72D297353CC}">
              <c16:uniqueId val="{00000001-431A-4FCD-AD22-78273D455795}"/>
            </c:ext>
          </c:extLst>
        </c:ser>
        <c:ser>
          <c:idx val="2"/>
          <c:order val="2"/>
          <c:tx>
            <c:strRef>
              <c:f>Sheet2!$E$2</c:f>
              <c:strCache>
                <c:ptCount val="1"/>
                <c:pt idx="0">
                  <c:v>Stirna</c:v>
                </c:pt>
              </c:strCache>
            </c:strRef>
          </c:tx>
          <c:spPr>
            <a:solidFill>
              <a:schemeClr val="accent3"/>
            </a:solidFill>
            <a:ln>
              <a:noFill/>
            </a:ln>
            <a:effectLst/>
          </c:spPr>
          <c:invertIfNegative val="0"/>
          <c:cat>
            <c:numRef>
              <c:f>Sheet2!$B$3:$B$14</c:f>
              <c:numCache>
                <c:formatCode>General</c:formatCode>
                <c:ptCount val="12"/>
                <c:pt idx="0">
                  <c:v>7601</c:v>
                </c:pt>
                <c:pt idx="1">
                  <c:v>7602</c:v>
                </c:pt>
                <c:pt idx="2">
                  <c:v>7603</c:v>
                </c:pt>
                <c:pt idx="3">
                  <c:v>7604</c:v>
                </c:pt>
                <c:pt idx="4">
                  <c:v>8009</c:v>
                </c:pt>
                <c:pt idx="5">
                  <c:v>8010</c:v>
                </c:pt>
                <c:pt idx="6">
                  <c:v>8012</c:v>
                </c:pt>
                <c:pt idx="7">
                  <c:v>8015</c:v>
                </c:pt>
                <c:pt idx="8">
                  <c:v>8514</c:v>
                </c:pt>
                <c:pt idx="9">
                  <c:v>8526</c:v>
                </c:pt>
                <c:pt idx="10">
                  <c:v>8528</c:v>
                </c:pt>
                <c:pt idx="11">
                  <c:v>8529</c:v>
                </c:pt>
              </c:numCache>
            </c:numRef>
          </c:cat>
          <c:val>
            <c:numRef>
              <c:f>Sheet2!$E$3:$E$14</c:f>
              <c:numCache>
                <c:formatCode>0</c:formatCode>
                <c:ptCount val="12"/>
                <c:pt idx="0">
                  <c:v>188.25</c:v>
                </c:pt>
                <c:pt idx="1">
                  <c:v>337.25</c:v>
                </c:pt>
                <c:pt idx="2">
                  <c:v>312.5</c:v>
                </c:pt>
                <c:pt idx="3">
                  <c:v>745.25</c:v>
                </c:pt>
                <c:pt idx="4">
                  <c:v>480</c:v>
                </c:pt>
                <c:pt idx="5">
                  <c:v>187.5</c:v>
                </c:pt>
                <c:pt idx="6">
                  <c:v>325</c:v>
                </c:pt>
                <c:pt idx="7">
                  <c:v>277.5</c:v>
                </c:pt>
                <c:pt idx="8">
                  <c:v>768.25</c:v>
                </c:pt>
                <c:pt idx="9">
                  <c:v>420.5</c:v>
                </c:pt>
                <c:pt idx="10">
                  <c:v>552</c:v>
                </c:pt>
                <c:pt idx="11">
                  <c:v>629.75</c:v>
                </c:pt>
              </c:numCache>
            </c:numRef>
          </c:val>
          <c:extLst>
            <c:ext xmlns:c16="http://schemas.microsoft.com/office/drawing/2014/chart" uri="{C3380CC4-5D6E-409C-BE32-E72D297353CC}">
              <c16:uniqueId val="{00000002-431A-4FCD-AD22-78273D455795}"/>
            </c:ext>
          </c:extLst>
        </c:ser>
        <c:ser>
          <c:idx val="3"/>
          <c:order val="3"/>
          <c:tx>
            <c:strRef>
              <c:f>Sheet2!$F$2</c:f>
              <c:strCache>
                <c:ptCount val="1"/>
                <c:pt idx="0">
                  <c:v>Meža cūka</c:v>
                </c:pt>
              </c:strCache>
            </c:strRef>
          </c:tx>
          <c:spPr>
            <a:solidFill>
              <a:schemeClr val="accent4"/>
            </a:solidFill>
            <a:ln>
              <a:noFill/>
            </a:ln>
            <a:effectLst/>
          </c:spPr>
          <c:invertIfNegative val="0"/>
          <c:cat>
            <c:numRef>
              <c:f>Sheet2!$B$3:$B$14</c:f>
              <c:numCache>
                <c:formatCode>General</c:formatCode>
                <c:ptCount val="12"/>
                <c:pt idx="0">
                  <c:v>7601</c:v>
                </c:pt>
                <c:pt idx="1">
                  <c:v>7602</c:v>
                </c:pt>
                <c:pt idx="2">
                  <c:v>7603</c:v>
                </c:pt>
                <c:pt idx="3">
                  <c:v>7604</c:v>
                </c:pt>
                <c:pt idx="4">
                  <c:v>8009</c:v>
                </c:pt>
                <c:pt idx="5">
                  <c:v>8010</c:v>
                </c:pt>
                <c:pt idx="6">
                  <c:v>8012</c:v>
                </c:pt>
                <c:pt idx="7">
                  <c:v>8015</c:v>
                </c:pt>
                <c:pt idx="8">
                  <c:v>8514</c:v>
                </c:pt>
                <c:pt idx="9">
                  <c:v>8526</c:v>
                </c:pt>
                <c:pt idx="10">
                  <c:v>8528</c:v>
                </c:pt>
                <c:pt idx="11">
                  <c:v>8529</c:v>
                </c:pt>
              </c:numCache>
            </c:numRef>
          </c:cat>
          <c:val>
            <c:numRef>
              <c:f>Sheet2!$F$3:$F$14</c:f>
              <c:numCache>
                <c:formatCode>0</c:formatCode>
                <c:ptCount val="12"/>
                <c:pt idx="0">
                  <c:v>50.5</c:v>
                </c:pt>
                <c:pt idx="1">
                  <c:v>64.75</c:v>
                </c:pt>
                <c:pt idx="2">
                  <c:v>54.25</c:v>
                </c:pt>
                <c:pt idx="3">
                  <c:v>81.25</c:v>
                </c:pt>
                <c:pt idx="4">
                  <c:v>32.5</c:v>
                </c:pt>
                <c:pt idx="5">
                  <c:v>43.75</c:v>
                </c:pt>
                <c:pt idx="6">
                  <c:v>26.25</c:v>
                </c:pt>
                <c:pt idx="7">
                  <c:v>21.25</c:v>
                </c:pt>
                <c:pt idx="8">
                  <c:v>39</c:v>
                </c:pt>
                <c:pt idx="9">
                  <c:v>25.5</c:v>
                </c:pt>
                <c:pt idx="10">
                  <c:v>109.5</c:v>
                </c:pt>
                <c:pt idx="11">
                  <c:v>62.5</c:v>
                </c:pt>
              </c:numCache>
            </c:numRef>
          </c:val>
          <c:extLst>
            <c:ext xmlns:c16="http://schemas.microsoft.com/office/drawing/2014/chart" uri="{C3380CC4-5D6E-409C-BE32-E72D297353CC}">
              <c16:uniqueId val="{00000003-431A-4FCD-AD22-78273D455795}"/>
            </c:ext>
          </c:extLst>
        </c:ser>
        <c:dLbls>
          <c:showLegendKey val="0"/>
          <c:showVal val="0"/>
          <c:showCatName val="0"/>
          <c:showSerName val="0"/>
          <c:showPercent val="0"/>
          <c:showBubbleSize val="0"/>
        </c:dLbls>
        <c:gapWidth val="219"/>
        <c:axId val="1537387711"/>
        <c:axId val="1537388127"/>
      </c:barChart>
      <c:lineChart>
        <c:grouping val="stacked"/>
        <c:varyColors val="0"/>
        <c:ser>
          <c:idx val="4"/>
          <c:order val="4"/>
          <c:tx>
            <c:strRef>
              <c:f>Sheet2!$G$2</c:f>
              <c:strCache>
                <c:ptCount val="1"/>
                <c:pt idx="0">
                  <c:v>Alnis</c:v>
                </c:pt>
              </c:strCache>
            </c:strRef>
          </c:tx>
          <c:spPr>
            <a:ln w="28575" cap="rnd">
              <a:solidFill>
                <a:schemeClr val="accent1"/>
              </a:solidFill>
              <a:round/>
            </a:ln>
            <a:effectLst/>
          </c:spPr>
          <c:marker>
            <c:symbol val="circle"/>
            <c:size val="5"/>
            <c:spPr>
              <a:solidFill>
                <a:schemeClr val="accent5"/>
              </a:solidFill>
              <a:ln w="9525">
                <a:solidFill>
                  <a:schemeClr val="accent5"/>
                </a:solidFill>
              </a:ln>
              <a:effectLst/>
            </c:spPr>
          </c:marker>
          <c:cat>
            <c:numRef>
              <c:f>Sheet2!$B$3:$B$14</c:f>
              <c:numCache>
                <c:formatCode>General</c:formatCode>
                <c:ptCount val="12"/>
                <c:pt idx="0">
                  <c:v>7601</c:v>
                </c:pt>
                <c:pt idx="1">
                  <c:v>7602</c:v>
                </c:pt>
                <c:pt idx="2">
                  <c:v>7603</c:v>
                </c:pt>
                <c:pt idx="3">
                  <c:v>7604</c:v>
                </c:pt>
                <c:pt idx="4">
                  <c:v>8009</c:v>
                </c:pt>
                <c:pt idx="5">
                  <c:v>8010</c:v>
                </c:pt>
                <c:pt idx="6">
                  <c:v>8012</c:v>
                </c:pt>
                <c:pt idx="7">
                  <c:v>8015</c:v>
                </c:pt>
                <c:pt idx="8">
                  <c:v>8514</c:v>
                </c:pt>
                <c:pt idx="9">
                  <c:v>8526</c:v>
                </c:pt>
                <c:pt idx="10">
                  <c:v>8528</c:v>
                </c:pt>
                <c:pt idx="11">
                  <c:v>8529</c:v>
                </c:pt>
              </c:numCache>
            </c:numRef>
          </c:cat>
          <c:val>
            <c:numRef>
              <c:f>Sheet2!$G$3:$G$14</c:f>
              <c:numCache>
                <c:formatCode>0</c:formatCode>
                <c:ptCount val="12"/>
                <c:pt idx="0">
                  <c:v>1</c:v>
                </c:pt>
                <c:pt idx="1">
                  <c:v>0</c:v>
                </c:pt>
                <c:pt idx="2">
                  <c:v>3.25</c:v>
                </c:pt>
                <c:pt idx="3">
                  <c:v>45.25</c:v>
                </c:pt>
                <c:pt idx="4">
                  <c:v>9.25</c:v>
                </c:pt>
                <c:pt idx="5">
                  <c:v>0</c:v>
                </c:pt>
                <c:pt idx="6">
                  <c:v>4.75</c:v>
                </c:pt>
                <c:pt idx="7">
                  <c:v>16</c:v>
                </c:pt>
                <c:pt idx="8">
                  <c:v>21.25</c:v>
                </c:pt>
                <c:pt idx="9">
                  <c:v>6.25</c:v>
                </c:pt>
                <c:pt idx="10">
                  <c:v>7.5</c:v>
                </c:pt>
                <c:pt idx="11">
                  <c:v>1.75</c:v>
                </c:pt>
              </c:numCache>
            </c:numRef>
          </c:val>
          <c:smooth val="0"/>
          <c:extLst>
            <c:ext xmlns:c16="http://schemas.microsoft.com/office/drawing/2014/chart" uri="{C3380CC4-5D6E-409C-BE32-E72D297353CC}">
              <c16:uniqueId val="{00000004-431A-4FCD-AD22-78273D455795}"/>
            </c:ext>
          </c:extLst>
        </c:ser>
        <c:ser>
          <c:idx val="5"/>
          <c:order val="5"/>
          <c:tx>
            <c:strRef>
              <c:f>Sheet2!$H$2</c:f>
              <c:strCache>
                <c:ptCount val="1"/>
                <c:pt idx="0">
                  <c:v>Staltbriedis</c:v>
                </c:pt>
              </c:strCache>
            </c:strRef>
          </c:tx>
          <c:spPr>
            <a:ln w="28575" cap="rnd">
              <a:solidFill>
                <a:schemeClr val="accent2"/>
              </a:solidFill>
              <a:round/>
            </a:ln>
            <a:effectLst/>
          </c:spPr>
          <c:marker>
            <c:symbol val="circle"/>
            <c:size val="5"/>
            <c:spPr>
              <a:solidFill>
                <a:schemeClr val="accent6"/>
              </a:solidFill>
              <a:ln w="9525">
                <a:solidFill>
                  <a:schemeClr val="accent6"/>
                </a:solidFill>
              </a:ln>
              <a:effectLst/>
            </c:spPr>
          </c:marker>
          <c:cat>
            <c:numRef>
              <c:f>Sheet2!$B$3:$B$14</c:f>
              <c:numCache>
                <c:formatCode>General</c:formatCode>
                <c:ptCount val="12"/>
                <c:pt idx="0">
                  <c:v>7601</c:v>
                </c:pt>
                <c:pt idx="1">
                  <c:v>7602</c:v>
                </c:pt>
                <c:pt idx="2">
                  <c:v>7603</c:v>
                </c:pt>
                <c:pt idx="3">
                  <c:v>7604</c:v>
                </c:pt>
                <c:pt idx="4">
                  <c:v>8009</c:v>
                </c:pt>
                <c:pt idx="5">
                  <c:v>8010</c:v>
                </c:pt>
                <c:pt idx="6">
                  <c:v>8012</c:v>
                </c:pt>
                <c:pt idx="7">
                  <c:v>8015</c:v>
                </c:pt>
                <c:pt idx="8">
                  <c:v>8514</c:v>
                </c:pt>
                <c:pt idx="9">
                  <c:v>8526</c:v>
                </c:pt>
                <c:pt idx="10">
                  <c:v>8528</c:v>
                </c:pt>
                <c:pt idx="11">
                  <c:v>8529</c:v>
                </c:pt>
              </c:numCache>
            </c:numRef>
          </c:cat>
          <c:val>
            <c:numRef>
              <c:f>Sheet2!$H$3:$H$14</c:f>
              <c:numCache>
                <c:formatCode>0</c:formatCode>
                <c:ptCount val="12"/>
                <c:pt idx="0">
                  <c:v>24.75</c:v>
                </c:pt>
                <c:pt idx="1">
                  <c:v>53</c:v>
                </c:pt>
                <c:pt idx="2">
                  <c:v>26.25</c:v>
                </c:pt>
                <c:pt idx="3">
                  <c:v>51.75</c:v>
                </c:pt>
                <c:pt idx="4">
                  <c:v>6.75</c:v>
                </c:pt>
                <c:pt idx="5">
                  <c:v>74</c:v>
                </c:pt>
                <c:pt idx="6">
                  <c:v>9.25</c:v>
                </c:pt>
                <c:pt idx="7">
                  <c:v>14.5</c:v>
                </c:pt>
                <c:pt idx="8">
                  <c:v>16.75</c:v>
                </c:pt>
                <c:pt idx="9">
                  <c:v>42.25</c:v>
                </c:pt>
                <c:pt idx="10">
                  <c:v>84.5</c:v>
                </c:pt>
                <c:pt idx="11">
                  <c:v>47.25</c:v>
                </c:pt>
              </c:numCache>
            </c:numRef>
          </c:val>
          <c:smooth val="0"/>
          <c:extLst>
            <c:ext xmlns:c16="http://schemas.microsoft.com/office/drawing/2014/chart" uri="{C3380CC4-5D6E-409C-BE32-E72D297353CC}">
              <c16:uniqueId val="{00000005-431A-4FCD-AD22-78273D455795}"/>
            </c:ext>
          </c:extLst>
        </c:ser>
        <c:ser>
          <c:idx val="6"/>
          <c:order val="6"/>
          <c:tx>
            <c:strRef>
              <c:f>Sheet2!$I$2</c:f>
              <c:strCache>
                <c:ptCount val="1"/>
                <c:pt idx="0">
                  <c:v>Stirna</c:v>
                </c:pt>
              </c:strCache>
            </c:strRef>
          </c:tx>
          <c:spPr>
            <a:ln w="28575" cap="rnd">
              <a:solidFill>
                <a:schemeClr val="accent3"/>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Sheet2!$B$3:$B$14</c:f>
              <c:numCache>
                <c:formatCode>General</c:formatCode>
                <c:ptCount val="12"/>
                <c:pt idx="0">
                  <c:v>7601</c:v>
                </c:pt>
                <c:pt idx="1">
                  <c:v>7602</c:v>
                </c:pt>
                <c:pt idx="2">
                  <c:v>7603</c:v>
                </c:pt>
                <c:pt idx="3">
                  <c:v>7604</c:v>
                </c:pt>
                <c:pt idx="4">
                  <c:v>8009</c:v>
                </c:pt>
                <c:pt idx="5">
                  <c:v>8010</c:v>
                </c:pt>
                <c:pt idx="6">
                  <c:v>8012</c:v>
                </c:pt>
                <c:pt idx="7">
                  <c:v>8015</c:v>
                </c:pt>
                <c:pt idx="8">
                  <c:v>8514</c:v>
                </c:pt>
                <c:pt idx="9">
                  <c:v>8526</c:v>
                </c:pt>
                <c:pt idx="10">
                  <c:v>8528</c:v>
                </c:pt>
                <c:pt idx="11">
                  <c:v>8529</c:v>
                </c:pt>
              </c:numCache>
            </c:numRef>
          </c:cat>
          <c:val>
            <c:numRef>
              <c:f>Sheet2!$I$3:$I$14</c:f>
              <c:numCache>
                <c:formatCode>0</c:formatCode>
                <c:ptCount val="12"/>
                <c:pt idx="0">
                  <c:v>17.25</c:v>
                </c:pt>
                <c:pt idx="1">
                  <c:v>42</c:v>
                </c:pt>
                <c:pt idx="2">
                  <c:v>78</c:v>
                </c:pt>
                <c:pt idx="3">
                  <c:v>129</c:v>
                </c:pt>
                <c:pt idx="4">
                  <c:v>30.75</c:v>
                </c:pt>
                <c:pt idx="5">
                  <c:v>17.75</c:v>
                </c:pt>
                <c:pt idx="6">
                  <c:v>51.25</c:v>
                </c:pt>
                <c:pt idx="7">
                  <c:v>39.25</c:v>
                </c:pt>
                <c:pt idx="8">
                  <c:v>91.5</c:v>
                </c:pt>
                <c:pt idx="9">
                  <c:v>67.75</c:v>
                </c:pt>
                <c:pt idx="10">
                  <c:v>60.25</c:v>
                </c:pt>
                <c:pt idx="11">
                  <c:v>89.75</c:v>
                </c:pt>
              </c:numCache>
            </c:numRef>
          </c:val>
          <c:smooth val="0"/>
          <c:extLst>
            <c:ext xmlns:c16="http://schemas.microsoft.com/office/drawing/2014/chart" uri="{C3380CC4-5D6E-409C-BE32-E72D297353CC}">
              <c16:uniqueId val="{00000006-431A-4FCD-AD22-78273D455795}"/>
            </c:ext>
          </c:extLst>
        </c:ser>
        <c:ser>
          <c:idx val="7"/>
          <c:order val="7"/>
          <c:tx>
            <c:strRef>
              <c:f>Sheet2!$J$2</c:f>
              <c:strCache>
                <c:ptCount val="1"/>
                <c:pt idx="0">
                  <c:v>Meža cūka</c:v>
                </c:pt>
              </c:strCache>
            </c:strRef>
          </c:tx>
          <c:spPr>
            <a:ln w="28575" cap="rnd">
              <a:solidFill>
                <a:schemeClr val="accent4"/>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Sheet2!$B$3:$B$14</c:f>
              <c:numCache>
                <c:formatCode>General</c:formatCode>
                <c:ptCount val="12"/>
                <c:pt idx="0">
                  <c:v>7601</c:v>
                </c:pt>
                <c:pt idx="1">
                  <c:v>7602</c:v>
                </c:pt>
                <c:pt idx="2">
                  <c:v>7603</c:v>
                </c:pt>
                <c:pt idx="3">
                  <c:v>7604</c:v>
                </c:pt>
                <c:pt idx="4">
                  <c:v>8009</c:v>
                </c:pt>
                <c:pt idx="5">
                  <c:v>8010</c:v>
                </c:pt>
                <c:pt idx="6">
                  <c:v>8012</c:v>
                </c:pt>
                <c:pt idx="7">
                  <c:v>8015</c:v>
                </c:pt>
                <c:pt idx="8">
                  <c:v>8514</c:v>
                </c:pt>
                <c:pt idx="9">
                  <c:v>8526</c:v>
                </c:pt>
                <c:pt idx="10">
                  <c:v>8528</c:v>
                </c:pt>
                <c:pt idx="11">
                  <c:v>8529</c:v>
                </c:pt>
              </c:numCache>
            </c:numRef>
          </c:cat>
          <c:val>
            <c:numRef>
              <c:f>Sheet2!$J$3:$J$14</c:f>
              <c:numCache>
                <c:formatCode>0</c:formatCode>
                <c:ptCount val="12"/>
                <c:pt idx="0">
                  <c:v>38.75</c:v>
                </c:pt>
                <c:pt idx="1">
                  <c:v>30</c:v>
                </c:pt>
                <c:pt idx="2">
                  <c:v>40</c:v>
                </c:pt>
                <c:pt idx="3">
                  <c:v>60.75</c:v>
                </c:pt>
                <c:pt idx="4">
                  <c:v>7</c:v>
                </c:pt>
                <c:pt idx="5">
                  <c:v>22.5</c:v>
                </c:pt>
                <c:pt idx="6">
                  <c:v>12.75</c:v>
                </c:pt>
                <c:pt idx="7">
                  <c:v>17.25</c:v>
                </c:pt>
                <c:pt idx="8">
                  <c:v>34.75</c:v>
                </c:pt>
                <c:pt idx="9">
                  <c:v>39.5</c:v>
                </c:pt>
                <c:pt idx="10">
                  <c:v>88.5</c:v>
                </c:pt>
                <c:pt idx="11">
                  <c:v>46.75</c:v>
                </c:pt>
              </c:numCache>
            </c:numRef>
          </c:val>
          <c:smooth val="0"/>
          <c:extLst>
            <c:ext xmlns:c16="http://schemas.microsoft.com/office/drawing/2014/chart" uri="{C3380CC4-5D6E-409C-BE32-E72D297353CC}">
              <c16:uniqueId val="{00000007-431A-4FCD-AD22-78273D455795}"/>
            </c:ext>
          </c:extLst>
        </c:ser>
        <c:dLbls>
          <c:showLegendKey val="0"/>
          <c:showVal val="0"/>
          <c:showCatName val="0"/>
          <c:showSerName val="0"/>
          <c:showPercent val="0"/>
          <c:showBubbleSize val="0"/>
        </c:dLbls>
        <c:marker val="1"/>
        <c:smooth val="0"/>
        <c:axId val="1537387711"/>
        <c:axId val="1537388127"/>
      </c:lineChart>
      <c:catAx>
        <c:axId val="15373877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Uzskaites</a:t>
                </a:r>
                <a:r>
                  <a:rPr lang="en-GB" baseline="0"/>
                  <a:t> vienības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7388127"/>
        <c:crosses val="autoZero"/>
        <c:auto val="1"/>
        <c:lblAlgn val="ctr"/>
        <c:lblOffset val="100"/>
        <c:noMultiLvlLbl val="0"/>
      </c:catAx>
      <c:valAx>
        <c:axId val="15373881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Indivīdu</a:t>
                </a:r>
                <a:r>
                  <a:rPr lang="en-GB" baseline="0"/>
                  <a:t> skaits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7387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1F0D4A3EDDDD44B4461D81759A755E" ma:contentTypeVersion="17" ma:contentTypeDescription="Create a new document." ma:contentTypeScope="" ma:versionID="1fc55f0231e651cb09941e25c8667a20">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f207535e3f53aaf6c08465750577e9be"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54a885-2adb-4e8e-bde2-713ed8ccd6f8">
      <Terms xmlns="http://schemas.microsoft.com/office/infopath/2007/PartnerControls"/>
    </lcf76f155ced4ddcb4097134ff3c332f>
    <TaxCatchAll xmlns="6ad68aae-21ac-402f-8f10-6c7150a9a2e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97C98-4F53-4F0E-9345-EC5998486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A4CD7-7CF5-4C4B-854E-BE7EE71F8C0D}">
  <ds:schemaRefs>
    <ds:schemaRef ds:uri="http://schemas.microsoft.com/sharepoint/v3/contenttype/forms"/>
  </ds:schemaRefs>
</ds:datastoreItem>
</file>

<file path=customXml/itemProps3.xml><?xml version="1.0" encoding="utf-8"?>
<ds:datastoreItem xmlns:ds="http://schemas.openxmlformats.org/officeDocument/2006/customXml" ds:itemID="{2E31A33F-44B1-40E5-8FCB-EA1A5DEC5DAC}">
  <ds:schemaRefs>
    <ds:schemaRef ds:uri="http://schemas.microsoft.com/office/2006/metadata/properties"/>
    <ds:schemaRef ds:uri="http://schemas.microsoft.com/office/infopath/2007/PartnerControls"/>
    <ds:schemaRef ds:uri="f754a885-2adb-4e8e-bde2-713ed8ccd6f8"/>
    <ds:schemaRef ds:uri="6ad68aae-21ac-402f-8f10-6c7150a9a2e9"/>
  </ds:schemaRefs>
</ds:datastoreItem>
</file>

<file path=customXml/itemProps4.xml><?xml version="1.0" encoding="utf-8"?>
<ds:datastoreItem xmlns:ds="http://schemas.openxmlformats.org/officeDocument/2006/customXml" ds:itemID="{D91BD67C-5724-4C83-A59D-15C72A358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458</Pages>
  <Words>602714</Words>
  <Characters>343548</Characters>
  <Application>Microsoft Office Word</Application>
  <DocSecurity>0</DocSecurity>
  <Lines>2862</Lines>
  <Paragraphs>1888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Kopsavilkums</vt:lpstr>
      <vt:lpstr>Kopsavilkums</vt:lpstr>
    </vt:vector>
  </TitlesOfParts>
  <Company>ELLE</Company>
  <LinksUpToDate>false</LinksUpToDate>
  <CharactersWithSpaces>944374</CharactersWithSpaces>
  <SharedDoc>false</SharedDoc>
  <HLinks>
    <vt:vector size="384" baseType="variant">
      <vt:variant>
        <vt:i4>5505027</vt:i4>
      </vt:variant>
      <vt:variant>
        <vt:i4>384</vt:i4>
      </vt:variant>
      <vt:variant>
        <vt:i4>0</vt:i4>
      </vt:variant>
      <vt:variant>
        <vt:i4>5</vt:i4>
      </vt:variant>
      <vt:variant>
        <vt:lpwstr>http://cdr.eionet.europa.eu/lv/eu/art17/envuc1kdw</vt:lpwstr>
      </vt:variant>
      <vt:variant>
        <vt:lpwstr/>
      </vt:variant>
      <vt:variant>
        <vt:i4>7405627</vt:i4>
      </vt:variant>
      <vt:variant>
        <vt:i4>381</vt:i4>
      </vt:variant>
      <vt:variant>
        <vt:i4>0</vt:i4>
      </vt:variant>
      <vt:variant>
        <vt:i4>5</vt:i4>
      </vt:variant>
      <vt:variant>
        <vt:lpwstr>http://www.daba.gov.lv/public/lat/dati1/zinojumi_eiropas_komisijai/</vt:lpwstr>
      </vt:variant>
      <vt:variant>
        <vt:lpwstr/>
      </vt:variant>
      <vt:variant>
        <vt:i4>1048649</vt:i4>
      </vt:variant>
      <vt:variant>
        <vt:i4>378</vt:i4>
      </vt:variant>
      <vt:variant>
        <vt:i4>0</vt:i4>
      </vt:variant>
      <vt:variant>
        <vt:i4>5</vt:i4>
      </vt:variant>
      <vt:variant>
        <vt:lpwstr>http://www.varam.gov.lv/</vt:lpwstr>
      </vt:variant>
      <vt:variant>
        <vt:lpwstr/>
      </vt:variant>
      <vt:variant>
        <vt:i4>7274529</vt:i4>
      </vt:variant>
      <vt:variant>
        <vt:i4>375</vt:i4>
      </vt:variant>
      <vt:variant>
        <vt:i4>0</vt:i4>
      </vt:variant>
      <vt:variant>
        <vt:i4>5</vt:i4>
      </vt:variant>
      <vt:variant>
        <vt:lpwstr>http://www.pmlp.lv/</vt:lpwstr>
      </vt:variant>
      <vt:variant>
        <vt:lpwstr/>
      </vt:variant>
      <vt:variant>
        <vt:i4>1966088</vt:i4>
      </vt:variant>
      <vt:variant>
        <vt:i4>372</vt:i4>
      </vt:variant>
      <vt:variant>
        <vt:i4>0</vt:i4>
      </vt:variant>
      <vt:variant>
        <vt:i4>5</vt:i4>
      </vt:variant>
      <vt:variant>
        <vt:lpwstr>http://www.meteo.lv/</vt:lpwstr>
      </vt:variant>
      <vt:variant>
        <vt:lpwstr/>
      </vt:variant>
      <vt:variant>
        <vt:i4>5570582</vt:i4>
      </vt:variant>
      <vt:variant>
        <vt:i4>369</vt:i4>
      </vt:variant>
      <vt:variant>
        <vt:i4>0</vt:i4>
      </vt:variant>
      <vt:variant>
        <vt:i4>5</vt:i4>
      </vt:variant>
      <vt:variant>
        <vt:lpwstr>http://ozols.daba.gov.lv/pub/</vt:lpwstr>
      </vt:variant>
      <vt:variant>
        <vt:lpwstr/>
      </vt:variant>
      <vt:variant>
        <vt:i4>5636185</vt:i4>
      </vt:variant>
      <vt:variant>
        <vt:i4>366</vt:i4>
      </vt:variant>
      <vt:variant>
        <vt:i4>0</vt:i4>
      </vt:variant>
      <vt:variant>
        <vt:i4>5</vt:i4>
      </vt:variant>
      <vt:variant>
        <vt:lpwstr>http://latvijas.daba.lv/</vt:lpwstr>
      </vt:variant>
      <vt:variant>
        <vt:lpwstr/>
      </vt:variant>
      <vt:variant>
        <vt:i4>6619186</vt:i4>
      </vt:variant>
      <vt:variant>
        <vt:i4>363</vt:i4>
      </vt:variant>
      <vt:variant>
        <vt:i4>0</vt:i4>
      </vt:variant>
      <vt:variant>
        <vt:i4>5</vt:i4>
      </vt:variant>
      <vt:variant>
        <vt:lpwstr>http://www.latvijasdaba.lv/</vt:lpwstr>
      </vt:variant>
      <vt:variant>
        <vt:lpwstr/>
      </vt:variant>
      <vt:variant>
        <vt:i4>3407917</vt:i4>
      </vt:variant>
      <vt:variant>
        <vt:i4>360</vt:i4>
      </vt:variant>
      <vt:variant>
        <vt:i4>0</vt:i4>
      </vt:variant>
      <vt:variant>
        <vt:i4>5</vt:i4>
      </vt:variant>
      <vt:variant>
        <vt:lpwstr>http://www.daba.gov.lv/</vt:lpwstr>
      </vt:variant>
      <vt:variant>
        <vt:lpwstr/>
      </vt:variant>
      <vt:variant>
        <vt:i4>1376324</vt:i4>
      </vt:variant>
      <vt:variant>
        <vt:i4>348</vt:i4>
      </vt:variant>
      <vt:variant>
        <vt:i4>0</vt:i4>
      </vt:variant>
      <vt:variant>
        <vt:i4>5</vt:i4>
      </vt:variant>
      <vt:variant>
        <vt:lpwstr>http://natura2000.eea.europa.eu/</vt:lpwstr>
      </vt:variant>
      <vt:variant>
        <vt:lpwstr/>
      </vt:variant>
      <vt:variant>
        <vt:i4>1376280</vt:i4>
      </vt:variant>
      <vt:variant>
        <vt:i4>345</vt:i4>
      </vt:variant>
      <vt:variant>
        <vt:i4>0</vt:i4>
      </vt:variant>
      <vt:variant>
        <vt:i4>5</vt:i4>
      </vt:variant>
      <vt:variant>
        <vt:lpwstr>http://www.dabasdati.lv/</vt:lpwstr>
      </vt:variant>
      <vt:variant>
        <vt:lpwstr/>
      </vt:variant>
      <vt:variant>
        <vt:i4>3014704</vt:i4>
      </vt:variant>
      <vt:variant>
        <vt:i4>315</vt:i4>
      </vt:variant>
      <vt:variant>
        <vt:i4>0</vt:i4>
      </vt:variant>
      <vt:variant>
        <vt:i4>5</vt:i4>
      </vt:variant>
      <vt:variant>
        <vt:lpwstr>http://www.pmlp.gov.lv/</vt:lpwstr>
      </vt:variant>
      <vt:variant>
        <vt:lpwstr/>
      </vt:variant>
      <vt:variant>
        <vt:i4>1638452</vt:i4>
      </vt:variant>
      <vt:variant>
        <vt:i4>308</vt:i4>
      </vt:variant>
      <vt:variant>
        <vt:i4>0</vt:i4>
      </vt:variant>
      <vt:variant>
        <vt:i4>5</vt:i4>
      </vt:variant>
      <vt:variant>
        <vt:lpwstr/>
      </vt:variant>
      <vt:variant>
        <vt:lpwstr>_Toc432008252</vt:lpwstr>
      </vt:variant>
      <vt:variant>
        <vt:i4>1638452</vt:i4>
      </vt:variant>
      <vt:variant>
        <vt:i4>302</vt:i4>
      </vt:variant>
      <vt:variant>
        <vt:i4>0</vt:i4>
      </vt:variant>
      <vt:variant>
        <vt:i4>5</vt:i4>
      </vt:variant>
      <vt:variant>
        <vt:lpwstr/>
      </vt:variant>
      <vt:variant>
        <vt:lpwstr>_Toc432008251</vt:lpwstr>
      </vt:variant>
      <vt:variant>
        <vt:i4>1638452</vt:i4>
      </vt:variant>
      <vt:variant>
        <vt:i4>296</vt:i4>
      </vt:variant>
      <vt:variant>
        <vt:i4>0</vt:i4>
      </vt:variant>
      <vt:variant>
        <vt:i4>5</vt:i4>
      </vt:variant>
      <vt:variant>
        <vt:lpwstr/>
      </vt:variant>
      <vt:variant>
        <vt:lpwstr>_Toc432008250</vt:lpwstr>
      </vt:variant>
      <vt:variant>
        <vt:i4>1572916</vt:i4>
      </vt:variant>
      <vt:variant>
        <vt:i4>290</vt:i4>
      </vt:variant>
      <vt:variant>
        <vt:i4>0</vt:i4>
      </vt:variant>
      <vt:variant>
        <vt:i4>5</vt:i4>
      </vt:variant>
      <vt:variant>
        <vt:lpwstr/>
      </vt:variant>
      <vt:variant>
        <vt:lpwstr>_Toc432008249</vt:lpwstr>
      </vt:variant>
      <vt:variant>
        <vt:i4>1572916</vt:i4>
      </vt:variant>
      <vt:variant>
        <vt:i4>284</vt:i4>
      </vt:variant>
      <vt:variant>
        <vt:i4>0</vt:i4>
      </vt:variant>
      <vt:variant>
        <vt:i4>5</vt:i4>
      </vt:variant>
      <vt:variant>
        <vt:lpwstr/>
      </vt:variant>
      <vt:variant>
        <vt:lpwstr>_Toc432008248</vt:lpwstr>
      </vt:variant>
      <vt:variant>
        <vt:i4>1572916</vt:i4>
      </vt:variant>
      <vt:variant>
        <vt:i4>278</vt:i4>
      </vt:variant>
      <vt:variant>
        <vt:i4>0</vt:i4>
      </vt:variant>
      <vt:variant>
        <vt:i4>5</vt:i4>
      </vt:variant>
      <vt:variant>
        <vt:lpwstr/>
      </vt:variant>
      <vt:variant>
        <vt:lpwstr>_Toc432008247</vt:lpwstr>
      </vt:variant>
      <vt:variant>
        <vt:i4>1572916</vt:i4>
      </vt:variant>
      <vt:variant>
        <vt:i4>272</vt:i4>
      </vt:variant>
      <vt:variant>
        <vt:i4>0</vt:i4>
      </vt:variant>
      <vt:variant>
        <vt:i4>5</vt:i4>
      </vt:variant>
      <vt:variant>
        <vt:lpwstr/>
      </vt:variant>
      <vt:variant>
        <vt:lpwstr>_Toc432008246</vt:lpwstr>
      </vt:variant>
      <vt:variant>
        <vt:i4>1572916</vt:i4>
      </vt:variant>
      <vt:variant>
        <vt:i4>266</vt:i4>
      </vt:variant>
      <vt:variant>
        <vt:i4>0</vt:i4>
      </vt:variant>
      <vt:variant>
        <vt:i4>5</vt:i4>
      </vt:variant>
      <vt:variant>
        <vt:lpwstr/>
      </vt:variant>
      <vt:variant>
        <vt:lpwstr>_Toc432008245</vt:lpwstr>
      </vt:variant>
      <vt:variant>
        <vt:i4>1572916</vt:i4>
      </vt:variant>
      <vt:variant>
        <vt:i4>260</vt:i4>
      </vt:variant>
      <vt:variant>
        <vt:i4>0</vt:i4>
      </vt:variant>
      <vt:variant>
        <vt:i4>5</vt:i4>
      </vt:variant>
      <vt:variant>
        <vt:lpwstr/>
      </vt:variant>
      <vt:variant>
        <vt:lpwstr>_Toc432008244</vt:lpwstr>
      </vt:variant>
      <vt:variant>
        <vt:i4>1572916</vt:i4>
      </vt:variant>
      <vt:variant>
        <vt:i4>254</vt:i4>
      </vt:variant>
      <vt:variant>
        <vt:i4>0</vt:i4>
      </vt:variant>
      <vt:variant>
        <vt:i4>5</vt:i4>
      </vt:variant>
      <vt:variant>
        <vt:lpwstr/>
      </vt:variant>
      <vt:variant>
        <vt:lpwstr>_Toc432008243</vt:lpwstr>
      </vt:variant>
      <vt:variant>
        <vt:i4>1572916</vt:i4>
      </vt:variant>
      <vt:variant>
        <vt:i4>248</vt:i4>
      </vt:variant>
      <vt:variant>
        <vt:i4>0</vt:i4>
      </vt:variant>
      <vt:variant>
        <vt:i4>5</vt:i4>
      </vt:variant>
      <vt:variant>
        <vt:lpwstr/>
      </vt:variant>
      <vt:variant>
        <vt:lpwstr>_Toc432008242</vt:lpwstr>
      </vt:variant>
      <vt:variant>
        <vt:i4>1572916</vt:i4>
      </vt:variant>
      <vt:variant>
        <vt:i4>242</vt:i4>
      </vt:variant>
      <vt:variant>
        <vt:i4>0</vt:i4>
      </vt:variant>
      <vt:variant>
        <vt:i4>5</vt:i4>
      </vt:variant>
      <vt:variant>
        <vt:lpwstr/>
      </vt:variant>
      <vt:variant>
        <vt:lpwstr>_Toc432008241</vt:lpwstr>
      </vt:variant>
      <vt:variant>
        <vt:i4>1572916</vt:i4>
      </vt:variant>
      <vt:variant>
        <vt:i4>236</vt:i4>
      </vt:variant>
      <vt:variant>
        <vt:i4>0</vt:i4>
      </vt:variant>
      <vt:variant>
        <vt:i4>5</vt:i4>
      </vt:variant>
      <vt:variant>
        <vt:lpwstr/>
      </vt:variant>
      <vt:variant>
        <vt:lpwstr>_Toc432008240</vt:lpwstr>
      </vt:variant>
      <vt:variant>
        <vt:i4>2031668</vt:i4>
      </vt:variant>
      <vt:variant>
        <vt:i4>230</vt:i4>
      </vt:variant>
      <vt:variant>
        <vt:i4>0</vt:i4>
      </vt:variant>
      <vt:variant>
        <vt:i4>5</vt:i4>
      </vt:variant>
      <vt:variant>
        <vt:lpwstr/>
      </vt:variant>
      <vt:variant>
        <vt:lpwstr>_Toc432008239</vt:lpwstr>
      </vt:variant>
      <vt:variant>
        <vt:i4>2031668</vt:i4>
      </vt:variant>
      <vt:variant>
        <vt:i4>224</vt:i4>
      </vt:variant>
      <vt:variant>
        <vt:i4>0</vt:i4>
      </vt:variant>
      <vt:variant>
        <vt:i4>5</vt:i4>
      </vt:variant>
      <vt:variant>
        <vt:lpwstr/>
      </vt:variant>
      <vt:variant>
        <vt:lpwstr>_Toc432008238</vt:lpwstr>
      </vt:variant>
      <vt:variant>
        <vt:i4>2031668</vt:i4>
      </vt:variant>
      <vt:variant>
        <vt:i4>218</vt:i4>
      </vt:variant>
      <vt:variant>
        <vt:i4>0</vt:i4>
      </vt:variant>
      <vt:variant>
        <vt:i4>5</vt:i4>
      </vt:variant>
      <vt:variant>
        <vt:lpwstr/>
      </vt:variant>
      <vt:variant>
        <vt:lpwstr>_Toc432008237</vt:lpwstr>
      </vt:variant>
      <vt:variant>
        <vt:i4>2031668</vt:i4>
      </vt:variant>
      <vt:variant>
        <vt:i4>212</vt:i4>
      </vt:variant>
      <vt:variant>
        <vt:i4>0</vt:i4>
      </vt:variant>
      <vt:variant>
        <vt:i4>5</vt:i4>
      </vt:variant>
      <vt:variant>
        <vt:lpwstr/>
      </vt:variant>
      <vt:variant>
        <vt:lpwstr>_Toc432008236</vt:lpwstr>
      </vt:variant>
      <vt:variant>
        <vt:i4>2031668</vt:i4>
      </vt:variant>
      <vt:variant>
        <vt:i4>206</vt:i4>
      </vt:variant>
      <vt:variant>
        <vt:i4>0</vt:i4>
      </vt:variant>
      <vt:variant>
        <vt:i4>5</vt:i4>
      </vt:variant>
      <vt:variant>
        <vt:lpwstr/>
      </vt:variant>
      <vt:variant>
        <vt:lpwstr>_Toc432008235</vt:lpwstr>
      </vt:variant>
      <vt:variant>
        <vt:i4>2031668</vt:i4>
      </vt:variant>
      <vt:variant>
        <vt:i4>200</vt:i4>
      </vt:variant>
      <vt:variant>
        <vt:i4>0</vt:i4>
      </vt:variant>
      <vt:variant>
        <vt:i4>5</vt:i4>
      </vt:variant>
      <vt:variant>
        <vt:lpwstr/>
      </vt:variant>
      <vt:variant>
        <vt:lpwstr>_Toc432008234</vt:lpwstr>
      </vt:variant>
      <vt:variant>
        <vt:i4>2031668</vt:i4>
      </vt:variant>
      <vt:variant>
        <vt:i4>194</vt:i4>
      </vt:variant>
      <vt:variant>
        <vt:i4>0</vt:i4>
      </vt:variant>
      <vt:variant>
        <vt:i4>5</vt:i4>
      </vt:variant>
      <vt:variant>
        <vt:lpwstr/>
      </vt:variant>
      <vt:variant>
        <vt:lpwstr>_Toc432008233</vt:lpwstr>
      </vt:variant>
      <vt:variant>
        <vt:i4>2031668</vt:i4>
      </vt:variant>
      <vt:variant>
        <vt:i4>188</vt:i4>
      </vt:variant>
      <vt:variant>
        <vt:i4>0</vt:i4>
      </vt:variant>
      <vt:variant>
        <vt:i4>5</vt:i4>
      </vt:variant>
      <vt:variant>
        <vt:lpwstr/>
      </vt:variant>
      <vt:variant>
        <vt:lpwstr>_Toc432008232</vt:lpwstr>
      </vt:variant>
      <vt:variant>
        <vt:i4>2031668</vt:i4>
      </vt:variant>
      <vt:variant>
        <vt:i4>182</vt:i4>
      </vt:variant>
      <vt:variant>
        <vt:i4>0</vt:i4>
      </vt:variant>
      <vt:variant>
        <vt:i4>5</vt:i4>
      </vt:variant>
      <vt:variant>
        <vt:lpwstr/>
      </vt:variant>
      <vt:variant>
        <vt:lpwstr>_Toc432008231</vt:lpwstr>
      </vt:variant>
      <vt:variant>
        <vt:i4>2031668</vt:i4>
      </vt:variant>
      <vt:variant>
        <vt:i4>176</vt:i4>
      </vt:variant>
      <vt:variant>
        <vt:i4>0</vt:i4>
      </vt:variant>
      <vt:variant>
        <vt:i4>5</vt:i4>
      </vt:variant>
      <vt:variant>
        <vt:lpwstr/>
      </vt:variant>
      <vt:variant>
        <vt:lpwstr>_Toc432008230</vt:lpwstr>
      </vt:variant>
      <vt:variant>
        <vt:i4>1966132</vt:i4>
      </vt:variant>
      <vt:variant>
        <vt:i4>170</vt:i4>
      </vt:variant>
      <vt:variant>
        <vt:i4>0</vt:i4>
      </vt:variant>
      <vt:variant>
        <vt:i4>5</vt:i4>
      </vt:variant>
      <vt:variant>
        <vt:lpwstr/>
      </vt:variant>
      <vt:variant>
        <vt:lpwstr>_Toc432008229</vt:lpwstr>
      </vt:variant>
      <vt:variant>
        <vt:i4>1966132</vt:i4>
      </vt:variant>
      <vt:variant>
        <vt:i4>164</vt:i4>
      </vt:variant>
      <vt:variant>
        <vt:i4>0</vt:i4>
      </vt:variant>
      <vt:variant>
        <vt:i4>5</vt:i4>
      </vt:variant>
      <vt:variant>
        <vt:lpwstr/>
      </vt:variant>
      <vt:variant>
        <vt:lpwstr>_Toc432008228</vt:lpwstr>
      </vt:variant>
      <vt:variant>
        <vt:i4>1966132</vt:i4>
      </vt:variant>
      <vt:variant>
        <vt:i4>158</vt:i4>
      </vt:variant>
      <vt:variant>
        <vt:i4>0</vt:i4>
      </vt:variant>
      <vt:variant>
        <vt:i4>5</vt:i4>
      </vt:variant>
      <vt:variant>
        <vt:lpwstr/>
      </vt:variant>
      <vt:variant>
        <vt:lpwstr>_Toc432008227</vt:lpwstr>
      </vt:variant>
      <vt:variant>
        <vt:i4>1966132</vt:i4>
      </vt:variant>
      <vt:variant>
        <vt:i4>152</vt:i4>
      </vt:variant>
      <vt:variant>
        <vt:i4>0</vt:i4>
      </vt:variant>
      <vt:variant>
        <vt:i4>5</vt:i4>
      </vt:variant>
      <vt:variant>
        <vt:lpwstr/>
      </vt:variant>
      <vt:variant>
        <vt:lpwstr>_Toc432008226</vt:lpwstr>
      </vt:variant>
      <vt:variant>
        <vt:i4>1966132</vt:i4>
      </vt:variant>
      <vt:variant>
        <vt:i4>146</vt:i4>
      </vt:variant>
      <vt:variant>
        <vt:i4>0</vt:i4>
      </vt:variant>
      <vt:variant>
        <vt:i4>5</vt:i4>
      </vt:variant>
      <vt:variant>
        <vt:lpwstr/>
      </vt:variant>
      <vt:variant>
        <vt:lpwstr>_Toc432008225</vt:lpwstr>
      </vt:variant>
      <vt:variant>
        <vt:i4>1966132</vt:i4>
      </vt:variant>
      <vt:variant>
        <vt:i4>140</vt:i4>
      </vt:variant>
      <vt:variant>
        <vt:i4>0</vt:i4>
      </vt:variant>
      <vt:variant>
        <vt:i4>5</vt:i4>
      </vt:variant>
      <vt:variant>
        <vt:lpwstr/>
      </vt:variant>
      <vt:variant>
        <vt:lpwstr>_Toc432008224</vt:lpwstr>
      </vt:variant>
      <vt:variant>
        <vt:i4>1966132</vt:i4>
      </vt:variant>
      <vt:variant>
        <vt:i4>134</vt:i4>
      </vt:variant>
      <vt:variant>
        <vt:i4>0</vt:i4>
      </vt:variant>
      <vt:variant>
        <vt:i4>5</vt:i4>
      </vt:variant>
      <vt:variant>
        <vt:lpwstr/>
      </vt:variant>
      <vt:variant>
        <vt:lpwstr>_Toc432008223</vt:lpwstr>
      </vt:variant>
      <vt:variant>
        <vt:i4>1966132</vt:i4>
      </vt:variant>
      <vt:variant>
        <vt:i4>128</vt:i4>
      </vt:variant>
      <vt:variant>
        <vt:i4>0</vt:i4>
      </vt:variant>
      <vt:variant>
        <vt:i4>5</vt:i4>
      </vt:variant>
      <vt:variant>
        <vt:lpwstr/>
      </vt:variant>
      <vt:variant>
        <vt:lpwstr>_Toc432008222</vt:lpwstr>
      </vt:variant>
      <vt:variant>
        <vt:i4>1966132</vt:i4>
      </vt:variant>
      <vt:variant>
        <vt:i4>122</vt:i4>
      </vt:variant>
      <vt:variant>
        <vt:i4>0</vt:i4>
      </vt:variant>
      <vt:variant>
        <vt:i4>5</vt:i4>
      </vt:variant>
      <vt:variant>
        <vt:lpwstr/>
      </vt:variant>
      <vt:variant>
        <vt:lpwstr>_Toc432008221</vt:lpwstr>
      </vt:variant>
      <vt:variant>
        <vt:i4>1966132</vt:i4>
      </vt:variant>
      <vt:variant>
        <vt:i4>116</vt:i4>
      </vt:variant>
      <vt:variant>
        <vt:i4>0</vt:i4>
      </vt:variant>
      <vt:variant>
        <vt:i4>5</vt:i4>
      </vt:variant>
      <vt:variant>
        <vt:lpwstr/>
      </vt:variant>
      <vt:variant>
        <vt:lpwstr>_Toc432008220</vt:lpwstr>
      </vt:variant>
      <vt:variant>
        <vt:i4>1900596</vt:i4>
      </vt:variant>
      <vt:variant>
        <vt:i4>110</vt:i4>
      </vt:variant>
      <vt:variant>
        <vt:i4>0</vt:i4>
      </vt:variant>
      <vt:variant>
        <vt:i4>5</vt:i4>
      </vt:variant>
      <vt:variant>
        <vt:lpwstr/>
      </vt:variant>
      <vt:variant>
        <vt:lpwstr>_Toc432008219</vt:lpwstr>
      </vt:variant>
      <vt:variant>
        <vt:i4>1900596</vt:i4>
      </vt:variant>
      <vt:variant>
        <vt:i4>104</vt:i4>
      </vt:variant>
      <vt:variant>
        <vt:i4>0</vt:i4>
      </vt:variant>
      <vt:variant>
        <vt:i4>5</vt:i4>
      </vt:variant>
      <vt:variant>
        <vt:lpwstr/>
      </vt:variant>
      <vt:variant>
        <vt:lpwstr>_Toc432008218</vt:lpwstr>
      </vt:variant>
      <vt:variant>
        <vt:i4>1900596</vt:i4>
      </vt:variant>
      <vt:variant>
        <vt:i4>98</vt:i4>
      </vt:variant>
      <vt:variant>
        <vt:i4>0</vt:i4>
      </vt:variant>
      <vt:variant>
        <vt:i4>5</vt:i4>
      </vt:variant>
      <vt:variant>
        <vt:lpwstr/>
      </vt:variant>
      <vt:variant>
        <vt:lpwstr>_Toc432008217</vt:lpwstr>
      </vt:variant>
      <vt:variant>
        <vt:i4>1900596</vt:i4>
      </vt:variant>
      <vt:variant>
        <vt:i4>92</vt:i4>
      </vt:variant>
      <vt:variant>
        <vt:i4>0</vt:i4>
      </vt:variant>
      <vt:variant>
        <vt:i4>5</vt:i4>
      </vt:variant>
      <vt:variant>
        <vt:lpwstr/>
      </vt:variant>
      <vt:variant>
        <vt:lpwstr>_Toc432008216</vt:lpwstr>
      </vt:variant>
      <vt:variant>
        <vt:i4>1900596</vt:i4>
      </vt:variant>
      <vt:variant>
        <vt:i4>86</vt:i4>
      </vt:variant>
      <vt:variant>
        <vt:i4>0</vt:i4>
      </vt:variant>
      <vt:variant>
        <vt:i4>5</vt:i4>
      </vt:variant>
      <vt:variant>
        <vt:lpwstr/>
      </vt:variant>
      <vt:variant>
        <vt:lpwstr>_Toc432008215</vt:lpwstr>
      </vt:variant>
      <vt:variant>
        <vt:i4>1900596</vt:i4>
      </vt:variant>
      <vt:variant>
        <vt:i4>80</vt:i4>
      </vt:variant>
      <vt:variant>
        <vt:i4>0</vt:i4>
      </vt:variant>
      <vt:variant>
        <vt:i4>5</vt:i4>
      </vt:variant>
      <vt:variant>
        <vt:lpwstr/>
      </vt:variant>
      <vt:variant>
        <vt:lpwstr>_Toc432008214</vt:lpwstr>
      </vt:variant>
      <vt:variant>
        <vt:i4>1900596</vt:i4>
      </vt:variant>
      <vt:variant>
        <vt:i4>74</vt:i4>
      </vt:variant>
      <vt:variant>
        <vt:i4>0</vt:i4>
      </vt:variant>
      <vt:variant>
        <vt:i4>5</vt:i4>
      </vt:variant>
      <vt:variant>
        <vt:lpwstr/>
      </vt:variant>
      <vt:variant>
        <vt:lpwstr>_Toc432008213</vt:lpwstr>
      </vt:variant>
      <vt:variant>
        <vt:i4>1900596</vt:i4>
      </vt:variant>
      <vt:variant>
        <vt:i4>68</vt:i4>
      </vt:variant>
      <vt:variant>
        <vt:i4>0</vt:i4>
      </vt:variant>
      <vt:variant>
        <vt:i4>5</vt:i4>
      </vt:variant>
      <vt:variant>
        <vt:lpwstr/>
      </vt:variant>
      <vt:variant>
        <vt:lpwstr>_Toc432008212</vt:lpwstr>
      </vt:variant>
      <vt:variant>
        <vt:i4>1900596</vt:i4>
      </vt:variant>
      <vt:variant>
        <vt:i4>62</vt:i4>
      </vt:variant>
      <vt:variant>
        <vt:i4>0</vt:i4>
      </vt:variant>
      <vt:variant>
        <vt:i4>5</vt:i4>
      </vt:variant>
      <vt:variant>
        <vt:lpwstr/>
      </vt:variant>
      <vt:variant>
        <vt:lpwstr>_Toc432008211</vt:lpwstr>
      </vt:variant>
      <vt:variant>
        <vt:i4>1900596</vt:i4>
      </vt:variant>
      <vt:variant>
        <vt:i4>56</vt:i4>
      </vt:variant>
      <vt:variant>
        <vt:i4>0</vt:i4>
      </vt:variant>
      <vt:variant>
        <vt:i4>5</vt:i4>
      </vt:variant>
      <vt:variant>
        <vt:lpwstr/>
      </vt:variant>
      <vt:variant>
        <vt:lpwstr>_Toc432008210</vt:lpwstr>
      </vt:variant>
      <vt:variant>
        <vt:i4>1835060</vt:i4>
      </vt:variant>
      <vt:variant>
        <vt:i4>50</vt:i4>
      </vt:variant>
      <vt:variant>
        <vt:i4>0</vt:i4>
      </vt:variant>
      <vt:variant>
        <vt:i4>5</vt:i4>
      </vt:variant>
      <vt:variant>
        <vt:lpwstr/>
      </vt:variant>
      <vt:variant>
        <vt:lpwstr>_Toc432008209</vt:lpwstr>
      </vt:variant>
      <vt:variant>
        <vt:i4>1835060</vt:i4>
      </vt:variant>
      <vt:variant>
        <vt:i4>44</vt:i4>
      </vt:variant>
      <vt:variant>
        <vt:i4>0</vt:i4>
      </vt:variant>
      <vt:variant>
        <vt:i4>5</vt:i4>
      </vt:variant>
      <vt:variant>
        <vt:lpwstr/>
      </vt:variant>
      <vt:variant>
        <vt:lpwstr>_Toc432008208</vt:lpwstr>
      </vt:variant>
      <vt:variant>
        <vt:i4>1835060</vt:i4>
      </vt:variant>
      <vt:variant>
        <vt:i4>38</vt:i4>
      </vt:variant>
      <vt:variant>
        <vt:i4>0</vt:i4>
      </vt:variant>
      <vt:variant>
        <vt:i4>5</vt:i4>
      </vt:variant>
      <vt:variant>
        <vt:lpwstr/>
      </vt:variant>
      <vt:variant>
        <vt:lpwstr>_Toc432008207</vt:lpwstr>
      </vt:variant>
      <vt:variant>
        <vt:i4>1835060</vt:i4>
      </vt:variant>
      <vt:variant>
        <vt:i4>32</vt:i4>
      </vt:variant>
      <vt:variant>
        <vt:i4>0</vt:i4>
      </vt:variant>
      <vt:variant>
        <vt:i4>5</vt:i4>
      </vt:variant>
      <vt:variant>
        <vt:lpwstr/>
      </vt:variant>
      <vt:variant>
        <vt:lpwstr>_Toc432008206</vt:lpwstr>
      </vt:variant>
      <vt:variant>
        <vt:i4>1835060</vt:i4>
      </vt:variant>
      <vt:variant>
        <vt:i4>26</vt:i4>
      </vt:variant>
      <vt:variant>
        <vt:i4>0</vt:i4>
      </vt:variant>
      <vt:variant>
        <vt:i4>5</vt:i4>
      </vt:variant>
      <vt:variant>
        <vt:lpwstr/>
      </vt:variant>
      <vt:variant>
        <vt:lpwstr>_Toc432008205</vt:lpwstr>
      </vt:variant>
      <vt:variant>
        <vt:i4>1835060</vt:i4>
      </vt:variant>
      <vt:variant>
        <vt:i4>20</vt:i4>
      </vt:variant>
      <vt:variant>
        <vt:i4>0</vt:i4>
      </vt:variant>
      <vt:variant>
        <vt:i4>5</vt:i4>
      </vt:variant>
      <vt:variant>
        <vt:lpwstr/>
      </vt:variant>
      <vt:variant>
        <vt:lpwstr>_Toc432008204</vt:lpwstr>
      </vt:variant>
      <vt:variant>
        <vt:i4>1835060</vt:i4>
      </vt:variant>
      <vt:variant>
        <vt:i4>14</vt:i4>
      </vt:variant>
      <vt:variant>
        <vt:i4>0</vt:i4>
      </vt:variant>
      <vt:variant>
        <vt:i4>5</vt:i4>
      </vt:variant>
      <vt:variant>
        <vt:lpwstr/>
      </vt:variant>
      <vt:variant>
        <vt:lpwstr>_Toc432008203</vt:lpwstr>
      </vt:variant>
      <vt:variant>
        <vt:i4>1835060</vt:i4>
      </vt:variant>
      <vt:variant>
        <vt:i4>8</vt:i4>
      </vt:variant>
      <vt:variant>
        <vt:i4>0</vt:i4>
      </vt:variant>
      <vt:variant>
        <vt:i4>5</vt:i4>
      </vt:variant>
      <vt:variant>
        <vt:lpwstr/>
      </vt:variant>
      <vt:variant>
        <vt:lpwstr>_Toc432008202</vt:lpwstr>
      </vt:variant>
      <vt:variant>
        <vt:i4>1835060</vt:i4>
      </vt:variant>
      <vt:variant>
        <vt:i4>2</vt:i4>
      </vt:variant>
      <vt:variant>
        <vt:i4>0</vt:i4>
      </vt:variant>
      <vt:variant>
        <vt:i4>5</vt:i4>
      </vt:variant>
      <vt:variant>
        <vt:lpwstr/>
      </vt:variant>
      <vt:variant>
        <vt:lpwstr>_Toc432008201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Kopsavilkums</dc:title>
  <dc:subject/>
  <dc:creator>Lucija</dc:creator>
  <cp:keywords/>
  <dc:description/>
  <cp:lastModifiedBy>Dace Briška</cp:lastModifiedBy>
  <cp:revision>28</cp:revision>
  <cp:lastPrinted>2023-01-23T14:53:00Z</cp:lastPrinted>
  <dcterms:created xsi:type="dcterms:W3CDTF">2023-04-24T11:14:00Z</dcterms:created>
  <dcterms:modified xsi:type="dcterms:W3CDTF">2023-07-11T12:29:00Z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MediaServiceImageTags">
    <vt:lpwstr/>
  </property>
</Properties>
</file>